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E85"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bookmarkStart w:id="0" w:name="_GoBack"/>
      <w:bookmarkEnd w:id="0"/>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 xml:space="preserve">México, </w:t>
      </w:r>
      <w:r w:rsidRPr="002052F6">
        <w:rPr>
          <w:rFonts w:ascii="Palatino Linotype" w:eastAsia="Times New Roman" w:hAnsi="Palatino Linotype" w:cs="Arial"/>
          <w:color w:val="000000"/>
          <w:sz w:val="24"/>
          <w:szCs w:val="24"/>
          <w:lang w:eastAsia="es-MX"/>
        </w:rPr>
        <w:t xml:space="preserve">a </w:t>
      </w:r>
      <w:r w:rsidR="00AF7B60">
        <w:rPr>
          <w:rFonts w:ascii="Palatino Linotype" w:eastAsia="Times New Roman" w:hAnsi="Palatino Linotype" w:cs="Arial"/>
          <w:color w:val="000000"/>
          <w:sz w:val="24"/>
          <w:szCs w:val="24"/>
          <w:lang w:eastAsia="es-MX"/>
        </w:rPr>
        <w:t>treinta de octubre</w:t>
      </w:r>
      <w:r w:rsidR="00A902C6">
        <w:rPr>
          <w:rFonts w:ascii="Palatino Linotype" w:eastAsia="Times New Roman" w:hAnsi="Palatino Linotype" w:cs="Arial"/>
          <w:color w:val="000000"/>
          <w:sz w:val="24"/>
          <w:szCs w:val="24"/>
          <w:lang w:eastAsia="es-MX"/>
        </w:rPr>
        <w:t xml:space="preserve"> de dos mil diecinueve</w:t>
      </w:r>
      <w:r w:rsidRPr="002052F6">
        <w:rPr>
          <w:rFonts w:ascii="Palatino Linotype" w:eastAsia="Times New Roman" w:hAnsi="Palatino Linotype" w:cs="Arial"/>
          <w:color w:val="000000"/>
          <w:sz w:val="24"/>
          <w:szCs w:val="24"/>
          <w:lang w:eastAsia="es-MX"/>
        </w:rPr>
        <w:t>.</w:t>
      </w:r>
    </w:p>
    <w:p w:rsidR="00152B26" w:rsidRPr="00F07740" w:rsidRDefault="0087560D"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p>
    <w:p w:rsidR="00E87E34" w:rsidRPr="00C203E8" w:rsidRDefault="00E15E85" w:rsidP="00E15E85">
      <w:pPr>
        <w:tabs>
          <w:tab w:val="left" w:pos="1701"/>
        </w:tabs>
        <w:spacing w:before="240" w:line="360" w:lineRule="auto"/>
        <w:jc w:val="both"/>
        <w:rPr>
          <w:rFonts w:ascii="Palatino Linotype" w:hAnsi="Palatino Linotype" w:cs="Arial"/>
          <w:b/>
          <w:bCs/>
          <w:sz w:val="24"/>
          <w:lang w:eastAsia="es-MX"/>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FC145E">
        <w:rPr>
          <w:rFonts w:ascii="Palatino Linotype" w:hAnsi="Palatino Linotype" w:cs="Arial"/>
          <w:b/>
          <w:bCs/>
          <w:sz w:val="24"/>
          <w:lang w:eastAsia="es-MX"/>
        </w:rPr>
        <w:t>0</w:t>
      </w:r>
      <w:r w:rsidR="00E20678">
        <w:rPr>
          <w:rFonts w:ascii="Palatino Linotype" w:hAnsi="Palatino Linotype" w:cs="Arial"/>
          <w:b/>
          <w:bCs/>
          <w:sz w:val="24"/>
          <w:lang w:eastAsia="es-MX"/>
        </w:rPr>
        <w:t>6800</w:t>
      </w:r>
      <w:r w:rsidR="0037311B" w:rsidRPr="0037311B">
        <w:rPr>
          <w:rFonts w:ascii="Palatino Linotype" w:hAnsi="Palatino Linotype" w:cs="Arial"/>
          <w:b/>
          <w:bCs/>
          <w:sz w:val="24"/>
          <w:lang w:eastAsia="es-MX"/>
        </w:rPr>
        <w:t>/INFOEM/IP/RR/2019</w:t>
      </w:r>
      <w:r>
        <w:rPr>
          <w:rFonts w:ascii="Palatino Linotype" w:hAnsi="Palatino Linotype" w:cs="Arial"/>
          <w:sz w:val="24"/>
        </w:rPr>
        <w:t xml:space="preserve">, </w:t>
      </w:r>
      <w:r w:rsidR="0037311B">
        <w:rPr>
          <w:rFonts w:ascii="Palatino Linotype" w:hAnsi="Palatino Linotype" w:cs="Arial"/>
          <w:sz w:val="24"/>
        </w:rPr>
        <w:t xml:space="preserve">interpuesto por </w:t>
      </w:r>
      <w:r w:rsidR="009F7948" w:rsidRPr="009A6D1C">
        <w:rPr>
          <w:rFonts w:ascii="Palatino Linotype" w:hAnsi="Palatino Linotype" w:cs="Arial"/>
          <w:b/>
          <w:sz w:val="24"/>
        </w:rPr>
        <w:t>El</w:t>
      </w:r>
      <w:r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la</w:t>
      </w:r>
      <w:r w:rsidR="00BA65E0">
        <w:rPr>
          <w:rFonts w:ascii="Palatino Linotype" w:hAnsi="Palatino Linotype" w:cs="Arial"/>
          <w:sz w:val="24"/>
        </w:rPr>
        <w:t xml:space="preserve"> falta de</w:t>
      </w:r>
      <w:r w:rsidR="00E372DA">
        <w:rPr>
          <w:rFonts w:ascii="Palatino Linotype" w:hAnsi="Palatino Linotype" w:cs="Arial"/>
          <w:sz w:val="24"/>
        </w:rPr>
        <w:t xml:space="preserve"> </w:t>
      </w:r>
      <w:r w:rsidRPr="00224181">
        <w:rPr>
          <w:rFonts w:ascii="Palatino Linotype" w:hAnsi="Palatino Linotype" w:cs="Arial"/>
          <w:sz w:val="24"/>
        </w:rPr>
        <w:t xml:space="preserve">respuesta </w:t>
      </w:r>
      <w:r w:rsidR="003470B1">
        <w:rPr>
          <w:rFonts w:ascii="Palatino Linotype" w:hAnsi="Palatino Linotype" w:cs="Arial"/>
          <w:sz w:val="24"/>
        </w:rPr>
        <w:t>d</w:t>
      </w:r>
      <w:r w:rsidR="00E372DA" w:rsidRPr="00224181">
        <w:rPr>
          <w:rFonts w:ascii="Palatino Linotype" w:hAnsi="Palatino Linotype" w:cs="Arial"/>
          <w:sz w:val="24"/>
          <w:szCs w:val="24"/>
        </w:rPr>
        <w:t>e</w:t>
      </w:r>
      <w:r w:rsidR="00BA65E0">
        <w:rPr>
          <w:rFonts w:ascii="Palatino Linotype" w:hAnsi="Palatino Linotype" w:cs="Arial"/>
          <w:sz w:val="24"/>
          <w:szCs w:val="24"/>
        </w:rPr>
        <w:t>l</w:t>
      </w:r>
      <w:r w:rsidRPr="00224181">
        <w:rPr>
          <w:rFonts w:ascii="Palatino Linotype" w:hAnsi="Palatino Linotype" w:cs="Arial"/>
          <w:sz w:val="24"/>
          <w:szCs w:val="24"/>
        </w:rPr>
        <w:t xml:space="preserve"> </w:t>
      </w:r>
      <w:r w:rsidR="00E20678" w:rsidRPr="00E20678">
        <w:rPr>
          <w:rFonts w:ascii="Palatino Linotype" w:hAnsi="Palatino Linotype" w:cs="Arial"/>
          <w:b/>
          <w:sz w:val="24"/>
          <w:szCs w:val="24"/>
        </w:rPr>
        <w:t>Ayuntamiento de Tequixquiac</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15E85" w:rsidRDefault="00E15E85" w:rsidP="00E15E85">
      <w:pPr>
        <w:tabs>
          <w:tab w:val="left" w:pos="1701"/>
        </w:tabs>
        <w:spacing w:before="240" w:line="360" w:lineRule="auto"/>
        <w:jc w:val="both"/>
        <w:rPr>
          <w:rFonts w:ascii="Palatino Linotype" w:hAnsi="Palatino Linotype" w:cs="Arial"/>
          <w:sz w:val="24"/>
        </w:rPr>
      </w:pPr>
    </w:p>
    <w:p w:rsidR="00E15E85" w:rsidRPr="00F205B9" w:rsidRDefault="00E15E85" w:rsidP="00E15E85">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E20678">
        <w:rPr>
          <w:rFonts w:ascii="Palatino Linotype" w:hAnsi="Palatino Linotype" w:cs="Arial"/>
          <w:sz w:val="24"/>
        </w:rPr>
        <w:t>uno de agosto</w:t>
      </w:r>
      <w:r w:rsidR="00AF385F">
        <w:rPr>
          <w:rFonts w:ascii="Palatino Linotype" w:hAnsi="Palatino Linotype" w:cs="Arial"/>
          <w:sz w:val="24"/>
        </w:rPr>
        <w:t xml:space="preserve"> de dos mil diecinueve</w:t>
      </w:r>
      <w:r>
        <w:rPr>
          <w:rFonts w:ascii="Palatino Linotype" w:hAnsi="Palatino Linotype" w:cs="Arial"/>
          <w:sz w:val="24"/>
        </w:rPr>
        <w:t xml:space="preserve">, </w:t>
      </w:r>
      <w:r w:rsidR="0037311B">
        <w:rPr>
          <w:rFonts w:ascii="Palatino Linotype" w:hAnsi="Palatino Linotype" w:cs="Arial"/>
          <w:b/>
          <w:sz w:val="24"/>
        </w:rPr>
        <w:t>el</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E20678" w:rsidRPr="00E20678">
        <w:rPr>
          <w:rFonts w:ascii="Palatino Linotype" w:hAnsi="Palatino Linotype" w:cs="Arial"/>
          <w:b/>
          <w:sz w:val="24"/>
        </w:rPr>
        <w:t>00078/TEQUIXQU/IP/2019</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00E20678" w:rsidRPr="00E20678">
        <w:rPr>
          <w:rFonts w:ascii="Palatino Linotype" w:hAnsi="Palatino Linotype"/>
          <w:i/>
          <w:color w:val="000000"/>
        </w:rPr>
        <w:t>Solicito se me proporciones la siguiente información: 1.</w:t>
      </w:r>
      <w:r w:rsidR="00E20678" w:rsidRPr="00E20678">
        <w:rPr>
          <w:rFonts w:ascii="Palatino Linotype" w:hAnsi="Palatino Linotype"/>
          <w:i/>
          <w:color w:val="000000"/>
        </w:rPr>
        <w:tab/>
        <w:t>Presupuesto total asignado a la Contraloría Interna Municipal durante los ejercicios 2016, 2017, 2018 y 2019 (aprobado y sus modificaciones). 2.</w:t>
      </w:r>
      <w:r w:rsidR="00E20678" w:rsidRPr="00E20678">
        <w:rPr>
          <w:rFonts w:ascii="Palatino Linotype" w:hAnsi="Palatino Linotype"/>
          <w:i/>
          <w:color w:val="000000"/>
        </w:rPr>
        <w:tab/>
        <w:t>Número de servidores públicos adscritos a la Contraloría Interna Municipal, indicando la información correspondiente al 31 de diciembre de los años 2016, 2017, 2018 y al 31 de marzo de 2019. 3.</w:t>
      </w:r>
      <w:r w:rsidR="00E20678" w:rsidRPr="00E20678">
        <w:rPr>
          <w:rFonts w:ascii="Palatino Linotype" w:hAnsi="Palatino Linotype"/>
          <w:i/>
          <w:color w:val="000000"/>
        </w:rPr>
        <w:tab/>
        <w:t xml:space="preserve">Organigrama autorizado (legible) de la Contraloría Interna Municipal correspondiente a los ejercicios fiscales 2016, 2017, 2018 y 2019 </w:t>
      </w:r>
      <w:r w:rsidR="00E20678" w:rsidRPr="00E20678">
        <w:rPr>
          <w:rFonts w:ascii="Palatino Linotype" w:hAnsi="Palatino Linotype"/>
          <w:i/>
          <w:color w:val="000000"/>
        </w:rPr>
        <w:lastRenderedPageBreak/>
        <w:t>(incluyendo el acta de sesión de cabildo en la cual fue autorizado). 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5.</w:t>
      </w:r>
      <w:r w:rsidR="00E20678" w:rsidRPr="00E20678">
        <w:rPr>
          <w:rFonts w:ascii="Palatino Linotype" w:hAnsi="Palatino Linotype"/>
          <w:i/>
          <w:color w:val="000000"/>
        </w:rPr>
        <w:tab/>
        <w:t>Sueldo neto anual percibido por el titular de la Contraloría Interna Municipal, mostrando la información correspondiente a los años 2016, 2017, 2018 y 2019. 6.</w:t>
      </w:r>
      <w:r w:rsidR="00E20678" w:rsidRPr="00E20678">
        <w:rPr>
          <w:rFonts w:ascii="Palatino Linotype" w:hAnsi="Palatino Linotype"/>
          <w:i/>
          <w:color w:val="000000"/>
        </w:rPr>
        <w:tab/>
        <w:t>Total de egresos del capítulo 1000 “Servicios Personales” de los ejercicios 2016, 2017 y 2018, ejercidos por la Contraloría Interna Municipal y presupuesto programado para 2019 para este mismo rubro por la Contraloría Interna Municipal. 7.</w:t>
      </w:r>
      <w:r w:rsidR="00E20678" w:rsidRPr="00E20678">
        <w:rPr>
          <w:rFonts w:ascii="Palatino Linotype" w:hAnsi="Palatino Linotype"/>
          <w:i/>
          <w:color w:val="000000"/>
        </w:rPr>
        <w:tab/>
        <w:t>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r w:rsidR="005D58CA">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rsidR="00E15E85" w:rsidRDefault="00E15E85" w:rsidP="00E15E85">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rsidR="00E15E85" w:rsidRDefault="00E15E85" w:rsidP="00E15E85">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307041" w:rsidRDefault="00E15E85" w:rsidP="002B7CD8">
      <w:pPr>
        <w:spacing w:before="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003341B0">
        <w:rPr>
          <w:rFonts w:ascii="Palatino Linotype" w:hAnsi="Palatino Linotype" w:cs="Arial"/>
          <w:sz w:val="24"/>
        </w:rPr>
        <w:t xml:space="preserve">, se aprecia que </w:t>
      </w:r>
      <w:r w:rsidRPr="00A77BF1">
        <w:rPr>
          <w:rFonts w:ascii="Palatino Linotype" w:hAnsi="Palatino Linotype" w:cs="Arial"/>
          <w:b/>
          <w:sz w:val="24"/>
        </w:rPr>
        <w:t>El Sujeto Obligado</w:t>
      </w:r>
      <w:r w:rsidR="00AC1D50">
        <w:rPr>
          <w:rFonts w:ascii="Palatino Linotype" w:hAnsi="Palatino Linotype" w:cs="Arial"/>
          <w:sz w:val="24"/>
        </w:rPr>
        <w:t xml:space="preserve"> </w:t>
      </w:r>
      <w:r w:rsidR="00BA65E0">
        <w:rPr>
          <w:rFonts w:ascii="Palatino Linotype" w:hAnsi="Palatino Linotype" w:cs="Arial"/>
          <w:sz w:val="24"/>
        </w:rPr>
        <w:t>fue omiso en dar respuesta a la solicitud de información dentro del plazo establecido en la Ley de la materia.</w:t>
      </w:r>
    </w:p>
    <w:p w:rsidR="00E15E85" w:rsidRPr="00441A94" w:rsidRDefault="00E15E85" w:rsidP="00F77F57">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rsidR="00E15E85" w:rsidRDefault="00E15E85" w:rsidP="00E15E85">
      <w:pPr>
        <w:spacing w:before="240" w:line="360" w:lineRule="auto"/>
        <w:jc w:val="both"/>
        <w:rPr>
          <w:rFonts w:ascii="Palatino Linotype" w:hAnsi="Palatino Linotype" w:cs="Arial"/>
          <w:sz w:val="24"/>
        </w:rPr>
      </w:pPr>
      <w:r w:rsidRPr="00441A94">
        <w:rPr>
          <w:rFonts w:ascii="Palatino Linotype" w:hAnsi="Palatino Linotype" w:cs="Arial"/>
          <w:sz w:val="24"/>
          <w:szCs w:val="24"/>
        </w:rPr>
        <w:t xml:space="preserve">Inconforme con la </w:t>
      </w:r>
      <w:r w:rsidR="009629A5">
        <w:rPr>
          <w:rFonts w:ascii="Palatino Linotype" w:hAnsi="Palatino Linotype" w:cs="Arial"/>
          <w:sz w:val="24"/>
          <w:szCs w:val="24"/>
        </w:rPr>
        <w:t xml:space="preserve">falta de </w:t>
      </w:r>
      <w:r w:rsidRPr="00441A94">
        <w:rPr>
          <w:rFonts w:ascii="Palatino Linotype" w:hAnsi="Palatino Linotype" w:cs="Arial"/>
          <w:sz w:val="24"/>
          <w:szCs w:val="24"/>
        </w:rPr>
        <w:t>respuesta</w:t>
      </w:r>
      <w:r w:rsidR="00217E99">
        <w:rPr>
          <w:rFonts w:ascii="Palatino Linotype" w:hAnsi="Palatino Linotype" w:cs="Arial"/>
          <w:sz w:val="24"/>
          <w:szCs w:val="24"/>
        </w:rPr>
        <w:t xml:space="preserve"> </w:t>
      </w:r>
      <w:r w:rsidR="00E372DA">
        <w:rPr>
          <w:rFonts w:ascii="Palatino Linotype" w:hAnsi="Palatino Linotype" w:cs="Arial"/>
          <w:sz w:val="24"/>
          <w:szCs w:val="24"/>
        </w:rPr>
        <w:t>d</w:t>
      </w:r>
      <w:r w:rsidRPr="00441A94">
        <w:rPr>
          <w:rFonts w:ascii="Palatino Linotype" w:hAnsi="Palatino Linotype" w:cs="Arial"/>
          <w:sz w:val="24"/>
          <w:szCs w:val="24"/>
        </w:rPr>
        <w:t xml:space="preserve">el sujeto obligado, </w:t>
      </w:r>
      <w:r w:rsidR="0037311B">
        <w:rPr>
          <w:rFonts w:ascii="Palatino Linotype" w:hAnsi="Palatino Linotype" w:cs="Arial"/>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fecha </w:t>
      </w:r>
      <w:r w:rsidR="00E20678">
        <w:rPr>
          <w:rFonts w:ascii="Palatino Linotype" w:hAnsi="Palatino Linotype" w:cs="Arial"/>
          <w:sz w:val="24"/>
          <w:szCs w:val="24"/>
        </w:rPr>
        <w:t>veintitrés de agosto</w:t>
      </w:r>
      <w:r w:rsidR="0037311B">
        <w:rPr>
          <w:rFonts w:ascii="Palatino Linotype" w:hAnsi="Palatino Linotype" w:cs="Arial"/>
          <w:sz w:val="24"/>
          <w:szCs w:val="24"/>
        </w:rPr>
        <w:t xml:space="preserve"> de dos mil diecinueve</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BA65E0">
        <w:rPr>
          <w:rFonts w:ascii="Palatino Linotype" w:hAnsi="Palatino Linotype" w:cs="Arial"/>
          <w:b/>
          <w:bCs/>
          <w:sz w:val="24"/>
          <w:szCs w:val="24"/>
          <w:lang w:eastAsia="es-MX"/>
        </w:rPr>
        <w:t>0</w:t>
      </w:r>
      <w:r w:rsidR="00E20678">
        <w:rPr>
          <w:rFonts w:ascii="Palatino Linotype" w:hAnsi="Palatino Linotype" w:cs="Arial"/>
          <w:b/>
          <w:bCs/>
          <w:sz w:val="24"/>
          <w:szCs w:val="24"/>
          <w:lang w:eastAsia="es-MX"/>
        </w:rPr>
        <w:t>6800</w:t>
      </w:r>
      <w:r w:rsidR="0037311B">
        <w:rPr>
          <w:rFonts w:ascii="Palatino Linotype" w:hAnsi="Palatino Linotype" w:cs="Arial"/>
          <w:b/>
          <w:bCs/>
          <w:sz w:val="24"/>
          <w:szCs w:val="24"/>
          <w:lang w:eastAsia="es-MX"/>
        </w:rPr>
        <w:t>/INFOEM/IP/RR/2019</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E15E85" w:rsidRDefault="00E15E85" w:rsidP="00E15E85">
      <w:pPr>
        <w:spacing w:before="240"/>
        <w:jc w:val="both"/>
        <w:rPr>
          <w:rFonts w:ascii="Palatino Linotype" w:hAnsi="Palatino Linotype" w:cs="Arial"/>
          <w:b/>
          <w:sz w:val="24"/>
        </w:rPr>
      </w:pPr>
      <w:r>
        <w:rPr>
          <w:rFonts w:ascii="Palatino Linotype" w:hAnsi="Palatino Linotype" w:cs="Arial"/>
          <w:b/>
          <w:sz w:val="24"/>
        </w:rPr>
        <w:t>Acto Impugnado:</w:t>
      </w:r>
    </w:p>
    <w:p w:rsidR="00E15E85" w:rsidRPr="00A435E2" w:rsidRDefault="00E15E85" w:rsidP="00E15E85">
      <w:pPr>
        <w:ind w:left="851" w:right="850"/>
        <w:jc w:val="both"/>
        <w:rPr>
          <w:rFonts w:ascii="Palatino Linotype" w:hAnsi="Palatino Linotype"/>
          <w:i/>
          <w:color w:val="000000"/>
        </w:rPr>
      </w:pPr>
      <w:r w:rsidRPr="00A435E2">
        <w:rPr>
          <w:rFonts w:ascii="Palatino Linotype" w:hAnsi="Palatino Linotype"/>
          <w:i/>
          <w:color w:val="000000"/>
        </w:rPr>
        <w:t>“</w:t>
      </w:r>
      <w:r w:rsidR="00E20678" w:rsidRPr="00E20678">
        <w:rPr>
          <w:rFonts w:ascii="Palatino Linotype" w:hAnsi="Palatino Linotype"/>
          <w:i/>
          <w:color w:val="000000"/>
        </w:rPr>
        <w:t>Omisión en dar respuesta al la solicitud 00078/TEQUIXQU/IP/2019</w:t>
      </w:r>
      <w:r w:rsidR="005820BF" w:rsidRPr="005820BF">
        <w:rPr>
          <w:rFonts w:ascii="Palatino Linotype" w:hAnsi="Palatino Linotype"/>
          <w:i/>
          <w:color w:val="000000"/>
        </w:rPr>
        <w:t>.</w:t>
      </w:r>
      <w:r w:rsidR="00875499" w:rsidRPr="00875499">
        <w:rPr>
          <w:rFonts w:ascii="Palatino Linotype" w:hAnsi="Palatino Linotype"/>
          <w:i/>
          <w:color w:val="000000"/>
        </w:rPr>
        <w:t>"</w:t>
      </w:r>
      <w:r w:rsidR="003474F2">
        <w:rPr>
          <w:rFonts w:ascii="Palatino Linotype" w:hAnsi="Palatino Linotype"/>
          <w:i/>
          <w:color w:val="000000"/>
        </w:rPr>
        <w:t>[S</w:t>
      </w:r>
      <w:r w:rsidRPr="00A435E2">
        <w:rPr>
          <w:rFonts w:ascii="Palatino Linotype" w:hAnsi="Palatino Linotype"/>
          <w:i/>
          <w:color w:val="000000"/>
        </w:rPr>
        <w:t>ic]</w:t>
      </w:r>
    </w:p>
    <w:p w:rsidR="00E15E85" w:rsidRDefault="00E15E85" w:rsidP="00E15E85">
      <w:pPr>
        <w:spacing w:before="240"/>
        <w:jc w:val="both"/>
        <w:rPr>
          <w:rFonts w:ascii="Palatino Linotype" w:hAnsi="Palatino Linotype" w:cs="Arial"/>
          <w:sz w:val="24"/>
        </w:rPr>
      </w:pPr>
      <w:r>
        <w:rPr>
          <w:rFonts w:ascii="Palatino Linotype" w:hAnsi="Palatino Linotype" w:cs="Arial"/>
          <w:b/>
          <w:sz w:val="24"/>
        </w:rPr>
        <w:lastRenderedPageBreak/>
        <w:t>Razones o Motivos de Inconformidad</w:t>
      </w:r>
      <w:r>
        <w:rPr>
          <w:rFonts w:ascii="Palatino Linotype" w:hAnsi="Palatino Linotype" w:cs="Arial"/>
          <w:sz w:val="24"/>
        </w:rPr>
        <w:t xml:space="preserve">: </w:t>
      </w:r>
    </w:p>
    <w:p w:rsidR="002606F0" w:rsidRPr="00FE43D2" w:rsidRDefault="00E15E85" w:rsidP="00FE43D2">
      <w:pPr>
        <w:ind w:left="851" w:right="850"/>
        <w:jc w:val="both"/>
        <w:rPr>
          <w:rFonts w:ascii="Palatino Linotype" w:hAnsi="Palatino Linotype" w:cs="Arial"/>
          <w:i/>
        </w:rPr>
      </w:pPr>
      <w:r w:rsidRPr="004469D5">
        <w:rPr>
          <w:rFonts w:ascii="Palatino Linotype" w:hAnsi="Palatino Linotype" w:cs="Arial"/>
          <w:i/>
        </w:rPr>
        <w:t>“</w:t>
      </w:r>
      <w:r w:rsidR="00E20678" w:rsidRPr="00E20678">
        <w:rPr>
          <w:rFonts w:ascii="Palatino Linotype" w:hAnsi="Palatino Linotype" w:cs="Arial"/>
          <w:i/>
        </w:rPr>
        <w:t>El sujeto obligado no dio respuesta a la solicitud 00078/TEQUIXQU/IP/2019</w:t>
      </w:r>
      <w:r w:rsidR="005D58CA" w:rsidRPr="005D58CA">
        <w:rPr>
          <w:rFonts w:ascii="Palatino Linotype" w:hAnsi="Palatino Linotype" w:cs="Arial"/>
          <w:i/>
        </w:rPr>
        <w:t>.</w:t>
      </w:r>
      <w:r w:rsidRPr="004469D5">
        <w:rPr>
          <w:rFonts w:ascii="Palatino Linotype" w:hAnsi="Palatino Linotype" w:cs="Arial"/>
          <w:i/>
        </w:rPr>
        <w:t>”</w:t>
      </w:r>
      <w:r w:rsidR="00527856" w:rsidRPr="004469D5">
        <w:rPr>
          <w:rFonts w:ascii="Palatino Linotype" w:hAnsi="Palatino Linotype" w:cs="Arial"/>
          <w:i/>
        </w:rPr>
        <w:t>[</w:t>
      </w:r>
      <w:r w:rsidR="003474F2">
        <w:rPr>
          <w:rFonts w:ascii="Palatino Linotype" w:hAnsi="Palatino Linotype" w:cs="Arial"/>
          <w:i/>
        </w:rPr>
        <w:t>S</w:t>
      </w:r>
      <w:r w:rsidRPr="004469D5">
        <w:rPr>
          <w:rFonts w:ascii="Palatino Linotype" w:hAnsi="Palatino Linotype" w:cs="Arial"/>
          <w:i/>
        </w:rPr>
        <w:t>ic]</w:t>
      </w: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074A99" w:rsidRDefault="00E15E85"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w:t>
      </w:r>
      <w:r w:rsidR="002902D7">
        <w:rPr>
          <w:rFonts w:ascii="Palatino Linotype" w:hAnsi="Palatino Linotype" w:cs="Arial"/>
          <w:sz w:val="24"/>
          <w:szCs w:val="24"/>
        </w:rPr>
        <w:t xml:space="preserve">yó acuerdo de admisión en fecha </w:t>
      </w:r>
      <w:r w:rsidR="004C28F1">
        <w:rPr>
          <w:rFonts w:ascii="Palatino Linotype" w:hAnsi="Palatino Linotype" w:cs="Arial"/>
          <w:sz w:val="24"/>
          <w:szCs w:val="24"/>
        </w:rPr>
        <w:t>veintinueve de agosto</w:t>
      </w:r>
      <w:r w:rsidR="00EB0246">
        <w:rPr>
          <w:rFonts w:ascii="Palatino Linotype" w:hAnsi="Palatino Linotype" w:cs="Arial"/>
          <w:sz w:val="24"/>
          <w:szCs w:val="24"/>
        </w:rPr>
        <w:t xml:space="preserve"> de dos mil diecinueve</w:t>
      </w:r>
      <w:r>
        <w:rPr>
          <w:rFonts w:ascii="Palatino Linotype" w:hAnsi="Palatino Linotype" w:cs="Arial"/>
          <w:sz w:val="24"/>
          <w:szCs w:val="24"/>
        </w:rPr>
        <w:t>, determinándose en él, un plazo de siete días para que las partes manifestaran lo que a su derecho corresponda en términos del numeral ya citado.</w:t>
      </w: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E15E85" w:rsidRDefault="00E15E85" w:rsidP="00E15E85">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w:t>
      </w:r>
      <w:r w:rsidR="00130D58">
        <w:rPr>
          <w:rFonts w:ascii="Palatino Linotype" w:hAnsi="Palatino Linotype" w:cs="Arial"/>
          <w:sz w:val="24"/>
          <w:szCs w:val="24"/>
        </w:rPr>
        <w:t xml:space="preserve">se observa que el Sujeto Obligado </w:t>
      </w:r>
      <w:r w:rsidR="009A6D1C">
        <w:rPr>
          <w:rFonts w:ascii="Palatino Linotype" w:hAnsi="Palatino Linotype" w:cs="Arial"/>
          <w:sz w:val="24"/>
          <w:szCs w:val="24"/>
        </w:rPr>
        <w:t>fue omiso en presentar su informe justificado, a</w:t>
      </w:r>
      <w:r w:rsidR="002606F0">
        <w:rPr>
          <w:rFonts w:ascii="Palatino Linotype" w:hAnsi="Palatino Linotype" w:cs="Arial"/>
          <w:sz w:val="24"/>
          <w:szCs w:val="24"/>
        </w:rPr>
        <w:t>simismo</w:t>
      </w:r>
      <w:r w:rsidR="00673CFD">
        <w:rPr>
          <w:rFonts w:ascii="Palatino Linotype" w:hAnsi="Palatino Linotype" w:cs="Arial"/>
          <w:sz w:val="24"/>
          <w:szCs w:val="24"/>
        </w:rPr>
        <w:t>,</w:t>
      </w:r>
      <w:r w:rsidR="00527856">
        <w:rPr>
          <w:rFonts w:ascii="Palatino Linotype" w:hAnsi="Palatino Linotype" w:cs="Arial"/>
          <w:sz w:val="24"/>
          <w:szCs w:val="24"/>
        </w:rPr>
        <w:t xml:space="preserve"> </w:t>
      </w:r>
      <w:r w:rsidR="009A6D1C">
        <w:rPr>
          <w:rFonts w:ascii="Palatino Linotype" w:hAnsi="Palatino Linotype" w:cs="Arial"/>
          <w:sz w:val="24"/>
          <w:szCs w:val="24"/>
        </w:rPr>
        <w:t xml:space="preserve">el recurrente </w:t>
      </w:r>
      <w:r w:rsidR="00113310">
        <w:rPr>
          <w:rFonts w:ascii="Palatino Linotype" w:hAnsi="Palatino Linotype" w:cs="Arial"/>
          <w:sz w:val="24"/>
          <w:szCs w:val="24"/>
        </w:rPr>
        <w:t>no realizo manifestacion alguna</w:t>
      </w:r>
      <w:r w:rsidR="009A6D1C">
        <w:rPr>
          <w:rFonts w:ascii="Palatino Linotype" w:hAnsi="Palatino Linotype" w:cs="Arial"/>
          <w:sz w:val="24"/>
          <w:szCs w:val="24"/>
        </w:rPr>
        <w:t>,</w:t>
      </w:r>
      <w:r w:rsidR="00113310">
        <w:rPr>
          <w:rFonts w:ascii="Palatino Linotype" w:hAnsi="Palatino Linotype" w:cs="Arial"/>
          <w:sz w:val="24"/>
          <w:szCs w:val="24"/>
        </w:rPr>
        <w:t>por lo que</w:t>
      </w:r>
      <w:r w:rsidR="009A6D1C">
        <w:rPr>
          <w:rFonts w:ascii="Palatino Linotype" w:hAnsi="Palatino Linotype" w:cs="Arial"/>
          <w:sz w:val="24"/>
          <w:szCs w:val="24"/>
        </w:rPr>
        <w:t xml:space="preserve"> </w:t>
      </w:r>
      <w:r w:rsidR="009838CD">
        <w:rPr>
          <w:rFonts w:ascii="Palatino Linotype" w:hAnsi="Palatino Linotype" w:cs="Arial"/>
          <w:sz w:val="24"/>
          <w:szCs w:val="24"/>
        </w:rPr>
        <w:t>habiendo tra</w:t>
      </w:r>
      <w:r w:rsidR="0057576D">
        <w:rPr>
          <w:rFonts w:ascii="Palatino Linotype" w:hAnsi="Palatino Linotype" w:cs="Arial"/>
          <w:sz w:val="24"/>
          <w:szCs w:val="24"/>
        </w:rPr>
        <w:t>n</w:t>
      </w:r>
      <w:r w:rsidR="009838CD">
        <w:rPr>
          <w:rFonts w:ascii="Palatino Linotype" w:hAnsi="Palatino Linotype" w:cs="Arial"/>
          <w:sz w:val="24"/>
          <w:szCs w:val="24"/>
        </w:rPr>
        <w:t>scurrido</w:t>
      </w:r>
      <w:r w:rsidR="00755099">
        <w:rPr>
          <w:rFonts w:ascii="Palatino Linotype" w:hAnsi="Palatino Linotype" w:cs="Arial"/>
          <w:sz w:val="24"/>
          <w:szCs w:val="24"/>
        </w:rPr>
        <w:t xml:space="preserve"> el plazo establecido</w:t>
      </w:r>
      <w:r w:rsidR="00113310">
        <w:rPr>
          <w:rFonts w:ascii="Palatino Linotype" w:hAnsi="Palatino Linotype" w:cs="Arial"/>
          <w:sz w:val="24"/>
          <w:szCs w:val="24"/>
        </w:rPr>
        <w:t>,</w:t>
      </w:r>
      <w:r w:rsidR="00755099">
        <w:rPr>
          <w:rFonts w:ascii="Palatino Linotype" w:hAnsi="Palatino Linotype" w:cs="Arial"/>
          <w:sz w:val="24"/>
          <w:szCs w:val="24"/>
        </w:rPr>
        <w:t xml:space="preserve"> en fecha </w:t>
      </w:r>
      <w:r w:rsidR="004C28F1">
        <w:rPr>
          <w:rFonts w:ascii="Palatino Linotype" w:hAnsi="Palatino Linotype" w:cs="Arial"/>
          <w:sz w:val="24"/>
          <w:szCs w:val="24"/>
        </w:rPr>
        <w:t>diez de septiembre</w:t>
      </w:r>
      <w:r w:rsidR="00EB0246">
        <w:rPr>
          <w:rFonts w:ascii="Palatino Linotype" w:hAnsi="Palatino Linotype" w:cs="Arial"/>
          <w:sz w:val="24"/>
          <w:szCs w:val="24"/>
        </w:rPr>
        <w:t xml:space="preserve"> de dos mil diecinueve </w:t>
      </w:r>
      <w:r w:rsidR="00755099">
        <w:rPr>
          <w:rFonts w:ascii="Palatino Linotype" w:hAnsi="Palatino Linotype" w:cs="Arial"/>
          <w:sz w:val="24"/>
          <w:szCs w:val="24"/>
        </w:rPr>
        <w:t>se decretó el cierre de instrucción</w:t>
      </w:r>
      <w:r w:rsidRPr="00441A94">
        <w:rPr>
          <w:rFonts w:ascii="Palatino Linotype" w:hAnsi="Palatino Linotype" w:cs="Arial"/>
          <w:sz w:val="24"/>
          <w:szCs w:val="24"/>
        </w:rPr>
        <w:t xml:space="preserve"> en</w:t>
      </w:r>
      <w:r w:rsidRPr="003E076B">
        <w:rPr>
          <w:rFonts w:ascii="Palatino Linotype" w:hAnsi="Palatino Linotype" w:cs="Arial"/>
          <w:sz w:val="24"/>
          <w:szCs w:val="24"/>
        </w:rPr>
        <w:t xml:space="preserve"> términos del artículo 185 </w:t>
      </w:r>
      <w:r>
        <w:rPr>
          <w:rFonts w:ascii="Palatino Linotype" w:hAnsi="Palatino Linotype" w:cs="Arial"/>
          <w:sz w:val="24"/>
          <w:szCs w:val="24"/>
        </w:rPr>
        <w:t>f</w:t>
      </w:r>
      <w:r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r w:rsidR="004C28F1">
        <w:rPr>
          <w:rFonts w:ascii="Palatino Linotype" w:hAnsi="Palatino Linotype" w:cs="Arial"/>
          <w:sz w:val="24"/>
          <w:szCs w:val="24"/>
        </w:rPr>
        <w:t xml:space="preserve"> </w:t>
      </w:r>
    </w:p>
    <w:p w:rsidR="00FE43D2" w:rsidRDefault="00F84AE2" w:rsidP="00F84AE2">
      <w:pPr>
        <w:spacing w:before="240" w:after="240" w:line="360" w:lineRule="auto"/>
        <w:jc w:val="both"/>
        <w:rPr>
          <w:rFonts w:ascii="Palatino Linotype" w:hAnsi="Palatino Linotype" w:cs="Arial"/>
          <w:sz w:val="24"/>
          <w:szCs w:val="24"/>
        </w:rPr>
      </w:pPr>
      <w:r w:rsidRPr="00992035">
        <w:rPr>
          <w:rFonts w:ascii="Palatino Linotype" w:hAnsi="Palatino Linotype" w:cs="Arial"/>
          <w:sz w:val="24"/>
          <w:szCs w:val="24"/>
        </w:rPr>
        <w:t xml:space="preserve">Así también, en fecha </w:t>
      </w:r>
      <w:r w:rsidR="004C28F1">
        <w:rPr>
          <w:rFonts w:ascii="Palatino Linotype" w:hAnsi="Palatino Linotype" w:cs="Arial"/>
          <w:sz w:val="24"/>
          <w:szCs w:val="24"/>
        </w:rPr>
        <w:t>once de octubre</w:t>
      </w:r>
      <w:r w:rsidRPr="00992035">
        <w:rPr>
          <w:rFonts w:ascii="Palatino Linotype" w:hAnsi="Palatino Linotype" w:cs="Arial"/>
          <w:sz w:val="24"/>
          <w:szCs w:val="24"/>
        </w:rPr>
        <w:t xml:space="preserve"> de dos mil diecinueve este órgano garante con fundamento en el artículo 181 párrafo tercero de la Ley de Transparencia de la entidad, declaro la ampliación de término para resolver el recurso de revisión por un plazo de quince días hábiles.</w:t>
      </w:r>
    </w:p>
    <w:p w:rsidR="00E15E85" w:rsidRDefault="00E15E85" w:rsidP="007654BC">
      <w:pPr>
        <w:spacing w:before="240" w:line="360" w:lineRule="auto"/>
        <w:jc w:val="center"/>
        <w:rPr>
          <w:rFonts w:ascii="Palatino Linotype" w:hAnsi="Palatino Linotype" w:cs="Arial"/>
          <w:b/>
          <w:sz w:val="24"/>
        </w:rPr>
      </w:pPr>
      <w:r w:rsidRPr="00A60134">
        <w:rPr>
          <w:rFonts w:ascii="Palatino Linotype" w:hAnsi="Palatino Linotype" w:cs="Arial"/>
          <w:b/>
          <w:sz w:val="24"/>
        </w:rPr>
        <w:lastRenderedPageBreak/>
        <w:t>C O N S I D E R A N D O</w:t>
      </w:r>
    </w:p>
    <w:p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E15E85"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B258A2">
        <w:rPr>
          <w:rFonts w:ascii="Palatino Linotype" w:hAnsi="Palatino Linotype" w:cs="Arial"/>
          <w:b/>
          <w:sz w:val="24"/>
        </w:rPr>
        <w:t>el</w:t>
      </w:r>
      <w:r>
        <w:rPr>
          <w:rFonts w:ascii="Palatino Linotype" w:hAnsi="Palatino Linotype" w:cs="Arial"/>
          <w:b/>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sidR="00AA2CB1">
        <w:rPr>
          <w:rFonts w:ascii="Palatino Linotype" w:hAnsi="Palatino Linotype" w:cs="Arial"/>
          <w:sz w:val="24"/>
        </w:rPr>
        <w:t xml:space="preserve">1, párrafos segundo y tercero, </w:t>
      </w:r>
      <w:r w:rsidRPr="00025A37">
        <w:rPr>
          <w:rFonts w:ascii="Palatino Linotype" w:hAnsi="Palatino Linotype" w:cs="Arial"/>
          <w:sz w:val="24"/>
        </w:rPr>
        <w:t xml:space="preserve">6, apartado A, </w:t>
      </w:r>
      <w:r w:rsidR="00AA2CB1" w:rsidRPr="00025A37">
        <w:rPr>
          <w:rFonts w:ascii="Palatino Linotype" w:hAnsi="Palatino Linotype" w:cs="Arial"/>
          <w:sz w:val="24"/>
        </w:rPr>
        <w:t>fraccion</w:t>
      </w:r>
      <w:r w:rsidR="00AA2CB1">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 5, párrafos </w:t>
      </w:r>
      <w:r w:rsidR="00A902C6">
        <w:rPr>
          <w:rFonts w:ascii="Palatino Linotype" w:hAnsi="Palatino Linotype" w:cs="Arial"/>
          <w:sz w:val="24"/>
        </w:rPr>
        <w:t xml:space="preserve">vigésimo segundo, vigésimo tercero y vigésimo cuarto </w:t>
      </w:r>
      <w:r w:rsidR="00A902C6" w:rsidRPr="00025A37">
        <w:rPr>
          <w:rFonts w:ascii="Palatino Linotype" w:hAnsi="Palatino Linotype" w:cs="Arial"/>
          <w:sz w:val="24"/>
        </w:rPr>
        <w:t xml:space="preserve">fracción </w:t>
      </w:r>
      <w:r w:rsidRPr="00025A37">
        <w:rPr>
          <w:rFonts w:ascii="Palatino Linotype" w:hAnsi="Palatino Linotype" w:cs="Arial"/>
          <w:sz w:val="24"/>
        </w:rPr>
        <w:t xml:space="preserve">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EB0246">
        <w:rPr>
          <w:rFonts w:ascii="Palatino Linotype" w:hAnsi="Palatino Linotype" w:cs="Arial"/>
          <w:sz w:val="24"/>
          <w:szCs w:val="24"/>
        </w:rPr>
        <w:t xml:space="preserve">179 fracción </w:t>
      </w:r>
      <w:r w:rsidR="00EB0246">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B04652" w:rsidRDefault="00B04652" w:rsidP="00B04652">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lastRenderedPageBreak/>
        <w:t>TERCERO</w:t>
      </w:r>
      <w:r w:rsidRPr="00D24A52">
        <w:rPr>
          <w:rFonts w:ascii="Palatino Linotype" w:hAnsi="Palatino Linotype" w:cs="Arial"/>
          <w:b/>
        </w:rPr>
        <w:t xml:space="preserve">. </w:t>
      </w:r>
      <w:r w:rsidR="00BC59B2">
        <w:rPr>
          <w:rFonts w:ascii="Palatino Linotype" w:hAnsi="Palatino Linotype" w:cs="Arial"/>
          <w:b/>
          <w:sz w:val="28"/>
          <w:szCs w:val="28"/>
        </w:rPr>
        <w:t>De</w:t>
      </w:r>
      <w:r>
        <w:rPr>
          <w:rFonts w:ascii="Palatino Linotype" w:hAnsi="Palatino Linotype" w:cs="Arial"/>
          <w:b/>
          <w:sz w:val="28"/>
          <w:szCs w:val="28"/>
        </w:rPr>
        <w:t xml:space="preserve"> las </w:t>
      </w:r>
      <w:r w:rsidR="006F001B">
        <w:rPr>
          <w:rFonts w:ascii="Palatino Linotype" w:hAnsi="Palatino Linotype" w:cs="Arial"/>
          <w:b/>
          <w:sz w:val="28"/>
          <w:szCs w:val="28"/>
        </w:rPr>
        <w:t>causales de improcedencia.</w:t>
      </w:r>
    </w:p>
    <w:p w:rsidR="00B04652" w:rsidRDefault="00B04652" w:rsidP="00B0465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B04652" w:rsidRDefault="00B04652" w:rsidP="00B04652">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B04652" w:rsidRDefault="00B04652" w:rsidP="00B0465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B0008F" w:rsidRDefault="00B0008F" w:rsidP="00B0008F">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B0008F" w:rsidRPr="008C3CD8" w:rsidRDefault="00B0008F" w:rsidP="00B0008F">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B0008F" w:rsidRDefault="00B0008F" w:rsidP="00B0008F">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rsidR="00C60C4D" w:rsidRPr="00C60C4D" w:rsidRDefault="00C60C4D" w:rsidP="00C60C4D">
      <w:pPr>
        <w:pStyle w:val="Prrafodelista"/>
        <w:numPr>
          <w:ilvl w:val="0"/>
          <w:numId w:val="25"/>
        </w:numPr>
        <w:spacing w:line="360" w:lineRule="auto"/>
        <w:jc w:val="both"/>
        <w:rPr>
          <w:rFonts w:ascii="Palatino Linotype" w:hAnsi="Palatino Linotype"/>
          <w:b/>
          <w:sz w:val="26"/>
          <w:szCs w:val="26"/>
        </w:rPr>
      </w:pPr>
      <w:r w:rsidRPr="00C60C4D">
        <w:rPr>
          <w:rFonts w:ascii="Palatino Linotype" w:hAnsi="Palatino Linotype"/>
          <w:b/>
          <w:sz w:val="26"/>
          <w:szCs w:val="26"/>
        </w:rPr>
        <w:t>Cuestiones de previo y especial pronunciamiento.</w:t>
      </w:r>
    </w:p>
    <w:p w:rsidR="00C60C4D" w:rsidRDefault="00C60C4D" w:rsidP="00C60C4D">
      <w:pPr>
        <w:spacing w:before="24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lastRenderedPageBreak/>
        <w:t xml:space="preserve">El Recurso de Revisión en estudio contiene los elementos normativos de validez exigidos en la Ley de Transparencia y </w:t>
      </w:r>
      <w:r>
        <w:rPr>
          <w:rFonts w:ascii="Palatino Linotype" w:eastAsia="Times New Roman" w:hAnsi="Palatino Linotype" w:cs="Times New Roman"/>
          <w:sz w:val="24"/>
          <w:szCs w:val="24"/>
          <w:lang w:val="es-ES_tradnl" w:eastAsia="es-ES"/>
        </w:rPr>
        <w:t>Acceso a la Información Pública del Estado de México y Municipios</w:t>
      </w:r>
      <w:r>
        <w:rPr>
          <w:rFonts w:ascii="Palatino Linotype" w:eastAsia="Times New Roman" w:hAnsi="Palatino Linotype" w:cs="Times New Roman"/>
          <w:sz w:val="24"/>
          <w:szCs w:val="24"/>
          <w:lang w:eastAsia="es-ES"/>
        </w:rPr>
        <w:t>, establecidos en el artículo 180 que enuncia:</w:t>
      </w:r>
    </w:p>
    <w:p w:rsidR="00C60C4D" w:rsidRDefault="00C60C4D" w:rsidP="00C60C4D">
      <w:pPr>
        <w:spacing w:before="240" w:line="36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b/>
          <w:i/>
          <w:lang w:eastAsia="es-ES"/>
        </w:rPr>
        <w:t xml:space="preserve">“Artículo 180. </w:t>
      </w:r>
      <w:r>
        <w:rPr>
          <w:rFonts w:ascii="Palatino Linotype" w:eastAsia="Times New Roman" w:hAnsi="Palatino Linotype" w:cs="Arial"/>
          <w:i/>
          <w:lang w:eastAsia="es-ES"/>
        </w:rPr>
        <w:t>El recurso de revisión contendrá:</w:t>
      </w:r>
    </w:p>
    <w:p w:rsidR="00C60C4D" w:rsidRDefault="00C60C4D" w:rsidP="00C60C4D">
      <w:pPr>
        <w:spacing w:before="240" w:line="36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I. El sujeto obligado ante la cual se presentó la solicitud;</w:t>
      </w:r>
    </w:p>
    <w:p w:rsidR="00C60C4D" w:rsidRDefault="00C60C4D" w:rsidP="00C60C4D">
      <w:pPr>
        <w:spacing w:before="240" w:line="36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b/>
          <w:i/>
          <w:lang w:eastAsia="es-ES"/>
        </w:rPr>
        <w:t>II. El nombre del solicitante que recurre</w:t>
      </w:r>
      <w:r>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rsidR="00C60C4D" w:rsidRDefault="00C60C4D" w:rsidP="00C60C4D">
      <w:pPr>
        <w:spacing w:before="240" w:line="36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III. El número de folio de respuesta de la solicitud de acceso;</w:t>
      </w:r>
    </w:p>
    <w:p w:rsidR="00C60C4D" w:rsidRDefault="00C60C4D" w:rsidP="00C60C4D">
      <w:pPr>
        <w:spacing w:before="240" w:line="36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rsidR="00C60C4D" w:rsidRDefault="00C60C4D" w:rsidP="00C60C4D">
      <w:pPr>
        <w:spacing w:before="240" w:line="36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V. El acto que se recurre;</w:t>
      </w:r>
    </w:p>
    <w:p w:rsidR="00C60C4D" w:rsidRDefault="00C60C4D" w:rsidP="00C60C4D">
      <w:pPr>
        <w:spacing w:before="240" w:line="36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VI. Las razones o motivos de inconformidad;</w:t>
      </w:r>
    </w:p>
    <w:p w:rsidR="00C60C4D" w:rsidRDefault="00C60C4D" w:rsidP="00C60C4D">
      <w:pPr>
        <w:spacing w:before="240" w:line="36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VII. La copia de la respuesta que se impugna y, en su caso, de la notificación correspondiente, en el caso de respuesta de la solicitud; y</w:t>
      </w:r>
    </w:p>
    <w:p w:rsidR="00C60C4D" w:rsidRDefault="00C60C4D" w:rsidP="00C60C4D">
      <w:pPr>
        <w:spacing w:before="240" w:line="36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VIII. Firma del recurrente, en su caso, cuando se presente por escrito, requisito sin el cual se dará trámite al recurso.</w:t>
      </w:r>
    </w:p>
    <w:p w:rsidR="00C60C4D" w:rsidRDefault="00C60C4D" w:rsidP="00C60C4D">
      <w:pPr>
        <w:spacing w:before="240" w:line="36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Adicionalmente, se podrán anexar las pruebas y demás elementos que considere procedentes someter a juicio del Instituto.</w:t>
      </w:r>
    </w:p>
    <w:p w:rsidR="00C60C4D" w:rsidRDefault="00C60C4D" w:rsidP="00C60C4D">
      <w:pPr>
        <w:spacing w:before="240" w:line="36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En ningún caso será necesario que el particular ratifique el recurso de revisión interpuesto.</w:t>
      </w:r>
    </w:p>
    <w:p w:rsidR="00C60C4D" w:rsidRDefault="00C60C4D" w:rsidP="00C60C4D">
      <w:pPr>
        <w:spacing w:before="240" w:line="360" w:lineRule="auto"/>
        <w:ind w:left="567" w:right="567"/>
        <w:jc w:val="both"/>
        <w:rPr>
          <w:rFonts w:ascii="Palatino Linotype" w:eastAsia="Times New Roman" w:hAnsi="Palatino Linotype" w:cs="Arial"/>
          <w:i/>
          <w:sz w:val="24"/>
          <w:szCs w:val="24"/>
          <w:lang w:eastAsia="es-ES"/>
        </w:rPr>
      </w:pPr>
      <w:r>
        <w:rPr>
          <w:rFonts w:ascii="Palatino Linotype" w:eastAsia="Times New Roman" w:hAnsi="Palatino Linotype" w:cs="Arial"/>
          <w:b/>
          <w:i/>
          <w:lang w:eastAsia="es-ES"/>
        </w:rPr>
        <w:lastRenderedPageBreak/>
        <w:t>En caso de que el recurso se interponga de manera electrónica no será indispensable que contengan los requisitos establecidos en las fracciones II</w:t>
      </w:r>
      <w:r>
        <w:rPr>
          <w:rFonts w:ascii="Palatino Linotype" w:eastAsia="Times New Roman" w:hAnsi="Palatino Linotype" w:cs="Arial"/>
          <w:i/>
          <w:lang w:eastAsia="es-ES"/>
        </w:rPr>
        <w:t>, IV, VII y VIII.”</w:t>
      </w:r>
    </w:p>
    <w:p w:rsidR="00C60C4D" w:rsidRDefault="00C60C4D" w:rsidP="00C60C4D">
      <w:pPr>
        <w:spacing w:before="240" w:line="360" w:lineRule="auto"/>
        <w:jc w:val="both"/>
        <w:rPr>
          <w:rFonts w:ascii="Palatino Linotype" w:eastAsia="Calibri" w:hAnsi="Palatino Linotype" w:cs="Arial"/>
          <w:sz w:val="24"/>
          <w:szCs w:val="24"/>
          <w:lang w:val="es-ES" w:eastAsia="es-ES"/>
        </w:rPr>
      </w:pPr>
      <w:r>
        <w:rPr>
          <w:rFonts w:ascii="Palatino Linotype" w:eastAsia="Calibri" w:hAnsi="Palatino Linotype" w:cs="Segoe UI"/>
          <w:sz w:val="24"/>
          <w:szCs w:val="24"/>
          <w:lang w:val="es-ES" w:eastAsia="es-ES"/>
        </w:rPr>
        <w:t>Cabe señalar que el Recurrente no se identificó de manera alguna, dejando en blanco los espacios destinados al nombre y apellidos</w:t>
      </w:r>
      <w:r>
        <w:rPr>
          <w:rFonts w:ascii="Palatino Linotype" w:eastAsia="Times New Roman" w:hAnsi="Palatino Linotype" w:cs="Arial"/>
          <w:b/>
          <w:sz w:val="24"/>
          <w:szCs w:val="24"/>
          <w:lang w:val="es-ES" w:eastAsia="es-ES"/>
        </w:rPr>
        <w:t xml:space="preserve">. </w:t>
      </w:r>
      <w:r>
        <w:rPr>
          <w:rFonts w:ascii="Palatino Linotype" w:eastAsia="Calibri" w:hAnsi="Palatino Linotype" w:cs="Times New Roman"/>
          <w:sz w:val="24"/>
          <w:szCs w:val="24"/>
          <w:lang w:val="es-ES" w:eastAsia="es-ES"/>
        </w:rPr>
        <w:t xml:space="preserve">No obstante lo anterior, proporcionar el nombre incompleto o seudónimo no es motivo para desechar las </w:t>
      </w:r>
      <w:r>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rsidR="00C60C4D" w:rsidRDefault="00C60C4D" w:rsidP="00C60C4D">
      <w:pPr>
        <w:spacing w:before="240" w:line="360" w:lineRule="auto"/>
        <w:ind w:left="567" w:right="567"/>
        <w:jc w:val="both"/>
        <w:rPr>
          <w:rFonts w:ascii="Palatino Linotype" w:eastAsia="Calibri" w:hAnsi="Palatino Linotype" w:cs="Arial"/>
          <w:i/>
          <w:lang w:val="es-ES" w:eastAsia="es-ES"/>
        </w:rPr>
      </w:pPr>
      <w:r>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rsidR="00C60C4D" w:rsidRDefault="00C60C4D" w:rsidP="00C60C4D">
      <w:pPr>
        <w:spacing w:before="240" w:line="360" w:lineRule="auto"/>
        <w:jc w:val="both"/>
        <w:rPr>
          <w:rFonts w:ascii="Palatino Linotype" w:eastAsia="Calibri" w:hAnsi="Palatino Linotype" w:cs="Times New Roman"/>
          <w:sz w:val="24"/>
          <w:szCs w:val="24"/>
          <w:lang w:val="es-ES" w:eastAsia="es-ES"/>
        </w:rPr>
      </w:pPr>
      <w:r>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Pr>
          <w:rFonts w:ascii="Palatino Linotype" w:eastAsia="Calibri" w:hAnsi="Palatino Linotype" w:cs="Arial"/>
          <w:sz w:val="24"/>
          <w:szCs w:val="24"/>
          <w:lang w:val="es-ES" w:eastAsia="es-ES"/>
        </w:rPr>
        <w:t>vigésimo, vigésimo primero</w:t>
      </w:r>
      <w:r>
        <w:rPr>
          <w:rFonts w:ascii="Palatino Linotype" w:eastAsia="Times New Roman" w:hAnsi="Palatino Linotype" w:cs="Arial"/>
          <w:sz w:val="24"/>
          <w:szCs w:val="24"/>
          <w:lang w:eastAsia="es-ES"/>
        </w:rPr>
        <w:t xml:space="preserve"> y vigésimo segundo</w:t>
      </w:r>
      <w:r>
        <w:rPr>
          <w:rFonts w:ascii="Palatino Linotype" w:eastAsia="Calibri" w:hAnsi="Palatino Linotype" w:cs="Times New Roman"/>
          <w:sz w:val="24"/>
          <w:szCs w:val="24"/>
          <w:lang w:val="es-ES" w:eastAsia="es-ES"/>
        </w:rPr>
        <w:t>, de la Constitución Política del Estado Libre y Soberano de México, se establece lo siguiente:</w:t>
      </w:r>
    </w:p>
    <w:p w:rsidR="00C60C4D" w:rsidRDefault="00C60C4D" w:rsidP="00C60C4D">
      <w:pPr>
        <w:spacing w:before="240" w:line="360" w:lineRule="auto"/>
        <w:jc w:val="both"/>
        <w:rPr>
          <w:rFonts w:ascii="Palatino Linotype" w:eastAsia="Calibri" w:hAnsi="Palatino Linotype" w:cs="Times New Roman"/>
          <w:sz w:val="24"/>
          <w:szCs w:val="24"/>
          <w:lang w:val="es-ES" w:eastAsia="es-ES"/>
        </w:rPr>
      </w:pPr>
    </w:p>
    <w:p w:rsidR="00C60C4D" w:rsidRDefault="00C60C4D" w:rsidP="00C60C4D">
      <w:pPr>
        <w:spacing w:before="240" w:line="360" w:lineRule="auto"/>
        <w:ind w:left="567" w:right="567"/>
        <w:jc w:val="center"/>
        <w:rPr>
          <w:rFonts w:ascii="Palatino Linotype" w:eastAsia="Times New Roman" w:hAnsi="Palatino Linotype" w:cs="Times New Roman"/>
          <w:b/>
          <w:i/>
          <w:u w:val="single"/>
          <w:lang w:val="es-ES" w:eastAsia="es-ES"/>
        </w:rPr>
      </w:pPr>
      <w:r>
        <w:rPr>
          <w:rFonts w:ascii="Palatino Linotype" w:eastAsia="Times New Roman" w:hAnsi="Palatino Linotype" w:cs="Times New Roman"/>
          <w:b/>
          <w:i/>
          <w:u w:val="single"/>
          <w:lang w:val="es-ES" w:eastAsia="es-ES"/>
        </w:rPr>
        <w:t>Constitución Política de los Estados Unidos Mexicanos</w:t>
      </w:r>
    </w:p>
    <w:p w:rsidR="00C60C4D" w:rsidRDefault="00C60C4D" w:rsidP="00C60C4D">
      <w:pPr>
        <w:spacing w:before="240" w:line="36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r>
        <w:rPr>
          <w:rFonts w:ascii="Palatino Linotype" w:eastAsia="Times New Roman" w:hAnsi="Palatino Linotype" w:cs="Times New Roman"/>
          <w:b/>
          <w:i/>
          <w:lang w:val="es-ES" w:eastAsia="es-ES"/>
        </w:rPr>
        <w:t>Artículo 6</w:t>
      </w:r>
      <w:r>
        <w:rPr>
          <w:rFonts w:ascii="Palatino Linotype" w:eastAsia="Times New Roman" w:hAnsi="Palatino Linotype" w:cs="Times New Roman"/>
          <w:i/>
          <w:lang w:val="es-ES" w:eastAsia="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w:t>
      </w:r>
      <w:r>
        <w:rPr>
          <w:rFonts w:ascii="Palatino Linotype" w:eastAsia="Times New Roman" w:hAnsi="Palatino Linotype" w:cs="Times New Roman"/>
          <w:i/>
          <w:lang w:val="es-ES" w:eastAsia="es-ES"/>
        </w:rPr>
        <w:lastRenderedPageBreak/>
        <w:t>ejercido en los términos dispuestos por la ley. El derecho a la información será garantizado por el Estado.</w:t>
      </w:r>
    </w:p>
    <w:p w:rsidR="00C60C4D" w:rsidRDefault="00C60C4D" w:rsidP="00C60C4D">
      <w:pPr>
        <w:spacing w:before="240" w:line="36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p>
    <w:p w:rsidR="00C60C4D" w:rsidRDefault="00C60C4D" w:rsidP="00C60C4D">
      <w:pPr>
        <w:spacing w:before="240" w:line="36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 xml:space="preserve">Para efectos de lo dispuesto en el presente artículo se observará lo siguiente: </w:t>
      </w:r>
    </w:p>
    <w:p w:rsidR="00C60C4D" w:rsidRDefault="00C60C4D" w:rsidP="00C60C4D">
      <w:pPr>
        <w:spacing w:before="240" w:line="36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rsidR="00C60C4D" w:rsidRDefault="00C60C4D" w:rsidP="00C60C4D">
      <w:pPr>
        <w:spacing w:before="240" w:line="36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p>
    <w:p w:rsidR="00C60C4D" w:rsidRDefault="00C60C4D" w:rsidP="00C60C4D">
      <w:pPr>
        <w:spacing w:before="240" w:line="36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rsidR="00C60C4D" w:rsidRDefault="00C60C4D" w:rsidP="00C60C4D">
      <w:pPr>
        <w:spacing w:before="240" w:line="36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rsidR="00C60C4D" w:rsidRDefault="00C60C4D" w:rsidP="00C60C4D">
      <w:pPr>
        <w:spacing w:before="240" w:line="360" w:lineRule="auto"/>
        <w:ind w:left="567" w:right="567"/>
        <w:jc w:val="center"/>
        <w:rPr>
          <w:rFonts w:ascii="Palatino Linotype" w:eastAsia="Times New Roman" w:hAnsi="Palatino Linotype" w:cs="Times New Roman"/>
          <w:b/>
          <w:i/>
          <w:u w:val="single"/>
          <w:lang w:val="es-ES" w:eastAsia="es-ES"/>
        </w:rPr>
      </w:pPr>
      <w:r>
        <w:rPr>
          <w:rFonts w:ascii="Palatino Linotype" w:eastAsia="Times New Roman" w:hAnsi="Palatino Linotype" w:cs="Times New Roman"/>
          <w:b/>
          <w:i/>
          <w:u w:val="single"/>
          <w:lang w:val="es-ES" w:eastAsia="es-ES"/>
        </w:rPr>
        <w:t>Constitución Política del Estado Libre y Soberano de México</w:t>
      </w:r>
    </w:p>
    <w:p w:rsidR="00C60C4D" w:rsidRDefault="00C60C4D" w:rsidP="00C60C4D">
      <w:pPr>
        <w:spacing w:before="240" w:line="36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r>
        <w:rPr>
          <w:rFonts w:ascii="Palatino Linotype" w:eastAsia="Times New Roman" w:hAnsi="Palatino Linotype" w:cs="Times New Roman"/>
          <w:b/>
          <w:i/>
          <w:lang w:val="es-ES" w:eastAsia="es-ES"/>
        </w:rPr>
        <w:t>Artículo 5</w:t>
      </w:r>
      <w:r>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C60C4D" w:rsidRDefault="00C60C4D" w:rsidP="00C60C4D">
      <w:pPr>
        <w:spacing w:before="240" w:line="36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lastRenderedPageBreak/>
        <w:t>(…)</w:t>
      </w:r>
    </w:p>
    <w:p w:rsidR="00C60C4D" w:rsidRDefault="00C60C4D" w:rsidP="00C60C4D">
      <w:pPr>
        <w:spacing w:before="240" w:line="36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rsidR="00C60C4D" w:rsidRDefault="00C60C4D" w:rsidP="00C60C4D">
      <w:pPr>
        <w:spacing w:before="240" w:line="36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 xml:space="preserve"> (…)</w:t>
      </w:r>
    </w:p>
    <w:p w:rsidR="00C60C4D" w:rsidRDefault="00C60C4D" w:rsidP="00C60C4D">
      <w:pPr>
        <w:spacing w:before="240" w:line="36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rsidR="00C60C4D" w:rsidRDefault="00C60C4D" w:rsidP="00C60C4D">
      <w:pPr>
        <w:spacing w:before="240" w:line="36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C60C4D" w:rsidRDefault="00C60C4D" w:rsidP="00C60C4D">
      <w:pPr>
        <w:spacing w:before="240" w:line="36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p>
    <w:p w:rsidR="00C60C4D" w:rsidRDefault="00C60C4D" w:rsidP="00C60C4D">
      <w:pPr>
        <w:spacing w:before="240" w:line="36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rsidR="00C60C4D" w:rsidRDefault="00C60C4D" w:rsidP="00C60C4D">
      <w:pPr>
        <w:spacing w:before="240" w:line="36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rsidR="00C60C4D" w:rsidRDefault="00C60C4D" w:rsidP="00C60C4D">
      <w:pPr>
        <w:spacing w:before="240" w:line="36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p>
    <w:p w:rsidR="00C60C4D" w:rsidRDefault="00C60C4D" w:rsidP="00C60C4D">
      <w:pPr>
        <w:spacing w:before="240" w:line="36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lastRenderedPageBreak/>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C60C4D" w:rsidRDefault="00C60C4D" w:rsidP="00C60C4D">
      <w:pPr>
        <w:spacing w:before="240"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rsidR="00C60C4D" w:rsidRDefault="00C60C4D" w:rsidP="00C60C4D">
      <w:pPr>
        <w:spacing w:before="240" w:line="360" w:lineRule="auto"/>
        <w:ind w:left="567" w:right="567"/>
        <w:jc w:val="both"/>
        <w:rPr>
          <w:rFonts w:ascii="Palatino Linotype" w:eastAsia="Calibri" w:hAnsi="Palatino Linotype" w:cs="Times New Roman"/>
          <w:i/>
          <w:lang w:val="es-ES" w:eastAsia="es-ES"/>
        </w:rPr>
      </w:pPr>
      <w:r>
        <w:rPr>
          <w:rFonts w:ascii="Palatino Linotype" w:eastAsia="Calibri" w:hAnsi="Palatino Linotype" w:cs="Times New Roman"/>
          <w:i/>
          <w:lang w:val="es-ES" w:eastAsia="es-ES"/>
        </w:rPr>
        <w:t>“</w:t>
      </w:r>
      <w:r>
        <w:rPr>
          <w:rFonts w:ascii="Palatino Linotype" w:eastAsia="Calibri" w:hAnsi="Palatino Linotype" w:cs="Times New Roman"/>
          <w:b/>
          <w:i/>
          <w:lang w:val="es-ES" w:eastAsia="es-ES"/>
        </w:rPr>
        <w:t>Artículo 1o</w:t>
      </w:r>
      <w:r>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C60C4D" w:rsidRDefault="00C60C4D" w:rsidP="00C60C4D">
      <w:pPr>
        <w:spacing w:before="240" w:line="360" w:lineRule="auto"/>
        <w:ind w:left="567" w:right="567"/>
        <w:jc w:val="both"/>
        <w:rPr>
          <w:rFonts w:ascii="Palatino Linotype" w:eastAsia="Calibri" w:hAnsi="Palatino Linotype" w:cs="Times New Roman"/>
          <w:i/>
          <w:lang w:val="es-ES" w:eastAsia="es-ES"/>
        </w:rPr>
      </w:pPr>
      <w:r>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rsidR="00C60C4D" w:rsidRDefault="00C60C4D" w:rsidP="00C60C4D">
      <w:pPr>
        <w:spacing w:before="240" w:line="360" w:lineRule="auto"/>
        <w:ind w:left="567" w:right="567"/>
        <w:jc w:val="both"/>
        <w:rPr>
          <w:rFonts w:ascii="Palatino Linotype" w:eastAsia="Calibri" w:hAnsi="Palatino Linotype" w:cs="Times New Roman"/>
          <w:i/>
          <w:lang w:val="es-ES" w:eastAsia="es-ES"/>
        </w:rPr>
      </w:pPr>
      <w:r>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C60C4D" w:rsidRPr="00C60C4D" w:rsidRDefault="00C60C4D" w:rsidP="00C60C4D">
      <w:pPr>
        <w:spacing w:before="240" w:line="360" w:lineRule="auto"/>
        <w:jc w:val="both"/>
        <w:rPr>
          <w:rFonts w:ascii="Palatino Linotype" w:eastAsia="Times New Roman" w:hAnsi="Palatino Linotype" w:cs="Times New Roman"/>
          <w:sz w:val="24"/>
          <w:szCs w:val="24"/>
          <w:lang w:val="es-ES" w:eastAsia="es-ES"/>
        </w:rPr>
      </w:pPr>
      <w:r w:rsidRPr="00BA7961">
        <w:rPr>
          <w:rFonts w:ascii="Palatino Linotype" w:eastAsia="Times New Roman"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w:t>
      </w:r>
      <w:r w:rsidRPr="00BA7961">
        <w:rPr>
          <w:rFonts w:ascii="Palatino Linotype" w:eastAsia="Times New Roman" w:hAnsi="Palatino Linotype" w:cs="Times New Roman"/>
          <w:sz w:val="24"/>
          <w:szCs w:val="24"/>
          <w:lang w:val="es-ES" w:eastAsia="es-ES"/>
        </w:rPr>
        <w:lastRenderedPageBreak/>
        <w:t>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C60C4D" w:rsidRDefault="00C60C4D" w:rsidP="00C60C4D">
      <w:pPr>
        <w:pStyle w:val="Sinespaciado"/>
        <w:spacing w:line="360" w:lineRule="auto"/>
        <w:jc w:val="both"/>
        <w:rPr>
          <w:rFonts w:ascii="Palatino Linotype" w:hAnsi="Palatino Linotype"/>
          <w:b/>
          <w:sz w:val="26"/>
          <w:szCs w:val="26"/>
        </w:rPr>
      </w:pPr>
      <w:r w:rsidRPr="00BA7961">
        <w:rPr>
          <w:rFonts w:ascii="Palatino Linotype" w:eastAsia="Calibri" w:hAnsi="Palatino Linotype" w:cs="Arial"/>
          <w:lang w:val="es-ES"/>
        </w:rPr>
        <w:t>En conclusión, se cubrieron los requisitos de procedencia y procedibilidad y conforme a las constancias que obran en el expediente.</w:t>
      </w:r>
    </w:p>
    <w:p w:rsidR="00B0008F" w:rsidRDefault="00B0008F" w:rsidP="00B0008F">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Ahora bien, en primer término es menester señalar que el hoy recurrente se inconforma derivado de la falta de respuesta del sujeto obligado a su solicitud de información, por lo que evidentemente nos encontramos frente a una negativa ficta, que es, el silencio de la autoridad; en otras palabras, el sujeto obligado a quien se le formule una solicitud de información cuenta con quince días hábiles para dar contestación, por lo que una vez transcurrido dicho termino sí que se entregue respuesta al particular, la solicitud se entenderá por negada generando por ley el derecho al solicitante de presentar su medio de impugnación. </w:t>
      </w:r>
    </w:p>
    <w:p w:rsidR="00B0008F" w:rsidRDefault="00B0008F" w:rsidP="00B0008F">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De tal manera, que la negativa ficta, es la figura jurídica que consiste en otorgar un efecto negativo al silencio de la autoridad administrativa en relación a las solicitudes que le formulen lo particulares, lo que genera la posibilidad de defensa ante tal omisión y la acción de impugnación contra la incertidumbre jurídica en la que se deja </w:t>
      </w:r>
      <w:r>
        <w:rPr>
          <w:rFonts w:ascii="Palatino Linotype" w:hAnsi="Palatino Linotype"/>
          <w:sz w:val="24"/>
          <w:szCs w:val="24"/>
        </w:rPr>
        <w:lastRenderedPageBreak/>
        <w:t>al gobernado, actualizando el supuesto de procedencia que contempla la Ley de la Materia en su numeral 179 fracción VII.</w:t>
      </w:r>
      <w:r>
        <w:rPr>
          <w:rStyle w:val="Refdenotaalpie"/>
          <w:rFonts w:ascii="Palatino Linotype" w:hAnsi="Palatino Linotype"/>
          <w:sz w:val="24"/>
          <w:szCs w:val="24"/>
        </w:rPr>
        <w:footnoteReference w:id="2"/>
      </w:r>
    </w:p>
    <w:p w:rsidR="00B0008F" w:rsidRPr="00505FED" w:rsidRDefault="00B0008F" w:rsidP="00B0008F">
      <w:pPr>
        <w:spacing w:before="100" w:beforeAutospacing="1" w:after="100" w:afterAutospacing="1" w:line="360" w:lineRule="auto"/>
        <w:jc w:val="both"/>
        <w:rPr>
          <w:rFonts w:ascii="Palatino Linotype" w:hAnsi="Palatino Linotype" w:cs="Arial"/>
          <w:sz w:val="24"/>
        </w:rPr>
      </w:pPr>
      <w:r w:rsidRPr="00505FED">
        <w:rPr>
          <w:rFonts w:ascii="Palatino Linotype" w:hAnsi="Palatino Linotype" w:cs="Arial"/>
          <w:sz w:val="24"/>
        </w:rPr>
        <w:t xml:space="preserve">Sin necesidad de determinar una debida oportunidad respecto del momento de presentación del medio de impugnación, pues al no existir una determinación por parte del </w:t>
      </w:r>
      <w:r w:rsidRPr="00505FED">
        <w:rPr>
          <w:rFonts w:ascii="Palatino Linotype" w:hAnsi="Palatino Linotype" w:cs="Arial"/>
          <w:b/>
          <w:sz w:val="24"/>
        </w:rPr>
        <w:t>Sujeto Obligado</w:t>
      </w:r>
      <w:r w:rsidRPr="00505FED">
        <w:rPr>
          <w:rFonts w:ascii="Palatino Linotype" w:hAnsi="Palatino Linotype" w:cs="Arial"/>
          <w:sz w:val="24"/>
        </w:rPr>
        <w:t xml:space="preserve"> en respuesta a la solicitud de acceso a la información pública del particular, no existe una fecha de notificación del acto reclamado a partir de la cual se pueda computar el plazo dispuesto en el artículo 178 de la Ley de la Materia, para la presentación del recurso de revisión.</w:t>
      </w:r>
    </w:p>
    <w:p w:rsidR="00B0008F" w:rsidRDefault="00B0008F" w:rsidP="00B0008F">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Así, del citado numeral 178 se ha determinado </w:t>
      </w:r>
      <w:r w:rsidR="00A65C79">
        <w:rPr>
          <w:rFonts w:ascii="Palatino Linotype" w:hAnsi="Palatino Linotype"/>
          <w:sz w:val="24"/>
          <w:szCs w:val="24"/>
        </w:rPr>
        <w:t>que,</w:t>
      </w:r>
      <w:r>
        <w:rPr>
          <w:rFonts w:ascii="Palatino Linotype" w:hAnsi="Palatino Linotype"/>
          <w:sz w:val="24"/>
          <w:szCs w:val="24"/>
        </w:rPr>
        <w:t xml:space="preserve"> ante la falta de respuesta por parte de los sujetos obligados a una solicitud de información, dentro de los términos previstos para tal efecto, la presentación del recurso de revisión podrá ser presentado en cualquier momento y que a la letra reza:</w:t>
      </w:r>
    </w:p>
    <w:p w:rsidR="00B0008F" w:rsidRPr="00A147CA" w:rsidRDefault="00B0008F" w:rsidP="00B0008F">
      <w:pPr>
        <w:spacing w:before="100" w:beforeAutospacing="1" w:after="100" w:afterAutospacing="1"/>
        <w:ind w:left="851" w:right="902"/>
        <w:jc w:val="both"/>
        <w:rPr>
          <w:rFonts w:ascii="Palatino Linotype" w:hAnsi="Palatino Linotype" w:cs="Arial"/>
        </w:rPr>
      </w:pPr>
      <w:r w:rsidRPr="00A147CA">
        <w:rPr>
          <w:rFonts w:ascii="Palatino Linotype" w:hAnsi="Palatino Linotype" w:cs="Arial"/>
          <w:i/>
          <w:iCs/>
        </w:rPr>
        <w:t>“</w:t>
      </w:r>
      <w:r w:rsidRPr="00A147CA">
        <w:rPr>
          <w:rFonts w:ascii="Palatino Linotype" w:hAnsi="Palatino Linotype" w:cs="Arial"/>
          <w:b/>
          <w:bCs/>
          <w:i/>
          <w:iCs/>
        </w:rPr>
        <w:t>Artículo 178</w:t>
      </w:r>
      <w:r w:rsidRPr="00A147CA">
        <w:rPr>
          <w:rFonts w:ascii="Palatino Linotype" w:hAnsi="Palatino Linotype" w:cs="Arial"/>
          <w:i/>
          <w:iC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0008F" w:rsidRPr="00A147CA" w:rsidRDefault="00B0008F" w:rsidP="00B0008F">
      <w:pPr>
        <w:spacing w:before="100" w:beforeAutospacing="1" w:after="100" w:afterAutospacing="1"/>
        <w:ind w:left="851" w:right="902"/>
        <w:jc w:val="both"/>
        <w:rPr>
          <w:rFonts w:ascii="Palatino Linotype" w:hAnsi="Palatino Linotype" w:cs="Arial"/>
        </w:rPr>
      </w:pPr>
      <w:r w:rsidRPr="00A147CA">
        <w:rPr>
          <w:rFonts w:ascii="Palatino Linotype" w:hAnsi="Palatino Linotype" w:cs="Arial"/>
          <w:b/>
          <w:bCs/>
          <w:i/>
          <w:iCs/>
        </w:rPr>
        <w:t>A falta de respuesta del sujeto obligado, dentro de los plazos establecidos en esta Ley, a una solicitud de acceso a la información pública, el recurso podrá ser interpuesto en cualquier momento,</w:t>
      </w:r>
      <w:r w:rsidRPr="00A147CA">
        <w:rPr>
          <w:rFonts w:ascii="Palatino Linotype" w:hAnsi="Palatino Linotype" w:cs="Arial"/>
          <w:i/>
          <w:iCs/>
        </w:rPr>
        <w:t> acompañado con el documento que pruebe la fecha en que presentó la solicitud…”</w:t>
      </w:r>
    </w:p>
    <w:p w:rsidR="00B0008F" w:rsidRPr="00B92BC3" w:rsidRDefault="00B0008F" w:rsidP="00B0008F">
      <w:pPr>
        <w:spacing w:before="100" w:beforeAutospacing="1" w:after="100" w:afterAutospacing="1" w:line="360" w:lineRule="auto"/>
        <w:jc w:val="both"/>
        <w:rPr>
          <w:rFonts w:ascii="Palatino Linotype" w:hAnsi="Palatino Linotype" w:cs="Arial"/>
          <w:sz w:val="24"/>
        </w:rPr>
      </w:pPr>
      <w:r w:rsidRPr="00B92BC3">
        <w:rPr>
          <w:rFonts w:ascii="Palatino Linotype" w:hAnsi="Palatino Linotype" w:cs="Arial"/>
          <w:sz w:val="24"/>
        </w:rPr>
        <w:lastRenderedPageBreak/>
        <w:t>Postura que ha sido adoptada por este Órgano Garante mediante criterio número 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rsidR="00A65C79" w:rsidRDefault="00B0008F" w:rsidP="00A65C79">
      <w:pPr>
        <w:spacing w:before="240" w:line="360" w:lineRule="auto"/>
        <w:ind w:left="708" w:right="51" w:firstLine="1"/>
        <w:jc w:val="both"/>
        <w:rPr>
          <w:rFonts w:ascii="Palatino Linotype" w:hAnsi="Palatino Linotype" w:cs="Arial"/>
          <w:i/>
          <w:iCs/>
        </w:rPr>
      </w:pPr>
      <w:r w:rsidRPr="00A147CA">
        <w:rPr>
          <w:rFonts w:ascii="Palatino Linotype" w:hAnsi="Palatino Linotype" w:cs="Arial"/>
          <w:b/>
          <w:bCs/>
          <w:i/>
          <w:iCs/>
        </w:rPr>
        <w:t>“CRITERIO 0001-15 NEGATIVA FICTA. PLAZO PARA INTERPONER EL RECURSO DE REVISIÓN TRATÁNDOSE DE</w:t>
      </w:r>
      <w:r w:rsidRPr="00A147CA">
        <w:rPr>
          <w:rFonts w:ascii="Palatino Linotype" w:hAnsi="Palatino Linotype" w:cs="Arial"/>
          <w:i/>
          <w:iCs/>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B0008F" w:rsidRDefault="00B0008F" w:rsidP="00A65C79">
      <w:pPr>
        <w:spacing w:before="240" w:line="360" w:lineRule="auto"/>
        <w:ind w:right="51" w:firstLine="1"/>
        <w:jc w:val="both"/>
        <w:rPr>
          <w:rFonts w:ascii="Palatino Linotype" w:hAnsi="Palatino Linotype"/>
          <w:sz w:val="24"/>
          <w:szCs w:val="24"/>
        </w:rPr>
      </w:pPr>
      <w:r>
        <w:rPr>
          <w:rFonts w:ascii="Palatino Linotype" w:hAnsi="Palatino Linotype"/>
          <w:sz w:val="24"/>
          <w:szCs w:val="24"/>
        </w:rPr>
        <w:t>Así entonces, resulta a todas luces que el medio de impugnación interpuesto por el hoy recurrente, resulta procedente debido a que no se emite respuesta dentro de los términos establecidos por la normatividad aplicable a la materia, lo que genera que este órgano garante proceda al análisis y estudio del fondo del asunto, en aras de garantizar el derecho accionado por el particular.</w:t>
      </w:r>
    </w:p>
    <w:p w:rsidR="00B0008F" w:rsidRDefault="00B0008F" w:rsidP="00B0008F">
      <w:pPr>
        <w:spacing w:before="240" w:after="240" w:line="360" w:lineRule="auto"/>
        <w:jc w:val="both"/>
        <w:rPr>
          <w:rFonts w:ascii="Palatino Linotype" w:hAnsi="Palatino Linotype" w:cs="Arial"/>
          <w:sz w:val="24"/>
          <w:szCs w:val="24"/>
        </w:rPr>
      </w:pPr>
      <w:r>
        <w:rPr>
          <w:rFonts w:ascii="Palatino Linotype" w:hAnsi="Palatino Linotype"/>
          <w:sz w:val="24"/>
          <w:szCs w:val="24"/>
        </w:rPr>
        <w:lastRenderedPageBreak/>
        <w:t xml:space="preserve">Luego entonces, es importante resalta que </w:t>
      </w:r>
      <w:r>
        <w:rPr>
          <w:rFonts w:ascii="Palatino Linotype" w:hAnsi="Palatino Linotype" w:cs="Arial"/>
          <w:sz w:val="24"/>
          <w:szCs w:val="24"/>
        </w:rPr>
        <w:t>no</w:t>
      </w:r>
      <w:r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Pr>
          <w:rFonts w:ascii="Palatino Linotype" w:hAnsi="Palatino Linotype" w:cs="Arial"/>
          <w:sz w:val="24"/>
          <w:szCs w:val="24"/>
        </w:rPr>
        <w:t>°</w:t>
      </w:r>
      <w:r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w:t>
      </w:r>
      <w:r>
        <w:rPr>
          <w:rFonts w:ascii="Palatino Linotype" w:hAnsi="Palatino Linotype" w:cs="Arial"/>
          <w:sz w:val="24"/>
          <w:szCs w:val="24"/>
        </w:rPr>
        <w:t>onas con la protección más amplia</w:t>
      </w:r>
      <w:r w:rsidRPr="009D787B">
        <w:rPr>
          <w:rFonts w:ascii="Palatino Linotype" w:hAnsi="Palatino Linotype" w:cs="Arial"/>
          <w:sz w:val="24"/>
          <w:szCs w:val="24"/>
        </w:rPr>
        <w:t xml:space="preserve">. </w:t>
      </w:r>
    </w:p>
    <w:p w:rsidR="00B0008F" w:rsidRPr="009D787B" w:rsidRDefault="00B0008F" w:rsidP="00B0008F">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t>Resulta indispensable referir que el derecho de acceso a la información pública implica que cualquier persona pueda acceder y conocer la información contenida en los documentos que se</w:t>
      </w:r>
      <w:r>
        <w:rPr>
          <w:rFonts w:ascii="Palatino Linotype" w:hAnsi="Palatino Linotype" w:cs="Arial"/>
          <w:sz w:val="24"/>
          <w:szCs w:val="24"/>
        </w:rPr>
        <w:t xml:space="preserve"> encuentran en posesión de los sujetos o</w:t>
      </w:r>
      <w:r w:rsidRPr="009D787B">
        <w:rPr>
          <w:rFonts w:ascii="Palatino Linotype" w:hAnsi="Palatino Linotype" w:cs="Arial"/>
          <w:sz w:val="24"/>
          <w:szCs w:val="24"/>
        </w:rPr>
        <w:t xml:space="preserve">bligados. </w:t>
      </w:r>
    </w:p>
    <w:p w:rsidR="00B0008F" w:rsidRDefault="00B0008F" w:rsidP="00B0008F">
      <w:pPr>
        <w:tabs>
          <w:tab w:val="left" w:pos="709"/>
        </w:tabs>
        <w:spacing w:before="240" w:line="360" w:lineRule="auto"/>
        <w:ind w:right="51"/>
        <w:jc w:val="both"/>
        <w:rPr>
          <w:rFonts w:ascii="Palatino Linotype" w:hAnsi="Palatino Linotype"/>
          <w:sz w:val="24"/>
        </w:rPr>
      </w:pPr>
      <w:r>
        <w:rPr>
          <w:rFonts w:ascii="Palatino Linotype" w:hAnsi="Palatino Linotype"/>
          <w:sz w:val="24"/>
        </w:rPr>
        <w:t xml:space="preserve">Así, es importante hacer mención que este </w:t>
      </w:r>
      <w:r w:rsidRPr="0024761B">
        <w:rPr>
          <w:rFonts w:ascii="Palatino Linotype" w:hAnsi="Palatino Linotype"/>
          <w:sz w:val="24"/>
        </w:rPr>
        <w:t xml:space="preserve">Órgano Garante considera pertinente analizar si </w:t>
      </w:r>
      <w:r>
        <w:rPr>
          <w:rFonts w:ascii="Palatino Linotype" w:hAnsi="Palatino Linotype"/>
          <w:sz w:val="24"/>
        </w:rPr>
        <w:t xml:space="preserve">el sujeto obligado, </w:t>
      </w:r>
      <w:r w:rsidRPr="0024761B">
        <w:rPr>
          <w:rFonts w:ascii="Palatino Linotype" w:hAnsi="Palatino Linotype"/>
          <w:sz w:val="24"/>
        </w:rPr>
        <w:t>es la autoridad competente para conocer de dicha solicitud, es decir, si se trata de información que deba generar, administrar o poseer por virtud del ámbito de sus atribuciones.</w:t>
      </w:r>
    </w:p>
    <w:p w:rsidR="00F358AF" w:rsidRDefault="00F358AF" w:rsidP="00F358AF">
      <w:pPr>
        <w:spacing w:before="240" w:line="360" w:lineRule="auto"/>
        <w:jc w:val="both"/>
        <w:rPr>
          <w:rFonts w:ascii="Palatino Linotype" w:hAnsi="Palatino Linotype" w:cs="Arial"/>
          <w:color w:val="000000" w:themeColor="text1"/>
          <w:sz w:val="24"/>
          <w:szCs w:val="24"/>
        </w:rPr>
      </w:pPr>
      <w:r>
        <w:rPr>
          <w:rFonts w:ascii="Palatino Linotype" w:hAnsi="Palatino Linotype"/>
          <w:sz w:val="24"/>
          <w:szCs w:val="24"/>
          <w:lang w:eastAsia="es-MX"/>
        </w:rPr>
        <w:t xml:space="preserve">En tal sentido primeramente debemos mencionar que </w:t>
      </w:r>
      <w:r>
        <w:rPr>
          <w:rFonts w:ascii="Palatino Linotype" w:hAnsi="Palatino Linotype"/>
          <w:sz w:val="24"/>
          <w:szCs w:val="24"/>
        </w:rPr>
        <w:t xml:space="preserve">para tener por satisfecho </w:t>
      </w:r>
      <w:r w:rsidRPr="002E35AF">
        <w:rPr>
          <w:rFonts w:ascii="Palatino Linotype" w:hAnsi="Palatino Linotype" w:cs="Arial"/>
          <w:color w:val="000000" w:themeColor="text1"/>
          <w:sz w:val="24"/>
          <w:szCs w:val="24"/>
        </w:rPr>
        <w:t>el derecho de acceso a la información pública implica que cualquier persona conozca la información contenida en los documentos que se encuentren en los archivos de los Sujetos Obligados.</w:t>
      </w:r>
    </w:p>
    <w:p w:rsidR="00F358AF" w:rsidRPr="00F64316" w:rsidRDefault="00F358AF" w:rsidP="00F358AF">
      <w:pPr>
        <w:spacing w:before="240" w:line="360" w:lineRule="auto"/>
        <w:jc w:val="both"/>
        <w:rPr>
          <w:rFonts w:ascii="Palatino Linotype" w:hAnsi="Palatino Linotype"/>
          <w:sz w:val="24"/>
          <w:szCs w:val="24"/>
        </w:rPr>
      </w:pPr>
    </w:p>
    <w:p w:rsidR="00F358AF" w:rsidRDefault="00F358AF" w:rsidP="00F358AF">
      <w:pPr>
        <w:spacing w:before="240" w:line="360" w:lineRule="auto"/>
        <w:jc w:val="both"/>
        <w:rPr>
          <w:rFonts w:ascii="Palatino Linotype" w:hAnsi="Palatino Linotype" w:cs="Arial"/>
          <w:color w:val="000000" w:themeColor="text1"/>
          <w:sz w:val="24"/>
          <w:szCs w:val="24"/>
        </w:rPr>
      </w:pPr>
      <w:r w:rsidRPr="002E35AF">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w:t>
      </w:r>
      <w:r>
        <w:rPr>
          <w:rFonts w:ascii="Palatino Linotype" w:hAnsi="Palatino Linotype" w:cs="Arial"/>
          <w:color w:val="000000" w:themeColor="text1"/>
          <w:sz w:val="24"/>
          <w:szCs w:val="24"/>
        </w:rPr>
        <w:t xml:space="preserve">su </w:t>
      </w:r>
      <w:r w:rsidRPr="002E35AF">
        <w:rPr>
          <w:rFonts w:ascii="Palatino Linotype" w:hAnsi="Palatino Linotype" w:cs="Arial"/>
          <w:color w:val="000000" w:themeColor="text1"/>
          <w:sz w:val="24"/>
          <w:szCs w:val="24"/>
        </w:rPr>
        <w:t xml:space="preserve">consulta en el lugar que ésta se localice, conforme a los artículos 3 fracción XI, XII 4, 12 </w:t>
      </w:r>
      <w:r w:rsidRPr="002E35AF">
        <w:rPr>
          <w:rFonts w:ascii="Palatino Linotype" w:hAnsi="Palatino Linotype" w:cs="Arial"/>
          <w:color w:val="000000" w:themeColor="text1"/>
          <w:sz w:val="24"/>
          <w:szCs w:val="24"/>
        </w:rPr>
        <w:lastRenderedPageBreak/>
        <w:t xml:space="preserve">y 24 último párrafo </w:t>
      </w:r>
      <w:r w:rsidRPr="002E35AF">
        <w:rPr>
          <w:rFonts w:ascii="Palatino Linotype" w:hAnsi="Palatino Linotype" w:cs="Arial"/>
          <w:bCs/>
          <w:color w:val="000000" w:themeColor="text1"/>
          <w:sz w:val="24"/>
          <w:szCs w:val="24"/>
        </w:rPr>
        <w:t>de la Ley de Transparencia y Acceso a la Información Pública del Estado de México y Municipios</w:t>
      </w:r>
      <w:r w:rsidRPr="002E35AF">
        <w:rPr>
          <w:rFonts w:ascii="Palatino Linotype" w:hAnsi="Palatino Linotype" w:cs="Arial"/>
          <w:color w:val="000000" w:themeColor="text1"/>
          <w:sz w:val="24"/>
          <w:szCs w:val="24"/>
        </w:rPr>
        <w:t>:</w:t>
      </w:r>
    </w:p>
    <w:p w:rsidR="00F358AF" w:rsidRPr="002950E6" w:rsidRDefault="00F358AF" w:rsidP="00F358AF">
      <w:pPr>
        <w:spacing w:before="240" w:line="36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b/>
          <w:bCs/>
          <w:i/>
          <w:color w:val="000000" w:themeColor="text1"/>
          <w:sz w:val="24"/>
          <w:szCs w:val="24"/>
        </w:rPr>
        <w:t xml:space="preserve">“Artículo 3. </w:t>
      </w:r>
      <w:r w:rsidRPr="002950E6">
        <w:rPr>
          <w:rFonts w:ascii="Palatino Linotype" w:hAnsi="Palatino Linotype" w:cs="Arial"/>
          <w:bCs/>
          <w:i/>
          <w:color w:val="000000" w:themeColor="text1"/>
          <w:sz w:val="24"/>
          <w:szCs w:val="24"/>
          <w:u w:val="single"/>
        </w:rPr>
        <w:t>Para los efectos de la presente Ley se entenderá por</w:t>
      </w:r>
      <w:r w:rsidRPr="002950E6">
        <w:rPr>
          <w:rFonts w:ascii="Palatino Linotype" w:hAnsi="Palatino Linotype" w:cs="Arial"/>
          <w:bCs/>
          <w:i/>
          <w:color w:val="000000" w:themeColor="text1"/>
          <w:sz w:val="24"/>
          <w:szCs w:val="24"/>
        </w:rPr>
        <w:t>:</w:t>
      </w:r>
    </w:p>
    <w:p w:rsidR="00F358AF" w:rsidRPr="002950E6" w:rsidRDefault="00F358AF" w:rsidP="00F358AF">
      <w:pPr>
        <w:spacing w:before="240" w:line="360" w:lineRule="auto"/>
        <w:ind w:left="851" w:right="850"/>
        <w:jc w:val="both"/>
        <w:rPr>
          <w:rFonts w:ascii="Palatino Linotype" w:hAnsi="Palatino Linotype" w:cs="Arial"/>
          <w:i/>
          <w:sz w:val="24"/>
          <w:szCs w:val="24"/>
        </w:rPr>
      </w:pPr>
      <w:r w:rsidRPr="002950E6">
        <w:rPr>
          <w:rFonts w:ascii="Palatino Linotype" w:hAnsi="Palatino Linotype" w:cs="Arial"/>
          <w:i/>
          <w:sz w:val="24"/>
          <w:szCs w:val="24"/>
        </w:rPr>
        <w:t>…</w:t>
      </w:r>
    </w:p>
    <w:p w:rsidR="00F358AF" w:rsidRPr="002950E6" w:rsidRDefault="00F358AF" w:rsidP="00F358AF">
      <w:pPr>
        <w:spacing w:before="240" w:line="36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b/>
          <w:bCs/>
          <w:i/>
          <w:color w:val="000000" w:themeColor="text1"/>
          <w:sz w:val="24"/>
          <w:szCs w:val="24"/>
        </w:rPr>
        <w:t xml:space="preserve">XI. </w:t>
      </w:r>
      <w:r w:rsidRPr="002950E6">
        <w:rPr>
          <w:rFonts w:ascii="Palatino Linotype" w:hAnsi="Palatino Linotype" w:cs="Arial"/>
          <w:b/>
          <w:bCs/>
          <w:i/>
          <w:color w:val="000000" w:themeColor="text1"/>
          <w:sz w:val="24"/>
          <w:szCs w:val="24"/>
          <w:u w:val="single"/>
        </w:rPr>
        <w:t>Documento</w:t>
      </w:r>
      <w:r w:rsidRPr="002950E6">
        <w:rPr>
          <w:rFonts w:ascii="Palatino Linotype" w:hAnsi="Palatino Linotype" w:cs="Arial"/>
          <w:b/>
          <w:bCs/>
          <w:i/>
          <w:color w:val="000000" w:themeColor="text1"/>
          <w:sz w:val="24"/>
          <w:szCs w:val="24"/>
        </w:rPr>
        <w:t xml:space="preserve">: </w:t>
      </w:r>
      <w:r w:rsidRPr="002950E6">
        <w:rPr>
          <w:rFonts w:ascii="Palatino Linotype" w:hAnsi="Palatino Linotype" w:cs="Arial"/>
          <w:i/>
          <w:color w:val="000000" w:themeColor="text1"/>
          <w:sz w:val="24"/>
          <w:szCs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F358AF" w:rsidRPr="002950E6" w:rsidRDefault="00F358AF" w:rsidP="00F358AF">
      <w:pPr>
        <w:spacing w:before="240" w:line="360" w:lineRule="auto"/>
        <w:ind w:left="851" w:right="850"/>
        <w:jc w:val="both"/>
        <w:rPr>
          <w:rFonts w:ascii="Palatino Linotype" w:hAnsi="Palatino Linotype" w:cs="Arial"/>
          <w:bCs/>
          <w:i/>
          <w:color w:val="000000" w:themeColor="text1"/>
          <w:sz w:val="24"/>
          <w:szCs w:val="24"/>
        </w:rPr>
      </w:pPr>
      <w:r w:rsidRPr="002950E6">
        <w:rPr>
          <w:rFonts w:ascii="Palatino Linotype" w:hAnsi="Palatino Linotype" w:cs="Arial"/>
          <w:b/>
          <w:bCs/>
          <w:i/>
          <w:color w:val="000000" w:themeColor="text1"/>
          <w:sz w:val="24"/>
          <w:szCs w:val="24"/>
        </w:rPr>
        <w:t>XII. Documento electrónico:</w:t>
      </w:r>
      <w:r w:rsidRPr="002950E6">
        <w:rPr>
          <w:rFonts w:ascii="Palatino Linotype" w:hAnsi="Palatino Linotype" w:cs="Arial"/>
          <w:bCs/>
          <w:i/>
          <w:color w:val="000000" w:themeColor="text1"/>
          <w:sz w:val="24"/>
          <w:szCs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F358AF" w:rsidRPr="002950E6" w:rsidRDefault="00F358AF" w:rsidP="00F358AF">
      <w:pPr>
        <w:spacing w:before="240" w:line="36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i/>
          <w:color w:val="000000" w:themeColor="text1"/>
          <w:sz w:val="24"/>
          <w:szCs w:val="24"/>
        </w:rPr>
        <w:t>…</w:t>
      </w:r>
    </w:p>
    <w:p w:rsidR="00F358AF" w:rsidRPr="002950E6" w:rsidRDefault="00F358AF" w:rsidP="00F358AF">
      <w:pPr>
        <w:spacing w:before="240" w:line="360" w:lineRule="auto"/>
        <w:ind w:left="851" w:right="850"/>
        <w:jc w:val="both"/>
        <w:rPr>
          <w:rFonts w:ascii="Palatino Linotype" w:hAnsi="Palatino Linotype" w:cs="Arial"/>
          <w:bCs/>
          <w:i/>
          <w:color w:val="000000" w:themeColor="text1"/>
          <w:sz w:val="24"/>
          <w:szCs w:val="24"/>
        </w:rPr>
      </w:pPr>
      <w:r w:rsidRPr="002950E6">
        <w:rPr>
          <w:rFonts w:ascii="Palatino Linotype" w:hAnsi="Palatino Linotype" w:cs="Arial"/>
          <w:b/>
          <w:bCs/>
          <w:i/>
          <w:color w:val="000000" w:themeColor="text1"/>
          <w:sz w:val="24"/>
          <w:szCs w:val="24"/>
        </w:rPr>
        <w:t xml:space="preserve">Artículo 4. </w:t>
      </w:r>
      <w:r w:rsidRPr="002950E6">
        <w:rPr>
          <w:rFonts w:ascii="Palatino Linotype" w:hAnsi="Palatino Linotype" w:cs="Arial"/>
          <w:bCs/>
          <w:i/>
          <w:color w:val="000000" w:themeColor="text1"/>
          <w:sz w:val="24"/>
          <w:szCs w:val="24"/>
          <w:u w:val="single"/>
        </w:rPr>
        <w:t xml:space="preserve">El derecho humano de acceso a la información pública es la prerrogativa de las personas para buscar, difundir, investigar, recabar, recibir </w:t>
      </w:r>
      <w:r w:rsidRPr="002950E6">
        <w:rPr>
          <w:rFonts w:ascii="Palatino Linotype" w:hAnsi="Palatino Linotype" w:cs="Arial"/>
          <w:bCs/>
          <w:i/>
          <w:color w:val="000000" w:themeColor="text1"/>
          <w:sz w:val="24"/>
          <w:szCs w:val="24"/>
          <w:u w:val="single"/>
        </w:rPr>
        <w:lastRenderedPageBreak/>
        <w:t>y solicitar información pública</w:t>
      </w:r>
      <w:r w:rsidRPr="002950E6">
        <w:rPr>
          <w:rFonts w:ascii="Palatino Linotype" w:hAnsi="Palatino Linotype" w:cs="Arial"/>
          <w:bCs/>
          <w:i/>
          <w:color w:val="000000" w:themeColor="text1"/>
          <w:sz w:val="24"/>
          <w:szCs w:val="24"/>
        </w:rPr>
        <w:t>, sin necesidad de acreditar personalidad ni interés jurídico.</w:t>
      </w:r>
    </w:p>
    <w:p w:rsidR="00F358AF" w:rsidRPr="002950E6" w:rsidRDefault="00F358AF" w:rsidP="00F358AF">
      <w:pPr>
        <w:spacing w:before="240" w:line="36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i/>
          <w:color w:val="000000" w:themeColor="text1"/>
          <w:sz w:val="24"/>
          <w:szCs w:val="24"/>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2950E6">
        <w:rPr>
          <w:rFonts w:ascii="Palatino Linotype" w:hAnsi="Palatino Linotype" w:cs="Arial"/>
          <w:i/>
          <w:color w:val="000000" w:themeColor="text1"/>
          <w:sz w:val="24"/>
          <w:szCs w:val="24"/>
        </w:rPr>
        <w:t xml:space="preserve"> Solo podrá ser clasificada excepcionalmente como reservada temporalmente por razones de interés público, en los términos de las causas legítimas y estrictamente necesarias previstas por esta Ley.</w:t>
      </w:r>
    </w:p>
    <w:p w:rsidR="00F358AF" w:rsidRPr="002950E6" w:rsidRDefault="00F358AF" w:rsidP="00F358AF">
      <w:pPr>
        <w:spacing w:before="240" w:line="36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i/>
          <w:color w:val="000000" w:themeColor="text1"/>
          <w:sz w:val="24"/>
          <w:szCs w:val="24"/>
        </w:rPr>
        <w:t>Los sujetos obligados deben poner en práctica, políticas y programas de acceso a la información que se apeguen a criterios de publicidad, veracidad, oportunidad, precisión y suficiencia en beneficio de los solicitantes.</w:t>
      </w:r>
    </w:p>
    <w:p w:rsidR="00F358AF" w:rsidRPr="002950E6" w:rsidRDefault="00F358AF" w:rsidP="00F358AF">
      <w:pPr>
        <w:spacing w:before="240" w:line="36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b/>
          <w:bCs/>
          <w:i/>
          <w:color w:val="000000" w:themeColor="text1"/>
          <w:sz w:val="24"/>
          <w:szCs w:val="24"/>
        </w:rPr>
        <w:t xml:space="preserve">Artículo 12. </w:t>
      </w:r>
      <w:r w:rsidRPr="002950E6">
        <w:rPr>
          <w:rFonts w:ascii="Palatino Linotype" w:hAnsi="Palatino Linotype" w:cs="Arial"/>
          <w:i/>
          <w:color w:val="000000" w:themeColor="text1"/>
          <w:sz w:val="24"/>
          <w:szCs w:val="24"/>
        </w:rPr>
        <w:t>Quienes generen, recopilen, administren, manejen, procesen, archiven o conserven información pública serán responsables de la misma en los términos de las disposiciones jurídicas aplicables.</w:t>
      </w:r>
    </w:p>
    <w:p w:rsidR="00F358AF" w:rsidRPr="002950E6" w:rsidRDefault="00F358AF" w:rsidP="00F358AF">
      <w:pPr>
        <w:spacing w:before="240" w:line="36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i/>
          <w:color w:val="000000" w:themeColor="text1"/>
          <w:sz w:val="24"/>
          <w:szCs w:val="24"/>
          <w:u w:val="single"/>
        </w:rPr>
        <w:t>Los sujetos obligados sólo proporcionarán la información pública que se les requiera y que obre en sus archivos y en el estado en que ésta se encuentre.</w:t>
      </w:r>
      <w:r w:rsidRPr="002950E6">
        <w:rPr>
          <w:rFonts w:ascii="Palatino Linotype" w:hAnsi="Palatino Linotype" w:cs="Arial"/>
          <w:i/>
          <w:color w:val="000000" w:themeColor="text1"/>
          <w:sz w:val="24"/>
          <w:szCs w:val="24"/>
        </w:rPr>
        <w:t xml:space="preserve"> La obligación de proporcionar información no comprende el procesamiento de la misma, ni el presentarla conforme al interés del solicitante; no estarán obligados a generarla, resumirla, efectuar cálculos o practicar investigaciones. </w:t>
      </w:r>
    </w:p>
    <w:p w:rsidR="00F358AF" w:rsidRPr="002950E6" w:rsidRDefault="00F358AF" w:rsidP="00F358AF">
      <w:pPr>
        <w:spacing w:before="240" w:line="36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i/>
          <w:color w:val="000000" w:themeColor="text1"/>
          <w:sz w:val="24"/>
          <w:szCs w:val="24"/>
        </w:rPr>
        <w:lastRenderedPageBreak/>
        <w:t>…</w:t>
      </w:r>
    </w:p>
    <w:p w:rsidR="00F358AF" w:rsidRPr="002950E6" w:rsidRDefault="00F358AF" w:rsidP="00F358AF">
      <w:pPr>
        <w:spacing w:before="240" w:line="36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b/>
          <w:bCs/>
          <w:i/>
          <w:color w:val="000000" w:themeColor="text1"/>
          <w:sz w:val="24"/>
          <w:szCs w:val="24"/>
        </w:rPr>
        <w:t xml:space="preserve">Artículo 24. </w:t>
      </w:r>
      <w:r w:rsidRPr="002950E6">
        <w:rPr>
          <w:rFonts w:ascii="Palatino Linotype" w:hAnsi="Palatino Linotype" w:cs="Arial"/>
          <w:i/>
          <w:color w:val="000000" w:themeColor="text1"/>
          <w:sz w:val="24"/>
          <w:szCs w:val="24"/>
          <w:u w:val="single"/>
        </w:rPr>
        <w:t>Para el cumplimiento de los objetivos de esta Ley, los sujetos obligados deberán cumplir con las siguientes obligaciones, según corresponda, de acuerdo a su naturaleza:</w:t>
      </w:r>
    </w:p>
    <w:p w:rsidR="00F358AF" w:rsidRPr="002950E6" w:rsidRDefault="00F358AF" w:rsidP="00F358AF">
      <w:pPr>
        <w:spacing w:before="240" w:line="36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bCs/>
          <w:i/>
          <w:color w:val="000000" w:themeColor="text1"/>
          <w:sz w:val="24"/>
          <w:szCs w:val="24"/>
        </w:rPr>
        <w:t>..</w:t>
      </w:r>
      <w:r w:rsidRPr="002950E6">
        <w:rPr>
          <w:rFonts w:ascii="Palatino Linotype" w:hAnsi="Palatino Linotype" w:cs="Arial"/>
          <w:i/>
          <w:color w:val="000000" w:themeColor="text1"/>
          <w:sz w:val="24"/>
          <w:szCs w:val="24"/>
        </w:rPr>
        <w:t>.</w:t>
      </w:r>
    </w:p>
    <w:p w:rsidR="00F358AF" w:rsidRPr="002950E6" w:rsidRDefault="00F358AF" w:rsidP="00F358AF">
      <w:pPr>
        <w:spacing w:before="240" w:line="360" w:lineRule="auto"/>
        <w:ind w:left="851" w:right="850"/>
        <w:jc w:val="both"/>
        <w:rPr>
          <w:rFonts w:ascii="Palatino Linotype" w:hAnsi="Palatino Linotype" w:cs="Arial"/>
          <w:bCs/>
          <w:i/>
          <w:color w:val="000000" w:themeColor="text1"/>
          <w:sz w:val="24"/>
          <w:szCs w:val="24"/>
        </w:rPr>
      </w:pPr>
      <w:r w:rsidRPr="002950E6">
        <w:rPr>
          <w:rFonts w:ascii="Palatino Linotype" w:hAnsi="Palatino Linotype" w:cs="Arial"/>
          <w:b/>
          <w:bCs/>
          <w:i/>
          <w:color w:val="000000" w:themeColor="text1"/>
          <w:sz w:val="24"/>
          <w:szCs w:val="24"/>
        </w:rPr>
        <w:t>IX.</w:t>
      </w:r>
      <w:r w:rsidRPr="002950E6">
        <w:rPr>
          <w:rFonts w:ascii="Palatino Linotype" w:hAnsi="Palatino Linotype" w:cs="Arial"/>
          <w:bCs/>
          <w:i/>
          <w:color w:val="000000" w:themeColor="text1"/>
          <w:sz w:val="24"/>
          <w:szCs w:val="24"/>
        </w:rPr>
        <w:t xml:space="preserve"> Fomentar el uso de tecnologías de la información para garantizar la transparencia, el derecho de acceso a la información y la accesibilidad a éstos;</w:t>
      </w:r>
    </w:p>
    <w:p w:rsidR="00F358AF" w:rsidRPr="002950E6" w:rsidRDefault="00F358AF" w:rsidP="00F358AF">
      <w:pPr>
        <w:spacing w:before="240" w:line="360" w:lineRule="auto"/>
        <w:ind w:left="851" w:right="850"/>
        <w:jc w:val="both"/>
        <w:rPr>
          <w:rFonts w:ascii="Palatino Linotype" w:hAnsi="Palatino Linotype" w:cs="Arial"/>
          <w:bCs/>
          <w:i/>
          <w:color w:val="000000" w:themeColor="text1"/>
          <w:sz w:val="24"/>
          <w:szCs w:val="24"/>
        </w:rPr>
      </w:pPr>
      <w:r w:rsidRPr="002950E6">
        <w:rPr>
          <w:rFonts w:ascii="Palatino Linotype" w:hAnsi="Palatino Linotype" w:cs="Arial"/>
          <w:b/>
          <w:bCs/>
          <w:i/>
          <w:color w:val="000000" w:themeColor="text1"/>
          <w:sz w:val="24"/>
          <w:szCs w:val="24"/>
        </w:rPr>
        <w:t>…</w:t>
      </w:r>
    </w:p>
    <w:p w:rsidR="00F358AF" w:rsidRPr="002950E6" w:rsidRDefault="00F358AF" w:rsidP="00F358AF">
      <w:pPr>
        <w:spacing w:before="240" w:line="360" w:lineRule="auto"/>
        <w:ind w:left="851" w:right="850"/>
        <w:jc w:val="both"/>
        <w:rPr>
          <w:rFonts w:ascii="Palatino Linotype" w:hAnsi="Palatino Linotype" w:cs="Arial"/>
          <w:bCs/>
          <w:i/>
          <w:color w:val="000000" w:themeColor="text1"/>
          <w:sz w:val="24"/>
          <w:szCs w:val="24"/>
        </w:rPr>
      </w:pPr>
      <w:r w:rsidRPr="002950E6">
        <w:rPr>
          <w:rFonts w:ascii="Palatino Linotype" w:hAnsi="Palatino Linotype" w:cs="Arial"/>
          <w:b/>
          <w:bCs/>
          <w:i/>
          <w:color w:val="000000" w:themeColor="text1"/>
          <w:sz w:val="24"/>
          <w:szCs w:val="24"/>
        </w:rPr>
        <w:t>XI.</w:t>
      </w:r>
      <w:r w:rsidRPr="002950E6">
        <w:rPr>
          <w:rFonts w:ascii="Palatino Linotype" w:hAnsi="Palatino Linotype" w:cs="Arial"/>
          <w:bCs/>
          <w:i/>
          <w:color w:val="000000" w:themeColor="text1"/>
          <w:sz w:val="24"/>
          <w:szCs w:val="24"/>
        </w:rPr>
        <w:t xml:space="preserve"> Dar acceso a la información pública que le sea requerida, en los términos de la Ley General, esta Ley y demás disposiciones jurídicas aplicables;</w:t>
      </w:r>
    </w:p>
    <w:p w:rsidR="00F358AF" w:rsidRPr="002950E6" w:rsidRDefault="00F358AF" w:rsidP="00F358AF">
      <w:pPr>
        <w:spacing w:before="240" w:line="36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bCs/>
          <w:i/>
          <w:color w:val="000000" w:themeColor="text1"/>
          <w:sz w:val="24"/>
          <w:szCs w:val="24"/>
        </w:rPr>
        <w:t>…</w:t>
      </w:r>
    </w:p>
    <w:p w:rsidR="00F358AF" w:rsidRPr="002950E6" w:rsidRDefault="00F358AF" w:rsidP="00F358AF">
      <w:pPr>
        <w:spacing w:before="240" w:line="36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i/>
          <w:color w:val="000000" w:themeColor="text1"/>
          <w:sz w:val="24"/>
          <w:szCs w:val="24"/>
        </w:rPr>
        <w:t>En la administración, gestión y custodia de los archivos de información pública, los sujetos obligados, los servidores públicos habilitados y los servidores públicos en general, se ajustarán a lo establecido por la normatividad aplicable.</w:t>
      </w:r>
    </w:p>
    <w:p w:rsidR="00F358AF" w:rsidRPr="002950E6" w:rsidRDefault="00F358AF" w:rsidP="00F358AF">
      <w:pPr>
        <w:spacing w:before="240" w:line="360" w:lineRule="auto"/>
        <w:ind w:left="851" w:right="851"/>
        <w:jc w:val="both"/>
        <w:rPr>
          <w:rFonts w:ascii="Palatino Linotype" w:hAnsi="Palatino Linotype" w:cs="Arial"/>
          <w:i/>
          <w:color w:val="000000" w:themeColor="text1"/>
          <w:sz w:val="24"/>
          <w:szCs w:val="24"/>
        </w:rPr>
      </w:pPr>
      <w:r w:rsidRPr="002950E6">
        <w:rPr>
          <w:rFonts w:ascii="Palatino Linotype" w:hAnsi="Palatino Linotype" w:cs="Arial"/>
          <w:i/>
          <w:color w:val="000000" w:themeColor="text1"/>
          <w:sz w:val="24"/>
          <w:szCs w:val="24"/>
        </w:rPr>
        <w:t>Los sujetos obligados solo proporcionarán la información pública que generen, administren o posean en el ejercicio de sus atribuciones.</w:t>
      </w:r>
    </w:p>
    <w:p w:rsidR="00F358AF" w:rsidRPr="00FE2D6D" w:rsidRDefault="00F358AF" w:rsidP="00F358AF">
      <w:pPr>
        <w:spacing w:before="240" w:line="360" w:lineRule="auto"/>
        <w:jc w:val="both"/>
        <w:rPr>
          <w:rFonts w:ascii="Palatino Linotype" w:hAnsi="Palatino Linotype" w:cs="Arial"/>
          <w:color w:val="000000" w:themeColor="text1"/>
          <w:sz w:val="24"/>
          <w:szCs w:val="24"/>
        </w:rPr>
      </w:pPr>
      <w:r w:rsidRPr="00FE2D6D">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rsidR="00F358AF" w:rsidRDefault="00F358AF" w:rsidP="00F358AF">
      <w:pPr>
        <w:spacing w:before="240" w:line="360" w:lineRule="auto"/>
        <w:jc w:val="both"/>
        <w:rPr>
          <w:rFonts w:ascii="Palatino Linotype" w:hAnsi="Palatino Linotype" w:cs="Arial"/>
          <w:color w:val="000000" w:themeColor="text1"/>
          <w:sz w:val="24"/>
          <w:szCs w:val="24"/>
        </w:rPr>
      </w:pPr>
      <w:r w:rsidRPr="00967895">
        <w:rPr>
          <w:rFonts w:ascii="Palatino Linotype" w:hAnsi="Palatino Linotype" w:cs="Arial"/>
          <w:color w:val="000000" w:themeColor="text1"/>
          <w:sz w:val="24"/>
          <w:szCs w:val="24"/>
        </w:rPr>
        <w:lastRenderedPageBreak/>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w:t>
      </w:r>
      <w:r>
        <w:rPr>
          <w:rFonts w:ascii="Palatino Linotype" w:hAnsi="Palatino Linotype" w:cs="Arial"/>
          <w:color w:val="000000" w:themeColor="text1"/>
          <w:sz w:val="24"/>
          <w:szCs w:val="24"/>
        </w:rPr>
        <w:t>los o practicar investigaciones.</w:t>
      </w:r>
    </w:p>
    <w:p w:rsidR="00653B08" w:rsidRDefault="00B04652" w:rsidP="00B04652">
      <w:pPr>
        <w:tabs>
          <w:tab w:val="left" w:pos="709"/>
        </w:tabs>
        <w:spacing w:before="240" w:line="360" w:lineRule="auto"/>
        <w:ind w:right="51"/>
        <w:jc w:val="both"/>
        <w:rPr>
          <w:rFonts w:ascii="Palatino Linotype" w:hAnsi="Palatino Linotype" w:cs="Arial"/>
          <w:i/>
          <w:sz w:val="24"/>
          <w:szCs w:val="24"/>
        </w:rPr>
      </w:pPr>
      <w:r>
        <w:rPr>
          <w:rFonts w:ascii="Palatino Linotype" w:hAnsi="Palatino Linotype" w:cs="Arial"/>
          <w:sz w:val="24"/>
          <w:szCs w:val="24"/>
        </w:rPr>
        <w:t xml:space="preserve">En primer término, es menester establecer la materia de revisión en el presente asunto, </w:t>
      </w:r>
      <w:r w:rsidR="00A65C79">
        <w:rPr>
          <w:rFonts w:ascii="Palatino Linotype" w:hAnsi="Palatino Linotype" w:cs="Arial"/>
          <w:sz w:val="24"/>
          <w:szCs w:val="24"/>
        </w:rPr>
        <w:t>ya que,</w:t>
      </w:r>
      <w:r>
        <w:rPr>
          <w:rFonts w:ascii="Palatino Linotype" w:hAnsi="Palatino Linotype" w:cs="Arial"/>
          <w:sz w:val="24"/>
          <w:szCs w:val="24"/>
        </w:rPr>
        <w:t xml:space="preserve"> del análisis al medio de impugnación, se aprecia que la recurrente señala como razones o motivos de inconformidad</w:t>
      </w:r>
      <w:r w:rsidR="000B3927">
        <w:rPr>
          <w:rFonts w:ascii="Palatino Linotype" w:hAnsi="Palatino Linotype" w:cs="Arial"/>
          <w:sz w:val="24"/>
          <w:szCs w:val="24"/>
        </w:rPr>
        <w:t xml:space="preserve"> medularmente</w:t>
      </w:r>
      <w:r>
        <w:rPr>
          <w:rFonts w:ascii="Palatino Linotype" w:hAnsi="Palatino Linotype" w:cs="Arial"/>
          <w:sz w:val="24"/>
          <w:szCs w:val="24"/>
        </w:rPr>
        <w:t>,</w:t>
      </w:r>
      <w:r w:rsidR="000B3927">
        <w:rPr>
          <w:rFonts w:ascii="Palatino Linotype" w:hAnsi="Palatino Linotype" w:cs="Arial"/>
          <w:sz w:val="24"/>
          <w:szCs w:val="24"/>
        </w:rPr>
        <w:t xml:space="preserve"> </w:t>
      </w:r>
      <w:r w:rsidR="000B3927" w:rsidRPr="00A817AC">
        <w:rPr>
          <w:rFonts w:ascii="Palatino Linotype" w:hAnsi="Palatino Linotype" w:cs="Arial"/>
          <w:i/>
          <w:sz w:val="24"/>
          <w:szCs w:val="24"/>
        </w:rPr>
        <w:t>“</w:t>
      </w:r>
      <w:r w:rsidR="00A817AC" w:rsidRPr="00A817AC">
        <w:rPr>
          <w:rFonts w:ascii="Palatino Linotype" w:hAnsi="Palatino Linotype" w:cs="Arial"/>
          <w:i/>
          <w:sz w:val="24"/>
          <w:szCs w:val="24"/>
        </w:rPr>
        <w:t>El sujeto obligado no dio respuesta a la solicitud 00078/TEQUIXQU/IP/2019</w:t>
      </w:r>
      <w:r w:rsidR="000B3927" w:rsidRPr="00A817AC">
        <w:rPr>
          <w:rFonts w:ascii="Palatino Linotype" w:hAnsi="Palatino Linotype" w:cs="Arial"/>
          <w:i/>
          <w:sz w:val="24"/>
          <w:szCs w:val="24"/>
        </w:rPr>
        <w:t>”</w:t>
      </w:r>
      <w:r w:rsidR="00BA65E0" w:rsidRPr="00A817AC">
        <w:rPr>
          <w:rFonts w:ascii="Palatino Linotype" w:hAnsi="Palatino Linotype" w:cs="Arial"/>
          <w:i/>
          <w:sz w:val="24"/>
          <w:szCs w:val="24"/>
        </w:rPr>
        <w:t>.</w:t>
      </w:r>
    </w:p>
    <w:p w:rsidR="004C28F1" w:rsidRDefault="00A817AC" w:rsidP="00B04652">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szCs w:val="24"/>
        </w:rPr>
        <w:t>Ahora bien, es necesario recordar los requerimientos vertidos por el hy particular, los cuales son del tenor siguiente:</w:t>
      </w:r>
    </w:p>
    <w:p w:rsidR="00A817AC" w:rsidRDefault="00A817AC" w:rsidP="00A817AC">
      <w:pPr>
        <w:pStyle w:val="Prrafodelista"/>
        <w:numPr>
          <w:ilvl w:val="0"/>
          <w:numId w:val="31"/>
        </w:numPr>
        <w:tabs>
          <w:tab w:val="left" w:pos="709"/>
        </w:tabs>
        <w:spacing w:before="240" w:line="360" w:lineRule="auto"/>
        <w:ind w:right="51"/>
        <w:jc w:val="both"/>
        <w:rPr>
          <w:rFonts w:ascii="Palatino Linotype" w:hAnsi="Palatino Linotype" w:cs="Arial"/>
        </w:rPr>
      </w:pPr>
      <w:r w:rsidRPr="00A817AC">
        <w:rPr>
          <w:rFonts w:ascii="Palatino Linotype" w:hAnsi="Palatino Linotype" w:cs="Arial"/>
        </w:rPr>
        <w:t xml:space="preserve">Presupuesto total asignado a la Contraloría Interna Municipal durante los ejercicios 2016, 2017, 2018 y 2019 (aprobado y sus modificaciones). </w:t>
      </w:r>
    </w:p>
    <w:p w:rsidR="00A817AC" w:rsidRDefault="00A817AC" w:rsidP="00A817AC">
      <w:pPr>
        <w:pStyle w:val="Prrafodelista"/>
        <w:numPr>
          <w:ilvl w:val="0"/>
          <w:numId w:val="31"/>
        </w:numPr>
        <w:tabs>
          <w:tab w:val="left" w:pos="709"/>
        </w:tabs>
        <w:spacing w:before="240" w:line="360" w:lineRule="auto"/>
        <w:ind w:right="51"/>
        <w:jc w:val="both"/>
        <w:rPr>
          <w:rFonts w:ascii="Palatino Linotype" w:hAnsi="Palatino Linotype" w:cs="Arial"/>
        </w:rPr>
      </w:pPr>
      <w:r w:rsidRPr="00A817AC">
        <w:rPr>
          <w:rFonts w:ascii="Palatino Linotype" w:hAnsi="Palatino Linotype" w:cs="Arial"/>
        </w:rPr>
        <w:t xml:space="preserve">Número de servidores públicos adscritos a la Contraloría Interna Municipal, indicando la información correspondiente al 31 de diciembre de los años 2016, 2017, 2018 y al 31 de marzo de 2019. </w:t>
      </w:r>
    </w:p>
    <w:p w:rsidR="00A817AC" w:rsidRDefault="00A817AC" w:rsidP="00A817AC">
      <w:pPr>
        <w:pStyle w:val="Prrafodelista"/>
        <w:numPr>
          <w:ilvl w:val="0"/>
          <w:numId w:val="31"/>
        </w:numPr>
        <w:tabs>
          <w:tab w:val="left" w:pos="709"/>
        </w:tabs>
        <w:spacing w:before="240" w:line="360" w:lineRule="auto"/>
        <w:ind w:right="51"/>
        <w:jc w:val="both"/>
        <w:rPr>
          <w:rFonts w:ascii="Palatino Linotype" w:hAnsi="Palatino Linotype" w:cs="Arial"/>
        </w:rPr>
      </w:pPr>
      <w:r w:rsidRPr="00A817AC">
        <w:rPr>
          <w:rFonts w:ascii="Palatino Linotype" w:hAnsi="Palatino Linotype" w:cs="Arial"/>
        </w:rPr>
        <w:t xml:space="preserve">Organigrama autorizado (legible) de la Contraloría Interna Municipal correspondiente a los ejercicios fiscales 2016, 2017, 2018 y 2019 (incluyendo el acta de sesión de cabildo en la cual fue autorizado). </w:t>
      </w:r>
    </w:p>
    <w:p w:rsidR="00A817AC" w:rsidRDefault="00A817AC" w:rsidP="00A817AC">
      <w:pPr>
        <w:pStyle w:val="Prrafodelista"/>
        <w:numPr>
          <w:ilvl w:val="0"/>
          <w:numId w:val="31"/>
        </w:numPr>
        <w:tabs>
          <w:tab w:val="left" w:pos="709"/>
        </w:tabs>
        <w:spacing w:before="240" w:line="360" w:lineRule="auto"/>
        <w:ind w:right="51"/>
        <w:jc w:val="both"/>
        <w:rPr>
          <w:rFonts w:ascii="Palatino Linotype" w:hAnsi="Palatino Linotype" w:cs="Arial"/>
        </w:rPr>
      </w:pPr>
      <w:r w:rsidRPr="00A817AC">
        <w:rPr>
          <w:rFonts w:ascii="Palatino Linotype" w:hAnsi="Palatino Linotype" w:cs="Arial"/>
        </w:rPr>
        <w:t xml:space="preserve">Número de servidores públicos adscritos a la Contraloría Interna Municipal, que contaban con certificación de competencia laboral expedida por el Instituto Hacendario del Estado de México y/o por el Consejo Nacional de </w:t>
      </w:r>
      <w:r w:rsidRPr="00A817AC">
        <w:rPr>
          <w:rFonts w:ascii="Palatino Linotype" w:hAnsi="Palatino Linotype" w:cs="Arial"/>
        </w:rPr>
        <w:lastRenderedPageBreak/>
        <w:t xml:space="preserve">Normalización y Certificación de Competencias Laborales, presentando la información por años: 2016, 2017, 2018 y 2019. </w:t>
      </w:r>
    </w:p>
    <w:p w:rsidR="00A817AC" w:rsidRDefault="00A817AC" w:rsidP="00A817AC">
      <w:pPr>
        <w:pStyle w:val="Prrafodelista"/>
        <w:numPr>
          <w:ilvl w:val="0"/>
          <w:numId w:val="31"/>
        </w:numPr>
        <w:tabs>
          <w:tab w:val="left" w:pos="709"/>
        </w:tabs>
        <w:spacing w:before="240" w:line="360" w:lineRule="auto"/>
        <w:ind w:right="51"/>
        <w:jc w:val="both"/>
        <w:rPr>
          <w:rFonts w:ascii="Palatino Linotype" w:hAnsi="Palatino Linotype" w:cs="Arial"/>
        </w:rPr>
      </w:pPr>
      <w:r w:rsidRPr="00A817AC">
        <w:rPr>
          <w:rFonts w:ascii="Palatino Linotype" w:hAnsi="Palatino Linotype" w:cs="Arial"/>
        </w:rPr>
        <w:t xml:space="preserve">Sueldo neto anual percibido por el titular de la Contraloría Interna Municipal, mostrando la información correspondiente a los años 2016, 2017, 2018 y 2019. </w:t>
      </w:r>
    </w:p>
    <w:p w:rsidR="00A817AC" w:rsidRDefault="00A817AC" w:rsidP="00A817AC">
      <w:pPr>
        <w:pStyle w:val="Prrafodelista"/>
        <w:numPr>
          <w:ilvl w:val="0"/>
          <w:numId w:val="31"/>
        </w:numPr>
        <w:tabs>
          <w:tab w:val="left" w:pos="709"/>
        </w:tabs>
        <w:spacing w:before="240" w:line="360" w:lineRule="auto"/>
        <w:ind w:right="51"/>
        <w:jc w:val="both"/>
        <w:rPr>
          <w:rFonts w:ascii="Palatino Linotype" w:hAnsi="Palatino Linotype" w:cs="Arial"/>
        </w:rPr>
      </w:pPr>
      <w:r w:rsidRPr="00A817AC">
        <w:rPr>
          <w:rFonts w:ascii="Palatino Linotype" w:hAnsi="Palatino Linotype" w:cs="Arial"/>
        </w:rPr>
        <w:tab/>
      </w:r>
      <w:r w:rsidR="00F358AF" w:rsidRPr="00A817AC">
        <w:rPr>
          <w:rFonts w:ascii="Palatino Linotype" w:hAnsi="Palatino Linotype" w:cs="Arial"/>
        </w:rPr>
        <w:t>Total</w:t>
      </w:r>
      <w:r w:rsidRPr="00A817AC">
        <w:rPr>
          <w:rFonts w:ascii="Palatino Linotype" w:hAnsi="Palatino Linotype" w:cs="Arial"/>
        </w:rPr>
        <w:t xml:space="preserve"> de egresos del capítulo 1000 “Servicios Personales” de los ejercicios 2016, 2017 y 2018, ejercidos por la Contraloría Interna Municipal y presupuesto programado para 2019 para este mismo rubro por la Contraloría Interna Municipal. </w:t>
      </w:r>
    </w:p>
    <w:p w:rsidR="00A817AC" w:rsidRPr="00A817AC" w:rsidRDefault="00A817AC" w:rsidP="00A817AC">
      <w:pPr>
        <w:pStyle w:val="Prrafodelista"/>
        <w:numPr>
          <w:ilvl w:val="0"/>
          <w:numId w:val="31"/>
        </w:numPr>
        <w:tabs>
          <w:tab w:val="left" w:pos="709"/>
        </w:tabs>
        <w:spacing w:before="240" w:line="360" w:lineRule="auto"/>
        <w:ind w:right="51"/>
        <w:jc w:val="both"/>
        <w:rPr>
          <w:rFonts w:ascii="Palatino Linotype" w:hAnsi="Palatino Linotype" w:cs="Arial"/>
        </w:rPr>
      </w:pPr>
      <w:r w:rsidRPr="00A817AC">
        <w:rPr>
          <w:rFonts w:ascii="Palatino Linotype" w:hAnsi="Palatino Linotype" w:cs="Arial"/>
        </w:rPr>
        <w:t>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p>
    <w:p w:rsidR="00F358AF" w:rsidRDefault="00F358AF" w:rsidP="00F358AF">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lang w:val="es-ES"/>
        </w:rPr>
        <w:t xml:space="preserve">Acotado lo anterior, lo que corresponde al punto 1 y 6, </w:t>
      </w:r>
      <w:r>
        <w:rPr>
          <w:rFonts w:ascii="Palatino Linotype" w:hAnsi="Palatino Linotype" w:cs="Arial"/>
          <w:sz w:val="24"/>
          <w:szCs w:val="24"/>
        </w:rPr>
        <w:t xml:space="preserve">es necesario traer a colación </w:t>
      </w:r>
      <w:r w:rsidRPr="0039115D">
        <w:rPr>
          <w:rFonts w:ascii="Palatino Linotype" w:hAnsi="Palatino Linotype" w:cs="Arial"/>
          <w:sz w:val="24"/>
          <w:szCs w:val="24"/>
        </w:rPr>
        <w:t>lo que establece el Manual Único de Contabilidad</w:t>
      </w:r>
      <w:r w:rsidRPr="00BB2946">
        <w:rPr>
          <w:rFonts w:ascii="Palatino Linotype" w:hAnsi="Palatino Linotype" w:cs="Arial"/>
          <w:sz w:val="24"/>
          <w:szCs w:val="24"/>
        </w:rPr>
        <w:t xml:space="preserve"> Gubernamental para las Dependencias y Entidades </w:t>
      </w:r>
      <w:r w:rsidRPr="00C425B2">
        <w:rPr>
          <w:rFonts w:ascii="Palatino Linotype" w:hAnsi="Palatino Linotype" w:cs="Arial"/>
          <w:sz w:val="24"/>
          <w:szCs w:val="24"/>
        </w:rPr>
        <w:t xml:space="preserve">Públicas del Gobierno y Municipios del Estado de México, aplicable para el Municipio de </w:t>
      </w:r>
      <w:r w:rsidR="00B913F8">
        <w:rPr>
          <w:rFonts w:ascii="Palatino Linotype" w:hAnsi="Palatino Linotype" w:cs="Arial"/>
          <w:sz w:val="24"/>
          <w:szCs w:val="24"/>
        </w:rPr>
        <w:t>Tequixquiac</w:t>
      </w:r>
      <w:r w:rsidRPr="00C425B2">
        <w:rPr>
          <w:rFonts w:ascii="Palatino Linotype" w:hAnsi="Palatino Linotype" w:cs="Arial"/>
          <w:sz w:val="24"/>
          <w:szCs w:val="24"/>
        </w:rPr>
        <w:t>, que entre otras cosas refiere lo siguiente:</w:t>
      </w:r>
    </w:p>
    <w:p w:rsidR="00F358AF" w:rsidRPr="002950E6" w:rsidRDefault="00F358AF" w:rsidP="00F358AF">
      <w:pPr>
        <w:tabs>
          <w:tab w:val="left" w:pos="709"/>
        </w:tabs>
        <w:spacing w:before="240" w:line="360" w:lineRule="auto"/>
        <w:ind w:left="851" w:right="760"/>
        <w:jc w:val="both"/>
        <w:rPr>
          <w:rFonts w:ascii="Palatino Linotype" w:hAnsi="Palatino Linotype" w:cs="Arial"/>
          <w:i/>
          <w:sz w:val="24"/>
          <w:szCs w:val="24"/>
          <w:lang w:eastAsia="es-MX"/>
        </w:rPr>
      </w:pPr>
      <w:r w:rsidRPr="002950E6">
        <w:rPr>
          <w:rFonts w:ascii="Palatino Linotype" w:hAnsi="Palatino Linotype" w:cs="Arial"/>
          <w:i/>
          <w:sz w:val="24"/>
          <w:szCs w:val="24"/>
          <w:lang w:eastAsia="es-MX"/>
        </w:rPr>
        <w:t>“</w:t>
      </w:r>
      <w:r w:rsidRPr="002950E6">
        <w:rPr>
          <w:rFonts w:ascii="Palatino Linotype" w:hAnsi="Palatino Linotype" w:cs="Arial"/>
          <w:b/>
          <w:i/>
          <w:sz w:val="24"/>
          <w:szCs w:val="24"/>
          <w:lang w:eastAsia="es-MX"/>
        </w:rPr>
        <w:t>Presupuesto de Egresos Pagado:</w:t>
      </w:r>
      <w:r w:rsidRPr="002950E6">
        <w:rPr>
          <w:rFonts w:ascii="Palatino Linotype" w:hAnsi="Palatino Linotype" w:cs="Arial"/>
          <w:i/>
          <w:sz w:val="24"/>
          <w:szCs w:val="24"/>
          <w:lang w:eastAsia="es-MX"/>
        </w:rPr>
        <w:t xml:space="preserve"> En esta cuenta se registrarán los egresos por los que se ha realizado un desembolso de efectivo o por el reconocimiento presupuestal de una erogación como consecuencia de un ingreso presupuestal, este registro se realizará en el momento de la expedición de la nómina, de liquidar el pasivo a favor de proveedores de bienes o servicios o </w:t>
      </w:r>
      <w:r w:rsidRPr="002950E6">
        <w:rPr>
          <w:rFonts w:ascii="Palatino Linotype" w:hAnsi="Palatino Linotype" w:cs="Arial"/>
          <w:b/>
          <w:i/>
          <w:sz w:val="24"/>
          <w:szCs w:val="24"/>
          <w:u w:val="single"/>
          <w:lang w:eastAsia="es-MX"/>
        </w:rPr>
        <w:t>por el pago de facturas</w:t>
      </w:r>
      <w:r w:rsidRPr="002950E6">
        <w:rPr>
          <w:rFonts w:ascii="Palatino Linotype" w:hAnsi="Palatino Linotype" w:cs="Arial"/>
          <w:i/>
          <w:sz w:val="24"/>
          <w:szCs w:val="24"/>
          <w:lang w:eastAsia="es-MX"/>
        </w:rPr>
        <w:t xml:space="preserve">, en el caso de compras de contado, se utilizará como contra-cuenta la </w:t>
      </w:r>
      <w:r w:rsidRPr="002950E6">
        <w:rPr>
          <w:rFonts w:ascii="Palatino Linotype" w:hAnsi="Palatino Linotype" w:cs="Arial"/>
          <w:i/>
          <w:sz w:val="24"/>
          <w:szCs w:val="24"/>
          <w:lang w:eastAsia="es-MX"/>
        </w:rPr>
        <w:lastRenderedPageBreak/>
        <w:t>de Presupuesto de Egresos Comprometido, Devengado o por Ejercer, según corresponda.</w:t>
      </w:r>
      <w:r>
        <w:rPr>
          <w:rFonts w:ascii="Palatino Linotype" w:hAnsi="Palatino Linotype" w:cs="Arial"/>
          <w:i/>
          <w:sz w:val="24"/>
          <w:szCs w:val="24"/>
          <w:lang w:eastAsia="es-MX"/>
        </w:rPr>
        <w:t>”</w:t>
      </w:r>
    </w:p>
    <w:p w:rsidR="00F358AF" w:rsidRDefault="00F358AF" w:rsidP="00F358AF">
      <w:pPr>
        <w:tabs>
          <w:tab w:val="left" w:pos="7938"/>
        </w:tabs>
        <w:spacing w:before="240" w:line="360" w:lineRule="auto"/>
        <w:jc w:val="both"/>
        <w:rPr>
          <w:rFonts w:ascii="Palatino Linotype" w:hAnsi="Palatino Linotype" w:cs="Arial"/>
          <w:sz w:val="24"/>
          <w:szCs w:val="24"/>
        </w:rPr>
      </w:pPr>
      <w:r w:rsidRPr="00385633">
        <w:rPr>
          <w:rFonts w:ascii="Palatino Linotype" w:hAnsi="Palatino Linotype" w:cs="Arial"/>
          <w:sz w:val="24"/>
          <w:szCs w:val="24"/>
        </w:rPr>
        <w:t xml:space="preserve">Como podemos apreciar </w:t>
      </w:r>
      <w:r>
        <w:rPr>
          <w:rFonts w:ascii="Palatino Linotype" w:hAnsi="Palatino Linotype" w:cs="Arial"/>
          <w:sz w:val="24"/>
          <w:szCs w:val="24"/>
        </w:rPr>
        <w:t xml:space="preserve">el Municipio de Tequixquiac, debe aplicar el Manual en cita respecto de la contabilidad que lleva en sus distintas operaciones, y que como hemos podido ver, estas pueden ser generadas, poseídas o administradas por diversas dependencias del Municipio, ya sea por los bienes y servicios adquiridos entre ellos </w:t>
      </w:r>
      <w:r w:rsidRPr="00D25315">
        <w:rPr>
          <w:rFonts w:ascii="Palatino Linotype" w:hAnsi="Palatino Linotype" w:cs="Arial"/>
          <w:sz w:val="24"/>
          <w:szCs w:val="24"/>
        </w:rPr>
        <w:t xml:space="preserve">el presupuesto designado para </w:t>
      </w:r>
      <w:r>
        <w:rPr>
          <w:rFonts w:ascii="Palatino Linotype" w:hAnsi="Palatino Linotype" w:cs="Arial"/>
          <w:sz w:val="24"/>
          <w:szCs w:val="24"/>
        </w:rPr>
        <w:t>la Contraloría Interna Municipal</w:t>
      </w:r>
      <w:r w:rsidRPr="00D25315">
        <w:rPr>
          <w:rFonts w:ascii="Palatino Linotype" w:hAnsi="Palatino Linotype" w:cs="Arial"/>
          <w:sz w:val="24"/>
          <w:szCs w:val="24"/>
        </w:rPr>
        <w:t>, del ejercicio 2019 así como el número total de personas contratadas</w:t>
      </w:r>
      <w:r>
        <w:rPr>
          <w:rFonts w:ascii="Palatino Linotype" w:hAnsi="Palatino Linotype" w:cs="Arial"/>
          <w:sz w:val="24"/>
          <w:szCs w:val="24"/>
        </w:rPr>
        <w:t>.</w:t>
      </w:r>
    </w:p>
    <w:p w:rsidR="00F358AF" w:rsidRDefault="00F358AF" w:rsidP="00F358AF">
      <w:pPr>
        <w:tabs>
          <w:tab w:val="left" w:pos="7938"/>
        </w:tabs>
        <w:spacing w:before="240" w:line="360" w:lineRule="auto"/>
        <w:jc w:val="both"/>
        <w:rPr>
          <w:rFonts w:ascii="Palatino Linotype" w:hAnsi="Palatino Linotype" w:cs="Arial"/>
          <w:sz w:val="24"/>
          <w:szCs w:val="24"/>
        </w:rPr>
      </w:pPr>
      <w:r w:rsidRPr="00993B53">
        <w:rPr>
          <w:rFonts w:ascii="Palatino Linotype" w:hAnsi="Palatino Linotype" w:cs="Arial"/>
          <w:sz w:val="24"/>
          <w:szCs w:val="24"/>
          <w:lang w:eastAsia="es-MX"/>
        </w:rPr>
        <w:t xml:space="preserve">En ese mismo orden de ideas resulta idóneo citar los </w:t>
      </w:r>
      <w:r w:rsidRPr="00993B53">
        <w:rPr>
          <w:rFonts w:ascii="Palatino Linotype" w:hAnsi="Palatino Linotype" w:cs="Arial"/>
          <w:sz w:val="24"/>
          <w:szCs w:val="24"/>
        </w:rPr>
        <w:t>LINEAMIENTOS PARA LA ENTREGA DEL PRESUPUESTO DE EGRESOS MUNICIPAL de</w:t>
      </w:r>
      <w:r>
        <w:rPr>
          <w:rFonts w:ascii="Palatino Linotype" w:hAnsi="Palatino Linotype" w:cs="Arial"/>
          <w:sz w:val="24"/>
          <w:szCs w:val="24"/>
        </w:rPr>
        <w:t>l</w:t>
      </w:r>
      <w:r w:rsidRPr="00993B53">
        <w:rPr>
          <w:rFonts w:ascii="Palatino Linotype" w:hAnsi="Palatino Linotype" w:cs="Arial"/>
          <w:sz w:val="24"/>
          <w:szCs w:val="24"/>
        </w:rPr>
        <w:t xml:space="preserve"> ejercicio fiscal 2019, </w:t>
      </w:r>
      <w:r>
        <w:rPr>
          <w:rFonts w:ascii="Palatino Linotype" w:hAnsi="Palatino Linotype" w:cs="Arial"/>
          <w:sz w:val="24"/>
          <w:szCs w:val="24"/>
        </w:rPr>
        <w:t xml:space="preserve">el cual </w:t>
      </w:r>
      <w:r w:rsidRPr="00993B53">
        <w:rPr>
          <w:rFonts w:ascii="Palatino Linotype" w:hAnsi="Palatino Linotype" w:cs="Arial"/>
          <w:sz w:val="24"/>
          <w:szCs w:val="24"/>
        </w:rPr>
        <w:t xml:space="preserve">prevé los formatos con </w:t>
      </w:r>
      <w:r>
        <w:rPr>
          <w:rFonts w:ascii="Palatino Linotype" w:hAnsi="Palatino Linotype" w:cs="Arial"/>
          <w:sz w:val="24"/>
          <w:szCs w:val="24"/>
        </w:rPr>
        <w:t>e</w:t>
      </w:r>
      <w:r w:rsidRPr="00993B53">
        <w:rPr>
          <w:rFonts w:ascii="Palatino Linotype" w:hAnsi="Palatino Linotype" w:cs="Arial"/>
          <w:sz w:val="24"/>
          <w:szCs w:val="24"/>
        </w:rPr>
        <w:t xml:space="preserve">l que </w:t>
      </w:r>
      <w:r>
        <w:rPr>
          <w:rFonts w:ascii="Palatino Linotype" w:hAnsi="Palatino Linotype" w:cs="Arial"/>
          <w:sz w:val="24"/>
          <w:szCs w:val="24"/>
        </w:rPr>
        <w:t xml:space="preserve">se programa </w:t>
      </w:r>
      <w:r w:rsidRPr="00993B53">
        <w:rPr>
          <w:rFonts w:ascii="Palatino Linotype" w:hAnsi="Palatino Linotype" w:cs="Arial"/>
          <w:sz w:val="24"/>
          <w:szCs w:val="24"/>
        </w:rPr>
        <w:t xml:space="preserve">el ejercicio presupuestal, para tal efecto el hoy recurrente requirió </w:t>
      </w:r>
      <w:r>
        <w:rPr>
          <w:rFonts w:ascii="Palatino Linotype" w:hAnsi="Palatino Linotype" w:cs="Arial"/>
          <w:sz w:val="24"/>
          <w:szCs w:val="24"/>
        </w:rPr>
        <w:t xml:space="preserve">el </w:t>
      </w:r>
      <w:r w:rsidRPr="009A50EA">
        <w:rPr>
          <w:rFonts w:ascii="Palatino Linotype" w:hAnsi="Palatino Linotype" w:cs="Arial"/>
          <w:color w:val="000000" w:themeColor="text1"/>
          <w:sz w:val="24"/>
          <w:szCs w:val="24"/>
        </w:rPr>
        <w:t>presupuesto total asignado a la Contraloría Interna Municipal durante los ejercicios 2016, 2017, 2018 y 2019 (</w:t>
      </w:r>
      <w:r>
        <w:rPr>
          <w:rFonts w:ascii="Palatino Linotype" w:hAnsi="Palatino Linotype" w:cs="Arial"/>
          <w:color w:val="000000" w:themeColor="text1"/>
          <w:sz w:val="24"/>
          <w:szCs w:val="24"/>
        </w:rPr>
        <w:t xml:space="preserve">aprobado y sus modificaciones), y el </w:t>
      </w:r>
      <w:r w:rsidRPr="009A50EA">
        <w:rPr>
          <w:rFonts w:ascii="Palatino Linotype" w:hAnsi="Palatino Linotype" w:cs="Arial"/>
          <w:color w:val="000000" w:themeColor="text1"/>
          <w:sz w:val="24"/>
          <w:szCs w:val="24"/>
        </w:rPr>
        <w:t>Total de egresos del capítulo 1000 “Servicios Personales” de los ejercicios 2016, 2017 y 2018, ejercidos por la Contraloría Interna Municipal y presupuesto programado para 2019 para este mismo rubro por la Contraloría Interna Municipal</w:t>
      </w:r>
      <w:r w:rsidRPr="00993B53">
        <w:rPr>
          <w:rFonts w:ascii="Palatino Linotype" w:hAnsi="Palatino Linotype" w:cs="Arial"/>
          <w:sz w:val="24"/>
          <w:szCs w:val="24"/>
        </w:rPr>
        <w:t>, para tal efecto dichos lineamientos establecen:</w:t>
      </w:r>
    </w:p>
    <w:p w:rsidR="00F358AF" w:rsidRDefault="00F358AF" w:rsidP="00F358AF">
      <w:pPr>
        <w:tabs>
          <w:tab w:val="left" w:pos="7938"/>
        </w:tabs>
        <w:spacing w:before="240" w:line="360" w:lineRule="auto"/>
        <w:jc w:val="both"/>
        <w:rPr>
          <w:rFonts w:ascii="Palatino Linotype" w:hAnsi="Palatino Linotype" w:cs="Arial"/>
          <w:sz w:val="24"/>
          <w:szCs w:val="24"/>
        </w:rPr>
      </w:pPr>
    </w:p>
    <w:p w:rsidR="00F358AF" w:rsidRDefault="00F358AF" w:rsidP="00F358AF">
      <w:pPr>
        <w:tabs>
          <w:tab w:val="left" w:pos="7938"/>
        </w:tabs>
        <w:spacing w:before="240" w:line="360" w:lineRule="auto"/>
        <w:jc w:val="center"/>
        <w:rPr>
          <w:rFonts w:ascii="Palatino Linotype" w:hAnsi="Palatino Linotype" w:cs="Arial"/>
        </w:rPr>
      </w:pPr>
      <w:r>
        <w:rPr>
          <w:noProof/>
          <w:lang w:eastAsia="es-MX"/>
        </w:rPr>
        <w:lastRenderedPageBreak/>
        <w:drawing>
          <wp:inline distT="0" distB="0" distL="0" distR="0" wp14:anchorId="3C3A1892" wp14:editId="1BCD60E6">
            <wp:extent cx="5615796" cy="7315200"/>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5797" t="21297" r="35295" b="11081"/>
                    <a:stretch/>
                  </pic:blipFill>
                  <pic:spPr bwMode="auto">
                    <a:xfrm>
                      <a:off x="0" y="0"/>
                      <a:ext cx="5667468" cy="7382508"/>
                    </a:xfrm>
                    <a:prstGeom prst="rect">
                      <a:avLst/>
                    </a:prstGeom>
                    <a:ln>
                      <a:noFill/>
                    </a:ln>
                    <a:extLst>
                      <a:ext uri="{53640926-AAD7-44D8-BBD7-CCE9431645EC}">
                        <a14:shadowObscured xmlns:a14="http://schemas.microsoft.com/office/drawing/2010/main"/>
                      </a:ext>
                    </a:extLst>
                  </pic:spPr>
                </pic:pic>
              </a:graphicData>
            </a:graphic>
          </wp:inline>
        </w:drawing>
      </w:r>
    </w:p>
    <w:p w:rsidR="00F358AF" w:rsidRPr="00BC700E" w:rsidRDefault="00F358AF" w:rsidP="00F358AF">
      <w:pPr>
        <w:tabs>
          <w:tab w:val="left" w:pos="7938"/>
        </w:tabs>
        <w:spacing w:before="240" w:line="360" w:lineRule="auto"/>
        <w:jc w:val="both"/>
        <w:rPr>
          <w:rFonts w:ascii="Palatino Linotype" w:hAnsi="Palatino Linotype" w:cs="Arial"/>
          <w:sz w:val="24"/>
          <w:szCs w:val="24"/>
        </w:rPr>
      </w:pPr>
    </w:p>
    <w:p w:rsidR="00F358AF" w:rsidRPr="00BC700E" w:rsidRDefault="00F358AF" w:rsidP="00F358AF">
      <w:pPr>
        <w:tabs>
          <w:tab w:val="left" w:pos="7938"/>
        </w:tabs>
        <w:spacing w:before="24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66432" behindDoc="0" locked="0" layoutInCell="1" allowOverlap="1" wp14:anchorId="310B1273" wp14:editId="10CF96C7">
                <wp:simplePos x="0" y="0"/>
                <wp:positionH relativeFrom="column">
                  <wp:posOffset>84431</wp:posOffset>
                </wp:positionH>
                <wp:positionV relativeFrom="paragraph">
                  <wp:posOffset>4583214</wp:posOffset>
                </wp:positionV>
                <wp:extent cx="5805577" cy="629729"/>
                <wp:effectExtent l="19050" t="19050" r="43180" b="37465"/>
                <wp:wrapNone/>
                <wp:docPr id="9" name="Rectángulo 9"/>
                <wp:cNvGraphicFramePr/>
                <a:graphic xmlns:a="http://schemas.openxmlformats.org/drawingml/2006/main">
                  <a:graphicData uri="http://schemas.microsoft.com/office/word/2010/wordprocessingShape">
                    <wps:wsp>
                      <wps:cNvSpPr/>
                      <wps:spPr>
                        <a:xfrm>
                          <a:off x="0" y="0"/>
                          <a:ext cx="5805577" cy="629729"/>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7B96DC" id="Rectángulo 9" o:spid="_x0000_s1026" style="position:absolute;margin-left:6.65pt;margin-top:360.9pt;width:457.15pt;height:49.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" filled="f" strokecolor="red" strokeweight="4.5pt"/>
            </w:pict>
          </mc:Fallback>
        </mc:AlternateContent>
      </w:r>
      <w:r>
        <w:rPr>
          <w:noProof/>
          <w:lang w:eastAsia="es-MX"/>
        </w:rPr>
        <w:drawing>
          <wp:inline distT="0" distB="0" distL="0" distR="0" wp14:anchorId="06D81156" wp14:editId="2A1DB6D5">
            <wp:extent cx="5805577" cy="7004050"/>
            <wp:effectExtent l="0" t="0" r="508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196" t="9051" r="36342" b="13745"/>
                    <a:stretch/>
                  </pic:blipFill>
                  <pic:spPr bwMode="auto">
                    <a:xfrm>
                      <a:off x="0" y="0"/>
                      <a:ext cx="5846693" cy="7053654"/>
                    </a:xfrm>
                    <a:prstGeom prst="rect">
                      <a:avLst/>
                    </a:prstGeom>
                    <a:ln>
                      <a:noFill/>
                    </a:ln>
                    <a:extLst>
                      <a:ext uri="{53640926-AAD7-44D8-BBD7-CCE9431645EC}">
                        <a14:shadowObscured xmlns:a14="http://schemas.microsoft.com/office/drawing/2010/main"/>
                      </a:ext>
                    </a:extLst>
                  </pic:spPr>
                </pic:pic>
              </a:graphicData>
            </a:graphic>
          </wp:inline>
        </w:drawing>
      </w:r>
    </w:p>
    <w:p w:rsidR="00F358AF" w:rsidRPr="00BC700E" w:rsidRDefault="00F358AF" w:rsidP="00F358AF">
      <w:pPr>
        <w:tabs>
          <w:tab w:val="left" w:pos="7938"/>
        </w:tabs>
        <w:spacing w:before="240" w:line="360" w:lineRule="auto"/>
        <w:jc w:val="both"/>
        <w:rPr>
          <w:rFonts w:ascii="Palatino Linotype" w:hAnsi="Palatino Linotype" w:cs="Arial"/>
          <w:sz w:val="24"/>
          <w:szCs w:val="24"/>
        </w:rPr>
      </w:pPr>
      <w:r>
        <w:rPr>
          <w:noProof/>
          <w:lang w:eastAsia="es-MX"/>
        </w:rPr>
        <w:lastRenderedPageBreak/>
        <w:drawing>
          <wp:inline distT="0" distB="0" distL="0" distR="0" wp14:anchorId="50FBD1C2" wp14:editId="67AAEB25">
            <wp:extent cx="5813425" cy="43243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98" t="7457" r="4164" b="34232"/>
                    <a:stretch/>
                  </pic:blipFill>
                  <pic:spPr bwMode="auto">
                    <a:xfrm>
                      <a:off x="0" y="0"/>
                      <a:ext cx="5849389" cy="4351102"/>
                    </a:xfrm>
                    <a:prstGeom prst="rect">
                      <a:avLst/>
                    </a:prstGeom>
                    <a:ln>
                      <a:noFill/>
                    </a:ln>
                    <a:extLst>
                      <a:ext uri="{53640926-AAD7-44D8-BBD7-CCE9431645EC}">
                        <a14:shadowObscured xmlns:a14="http://schemas.microsoft.com/office/drawing/2010/main"/>
                      </a:ext>
                    </a:extLst>
                  </pic:spPr>
                </pic:pic>
              </a:graphicData>
            </a:graphic>
          </wp:inline>
        </w:drawing>
      </w:r>
    </w:p>
    <w:p w:rsidR="00F358AF" w:rsidRDefault="00F358AF" w:rsidP="00F358AF">
      <w:pPr>
        <w:tabs>
          <w:tab w:val="left" w:pos="7938"/>
        </w:tabs>
        <w:spacing w:before="240" w:line="360" w:lineRule="auto"/>
        <w:jc w:val="both"/>
        <w:rPr>
          <w:rFonts w:ascii="Palatino Linotype" w:hAnsi="Palatino Linotype" w:cs="Arial"/>
          <w:sz w:val="24"/>
          <w:szCs w:val="24"/>
        </w:rPr>
      </w:pPr>
      <w:r>
        <w:rPr>
          <w:noProof/>
          <w:lang w:eastAsia="es-MX"/>
        </w:rPr>
        <w:drawing>
          <wp:inline distT="0" distB="0" distL="0" distR="0" wp14:anchorId="230BEB52" wp14:editId="1B4F6C74">
            <wp:extent cx="5882640" cy="2066925"/>
            <wp:effectExtent l="0" t="0" r="381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4645" b="49686"/>
                    <a:stretch/>
                  </pic:blipFill>
                  <pic:spPr bwMode="auto">
                    <a:xfrm>
                      <a:off x="0" y="0"/>
                      <a:ext cx="5906965" cy="2075472"/>
                    </a:xfrm>
                    <a:prstGeom prst="rect">
                      <a:avLst/>
                    </a:prstGeom>
                    <a:ln>
                      <a:noFill/>
                    </a:ln>
                    <a:extLst>
                      <a:ext uri="{53640926-AAD7-44D8-BBD7-CCE9431645EC}">
                        <a14:shadowObscured xmlns:a14="http://schemas.microsoft.com/office/drawing/2010/main"/>
                      </a:ext>
                    </a:extLst>
                  </pic:spPr>
                </pic:pic>
              </a:graphicData>
            </a:graphic>
          </wp:inline>
        </w:drawing>
      </w:r>
    </w:p>
    <w:p w:rsidR="00F358AF" w:rsidRDefault="00F358AF" w:rsidP="00F358AF">
      <w:pPr>
        <w:tabs>
          <w:tab w:val="left" w:pos="7938"/>
        </w:tabs>
        <w:spacing w:before="240" w:line="360" w:lineRule="auto"/>
        <w:jc w:val="both"/>
        <w:rPr>
          <w:rFonts w:ascii="Palatino Linotype" w:hAnsi="Palatino Linotype" w:cs="Arial"/>
          <w:sz w:val="24"/>
          <w:szCs w:val="24"/>
        </w:rPr>
      </w:pPr>
    </w:p>
    <w:p w:rsidR="00F358AF" w:rsidRPr="00FE5E26" w:rsidRDefault="00F358AF" w:rsidP="00F358AF">
      <w:pPr>
        <w:tabs>
          <w:tab w:val="left" w:pos="7938"/>
        </w:tabs>
        <w:spacing w:before="240" w:line="360" w:lineRule="auto"/>
        <w:jc w:val="both"/>
        <w:rPr>
          <w:rFonts w:ascii="Palatino Linotype" w:hAnsi="Palatino Linotype" w:cs="Arial"/>
          <w:sz w:val="24"/>
          <w:szCs w:val="24"/>
        </w:rPr>
      </w:pPr>
      <w:r w:rsidRPr="00FE5E26">
        <w:rPr>
          <w:rFonts w:ascii="Palatino Linotype" w:hAnsi="Palatino Linotype" w:cs="Arial"/>
          <w:sz w:val="24"/>
          <w:szCs w:val="24"/>
        </w:rPr>
        <w:lastRenderedPageBreak/>
        <w:t>Para tal efecto el MANUAL PARA LA PLANEACIÓN, PROGRAMACIÓN Y PRESUPUESTO DE EGRESOS MUNICIPAL PARA EL EJERCICIO FISCAL 2019, establece en la página 1</w:t>
      </w:r>
      <w:r>
        <w:rPr>
          <w:rFonts w:ascii="Palatino Linotype" w:hAnsi="Palatino Linotype" w:cs="Arial"/>
          <w:sz w:val="24"/>
          <w:szCs w:val="24"/>
        </w:rPr>
        <w:t>55</w:t>
      </w:r>
      <w:r w:rsidRPr="00FE5E26">
        <w:rPr>
          <w:rFonts w:ascii="Palatino Linotype" w:hAnsi="Palatino Linotype" w:cs="Arial"/>
          <w:sz w:val="24"/>
          <w:szCs w:val="24"/>
        </w:rPr>
        <w:t>, lo siguiente:</w:t>
      </w:r>
    </w:p>
    <w:p w:rsidR="00F358AF" w:rsidRDefault="00F358AF" w:rsidP="00F358AF">
      <w:pPr>
        <w:tabs>
          <w:tab w:val="left" w:pos="7938"/>
        </w:tabs>
        <w:spacing w:before="240" w:line="360" w:lineRule="auto"/>
        <w:jc w:val="center"/>
        <w:rPr>
          <w:rFonts w:ascii="Palatino Linotype" w:hAnsi="Palatino Linotype" w:cs="Arial"/>
        </w:rPr>
      </w:pPr>
      <w:r>
        <w:rPr>
          <w:noProof/>
          <w:lang w:eastAsia="es-MX"/>
        </w:rPr>
        <w:drawing>
          <wp:inline distT="0" distB="0" distL="0" distR="0" wp14:anchorId="51005271" wp14:editId="14678AA7">
            <wp:extent cx="5770245" cy="6324600"/>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013" t="15441" r="26756" b="21466"/>
                    <a:stretch/>
                  </pic:blipFill>
                  <pic:spPr bwMode="auto">
                    <a:xfrm>
                      <a:off x="0" y="0"/>
                      <a:ext cx="5805801" cy="6363572"/>
                    </a:xfrm>
                    <a:prstGeom prst="rect">
                      <a:avLst/>
                    </a:prstGeom>
                    <a:ln>
                      <a:noFill/>
                    </a:ln>
                    <a:extLst>
                      <a:ext uri="{53640926-AAD7-44D8-BBD7-CCE9431645EC}">
                        <a14:shadowObscured xmlns:a14="http://schemas.microsoft.com/office/drawing/2010/main"/>
                      </a:ext>
                    </a:extLst>
                  </pic:spPr>
                </pic:pic>
              </a:graphicData>
            </a:graphic>
          </wp:inline>
        </w:drawing>
      </w:r>
    </w:p>
    <w:p w:rsidR="00F358AF" w:rsidRDefault="00F358AF" w:rsidP="00F358AF">
      <w:pPr>
        <w:tabs>
          <w:tab w:val="left" w:pos="7938"/>
        </w:tabs>
        <w:spacing w:before="240" w:line="360" w:lineRule="auto"/>
        <w:jc w:val="both"/>
        <w:rPr>
          <w:rFonts w:ascii="Palatino Linotype" w:hAnsi="Palatino Linotype" w:cs="Arial"/>
          <w:sz w:val="24"/>
          <w:szCs w:val="24"/>
        </w:rPr>
      </w:pPr>
      <w:r>
        <w:rPr>
          <w:noProof/>
          <w:lang w:eastAsia="es-MX"/>
        </w:rPr>
        <w:lastRenderedPageBreak/>
        <w:drawing>
          <wp:inline distT="0" distB="0" distL="0" distR="0" wp14:anchorId="633ED4B9" wp14:editId="7C73B5EA">
            <wp:extent cx="5744845" cy="4097547"/>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315" t="24758" r="26300" b="22257"/>
                    <a:stretch/>
                  </pic:blipFill>
                  <pic:spPr bwMode="auto">
                    <a:xfrm>
                      <a:off x="0" y="0"/>
                      <a:ext cx="5783787" cy="4125323"/>
                    </a:xfrm>
                    <a:prstGeom prst="rect">
                      <a:avLst/>
                    </a:prstGeom>
                    <a:ln>
                      <a:noFill/>
                    </a:ln>
                    <a:extLst>
                      <a:ext uri="{53640926-AAD7-44D8-BBD7-CCE9431645EC}">
                        <a14:shadowObscured xmlns:a14="http://schemas.microsoft.com/office/drawing/2010/main"/>
                      </a:ext>
                    </a:extLst>
                  </pic:spPr>
                </pic:pic>
              </a:graphicData>
            </a:graphic>
          </wp:inline>
        </w:drawing>
      </w:r>
    </w:p>
    <w:p w:rsidR="00F358AF" w:rsidRPr="00FB084A" w:rsidRDefault="00F358AF" w:rsidP="00F358AF">
      <w:pPr>
        <w:tabs>
          <w:tab w:val="left" w:pos="7938"/>
        </w:tabs>
        <w:spacing w:before="240" w:line="360" w:lineRule="auto"/>
        <w:jc w:val="both"/>
        <w:rPr>
          <w:rFonts w:ascii="Palatino Linotype" w:hAnsi="Palatino Linotype" w:cs="Arial"/>
          <w:sz w:val="24"/>
          <w:szCs w:val="24"/>
        </w:rPr>
      </w:pPr>
      <w:r w:rsidRPr="00FE5E26">
        <w:rPr>
          <w:rFonts w:ascii="Palatino Linotype" w:hAnsi="Palatino Linotype" w:cs="Arial"/>
          <w:sz w:val="24"/>
          <w:szCs w:val="24"/>
        </w:rPr>
        <w:t>En este formato y de acuerdo a su instructivo de llenado en el apartado “</w:t>
      </w:r>
      <w:r>
        <w:rPr>
          <w:rFonts w:ascii="Palatino Linotype" w:hAnsi="Palatino Linotype" w:cs="Arial"/>
          <w:sz w:val="24"/>
          <w:szCs w:val="24"/>
        </w:rPr>
        <w:t>Dependencia General</w:t>
      </w:r>
      <w:r w:rsidRPr="00FE5E26">
        <w:rPr>
          <w:rFonts w:ascii="Palatino Linotype" w:hAnsi="Palatino Linotype" w:cs="Arial"/>
          <w:sz w:val="24"/>
          <w:szCs w:val="24"/>
        </w:rPr>
        <w:t xml:space="preserve">”, se </w:t>
      </w:r>
      <w:r w:rsidRPr="000E372D">
        <w:rPr>
          <w:rFonts w:ascii="Palatino Linotype" w:hAnsi="Palatino Linotype" w:cs="Arial"/>
          <w:sz w:val="24"/>
          <w:szCs w:val="24"/>
        </w:rPr>
        <w:t>anotará el código y denominación que corresponda a la dependencia u organismo responsable de la ejecución del programa, de acuerdo al Catálogo de Dependencias, anexo al presente manual</w:t>
      </w:r>
      <w:r w:rsidRPr="00FE5E26">
        <w:rPr>
          <w:rFonts w:ascii="Palatino Linotype" w:hAnsi="Palatino Linotype" w:cs="Arial"/>
          <w:sz w:val="24"/>
          <w:szCs w:val="24"/>
        </w:rPr>
        <w:t xml:space="preserve">, por ende es que se considera que si bien la información remitida corresponde a lo solicitado, en ese sentido es dable ordenar al sujeto obligado que remita la información, consistente </w:t>
      </w:r>
      <w:r w:rsidRPr="00FB084A">
        <w:rPr>
          <w:rFonts w:ascii="Palatino Linotype" w:hAnsi="Palatino Linotype" w:cs="Arial"/>
          <w:sz w:val="24"/>
          <w:szCs w:val="24"/>
        </w:rPr>
        <w:t>en</w:t>
      </w:r>
      <w:r>
        <w:rPr>
          <w:rFonts w:ascii="Palatino Linotype" w:hAnsi="Palatino Linotype" w:cs="Arial"/>
          <w:sz w:val="24"/>
          <w:szCs w:val="24"/>
        </w:rPr>
        <w:t xml:space="preserve"> el</w:t>
      </w:r>
      <w:r w:rsidRPr="00FB084A">
        <w:rPr>
          <w:rFonts w:ascii="Palatino Linotype" w:hAnsi="Palatino Linotype" w:cs="Arial"/>
          <w:sz w:val="24"/>
          <w:szCs w:val="24"/>
        </w:rPr>
        <w:t xml:space="preserve"> </w:t>
      </w:r>
      <w:r>
        <w:rPr>
          <w:rFonts w:ascii="Palatino Linotype" w:hAnsi="Palatino Linotype" w:cs="Arial"/>
          <w:color w:val="000000" w:themeColor="text1"/>
          <w:sz w:val="24"/>
          <w:szCs w:val="24"/>
        </w:rPr>
        <w:t xml:space="preserve">Presupuesto total asignado a la Contraloría Interna Municipal durante los ejercicios 2016, 2017, 2018 y 2019 (aprobado y sus modificaciones), y el Total de egresos del capítulo 1000 “Servicios Personales” de los ejercicios 2016, 2017 y 2018, ejercidos por la Contraloría Interna </w:t>
      </w:r>
      <w:r>
        <w:rPr>
          <w:rFonts w:ascii="Palatino Linotype" w:hAnsi="Palatino Linotype" w:cs="Arial"/>
          <w:color w:val="000000" w:themeColor="text1"/>
          <w:sz w:val="24"/>
          <w:szCs w:val="24"/>
        </w:rPr>
        <w:lastRenderedPageBreak/>
        <w:t>Municipal y presupuesto programado para 2019 para este mismo rubro por la Contraloría Interna Municipal</w:t>
      </w:r>
      <w:r>
        <w:rPr>
          <w:rFonts w:ascii="Palatino Linotype" w:hAnsi="Palatino Linotype" w:cs="Arial"/>
          <w:sz w:val="24"/>
          <w:szCs w:val="24"/>
        </w:rPr>
        <w:t>.</w:t>
      </w:r>
    </w:p>
    <w:p w:rsidR="00F358AF" w:rsidRDefault="00F358AF" w:rsidP="00F358AF">
      <w:pPr>
        <w:tabs>
          <w:tab w:val="left" w:pos="7938"/>
        </w:tabs>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Manual en cita en su apartado </w:t>
      </w:r>
      <w:r w:rsidRPr="00FB084A">
        <w:rPr>
          <w:rFonts w:ascii="Palatino Linotype" w:hAnsi="Palatino Linotype" w:cs="Arial"/>
          <w:sz w:val="24"/>
          <w:szCs w:val="24"/>
        </w:rPr>
        <w:t>IV.2 CLASIFICADOR POR OBJETO DEL GASTO 2019</w:t>
      </w:r>
      <w:r>
        <w:rPr>
          <w:rFonts w:ascii="Palatino Linotype" w:hAnsi="Palatino Linotype" w:cs="Arial"/>
          <w:sz w:val="24"/>
          <w:szCs w:val="24"/>
        </w:rPr>
        <w:t>, se establece lo siguiente:</w:t>
      </w:r>
    </w:p>
    <w:p w:rsidR="00F358AF" w:rsidRDefault="00F358AF" w:rsidP="00F358AF">
      <w:pPr>
        <w:tabs>
          <w:tab w:val="left" w:pos="709"/>
        </w:tabs>
        <w:spacing w:before="240" w:line="360" w:lineRule="auto"/>
        <w:ind w:left="851" w:right="760"/>
        <w:jc w:val="both"/>
        <w:rPr>
          <w:rFonts w:ascii="Palatino Linotype" w:hAnsi="Palatino Linotype" w:cs="Arial"/>
          <w:i/>
          <w:sz w:val="24"/>
          <w:szCs w:val="24"/>
          <w:lang w:eastAsia="es-MX"/>
        </w:rPr>
      </w:pPr>
      <w:r w:rsidRPr="00F9604E">
        <w:rPr>
          <w:rFonts w:ascii="Palatino Linotype" w:hAnsi="Palatino Linotype" w:cs="Arial"/>
          <w:i/>
          <w:sz w:val="24"/>
          <w:szCs w:val="24"/>
          <w:lang w:eastAsia="es-MX"/>
        </w:rPr>
        <w:t>ESTRUCTURA DE CODIFICACIÓN: La estructura del Clasificador por Objeto del Gasto se diseñó con un nivel de desagregación que permite que sus cuentas faciliten el registro único de todas las transacciones con incidencia económica – financiera es por ello que la armonización se realiza a tercer digito que corresponde a la partida genérica, dejando en poder de las entidades federativas, la desagregación e identificación de la partida específica, dando origen a la siguiente estructura:</w:t>
      </w:r>
    </w:p>
    <w:tbl>
      <w:tblPr>
        <w:tblStyle w:val="Tablaconcuadrcula"/>
        <w:tblW w:w="9209" w:type="dxa"/>
        <w:tblInd w:w="-5" w:type="dxa"/>
        <w:tblLook w:val="04A0" w:firstRow="1" w:lastRow="0" w:firstColumn="1" w:lastColumn="0" w:noHBand="0" w:noVBand="1"/>
      </w:tblPr>
      <w:tblGrid>
        <w:gridCol w:w="2053"/>
        <w:gridCol w:w="3050"/>
        <w:gridCol w:w="2053"/>
        <w:gridCol w:w="2053"/>
      </w:tblGrid>
      <w:tr w:rsidR="00F358AF" w:rsidRPr="00F9604E" w:rsidTr="00126259">
        <w:tc>
          <w:tcPr>
            <w:tcW w:w="9209" w:type="dxa"/>
            <w:gridSpan w:val="4"/>
            <w:vAlign w:val="center"/>
          </w:tcPr>
          <w:p w:rsidR="00F358AF" w:rsidRPr="00F9604E" w:rsidRDefault="00F358AF" w:rsidP="00F358AF">
            <w:pPr>
              <w:tabs>
                <w:tab w:val="left" w:pos="709"/>
              </w:tabs>
              <w:spacing w:before="240" w:line="360" w:lineRule="auto"/>
              <w:ind w:right="28"/>
              <w:jc w:val="center"/>
              <w:rPr>
                <w:rFonts w:ascii="Palatino Linotype" w:hAnsi="Palatino Linotype" w:cs="Arial"/>
                <w:sz w:val="20"/>
                <w:szCs w:val="20"/>
                <w:lang w:eastAsia="es-MX"/>
              </w:rPr>
            </w:pPr>
            <w:r w:rsidRPr="00F9604E">
              <w:rPr>
                <w:rFonts w:ascii="Palatino Linotype" w:hAnsi="Palatino Linotype" w:cs="Arial"/>
                <w:sz w:val="20"/>
                <w:szCs w:val="20"/>
                <w:lang w:eastAsia="es-MX"/>
              </w:rPr>
              <w:t>CODIFICACIÓN</w:t>
            </w:r>
          </w:p>
        </w:tc>
      </w:tr>
      <w:tr w:rsidR="00F358AF" w:rsidRPr="00F9604E" w:rsidTr="00126259">
        <w:tc>
          <w:tcPr>
            <w:tcW w:w="2053" w:type="dxa"/>
            <w:vMerge w:val="restart"/>
            <w:shd w:val="clear" w:color="auto" w:fill="D9D9D9" w:themeFill="background1" w:themeFillShade="D9"/>
            <w:vAlign w:val="center"/>
          </w:tcPr>
          <w:p w:rsidR="00F358AF" w:rsidRPr="00F9604E" w:rsidRDefault="00F358AF" w:rsidP="00F358AF">
            <w:pPr>
              <w:tabs>
                <w:tab w:val="left" w:pos="709"/>
              </w:tabs>
              <w:spacing w:before="240" w:line="360" w:lineRule="auto"/>
              <w:ind w:right="104"/>
              <w:jc w:val="center"/>
              <w:rPr>
                <w:rFonts w:ascii="Palatino Linotype" w:hAnsi="Palatino Linotype" w:cs="Arial"/>
                <w:sz w:val="20"/>
                <w:szCs w:val="20"/>
                <w:lang w:eastAsia="es-MX"/>
              </w:rPr>
            </w:pPr>
            <w:r w:rsidRPr="00F9604E">
              <w:rPr>
                <w:rFonts w:ascii="Palatino Linotype" w:hAnsi="Palatino Linotype" w:cs="Arial"/>
                <w:sz w:val="20"/>
                <w:szCs w:val="20"/>
                <w:lang w:eastAsia="es-MX"/>
              </w:rPr>
              <w:t>CAPITULO</w:t>
            </w:r>
          </w:p>
        </w:tc>
        <w:tc>
          <w:tcPr>
            <w:tcW w:w="3050" w:type="dxa"/>
            <w:vMerge w:val="restart"/>
            <w:shd w:val="clear" w:color="auto" w:fill="D9D9D9" w:themeFill="background1" w:themeFillShade="D9"/>
            <w:vAlign w:val="center"/>
          </w:tcPr>
          <w:p w:rsidR="00F358AF" w:rsidRPr="00F9604E" w:rsidRDefault="00F358AF" w:rsidP="00F358AF">
            <w:pPr>
              <w:tabs>
                <w:tab w:val="left" w:pos="709"/>
              </w:tabs>
              <w:spacing w:before="240" w:line="360" w:lineRule="auto"/>
              <w:ind w:right="33"/>
              <w:jc w:val="center"/>
              <w:rPr>
                <w:rFonts w:ascii="Palatino Linotype" w:hAnsi="Palatino Linotype" w:cs="Arial"/>
                <w:sz w:val="20"/>
                <w:szCs w:val="20"/>
                <w:lang w:eastAsia="es-MX"/>
              </w:rPr>
            </w:pPr>
            <w:r w:rsidRPr="00F9604E">
              <w:rPr>
                <w:rFonts w:ascii="Palatino Linotype" w:hAnsi="Palatino Linotype" w:cs="Arial"/>
                <w:sz w:val="20"/>
                <w:szCs w:val="20"/>
                <w:lang w:eastAsia="es-MX"/>
              </w:rPr>
              <w:t>CONCEPTO (SUBCAPÍTULO)</w:t>
            </w:r>
          </w:p>
        </w:tc>
        <w:tc>
          <w:tcPr>
            <w:tcW w:w="4106" w:type="dxa"/>
            <w:gridSpan w:val="2"/>
            <w:shd w:val="clear" w:color="auto" w:fill="D9D9D9" w:themeFill="background1" w:themeFillShade="D9"/>
          </w:tcPr>
          <w:p w:rsidR="00F358AF" w:rsidRPr="00F9604E" w:rsidRDefault="00F358AF" w:rsidP="00F358AF">
            <w:pPr>
              <w:tabs>
                <w:tab w:val="left" w:pos="709"/>
              </w:tabs>
              <w:spacing w:before="240" w:line="360" w:lineRule="auto"/>
              <w:ind w:right="28"/>
              <w:jc w:val="center"/>
              <w:rPr>
                <w:rFonts w:ascii="Palatino Linotype" w:hAnsi="Palatino Linotype" w:cs="Arial"/>
                <w:sz w:val="20"/>
                <w:szCs w:val="20"/>
                <w:lang w:eastAsia="es-MX"/>
              </w:rPr>
            </w:pPr>
            <w:r w:rsidRPr="00F9604E">
              <w:rPr>
                <w:rFonts w:ascii="Palatino Linotype" w:hAnsi="Palatino Linotype" w:cs="Arial"/>
                <w:sz w:val="20"/>
                <w:szCs w:val="20"/>
                <w:lang w:eastAsia="es-MX"/>
              </w:rPr>
              <w:t>PARTIDA</w:t>
            </w:r>
          </w:p>
        </w:tc>
      </w:tr>
      <w:tr w:rsidR="00F358AF" w:rsidRPr="00F9604E" w:rsidTr="00126259">
        <w:tc>
          <w:tcPr>
            <w:tcW w:w="2053" w:type="dxa"/>
            <w:vMerge/>
            <w:shd w:val="clear" w:color="auto" w:fill="D9D9D9" w:themeFill="background1" w:themeFillShade="D9"/>
          </w:tcPr>
          <w:p w:rsidR="00F358AF" w:rsidRPr="00F9604E" w:rsidRDefault="00F358AF" w:rsidP="00F358AF">
            <w:pPr>
              <w:tabs>
                <w:tab w:val="left" w:pos="709"/>
              </w:tabs>
              <w:spacing w:before="240" w:line="360" w:lineRule="auto"/>
              <w:ind w:right="104"/>
              <w:jc w:val="center"/>
              <w:rPr>
                <w:rFonts w:ascii="Palatino Linotype" w:hAnsi="Palatino Linotype" w:cs="Arial"/>
                <w:sz w:val="20"/>
                <w:szCs w:val="20"/>
                <w:lang w:eastAsia="es-MX"/>
              </w:rPr>
            </w:pPr>
          </w:p>
        </w:tc>
        <w:tc>
          <w:tcPr>
            <w:tcW w:w="3050" w:type="dxa"/>
            <w:vMerge/>
            <w:shd w:val="clear" w:color="auto" w:fill="D9D9D9" w:themeFill="background1" w:themeFillShade="D9"/>
          </w:tcPr>
          <w:p w:rsidR="00F358AF" w:rsidRPr="00F9604E" w:rsidRDefault="00F358AF" w:rsidP="00F358AF">
            <w:pPr>
              <w:tabs>
                <w:tab w:val="left" w:pos="709"/>
              </w:tabs>
              <w:spacing w:before="240" w:line="360" w:lineRule="auto"/>
              <w:ind w:right="104"/>
              <w:jc w:val="center"/>
              <w:rPr>
                <w:rFonts w:ascii="Palatino Linotype" w:hAnsi="Palatino Linotype" w:cs="Arial"/>
                <w:sz w:val="20"/>
                <w:szCs w:val="20"/>
                <w:lang w:eastAsia="es-MX"/>
              </w:rPr>
            </w:pPr>
          </w:p>
        </w:tc>
        <w:tc>
          <w:tcPr>
            <w:tcW w:w="2053" w:type="dxa"/>
            <w:shd w:val="clear" w:color="auto" w:fill="D9D9D9" w:themeFill="background1" w:themeFillShade="D9"/>
          </w:tcPr>
          <w:p w:rsidR="00F358AF" w:rsidRPr="00F9604E" w:rsidRDefault="00F358AF" w:rsidP="00F358AF">
            <w:pPr>
              <w:tabs>
                <w:tab w:val="left" w:pos="709"/>
              </w:tabs>
              <w:spacing w:before="240" w:line="360" w:lineRule="auto"/>
              <w:ind w:right="104"/>
              <w:jc w:val="center"/>
              <w:rPr>
                <w:rFonts w:ascii="Palatino Linotype" w:hAnsi="Palatino Linotype" w:cs="Arial"/>
                <w:sz w:val="20"/>
                <w:szCs w:val="20"/>
                <w:lang w:eastAsia="es-MX"/>
              </w:rPr>
            </w:pPr>
            <w:r w:rsidRPr="00F9604E">
              <w:rPr>
                <w:rFonts w:ascii="Palatino Linotype" w:hAnsi="Palatino Linotype" w:cs="Arial"/>
                <w:sz w:val="20"/>
                <w:szCs w:val="20"/>
                <w:lang w:eastAsia="es-MX"/>
              </w:rPr>
              <w:t xml:space="preserve">GENÉRICA </w:t>
            </w:r>
          </w:p>
        </w:tc>
        <w:tc>
          <w:tcPr>
            <w:tcW w:w="2053" w:type="dxa"/>
            <w:shd w:val="clear" w:color="auto" w:fill="D9D9D9" w:themeFill="background1" w:themeFillShade="D9"/>
          </w:tcPr>
          <w:p w:rsidR="00F358AF" w:rsidRPr="00F9604E" w:rsidRDefault="00F358AF" w:rsidP="00F358AF">
            <w:pPr>
              <w:tabs>
                <w:tab w:val="left" w:pos="709"/>
              </w:tabs>
              <w:spacing w:before="240" w:line="360" w:lineRule="auto"/>
              <w:ind w:right="104"/>
              <w:jc w:val="center"/>
              <w:rPr>
                <w:rFonts w:ascii="Palatino Linotype" w:hAnsi="Palatino Linotype" w:cs="Arial"/>
                <w:sz w:val="20"/>
                <w:szCs w:val="20"/>
                <w:lang w:eastAsia="es-MX"/>
              </w:rPr>
            </w:pPr>
            <w:r w:rsidRPr="00F9604E">
              <w:rPr>
                <w:rFonts w:ascii="Palatino Linotype" w:hAnsi="Palatino Linotype" w:cs="Arial"/>
                <w:sz w:val="20"/>
                <w:szCs w:val="20"/>
                <w:lang w:eastAsia="es-MX"/>
              </w:rPr>
              <w:t xml:space="preserve">ESPECÍFICA </w:t>
            </w:r>
          </w:p>
        </w:tc>
      </w:tr>
      <w:tr w:rsidR="00F358AF" w:rsidRPr="00F9604E" w:rsidTr="00126259">
        <w:tc>
          <w:tcPr>
            <w:tcW w:w="2053" w:type="dxa"/>
          </w:tcPr>
          <w:p w:rsidR="00F358AF" w:rsidRDefault="00F358AF" w:rsidP="00F358AF">
            <w:pPr>
              <w:tabs>
                <w:tab w:val="left" w:pos="709"/>
              </w:tabs>
              <w:spacing w:before="240"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1000</w:t>
            </w:r>
          </w:p>
          <w:p w:rsidR="00F358AF" w:rsidRDefault="00F358AF" w:rsidP="00F358AF">
            <w:pPr>
              <w:tabs>
                <w:tab w:val="left" w:pos="709"/>
              </w:tabs>
              <w:spacing w:before="240"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 xml:space="preserve">Servicios </w:t>
            </w:r>
          </w:p>
          <w:p w:rsidR="00F358AF" w:rsidRPr="00F9604E" w:rsidRDefault="00F358AF" w:rsidP="00F358AF">
            <w:pPr>
              <w:tabs>
                <w:tab w:val="left" w:pos="709"/>
              </w:tabs>
              <w:spacing w:before="240"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personales</w:t>
            </w:r>
          </w:p>
        </w:tc>
        <w:tc>
          <w:tcPr>
            <w:tcW w:w="3050" w:type="dxa"/>
          </w:tcPr>
          <w:p w:rsidR="00F358AF" w:rsidRDefault="00F358AF" w:rsidP="00F358AF">
            <w:pPr>
              <w:tabs>
                <w:tab w:val="left" w:pos="709"/>
              </w:tabs>
              <w:spacing w:before="240"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1100</w:t>
            </w:r>
          </w:p>
          <w:p w:rsidR="00F358AF" w:rsidRPr="00F9604E" w:rsidRDefault="00F358AF" w:rsidP="00F358AF">
            <w:pPr>
              <w:tabs>
                <w:tab w:val="left" w:pos="709"/>
              </w:tabs>
              <w:spacing w:before="240" w:line="360" w:lineRule="auto"/>
              <w:ind w:right="104"/>
              <w:jc w:val="center"/>
              <w:rPr>
                <w:rFonts w:ascii="Palatino Linotype" w:hAnsi="Palatino Linotype" w:cs="Arial"/>
                <w:sz w:val="20"/>
                <w:szCs w:val="20"/>
                <w:lang w:eastAsia="es-MX"/>
              </w:rPr>
            </w:pPr>
            <w:r w:rsidRPr="008258BC">
              <w:rPr>
                <w:rFonts w:ascii="Palatino Linotype" w:hAnsi="Palatino Linotype" w:cs="Arial"/>
                <w:sz w:val="20"/>
                <w:szCs w:val="20"/>
                <w:lang w:eastAsia="es-MX"/>
              </w:rPr>
              <w:t>Remuneraciones al personal de carácter permanente</w:t>
            </w:r>
          </w:p>
        </w:tc>
        <w:tc>
          <w:tcPr>
            <w:tcW w:w="2053" w:type="dxa"/>
            <w:vAlign w:val="center"/>
          </w:tcPr>
          <w:p w:rsidR="00F358AF" w:rsidRDefault="00F358AF" w:rsidP="00F358AF">
            <w:pPr>
              <w:tabs>
                <w:tab w:val="left" w:pos="709"/>
              </w:tabs>
              <w:spacing w:before="240"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1110</w:t>
            </w:r>
          </w:p>
          <w:p w:rsidR="00F358AF" w:rsidRPr="00F9604E" w:rsidRDefault="00F358AF" w:rsidP="00F358AF">
            <w:pPr>
              <w:tabs>
                <w:tab w:val="left" w:pos="709"/>
              </w:tabs>
              <w:spacing w:before="240"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Dietas</w:t>
            </w:r>
          </w:p>
        </w:tc>
        <w:tc>
          <w:tcPr>
            <w:tcW w:w="2053" w:type="dxa"/>
            <w:vAlign w:val="center"/>
          </w:tcPr>
          <w:p w:rsidR="00F358AF" w:rsidRDefault="00F358AF" w:rsidP="00F358AF">
            <w:pPr>
              <w:tabs>
                <w:tab w:val="left" w:pos="709"/>
              </w:tabs>
              <w:spacing w:before="240"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1111</w:t>
            </w:r>
          </w:p>
          <w:p w:rsidR="00F358AF" w:rsidRPr="00F9604E" w:rsidRDefault="00F358AF" w:rsidP="00F358AF">
            <w:pPr>
              <w:tabs>
                <w:tab w:val="left" w:pos="709"/>
              </w:tabs>
              <w:spacing w:before="240"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Dietas</w:t>
            </w:r>
          </w:p>
        </w:tc>
      </w:tr>
    </w:tbl>
    <w:p w:rsidR="00F358AF" w:rsidRDefault="00F358AF" w:rsidP="00F358AF">
      <w:pPr>
        <w:tabs>
          <w:tab w:val="left" w:pos="709"/>
        </w:tabs>
        <w:spacing w:before="240" w:line="360" w:lineRule="auto"/>
        <w:ind w:left="851" w:right="760"/>
        <w:jc w:val="both"/>
        <w:rPr>
          <w:rFonts w:ascii="Palatino Linotype" w:hAnsi="Palatino Linotype" w:cs="Arial"/>
          <w:i/>
          <w:sz w:val="24"/>
          <w:szCs w:val="24"/>
          <w:lang w:eastAsia="es-MX"/>
        </w:rPr>
      </w:pPr>
      <w:r>
        <w:rPr>
          <w:rFonts w:ascii="Palatino Linotype" w:hAnsi="Palatino Linotype" w:cs="Arial"/>
          <w:i/>
          <w:sz w:val="24"/>
          <w:szCs w:val="24"/>
          <w:lang w:eastAsia="es-MX"/>
        </w:rPr>
        <w:t>…</w:t>
      </w:r>
    </w:p>
    <w:p w:rsidR="00F358AF" w:rsidRPr="008258BC" w:rsidRDefault="00F358AF" w:rsidP="00F358AF">
      <w:pPr>
        <w:tabs>
          <w:tab w:val="left" w:pos="709"/>
        </w:tabs>
        <w:spacing w:before="240" w:line="360" w:lineRule="auto"/>
        <w:ind w:left="851" w:right="760"/>
        <w:jc w:val="both"/>
        <w:rPr>
          <w:rFonts w:ascii="Palatino Linotype" w:hAnsi="Palatino Linotype" w:cs="Arial"/>
          <w:i/>
          <w:sz w:val="24"/>
          <w:szCs w:val="24"/>
          <w:lang w:eastAsia="es-MX"/>
        </w:rPr>
      </w:pPr>
      <w:r w:rsidRPr="008258BC">
        <w:rPr>
          <w:rFonts w:ascii="Palatino Linotype" w:hAnsi="Palatino Linotype" w:cs="Arial"/>
          <w:i/>
          <w:sz w:val="24"/>
          <w:szCs w:val="24"/>
          <w:lang w:eastAsia="es-MX"/>
        </w:rPr>
        <w:t xml:space="preserve">De acuerdo a este nivel de desagregación del “Clasificador por Objeto del Gasto Estatal y Municipal”, la definición de los Capítulos de gasto es la siguiente: </w:t>
      </w:r>
    </w:p>
    <w:p w:rsidR="00F358AF" w:rsidRPr="008258BC" w:rsidRDefault="00F358AF" w:rsidP="00F358AF">
      <w:pPr>
        <w:tabs>
          <w:tab w:val="left" w:pos="709"/>
        </w:tabs>
        <w:spacing w:before="240" w:line="360" w:lineRule="auto"/>
        <w:ind w:left="851" w:right="760"/>
        <w:jc w:val="both"/>
        <w:rPr>
          <w:rFonts w:ascii="Palatino Linotype" w:hAnsi="Palatino Linotype" w:cs="Arial"/>
          <w:i/>
          <w:sz w:val="24"/>
          <w:szCs w:val="24"/>
          <w:lang w:eastAsia="es-MX"/>
        </w:rPr>
      </w:pPr>
    </w:p>
    <w:p w:rsidR="00F358AF" w:rsidRDefault="00F358AF" w:rsidP="00F358AF">
      <w:pPr>
        <w:tabs>
          <w:tab w:val="left" w:pos="709"/>
        </w:tabs>
        <w:spacing w:before="240" w:line="360" w:lineRule="auto"/>
        <w:ind w:left="851" w:right="760"/>
        <w:jc w:val="both"/>
        <w:rPr>
          <w:rFonts w:ascii="Palatino Linotype" w:hAnsi="Palatino Linotype" w:cs="Arial"/>
          <w:i/>
          <w:sz w:val="24"/>
          <w:szCs w:val="24"/>
          <w:lang w:eastAsia="es-MX"/>
        </w:rPr>
      </w:pPr>
      <w:r w:rsidRPr="008258BC">
        <w:rPr>
          <w:rFonts w:ascii="Palatino Linotype" w:hAnsi="Palatino Linotype" w:cs="Arial"/>
          <w:i/>
          <w:sz w:val="24"/>
          <w:szCs w:val="24"/>
          <w:lang w:eastAsia="es-MX"/>
        </w:rPr>
        <w:t>1000 SERVICIOS PERSONALES. 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w:t>
      </w:r>
    </w:p>
    <w:p w:rsidR="00F358AF" w:rsidRDefault="00F358AF" w:rsidP="00F358AF">
      <w:pPr>
        <w:tabs>
          <w:tab w:val="left" w:pos="709"/>
        </w:tabs>
        <w:spacing w:before="240" w:line="360" w:lineRule="auto"/>
        <w:ind w:left="851" w:right="760"/>
        <w:jc w:val="both"/>
        <w:rPr>
          <w:rFonts w:ascii="Palatino Linotype" w:hAnsi="Palatino Linotype" w:cs="Arial"/>
          <w:i/>
          <w:sz w:val="24"/>
          <w:szCs w:val="24"/>
          <w:lang w:eastAsia="es-MX"/>
        </w:rPr>
      </w:pPr>
      <w:r>
        <w:rPr>
          <w:rFonts w:ascii="Palatino Linotype" w:hAnsi="Palatino Linotype" w:cs="Arial"/>
          <w:i/>
          <w:sz w:val="24"/>
          <w:szCs w:val="24"/>
          <w:lang w:eastAsia="es-MX"/>
        </w:rPr>
        <w:t>…</w:t>
      </w:r>
    </w:p>
    <w:p w:rsidR="00F358AF" w:rsidRPr="008258BC" w:rsidRDefault="00F358AF" w:rsidP="00F358AF">
      <w:pPr>
        <w:tabs>
          <w:tab w:val="left" w:pos="709"/>
        </w:tabs>
        <w:spacing w:before="240" w:line="360" w:lineRule="auto"/>
        <w:ind w:left="851" w:right="760"/>
        <w:jc w:val="center"/>
        <w:rPr>
          <w:rFonts w:ascii="Palatino Linotype" w:hAnsi="Palatino Linotype" w:cs="Arial"/>
          <w:b/>
          <w:i/>
          <w:sz w:val="24"/>
          <w:szCs w:val="24"/>
          <w:lang w:eastAsia="es-MX"/>
        </w:rPr>
      </w:pPr>
      <w:r w:rsidRPr="008258BC">
        <w:rPr>
          <w:rFonts w:ascii="Palatino Linotype" w:hAnsi="Palatino Linotype" w:cs="Arial"/>
          <w:b/>
          <w:i/>
          <w:sz w:val="24"/>
          <w:szCs w:val="24"/>
          <w:lang w:eastAsia="es-MX"/>
        </w:rPr>
        <w:t>1000 SERVICIOS PERSONALES</w:t>
      </w:r>
    </w:p>
    <w:p w:rsidR="00F358AF" w:rsidRDefault="00F358AF" w:rsidP="00F358AF">
      <w:pPr>
        <w:tabs>
          <w:tab w:val="left" w:pos="709"/>
        </w:tabs>
        <w:spacing w:before="240" w:line="360" w:lineRule="auto"/>
        <w:ind w:left="851" w:right="760"/>
        <w:jc w:val="both"/>
        <w:rPr>
          <w:rFonts w:ascii="Palatino Linotype" w:hAnsi="Palatino Linotype" w:cs="Arial"/>
          <w:i/>
          <w:sz w:val="24"/>
          <w:szCs w:val="24"/>
          <w:lang w:eastAsia="es-MX"/>
        </w:rPr>
      </w:pPr>
      <w:r w:rsidRPr="008258BC">
        <w:rPr>
          <w:rFonts w:ascii="Palatino Linotype" w:hAnsi="Palatino Linotype" w:cs="Arial"/>
          <w:i/>
          <w:sz w:val="24"/>
          <w:szCs w:val="24"/>
          <w:lang w:eastAsia="es-MX"/>
        </w:rPr>
        <w:t xml:space="preserve">1100 REMUNERACIONES AL PERSONAL DE CARÁCTER PERMANENTE Asignaciones destinadas a cubrir las percepciones correspondientes al personal de carácter permanente. </w:t>
      </w:r>
    </w:p>
    <w:p w:rsidR="00F358AF" w:rsidRDefault="00F358AF" w:rsidP="00F358AF">
      <w:pPr>
        <w:tabs>
          <w:tab w:val="left" w:pos="709"/>
        </w:tabs>
        <w:spacing w:before="240" w:line="360" w:lineRule="auto"/>
        <w:ind w:left="851" w:right="760"/>
        <w:jc w:val="both"/>
        <w:rPr>
          <w:rFonts w:ascii="Palatino Linotype" w:hAnsi="Palatino Linotype" w:cs="Arial"/>
          <w:i/>
          <w:sz w:val="24"/>
          <w:szCs w:val="24"/>
          <w:lang w:eastAsia="es-MX"/>
        </w:rPr>
      </w:pPr>
      <w:r w:rsidRPr="008258BC">
        <w:rPr>
          <w:rFonts w:ascii="Palatino Linotype" w:hAnsi="Palatino Linotype" w:cs="Arial"/>
          <w:i/>
          <w:sz w:val="24"/>
          <w:szCs w:val="24"/>
          <w:lang w:eastAsia="es-MX"/>
        </w:rPr>
        <w:t xml:space="preserve">1110 Dietas. Asignaciones para remuneraciones a los Diputados, Senadores, Asambleístas, Regidores y Síndicos. </w:t>
      </w:r>
    </w:p>
    <w:p w:rsidR="00F358AF" w:rsidRDefault="00F358AF" w:rsidP="00F358AF">
      <w:pPr>
        <w:tabs>
          <w:tab w:val="left" w:pos="709"/>
        </w:tabs>
        <w:spacing w:before="240" w:line="360" w:lineRule="auto"/>
        <w:ind w:left="851" w:right="760"/>
        <w:jc w:val="both"/>
        <w:rPr>
          <w:rFonts w:ascii="Palatino Linotype" w:hAnsi="Palatino Linotype" w:cs="Arial"/>
          <w:i/>
          <w:sz w:val="24"/>
          <w:szCs w:val="24"/>
          <w:lang w:eastAsia="es-MX"/>
        </w:rPr>
      </w:pPr>
      <w:r w:rsidRPr="008258BC">
        <w:rPr>
          <w:rFonts w:ascii="Palatino Linotype" w:hAnsi="Palatino Linotype" w:cs="Arial"/>
          <w:i/>
          <w:sz w:val="24"/>
          <w:szCs w:val="24"/>
          <w:lang w:eastAsia="es-MX"/>
        </w:rPr>
        <w:t xml:space="preserve">1111 Dietas. Asignación para el pago de remuneraciones a los CC. Diputados de la H. Legislatura Local, y en el caso de los municipios a los integrantes del H. Ayuntamiento. </w:t>
      </w:r>
    </w:p>
    <w:p w:rsidR="00F358AF" w:rsidRDefault="00F358AF" w:rsidP="00F358AF">
      <w:pPr>
        <w:tabs>
          <w:tab w:val="left" w:pos="709"/>
        </w:tabs>
        <w:spacing w:before="240" w:line="360" w:lineRule="auto"/>
        <w:ind w:left="851" w:right="760"/>
        <w:jc w:val="both"/>
        <w:rPr>
          <w:rFonts w:ascii="Palatino Linotype" w:hAnsi="Palatino Linotype" w:cs="Arial"/>
          <w:i/>
          <w:sz w:val="24"/>
          <w:szCs w:val="24"/>
          <w:lang w:eastAsia="es-MX"/>
        </w:rPr>
      </w:pPr>
      <w:r w:rsidRPr="008258BC">
        <w:rPr>
          <w:rFonts w:ascii="Palatino Linotype" w:hAnsi="Palatino Linotype" w:cs="Arial"/>
          <w:i/>
          <w:sz w:val="24"/>
          <w:szCs w:val="24"/>
          <w:lang w:eastAsia="es-MX"/>
        </w:rPr>
        <w:t xml:space="preserve">1120 Haberes. Asignaciones para remuneraciones al personal que desempeña sus servicios en el ejercicio, fuerza aérea y armada nacionales. </w:t>
      </w:r>
    </w:p>
    <w:p w:rsidR="00F358AF" w:rsidRDefault="00F358AF" w:rsidP="00F358AF">
      <w:pPr>
        <w:tabs>
          <w:tab w:val="left" w:pos="709"/>
        </w:tabs>
        <w:spacing w:before="240" w:line="360" w:lineRule="auto"/>
        <w:ind w:left="851" w:right="760"/>
        <w:jc w:val="both"/>
        <w:rPr>
          <w:rFonts w:ascii="Palatino Linotype" w:hAnsi="Palatino Linotype" w:cs="Arial"/>
          <w:i/>
          <w:sz w:val="24"/>
          <w:szCs w:val="24"/>
          <w:lang w:eastAsia="es-MX"/>
        </w:rPr>
      </w:pPr>
      <w:r w:rsidRPr="008258BC">
        <w:rPr>
          <w:rFonts w:ascii="Palatino Linotype" w:hAnsi="Palatino Linotype" w:cs="Arial"/>
          <w:i/>
          <w:sz w:val="24"/>
          <w:szCs w:val="24"/>
          <w:lang w:eastAsia="es-MX"/>
        </w:rPr>
        <w:t xml:space="preserve">1121 Haberes. Asignaciones para remuneraciones al personal que desempeña sus servicios en el ejercicio, fuerza aérea y armada nacionales. </w:t>
      </w:r>
    </w:p>
    <w:p w:rsidR="00F358AF" w:rsidRDefault="00F358AF" w:rsidP="00F358AF">
      <w:pPr>
        <w:tabs>
          <w:tab w:val="left" w:pos="709"/>
        </w:tabs>
        <w:spacing w:before="240" w:line="360" w:lineRule="auto"/>
        <w:ind w:left="851" w:right="760"/>
        <w:jc w:val="both"/>
        <w:rPr>
          <w:rFonts w:ascii="Palatino Linotype" w:hAnsi="Palatino Linotype" w:cs="Arial"/>
          <w:i/>
          <w:sz w:val="24"/>
          <w:szCs w:val="24"/>
          <w:lang w:eastAsia="es-MX"/>
        </w:rPr>
      </w:pPr>
      <w:r w:rsidRPr="008258BC">
        <w:rPr>
          <w:rFonts w:ascii="Palatino Linotype" w:hAnsi="Palatino Linotype" w:cs="Arial"/>
          <w:i/>
          <w:sz w:val="24"/>
          <w:szCs w:val="24"/>
          <w:lang w:eastAsia="es-MX"/>
        </w:rPr>
        <w:lastRenderedPageBreak/>
        <w:t xml:space="preserve">1130 Sueldos base al personal permanente. Asignaciones para remuneraciones al personal civil, de base o de confianza, de carácter permanente que preste sus servicios en los entes públicos. Los montos que importen estas remuneraciones serán fijados de acuerdo con los catálogos institucionales de puestos de los entes públicos. </w:t>
      </w:r>
    </w:p>
    <w:p w:rsidR="00F358AF" w:rsidRPr="008258BC" w:rsidRDefault="00F358AF" w:rsidP="00F358AF">
      <w:pPr>
        <w:tabs>
          <w:tab w:val="left" w:pos="709"/>
        </w:tabs>
        <w:spacing w:before="240" w:line="360" w:lineRule="auto"/>
        <w:ind w:left="851" w:right="760"/>
        <w:jc w:val="both"/>
        <w:rPr>
          <w:rFonts w:ascii="Palatino Linotype" w:hAnsi="Palatino Linotype" w:cs="Arial"/>
          <w:i/>
          <w:sz w:val="24"/>
          <w:szCs w:val="24"/>
          <w:lang w:eastAsia="es-MX"/>
        </w:rPr>
      </w:pPr>
      <w:r w:rsidRPr="008258BC">
        <w:rPr>
          <w:rFonts w:ascii="Palatino Linotype" w:hAnsi="Palatino Linotype" w:cs="Arial"/>
          <w:i/>
          <w:sz w:val="24"/>
          <w:szCs w:val="24"/>
          <w:lang w:eastAsia="es-MX"/>
        </w:rPr>
        <w:t>1131 Sueldo base. Remuneración al servidor público de base o de confianza que preste sus servicios al Poder Ejecutivo del Estado. Los montos que importen estas remuneraciones serán fijados de acuerdo con el Catálogo de Puestos del Gobierno Estatal y los tabuladores vigentes autorizados por la Secretaría, en el caso de los municipios se refiere a las remuneraciones al servidor público de base y no sindicalizado, que presta sus servicios en la Administración Pública Municipal, acorde con el marco jurídico.</w:t>
      </w:r>
      <w:r>
        <w:rPr>
          <w:rFonts w:ascii="Palatino Linotype" w:hAnsi="Palatino Linotype" w:cs="Arial"/>
          <w:i/>
          <w:sz w:val="24"/>
          <w:szCs w:val="24"/>
          <w:lang w:eastAsia="es-MX"/>
        </w:rPr>
        <w:t>”</w:t>
      </w:r>
    </w:p>
    <w:p w:rsidR="004C28F1" w:rsidRPr="00C729CF" w:rsidRDefault="00D67CBE" w:rsidP="00B04652">
      <w:pPr>
        <w:tabs>
          <w:tab w:val="left" w:pos="709"/>
        </w:tabs>
        <w:spacing w:before="240" w:line="360" w:lineRule="auto"/>
        <w:ind w:right="51"/>
        <w:jc w:val="both"/>
        <w:rPr>
          <w:rFonts w:ascii="Palatino Linotype" w:hAnsi="Palatino Linotype" w:cs="Arial"/>
          <w:sz w:val="24"/>
          <w:szCs w:val="24"/>
          <w:lang w:val="es-ES"/>
        </w:rPr>
      </w:pPr>
      <w:r w:rsidRPr="00D67CBE">
        <w:rPr>
          <w:rFonts w:ascii="Palatino Linotype" w:hAnsi="Palatino Linotype" w:cs="Arial"/>
          <w:sz w:val="24"/>
          <w:szCs w:val="24"/>
          <w:lang w:val="es-ES"/>
        </w:rPr>
        <w:t xml:space="preserve">Es decir, la información que está solicitando la hoy recurrente es información que el sujeto obligado genera en uso de sus funciones y atribuciones, máxime que en el Bando Municipal de </w:t>
      </w:r>
      <w:r>
        <w:rPr>
          <w:rFonts w:ascii="Palatino Linotype" w:hAnsi="Palatino Linotype" w:cs="Arial"/>
          <w:sz w:val="24"/>
          <w:szCs w:val="24"/>
          <w:lang w:val="es-ES"/>
        </w:rPr>
        <w:t>Tequixquiac</w:t>
      </w:r>
      <w:r w:rsidRPr="00D67CBE">
        <w:rPr>
          <w:rFonts w:ascii="Palatino Linotype" w:hAnsi="Palatino Linotype" w:cs="Arial"/>
          <w:sz w:val="24"/>
          <w:szCs w:val="24"/>
          <w:lang w:val="es-ES"/>
        </w:rPr>
        <w:t xml:space="preserve"> 2019, si la establece como una Dependencia General, como se aprecia a continuación:</w:t>
      </w:r>
    </w:p>
    <w:p w:rsidR="00D67CBE" w:rsidRPr="00D67CBE" w:rsidRDefault="00D67CBE" w:rsidP="00D67CBE">
      <w:pPr>
        <w:tabs>
          <w:tab w:val="left" w:pos="709"/>
        </w:tabs>
        <w:spacing w:before="240" w:line="360" w:lineRule="auto"/>
        <w:ind w:left="708" w:right="51"/>
        <w:jc w:val="center"/>
        <w:rPr>
          <w:rFonts w:ascii="Palatino Linotype" w:hAnsi="Palatino Linotype"/>
          <w:i/>
          <w:iCs/>
        </w:rPr>
      </w:pPr>
      <w:r w:rsidRPr="00D67CBE">
        <w:rPr>
          <w:rFonts w:ascii="Palatino Linotype" w:hAnsi="Palatino Linotype"/>
          <w:i/>
          <w:iCs/>
        </w:rPr>
        <w:t>CAPÍTULO XII</w:t>
      </w:r>
    </w:p>
    <w:p w:rsidR="00D67CBE" w:rsidRPr="00D67CBE" w:rsidRDefault="00D67CBE" w:rsidP="00D67CBE">
      <w:pPr>
        <w:tabs>
          <w:tab w:val="left" w:pos="709"/>
        </w:tabs>
        <w:spacing w:before="240" w:line="360" w:lineRule="auto"/>
        <w:ind w:left="708" w:right="51"/>
        <w:jc w:val="center"/>
        <w:rPr>
          <w:rFonts w:ascii="Palatino Linotype" w:hAnsi="Palatino Linotype"/>
          <w:i/>
          <w:iCs/>
        </w:rPr>
      </w:pPr>
      <w:r w:rsidRPr="00D67CBE">
        <w:rPr>
          <w:rFonts w:ascii="Palatino Linotype" w:hAnsi="Palatino Linotype"/>
          <w:i/>
          <w:iCs/>
        </w:rPr>
        <w:t>DE LA CONTRALORÍA MUNICIPAL</w:t>
      </w:r>
    </w:p>
    <w:p w:rsidR="00D67CBE" w:rsidRPr="00D67CBE" w:rsidRDefault="00D67CBE" w:rsidP="00D67CBE">
      <w:pPr>
        <w:tabs>
          <w:tab w:val="left" w:pos="709"/>
        </w:tabs>
        <w:spacing w:before="240" w:line="360" w:lineRule="auto"/>
        <w:ind w:left="708" w:right="51"/>
        <w:jc w:val="both"/>
        <w:rPr>
          <w:rFonts w:ascii="Palatino Linotype" w:hAnsi="Palatino Linotype"/>
          <w:i/>
          <w:iCs/>
        </w:rPr>
      </w:pPr>
      <w:r w:rsidRPr="00D67CBE">
        <w:rPr>
          <w:rFonts w:ascii="Palatino Linotype" w:hAnsi="Palatino Linotype"/>
          <w:i/>
          <w:iCs/>
        </w:rPr>
        <w:t xml:space="preserve">Artículo 61.- La Contraloría Municipal como autoridad competente en materia de Auditoria, Control y Evaluación Municipal es la dependencia encargada de establecer programas y acciones necesarias, con el propósito de que los servidores públicos municipales se conduzcan con rectitud, legalidad, honradez, lealtad, imparcialidad y eficiencia en el ejercicio de sus </w:t>
      </w:r>
      <w:r w:rsidRPr="00D67CBE">
        <w:rPr>
          <w:rFonts w:ascii="Palatino Linotype" w:hAnsi="Palatino Linotype"/>
          <w:i/>
          <w:iCs/>
        </w:rPr>
        <w:lastRenderedPageBreak/>
        <w:t>funciones encomendadas, sin utilizar su empleo, cargo o comisión para obtener o pretender obtener algún beneficio, provecho o ventaja personal o a favor de terceros, ni buscar o aceptar compensaciones, prestaciones, dádivas, obsequios o regalos de cualquier persona u organización, además de satisfacer el interés superior de las necesidades colectivas por encima de intereses particulares, personales o ajenos al interés general y bienestar de la población, así mismo ofrecer a la ciudadanía en general el mismo trato, sin conceder privilegios o preferencias a organizaciones o personas en lo particular, ni permitirán que influencias, intereses o prejuicios indebidos afecten su compromiso para tomar decisiones o ejercer sus funciones de manera objetiva. Finalmente, que los servidores públicos en general en todo momento estén comprometidos y actúen conforme a una cultura de servicio orientada al logro de resultados en beneficio de la sociedad, de alcanzar las metas institucionales acorde a sus cargos o comisiones.</w:t>
      </w:r>
    </w:p>
    <w:p w:rsidR="00D67CBE" w:rsidRPr="00D67CBE" w:rsidRDefault="00D67CBE" w:rsidP="00D67CBE">
      <w:pPr>
        <w:tabs>
          <w:tab w:val="left" w:pos="709"/>
        </w:tabs>
        <w:spacing w:before="240" w:line="360" w:lineRule="auto"/>
        <w:ind w:left="708" w:right="51"/>
        <w:jc w:val="both"/>
        <w:rPr>
          <w:rFonts w:ascii="Palatino Linotype" w:hAnsi="Palatino Linotype"/>
          <w:i/>
          <w:iCs/>
        </w:rPr>
      </w:pPr>
      <w:r w:rsidRPr="00D67CBE">
        <w:rPr>
          <w:rFonts w:ascii="Palatino Linotype" w:hAnsi="Palatino Linotype"/>
          <w:i/>
          <w:iCs/>
        </w:rPr>
        <w:t xml:space="preserve"> Lo anterior con la finalidad de que exista una administración sana, honesta y ordenada, para ello establecerá un sistema de atención de quejas y denuncias ciudadanas, para garantizar el cabal cumplimiento de la Ley, el presente Bando y demás disposiciones aplicables, en relación con el desempeño de los servidores públicos y autoridades auxiliares municipales. </w:t>
      </w:r>
    </w:p>
    <w:p w:rsidR="00D67CBE" w:rsidRPr="00D67CBE" w:rsidRDefault="00D67CBE" w:rsidP="00D67CBE">
      <w:pPr>
        <w:tabs>
          <w:tab w:val="left" w:pos="709"/>
        </w:tabs>
        <w:spacing w:before="240" w:line="360" w:lineRule="auto"/>
        <w:ind w:left="708" w:right="51"/>
        <w:jc w:val="both"/>
        <w:rPr>
          <w:rFonts w:ascii="Palatino Linotype" w:hAnsi="Palatino Linotype"/>
          <w:i/>
          <w:iCs/>
        </w:rPr>
      </w:pPr>
      <w:r w:rsidRPr="00D67CBE">
        <w:rPr>
          <w:rFonts w:ascii="Palatino Linotype" w:hAnsi="Palatino Linotype"/>
          <w:i/>
          <w:iCs/>
        </w:rPr>
        <w:t xml:space="preserve">Con la finalidad de que la Contraloría Interna Municipal tenga un mejor desempeño y en estricto apego a lo ordenado en el Artículo 113, de la Carta Magna, 130 y 130 Bis, de la Constitución del Estado Libre y Soberano de México, donde se crea el Sistema Nacional Anticorrupción, así como el sistema Estatal Anticorrupción de manera respectiva, por lo que ésta se subdividirá en las siguientes áreas: </w:t>
      </w:r>
    </w:p>
    <w:p w:rsidR="00D67CBE" w:rsidRPr="00D67CBE" w:rsidRDefault="00D67CBE" w:rsidP="00D67CBE">
      <w:pPr>
        <w:pStyle w:val="Prrafodelista"/>
        <w:numPr>
          <w:ilvl w:val="0"/>
          <w:numId w:val="32"/>
        </w:numPr>
        <w:tabs>
          <w:tab w:val="left" w:pos="709"/>
        </w:tabs>
        <w:spacing w:before="240" w:line="360" w:lineRule="auto"/>
        <w:ind w:left="1428" w:right="51"/>
        <w:jc w:val="both"/>
        <w:rPr>
          <w:rFonts w:ascii="Palatino Linotype" w:hAnsi="Palatino Linotype"/>
          <w:i/>
          <w:iCs/>
          <w:sz w:val="22"/>
          <w:szCs w:val="22"/>
        </w:rPr>
      </w:pPr>
      <w:r w:rsidRPr="00D67CBE">
        <w:rPr>
          <w:rFonts w:ascii="Palatino Linotype" w:hAnsi="Palatino Linotype"/>
          <w:i/>
          <w:iCs/>
          <w:sz w:val="22"/>
          <w:szCs w:val="22"/>
        </w:rPr>
        <w:t xml:space="preserve">Unidad de Fiscalización y Auditoría </w:t>
      </w:r>
    </w:p>
    <w:p w:rsidR="00D67CBE" w:rsidRPr="00D67CBE" w:rsidRDefault="00D67CBE" w:rsidP="00D67CBE">
      <w:pPr>
        <w:pStyle w:val="Prrafodelista"/>
        <w:numPr>
          <w:ilvl w:val="0"/>
          <w:numId w:val="32"/>
        </w:numPr>
        <w:tabs>
          <w:tab w:val="left" w:pos="709"/>
        </w:tabs>
        <w:spacing w:before="240" w:line="360" w:lineRule="auto"/>
        <w:ind w:left="1428" w:right="51"/>
        <w:jc w:val="both"/>
        <w:rPr>
          <w:rFonts w:ascii="Palatino Linotype" w:hAnsi="Palatino Linotype"/>
          <w:i/>
          <w:iCs/>
          <w:sz w:val="22"/>
          <w:szCs w:val="22"/>
        </w:rPr>
      </w:pPr>
      <w:r w:rsidRPr="00D67CBE">
        <w:rPr>
          <w:rFonts w:ascii="Palatino Linotype" w:hAnsi="Palatino Linotype"/>
          <w:i/>
          <w:iCs/>
          <w:sz w:val="22"/>
          <w:szCs w:val="22"/>
        </w:rPr>
        <w:t>Unidad Jurídica;</w:t>
      </w:r>
    </w:p>
    <w:p w:rsidR="00D67CBE" w:rsidRPr="00D67CBE" w:rsidRDefault="00D67CBE" w:rsidP="00D67CBE">
      <w:pPr>
        <w:pStyle w:val="Prrafodelista"/>
        <w:numPr>
          <w:ilvl w:val="0"/>
          <w:numId w:val="32"/>
        </w:numPr>
        <w:tabs>
          <w:tab w:val="left" w:pos="709"/>
        </w:tabs>
        <w:spacing w:before="240" w:line="360" w:lineRule="auto"/>
        <w:ind w:left="1428" w:right="51"/>
        <w:jc w:val="both"/>
        <w:rPr>
          <w:rFonts w:ascii="Palatino Linotype" w:hAnsi="Palatino Linotype"/>
          <w:i/>
          <w:iCs/>
          <w:sz w:val="22"/>
          <w:szCs w:val="22"/>
        </w:rPr>
      </w:pPr>
      <w:r w:rsidRPr="00D67CBE">
        <w:rPr>
          <w:rFonts w:ascii="Palatino Linotype" w:hAnsi="Palatino Linotype"/>
          <w:i/>
          <w:iCs/>
          <w:sz w:val="22"/>
          <w:szCs w:val="22"/>
        </w:rPr>
        <w:t xml:space="preserve">Autoridad investigadora </w:t>
      </w:r>
    </w:p>
    <w:p w:rsidR="00D67CBE" w:rsidRPr="00D67CBE" w:rsidRDefault="00D67CBE" w:rsidP="00D67CBE">
      <w:pPr>
        <w:pStyle w:val="Prrafodelista"/>
        <w:numPr>
          <w:ilvl w:val="0"/>
          <w:numId w:val="32"/>
        </w:numPr>
        <w:tabs>
          <w:tab w:val="left" w:pos="709"/>
        </w:tabs>
        <w:spacing w:before="240" w:line="360" w:lineRule="auto"/>
        <w:ind w:left="1428" w:right="51"/>
        <w:jc w:val="both"/>
        <w:rPr>
          <w:rFonts w:ascii="Palatino Linotype" w:hAnsi="Palatino Linotype"/>
          <w:i/>
          <w:iCs/>
          <w:sz w:val="22"/>
          <w:szCs w:val="22"/>
        </w:rPr>
      </w:pPr>
      <w:r w:rsidRPr="00D67CBE">
        <w:rPr>
          <w:rFonts w:ascii="Palatino Linotype" w:hAnsi="Palatino Linotype"/>
          <w:i/>
          <w:iCs/>
          <w:sz w:val="22"/>
          <w:szCs w:val="22"/>
        </w:rPr>
        <w:lastRenderedPageBreak/>
        <w:t xml:space="preserve">Autoridad substanciadora y </w:t>
      </w:r>
    </w:p>
    <w:p w:rsidR="00D67CBE" w:rsidRPr="00D67CBE" w:rsidRDefault="00D67CBE" w:rsidP="006221C5">
      <w:pPr>
        <w:pStyle w:val="Prrafodelista"/>
        <w:numPr>
          <w:ilvl w:val="0"/>
          <w:numId w:val="32"/>
        </w:numPr>
        <w:tabs>
          <w:tab w:val="left" w:pos="709"/>
        </w:tabs>
        <w:spacing w:before="240" w:after="240" w:line="360" w:lineRule="auto"/>
        <w:ind w:left="1428" w:right="51"/>
        <w:jc w:val="both"/>
        <w:rPr>
          <w:rFonts w:ascii="Palatino Linotype" w:hAnsi="Palatino Linotype"/>
          <w:i/>
          <w:iCs/>
          <w:sz w:val="22"/>
          <w:szCs w:val="22"/>
        </w:rPr>
      </w:pPr>
      <w:r w:rsidRPr="00D67CBE">
        <w:rPr>
          <w:rFonts w:ascii="Palatino Linotype" w:hAnsi="Palatino Linotype"/>
          <w:i/>
          <w:iCs/>
          <w:sz w:val="22"/>
          <w:szCs w:val="22"/>
        </w:rPr>
        <w:t xml:space="preserve">Autoridad resolutora </w:t>
      </w:r>
    </w:p>
    <w:p w:rsidR="004C28F1" w:rsidRPr="00D67CBE" w:rsidRDefault="00D67CBE" w:rsidP="006221C5">
      <w:pPr>
        <w:pStyle w:val="Prrafodelista"/>
        <w:numPr>
          <w:ilvl w:val="0"/>
          <w:numId w:val="32"/>
        </w:numPr>
        <w:tabs>
          <w:tab w:val="left" w:pos="709"/>
        </w:tabs>
        <w:spacing w:before="240" w:after="240" w:line="360" w:lineRule="auto"/>
        <w:ind w:left="1428" w:right="51"/>
        <w:jc w:val="both"/>
        <w:rPr>
          <w:rFonts w:ascii="Palatino Linotype" w:hAnsi="Palatino Linotype" w:cs="Arial"/>
          <w:i/>
          <w:iCs/>
          <w:sz w:val="22"/>
          <w:szCs w:val="22"/>
        </w:rPr>
      </w:pPr>
      <w:r w:rsidRPr="00D67CBE">
        <w:rPr>
          <w:rFonts w:ascii="Palatino Linotype" w:hAnsi="Palatino Linotype"/>
          <w:i/>
          <w:iCs/>
          <w:sz w:val="22"/>
          <w:szCs w:val="22"/>
        </w:rPr>
        <w:t>Unidad de Obra Pública y Sistema CREG</w:t>
      </w:r>
    </w:p>
    <w:p w:rsidR="006221C5" w:rsidRDefault="006221C5" w:rsidP="006221C5">
      <w:pPr>
        <w:tabs>
          <w:tab w:val="left" w:pos="7938"/>
        </w:tabs>
        <w:spacing w:after="240" w:line="360" w:lineRule="auto"/>
        <w:jc w:val="both"/>
        <w:rPr>
          <w:rFonts w:ascii="Palatino Linotype" w:hAnsi="Palatino Linotype" w:cs="Arial"/>
          <w:color w:val="000000" w:themeColor="text1"/>
          <w:sz w:val="24"/>
          <w:szCs w:val="24"/>
        </w:rPr>
      </w:pPr>
      <w:r>
        <w:rPr>
          <w:rFonts w:ascii="Palatino Linotype" w:eastAsia="Arial Unicode MS" w:hAnsi="Palatino Linotype" w:cs="Arial"/>
          <w:sz w:val="24"/>
        </w:rPr>
        <w:t xml:space="preserve">Ahora bien por lo que hace al </w:t>
      </w:r>
      <w:r w:rsidRPr="00355CEC">
        <w:rPr>
          <w:rFonts w:ascii="Palatino Linotype" w:eastAsia="Arial Unicode MS" w:hAnsi="Palatino Linotype" w:cs="Arial"/>
          <w:b/>
          <w:sz w:val="24"/>
          <w:u w:val="single"/>
        </w:rPr>
        <w:t xml:space="preserve">punto número </w:t>
      </w:r>
      <w:r w:rsidRPr="00355CEC">
        <w:rPr>
          <w:rFonts w:ascii="Palatino Linotype" w:hAnsi="Palatino Linotype" w:cs="Arial"/>
          <w:b/>
          <w:color w:val="000000" w:themeColor="text1"/>
          <w:sz w:val="24"/>
          <w:szCs w:val="24"/>
          <w:u w:val="single"/>
        </w:rPr>
        <w:t>2 (dos).-</w:t>
      </w:r>
      <w:r w:rsidRPr="009A50EA">
        <w:rPr>
          <w:rFonts w:ascii="Palatino Linotype" w:hAnsi="Palatino Linotype" w:cs="Arial"/>
          <w:color w:val="000000" w:themeColor="text1"/>
          <w:sz w:val="24"/>
          <w:szCs w:val="24"/>
        </w:rPr>
        <w:t xml:space="preserve"> Número de servidores públicos adscritos a la Contraloría Interna Municipal, indicando la información correspondiente al 31 de diciembre de los años 2016, 2017,</w:t>
      </w:r>
      <w:r>
        <w:rPr>
          <w:rFonts w:ascii="Palatino Linotype" w:hAnsi="Palatino Linotype" w:cs="Arial"/>
          <w:color w:val="000000" w:themeColor="text1"/>
          <w:sz w:val="24"/>
          <w:szCs w:val="24"/>
        </w:rPr>
        <w:t xml:space="preserve"> 2018 y al 31 de marzo de 2019, como podemos apreciar se requiere exclusivamente el número de servidores públicos adscritos a la Contraloría Interna Municipal, es decir, un estadístico en el que se señale la cantidad de servidores públicos que la Contraloría Municipal históricamente ha tenido desde el primero de enero de 2016 hasta el 31 de marzo de 2019, sin embargo, el sujeto obligado sólo puede entregar la información como la genera, por ende deberá entregar el documento en donde se pueda advertir cuantos servidores públicos están adscritos a dicho Órgano Interno de Control desde el 2016, enunciativamente más no limitativamente, dicho dato puede obtenerse de la plantilla de personal.</w:t>
      </w:r>
    </w:p>
    <w:p w:rsidR="006221C5" w:rsidRPr="00A32414" w:rsidRDefault="006221C5" w:rsidP="006221C5">
      <w:pPr>
        <w:tabs>
          <w:tab w:val="left" w:pos="7938"/>
        </w:tabs>
        <w:spacing w:before="240" w:line="360" w:lineRule="auto"/>
        <w:jc w:val="both"/>
        <w:rPr>
          <w:rFonts w:ascii="Palatino Linotype" w:eastAsia="Arial Unicode MS" w:hAnsi="Palatino Linotype" w:cs="Arial"/>
          <w:sz w:val="24"/>
        </w:rPr>
      </w:pPr>
      <w:r>
        <w:rPr>
          <w:rFonts w:ascii="Palatino Linotype" w:hAnsi="Palatino Linotype"/>
          <w:color w:val="000000"/>
          <w:sz w:val="24"/>
          <w:szCs w:val="24"/>
        </w:rPr>
        <w:t xml:space="preserve">El sujeto obligado sólo deberá de entregar la plantilla conforme la genere, posea o administre, </w:t>
      </w:r>
      <w:r w:rsidRPr="00A32414">
        <w:rPr>
          <w:rFonts w:ascii="Palatino Linotype" w:eastAsia="Arial Unicode MS" w:hAnsi="Palatino Linotype" w:cs="Arial"/>
          <w:sz w:val="24"/>
        </w:rPr>
        <w:t xml:space="preserve">apodícticamente se tiene el juicio sintético a posteriori de su representación como un listado donde constan los nombres de los servidores públicos y demás datos atingentes a ellos, no obstante puede cambiar según la aplicabilidad de la norma, el documento que contiene el número de servidores públicos que laboran en una institución pública, con referencia a la plaza autorizada por puesto, categoría y unidad de adscripción. </w:t>
      </w:r>
    </w:p>
    <w:p w:rsidR="006221C5" w:rsidRPr="00A32414" w:rsidRDefault="006221C5" w:rsidP="006221C5">
      <w:pPr>
        <w:tabs>
          <w:tab w:val="left" w:pos="7938"/>
        </w:tabs>
        <w:spacing w:before="240" w:line="360" w:lineRule="auto"/>
        <w:jc w:val="both"/>
        <w:rPr>
          <w:rFonts w:ascii="Palatino Linotype" w:eastAsia="Arial Unicode MS" w:hAnsi="Palatino Linotype" w:cs="Arial"/>
          <w:sz w:val="24"/>
        </w:rPr>
      </w:pPr>
    </w:p>
    <w:p w:rsidR="006221C5" w:rsidRDefault="006221C5" w:rsidP="006221C5">
      <w:pPr>
        <w:tabs>
          <w:tab w:val="left" w:pos="7938"/>
        </w:tabs>
        <w:spacing w:before="240" w:line="360" w:lineRule="auto"/>
        <w:jc w:val="both"/>
        <w:rPr>
          <w:rFonts w:ascii="Palatino Linotype" w:hAnsi="Palatino Linotype" w:cs="Arial"/>
          <w:sz w:val="24"/>
          <w:szCs w:val="24"/>
        </w:rPr>
      </w:pPr>
      <w:r w:rsidRPr="004A0BEA">
        <w:rPr>
          <w:rFonts w:ascii="Palatino Linotype" w:eastAsia="Arial Unicode MS" w:hAnsi="Palatino Linotype" w:cs="Arial"/>
          <w:sz w:val="24"/>
        </w:rPr>
        <w:t>Por su parte, el Manual</w:t>
      </w:r>
      <w:r w:rsidRPr="008E7FF5">
        <w:rPr>
          <w:rFonts w:ascii="Palatino Linotype" w:hAnsi="Palatino Linotype" w:cs="Arial"/>
          <w:sz w:val="24"/>
          <w:szCs w:val="24"/>
        </w:rPr>
        <w:t xml:space="preserve"> para la Planeación, Programación y Presupuestación Municip</w:t>
      </w:r>
      <w:r>
        <w:rPr>
          <w:rFonts w:ascii="Palatino Linotype" w:hAnsi="Palatino Linotype" w:cs="Arial"/>
          <w:sz w:val="24"/>
          <w:szCs w:val="24"/>
        </w:rPr>
        <w:t>al para el ejercicio fiscal 2019</w:t>
      </w:r>
      <w:r w:rsidRPr="008E7FF5">
        <w:rPr>
          <w:rFonts w:ascii="Palatino Linotype" w:hAnsi="Palatino Linotype" w:cs="Arial"/>
          <w:sz w:val="24"/>
          <w:szCs w:val="24"/>
        </w:rPr>
        <w:t xml:space="preserve">, publicado en el periódico oficial “Gaceta del Gobierno” de fecha </w:t>
      </w:r>
      <w:r>
        <w:rPr>
          <w:rFonts w:ascii="Palatino Linotype" w:hAnsi="Palatino Linotype" w:cs="Arial"/>
          <w:sz w:val="24"/>
          <w:szCs w:val="24"/>
        </w:rPr>
        <w:t>seis</w:t>
      </w:r>
      <w:r w:rsidRPr="008E7FF5">
        <w:rPr>
          <w:rFonts w:ascii="Palatino Linotype" w:hAnsi="Palatino Linotype" w:cs="Arial"/>
          <w:sz w:val="24"/>
          <w:szCs w:val="24"/>
        </w:rPr>
        <w:t xml:space="preserve"> de </w:t>
      </w:r>
      <w:r>
        <w:rPr>
          <w:rFonts w:ascii="Palatino Linotype" w:hAnsi="Palatino Linotype" w:cs="Arial"/>
          <w:sz w:val="24"/>
          <w:szCs w:val="24"/>
        </w:rPr>
        <w:t>noviembre</w:t>
      </w:r>
      <w:r w:rsidRPr="008E7FF5">
        <w:rPr>
          <w:rFonts w:ascii="Palatino Linotype" w:hAnsi="Palatino Linotype" w:cs="Arial"/>
          <w:sz w:val="24"/>
          <w:szCs w:val="24"/>
        </w:rPr>
        <w:t xml:space="preserve"> de dos mil </w:t>
      </w:r>
      <w:r>
        <w:rPr>
          <w:rFonts w:ascii="Palatino Linotype" w:hAnsi="Palatino Linotype" w:cs="Arial"/>
          <w:sz w:val="24"/>
          <w:szCs w:val="24"/>
        </w:rPr>
        <w:t>dieciocho</w:t>
      </w:r>
      <w:r w:rsidRPr="008E7FF5">
        <w:rPr>
          <w:rFonts w:ascii="Palatino Linotype" w:hAnsi="Palatino Linotype" w:cs="Arial"/>
          <w:sz w:val="24"/>
          <w:szCs w:val="24"/>
        </w:rPr>
        <w:t xml:space="preserve">, establece en su apartado III.2.3, denominado Lineamientos para la determinación del Presupuesto de Gasto Corriente, que para dar orden y congruencia a las funciones de la Administración Pública Municipal encaminadas al logro de los objetivos determinados en el Plan de Desarrollo Municipal, las dependencias, con base en los avances de los ejercicios anteriores, elaborarán su anteproyecto de Presupuesto de Egresos para el ejercicio fiscal del año </w:t>
      </w:r>
      <w:r>
        <w:rPr>
          <w:rFonts w:ascii="Palatino Linotype" w:hAnsi="Palatino Linotype" w:cs="Arial"/>
          <w:sz w:val="24"/>
          <w:szCs w:val="24"/>
        </w:rPr>
        <w:t>2019</w:t>
      </w:r>
      <w:r w:rsidRPr="008E7FF5">
        <w:rPr>
          <w:rFonts w:ascii="Palatino Linotype" w:hAnsi="Palatino Linotype" w:cs="Arial"/>
          <w:sz w:val="24"/>
          <w:szCs w:val="24"/>
        </w:rPr>
        <w:t>, identificando los recursos necesarios, para lo cual, entre otras cosas deberá atender el costo de las plantillas de personal autorizadas para las dependencias del Municipio</w:t>
      </w:r>
      <w:r>
        <w:rPr>
          <w:rFonts w:ascii="Palatino Linotype" w:hAnsi="Palatino Linotype" w:cs="Arial"/>
          <w:sz w:val="24"/>
          <w:szCs w:val="24"/>
        </w:rPr>
        <w:t>, que señala:</w:t>
      </w:r>
    </w:p>
    <w:p w:rsidR="006221C5" w:rsidRPr="002F4499" w:rsidRDefault="006221C5" w:rsidP="006221C5">
      <w:pPr>
        <w:spacing w:before="240" w:line="360" w:lineRule="auto"/>
        <w:ind w:left="567" w:right="618"/>
        <w:contextualSpacing/>
        <w:jc w:val="both"/>
        <w:rPr>
          <w:rFonts w:ascii="Palatino Linotype" w:eastAsia="MS Mincho" w:hAnsi="Palatino Linotype" w:cs="Times New Roman"/>
          <w:b/>
          <w:i/>
          <w:szCs w:val="24"/>
        </w:rPr>
      </w:pPr>
      <w:r w:rsidRPr="002F4499">
        <w:rPr>
          <w:rFonts w:ascii="Palatino Linotype" w:eastAsia="MS Mincho" w:hAnsi="Palatino Linotype" w:cs="Times New Roman"/>
          <w:b/>
          <w:i/>
          <w:szCs w:val="24"/>
        </w:rPr>
        <w:t xml:space="preserve">“III.2.3 Lineamientos para la determinación del Presupuesto de Gasto Corriente </w:t>
      </w:r>
    </w:p>
    <w:p w:rsidR="006221C5" w:rsidRDefault="006221C5" w:rsidP="006221C5">
      <w:pPr>
        <w:spacing w:before="240" w:line="360" w:lineRule="auto"/>
        <w:ind w:left="567" w:right="618"/>
        <w:contextualSpacing/>
        <w:jc w:val="both"/>
        <w:rPr>
          <w:rFonts w:ascii="Palatino Linotype" w:eastAsia="MS Mincho" w:hAnsi="Palatino Linotype" w:cs="Times New Roman"/>
          <w:i/>
          <w:szCs w:val="24"/>
        </w:rPr>
      </w:pPr>
      <w:r w:rsidRPr="002F4499">
        <w:rPr>
          <w:rFonts w:ascii="Palatino Linotype" w:eastAsia="MS Mincho" w:hAnsi="Palatino Linotype" w:cs="Times New Roman"/>
          <w:i/>
          <w:szCs w:val="24"/>
        </w:rPr>
        <w:t xml:space="preserve">Para dar orden y congruencia a las funciones </w:t>
      </w:r>
      <w:r w:rsidRPr="007E1C83">
        <w:rPr>
          <w:rFonts w:ascii="Palatino Linotype" w:eastAsia="MS Mincho" w:hAnsi="Palatino Linotype" w:cs="Times New Roman"/>
          <w:b/>
          <w:i/>
          <w:szCs w:val="24"/>
          <w:u w:val="single"/>
        </w:rPr>
        <w:t>de la Administración Pública Municipal</w:t>
      </w:r>
      <w:r w:rsidRPr="002F4499">
        <w:rPr>
          <w:rFonts w:ascii="Palatino Linotype" w:eastAsia="MS Mincho" w:hAnsi="Palatino Linotype" w:cs="Times New Roman"/>
          <w:i/>
          <w:szCs w:val="24"/>
        </w:rPr>
        <w:t xml:space="preserve">, encaminadas al logro de los objetivos determinados en el Plan de Desarrollo Municipal, las Dependencias y Organismos conocedores de las prioridades y demandas ciudadanas y con base en los avances de los ejercicios anteriores, elaborarán su Anteproyecto de Presupuesto de Egresos para el Ejercicio Fiscal 2019. </w:t>
      </w:r>
    </w:p>
    <w:p w:rsidR="006221C5" w:rsidRDefault="006221C5" w:rsidP="006221C5">
      <w:pPr>
        <w:spacing w:before="240" w:line="360" w:lineRule="auto"/>
        <w:ind w:left="567" w:right="618"/>
        <w:contextualSpacing/>
        <w:jc w:val="both"/>
        <w:rPr>
          <w:rFonts w:ascii="Palatino Linotype" w:eastAsia="MS Mincho" w:hAnsi="Palatino Linotype" w:cs="Times New Roman"/>
          <w:i/>
          <w:szCs w:val="24"/>
        </w:rPr>
      </w:pPr>
      <w:r w:rsidRPr="002F4499">
        <w:rPr>
          <w:rFonts w:ascii="Palatino Linotype" w:eastAsia="MS Mincho" w:hAnsi="Palatino Linotype" w:cs="Times New Roman"/>
          <w:i/>
          <w:szCs w:val="24"/>
        </w:rPr>
        <w:t xml:space="preserve">Los anteproyectos de presupuesto deben identificar los recursos necesarios para: </w:t>
      </w:r>
    </w:p>
    <w:p w:rsidR="006221C5" w:rsidRPr="002F4499" w:rsidRDefault="006221C5" w:rsidP="006221C5">
      <w:pPr>
        <w:pStyle w:val="Prrafodelista"/>
        <w:numPr>
          <w:ilvl w:val="0"/>
          <w:numId w:val="33"/>
        </w:numPr>
        <w:spacing w:before="240" w:after="160" w:line="360" w:lineRule="auto"/>
        <w:ind w:right="618"/>
        <w:contextualSpacing/>
        <w:jc w:val="both"/>
        <w:rPr>
          <w:rFonts w:ascii="Palatino Linotype" w:eastAsia="MS Mincho" w:hAnsi="Palatino Linotype"/>
          <w:i/>
          <w:sz w:val="22"/>
        </w:rPr>
      </w:pPr>
      <w:r w:rsidRPr="002F4499">
        <w:rPr>
          <w:rFonts w:ascii="Palatino Linotype" w:eastAsia="MS Mincho" w:hAnsi="Palatino Linotype"/>
          <w:i/>
        </w:rPr>
        <w:t xml:space="preserve">Atender el costo de </w:t>
      </w:r>
      <w:r w:rsidRPr="002F4499">
        <w:rPr>
          <w:rFonts w:ascii="Palatino Linotype" w:eastAsia="MS Mincho" w:hAnsi="Palatino Linotype"/>
          <w:b/>
          <w:i/>
          <w:u w:val="single"/>
        </w:rPr>
        <w:t>las plantillas de personal</w:t>
      </w:r>
      <w:r w:rsidRPr="002F4499">
        <w:rPr>
          <w:rFonts w:ascii="Palatino Linotype" w:eastAsia="MS Mincho" w:hAnsi="Palatino Linotype"/>
          <w:i/>
        </w:rPr>
        <w:t xml:space="preserve"> autorizadas de cada Dependencia General, Auxiliar u Organismo Municipal, para lo cual deberán considerar las partidas específicas del gasto, que permitan dar cumplimiento a los compromisos laborales; es decir, aquellos que por ley </w:t>
      </w:r>
      <w:r w:rsidRPr="002F4499">
        <w:rPr>
          <w:rFonts w:ascii="Palatino Linotype" w:eastAsia="MS Mincho" w:hAnsi="Palatino Linotype"/>
          <w:i/>
        </w:rPr>
        <w:lastRenderedPageBreak/>
        <w:t>deben pagarse a cada servidor público, además de los que a través de la firma de los convenios con el Sindicato Único de Trabajadores del Estado y Municipios se realicen;”</w:t>
      </w:r>
    </w:p>
    <w:p w:rsidR="006221C5" w:rsidRPr="008E7FF5" w:rsidRDefault="006221C5" w:rsidP="006221C5">
      <w:pPr>
        <w:spacing w:before="240" w:line="360" w:lineRule="auto"/>
        <w:jc w:val="both"/>
        <w:rPr>
          <w:rFonts w:ascii="Palatino Linotype" w:hAnsi="Palatino Linotype"/>
          <w:i/>
          <w:sz w:val="24"/>
          <w:szCs w:val="24"/>
        </w:rPr>
      </w:pPr>
      <w:r w:rsidRPr="008E7FF5">
        <w:rPr>
          <w:rFonts w:ascii="Palatino Linotype" w:hAnsi="Palatino Linotype"/>
          <w:sz w:val="24"/>
          <w:szCs w:val="24"/>
        </w:rPr>
        <w:t>Además señala de manera textual que: ”</w:t>
      </w:r>
      <w:r w:rsidRPr="002F4499">
        <w:rPr>
          <w:rFonts w:ascii="Palatino Linotype" w:hAnsi="Palatino Linotype"/>
          <w:sz w:val="24"/>
          <w:szCs w:val="24"/>
        </w:rPr>
        <w:t xml:space="preserve"> </w:t>
      </w:r>
      <w:r w:rsidRPr="002F4499">
        <w:rPr>
          <w:rFonts w:ascii="Palatino Linotype" w:hAnsi="Palatino Linotype"/>
          <w:i/>
          <w:sz w:val="24"/>
          <w:szCs w:val="24"/>
        </w:rPr>
        <w:t xml:space="preserve">La propuesta de presupuesto deberá integrarse en los formatos PbRM-03 al PbRM-07 en todas sus series, para ello, </w:t>
      </w:r>
      <w:r w:rsidRPr="002F4499">
        <w:rPr>
          <w:rFonts w:ascii="Palatino Linotype" w:hAnsi="Palatino Linotype"/>
          <w:b/>
          <w:i/>
          <w:sz w:val="24"/>
          <w:szCs w:val="24"/>
          <w:u w:val="single"/>
        </w:rPr>
        <w:t>es necesario tener la plantilla de personal autorizada</w:t>
      </w:r>
      <w:r w:rsidRPr="002F4499">
        <w:rPr>
          <w:rFonts w:ascii="Palatino Linotype" w:hAnsi="Palatino Linotype"/>
          <w:i/>
          <w:sz w:val="24"/>
          <w:szCs w:val="24"/>
        </w:rPr>
        <w:t xml:space="preserve"> que incluya el desglose sobre el total de percepciones ordinarias y extraordinarias, un estudio actuarial de las pensiones de sus trabajadores, una propuesta de insumos y requerimientos a nivel de cada una de las Dependencias Generales, Auxiliares y Organismos Municipales, así como los catálogos y anexos que se presentan en este manual</w:t>
      </w:r>
      <w:r w:rsidRPr="002F4499">
        <w:rPr>
          <w:rFonts w:ascii="Palatino Linotype" w:hAnsi="Palatino Linotype"/>
          <w:sz w:val="24"/>
          <w:szCs w:val="24"/>
        </w:rPr>
        <w:t>.”</w:t>
      </w:r>
    </w:p>
    <w:p w:rsidR="006221C5" w:rsidRDefault="006221C5" w:rsidP="006221C5">
      <w:pPr>
        <w:tabs>
          <w:tab w:val="left" w:pos="7938"/>
        </w:tabs>
        <w:spacing w:before="240" w:line="360" w:lineRule="auto"/>
        <w:jc w:val="both"/>
        <w:rPr>
          <w:rFonts w:ascii="Palatino Linotype" w:hAnsi="Palatino Linotype"/>
          <w:sz w:val="24"/>
          <w:szCs w:val="24"/>
        </w:rPr>
      </w:pPr>
      <w:r w:rsidRPr="00C33DE7">
        <w:rPr>
          <w:rFonts w:ascii="Palatino Linotype" w:hAnsi="Palatino Linotype"/>
          <w:sz w:val="24"/>
          <w:szCs w:val="24"/>
        </w:rPr>
        <w:t xml:space="preserve">Así las cosas, resulta evidente que la plantilla de personal en caso de los municipios resulta ser una parte integrante del presupuesto de egresos que se proponga por parte del Presidente Municipal y posteriormente se apruebe por el Ayuntamiento, </w:t>
      </w:r>
      <w:r w:rsidRPr="00602448">
        <w:rPr>
          <w:rFonts w:ascii="Palatino Linotype" w:hAnsi="Palatino Linotype"/>
          <w:sz w:val="24"/>
          <w:szCs w:val="24"/>
        </w:rPr>
        <w:t xml:space="preserve">por lo que son documentos que el Sujeto Obligado debió de haber generado en el ejercicio de dichas atribuciones y en consecuencia le reviste el </w:t>
      </w:r>
      <w:r>
        <w:rPr>
          <w:rFonts w:ascii="Palatino Linotype" w:hAnsi="Palatino Linotype"/>
          <w:sz w:val="24"/>
          <w:szCs w:val="24"/>
        </w:rPr>
        <w:t>carácter de información pública, y con lo cual se tendrá por satisfecho lo referente al n</w:t>
      </w:r>
      <w:r>
        <w:rPr>
          <w:rFonts w:ascii="Palatino Linotype" w:hAnsi="Palatino Linotype"/>
          <w:color w:val="000000"/>
          <w:sz w:val="24"/>
          <w:szCs w:val="24"/>
        </w:rPr>
        <w:t>úmero total de empleados de la Contraloría Municipal de Tequixquiac</w:t>
      </w:r>
      <w:r w:rsidRPr="002B120B">
        <w:rPr>
          <w:rFonts w:ascii="Palatino Linotype" w:hAnsi="Palatino Linotype"/>
          <w:color w:val="000000"/>
          <w:sz w:val="24"/>
          <w:szCs w:val="24"/>
        </w:rPr>
        <w:t>,</w:t>
      </w:r>
      <w:r>
        <w:rPr>
          <w:rFonts w:ascii="Palatino Linotype" w:hAnsi="Palatino Linotype"/>
          <w:color w:val="000000"/>
          <w:sz w:val="24"/>
          <w:szCs w:val="24"/>
        </w:rPr>
        <w:t xml:space="preserve"> del primero de enero de 2016 al 31 de marzo de 2019,</w:t>
      </w:r>
      <w:r w:rsidRPr="002B120B">
        <w:rPr>
          <w:rFonts w:ascii="Palatino Linotype" w:hAnsi="Palatino Linotype"/>
          <w:color w:val="000000"/>
          <w:sz w:val="24"/>
          <w:szCs w:val="24"/>
        </w:rPr>
        <w:t xml:space="preserve"> </w:t>
      </w:r>
      <w:r>
        <w:rPr>
          <w:rFonts w:ascii="Palatino Linotype" w:hAnsi="Palatino Linotype"/>
          <w:sz w:val="24"/>
          <w:szCs w:val="24"/>
        </w:rPr>
        <w:t>pues el mismo Manual establece en el mismo apartado:</w:t>
      </w:r>
    </w:p>
    <w:p w:rsidR="006221C5" w:rsidRPr="002F4499" w:rsidRDefault="006221C5" w:rsidP="006221C5">
      <w:pPr>
        <w:pStyle w:val="Prrafodelista"/>
        <w:spacing w:before="240" w:after="160" w:line="360" w:lineRule="auto"/>
        <w:ind w:left="1287" w:right="618"/>
        <w:contextualSpacing/>
        <w:jc w:val="both"/>
        <w:rPr>
          <w:rFonts w:ascii="Palatino Linotype" w:eastAsia="MS Mincho" w:hAnsi="Palatino Linotype"/>
          <w:i/>
        </w:rPr>
      </w:pPr>
      <w:r>
        <w:rPr>
          <w:rFonts w:ascii="Palatino Linotype" w:eastAsia="MS Mincho" w:hAnsi="Palatino Linotype"/>
          <w:i/>
        </w:rPr>
        <w:t>“</w:t>
      </w:r>
      <w:r w:rsidRPr="002F4499">
        <w:rPr>
          <w:rFonts w:ascii="Palatino Linotype" w:eastAsia="MS Mincho" w:hAnsi="Palatino Linotype"/>
          <w:i/>
        </w:rPr>
        <w:t xml:space="preserve">Para la asignación de los recursos del Capítulo 1000 Servicios Personales, es necesario identificar el </w:t>
      </w:r>
      <w:r w:rsidRPr="002F4499">
        <w:rPr>
          <w:rFonts w:ascii="Palatino Linotype" w:eastAsia="MS Mincho" w:hAnsi="Palatino Linotype"/>
          <w:b/>
          <w:i/>
          <w:u w:val="single"/>
        </w:rPr>
        <w:t>costo de la plantilla de personal actual</w:t>
      </w:r>
      <w:r w:rsidRPr="002F4499">
        <w:rPr>
          <w:rFonts w:ascii="Palatino Linotype" w:eastAsia="MS Mincho" w:hAnsi="Palatino Linotype"/>
          <w:i/>
        </w:rPr>
        <w:t xml:space="preserve"> y estimar montos para cumplir con posibles compromisos laborales que respondan a la firma de convenios, así como a los recursos que se comuniquen como asignaciones presupuestarias para este capítulo, por lo </w:t>
      </w:r>
      <w:r w:rsidRPr="002F4499">
        <w:rPr>
          <w:rFonts w:ascii="Palatino Linotype" w:eastAsia="MS Mincho" w:hAnsi="Palatino Linotype"/>
          <w:i/>
        </w:rPr>
        <w:lastRenderedPageBreak/>
        <w:t>que es necesario incluir el tabulador salarial que incluya el total de percepciones ordinarias y extraordinarias</w:t>
      </w:r>
      <w:r>
        <w:rPr>
          <w:rFonts w:ascii="Palatino Linotype" w:eastAsia="MS Mincho" w:hAnsi="Palatino Linotype"/>
          <w:i/>
        </w:rPr>
        <w:t>.”</w:t>
      </w:r>
    </w:p>
    <w:p w:rsidR="006221C5" w:rsidRPr="007E1C83" w:rsidRDefault="006221C5" w:rsidP="006221C5">
      <w:pPr>
        <w:tabs>
          <w:tab w:val="left" w:pos="7938"/>
        </w:tabs>
        <w:spacing w:before="240" w:line="360" w:lineRule="auto"/>
        <w:jc w:val="both"/>
        <w:rPr>
          <w:rFonts w:ascii="Palatino Linotype" w:hAnsi="Palatino Linotype"/>
          <w:sz w:val="24"/>
          <w:szCs w:val="24"/>
        </w:rPr>
      </w:pPr>
      <w:r w:rsidRPr="007E1C83">
        <w:rPr>
          <w:rFonts w:ascii="Palatino Linotype" w:hAnsi="Palatino Linotype"/>
          <w:sz w:val="24"/>
          <w:szCs w:val="24"/>
        </w:rPr>
        <w:t xml:space="preserve">Por lo cual la plantilla de personal al ser el documento que contiene el número de servidores públicos que laboran en una institución pública, con referencia a la plaza autorizada por puesto, categoría y unidad de adscripción así como los nombres de los servidores público, </w:t>
      </w:r>
      <w:r w:rsidRPr="00A263AC">
        <w:rPr>
          <w:rFonts w:ascii="Palatino Linotype" w:hAnsi="Palatino Linotype"/>
          <w:sz w:val="24"/>
          <w:szCs w:val="24"/>
        </w:rPr>
        <w:t xml:space="preserve">deberá </w:t>
      </w:r>
      <w:r>
        <w:rPr>
          <w:rFonts w:ascii="Palatino Linotype" w:hAnsi="Palatino Linotype"/>
          <w:sz w:val="24"/>
          <w:szCs w:val="24"/>
        </w:rPr>
        <w:t>ser entregada vía SAIMEX</w:t>
      </w:r>
      <w:r w:rsidRPr="00F419FE">
        <w:rPr>
          <w:rFonts w:ascii="Palatino Linotype" w:hAnsi="Palatino Linotype"/>
          <w:sz w:val="24"/>
          <w:szCs w:val="24"/>
        </w:rPr>
        <w:t>.</w:t>
      </w:r>
      <w:r>
        <w:rPr>
          <w:rFonts w:ascii="Palatino Linotype" w:hAnsi="Palatino Linotype"/>
          <w:sz w:val="24"/>
          <w:szCs w:val="24"/>
        </w:rPr>
        <w:t xml:space="preserve"> </w:t>
      </w:r>
    </w:p>
    <w:p w:rsidR="006221C5" w:rsidRPr="006D6047" w:rsidRDefault="006221C5" w:rsidP="006221C5">
      <w:pPr>
        <w:spacing w:before="240" w:line="360" w:lineRule="auto"/>
        <w:jc w:val="both"/>
        <w:rPr>
          <w:rFonts w:ascii="Palatino Linotype" w:eastAsia="Arial Unicode MS" w:hAnsi="Palatino Linotype" w:cs="Arial"/>
          <w:sz w:val="24"/>
          <w:szCs w:val="24"/>
        </w:rPr>
      </w:pPr>
      <w:r w:rsidRPr="006D6047">
        <w:rPr>
          <w:rFonts w:ascii="Palatino Linotype" w:hAnsi="Palatino Linotype" w:cs="Arial"/>
          <w:color w:val="000000" w:themeColor="text1"/>
          <w:sz w:val="24"/>
          <w:szCs w:val="24"/>
        </w:rPr>
        <w:t xml:space="preserve">Ahora bien respecto del </w:t>
      </w:r>
      <w:r w:rsidRPr="006D6047">
        <w:rPr>
          <w:rFonts w:ascii="Palatino Linotype" w:hAnsi="Palatino Linotype" w:cs="Arial"/>
          <w:b/>
          <w:color w:val="000000" w:themeColor="text1"/>
          <w:sz w:val="24"/>
          <w:szCs w:val="24"/>
          <w:u w:val="single"/>
        </w:rPr>
        <w:t>punto 3 (tres)</w:t>
      </w:r>
      <w:r w:rsidRPr="006D6047">
        <w:rPr>
          <w:rFonts w:ascii="Palatino Linotype" w:hAnsi="Palatino Linotype" w:cs="Arial"/>
          <w:color w:val="000000" w:themeColor="text1"/>
          <w:sz w:val="24"/>
          <w:szCs w:val="24"/>
        </w:rPr>
        <w:t>, el sujeto obligado deberá entregar: el Organigrama autorizado (legible) de la Contraloría Interna Municipal correspondiente a los ejercicios fiscales 2016, 2017, 2018 y 2019 (incluyendo el acta de sesión de cabildo en la cual fue autorizado), ya que se encuentra dentro de sus funciones poseer</w:t>
      </w:r>
      <w:r w:rsidRPr="006D6047">
        <w:rPr>
          <w:rFonts w:ascii="Palatino Linotype" w:eastAsia="Arial Unicode MS" w:hAnsi="Palatino Linotype" w:cs="Arial"/>
          <w:sz w:val="24"/>
          <w:szCs w:val="24"/>
        </w:rPr>
        <w:t xml:space="preserve"> y administrar las Actas de Cabildo y los Organigramas de las Áreas</w:t>
      </w:r>
      <w:r w:rsidRPr="006D6047">
        <w:rPr>
          <w:rFonts w:ascii="Palatino Linotype" w:eastAsia="Arial Unicode MS" w:hAnsi="Palatino Linotype" w:cs="Arial"/>
          <w:b/>
          <w:sz w:val="24"/>
          <w:szCs w:val="24"/>
          <w:u w:val="single"/>
        </w:rPr>
        <w:t xml:space="preserve">, respecto de las Actas de Cabildo </w:t>
      </w:r>
      <w:r w:rsidRPr="006D6047">
        <w:rPr>
          <w:rFonts w:ascii="Palatino Linotype" w:eastAsia="Arial Unicode MS" w:hAnsi="Palatino Linotype" w:cs="Arial"/>
          <w:sz w:val="24"/>
          <w:szCs w:val="24"/>
        </w:rPr>
        <w:t>donde se hubieran aprobado los Organigramas del Órgano Interno de Control, la Ley Orgánica Municipal establece:</w:t>
      </w:r>
    </w:p>
    <w:p w:rsidR="006221C5" w:rsidRPr="007E7BD0" w:rsidRDefault="006221C5" w:rsidP="006221C5">
      <w:pPr>
        <w:spacing w:before="240" w:line="360" w:lineRule="auto"/>
        <w:ind w:left="851" w:right="992"/>
        <w:jc w:val="both"/>
        <w:rPr>
          <w:rFonts w:ascii="Palatino Linotype" w:hAnsi="Palatino Linotype"/>
          <w:i/>
        </w:rPr>
      </w:pPr>
      <w:r w:rsidRPr="007E7BD0">
        <w:rPr>
          <w:rFonts w:ascii="Palatino Linotype" w:hAnsi="Palatino Linotype"/>
          <w:i/>
        </w:rPr>
        <w:t xml:space="preserve">Artículo 28.- Los ayuntamientos sesionarán cuando menos una vez cada ocho días o cuantas veces sea necesario en asuntos de urgente resolución, a petición de la mayoría de sus miembros y podrán declararse en sesión permanente cuando la importancia del asunto lo requiera. </w:t>
      </w:r>
    </w:p>
    <w:p w:rsidR="006221C5" w:rsidRPr="00DE11DA" w:rsidRDefault="006221C5" w:rsidP="006221C5">
      <w:pPr>
        <w:spacing w:before="240" w:line="360" w:lineRule="auto"/>
        <w:ind w:left="851" w:right="992"/>
        <w:jc w:val="both"/>
        <w:rPr>
          <w:rFonts w:ascii="Palatino Linotype" w:hAnsi="Palatino Linotype"/>
          <w:b/>
          <w:i/>
        </w:rPr>
      </w:pPr>
      <w:r w:rsidRPr="00DE11DA">
        <w:rPr>
          <w:rFonts w:ascii="Palatino Linotype" w:hAnsi="Palatino Linotype"/>
          <w:b/>
          <w:i/>
        </w:rPr>
        <w:t xml:space="preserve">Las sesiones de los ayuntamientos serán públicas y deberán transmitirse </w:t>
      </w:r>
      <w:r w:rsidRPr="00C3003F">
        <w:rPr>
          <w:rFonts w:ascii="Palatino Linotype" w:hAnsi="Palatino Linotype"/>
          <w:b/>
          <w:i/>
          <w:u w:val="single"/>
        </w:rPr>
        <w:t>a través de la página de internet del municipio.</w:t>
      </w:r>
      <w:r w:rsidRPr="00DE11DA">
        <w:rPr>
          <w:rFonts w:ascii="Palatino Linotype" w:hAnsi="Palatino Linotype"/>
          <w:b/>
          <w:i/>
        </w:rPr>
        <w:t xml:space="preserve"> </w:t>
      </w:r>
    </w:p>
    <w:p w:rsidR="006221C5" w:rsidRPr="007E7BD0" w:rsidRDefault="006221C5" w:rsidP="006221C5">
      <w:pPr>
        <w:spacing w:before="240" w:line="360" w:lineRule="auto"/>
        <w:ind w:left="851" w:right="992"/>
        <w:jc w:val="both"/>
        <w:rPr>
          <w:rFonts w:ascii="Palatino Linotype" w:hAnsi="Palatino Linotype"/>
          <w:i/>
        </w:rPr>
      </w:pPr>
      <w:r w:rsidRPr="007E7BD0">
        <w:rPr>
          <w:rFonts w:ascii="Palatino Linotype" w:hAnsi="Palatino Linotype"/>
          <w:i/>
        </w:rPr>
        <w:t xml:space="preserve">Las sesiones de los ayuntamientos se celebrarán en la sala de cabildos; y cuando la solemnidad del caso lo requiera, en el recinto previamente declarado oficial para tal objeto. </w:t>
      </w:r>
    </w:p>
    <w:p w:rsidR="006221C5" w:rsidRPr="007E7BD0" w:rsidRDefault="006221C5" w:rsidP="006221C5">
      <w:pPr>
        <w:spacing w:before="240" w:line="360" w:lineRule="auto"/>
        <w:ind w:left="851" w:right="992"/>
        <w:jc w:val="both"/>
        <w:rPr>
          <w:rFonts w:ascii="Palatino Linotype" w:hAnsi="Palatino Linotype"/>
          <w:i/>
        </w:rPr>
      </w:pPr>
      <w:r w:rsidRPr="007E7BD0">
        <w:rPr>
          <w:rFonts w:ascii="Palatino Linotype" w:hAnsi="Palatino Linotype"/>
          <w:i/>
        </w:rPr>
        <w:lastRenderedPageBreak/>
        <w:t xml:space="preserve">Los ayuntamientos sesionarán en cabildo abierto cuando menos bimestralmente. </w:t>
      </w:r>
    </w:p>
    <w:p w:rsidR="006221C5" w:rsidRPr="007E7BD0" w:rsidRDefault="006221C5" w:rsidP="006221C5">
      <w:pPr>
        <w:spacing w:before="240" w:line="360" w:lineRule="auto"/>
        <w:ind w:left="851" w:right="992"/>
        <w:jc w:val="both"/>
        <w:rPr>
          <w:rFonts w:ascii="Palatino Linotype" w:hAnsi="Palatino Linotype"/>
          <w:i/>
        </w:rPr>
      </w:pPr>
      <w:r w:rsidRPr="007E7BD0">
        <w:rPr>
          <w:rFonts w:ascii="Palatino Linotype" w:hAnsi="Palatino Linotype"/>
          <w:i/>
        </w:rPr>
        <w:t xml:space="preserve">El cabildo en sesión abierta es la sesión que celebra el Ayuntamiento, en la cual los habitantes participan directamente con derecho a voz pero sin voto, a fin de discutir asuntos de interés para la comunidad y con competencia sobre el mismo. </w:t>
      </w:r>
    </w:p>
    <w:p w:rsidR="006221C5" w:rsidRPr="007E7BD0" w:rsidRDefault="006221C5" w:rsidP="006221C5">
      <w:pPr>
        <w:spacing w:before="240" w:line="360" w:lineRule="auto"/>
        <w:ind w:left="851" w:right="992"/>
        <w:jc w:val="both"/>
        <w:rPr>
          <w:rFonts w:ascii="Palatino Linotype" w:hAnsi="Palatino Linotype"/>
          <w:i/>
        </w:rPr>
      </w:pPr>
      <w:r w:rsidRPr="007E7BD0">
        <w:rPr>
          <w:rFonts w:ascii="Palatino Linotype" w:hAnsi="Palatino Linotype"/>
          <w:i/>
        </w:rPr>
        <w:t xml:space="preserve">En este tipo de sesiones el Ayuntamiento escuchará la opinión del público que participe en la Sesión y podrá tomarla en cuenta al dictaminar sus resoluciones. </w:t>
      </w:r>
    </w:p>
    <w:p w:rsidR="006221C5" w:rsidRPr="007E7BD0" w:rsidRDefault="006221C5" w:rsidP="006221C5">
      <w:pPr>
        <w:spacing w:before="240" w:line="360" w:lineRule="auto"/>
        <w:ind w:left="851" w:right="992"/>
        <w:jc w:val="both"/>
        <w:rPr>
          <w:rFonts w:ascii="Palatino Linotype" w:hAnsi="Palatino Linotype"/>
          <w:i/>
        </w:rPr>
      </w:pPr>
      <w:r w:rsidRPr="007E7BD0">
        <w:rPr>
          <w:rFonts w:ascii="Palatino Linotype" w:hAnsi="Palatino Linotype"/>
          <w:i/>
        </w:rPr>
        <w:t>El Ayuntamiento deberá emitir una convocatoria pública quince días naturales previos a la celebración del Cabildo en sesión abierta para que los habitantes del municipio que tengan interés se registren como participantes ante la Secretaría del Ayuntamiento.</w:t>
      </w:r>
    </w:p>
    <w:p w:rsidR="006221C5" w:rsidRPr="006D6047" w:rsidRDefault="006221C5" w:rsidP="006221C5">
      <w:pPr>
        <w:spacing w:before="240" w:line="360" w:lineRule="auto"/>
        <w:jc w:val="both"/>
        <w:rPr>
          <w:rFonts w:ascii="Palatino Linotype" w:eastAsia="Calibri" w:hAnsi="Palatino Linotype"/>
          <w:sz w:val="24"/>
          <w:szCs w:val="24"/>
        </w:rPr>
      </w:pPr>
      <w:r w:rsidRPr="006D6047">
        <w:rPr>
          <w:rFonts w:ascii="Palatino Linotype" w:eastAsia="Calibri" w:hAnsi="Palatino Linotype"/>
          <w:sz w:val="24"/>
          <w:szCs w:val="24"/>
        </w:rPr>
        <w:t>Como podemos apreciar los ayuntamientos sesionan cuando menos una vez cada ocho días o cuantas veces sea necesario en asuntos de urgente resolución, a petición de la mayoría de sus miembros y podrán declararse en sesión permanente cuando la importancia del asunto lo requiera, también establece que las sesiones de los ayuntamientos son públicas y que deben transmitirse a través de la página de internet del municipio.</w:t>
      </w:r>
    </w:p>
    <w:p w:rsidR="006221C5" w:rsidRPr="006D6047" w:rsidRDefault="006221C5" w:rsidP="006221C5">
      <w:pPr>
        <w:spacing w:before="240" w:line="360" w:lineRule="auto"/>
        <w:jc w:val="both"/>
        <w:rPr>
          <w:rFonts w:ascii="Palatino Linotype" w:eastAsia="Calibri" w:hAnsi="Palatino Linotype"/>
          <w:sz w:val="24"/>
          <w:szCs w:val="24"/>
        </w:rPr>
      </w:pPr>
      <w:r w:rsidRPr="006D6047">
        <w:rPr>
          <w:rFonts w:ascii="Palatino Linotype" w:eastAsia="Calibri" w:hAnsi="Palatino Linotype"/>
          <w:sz w:val="24"/>
          <w:szCs w:val="24"/>
        </w:rPr>
        <w:t>En ese sentido, la Ley de Transparencia y Acceso a la Información Pública del Estado de México y Municipios establece:</w:t>
      </w:r>
    </w:p>
    <w:p w:rsidR="006221C5" w:rsidRDefault="006221C5" w:rsidP="006221C5">
      <w:pPr>
        <w:spacing w:before="240" w:line="360" w:lineRule="auto"/>
        <w:ind w:left="851" w:right="992"/>
        <w:jc w:val="both"/>
        <w:rPr>
          <w:rFonts w:ascii="Palatino Linotype" w:hAnsi="Palatino Linotype"/>
          <w:i/>
        </w:rPr>
      </w:pPr>
      <w:r>
        <w:rPr>
          <w:rFonts w:ascii="Palatino Linotype" w:hAnsi="Palatino Linotype"/>
          <w:i/>
        </w:rPr>
        <w:t>“</w:t>
      </w:r>
      <w:r w:rsidRPr="00382A33">
        <w:rPr>
          <w:rFonts w:ascii="Palatino Linotype" w:hAnsi="Palatino Linotype"/>
          <w:i/>
        </w:rPr>
        <w:t>Artículo 94. Además de las obligaciones de transparencia común a que se refiere el Capítulo II de este Título, los sujetos</w:t>
      </w:r>
      <w:r>
        <w:rPr>
          <w:rFonts w:ascii="Palatino Linotype" w:hAnsi="Palatino Linotype"/>
          <w:i/>
        </w:rPr>
        <w:t xml:space="preserve"> </w:t>
      </w:r>
      <w:r w:rsidRPr="00382A33">
        <w:rPr>
          <w:rFonts w:ascii="Palatino Linotype" w:hAnsi="Palatino Linotype"/>
          <w:i/>
        </w:rPr>
        <w:t>obligados del Poder Ejecutivo Local y municipales, deberán poner a disposición del público y actualizar la siguiente</w:t>
      </w:r>
      <w:r>
        <w:rPr>
          <w:rFonts w:ascii="Palatino Linotype" w:hAnsi="Palatino Linotype"/>
          <w:i/>
        </w:rPr>
        <w:t xml:space="preserve"> </w:t>
      </w:r>
      <w:r w:rsidRPr="00382A33">
        <w:rPr>
          <w:rFonts w:ascii="Palatino Linotype" w:hAnsi="Palatino Linotype"/>
          <w:i/>
        </w:rPr>
        <w:t>información:</w:t>
      </w:r>
    </w:p>
    <w:p w:rsidR="006221C5" w:rsidRDefault="006221C5" w:rsidP="006221C5">
      <w:pPr>
        <w:spacing w:before="240" w:line="360" w:lineRule="auto"/>
        <w:ind w:left="851" w:right="992"/>
        <w:jc w:val="both"/>
        <w:rPr>
          <w:rFonts w:ascii="Palatino Linotype" w:hAnsi="Palatino Linotype"/>
          <w:i/>
        </w:rPr>
      </w:pPr>
      <w:r>
        <w:rPr>
          <w:rFonts w:ascii="Palatino Linotype" w:hAnsi="Palatino Linotype"/>
          <w:i/>
        </w:rPr>
        <w:lastRenderedPageBreak/>
        <w:t>…</w:t>
      </w:r>
    </w:p>
    <w:p w:rsidR="006221C5" w:rsidRPr="00382A33" w:rsidRDefault="006221C5" w:rsidP="006221C5">
      <w:pPr>
        <w:spacing w:before="240" w:line="360" w:lineRule="auto"/>
        <w:ind w:left="851" w:right="992"/>
        <w:jc w:val="both"/>
        <w:rPr>
          <w:rFonts w:ascii="Palatino Linotype" w:hAnsi="Palatino Linotype"/>
          <w:i/>
        </w:rPr>
      </w:pPr>
      <w:r w:rsidRPr="00382A33">
        <w:rPr>
          <w:rFonts w:ascii="Palatino Linotype" w:hAnsi="Palatino Linotype"/>
          <w:i/>
        </w:rPr>
        <w:t>II. Adicionalmente en el caso de los municipios:</w:t>
      </w:r>
    </w:p>
    <w:p w:rsidR="006221C5" w:rsidRPr="00382A33" w:rsidRDefault="006221C5" w:rsidP="006221C5">
      <w:pPr>
        <w:spacing w:before="240" w:line="360" w:lineRule="auto"/>
        <w:ind w:left="851" w:right="992"/>
        <w:jc w:val="both"/>
        <w:rPr>
          <w:rFonts w:ascii="Palatino Linotype" w:hAnsi="Palatino Linotype"/>
          <w:i/>
        </w:rPr>
      </w:pPr>
      <w:r w:rsidRPr="00382A33">
        <w:rPr>
          <w:rFonts w:ascii="Palatino Linotype" w:hAnsi="Palatino Linotype"/>
          <w:i/>
        </w:rPr>
        <w:t>…</w:t>
      </w:r>
    </w:p>
    <w:p w:rsidR="006221C5" w:rsidRPr="00382A33" w:rsidRDefault="006221C5" w:rsidP="006221C5">
      <w:pPr>
        <w:spacing w:before="240" w:line="360" w:lineRule="auto"/>
        <w:ind w:left="851" w:right="992"/>
        <w:jc w:val="both"/>
        <w:rPr>
          <w:rFonts w:ascii="Palatino Linotype" w:hAnsi="Palatino Linotype"/>
          <w:i/>
        </w:rPr>
      </w:pPr>
      <w:r w:rsidRPr="00067424">
        <w:rPr>
          <w:rFonts w:ascii="Palatino Linotype" w:hAnsi="Palatino Linotype"/>
          <w:b/>
          <w:i/>
          <w:u w:val="single"/>
        </w:rPr>
        <w:t>b) Las actas de sesiones de cabildo</w:t>
      </w:r>
      <w:r w:rsidRPr="00382A33">
        <w:rPr>
          <w:rFonts w:ascii="Palatino Linotype" w:hAnsi="Palatino Linotype"/>
          <w:i/>
        </w:rPr>
        <w:t>, los controles de asistencia de los integrantes del Ayuntamiento a las sesiones</w:t>
      </w:r>
      <w:r>
        <w:rPr>
          <w:rFonts w:ascii="Palatino Linotype" w:hAnsi="Palatino Linotype"/>
          <w:i/>
        </w:rPr>
        <w:t xml:space="preserve"> </w:t>
      </w:r>
      <w:r w:rsidRPr="00382A33">
        <w:rPr>
          <w:rFonts w:ascii="Palatino Linotype" w:hAnsi="Palatino Linotype"/>
          <w:i/>
        </w:rPr>
        <w:t>de cabildo y el sentido de votación de los miembros del cabildo sobre las iniciativas o acuerdos;</w:t>
      </w:r>
    </w:p>
    <w:p w:rsidR="006221C5" w:rsidRPr="006D6047" w:rsidRDefault="006221C5" w:rsidP="006221C5">
      <w:pPr>
        <w:spacing w:before="240" w:line="360" w:lineRule="auto"/>
        <w:jc w:val="both"/>
        <w:rPr>
          <w:rFonts w:ascii="Palatino Linotype" w:hAnsi="Palatino Linotype" w:cs="Arial"/>
          <w:color w:val="000000"/>
          <w:sz w:val="24"/>
          <w:szCs w:val="24"/>
          <w:lang w:eastAsia="es-MX"/>
        </w:rPr>
      </w:pPr>
      <w:r w:rsidRPr="006D6047">
        <w:rPr>
          <w:rFonts w:ascii="Palatino Linotype" w:hAnsi="Palatino Linotype"/>
          <w:color w:val="000000"/>
          <w:sz w:val="24"/>
          <w:szCs w:val="24"/>
        </w:rPr>
        <w:t xml:space="preserve">Respecto </w:t>
      </w:r>
      <w:r w:rsidRPr="006D6047">
        <w:rPr>
          <w:rFonts w:ascii="Palatino Linotype" w:hAnsi="Palatino Linotype"/>
          <w:b/>
          <w:color w:val="000000"/>
          <w:sz w:val="24"/>
          <w:szCs w:val="24"/>
          <w:u w:val="single"/>
        </w:rPr>
        <w:t>de los organigramas</w:t>
      </w:r>
      <w:r w:rsidRPr="006D6047">
        <w:rPr>
          <w:rFonts w:ascii="Palatino Linotype" w:hAnsi="Palatino Linotype"/>
          <w:color w:val="000000"/>
          <w:sz w:val="24"/>
          <w:szCs w:val="24"/>
        </w:rPr>
        <w:t xml:space="preserve"> en comento, es necesario referir que nos referiremos a la estructura orgánica, el derecho positivo vigente en materia de acceso a la información pública establece tal conceptualización como estructura orgánica, como se puede apreciar a continuación: </w:t>
      </w:r>
      <w:r w:rsidRPr="006D6047">
        <w:rPr>
          <w:rFonts w:ascii="Palatino Linotype" w:hAnsi="Palatino Linotype" w:cs="Arial"/>
          <w:sz w:val="24"/>
          <w:szCs w:val="24"/>
        </w:rPr>
        <w:t xml:space="preserve">Ley de </w:t>
      </w:r>
      <w:r w:rsidRPr="006D6047">
        <w:rPr>
          <w:rFonts w:ascii="Palatino Linotype" w:hAnsi="Palatino Linotype" w:cs="Arial"/>
          <w:color w:val="000000"/>
          <w:sz w:val="24"/>
          <w:szCs w:val="24"/>
          <w:lang w:eastAsia="es-MX"/>
        </w:rPr>
        <w:t>Transparencia y Acceso a la Información Pública del Estado de México y Municipios:</w:t>
      </w:r>
    </w:p>
    <w:p w:rsidR="006221C5" w:rsidRDefault="006221C5" w:rsidP="006221C5">
      <w:pPr>
        <w:shd w:val="clear" w:color="auto" w:fill="FFFFFF" w:themeFill="background1"/>
        <w:autoSpaceDE w:val="0"/>
        <w:autoSpaceDN w:val="0"/>
        <w:adjustRightInd w:val="0"/>
        <w:spacing w:before="240" w:line="360" w:lineRule="auto"/>
        <w:ind w:left="851" w:right="1134"/>
        <w:jc w:val="both"/>
        <w:rPr>
          <w:rFonts w:ascii="Palatino Linotype" w:hAnsi="Palatino Linotype"/>
          <w:i/>
          <w:color w:val="000000"/>
        </w:rPr>
      </w:pPr>
      <w:r>
        <w:rPr>
          <w:rFonts w:ascii="Palatino Linotype" w:hAnsi="Palatino Linotype"/>
          <w:i/>
          <w:color w:val="000000"/>
        </w:rPr>
        <w:t>“</w:t>
      </w:r>
      <w:r w:rsidRPr="003D05D5">
        <w:rPr>
          <w:rFonts w:ascii="Palatino Linotype" w:hAnsi="Palatino Linotype"/>
          <w:i/>
          <w:color w:val="000000"/>
        </w:rPr>
        <w:t>Artículo 92. Los sujetos obligados deberán poner a disposición del público de manera permanente y actualizada de forma</w:t>
      </w:r>
      <w:r>
        <w:rPr>
          <w:rFonts w:ascii="Palatino Linotype" w:hAnsi="Palatino Linotype"/>
          <w:i/>
          <w:color w:val="000000"/>
        </w:rPr>
        <w:t xml:space="preserve"> </w:t>
      </w:r>
      <w:r w:rsidRPr="003D05D5">
        <w:rPr>
          <w:rFonts w:ascii="Palatino Linotype" w:hAnsi="Palatino Linotype"/>
          <w:i/>
          <w:color w:val="000000"/>
        </w:rPr>
        <w:t>sencilla, precisa y entendible, en los respectivos medios electrónicos, de acuerdo con sus facultades, atribuciones, funciones</w:t>
      </w:r>
      <w:r>
        <w:rPr>
          <w:rFonts w:ascii="Palatino Linotype" w:hAnsi="Palatino Linotype"/>
          <w:i/>
          <w:color w:val="000000"/>
        </w:rPr>
        <w:t xml:space="preserve"> </w:t>
      </w:r>
      <w:r w:rsidRPr="003D05D5">
        <w:rPr>
          <w:rFonts w:ascii="Palatino Linotype" w:hAnsi="Palatino Linotype"/>
          <w:i/>
          <w:color w:val="000000"/>
        </w:rPr>
        <w:t>u objeto social, según corresponda, la información, por lo menos, de los temas, documentos y políticas que a continuación</w:t>
      </w:r>
      <w:r>
        <w:rPr>
          <w:rFonts w:ascii="Palatino Linotype" w:hAnsi="Palatino Linotype"/>
          <w:i/>
          <w:color w:val="000000"/>
        </w:rPr>
        <w:t xml:space="preserve"> </w:t>
      </w:r>
      <w:r w:rsidRPr="003D05D5">
        <w:rPr>
          <w:rFonts w:ascii="Palatino Linotype" w:hAnsi="Palatino Linotype"/>
          <w:i/>
          <w:color w:val="000000"/>
        </w:rPr>
        <w:t>se señalan:</w:t>
      </w:r>
    </w:p>
    <w:p w:rsidR="006221C5" w:rsidRDefault="006221C5" w:rsidP="006221C5">
      <w:pPr>
        <w:shd w:val="clear" w:color="auto" w:fill="FFFFFF" w:themeFill="background1"/>
        <w:autoSpaceDE w:val="0"/>
        <w:autoSpaceDN w:val="0"/>
        <w:adjustRightInd w:val="0"/>
        <w:spacing w:before="240" w:line="360" w:lineRule="auto"/>
        <w:ind w:left="851" w:right="1134"/>
        <w:jc w:val="both"/>
        <w:rPr>
          <w:rFonts w:ascii="Palatino Linotype" w:hAnsi="Palatino Linotype"/>
          <w:i/>
          <w:color w:val="000000"/>
        </w:rPr>
      </w:pPr>
      <w:r>
        <w:rPr>
          <w:rFonts w:ascii="Palatino Linotype" w:hAnsi="Palatino Linotype"/>
          <w:i/>
          <w:color w:val="000000"/>
        </w:rPr>
        <w:t>…</w:t>
      </w:r>
    </w:p>
    <w:p w:rsidR="006221C5" w:rsidRPr="003D05D5" w:rsidRDefault="006221C5" w:rsidP="006221C5">
      <w:pPr>
        <w:shd w:val="clear" w:color="auto" w:fill="FFFFFF" w:themeFill="background1"/>
        <w:autoSpaceDE w:val="0"/>
        <w:autoSpaceDN w:val="0"/>
        <w:adjustRightInd w:val="0"/>
        <w:spacing w:before="240" w:line="360" w:lineRule="auto"/>
        <w:ind w:left="851" w:right="1134"/>
        <w:jc w:val="both"/>
        <w:rPr>
          <w:rFonts w:ascii="Palatino Linotype" w:hAnsi="Palatino Linotype"/>
          <w:i/>
          <w:color w:val="000000"/>
        </w:rPr>
      </w:pPr>
      <w:r w:rsidRPr="003D05D5">
        <w:rPr>
          <w:rFonts w:ascii="Palatino Linotype" w:hAnsi="Palatino Linotype"/>
          <w:i/>
          <w:color w:val="000000"/>
        </w:rPr>
        <w:t>II. Su estructura orgánica completa, en un formato que permita vincular cada parte de la estructura, las atribuciones y</w:t>
      </w:r>
      <w:r>
        <w:rPr>
          <w:rFonts w:ascii="Palatino Linotype" w:hAnsi="Palatino Linotype"/>
          <w:i/>
          <w:color w:val="000000"/>
        </w:rPr>
        <w:t xml:space="preserve"> </w:t>
      </w:r>
      <w:r w:rsidRPr="003D05D5">
        <w:rPr>
          <w:rFonts w:ascii="Palatino Linotype" w:hAnsi="Palatino Linotype"/>
          <w:i/>
          <w:color w:val="000000"/>
        </w:rPr>
        <w:t>responsabilidades que le corresponden a cada servidor público, prestador de servicios profesionales o miembro de los</w:t>
      </w:r>
      <w:r>
        <w:rPr>
          <w:rFonts w:ascii="Palatino Linotype" w:hAnsi="Palatino Linotype"/>
          <w:i/>
          <w:color w:val="000000"/>
        </w:rPr>
        <w:t xml:space="preserve"> </w:t>
      </w:r>
      <w:r w:rsidRPr="003D05D5">
        <w:rPr>
          <w:rFonts w:ascii="Palatino Linotype" w:hAnsi="Palatino Linotype"/>
          <w:i/>
          <w:color w:val="000000"/>
        </w:rPr>
        <w:t>sujetos obligados, de conformidad con las disposiciones jurídicas aplicables;</w:t>
      </w:r>
      <w:r>
        <w:rPr>
          <w:rFonts w:ascii="Palatino Linotype" w:hAnsi="Palatino Linotype"/>
          <w:i/>
          <w:color w:val="000000"/>
        </w:rPr>
        <w:t>”</w:t>
      </w:r>
    </w:p>
    <w:p w:rsidR="006221C5" w:rsidRPr="006D6047" w:rsidRDefault="006221C5" w:rsidP="006221C5">
      <w:pPr>
        <w:spacing w:before="240" w:line="360" w:lineRule="auto"/>
        <w:jc w:val="both"/>
        <w:rPr>
          <w:rFonts w:ascii="Palatino Linotype" w:hAnsi="Palatino Linotype" w:cs="Arial"/>
          <w:sz w:val="24"/>
          <w:szCs w:val="24"/>
        </w:rPr>
      </w:pPr>
    </w:p>
    <w:p w:rsidR="006221C5" w:rsidRPr="006D6047" w:rsidRDefault="006221C5" w:rsidP="006221C5">
      <w:pPr>
        <w:spacing w:before="240" w:line="360" w:lineRule="auto"/>
        <w:jc w:val="both"/>
        <w:rPr>
          <w:rFonts w:ascii="Palatino Linotype" w:hAnsi="Palatino Linotype" w:cs="Arial"/>
          <w:sz w:val="24"/>
          <w:szCs w:val="24"/>
        </w:rPr>
      </w:pPr>
      <w:r w:rsidRPr="006D6047">
        <w:rPr>
          <w:rFonts w:ascii="Palatino Linotype" w:hAnsi="Palatino Linotype" w:cs="Arial"/>
          <w:sz w:val="24"/>
          <w:szCs w:val="24"/>
        </w:rPr>
        <w:t xml:space="preserve">Como podemos apreciar la publicación de la estructura orgánica es una obligación que el sujeto obligado debe observar en todo momento, y procurar que en la página se encuentre disponible para el público en general, en ese orden de ideas el </w:t>
      </w:r>
      <w:r w:rsidRPr="006D6047">
        <w:rPr>
          <w:rFonts w:ascii="Palatino Linotype" w:hAnsi="Palatino Linotype" w:cs="Arial"/>
          <w:b/>
          <w:sz w:val="24"/>
          <w:szCs w:val="24"/>
        </w:rPr>
        <w:t>Lineamientos para la Integración del Informe Mensual 2019</w:t>
      </w:r>
      <w:r w:rsidRPr="006D6047">
        <w:rPr>
          <w:rFonts w:ascii="Palatino Linotype" w:hAnsi="Palatino Linotype" w:cs="Arial"/>
          <w:sz w:val="24"/>
          <w:szCs w:val="24"/>
        </w:rPr>
        <w:t xml:space="preserve"> emitidos por el Órgano Superior de Fiscalización del Estado de México, al respecto establecen lo siguiente:</w:t>
      </w:r>
    </w:p>
    <w:p w:rsidR="006221C5" w:rsidRDefault="006221C5" w:rsidP="006221C5">
      <w:pPr>
        <w:shd w:val="clear" w:color="auto" w:fill="FFFFFF" w:themeFill="background1"/>
        <w:autoSpaceDE w:val="0"/>
        <w:autoSpaceDN w:val="0"/>
        <w:adjustRightInd w:val="0"/>
        <w:spacing w:before="240" w:line="360" w:lineRule="auto"/>
        <w:ind w:left="851" w:right="1134"/>
        <w:jc w:val="both"/>
        <w:rPr>
          <w:rFonts w:ascii="Palatino Linotype" w:hAnsi="Palatino Linotype"/>
          <w:i/>
          <w:color w:val="000000"/>
        </w:rPr>
      </w:pPr>
      <w:r>
        <w:rPr>
          <w:rFonts w:ascii="Palatino Linotype" w:hAnsi="Palatino Linotype"/>
          <w:i/>
          <w:color w:val="000000"/>
        </w:rPr>
        <w:t>“</w:t>
      </w:r>
      <w:r w:rsidRPr="0095771B">
        <w:rPr>
          <w:rFonts w:ascii="Palatino Linotype" w:hAnsi="Palatino Linotype"/>
          <w:i/>
          <w:color w:val="000000"/>
        </w:rPr>
        <w:t>Con el fin de seguir impulsando la profesionalización y gestión de la administración pública municipal, el OSFEM mantendrá los siguientes indicadores con la periodicidad que se señala:</w:t>
      </w:r>
    </w:p>
    <w:p w:rsidR="006221C5" w:rsidRDefault="006221C5" w:rsidP="006221C5">
      <w:pPr>
        <w:shd w:val="clear" w:color="auto" w:fill="FFFFFF" w:themeFill="background1"/>
        <w:autoSpaceDE w:val="0"/>
        <w:autoSpaceDN w:val="0"/>
        <w:adjustRightInd w:val="0"/>
        <w:spacing w:before="240" w:line="360" w:lineRule="auto"/>
        <w:ind w:left="851" w:right="1134"/>
        <w:jc w:val="both"/>
        <w:rPr>
          <w:rFonts w:ascii="Palatino Linotype" w:hAnsi="Palatino Linotype"/>
          <w:i/>
          <w:color w:val="000000"/>
        </w:rPr>
      </w:pPr>
      <w:r>
        <w:rPr>
          <w:rFonts w:ascii="Palatino Linotype" w:hAnsi="Palatino Linotype"/>
          <w:i/>
          <w:color w:val="000000"/>
        </w:rPr>
        <w:t>…</w:t>
      </w:r>
    </w:p>
    <w:tbl>
      <w:tblPr>
        <w:tblStyle w:val="Tablaconcuadrcula"/>
        <w:tblW w:w="9072" w:type="dxa"/>
        <w:tblInd w:w="-5" w:type="dxa"/>
        <w:tblLook w:val="04A0" w:firstRow="1" w:lastRow="0" w:firstColumn="1" w:lastColumn="0" w:noHBand="0" w:noVBand="1"/>
      </w:tblPr>
      <w:tblGrid>
        <w:gridCol w:w="2268"/>
        <w:gridCol w:w="3402"/>
        <w:gridCol w:w="1701"/>
        <w:gridCol w:w="1701"/>
      </w:tblGrid>
      <w:tr w:rsidR="006221C5" w:rsidTr="00126259">
        <w:tc>
          <w:tcPr>
            <w:tcW w:w="2268" w:type="dxa"/>
            <w:vAlign w:val="center"/>
          </w:tcPr>
          <w:p w:rsidR="006221C5" w:rsidRPr="0095771B" w:rsidRDefault="006221C5" w:rsidP="006221C5">
            <w:pPr>
              <w:shd w:val="clear" w:color="auto" w:fill="FFFFFF" w:themeFill="background1"/>
              <w:autoSpaceDE w:val="0"/>
              <w:autoSpaceDN w:val="0"/>
              <w:adjustRightInd w:val="0"/>
              <w:spacing w:before="240" w:line="360" w:lineRule="auto"/>
              <w:ind w:left="34"/>
              <w:jc w:val="center"/>
              <w:rPr>
                <w:rFonts w:ascii="Palatino Linotype" w:hAnsi="Palatino Linotype"/>
                <w:b/>
                <w:i/>
                <w:color w:val="000000"/>
                <w:sz w:val="18"/>
              </w:rPr>
            </w:pPr>
            <w:r>
              <w:rPr>
                <w:rFonts w:ascii="Palatino Linotype" w:hAnsi="Palatino Linotype"/>
                <w:b/>
                <w:i/>
                <w:color w:val="000000"/>
                <w:sz w:val="18"/>
              </w:rPr>
              <w:t>Indicadores de Puntos</w:t>
            </w:r>
          </w:p>
        </w:tc>
        <w:tc>
          <w:tcPr>
            <w:tcW w:w="3402" w:type="dxa"/>
            <w:vAlign w:val="center"/>
          </w:tcPr>
          <w:p w:rsidR="006221C5" w:rsidRPr="00DC0414" w:rsidRDefault="006221C5" w:rsidP="006221C5">
            <w:pPr>
              <w:shd w:val="clear" w:color="auto" w:fill="FFFFFF" w:themeFill="background1"/>
              <w:autoSpaceDE w:val="0"/>
              <w:autoSpaceDN w:val="0"/>
              <w:adjustRightInd w:val="0"/>
              <w:spacing w:before="240" w:line="360" w:lineRule="auto"/>
              <w:ind w:left="34"/>
              <w:jc w:val="center"/>
              <w:rPr>
                <w:rFonts w:ascii="Palatino Linotype" w:hAnsi="Palatino Linotype"/>
                <w:i/>
                <w:color w:val="000000"/>
                <w:sz w:val="18"/>
              </w:rPr>
            </w:pPr>
            <w:r w:rsidRPr="00DC0414">
              <w:rPr>
                <w:rFonts w:ascii="Palatino Linotype" w:hAnsi="Palatino Linotype"/>
                <w:i/>
                <w:color w:val="000000"/>
                <w:sz w:val="18"/>
              </w:rPr>
              <w:t>Requerimiento</w:t>
            </w:r>
          </w:p>
        </w:tc>
        <w:tc>
          <w:tcPr>
            <w:tcW w:w="1701" w:type="dxa"/>
            <w:vAlign w:val="center"/>
          </w:tcPr>
          <w:p w:rsidR="006221C5" w:rsidRPr="0095771B" w:rsidRDefault="006221C5" w:rsidP="006221C5">
            <w:pPr>
              <w:shd w:val="clear" w:color="auto" w:fill="FFFFFF" w:themeFill="background1"/>
              <w:autoSpaceDE w:val="0"/>
              <w:autoSpaceDN w:val="0"/>
              <w:adjustRightInd w:val="0"/>
              <w:spacing w:before="240" w:line="360" w:lineRule="auto"/>
              <w:ind w:left="34"/>
              <w:jc w:val="center"/>
              <w:rPr>
                <w:rFonts w:ascii="Palatino Linotype" w:hAnsi="Palatino Linotype"/>
                <w:i/>
                <w:color w:val="000000"/>
                <w:sz w:val="18"/>
              </w:rPr>
            </w:pPr>
            <w:r>
              <w:rPr>
                <w:rFonts w:ascii="Palatino Linotype" w:hAnsi="Palatino Linotype"/>
                <w:i/>
                <w:color w:val="000000"/>
                <w:sz w:val="18"/>
              </w:rPr>
              <w:t>Periodicidad</w:t>
            </w:r>
          </w:p>
        </w:tc>
        <w:tc>
          <w:tcPr>
            <w:tcW w:w="1701" w:type="dxa"/>
            <w:vAlign w:val="center"/>
          </w:tcPr>
          <w:p w:rsidR="006221C5" w:rsidRPr="0095771B" w:rsidRDefault="006221C5" w:rsidP="006221C5">
            <w:pPr>
              <w:shd w:val="clear" w:color="auto" w:fill="FFFFFF" w:themeFill="background1"/>
              <w:autoSpaceDE w:val="0"/>
              <w:autoSpaceDN w:val="0"/>
              <w:adjustRightInd w:val="0"/>
              <w:spacing w:before="240" w:line="360" w:lineRule="auto"/>
              <w:ind w:left="34"/>
              <w:jc w:val="center"/>
              <w:rPr>
                <w:rFonts w:ascii="Palatino Linotype" w:hAnsi="Palatino Linotype"/>
                <w:i/>
                <w:color w:val="000000"/>
                <w:sz w:val="18"/>
              </w:rPr>
            </w:pPr>
            <w:r>
              <w:rPr>
                <w:rFonts w:ascii="Palatino Linotype" w:hAnsi="Palatino Linotype"/>
                <w:i/>
                <w:color w:val="000000"/>
                <w:sz w:val="18"/>
              </w:rPr>
              <w:t xml:space="preserve">Formato de Presentación </w:t>
            </w:r>
          </w:p>
        </w:tc>
      </w:tr>
      <w:tr w:rsidR="006221C5" w:rsidTr="00126259">
        <w:tc>
          <w:tcPr>
            <w:tcW w:w="2268" w:type="dxa"/>
            <w:vMerge w:val="restart"/>
            <w:vAlign w:val="center"/>
          </w:tcPr>
          <w:p w:rsidR="006221C5" w:rsidRPr="0095771B" w:rsidRDefault="006221C5" w:rsidP="006221C5">
            <w:pPr>
              <w:shd w:val="clear" w:color="auto" w:fill="FFFFFF" w:themeFill="background1"/>
              <w:autoSpaceDE w:val="0"/>
              <w:autoSpaceDN w:val="0"/>
              <w:adjustRightInd w:val="0"/>
              <w:spacing w:before="240" w:line="360" w:lineRule="auto"/>
              <w:ind w:left="34"/>
              <w:jc w:val="center"/>
              <w:rPr>
                <w:rFonts w:ascii="Palatino Linotype" w:hAnsi="Palatino Linotype"/>
                <w:b/>
                <w:i/>
                <w:color w:val="000000"/>
                <w:sz w:val="18"/>
              </w:rPr>
            </w:pPr>
            <w:r w:rsidRPr="0095771B">
              <w:rPr>
                <w:rFonts w:ascii="Palatino Linotype" w:hAnsi="Palatino Linotype"/>
                <w:b/>
                <w:i/>
                <w:color w:val="000000"/>
                <w:sz w:val="18"/>
              </w:rPr>
              <w:t>Documentos para el Desarrollo Institucional</w:t>
            </w:r>
          </w:p>
          <w:p w:rsidR="006221C5" w:rsidRPr="0095771B" w:rsidRDefault="006221C5" w:rsidP="006221C5">
            <w:pPr>
              <w:shd w:val="clear" w:color="auto" w:fill="FFFFFF" w:themeFill="background1"/>
              <w:autoSpaceDE w:val="0"/>
              <w:autoSpaceDN w:val="0"/>
              <w:adjustRightInd w:val="0"/>
              <w:spacing w:before="240" w:line="360" w:lineRule="auto"/>
              <w:ind w:left="34"/>
              <w:jc w:val="center"/>
              <w:rPr>
                <w:rFonts w:ascii="Palatino Linotype" w:hAnsi="Palatino Linotype"/>
                <w:i/>
                <w:color w:val="000000"/>
                <w:sz w:val="18"/>
              </w:rPr>
            </w:pPr>
            <w:r w:rsidRPr="0095771B">
              <w:rPr>
                <w:rFonts w:ascii="Palatino Linotype" w:hAnsi="Palatino Linotype"/>
                <w:i/>
                <w:color w:val="000000"/>
                <w:sz w:val="18"/>
              </w:rPr>
              <w:t>(Autorizados por la entidad municipal)</w:t>
            </w:r>
          </w:p>
        </w:tc>
        <w:tc>
          <w:tcPr>
            <w:tcW w:w="3402" w:type="dxa"/>
          </w:tcPr>
          <w:p w:rsidR="006221C5" w:rsidRPr="0095771B" w:rsidRDefault="006221C5" w:rsidP="006221C5">
            <w:pPr>
              <w:autoSpaceDE w:val="0"/>
              <w:autoSpaceDN w:val="0"/>
              <w:adjustRightInd w:val="0"/>
              <w:spacing w:before="240" w:line="360" w:lineRule="auto"/>
              <w:jc w:val="both"/>
              <w:rPr>
                <w:rFonts w:ascii="Palatino Linotype" w:hAnsi="Palatino Linotype"/>
                <w:i/>
                <w:color w:val="000000"/>
                <w:sz w:val="18"/>
                <w:szCs w:val="18"/>
              </w:rPr>
            </w:pPr>
            <w:r w:rsidRPr="0095771B">
              <w:rPr>
                <w:rFonts w:ascii="Palatino Linotype" w:hAnsi="Palatino Linotype"/>
                <w:i/>
                <w:color w:val="000000"/>
                <w:sz w:val="18"/>
                <w:szCs w:val="18"/>
              </w:rPr>
              <w:t>Manual de Organización</w:t>
            </w:r>
          </w:p>
        </w:tc>
        <w:tc>
          <w:tcPr>
            <w:tcW w:w="1701" w:type="dxa"/>
            <w:vMerge w:val="restart"/>
            <w:vAlign w:val="center"/>
          </w:tcPr>
          <w:p w:rsidR="006221C5" w:rsidRPr="0095771B" w:rsidRDefault="006221C5" w:rsidP="006221C5">
            <w:pPr>
              <w:shd w:val="clear" w:color="auto" w:fill="FFFFFF" w:themeFill="background1"/>
              <w:autoSpaceDE w:val="0"/>
              <w:autoSpaceDN w:val="0"/>
              <w:adjustRightInd w:val="0"/>
              <w:spacing w:before="240" w:line="360" w:lineRule="auto"/>
              <w:ind w:left="34"/>
              <w:jc w:val="center"/>
              <w:rPr>
                <w:rFonts w:ascii="Palatino Linotype" w:hAnsi="Palatino Linotype"/>
                <w:i/>
                <w:color w:val="000000"/>
                <w:sz w:val="18"/>
              </w:rPr>
            </w:pPr>
            <w:r w:rsidRPr="0095771B">
              <w:rPr>
                <w:rFonts w:ascii="Palatino Linotype" w:hAnsi="Palatino Linotype"/>
                <w:i/>
                <w:color w:val="000000"/>
                <w:sz w:val="18"/>
              </w:rPr>
              <w:t>Semestral (junio y diciembre)</w:t>
            </w:r>
          </w:p>
        </w:tc>
        <w:tc>
          <w:tcPr>
            <w:tcW w:w="1701" w:type="dxa"/>
            <w:vMerge w:val="restart"/>
            <w:vAlign w:val="center"/>
          </w:tcPr>
          <w:p w:rsidR="006221C5" w:rsidRPr="0095771B" w:rsidRDefault="006221C5" w:rsidP="006221C5">
            <w:pPr>
              <w:shd w:val="clear" w:color="auto" w:fill="FFFFFF" w:themeFill="background1"/>
              <w:autoSpaceDE w:val="0"/>
              <w:autoSpaceDN w:val="0"/>
              <w:adjustRightInd w:val="0"/>
              <w:spacing w:before="240" w:line="360" w:lineRule="auto"/>
              <w:ind w:left="34"/>
              <w:jc w:val="center"/>
              <w:rPr>
                <w:rFonts w:ascii="Palatino Linotype" w:hAnsi="Palatino Linotype"/>
                <w:i/>
                <w:color w:val="000000"/>
                <w:sz w:val="18"/>
              </w:rPr>
            </w:pPr>
            <w:r w:rsidRPr="0095771B">
              <w:rPr>
                <w:rFonts w:ascii="Palatino Linotype" w:hAnsi="Palatino Linotype"/>
                <w:i/>
                <w:color w:val="000000"/>
                <w:sz w:val="18"/>
              </w:rPr>
              <w:t>Archivo digital en PDF</w:t>
            </w:r>
          </w:p>
        </w:tc>
      </w:tr>
      <w:tr w:rsidR="006221C5" w:rsidTr="00126259">
        <w:tc>
          <w:tcPr>
            <w:tcW w:w="2268" w:type="dxa"/>
            <w:vMerge/>
          </w:tcPr>
          <w:p w:rsidR="006221C5" w:rsidRDefault="006221C5" w:rsidP="006221C5">
            <w:pPr>
              <w:autoSpaceDE w:val="0"/>
              <w:autoSpaceDN w:val="0"/>
              <w:adjustRightInd w:val="0"/>
              <w:spacing w:before="240" w:line="360" w:lineRule="auto"/>
              <w:ind w:right="1134"/>
              <w:jc w:val="both"/>
              <w:rPr>
                <w:rFonts w:ascii="Palatino Linotype" w:hAnsi="Palatino Linotype"/>
                <w:i/>
                <w:color w:val="000000"/>
              </w:rPr>
            </w:pPr>
          </w:p>
        </w:tc>
        <w:tc>
          <w:tcPr>
            <w:tcW w:w="3402" w:type="dxa"/>
          </w:tcPr>
          <w:p w:rsidR="006221C5" w:rsidRPr="0095771B" w:rsidRDefault="006221C5" w:rsidP="006221C5">
            <w:pPr>
              <w:autoSpaceDE w:val="0"/>
              <w:autoSpaceDN w:val="0"/>
              <w:adjustRightInd w:val="0"/>
              <w:spacing w:before="240" w:line="360" w:lineRule="auto"/>
              <w:ind w:right="33"/>
              <w:jc w:val="both"/>
              <w:rPr>
                <w:rFonts w:ascii="Palatino Linotype" w:hAnsi="Palatino Linotype"/>
                <w:i/>
                <w:color w:val="000000"/>
                <w:sz w:val="18"/>
                <w:szCs w:val="18"/>
              </w:rPr>
            </w:pPr>
            <w:r w:rsidRPr="0095771B">
              <w:rPr>
                <w:rFonts w:ascii="Palatino Linotype" w:hAnsi="Palatino Linotype"/>
                <w:i/>
                <w:color w:val="000000"/>
                <w:sz w:val="18"/>
                <w:szCs w:val="18"/>
              </w:rPr>
              <w:t>Manual de</w:t>
            </w:r>
            <w:r>
              <w:rPr>
                <w:rFonts w:ascii="Palatino Linotype" w:hAnsi="Palatino Linotype"/>
                <w:i/>
                <w:color w:val="000000"/>
                <w:sz w:val="18"/>
                <w:szCs w:val="18"/>
              </w:rPr>
              <w:t xml:space="preserve"> Procedimientos</w:t>
            </w:r>
          </w:p>
        </w:tc>
        <w:tc>
          <w:tcPr>
            <w:tcW w:w="1701" w:type="dxa"/>
            <w:vMerge/>
          </w:tcPr>
          <w:p w:rsidR="006221C5" w:rsidRDefault="006221C5" w:rsidP="006221C5">
            <w:pPr>
              <w:autoSpaceDE w:val="0"/>
              <w:autoSpaceDN w:val="0"/>
              <w:adjustRightInd w:val="0"/>
              <w:spacing w:before="240" w:line="360" w:lineRule="auto"/>
              <w:ind w:right="1134"/>
              <w:jc w:val="both"/>
              <w:rPr>
                <w:rFonts w:ascii="Palatino Linotype" w:hAnsi="Palatino Linotype"/>
                <w:i/>
                <w:color w:val="000000"/>
              </w:rPr>
            </w:pPr>
          </w:p>
        </w:tc>
        <w:tc>
          <w:tcPr>
            <w:tcW w:w="1701" w:type="dxa"/>
            <w:vMerge/>
          </w:tcPr>
          <w:p w:rsidR="006221C5" w:rsidRDefault="006221C5" w:rsidP="006221C5">
            <w:pPr>
              <w:autoSpaceDE w:val="0"/>
              <w:autoSpaceDN w:val="0"/>
              <w:adjustRightInd w:val="0"/>
              <w:spacing w:before="240" w:line="360" w:lineRule="auto"/>
              <w:ind w:right="1134"/>
              <w:jc w:val="both"/>
              <w:rPr>
                <w:rFonts w:ascii="Palatino Linotype" w:hAnsi="Palatino Linotype"/>
                <w:i/>
                <w:color w:val="000000"/>
              </w:rPr>
            </w:pPr>
          </w:p>
        </w:tc>
      </w:tr>
      <w:tr w:rsidR="006221C5" w:rsidTr="00126259">
        <w:tc>
          <w:tcPr>
            <w:tcW w:w="2268" w:type="dxa"/>
            <w:vMerge/>
          </w:tcPr>
          <w:p w:rsidR="006221C5" w:rsidRDefault="006221C5" w:rsidP="006221C5">
            <w:pPr>
              <w:autoSpaceDE w:val="0"/>
              <w:autoSpaceDN w:val="0"/>
              <w:adjustRightInd w:val="0"/>
              <w:spacing w:before="240" w:line="360" w:lineRule="auto"/>
              <w:ind w:right="1134"/>
              <w:jc w:val="both"/>
              <w:rPr>
                <w:rFonts w:ascii="Palatino Linotype" w:hAnsi="Palatino Linotype"/>
                <w:i/>
                <w:color w:val="000000"/>
              </w:rPr>
            </w:pPr>
          </w:p>
        </w:tc>
        <w:tc>
          <w:tcPr>
            <w:tcW w:w="3402" w:type="dxa"/>
          </w:tcPr>
          <w:p w:rsidR="006221C5" w:rsidRPr="00DC0414" w:rsidRDefault="006221C5" w:rsidP="006221C5">
            <w:pPr>
              <w:autoSpaceDE w:val="0"/>
              <w:autoSpaceDN w:val="0"/>
              <w:adjustRightInd w:val="0"/>
              <w:spacing w:before="240" w:line="360" w:lineRule="auto"/>
              <w:ind w:right="1134"/>
              <w:jc w:val="both"/>
              <w:rPr>
                <w:rFonts w:ascii="Palatino Linotype" w:hAnsi="Palatino Linotype"/>
                <w:b/>
                <w:i/>
                <w:color w:val="000000"/>
                <w:sz w:val="18"/>
                <w:szCs w:val="18"/>
                <w:u w:val="single"/>
              </w:rPr>
            </w:pPr>
            <w:r w:rsidRPr="00DC0414">
              <w:rPr>
                <w:rFonts w:ascii="Palatino Linotype" w:hAnsi="Palatino Linotype"/>
                <w:b/>
                <w:i/>
                <w:color w:val="000000"/>
                <w:sz w:val="18"/>
                <w:szCs w:val="18"/>
                <w:u w:val="single"/>
              </w:rPr>
              <w:t xml:space="preserve">Organigrama </w:t>
            </w:r>
          </w:p>
        </w:tc>
        <w:tc>
          <w:tcPr>
            <w:tcW w:w="1701" w:type="dxa"/>
            <w:vMerge/>
          </w:tcPr>
          <w:p w:rsidR="006221C5" w:rsidRDefault="006221C5" w:rsidP="006221C5">
            <w:pPr>
              <w:autoSpaceDE w:val="0"/>
              <w:autoSpaceDN w:val="0"/>
              <w:adjustRightInd w:val="0"/>
              <w:spacing w:before="240" w:line="360" w:lineRule="auto"/>
              <w:ind w:right="1134"/>
              <w:jc w:val="both"/>
              <w:rPr>
                <w:rFonts w:ascii="Palatino Linotype" w:hAnsi="Palatino Linotype"/>
                <w:i/>
                <w:color w:val="000000"/>
              </w:rPr>
            </w:pPr>
          </w:p>
        </w:tc>
        <w:tc>
          <w:tcPr>
            <w:tcW w:w="1701" w:type="dxa"/>
            <w:vMerge/>
          </w:tcPr>
          <w:p w:rsidR="006221C5" w:rsidRDefault="006221C5" w:rsidP="006221C5">
            <w:pPr>
              <w:autoSpaceDE w:val="0"/>
              <w:autoSpaceDN w:val="0"/>
              <w:adjustRightInd w:val="0"/>
              <w:spacing w:before="240" w:line="360" w:lineRule="auto"/>
              <w:ind w:right="1134"/>
              <w:jc w:val="both"/>
              <w:rPr>
                <w:rFonts w:ascii="Palatino Linotype" w:hAnsi="Palatino Linotype"/>
                <w:i/>
                <w:color w:val="000000"/>
              </w:rPr>
            </w:pPr>
          </w:p>
        </w:tc>
      </w:tr>
      <w:tr w:rsidR="006221C5" w:rsidTr="00126259">
        <w:tc>
          <w:tcPr>
            <w:tcW w:w="2268" w:type="dxa"/>
            <w:vMerge/>
          </w:tcPr>
          <w:p w:rsidR="006221C5" w:rsidRDefault="006221C5" w:rsidP="006221C5">
            <w:pPr>
              <w:autoSpaceDE w:val="0"/>
              <w:autoSpaceDN w:val="0"/>
              <w:adjustRightInd w:val="0"/>
              <w:spacing w:before="240" w:line="360" w:lineRule="auto"/>
              <w:ind w:right="1134"/>
              <w:jc w:val="both"/>
              <w:rPr>
                <w:rFonts w:ascii="Palatino Linotype" w:hAnsi="Palatino Linotype"/>
                <w:i/>
                <w:color w:val="000000"/>
              </w:rPr>
            </w:pPr>
          </w:p>
        </w:tc>
        <w:tc>
          <w:tcPr>
            <w:tcW w:w="3402" w:type="dxa"/>
          </w:tcPr>
          <w:p w:rsidR="006221C5" w:rsidRPr="0095771B" w:rsidRDefault="006221C5" w:rsidP="006221C5">
            <w:pPr>
              <w:autoSpaceDE w:val="0"/>
              <w:autoSpaceDN w:val="0"/>
              <w:adjustRightInd w:val="0"/>
              <w:spacing w:before="240" w:line="360" w:lineRule="auto"/>
              <w:ind w:right="1134"/>
              <w:jc w:val="both"/>
              <w:rPr>
                <w:rFonts w:ascii="Palatino Linotype" w:hAnsi="Palatino Linotype"/>
                <w:i/>
                <w:color w:val="000000"/>
                <w:sz w:val="18"/>
                <w:szCs w:val="18"/>
              </w:rPr>
            </w:pPr>
            <w:r>
              <w:rPr>
                <w:rFonts w:ascii="Palatino Linotype" w:hAnsi="Palatino Linotype"/>
                <w:i/>
                <w:color w:val="000000"/>
                <w:sz w:val="18"/>
                <w:szCs w:val="18"/>
              </w:rPr>
              <w:t>Reglamento Interior</w:t>
            </w:r>
          </w:p>
        </w:tc>
        <w:tc>
          <w:tcPr>
            <w:tcW w:w="1701" w:type="dxa"/>
            <w:vMerge/>
          </w:tcPr>
          <w:p w:rsidR="006221C5" w:rsidRDefault="006221C5" w:rsidP="006221C5">
            <w:pPr>
              <w:autoSpaceDE w:val="0"/>
              <w:autoSpaceDN w:val="0"/>
              <w:adjustRightInd w:val="0"/>
              <w:spacing w:before="240" w:line="360" w:lineRule="auto"/>
              <w:ind w:right="1134"/>
              <w:jc w:val="both"/>
              <w:rPr>
                <w:rFonts w:ascii="Palatino Linotype" w:hAnsi="Palatino Linotype"/>
                <w:i/>
                <w:color w:val="000000"/>
              </w:rPr>
            </w:pPr>
          </w:p>
        </w:tc>
        <w:tc>
          <w:tcPr>
            <w:tcW w:w="1701" w:type="dxa"/>
            <w:vMerge/>
          </w:tcPr>
          <w:p w:rsidR="006221C5" w:rsidRDefault="006221C5" w:rsidP="006221C5">
            <w:pPr>
              <w:autoSpaceDE w:val="0"/>
              <w:autoSpaceDN w:val="0"/>
              <w:adjustRightInd w:val="0"/>
              <w:spacing w:before="240" w:line="360" w:lineRule="auto"/>
              <w:ind w:right="1134"/>
              <w:jc w:val="both"/>
              <w:rPr>
                <w:rFonts w:ascii="Palatino Linotype" w:hAnsi="Palatino Linotype"/>
                <w:i/>
                <w:color w:val="000000"/>
              </w:rPr>
            </w:pPr>
          </w:p>
        </w:tc>
      </w:tr>
    </w:tbl>
    <w:p w:rsidR="006221C5" w:rsidRPr="006D6047" w:rsidRDefault="006221C5" w:rsidP="006221C5">
      <w:pPr>
        <w:spacing w:before="240" w:line="360" w:lineRule="auto"/>
        <w:jc w:val="both"/>
        <w:rPr>
          <w:rFonts w:ascii="Palatino Linotype" w:hAnsi="Palatino Linotype" w:cs="Arial"/>
          <w:sz w:val="24"/>
          <w:szCs w:val="24"/>
        </w:rPr>
      </w:pPr>
    </w:p>
    <w:p w:rsidR="006221C5" w:rsidRPr="006D6047" w:rsidRDefault="006221C5" w:rsidP="006221C5">
      <w:pPr>
        <w:spacing w:before="240" w:line="360" w:lineRule="auto"/>
        <w:jc w:val="both"/>
        <w:rPr>
          <w:rFonts w:ascii="Palatino Linotype" w:hAnsi="Palatino Linotype" w:cs="Arial"/>
          <w:sz w:val="24"/>
          <w:szCs w:val="24"/>
        </w:rPr>
      </w:pPr>
      <w:r w:rsidRPr="006D6047">
        <w:rPr>
          <w:rFonts w:ascii="Palatino Linotype" w:hAnsi="Palatino Linotype" w:cs="Arial"/>
          <w:sz w:val="24"/>
          <w:szCs w:val="24"/>
        </w:rPr>
        <w:t xml:space="preserve">Por otro lado, los Lineamientos técnicos generales para la publicación, homologación y estandarización de la información de las obligaciones establecidas en el Título Quinto y en la Fracción IV del artículo 31 de la Ley General de Transparencia y Acceso </w:t>
      </w:r>
      <w:r w:rsidRPr="006D6047">
        <w:rPr>
          <w:rFonts w:ascii="Palatino Linotype" w:hAnsi="Palatino Linotype" w:cs="Arial"/>
          <w:sz w:val="24"/>
          <w:szCs w:val="24"/>
        </w:rPr>
        <w:lastRenderedPageBreak/>
        <w:t xml:space="preserve">a la Información Pública, que deben de difundir los sujetos obligados en los portales de internet y en la Plataforma Nacional de Transparencia, respecto de la fracción II, (estructura orgánica), establece: </w:t>
      </w:r>
    </w:p>
    <w:p w:rsidR="006221C5" w:rsidRPr="006D6047" w:rsidRDefault="006221C5" w:rsidP="006221C5">
      <w:pPr>
        <w:shd w:val="clear" w:color="auto" w:fill="FFFFFF" w:themeFill="background1"/>
        <w:autoSpaceDE w:val="0"/>
        <w:autoSpaceDN w:val="0"/>
        <w:adjustRightInd w:val="0"/>
        <w:spacing w:before="240" w:line="360" w:lineRule="auto"/>
        <w:ind w:left="851" w:right="1134"/>
        <w:jc w:val="both"/>
        <w:rPr>
          <w:rFonts w:ascii="Palatino Linotype" w:hAnsi="Palatino Linotype"/>
          <w:i/>
          <w:color w:val="000000"/>
        </w:rPr>
      </w:pPr>
      <w:r w:rsidRPr="006D6047">
        <w:rPr>
          <w:rFonts w:ascii="Palatino Linotype" w:hAnsi="Palatino Linotype"/>
          <w:i/>
          <w:color w:val="000000"/>
        </w:rPr>
        <w:t xml:space="preserve">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 </w:t>
      </w:r>
    </w:p>
    <w:p w:rsidR="006221C5" w:rsidRPr="006D6047" w:rsidRDefault="006221C5" w:rsidP="006221C5">
      <w:pPr>
        <w:shd w:val="clear" w:color="auto" w:fill="FFFFFF" w:themeFill="background1"/>
        <w:autoSpaceDE w:val="0"/>
        <w:autoSpaceDN w:val="0"/>
        <w:adjustRightInd w:val="0"/>
        <w:spacing w:before="240" w:line="360" w:lineRule="auto"/>
        <w:ind w:left="851" w:right="1134"/>
        <w:jc w:val="both"/>
        <w:rPr>
          <w:rFonts w:ascii="Palatino Linotype" w:hAnsi="Palatino Linotype"/>
          <w:i/>
          <w:color w:val="000000"/>
        </w:rPr>
      </w:pPr>
      <w:r w:rsidRPr="006D6047">
        <w:rPr>
          <w:rFonts w:ascii="Palatino Linotype" w:hAnsi="Palatino Linotype"/>
          <w:i/>
          <w:color w:val="000000"/>
        </w:rPr>
        <w:t xml:space="preserve">El sujeto obligado incluirá la estructura orgánica que da cuenta de la distribución y orden de las funciones que se establecen para el cumplimiento de sus objetivos conforme a criterios de jerarquía y especialización, ordenados y codificados cuando así corresponda, mediante los catálogos de Áreas y de clave o nivel del puesto, de tal forma que sea posible visualizar los niveles jerárquicos y sus relaciones de dependencia de acuerdo con el estatuto orgánico u otro ordenamiento que le aplique. </w:t>
      </w:r>
    </w:p>
    <w:p w:rsidR="006221C5" w:rsidRPr="006D6047" w:rsidRDefault="006221C5" w:rsidP="006221C5">
      <w:pPr>
        <w:shd w:val="clear" w:color="auto" w:fill="FFFFFF" w:themeFill="background1"/>
        <w:autoSpaceDE w:val="0"/>
        <w:autoSpaceDN w:val="0"/>
        <w:adjustRightInd w:val="0"/>
        <w:spacing w:before="240" w:line="360" w:lineRule="auto"/>
        <w:ind w:left="851" w:right="1134"/>
        <w:jc w:val="both"/>
        <w:rPr>
          <w:rFonts w:ascii="Palatino Linotype" w:hAnsi="Palatino Linotype"/>
          <w:i/>
          <w:color w:val="000000"/>
        </w:rPr>
      </w:pPr>
      <w:r w:rsidRPr="006D6047">
        <w:rPr>
          <w:rFonts w:ascii="Palatino Linotype" w:hAnsi="Palatino Linotype"/>
          <w:i/>
          <w:color w:val="000000"/>
        </w:rPr>
        <w:t xml:space="preserve">Se deberá publicar la estructura vigente, es decir, la que está en operación en el sujeto obligado y ha sido aprobada y/o dictaminada por la autoridad competente. En aquellos casos en los que dicha estructura no corresponda con la funcional, deberá especificarse cuáles puestos se encuentran en tránsito de aprobación por parte de las autoridades competentes. Si la estructura aprobada se modifica, los sujetos obligados deberán aclarar mediante leyenda fundamentada, motivada y actualizada al periodo que corresponda, cuáles son las áreas de reciente creación, las que cambiaron de denominación (anterior y actual) y aquéllas que desaparecieron. Esta leyenda se conservará durante un trimestre, el cual empezará a contar a partir de la actualización de la fracción. </w:t>
      </w:r>
    </w:p>
    <w:p w:rsidR="006221C5" w:rsidRPr="006D6047" w:rsidRDefault="006221C5" w:rsidP="006221C5">
      <w:pPr>
        <w:shd w:val="clear" w:color="auto" w:fill="FFFFFF" w:themeFill="background1"/>
        <w:autoSpaceDE w:val="0"/>
        <w:autoSpaceDN w:val="0"/>
        <w:adjustRightInd w:val="0"/>
        <w:spacing w:before="240" w:line="360" w:lineRule="auto"/>
        <w:ind w:left="851" w:right="1134"/>
        <w:jc w:val="both"/>
        <w:rPr>
          <w:rFonts w:ascii="Palatino Linotype" w:hAnsi="Palatino Linotype"/>
          <w:i/>
          <w:color w:val="000000"/>
        </w:rPr>
      </w:pPr>
      <w:r w:rsidRPr="006D6047">
        <w:rPr>
          <w:rFonts w:ascii="Palatino Linotype" w:hAnsi="Palatino Linotype"/>
          <w:i/>
          <w:color w:val="000000"/>
        </w:rPr>
        <w:lastRenderedPageBreak/>
        <w:t>Los sujetos obligados que no tengan estructura orgánica autorizada deberán incluir una leyenda fundamentada, motivada y actualizada al periodo que corresponda, que explique la situación del sujeto obligado.</w:t>
      </w:r>
    </w:p>
    <w:p w:rsidR="006221C5" w:rsidRPr="006D6047" w:rsidRDefault="006221C5" w:rsidP="006221C5">
      <w:pPr>
        <w:shd w:val="clear" w:color="auto" w:fill="FFFFFF" w:themeFill="background1"/>
        <w:autoSpaceDE w:val="0"/>
        <w:autoSpaceDN w:val="0"/>
        <w:adjustRightInd w:val="0"/>
        <w:spacing w:before="240" w:line="360" w:lineRule="auto"/>
        <w:ind w:left="851" w:right="1134"/>
        <w:jc w:val="both"/>
        <w:rPr>
          <w:rFonts w:ascii="Palatino Linotype" w:hAnsi="Palatino Linotype"/>
          <w:i/>
          <w:color w:val="000000"/>
        </w:rPr>
      </w:pPr>
      <w:r w:rsidRPr="006D6047">
        <w:rPr>
          <w:rFonts w:ascii="Palatino Linotype" w:hAnsi="Palatino Linotype"/>
          <w:i/>
          <w:color w:val="000000"/>
        </w:rPr>
        <w:t>…</w:t>
      </w:r>
    </w:p>
    <w:p w:rsidR="006221C5" w:rsidRPr="006D6047" w:rsidRDefault="006221C5" w:rsidP="006221C5">
      <w:pPr>
        <w:shd w:val="clear" w:color="auto" w:fill="FFFFFF" w:themeFill="background1"/>
        <w:autoSpaceDE w:val="0"/>
        <w:autoSpaceDN w:val="0"/>
        <w:adjustRightInd w:val="0"/>
        <w:spacing w:before="240" w:line="360" w:lineRule="auto"/>
        <w:ind w:left="851" w:right="1134"/>
        <w:jc w:val="both"/>
        <w:rPr>
          <w:rFonts w:ascii="Palatino Linotype" w:hAnsi="Palatino Linotype"/>
          <w:b/>
          <w:i/>
          <w:color w:val="000000"/>
          <w:u w:val="single"/>
        </w:rPr>
      </w:pPr>
      <w:r w:rsidRPr="006D6047">
        <w:rPr>
          <w:rFonts w:ascii="Palatino Linotype" w:hAnsi="Palatino Linotype"/>
          <w:b/>
          <w:i/>
          <w:color w:val="000000"/>
          <w:u w:val="single"/>
        </w:rPr>
        <w:t xml:space="preserve">Periodo de actualización: trimestral </w:t>
      </w:r>
    </w:p>
    <w:p w:rsidR="006221C5" w:rsidRPr="006D6047" w:rsidRDefault="006221C5" w:rsidP="006221C5">
      <w:pPr>
        <w:shd w:val="clear" w:color="auto" w:fill="FFFFFF" w:themeFill="background1"/>
        <w:autoSpaceDE w:val="0"/>
        <w:autoSpaceDN w:val="0"/>
        <w:adjustRightInd w:val="0"/>
        <w:spacing w:before="240" w:line="360" w:lineRule="auto"/>
        <w:ind w:left="851" w:right="1134"/>
        <w:jc w:val="both"/>
        <w:rPr>
          <w:rFonts w:ascii="Palatino Linotype" w:hAnsi="Palatino Linotype"/>
          <w:i/>
          <w:color w:val="000000"/>
        </w:rPr>
      </w:pPr>
      <w:r w:rsidRPr="006D6047">
        <w:rPr>
          <w:rFonts w:ascii="Palatino Linotype" w:hAnsi="Palatino Linotype"/>
          <w:i/>
          <w:color w:val="000000"/>
        </w:rPr>
        <w:t xml:space="preserve">En su caso, 15 días hábiles después de la aprobación de alguna modificación a la estructura orgánica. </w:t>
      </w:r>
    </w:p>
    <w:p w:rsidR="006221C5" w:rsidRPr="006D6047" w:rsidRDefault="006221C5" w:rsidP="006221C5">
      <w:pPr>
        <w:shd w:val="clear" w:color="auto" w:fill="FFFFFF" w:themeFill="background1"/>
        <w:autoSpaceDE w:val="0"/>
        <w:autoSpaceDN w:val="0"/>
        <w:adjustRightInd w:val="0"/>
        <w:spacing w:before="240" w:line="360" w:lineRule="auto"/>
        <w:ind w:left="851" w:right="1134"/>
        <w:jc w:val="both"/>
        <w:rPr>
          <w:rFonts w:ascii="Palatino Linotype" w:hAnsi="Palatino Linotype"/>
          <w:i/>
          <w:color w:val="000000"/>
        </w:rPr>
      </w:pPr>
      <w:r w:rsidRPr="006D6047">
        <w:rPr>
          <w:rFonts w:ascii="Palatino Linotype" w:hAnsi="Palatino Linotype"/>
          <w:i/>
          <w:color w:val="000000"/>
        </w:rPr>
        <w:t xml:space="preserve">Conservar en el sitio de Internet: información vigente </w:t>
      </w:r>
    </w:p>
    <w:p w:rsidR="006221C5" w:rsidRPr="006D6047" w:rsidRDefault="006221C5" w:rsidP="006221C5">
      <w:pPr>
        <w:shd w:val="clear" w:color="auto" w:fill="FFFFFF" w:themeFill="background1"/>
        <w:autoSpaceDE w:val="0"/>
        <w:autoSpaceDN w:val="0"/>
        <w:adjustRightInd w:val="0"/>
        <w:spacing w:before="240" w:line="360" w:lineRule="auto"/>
        <w:ind w:left="851" w:right="1134"/>
        <w:jc w:val="both"/>
        <w:rPr>
          <w:rFonts w:ascii="Palatino Linotype" w:hAnsi="Palatino Linotype"/>
          <w:i/>
          <w:color w:val="000000"/>
        </w:rPr>
      </w:pPr>
      <w:r w:rsidRPr="006D6047">
        <w:rPr>
          <w:rFonts w:ascii="Palatino Linotype" w:hAnsi="Palatino Linotype"/>
          <w:i/>
          <w:color w:val="000000"/>
        </w:rPr>
        <w:t>Aplica a: todos los sujetos obligados</w:t>
      </w:r>
    </w:p>
    <w:p w:rsidR="006221C5" w:rsidRDefault="006221C5" w:rsidP="006221C5">
      <w:pPr>
        <w:pStyle w:val="Prrafodelista"/>
        <w:spacing w:before="240" w:after="160" w:line="360" w:lineRule="auto"/>
        <w:ind w:left="0"/>
        <w:jc w:val="both"/>
        <w:rPr>
          <w:rFonts w:ascii="Palatino Linotype" w:hAnsi="Palatino Linotype" w:cs="Arial"/>
          <w:lang w:eastAsia="es-MX"/>
        </w:rPr>
      </w:pPr>
      <w:r w:rsidRPr="006D6047">
        <w:rPr>
          <w:rFonts w:ascii="Palatino Linotype" w:hAnsi="Palatino Linotype" w:cs="Arial"/>
        </w:rPr>
        <w:t xml:space="preserve">Como podemos apreciar la generación del organigrama es una obligación irrestricta para el sujeto obligado, tan es así que los </w:t>
      </w:r>
      <w:r w:rsidRPr="006D6047">
        <w:rPr>
          <w:rFonts w:ascii="Palatino Linotype" w:hAnsi="Palatino Linotype" w:cs="Arial"/>
          <w:b/>
        </w:rPr>
        <w:t>Lineamientos para la Integración del Informe Mensual 2019</w:t>
      </w:r>
      <w:r w:rsidRPr="006D6047">
        <w:rPr>
          <w:rFonts w:ascii="Palatino Linotype" w:hAnsi="Palatino Linotype" w:cs="Arial"/>
        </w:rPr>
        <w:t xml:space="preserve"> emitidos por el Órgano Superior de Fiscalización del Estado de México, le imponen actualizarlo de </w:t>
      </w:r>
      <w:r w:rsidRPr="006D6047">
        <w:rPr>
          <w:rFonts w:ascii="Palatino Linotype" w:hAnsi="Palatino Linotype" w:cs="Arial"/>
          <w:b/>
          <w:u w:val="single"/>
        </w:rPr>
        <w:t>forma semestral</w:t>
      </w:r>
      <w:r w:rsidRPr="006D6047">
        <w:rPr>
          <w:rFonts w:ascii="Palatino Linotype" w:hAnsi="Palatino Linotype" w:cs="Arial"/>
        </w:rPr>
        <w:t xml:space="preserve">, sin embargo,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 que debe </w:t>
      </w:r>
      <w:r w:rsidRPr="006D6047">
        <w:rPr>
          <w:rFonts w:ascii="Palatino Linotype" w:hAnsi="Palatino Linotype" w:cs="Arial"/>
          <w:b/>
          <w:u w:val="single"/>
        </w:rPr>
        <w:t>ser trimestral</w:t>
      </w:r>
      <w:r w:rsidRPr="006D6047">
        <w:rPr>
          <w:rFonts w:ascii="Palatino Linotype" w:hAnsi="Palatino Linotype" w:cs="Arial"/>
        </w:rPr>
        <w:t xml:space="preserve"> su actualización, es decir, existen dos periodos en los que es compelido a cumplir con la fracción II del artículo 92 de la Ley en cita</w:t>
      </w:r>
      <w:r>
        <w:rPr>
          <w:rFonts w:ascii="Palatino Linotype" w:hAnsi="Palatino Linotype" w:cs="Arial"/>
        </w:rPr>
        <w:t xml:space="preserve">, </w:t>
      </w:r>
      <w:r>
        <w:rPr>
          <w:rFonts w:ascii="Palatino Linotype" w:hAnsi="Palatino Linotype" w:cs="Arial"/>
          <w:lang w:eastAsia="es-MX"/>
        </w:rPr>
        <w:t>y por ende deberá entregar al recurrente:</w:t>
      </w:r>
    </w:p>
    <w:p w:rsidR="006221C5" w:rsidRPr="00845E19" w:rsidRDefault="006221C5" w:rsidP="006221C5">
      <w:pPr>
        <w:pStyle w:val="Prrafodelista"/>
        <w:numPr>
          <w:ilvl w:val="0"/>
          <w:numId w:val="34"/>
        </w:numPr>
        <w:spacing w:before="240" w:after="160" w:line="360" w:lineRule="auto"/>
        <w:ind w:right="51"/>
        <w:contextualSpacing/>
        <w:jc w:val="both"/>
        <w:rPr>
          <w:rFonts w:ascii="Palatino Linotype" w:eastAsia="Arial Unicode MS" w:hAnsi="Palatino Linotype" w:cs="Arial"/>
        </w:rPr>
      </w:pPr>
      <w:r w:rsidRPr="005F033A">
        <w:rPr>
          <w:rFonts w:ascii="Palatino Linotype" w:hAnsi="Palatino Linotype" w:cs="Arial"/>
          <w:i/>
          <w:lang w:eastAsia="es-MX"/>
        </w:rPr>
        <w:lastRenderedPageBreak/>
        <w:t>Organigrama autorizado de la Contraloría Interna Municipal correspondiente a los ejercicios fiscales 2016, 2017, 2018 y 2019</w:t>
      </w:r>
      <w:r>
        <w:rPr>
          <w:rFonts w:ascii="Palatino Linotype" w:hAnsi="Palatino Linotype" w:cs="Arial"/>
          <w:i/>
          <w:lang w:eastAsia="es-MX"/>
        </w:rPr>
        <w:t xml:space="preserve">, </w:t>
      </w:r>
      <w:r w:rsidRPr="005F033A">
        <w:rPr>
          <w:rFonts w:ascii="Palatino Linotype" w:hAnsi="Palatino Linotype" w:cs="Arial"/>
          <w:i/>
          <w:lang w:eastAsia="es-MX"/>
        </w:rPr>
        <w:t xml:space="preserve">incluyendo el acta de sesión de cabildo en </w:t>
      </w:r>
      <w:r w:rsidRPr="00845E19">
        <w:rPr>
          <w:rFonts w:ascii="Palatino Linotype" w:hAnsi="Palatino Linotype" w:cs="Arial"/>
          <w:i/>
          <w:lang w:eastAsia="es-MX"/>
        </w:rPr>
        <w:t>la cual fueron autorizados.</w:t>
      </w:r>
    </w:p>
    <w:p w:rsidR="006221C5" w:rsidRPr="006D6047" w:rsidRDefault="006221C5" w:rsidP="006221C5">
      <w:pPr>
        <w:pStyle w:val="Prrafodelista"/>
        <w:spacing w:before="240" w:after="160" w:line="360" w:lineRule="auto"/>
        <w:ind w:left="0"/>
        <w:jc w:val="both"/>
        <w:rPr>
          <w:rFonts w:ascii="Palatino Linotype" w:hAnsi="Palatino Linotype" w:cs="Arial"/>
        </w:rPr>
      </w:pPr>
      <w:r w:rsidRPr="008F7C41">
        <w:rPr>
          <w:rFonts w:ascii="Palatino Linotype" w:hAnsi="Palatino Linotype" w:cs="Arial"/>
        </w:rPr>
        <w:t xml:space="preserve">Ahora, por lo que hace al </w:t>
      </w:r>
      <w:r w:rsidRPr="008F7C41">
        <w:rPr>
          <w:rFonts w:ascii="Palatino Linotype" w:hAnsi="Palatino Linotype" w:cs="Arial"/>
          <w:b/>
          <w:u w:val="single"/>
        </w:rPr>
        <w:t>punto 4 (cuatro)</w:t>
      </w:r>
      <w:r w:rsidRPr="008F7C41">
        <w:rPr>
          <w:rFonts w:ascii="Palatino Linotype" w:hAnsi="Palatino Linotype" w:cs="Arial"/>
        </w:rPr>
        <w:t>:</w:t>
      </w:r>
      <w:r w:rsidRPr="008F7C41">
        <w:rPr>
          <w:rFonts w:ascii="Palatino Linotype" w:hAnsi="Palatino Linotype" w:cs="Arial"/>
          <w:color w:val="000000" w:themeColor="text1"/>
        </w:rPr>
        <w:t xml:space="preserve"> “4. Número de servidores públicos adscritos a la Contraloría Interna Municipal, que contaban con certificación de competencia laboral expedida por el Instituto Hacendario del Estado de México y/o por el Consejo Nacional de Normalización y Certificación</w:t>
      </w:r>
      <w:r w:rsidRPr="009A50EA">
        <w:rPr>
          <w:rFonts w:ascii="Palatino Linotype" w:hAnsi="Palatino Linotype" w:cs="Arial"/>
          <w:color w:val="000000" w:themeColor="text1"/>
        </w:rPr>
        <w:t xml:space="preserve"> de Competencias Laborales, presentando la información por años: 2016, 2017, 2018 y 2019.</w:t>
      </w:r>
      <w:r>
        <w:rPr>
          <w:rFonts w:ascii="Palatino Linotype" w:hAnsi="Palatino Linotype" w:cs="Arial"/>
          <w:color w:val="000000" w:themeColor="text1"/>
        </w:rPr>
        <w:t>” Para lo cual la Ley Orgánica Municipal establece:</w:t>
      </w:r>
    </w:p>
    <w:p w:rsidR="006221C5" w:rsidRPr="00C50391" w:rsidRDefault="006221C5" w:rsidP="006221C5">
      <w:pPr>
        <w:tabs>
          <w:tab w:val="left" w:pos="709"/>
        </w:tabs>
        <w:spacing w:before="240" w:line="360" w:lineRule="auto"/>
        <w:ind w:left="851" w:right="760"/>
        <w:jc w:val="center"/>
        <w:rPr>
          <w:rFonts w:ascii="Palatino Linotype" w:hAnsi="Palatino Linotype" w:cs="Arial"/>
          <w:b/>
          <w:i/>
          <w:lang w:eastAsia="es-MX"/>
        </w:rPr>
      </w:pPr>
      <w:r w:rsidRPr="00C50391">
        <w:rPr>
          <w:rFonts w:ascii="Palatino Linotype" w:hAnsi="Palatino Linotype" w:cs="Arial"/>
          <w:b/>
          <w:i/>
          <w:lang w:eastAsia="es-MX"/>
        </w:rPr>
        <w:t>LEY ORGÁNICA MUNICIPAL DEL ESTADO DE MÉXICO</w:t>
      </w:r>
    </w:p>
    <w:p w:rsidR="006221C5" w:rsidRPr="00C50391" w:rsidRDefault="006221C5" w:rsidP="006221C5">
      <w:pPr>
        <w:tabs>
          <w:tab w:val="left" w:pos="709"/>
        </w:tabs>
        <w:spacing w:before="240" w:line="360" w:lineRule="auto"/>
        <w:ind w:left="851" w:right="760"/>
        <w:jc w:val="both"/>
        <w:rPr>
          <w:rFonts w:ascii="Palatino Linotype" w:hAnsi="Palatino Linotype" w:cs="Arial"/>
          <w:i/>
          <w:lang w:eastAsia="es-MX"/>
        </w:rPr>
      </w:pPr>
      <w:r w:rsidRPr="00C50391">
        <w:rPr>
          <w:rFonts w:ascii="Palatino Linotype" w:hAnsi="Palatino Linotype" w:cs="Arial"/>
          <w:i/>
          <w:lang w:eastAsia="es-MX"/>
        </w:rPr>
        <w:t>Artículo 32. Para ocupar los cargos de Secretario, Tesorero, Director de Obras Públicas, Director de Desarrollo Económico, Coordinador General Municipal de Mejora Regulatoria, Ecología, Desarrollo Urbano, o equivalentes, titulares de las unidades administrativas, protección Civil, y de los organismos auxiliares se deberán satisfacer los siguientes requisitos:</w:t>
      </w:r>
    </w:p>
    <w:p w:rsidR="006221C5" w:rsidRPr="00C50391" w:rsidRDefault="006221C5" w:rsidP="006221C5">
      <w:pPr>
        <w:tabs>
          <w:tab w:val="left" w:pos="709"/>
        </w:tabs>
        <w:spacing w:before="240" w:line="360" w:lineRule="auto"/>
        <w:ind w:left="851" w:right="760"/>
        <w:jc w:val="both"/>
        <w:rPr>
          <w:rFonts w:ascii="Palatino Linotype" w:hAnsi="Palatino Linotype" w:cs="Arial"/>
          <w:i/>
          <w:lang w:eastAsia="es-MX"/>
        </w:rPr>
      </w:pPr>
      <w:r w:rsidRPr="00C50391">
        <w:rPr>
          <w:rFonts w:ascii="Palatino Linotype" w:hAnsi="Palatino Linotype" w:cs="Arial"/>
          <w:i/>
          <w:lang w:eastAsia="es-MX"/>
        </w:rPr>
        <w:t>…</w:t>
      </w:r>
    </w:p>
    <w:p w:rsidR="006221C5" w:rsidRDefault="006221C5" w:rsidP="006221C5">
      <w:pPr>
        <w:tabs>
          <w:tab w:val="left" w:pos="709"/>
        </w:tabs>
        <w:spacing w:before="240" w:line="360" w:lineRule="auto"/>
        <w:ind w:left="851" w:right="760"/>
        <w:jc w:val="both"/>
        <w:rPr>
          <w:rFonts w:ascii="Palatino Linotype" w:hAnsi="Palatino Linotype" w:cs="Arial"/>
          <w:i/>
          <w:lang w:eastAsia="es-MX"/>
        </w:rPr>
      </w:pPr>
      <w:r w:rsidRPr="00C50391">
        <w:rPr>
          <w:rFonts w:ascii="Palatino Linotype" w:hAnsi="Palatino Linotype" w:cs="Arial"/>
          <w:i/>
          <w:lang w:eastAsia="es-MX"/>
        </w:rPr>
        <w:t>V. En su caso, contar con certificación en la materia del cargo que se desempeñará.</w:t>
      </w:r>
    </w:p>
    <w:p w:rsidR="006221C5" w:rsidRDefault="006221C5" w:rsidP="006221C5">
      <w:pPr>
        <w:tabs>
          <w:tab w:val="left" w:pos="709"/>
        </w:tabs>
        <w:spacing w:before="240" w:line="360" w:lineRule="auto"/>
        <w:ind w:left="851" w:right="760"/>
        <w:jc w:val="both"/>
        <w:rPr>
          <w:rFonts w:ascii="Palatino Linotype" w:hAnsi="Palatino Linotype" w:cs="Arial"/>
          <w:i/>
          <w:lang w:eastAsia="es-MX"/>
        </w:rPr>
      </w:pPr>
      <w:r>
        <w:rPr>
          <w:rFonts w:ascii="Palatino Linotype" w:hAnsi="Palatino Linotype" w:cs="Arial"/>
          <w:i/>
          <w:lang w:eastAsia="es-MX"/>
        </w:rPr>
        <w:t>…</w:t>
      </w:r>
    </w:p>
    <w:p w:rsidR="006221C5" w:rsidRDefault="006221C5" w:rsidP="006221C5">
      <w:pPr>
        <w:tabs>
          <w:tab w:val="left" w:pos="709"/>
        </w:tabs>
        <w:spacing w:before="240" w:line="360" w:lineRule="auto"/>
        <w:ind w:left="851" w:right="760"/>
        <w:jc w:val="both"/>
        <w:rPr>
          <w:rFonts w:ascii="Palatino Linotype" w:hAnsi="Palatino Linotype" w:cs="Arial"/>
          <w:i/>
          <w:lang w:eastAsia="es-MX"/>
        </w:rPr>
      </w:pPr>
      <w:r w:rsidRPr="00250D41">
        <w:rPr>
          <w:rFonts w:ascii="Palatino Linotype" w:hAnsi="Palatino Linotype" w:cs="Arial"/>
          <w:i/>
          <w:lang w:eastAsia="es-MX"/>
        </w:rPr>
        <w:t xml:space="preserve">Artículo 96.- Para ser tesorero municipal se requiere, además de los requisitos del artículos 32 de esta Ley: </w:t>
      </w:r>
    </w:p>
    <w:p w:rsidR="006221C5" w:rsidRPr="00250D41" w:rsidRDefault="006221C5" w:rsidP="006221C5">
      <w:pPr>
        <w:tabs>
          <w:tab w:val="left" w:pos="709"/>
        </w:tabs>
        <w:spacing w:before="240" w:line="360" w:lineRule="auto"/>
        <w:ind w:left="851" w:right="760"/>
        <w:jc w:val="both"/>
        <w:rPr>
          <w:rFonts w:ascii="Palatino Linotype" w:hAnsi="Palatino Linotype" w:cs="Arial"/>
          <w:i/>
          <w:lang w:eastAsia="es-MX"/>
        </w:rPr>
      </w:pPr>
      <w:r w:rsidRPr="00250D41">
        <w:rPr>
          <w:rFonts w:ascii="Palatino Linotype" w:hAnsi="Palatino Linotype" w:cs="Arial"/>
          <w:i/>
          <w:lang w:eastAsia="es-MX"/>
        </w:rPr>
        <w:lastRenderedPageBreak/>
        <w:t xml:space="preserve">I. Tener los conocimientos suficientes para poder desempeñar el cargo, a juicio del Ayuntamiento; contar con título profesional en las áreas jurídicas, económicas o contable administrativas, con experiencia mínima de un año </w:t>
      </w:r>
      <w:r w:rsidRPr="00250D41">
        <w:rPr>
          <w:rFonts w:ascii="Palatino Linotype" w:hAnsi="Palatino Linotype" w:cs="Arial"/>
          <w:b/>
          <w:i/>
          <w:u w:val="single"/>
          <w:lang w:eastAsia="es-MX"/>
        </w:rPr>
        <w:t>y con la certificación de competencia laboral en funciones</w:t>
      </w:r>
      <w:r w:rsidRPr="00250D41">
        <w:rPr>
          <w:rFonts w:ascii="Palatino Linotype" w:hAnsi="Palatino Linotype" w:cs="Arial"/>
          <w:i/>
          <w:lang w:eastAsia="es-MX"/>
        </w:rPr>
        <w:t xml:space="preserve"> expedida por el Instituto Hacendario del Estado de México, con anterioridad a la fecha de su designación;</w:t>
      </w:r>
    </w:p>
    <w:p w:rsidR="006221C5" w:rsidRPr="00250D41" w:rsidRDefault="006221C5" w:rsidP="006221C5">
      <w:pPr>
        <w:tabs>
          <w:tab w:val="left" w:pos="709"/>
        </w:tabs>
        <w:spacing w:before="240" w:line="360" w:lineRule="auto"/>
        <w:ind w:left="851" w:right="760"/>
        <w:jc w:val="both"/>
        <w:rPr>
          <w:rFonts w:ascii="Palatino Linotype" w:hAnsi="Palatino Linotype" w:cs="Arial"/>
          <w:i/>
          <w:lang w:eastAsia="es-MX"/>
        </w:rPr>
      </w:pPr>
      <w:r w:rsidRPr="00250D41">
        <w:rPr>
          <w:rFonts w:ascii="Palatino Linotype" w:hAnsi="Palatino Linotype" w:cs="Arial"/>
          <w:b/>
          <w:i/>
          <w:u w:val="single"/>
          <w:lang w:eastAsia="es-MX"/>
        </w:rPr>
        <w:t>Artículo 113.- Para ser contralor se requiere cumplir con los requisitos que se exigen para ser tesorero municipal, a excepción de la caución correspondiente.</w:t>
      </w:r>
      <w:r>
        <w:rPr>
          <w:rFonts w:ascii="Palatino Linotype" w:hAnsi="Palatino Linotype" w:cs="Arial"/>
          <w:i/>
          <w:lang w:eastAsia="es-MX"/>
        </w:rPr>
        <w:t>”</w:t>
      </w:r>
    </w:p>
    <w:p w:rsidR="006221C5" w:rsidRPr="0061032D" w:rsidRDefault="006221C5" w:rsidP="006221C5">
      <w:pPr>
        <w:pStyle w:val="Prrafodelista"/>
        <w:spacing w:before="240" w:after="160" w:line="360" w:lineRule="auto"/>
        <w:ind w:left="0"/>
        <w:jc w:val="both"/>
        <w:rPr>
          <w:rFonts w:ascii="Palatino Linotype" w:hAnsi="Palatino Linotype" w:cs="Arial"/>
          <w:color w:val="000000" w:themeColor="text1"/>
        </w:rPr>
      </w:pPr>
      <w:r w:rsidRPr="0061032D">
        <w:rPr>
          <w:rFonts w:ascii="Palatino Linotype" w:hAnsi="Palatino Linotype" w:cs="Arial"/>
          <w:color w:val="000000" w:themeColor="text1"/>
        </w:rPr>
        <w:t>Como podemos apreciar para ser contralor</w:t>
      </w:r>
      <w:r>
        <w:rPr>
          <w:rFonts w:ascii="Palatino Linotype" w:hAnsi="Palatino Linotype" w:cs="Arial"/>
          <w:color w:val="000000" w:themeColor="text1"/>
        </w:rPr>
        <w:t xml:space="preserve"> municipal</w:t>
      </w:r>
      <w:r w:rsidRPr="0061032D">
        <w:rPr>
          <w:rFonts w:ascii="Palatino Linotype" w:hAnsi="Palatino Linotype" w:cs="Arial"/>
          <w:color w:val="000000" w:themeColor="text1"/>
        </w:rPr>
        <w:t xml:space="preserve"> si se requiere el certificado de competencia laboral</w:t>
      </w:r>
      <w:r>
        <w:rPr>
          <w:rFonts w:ascii="Palatino Linotype" w:hAnsi="Palatino Linotype" w:cs="Arial"/>
          <w:color w:val="000000" w:themeColor="text1"/>
        </w:rPr>
        <w:t xml:space="preserve"> emitido por el </w:t>
      </w:r>
      <w:r w:rsidRPr="00FA7F5D">
        <w:rPr>
          <w:rFonts w:ascii="Palatino Linotype" w:hAnsi="Palatino Linotype" w:cs="Arial"/>
          <w:color w:val="000000" w:themeColor="text1"/>
        </w:rPr>
        <w:t>Instituto Hacendario del Estado de México</w:t>
      </w:r>
      <w:r w:rsidRPr="0061032D">
        <w:rPr>
          <w:rFonts w:ascii="Palatino Linotype" w:hAnsi="Palatino Linotype" w:cs="Arial"/>
          <w:color w:val="000000" w:themeColor="text1"/>
        </w:rPr>
        <w:t>, pues el artículo 113 antes citado es muy categórico en ello, “…</w:t>
      </w:r>
      <w:r w:rsidRPr="0061032D">
        <w:rPr>
          <w:rFonts w:ascii="Palatino Linotype" w:hAnsi="Palatino Linotype" w:cs="Arial"/>
          <w:b/>
          <w:i/>
          <w:u w:val="single"/>
          <w:lang w:eastAsia="es-MX"/>
        </w:rPr>
        <w:t>Para ser contralor se requiere cumplir con los requisitos que se exigen para ser tesorero municipal,</w:t>
      </w:r>
      <w:r w:rsidRPr="0061032D">
        <w:rPr>
          <w:rFonts w:ascii="Palatino Linotype" w:hAnsi="Palatino Linotype" w:cs="Arial"/>
          <w:lang w:eastAsia="es-MX"/>
        </w:rPr>
        <w:t>…”</w:t>
      </w:r>
      <w:r>
        <w:rPr>
          <w:rFonts w:ascii="Palatino Linotype" w:hAnsi="Palatino Linotype" w:cs="Arial"/>
          <w:lang w:eastAsia="es-MX"/>
        </w:rPr>
        <w:t>, y para ser Tesorero municipal se exige la certificación en comento. Sin embargo, dentro del texto legal en cita no se aprecia que el personal adscrito a la Contraloría deba estar certificado, dicha obligación sólo recae en el Titular.</w:t>
      </w:r>
    </w:p>
    <w:p w:rsidR="006221C5" w:rsidRPr="00250D41" w:rsidRDefault="006221C5" w:rsidP="006221C5">
      <w:pPr>
        <w:pStyle w:val="Prrafodelista"/>
        <w:spacing w:before="240" w:after="16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Ahora como podemos apreciar el recurrente requiere saber sólo el número de servidores públicos certificados, es decir, un estadístico de los años </w:t>
      </w:r>
      <w:r w:rsidRPr="009A50EA">
        <w:rPr>
          <w:rFonts w:ascii="Palatino Linotype" w:hAnsi="Palatino Linotype" w:cs="Arial"/>
          <w:color w:val="000000" w:themeColor="text1"/>
        </w:rPr>
        <w:t>2016, 2017, 2018 y 2019</w:t>
      </w:r>
      <w:r>
        <w:rPr>
          <w:rFonts w:ascii="Palatino Linotype" w:hAnsi="Palatino Linotype" w:cs="Arial"/>
          <w:color w:val="000000" w:themeColor="text1"/>
        </w:rPr>
        <w:t>, el mismo lo plasmó de tal manera: “</w:t>
      </w:r>
      <w:r w:rsidRPr="00FA7F5D">
        <w:rPr>
          <w:rFonts w:ascii="Palatino Linotype" w:hAnsi="Palatino Linotype" w:cs="Arial"/>
          <w:i/>
          <w:color w:val="000000" w:themeColor="text1"/>
        </w:rPr>
        <w:t>Número de servidores públicos adscritos a la Contraloría Interna Municipal, que contaban con certificación de competencia laboral expedida por el Instituto Hacendario del Estado de México</w:t>
      </w:r>
      <w:r>
        <w:rPr>
          <w:rFonts w:ascii="Palatino Linotype" w:hAnsi="Palatino Linotype" w:cs="Arial"/>
          <w:color w:val="000000" w:themeColor="text1"/>
        </w:rPr>
        <w:t>”</w:t>
      </w:r>
      <w:r w:rsidRPr="008F7C41">
        <w:rPr>
          <w:rFonts w:ascii="Palatino Linotype" w:hAnsi="Palatino Linotype" w:cs="Arial"/>
          <w:color w:val="000000" w:themeColor="text1"/>
        </w:rPr>
        <w:t xml:space="preserve"> </w:t>
      </w:r>
      <w:r w:rsidRPr="00FA7F5D">
        <w:rPr>
          <w:rFonts w:ascii="Palatino Linotype" w:hAnsi="Palatino Linotype" w:cs="Arial"/>
          <w:i/>
          <w:color w:val="000000" w:themeColor="text1"/>
        </w:rPr>
        <w:t>y/o por el Consejo Nacional de Normalización y Certificación de Competencias Laborales</w:t>
      </w:r>
      <w:r>
        <w:rPr>
          <w:rFonts w:ascii="Palatino Linotype" w:hAnsi="Palatino Linotype" w:cs="Arial"/>
          <w:color w:val="000000" w:themeColor="text1"/>
        </w:rPr>
        <w:t xml:space="preserve">…”, sin embargo, el documento o documentos que dan cuenta de ello son los mismos certificados, que si bien no los solicitó el recurrente, empero, son la única evidencia en donde consta que los </w:t>
      </w:r>
      <w:r>
        <w:rPr>
          <w:rFonts w:ascii="Palatino Linotype" w:hAnsi="Palatino Linotype" w:cs="Arial"/>
          <w:color w:val="000000" w:themeColor="text1"/>
        </w:rPr>
        <w:lastRenderedPageBreak/>
        <w:t>contralores estaban certificados, por ende deberá entregar dicha información en versión pública, de las personas que fueron titulares de la Contraloría Municipal del primero de enero de dos mil dieciséis al primero de agosto de dos mil diecinueve, lo anterior porque ese día fue cuando se realizó la solicitud de información, que nos ocupa.</w:t>
      </w:r>
    </w:p>
    <w:p w:rsidR="006221C5" w:rsidRPr="00C83525" w:rsidRDefault="006221C5" w:rsidP="006221C5">
      <w:pPr>
        <w:spacing w:before="240" w:line="360" w:lineRule="auto"/>
        <w:jc w:val="both"/>
        <w:rPr>
          <w:rFonts w:ascii="Palatino Linotype" w:hAnsi="Palatino Linotype" w:cs="Arial"/>
          <w:sz w:val="24"/>
          <w:szCs w:val="24"/>
        </w:rPr>
      </w:pPr>
      <w:r>
        <w:rPr>
          <w:rFonts w:ascii="Palatino Linotype" w:hAnsi="Palatino Linotype" w:cs="Arial"/>
          <w:color w:val="000000" w:themeColor="text1"/>
        </w:rPr>
        <w:t xml:space="preserve">Por lo que hace al </w:t>
      </w:r>
      <w:r w:rsidRPr="00DC57F2">
        <w:rPr>
          <w:rFonts w:ascii="Palatino Linotype" w:hAnsi="Palatino Linotype" w:cs="Arial"/>
          <w:b/>
          <w:color w:val="000000" w:themeColor="text1"/>
          <w:u w:val="single"/>
        </w:rPr>
        <w:t>punto 5 (cinco):</w:t>
      </w:r>
      <w:r>
        <w:rPr>
          <w:rFonts w:ascii="Palatino Linotype" w:hAnsi="Palatino Linotype" w:cs="Arial"/>
          <w:color w:val="000000" w:themeColor="text1"/>
        </w:rPr>
        <w:t xml:space="preserve"> </w:t>
      </w:r>
      <w:r>
        <w:rPr>
          <w:rFonts w:ascii="Palatino Linotype" w:hAnsi="Palatino Linotype" w:cs="Arial"/>
          <w:color w:val="000000" w:themeColor="text1"/>
          <w:sz w:val="24"/>
          <w:szCs w:val="24"/>
        </w:rPr>
        <w:t>“</w:t>
      </w:r>
      <w:r w:rsidRPr="00AF0BBE">
        <w:rPr>
          <w:rFonts w:ascii="Palatino Linotype" w:hAnsi="Palatino Linotype" w:cs="Arial"/>
          <w:i/>
          <w:color w:val="000000" w:themeColor="text1"/>
          <w:sz w:val="24"/>
          <w:szCs w:val="24"/>
        </w:rPr>
        <w:t>Sueldo neto anual percibido por el titular de la Contraloría Interna Municipal, mostrando la información correspondiente a los años 2016, 2017, 2018 y 2019</w:t>
      </w:r>
      <w:r w:rsidRPr="00FF5B75">
        <w:rPr>
          <w:rFonts w:ascii="Palatino Linotype" w:hAnsi="Palatino Linotype" w:cs="Arial"/>
          <w:color w:val="000000" w:themeColor="text1"/>
          <w:sz w:val="24"/>
          <w:szCs w:val="24"/>
        </w:rPr>
        <w:t xml:space="preserve">”, </w:t>
      </w:r>
      <w:r w:rsidRPr="00FF5B75">
        <w:rPr>
          <w:rFonts w:ascii="Palatino Linotype" w:eastAsia="Arial Unicode MS" w:hAnsi="Palatino Linotype" w:cs="Arial"/>
          <w:sz w:val="24"/>
        </w:rPr>
        <w:t xml:space="preserve">el sujeto obligado deberá entregar la información donde conste </w:t>
      </w:r>
      <w:r>
        <w:rPr>
          <w:rFonts w:ascii="Palatino Linotype" w:eastAsia="Arial Unicode MS" w:hAnsi="Palatino Linotype" w:cs="Arial"/>
          <w:sz w:val="24"/>
        </w:rPr>
        <w:t>el sueldo del titular de la Contraloría Municipal de los referidos años</w:t>
      </w:r>
      <w:r w:rsidRPr="00FF5B75">
        <w:rPr>
          <w:rFonts w:ascii="Palatino Linotype" w:eastAsia="Arial Unicode MS" w:hAnsi="Palatino Linotype" w:cs="Arial"/>
          <w:sz w:val="24"/>
        </w:rPr>
        <w:t xml:space="preserve">, </w:t>
      </w:r>
      <w:r w:rsidRPr="00E616F8">
        <w:rPr>
          <w:rFonts w:ascii="Palatino Linotype" w:eastAsia="Arial Unicode MS" w:hAnsi="Palatino Linotype" w:cs="Arial"/>
          <w:sz w:val="24"/>
        </w:rPr>
        <w:t>para</w:t>
      </w:r>
      <w:r>
        <w:rPr>
          <w:rFonts w:ascii="Palatino Linotype" w:hAnsi="Palatino Linotype"/>
          <w:sz w:val="24"/>
          <w:szCs w:val="24"/>
        </w:rPr>
        <w:t xml:space="preserve"> dar cumplimiento a la solicitud, deberá atender lo establecido en </w:t>
      </w:r>
      <w:r w:rsidRPr="00C83525">
        <w:rPr>
          <w:rFonts w:ascii="Palatino Linotype" w:hAnsi="Palatino Linotype" w:cs="Arial"/>
          <w:sz w:val="24"/>
          <w:szCs w:val="24"/>
        </w:rPr>
        <w:t xml:space="preserve">la </w:t>
      </w:r>
      <w:r w:rsidRPr="00C83525">
        <w:rPr>
          <w:rFonts w:ascii="Palatino Linotype" w:hAnsi="Palatino Linotype" w:cs="Arial"/>
          <w:b/>
          <w:sz w:val="24"/>
          <w:szCs w:val="24"/>
        </w:rPr>
        <w:t>Constitución Política de los Estados Unidos Mexicanos</w:t>
      </w:r>
      <w:r w:rsidRPr="00C83525">
        <w:rPr>
          <w:rFonts w:ascii="Palatino Linotype" w:hAnsi="Palatino Linotype" w:cs="Arial"/>
          <w:sz w:val="24"/>
          <w:szCs w:val="24"/>
        </w:rPr>
        <w:t xml:space="preserve"> </w:t>
      </w:r>
      <w:r>
        <w:rPr>
          <w:rFonts w:ascii="Palatino Linotype" w:hAnsi="Palatino Linotype" w:cs="Arial"/>
          <w:sz w:val="24"/>
          <w:szCs w:val="24"/>
        </w:rPr>
        <w:t xml:space="preserve">que </w:t>
      </w:r>
      <w:r w:rsidRPr="00C83525">
        <w:rPr>
          <w:rFonts w:ascii="Palatino Linotype" w:hAnsi="Palatino Linotype" w:cs="Arial"/>
          <w:sz w:val="24"/>
          <w:szCs w:val="24"/>
        </w:rPr>
        <w:t xml:space="preserve">en su artículo 123 contempla las prerrogativas de los trabajadores entre las que se encuentra percibir un salario conforme al trabajo realizado. </w:t>
      </w:r>
    </w:p>
    <w:p w:rsidR="006221C5" w:rsidRPr="00C83525" w:rsidRDefault="006221C5" w:rsidP="006221C5">
      <w:pPr>
        <w:pStyle w:val="Prrafodelista"/>
        <w:spacing w:before="240" w:after="160" w:line="360" w:lineRule="auto"/>
        <w:ind w:left="0"/>
        <w:jc w:val="both"/>
        <w:rPr>
          <w:rFonts w:ascii="Palatino Linotype" w:hAnsi="Palatino Linotype" w:cs="Arial"/>
        </w:rPr>
      </w:pPr>
      <w:r w:rsidRPr="00C83525">
        <w:rPr>
          <w:rFonts w:ascii="Palatino Linotype" w:hAnsi="Palatino Linotype" w:cs="Arial"/>
          <w:lang w:eastAsia="es-MX"/>
        </w:rPr>
        <w:t>Una vez puntualizado lo anterior, se desprende que la nómina y la lista de raya de los servidores públicos contienen la información relativa a las remuneraciones de éstos; en este sentido, el</w:t>
      </w:r>
      <w:r w:rsidRPr="00C83525">
        <w:rPr>
          <w:rFonts w:ascii="Palatino Linotype" w:hAnsi="Palatino Linotype" w:cs="Arial"/>
        </w:rPr>
        <w:t xml:space="preserve"> artículo 127 de la </w:t>
      </w:r>
      <w:r w:rsidRPr="00C83525">
        <w:rPr>
          <w:rFonts w:ascii="Palatino Linotype" w:hAnsi="Palatino Linotype" w:cs="Arial"/>
          <w:b/>
        </w:rPr>
        <w:t>Constitución Política de los Estados Unidos Mexicanos</w:t>
      </w:r>
      <w:r w:rsidRPr="00C83525">
        <w:rPr>
          <w:rFonts w:ascii="Palatino Linotype" w:hAnsi="Palatino Linotype" w:cs="Arial"/>
        </w:rPr>
        <w:t xml:space="preserve"> establece:</w:t>
      </w:r>
    </w:p>
    <w:p w:rsidR="006221C5" w:rsidRPr="009235AB" w:rsidRDefault="006221C5" w:rsidP="006221C5">
      <w:pPr>
        <w:pStyle w:val="Texto"/>
        <w:spacing w:before="240" w:after="160" w:line="360" w:lineRule="auto"/>
        <w:ind w:left="851" w:right="992" w:firstLine="0"/>
        <w:rPr>
          <w:rFonts w:ascii="Palatino Linotype" w:hAnsi="Palatino Linotype"/>
          <w:i/>
          <w:color w:val="000000"/>
          <w:sz w:val="24"/>
          <w:szCs w:val="24"/>
        </w:rPr>
      </w:pPr>
      <w:r w:rsidRPr="009235AB">
        <w:rPr>
          <w:rFonts w:ascii="Palatino Linotype" w:hAnsi="Palatino Linotype"/>
          <w:b/>
          <w:i/>
          <w:color w:val="000000"/>
          <w:sz w:val="24"/>
          <w:szCs w:val="24"/>
        </w:rPr>
        <w:t>Artículo 127.</w:t>
      </w:r>
      <w:r w:rsidRPr="009235AB">
        <w:rPr>
          <w:rFonts w:ascii="Palatino Linotype" w:hAnsi="Palatino Linotype"/>
          <w:i/>
          <w:color w:val="000000"/>
          <w:sz w:val="24"/>
          <w:szCs w:val="24"/>
        </w:rPr>
        <w:t xml:space="preserve"> Los servidores públicos de la Federación, de los Estados, del Distrito Federal </w:t>
      </w:r>
      <w:r w:rsidRPr="009235AB">
        <w:rPr>
          <w:rFonts w:ascii="Palatino Linotype" w:hAnsi="Palatino Linotype"/>
          <w:b/>
          <w:i/>
          <w:color w:val="000000"/>
          <w:sz w:val="24"/>
          <w:szCs w:val="24"/>
        </w:rPr>
        <w:t>y de los Municipios</w:t>
      </w:r>
      <w:r w:rsidRPr="009235AB">
        <w:rPr>
          <w:rFonts w:ascii="Palatino Linotype" w:hAnsi="Palatino Linotype"/>
          <w:i/>
          <w:color w:val="000000"/>
          <w:sz w:val="24"/>
          <w:szCs w:val="24"/>
        </w:rPr>
        <w:t xml:space="preserve">, de sus entidades y dependencias, así como de sus administraciones paraestatales y paramunicipales, fideicomisos públicos, instituciones y organismos autónomos, y cualquier otro ente público, recibirán una remuneración adecuada e irrenunciable por el </w:t>
      </w:r>
      <w:r w:rsidRPr="009235AB">
        <w:rPr>
          <w:rFonts w:ascii="Palatino Linotype" w:hAnsi="Palatino Linotype"/>
          <w:i/>
          <w:color w:val="000000"/>
          <w:sz w:val="24"/>
          <w:szCs w:val="24"/>
        </w:rPr>
        <w:lastRenderedPageBreak/>
        <w:t>desempeño de su función, empleo, cargo o comisión, que deberá ser proporcional a sus responsabilidades.</w:t>
      </w:r>
    </w:p>
    <w:p w:rsidR="006221C5" w:rsidRPr="009235AB" w:rsidRDefault="006221C5" w:rsidP="006221C5">
      <w:pPr>
        <w:pStyle w:val="Texto"/>
        <w:spacing w:before="240" w:after="160" w:line="360" w:lineRule="auto"/>
        <w:ind w:left="851" w:right="992" w:firstLine="0"/>
        <w:rPr>
          <w:rFonts w:ascii="Palatino Linotype" w:hAnsi="Palatino Linotype"/>
          <w:i/>
          <w:color w:val="000000"/>
          <w:sz w:val="24"/>
          <w:szCs w:val="24"/>
        </w:rPr>
      </w:pPr>
      <w:r w:rsidRPr="009235AB">
        <w:rPr>
          <w:rFonts w:ascii="Palatino Linotype" w:hAnsi="Palatino Linotype"/>
          <w:i/>
          <w:color w:val="000000"/>
          <w:sz w:val="24"/>
          <w:szCs w:val="24"/>
        </w:rPr>
        <w:t xml:space="preserve">Dicha remuneración será determinada anual y equitativamente </w:t>
      </w:r>
      <w:r w:rsidRPr="009235AB">
        <w:rPr>
          <w:rFonts w:ascii="Palatino Linotype" w:hAnsi="Palatino Linotype"/>
          <w:b/>
          <w:i/>
          <w:color w:val="000000"/>
          <w:sz w:val="24"/>
          <w:szCs w:val="24"/>
          <w:u w:val="single"/>
        </w:rPr>
        <w:t>en los presupuestos de egresos</w:t>
      </w:r>
      <w:r w:rsidRPr="009235AB">
        <w:rPr>
          <w:rFonts w:ascii="Palatino Linotype" w:hAnsi="Palatino Linotype"/>
          <w:i/>
          <w:color w:val="000000"/>
          <w:sz w:val="24"/>
          <w:szCs w:val="24"/>
        </w:rPr>
        <w:t xml:space="preserve"> correspondientes, bajo las siguientes bases:</w:t>
      </w:r>
    </w:p>
    <w:p w:rsidR="006221C5" w:rsidRPr="009235AB" w:rsidRDefault="006221C5" w:rsidP="006221C5">
      <w:pPr>
        <w:pStyle w:val="Texto"/>
        <w:spacing w:before="240" w:after="160" w:line="360" w:lineRule="auto"/>
        <w:ind w:left="851" w:right="992" w:firstLine="0"/>
        <w:rPr>
          <w:rFonts w:ascii="Palatino Linotype" w:hAnsi="Palatino Linotype"/>
          <w:b/>
          <w:i/>
          <w:sz w:val="24"/>
          <w:szCs w:val="24"/>
        </w:rPr>
      </w:pPr>
      <w:r w:rsidRPr="009235AB">
        <w:rPr>
          <w:rFonts w:ascii="Palatino Linotype" w:hAnsi="Palatino Linotype"/>
          <w:b/>
          <w:i/>
          <w:sz w:val="24"/>
          <w:szCs w:val="24"/>
        </w:rPr>
        <w:t>I.</w:t>
      </w:r>
      <w:r w:rsidRPr="009235AB">
        <w:rPr>
          <w:rFonts w:ascii="Palatino Linotype" w:hAnsi="Palatino Linotype"/>
          <w:i/>
          <w:sz w:val="24"/>
          <w:szCs w:val="24"/>
        </w:rPr>
        <w:t xml:space="preserve"> </w:t>
      </w:r>
      <w:r w:rsidRPr="009235AB">
        <w:rPr>
          <w:rFonts w:ascii="Palatino Linotype" w:hAnsi="Palatino Linotype"/>
          <w:i/>
          <w:sz w:val="24"/>
          <w:szCs w:val="24"/>
        </w:rPr>
        <w:tab/>
      </w:r>
      <w:r w:rsidRPr="009235AB">
        <w:rPr>
          <w:rFonts w:ascii="Palatino Linotype" w:hAnsi="Palatino Linotype"/>
          <w:b/>
          <w:i/>
          <w:sz w:val="24"/>
          <w:szCs w:val="24"/>
        </w:rPr>
        <w:t>Se considera remuneración o retribución toda percepción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w:t>
      </w:r>
    </w:p>
    <w:p w:rsidR="006221C5" w:rsidRPr="009235AB" w:rsidRDefault="006221C5" w:rsidP="006221C5">
      <w:pPr>
        <w:pStyle w:val="Texto"/>
        <w:spacing w:before="240" w:after="160" w:line="360" w:lineRule="auto"/>
        <w:ind w:left="851" w:right="992" w:firstLine="0"/>
        <w:rPr>
          <w:rFonts w:ascii="Palatino Linotype" w:hAnsi="Palatino Linotype"/>
          <w:i/>
          <w:sz w:val="24"/>
          <w:szCs w:val="24"/>
        </w:rPr>
      </w:pPr>
      <w:r w:rsidRPr="009235AB">
        <w:rPr>
          <w:rFonts w:ascii="Palatino Linotype" w:hAnsi="Palatino Linotype"/>
          <w:b/>
          <w:i/>
          <w:sz w:val="24"/>
          <w:szCs w:val="24"/>
        </w:rPr>
        <w:t>(…)</w:t>
      </w:r>
    </w:p>
    <w:p w:rsidR="006221C5" w:rsidRPr="009235AB" w:rsidRDefault="006221C5" w:rsidP="006221C5">
      <w:pPr>
        <w:pStyle w:val="Texto"/>
        <w:spacing w:before="240" w:after="160" w:line="360" w:lineRule="auto"/>
        <w:ind w:left="851" w:right="992" w:firstLine="0"/>
        <w:rPr>
          <w:rFonts w:ascii="Palatino Linotype" w:hAnsi="Palatino Linotype"/>
          <w:b/>
          <w:i/>
          <w:sz w:val="24"/>
          <w:szCs w:val="24"/>
        </w:rPr>
      </w:pPr>
      <w:r w:rsidRPr="009235AB">
        <w:rPr>
          <w:rFonts w:ascii="Palatino Linotype" w:hAnsi="Palatino Linotype"/>
          <w:b/>
          <w:i/>
          <w:sz w:val="24"/>
          <w:szCs w:val="24"/>
        </w:rPr>
        <w:t>V.</w:t>
      </w:r>
      <w:r w:rsidRPr="009235AB">
        <w:rPr>
          <w:rFonts w:ascii="Palatino Linotype" w:hAnsi="Palatino Linotype"/>
          <w:i/>
          <w:sz w:val="24"/>
          <w:szCs w:val="24"/>
        </w:rPr>
        <w:t xml:space="preserve"> </w:t>
      </w:r>
      <w:r w:rsidRPr="009235AB">
        <w:rPr>
          <w:rFonts w:ascii="Palatino Linotype" w:hAnsi="Palatino Linotype"/>
          <w:i/>
          <w:sz w:val="24"/>
          <w:szCs w:val="24"/>
        </w:rPr>
        <w:tab/>
      </w:r>
      <w:r w:rsidRPr="009235AB">
        <w:rPr>
          <w:rFonts w:ascii="Palatino Linotype" w:hAnsi="Palatino Linotype"/>
          <w:b/>
          <w:i/>
          <w:sz w:val="24"/>
          <w:szCs w:val="24"/>
        </w:rPr>
        <w:t>Las remuneraciones y sus tabuladores serán públicos, y deberán especificar y diferenciar la totalidad de sus elementos fijos y variables tanto en efectivo como en especie.</w:t>
      </w:r>
    </w:p>
    <w:p w:rsidR="006221C5" w:rsidRPr="009235AB" w:rsidRDefault="006221C5" w:rsidP="006221C5">
      <w:pPr>
        <w:pStyle w:val="Texto"/>
        <w:spacing w:before="240" w:after="160" w:line="360" w:lineRule="auto"/>
        <w:ind w:left="851" w:right="992" w:firstLine="0"/>
        <w:rPr>
          <w:rFonts w:ascii="Palatino Linotype" w:hAnsi="Palatino Linotype"/>
          <w:i/>
          <w:sz w:val="24"/>
          <w:szCs w:val="24"/>
        </w:rPr>
      </w:pPr>
      <w:r w:rsidRPr="009235AB">
        <w:rPr>
          <w:rFonts w:ascii="Palatino Linotype" w:hAnsi="Palatino Linotype"/>
          <w:i/>
          <w:sz w:val="24"/>
          <w:szCs w:val="24"/>
        </w:rPr>
        <w:t>(…)</w:t>
      </w:r>
    </w:p>
    <w:p w:rsidR="006221C5" w:rsidRPr="009235AB" w:rsidRDefault="006221C5" w:rsidP="006221C5">
      <w:pPr>
        <w:pStyle w:val="Prrafodelista"/>
        <w:spacing w:before="240" w:after="160" w:line="360" w:lineRule="auto"/>
        <w:ind w:left="0"/>
        <w:jc w:val="both"/>
        <w:rPr>
          <w:rFonts w:ascii="Palatino Linotype" w:hAnsi="Palatino Linotype" w:cs="Arial"/>
        </w:rPr>
      </w:pPr>
      <w:r w:rsidRPr="009235AB">
        <w:rPr>
          <w:rFonts w:ascii="Palatino Linotype" w:hAnsi="Palatino Linotype" w:cs="Arial"/>
        </w:rPr>
        <w:t xml:space="preserve">Ahora bien, respecto al tema materia de la solicitud, conviene precisar la definición de “nómina”; </w:t>
      </w:r>
      <w:r w:rsidRPr="009235AB">
        <w:rPr>
          <w:rFonts w:ascii="Palatino Linotype" w:hAnsi="Palatino Linotype" w:cs="Arial"/>
          <w:lang w:eastAsia="es-MX"/>
        </w:rPr>
        <w:t xml:space="preserve">de acuerdo al </w:t>
      </w:r>
      <w:r w:rsidRPr="009235AB">
        <w:rPr>
          <w:rFonts w:ascii="Palatino Linotype" w:hAnsi="Palatino Linotype"/>
        </w:rPr>
        <w:t>“</w:t>
      </w:r>
      <w:r w:rsidRPr="009235AB">
        <w:rPr>
          <w:rFonts w:ascii="Palatino Linotype" w:hAnsi="Palatino Linotype"/>
          <w:i/>
        </w:rPr>
        <w:t>Glosario de Términos Administrativos</w:t>
      </w:r>
      <w:r w:rsidRPr="009235AB">
        <w:rPr>
          <w:rFonts w:ascii="Palatino Linotype" w:hAnsi="Palatino Linotype"/>
        </w:rPr>
        <w:t>”</w:t>
      </w:r>
      <w:r w:rsidRPr="009235AB">
        <w:rPr>
          <w:rStyle w:val="Refdenotaalpie"/>
          <w:rFonts w:ascii="Palatino Linotype" w:hAnsi="Palatino Linotype"/>
        </w:rPr>
        <w:footnoteReference w:id="3"/>
      </w:r>
      <w:r w:rsidRPr="009235AB">
        <w:rPr>
          <w:rFonts w:ascii="Palatino Linotype" w:hAnsi="Palatino Linotype"/>
        </w:rPr>
        <w:t>, mismo que señala las siguientes definiciones</w:t>
      </w:r>
      <w:r w:rsidRPr="009235AB">
        <w:rPr>
          <w:rFonts w:ascii="Palatino Linotype" w:hAnsi="Palatino Linotype" w:cs="Arial"/>
          <w:lang w:eastAsia="es-MX"/>
        </w:rPr>
        <w:t>:</w:t>
      </w:r>
    </w:p>
    <w:p w:rsidR="006221C5" w:rsidRPr="009235AB" w:rsidRDefault="006221C5" w:rsidP="006221C5">
      <w:pPr>
        <w:pStyle w:val="Prrafodelista"/>
        <w:tabs>
          <w:tab w:val="left" w:pos="8222"/>
        </w:tabs>
        <w:autoSpaceDE w:val="0"/>
        <w:autoSpaceDN w:val="0"/>
        <w:adjustRightInd w:val="0"/>
        <w:spacing w:before="240" w:after="160" w:line="360" w:lineRule="auto"/>
        <w:ind w:left="851" w:right="992"/>
        <w:jc w:val="both"/>
        <w:rPr>
          <w:rFonts w:ascii="Palatino Linotype" w:hAnsi="Palatino Linotype" w:cs="Arial"/>
          <w:i/>
          <w:lang w:val="es-MX" w:eastAsia="es-MX"/>
        </w:rPr>
      </w:pPr>
      <w:r w:rsidRPr="009235AB">
        <w:rPr>
          <w:rFonts w:ascii="Palatino Linotype" w:hAnsi="Palatino Linotype" w:cs="Arial"/>
          <w:b/>
          <w:bCs/>
          <w:i/>
          <w:lang w:val="es-MX" w:eastAsia="es-MX"/>
        </w:rPr>
        <w:lastRenderedPageBreak/>
        <w:t xml:space="preserve">NÓMINA. </w:t>
      </w:r>
      <w:r w:rsidRPr="009235AB">
        <w:rPr>
          <w:rFonts w:ascii="Palatino Linotype" w:hAnsi="Palatino Linotype" w:cs="Arial"/>
          <w:i/>
          <w:lang w:val="es-MX" w:eastAsia="es-MX"/>
        </w:rPr>
        <w:t>Listado general de los trabajadores de una institución, en</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el cual se asientan las percepciones brutas, deducciones y</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alcance neto de las mismas; la nómina es utilizada para</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efectuar los pagos periódicos (semanales, quincenales o</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mensuales) a los trabajadores por concepto de sueldos y</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salarios.</w:t>
      </w:r>
    </w:p>
    <w:p w:rsidR="006221C5" w:rsidRPr="009235AB" w:rsidRDefault="006221C5" w:rsidP="006221C5">
      <w:pPr>
        <w:pStyle w:val="Prrafodelista"/>
        <w:spacing w:before="240" w:after="160" w:line="360" w:lineRule="auto"/>
        <w:ind w:left="0"/>
        <w:jc w:val="both"/>
        <w:rPr>
          <w:rFonts w:ascii="Palatino Linotype" w:hAnsi="Palatino Linotype" w:cs="Arial"/>
        </w:rPr>
      </w:pPr>
      <w:r w:rsidRPr="009235AB">
        <w:rPr>
          <w:rFonts w:ascii="Palatino Linotype" w:hAnsi="Palatino Linotype" w:cs="Arial"/>
        </w:rPr>
        <w:t>Aunado a ello</w:t>
      </w:r>
      <w:r w:rsidRPr="009235AB">
        <w:rPr>
          <w:rFonts w:ascii="Palatino Linotype" w:hAnsi="Palatino Linotype" w:cs="Arial"/>
          <w:lang w:eastAsia="es-MX"/>
        </w:rPr>
        <w:t xml:space="preserve"> el artículo 804 fracción II de la </w:t>
      </w:r>
      <w:r w:rsidRPr="009235AB">
        <w:rPr>
          <w:rFonts w:ascii="Palatino Linotype" w:hAnsi="Palatino Linotype" w:cs="Arial"/>
          <w:b/>
          <w:lang w:eastAsia="es-MX"/>
        </w:rPr>
        <w:t>Ley Federal de Trabajo</w:t>
      </w:r>
      <w:r w:rsidRPr="009235AB">
        <w:rPr>
          <w:rFonts w:ascii="Palatino Linotype" w:hAnsi="Palatino Linotype" w:cs="Arial"/>
          <w:lang w:eastAsia="es-MX"/>
        </w:rPr>
        <w:t>, refiere la obligación que tiene el patrón de conservar y exhibir en juicio entre otros documentos la nómina o recibos de pagos de salarios.</w:t>
      </w:r>
    </w:p>
    <w:p w:rsidR="006221C5" w:rsidRPr="009235AB" w:rsidRDefault="006221C5" w:rsidP="006221C5">
      <w:pPr>
        <w:pStyle w:val="Textosinformato"/>
        <w:tabs>
          <w:tab w:val="right" w:leader="dot" w:pos="8828"/>
        </w:tabs>
        <w:spacing w:before="240" w:after="160" w:line="360" w:lineRule="auto"/>
        <w:ind w:left="851" w:right="992" w:hanging="142"/>
        <w:jc w:val="both"/>
        <w:rPr>
          <w:rFonts w:ascii="Palatino Linotype" w:eastAsia="MS Mincho" w:hAnsi="Palatino Linotype" w:cs="Arial"/>
          <w:i/>
          <w:sz w:val="24"/>
          <w:szCs w:val="24"/>
        </w:rPr>
      </w:pPr>
      <w:r w:rsidRPr="009235AB">
        <w:rPr>
          <w:rFonts w:ascii="Palatino Linotype" w:eastAsia="MS Mincho" w:hAnsi="Palatino Linotype" w:cs="Arial"/>
          <w:b/>
          <w:bCs/>
          <w:i/>
          <w:sz w:val="24"/>
          <w:szCs w:val="24"/>
        </w:rPr>
        <w:t>Artículo 804.-</w:t>
      </w:r>
      <w:r w:rsidRPr="009235AB">
        <w:rPr>
          <w:rFonts w:ascii="Palatino Linotype" w:eastAsia="MS Mincho" w:hAnsi="Palatino Linotype" w:cs="Arial"/>
          <w:i/>
          <w:sz w:val="24"/>
          <w:szCs w:val="24"/>
        </w:rPr>
        <w:t xml:space="preserve"> El patrón tiene obligación de conservar y exhibir en juicio los documentos que a continuación se precisan:</w:t>
      </w:r>
    </w:p>
    <w:p w:rsidR="006221C5" w:rsidRPr="009235AB" w:rsidRDefault="006221C5" w:rsidP="006221C5">
      <w:pPr>
        <w:pStyle w:val="Textosinformato"/>
        <w:tabs>
          <w:tab w:val="right" w:leader="dot" w:pos="8828"/>
        </w:tabs>
        <w:spacing w:before="240" w:after="160" w:line="360" w:lineRule="auto"/>
        <w:ind w:left="851" w:right="992" w:hanging="142"/>
        <w:jc w:val="both"/>
        <w:rPr>
          <w:rFonts w:ascii="Palatino Linotype" w:eastAsia="MS Mincho" w:hAnsi="Palatino Linotype" w:cs="Arial"/>
          <w:i/>
          <w:sz w:val="24"/>
          <w:szCs w:val="24"/>
        </w:rPr>
      </w:pPr>
      <w:r w:rsidRPr="009235AB">
        <w:rPr>
          <w:rFonts w:ascii="Palatino Linotype" w:eastAsia="MS Mincho" w:hAnsi="Palatino Linotype" w:cs="Arial"/>
          <w:i/>
          <w:sz w:val="24"/>
          <w:szCs w:val="24"/>
        </w:rPr>
        <w:t>(…)</w:t>
      </w:r>
    </w:p>
    <w:p w:rsidR="006221C5" w:rsidRPr="009235AB" w:rsidRDefault="006221C5" w:rsidP="006221C5">
      <w:pPr>
        <w:pStyle w:val="Textosinformato"/>
        <w:numPr>
          <w:ilvl w:val="0"/>
          <w:numId w:val="35"/>
        </w:numPr>
        <w:tabs>
          <w:tab w:val="right" w:leader="dot" w:pos="8828"/>
        </w:tabs>
        <w:spacing w:before="240" w:after="160" w:line="360" w:lineRule="auto"/>
        <w:ind w:left="851" w:right="992" w:hanging="142"/>
        <w:jc w:val="both"/>
        <w:rPr>
          <w:rFonts w:ascii="Palatino Linotype" w:eastAsia="MS Mincho" w:hAnsi="Palatino Linotype" w:cs="Arial"/>
          <w:i/>
          <w:sz w:val="24"/>
          <w:szCs w:val="24"/>
        </w:rPr>
      </w:pPr>
      <w:r w:rsidRPr="00BB36C5">
        <w:rPr>
          <w:rFonts w:ascii="Palatino Linotype" w:eastAsia="MS Mincho" w:hAnsi="Palatino Linotype" w:cs="Arial"/>
          <w:b/>
          <w:i/>
          <w:sz w:val="24"/>
          <w:szCs w:val="24"/>
          <w:u w:val="single"/>
        </w:rPr>
        <w:t>Listas de raya</w:t>
      </w:r>
      <w:r w:rsidRPr="009235AB">
        <w:rPr>
          <w:rFonts w:ascii="Palatino Linotype" w:eastAsia="MS Mincho" w:hAnsi="Palatino Linotype" w:cs="Arial"/>
          <w:b/>
          <w:i/>
          <w:sz w:val="24"/>
          <w:szCs w:val="24"/>
        </w:rPr>
        <w:t xml:space="preserve"> o nómina de personal, cuando se lleven en el centro de trabajo; </w:t>
      </w:r>
      <w:r w:rsidRPr="00BB36C5">
        <w:rPr>
          <w:rFonts w:ascii="Palatino Linotype" w:eastAsia="MS Mincho" w:hAnsi="Palatino Linotype" w:cs="Arial"/>
          <w:b/>
          <w:i/>
          <w:sz w:val="24"/>
          <w:szCs w:val="24"/>
          <w:u w:val="single"/>
        </w:rPr>
        <w:t>o recibos de pagos de salarios</w:t>
      </w:r>
      <w:r w:rsidRPr="009235AB">
        <w:rPr>
          <w:rFonts w:ascii="Palatino Linotype" w:eastAsia="MS Mincho" w:hAnsi="Palatino Linotype" w:cs="Arial"/>
          <w:i/>
          <w:sz w:val="24"/>
          <w:szCs w:val="24"/>
        </w:rPr>
        <w:t>;</w:t>
      </w:r>
      <w:r>
        <w:rPr>
          <w:rFonts w:ascii="Palatino Linotype" w:eastAsia="MS Mincho" w:hAnsi="Palatino Linotype" w:cs="Arial"/>
          <w:i/>
          <w:sz w:val="24"/>
          <w:szCs w:val="24"/>
        </w:rPr>
        <w:t>”</w:t>
      </w:r>
    </w:p>
    <w:p w:rsidR="006221C5" w:rsidRDefault="006221C5" w:rsidP="006221C5">
      <w:pPr>
        <w:spacing w:before="240" w:line="360" w:lineRule="auto"/>
        <w:jc w:val="both"/>
        <w:rPr>
          <w:rFonts w:ascii="Palatino Linotype" w:hAnsi="Palatino Linotype" w:cs="Arial"/>
          <w:sz w:val="24"/>
          <w:szCs w:val="24"/>
        </w:rPr>
      </w:pPr>
      <w:r w:rsidRPr="009235AB">
        <w:rPr>
          <w:rFonts w:ascii="Palatino Linotype" w:hAnsi="Palatino Linotype" w:cs="Arial"/>
          <w:sz w:val="24"/>
          <w:szCs w:val="24"/>
        </w:rPr>
        <w:t xml:space="preserve">En el mismo sentido, el </w:t>
      </w:r>
      <w:r w:rsidRPr="009235AB">
        <w:rPr>
          <w:rFonts w:ascii="Palatino Linotype" w:eastAsia="Times New Roman" w:hAnsi="Palatino Linotype" w:cs="Arial"/>
          <w:bCs/>
          <w:sz w:val="24"/>
          <w:szCs w:val="24"/>
        </w:rPr>
        <w:t xml:space="preserve">penúltimo párrafo del artículo 125 de la </w:t>
      </w:r>
      <w:r w:rsidRPr="009235AB">
        <w:rPr>
          <w:rFonts w:ascii="Palatino Linotype" w:hAnsi="Palatino Linotype" w:cs="Arial"/>
          <w:b/>
          <w:sz w:val="24"/>
          <w:szCs w:val="24"/>
        </w:rPr>
        <w:t>Constitución Política del Estado Libre y Soberano de México</w:t>
      </w:r>
      <w:r w:rsidRPr="009235AB">
        <w:rPr>
          <w:rFonts w:ascii="Palatino Linotype" w:hAnsi="Palatino Linotype" w:cs="Arial"/>
          <w:sz w:val="24"/>
          <w:szCs w:val="24"/>
        </w:rPr>
        <w:t>, señala que el presupuesto deberá incluir los tabuladores desglosados de las remuneraciones que perciban los servidores públicos municipales, sujetándose a lo dispuesto por el artículo 147 de la Constitución local.</w:t>
      </w:r>
    </w:p>
    <w:p w:rsidR="006221C5" w:rsidRDefault="006221C5" w:rsidP="006221C5">
      <w:pPr>
        <w:pStyle w:val="Prrafodelista"/>
        <w:spacing w:before="240" w:after="160" w:line="360" w:lineRule="auto"/>
        <w:ind w:left="0"/>
        <w:jc w:val="both"/>
        <w:rPr>
          <w:rFonts w:ascii="Palatino Linotype" w:hAnsi="Palatino Linotype" w:cs="Arial"/>
        </w:rPr>
      </w:pPr>
      <w:r w:rsidRPr="009235AB">
        <w:rPr>
          <w:rFonts w:ascii="Palatino Linotype" w:hAnsi="Palatino Linotype" w:cs="Arial"/>
        </w:rPr>
        <w:t xml:space="preserve">Por su parte, el artículo 147 de la </w:t>
      </w:r>
      <w:r w:rsidRPr="009235AB">
        <w:rPr>
          <w:rFonts w:ascii="Palatino Linotype" w:hAnsi="Palatino Linotype" w:cs="Arial"/>
          <w:b/>
        </w:rPr>
        <w:t>Constitución Política del Estado Libre y Soberano de México</w:t>
      </w:r>
      <w:r w:rsidRPr="009235AB">
        <w:rPr>
          <w:rFonts w:ascii="Palatino Linotype" w:hAnsi="Palatino Linotype" w:cs="Arial"/>
        </w:rPr>
        <w:t xml:space="preserve"> dispone en lo relativo a las remuneraciones de los servidores públicos estatales y municipales lo siguiente:</w:t>
      </w:r>
    </w:p>
    <w:p w:rsidR="006221C5" w:rsidRPr="009235AB" w:rsidRDefault="006221C5" w:rsidP="006221C5">
      <w:pPr>
        <w:pStyle w:val="Prrafodelista"/>
        <w:spacing w:before="240" w:after="160" w:line="360" w:lineRule="auto"/>
        <w:ind w:left="0"/>
        <w:jc w:val="both"/>
        <w:rPr>
          <w:rFonts w:ascii="Palatino Linotype" w:hAnsi="Palatino Linotype" w:cs="Arial"/>
        </w:rPr>
      </w:pPr>
    </w:p>
    <w:p w:rsidR="006221C5" w:rsidRPr="009235AB" w:rsidRDefault="006221C5" w:rsidP="006221C5">
      <w:pPr>
        <w:spacing w:before="240" w:line="360" w:lineRule="auto"/>
        <w:ind w:left="851" w:right="992"/>
        <w:jc w:val="both"/>
        <w:rPr>
          <w:rFonts w:ascii="Palatino Linotype" w:hAnsi="Palatino Linotype"/>
          <w:i/>
          <w:sz w:val="24"/>
          <w:szCs w:val="24"/>
        </w:rPr>
      </w:pPr>
      <w:r w:rsidRPr="009235AB">
        <w:rPr>
          <w:rFonts w:ascii="Palatino Linotype" w:hAnsi="Palatino Linotype"/>
          <w:b/>
          <w:i/>
          <w:sz w:val="24"/>
          <w:szCs w:val="24"/>
        </w:rPr>
        <w:lastRenderedPageBreak/>
        <w:t>Artículo 147</w:t>
      </w:r>
      <w:r w:rsidRPr="009235AB">
        <w:rPr>
          <w:rFonts w:ascii="Palatino Linotype" w:hAnsi="Palatino Linotype"/>
          <w:i/>
          <w:sz w:val="24"/>
          <w:szCs w:val="24"/>
        </w:rPr>
        <w:t xml:space="preserve">.- 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9235AB">
        <w:rPr>
          <w:rFonts w:ascii="Palatino Linotype" w:hAnsi="Palatino Linotype"/>
          <w:b/>
          <w:i/>
          <w:sz w:val="24"/>
          <w:szCs w:val="24"/>
          <w:u w:val="single"/>
        </w:rPr>
        <w:t>los miembros de los ayuntamientos</w:t>
      </w:r>
      <w:r w:rsidRPr="009235AB">
        <w:rPr>
          <w:rFonts w:ascii="Palatino Linotype" w:hAnsi="Palatino Linotype"/>
          <w:i/>
          <w:sz w:val="24"/>
          <w:szCs w:val="24"/>
        </w:rPr>
        <w:t xml:space="preserve"> y demás servidores públicos municipales recibirán una retribución adecuada e irrenunciable por el desempeño de su empleo, cargo o comisión, que será determinada </w:t>
      </w:r>
      <w:r w:rsidRPr="009235AB">
        <w:rPr>
          <w:rFonts w:ascii="Palatino Linotype" w:hAnsi="Palatino Linotype"/>
          <w:b/>
          <w:i/>
          <w:sz w:val="24"/>
          <w:szCs w:val="24"/>
          <w:u w:val="single"/>
        </w:rPr>
        <w:t>en el presupuesto de egresos</w:t>
      </w:r>
      <w:r w:rsidRPr="009235AB">
        <w:rPr>
          <w:rFonts w:ascii="Palatino Linotype" w:hAnsi="Palatino Linotype"/>
          <w:i/>
          <w:sz w:val="24"/>
          <w:szCs w:val="24"/>
        </w:rPr>
        <w:t xml:space="preserve"> que corresponda. </w:t>
      </w:r>
      <w:r w:rsidRPr="009235AB">
        <w:rPr>
          <w:rFonts w:ascii="Palatino Linotype" w:hAnsi="Palatino Linotype"/>
          <w:b/>
          <w:i/>
          <w:sz w:val="24"/>
          <w:szCs w:val="24"/>
        </w:rPr>
        <w:t>Las remuneraciones</w:t>
      </w:r>
      <w:r w:rsidRPr="009235AB">
        <w:rPr>
          <w:rFonts w:ascii="Palatino Linotype" w:hAnsi="Palatino Linotype"/>
          <w:i/>
          <w:sz w:val="24"/>
          <w:szCs w:val="24"/>
        </w:rPr>
        <w:t xml:space="preserve"> mínimas y máximas se determinarán con base, entre otros, en los factores siguientes: población, recursos económicos disponibles, costo promedio de vida, índice inflacionario, grado de marginalidad, productividad en la prestación de servicios públicos, responsabilidad de la función y eficiencia en la recaudación de ingresos, de acuerdo con la información oficial correspondiente. </w:t>
      </w:r>
      <w:r w:rsidRPr="009235AB">
        <w:rPr>
          <w:rFonts w:ascii="Palatino Linotype" w:hAnsi="Palatino Linotype"/>
          <w:b/>
          <w:i/>
          <w:sz w:val="24"/>
          <w:szCs w:val="24"/>
        </w:rPr>
        <w:t>La remuneración será determinada anual y equitativamente</w:t>
      </w:r>
      <w:r w:rsidRPr="009235AB">
        <w:rPr>
          <w:rFonts w:ascii="Palatino Linotype" w:hAnsi="Palatino Linotype"/>
          <w:i/>
          <w:sz w:val="24"/>
          <w:szCs w:val="24"/>
        </w:rPr>
        <w:t xml:space="preserve"> en el Presupuesto de Egresos correspondiente bajo las bases siguientes: </w:t>
      </w:r>
    </w:p>
    <w:p w:rsidR="006221C5" w:rsidRPr="009235AB" w:rsidRDefault="006221C5" w:rsidP="006221C5">
      <w:pPr>
        <w:pStyle w:val="Prrafodelista"/>
        <w:spacing w:before="240" w:after="160" w:line="360" w:lineRule="auto"/>
        <w:ind w:left="851" w:right="992"/>
        <w:jc w:val="both"/>
        <w:rPr>
          <w:rFonts w:ascii="Palatino Linotype" w:hAnsi="Palatino Linotype"/>
          <w:i/>
        </w:rPr>
      </w:pPr>
      <w:r w:rsidRPr="009235AB">
        <w:rPr>
          <w:rFonts w:ascii="Palatino Linotype" w:hAnsi="Palatino Linotype"/>
          <w:i/>
        </w:rPr>
        <w:t xml:space="preserve">Se considera remuneración o retribución toda percepción en efectivo o en especie, con excepción de los apoyos y los gastos sujetos a comprobación que sean propios del desarrollo del trabajo y los gastos de viaje en actividades oficiales; </w:t>
      </w:r>
    </w:p>
    <w:p w:rsidR="006221C5" w:rsidRPr="009235AB" w:rsidRDefault="006221C5" w:rsidP="006221C5">
      <w:pPr>
        <w:pStyle w:val="Prrafodelista"/>
        <w:spacing w:before="240" w:after="160" w:line="360" w:lineRule="auto"/>
        <w:ind w:left="851" w:right="992"/>
        <w:jc w:val="both"/>
        <w:rPr>
          <w:rFonts w:ascii="Palatino Linotype" w:hAnsi="Palatino Linotype" w:cs="Arial"/>
          <w:bCs/>
          <w:i/>
        </w:rPr>
      </w:pPr>
      <w:r w:rsidRPr="009235AB">
        <w:rPr>
          <w:rFonts w:ascii="Palatino Linotype" w:hAnsi="Palatino Linotype" w:cs="Arial"/>
          <w:bCs/>
          <w:i/>
        </w:rPr>
        <w:t>(…)</w:t>
      </w:r>
    </w:p>
    <w:p w:rsidR="006221C5" w:rsidRPr="009235AB" w:rsidRDefault="006221C5" w:rsidP="006221C5">
      <w:pPr>
        <w:pStyle w:val="Prrafodelista"/>
        <w:spacing w:before="240" w:after="160" w:line="360" w:lineRule="auto"/>
        <w:ind w:left="851" w:right="992"/>
        <w:rPr>
          <w:rFonts w:ascii="Palatino Linotype" w:hAnsi="Palatino Linotype" w:cs="Arial"/>
          <w:bCs/>
          <w:i/>
        </w:rPr>
      </w:pPr>
      <w:r w:rsidRPr="009235AB">
        <w:rPr>
          <w:rFonts w:ascii="Palatino Linotype" w:hAnsi="Palatino Linotype"/>
          <w:i/>
        </w:rPr>
        <w:lastRenderedPageBreak/>
        <w:t xml:space="preserve">V. Las remuneraciones y sus tabuladores </w:t>
      </w:r>
      <w:r w:rsidRPr="009235AB">
        <w:rPr>
          <w:rFonts w:ascii="Palatino Linotype" w:hAnsi="Palatino Linotype"/>
          <w:b/>
          <w:i/>
        </w:rPr>
        <w:t>serán públicos</w:t>
      </w:r>
      <w:r w:rsidRPr="009235AB">
        <w:rPr>
          <w:rFonts w:ascii="Palatino Linotype" w:hAnsi="Palatino Linotype"/>
          <w:i/>
        </w:rPr>
        <w:t>, y deberán especificar y diferenciar la totalidad de sus elementos fijos y variables tanto en efectivo como en especie.</w:t>
      </w:r>
    </w:p>
    <w:p w:rsidR="006221C5" w:rsidRPr="009235AB" w:rsidRDefault="006221C5" w:rsidP="006221C5">
      <w:pPr>
        <w:pStyle w:val="Prrafodelista"/>
        <w:spacing w:before="240" w:after="160" w:line="360" w:lineRule="auto"/>
        <w:ind w:left="0"/>
        <w:jc w:val="both"/>
        <w:rPr>
          <w:rFonts w:ascii="Palatino Linotype" w:hAnsi="Palatino Linotype" w:cs="Arial"/>
        </w:rPr>
      </w:pPr>
      <w:r w:rsidRPr="009235AB">
        <w:rPr>
          <w:rFonts w:ascii="Palatino Linotype" w:hAnsi="Palatino Linotype" w:cs="Arial"/>
          <w:bCs/>
        </w:rPr>
        <w:t xml:space="preserve">Al respecto, el </w:t>
      </w:r>
      <w:r w:rsidRPr="009235AB">
        <w:rPr>
          <w:rFonts w:ascii="Palatino Linotype" w:hAnsi="Palatino Linotype" w:cs="Arial"/>
        </w:rPr>
        <w:t xml:space="preserve">artículo 3, fracción XXXII del </w:t>
      </w:r>
      <w:r w:rsidRPr="009235AB">
        <w:rPr>
          <w:rFonts w:ascii="Palatino Linotype" w:hAnsi="Palatino Linotype" w:cs="Arial"/>
          <w:b/>
        </w:rPr>
        <w:t xml:space="preserve">Código Financiero del Estado de México y Municipios </w:t>
      </w:r>
      <w:r w:rsidRPr="009235AB">
        <w:rPr>
          <w:rFonts w:ascii="Palatino Linotype" w:hAnsi="Palatino Linotype" w:cs="Arial"/>
        </w:rPr>
        <w:t>establece lo siguiente:</w:t>
      </w:r>
    </w:p>
    <w:p w:rsidR="006221C5" w:rsidRPr="009235AB" w:rsidRDefault="006221C5" w:rsidP="006221C5">
      <w:pPr>
        <w:pStyle w:val="Prrafodelista"/>
        <w:spacing w:before="240" w:after="160" w:line="360" w:lineRule="auto"/>
        <w:ind w:left="851" w:right="992"/>
        <w:jc w:val="both"/>
        <w:rPr>
          <w:rFonts w:ascii="Palatino Linotype" w:hAnsi="Palatino Linotype" w:cs="Arial"/>
          <w:bCs/>
          <w:i/>
        </w:rPr>
      </w:pPr>
      <w:r w:rsidRPr="009235AB">
        <w:rPr>
          <w:rFonts w:ascii="Palatino Linotype" w:hAnsi="Palatino Linotype" w:cs="Arial"/>
          <w:b/>
          <w:bCs/>
          <w:i/>
        </w:rPr>
        <w:t>Artículo 3.-</w:t>
      </w:r>
      <w:r w:rsidRPr="009235AB">
        <w:rPr>
          <w:rFonts w:ascii="Palatino Linotype" w:hAnsi="Palatino Linotype" w:cs="Arial"/>
          <w:bCs/>
          <w:i/>
        </w:rPr>
        <w:t xml:space="preserve"> Para efectos de este Código, Ley de Ingresos del Estado y del Presupuesto de Egresos se entenderá por:</w:t>
      </w:r>
    </w:p>
    <w:p w:rsidR="006221C5" w:rsidRPr="009235AB" w:rsidRDefault="006221C5" w:rsidP="006221C5">
      <w:pPr>
        <w:pStyle w:val="Prrafodelista"/>
        <w:spacing w:before="240" w:after="160" w:line="360" w:lineRule="auto"/>
        <w:ind w:left="851" w:right="992"/>
        <w:jc w:val="both"/>
        <w:rPr>
          <w:rFonts w:ascii="Palatino Linotype" w:hAnsi="Palatino Linotype" w:cs="Arial"/>
          <w:bCs/>
          <w:i/>
        </w:rPr>
      </w:pPr>
      <w:r w:rsidRPr="009235AB">
        <w:rPr>
          <w:rFonts w:ascii="Palatino Linotype" w:hAnsi="Palatino Linotype" w:cs="Arial"/>
          <w:bCs/>
          <w:i/>
        </w:rPr>
        <w:t>(…)</w:t>
      </w:r>
    </w:p>
    <w:p w:rsidR="006221C5" w:rsidRPr="009235AB" w:rsidRDefault="006221C5" w:rsidP="006221C5">
      <w:pPr>
        <w:pStyle w:val="Prrafodelista"/>
        <w:spacing w:before="240" w:after="160" w:line="360" w:lineRule="auto"/>
        <w:ind w:left="851" w:right="992"/>
        <w:jc w:val="both"/>
        <w:rPr>
          <w:rFonts w:ascii="Palatino Linotype" w:hAnsi="Palatino Linotype"/>
          <w:b/>
          <w:i/>
        </w:rPr>
      </w:pPr>
      <w:r w:rsidRPr="009235AB">
        <w:rPr>
          <w:rFonts w:ascii="Palatino Linotype" w:hAnsi="Palatino Linotype"/>
          <w:b/>
          <w:i/>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6221C5" w:rsidRPr="009235AB" w:rsidRDefault="006221C5" w:rsidP="006221C5">
      <w:pPr>
        <w:pStyle w:val="Prrafodelista"/>
        <w:spacing w:before="240" w:after="160" w:line="360" w:lineRule="auto"/>
        <w:ind w:left="851" w:right="992"/>
        <w:jc w:val="both"/>
        <w:rPr>
          <w:rFonts w:ascii="Palatino Linotype" w:hAnsi="Palatino Linotype"/>
          <w:b/>
          <w:i/>
        </w:rPr>
      </w:pPr>
      <w:r w:rsidRPr="009235AB">
        <w:rPr>
          <w:rFonts w:ascii="Palatino Linotype" w:hAnsi="Palatino Linotype"/>
          <w:b/>
          <w:i/>
        </w:rPr>
        <w:t>(…)</w:t>
      </w:r>
    </w:p>
    <w:p w:rsidR="006221C5" w:rsidRPr="009235AB" w:rsidRDefault="006221C5" w:rsidP="006221C5">
      <w:pPr>
        <w:pStyle w:val="Prrafodelista"/>
        <w:spacing w:before="240" w:after="160" w:line="360" w:lineRule="auto"/>
        <w:ind w:left="0"/>
        <w:jc w:val="both"/>
        <w:rPr>
          <w:rFonts w:ascii="Palatino Linotype" w:hAnsi="Palatino Linotype" w:cs="Arial"/>
        </w:rPr>
      </w:pPr>
      <w:r w:rsidRPr="009235AB">
        <w:rPr>
          <w:rFonts w:ascii="Palatino Linotype" w:hAnsi="Palatino Linotype" w:cs="Arial"/>
        </w:rPr>
        <w:t xml:space="preserve">De ello,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w:t>
      </w:r>
      <w:r w:rsidRPr="009235AB">
        <w:rPr>
          <w:rFonts w:ascii="Palatino Linotype" w:hAnsi="Palatino Linotype" w:cs="Arial"/>
        </w:rPr>
        <w:lastRenderedPageBreak/>
        <w:t>motivo del cargo desempeñado; remuneraciones que según el texto constitucional serán públicas.</w:t>
      </w:r>
    </w:p>
    <w:p w:rsidR="006221C5" w:rsidRDefault="006221C5" w:rsidP="006221C5">
      <w:pPr>
        <w:pStyle w:val="Prrafodelista"/>
        <w:spacing w:before="240" w:after="160" w:line="360" w:lineRule="auto"/>
        <w:ind w:left="0"/>
        <w:jc w:val="both"/>
        <w:rPr>
          <w:rFonts w:ascii="Palatino Linotype" w:hAnsi="Palatino Linotype" w:cs="Arial"/>
        </w:rPr>
      </w:pPr>
      <w:r w:rsidRPr="009235AB">
        <w:rPr>
          <w:rFonts w:ascii="Palatino Linotype" w:hAnsi="Palatino Linotype" w:cs="Arial"/>
        </w:rPr>
        <w:t xml:space="preserve">Así mismo, la </w:t>
      </w:r>
      <w:r w:rsidRPr="009235AB">
        <w:rPr>
          <w:rFonts w:ascii="Palatino Linotype" w:hAnsi="Palatino Linotype" w:cs="Arial"/>
          <w:b/>
        </w:rPr>
        <w:t>Ley del Trabajo de los Servidores Públicos del Estado y Municipios</w:t>
      </w:r>
      <w:r w:rsidRPr="009235AB">
        <w:rPr>
          <w:rFonts w:ascii="Palatino Linotype" w:hAnsi="Palatino Linotype" w:cs="Arial"/>
        </w:rPr>
        <w:t>, en su artículo 220-K fracciones II y IV y último párrafo, establecen lo siguiente:</w:t>
      </w:r>
    </w:p>
    <w:p w:rsidR="006221C5" w:rsidRPr="009235AB" w:rsidRDefault="006221C5" w:rsidP="006221C5">
      <w:pPr>
        <w:spacing w:before="240" w:line="360" w:lineRule="auto"/>
        <w:ind w:left="851" w:right="992"/>
        <w:jc w:val="both"/>
        <w:rPr>
          <w:rFonts w:ascii="Palatino Linotype" w:eastAsia="Times New Roman" w:hAnsi="Palatino Linotype"/>
          <w:bCs/>
          <w:i/>
          <w:sz w:val="24"/>
          <w:szCs w:val="24"/>
        </w:rPr>
      </w:pPr>
      <w:r w:rsidRPr="009235AB">
        <w:rPr>
          <w:rFonts w:ascii="Palatino Linotype" w:eastAsia="Times New Roman" w:hAnsi="Palatino Linotype"/>
          <w:b/>
          <w:bCs/>
          <w:i/>
          <w:sz w:val="24"/>
          <w:szCs w:val="24"/>
        </w:rPr>
        <w:t>ARTÍCULO 220 K.-</w:t>
      </w:r>
      <w:r w:rsidRPr="009235AB">
        <w:rPr>
          <w:rFonts w:ascii="Palatino Linotype" w:eastAsia="Times New Roman" w:hAnsi="Palatino Linotype"/>
          <w:bCs/>
          <w:i/>
          <w:sz w:val="24"/>
          <w:szCs w:val="24"/>
        </w:rPr>
        <w:t xml:space="preserve"> La institución o dependencia pública tiene la obligación de conservar y exhibir en el proceso los documentos que a continuación se precisan:</w:t>
      </w:r>
    </w:p>
    <w:p w:rsidR="006221C5" w:rsidRPr="009235AB" w:rsidRDefault="006221C5" w:rsidP="006221C5">
      <w:pPr>
        <w:spacing w:before="240" w:line="360" w:lineRule="auto"/>
        <w:ind w:left="851" w:right="992"/>
        <w:jc w:val="both"/>
        <w:rPr>
          <w:rFonts w:ascii="Palatino Linotype" w:eastAsia="Times New Roman" w:hAnsi="Palatino Linotype"/>
          <w:bCs/>
          <w:i/>
          <w:sz w:val="24"/>
          <w:szCs w:val="24"/>
        </w:rPr>
      </w:pPr>
      <w:r w:rsidRPr="009235AB">
        <w:rPr>
          <w:rFonts w:ascii="Palatino Linotype" w:eastAsia="Times New Roman" w:hAnsi="Palatino Linotype"/>
          <w:b/>
          <w:bCs/>
          <w:i/>
          <w:sz w:val="24"/>
          <w:szCs w:val="24"/>
        </w:rPr>
        <w:t>II.</w:t>
      </w:r>
      <w:r w:rsidRPr="009235AB">
        <w:rPr>
          <w:rFonts w:ascii="Palatino Linotype" w:eastAsia="Times New Roman" w:hAnsi="Palatino Linotype"/>
          <w:bCs/>
          <w:i/>
          <w:sz w:val="24"/>
          <w:szCs w:val="24"/>
        </w:rPr>
        <w:t xml:space="preserve"> </w:t>
      </w:r>
      <w:r w:rsidRPr="009235AB">
        <w:rPr>
          <w:rFonts w:ascii="Palatino Linotype" w:eastAsia="Times New Roman" w:hAnsi="Palatino Linotype"/>
          <w:b/>
          <w:bCs/>
          <w:i/>
          <w:sz w:val="24"/>
          <w:szCs w:val="24"/>
        </w:rPr>
        <w:t>Recibos de pagos de salarios</w:t>
      </w:r>
      <w:r w:rsidRPr="009235AB">
        <w:rPr>
          <w:rFonts w:ascii="Palatino Linotype" w:eastAsia="Times New Roman" w:hAnsi="Palatino Linotype"/>
          <w:bCs/>
          <w:i/>
          <w:sz w:val="24"/>
          <w:szCs w:val="24"/>
        </w:rPr>
        <w:t xml:space="preserve"> o las constancias documentales del pago de salario cuando sea por depósito o mediante información electrónica;</w:t>
      </w:r>
    </w:p>
    <w:p w:rsidR="006221C5" w:rsidRPr="009235AB" w:rsidRDefault="006221C5" w:rsidP="006221C5">
      <w:pPr>
        <w:spacing w:before="240" w:line="360" w:lineRule="auto"/>
        <w:ind w:left="851" w:right="992"/>
        <w:jc w:val="both"/>
        <w:rPr>
          <w:rFonts w:ascii="Palatino Linotype" w:eastAsia="Times New Roman" w:hAnsi="Palatino Linotype"/>
          <w:b/>
          <w:bCs/>
          <w:i/>
          <w:sz w:val="24"/>
          <w:szCs w:val="24"/>
        </w:rPr>
      </w:pPr>
      <w:r w:rsidRPr="009235AB">
        <w:rPr>
          <w:rFonts w:ascii="Palatino Linotype" w:eastAsia="Times New Roman" w:hAnsi="Palatino Linotype"/>
          <w:b/>
          <w:bCs/>
          <w:i/>
          <w:sz w:val="24"/>
          <w:szCs w:val="24"/>
        </w:rPr>
        <w:t>(…)</w:t>
      </w:r>
    </w:p>
    <w:p w:rsidR="006221C5" w:rsidRPr="009235AB" w:rsidRDefault="006221C5" w:rsidP="006221C5">
      <w:pPr>
        <w:spacing w:before="240" w:line="360" w:lineRule="auto"/>
        <w:ind w:left="851" w:right="992"/>
        <w:jc w:val="both"/>
        <w:rPr>
          <w:rFonts w:ascii="Palatino Linotype" w:eastAsia="Times New Roman" w:hAnsi="Palatino Linotype"/>
          <w:b/>
          <w:bCs/>
          <w:i/>
          <w:sz w:val="24"/>
          <w:szCs w:val="24"/>
        </w:rPr>
      </w:pPr>
      <w:r w:rsidRPr="009235AB">
        <w:rPr>
          <w:rFonts w:ascii="Palatino Linotype" w:eastAsia="Times New Roman" w:hAnsi="Palatino Linotype"/>
          <w:b/>
          <w:bCs/>
          <w:i/>
          <w:sz w:val="24"/>
          <w:szCs w:val="24"/>
        </w:rPr>
        <w:t>IV.</w:t>
      </w:r>
      <w:r w:rsidRPr="009235AB">
        <w:rPr>
          <w:rFonts w:ascii="Palatino Linotype" w:eastAsia="Times New Roman" w:hAnsi="Palatino Linotype"/>
          <w:bCs/>
          <w:i/>
          <w:sz w:val="24"/>
          <w:szCs w:val="24"/>
        </w:rPr>
        <w:t xml:space="preserve"> </w:t>
      </w:r>
      <w:r w:rsidRPr="009235AB">
        <w:rPr>
          <w:rFonts w:ascii="Palatino Linotype" w:eastAsia="Times New Roman" w:hAnsi="Palatino Linotype"/>
          <w:b/>
          <w:bCs/>
          <w:i/>
          <w:sz w:val="24"/>
          <w:szCs w:val="24"/>
        </w:rPr>
        <w:t>Recibos o las constancias de depósito o del medio de información magnética o electrónica que sean utilizadas para el pago de salarios, prima vacacional, aguinaldo y demás prestaciones establecidas en la presente ley; y</w:t>
      </w:r>
    </w:p>
    <w:p w:rsidR="006221C5" w:rsidRPr="009235AB" w:rsidRDefault="006221C5" w:rsidP="006221C5">
      <w:pPr>
        <w:pStyle w:val="Prrafodelista"/>
        <w:spacing w:before="240" w:after="160" w:line="360" w:lineRule="auto"/>
        <w:ind w:left="851" w:right="992"/>
        <w:jc w:val="both"/>
        <w:rPr>
          <w:rFonts w:ascii="Palatino Linotype" w:hAnsi="Palatino Linotype"/>
          <w:bCs/>
          <w:i/>
        </w:rPr>
      </w:pPr>
      <w:r w:rsidRPr="009235AB">
        <w:rPr>
          <w:rFonts w:ascii="Palatino Linotype" w:hAnsi="Palatino Linotype"/>
          <w:b/>
          <w:bCs/>
          <w:i/>
        </w:rPr>
        <w:t>Los documentos señalados en la fracción I de este artículo, deberán conservarse mientras dure la relación laboral y hasta un año después;</w:t>
      </w:r>
      <w:r w:rsidRPr="009235AB">
        <w:rPr>
          <w:rFonts w:ascii="Palatino Linotype" w:hAnsi="Palatino Linotype"/>
          <w:bCs/>
          <w:i/>
        </w:rPr>
        <w:t xml:space="preserve"> los señalados por las fracciones II, III, IV durante el último año y un año después de que se extinga la relación laboral, y los mencionados en la fracción V, conforme lo señalen las leyes que los rijan.</w:t>
      </w:r>
    </w:p>
    <w:p w:rsidR="006221C5" w:rsidRPr="009235AB" w:rsidRDefault="006221C5" w:rsidP="006221C5">
      <w:pPr>
        <w:pStyle w:val="Prrafodelista"/>
        <w:spacing w:before="240" w:after="160" w:line="360" w:lineRule="auto"/>
        <w:ind w:left="851" w:right="992"/>
        <w:jc w:val="both"/>
        <w:rPr>
          <w:rFonts w:ascii="Palatino Linotype" w:hAnsi="Palatino Linotype"/>
          <w:bCs/>
          <w:i/>
        </w:rPr>
      </w:pPr>
      <w:r w:rsidRPr="009235AB">
        <w:rPr>
          <w:rFonts w:ascii="Palatino Linotype" w:hAnsi="Palatino Linotype"/>
          <w:b/>
          <w:bCs/>
          <w:i/>
        </w:rPr>
        <w:t>Los documentos y constancias aquí señalados, la institución o dependencia</w:t>
      </w:r>
      <w:r w:rsidRPr="009235AB">
        <w:rPr>
          <w:rFonts w:ascii="Palatino Linotype" w:hAnsi="Palatino Linotype"/>
          <w:b/>
          <w:bCs/>
          <w:i/>
          <w:u w:val="single"/>
        </w:rPr>
        <w:t xml:space="preserve"> podrá conservarlos por medio de los sistemas de </w:t>
      </w:r>
      <w:r w:rsidRPr="009235AB">
        <w:rPr>
          <w:rFonts w:ascii="Palatino Linotype" w:hAnsi="Palatino Linotype"/>
          <w:b/>
          <w:bCs/>
          <w:i/>
          <w:u w:val="single"/>
        </w:rPr>
        <w:lastRenderedPageBreak/>
        <w:t>digitalización o de información magnética o electrónica o cualquier medio descubierto por la ciencia y las constancias expedidas por el encargado del área de personal de éstas</w:t>
      </w:r>
      <w:r w:rsidRPr="009235AB">
        <w:rPr>
          <w:rFonts w:ascii="Palatino Linotype" w:hAnsi="Palatino Linotype"/>
          <w:bCs/>
          <w:i/>
        </w:rPr>
        <w:t>, harán prueba plena.</w:t>
      </w:r>
    </w:p>
    <w:p w:rsidR="006221C5" w:rsidRPr="009235AB" w:rsidRDefault="006221C5" w:rsidP="006221C5">
      <w:pPr>
        <w:pStyle w:val="Prrafodelista"/>
        <w:spacing w:before="240" w:after="160" w:line="360" w:lineRule="auto"/>
        <w:ind w:left="851" w:right="992"/>
        <w:jc w:val="both"/>
        <w:rPr>
          <w:rFonts w:ascii="Palatino Linotype" w:hAnsi="Palatino Linotype"/>
          <w:bCs/>
          <w:i/>
        </w:rPr>
      </w:pPr>
      <w:r w:rsidRPr="009235AB">
        <w:rPr>
          <w:rFonts w:ascii="Palatino Linotype" w:hAnsi="Palatino Linotype"/>
          <w:bCs/>
          <w:i/>
        </w:rPr>
        <w:t>El incumplimiento por lo dispuesto por este artículo, establecerá la presunción de ser ciertos los hechos que el actor exprese en su demanda, en relación con tales documentos, salvo prueba en contrario.</w:t>
      </w:r>
    </w:p>
    <w:p w:rsidR="006221C5" w:rsidRDefault="006221C5" w:rsidP="006221C5">
      <w:pPr>
        <w:pStyle w:val="Prrafodelista"/>
        <w:spacing w:before="240" w:after="160" w:line="360" w:lineRule="auto"/>
        <w:ind w:left="0"/>
        <w:jc w:val="both"/>
        <w:rPr>
          <w:rFonts w:ascii="Palatino Linotype" w:hAnsi="Palatino Linotype" w:cs="Arial"/>
        </w:rPr>
      </w:pPr>
      <w:r w:rsidRPr="009235AB">
        <w:rPr>
          <w:rFonts w:ascii="Palatino Linotype" w:hAnsi="Palatino Linotype" w:cs="Arial"/>
        </w:rPr>
        <w:t>De lo anterior, se advierte que toda institución pública o dependencia pública del Estado de México debe conservar las constancias de pago de salarios, prima vacacional, aguinaldo y demás prestaciones legales de acuerdo con la forma en que se haya realizado el pago; así como, los recibos de pago por honorarios;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6221C5" w:rsidRPr="009235AB" w:rsidRDefault="006221C5" w:rsidP="006221C5">
      <w:pPr>
        <w:spacing w:before="240" w:line="360" w:lineRule="auto"/>
        <w:jc w:val="both"/>
        <w:rPr>
          <w:rFonts w:ascii="Palatino Linotype" w:hAnsi="Palatino Linotype" w:cs="Arial"/>
          <w:i/>
          <w:sz w:val="24"/>
          <w:szCs w:val="24"/>
          <w:lang w:eastAsia="es-MX"/>
        </w:rPr>
      </w:pPr>
      <w:r w:rsidRPr="009235AB">
        <w:rPr>
          <w:rFonts w:ascii="Palatino Linotype" w:eastAsia="Times New Roman" w:hAnsi="Palatino Linotype" w:cs="Arial"/>
          <w:sz w:val="24"/>
          <w:szCs w:val="24"/>
        </w:rPr>
        <w:t xml:space="preserve">Además, la </w:t>
      </w:r>
      <w:r w:rsidRPr="009235AB">
        <w:rPr>
          <w:rFonts w:ascii="Palatino Linotype" w:eastAsia="Times New Roman" w:hAnsi="Palatino Linotype" w:cs="Arial"/>
          <w:b/>
          <w:sz w:val="24"/>
          <w:szCs w:val="24"/>
        </w:rPr>
        <w:t>Ley Orgánica Municipal del Estado de México</w:t>
      </w:r>
      <w:r w:rsidRPr="009235AB">
        <w:rPr>
          <w:rFonts w:ascii="Palatino Linotype" w:eastAsia="Times New Roman" w:hAnsi="Palatino Linotype" w:cs="Arial"/>
          <w:sz w:val="24"/>
          <w:szCs w:val="24"/>
        </w:rPr>
        <w:t xml:space="preserve"> en el artículo 31 fracción XIX establece como atribución de los Ayuntamientos aprobar su </w:t>
      </w:r>
      <w:r w:rsidRPr="009235AB">
        <w:rPr>
          <w:rFonts w:ascii="Palatino Linotype" w:eastAsia="Times New Roman" w:hAnsi="Palatino Linotype" w:cs="Arial"/>
          <w:b/>
          <w:sz w:val="24"/>
          <w:szCs w:val="24"/>
          <w:u w:val="single"/>
        </w:rPr>
        <w:t>Presupuesto de Egresos</w:t>
      </w:r>
      <w:r w:rsidRPr="009235AB">
        <w:rPr>
          <w:rFonts w:ascii="Palatino Linotype" w:eastAsia="Times New Roman" w:hAnsi="Palatino Linotype" w:cs="Arial"/>
          <w:sz w:val="24"/>
          <w:szCs w:val="24"/>
        </w:rPr>
        <w:t>, y al hacerlo deberán señalar “</w:t>
      </w:r>
      <w:r w:rsidRPr="009235AB">
        <w:rPr>
          <w:rFonts w:ascii="Palatino Linotype" w:hAnsi="Palatino Linotype"/>
          <w:b/>
          <w:i/>
          <w:sz w:val="24"/>
          <w:szCs w:val="24"/>
          <w:u w:val="single"/>
        </w:rPr>
        <w:t>la remuneración</w:t>
      </w:r>
      <w:r w:rsidRPr="009235AB">
        <w:rPr>
          <w:rFonts w:ascii="Palatino Linotype" w:hAnsi="Palatino Linotype"/>
          <w:i/>
          <w:sz w:val="24"/>
          <w:szCs w:val="24"/>
        </w:rPr>
        <w:t xml:space="preserve">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w:t>
      </w:r>
      <w:r w:rsidRPr="009235AB">
        <w:rPr>
          <w:rFonts w:ascii="Palatino Linotype" w:hAnsi="Palatino Linotype"/>
          <w:sz w:val="24"/>
          <w:szCs w:val="24"/>
        </w:rPr>
        <w:t>“ y además</w:t>
      </w:r>
      <w:r w:rsidRPr="009235AB">
        <w:rPr>
          <w:rFonts w:ascii="Palatino Linotype" w:eastAsia="Times New Roman" w:hAnsi="Palatino Linotype" w:cs="Arial"/>
          <w:sz w:val="24"/>
          <w:szCs w:val="24"/>
        </w:rPr>
        <w:t xml:space="preserve"> “</w:t>
      </w:r>
      <w:r w:rsidRPr="009235AB">
        <w:rPr>
          <w:rFonts w:ascii="Palatino Linotype" w:hAnsi="Palatino Linotype"/>
          <w:i/>
          <w:sz w:val="24"/>
          <w:szCs w:val="24"/>
        </w:rPr>
        <w:t xml:space="preserve">las remuneraciones de todo tipo del Presidente Municipal, Síndicos, Regidores y servidores públicos en general, incluyendo mandos medios y superiores de la administración municipal, </w:t>
      </w:r>
      <w:r w:rsidRPr="009235AB">
        <w:rPr>
          <w:rFonts w:ascii="Palatino Linotype" w:hAnsi="Palatino Linotype"/>
          <w:b/>
          <w:i/>
          <w:sz w:val="24"/>
          <w:szCs w:val="24"/>
        </w:rPr>
        <w:t>serán determinadas anualmente en el presupuesto de egresos</w:t>
      </w:r>
      <w:r w:rsidRPr="009235AB">
        <w:rPr>
          <w:rFonts w:ascii="Palatino Linotype" w:hAnsi="Palatino Linotype"/>
          <w:i/>
          <w:sz w:val="24"/>
          <w:szCs w:val="24"/>
        </w:rPr>
        <w:t xml:space="preserve"> correspondiente </w:t>
      </w:r>
      <w:r w:rsidRPr="009235AB">
        <w:rPr>
          <w:rFonts w:ascii="Palatino Linotype" w:hAnsi="Palatino Linotype"/>
          <w:i/>
          <w:sz w:val="24"/>
          <w:szCs w:val="24"/>
        </w:rPr>
        <w:lastRenderedPageBreak/>
        <w:t>y se sujetarán a los lineamientos legales establecidos para todos los servidores públicos municipales</w:t>
      </w:r>
      <w:r w:rsidRPr="009235AB">
        <w:rPr>
          <w:rFonts w:ascii="Palatino Linotype" w:hAnsi="Palatino Linotype"/>
          <w:sz w:val="24"/>
          <w:szCs w:val="24"/>
        </w:rPr>
        <w:t>”.</w:t>
      </w:r>
      <w:r w:rsidRPr="009235AB">
        <w:rPr>
          <w:rFonts w:ascii="Palatino Linotype" w:hAnsi="Palatino Linotype"/>
          <w:i/>
          <w:sz w:val="24"/>
          <w:szCs w:val="24"/>
        </w:rPr>
        <w:t>(…)</w:t>
      </w:r>
    </w:p>
    <w:p w:rsidR="006221C5" w:rsidRPr="009235AB" w:rsidRDefault="006221C5" w:rsidP="006221C5">
      <w:pPr>
        <w:autoSpaceDE w:val="0"/>
        <w:autoSpaceDN w:val="0"/>
        <w:adjustRightInd w:val="0"/>
        <w:spacing w:before="240" w:line="360" w:lineRule="auto"/>
        <w:ind w:right="49"/>
        <w:contextualSpacing/>
        <w:jc w:val="both"/>
        <w:rPr>
          <w:rFonts w:ascii="Palatino Linotype" w:hAnsi="Palatino Linotype"/>
          <w:color w:val="000000" w:themeColor="text1"/>
          <w:sz w:val="24"/>
          <w:szCs w:val="24"/>
        </w:rPr>
      </w:pPr>
      <w:r w:rsidRPr="002F61E5">
        <w:rPr>
          <w:rFonts w:ascii="Palatino Linotype" w:eastAsia="Times New Roman" w:hAnsi="Palatino Linotype" w:cs="Arial"/>
          <w:color w:val="000000" w:themeColor="text1"/>
          <w:sz w:val="24"/>
          <w:szCs w:val="24"/>
          <w:lang w:val="es-ES" w:eastAsia="es-MX"/>
        </w:rPr>
        <w:t xml:space="preserve">Del ordenamiento legal citado se desprende que las remuneraciones se encuentran contenidas tanto en el presupuesto de egresos como en el informe mensual que se envía al Órgano Superior de </w:t>
      </w:r>
      <w:r w:rsidRPr="00535F46">
        <w:rPr>
          <w:rFonts w:ascii="Palatino Linotype" w:eastAsia="Times New Roman" w:hAnsi="Palatino Linotype" w:cs="Arial"/>
          <w:color w:val="000000" w:themeColor="text1"/>
          <w:sz w:val="24"/>
          <w:szCs w:val="24"/>
          <w:lang w:val="es-ES" w:eastAsia="es-MX"/>
        </w:rPr>
        <w:t>Fiscalización, y que dichas facultades son conf</w:t>
      </w:r>
      <w:r>
        <w:rPr>
          <w:rFonts w:ascii="Palatino Linotype" w:eastAsia="Times New Roman" w:hAnsi="Palatino Linotype" w:cs="Arial"/>
          <w:color w:val="000000" w:themeColor="text1"/>
          <w:sz w:val="24"/>
          <w:szCs w:val="24"/>
          <w:lang w:val="es-ES" w:eastAsia="es-MX"/>
        </w:rPr>
        <w:t>eridas a la Tesorería Municipal</w:t>
      </w:r>
      <w:r w:rsidRPr="002F61E5">
        <w:rPr>
          <w:rFonts w:ascii="Palatino Linotype" w:hAnsi="Palatino Linotype"/>
          <w:color w:val="000000" w:themeColor="text1"/>
          <w:sz w:val="24"/>
          <w:szCs w:val="24"/>
        </w:rPr>
        <w:t>.</w:t>
      </w:r>
    </w:p>
    <w:p w:rsidR="006221C5" w:rsidRDefault="006221C5" w:rsidP="006221C5">
      <w:pPr>
        <w:pStyle w:val="Prrafodelista"/>
        <w:spacing w:before="240" w:after="160" w:line="360" w:lineRule="auto"/>
        <w:ind w:left="0"/>
        <w:jc w:val="both"/>
        <w:rPr>
          <w:rFonts w:ascii="Palatino Linotype" w:hAnsi="Palatino Linotype" w:cs="Arial"/>
          <w:bCs/>
        </w:rPr>
      </w:pPr>
      <w:r w:rsidRPr="00AA0740">
        <w:rPr>
          <w:rFonts w:ascii="Palatino Linotype" w:hAnsi="Palatino Linotype" w:cs="Arial"/>
        </w:rPr>
        <w:t xml:space="preserve">Además de lo anterior, conviene mencionar que los </w:t>
      </w:r>
      <w:r w:rsidRPr="00AA0740">
        <w:rPr>
          <w:rFonts w:ascii="Palatino Linotype" w:hAnsi="Palatino Linotype" w:cs="Bookman Old Style"/>
          <w:b/>
        </w:rPr>
        <w:t xml:space="preserve">Lineamientos para la Integración del Informe Mensual 2019 </w:t>
      </w:r>
      <w:r w:rsidRPr="00AA0740">
        <w:rPr>
          <w:rFonts w:ascii="Palatino Linotype" w:hAnsi="Palatino Linotype" w:cs="Arial"/>
        </w:rPr>
        <w:t>emitidos por el Órgano Superior de Fiscalización del Estado de México, contienen los mismos</w:t>
      </w:r>
      <w:r w:rsidRPr="009235AB">
        <w:rPr>
          <w:rFonts w:ascii="Palatino Linotype" w:hAnsi="Palatino Linotype" w:cs="Arial"/>
        </w:rPr>
        <w:t xml:space="preserve"> formatos para la integración de </w:t>
      </w:r>
      <w:r w:rsidRPr="009235AB">
        <w:rPr>
          <w:rFonts w:ascii="Palatino Linotype" w:hAnsi="Palatino Linotype" w:cs="Arial"/>
          <w:u w:val="single"/>
        </w:rPr>
        <w:t>los informes mensuales que se entregan a éste, siendo uno de ellos el denominado “NÓMINA” el cual tiene como objetivo presentar la información del pago de las remuneraciones de cada uno de los servidores públicos de la entidad fiscalizable de que se trate</w:t>
      </w:r>
      <w:r w:rsidRPr="009235AB">
        <w:rPr>
          <w:rFonts w:ascii="Palatino Linotype" w:hAnsi="Palatino Linotype" w:cs="Arial"/>
        </w:rPr>
        <w:t>, correspondiente a un periodo determinado; d</w:t>
      </w:r>
      <w:r w:rsidRPr="009235AB">
        <w:rPr>
          <w:rFonts w:ascii="Palatino Linotype" w:hAnsi="Palatino Linotype" w:cs="Arial"/>
          <w:bCs/>
        </w:rPr>
        <w:t xml:space="preserve">e tal manera que dicho formato constituye un soporte documental que obra en los archivos del </w:t>
      </w:r>
      <w:r w:rsidRPr="009235AB">
        <w:rPr>
          <w:rFonts w:ascii="Palatino Linotype" w:hAnsi="Palatino Linotype" w:cs="Arial"/>
          <w:b/>
          <w:bCs/>
        </w:rPr>
        <w:t>SUJETO OBLIGADO</w:t>
      </w:r>
      <w:r w:rsidRPr="009235AB">
        <w:rPr>
          <w:rFonts w:ascii="Palatino Linotype" w:hAnsi="Palatino Linotype" w:cs="Arial"/>
          <w:bCs/>
        </w:rPr>
        <w:t>, como se muestra a continuación:</w:t>
      </w:r>
      <w:r>
        <w:rPr>
          <w:rFonts w:ascii="Palatino Linotype" w:hAnsi="Palatino Linotype" w:cs="Arial"/>
          <w:bCs/>
        </w:rPr>
        <w:t xml:space="preserve"> </w:t>
      </w:r>
    </w:p>
    <w:p w:rsidR="006221C5" w:rsidRDefault="006221C5" w:rsidP="006221C5">
      <w:pPr>
        <w:autoSpaceDE w:val="0"/>
        <w:autoSpaceDN w:val="0"/>
        <w:adjustRightInd w:val="0"/>
        <w:spacing w:before="240" w:line="360" w:lineRule="auto"/>
        <w:ind w:right="49"/>
        <w:contextualSpacing/>
        <w:jc w:val="both"/>
        <w:rPr>
          <w:rFonts w:ascii="Palatino Linotype" w:eastAsia="Times New Roman" w:hAnsi="Palatino Linotype" w:cs="Arial"/>
          <w:color w:val="222222"/>
          <w:sz w:val="24"/>
          <w:szCs w:val="24"/>
          <w:lang w:val="es-ES" w:eastAsia="es-MX"/>
        </w:rPr>
      </w:pPr>
      <w:r>
        <w:rPr>
          <w:noProof/>
          <w:lang w:eastAsia="es-MX"/>
        </w:rPr>
        <w:lastRenderedPageBreak/>
        <w:drawing>
          <wp:inline distT="0" distB="0" distL="0" distR="0" wp14:anchorId="6A96B32C" wp14:editId="32648DF4">
            <wp:extent cx="5808265" cy="6195974"/>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393" t="18873" r="36183" b="14679"/>
                    <a:stretch/>
                  </pic:blipFill>
                  <pic:spPr bwMode="auto">
                    <a:xfrm>
                      <a:off x="0" y="0"/>
                      <a:ext cx="5912149" cy="6306792"/>
                    </a:xfrm>
                    <a:prstGeom prst="rect">
                      <a:avLst/>
                    </a:prstGeom>
                    <a:ln>
                      <a:noFill/>
                    </a:ln>
                    <a:extLst>
                      <a:ext uri="{53640926-AAD7-44D8-BBD7-CCE9431645EC}">
                        <a14:shadowObscured xmlns:a14="http://schemas.microsoft.com/office/drawing/2010/main"/>
                      </a:ext>
                    </a:extLst>
                  </pic:spPr>
                </pic:pic>
              </a:graphicData>
            </a:graphic>
          </wp:inline>
        </w:drawing>
      </w:r>
    </w:p>
    <w:p w:rsidR="006221C5" w:rsidRPr="009235AB" w:rsidRDefault="006221C5" w:rsidP="006221C5">
      <w:pPr>
        <w:autoSpaceDE w:val="0"/>
        <w:autoSpaceDN w:val="0"/>
        <w:adjustRightInd w:val="0"/>
        <w:spacing w:before="240" w:line="360" w:lineRule="auto"/>
        <w:ind w:right="49"/>
        <w:contextualSpacing/>
        <w:jc w:val="both"/>
        <w:rPr>
          <w:rFonts w:ascii="Palatino Linotype" w:eastAsia="Times New Roman" w:hAnsi="Palatino Linotype" w:cs="Arial"/>
          <w:color w:val="222222"/>
          <w:sz w:val="24"/>
          <w:szCs w:val="24"/>
          <w:lang w:val="es-ES" w:eastAsia="es-MX"/>
        </w:rPr>
      </w:pPr>
    </w:p>
    <w:p w:rsidR="006221C5" w:rsidRPr="009235AB" w:rsidRDefault="006221C5" w:rsidP="006221C5">
      <w:pPr>
        <w:autoSpaceDE w:val="0"/>
        <w:autoSpaceDN w:val="0"/>
        <w:adjustRightInd w:val="0"/>
        <w:spacing w:before="240" w:line="360" w:lineRule="auto"/>
        <w:ind w:right="49"/>
        <w:contextualSpacing/>
        <w:jc w:val="center"/>
        <w:rPr>
          <w:rFonts w:ascii="Palatino Linotype" w:eastAsia="Times New Roman" w:hAnsi="Palatino Linotype" w:cs="Arial"/>
          <w:color w:val="222222"/>
          <w:sz w:val="24"/>
          <w:szCs w:val="24"/>
          <w:lang w:val="es-ES" w:eastAsia="es-MX"/>
        </w:rPr>
      </w:pPr>
      <w:r>
        <w:rPr>
          <w:noProof/>
          <w:lang w:eastAsia="es-MX"/>
        </w:rPr>
        <w:lastRenderedPageBreak/>
        <w:drawing>
          <wp:inline distT="0" distB="0" distL="0" distR="0" wp14:anchorId="56A6A3DA" wp14:editId="51E8D6B5">
            <wp:extent cx="5705666" cy="5132717"/>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130" t="13045" r="29320" b="5760"/>
                    <a:stretch/>
                  </pic:blipFill>
                  <pic:spPr bwMode="auto">
                    <a:xfrm>
                      <a:off x="0" y="0"/>
                      <a:ext cx="5731997" cy="5156404"/>
                    </a:xfrm>
                    <a:prstGeom prst="rect">
                      <a:avLst/>
                    </a:prstGeom>
                    <a:ln>
                      <a:noFill/>
                    </a:ln>
                    <a:extLst>
                      <a:ext uri="{53640926-AAD7-44D8-BBD7-CCE9431645EC}">
                        <a14:shadowObscured xmlns:a14="http://schemas.microsoft.com/office/drawing/2010/main"/>
                      </a:ext>
                    </a:extLst>
                  </pic:spPr>
                </pic:pic>
              </a:graphicData>
            </a:graphic>
          </wp:inline>
        </w:drawing>
      </w:r>
    </w:p>
    <w:p w:rsidR="006221C5" w:rsidRPr="00FE055C" w:rsidRDefault="006221C5" w:rsidP="006221C5">
      <w:pPr>
        <w:autoSpaceDE w:val="0"/>
        <w:autoSpaceDN w:val="0"/>
        <w:adjustRightInd w:val="0"/>
        <w:spacing w:before="240" w:line="360" w:lineRule="auto"/>
        <w:ind w:right="49"/>
        <w:contextualSpacing/>
        <w:jc w:val="both"/>
        <w:rPr>
          <w:rFonts w:ascii="Palatino Linotype" w:hAnsi="Palatino Linotype" w:cs="Arial"/>
          <w:sz w:val="24"/>
          <w:szCs w:val="24"/>
        </w:rPr>
      </w:pPr>
      <w:r w:rsidRPr="00FE055C">
        <w:rPr>
          <w:rFonts w:ascii="Palatino Linotype" w:eastAsia="Times New Roman" w:hAnsi="Palatino Linotype" w:cs="Arial"/>
          <w:noProof/>
          <w:color w:val="222222"/>
          <w:sz w:val="24"/>
          <w:szCs w:val="24"/>
          <w:lang w:eastAsia="es-MX"/>
        </w:rPr>
        <mc:AlternateContent>
          <mc:Choice Requires="wps">
            <w:drawing>
              <wp:anchor distT="0" distB="0" distL="114300" distR="114300" simplePos="0" relativeHeight="251669504" behindDoc="0" locked="0" layoutInCell="1" allowOverlap="1" wp14:anchorId="6C81C8E6" wp14:editId="4A051604">
                <wp:simplePos x="0" y="0"/>
                <wp:positionH relativeFrom="column">
                  <wp:posOffset>65834</wp:posOffset>
                </wp:positionH>
                <wp:positionV relativeFrom="paragraph">
                  <wp:posOffset>4579026</wp:posOffset>
                </wp:positionV>
                <wp:extent cx="5628904" cy="1852551"/>
                <wp:effectExtent l="19050" t="19050" r="10160" b="14605"/>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8904" cy="1852551"/>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1C0022" id="Rectángulo 6" o:spid="_x0000_s1026" style="position:absolute;margin-left:5.2pt;margin-top:360.55pt;width:443.2pt;height:14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" filled="f" strokecolor="red" strokeweight="3pt">
                <v:path arrowok="t"/>
              </v:rect>
            </w:pict>
          </mc:Fallback>
        </mc:AlternateContent>
      </w:r>
      <w:r w:rsidRPr="00FE055C">
        <w:rPr>
          <w:rFonts w:ascii="Palatino Linotype" w:hAnsi="Palatino Linotype" w:cs="Arial"/>
          <w:sz w:val="24"/>
          <w:szCs w:val="24"/>
        </w:rPr>
        <w:t xml:space="preserve">De lo anteriormente expuesto, este Instituto advierte que en la nómina general y en las lista de raya o recibos de pagos de salarios es donde se registran las remuneraciones otorgadas a los servidores públicos, las cuales de acuerdo con los artículos 127 de la </w:t>
      </w:r>
      <w:r w:rsidRPr="00FE055C">
        <w:rPr>
          <w:rFonts w:ascii="Palatino Linotype" w:hAnsi="Palatino Linotype" w:cs="Arial"/>
          <w:b/>
          <w:sz w:val="24"/>
          <w:szCs w:val="24"/>
        </w:rPr>
        <w:t>Constitución Política de los Estados Unidos Mexicanos</w:t>
      </w:r>
      <w:r w:rsidRPr="00FE055C">
        <w:rPr>
          <w:rFonts w:ascii="Palatino Linotype" w:hAnsi="Palatino Linotype" w:cs="Arial"/>
          <w:sz w:val="24"/>
          <w:szCs w:val="24"/>
        </w:rPr>
        <w:t xml:space="preserve"> y 3, fracción XXXII del </w:t>
      </w:r>
      <w:r w:rsidRPr="00FE055C">
        <w:rPr>
          <w:rFonts w:ascii="Palatino Linotype" w:hAnsi="Palatino Linotype" w:cs="Arial"/>
          <w:b/>
          <w:sz w:val="24"/>
          <w:szCs w:val="24"/>
        </w:rPr>
        <w:t>Código Financiero del Estado de México y Municipios</w:t>
      </w:r>
      <w:r w:rsidRPr="00FE055C">
        <w:rPr>
          <w:rFonts w:ascii="Palatino Linotype" w:hAnsi="Palatino Linotype" w:cs="Arial"/>
          <w:sz w:val="24"/>
          <w:szCs w:val="24"/>
        </w:rPr>
        <w:t xml:space="preserve">, constituyen toda percepción o pagos por concepto de sueldo, compensaciones, gratificaciones, habitación, primas, comisiones, prestaciones en especie, premios, </w:t>
      </w:r>
      <w:r w:rsidRPr="00FE055C">
        <w:rPr>
          <w:rFonts w:ascii="Palatino Linotype" w:hAnsi="Palatino Linotype" w:cs="Arial"/>
          <w:sz w:val="24"/>
          <w:szCs w:val="24"/>
        </w:rPr>
        <w:lastRenderedPageBreak/>
        <w:t>recompensas, bonos, estímulos, dietas, aguinaldos, comisiones y cualquier otra prestación que se entregue a los servidores públicos por su trabajo.</w:t>
      </w:r>
    </w:p>
    <w:p w:rsidR="006221C5" w:rsidRPr="00FE055C" w:rsidRDefault="006221C5" w:rsidP="006221C5">
      <w:pPr>
        <w:pStyle w:val="Prrafodelista"/>
        <w:spacing w:before="240" w:after="160" w:line="360" w:lineRule="auto"/>
        <w:ind w:left="0"/>
        <w:jc w:val="both"/>
        <w:rPr>
          <w:rFonts w:ascii="Palatino Linotype" w:hAnsi="Palatino Linotype" w:cs="Arial"/>
        </w:rPr>
      </w:pPr>
      <w:r w:rsidRPr="00FE055C">
        <w:rPr>
          <w:rFonts w:ascii="Palatino Linotype" w:hAnsi="Palatino Linotype" w:cs="Arial"/>
        </w:rPr>
        <w:t xml:space="preserve">Bajo dichas consideraciones, se reitera que la nómina correspondiente deberá contener el desglose de las percepciones y deducciones de los servidores públicos, en los cuales se incluya, según sea el caso los conceptos que integran dichos rubros, siendo el formato de nómina que se remite mensualmente al OSFEM el que de acuerdo a su Instructivo de llenado en el punto 19 y 20 establecen: </w:t>
      </w:r>
    </w:p>
    <w:p w:rsidR="006221C5" w:rsidRPr="009235AB" w:rsidRDefault="006221C5" w:rsidP="006221C5">
      <w:pPr>
        <w:spacing w:before="240" w:line="360" w:lineRule="auto"/>
        <w:ind w:left="851" w:right="992"/>
        <w:jc w:val="both"/>
        <w:rPr>
          <w:rFonts w:ascii="Palatino Linotype" w:hAnsi="Palatino Linotype"/>
          <w:i/>
          <w:sz w:val="24"/>
          <w:szCs w:val="24"/>
        </w:rPr>
      </w:pPr>
      <w:r w:rsidRPr="009235AB">
        <w:rPr>
          <w:rFonts w:ascii="Palatino Linotype" w:hAnsi="Palatino Linotype"/>
          <w:i/>
          <w:sz w:val="24"/>
          <w:szCs w:val="24"/>
        </w:rPr>
        <w:t xml:space="preserve">19. Percepciones: Se anotarán las percepciones que se le hacen llegar al empleado solamente. </w:t>
      </w:r>
    </w:p>
    <w:p w:rsidR="006221C5" w:rsidRPr="009235AB" w:rsidRDefault="006221C5" w:rsidP="006221C5">
      <w:pPr>
        <w:spacing w:before="240" w:line="360" w:lineRule="auto"/>
        <w:ind w:left="851" w:right="992"/>
        <w:jc w:val="both"/>
        <w:rPr>
          <w:rFonts w:ascii="Palatino Linotype" w:hAnsi="Palatino Linotype" w:cs="Arial"/>
          <w:i/>
          <w:sz w:val="24"/>
          <w:szCs w:val="24"/>
        </w:rPr>
      </w:pPr>
      <w:r w:rsidRPr="009235AB">
        <w:rPr>
          <w:rFonts w:ascii="Palatino Linotype" w:hAnsi="Palatino Linotype"/>
          <w:i/>
          <w:sz w:val="24"/>
          <w:szCs w:val="24"/>
        </w:rPr>
        <w:t>20. Deducciones: Se anotarán las deducciones correspondientes al empleado solamente.</w:t>
      </w:r>
    </w:p>
    <w:p w:rsidR="006221C5" w:rsidRPr="009235AB" w:rsidRDefault="006221C5" w:rsidP="006221C5">
      <w:pPr>
        <w:pStyle w:val="Prrafodelista"/>
        <w:spacing w:before="240" w:after="160" w:line="360" w:lineRule="auto"/>
        <w:ind w:left="0"/>
        <w:jc w:val="both"/>
        <w:rPr>
          <w:rFonts w:ascii="Palatino Linotype" w:hAnsi="Palatino Linotype" w:cs="Arial"/>
        </w:rPr>
      </w:pPr>
      <w:r w:rsidRPr="009235AB">
        <w:rPr>
          <w:rFonts w:ascii="Palatino Linotype" w:hAnsi="Palatino Linotype" w:cs="Arial"/>
        </w:rPr>
        <w:t xml:space="preserve">Por lo anterior, se advierte que existe la atribución del </w:t>
      </w:r>
      <w:r w:rsidRPr="009235AB">
        <w:rPr>
          <w:rFonts w:ascii="Palatino Linotype" w:hAnsi="Palatino Linotype" w:cs="Arial"/>
          <w:b/>
        </w:rPr>
        <w:t>SUJETO OBLIGADO</w:t>
      </w:r>
      <w:r w:rsidRPr="009235AB">
        <w:rPr>
          <w:rFonts w:ascii="Palatino Linotype" w:hAnsi="Palatino Linotype" w:cs="Arial"/>
        </w:rPr>
        <w:t xml:space="preserve"> de generar y entregar los formatos contenidos en los diferentes discos que integran los informes mensuales al OSFEM, incluso se deben de entregar conforme al calendario establecido para tal efecto para estar en cumplimiento con sus obligaciones de fiscalización, formatos en los cuales se incluye la información relativa al pago de las remuneraciones de todo el personal que lo integra y conforme a un periodo determinado en el que se desglosen tanto sus percepciones como deducciones; en consecuencia la información solicitada sí obra en sus archivos.</w:t>
      </w:r>
    </w:p>
    <w:p w:rsidR="006221C5" w:rsidRPr="009235AB" w:rsidRDefault="006221C5" w:rsidP="006221C5">
      <w:pPr>
        <w:pStyle w:val="Prrafodelista"/>
        <w:spacing w:before="240" w:after="160" w:line="360" w:lineRule="auto"/>
        <w:ind w:left="0"/>
        <w:jc w:val="both"/>
        <w:rPr>
          <w:rFonts w:ascii="Palatino Linotype" w:hAnsi="Palatino Linotype" w:cs="Arial"/>
        </w:rPr>
      </w:pPr>
      <w:r w:rsidRPr="009235AB">
        <w:rPr>
          <w:rFonts w:ascii="Palatino Linotype" w:hAnsi="Palatino Linotype" w:cs="Arial"/>
        </w:rPr>
        <w:t xml:space="preserve">Ahora bien, el artículo 70 de la </w:t>
      </w:r>
      <w:r w:rsidRPr="009235AB">
        <w:rPr>
          <w:rFonts w:ascii="Palatino Linotype" w:hAnsi="Palatino Linotype" w:cs="Arial"/>
          <w:b/>
        </w:rPr>
        <w:t>Ley General de Transparencia y Acceso a la Información Pública</w:t>
      </w:r>
      <w:r w:rsidRPr="009235AB">
        <w:rPr>
          <w:rFonts w:ascii="Palatino Linotype" w:hAnsi="Palatino Linotype" w:cs="Arial"/>
        </w:rPr>
        <w:t xml:space="preserve"> dispone lo siguiente:</w:t>
      </w:r>
    </w:p>
    <w:p w:rsidR="006221C5" w:rsidRPr="009235AB" w:rsidRDefault="006221C5" w:rsidP="006221C5">
      <w:pPr>
        <w:pStyle w:val="Prrafodelista"/>
        <w:spacing w:before="240" w:after="160" w:line="360" w:lineRule="auto"/>
        <w:ind w:left="851"/>
        <w:jc w:val="both"/>
        <w:rPr>
          <w:rFonts w:ascii="Palatino Linotype" w:hAnsi="Palatino Linotype" w:cs="Arial"/>
        </w:rPr>
      </w:pPr>
    </w:p>
    <w:p w:rsidR="006221C5" w:rsidRPr="009235AB" w:rsidRDefault="006221C5" w:rsidP="006221C5">
      <w:pPr>
        <w:pStyle w:val="Texto"/>
        <w:spacing w:before="240" w:after="160" w:line="360" w:lineRule="auto"/>
        <w:ind w:left="851" w:right="992" w:firstLine="0"/>
        <w:rPr>
          <w:rFonts w:ascii="Palatino Linotype" w:hAnsi="Palatino Linotype"/>
          <w:i/>
          <w:sz w:val="24"/>
          <w:szCs w:val="24"/>
        </w:rPr>
      </w:pPr>
      <w:r w:rsidRPr="009235AB">
        <w:rPr>
          <w:rFonts w:ascii="Palatino Linotype" w:hAnsi="Palatino Linotype"/>
          <w:i/>
          <w:sz w:val="24"/>
          <w:szCs w:val="24"/>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rsidR="006221C5" w:rsidRPr="009235AB" w:rsidRDefault="006221C5" w:rsidP="006221C5">
      <w:pPr>
        <w:pStyle w:val="Texto"/>
        <w:spacing w:before="240" w:after="160" w:line="360" w:lineRule="auto"/>
        <w:ind w:left="851" w:right="992" w:firstLine="0"/>
        <w:rPr>
          <w:rFonts w:ascii="Palatino Linotype" w:hAnsi="Palatino Linotype"/>
          <w:i/>
          <w:sz w:val="24"/>
          <w:szCs w:val="24"/>
        </w:rPr>
      </w:pPr>
      <w:r w:rsidRPr="009235AB">
        <w:rPr>
          <w:rFonts w:ascii="Palatino Linotype" w:hAnsi="Palatino Linotype"/>
          <w:i/>
          <w:sz w:val="24"/>
          <w:szCs w:val="24"/>
        </w:rPr>
        <w:t>…</w:t>
      </w:r>
    </w:p>
    <w:p w:rsidR="006221C5" w:rsidRPr="009235AB" w:rsidRDefault="006221C5" w:rsidP="006221C5">
      <w:pPr>
        <w:pStyle w:val="Texto"/>
        <w:spacing w:before="240" w:after="160" w:line="360" w:lineRule="auto"/>
        <w:ind w:left="851" w:right="992" w:firstLine="0"/>
        <w:rPr>
          <w:rFonts w:ascii="Palatino Linotype" w:hAnsi="Palatino Linotype"/>
          <w:b/>
          <w:i/>
          <w:sz w:val="24"/>
          <w:szCs w:val="24"/>
        </w:rPr>
      </w:pPr>
      <w:r w:rsidRPr="009235AB">
        <w:rPr>
          <w:rFonts w:ascii="Palatino Linotype" w:hAnsi="Palatino Linotype"/>
          <w:b/>
          <w:i/>
          <w:sz w:val="24"/>
          <w:szCs w:val="24"/>
        </w:rPr>
        <w:t>VIII.</w:t>
      </w:r>
      <w:r w:rsidRPr="009235AB">
        <w:rPr>
          <w:rFonts w:ascii="Palatino Linotype" w:hAnsi="Palatino Linotype"/>
          <w:b/>
          <w:i/>
          <w:sz w:val="24"/>
          <w:szCs w:val="24"/>
        </w:rPr>
        <w:tab/>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6221C5" w:rsidRDefault="006221C5" w:rsidP="006221C5">
      <w:pPr>
        <w:pStyle w:val="Prrafodelista"/>
        <w:spacing w:before="240" w:after="160" w:line="360" w:lineRule="auto"/>
        <w:ind w:left="0"/>
        <w:jc w:val="both"/>
        <w:rPr>
          <w:rFonts w:ascii="Palatino Linotype" w:hAnsi="Palatino Linotype" w:cs="Arial"/>
        </w:rPr>
      </w:pPr>
      <w:r w:rsidRPr="009235AB">
        <w:rPr>
          <w:rFonts w:ascii="Palatino Linotype" w:hAnsi="Palatino Linotype" w:cs="Arial"/>
        </w:rPr>
        <w:t xml:space="preserve">Robustece lo anterior, el artículo </w:t>
      </w:r>
      <w:r>
        <w:rPr>
          <w:rFonts w:ascii="Palatino Linotype" w:hAnsi="Palatino Linotype" w:cs="Arial"/>
        </w:rPr>
        <w:t>92</w:t>
      </w:r>
      <w:r w:rsidRPr="009235AB">
        <w:rPr>
          <w:rFonts w:ascii="Palatino Linotype" w:hAnsi="Palatino Linotype" w:cs="Arial"/>
        </w:rPr>
        <w:t xml:space="preserve">, fracción </w:t>
      </w:r>
      <w:r>
        <w:rPr>
          <w:rFonts w:ascii="Palatino Linotype" w:hAnsi="Palatino Linotype" w:cs="Arial"/>
        </w:rPr>
        <w:t>VI</w:t>
      </w:r>
      <w:r w:rsidRPr="009235AB">
        <w:rPr>
          <w:rFonts w:ascii="Palatino Linotype" w:hAnsi="Palatino Linotype" w:cs="Arial"/>
        </w:rPr>
        <w:t xml:space="preserve">II de la </w:t>
      </w:r>
      <w:r w:rsidRPr="009235AB">
        <w:rPr>
          <w:rFonts w:ascii="Palatino Linotype" w:hAnsi="Palatino Linotype" w:cs="Arial"/>
          <w:b/>
        </w:rPr>
        <w:t>Ley de Transparencia y Acceso a la Información Pública del Estado de México y Municipios</w:t>
      </w:r>
      <w:r w:rsidRPr="009235AB">
        <w:rPr>
          <w:rFonts w:ascii="Palatino Linotype" w:hAnsi="Palatino Linotype" w:cs="Arial"/>
        </w:rPr>
        <w:t>, señala:</w:t>
      </w:r>
    </w:p>
    <w:p w:rsidR="006221C5" w:rsidRDefault="006221C5" w:rsidP="006221C5">
      <w:pPr>
        <w:spacing w:before="240" w:line="360" w:lineRule="auto"/>
        <w:ind w:left="851" w:right="992"/>
        <w:jc w:val="both"/>
        <w:rPr>
          <w:rFonts w:ascii="Palatino Linotype" w:hAnsi="Palatino Linotype"/>
          <w:i/>
          <w:sz w:val="24"/>
          <w:szCs w:val="24"/>
        </w:rPr>
      </w:pPr>
      <w:r>
        <w:rPr>
          <w:rFonts w:ascii="Palatino Linotype" w:hAnsi="Palatino Linotype"/>
          <w:i/>
          <w:sz w:val="24"/>
          <w:szCs w:val="24"/>
        </w:rPr>
        <w:t>“</w:t>
      </w:r>
      <w:r w:rsidRPr="00CE3289">
        <w:rPr>
          <w:rFonts w:ascii="Palatino Linotype" w:hAnsi="Palatino Linotype"/>
          <w:i/>
          <w:sz w:val="24"/>
          <w:szCs w:val="24"/>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6221C5" w:rsidRPr="009235AB" w:rsidRDefault="006221C5" w:rsidP="006221C5">
      <w:pPr>
        <w:spacing w:before="240" w:line="360" w:lineRule="auto"/>
        <w:ind w:left="851" w:right="992"/>
        <w:jc w:val="both"/>
        <w:rPr>
          <w:rFonts w:ascii="Palatino Linotype" w:hAnsi="Palatino Linotype"/>
          <w:i/>
          <w:sz w:val="24"/>
          <w:szCs w:val="24"/>
        </w:rPr>
      </w:pPr>
      <w:r w:rsidRPr="009235AB">
        <w:rPr>
          <w:rFonts w:ascii="Palatino Linotype" w:hAnsi="Palatino Linotype"/>
          <w:i/>
          <w:sz w:val="24"/>
          <w:szCs w:val="24"/>
        </w:rPr>
        <w:lastRenderedPageBreak/>
        <w:t>(…)</w:t>
      </w:r>
    </w:p>
    <w:p w:rsidR="006221C5" w:rsidRPr="00CE3289" w:rsidRDefault="006221C5" w:rsidP="006221C5">
      <w:pPr>
        <w:spacing w:before="240" w:line="360" w:lineRule="auto"/>
        <w:ind w:left="851" w:right="992"/>
        <w:jc w:val="both"/>
        <w:rPr>
          <w:rFonts w:ascii="Palatino Linotype" w:hAnsi="Palatino Linotype"/>
          <w:i/>
          <w:sz w:val="24"/>
          <w:szCs w:val="24"/>
        </w:rPr>
      </w:pPr>
      <w:r w:rsidRPr="00CE3289">
        <w:rPr>
          <w:rFonts w:ascii="Palatino Linotype" w:hAnsi="Palatino Linotype"/>
          <w:i/>
          <w:sz w:val="24"/>
          <w:szCs w:val="24"/>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Pr>
          <w:rFonts w:ascii="Palatino Linotype" w:hAnsi="Palatino Linotype"/>
          <w:i/>
          <w:sz w:val="24"/>
          <w:szCs w:val="24"/>
        </w:rPr>
        <w:t>”</w:t>
      </w:r>
    </w:p>
    <w:p w:rsidR="006221C5" w:rsidRDefault="006221C5" w:rsidP="006221C5">
      <w:pPr>
        <w:spacing w:before="240" w:line="360" w:lineRule="auto"/>
        <w:jc w:val="both"/>
        <w:rPr>
          <w:rFonts w:ascii="Palatino Linotype" w:hAnsi="Palatino Linotype" w:cs="Arial"/>
          <w:sz w:val="24"/>
          <w:szCs w:val="24"/>
        </w:rPr>
      </w:pPr>
      <w:r w:rsidRPr="009235AB">
        <w:rPr>
          <w:rFonts w:ascii="Palatino Linotype" w:hAnsi="Palatino Linotype" w:cs="Arial"/>
          <w:sz w:val="24"/>
          <w:szCs w:val="24"/>
        </w:rPr>
        <w:t xml:space="preserve">En este sentido, la Ley de Transparencia y Acceso a la Información Pública del Estado de México y Municipios refiere que los </w:t>
      </w:r>
      <w:r w:rsidRPr="009235AB">
        <w:rPr>
          <w:rFonts w:ascii="Palatino Linotype" w:hAnsi="Palatino Linotype" w:cs="Arial"/>
          <w:sz w:val="24"/>
          <w:szCs w:val="24"/>
          <w:lang w:eastAsia="es-MX"/>
        </w:rPr>
        <w:t xml:space="preserve">Sujetos Obligados deberán tener disponible en medio impreso o electrónico, de manera permanente y actualizada, de forma sencilla, precisa y entendible para los particulares, </w:t>
      </w:r>
      <w:r w:rsidRPr="009235AB">
        <w:rPr>
          <w:rFonts w:ascii="Palatino Linotype" w:hAnsi="Palatino Linotype" w:cs="Arial"/>
          <w:b/>
          <w:sz w:val="24"/>
          <w:szCs w:val="24"/>
          <w:u w:val="single"/>
        </w:rPr>
        <w:t>las remuneraciones</w:t>
      </w:r>
      <w:r w:rsidRPr="009235AB">
        <w:rPr>
          <w:rFonts w:ascii="Palatino Linotype" w:hAnsi="Palatino Linotype" w:cs="Arial"/>
          <w:sz w:val="24"/>
          <w:szCs w:val="24"/>
        </w:rPr>
        <w:t xml:space="preserve"> que perciban los servidores públicos de acuerdo con lo establecido en el </w:t>
      </w:r>
      <w:r w:rsidRPr="009235AB">
        <w:rPr>
          <w:rFonts w:ascii="Palatino Linotype" w:hAnsi="Palatino Linotype" w:cs="Arial"/>
          <w:b/>
          <w:sz w:val="24"/>
          <w:szCs w:val="24"/>
        </w:rPr>
        <w:t>Código Financiero del Estado de México y Municipios</w:t>
      </w:r>
      <w:r w:rsidRPr="009235AB">
        <w:rPr>
          <w:rFonts w:ascii="Palatino Linotype" w:hAnsi="Palatino Linotype" w:cs="Arial"/>
          <w:sz w:val="24"/>
          <w:szCs w:val="24"/>
        </w:rPr>
        <w:t xml:space="preserve">. </w:t>
      </w:r>
    </w:p>
    <w:p w:rsidR="006221C5" w:rsidRDefault="006221C5" w:rsidP="006221C5">
      <w:pPr>
        <w:pStyle w:val="Prrafodelista"/>
        <w:spacing w:before="240" w:after="160" w:line="360" w:lineRule="auto"/>
        <w:ind w:left="0"/>
        <w:jc w:val="both"/>
        <w:rPr>
          <w:rFonts w:ascii="Palatino Linotype" w:eastAsia="Arial Unicode MS" w:hAnsi="Palatino Linotype" w:cs="Arial"/>
        </w:rPr>
      </w:pPr>
      <w:r w:rsidRPr="007C38D9">
        <w:rPr>
          <w:rFonts w:ascii="Palatino Linotype" w:hAnsi="Palatino Linotype" w:cs="Arial"/>
        </w:rPr>
        <w:t xml:space="preserve">De lo anterior expuesto se deduce que dicha información </w:t>
      </w:r>
      <w:r w:rsidRPr="007C38D9">
        <w:rPr>
          <w:rFonts w:ascii="Palatino Linotype" w:hAnsi="Palatino Linotype" w:cs="Arial"/>
          <w:b/>
          <w:u w:val="single"/>
        </w:rPr>
        <w:t>ya se encuentra digitalizada</w:t>
      </w:r>
      <w:r w:rsidRPr="007C38D9">
        <w:rPr>
          <w:rFonts w:ascii="Palatino Linotype" w:hAnsi="Palatino Linotype" w:cs="Arial"/>
        </w:rPr>
        <w:t xml:space="preserve">, por el </w:t>
      </w:r>
      <w:r w:rsidRPr="007C38D9">
        <w:rPr>
          <w:rFonts w:ascii="Palatino Linotype" w:hAnsi="Palatino Linotype" w:cs="Arial"/>
          <w:b/>
        </w:rPr>
        <w:t xml:space="preserve">SUJETO OBLIGADO, </w:t>
      </w:r>
      <w:r w:rsidRPr="007C38D9">
        <w:rPr>
          <w:rFonts w:ascii="Palatino Linotype" w:hAnsi="Palatino Linotype" w:cs="Arial"/>
        </w:rPr>
        <w:t xml:space="preserve">por lo que es dable ordenar </w:t>
      </w:r>
      <w:r>
        <w:rPr>
          <w:rFonts w:ascii="Palatino Linotype" w:hAnsi="Palatino Linotype" w:cs="Arial"/>
        </w:rPr>
        <w:t>m</w:t>
      </w:r>
      <w:r w:rsidRPr="007C38D9">
        <w:rPr>
          <w:rFonts w:ascii="Palatino Linotype" w:hAnsi="Palatino Linotype" w:cs="Arial"/>
        </w:rPr>
        <w:t xml:space="preserve">ediante la modalidad solicitada, es decir, vía </w:t>
      </w:r>
      <w:r w:rsidRPr="00191378">
        <w:rPr>
          <w:rFonts w:ascii="Palatino Linotype" w:hAnsi="Palatino Linotype" w:cs="Arial"/>
        </w:rPr>
        <w:t>SAIMEX, conforme a las razones antes expuestas en la presente resolución, la nómina de los servidores públicos del municipio por la temporalidad expuesta en líneas anteriores, por</w:t>
      </w:r>
      <w:r>
        <w:rPr>
          <w:rFonts w:ascii="Palatino Linotype" w:hAnsi="Palatino Linotype" w:cs="Arial"/>
        </w:rPr>
        <w:t xml:space="preserve"> ende</w:t>
      </w:r>
      <w:r w:rsidRPr="003E3F84">
        <w:rPr>
          <w:rFonts w:ascii="Palatino Linotype" w:hAnsi="Palatino Linotype" w:cs="Arial"/>
        </w:rPr>
        <w:t xml:space="preserve">, se ordena al Sujeto Obligado la entrega en </w:t>
      </w:r>
      <w:r w:rsidRPr="00E3665F">
        <w:rPr>
          <w:rFonts w:ascii="Palatino Linotype" w:hAnsi="Palatino Linotype" w:cs="Arial"/>
          <w:b/>
        </w:rPr>
        <w:t>versión pública</w:t>
      </w:r>
      <w:r w:rsidRPr="003E3F84">
        <w:rPr>
          <w:rFonts w:ascii="Palatino Linotype" w:hAnsi="Palatino Linotype" w:cs="Arial"/>
        </w:rPr>
        <w:t xml:space="preserve"> </w:t>
      </w:r>
      <w:r>
        <w:rPr>
          <w:rFonts w:ascii="Palatino Linotype" w:hAnsi="Palatino Linotype" w:cs="Arial"/>
        </w:rPr>
        <w:t xml:space="preserve">(de la cual se hará el estudio más adelante), </w:t>
      </w:r>
      <w:r w:rsidRPr="003E3F84">
        <w:rPr>
          <w:rFonts w:ascii="Palatino Linotype" w:hAnsi="Palatino Linotype" w:cs="Arial"/>
        </w:rPr>
        <w:t>de la</w:t>
      </w:r>
      <w:r>
        <w:rPr>
          <w:rFonts w:ascii="Palatino Linotype" w:hAnsi="Palatino Linotype" w:cs="Arial"/>
        </w:rPr>
        <w:t>s</w:t>
      </w:r>
      <w:r w:rsidRPr="003E3F84">
        <w:rPr>
          <w:rFonts w:ascii="Palatino Linotype" w:hAnsi="Palatino Linotype" w:cs="Arial"/>
        </w:rPr>
        <w:t xml:space="preserve"> nómina</w:t>
      </w:r>
      <w:r>
        <w:rPr>
          <w:rFonts w:ascii="Palatino Linotype" w:hAnsi="Palatino Linotype" w:cs="Arial"/>
        </w:rPr>
        <w:t>s</w:t>
      </w:r>
      <w:r w:rsidRPr="003E3F84">
        <w:rPr>
          <w:rFonts w:ascii="Palatino Linotype" w:hAnsi="Palatino Linotype" w:cs="Arial"/>
        </w:rPr>
        <w:t xml:space="preserve"> </w:t>
      </w:r>
      <w:r>
        <w:rPr>
          <w:rFonts w:ascii="Palatino Linotype" w:hAnsi="Palatino Linotype" w:cs="Arial"/>
        </w:rPr>
        <w:t>antes referidas.</w:t>
      </w:r>
    </w:p>
    <w:p w:rsidR="006221C5" w:rsidRPr="00FE055C" w:rsidRDefault="006221C5" w:rsidP="006221C5">
      <w:pPr>
        <w:spacing w:before="240" w:line="360" w:lineRule="auto"/>
        <w:jc w:val="both"/>
        <w:rPr>
          <w:rFonts w:ascii="Palatino Linotype" w:hAnsi="Palatino Linotype" w:cs="Arial"/>
          <w:sz w:val="24"/>
          <w:szCs w:val="24"/>
          <w:lang w:eastAsia="es-MX"/>
        </w:rPr>
      </w:pPr>
      <w:r>
        <w:rPr>
          <w:rFonts w:ascii="Palatino Linotype" w:hAnsi="Palatino Linotype" w:cs="Arial"/>
          <w:color w:val="000000" w:themeColor="text1"/>
          <w:sz w:val="24"/>
          <w:szCs w:val="24"/>
        </w:rPr>
        <w:t>Por último por cuanto hace al punto 7 (siete): “</w:t>
      </w:r>
      <w:r w:rsidRPr="00FE055C">
        <w:rPr>
          <w:rFonts w:ascii="Palatino Linotype" w:hAnsi="Palatino Linotype" w:cs="Arial"/>
          <w:i/>
          <w:color w:val="000000" w:themeColor="text1"/>
          <w:sz w:val="24"/>
          <w:szCs w:val="24"/>
        </w:rPr>
        <w:t xml:space="preserve">Perfiles de puestos correspondientes de los servidores públicos adscritos a la Contraloría Interna Municipal, y en caso de existir la información, indicar si los mismos tuvieron modificaciones derivado de la entrada en vigor de </w:t>
      </w:r>
      <w:r w:rsidRPr="00FE055C">
        <w:rPr>
          <w:rFonts w:ascii="Palatino Linotype" w:hAnsi="Palatino Linotype" w:cs="Arial"/>
          <w:i/>
          <w:color w:val="000000" w:themeColor="text1"/>
          <w:sz w:val="24"/>
          <w:szCs w:val="24"/>
        </w:rPr>
        <w:lastRenderedPageBreak/>
        <w:t>la Ley de Responsabilidades Administrativas del Estado de México</w:t>
      </w:r>
      <w:r w:rsidRPr="009A50EA">
        <w:rPr>
          <w:rFonts w:ascii="Palatino Linotype" w:hAnsi="Palatino Linotype" w:cs="Arial"/>
          <w:color w:val="000000" w:themeColor="text1"/>
          <w:sz w:val="24"/>
          <w:szCs w:val="24"/>
        </w:rPr>
        <w:t>.</w:t>
      </w:r>
      <w:r>
        <w:rPr>
          <w:rFonts w:ascii="Palatino Linotype" w:hAnsi="Palatino Linotype" w:cs="Arial"/>
          <w:color w:val="000000" w:themeColor="text1"/>
          <w:sz w:val="24"/>
          <w:szCs w:val="24"/>
        </w:rPr>
        <w:t xml:space="preserve">”, </w:t>
      </w:r>
      <w:r w:rsidRPr="00FE055C">
        <w:rPr>
          <w:rFonts w:ascii="Palatino Linotype" w:hAnsi="Palatino Linotype" w:cs="Arial"/>
          <w:color w:val="000000" w:themeColor="text1"/>
          <w:sz w:val="24"/>
          <w:szCs w:val="24"/>
        </w:rPr>
        <w:t xml:space="preserve">para tal efecto </w:t>
      </w:r>
      <w:r w:rsidRPr="00FE055C">
        <w:rPr>
          <w:rFonts w:ascii="Palatino Linotype" w:hAnsi="Palatino Linotype" w:cs="Arial"/>
          <w:sz w:val="24"/>
          <w:szCs w:val="24"/>
          <w:lang w:eastAsia="es-MX"/>
        </w:rPr>
        <w:t xml:space="preserve">esta Ponencia en el análisis del recurso de revisión de mérito, al entrar al portal de información pública de oficio IPOMEX del </w:t>
      </w:r>
      <w:r w:rsidRPr="00FE055C">
        <w:rPr>
          <w:rFonts w:ascii="Palatino Linotype" w:hAnsi="Palatino Linotype" w:cs="Arial"/>
          <w:b/>
          <w:sz w:val="24"/>
          <w:szCs w:val="24"/>
          <w:lang w:eastAsia="es-MX"/>
        </w:rPr>
        <w:t xml:space="preserve">SUJETO OBLIGADO, </w:t>
      </w:r>
      <w:r w:rsidRPr="00FE055C">
        <w:rPr>
          <w:rFonts w:ascii="Palatino Linotype" w:hAnsi="Palatino Linotype" w:cs="Arial"/>
          <w:sz w:val="24"/>
          <w:szCs w:val="24"/>
          <w:lang w:eastAsia="es-MX"/>
        </w:rPr>
        <w:t>advierte que no existe contenido alguno en la sección de “perfil de los puestos de los servidores públicos”</w:t>
      </w:r>
    </w:p>
    <w:p w:rsidR="006221C5" w:rsidRPr="00FE055C" w:rsidRDefault="006221C5" w:rsidP="006221C5">
      <w:pPr>
        <w:spacing w:before="240" w:line="360" w:lineRule="auto"/>
        <w:jc w:val="both"/>
        <w:rPr>
          <w:rFonts w:ascii="Palatino Linotype" w:hAnsi="Palatino Linotype" w:cs="Arial"/>
          <w:sz w:val="24"/>
          <w:szCs w:val="24"/>
          <w:lang w:eastAsia="es-MX"/>
        </w:rPr>
      </w:pPr>
      <w:r w:rsidRPr="00FE055C">
        <w:rPr>
          <w:rFonts w:ascii="Palatino Linotype" w:hAnsi="Palatino Linotype" w:cs="Arial"/>
          <w:sz w:val="24"/>
          <w:szCs w:val="24"/>
          <w:lang w:eastAsia="es-MX"/>
        </w:rPr>
        <w:t>Es por ello, que nos remitimos a la Ley de Transparencia y Acceso a la Información Pública del Estado de México y Municipios en donde nos señala cuales son las obligaciones de transparencia comunes para los sujetos obligados dentro de su numeral 92 fracción XII.</w:t>
      </w:r>
    </w:p>
    <w:p w:rsidR="006221C5" w:rsidRPr="00F856B6" w:rsidRDefault="006221C5" w:rsidP="006221C5">
      <w:pPr>
        <w:spacing w:before="240" w:line="360" w:lineRule="auto"/>
        <w:ind w:left="709" w:right="757"/>
        <w:jc w:val="center"/>
        <w:rPr>
          <w:rFonts w:ascii="Palatino Linotype" w:hAnsi="Palatino Linotype"/>
          <w:b/>
          <w:i/>
        </w:rPr>
      </w:pPr>
      <w:r>
        <w:rPr>
          <w:rFonts w:ascii="Palatino Linotype" w:hAnsi="Palatino Linotype"/>
          <w:b/>
          <w:i/>
        </w:rPr>
        <w:t>“</w:t>
      </w:r>
      <w:r w:rsidRPr="00F856B6">
        <w:rPr>
          <w:rFonts w:ascii="Palatino Linotype" w:hAnsi="Palatino Linotype"/>
          <w:b/>
          <w:i/>
        </w:rPr>
        <w:t>Capítulo II</w:t>
      </w:r>
    </w:p>
    <w:p w:rsidR="006221C5" w:rsidRPr="00F856B6" w:rsidRDefault="006221C5" w:rsidP="006221C5">
      <w:pPr>
        <w:spacing w:before="240" w:line="360" w:lineRule="auto"/>
        <w:ind w:left="709" w:right="757"/>
        <w:jc w:val="center"/>
        <w:rPr>
          <w:rFonts w:ascii="Palatino Linotype" w:hAnsi="Palatino Linotype"/>
          <w:b/>
          <w:i/>
        </w:rPr>
      </w:pPr>
      <w:r w:rsidRPr="00F856B6">
        <w:rPr>
          <w:rFonts w:ascii="Palatino Linotype" w:hAnsi="Palatino Linotype"/>
          <w:b/>
          <w:i/>
        </w:rPr>
        <w:t>De las Obligaciones de Transparencia Comunes</w:t>
      </w:r>
    </w:p>
    <w:p w:rsidR="006221C5" w:rsidRPr="00F856B6" w:rsidRDefault="006221C5" w:rsidP="006221C5">
      <w:pPr>
        <w:spacing w:before="240" w:line="360" w:lineRule="auto"/>
        <w:ind w:left="709" w:right="757"/>
        <w:jc w:val="both"/>
        <w:rPr>
          <w:rFonts w:ascii="Palatino Linotype" w:hAnsi="Palatino Linotype"/>
          <w:i/>
        </w:rPr>
      </w:pPr>
      <w:r w:rsidRPr="00F856B6">
        <w:rPr>
          <w:rFonts w:ascii="Palatino Linotype" w:hAnsi="Palatino Linotype"/>
          <w:b/>
          <w:i/>
        </w:rPr>
        <w:t>Artículo 92</w:t>
      </w:r>
      <w:r w:rsidRPr="00F856B6">
        <w:rPr>
          <w:rFonts w:ascii="Palatino Linotype" w:hAnsi="Palatino Linotype"/>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6221C5" w:rsidRPr="00F856B6" w:rsidRDefault="006221C5" w:rsidP="006221C5">
      <w:pPr>
        <w:spacing w:before="240" w:line="360" w:lineRule="auto"/>
        <w:ind w:left="709" w:right="757"/>
        <w:jc w:val="both"/>
        <w:rPr>
          <w:rFonts w:ascii="Palatino Linotype" w:hAnsi="Palatino Linotype"/>
          <w:i/>
        </w:rPr>
      </w:pPr>
      <w:r w:rsidRPr="00F856B6">
        <w:rPr>
          <w:rFonts w:ascii="Palatino Linotype" w:hAnsi="Palatino Linotype"/>
          <w:i/>
        </w:rPr>
        <w:t>…</w:t>
      </w:r>
    </w:p>
    <w:p w:rsidR="006221C5" w:rsidRDefault="006221C5" w:rsidP="006221C5">
      <w:pPr>
        <w:spacing w:before="240" w:line="360" w:lineRule="auto"/>
        <w:ind w:left="709" w:right="757"/>
        <w:jc w:val="both"/>
        <w:rPr>
          <w:rFonts w:ascii="Palatino Linotype" w:hAnsi="Palatino Linotype"/>
          <w:i/>
        </w:rPr>
      </w:pPr>
      <w:r w:rsidRPr="00F856B6">
        <w:rPr>
          <w:rFonts w:ascii="Palatino Linotype" w:hAnsi="Palatino Linotype"/>
          <w:i/>
        </w:rPr>
        <w:t>XII. El perfil de los puestos de los servidores públicos a su servicio en los casos que aplique;</w:t>
      </w:r>
      <w:r>
        <w:rPr>
          <w:rFonts w:ascii="Palatino Linotype" w:hAnsi="Palatino Linotype"/>
          <w:i/>
        </w:rPr>
        <w:t>”</w:t>
      </w:r>
    </w:p>
    <w:p w:rsidR="006221C5" w:rsidRPr="00FE055C" w:rsidRDefault="006221C5" w:rsidP="006221C5">
      <w:pPr>
        <w:spacing w:before="240" w:line="360" w:lineRule="auto"/>
        <w:jc w:val="both"/>
        <w:rPr>
          <w:rFonts w:ascii="Palatino Linotype" w:hAnsi="Palatino Linotype" w:cs="Arial"/>
          <w:sz w:val="24"/>
          <w:szCs w:val="24"/>
          <w:lang w:eastAsia="es-MX"/>
        </w:rPr>
      </w:pPr>
      <w:r w:rsidRPr="00FE055C">
        <w:rPr>
          <w:rFonts w:ascii="Palatino Linotype" w:hAnsi="Palatino Linotype" w:cs="Arial"/>
          <w:sz w:val="24"/>
          <w:szCs w:val="24"/>
          <w:lang w:eastAsia="es-MX"/>
        </w:rPr>
        <w:t xml:space="preserve">Es por ello, que a fin de robustecer lo anteriormente expuesto, se pone a la vista la tabla de aplicabilidad bajo la cual se tiene que regir el Ayuntamiento de Coatepec Harinas </w:t>
      </w:r>
      <w:r w:rsidRPr="00FE055C">
        <w:rPr>
          <w:rFonts w:ascii="Palatino Linotype" w:hAnsi="Palatino Linotype" w:cs="Arial"/>
          <w:sz w:val="24"/>
          <w:szCs w:val="24"/>
          <w:lang w:eastAsia="es-MX"/>
        </w:rPr>
        <w:lastRenderedPageBreak/>
        <w:t>como parte del padrón de sujetos obligados, se advierte que el numeral 92 fracción XII de la Ley de la materia es aplicable al caso concreto.</w:t>
      </w:r>
    </w:p>
    <w:p w:rsidR="006221C5" w:rsidRPr="00FE055C" w:rsidRDefault="006221C5" w:rsidP="006221C5">
      <w:pPr>
        <w:spacing w:before="240" w:line="360" w:lineRule="auto"/>
        <w:jc w:val="both"/>
        <w:rPr>
          <w:rFonts w:ascii="Palatino Linotype" w:hAnsi="Palatino Linotype" w:cs="Arial"/>
          <w:sz w:val="24"/>
          <w:szCs w:val="24"/>
          <w:lang w:eastAsia="es-MX"/>
        </w:rPr>
      </w:pPr>
    </w:p>
    <w:p w:rsidR="006221C5" w:rsidRPr="00F856B6" w:rsidRDefault="006221C5" w:rsidP="006221C5">
      <w:pPr>
        <w:spacing w:before="240" w:line="360" w:lineRule="auto"/>
        <w:jc w:val="center"/>
        <w:rPr>
          <w:rFonts w:ascii="Palatino Linotype" w:hAnsi="Palatino Linotype" w:cs="Arial"/>
          <w:lang w:eastAsia="es-MX"/>
        </w:rPr>
      </w:pPr>
      <w:r w:rsidRPr="00F856B6">
        <w:rPr>
          <w:noProof/>
          <w:lang w:eastAsia="es-MX"/>
        </w:rPr>
        <mc:AlternateContent>
          <mc:Choice Requires="wps">
            <w:drawing>
              <wp:anchor distT="0" distB="0" distL="114300" distR="114300" simplePos="0" relativeHeight="251668480" behindDoc="0" locked="0" layoutInCell="1" allowOverlap="1" wp14:anchorId="402A7809" wp14:editId="384BD048">
                <wp:simplePos x="0" y="0"/>
                <wp:positionH relativeFrom="column">
                  <wp:posOffset>3044190</wp:posOffset>
                </wp:positionH>
                <wp:positionV relativeFrom="paragraph">
                  <wp:posOffset>3278505</wp:posOffset>
                </wp:positionV>
                <wp:extent cx="2933700" cy="209550"/>
                <wp:effectExtent l="19050" t="19050" r="19050" b="19050"/>
                <wp:wrapNone/>
                <wp:docPr id="20" name="Rectángulo 20"/>
                <wp:cNvGraphicFramePr/>
                <a:graphic xmlns:a="http://schemas.openxmlformats.org/drawingml/2006/main">
                  <a:graphicData uri="http://schemas.microsoft.com/office/word/2010/wordprocessingShape">
                    <wps:wsp>
                      <wps:cNvSpPr/>
                      <wps:spPr>
                        <a:xfrm>
                          <a:off x="0" y="0"/>
                          <a:ext cx="2933700" cy="209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6385DF" id="Rectángulo 20" o:spid="_x0000_s1026" style="position:absolute;margin-left:239.7pt;margin-top:258.15pt;width:231pt;height:16.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" filled="f" strokecolor="red" strokeweight="3pt"/>
            </w:pict>
          </mc:Fallback>
        </mc:AlternateContent>
      </w:r>
      <w:r>
        <w:rPr>
          <w:noProof/>
          <w:lang w:eastAsia="es-MX"/>
        </w:rPr>
        <w:drawing>
          <wp:inline distT="0" distB="0" distL="0" distR="0" wp14:anchorId="4F8219EB" wp14:editId="4D293C50">
            <wp:extent cx="5915025" cy="37433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15" t="23222" r="32705" b="9759"/>
                    <a:stretch/>
                  </pic:blipFill>
                  <pic:spPr bwMode="auto">
                    <a:xfrm>
                      <a:off x="0" y="0"/>
                      <a:ext cx="5915025" cy="3743325"/>
                    </a:xfrm>
                    <a:prstGeom prst="rect">
                      <a:avLst/>
                    </a:prstGeom>
                    <a:ln>
                      <a:noFill/>
                    </a:ln>
                    <a:extLst>
                      <a:ext uri="{53640926-AAD7-44D8-BBD7-CCE9431645EC}">
                        <a14:shadowObscured xmlns:a14="http://schemas.microsoft.com/office/drawing/2010/main"/>
                      </a:ext>
                    </a:extLst>
                  </pic:spPr>
                </pic:pic>
              </a:graphicData>
            </a:graphic>
          </wp:inline>
        </w:drawing>
      </w:r>
    </w:p>
    <w:p w:rsidR="006221C5" w:rsidRDefault="006221C5" w:rsidP="006221C5">
      <w:pPr>
        <w:pStyle w:val="Prrafodelista"/>
        <w:spacing w:before="240" w:after="160" w:line="360" w:lineRule="auto"/>
        <w:ind w:left="0"/>
        <w:jc w:val="both"/>
        <w:rPr>
          <w:rFonts w:ascii="Palatino Linotype" w:hAnsi="Palatino Linotype" w:cs="Arial"/>
          <w:lang w:eastAsia="es-MX"/>
        </w:rPr>
      </w:pPr>
      <w:r w:rsidRPr="00F856B6">
        <w:rPr>
          <w:rFonts w:ascii="Palatino Linotype" w:hAnsi="Palatino Linotype" w:cs="Arial"/>
          <w:lang w:eastAsia="es-MX"/>
        </w:rPr>
        <w:t xml:space="preserve">Es de lo anterior, que respecto </w:t>
      </w:r>
      <w:r>
        <w:rPr>
          <w:rFonts w:ascii="Palatino Linotype" w:hAnsi="Palatino Linotype" w:cs="Arial"/>
          <w:lang w:eastAsia="es-MX"/>
        </w:rPr>
        <w:t>a los</w:t>
      </w:r>
      <w:r w:rsidRPr="00F856B6">
        <w:rPr>
          <w:rFonts w:ascii="Palatino Linotype" w:hAnsi="Palatino Linotype" w:cs="Arial"/>
          <w:lang w:eastAsia="es-MX"/>
        </w:rPr>
        <w:t xml:space="preserve"> perfil</w:t>
      </w:r>
      <w:r>
        <w:rPr>
          <w:rFonts w:ascii="Palatino Linotype" w:hAnsi="Palatino Linotype" w:cs="Arial"/>
          <w:lang w:eastAsia="es-MX"/>
        </w:rPr>
        <w:t>es</w:t>
      </w:r>
      <w:r w:rsidRPr="00F856B6">
        <w:rPr>
          <w:rFonts w:ascii="Palatino Linotype" w:hAnsi="Palatino Linotype" w:cs="Arial"/>
          <w:lang w:eastAsia="es-MX"/>
        </w:rPr>
        <w:t xml:space="preserve"> de puestos </w:t>
      </w:r>
      <w:r w:rsidRPr="00F468B9">
        <w:rPr>
          <w:rFonts w:ascii="Palatino Linotype" w:hAnsi="Palatino Linotype" w:cs="Arial"/>
          <w:lang w:eastAsia="es-MX"/>
        </w:rPr>
        <w:t>de los servidores públicos adscritos a la Contraloría Interna Municipa</w:t>
      </w:r>
      <w:r>
        <w:rPr>
          <w:rFonts w:ascii="Palatino Linotype" w:hAnsi="Palatino Linotype" w:cs="Arial"/>
          <w:lang w:eastAsia="es-MX"/>
        </w:rPr>
        <w:t>l</w:t>
      </w:r>
      <w:r w:rsidRPr="00F468B9">
        <w:rPr>
          <w:rFonts w:ascii="Palatino Linotype" w:hAnsi="Palatino Linotype" w:cs="Arial"/>
          <w:lang w:eastAsia="es-MX"/>
        </w:rPr>
        <w:t>, se advierte que existe fuente obligacional para que se cuente con ellos, toda vez que se trata de una de la obligaciones de transparencia común que EL SUJETO OBLIGADO debería contar con ello y tener act</w:t>
      </w:r>
      <w:r>
        <w:rPr>
          <w:rFonts w:ascii="Palatino Linotype" w:hAnsi="Palatino Linotype" w:cs="Arial"/>
          <w:lang w:eastAsia="es-MX"/>
        </w:rPr>
        <w:t>ualizado en su portal de IPOMEX, y por ende deberá entregar al recurrente:</w:t>
      </w:r>
    </w:p>
    <w:p w:rsidR="006221C5" w:rsidRPr="00713700" w:rsidRDefault="006221C5" w:rsidP="006221C5">
      <w:pPr>
        <w:pStyle w:val="Prrafodelista"/>
        <w:spacing w:before="240" w:after="160" w:line="360" w:lineRule="auto"/>
        <w:ind w:left="0"/>
        <w:jc w:val="both"/>
        <w:rPr>
          <w:rFonts w:ascii="Palatino Linotype" w:hAnsi="Palatino Linotype" w:cs="Arial"/>
          <w:lang w:eastAsia="es-MX"/>
        </w:rPr>
      </w:pPr>
    </w:p>
    <w:p w:rsidR="00D67CBE" w:rsidRPr="006221C5" w:rsidRDefault="006221C5" w:rsidP="006221C5">
      <w:pPr>
        <w:pStyle w:val="Prrafodelista"/>
        <w:numPr>
          <w:ilvl w:val="0"/>
          <w:numId w:val="34"/>
        </w:numPr>
        <w:tabs>
          <w:tab w:val="left" w:pos="709"/>
        </w:tabs>
        <w:spacing w:before="240" w:after="160" w:line="360" w:lineRule="auto"/>
        <w:ind w:right="51"/>
        <w:contextualSpacing/>
        <w:jc w:val="both"/>
        <w:rPr>
          <w:rFonts w:ascii="Palatino Linotype" w:hAnsi="Palatino Linotype" w:cs="Arial"/>
          <w:i/>
          <w:iCs/>
          <w:sz w:val="22"/>
          <w:szCs w:val="22"/>
        </w:rPr>
      </w:pPr>
      <w:r w:rsidRPr="006221C5">
        <w:rPr>
          <w:rFonts w:ascii="Palatino Linotype" w:hAnsi="Palatino Linotype" w:cs="Arial"/>
          <w:i/>
          <w:lang w:eastAsia="es-MX"/>
        </w:rPr>
        <w:lastRenderedPageBreak/>
        <w:t>Perfil de puestos de la Contraloría Interna Municipal vigente a la fecha de la solicitud de información (primero de agosto de dos mil diecinueve)</w:t>
      </w:r>
    </w:p>
    <w:p w:rsidR="00D36C12" w:rsidRPr="00D36C12" w:rsidRDefault="00D36C12" w:rsidP="00D36C12">
      <w:pPr>
        <w:pStyle w:val="Prrafodelista"/>
        <w:numPr>
          <w:ilvl w:val="0"/>
          <w:numId w:val="19"/>
        </w:numPr>
        <w:spacing w:before="240" w:after="240" w:line="360" w:lineRule="auto"/>
        <w:jc w:val="both"/>
        <w:rPr>
          <w:rFonts w:ascii="Palatino Linotype" w:hAnsi="Palatino Linotype"/>
          <w:b/>
          <w:i/>
        </w:rPr>
      </w:pPr>
      <w:r>
        <w:rPr>
          <w:rFonts w:ascii="Palatino Linotype" w:hAnsi="Palatino Linotype"/>
          <w:b/>
          <w:i/>
        </w:rPr>
        <w:t>De la Versión Pública</w:t>
      </w:r>
    </w:p>
    <w:p w:rsidR="00D36C12" w:rsidRPr="00BF2F26" w:rsidRDefault="00D36C12" w:rsidP="00D36C12">
      <w:pPr>
        <w:tabs>
          <w:tab w:val="left" w:pos="709"/>
        </w:tabs>
        <w:spacing w:before="240" w:line="360" w:lineRule="auto"/>
        <w:ind w:right="51"/>
        <w:jc w:val="both"/>
        <w:rPr>
          <w:rFonts w:ascii="Palatino Linotype" w:eastAsia="Calibri" w:hAnsi="Palatino Linotype" w:cs="Arial"/>
          <w:sz w:val="24"/>
        </w:rPr>
      </w:pPr>
      <w:r w:rsidRPr="00BF2F26">
        <w:rPr>
          <w:rFonts w:ascii="Palatino Linotype" w:eastAsia="Calibri" w:hAnsi="Palatino Linotype" w:cs="Arial"/>
          <w:sz w:val="24"/>
        </w:rPr>
        <w:t>Respecto de la información señalada en el párrafo que antecede, tanto para la elaboración de las versiones públicas correspondientes, o bien, para la elaboración de acuerdos que clasifiquen la información, resulta oportuno remitirnos a lo dispuesto en los artículos 3, fracciones IX, XX, XXI, XXIII y XLV; 4, segundo párrafo, 51, 52, 91, 137 y 143, fracción I de la Ley de Transparencia y Acceso a la Información Pública del Estado de México y Municipios, de los que se resalta que el derecho de acceso a la información pública tiene como limitante el respeto a la intimidad, a la vida privada de las personas o por cuestiones de orden público y seguridad.</w:t>
      </w:r>
    </w:p>
    <w:p w:rsidR="00D36C12" w:rsidRPr="00BF2F26" w:rsidRDefault="00D36C12" w:rsidP="00D36C12">
      <w:pPr>
        <w:tabs>
          <w:tab w:val="left" w:pos="709"/>
        </w:tabs>
        <w:spacing w:before="240" w:line="360" w:lineRule="auto"/>
        <w:ind w:right="51"/>
        <w:jc w:val="both"/>
        <w:rPr>
          <w:rFonts w:ascii="Palatino Linotype" w:eastAsia="Calibri" w:hAnsi="Palatino Linotype" w:cs="Arial"/>
          <w:sz w:val="24"/>
        </w:rPr>
      </w:pPr>
      <w:r w:rsidRPr="00BF2F26">
        <w:rPr>
          <w:rFonts w:ascii="Palatino Linotype" w:eastAsia="Calibri" w:hAnsi="Palatino Linotype" w:cs="Arial"/>
          <w:sz w:val="24"/>
        </w:rPr>
        <w:t>Por lo anterior, tomando en cuenta que dentro de la información señalada en el párrafo que antecede pudieran actualizarse supuestos para clasificar la información como confidencial o, en su caso, reservada y en el entendido de que este Instituto debe velar por la protección de los datos personales que obren en poder de los Sujetos Obligados sean protegidos y únicamente se den a conocer aquéllos que abonen a la rendición de cuentas y a la transparencia en el ejercicio de las atribuciones que tienen conferidas.</w:t>
      </w:r>
    </w:p>
    <w:p w:rsidR="00D36C12" w:rsidRPr="00BF2F26" w:rsidRDefault="00D36C12" w:rsidP="00D36C12">
      <w:pPr>
        <w:tabs>
          <w:tab w:val="left" w:pos="709"/>
        </w:tabs>
        <w:spacing w:before="240" w:line="360" w:lineRule="auto"/>
        <w:ind w:right="51"/>
        <w:jc w:val="both"/>
        <w:rPr>
          <w:rFonts w:ascii="Palatino Linotype" w:eastAsia="Calibri" w:hAnsi="Palatino Linotype" w:cs="Arial"/>
          <w:sz w:val="24"/>
        </w:rPr>
      </w:pPr>
      <w:r w:rsidRPr="00BF2F26">
        <w:rPr>
          <w:rFonts w:ascii="Palatino Linotype" w:eastAsia="Calibri" w:hAnsi="Palatino Linotype" w:cs="Arial"/>
          <w:sz w:val="24"/>
        </w:rPr>
        <w:t xml:space="preserve">Esto es así, ya que en armonía entre los principios constitucionales de máxima publicidad y de protección de datos personales, por lo que deberá observar lo que para tal efecto señale la Ley de Protección de datos Personales del Estado de México, </w:t>
      </w:r>
      <w:r w:rsidRPr="00BF2F26">
        <w:rPr>
          <w:rFonts w:ascii="Palatino Linotype" w:eastAsia="Calibri" w:hAnsi="Palatino Linotype" w:cs="Arial"/>
          <w:sz w:val="24"/>
        </w:rPr>
        <w:lastRenderedPageBreak/>
        <w:t>y los ya mencionados artículos 140 y 143 de la Ley de Transparencia y Acceso a la Información Pública del Estado de México y Municipios.</w:t>
      </w:r>
    </w:p>
    <w:p w:rsidR="00D36C12" w:rsidRPr="00BF2F26" w:rsidRDefault="00D36C12" w:rsidP="00D36C12">
      <w:pPr>
        <w:tabs>
          <w:tab w:val="left" w:pos="709"/>
        </w:tabs>
        <w:spacing w:before="240" w:line="360" w:lineRule="auto"/>
        <w:ind w:right="51"/>
        <w:jc w:val="both"/>
        <w:rPr>
          <w:rFonts w:ascii="Palatino Linotype" w:eastAsia="Calibri" w:hAnsi="Palatino Linotype" w:cs="Arial"/>
          <w:sz w:val="24"/>
        </w:rPr>
      </w:pPr>
      <w:r w:rsidRPr="00BF2F26">
        <w:rPr>
          <w:rFonts w:ascii="Palatino Linotype" w:eastAsia="Calibri" w:hAnsi="Palatino Linotype" w:cs="Arial"/>
          <w:sz w:val="24"/>
        </w:rPr>
        <w:t>Por lo tanto, en el supuesto de que en la información que le sea remitida al recurrente contenga datos que puedan ser susceptibles de clasificarse, el sujeto obligado deberá de remitir su acuerdo de clasificación debidamente fundado y motivado, emitido por el comité de transparencia, en términos del marco normativo aplicable.</w:t>
      </w:r>
    </w:p>
    <w:p w:rsidR="00D36C12" w:rsidRPr="00347D2A" w:rsidRDefault="00D36C12" w:rsidP="00D36C12">
      <w:pPr>
        <w:spacing w:before="24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347D2A">
        <w:rPr>
          <w:rFonts w:ascii="Palatino Linotype" w:eastAsia="Times New Roman" w:hAnsi="Palatino Linotype" w:cs="Times New Roman"/>
          <w:sz w:val="24"/>
          <w:szCs w:val="24"/>
          <w:lang w:val="es-ES_tradnl" w:eastAsia="es-ES"/>
        </w:rPr>
        <w:t>el Sujeto Obligado</w:t>
      </w:r>
      <w:r w:rsidRPr="00347D2A">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D36C12" w:rsidRPr="00347D2A" w:rsidRDefault="00D36C12" w:rsidP="00D36C12">
      <w:pPr>
        <w:spacing w:before="24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rsidR="00D36C12" w:rsidRPr="00347D2A" w:rsidRDefault="00D36C12" w:rsidP="00D36C12">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rsidR="00D36C12" w:rsidRPr="00347D2A" w:rsidRDefault="00D36C12" w:rsidP="00D36C12">
      <w:pPr>
        <w:spacing w:after="0" w:line="360" w:lineRule="auto"/>
        <w:jc w:val="both"/>
        <w:rPr>
          <w:rFonts w:ascii="Palatino Linotype" w:eastAsia="Times New Roman" w:hAnsi="Palatino Linotype" w:cs="Times New Roman"/>
          <w:sz w:val="24"/>
          <w:szCs w:val="24"/>
          <w:lang w:eastAsia="es-ES"/>
        </w:rPr>
      </w:pPr>
    </w:p>
    <w:p w:rsidR="00D36C12" w:rsidRPr="00347D2A" w:rsidRDefault="00D36C12" w:rsidP="00D36C12">
      <w:pPr>
        <w:spacing w:after="0" w:line="240" w:lineRule="auto"/>
        <w:ind w:left="567" w:right="616"/>
        <w:jc w:val="both"/>
        <w:rPr>
          <w:rFonts w:ascii="Palatino Linotype" w:eastAsia="Times New Roman" w:hAnsi="Palatino Linotype" w:cs="Times New Roman"/>
          <w:i/>
          <w:lang w:eastAsia="es-ES"/>
        </w:rPr>
      </w:pPr>
      <w:r w:rsidRPr="00347D2A">
        <w:rPr>
          <w:rFonts w:ascii="Palatino Linotype" w:eastAsia="Times New Roman" w:hAnsi="Palatino Linotype" w:cs="Times New Roman"/>
          <w:b/>
          <w:i/>
          <w:lang w:eastAsia="es-ES"/>
        </w:rPr>
        <w:t xml:space="preserve">FUNDAMENTACIÓN Y MOTIVACIÓN. </w:t>
      </w:r>
      <w:r w:rsidRPr="00347D2A">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D36C12" w:rsidRPr="00347D2A" w:rsidRDefault="00D36C12" w:rsidP="00D36C12">
      <w:pPr>
        <w:spacing w:after="0" w:line="360" w:lineRule="auto"/>
        <w:jc w:val="both"/>
        <w:rPr>
          <w:rFonts w:ascii="Palatino Linotype" w:eastAsia="Times New Roman" w:hAnsi="Palatino Linotype" w:cs="Times New Roman"/>
          <w:sz w:val="24"/>
          <w:szCs w:val="24"/>
          <w:lang w:eastAsia="es-ES"/>
        </w:rPr>
      </w:pPr>
    </w:p>
    <w:p w:rsidR="00D36C12" w:rsidRPr="00347D2A" w:rsidRDefault="00D36C12" w:rsidP="00D36C12">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D36C12" w:rsidRPr="00347D2A" w:rsidRDefault="00D36C12" w:rsidP="00D36C12">
      <w:pPr>
        <w:spacing w:after="0" w:line="360" w:lineRule="auto"/>
        <w:jc w:val="both"/>
        <w:rPr>
          <w:rFonts w:ascii="Palatino Linotype" w:eastAsia="Times New Roman" w:hAnsi="Palatino Linotype" w:cs="Times New Roman"/>
          <w:sz w:val="24"/>
          <w:szCs w:val="24"/>
          <w:lang w:eastAsia="es-ES"/>
        </w:rPr>
      </w:pPr>
    </w:p>
    <w:p w:rsidR="00D36C12" w:rsidRPr="00347D2A" w:rsidRDefault="00D36C12" w:rsidP="00D36C12">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rsidR="00D36C12" w:rsidRPr="00347D2A" w:rsidRDefault="00D36C12" w:rsidP="00D36C12">
      <w:pPr>
        <w:spacing w:after="0" w:line="360" w:lineRule="auto"/>
        <w:jc w:val="both"/>
        <w:rPr>
          <w:rFonts w:ascii="Palatino Linotype" w:eastAsia="Times New Roman" w:hAnsi="Palatino Linotype" w:cs="Times New Roman"/>
          <w:sz w:val="24"/>
          <w:szCs w:val="24"/>
          <w:lang w:eastAsia="es-ES"/>
        </w:rPr>
      </w:pPr>
    </w:p>
    <w:p w:rsidR="00D36C12" w:rsidRPr="00347D2A" w:rsidRDefault="00D36C12" w:rsidP="00D36C12">
      <w:pPr>
        <w:spacing w:after="0" w:line="240" w:lineRule="auto"/>
        <w:ind w:left="567" w:right="616"/>
        <w:jc w:val="both"/>
        <w:rPr>
          <w:rFonts w:ascii="Palatino Linotype" w:eastAsia="Times New Roman" w:hAnsi="Palatino Linotype" w:cs="Times New Roman"/>
          <w:i/>
          <w:lang w:eastAsia="es-ES"/>
        </w:rPr>
      </w:pPr>
      <w:r w:rsidRPr="00347D2A">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347D2A">
        <w:rPr>
          <w:rFonts w:ascii="Palatino Linotype" w:eastAsia="Times New Roman" w:hAnsi="Palatino Linotype" w:cs="Times New Roman"/>
          <w:i/>
          <w:lang w:eastAsia="es-ES"/>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w:t>
      </w:r>
      <w:r w:rsidRPr="00347D2A">
        <w:rPr>
          <w:rFonts w:ascii="Palatino Linotype" w:eastAsia="Times New Roman" w:hAnsi="Palatino Linotype" w:cs="Times New Roman"/>
          <w:i/>
          <w:lang w:eastAsia="es-ES"/>
        </w:rPr>
        <w:lastRenderedPageBreak/>
        <w:t>acreditar el razonamiento del que se deduzca la relación de pertenencia lógica de los hechos al derecho invocado, que es la subsunción.</w:t>
      </w:r>
    </w:p>
    <w:p w:rsidR="00D36C12" w:rsidRPr="00347D2A" w:rsidRDefault="00D36C12" w:rsidP="00D36C12">
      <w:pPr>
        <w:spacing w:after="0" w:line="360" w:lineRule="auto"/>
        <w:jc w:val="both"/>
        <w:rPr>
          <w:rFonts w:ascii="Palatino Linotype" w:eastAsia="Times New Roman" w:hAnsi="Palatino Linotype" w:cs="Times New Roman"/>
          <w:sz w:val="24"/>
          <w:szCs w:val="24"/>
          <w:lang w:eastAsia="es-ES"/>
        </w:rPr>
      </w:pPr>
    </w:p>
    <w:p w:rsidR="00D36C12" w:rsidRPr="00347D2A" w:rsidRDefault="00D36C12" w:rsidP="00D36C12">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D36C12" w:rsidRPr="00347D2A" w:rsidRDefault="00D36C12" w:rsidP="00D36C12">
      <w:pPr>
        <w:spacing w:after="0" w:line="360" w:lineRule="auto"/>
        <w:jc w:val="both"/>
        <w:rPr>
          <w:rFonts w:ascii="Palatino Linotype" w:eastAsia="Times New Roman" w:hAnsi="Palatino Linotype" w:cs="Times New Roman"/>
          <w:sz w:val="24"/>
          <w:szCs w:val="24"/>
          <w:lang w:eastAsia="es-ES"/>
        </w:rPr>
      </w:pPr>
    </w:p>
    <w:p w:rsidR="00D36C12" w:rsidRPr="00347D2A" w:rsidRDefault="00D36C12" w:rsidP="00D36C12">
      <w:pPr>
        <w:spacing w:after="0" w:line="360" w:lineRule="auto"/>
        <w:jc w:val="both"/>
        <w:rPr>
          <w:rFonts w:ascii="Palatino Linotype" w:eastAsia="Times New Roman" w:hAnsi="Palatino Linotype" w:cs="Times New Roman"/>
          <w:sz w:val="24"/>
          <w:szCs w:val="24"/>
          <w:lang w:val="es-ES" w:eastAsia="es-ES"/>
        </w:rPr>
      </w:pPr>
      <w:r w:rsidRPr="00347D2A">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347D2A">
        <w:rPr>
          <w:rFonts w:ascii="Palatino Linotype" w:eastAsia="Times New Roman" w:hAnsi="Palatino Linotype" w:cs="Times New Roman"/>
          <w:b/>
          <w:sz w:val="24"/>
          <w:szCs w:val="24"/>
          <w:lang w:val="es-ES" w:eastAsia="es-ES"/>
        </w:rPr>
        <w:t xml:space="preserve"> </w:t>
      </w:r>
      <w:r w:rsidRPr="00347D2A">
        <w:rPr>
          <w:rFonts w:ascii="Palatino Linotype" w:eastAsia="Times New Roman" w:hAnsi="Palatino Linotype" w:cs="Times New Roman"/>
          <w:sz w:val="24"/>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D36C12" w:rsidRPr="00347D2A" w:rsidRDefault="00D36C12" w:rsidP="00D36C12">
      <w:pPr>
        <w:spacing w:after="0" w:line="360" w:lineRule="auto"/>
        <w:jc w:val="both"/>
        <w:rPr>
          <w:rFonts w:ascii="Palatino Linotype" w:eastAsia="Times New Roman" w:hAnsi="Palatino Linotype" w:cs="Times New Roman"/>
          <w:sz w:val="24"/>
          <w:szCs w:val="24"/>
          <w:lang w:eastAsia="es-ES"/>
        </w:rPr>
      </w:pPr>
    </w:p>
    <w:p w:rsidR="00D36C12" w:rsidRPr="00347D2A" w:rsidRDefault="00D36C12" w:rsidP="00D36C12">
      <w:pPr>
        <w:spacing w:after="0" w:line="360" w:lineRule="auto"/>
        <w:jc w:val="both"/>
        <w:rPr>
          <w:rFonts w:ascii="Palatino Linotype" w:eastAsia="Times New Roman" w:hAnsi="Palatino Linotype" w:cs="Arial"/>
          <w:bCs/>
          <w:sz w:val="24"/>
          <w:szCs w:val="24"/>
          <w:lang w:eastAsia="es-ES"/>
        </w:rPr>
      </w:pPr>
      <w:r w:rsidRPr="00347D2A">
        <w:rPr>
          <w:rFonts w:ascii="Palatino Linotype" w:eastAsia="Times New Roman" w:hAnsi="Palatino Linotype" w:cs="Arial"/>
          <w:bCs/>
          <w:sz w:val="24"/>
          <w:szCs w:val="24"/>
          <w:lang w:eastAsia="es-ES"/>
        </w:rPr>
        <w:t xml:space="preserve">En ese tenor y de acuerdo a la interpretación en el orden administrativo que le da la Ley de la materia a este Instituto específicamente, en términos de su artículo 36, fracción I, </w:t>
      </w:r>
      <w:r w:rsidRPr="00347D2A">
        <w:rPr>
          <w:rFonts w:ascii="Palatino Linotype" w:eastAsia="Times New Roman" w:hAnsi="Palatino Linotype" w:cs="Arial"/>
          <w:sz w:val="24"/>
          <w:szCs w:val="24"/>
          <w:lang w:eastAsia="es-ES"/>
        </w:rPr>
        <w:t xml:space="preserve">de la Ley de Transparencia y Acceso a la Información Pública del Estado de </w:t>
      </w:r>
      <w:r w:rsidRPr="00347D2A">
        <w:rPr>
          <w:rFonts w:ascii="Palatino Linotype" w:eastAsia="Times New Roman" w:hAnsi="Palatino Linotype" w:cs="Arial"/>
          <w:sz w:val="24"/>
          <w:szCs w:val="24"/>
          <w:lang w:eastAsia="es-ES"/>
        </w:rPr>
        <w:lastRenderedPageBreak/>
        <w:t xml:space="preserve">México y Municipios, </w:t>
      </w:r>
      <w:r w:rsidRPr="00347D2A">
        <w:rPr>
          <w:rFonts w:ascii="Palatino Linotype" w:eastAsia="Times New Roman" w:hAnsi="Palatino Linotype" w:cs="Arial"/>
          <w:bCs/>
          <w:sz w:val="24"/>
          <w:szCs w:val="24"/>
          <w:lang w:eastAsia="es-ES"/>
        </w:rPr>
        <w:t>a efecto de salvaguardar el derecho de acceso a la información pública consignado a favor del Recurrente.</w:t>
      </w:r>
    </w:p>
    <w:p w:rsidR="00BA65E0" w:rsidRPr="00A27459" w:rsidRDefault="00BA65E0" w:rsidP="00A27459">
      <w:pPr>
        <w:pStyle w:val="Prrafodelista"/>
        <w:numPr>
          <w:ilvl w:val="0"/>
          <w:numId w:val="19"/>
        </w:numPr>
        <w:spacing w:before="240" w:after="240" w:line="360" w:lineRule="auto"/>
        <w:jc w:val="both"/>
        <w:rPr>
          <w:rFonts w:ascii="Palatino Linotype" w:hAnsi="Palatino Linotype"/>
          <w:b/>
          <w:i/>
        </w:rPr>
      </w:pPr>
      <w:r w:rsidRPr="00A27459">
        <w:rPr>
          <w:rFonts w:ascii="Palatino Linotype" w:hAnsi="Palatino Linotype"/>
          <w:b/>
          <w:i/>
        </w:rPr>
        <w:t xml:space="preserve">Vista a los Órganos de Control Interno </w:t>
      </w:r>
    </w:p>
    <w:p w:rsidR="00BA65E0" w:rsidRPr="00881696" w:rsidRDefault="00BA65E0" w:rsidP="00BA65E0">
      <w:pPr>
        <w:spacing w:before="240" w:line="360" w:lineRule="auto"/>
        <w:jc w:val="both"/>
        <w:rPr>
          <w:rFonts w:ascii="Palatino Linotype" w:hAnsi="Palatino Linotype"/>
          <w:sz w:val="24"/>
          <w:szCs w:val="24"/>
        </w:rPr>
      </w:pPr>
      <w:r w:rsidRPr="00881696">
        <w:rPr>
          <w:rFonts w:ascii="Palatino Linotype" w:hAnsi="Palatino Linotype"/>
          <w:sz w:val="24"/>
          <w:szCs w:val="24"/>
        </w:rPr>
        <w:t>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rsidR="00BA65E0" w:rsidRPr="00881696" w:rsidRDefault="00BA65E0" w:rsidP="00BA65E0">
      <w:pPr>
        <w:spacing w:before="240" w:line="360" w:lineRule="auto"/>
        <w:jc w:val="both"/>
        <w:rPr>
          <w:rFonts w:ascii="Palatino Linotype" w:hAnsi="Palatino Linotype"/>
          <w:sz w:val="24"/>
          <w:szCs w:val="24"/>
        </w:rPr>
      </w:pPr>
      <w:r w:rsidRPr="00881696">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rsidR="00BA65E0" w:rsidRPr="006010FE" w:rsidRDefault="00BA65E0" w:rsidP="00BA65E0">
      <w:pPr>
        <w:spacing w:after="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t>Artículo 36.</w:t>
      </w:r>
      <w:r w:rsidRPr="006010FE">
        <w:rPr>
          <w:rFonts w:ascii="Palatino Linotype" w:eastAsia="MS Mincho" w:hAnsi="Palatino Linotype" w:cs="Times New Roman"/>
          <w:i/>
        </w:rPr>
        <w:t xml:space="preserve"> El Instituto tendrá, en el ámbito de su competencia, las siguientes atribuciones:</w:t>
      </w:r>
    </w:p>
    <w:p w:rsidR="00BA65E0" w:rsidRPr="006010FE" w:rsidRDefault="00BA65E0" w:rsidP="00BA65E0">
      <w:pPr>
        <w:spacing w:after="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w:t>
      </w:r>
    </w:p>
    <w:p w:rsidR="00BA65E0" w:rsidRPr="006010FE" w:rsidRDefault="00BA65E0" w:rsidP="00BA65E0">
      <w:pPr>
        <w:spacing w:after="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 xml:space="preserve">X. Hacer del conocimiento del órgano de control interno o equivalente de cada Sujeto Obligado las infracciones a esta Ley; </w:t>
      </w:r>
    </w:p>
    <w:p w:rsidR="00BA65E0" w:rsidRPr="006010FE" w:rsidRDefault="00BA65E0" w:rsidP="00BA65E0">
      <w:pPr>
        <w:spacing w:after="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w:t>
      </w:r>
    </w:p>
    <w:p w:rsidR="00BA65E0" w:rsidRPr="006010FE" w:rsidRDefault="00BA65E0" w:rsidP="00BA65E0">
      <w:pPr>
        <w:spacing w:before="240" w:after="240" w:line="360" w:lineRule="auto"/>
        <w:contextualSpacing/>
        <w:jc w:val="both"/>
        <w:rPr>
          <w:sz w:val="8"/>
        </w:rPr>
      </w:pPr>
      <w:r w:rsidRPr="006010FE">
        <w:rPr>
          <w:rFonts w:ascii="Palatino Linotype" w:eastAsia="MS Mincho" w:hAnsi="Palatino Linotype"/>
          <w:sz w:val="24"/>
        </w:rPr>
        <w:t xml:space="preserve">Asimismo, este Pleno hará del conocimiento del órgano de control de este Instituto de las infracciones en que el </w:t>
      </w:r>
      <w:r w:rsidRPr="006010FE">
        <w:rPr>
          <w:rFonts w:ascii="Palatino Linotype" w:eastAsia="MS Mincho" w:hAnsi="Palatino Linotype"/>
          <w:b/>
          <w:sz w:val="24"/>
        </w:rPr>
        <w:t>Sujeto Obligado</w:t>
      </w:r>
      <w:r w:rsidRPr="006010FE">
        <w:rPr>
          <w:rFonts w:ascii="Palatino Linotype" w:eastAsia="MS Mincho" w:hAnsi="Palatino Linotype"/>
          <w:sz w:val="24"/>
        </w:rPr>
        <w:t xml:space="preserve"> incurrió, toda vez que la naturaleza de investigar y sancionar corresponde a un ente distinto a éste a través de un procedimiento diferente al recurso de revisión, lo cual se encuentra previsto </w:t>
      </w:r>
      <w:r w:rsidRPr="006010FE">
        <w:rPr>
          <w:rFonts w:ascii="Palatino Linotype" w:eastAsia="MS Mincho" w:hAnsi="Palatino Linotype" w:cs="Arial"/>
          <w:sz w:val="24"/>
        </w:rPr>
        <w:t xml:space="preserve">en la Ley </w:t>
      </w:r>
      <w:r w:rsidRPr="006010FE">
        <w:rPr>
          <w:rFonts w:ascii="Palatino Linotype" w:eastAsia="MS Mincho" w:hAnsi="Palatino Linotype" w:cs="Arial"/>
          <w:sz w:val="24"/>
        </w:rPr>
        <w:lastRenderedPageBreak/>
        <w:t>de Transparencia Acceso a la Información Pública del Estado de México y Municipios específicamente en sus artículos 190, 222 y 223 que señalan lo siguiente:</w:t>
      </w:r>
    </w:p>
    <w:p w:rsidR="00BA65E0" w:rsidRPr="006010FE" w:rsidRDefault="00BA65E0" w:rsidP="00BA65E0">
      <w:pPr>
        <w:spacing w:before="240" w:after="24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t>Artículo 190.</w:t>
      </w:r>
      <w:r w:rsidRPr="006010FE">
        <w:rPr>
          <w:rFonts w:ascii="Palatino Linotype" w:eastAsia="MS Mincho"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BA65E0" w:rsidRPr="006010FE" w:rsidRDefault="00BA65E0" w:rsidP="00BA65E0">
      <w:pPr>
        <w:spacing w:before="240" w:after="24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t>Artículo 222.</w:t>
      </w:r>
      <w:r w:rsidRPr="006010FE">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rsidR="00BA65E0" w:rsidRPr="006010FE" w:rsidRDefault="00BA65E0" w:rsidP="00BA65E0">
      <w:pPr>
        <w:spacing w:before="240" w:after="24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w:t>
      </w:r>
    </w:p>
    <w:p w:rsidR="00BA65E0" w:rsidRPr="006010FE" w:rsidRDefault="00BA65E0" w:rsidP="00BA65E0">
      <w:pPr>
        <w:spacing w:before="240" w:after="240" w:line="360" w:lineRule="auto"/>
        <w:ind w:left="567" w:right="567"/>
        <w:contextualSpacing/>
        <w:jc w:val="both"/>
        <w:rPr>
          <w:rFonts w:ascii="Palatino Linotype" w:eastAsia="MS Mincho" w:hAnsi="Palatino Linotype" w:cs="Times New Roman"/>
          <w:b/>
          <w:i/>
        </w:rPr>
      </w:pPr>
      <w:r w:rsidRPr="006010FE">
        <w:rPr>
          <w:rFonts w:ascii="Palatino Linotype" w:eastAsia="MS Mincho" w:hAnsi="Palatino Linotype" w:cs="Times New Roman"/>
          <w:b/>
          <w:i/>
        </w:rPr>
        <w:t xml:space="preserve">I. Cualquier acto u </w:t>
      </w:r>
      <w:r w:rsidRPr="006010FE">
        <w:rPr>
          <w:rFonts w:ascii="Palatino Linotype" w:eastAsia="MS Mincho" w:hAnsi="Palatino Linotype" w:cs="Times New Roman"/>
          <w:b/>
          <w:i/>
          <w:u w:val="single"/>
        </w:rPr>
        <w:t>omisión</w:t>
      </w:r>
      <w:r w:rsidRPr="006010FE">
        <w:rPr>
          <w:rFonts w:ascii="Palatino Linotype" w:eastAsia="MS Mincho" w:hAnsi="Palatino Linotype" w:cs="Times New Roman"/>
          <w:b/>
          <w:i/>
        </w:rPr>
        <w:t xml:space="preserve"> que provoque la suspensión o deficiencia en la atención de las solicitudes de información;</w:t>
      </w:r>
    </w:p>
    <w:p w:rsidR="00BA65E0" w:rsidRPr="006010FE" w:rsidRDefault="00BA65E0" w:rsidP="00BA65E0">
      <w:pPr>
        <w:spacing w:before="240" w:after="24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u w:val="single"/>
        </w:rPr>
        <w:t>II. La falta de respuesta a las solicitudes de información en los plazos señalados en la normatividad aplicable</w:t>
      </w:r>
      <w:r w:rsidRPr="006010FE">
        <w:rPr>
          <w:rFonts w:ascii="Palatino Linotype" w:eastAsia="MS Mincho" w:hAnsi="Palatino Linotype" w:cs="Times New Roman"/>
          <w:i/>
        </w:rPr>
        <w:t>;</w:t>
      </w:r>
    </w:p>
    <w:p w:rsidR="00BA65E0" w:rsidRPr="00C77DFD" w:rsidRDefault="00BA65E0" w:rsidP="00BA65E0">
      <w:pPr>
        <w:spacing w:before="240" w:line="360" w:lineRule="auto"/>
        <w:ind w:left="567"/>
        <w:jc w:val="both"/>
        <w:rPr>
          <w:rFonts w:ascii="Palatino Linotype" w:hAnsi="Palatino Linotype"/>
          <w:i/>
        </w:rPr>
      </w:pPr>
      <w:r w:rsidRPr="00C77DFD">
        <w:rPr>
          <w:rFonts w:ascii="Palatino Linotype" w:hAnsi="Palatino Linotype"/>
          <w:i/>
        </w:rPr>
        <w:t>(…)</w:t>
      </w:r>
    </w:p>
    <w:p w:rsidR="00BA65E0" w:rsidRPr="00C77DFD" w:rsidRDefault="00BA65E0" w:rsidP="00BA65E0">
      <w:pPr>
        <w:spacing w:before="240" w:line="360" w:lineRule="auto"/>
        <w:ind w:left="567"/>
        <w:jc w:val="both"/>
        <w:rPr>
          <w:rFonts w:ascii="Palatino Linotype" w:hAnsi="Palatino Linotype"/>
          <w:i/>
        </w:rPr>
      </w:pPr>
      <w:r w:rsidRPr="00C77DFD">
        <w:rPr>
          <w:rFonts w:ascii="Palatino Linotype" w:hAnsi="Palatino Linotype"/>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BA65E0" w:rsidRPr="00C77DFD" w:rsidRDefault="00BA65E0" w:rsidP="00BA65E0">
      <w:pPr>
        <w:spacing w:before="240" w:line="360" w:lineRule="auto"/>
        <w:jc w:val="both"/>
        <w:rPr>
          <w:rFonts w:ascii="Palatino Linotype" w:hAnsi="Palatino Linotype"/>
          <w:sz w:val="24"/>
        </w:rPr>
      </w:pPr>
      <w:r w:rsidRPr="00C77DFD">
        <w:rPr>
          <w:rFonts w:ascii="Palatino Linotype" w:hAnsi="Palatino Linotype"/>
          <w:sz w:val="24"/>
        </w:rPr>
        <w:t xml:space="preserve">Por lo que es menester en este asunto, 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w:t>
      </w:r>
      <w:r w:rsidRPr="00C77DFD">
        <w:rPr>
          <w:rFonts w:ascii="Palatino Linotype" w:hAnsi="Palatino Linotype"/>
          <w:sz w:val="24"/>
        </w:rPr>
        <w:lastRenderedPageBreak/>
        <w:t>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A27459" w:rsidRPr="006010FE" w:rsidRDefault="00A27459" w:rsidP="00A27459">
      <w:pPr>
        <w:autoSpaceDE w:val="0"/>
        <w:autoSpaceDN w:val="0"/>
        <w:adjustRightInd w:val="0"/>
        <w:spacing w:before="240" w:after="240" w:line="360" w:lineRule="auto"/>
        <w:jc w:val="both"/>
        <w:rPr>
          <w:rFonts w:ascii="Palatino Linotype" w:hAnsi="Palatino Linotype" w:cs="Arial"/>
          <w:sz w:val="24"/>
          <w:szCs w:val="24"/>
        </w:rPr>
      </w:pPr>
      <w:r w:rsidRPr="006010FE">
        <w:rPr>
          <w:rFonts w:ascii="Palatino Linotype" w:hAnsi="Palatino Linotype" w:cs="Arial"/>
          <w:sz w:val="24"/>
          <w:szCs w:val="24"/>
        </w:rPr>
        <w:t xml:space="preserve">Por lo tanto, en mérito de lo expuesto en líneas anteriores, con fundamento en la fracción IV, del artículo 186, de la Ley de Transparencia y Acceso a la Información Pública del Estado de México y Municipios, se </w:t>
      </w:r>
      <w:r w:rsidRPr="006010FE">
        <w:rPr>
          <w:rFonts w:ascii="Palatino Linotype" w:hAnsi="Palatino Linotype" w:cs="Arial"/>
          <w:b/>
          <w:sz w:val="24"/>
          <w:szCs w:val="24"/>
        </w:rPr>
        <w:t>ORDENA</w:t>
      </w:r>
      <w:r w:rsidRPr="006010FE">
        <w:rPr>
          <w:rFonts w:ascii="Palatino Linotype" w:hAnsi="Palatino Linotype" w:cs="Arial"/>
          <w:sz w:val="24"/>
          <w:szCs w:val="24"/>
        </w:rPr>
        <w:t xml:space="preserve"> al </w:t>
      </w:r>
      <w:r w:rsidRPr="006010FE">
        <w:rPr>
          <w:rFonts w:ascii="Palatino Linotype" w:hAnsi="Palatino Linotype" w:cs="Arial"/>
          <w:b/>
          <w:sz w:val="24"/>
          <w:szCs w:val="24"/>
        </w:rPr>
        <w:t>Sujeto Obligado</w:t>
      </w:r>
      <w:r w:rsidRPr="006010FE">
        <w:rPr>
          <w:rFonts w:ascii="Palatino Linotype" w:hAnsi="Palatino Linotype" w:cs="Arial"/>
          <w:sz w:val="24"/>
          <w:szCs w:val="24"/>
        </w:rPr>
        <w:t xml:space="preserve">, atienda la solicitud de información </w:t>
      </w:r>
      <w:r w:rsidR="008975F2" w:rsidRPr="00E20678">
        <w:rPr>
          <w:rFonts w:ascii="Palatino Linotype" w:hAnsi="Palatino Linotype" w:cs="Arial"/>
          <w:b/>
          <w:sz w:val="24"/>
        </w:rPr>
        <w:t>00078/TEQUIXQU/IP/2019</w:t>
      </w:r>
      <w:r>
        <w:rPr>
          <w:rFonts w:ascii="Palatino Linotype" w:hAnsi="Palatino Linotype" w:cs="Arial"/>
          <w:sz w:val="24"/>
        </w:rPr>
        <w:t>,</w:t>
      </w:r>
      <w:r w:rsidRPr="006010FE">
        <w:rPr>
          <w:rFonts w:ascii="Palatino Linotype" w:hAnsi="Palatino Linotype" w:cs="Arial"/>
          <w:sz w:val="24"/>
          <w:szCs w:val="24"/>
        </w:rPr>
        <w:t xml:space="preserve"> que ha sido materia del presente fallo.</w:t>
      </w:r>
    </w:p>
    <w:p w:rsidR="00A27459" w:rsidRDefault="00A27459" w:rsidP="00A27459">
      <w:pPr>
        <w:spacing w:before="240" w:line="360" w:lineRule="auto"/>
        <w:jc w:val="both"/>
        <w:rPr>
          <w:rFonts w:ascii="Palatino Linotype" w:hAnsi="Palatino Linotype" w:cs="Arial"/>
          <w:sz w:val="24"/>
        </w:rPr>
      </w:pPr>
      <w:r>
        <w:rPr>
          <w:rFonts w:ascii="Palatino Linotype" w:hAnsi="Palatino Linotype" w:cs="Arial"/>
          <w:sz w:val="24"/>
        </w:rPr>
        <w:t>Por lo antes expuesto y fundado es de resolverse y;</w:t>
      </w:r>
    </w:p>
    <w:p w:rsidR="00FE43D2" w:rsidRDefault="00FE43D2" w:rsidP="00A27459">
      <w:pPr>
        <w:spacing w:before="240" w:line="360" w:lineRule="auto"/>
        <w:jc w:val="both"/>
        <w:rPr>
          <w:rFonts w:ascii="Palatino Linotype" w:hAnsi="Palatino Linotype" w:cs="Arial"/>
          <w:sz w:val="24"/>
        </w:rPr>
      </w:pPr>
    </w:p>
    <w:p w:rsidR="00A27459" w:rsidRDefault="00A27459" w:rsidP="00A27459">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rsidR="00A27459" w:rsidRDefault="00A27459" w:rsidP="00A27459">
      <w:pPr>
        <w:tabs>
          <w:tab w:val="left" w:pos="8647"/>
        </w:tabs>
        <w:spacing w:after="0" w:line="360" w:lineRule="auto"/>
        <w:ind w:right="51"/>
        <w:jc w:val="both"/>
        <w:rPr>
          <w:rFonts w:ascii="Palatino Linotype" w:hAnsi="Palatino Linotype" w:cs="Arial"/>
          <w:sz w:val="24"/>
          <w:szCs w:val="24"/>
        </w:rPr>
      </w:pPr>
      <w:r w:rsidRPr="00523CF0">
        <w:rPr>
          <w:rFonts w:ascii="Palatino Linotype" w:hAnsi="Palatino Linotype" w:cs="Arial"/>
          <w:b/>
          <w:sz w:val="28"/>
          <w:szCs w:val="28"/>
          <w:lang w:val="es-ES_tradnl"/>
        </w:rPr>
        <w:t>PRIMERO.</w:t>
      </w:r>
      <w:r>
        <w:rPr>
          <w:rFonts w:ascii="Palatino Linotype" w:hAnsi="Palatino Linotype" w:cs="Arial"/>
          <w:sz w:val="24"/>
          <w:szCs w:val="24"/>
          <w:lang w:val="es-ES_tradnl"/>
        </w:rPr>
        <w:t xml:space="preserve"> </w:t>
      </w:r>
      <w:r>
        <w:rPr>
          <w:rFonts w:ascii="Palatino Linotype" w:hAnsi="Palatino Linotype" w:cs="Arial"/>
          <w:sz w:val="24"/>
          <w:szCs w:val="24"/>
        </w:rPr>
        <w:t xml:space="preserve">Resultan fundadas las razones o motivos de inconformidad hechos valer por </w:t>
      </w:r>
      <w:r>
        <w:rPr>
          <w:rFonts w:ascii="Palatino Linotype" w:hAnsi="Palatino Linotype" w:cs="Arial"/>
          <w:b/>
          <w:sz w:val="24"/>
          <w:szCs w:val="24"/>
        </w:rPr>
        <w:t>el r</w:t>
      </w:r>
      <w:r w:rsidRPr="005B1B6B">
        <w:rPr>
          <w:rFonts w:ascii="Palatino Linotype" w:hAnsi="Palatino Linotype" w:cs="Arial"/>
          <w:b/>
          <w:sz w:val="24"/>
          <w:szCs w:val="24"/>
        </w:rPr>
        <w:t>ecurrente</w:t>
      </w:r>
      <w:r>
        <w:rPr>
          <w:rFonts w:ascii="Palatino Linotype" w:hAnsi="Palatino Linotype" w:cs="Arial"/>
          <w:b/>
          <w:sz w:val="24"/>
          <w:szCs w:val="24"/>
        </w:rPr>
        <w:t>,</w:t>
      </w:r>
      <w:r>
        <w:rPr>
          <w:rFonts w:ascii="Palatino Linotype" w:hAnsi="Palatino Linotype" w:cs="Arial"/>
          <w:sz w:val="24"/>
          <w:szCs w:val="24"/>
        </w:rPr>
        <w:t xml:space="preserve"> en términos del considerando </w:t>
      </w:r>
      <w:r>
        <w:rPr>
          <w:rFonts w:ascii="Palatino Linotype" w:hAnsi="Palatino Linotype" w:cs="Arial"/>
          <w:b/>
          <w:sz w:val="24"/>
          <w:szCs w:val="24"/>
        </w:rPr>
        <w:t>CUARTO</w:t>
      </w:r>
      <w:r>
        <w:rPr>
          <w:rFonts w:ascii="Palatino Linotype" w:hAnsi="Palatino Linotype" w:cs="Arial"/>
          <w:sz w:val="24"/>
          <w:szCs w:val="24"/>
        </w:rPr>
        <w:t>, de la presente resolución.</w:t>
      </w:r>
    </w:p>
    <w:p w:rsidR="00AF7B60" w:rsidRDefault="00AF7B60" w:rsidP="00A27459">
      <w:pPr>
        <w:tabs>
          <w:tab w:val="left" w:pos="8647"/>
        </w:tabs>
        <w:spacing w:after="0" w:line="360" w:lineRule="auto"/>
        <w:ind w:right="51"/>
        <w:jc w:val="both"/>
        <w:rPr>
          <w:rFonts w:ascii="Palatino Linotype" w:hAnsi="Palatino Linotype" w:cs="Arial"/>
          <w:sz w:val="24"/>
          <w:szCs w:val="24"/>
        </w:rPr>
      </w:pPr>
    </w:p>
    <w:p w:rsidR="00A27459" w:rsidRDefault="00A27459" w:rsidP="00A27459">
      <w:pPr>
        <w:spacing w:before="240" w:line="360" w:lineRule="auto"/>
        <w:jc w:val="both"/>
        <w:rPr>
          <w:rFonts w:ascii="Palatino Linotype" w:hAnsi="Palatino Linotype" w:cs="Arial"/>
          <w:sz w:val="24"/>
          <w:lang w:eastAsia="es-MX"/>
        </w:rPr>
      </w:pPr>
      <w:r>
        <w:rPr>
          <w:rFonts w:ascii="Palatino Linotype" w:hAnsi="Palatino Linotype" w:cs="Arial"/>
          <w:b/>
          <w:sz w:val="28"/>
          <w:szCs w:val="28"/>
          <w:lang w:val="es-ES_tradnl"/>
        </w:rPr>
        <w:t xml:space="preserve">SEGUNDO. </w:t>
      </w:r>
      <w:r>
        <w:rPr>
          <w:rFonts w:ascii="Palatino Linotype" w:hAnsi="Palatino Linotype" w:cs="Arial"/>
          <w:sz w:val="24"/>
          <w:szCs w:val="24"/>
        </w:rPr>
        <w:t xml:space="preserve">Se </w:t>
      </w:r>
      <w:r>
        <w:rPr>
          <w:rFonts w:ascii="Palatino Linotype" w:hAnsi="Palatino Linotype" w:cs="Arial"/>
          <w:b/>
          <w:sz w:val="24"/>
          <w:szCs w:val="24"/>
        </w:rPr>
        <w:t>ORDENA</w:t>
      </w:r>
      <w:r>
        <w:rPr>
          <w:rFonts w:ascii="Palatino Linotype" w:hAnsi="Palatino Linotype" w:cs="Arial"/>
          <w:sz w:val="24"/>
          <w:szCs w:val="24"/>
        </w:rPr>
        <w:t xml:space="preserve"> al </w:t>
      </w:r>
      <w:r>
        <w:rPr>
          <w:rFonts w:ascii="Palatino Linotype" w:hAnsi="Palatino Linotype" w:cs="Arial"/>
          <w:b/>
          <w:sz w:val="24"/>
          <w:szCs w:val="24"/>
        </w:rPr>
        <w:t>sujeto obligado</w:t>
      </w:r>
      <w:r w:rsidRPr="009020F7">
        <w:rPr>
          <w:rFonts w:ascii="Palatino Linotype" w:hAnsi="Palatino Linotype" w:cs="Arial"/>
          <w:sz w:val="24"/>
          <w:szCs w:val="24"/>
        </w:rPr>
        <w:t xml:space="preserve">, </w:t>
      </w:r>
      <w:r>
        <w:rPr>
          <w:rFonts w:ascii="Palatino Linotype" w:hAnsi="Palatino Linotype" w:cs="Arial"/>
          <w:sz w:val="24"/>
          <w:szCs w:val="24"/>
        </w:rPr>
        <w:t xml:space="preserve">atienda la solicitud de información número </w:t>
      </w:r>
      <w:r w:rsidR="006221C5" w:rsidRPr="00E20678">
        <w:rPr>
          <w:rFonts w:ascii="Palatino Linotype" w:hAnsi="Palatino Linotype" w:cs="Arial"/>
          <w:b/>
          <w:sz w:val="24"/>
        </w:rPr>
        <w:t>00078/TEQUIXQU/IP/2019</w:t>
      </w:r>
      <w:r w:rsidR="006F001B">
        <w:rPr>
          <w:rFonts w:ascii="Palatino Linotype" w:hAnsi="Palatino Linotype" w:cs="Arial"/>
          <w:b/>
          <w:sz w:val="24"/>
        </w:rPr>
        <w:t xml:space="preserve">, </w:t>
      </w:r>
      <w:r w:rsidRPr="00226C6A">
        <w:rPr>
          <w:rFonts w:ascii="Palatino Linotype" w:hAnsi="Palatino Linotype" w:cs="Arial"/>
          <w:sz w:val="24"/>
          <w:szCs w:val="24"/>
        </w:rPr>
        <w:t xml:space="preserve">en términos del considerando </w:t>
      </w:r>
      <w:r>
        <w:rPr>
          <w:rFonts w:ascii="Palatino Linotype" w:hAnsi="Palatino Linotype" w:cs="Arial"/>
          <w:b/>
          <w:sz w:val="24"/>
          <w:szCs w:val="24"/>
        </w:rPr>
        <w:t>cuarto</w:t>
      </w:r>
      <w:r w:rsidRPr="00226C6A">
        <w:rPr>
          <w:rFonts w:ascii="Palatino Linotype" w:hAnsi="Palatino Linotype" w:cs="Arial"/>
          <w:sz w:val="24"/>
          <w:szCs w:val="24"/>
        </w:rPr>
        <w:t xml:space="preserve"> de la </w:t>
      </w:r>
      <w:r w:rsidRPr="00226C6A">
        <w:rPr>
          <w:rFonts w:ascii="Palatino Linotype" w:hAnsi="Palatino Linotype" w:cs="Arial"/>
          <w:sz w:val="24"/>
          <w:szCs w:val="24"/>
        </w:rPr>
        <w:lastRenderedPageBreak/>
        <w:t>presente resolución</w:t>
      </w:r>
      <w:r>
        <w:rPr>
          <w:rFonts w:ascii="Palatino Linotype" w:hAnsi="Palatino Linotype" w:cs="Arial"/>
          <w:sz w:val="24"/>
          <w:lang w:eastAsia="es-MX"/>
        </w:rPr>
        <w:t xml:space="preserve"> y haga entrega al recurrente</w:t>
      </w:r>
      <w:r w:rsidR="00FE43D2">
        <w:rPr>
          <w:rFonts w:ascii="Palatino Linotype" w:hAnsi="Palatino Linotype" w:cs="Arial"/>
          <w:sz w:val="24"/>
          <w:lang w:eastAsia="es-MX"/>
        </w:rPr>
        <w:t xml:space="preserve"> en versión pública</w:t>
      </w:r>
      <w:r>
        <w:rPr>
          <w:rFonts w:ascii="Palatino Linotype" w:hAnsi="Palatino Linotype" w:cs="Arial"/>
          <w:sz w:val="24"/>
          <w:lang w:eastAsia="es-MX"/>
        </w:rPr>
        <w:t>, a través del SAIMEX, de lo siguiente:</w:t>
      </w:r>
    </w:p>
    <w:p w:rsidR="006221C5" w:rsidRPr="006221C5" w:rsidRDefault="006221C5" w:rsidP="006221C5">
      <w:pPr>
        <w:pStyle w:val="Prrafodelista"/>
        <w:autoSpaceDE w:val="0"/>
        <w:autoSpaceDN w:val="0"/>
        <w:adjustRightInd w:val="0"/>
        <w:spacing w:before="240" w:after="240" w:line="360" w:lineRule="auto"/>
        <w:ind w:left="851" w:right="851"/>
        <w:jc w:val="both"/>
        <w:rPr>
          <w:rFonts w:ascii="Palatino Linotype" w:hAnsi="Palatino Linotype"/>
          <w:i/>
        </w:rPr>
      </w:pPr>
      <w:r w:rsidRPr="006221C5">
        <w:rPr>
          <w:rFonts w:ascii="Palatino Linotype" w:hAnsi="Palatino Linotype"/>
          <w:i/>
        </w:rPr>
        <w:t xml:space="preserve">1. Presupuesto total asignado a la Contraloría Interna Municipal durante los ejercicios 2016, 2017, 2018 y 2019 (aprobado y sus modificaciones). </w:t>
      </w:r>
    </w:p>
    <w:p w:rsidR="006221C5" w:rsidRPr="006221C5" w:rsidRDefault="006221C5" w:rsidP="006221C5">
      <w:pPr>
        <w:pStyle w:val="Prrafodelista"/>
        <w:autoSpaceDE w:val="0"/>
        <w:autoSpaceDN w:val="0"/>
        <w:adjustRightInd w:val="0"/>
        <w:spacing w:before="240" w:after="240" w:line="360" w:lineRule="auto"/>
        <w:ind w:left="851" w:right="851"/>
        <w:jc w:val="both"/>
        <w:rPr>
          <w:rFonts w:ascii="Palatino Linotype" w:hAnsi="Palatino Linotype"/>
          <w:i/>
        </w:rPr>
      </w:pPr>
      <w:r w:rsidRPr="006221C5">
        <w:rPr>
          <w:rFonts w:ascii="Palatino Linotype" w:hAnsi="Palatino Linotype"/>
          <w:i/>
        </w:rPr>
        <w:t xml:space="preserve">2. Documento donde conste el número de servidores públicos adscritos a la Contraloría Interna Municipal, indicando la información correspondiente al 31 de diciembre de los años 2016, 2017, 2018 y al 31 de marzo de 2019. </w:t>
      </w:r>
    </w:p>
    <w:p w:rsidR="006221C5" w:rsidRPr="006221C5" w:rsidRDefault="006221C5" w:rsidP="006221C5">
      <w:pPr>
        <w:pStyle w:val="Prrafodelista"/>
        <w:autoSpaceDE w:val="0"/>
        <w:autoSpaceDN w:val="0"/>
        <w:adjustRightInd w:val="0"/>
        <w:spacing w:before="240" w:after="240" w:line="360" w:lineRule="auto"/>
        <w:ind w:left="851" w:right="851"/>
        <w:jc w:val="both"/>
        <w:rPr>
          <w:rFonts w:ascii="Palatino Linotype" w:hAnsi="Palatino Linotype"/>
          <w:i/>
        </w:rPr>
      </w:pPr>
      <w:r w:rsidRPr="006221C5">
        <w:rPr>
          <w:rFonts w:ascii="Palatino Linotype" w:hAnsi="Palatino Linotype"/>
          <w:i/>
        </w:rPr>
        <w:t>3. Organigrama autorizado (legible) de la Contraloría Interna Municipal correspondiente a los ejercicios fiscales 2016, 2017, 2018 y 2019 (incluyendo el acta de sesión de cabildo en la cual fue autorizado).</w:t>
      </w:r>
    </w:p>
    <w:p w:rsidR="006221C5" w:rsidRPr="006221C5" w:rsidRDefault="006221C5" w:rsidP="006221C5">
      <w:pPr>
        <w:pStyle w:val="Prrafodelista"/>
        <w:autoSpaceDE w:val="0"/>
        <w:autoSpaceDN w:val="0"/>
        <w:adjustRightInd w:val="0"/>
        <w:spacing w:before="240" w:after="240" w:line="360" w:lineRule="auto"/>
        <w:ind w:left="851" w:right="851"/>
        <w:jc w:val="both"/>
        <w:rPr>
          <w:rFonts w:ascii="Palatino Linotype" w:hAnsi="Palatino Linotype"/>
          <w:i/>
        </w:rPr>
      </w:pPr>
      <w:r w:rsidRPr="006221C5">
        <w:rPr>
          <w:rFonts w:ascii="Palatino Linotype" w:hAnsi="Palatino Linotype"/>
          <w:i/>
        </w:rPr>
        <w:t xml:space="preserve">4. Documento donde conste el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w:t>
      </w:r>
    </w:p>
    <w:p w:rsidR="006221C5" w:rsidRPr="006221C5" w:rsidRDefault="006221C5" w:rsidP="006221C5">
      <w:pPr>
        <w:pStyle w:val="Prrafodelista"/>
        <w:autoSpaceDE w:val="0"/>
        <w:autoSpaceDN w:val="0"/>
        <w:adjustRightInd w:val="0"/>
        <w:spacing w:before="240" w:after="240" w:line="360" w:lineRule="auto"/>
        <w:ind w:left="851" w:right="851"/>
        <w:jc w:val="both"/>
        <w:rPr>
          <w:rFonts w:ascii="Palatino Linotype" w:hAnsi="Palatino Linotype"/>
          <w:i/>
        </w:rPr>
      </w:pPr>
      <w:r w:rsidRPr="006221C5">
        <w:rPr>
          <w:rFonts w:ascii="Palatino Linotype" w:hAnsi="Palatino Linotype"/>
          <w:i/>
        </w:rPr>
        <w:t>5. Documento donde conste el sueldo neto anual percibido por el titular de la Contraloría Interna Municipal, mostrando la información correspondiente a los años 2016, 2017, 2018 y 2019.</w:t>
      </w:r>
    </w:p>
    <w:p w:rsidR="006221C5" w:rsidRPr="00AF7B60" w:rsidRDefault="006221C5" w:rsidP="00AF7B60">
      <w:pPr>
        <w:pStyle w:val="Prrafodelista"/>
        <w:autoSpaceDE w:val="0"/>
        <w:autoSpaceDN w:val="0"/>
        <w:adjustRightInd w:val="0"/>
        <w:spacing w:before="240" w:after="240" w:line="360" w:lineRule="auto"/>
        <w:ind w:left="851" w:right="851"/>
        <w:jc w:val="both"/>
        <w:rPr>
          <w:rFonts w:ascii="Palatino Linotype" w:hAnsi="Palatino Linotype"/>
          <w:i/>
        </w:rPr>
      </w:pPr>
      <w:r w:rsidRPr="006221C5">
        <w:rPr>
          <w:rFonts w:ascii="Palatino Linotype" w:hAnsi="Palatino Linotype"/>
          <w:i/>
        </w:rPr>
        <w:t xml:space="preserve">6. Total de egresos del capítulo 1000 “Servicios Personales” de los ejercicios 2016, 2017 y 2018, ejercidos por la Contraloría Interna Municipal y </w:t>
      </w:r>
      <w:r w:rsidRPr="006221C5">
        <w:rPr>
          <w:rFonts w:ascii="Palatino Linotype" w:hAnsi="Palatino Linotype"/>
          <w:i/>
        </w:rPr>
        <w:lastRenderedPageBreak/>
        <w:t xml:space="preserve">presupuesto </w:t>
      </w:r>
      <w:r w:rsidR="008A1C33">
        <w:rPr>
          <w:rFonts w:ascii="Palatino Linotype" w:hAnsi="Palatino Linotype"/>
          <w:i/>
        </w:rPr>
        <w:t xml:space="preserve">de egresos </w:t>
      </w:r>
      <w:r w:rsidRPr="006221C5">
        <w:rPr>
          <w:rFonts w:ascii="Palatino Linotype" w:hAnsi="Palatino Linotype"/>
          <w:i/>
        </w:rPr>
        <w:t>programado para 2019 para este mismo rubro por la Contraloría Interna Municipal.</w:t>
      </w:r>
    </w:p>
    <w:p w:rsidR="006221C5" w:rsidRPr="006221C5" w:rsidRDefault="006221C5" w:rsidP="006221C5">
      <w:pPr>
        <w:pStyle w:val="Prrafodelista"/>
        <w:autoSpaceDE w:val="0"/>
        <w:autoSpaceDN w:val="0"/>
        <w:adjustRightInd w:val="0"/>
        <w:spacing w:before="240" w:after="240" w:line="360" w:lineRule="auto"/>
        <w:ind w:left="851" w:right="851"/>
        <w:jc w:val="both"/>
        <w:rPr>
          <w:rFonts w:ascii="Palatino Linotype" w:hAnsi="Palatino Linotype"/>
          <w:i/>
        </w:rPr>
      </w:pPr>
      <w:r w:rsidRPr="006221C5">
        <w:rPr>
          <w:rFonts w:ascii="Palatino Linotype" w:hAnsi="Palatino Linotype"/>
          <w:i/>
        </w:rPr>
        <w:t>7. Perfiles de puestos correspondientes de los servidores públicos adscritos a la Contraloría Interna Municipal, vigente al primero de agosto de dos mil diecinueve.</w:t>
      </w:r>
    </w:p>
    <w:p w:rsidR="006221C5" w:rsidRDefault="006221C5" w:rsidP="006221C5">
      <w:pPr>
        <w:pStyle w:val="Prrafodelista"/>
        <w:spacing w:before="240" w:after="240" w:line="360" w:lineRule="auto"/>
        <w:ind w:left="720"/>
        <w:jc w:val="both"/>
        <w:rPr>
          <w:rFonts w:ascii="Palatino Linotype" w:hAnsi="Palatino Linotype"/>
          <w:i/>
          <w:color w:val="000000"/>
        </w:rPr>
      </w:pPr>
      <w:r w:rsidRPr="006221C5">
        <w:rPr>
          <w:rFonts w:ascii="Palatino Linotype" w:hAnsi="Palatino Linotype"/>
          <w:i/>
          <w:color w:val="000000"/>
        </w:rPr>
        <w:t>Para el caso de la clasificación de la información,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rsidR="00AF7B60" w:rsidRPr="006221C5" w:rsidRDefault="00AF7B60" w:rsidP="006221C5">
      <w:pPr>
        <w:pStyle w:val="Prrafodelista"/>
        <w:spacing w:before="240" w:after="240" w:line="360" w:lineRule="auto"/>
        <w:ind w:left="720"/>
        <w:jc w:val="both"/>
        <w:rPr>
          <w:rFonts w:ascii="Palatino Linotype" w:hAnsi="Palatino Linotype"/>
          <w:i/>
          <w:color w:val="000000"/>
        </w:rPr>
      </w:pPr>
    </w:p>
    <w:p w:rsidR="00A27459" w:rsidRDefault="00A27459" w:rsidP="00A27459">
      <w:pPr>
        <w:tabs>
          <w:tab w:val="left" w:pos="8647"/>
        </w:tabs>
        <w:spacing w:after="0" w:line="360" w:lineRule="auto"/>
        <w:ind w:right="51"/>
        <w:jc w:val="both"/>
        <w:rPr>
          <w:rFonts w:ascii="Palatino Linotype" w:hAnsi="Palatino Linotype" w:cs="Arial"/>
          <w:sz w:val="24"/>
          <w:szCs w:val="24"/>
        </w:rPr>
      </w:pPr>
      <w:r>
        <w:rPr>
          <w:rFonts w:ascii="Palatino Linotype" w:hAnsi="Palatino Linotype" w:cs="Arial"/>
          <w:b/>
          <w:sz w:val="28"/>
          <w:szCs w:val="24"/>
        </w:rPr>
        <w:t>TERCERO</w:t>
      </w:r>
      <w:r w:rsidRPr="00C545B7">
        <w:rPr>
          <w:rFonts w:ascii="Palatino Linotype" w:hAnsi="Palatino Linotype" w:cs="Arial"/>
          <w:sz w:val="28"/>
          <w:szCs w:val="24"/>
        </w:rPr>
        <w:t>.</w:t>
      </w:r>
      <w:r w:rsidRPr="00D05C83">
        <w:rPr>
          <w:rFonts w:ascii="Palatino Linotype" w:hAnsi="Palatino Linotype" w:cs="Arial"/>
          <w:sz w:val="24"/>
          <w:szCs w:val="24"/>
        </w:rPr>
        <w:t xml:space="preserve"> </w:t>
      </w:r>
      <w:r w:rsidRPr="00226C6A">
        <w:rPr>
          <w:rFonts w:ascii="Palatino Linotype" w:hAnsi="Palatino Linotype" w:cs="Arial"/>
          <w:b/>
          <w:sz w:val="24"/>
          <w:szCs w:val="24"/>
        </w:rPr>
        <w:t>NOTIFÍQUESE</w:t>
      </w:r>
      <w:r w:rsidRPr="00226C6A">
        <w:rPr>
          <w:rFonts w:ascii="Palatino Linotype" w:hAnsi="Palatino Linotype" w:cs="Arial"/>
          <w:b/>
          <w:i/>
          <w:sz w:val="24"/>
          <w:szCs w:val="24"/>
        </w:rPr>
        <w:t xml:space="preserve"> </w:t>
      </w:r>
      <w:r w:rsidRPr="001620B5">
        <w:rPr>
          <w:rFonts w:ascii="Palatino Linotype" w:hAnsi="Palatino Linotype" w:cs="Arial"/>
          <w:sz w:val="24"/>
          <w:szCs w:val="24"/>
        </w:rPr>
        <w:t xml:space="preserve">la presente resolución </w:t>
      </w:r>
      <w:r w:rsidRPr="00226C6A">
        <w:rPr>
          <w:rFonts w:ascii="Palatino Linotype" w:hAnsi="Palatino Linotype" w:cs="Arial"/>
          <w:sz w:val="24"/>
          <w:szCs w:val="24"/>
        </w:rPr>
        <w:t>al Titular de la Unidad de Transparencia del</w:t>
      </w:r>
      <w:r>
        <w:rPr>
          <w:rFonts w:ascii="Palatino Linotype" w:hAnsi="Palatino Linotype" w:cs="Arial"/>
          <w:b/>
          <w:sz w:val="24"/>
          <w:szCs w:val="24"/>
        </w:rPr>
        <w:t xml:space="preserve"> sujeto o</w:t>
      </w:r>
      <w:r w:rsidRPr="00226C6A">
        <w:rPr>
          <w:rFonts w:ascii="Palatino Linotype" w:hAnsi="Palatino Linotype" w:cs="Arial"/>
          <w:b/>
          <w:sz w:val="24"/>
          <w:szCs w:val="24"/>
        </w:rPr>
        <w:t>bligado</w:t>
      </w:r>
      <w:r w:rsidRPr="00226C6A">
        <w:rPr>
          <w:rFonts w:ascii="Palatino Linotype" w:hAnsi="Palatino Linotype" w:cs="Arial"/>
          <w:sz w:val="24"/>
          <w:szCs w:val="24"/>
        </w:rPr>
        <w:t>,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AF7B60" w:rsidRDefault="00AF7B60" w:rsidP="00A27459">
      <w:pPr>
        <w:tabs>
          <w:tab w:val="left" w:pos="8647"/>
        </w:tabs>
        <w:spacing w:after="0" w:line="360" w:lineRule="auto"/>
        <w:ind w:right="51"/>
        <w:jc w:val="both"/>
        <w:rPr>
          <w:rFonts w:ascii="Palatino Linotype" w:hAnsi="Palatino Linotype" w:cs="Arial"/>
          <w:sz w:val="24"/>
          <w:szCs w:val="24"/>
        </w:rPr>
      </w:pPr>
    </w:p>
    <w:p w:rsidR="00A27459" w:rsidRDefault="00A27459" w:rsidP="00A27459">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4"/>
        </w:rPr>
        <w:t>CUARTO</w:t>
      </w:r>
      <w:r w:rsidRPr="00C545B7">
        <w:rPr>
          <w:rFonts w:ascii="Palatino Linotype" w:hAnsi="Palatino Linotype" w:cs="Arial"/>
          <w:b/>
          <w:sz w:val="28"/>
          <w:szCs w:val="24"/>
        </w:rPr>
        <w:t>.</w:t>
      </w:r>
      <w:r>
        <w:rPr>
          <w:rFonts w:ascii="Palatino Linotype" w:hAnsi="Palatino Linotype" w:cs="Arial"/>
          <w:b/>
          <w:sz w:val="24"/>
          <w:szCs w:val="24"/>
        </w:rPr>
        <w:t xml:space="preserve"> </w:t>
      </w:r>
      <w:r w:rsidR="00D24D81" w:rsidRPr="00D24D81">
        <w:rPr>
          <w:rFonts w:ascii="Palatino Linotype" w:hAnsi="Palatino Linotype" w:cs="Arial"/>
          <w:b/>
          <w:bCs/>
          <w:sz w:val="24"/>
          <w:szCs w:val="24"/>
        </w:rPr>
        <w:t>NOTIFÍQUESE</w:t>
      </w:r>
      <w:r w:rsidR="00D24D81" w:rsidRPr="00D24D81">
        <w:rPr>
          <w:rFonts w:ascii="Palatino Linotype" w:hAnsi="Palatino Linotype" w:cs="Arial"/>
        </w:rPr>
        <w:t xml:space="preserve"> </w:t>
      </w:r>
      <w:r w:rsidR="00D24D81">
        <w:rPr>
          <w:rFonts w:ascii="Palatino Linotype" w:hAnsi="Palatino Linotype" w:cs="Arial"/>
          <w:sz w:val="24"/>
          <w:szCs w:val="24"/>
        </w:rPr>
        <w:t>la resolución al recurrente, asimismo se le hace del conocimiento</w:t>
      </w:r>
      <w:r>
        <w:rPr>
          <w:rFonts w:ascii="Palatino Linotype" w:hAnsi="Palatino Linotype" w:cs="Arial"/>
          <w:sz w:val="24"/>
          <w:szCs w:val="24"/>
        </w:rPr>
        <w:t xml:space="preserve"> que, de conformidad con lo establecido en el artículo 196 de la Ley de </w:t>
      </w:r>
      <w:r>
        <w:rPr>
          <w:rFonts w:ascii="Palatino Linotype" w:hAnsi="Palatino Linotype" w:cs="Arial"/>
          <w:sz w:val="24"/>
          <w:szCs w:val="24"/>
        </w:rPr>
        <w:lastRenderedPageBreak/>
        <w:t xml:space="preserve">Transparencia y Acceso a la Información Pública del Estado de México y Municipios, en caso de que considere que la resolución le cause algún perjuicio podrá impugnarla vía juicio de amparo en los términos de las leyes aplicables. </w:t>
      </w:r>
    </w:p>
    <w:p w:rsidR="00FE43D2" w:rsidRDefault="00FE43D2" w:rsidP="00A27459">
      <w:pPr>
        <w:autoSpaceDE w:val="0"/>
        <w:autoSpaceDN w:val="0"/>
        <w:adjustRightInd w:val="0"/>
        <w:spacing w:before="240" w:line="360" w:lineRule="auto"/>
        <w:jc w:val="both"/>
        <w:rPr>
          <w:rFonts w:ascii="Palatino Linotype" w:hAnsi="Palatino Linotype" w:cs="Arial"/>
          <w:sz w:val="24"/>
          <w:szCs w:val="24"/>
        </w:rPr>
      </w:pPr>
    </w:p>
    <w:p w:rsidR="00A27459" w:rsidRDefault="00A27459" w:rsidP="00A27459">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QUINTO</w:t>
      </w:r>
      <w:r w:rsidRPr="00E2247F">
        <w:rPr>
          <w:rFonts w:ascii="Palatino Linotype" w:hAnsi="Palatino Linotype" w:cs="Arial"/>
          <w:b/>
          <w:sz w:val="28"/>
          <w:szCs w:val="24"/>
        </w:rPr>
        <w:t>.</w:t>
      </w:r>
      <w:r>
        <w:rPr>
          <w:rFonts w:ascii="Palatino Linotype" w:hAnsi="Palatino Linotype" w:cs="Arial"/>
          <w:b/>
          <w:sz w:val="28"/>
          <w:szCs w:val="24"/>
        </w:rPr>
        <w:t xml:space="preserve"> </w:t>
      </w:r>
      <w:r w:rsidRPr="00E93981">
        <w:rPr>
          <w:rFonts w:ascii="Palatino Linotype" w:eastAsia="MS Mincho" w:hAnsi="Palatino Linotype" w:cs="Times New Roman"/>
          <w:sz w:val="24"/>
          <w:szCs w:val="24"/>
          <w:lang w:val="es-ES_tradnl" w:eastAsia="es-ES"/>
        </w:rPr>
        <w:t xml:space="preserve">Gírese oficio al Contralor Interno y Órgano </w:t>
      </w:r>
      <w:r w:rsidRPr="0023221A">
        <w:rPr>
          <w:rFonts w:ascii="Palatino Linotype" w:eastAsia="MS Mincho" w:hAnsi="Palatino Linotype" w:cs="Times New Roman"/>
          <w:sz w:val="24"/>
          <w:szCs w:val="24"/>
          <w:lang w:val="es-ES_tradnl" w:eastAsia="es-ES"/>
        </w:rPr>
        <w:t xml:space="preserve">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 </w:t>
      </w:r>
      <w:r>
        <w:rPr>
          <w:rFonts w:ascii="Palatino Linotype" w:eastAsia="MS Mincho" w:hAnsi="Palatino Linotype" w:cs="Times New Roman"/>
          <w:b/>
          <w:sz w:val="24"/>
          <w:szCs w:val="24"/>
          <w:lang w:val="es-ES_tradnl" w:eastAsia="es-ES"/>
        </w:rPr>
        <w:t>cuarto</w:t>
      </w:r>
      <w:r>
        <w:rPr>
          <w:rFonts w:ascii="Palatino Linotype" w:eastAsia="MS Mincho" w:hAnsi="Palatino Linotype" w:cs="Times New Roman"/>
          <w:sz w:val="24"/>
          <w:szCs w:val="24"/>
          <w:lang w:val="es-ES_tradnl" w:eastAsia="es-ES"/>
        </w:rPr>
        <w:t>.</w:t>
      </w:r>
    </w:p>
    <w:p w:rsidR="00E15E85" w:rsidRPr="009902AF" w:rsidRDefault="00AF7B60" w:rsidP="00E15E85">
      <w:pPr>
        <w:autoSpaceDE w:val="0"/>
        <w:autoSpaceDN w:val="0"/>
        <w:adjustRightInd w:val="0"/>
        <w:spacing w:before="240" w:line="360" w:lineRule="auto"/>
        <w:jc w:val="both"/>
        <w:rPr>
          <w:rFonts w:ascii="Palatino Linotype" w:hAnsi="Palatino Linotype" w:cs="Arial"/>
          <w:b/>
          <w:sz w:val="18"/>
          <w:szCs w:val="18"/>
        </w:rPr>
      </w:pPr>
      <w:r>
        <w:rPr>
          <w:rFonts w:ascii="Palatino Linotype" w:hAnsi="Palatino Linotype" w:cs="Arial"/>
          <w:sz w:val="24"/>
          <w:szCs w:val="24"/>
        </w:rPr>
        <w:t>----------------------------------------------------------------------------------------------------------------------------------------------------------------------------------------------------------------------------------------------------------------------------------------------------------------------------------------------------------------------------------------------------------------------------------------------------------------------------------------------------------------------------------------------------------------------------------------------------------------------------------------------------------------------------------------------------------------------------------------------------------------------------------------------------------------------------------------------------------------------------------------------------------------------------------------------------------------------------------------------------------------------------------------------------------------------------------------------------------------------------------------------------------------------------------------------------------------------------------------------------------------------------------------------------------------------------------------------------------------------------------------------------------------------------------------------------------------------------------------------------------------------------------------------------------------------------------------------------------------------------------------------</w:t>
      </w:r>
    </w:p>
    <w:p w:rsidR="00FE43D2" w:rsidRDefault="00FE43D2" w:rsidP="00FE43D2">
      <w:pPr>
        <w:spacing w:after="0" w:line="360" w:lineRule="auto"/>
        <w:jc w:val="both"/>
        <w:rPr>
          <w:rFonts w:ascii="Palatino Linotype" w:hAnsi="Palatino Linotype" w:cs="Arial"/>
          <w:sz w:val="24"/>
          <w:szCs w:val="24"/>
        </w:rPr>
      </w:pPr>
      <w:r w:rsidRPr="0024637B">
        <w:rPr>
          <w:rFonts w:ascii="Palatino Linotype" w:hAnsi="Palatino Linotype" w:cs="Arial"/>
          <w:sz w:val="24"/>
          <w:szCs w:val="24"/>
        </w:rPr>
        <w:lastRenderedPageBreak/>
        <w:t>ASÍ LO RESUELVE, POR UNANIMIDAD DE VOTOS</w:t>
      </w:r>
      <w:r>
        <w:rPr>
          <w:rFonts w:ascii="Palatino Linotype" w:hAnsi="Palatino Linotype" w:cs="Arial"/>
          <w:sz w:val="24"/>
          <w:szCs w:val="24"/>
        </w:rPr>
        <w:t xml:space="preserve"> </w:t>
      </w:r>
      <w:r w:rsidRPr="0024637B">
        <w:rPr>
          <w:rFonts w:ascii="Palatino Linotype" w:hAnsi="Palatino Linotype" w:cs="Arial"/>
          <w:sz w:val="24"/>
          <w:szCs w:val="24"/>
        </w:rPr>
        <w:t>EL PLENO DEL</w:t>
      </w:r>
      <w:r w:rsidRPr="0024637B">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24637B">
        <w:rPr>
          <w:rFonts w:ascii="Palatino Linotype" w:hAnsi="Palatino Linotype" w:cs="Arial"/>
          <w:sz w:val="24"/>
          <w:szCs w:val="24"/>
        </w:rPr>
        <w:t>, CONFORMADO POR LOS COMISIONADOS ZULEMA MARTÍNEZ SÁNCHEZ</w:t>
      </w:r>
      <w:r>
        <w:rPr>
          <w:rFonts w:ascii="Palatino Linotype" w:hAnsi="Palatino Linotype" w:cs="Arial"/>
          <w:sz w:val="24"/>
          <w:szCs w:val="24"/>
        </w:rPr>
        <w:t xml:space="preserve">, </w:t>
      </w:r>
      <w:r w:rsidRPr="0024637B">
        <w:rPr>
          <w:rFonts w:ascii="Palatino Linotype" w:hAnsi="Palatino Linotype" w:cs="Arial"/>
          <w:sz w:val="24"/>
          <w:szCs w:val="24"/>
        </w:rPr>
        <w:t>EVA ABAID YAPUR,</w:t>
      </w:r>
      <w:r>
        <w:rPr>
          <w:rFonts w:ascii="Palatino Linotype" w:hAnsi="Palatino Linotype" w:cs="Arial"/>
          <w:sz w:val="24"/>
          <w:szCs w:val="24"/>
        </w:rPr>
        <w:t xml:space="preserve"> </w:t>
      </w:r>
      <w:r w:rsidRPr="0024637B">
        <w:rPr>
          <w:rFonts w:ascii="Palatino Linotype" w:hAnsi="Palatino Linotype" w:cs="Arial"/>
          <w:sz w:val="24"/>
          <w:szCs w:val="24"/>
        </w:rPr>
        <w:t>JOSÉ GUADALUPE LUNA HERNÁNDEZ</w:t>
      </w:r>
      <w:r>
        <w:rPr>
          <w:rFonts w:ascii="Palatino Linotype" w:hAnsi="Palatino Linotype" w:cs="Arial"/>
          <w:sz w:val="24"/>
          <w:szCs w:val="24"/>
        </w:rPr>
        <w:t xml:space="preserve">, </w:t>
      </w:r>
      <w:r w:rsidRPr="0024637B">
        <w:rPr>
          <w:rFonts w:ascii="Palatino Linotype" w:hAnsi="Palatino Linotype" w:cs="Arial"/>
          <w:sz w:val="24"/>
          <w:szCs w:val="24"/>
        </w:rPr>
        <w:t>JAVIER MARTÍNEZ CRUZ</w:t>
      </w:r>
      <w:r>
        <w:rPr>
          <w:rFonts w:ascii="Palatino Linotype" w:hAnsi="Palatino Linotype" w:cs="Arial"/>
          <w:sz w:val="24"/>
          <w:szCs w:val="24"/>
        </w:rPr>
        <w:t xml:space="preserve"> Y </w:t>
      </w:r>
      <w:r w:rsidRPr="00E07455">
        <w:rPr>
          <w:rFonts w:ascii="Palatino Linotype" w:hAnsi="Palatino Linotype" w:cs="Arial"/>
          <w:sz w:val="24"/>
          <w:szCs w:val="24"/>
        </w:rPr>
        <w:t>LUIS GUSTAVO PARRA NORIEGA</w:t>
      </w:r>
      <w:r>
        <w:rPr>
          <w:rFonts w:ascii="Palatino Linotype" w:hAnsi="Palatino Linotype" w:cs="Arial"/>
          <w:sz w:val="24"/>
          <w:szCs w:val="24"/>
        </w:rPr>
        <w:t xml:space="preserve">, </w:t>
      </w:r>
      <w:r w:rsidRPr="0024637B">
        <w:rPr>
          <w:rFonts w:ascii="Palatino Linotype" w:hAnsi="Palatino Linotype" w:cs="Arial"/>
          <w:sz w:val="24"/>
          <w:szCs w:val="24"/>
        </w:rPr>
        <w:t xml:space="preserve">EN LA </w:t>
      </w:r>
      <w:r w:rsidR="00AF7B60">
        <w:rPr>
          <w:rFonts w:ascii="Palatino Linotype" w:hAnsi="Palatino Linotype" w:cs="Arial"/>
          <w:sz w:val="24"/>
          <w:szCs w:val="24"/>
        </w:rPr>
        <w:t>CUADRAGÉSIMA</w:t>
      </w:r>
      <w:r>
        <w:rPr>
          <w:rFonts w:ascii="Palatino Linotype" w:hAnsi="Palatino Linotype" w:cs="Arial"/>
          <w:sz w:val="24"/>
          <w:szCs w:val="24"/>
        </w:rPr>
        <w:t xml:space="preserve"> SESIÓN ORDINARIA CELEBRADA EL </w:t>
      </w:r>
      <w:r w:rsidR="00AF7B60">
        <w:rPr>
          <w:rFonts w:ascii="Palatino Linotype" w:hAnsi="Palatino Linotype" w:cs="Arial"/>
          <w:sz w:val="24"/>
          <w:szCs w:val="24"/>
        </w:rPr>
        <w:t>TREINTA DE OCTUBRE</w:t>
      </w:r>
      <w:r>
        <w:rPr>
          <w:rFonts w:ascii="Palatino Linotype" w:hAnsi="Palatino Linotype" w:cs="Arial"/>
          <w:sz w:val="24"/>
          <w:szCs w:val="24"/>
        </w:rPr>
        <w:t xml:space="preserve"> DE DOS MIL DIECINUEVE</w:t>
      </w:r>
      <w:r w:rsidRPr="0024637B">
        <w:rPr>
          <w:rFonts w:ascii="Palatino Linotype" w:hAnsi="Palatino Linotype" w:cs="Arial"/>
          <w:sz w:val="24"/>
          <w:szCs w:val="24"/>
        </w:rPr>
        <w:t xml:space="preserve">, ANTE </w:t>
      </w:r>
      <w:r>
        <w:rPr>
          <w:rFonts w:ascii="Palatino Linotype" w:hAnsi="Palatino Linotype" w:cs="Arial"/>
          <w:sz w:val="24"/>
          <w:szCs w:val="24"/>
        </w:rPr>
        <w:t>EL</w:t>
      </w:r>
      <w:r w:rsidRPr="0024637B">
        <w:rPr>
          <w:rFonts w:ascii="Palatino Linotype" w:hAnsi="Palatino Linotype" w:cs="Arial"/>
          <w:sz w:val="24"/>
          <w:szCs w:val="24"/>
        </w:rPr>
        <w:t xml:space="preserve"> SECRETARI</w:t>
      </w:r>
      <w:r>
        <w:rPr>
          <w:rFonts w:ascii="Palatino Linotype" w:hAnsi="Palatino Linotype" w:cs="Arial"/>
          <w:sz w:val="24"/>
          <w:szCs w:val="24"/>
        </w:rPr>
        <w:t>O</w:t>
      </w:r>
      <w:r w:rsidRPr="0024637B">
        <w:rPr>
          <w:rFonts w:ascii="Palatino Linotype" w:hAnsi="Palatino Linotype" w:cs="Arial"/>
          <w:sz w:val="24"/>
          <w:szCs w:val="24"/>
        </w:rPr>
        <w:t xml:space="preserve"> TÉCNIC</w:t>
      </w:r>
      <w:r>
        <w:rPr>
          <w:rFonts w:ascii="Palatino Linotype" w:hAnsi="Palatino Linotype" w:cs="Arial"/>
          <w:sz w:val="24"/>
          <w:szCs w:val="24"/>
        </w:rPr>
        <w:t>O</w:t>
      </w:r>
      <w:r w:rsidRPr="0024637B">
        <w:rPr>
          <w:rFonts w:ascii="Palatino Linotype" w:hAnsi="Palatino Linotype" w:cs="Arial"/>
          <w:sz w:val="24"/>
          <w:szCs w:val="24"/>
        </w:rPr>
        <w:t xml:space="preserve"> DEL PLENO, </w:t>
      </w:r>
      <w:r w:rsidRPr="00B86F1F">
        <w:rPr>
          <w:rFonts w:ascii="Palatino Linotype" w:hAnsi="Palatino Linotype" w:cs="Arial"/>
          <w:sz w:val="24"/>
          <w:szCs w:val="24"/>
        </w:rPr>
        <w:t>ALEXIS TAPIA RAMÍREZ</w:t>
      </w:r>
      <w:r>
        <w:rPr>
          <w:rFonts w:ascii="Palatino Linotype" w:hAnsi="Palatino Linotype" w:cs="Arial"/>
          <w:sz w:val="24"/>
          <w:szCs w:val="24"/>
        </w:rPr>
        <w:t>.------------------------------------------------------------------------------------------------------------------------------------------------------------------------------------------------------</w:t>
      </w:r>
      <w:r w:rsidR="00AF7B60">
        <w:rPr>
          <w:rFonts w:ascii="Palatino Linotype" w:hAnsi="Palatino Linotype" w:cs="Arial"/>
          <w:sz w:val="24"/>
          <w:szCs w:val="24"/>
        </w:rPr>
        <w:t>----------------------------------------------------------------------------------------------------------------------------------------------------------------------------------------------------------------------------------</w:t>
      </w:r>
      <w:r>
        <w:rPr>
          <w:rFonts w:ascii="Palatino Linotype" w:hAnsi="Palatino Linotype" w:cs="Arial"/>
          <w:sz w:val="24"/>
          <w:szCs w:val="24"/>
        </w:rPr>
        <w:t>-</w:t>
      </w:r>
      <w:r w:rsidR="00AF7B60">
        <w:rPr>
          <w:rFonts w:ascii="Palatino Linotype" w:hAnsi="Palatino Linotype" w:cs="Arial"/>
          <w:sz w:val="24"/>
          <w:szCs w:val="24"/>
        </w:rPr>
        <w:t>------------------------------------------------------------------------------------------------------------------------------------------------------------------------------------------------------------------------------------------------------------------------------------------------------------------------------------------------------------------------------------------------------------------------------------------------------------------------------------------------------------------------------------------------------------------------------------------------</w:t>
      </w:r>
      <w:r>
        <w:rPr>
          <w:rFonts w:ascii="Palatino Linotype" w:hAnsi="Palatino Linotype" w:cs="Arial"/>
          <w:sz w:val="24"/>
          <w:szCs w:val="24"/>
        </w:rPr>
        <w:t>-</w:t>
      </w:r>
    </w:p>
    <w:p w:rsidR="00FE43D2" w:rsidRDefault="00FE43D2" w:rsidP="00FE43D2">
      <w:pPr>
        <w:spacing w:after="0" w:line="360" w:lineRule="auto"/>
        <w:jc w:val="both"/>
        <w:rPr>
          <w:rFonts w:ascii="Palatino Linotype" w:hAnsi="Palatino Linotype" w:cs="Arial"/>
          <w:sz w:val="24"/>
          <w:szCs w:val="24"/>
        </w:rPr>
      </w:pPr>
      <w:r>
        <w:rPr>
          <w:rFonts w:ascii="Palatino Linotype" w:hAnsi="Palatino Linotype"/>
        </w:rPr>
        <w:t xml:space="preserve"> </w:t>
      </w:r>
      <w:r>
        <w:rPr>
          <w:rFonts w:ascii="Palatino Linotype" w:hAnsi="Palatino Linotype" w:cs="Arial"/>
          <w:sz w:val="24"/>
          <w:szCs w:val="24"/>
        </w:rPr>
        <w:t>----------------------------------------------------------------------------------------------------------------------------------------------------------------------------------------------------------------------------------------------------------------------------------------------------------------------------------------------------------------------------------------------------------------------------------------------------------------------------------------------------------------------------------------------------------------------------------------------------------------------------------------------------------------------------------------------------------------------------------------------------------------------------------------------------------------------</w:t>
      </w:r>
    </w:p>
    <w:p w:rsidR="00D36C12" w:rsidRDefault="00D36C12" w:rsidP="00FE43D2">
      <w:pPr>
        <w:spacing w:after="0" w:line="360" w:lineRule="auto"/>
        <w:jc w:val="both"/>
        <w:rPr>
          <w:rFonts w:ascii="Palatino Linotype" w:hAnsi="Palatino Linotype"/>
        </w:rPr>
      </w:pPr>
    </w:p>
    <w:p w:rsidR="00FE43D2" w:rsidRDefault="00FE43D2" w:rsidP="00FE43D2">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1F562FAB" wp14:editId="486F6459">
                <wp:simplePos x="0" y="0"/>
                <wp:positionH relativeFrom="page">
                  <wp:align>center</wp:align>
                </wp:positionH>
                <wp:positionV relativeFrom="paragraph">
                  <wp:posOffset>67265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rsidR="00FE43D2" w:rsidRPr="00EF2FC0" w:rsidRDefault="00FE43D2" w:rsidP="00FE43D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E43D2" w:rsidRDefault="00FE43D2" w:rsidP="00FE43D2">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562FAB"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63360;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ChlqM9IgIAACMEAAAOAAAAAAAAAAAAAAAAAC4CAABkcnMvZTJvRG9jLnhtbFBL&#10;AQItABQABgAIAAAAIQCgkWv52wAAAAcBAAAPAAAAAAAAAAAAAAAAAHwEAABkcnMvZG93bnJldi54&#10;bWxQSwUGAAAAAAQABADzAAAAhAUAAAAA&#10;" stroked="f">
                <v:textbox>
                  <w:txbxContent>
                    <w:p w:rsidR="00FE43D2" w:rsidRPr="00EF2FC0" w:rsidRDefault="00FE43D2" w:rsidP="00FE43D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E43D2" w:rsidRDefault="00FE43D2" w:rsidP="00FE43D2">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w:t>
                      </w:r>
                      <w:proofErr w:type="gramStart"/>
                      <w:r>
                        <w:rPr>
                          <w:rFonts w:ascii="Palatino Linotype" w:hAnsi="Palatino Linotype"/>
                          <w:sz w:val="24"/>
                          <w:szCs w:val="24"/>
                        </w:rPr>
                        <w:t>Presidenta</w:t>
                      </w:r>
                      <w:proofErr w:type="gramEnd"/>
                    </w:p>
                  </w:txbxContent>
                </v:textbox>
                <w10:wrap type="square" anchorx="page"/>
              </v:shape>
            </w:pict>
          </mc:Fallback>
        </mc:AlternateContent>
      </w:r>
    </w:p>
    <w:p w:rsidR="00FE43D2" w:rsidRPr="00D54B7D" w:rsidRDefault="00FE43D2" w:rsidP="00FE43D2">
      <w:pPr>
        <w:spacing w:before="240"/>
        <w:jc w:val="both"/>
        <w:rPr>
          <w:rFonts w:ascii="Palatino Linotype" w:hAnsi="Palatino Linotype"/>
        </w:rPr>
      </w:pPr>
    </w:p>
    <w:p w:rsidR="00FE43D2" w:rsidRPr="00D54B7D" w:rsidRDefault="00FE43D2" w:rsidP="00FE43D2">
      <w:pPr>
        <w:spacing w:before="240"/>
        <w:jc w:val="center"/>
        <w:rPr>
          <w:rFonts w:ascii="Palatino Linotype" w:hAnsi="Palatino Linotype"/>
        </w:rPr>
      </w:pPr>
    </w:p>
    <w:p w:rsidR="00FE43D2" w:rsidRDefault="00FE43D2" w:rsidP="00FE43D2">
      <w:pPr>
        <w:spacing w:before="240"/>
        <w:rPr>
          <w:rFonts w:ascii="Palatino Linotype" w:hAnsi="Palatino Linotype"/>
          <w:b/>
        </w:rPr>
      </w:pPr>
    </w:p>
    <w:p w:rsidR="00FE43D2" w:rsidRDefault="00FE43D2" w:rsidP="00FE43D2">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74699121" wp14:editId="10F1A749">
                <wp:simplePos x="0" y="0"/>
                <wp:positionH relativeFrom="margin">
                  <wp:align>right</wp:align>
                </wp:positionH>
                <wp:positionV relativeFrom="paragraph">
                  <wp:posOffset>64592</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E43D2" w:rsidRPr="00EF2FC0" w:rsidRDefault="00FE43D2" w:rsidP="00FE43D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E43D2" w:rsidRDefault="00FE43D2" w:rsidP="00FE43D2">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E43D2" w:rsidRPr="00797B31" w:rsidRDefault="00FE43D2" w:rsidP="00FE43D2">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699121" id="Cuadro de texto 35" o:spid="_x0000_s1027" type="#_x0000_t202" style="position:absolute;margin-left:149.05pt;margin-top:5.1pt;width:200.25pt;height:73.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" fillcolor="white [3201]" strokecolor="white [3212]" strokeweight=".5pt">
                <v:textbox>
                  <w:txbxContent>
                    <w:p w:rsidR="00FE43D2" w:rsidRPr="00EF2FC0" w:rsidRDefault="00FE43D2" w:rsidP="00FE43D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E43D2" w:rsidRDefault="00FE43D2" w:rsidP="00FE43D2">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E43D2" w:rsidRPr="00797B31" w:rsidRDefault="00FE43D2" w:rsidP="00FE43D2">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1AB5E95" wp14:editId="46584369">
                <wp:simplePos x="0" y="0"/>
                <wp:positionH relativeFrom="margin">
                  <wp:align>left</wp:align>
                </wp:positionH>
                <wp:positionV relativeFrom="paragraph">
                  <wp:posOffset>63485</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E43D2" w:rsidRPr="00EF2FC0" w:rsidRDefault="00FE43D2" w:rsidP="00FE43D2">
                            <w:pPr>
                              <w:jc w:val="center"/>
                              <w:rPr>
                                <w:rFonts w:ascii="Palatino Linotype" w:hAnsi="Palatino Linotype"/>
                                <w:b/>
                                <w:sz w:val="24"/>
                                <w:szCs w:val="24"/>
                              </w:rPr>
                            </w:pPr>
                            <w:r w:rsidRPr="00EF2FC0">
                              <w:rPr>
                                <w:rFonts w:ascii="Palatino Linotype" w:hAnsi="Palatino Linotype"/>
                                <w:b/>
                                <w:sz w:val="24"/>
                                <w:szCs w:val="24"/>
                              </w:rPr>
                              <w:t>Eva Abaid Yapur</w:t>
                            </w:r>
                          </w:p>
                          <w:p w:rsidR="00FE43D2" w:rsidRPr="00EF2FC0" w:rsidRDefault="00FE43D2" w:rsidP="00FE43D2">
                            <w:pPr>
                              <w:jc w:val="center"/>
                              <w:rPr>
                                <w:rFonts w:ascii="Palatino Linotype" w:hAnsi="Palatino Linotype"/>
                                <w:sz w:val="24"/>
                                <w:szCs w:val="24"/>
                              </w:rPr>
                            </w:pPr>
                            <w:r w:rsidRPr="00EF2FC0">
                              <w:rPr>
                                <w:rFonts w:ascii="Palatino Linotype" w:hAnsi="Palatino Linotype"/>
                                <w:sz w:val="24"/>
                                <w:szCs w:val="24"/>
                              </w:rPr>
                              <w:t>Comisionada</w:t>
                            </w:r>
                          </w:p>
                          <w:p w:rsidR="00FE43D2" w:rsidRDefault="00FE43D2" w:rsidP="00FE43D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AB5E95" id="Cuadro de texto 22" o:spid="_x0000_s1028" type="#_x0000_t202" style="position:absolute;margin-left:0;margin-top:5pt;width:153pt;height:78.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" fillcolor="white [3201]" strokecolor="white [3212]" strokeweight=".5pt">
                <v:textbox>
                  <w:txbxContent>
                    <w:p w:rsidR="00FE43D2" w:rsidRPr="00EF2FC0" w:rsidRDefault="00FE43D2" w:rsidP="00FE43D2">
                      <w:pPr>
                        <w:jc w:val="center"/>
                        <w:rPr>
                          <w:rFonts w:ascii="Palatino Linotype" w:hAnsi="Palatino Linotype"/>
                          <w:b/>
                          <w:sz w:val="24"/>
                          <w:szCs w:val="24"/>
                        </w:rPr>
                      </w:pPr>
                      <w:r w:rsidRPr="00EF2FC0">
                        <w:rPr>
                          <w:rFonts w:ascii="Palatino Linotype" w:hAnsi="Palatino Linotype"/>
                          <w:b/>
                          <w:sz w:val="24"/>
                          <w:szCs w:val="24"/>
                        </w:rPr>
                        <w:t>Eva Abaid Yapur</w:t>
                      </w:r>
                    </w:p>
                    <w:p w:rsidR="00FE43D2" w:rsidRPr="00EF2FC0" w:rsidRDefault="00FE43D2" w:rsidP="00FE43D2">
                      <w:pPr>
                        <w:jc w:val="center"/>
                        <w:rPr>
                          <w:rFonts w:ascii="Palatino Linotype" w:hAnsi="Palatino Linotype"/>
                          <w:sz w:val="24"/>
                          <w:szCs w:val="24"/>
                        </w:rPr>
                      </w:pPr>
                      <w:r w:rsidRPr="00EF2FC0">
                        <w:rPr>
                          <w:rFonts w:ascii="Palatino Linotype" w:hAnsi="Palatino Linotype"/>
                          <w:sz w:val="24"/>
                          <w:szCs w:val="24"/>
                        </w:rPr>
                        <w:t>Comisionada</w:t>
                      </w:r>
                    </w:p>
                    <w:p w:rsidR="00FE43D2" w:rsidRDefault="00FE43D2" w:rsidP="00FE43D2">
                      <w:pPr>
                        <w:jc w:val="center"/>
                      </w:pPr>
                    </w:p>
                  </w:txbxContent>
                </v:textbox>
                <w10:wrap anchorx="margin"/>
              </v:shape>
            </w:pict>
          </mc:Fallback>
        </mc:AlternateContent>
      </w:r>
    </w:p>
    <w:p w:rsidR="00FE43D2" w:rsidRPr="00D54B7D" w:rsidRDefault="00FE43D2" w:rsidP="00FE43D2">
      <w:pPr>
        <w:spacing w:before="240"/>
        <w:rPr>
          <w:rFonts w:ascii="Palatino Linotype" w:hAnsi="Palatino Linotype"/>
          <w:b/>
        </w:rPr>
      </w:pPr>
    </w:p>
    <w:p w:rsidR="00FE43D2" w:rsidRPr="00D54B7D" w:rsidRDefault="00FE43D2" w:rsidP="00FE43D2">
      <w:pPr>
        <w:spacing w:before="240"/>
        <w:rPr>
          <w:rFonts w:ascii="Palatino Linotype" w:hAnsi="Palatino Linotype"/>
          <w:b/>
        </w:rPr>
      </w:pPr>
    </w:p>
    <w:p w:rsidR="00FE43D2" w:rsidRDefault="00FE43D2" w:rsidP="00FE43D2">
      <w:pPr>
        <w:spacing w:before="240"/>
        <w:rPr>
          <w:rFonts w:ascii="Palatino Linotype" w:hAnsi="Palatino Linotype"/>
          <w:b/>
        </w:rPr>
      </w:pPr>
    </w:p>
    <w:p w:rsidR="00FE43D2" w:rsidRPr="00B93570" w:rsidRDefault="00FE43D2" w:rsidP="00FE43D2">
      <w:pPr>
        <w:spacing w:before="240"/>
        <w:rPr>
          <w:rFonts w:ascii="Palatino Linotype" w:hAnsi="Palatino Linotype"/>
          <w:b/>
          <w:sz w:val="18"/>
          <w:szCs w:val="18"/>
        </w:rPr>
      </w:pPr>
    </w:p>
    <w:p w:rsidR="00FE43D2" w:rsidRPr="00B93570" w:rsidRDefault="00FE43D2" w:rsidP="00FE43D2">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31EDF59" wp14:editId="126B28C2">
                <wp:simplePos x="0" y="0"/>
                <wp:positionH relativeFrom="page">
                  <wp:posOffset>4547235</wp:posOffset>
                </wp:positionH>
                <wp:positionV relativeFrom="paragraph">
                  <wp:posOffset>241935</wp:posOffset>
                </wp:positionV>
                <wp:extent cx="2133600" cy="943661"/>
                <wp:effectExtent l="0" t="0" r="19050" b="27940"/>
                <wp:wrapNone/>
                <wp:docPr id="18" name="Cuadro de texto 18"/>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E43D2" w:rsidRPr="00EF2FC0" w:rsidRDefault="00FE43D2" w:rsidP="00FE43D2">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FE43D2" w:rsidRPr="00EF2FC0" w:rsidRDefault="00FE43D2" w:rsidP="00FE43D2">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E43D2" w:rsidRDefault="00FE43D2" w:rsidP="00FE43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1EDF59" id="Cuadro de texto 18" o:spid="_x0000_s1029" type="#_x0000_t202" style="position:absolute;margin-left:358.05pt;margin-top:19.05pt;width:168pt;height:74.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ZkmAIAAMI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" fillcolor="white [3201]" strokecolor="white [3212]" strokeweight=".5pt">
                <v:textbox>
                  <w:txbxContent>
                    <w:p w:rsidR="00FE43D2" w:rsidRPr="00EF2FC0" w:rsidRDefault="00FE43D2" w:rsidP="00FE43D2">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FE43D2" w:rsidRPr="00EF2FC0" w:rsidRDefault="00FE43D2" w:rsidP="00FE43D2">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E43D2" w:rsidRDefault="00FE43D2" w:rsidP="00FE43D2">
                      <w:bookmarkStart w:id="1" w:name="_GoBack"/>
                      <w:bookmarkEnd w:id="1"/>
                    </w:p>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40762A2" wp14:editId="1A5FB79F">
                <wp:simplePos x="0" y="0"/>
                <wp:positionH relativeFrom="page">
                  <wp:posOffset>1085850</wp:posOffset>
                </wp:positionH>
                <wp:positionV relativeFrom="paragraph">
                  <wp:posOffset>231775</wp:posOffset>
                </wp:positionV>
                <wp:extent cx="2133600" cy="943661"/>
                <wp:effectExtent l="0" t="0" r="19050" b="27940"/>
                <wp:wrapNone/>
                <wp:docPr id="19" name="Cuadro de texto 19"/>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E43D2" w:rsidRPr="00EF2FC0" w:rsidRDefault="00FE43D2" w:rsidP="00FE43D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E43D2" w:rsidRPr="00EF2FC0" w:rsidRDefault="00FE43D2" w:rsidP="00FE43D2">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E43D2" w:rsidRDefault="00FE43D2" w:rsidP="00FE43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0762A2" id="Cuadro de texto 19" o:spid="_x0000_s1030" type="#_x0000_t202" style="position:absolute;margin-left:85.5pt;margin-top:18.25pt;width:168pt;height:74.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lkmAIAAMI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" fillcolor="white [3201]" strokecolor="white [3212]" strokeweight=".5pt">
                <v:textbox>
                  <w:txbxContent>
                    <w:p w:rsidR="00FE43D2" w:rsidRPr="00EF2FC0" w:rsidRDefault="00FE43D2" w:rsidP="00FE43D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E43D2" w:rsidRPr="00EF2FC0" w:rsidRDefault="00FE43D2" w:rsidP="00FE43D2">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E43D2" w:rsidRDefault="00FE43D2" w:rsidP="00FE43D2"/>
                  </w:txbxContent>
                </v:textbox>
                <w10:wrap anchorx="page"/>
              </v:shape>
            </w:pict>
          </mc:Fallback>
        </mc:AlternateContent>
      </w:r>
    </w:p>
    <w:p w:rsidR="00FE43D2" w:rsidRDefault="00FE43D2" w:rsidP="00FE43D2">
      <w:pPr>
        <w:spacing w:before="240"/>
        <w:rPr>
          <w:rFonts w:ascii="Palatino Linotype" w:hAnsi="Palatino Linotype"/>
          <w:b/>
        </w:rPr>
      </w:pPr>
    </w:p>
    <w:p w:rsidR="00FE43D2" w:rsidRDefault="00FE43D2" w:rsidP="00FE43D2">
      <w:pPr>
        <w:spacing w:before="240"/>
        <w:rPr>
          <w:rFonts w:ascii="Palatino Linotype" w:hAnsi="Palatino Linotype"/>
          <w:b/>
        </w:rPr>
      </w:pPr>
    </w:p>
    <w:p w:rsidR="00FE43D2" w:rsidRDefault="00FE43D2" w:rsidP="00FE43D2">
      <w:pPr>
        <w:spacing w:before="240"/>
        <w:rPr>
          <w:rFonts w:ascii="Palatino Linotype" w:hAnsi="Palatino Linotype" w:cs="Arial"/>
          <w:szCs w:val="20"/>
        </w:rPr>
      </w:pPr>
    </w:p>
    <w:p w:rsidR="00FE43D2" w:rsidRDefault="00FE43D2" w:rsidP="00FE43D2">
      <w:pPr>
        <w:spacing w:before="240"/>
        <w:rPr>
          <w:rFonts w:ascii="Palatino Linotype" w:hAnsi="Palatino Linotype" w:cs="Arial"/>
          <w:szCs w:val="20"/>
        </w:rPr>
      </w:pPr>
    </w:p>
    <w:p w:rsidR="00FE43D2" w:rsidRDefault="00FE43D2" w:rsidP="00FE43D2">
      <w:pPr>
        <w:spacing w:before="240"/>
        <w:rPr>
          <w:rFonts w:ascii="Palatino Linotype" w:hAnsi="Palatino Linotype" w:cs="Arial"/>
          <w:sz w:val="18"/>
          <w:szCs w:val="18"/>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65140F46" wp14:editId="4D9AD954">
                <wp:simplePos x="0" y="0"/>
                <wp:positionH relativeFrom="margin">
                  <wp:align>center</wp:align>
                </wp:positionH>
                <wp:positionV relativeFrom="paragraph">
                  <wp:posOffset>65405</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E43D2" w:rsidRPr="007F6133" w:rsidRDefault="00FE43D2" w:rsidP="00FE43D2">
                            <w:pPr>
                              <w:jc w:val="center"/>
                              <w:rPr>
                                <w:rFonts w:ascii="Palatino Linotype" w:hAnsi="Palatino Linotype"/>
                                <w:b/>
                                <w:sz w:val="24"/>
                                <w:szCs w:val="24"/>
                              </w:rPr>
                            </w:pPr>
                            <w:r w:rsidRPr="00B86F1F">
                              <w:rPr>
                                <w:rFonts w:ascii="Palatino Linotype" w:hAnsi="Palatino Linotype"/>
                                <w:b/>
                                <w:sz w:val="24"/>
                                <w:szCs w:val="24"/>
                              </w:rPr>
                              <w:t>Alexis Tapia Ramírez</w:t>
                            </w:r>
                          </w:p>
                          <w:p w:rsidR="00FE43D2" w:rsidRDefault="00FE43D2" w:rsidP="00FE43D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E43D2" w:rsidRDefault="00FE43D2" w:rsidP="00FE43D2">
                            <w:pPr>
                              <w:jc w:val="center"/>
                              <w:rPr>
                                <w:rFonts w:ascii="Palatino Linotype" w:hAnsi="Palatino Linotype"/>
                                <w:sz w:val="24"/>
                                <w:szCs w:val="24"/>
                              </w:rPr>
                            </w:pPr>
                          </w:p>
                          <w:p w:rsidR="00FE43D2" w:rsidRPr="00EF2FC0" w:rsidRDefault="00FE43D2" w:rsidP="00FE43D2">
                            <w:pPr>
                              <w:jc w:val="center"/>
                              <w:rPr>
                                <w:rFonts w:ascii="Palatino Linotype" w:hAnsi="Palatino Linotype"/>
                                <w:sz w:val="24"/>
                                <w:szCs w:val="24"/>
                              </w:rPr>
                            </w:pPr>
                          </w:p>
                          <w:p w:rsidR="00FE43D2" w:rsidRDefault="00FE43D2" w:rsidP="00FE43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140F46" id="Cuadro de texto 24" o:spid="_x0000_s1031" type="#_x0000_t202" style="position:absolute;margin-left:0;margin-top:5.15pt;width:248.25pt;height:74.9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" fillcolor="white [3201]" strokecolor="white [3212]" strokeweight=".5pt">
                <v:textbox>
                  <w:txbxContent>
                    <w:p w:rsidR="00FE43D2" w:rsidRPr="007F6133" w:rsidRDefault="00FE43D2" w:rsidP="00FE43D2">
                      <w:pPr>
                        <w:jc w:val="center"/>
                        <w:rPr>
                          <w:rFonts w:ascii="Palatino Linotype" w:hAnsi="Palatino Linotype"/>
                          <w:b/>
                          <w:sz w:val="24"/>
                          <w:szCs w:val="24"/>
                        </w:rPr>
                      </w:pPr>
                      <w:r w:rsidRPr="00B86F1F">
                        <w:rPr>
                          <w:rFonts w:ascii="Palatino Linotype" w:hAnsi="Palatino Linotype"/>
                          <w:b/>
                          <w:sz w:val="24"/>
                          <w:szCs w:val="24"/>
                        </w:rPr>
                        <w:t>Alexis Tapia Ramírez</w:t>
                      </w:r>
                    </w:p>
                    <w:p w:rsidR="00FE43D2" w:rsidRDefault="00FE43D2" w:rsidP="00FE43D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E43D2" w:rsidRDefault="00FE43D2" w:rsidP="00FE43D2">
                      <w:pPr>
                        <w:jc w:val="center"/>
                        <w:rPr>
                          <w:rFonts w:ascii="Palatino Linotype" w:hAnsi="Palatino Linotype"/>
                          <w:sz w:val="24"/>
                          <w:szCs w:val="24"/>
                        </w:rPr>
                      </w:pPr>
                    </w:p>
                    <w:p w:rsidR="00FE43D2" w:rsidRPr="00EF2FC0" w:rsidRDefault="00FE43D2" w:rsidP="00FE43D2">
                      <w:pPr>
                        <w:jc w:val="center"/>
                        <w:rPr>
                          <w:rFonts w:ascii="Palatino Linotype" w:hAnsi="Palatino Linotype"/>
                          <w:sz w:val="24"/>
                          <w:szCs w:val="24"/>
                        </w:rPr>
                      </w:pPr>
                    </w:p>
                    <w:p w:rsidR="00FE43D2" w:rsidRDefault="00FE43D2" w:rsidP="00FE43D2"/>
                  </w:txbxContent>
                </v:textbox>
                <w10:wrap anchorx="margin"/>
              </v:shape>
            </w:pict>
          </mc:Fallback>
        </mc:AlternateContent>
      </w:r>
    </w:p>
    <w:p w:rsidR="00FE43D2" w:rsidRDefault="00FE43D2" w:rsidP="00FE43D2">
      <w:pPr>
        <w:spacing w:before="240"/>
        <w:jc w:val="both"/>
        <w:rPr>
          <w:rFonts w:ascii="Palatino Linotype" w:hAnsi="Palatino Linotype" w:cs="Arial"/>
          <w:sz w:val="18"/>
          <w:szCs w:val="18"/>
        </w:rPr>
      </w:pPr>
    </w:p>
    <w:p w:rsidR="00FE43D2" w:rsidRDefault="00FE43D2" w:rsidP="00FE43D2">
      <w:pPr>
        <w:spacing w:before="240" w:line="240" w:lineRule="auto"/>
        <w:jc w:val="both"/>
        <w:rPr>
          <w:rFonts w:ascii="Palatino Linotype" w:hAnsi="Palatino Linotype" w:cs="Arial"/>
          <w:sz w:val="14"/>
          <w:szCs w:val="14"/>
        </w:rPr>
      </w:pPr>
    </w:p>
    <w:p w:rsidR="00FE43D2" w:rsidRDefault="00FE43D2" w:rsidP="00FE43D2">
      <w:pPr>
        <w:spacing w:before="240" w:line="240" w:lineRule="auto"/>
        <w:jc w:val="both"/>
        <w:rPr>
          <w:rFonts w:ascii="Palatino Linotype" w:hAnsi="Palatino Linotype" w:cs="Arial"/>
          <w:sz w:val="14"/>
          <w:szCs w:val="14"/>
        </w:rPr>
      </w:pPr>
    </w:p>
    <w:p w:rsidR="00FE43D2" w:rsidRDefault="00FE43D2" w:rsidP="00FE43D2">
      <w:pPr>
        <w:spacing w:before="240" w:line="240" w:lineRule="auto"/>
        <w:jc w:val="both"/>
        <w:rPr>
          <w:rFonts w:ascii="Palatino Linotype" w:hAnsi="Palatino Linotype" w:cs="Arial"/>
          <w:sz w:val="14"/>
          <w:szCs w:val="14"/>
        </w:rPr>
      </w:pPr>
    </w:p>
    <w:p w:rsidR="00FE43D2" w:rsidRPr="002052F6" w:rsidRDefault="00FE43D2" w:rsidP="00FE43D2">
      <w:pPr>
        <w:spacing w:after="0" w:line="240"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sidR="00AF7B60">
        <w:rPr>
          <w:rFonts w:ascii="Palatino Linotype" w:hAnsi="Palatino Linotype" w:cs="Arial"/>
          <w:sz w:val="16"/>
          <w:szCs w:val="16"/>
        </w:rPr>
        <w:t>treinta de octubre</w:t>
      </w:r>
      <w:r>
        <w:rPr>
          <w:rFonts w:ascii="Palatino Linotype" w:hAnsi="Palatino Linotype" w:cs="Arial"/>
          <w:sz w:val="16"/>
          <w:szCs w:val="16"/>
        </w:rPr>
        <w:t xml:space="preserve"> de dos mil diecinueve</w:t>
      </w:r>
      <w:r w:rsidRPr="002052F6">
        <w:rPr>
          <w:rFonts w:ascii="Palatino Linotype" w:hAnsi="Palatino Linotype" w:cs="Arial"/>
          <w:sz w:val="16"/>
          <w:szCs w:val="16"/>
        </w:rPr>
        <w:t xml:space="preserve">, emitida en el recurso de revisión </w:t>
      </w:r>
      <w:r>
        <w:rPr>
          <w:rFonts w:ascii="Palatino Linotype" w:hAnsi="Palatino Linotype" w:cs="Arial"/>
          <w:bCs/>
          <w:sz w:val="16"/>
          <w:szCs w:val="16"/>
          <w:lang w:eastAsia="es-MX"/>
        </w:rPr>
        <w:t>0</w:t>
      </w:r>
      <w:r w:rsidR="00AF7B60">
        <w:rPr>
          <w:rFonts w:ascii="Palatino Linotype" w:hAnsi="Palatino Linotype" w:cs="Arial"/>
          <w:bCs/>
          <w:sz w:val="16"/>
          <w:szCs w:val="16"/>
          <w:lang w:eastAsia="es-MX"/>
        </w:rPr>
        <w:t>6800</w:t>
      </w:r>
      <w:r>
        <w:rPr>
          <w:rFonts w:ascii="Palatino Linotype" w:hAnsi="Palatino Linotype" w:cs="Arial"/>
          <w:bCs/>
          <w:sz w:val="16"/>
          <w:szCs w:val="16"/>
          <w:lang w:eastAsia="es-MX"/>
        </w:rPr>
        <w:t>/INFOEM/IP/RR/2019.</w:t>
      </w:r>
    </w:p>
    <w:p w:rsidR="00FE43D2" w:rsidRDefault="00FE43D2" w:rsidP="00FE43D2">
      <w:pPr>
        <w:spacing w:after="0"/>
      </w:pPr>
      <w:r w:rsidRPr="002052F6">
        <w:t>ZMS/OSAM/MAE</w:t>
      </w:r>
      <w:r>
        <w:t>M</w:t>
      </w:r>
      <w:r>
        <w:rPr>
          <w:rFonts w:ascii="Palatino Linotype" w:hAnsi="Palatino Linotype" w:cs="Arial"/>
          <w:sz w:val="24"/>
          <w:szCs w:val="24"/>
        </w:rPr>
        <w:t xml:space="preserve">                                                                                                                            </w:t>
      </w:r>
    </w:p>
    <w:p w:rsidR="00DD13E2" w:rsidRDefault="00DD13E2" w:rsidP="00FE43D2">
      <w:pPr>
        <w:spacing w:after="0" w:line="360" w:lineRule="auto"/>
        <w:jc w:val="both"/>
      </w:pPr>
    </w:p>
    <w:sectPr w:rsidR="00DD13E2" w:rsidSect="00E15E85">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6D5E" w:rsidRDefault="00C86D5E" w:rsidP="00E15E85">
      <w:pPr>
        <w:spacing w:after="0" w:line="240" w:lineRule="auto"/>
      </w:pPr>
      <w:r>
        <w:separator/>
      </w:r>
    </w:p>
  </w:endnote>
  <w:endnote w:type="continuationSeparator" w:id="0">
    <w:p w:rsidR="00C86D5E" w:rsidRDefault="00C86D5E"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8CA" w:rsidRPr="000B69FA" w:rsidRDefault="005D58CA"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2008A">
      <w:rPr>
        <w:rFonts w:ascii="Palatino Linotype" w:hAnsi="Palatino Linotype"/>
        <w:bCs/>
        <w:noProof/>
        <w:sz w:val="20"/>
      </w:rPr>
      <w:t>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2008A">
      <w:rPr>
        <w:rFonts w:ascii="Palatino Linotype" w:hAnsi="Palatino Linotype"/>
        <w:bCs/>
        <w:noProof/>
        <w:sz w:val="20"/>
      </w:rPr>
      <w:t>68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8CA" w:rsidRPr="000B69FA" w:rsidRDefault="005D58CA"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2008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2008A">
      <w:rPr>
        <w:rFonts w:ascii="Palatino Linotype" w:hAnsi="Palatino Linotype"/>
        <w:bCs/>
        <w:noProof/>
        <w:sz w:val="20"/>
      </w:rPr>
      <w:t>68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6D5E" w:rsidRDefault="00C86D5E" w:rsidP="00E15E85">
      <w:pPr>
        <w:spacing w:after="0" w:line="240" w:lineRule="auto"/>
      </w:pPr>
      <w:r>
        <w:separator/>
      </w:r>
    </w:p>
  </w:footnote>
  <w:footnote w:type="continuationSeparator" w:id="0">
    <w:p w:rsidR="00C86D5E" w:rsidRDefault="00C86D5E" w:rsidP="00E15E85">
      <w:pPr>
        <w:spacing w:after="0" w:line="240" w:lineRule="auto"/>
      </w:pPr>
      <w:r>
        <w:continuationSeparator/>
      </w:r>
    </w:p>
  </w:footnote>
  <w:footnote w:id="1">
    <w:p w:rsidR="005D58CA" w:rsidRPr="00911081" w:rsidRDefault="005D58CA" w:rsidP="00B04652">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5D58CA" w:rsidRPr="00911081" w:rsidRDefault="005D58CA" w:rsidP="00B04652">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5D58CA" w:rsidRPr="00B92BC3" w:rsidRDefault="005D58CA" w:rsidP="00B0008F">
      <w:pPr>
        <w:pStyle w:val="Textonotapie"/>
        <w:spacing w:line="276" w:lineRule="auto"/>
        <w:jc w:val="both"/>
        <w:rPr>
          <w:rFonts w:ascii="Arial" w:hAnsi="Arial" w:cs="Arial"/>
          <w:sz w:val="18"/>
        </w:rPr>
      </w:pPr>
      <w:r w:rsidRPr="00B92BC3">
        <w:rPr>
          <w:rStyle w:val="Refdenotaalpie"/>
          <w:rFonts w:ascii="Arial" w:hAnsi="Arial" w:cs="Arial"/>
          <w:sz w:val="18"/>
        </w:rPr>
        <w:footnoteRef/>
      </w:r>
      <w:r w:rsidRPr="00B92BC3">
        <w:rPr>
          <w:rFonts w:ascii="Arial" w:hAnsi="Arial" w:cs="Arial"/>
          <w:sz w:val="18"/>
        </w:rPr>
        <w:t xml:space="preserve"> Artículo 179. El recurso de revisión es un medio de protección que la Ley otorga a los particulares, para hacer valer su derecho de acceso a la información pública, y procederá en contra de las siguientes causas:</w:t>
      </w:r>
    </w:p>
    <w:p w:rsidR="005D58CA" w:rsidRDefault="005D58CA" w:rsidP="00B0008F">
      <w:pPr>
        <w:pStyle w:val="Textonotapie"/>
        <w:numPr>
          <w:ilvl w:val="0"/>
          <w:numId w:val="15"/>
        </w:numPr>
        <w:spacing w:line="276" w:lineRule="auto"/>
        <w:jc w:val="both"/>
      </w:pPr>
      <w:r w:rsidRPr="00B92BC3">
        <w:rPr>
          <w:rFonts w:ascii="Arial" w:hAnsi="Arial" w:cs="Arial"/>
          <w:sz w:val="18"/>
        </w:rPr>
        <w:t>La falta de respuesta a una solicitud de acceso a la información;</w:t>
      </w:r>
    </w:p>
  </w:footnote>
  <w:footnote w:id="3">
    <w:p w:rsidR="006221C5" w:rsidRPr="00E616F8" w:rsidRDefault="006221C5" w:rsidP="006221C5">
      <w:pPr>
        <w:pStyle w:val="Prrafodelista"/>
        <w:ind w:left="0"/>
        <w:jc w:val="both"/>
        <w:rPr>
          <w:rFonts w:ascii="Palatino Linotype" w:hAnsi="Palatino Linotype"/>
          <w:sz w:val="20"/>
          <w:szCs w:val="20"/>
        </w:rPr>
      </w:pPr>
      <w:r w:rsidRPr="00E616F8">
        <w:rPr>
          <w:rStyle w:val="Refdenotaalpie"/>
          <w:rFonts w:ascii="Palatino Linotype" w:hAnsi="Palatino Linotype"/>
          <w:sz w:val="20"/>
          <w:szCs w:val="20"/>
        </w:rPr>
        <w:footnoteRef/>
      </w:r>
      <w:r w:rsidRPr="00E616F8">
        <w:rPr>
          <w:rFonts w:ascii="Palatino Linotype" w:hAnsi="Palatino Linotype"/>
          <w:sz w:val="20"/>
          <w:szCs w:val="20"/>
        </w:rPr>
        <w:t>GLOSARIO DE TÉRMINOS ADMINISTRATIVOS, Coordinación General De Estudios Administrativos, Presidencia de la República 1982.</w:t>
      </w:r>
    </w:p>
    <w:p w:rsidR="006221C5" w:rsidRPr="008D2908" w:rsidRDefault="006221C5" w:rsidP="006221C5">
      <w:pPr>
        <w:pStyle w:val="Textonotapie"/>
        <w:rPr>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8CA" w:rsidRDefault="005D58CA">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5D58CA" w:rsidTr="00E15E85">
      <w:trPr>
        <w:trHeight w:val="227"/>
      </w:trPr>
      <w:tc>
        <w:tcPr>
          <w:tcW w:w="5529" w:type="dxa"/>
          <w:hideMark/>
        </w:tcPr>
        <w:p w:rsidR="005D58CA" w:rsidRDefault="005D58CA"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5D58CA" w:rsidRPr="00D56BC3" w:rsidRDefault="005D58CA" w:rsidP="00BA65E0">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E20678">
            <w:rPr>
              <w:rFonts w:ascii="Palatino Linotype" w:hAnsi="Palatino Linotype" w:cs="Arial"/>
              <w:bCs/>
              <w:sz w:val="24"/>
              <w:lang w:eastAsia="es-MX"/>
            </w:rPr>
            <w:t>6800</w:t>
          </w:r>
          <w:r w:rsidRPr="0037311B">
            <w:rPr>
              <w:rFonts w:ascii="Palatino Linotype" w:hAnsi="Palatino Linotype" w:cs="Arial"/>
              <w:bCs/>
              <w:sz w:val="24"/>
              <w:lang w:eastAsia="es-MX"/>
            </w:rPr>
            <w:t>/INFOEM/IP/RR/2019</w:t>
          </w:r>
        </w:p>
      </w:tc>
    </w:tr>
    <w:tr w:rsidR="005D58CA" w:rsidTr="00E15E85">
      <w:trPr>
        <w:trHeight w:val="242"/>
      </w:trPr>
      <w:tc>
        <w:tcPr>
          <w:tcW w:w="5529" w:type="dxa"/>
          <w:hideMark/>
        </w:tcPr>
        <w:p w:rsidR="005D58CA" w:rsidRDefault="005D58CA"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5D58CA" w:rsidRPr="005D58CA" w:rsidRDefault="00E20678" w:rsidP="00BA65E0">
          <w:pPr>
            <w:spacing w:after="120" w:line="256" w:lineRule="auto"/>
            <w:ind w:left="-486" w:right="214" w:firstLine="284"/>
            <w:jc w:val="right"/>
            <w:rPr>
              <w:rFonts w:ascii="Palatino Linotype" w:hAnsi="Palatino Linotype" w:cs="Arial"/>
              <w:sz w:val="24"/>
            </w:rPr>
          </w:pPr>
          <w:r w:rsidRPr="00E20678">
            <w:rPr>
              <w:rFonts w:ascii="Palatino Linotype" w:hAnsi="Palatino Linotype" w:cs="Arial"/>
              <w:sz w:val="24"/>
            </w:rPr>
            <w:t>Ayuntamiento de Tequixquiac</w:t>
          </w:r>
        </w:p>
      </w:tc>
    </w:tr>
    <w:tr w:rsidR="005D58CA" w:rsidTr="00E15E85">
      <w:trPr>
        <w:trHeight w:val="342"/>
      </w:trPr>
      <w:tc>
        <w:tcPr>
          <w:tcW w:w="5529" w:type="dxa"/>
          <w:hideMark/>
        </w:tcPr>
        <w:p w:rsidR="005D58CA" w:rsidRDefault="005D58CA"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5D58CA" w:rsidRPr="005D58CA" w:rsidRDefault="005D58CA" w:rsidP="00E15E85">
          <w:pPr>
            <w:spacing w:after="120" w:line="256" w:lineRule="auto"/>
            <w:ind w:left="-486" w:right="214" w:firstLine="567"/>
            <w:jc w:val="right"/>
            <w:rPr>
              <w:rFonts w:ascii="Palatino Linotype" w:hAnsi="Palatino Linotype" w:cs="Arial"/>
              <w:sz w:val="24"/>
            </w:rPr>
          </w:pPr>
          <w:r w:rsidRPr="005D58CA">
            <w:rPr>
              <w:rFonts w:ascii="Palatino Linotype" w:hAnsi="Palatino Linotype" w:cs="Arial"/>
              <w:sz w:val="24"/>
            </w:rPr>
            <w:t>Zulema Martínez Sánchez</w:t>
          </w:r>
        </w:p>
      </w:tc>
    </w:tr>
  </w:tbl>
  <w:p w:rsidR="005D58CA" w:rsidRDefault="005D58C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5D58CA" w:rsidTr="00E15E85">
      <w:trPr>
        <w:trHeight w:val="227"/>
      </w:trPr>
      <w:tc>
        <w:tcPr>
          <w:tcW w:w="5529" w:type="dxa"/>
          <w:hideMark/>
        </w:tcPr>
        <w:p w:rsidR="005D58CA" w:rsidRDefault="005D58CA"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5D58CA" w:rsidRPr="00B4142F" w:rsidRDefault="005D58CA" w:rsidP="00BA65E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E20678">
            <w:rPr>
              <w:rFonts w:ascii="Palatino Linotype" w:hAnsi="Palatino Linotype" w:cs="Arial"/>
              <w:bCs/>
              <w:sz w:val="24"/>
              <w:lang w:eastAsia="es-MX"/>
            </w:rPr>
            <w:t>6800</w:t>
          </w:r>
          <w:r>
            <w:rPr>
              <w:rFonts w:ascii="Palatino Linotype" w:hAnsi="Palatino Linotype" w:cs="Arial"/>
              <w:bCs/>
              <w:sz w:val="24"/>
              <w:lang w:eastAsia="es-MX"/>
            </w:rPr>
            <w:t>/</w:t>
          </w:r>
          <w:r w:rsidRPr="0037311B">
            <w:rPr>
              <w:rFonts w:ascii="Palatino Linotype" w:hAnsi="Palatino Linotype" w:cs="Arial"/>
              <w:bCs/>
              <w:sz w:val="24"/>
              <w:lang w:eastAsia="es-MX"/>
            </w:rPr>
            <w:t>INFOEM/IP/RR/2019</w:t>
          </w:r>
        </w:p>
      </w:tc>
    </w:tr>
    <w:tr w:rsidR="005D58CA" w:rsidTr="00E15E85">
      <w:trPr>
        <w:trHeight w:val="196"/>
      </w:trPr>
      <w:tc>
        <w:tcPr>
          <w:tcW w:w="5529" w:type="dxa"/>
          <w:hideMark/>
        </w:tcPr>
        <w:p w:rsidR="005D58CA" w:rsidRDefault="005D58CA"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5D58CA" w:rsidRPr="005D58CA" w:rsidRDefault="005D58CA" w:rsidP="00E15E85">
          <w:pPr>
            <w:spacing w:after="120" w:line="256" w:lineRule="auto"/>
            <w:ind w:left="-486" w:right="214" w:firstLine="567"/>
            <w:jc w:val="right"/>
            <w:rPr>
              <w:rFonts w:ascii="Palatino Linotype" w:hAnsi="Palatino Linotype" w:cs="Arial"/>
              <w:sz w:val="24"/>
              <w:szCs w:val="24"/>
            </w:rPr>
          </w:pPr>
        </w:p>
      </w:tc>
    </w:tr>
    <w:tr w:rsidR="005D58CA" w:rsidTr="00E15E85">
      <w:trPr>
        <w:trHeight w:val="242"/>
      </w:trPr>
      <w:tc>
        <w:tcPr>
          <w:tcW w:w="5529" w:type="dxa"/>
          <w:hideMark/>
        </w:tcPr>
        <w:p w:rsidR="005D58CA" w:rsidRDefault="005D58CA"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5D58CA" w:rsidRPr="005D58CA" w:rsidRDefault="00E20678" w:rsidP="0015550A">
          <w:pPr>
            <w:spacing w:after="120" w:line="256" w:lineRule="auto"/>
            <w:ind w:left="-495" w:right="214" w:firstLine="567"/>
            <w:jc w:val="right"/>
            <w:rPr>
              <w:rFonts w:ascii="Palatino Linotype" w:hAnsi="Palatino Linotype" w:cs="Arial"/>
              <w:sz w:val="24"/>
              <w:szCs w:val="24"/>
            </w:rPr>
          </w:pPr>
          <w:r w:rsidRPr="00E20678">
            <w:rPr>
              <w:rFonts w:ascii="Palatino Linotype" w:hAnsi="Palatino Linotype" w:cs="Arial"/>
              <w:sz w:val="24"/>
              <w:szCs w:val="24"/>
            </w:rPr>
            <w:t>Ayuntamiento de Tequixquiac</w:t>
          </w:r>
        </w:p>
      </w:tc>
    </w:tr>
    <w:tr w:rsidR="005D58CA" w:rsidTr="00E15E85">
      <w:trPr>
        <w:trHeight w:val="342"/>
      </w:trPr>
      <w:tc>
        <w:tcPr>
          <w:tcW w:w="5529" w:type="dxa"/>
          <w:hideMark/>
        </w:tcPr>
        <w:p w:rsidR="005D58CA" w:rsidRDefault="005D58CA"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5D58CA" w:rsidRPr="005D58CA" w:rsidRDefault="005D58CA" w:rsidP="00E15E85">
          <w:pPr>
            <w:spacing w:after="120" w:line="256" w:lineRule="auto"/>
            <w:ind w:left="-486" w:right="214" w:firstLine="567"/>
            <w:jc w:val="right"/>
            <w:rPr>
              <w:rFonts w:ascii="Palatino Linotype" w:hAnsi="Palatino Linotype" w:cs="Arial"/>
              <w:sz w:val="24"/>
              <w:szCs w:val="24"/>
            </w:rPr>
          </w:pPr>
          <w:r w:rsidRPr="005D58CA">
            <w:rPr>
              <w:rFonts w:ascii="Palatino Linotype" w:hAnsi="Palatino Linotype" w:cs="Arial"/>
              <w:sz w:val="24"/>
              <w:szCs w:val="24"/>
            </w:rPr>
            <w:t>Zulema Martínez Sánchez</w:t>
          </w:r>
        </w:p>
      </w:tc>
    </w:tr>
  </w:tbl>
  <w:p w:rsidR="005D58CA" w:rsidRDefault="005D58C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4C7B75"/>
    <w:multiLevelType w:val="hybridMultilevel"/>
    <w:tmpl w:val="0B4CB20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FB70CA0"/>
    <w:multiLevelType w:val="hybridMultilevel"/>
    <w:tmpl w:val="0B984904"/>
    <w:lvl w:ilvl="0" w:tplc="A920A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F37F69"/>
    <w:multiLevelType w:val="hybridMultilevel"/>
    <w:tmpl w:val="4434FA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144565"/>
    <w:multiLevelType w:val="hybridMultilevel"/>
    <w:tmpl w:val="EEA02A24"/>
    <w:lvl w:ilvl="0" w:tplc="CD667516">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C12B4C"/>
    <w:multiLevelType w:val="hybridMultilevel"/>
    <w:tmpl w:val="9B9C34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9F6FA8"/>
    <w:multiLevelType w:val="hybridMultilevel"/>
    <w:tmpl w:val="ACB664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6660B2"/>
    <w:multiLevelType w:val="hybridMultilevel"/>
    <w:tmpl w:val="AE14B9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32361B"/>
    <w:multiLevelType w:val="multilevel"/>
    <w:tmpl w:val="BE58B1F0"/>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 w15:restartNumberingAfterBreak="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A4C5947"/>
    <w:multiLevelType w:val="hybridMultilevel"/>
    <w:tmpl w:val="3F60CD1C"/>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2AAA76BF"/>
    <w:multiLevelType w:val="hybridMultilevel"/>
    <w:tmpl w:val="BD18C2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FC09A3"/>
    <w:multiLevelType w:val="hybridMultilevel"/>
    <w:tmpl w:val="A704C8E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7" w15:restartNumberingAfterBreak="0">
    <w:nsid w:val="37D51B1E"/>
    <w:multiLevelType w:val="hybridMultilevel"/>
    <w:tmpl w:val="153641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4C3300D1"/>
    <w:multiLevelType w:val="hybridMultilevel"/>
    <w:tmpl w:val="DF66E340"/>
    <w:lvl w:ilvl="0" w:tplc="621AE0C8">
      <w:start w:val="7"/>
      <w:numFmt w:val="upperRoman"/>
      <w:lvlText w:val="%1."/>
      <w:lvlJc w:val="righ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0" w15:restartNumberingAfterBreak="0">
    <w:nsid w:val="54035146"/>
    <w:multiLevelType w:val="hybridMultilevel"/>
    <w:tmpl w:val="5F3CE86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 w15:restartNumberingAfterBreak="0">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 w15:restartNumberingAfterBreak="0">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7483C23"/>
    <w:multiLevelType w:val="hybridMultilevel"/>
    <w:tmpl w:val="89B0A75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9696A06"/>
    <w:multiLevelType w:val="hybridMultilevel"/>
    <w:tmpl w:val="6BD64F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B157DB9"/>
    <w:multiLevelType w:val="hybridMultilevel"/>
    <w:tmpl w:val="18640776"/>
    <w:numStyleLink w:val="Estiloimportado2"/>
  </w:abstractNum>
  <w:abstractNum w:abstractNumId="26" w15:restartNumberingAfterBreak="0">
    <w:nsid w:val="5FB01E21"/>
    <w:multiLevelType w:val="hybridMultilevel"/>
    <w:tmpl w:val="7CCE77FE"/>
    <w:lvl w:ilvl="0" w:tplc="A920A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0277A1E"/>
    <w:multiLevelType w:val="hybridMultilevel"/>
    <w:tmpl w:val="52840C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A5C110B"/>
    <w:multiLevelType w:val="hybridMultilevel"/>
    <w:tmpl w:val="41220C2C"/>
    <w:lvl w:ilvl="0" w:tplc="7F0082D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0" w15:restartNumberingAfterBreak="0">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3AC60B4"/>
    <w:multiLevelType w:val="hybridMultilevel"/>
    <w:tmpl w:val="0F884BFC"/>
    <w:lvl w:ilvl="0" w:tplc="85B0528A">
      <w:start w:val="3"/>
      <w:numFmt w:val="bullet"/>
      <w:lvlText w:val="-"/>
      <w:lvlJc w:val="left"/>
      <w:pPr>
        <w:ind w:left="720" w:hanging="360"/>
      </w:pPr>
      <w:rPr>
        <w:rFonts w:ascii="Palatino Linotype" w:eastAsia="Times New Roman" w:hAnsi="Palatino Linotype"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15:restartNumberingAfterBreak="0">
    <w:nsid w:val="7DC534F7"/>
    <w:multiLevelType w:val="hybridMultilevel"/>
    <w:tmpl w:val="572E110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9"/>
  </w:num>
  <w:num w:numId="2">
    <w:abstractNumId w:val="7"/>
  </w:num>
  <w:num w:numId="3">
    <w:abstractNumId w:val="22"/>
  </w:num>
  <w:num w:numId="4">
    <w:abstractNumId w:val="15"/>
  </w:num>
  <w:num w:numId="5">
    <w:abstractNumId w:val="25"/>
  </w:num>
  <w:num w:numId="6">
    <w:abstractNumId w:val="9"/>
  </w:num>
  <w:num w:numId="7">
    <w:abstractNumId w:val="32"/>
  </w:num>
  <w:num w:numId="8">
    <w:abstractNumId w:val="18"/>
  </w:num>
  <w:num w:numId="9">
    <w:abstractNumId w:val="10"/>
  </w:num>
  <w:num w:numId="10">
    <w:abstractNumId w:val="30"/>
  </w:num>
  <w:num w:numId="11">
    <w:abstractNumId w:val="14"/>
  </w:num>
  <w:num w:numId="12">
    <w:abstractNumId w:val="17"/>
  </w:num>
  <w:num w:numId="13">
    <w:abstractNumId w:val="2"/>
  </w:num>
  <w:num w:numId="14">
    <w:abstractNumId w:val="12"/>
  </w:num>
  <w:num w:numId="15">
    <w:abstractNumId w:val="19"/>
  </w:num>
  <w:num w:numId="16">
    <w:abstractNumId w:val="26"/>
  </w:num>
  <w:num w:numId="17">
    <w:abstractNumId w:val="27"/>
  </w:num>
  <w:num w:numId="18">
    <w:abstractNumId w:val="1"/>
  </w:num>
  <w:num w:numId="19">
    <w:abstractNumId w:val="3"/>
  </w:num>
  <w:num w:numId="20">
    <w:abstractNumId w:val="33"/>
  </w:num>
  <w:num w:numId="21">
    <w:abstractNumId w:val="13"/>
  </w:num>
  <w:num w:numId="22">
    <w:abstractNumId w:val="16"/>
  </w:num>
  <w:num w:numId="23">
    <w:abstractNumId w:val="8"/>
  </w:num>
  <w:num w:numId="24">
    <w:abstractNumId w:val="5"/>
  </w:num>
  <w:num w:numId="25">
    <w:abstractNumId w:val="4"/>
  </w:num>
  <w:num w:numId="26">
    <w:abstractNumId w:val="28"/>
  </w:num>
  <w:num w:numId="27">
    <w:abstractNumId w:val="34"/>
  </w:num>
  <w:num w:numId="28">
    <w:abstractNumId w:val="21"/>
  </w:num>
  <w:num w:numId="29">
    <w:abstractNumId w:val="24"/>
  </w:num>
  <w:num w:numId="30">
    <w:abstractNumId w:val="23"/>
  </w:num>
  <w:num w:numId="31">
    <w:abstractNumId w:val="0"/>
  </w:num>
  <w:num w:numId="32">
    <w:abstractNumId w:val="6"/>
  </w:num>
  <w:num w:numId="33">
    <w:abstractNumId w:val="20"/>
  </w:num>
  <w:num w:numId="34">
    <w:abstractNumId w:val="31"/>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5309"/>
    <w:rsid w:val="000124B7"/>
    <w:rsid w:val="00026904"/>
    <w:rsid w:val="0003050E"/>
    <w:rsid w:val="00035F8F"/>
    <w:rsid w:val="00041425"/>
    <w:rsid w:val="00046E4C"/>
    <w:rsid w:val="0004795A"/>
    <w:rsid w:val="00052A02"/>
    <w:rsid w:val="00052B19"/>
    <w:rsid w:val="00052D39"/>
    <w:rsid w:val="00053ED1"/>
    <w:rsid w:val="00061BA0"/>
    <w:rsid w:val="00062CBD"/>
    <w:rsid w:val="00064D49"/>
    <w:rsid w:val="00073973"/>
    <w:rsid w:val="00074A99"/>
    <w:rsid w:val="00076643"/>
    <w:rsid w:val="00082DF3"/>
    <w:rsid w:val="00085232"/>
    <w:rsid w:val="00091D98"/>
    <w:rsid w:val="0009633E"/>
    <w:rsid w:val="000A513A"/>
    <w:rsid w:val="000B3927"/>
    <w:rsid w:val="000C22EC"/>
    <w:rsid w:val="000C59EE"/>
    <w:rsid w:val="000F019E"/>
    <w:rsid w:val="00113310"/>
    <w:rsid w:val="0011750A"/>
    <w:rsid w:val="0012266D"/>
    <w:rsid w:val="00130D58"/>
    <w:rsid w:val="00142F61"/>
    <w:rsid w:val="00152B26"/>
    <w:rsid w:val="0015550A"/>
    <w:rsid w:val="00171BD5"/>
    <w:rsid w:val="00183623"/>
    <w:rsid w:val="001B066D"/>
    <w:rsid w:val="001B3E5E"/>
    <w:rsid w:val="001C28D0"/>
    <w:rsid w:val="001C3E01"/>
    <w:rsid w:val="001C3F41"/>
    <w:rsid w:val="001C7069"/>
    <w:rsid w:val="001F295E"/>
    <w:rsid w:val="001F5D0E"/>
    <w:rsid w:val="002052F6"/>
    <w:rsid w:val="00217E99"/>
    <w:rsid w:val="0022069E"/>
    <w:rsid w:val="00223C2F"/>
    <w:rsid w:val="00224181"/>
    <w:rsid w:val="00233D51"/>
    <w:rsid w:val="00240133"/>
    <w:rsid w:val="00253101"/>
    <w:rsid w:val="002606F0"/>
    <w:rsid w:val="0026534C"/>
    <w:rsid w:val="002677ED"/>
    <w:rsid w:val="00287512"/>
    <w:rsid w:val="002902D7"/>
    <w:rsid w:val="00294D34"/>
    <w:rsid w:val="002A1820"/>
    <w:rsid w:val="002A30B2"/>
    <w:rsid w:val="002A6F17"/>
    <w:rsid w:val="002B067A"/>
    <w:rsid w:val="002B144D"/>
    <w:rsid w:val="002B18B0"/>
    <w:rsid w:val="002B7CD8"/>
    <w:rsid w:val="002C1EC5"/>
    <w:rsid w:val="002C6485"/>
    <w:rsid w:val="002E3702"/>
    <w:rsid w:val="003011A8"/>
    <w:rsid w:val="003034F4"/>
    <w:rsid w:val="00307041"/>
    <w:rsid w:val="00317B8A"/>
    <w:rsid w:val="00330A95"/>
    <w:rsid w:val="003341B0"/>
    <w:rsid w:val="00334E11"/>
    <w:rsid w:val="00342A59"/>
    <w:rsid w:val="003452FA"/>
    <w:rsid w:val="0034696E"/>
    <w:rsid w:val="003470B1"/>
    <w:rsid w:val="003474F2"/>
    <w:rsid w:val="0035772D"/>
    <w:rsid w:val="00357BFC"/>
    <w:rsid w:val="0037311B"/>
    <w:rsid w:val="00384AC7"/>
    <w:rsid w:val="00385299"/>
    <w:rsid w:val="0039084D"/>
    <w:rsid w:val="003A1308"/>
    <w:rsid w:val="003B465B"/>
    <w:rsid w:val="003B5C59"/>
    <w:rsid w:val="003C5897"/>
    <w:rsid w:val="003E3297"/>
    <w:rsid w:val="0040048F"/>
    <w:rsid w:val="004254FE"/>
    <w:rsid w:val="00437C82"/>
    <w:rsid w:val="00470C7E"/>
    <w:rsid w:val="00492244"/>
    <w:rsid w:val="004A2BFB"/>
    <w:rsid w:val="004C28F1"/>
    <w:rsid w:val="004C3693"/>
    <w:rsid w:val="004E6DB3"/>
    <w:rsid w:val="004F05B2"/>
    <w:rsid w:val="0052008A"/>
    <w:rsid w:val="00523067"/>
    <w:rsid w:val="00527856"/>
    <w:rsid w:val="00527C6A"/>
    <w:rsid w:val="005329E8"/>
    <w:rsid w:val="005733EB"/>
    <w:rsid w:val="0057576D"/>
    <w:rsid w:val="00576C26"/>
    <w:rsid w:val="005820BF"/>
    <w:rsid w:val="00587783"/>
    <w:rsid w:val="005C7580"/>
    <w:rsid w:val="005D58CA"/>
    <w:rsid w:val="00611799"/>
    <w:rsid w:val="00614FDD"/>
    <w:rsid w:val="00616784"/>
    <w:rsid w:val="006221C5"/>
    <w:rsid w:val="00631B59"/>
    <w:rsid w:val="00653B08"/>
    <w:rsid w:val="00654B56"/>
    <w:rsid w:val="006634EA"/>
    <w:rsid w:val="006727D7"/>
    <w:rsid w:val="00673CFD"/>
    <w:rsid w:val="006A08BA"/>
    <w:rsid w:val="006B2E10"/>
    <w:rsid w:val="006C1A4F"/>
    <w:rsid w:val="006F001B"/>
    <w:rsid w:val="006F2EA8"/>
    <w:rsid w:val="00707CD8"/>
    <w:rsid w:val="00713A19"/>
    <w:rsid w:val="0071620F"/>
    <w:rsid w:val="00740AC8"/>
    <w:rsid w:val="00747CAD"/>
    <w:rsid w:val="00755099"/>
    <w:rsid w:val="007654BC"/>
    <w:rsid w:val="0079194D"/>
    <w:rsid w:val="007A0267"/>
    <w:rsid w:val="007A1183"/>
    <w:rsid w:val="007A27B9"/>
    <w:rsid w:val="007A3D09"/>
    <w:rsid w:val="007B2103"/>
    <w:rsid w:val="007C1445"/>
    <w:rsid w:val="007C56AB"/>
    <w:rsid w:val="007C64C1"/>
    <w:rsid w:val="007D028F"/>
    <w:rsid w:val="007D276C"/>
    <w:rsid w:val="007D48FA"/>
    <w:rsid w:val="007D62B3"/>
    <w:rsid w:val="007E1AE4"/>
    <w:rsid w:val="007E2959"/>
    <w:rsid w:val="00807D14"/>
    <w:rsid w:val="00845C1C"/>
    <w:rsid w:val="00856325"/>
    <w:rsid w:val="00872278"/>
    <w:rsid w:val="00875499"/>
    <w:rsid w:val="0087560D"/>
    <w:rsid w:val="00881D0D"/>
    <w:rsid w:val="00891F82"/>
    <w:rsid w:val="00893900"/>
    <w:rsid w:val="008975F2"/>
    <w:rsid w:val="008A12F6"/>
    <w:rsid w:val="008A1C33"/>
    <w:rsid w:val="008A5E77"/>
    <w:rsid w:val="008B34EC"/>
    <w:rsid w:val="008D6D31"/>
    <w:rsid w:val="008E0E21"/>
    <w:rsid w:val="008E5141"/>
    <w:rsid w:val="008E7408"/>
    <w:rsid w:val="008F7A52"/>
    <w:rsid w:val="009306B4"/>
    <w:rsid w:val="00943223"/>
    <w:rsid w:val="0094613F"/>
    <w:rsid w:val="009472E2"/>
    <w:rsid w:val="00950056"/>
    <w:rsid w:val="009629A5"/>
    <w:rsid w:val="00980401"/>
    <w:rsid w:val="009838CD"/>
    <w:rsid w:val="00991CC2"/>
    <w:rsid w:val="00994336"/>
    <w:rsid w:val="00997030"/>
    <w:rsid w:val="009A45B6"/>
    <w:rsid w:val="009A4C2C"/>
    <w:rsid w:val="009A6D1C"/>
    <w:rsid w:val="009B76BF"/>
    <w:rsid w:val="009C75A5"/>
    <w:rsid w:val="009E3B36"/>
    <w:rsid w:val="009F7948"/>
    <w:rsid w:val="00A27459"/>
    <w:rsid w:val="00A459D0"/>
    <w:rsid w:val="00A45C8D"/>
    <w:rsid w:val="00A65C79"/>
    <w:rsid w:val="00A70873"/>
    <w:rsid w:val="00A817AC"/>
    <w:rsid w:val="00A902C6"/>
    <w:rsid w:val="00A92C85"/>
    <w:rsid w:val="00A948EF"/>
    <w:rsid w:val="00A94BCE"/>
    <w:rsid w:val="00AA2CB1"/>
    <w:rsid w:val="00AC1D50"/>
    <w:rsid w:val="00AF15FD"/>
    <w:rsid w:val="00AF2D1E"/>
    <w:rsid w:val="00AF385F"/>
    <w:rsid w:val="00AF7B60"/>
    <w:rsid w:val="00B0008F"/>
    <w:rsid w:val="00B04652"/>
    <w:rsid w:val="00B052B4"/>
    <w:rsid w:val="00B10B28"/>
    <w:rsid w:val="00B131CC"/>
    <w:rsid w:val="00B17A1D"/>
    <w:rsid w:val="00B258A2"/>
    <w:rsid w:val="00B34A6D"/>
    <w:rsid w:val="00B355AB"/>
    <w:rsid w:val="00B44BB1"/>
    <w:rsid w:val="00B50BD7"/>
    <w:rsid w:val="00B51395"/>
    <w:rsid w:val="00B54578"/>
    <w:rsid w:val="00B56617"/>
    <w:rsid w:val="00B67466"/>
    <w:rsid w:val="00B73CC5"/>
    <w:rsid w:val="00B73EEE"/>
    <w:rsid w:val="00B74369"/>
    <w:rsid w:val="00B913F8"/>
    <w:rsid w:val="00BA2458"/>
    <w:rsid w:val="00BA65E0"/>
    <w:rsid w:val="00BA68FA"/>
    <w:rsid w:val="00BB1BD5"/>
    <w:rsid w:val="00BC1280"/>
    <w:rsid w:val="00BC1C0A"/>
    <w:rsid w:val="00BC4EF7"/>
    <w:rsid w:val="00BC59B2"/>
    <w:rsid w:val="00BC5E09"/>
    <w:rsid w:val="00BF5825"/>
    <w:rsid w:val="00C16071"/>
    <w:rsid w:val="00C203E8"/>
    <w:rsid w:val="00C23151"/>
    <w:rsid w:val="00C25BA8"/>
    <w:rsid w:val="00C3114B"/>
    <w:rsid w:val="00C4657C"/>
    <w:rsid w:val="00C56C4E"/>
    <w:rsid w:val="00C60C4D"/>
    <w:rsid w:val="00C61C1C"/>
    <w:rsid w:val="00C6478B"/>
    <w:rsid w:val="00C64C22"/>
    <w:rsid w:val="00C66E70"/>
    <w:rsid w:val="00C729CF"/>
    <w:rsid w:val="00C80AEF"/>
    <w:rsid w:val="00C86D5E"/>
    <w:rsid w:val="00CA6DA1"/>
    <w:rsid w:val="00CD3F31"/>
    <w:rsid w:val="00D120B9"/>
    <w:rsid w:val="00D24D6B"/>
    <w:rsid w:val="00D24D81"/>
    <w:rsid w:val="00D36C12"/>
    <w:rsid w:val="00D5302E"/>
    <w:rsid w:val="00D56BC3"/>
    <w:rsid w:val="00D67629"/>
    <w:rsid w:val="00D67CBE"/>
    <w:rsid w:val="00D70FE3"/>
    <w:rsid w:val="00D83D2D"/>
    <w:rsid w:val="00D8485C"/>
    <w:rsid w:val="00D87D47"/>
    <w:rsid w:val="00D9010D"/>
    <w:rsid w:val="00D95936"/>
    <w:rsid w:val="00D9630C"/>
    <w:rsid w:val="00DB2787"/>
    <w:rsid w:val="00DB584E"/>
    <w:rsid w:val="00DC3B85"/>
    <w:rsid w:val="00DD13E2"/>
    <w:rsid w:val="00DF6F40"/>
    <w:rsid w:val="00E10DEE"/>
    <w:rsid w:val="00E11EFA"/>
    <w:rsid w:val="00E158AD"/>
    <w:rsid w:val="00E15E85"/>
    <w:rsid w:val="00E16AC8"/>
    <w:rsid w:val="00E20678"/>
    <w:rsid w:val="00E221C1"/>
    <w:rsid w:val="00E30AF5"/>
    <w:rsid w:val="00E34874"/>
    <w:rsid w:val="00E372DA"/>
    <w:rsid w:val="00E419E1"/>
    <w:rsid w:val="00E44464"/>
    <w:rsid w:val="00E61A8B"/>
    <w:rsid w:val="00E85DB7"/>
    <w:rsid w:val="00E872CE"/>
    <w:rsid w:val="00E87E34"/>
    <w:rsid w:val="00E92E34"/>
    <w:rsid w:val="00EA0D06"/>
    <w:rsid w:val="00EA4B96"/>
    <w:rsid w:val="00EB0246"/>
    <w:rsid w:val="00EC601F"/>
    <w:rsid w:val="00ED3DC4"/>
    <w:rsid w:val="00ED466F"/>
    <w:rsid w:val="00ED735A"/>
    <w:rsid w:val="00EE28A5"/>
    <w:rsid w:val="00EE5CB5"/>
    <w:rsid w:val="00EF1A8D"/>
    <w:rsid w:val="00EF2AE9"/>
    <w:rsid w:val="00EF2F87"/>
    <w:rsid w:val="00F21A2E"/>
    <w:rsid w:val="00F358AF"/>
    <w:rsid w:val="00F433DC"/>
    <w:rsid w:val="00F77F57"/>
    <w:rsid w:val="00F812A0"/>
    <w:rsid w:val="00F84AE2"/>
    <w:rsid w:val="00F91ECA"/>
    <w:rsid w:val="00F9756D"/>
    <w:rsid w:val="00FA1D2B"/>
    <w:rsid w:val="00FB1B42"/>
    <w:rsid w:val="00FC145E"/>
    <w:rsid w:val="00FC37B9"/>
    <w:rsid w:val="00FD2984"/>
    <w:rsid w:val="00FE0916"/>
    <w:rsid w:val="00FE180B"/>
    <w:rsid w:val="00FE2CEA"/>
    <w:rsid w:val="00FE43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0465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04652"/>
    <w:rPr>
      <w:sz w:val="20"/>
      <w:szCs w:val="20"/>
    </w:rPr>
  </w:style>
  <w:style w:type="paragraph" w:styleId="Textodeglobo">
    <w:name w:val="Balloon Text"/>
    <w:basedOn w:val="Normal"/>
    <w:link w:val="TextodegloboCar"/>
    <w:uiPriority w:val="99"/>
    <w:semiHidden/>
    <w:unhideWhenUsed/>
    <w:rsid w:val="00F84AE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4AE2"/>
    <w:rPr>
      <w:rFonts w:ascii="Segoe UI" w:hAnsi="Segoe UI" w:cs="Segoe UI"/>
      <w:sz w:val="18"/>
      <w:szCs w:val="18"/>
    </w:rPr>
  </w:style>
  <w:style w:type="paragraph" w:styleId="NormalWeb">
    <w:name w:val="Normal (Web)"/>
    <w:basedOn w:val="Normal"/>
    <w:uiPriority w:val="99"/>
    <w:unhideWhenUsed/>
    <w:rsid w:val="00893900"/>
    <w:pPr>
      <w:spacing w:before="100" w:beforeAutospacing="1" w:after="100" w:afterAutospacing="1" w:line="240" w:lineRule="auto"/>
    </w:pPr>
    <w:rPr>
      <w:rFonts w:ascii="Times New Roman" w:eastAsia="Times New Roman" w:hAnsi="Times New Roman" w:cs="Times New Roman"/>
      <w:sz w:val="24"/>
      <w:szCs w:val="24"/>
      <w:lang w:eastAsia="es-ES_tradnl"/>
    </w:rPr>
  </w:style>
  <w:style w:type="table" w:styleId="Tablaconcuadrcula">
    <w:name w:val="Table Grid"/>
    <w:basedOn w:val="Tablanormal"/>
    <w:uiPriority w:val="39"/>
    <w:rsid w:val="00F358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rsid w:val="006221C5"/>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221C5"/>
    <w:rPr>
      <w:rFonts w:ascii="Courier New" w:eastAsia="Times New Roman" w:hAnsi="Courier New" w:cs="Times New Roman"/>
      <w:sz w:val="20"/>
      <w:szCs w:val="20"/>
      <w:lang w:val="es-ES" w:eastAsia="es-ES"/>
    </w:rPr>
  </w:style>
  <w:style w:type="paragraph" w:customStyle="1" w:styleId="Texto">
    <w:name w:val="Texto"/>
    <w:basedOn w:val="Normal"/>
    <w:link w:val="TextoCar"/>
    <w:rsid w:val="006221C5"/>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6221C5"/>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8925">
      <w:bodyDiv w:val="1"/>
      <w:marLeft w:val="0"/>
      <w:marRight w:val="0"/>
      <w:marTop w:val="0"/>
      <w:marBottom w:val="0"/>
      <w:divBdr>
        <w:top w:val="none" w:sz="0" w:space="0" w:color="auto"/>
        <w:left w:val="none" w:sz="0" w:space="0" w:color="auto"/>
        <w:bottom w:val="none" w:sz="0" w:space="0" w:color="auto"/>
        <w:right w:val="none" w:sz="0" w:space="0" w:color="auto"/>
      </w:divBdr>
    </w:div>
    <w:div w:id="38091688">
      <w:bodyDiv w:val="1"/>
      <w:marLeft w:val="0"/>
      <w:marRight w:val="0"/>
      <w:marTop w:val="0"/>
      <w:marBottom w:val="0"/>
      <w:divBdr>
        <w:top w:val="none" w:sz="0" w:space="0" w:color="auto"/>
        <w:left w:val="none" w:sz="0" w:space="0" w:color="auto"/>
        <w:bottom w:val="none" w:sz="0" w:space="0" w:color="auto"/>
        <w:right w:val="none" w:sz="0" w:space="0" w:color="auto"/>
      </w:divBdr>
    </w:div>
    <w:div w:id="146634821">
      <w:bodyDiv w:val="1"/>
      <w:marLeft w:val="0"/>
      <w:marRight w:val="0"/>
      <w:marTop w:val="0"/>
      <w:marBottom w:val="0"/>
      <w:divBdr>
        <w:top w:val="none" w:sz="0" w:space="0" w:color="auto"/>
        <w:left w:val="none" w:sz="0" w:space="0" w:color="auto"/>
        <w:bottom w:val="none" w:sz="0" w:space="0" w:color="auto"/>
        <w:right w:val="none" w:sz="0" w:space="0" w:color="auto"/>
      </w:divBdr>
    </w:div>
    <w:div w:id="167139073">
      <w:bodyDiv w:val="1"/>
      <w:marLeft w:val="0"/>
      <w:marRight w:val="0"/>
      <w:marTop w:val="0"/>
      <w:marBottom w:val="0"/>
      <w:divBdr>
        <w:top w:val="none" w:sz="0" w:space="0" w:color="auto"/>
        <w:left w:val="none" w:sz="0" w:space="0" w:color="auto"/>
        <w:bottom w:val="none" w:sz="0" w:space="0" w:color="auto"/>
        <w:right w:val="none" w:sz="0" w:space="0" w:color="auto"/>
      </w:divBdr>
    </w:div>
    <w:div w:id="167718495">
      <w:bodyDiv w:val="1"/>
      <w:marLeft w:val="0"/>
      <w:marRight w:val="0"/>
      <w:marTop w:val="0"/>
      <w:marBottom w:val="0"/>
      <w:divBdr>
        <w:top w:val="none" w:sz="0" w:space="0" w:color="auto"/>
        <w:left w:val="none" w:sz="0" w:space="0" w:color="auto"/>
        <w:bottom w:val="none" w:sz="0" w:space="0" w:color="auto"/>
        <w:right w:val="none" w:sz="0" w:space="0" w:color="auto"/>
      </w:divBdr>
    </w:div>
    <w:div w:id="234709438">
      <w:bodyDiv w:val="1"/>
      <w:marLeft w:val="0"/>
      <w:marRight w:val="0"/>
      <w:marTop w:val="0"/>
      <w:marBottom w:val="0"/>
      <w:divBdr>
        <w:top w:val="none" w:sz="0" w:space="0" w:color="auto"/>
        <w:left w:val="none" w:sz="0" w:space="0" w:color="auto"/>
        <w:bottom w:val="none" w:sz="0" w:space="0" w:color="auto"/>
        <w:right w:val="none" w:sz="0" w:space="0" w:color="auto"/>
      </w:divBdr>
      <w:divsChild>
        <w:div w:id="1584290739">
          <w:marLeft w:val="0"/>
          <w:marRight w:val="0"/>
          <w:marTop w:val="0"/>
          <w:marBottom w:val="0"/>
          <w:divBdr>
            <w:top w:val="none" w:sz="0" w:space="0" w:color="auto"/>
            <w:left w:val="none" w:sz="0" w:space="0" w:color="auto"/>
            <w:bottom w:val="none" w:sz="0" w:space="0" w:color="auto"/>
            <w:right w:val="none" w:sz="0" w:space="0" w:color="auto"/>
          </w:divBdr>
          <w:divsChild>
            <w:div w:id="575483446">
              <w:marLeft w:val="0"/>
              <w:marRight w:val="0"/>
              <w:marTop w:val="0"/>
              <w:marBottom w:val="0"/>
              <w:divBdr>
                <w:top w:val="none" w:sz="0" w:space="0" w:color="auto"/>
                <w:left w:val="none" w:sz="0" w:space="0" w:color="auto"/>
                <w:bottom w:val="none" w:sz="0" w:space="0" w:color="auto"/>
                <w:right w:val="none" w:sz="0" w:space="0" w:color="auto"/>
              </w:divBdr>
              <w:divsChild>
                <w:div w:id="206297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306327874">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36947630">
      <w:bodyDiv w:val="1"/>
      <w:marLeft w:val="0"/>
      <w:marRight w:val="0"/>
      <w:marTop w:val="0"/>
      <w:marBottom w:val="0"/>
      <w:divBdr>
        <w:top w:val="none" w:sz="0" w:space="0" w:color="auto"/>
        <w:left w:val="none" w:sz="0" w:space="0" w:color="auto"/>
        <w:bottom w:val="none" w:sz="0" w:space="0" w:color="auto"/>
        <w:right w:val="none" w:sz="0" w:space="0" w:color="auto"/>
      </w:divBdr>
    </w:div>
    <w:div w:id="500509067">
      <w:bodyDiv w:val="1"/>
      <w:marLeft w:val="0"/>
      <w:marRight w:val="0"/>
      <w:marTop w:val="0"/>
      <w:marBottom w:val="0"/>
      <w:divBdr>
        <w:top w:val="none" w:sz="0" w:space="0" w:color="auto"/>
        <w:left w:val="none" w:sz="0" w:space="0" w:color="auto"/>
        <w:bottom w:val="none" w:sz="0" w:space="0" w:color="auto"/>
        <w:right w:val="none" w:sz="0" w:space="0" w:color="auto"/>
      </w:divBdr>
    </w:div>
    <w:div w:id="503786927">
      <w:bodyDiv w:val="1"/>
      <w:marLeft w:val="0"/>
      <w:marRight w:val="0"/>
      <w:marTop w:val="0"/>
      <w:marBottom w:val="0"/>
      <w:divBdr>
        <w:top w:val="none" w:sz="0" w:space="0" w:color="auto"/>
        <w:left w:val="none" w:sz="0" w:space="0" w:color="auto"/>
        <w:bottom w:val="none" w:sz="0" w:space="0" w:color="auto"/>
        <w:right w:val="none" w:sz="0" w:space="0" w:color="auto"/>
      </w:divBdr>
    </w:div>
    <w:div w:id="530151630">
      <w:bodyDiv w:val="1"/>
      <w:marLeft w:val="0"/>
      <w:marRight w:val="0"/>
      <w:marTop w:val="0"/>
      <w:marBottom w:val="0"/>
      <w:divBdr>
        <w:top w:val="none" w:sz="0" w:space="0" w:color="auto"/>
        <w:left w:val="none" w:sz="0" w:space="0" w:color="auto"/>
        <w:bottom w:val="none" w:sz="0" w:space="0" w:color="auto"/>
        <w:right w:val="none" w:sz="0" w:space="0" w:color="auto"/>
      </w:divBdr>
      <w:divsChild>
        <w:div w:id="933323160">
          <w:marLeft w:val="0"/>
          <w:marRight w:val="0"/>
          <w:marTop w:val="0"/>
          <w:marBottom w:val="0"/>
          <w:divBdr>
            <w:top w:val="none" w:sz="0" w:space="0" w:color="auto"/>
            <w:left w:val="none" w:sz="0" w:space="0" w:color="auto"/>
            <w:bottom w:val="none" w:sz="0" w:space="0" w:color="auto"/>
            <w:right w:val="none" w:sz="0" w:space="0" w:color="auto"/>
          </w:divBdr>
          <w:divsChild>
            <w:div w:id="1032417306">
              <w:marLeft w:val="0"/>
              <w:marRight w:val="0"/>
              <w:marTop w:val="0"/>
              <w:marBottom w:val="0"/>
              <w:divBdr>
                <w:top w:val="none" w:sz="0" w:space="0" w:color="auto"/>
                <w:left w:val="none" w:sz="0" w:space="0" w:color="auto"/>
                <w:bottom w:val="none" w:sz="0" w:space="0" w:color="auto"/>
                <w:right w:val="none" w:sz="0" w:space="0" w:color="auto"/>
              </w:divBdr>
              <w:divsChild>
                <w:div w:id="83009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344377">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72396091">
      <w:bodyDiv w:val="1"/>
      <w:marLeft w:val="0"/>
      <w:marRight w:val="0"/>
      <w:marTop w:val="0"/>
      <w:marBottom w:val="0"/>
      <w:divBdr>
        <w:top w:val="none" w:sz="0" w:space="0" w:color="auto"/>
        <w:left w:val="none" w:sz="0" w:space="0" w:color="auto"/>
        <w:bottom w:val="none" w:sz="0" w:space="0" w:color="auto"/>
        <w:right w:val="none" w:sz="0" w:space="0" w:color="auto"/>
      </w:divBdr>
    </w:div>
    <w:div w:id="664405323">
      <w:bodyDiv w:val="1"/>
      <w:marLeft w:val="0"/>
      <w:marRight w:val="0"/>
      <w:marTop w:val="0"/>
      <w:marBottom w:val="0"/>
      <w:divBdr>
        <w:top w:val="none" w:sz="0" w:space="0" w:color="auto"/>
        <w:left w:val="none" w:sz="0" w:space="0" w:color="auto"/>
        <w:bottom w:val="none" w:sz="0" w:space="0" w:color="auto"/>
        <w:right w:val="none" w:sz="0" w:space="0" w:color="auto"/>
      </w:divBdr>
    </w:div>
    <w:div w:id="740522334">
      <w:bodyDiv w:val="1"/>
      <w:marLeft w:val="0"/>
      <w:marRight w:val="0"/>
      <w:marTop w:val="0"/>
      <w:marBottom w:val="0"/>
      <w:divBdr>
        <w:top w:val="none" w:sz="0" w:space="0" w:color="auto"/>
        <w:left w:val="none" w:sz="0" w:space="0" w:color="auto"/>
        <w:bottom w:val="none" w:sz="0" w:space="0" w:color="auto"/>
        <w:right w:val="none" w:sz="0" w:space="0" w:color="auto"/>
      </w:divBdr>
    </w:div>
    <w:div w:id="748191258">
      <w:bodyDiv w:val="1"/>
      <w:marLeft w:val="0"/>
      <w:marRight w:val="0"/>
      <w:marTop w:val="0"/>
      <w:marBottom w:val="0"/>
      <w:divBdr>
        <w:top w:val="none" w:sz="0" w:space="0" w:color="auto"/>
        <w:left w:val="none" w:sz="0" w:space="0" w:color="auto"/>
        <w:bottom w:val="none" w:sz="0" w:space="0" w:color="auto"/>
        <w:right w:val="none" w:sz="0" w:space="0" w:color="auto"/>
      </w:divBdr>
    </w:div>
    <w:div w:id="758327151">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51838577">
      <w:bodyDiv w:val="1"/>
      <w:marLeft w:val="0"/>
      <w:marRight w:val="0"/>
      <w:marTop w:val="0"/>
      <w:marBottom w:val="0"/>
      <w:divBdr>
        <w:top w:val="none" w:sz="0" w:space="0" w:color="auto"/>
        <w:left w:val="none" w:sz="0" w:space="0" w:color="auto"/>
        <w:bottom w:val="none" w:sz="0" w:space="0" w:color="auto"/>
        <w:right w:val="none" w:sz="0" w:space="0" w:color="auto"/>
      </w:divBdr>
    </w:div>
    <w:div w:id="852186595">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999044792">
      <w:bodyDiv w:val="1"/>
      <w:marLeft w:val="0"/>
      <w:marRight w:val="0"/>
      <w:marTop w:val="0"/>
      <w:marBottom w:val="0"/>
      <w:divBdr>
        <w:top w:val="none" w:sz="0" w:space="0" w:color="auto"/>
        <w:left w:val="none" w:sz="0" w:space="0" w:color="auto"/>
        <w:bottom w:val="none" w:sz="0" w:space="0" w:color="auto"/>
        <w:right w:val="none" w:sz="0" w:space="0" w:color="auto"/>
      </w:divBdr>
    </w:div>
    <w:div w:id="1041517647">
      <w:bodyDiv w:val="1"/>
      <w:marLeft w:val="0"/>
      <w:marRight w:val="0"/>
      <w:marTop w:val="0"/>
      <w:marBottom w:val="0"/>
      <w:divBdr>
        <w:top w:val="none" w:sz="0" w:space="0" w:color="auto"/>
        <w:left w:val="none" w:sz="0" w:space="0" w:color="auto"/>
        <w:bottom w:val="none" w:sz="0" w:space="0" w:color="auto"/>
        <w:right w:val="none" w:sz="0" w:space="0" w:color="auto"/>
      </w:divBdr>
      <w:divsChild>
        <w:div w:id="846215377">
          <w:marLeft w:val="0"/>
          <w:marRight w:val="0"/>
          <w:marTop w:val="0"/>
          <w:marBottom w:val="0"/>
          <w:divBdr>
            <w:top w:val="none" w:sz="0" w:space="0" w:color="auto"/>
            <w:left w:val="none" w:sz="0" w:space="0" w:color="auto"/>
            <w:bottom w:val="none" w:sz="0" w:space="0" w:color="auto"/>
            <w:right w:val="none" w:sz="0" w:space="0" w:color="auto"/>
          </w:divBdr>
          <w:divsChild>
            <w:div w:id="1599026031">
              <w:marLeft w:val="0"/>
              <w:marRight w:val="0"/>
              <w:marTop w:val="0"/>
              <w:marBottom w:val="0"/>
              <w:divBdr>
                <w:top w:val="none" w:sz="0" w:space="0" w:color="auto"/>
                <w:left w:val="none" w:sz="0" w:space="0" w:color="auto"/>
                <w:bottom w:val="none" w:sz="0" w:space="0" w:color="auto"/>
                <w:right w:val="none" w:sz="0" w:space="0" w:color="auto"/>
              </w:divBdr>
              <w:divsChild>
                <w:div w:id="13066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211771323">
      <w:bodyDiv w:val="1"/>
      <w:marLeft w:val="0"/>
      <w:marRight w:val="0"/>
      <w:marTop w:val="0"/>
      <w:marBottom w:val="0"/>
      <w:divBdr>
        <w:top w:val="none" w:sz="0" w:space="0" w:color="auto"/>
        <w:left w:val="none" w:sz="0" w:space="0" w:color="auto"/>
        <w:bottom w:val="none" w:sz="0" w:space="0" w:color="auto"/>
        <w:right w:val="none" w:sz="0" w:space="0" w:color="auto"/>
      </w:divBdr>
    </w:div>
    <w:div w:id="1212113088">
      <w:bodyDiv w:val="1"/>
      <w:marLeft w:val="0"/>
      <w:marRight w:val="0"/>
      <w:marTop w:val="0"/>
      <w:marBottom w:val="0"/>
      <w:divBdr>
        <w:top w:val="none" w:sz="0" w:space="0" w:color="auto"/>
        <w:left w:val="none" w:sz="0" w:space="0" w:color="auto"/>
        <w:bottom w:val="none" w:sz="0" w:space="0" w:color="auto"/>
        <w:right w:val="none" w:sz="0" w:space="0" w:color="auto"/>
      </w:divBdr>
    </w:div>
    <w:div w:id="1234311017">
      <w:bodyDiv w:val="1"/>
      <w:marLeft w:val="0"/>
      <w:marRight w:val="0"/>
      <w:marTop w:val="0"/>
      <w:marBottom w:val="0"/>
      <w:divBdr>
        <w:top w:val="none" w:sz="0" w:space="0" w:color="auto"/>
        <w:left w:val="none" w:sz="0" w:space="0" w:color="auto"/>
        <w:bottom w:val="none" w:sz="0" w:space="0" w:color="auto"/>
        <w:right w:val="none" w:sz="0" w:space="0" w:color="auto"/>
      </w:divBdr>
    </w:div>
    <w:div w:id="1424107245">
      <w:bodyDiv w:val="1"/>
      <w:marLeft w:val="0"/>
      <w:marRight w:val="0"/>
      <w:marTop w:val="0"/>
      <w:marBottom w:val="0"/>
      <w:divBdr>
        <w:top w:val="none" w:sz="0" w:space="0" w:color="auto"/>
        <w:left w:val="none" w:sz="0" w:space="0" w:color="auto"/>
        <w:bottom w:val="none" w:sz="0" w:space="0" w:color="auto"/>
        <w:right w:val="none" w:sz="0" w:space="0" w:color="auto"/>
      </w:divBdr>
    </w:div>
    <w:div w:id="1485661114">
      <w:bodyDiv w:val="1"/>
      <w:marLeft w:val="0"/>
      <w:marRight w:val="0"/>
      <w:marTop w:val="0"/>
      <w:marBottom w:val="0"/>
      <w:divBdr>
        <w:top w:val="none" w:sz="0" w:space="0" w:color="auto"/>
        <w:left w:val="none" w:sz="0" w:space="0" w:color="auto"/>
        <w:bottom w:val="none" w:sz="0" w:space="0" w:color="auto"/>
        <w:right w:val="none" w:sz="0" w:space="0" w:color="auto"/>
      </w:divBdr>
    </w:div>
    <w:div w:id="1626885583">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51859720">
      <w:bodyDiv w:val="1"/>
      <w:marLeft w:val="0"/>
      <w:marRight w:val="0"/>
      <w:marTop w:val="0"/>
      <w:marBottom w:val="0"/>
      <w:divBdr>
        <w:top w:val="none" w:sz="0" w:space="0" w:color="auto"/>
        <w:left w:val="none" w:sz="0" w:space="0" w:color="auto"/>
        <w:bottom w:val="none" w:sz="0" w:space="0" w:color="auto"/>
        <w:right w:val="none" w:sz="0" w:space="0" w:color="auto"/>
      </w:divBdr>
    </w:div>
    <w:div w:id="1696231145">
      <w:bodyDiv w:val="1"/>
      <w:marLeft w:val="0"/>
      <w:marRight w:val="0"/>
      <w:marTop w:val="0"/>
      <w:marBottom w:val="0"/>
      <w:divBdr>
        <w:top w:val="none" w:sz="0" w:space="0" w:color="auto"/>
        <w:left w:val="none" w:sz="0" w:space="0" w:color="auto"/>
        <w:bottom w:val="none" w:sz="0" w:space="0" w:color="auto"/>
        <w:right w:val="none" w:sz="0" w:space="0" w:color="auto"/>
      </w:divBdr>
    </w:div>
    <w:div w:id="1846936878">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2033746">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1995839390">
      <w:bodyDiv w:val="1"/>
      <w:marLeft w:val="0"/>
      <w:marRight w:val="0"/>
      <w:marTop w:val="0"/>
      <w:marBottom w:val="0"/>
      <w:divBdr>
        <w:top w:val="none" w:sz="0" w:space="0" w:color="auto"/>
        <w:left w:val="none" w:sz="0" w:space="0" w:color="auto"/>
        <w:bottom w:val="none" w:sz="0" w:space="0" w:color="auto"/>
        <w:right w:val="none" w:sz="0" w:space="0" w:color="auto"/>
      </w:divBdr>
    </w:div>
    <w:div w:id="2125228574">
      <w:bodyDiv w:val="1"/>
      <w:marLeft w:val="0"/>
      <w:marRight w:val="0"/>
      <w:marTop w:val="0"/>
      <w:marBottom w:val="0"/>
      <w:divBdr>
        <w:top w:val="none" w:sz="0" w:space="0" w:color="auto"/>
        <w:left w:val="none" w:sz="0" w:space="0" w:color="auto"/>
        <w:bottom w:val="none" w:sz="0" w:space="0" w:color="auto"/>
        <w:right w:val="none" w:sz="0" w:space="0" w:color="auto"/>
      </w:divBdr>
    </w:div>
    <w:div w:id="2129423016">
      <w:bodyDiv w:val="1"/>
      <w:marLeft w:val="0"/>
      <w:marRight w:val="0"/>
      <w:marTop w:val="0"/>
      <w:marBottom w:val="0"/>
      <w:divBdr>
        <w:top w:val="none" w:sz="0" w:space="0" w:color="auto"/>
        <w:left w:val="none" w:sz="0" w:space="0" w:color="auto"/>
        <w:bottom w:val="none" w:sz="0" w:space="0" w:color="auto"/>
        <w:right w:val="none" w:sz="0" w:space="0" w:color="auto"/>
      </w:divBdr>
    </w:div>
    <w:div w:id="213104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68</Pages>
  <Words>13919</Words>
  <Characters>76557</Characters>
  <Application>Microsoft Office Word</Application>
  <DocSecurity>0</DocSecurity>
  <Lines>637</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2019-11-19T21:41:00Z</cp:lastPrinted>
  <dcterms:created xsi:type="dcterms:W3CDTF">2019-11-28T00:18:00Z</dcterms:created>
  <dcterms:modified xsi:type="dcterms:W3CDTF">2019-11-28T00:18:00Z</dcterms:modified>
</cp:coreProperties>
</file>