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00C715B5">
        <w:rPr>
          <w:rFonts w:ascii="Palatino Linotype" w:eastAsia="Times New Roman" w:hAnsi="Palatino Linotype" w:cs="Arial"/>
          <w:color w:val="000000"/>
          <w:sz w:val="24"/>
          <w:szCs w:val="24"/>
          <w:lang w:eastAsia="es-MX"/>
        </w:rPr>
        <w:t xml:space="preserve">a </w:t>
      </w:r>
      <w:r w:rsidR="001B13E6">
        <w:rPr>
          <w:rFonts w:ascii="Palatino Linotype" w:eastAsia="Times New Roman" w:hAnsi="Palatino Linotype" w:cs="Arial"/>
          <w:color w:val="000000"/>
          <w:sz w:val="24"/>
          <w:szCs w:val="24"/>
          <w:lang w:eastAsia="es-MX"/>
        </w:rPr>
        <w:t>veintiséis</w:t>
      </w:r>
      <w:r w:rsidR="00C715B5" w:rsidRPr="001B13E6">
        <w:rPr>
          <w:rFonts w:ascii="Palatino Linotype" w:eastAsia="Times New Roman" w:hAnsi="Palatino Linotype" w:cs="Arial"/>
          <w:color w:val="000000"/>
          <w:sz w:val="24"/>
          <w:szCs w:val="24"/>
          <w:lang w:eastAsia="es-MX"/>
        </w:rPr>
        <w:t xml:space="preserve"> de junio </w:t>
      </w:r>
      <w:r w:rsidR="0035772D" w:rsidRPr="001B13E6">
        <w:rPr>
          <w:rFonts w:ascii="Palatino Linotype" w:eastAsia="Times New Roman" w:hAnsi="Palatino Linotype" w:cs="Arial"/>
          <w:color w:val="000000"/>
          <w:sz w:val="24"/>
          <w:szCs w:val="24"/>
          <w:lang w:eastAsia="es-MX"/>
        </w:rPr>
        <w:t>de dos mil diecinueve</w:t>
      </w:r>
      <w:r w:rsidRPr="001B13E6">
        <w:rPr>
          <w:rFonts w:ascii="Palatino Linotype" w:eastAsia="Times New Roman" w:hAnsi="Palatino Linotype" w:cs="Arial"/>
          <w:color w:val="000000"/>
          <w:sz w:val="24"/>
          <w:szCs w:val="24"/>
          <w:lang w:eastAsia="es-MX"/>
        </w:rPr>
        <w:t>.</w:t>
      </w:r>
      <w:r w:rsidR="00503088">
        <w:rPr>
          <w:rFonts w:ascii="Palatino Linotype" w:eastAsia="Times New Roman" w:hAnsi="Palatino Linotype" w:cs="Arial"/>
          <w:color w:val="000000"/>
          <w:sz w:val="24"/>
          <w:szCs w:val="24"/>
          <w:lang w:eastAsia="es-MX"/>
        </w:rPr>
        <w:t xml:space="preserve"> </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C715B5">
        <w:rPr>
          <w:rFonts w:ascii="Palatino Linotype" w:hAnsi="Palatino Linotype" w:cs="Arial"/>
          <w:b/>
          <w:bCs/>
          <w:sz w:val="24"/>
          <w:lang w:eastAsia="es-MX"/>
        </w:rPr>
        <w:t>025</w:t>
      </w:r>
      <w:r w:rsidR="00885104">
        <w:rPr>
          <w:rFonts w:ascii="Palatino Linotype" w:hAnsi="Palatino Linotype" w:cs="Arial"/>
          <w:b/>
          <w:bCs/>
          <w:sz w:val="24"/>
          <w:lang w:eastAsia="es-MX"/>
        </w:rPr>
        <w:t>6</w:t>
      </w:r>
      <w:r w:rsidR="00273570">
        <w:rPr>
          <w:rFonts w:ascii="Palatino Linotype" w:hAnsi="Palatino Linotype" w:cs="Arial"/>
          <w:b/>
          <w:bCs/>
          <w:sz w:val="24"/>
          <w:lang w:eastAsia="es-MX"/>
        </w:rPr>
        <w:t>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184EC4">
        <w:rPr>
          <w:rFonts w:ascii="Palatino Linotype" w:hAnsi="Palatino Linotype" w:cs="Arial"/>
          <w:b/>
          <w:sz w:val="24"/>
        </w:rPr>
        <w:t>XXXXXX XXXXXX XXXXXX</w:t>
      </w:r>
      <w:r w:rsidR="00273570">
        <w:rPr>
          <w:rFonts w:ascii="Palatino Linotype" w:hAnsi="Palatino Linotype" w:cs="Arial"/>
          <w:b/>
          <w:sz w:val="24"/>
        </w:rPr>
        <w:t xml:space="preserve"> </w:t>
      </w:r>
      <w:r w:rsidR="004803ED">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C715B5">
        <w:rPr>
          <w:rFonts w:ascii="Palatino Linotype" w:hAnsi="Palatino Linotype" w:cs="Arial"/>
          <w:sz w:val="24"/>
          <w:szCs w:val="24"/>
        </w:rPr>
        <w:t>l</w:t>
      </w:r>
      <w:r w:rsidRPr="00224181">
        <w:rPr>
          <w:rFonts w:ascii="Palatino Linotype" w:hAnsi="Palatino Linotype" w:cs="Arial"/>
          <w:sz w:val="24"/>
          <w:szCs w:val="24"/>
        </w:rPr>
        <w:t xml:space="preserve"> </w:t>
      </w:r>
      <w:r w:rsidR="00885104" w:rsidRPr="00885104">
        <w:rPr>
          <w:rFonts w:ascii="Palatino Linotype" w:hAnsi="Palatino Linotype" w:cs="Arial"/>
          <w:b/>
          <w:sz w:val="24"/>
          <w:szCs w:val="24"/>
        </w:rPr>
        <w:t>Sistema Municipal Para el Desarrollo Integral de la Familia de Ecatepec de Morelos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A62D5" w:rsidRPr="00F205B9" w:rsidRDefault="006A62D5" w:rsidP="00E15E85">
      <w:pPr>
        <w:spacing w:before="240" w:after="240" w:line="360" w:lineRule="auto"/>
        <w:jc w:val="center"/>
        <w:rPr>
          <w:rFonts w:ascii="Palatino Linotype" w:hAnsi="Palatino Linotype"/>
          <w:b/>
          <w:sz w:val="28"/>
        </w:rPr>
      </w:pP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A62D5" w:rsidRDefault="00885104" w:rsidP="00E15E85">
      <w:pPr>
        <w:spacing w:before="240" w:line="360" w:lineRule="auto"/>
        <w:jc w:val="both"/>
        <w:rPr>
          <w:rFonts w:ascii="Palatino Linotype" w:hAnsi="Palatino Linotype" w:cs="Arial"/>
          <w:sz w:val="24"/>
        </w:rPr>
      </w:pPr>
      <w:r>
        <w:rPr>
          <w:rFonts w:ascii="Palatino Linotype" w:hAnsi="Palatino Linotype" w:cs="Arial"/>
          <w:sz w:val="24"/>
        </w:rPr>
        <w:t>Con fecha ocho de abril</w:t>
      </w:r>
      <w:r w:rsidR="004803ED">
        <w:rPr>
          <w:rFonts w:ascii="Palatino Linotype" w:hAnsi="Palatino Linotype" w:cs="Arial"/>
          <w:sz w:val="24"/>
        </w:rPr>
        <w:t xml:space="preserve"> </w:t>
      </w:r>
      <w:r w:rsidR="00AF385F">
        <w:rPr>
          <w:rFonts w:ascii="Palatino Linotype" w:hAnsi="Palatino Linotype" w:cs="Arial"/>
          <w:sz w:val="24"/>
        </w:rPr>
        <w:t>de dos mil diecinueve</w:t>
      </w:r>
      <w:r w:rsidR="00E15E85">
        <w:rPr>
          <w:rFonts w:ascii="Palatino Linotype" w:hAnsi="Palatino Linotype" w:cs="Arial"/>
          <w:sz w:val="24"/>
        </w:rPr>
        <w:t xml:space="preserve">, </w:t>
      </w:r>
      <w:r w:rsidR="0037311B">
        <w:rPr>
          <w:rFonts w:ascii="Palatino Linotype" w:hAnsi="Palatino Linotype" w:cs="Arial"/>
          <w:b/>
          <w:sz w:val="24"/>
        </w:rPr>
        <w:t>el</w:t>
      </w:r>
      <w:r w:rsidR="00E15E85">
        <w:rPr>
          <w:rFonts w:ascii="Palatino Linotype" w:hAnsi="Palatino Linotype" w:cs="Arial"/>
          <w:b/>
          <w:sz w:val="24"/>
        </w:rPr>
        <w:t xml:space="preserve"> Recurrente</w:t>
      </w:r>
      <w:r w:rsidR="00E15E85">
        <w:rPr>
          <w:rFonts w:ascii="Palatino Linotype" w:hAnsi="Palatino Linotype" w:cs="Arial"/>
          <w:sz w:val="24"/>
        </w:rPr>
        <w:t>, presentó a través del Sistema de Acceso a la Información Mexiquense (</w:t>
      </w:r>
      <w:r w:rsidR="00E15E85">
        <w:rPr>
          <w:rFonts w:ascii="Palatino Linotype" w:hAnsi="Palatino Linotype" w:cs="Arial"/>
          <w:b/>
          <w:sz w:val="24"/>
        </w:rPr>
        <w:t>SAIMEX)</w:t>
      </w:r>
      <w:r w:rsidR="00E15E85">
        <w:rPr>
          <w:rFonts w:ascii="Palatino Linotype" w:hAnsi="Palatino Linotype" w:cs="Arial"/>
          <w:sz w:val="24"/>
        </w:rPr>
        <w:t xml:space="preserve"> ante </w:t>
      </w:r>
      <w:r w:rsidR="00E15E85">
        <w:rPr>
          <w:rFonts w:ascii="Palatino Linotype" w:hAnsi="Palatino Linotype" w:cs="Arial"/>
          <w:b/>
          <w:sz w:val="24"/>
        </w:rPr>
        <w:t>El Sujeto Obligado</w:t>
      </w:r>
      <w:r w:rsidR="00E15E85">
        <w:rPr>
          <w:rFonts w:ascii="Palatino Linotype" w:hAnsi="Palatino Linotype" w:cs="Arial"/>
          <w:sz w:val="24"/>
        </w:rPr>
        <w:t>, solicitud de acceso a la información pública, registrada bajo el número de expediente</w:t>
      </w:r>
      <w:r w:rsidR="00E15E85">
        <w:rPr>
          <w:rFonts w:ascii="Palatino Linotype" w:hAnsi="Palatino Linotype" w:cs="Arial"/>
          <w:b/>
          <w:sz w:val="24"/>
        </w:rPr>
        <w:t xml:space="preserve"> </w:t>
      </w:r>
      <w:r w:rsidR="00B71DA1" w:rsidRPr="00425FE1">
        <w:rPr>
          <w:rFonts w:ascii="Palatino Linotype" w:hAnsi="Palatino Linotype" w:cs="Arial"/>
          <w:b/>
          <w:bCs/>
          <w:sz w:val="24"/>
        </w:rPr>
        <w:t>00004/DIFECATEPE/IP/2019</w:t>
      </w:r>
      <w:r w:rsidR="00E15E85">
        <w:rPr>
          <w:rFonts w:ascii="Palatino Linotype" w:hAnsi="Palatino Linotype" w:cs="Arial"/>
          <w:b/>
          <w:sz w:val="24"/>
          <w:lang w:eastAsia="es-MX"/>
        </w:rPr>
        <w:t xml:space="preserve">, </w:t>
      </w:r>
      <w:r w:rsidR="00E15E85">
        <w:rPr>
          <w:rFonts w:ascii="Palatino Linotype" w:hAnsi="Palatino Linotype" w:cs="Arial"/>
          <w:sz w:val="24"/>
        </w:rPr>
        <w:t>mediante la cual solicitó información en el tenor siguiente:</w:t>
      </w:r>
    </w:p>
    <w:p w:rsidR="00E15E85" w:rsidRDefault="00294007" w:rsidP="00E15E85">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lastRenderedPageBreak/>
        <w:t>“</w:t>
      </w:r>
      <w:r w:rsidRPr="00294007">
        <w:rPr>
          <w:rFonts w:ascii="Palatino Linotype" w:eastAsia="Times New Roman" w:hAnsi="Palatino Linotype" w:cs="Times New Roman"/>
          <w:i/>
          <w:lang w:val="es-ES_tradnl" w:eastAsia="es-ES"/>
        </w:rPr>
        <w:t>con fundamento en el articulo 6 de la carta magna y en el articulo 5 de la constitucion del estado libre y soberano del estado de mexico, solciito el curriculum de la presidenta del DIF de ecatepec y el curriculum de la directora del mismo.</w:t>
      </w:r>
      <w:r>
        <w:rPr>
          <w:rFonts w:ascii="Palatino Linotype" w:eastAsia="Times New Roman" w:hAnsi="Palatino Linotype" w:cs="Times New Roman"/>
          <w:i/>
          <w:lang w:val="es-ES_tradnl" w:eastAsia="es-ES"/>
        </w:rPr>
        <w:t>”</w:t>
      </w:r>
      <w:r w:rsidRPr="00294007">
        <w:rPr>
          <w:rFonts w:ascii="Palatino Linotype" w:eastAsia="Times New Roman" w:hAnsi="Palatino Linotype" w:cs="Times New Roman"/>
          <w:i/>
          <w:lang w:val="es-ES_tradnl" w:eastAsia="es-ES"/>
        </w:rPr>
        <w:t xml:space="preserve"> </w:t>
      </w:r>
      <w:r w:rsidR="00E15E85" w:rsidRPr="00DE246E">
        <w:rPr>
          <w:rFonts w:ascii="Palatino Linotype" w:eastAsia="Times New Roman" w:hAnsi="Palatino Linotype" w:cs="Times New Roman"/>
          <w:i/>
          <w:lang w:val="es-ES_tradnl" w:eastAsia="es-ES"/>
        </w:rPr>
        <w:t>[Sic]</w:t>
      </w:r>
    </w:p>
    <w:p w:rsidR="006A62D5" w:rsidRPr="00DE246E" w:rsidRDefault="006A62D5" w:rsidP="00E15E85">
      <w:pPr>
        <w:ind w:left="851" w:right="850"/>
        <w:jc w:val="both"/>
        <w:rPr>
          <w:rFonts w:ascii="Palatino Linotype" w:eastAsia="Times New Roman" w:hAnsi="Palatino Linotype" w:cs="Times New Roman"/>
          <w:i/>
          <w:lang w:val="es-ES_tradnl" w:eastAsia="es-ES"/>
        </w:rPr>
      </w:pP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A62D5" w:rsidRDefault="00E15E85" w:rsidP="00273570">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523067">
        <w:rPr>
          <w:rFonts w:ascii="Palatino Linotype" w:hAnsi="Palatino Linotype" w:cs="Arial"/>
          <w:sz w:val="24"/>
        </w:rPr>
        <w:t xml:space="preserve">dio respuesta a la solicitud de información el </w:t>
      </w:r>
      <w:r w:rsidR="00C56B54">
        <w:rPr>
          <w:rFonts w:ascii="Palatino Linotype" w:hAnsi="Palatino Linotype" w:cs="Arial"/>
          <w:sz w:val="24"/>
        </w:rPr>
        <w:t>ocho de abril</w:t>
      </w:r>
      <w:r w:rsidR="00273570">
        <w:rPr>
          <w:rFonts w:ascii="Palatino Linotype" w:hAnsi="Palatino Linotype" w:cs="Arial"/>
          <w:sz w:val="24"/>
        </w:rPr>
        <w:t xml:space="preserve"> </w:t>
      </w:r>
      <w:r w:rsidR="00C56B54">
        <w:rPr>
          <w:rFonts w:ascii="Palatino Linotype" w:hAnsi="Palatino Linotype" w:cs="Arial"/>
          <w:sz w:val="24"/>
        </w:rPr>
        <w:t>d</w:t>
      </w:r>
      <w:r w:rsidR="002B7CD8">
        <w:rPr>
          <w:rFonts w:ascii="Palatino Linotype" w:hAnsi="Palatino Linotype" w:cs="Arial"/>
          <w:sz w:val="24"/>
        </w:rPr>
        <w:t xml:space="preserve">e dos mil diecinueve, </w:t>
      </w:r>
      <w:r w:rsidR="00C56B54">
        <w:rPr>
          <w:rFonts w:ascii="Palatino Linotype" w:hAnsi="Palatino Linotype" w:cs="Arial"/>
          <w:sz w:val="24"/>
        </w:rPr>
        <w:t xml:space="preserve">en los siguientes términos: </w:t>
      </w:r>
    </w:p>
    <w:p w:rsidR="00C56B54" w:rsidRDefault="00C56B54" w:rsidP="00C56B54">
      <w:pPr>
        <w:tabs>
          <w:tab w:val="left" w:pos="851"/>
        </w:tabs>
        <w:spacing w:after="0" w:line="240" w:lineRule="auto"/>
        <w:ind w:left="851" w:right="901"/>
        <w:jc w:val="both"/>
        <w:rPr>
          <w:rFonts w:ascii="Palatino Linotype" w:hAnsi="Palatino Linotype" w:cs="Arial"/>
          <w:i/>
        </w:rPr>
      </w:pPr>
      <w:r w:rsidRPr="00C719A4">
        <w:rPr>
          <w:rFonts w:ascii="Palatino Linotype" w:hAnsi="Palatino Linotype" w:cs="Arial"/>
          <w:i/>
        </w:rPr>
        <w:t>“…</w:t>
      </w:r>
      <w:r w:rsidRPr="00164844">
        <w:rPr>
          <w:rFonts w:ascii="Palatino Linotype" w:hAnsi="Palatino Linotype" w:cs="Arial"/>
          <w:i/>
        </w:rPr>
        <w:t>no se pueden entregar</w:t>
      </w:r>
    </w:p>
    <w:p w:rsidR="00C56B54" w:rsidRDefault="00C56B54" w:rsidP="00C56B54">
      <w:pPr>
        <w:tabs>
          <w:tab w:val="left" w:pos="851"/>
        </w:tabs>
        <w:spacing w:after="0" w:line="240" w:lineRule="auto"/>
        <w:ind w:left="851" w:right="901"/>
        <w:jc w:val="both"/>
        <w:rPr>
          <w:rFonts w:ascii="Palatino Linotype" w:hAnsi="Palatino Linotype" w:cs="Arial"/>
          <w:i/>
        </w:rPr>
      </w:pPr>
    </w:p>
    <w:p w:rsidR="00C56B54" w:rsidRPr="00164844" w:rsidRDefault="00C56B54" w:rsidP="00C56B54">
      <w:pPr>
        <w:tabs>
          <w:tab w:val="left" w:pos="851"/>
        </w:tabs>
        <w:spacing w:after="0" w:line="240" w:lineRule="auto"/>
        <w:ind w:left="851" w:right="901"/>
        <w:jc w:val="both"/>
        <w:rPr>
          <w:rFonts w:ascii="Palatino Linotype" w:hAnsi="Palatino Linotype" w:cs="Arial"/>
          <w:i/>
        </w:rPr>
      </w:pPr>
    </w:p>
    <w:p w:rsidR="00C56B54" w:rsidRPr="00164844" w:rsidRDefault="00C56B54" w:rsidP="00C56B54">
      <w:pPr>
        <w:tabs>
          <w:tab w:val="left" w:pos="851"/>
        </w:tabs>
        <w:spacing w:after="0" w:line="240" w:lineRule="auto"/>
        <w:ind w:left="851" w:right="901"/>
        <w:jc w:val="both"/>
        <w:rPr>
          <w:rFonts w:ascii="Palatino Linotype" w:hAnsi="Palatino Linotype" w:cs="Arial"/>
          <w:i/>
        </w:rPr>
      </w:pPr>
      <w:r w:rsidRPr="00164844">
        <w:rPr>
          <w:rFonts w:ascii="Palatino Linotype" w:hAnsi="Palatino Linotype" w:cs="Arial"/>
          <w:i/>
        </w:rPr>
        <w:t>ATENTAMENTE</w:t>
      </w:r>
    </w:p>
    <w:p w:rsidR="00C56B54" w:rsidRDefault="00C56B54" w:rsidP="00C56B54">
      <w:pPr>
        <w:tabs>
          <w:tab w:val="left" w:pos="851"/>
        </w:tabs>
        <w:spacing w:after="0" w:line="240" w:lineRule="auto"/>
        <w:ind w:left="851" w:right="901"/>
        <w:jc w:val="both"/>
        <w:rPr>
          <w:rFonts w:ascii="Palatino Linotype" w:hAnsi="Palatino Linotype" w:cs="Arial"/>
          <w:i/>
        </w:rPr>
      </w:pPr>
      <w:r w:rsidRPr="00164844">
        <w:rPr>
          <w:rFonts w:ascii="Palatino Linotype" w:hAnsi="Palatino Linotype" w:cs="Arial"/>
          <w:i/>
        </w:rPr>
        <w:t>LIC. MIGUEL ÁNGEL DÁVILA ESCALONA</w:t>
      </w:r>
      <w:r w:rsidRPr="00C719A4">
        <w:rPr>
          <w:rFonts w:ascii="Palatino Linotype" w:hAnsi="Palatino Linotype" w:cs="Arial"/>
          <w:i/>
        </w:rPr>
        <w:t>” (sic)</w:t>
      </w:r>
    </w:p>
    <w:p w:rsidR="006A62D5" w:rsidRPr="00C56B54" w:rsidRDefault="006A62D5" w:rsidP="00C56B54">
      <w:pPr>
        <w:tabs>
          <w:tab w:val="left" w:pos="851"/>
        </w:tabs>
        <w:spacing w:after="0" w:line="240" w:lineRule="auto"/>
        <w:ind w:left="851" w:right="901"/>
        <w:jc w:val="both"/>
        <w:rPr>
          <w:rFonts w:ascii="Palatino Linotype" w:hAnsi="Palatino Linotype" w:cs="Arial"/>
          <w:i/>
        </w:rPr>
      </w:pPr>
    </w:p>
    <w:p w:rsidR="00E15E85" w:rsidRPr="00441A94" w:rsidRDefault="00E15E85" w:rsidP="00273570">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C56B54">
        <w:rPr>
          <w:rFonts w:ascii="Palatino Linotype" w:hAnsi="Palatino Linotype" w:cs="Arial"/>
          <w:sz w:val="24"/>
          <w:szCs w:val="24"/>
        </w:rPr>
        <w:t>quince de abril d</w:t>
      </w:r>
      <w:r w:rsidR="0037311B">
        <w:rPr>
          <w:rFonts w:ascii="Palatino Linotype" w:hAnsi="Palatino Linotype" w:cs="Arial"/>
          <w:sz w:val="24"/>
          <w:szCs w:val="24"/>
        </w:rPr>
        <w:t>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C56B54">
        <w:rPr>
          <w:rFonts w:ascii="Palatino Linotype" w:hAnsi="Palatino Linotype" w:cs="Arial"/>
          <w:b/>
          <w:bCs/>
          <w:sz w:val="24"/>
          <w:szCs w:val="24"/>
          <w:lang w:eastAsia="es-MX"/>
        </w:rPr>
        <w:t>0256</w:t>
      </w:r>
      <w:r w:rsidR="00A9298D">
        <w:rPr>
          <w:rFonts w:ascii="Palatino Linotype" w:hAnsi="Palatino Linotype" w:cs="Arial"/>
          <w:b/>
          <w:bCs/>
          <w:sz w:val="24"/>
          <w:szCs w:val="24"/>
          <w:lang w:eastAsia="es-MX"/>
        </w:rPr>
        <w:t>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C56B54" w:rsidP="00E15E85">
      <w:pPr>
        <w:ind w:left="851" w:right="850"/>
        <w:jc w:val="both"/>
        <w:rPr>
          <w:rFonts w:ascii="Palatino Linotype" w:hAnsi="Palatino Linotype"/>
          <w:i/>
          <w:color w:val="000000"/>
        </w:rPr>
      </w:pPr>
      <w:r w:rsidRPr="00C56B54">
        <w:rPr>
          <w:rFonts w:ascii="Palatino Linotype" w:hAnsi="Palatino Linotype"/>
          <w:i/>
          <w:color w:val="000000"/>
        </w:rPr>
        <w:lastRenderedPageBreak/>
        <w:t>“que se me entregue la información solicitada, por que es de mi intereses, ademas de que este municipio nunca tiene información actualizada en la plataforma” (Sic)</w:t>
      </w:r>
    </w:p>
    <w:p w:rsidR="00307041" w:rsidRDefault="00307041"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C56B54" w:rsidP="00E15E85">
      <w:pPr>
        <w:ind w:left="851" w:right="850"/>
        <w:jc w:val="both"/>
        <w:rPr>
          <w:rFonts w:ascii="Palatino Linotype" w:hAnsi="Palatino Linotype" w:cs="Arial"/>
          <w:i/>
        </w:rPr>
      </w:pPr>
      <w:r w:rsidRPr="00C56B54">
        <w:rPr>
          <w:rFonts w:ascii="Palatino Linotype" w:hAnsi="Palatino Linotype" w:cs="Arial"/>
          <w:i/>
        </w:rPr>
        <w:t>“que se me entregue la información solicitada, por que es de mi intereses, ademas de que este municipio nunca tiene información actualizada</w:t>
      </w:r>
      <w:r>
        <w:rPr>
          <w:rFonts w:ascii="Palatino Linotype" w:hAnsi="Palatino Linotype" w:cs="Arial"/>
          <w:i/>
        </w:rPr>
        <w:t xml:space="preserve"> en la plataforma” </w:t>
      </w:r>
      <w:r w:rsidR="00527856" w:rsidRPr="004469D5">
        <w:rPr>
          <w:rFonts w:ascii="Palatino Linotype" w:hAnsi="Palatino Linotype" w:cs="Arial"/>
          <w:i/>
        </w:rPr>
        <w:t>[</w:t>
      </w:r>
      <w:r w:rsidR="003474F2">
        <w:rPr>
          <w:rFonts w:ascii="Palatino Linotype" w:hAnsi="Palatino Linotype" w:cs="Arial"/>
          <w:i/>
        </w:rPr>
        <w:t>S</w:t>
      </w:r>
      <w:r w:rsidR="00E15E85" w:rsidRPr="004469D5">
        <w:rPr>
          <w:rFonts w:ascii="Palatino Linotype" w:hAnsi="Palatino Linotype" w:cs="Arial"/>
          <w:i/>
        </w:rPr>
        <w:t>ic]</w:t>
      </w:r>
    </w:p>
    <w:p w:rsidR="002606F0"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C56B54">
        <w:rPr>
          <w:rFonts w:ascii="Palatino Linotype" w:hAnsi="Palatino Linotype" w:cs="Arial"/>
          <w:sz w:val="24"/>
          <w:szCs w:val="24"/>
        </w:rPr>
        <w:t>quince</w:t>
      </w:r>
      <w:r w:rsidR="00A9298D">
        <w:rPr>
          <w:rFonts w:ascii="Palatino Linotype" w:hAnsi="Palatino Linotype" w:cs="Arial"/>
          <w:sz w:val="24"/>
          <w:szCs w:val="24"/>
        </w:rPr>
        <w:t xml:space="preserve"> de abril</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6A62D5" w:rsidRDefault="006A62D5" w:rsidP="002C212B">
      <w:pPr>
        <w:spacing w:before="240" w:line="360" w:lineRule="auto"/>
        <w:jc w:val="both"/>
        <w:rPr>
          <w:rFonts w:ascii="Palatino Linotype" w:hAnsi="Palatino Linotype" w:cs="Arial"/>
          <w:b/>
          <w:sz w:val="28"/>
          <w:szCs w:val="24"/>
        </w:rPr>
      </w:pPr>
    </w:p>
    <w:p w:rsidR="0033395A" w:rsidRPr="0033395A" w:rsidRDefault="002C212B" w:rsidP="002C212B">
      <w:pPr>
        <w:spacing w:before="240" w:line="360" w:lineRule="auto"/>
        <w:jc w:val="both"/>
        <w:rPr>
          <w:rFonts w:ascii="Palatino Linotype" w:hAnsi="Palatino Linotype" w:cs="Arial"/>
          <w:b/>
          <w:sz w:val="28"/>
          <w:szCs w:val="24"/>
        </w:rPr>
      </w:pPr>
      <w:r w:rsidRPr="0033395A">
        <w:rPr>
          <w:rFonts w:ascii="Palatino Linotype" w:hAnsi="Palatino Linotype" w:cs="Arial"/>
          <w:b/>
          <w:sz w:val="28"/>
          <w:szCs w:val="24"/>
        </w:rPr>
        <w:t>QUINTO.</w:t>
      </w:r>
      <w:r w:rsidRPr="0033395A">
        <w:rPr>
          <w:rFonts w:ascii="Palatino Linotype" w:hAnsi="Palatino Linotype" w:cs="Arial"/>
          <w:sz w:val="28"/>
          <w:szCs w:val="24"/>
        </w:rPr>
        <w:t xml:space="preserve"> </w:t>
      </w:r>
      <w:r w:rsidR="0033395A">
        <w:rPr>
          <w:rFonts w:ascii="Palatino Linotype" w:hAnsi="Palatino Linotype" w:cs="Arial"/>
          <w:b/>
          <w:sz w:val="28"/>
          <w:szCs w:val="24"/>
        </w:rPr>
        <w:t>Del desistimiento.</w:t>
      </w:r>
    </w:p>
    <w:p w:rsidR="002C212B" w:rsidRPr="002C212B" w:rsidRDefault="002C212B" w:rsidP="002C212B">
      <w:pPr>
        <w:spacing w:before="240" w:line="360" w:lineRule="auto"/>
        <w:jc w:val="both"/>
        <w:rPr>
          <w:rFonts w:ascii="Palatino Linotype" w:hAnsi="Palatino Linotype" w:cs="Arial"/>
          <w:sz w:val="24"/>
          <w:szCs w:val="24"/>
        </w:rPr>
      </w:pPr>
      <w:r w:rsidRPr="002C212B">
        <w:rPr>
          <w:rFonts w:ascii="Palatino Linotype" w:hAnsi="Palatino Linotype" w:cs="Arial"/>
          <w:sz w:val="24"/>
          <w:szCs w:val="24"/>
        </w:rPr>
        <w:t>El día quince de abril de dos mil diecinueve, EL RECURRENTE se desistió expresamente de continuar con el recurso de revisión, en el que señaló:</w:t>
      </w:r>
    </w:p>
    <w:p w:rsidR="002C212B" w:rsidRPr="002C212B" w:rsidRDefault="002C212B" w:rsidP="002C212B">
      <w:pPr>
        <w:spacing w:before="240" w:line="360" w:lineRule="auto"/>
        <w:jc w:val="both"/>
        <w:rPr>
          <w:rFonts w:ascii="Palatino Linotype" w:hAnsi="Palatino Linotype" w:cs="Arial"/>
          <w:sz w:val="24"/>
          <w:szCs w:val="24"/>
        </w:rPr>
      </w:pPr>
    </w:p>
    <w:p w:rsidR="002C212B" w:rsidRPr="002C212B" w:rsidRDefault="002C212B" w:rsidP="002C212B">
      <w:pPr>
        <w:spacing w:before="240" w:line="360" w:lineRule="auto"/>
        <w:jc w:val="both"/>
        <w:rPr>
          <w:rFonts w:ascii="Palatino Linotype" w:hAnsi="Palatino Linotype" w:cs="Arial"/>
          <w:sz w:val="24"/>
          <w:szCs w:val="24"/>
        </w:rPr>
      </w:pPr>
      <w:r w:rsidRPr="002C212B">
        <w:rPr>
          <w:rFonts w:ascii="Palatino Linotype" w:hAnsi="Palatino Linotype" w:cs="Arial"/>
          <w:sz w:val="24"/>
          <w:szCs w:val="24"/>
        </w:rPr>
        <w:lastRenderedPageBreak/>
        <w:t>“…ya no me interesa la informacion</w:t>
      </w:r>
    </w:p>
    <w:p w:rsidR="002C212B" w:rsidRPr="002C212B" w:rsidRDefault="002C212B" w:rsidP="002C212B">
      <w:pPr>
        <w:spacing w:before="240" w:line="360" w:lineRule="auto"/>
        <w:jc w:val="both"/>
        <w:rPr>
          <w:rFonts w:ascii="Palatino Linotype" w:hAnsi="Palatino Linotype" w:cs="Arial"/>
          <w:sz w:val="24"/>
          <w:szCs w:val="24"/>
        </w:rPr>
      </w:pPr>
    </w:p>
    <w:p w:rsidR="002C212B" w:rsidRPr="002C212B" w:rsidRDefault="002C212B" w:rsidP="002C212B">
      <w:pPr>
        <w:spacing w:before="240" w:line="360" w:lineRule="auto"/>
        <w:jc w:val="both"/>
        <w:rPr>
          <w:rFonts w:ascii="Palatino Linotype" w:hAnsi="Palatino Linotype" w:cs="Arial"/>
          <w:sz w:val="24"/>
          <w:szCs w:val="24"/>
        </w:rPr>
      </w:pPr>
      <w:r w:rsidRPr="002C212B">
        <w:rPr>
          <w:rFonts w:ascii="Palatino Linotype" w:hAnsi="Palatino Linotype" w:cs="Arial"/>
          <w:sz w:val="24"/>
          <w:szCs w:val="24"/>
        </w:rPr>
        <w:t>ATENTAMENTE</w:t>
      </w:r>
    </w:p>
    <w:p w:rsidR="002C212B" w:rsidRDefault="002C212B" w:rsidP="002C212B">
      <w:pPr>
        <w:spacing w:before="240" w:line="360" w:lineRule="auto"/>
        <w:jc w:val="both"/>
        <w:rPr>
          <w:rFonts w:ascii="Palatino Linotype" w:hAnsi="Palatino Linotype" w:cs="Arial"/>
          <w:sz w:val="24"/>
          <w:szCs w:val="24"/>
        </w:rPr>
      </w:pPr>
      <w:r w:rsidRPr="002C212B">
        <w:rPr>
          <w:rFonts w:ascii="Palatino Linotype" w:hAnsi="Palatino Linotype" w:cs="Arial"/>
          <w:sz w:val="24"/>
          <w:szCs w:val="24"/>
        </w:rPr>
        <w:t>BENITO CAMELO LARGO”</w:t>
      </w:r>
      <w:r w:rsidR="003A421D">
        <w:rPr>
          <w:rFonts w:ascii="Palatino Linotype" w:hAnsi="Palatino Linotype" w:cs="Arial"/>
          <w:sz w:val="24"/>
          <w:szCs w:val="24"/>
        </w:rPr>
        <w:t xml:space="preserve"> </w:t>
      </w:r>
      <w:r w:rsidRPr="002C212B">
        <w:rPr>
          <w:rFonts w:ascii="Palatino Linotype" w:hAnsi="Palatino Linotype" w:cs="Arial"/>
          <w:sz w:val="24"/>
          <w:szCs w:val="24"/>
        </w:rPr>
        <w:t>(sic)</w:t>
      </w:r>
    </w:p>
    <w:p w:rsidR="00885104" w:rsidRDefault="00885104" w:rsidP="002C212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Tal </w:t>
      </w:r>
      <w:r w:rsidR="00F30C56">
        <w:rPr>
          <w:rFonts w:ascii="Palatino Linotype" w:hAnsi="Palatino Linotype" w:cs="Arial"/>
          <w:sz w:val="24"/>
          <w:szCs w:val="24"/>
        </w:rPr>
        <w:t xml:space="preserve">y </w:t>
      </w:r>
      <w:r>
        <w:rPr>
          <w:rFonts w:ascii="Palatino Linotype" w:hAnsi="Palatino Linotype" w:cs="Arial"/>
          <w:sz w:val="24"/>
          <w:szCs w:val="24"/>
        </w:rPr>
        <w:t>como se aprecia en la</w:t>
      </w:r>
      <w:r w:rsidR="003A421D">
        <w:rPr>
          <w:rFonts w:ascii="Palatino Linotype" w:hAnsi="Palatino Linotype" w:cs="Arial"/>
          <w:sz w:val="24"/>
          <w:szCs w:val="24"/>
        </w:rPr>
        <w:t>s</w:t>
      </w:r>
      <w:r>
        <w:rPr>
          <w:rFonts w:ascii="Palatino Linotype" w:hAnsi="Palatino Linotype" w:cs="Arial"/>
          <w:sz w:val="24"/>
          <w:szCs w:val="24"/>
        </w:rPr>
        <w:t xml:space="preserve"> siguiente</w:t>
      </w:r>
      <w:r w:rsidR="003A421D">
        <w:rPr>
          <w:rFonts w:ascii="Palatino Linotype" w:hAnsi="Palatino Linotype" w:cs="Arial"/>
          <w:sz w:val="24"/>
          <w:szCs w:val="24"/>
        </w:rPr>
        <w:t>s</w:t>
      </w:r>
      <w:r>
        <w:rPr>
          <w:rFonts w:ascii="Palatino Linotype" w:hAnsi="Palatino Linotype" w:cs="Arial"/>
          <w:sz w:val="24"/>
          <w:szCs w:val="24"/>
        </w:rPr>
        <w:t xml:space="preserve"> </w:t>
      </w:r>
      <w:r w:rsidR="003A421D">
        <w:rPr>
          <w:rFonts w:ascii="Palatino Linotype" w:hAnsi="Palatino Linotype" w:cs="Arial"/>
          <w:sz w:val="24"/>
          <w:szCs w:val="24"/>
        </w:rPr>
        <w:t>imá</w:t>
      </w:r>
      <w:r w:rsidR="00F30C56">
        <w:rPr>
          <w:rFonts w:ascii="Palatino Linotype" w:hAnsi="Palatino Linotype" w:cs="Arial"/>
          <w:sz w:val="24"/>
          <w:szCs w:val="24"/>
        </w:rPr>
        <w:t>gen</w:t>
      </w:r>
      <w:r w:rsidR="003A421D">
        <w:rPr>
          <w:rFonts w:ascii="Palatino Linotype" w:hAnsi="Palatino Linotype" w:cs="Arial"/>
          <w:sz w:val="24"/>
          <w:szCs w:val="24"/>
        </w:rPr>
        <w:t>es</w:t>
      </w:r>
      <w:r w:rsidR="00F30C56">
        <w:rPr>
          <w:rFonts w:ascii="Palatino Linotype" w:hAnsi="Palatino Linotype" w:cs="Arial"/>
          <w:sz w:val="24"/>
          <w:szCs w:val="24"/>
        </w:rPr>
        <w:t>:</w:t>
      </w:r>
    </w:p>
    <w:p w:rsidR="00F30C56" w:rsidRDefault="00DE2498" w:rsidP="002C212B">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764530" cy="430149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530" cy="4301490"/>
                    </a:xfrm>
                    <a:prstGeom prst="rect">
                      <a:avLst/>
                    </a:prstGeom>
                    <a:noFill/>
                    <a:ln>
                      <a:noFill/>
                    </a:ln>
                  </pic:spPr>
                </pic:pic>
              </a:graphicData>
            </a:graphic>
          </wp:inline>
        </w:drawing>
      </w:r>
    </w:p>
    <w:p w:rsidR="006A62D5" w:rsidRDefault="00DE2498" w:rsidP="002C212B">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565775" cy="3188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775" cy="3188335"/>
                    </a:xfrm>
                    <a:prstGeom prst="rect">
                      <a:avLst/>
                    </a:prstGeom>
                    <a:noFill/>
                    <a:ln>
                      <a:noFill/>
                    </a:ln>
                  </pic:spPr>
                </pic:pic>
              </a:graphicData>
            </a:graphic>
          </wp:inline>
        </w:drawing>
      </w:r>
    </w:p>
    <w:p w:rsidR="00885104" w:rsidRDefault="00885104" w:rsidP="00E15E85">
      <w:pPr>
        <w:spacing w:before="240" w:line="360" w:lineRule="auto"/>
        <w:jc w:val="both"/>
        <w:rPr>
          <w:rFonts w:ascii="Palatino Linotype" w:hAnsi="Palatino Linotype" w:cs="Arial"/>
          <w:b/>
          <w:sz w:val="28"/>
        </w:rPr>
      </w:pPr>
      <w:r>
        <w:rPr>
          <w:rFonts w:ascii="Palatino Linotype" w:hAnsi="Palatino Linotype" w:cs="Arial"/>
          <w:b/>
          <w:sz w:val="28"/>
        </w:rPr>
        <w:t>SEXTO. De la admisión.</w:t>
      </w:r>
    </w:p>
    <w:p w:rsidR="004B035B" w:rsidRDefault="004B035B" w:rsidP="004B035B">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-4961</wp:posOffset>
                </wp:positionH>
                <wp:positionV relativeFrom="paragraph">
                  <wp:posOffset>958919</wp:posOffset>
                </wp:positionV>
                <wp:extent cx="5760720" cy="2150347"/>
                <wp:effectExtent l="0" t="0" r="30480" b="21590"/>
                <wp:wrapNone/>
                <wp:docPr id="10" name="Conector recto 10"/>
                <wp:cNvGraphicFramePr/>
                <a:graphic xmlns:a="http://schemas.openxmlformats.org/drawingml/2006/main">
                  <a:graphicData uri="http://schemas.microsoft.com/office/word/2010/wordprocessingShape">
                    <wps:wsp>
                      <wps:cNvCnPr/>
                      <wps:spPr>
                        <a:xfrm>
                          <a:off x="0" y="0"/>
                          <a:ext cx="5760720" cy="21503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7DBBF" id="Conector recto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75.5pt" to="453.2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" strokecolor="#5b9bd5 [3204]" strokeweight=".5pt">
                <v:stroke joinstyle="miter"/>
              </v:line>
            </w:pict>
          </mc:Fallback>
        </mc:AlternateContent>
      </w:r>
      <w:r w:rsidRPr="003B181E">
        <w:rPr>
          <w:rFonts w:ascii="Palatino Linotype" w:hAnsi="Palatino Linotype" w:cs="Arial"/>
          <w:sz w:val="24"/>
          <w:szCs w:val="24"/>
        </w:rPr>
        <w:t>De las constancias que obran en el expediente electrónico SAIMEX,</w:t>
      </w:r>
      <w:r>
        <w:rPr>
          <w:rFonts w:ascii="Palatino Linotype" w:hAnsi="Palatino Linotype" w:cs="Arial"/>
          <w:sz w:val="24"/>
          <w:szCs w:val="24"/>
        </w:rPr>
        <w:t xml:space="preserve"> se advierte que en fecha veintiséis</w:t>
      </w:r>
      <w:r w:rsidRPr="003B181E">
        <w:rPr>
          <w:rFonts w:ascii="Palatino Linotype" w:hAnsi="Palatino Linotype" w:cs="Arial"/>
          <w:sz w:val="24"/>
          <w:szCs w:val="24"/>
        </w:rPr>
        <w:t xml:space="preserve"> de </w:t>
      </w:r>
      <w:r>
        <w:rPr>
          <w:rFonts w:ascii="Palatino Linotype" w:hAnsi="Palatino Linotype" w:cs="Arial"/>
          <w:sz w:val="24"/>
          <w:szCs w:val="24"/>
        </w:rPr>
        <w:t xml:space="preserve">abril de dos mil diecinueve se admitió </w:t>
      </w:r>
      <w:r w:rsidRPr="003B181E">
        <w:rPr>
          <w:rFonts w:ascii="Palatino Linotype" w:hAnsi="Palatino Linotype" w:cs="Arial"/>
          <w:sz w:val="24"/>
          <w:szCs w:val="24"/>
        </w:rPr>
        <w:t>el recurso de revisión intentado,</w:t>
      </w:r>
      <w:r>
        <w:rPr>
          <w:rFonts w:ascii="Palatino Linotype" w:hAnsi="Palatino Linotype" w:cs="Arial"/>
          <w:sz w:val="24"/>
          <w:szCs w:val="24"/>
        </w:rPr>
        <w:t xml:space="preserve"> como se aprecia a continuación.</w:t>
      </w:r>
    </w:p>
    <w:p w:rsidR="00885104" w:rsidRDefault="00E12B50" w:rsidP="00E15E85">
      <w:pPr>
        <w:spacing w:before="240" w:line="360" w:lineRule="auto"/>
        <w:jc w:val="both"/>
        <w:rPr>
          <w:rFonts w:ascii="Palatino Linotype" w:hAnsi="Palatino Linotype" w:cs="Arial"/>
          <w:b/>
          <w:sz w:val="24"/>
          <w:szCs w:val="24"/>
        </w:rPr>
      </w:pPr>
      <w:r>
        <w:rPr>
          <w:rFonts w:ascii="Palatino Linotype" w:hAnsi="Palatino Linotype" w:cs="Arial"/>
          <w:b/>
          <w:noProof/>
          <w:sz w:val="24"/>
          <w:szCs w:val="24"/>
          <w:lang w:eastAsia="es-MX"/>
        </w:rPr>
        <w:lastRenderedPageBreak/>
        <w:drawing>
          <wp:inline distT="0" distB="0" distL="0" distR="0">
            <wp:extent cx="5486400" cy="40233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noFill/>
                    </a:ln>
                  </pic:spPr>
                </pic:pic>
              </a:graphicData>
            </a:graphic>
          </wp:inline>
        </w:drawing>
      </w:r>
    </w:p>
    <w:p w:rsidR="00E15E85" w:rsidRDefault="00885104" w:rsidP="00E15E85">
      <w:pPr>
        <w:spacing w:before="240" w:line="360" w:lineRule="auto"/>
        <w:jc w:val="both"/>
        <w:rPr>
          <w:rFonts w:ascii="Palatino Linotype" w:hAnsi="Palatino Linotype" w:cs="Arial"/>
          <w:b/>
          <w:sz w:val="24"/>
          <w:szCs w:val="24"/>
        </w:rPr>
      </w:pPr>
      <w:r>
        <w:rPr>
          <w:rFonts w:ascii="Palatino Linotype" w:hAnsi="Palatino Linotype" w:cs="Arial"/>
          <w:b/>
          <w:sz w:val="28"/>
          <w:szCs w:val="28"/>
        </w:rPr>
        <w:t>SÉPTIMO. De</w:t>
      </w:r>
      <w:r w:rsidR="00E15E85" w:rsidRPr="0087163A">
        <w:rPr>
          <w:rFonts w:ascii="Palatino Linotype" w:hAnsi="Palatino Linotype" w:cs="Arial"/>
          <w:b/>
          <w:sz w:val="28"/>
          <w:szCs w:val="28"/>
        </w:rPr>
        <w:t xml:space="preserve"> la etapa de instrucción.</w:t>
      </w:r>
    </w:p>
    <w:p w:rsidR="002606F0" w:rsidRDefault="00402F7E" w:rsidP="00E15E8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-4962</wp:posOffset>
                </wp:positionH>
                <wp:positionV relativeFrom="paragraph">
                  <wp:posOffset>1082960</wp:posOffset>
                </wp:positionV>
                <wp:extent cx="5868237" cy="1296237"/>
                <wp:effectExtent l="0" t="0" r="37465" b="37465"/>
                <wp:wrapNone/>
                <wp:docPr id="14" name="Conector recto 14"/>
                <wp:cNvGraphicFramePr/>
                <a:graphic xmlns:a="http://schemas.openxmlformats.org/drawingml/2006/main">
                  <a:graphicData uri="http://schemas.microsoft.com/office/word/2010/wordprocessingShape">
                    <wps:wsp>
                      <wps:cNvCnPr/>
                      <wps:spPr>
                        <a:xfrm>
                          <a:off x="0" y="0"/>
                          <a:ext cx="5868237" cy="12962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0255C"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pt,85.25pt" to="461.6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" strokecolor="#5b9bd5 [3204]" strokeweight=".5pt">
                <v:stroke joinstyle="miter"/>
              </v:line>
            </w:pict>
          </mc:Fallback>
        </mc:AlternateContent>
      </w:r>
      <w:r w:rsidR="00E15E85" w:rsidRPr="00A4009B">
        <w:rPr>
          <w:rFonts w:ascii="Palatino Linotype" w:hAnsi="Palatino Linotype" w:cs="Arial"/>
          <w:sz w:val="24"/>
          <w:szCs w:val="24"/>
        </w:rPr>
        <w:t xml:space="preserve">Así, </w:t>
      </w:r>
      <w:r w:rsidR="00E15E85">
        <w:rPr>
          <w:rFonts w:ascii="Palatino Linotype" w:hAnsi="Palatino Linotype" w:cs="Arial"/>
          <w:sz w:val="24"/>
          <w:szCs w:val="24"/>
        </w:rPr>
        <w:t>una vez abierta la etapa de instrucción</w:t>
      </w:r>
      <w:r w:rsidR="00E15E85" w:rsidRPr="003E076B">
        <w:rPr>
          <w:rFonts w:ascii="Palatino Linotype" w:hAnsi="Palatino Linotype" w:cs="Arial"/>
          <w:sz w:val="24"/>
          <w:szCs w:val="24"/>
        </w:rPr>
        <w:t>,</w:t>
      </w:r>
      <w:r w:rsidR="00E15E85">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2C212B">
        <w:rPr>
          <w:rFonts w:ascii="Palatino Linotype" w:hAnsi="Palatino Linotype" w:cs="Arial"/>
          <w:sz w:val="24"/>
          <w:szCs w:val="24"/>
        </w:rPr>
        <w:t xml:space="preserve">siete </w:t>
      </w:r>
      <w:r w:rsidR="00A9298D">
        <w:rPr>
          <w:rFonts w:ascii="Palatino Linotype" w:hAnsi="Palatino Linotype" w:cs="Arial"/>
          <w:sz w:val="24"/>
          <w:szCs w:val="24"/>
        </w:rPr>
        <w:t xml:space="preserve">de </w:t>
      </w:r>
      <w:r w:rsidR="002C212B">
        <w:rPr>
          <w:rFonts w:ascii="Palatino Linotype" w:hAnsi="Palatino Linotype" w:cs="Arial"/>
          <w:sz w:val="24"/>
          <w:szCs w:val="24"/>
        </w:rPr>
        <w:t>mayo</w:t>
      </w:r>
      <w:r w:rsidR="00EB0246">
        <w:rPr>
          <w:rFonts w:ascii="Palatino Linotype" w:hAnsi="Palatino Linotype" w:cs="Arial"/>
          <w:sz w:val="24"/>
          <w:szCs w:val="24"/>
        </w:rPr>
        <w:t xml:space="preserve"> de dos mil diecinueve</w:t>
      </w:r>
      <w:r w:rsidR="002606F0">
        <w:rPr>
          <w:rFonts w:ascii="Palatino Linotype" w:hAnsi="Palatino Linotype" w:cs="Arial"/>
          <w:sz w:val="24"/>
          <w:szCs w:val="24"/>
        </w:rPr>
        <w:t xml:space="preserve"> </w:t>
      </w:r>
      <w:r w:rsidR="00EB0246">
        <w:rPr>
          <w:rFonts w:ascii="Palatino Linotype" w:hAnsi="Palatino Linotype" w:cs="Arial"/>
          <w:sz w:val="24"/>
          <w:szCs w:val="24"/>
        </w:rPr>
        <w:t>remitió</w:t>
      </w:r>
      <w:r w:rsidR="002606F0">
        <w:rPr>
          <w:rFonts w:ascii="Palatino Linotype" w:hAnsi="Palatino Linotype" w:cs="Arial"/>
          <w:sz w:val="24"/>
          <w:szCs w:val="24"/>
        </w:rPr>
        <w:t xml:space="preserve"> su informe justificado, mismo que s</w:t>
      </w:r>
      <w:r w:rsidR="00105217">
        <w:rPr>
          <w:rFonts w:ascii="Palatino Linotype" w:hAnsi="Palatino Linotype" w:cs="Arial"/>
          <w:sz w:val="24"/>
          <w:szCs w:val="24"/>
        </w:rPr>
        <w:t>e</w:t>
      </w:r>
      <w:r w:rsidR="004B035B">
        <w:rPr>
          <w:rFonts w:ascii="Palatino Linotype" w:hAnsi="Palatino Linotype" w:cs="Arial"/>
          <w:sz w:val="24"/>
          <w:szCs w:val="24"/>
        </w:rPr>
        <w:t xml:space="preserve"> puso a la vista del recurrente, como se aprecia a continuación:</w:t>
      </w:r>
    </w:p>
    <w:p w:rsidR="00402F7E" w:rsidRDefault="00E12B50" w:rsidP="00E15E8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56910" cy="34505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450590"/>
                    </a:xfrm>
                    <a:prstGeom prst="rect">
                      <a:avLst/>
                    </a:prstGeom>
                    <a:noFill/>
                    <a:ln>
                      <a:noFill/>
                    </a:ln>
                  </pic:spPr>
                </pic:pic>
              </a:graphicData>
            </a:graphic>
          </wp:inline>
        </w:drawing>
      </w:r>
    </w:p>
    <w:p w:rsidR="004B035B" w:rsidRDefault="00E12B50" w:rsidP="00E15E85">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669280" cy="33553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3355340"/>
                    </a:xfrm>
                    <a:prstGeom prst="rect">
                      <a:avLst/>
                    </a:prstGeom>
                    <a:noFill/>
                    <a:ln>
                      <a:noFill/>
                    </a:ln>
                  </pic:spPr>
                </pic:pic>
              </a:graphicData>
            </a:graphic>
          </wp:inline>
        </w:drawing>
      </w:r>
    </w:p>
    <w:p w:rsidR="006A62D5"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6A62D5">
        <w:rPr>
          <w:rFonts w:ascii="Palatino Linotype" w:hAnsi="Palatino Linotype" w:cs="Arial"/>
          <w:sz w:val="24"/>
          <w:szCs w:val="24"/>
        </w:rPr>
        <w:t>ocho</w:t>
      </w:r>
      <w:r w:rsidR="0017548E">
        <w:rPr>
          <w:rFonts w:ascii="Palatino Linotype" w:hAnsi="Palatino Linotype" w:cs="Arial"/>
          <w:sz w:val="24"/>
          <w:szCs w:val="24"/>
        </w:rPr>
        <w:t xml:space="preserve"> de </w:t>
      </w:r>
      <w:r w:rsidR="006A62D5">
        <w:rPr>
          <w:rFonts w:ascii="Palatino Linotype" w:hAnsi="Palatino Linotype" w:cs="Arial"/>
          <w:sz w:val="24"/>
          <w:szCs w:val="24"/>
        </w:rPr>
        <w:t>mayo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402F7E" w:rsidRDefault="00402F7E" w:rsidP="00E15E85">
      <w:pPr>
        <w:spacing w:before="240" w:line="360" w:lineRule="auto"/>
        <w:jc w:val="both"/>
        <w:rPr>
          <w:rFonts w:ascii="Palatino Linotype" w:hAnsi="Palatino Linotype" w:cs="Arial"/>
          <w:sz w:val="24"/>
          <w:szCs w:val="24"/>
        </w:rPr>
      </w:pP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17548E" w:rsidRDefault="0017548E" w:rsidP="007654BC">
      <w:pPr>
        <w:spacing w:before="240" w:line="360" w:lineRule="auto"/>
        <w:jc w:val="center"/>
        <w:rPr>
          <w:rFonts w:ascii="Palatino Linotype" w:hAnsi="Palatino Linotype" w:cs="Arial"/>
          <w:b/>
          <w:sz w:val="24"/>
        </w:rPr>
      </w:pP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402F7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causas </w:t>
      </w:r>
      <w:r w:rsidR="00BC59B2">
        <w:rPr>
          <w:rFonts w:ascii="Palatino Linotype" w:hAnsi="Palatino Linotype" w:cs="Arial"/>
          <w:b/>
          <w:sz w:val="28"/>
          <w:szCs w:val="28"/>
        </w:rPr>
        <w:t>de</w:t>
      </w:r>
      <w:r>
        <w:rPr>
          <w:rFonts w:ascii="Palatino Linotype" w:hAnsi="Palatino Linotype" w:cs="Arial"/>
          <w:b/>
          <w:sz w:val="28"/>
          <w:szCs w:val="28"/>
        </w:rPr>
        <w:t xml:space="preserve"> sobreseimiento</w:t>
      </w:r>
      <w:r w:rsidRPr="0087163A">
        <w:rPr>
          <w:rFonts w:ascii="Palatino Linotype" w:hAnsi="Palatino Linotype" w:cs="Arial"/>
          <w:b/>
          <w:sz w:val="28"/>
          <w:szCs w:val="28"/>
        </w:rPr>
        <w:t>.</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9559F4" w:rsidRDefault="009559F4" w:rsidP="009559F4">
      <w:pPr>
        <w:pStyle w:val="Piedepgina"/>
        <w:spacing w:line="360" w:lineRule="auto"/>
        <w:jc w:val="both"/>
        <w:rPr>
          <w:rFonts w:ascii="Palatino Linotype" w:hAnsi="Palatino Linotype" w:cs="Arial"/>
        </w:rPr>
      </w:pPr>
      <w:r>
        <w:rPr>
          <w:rFonts w:ascii="Palatino Linotype" w:hAnsi="Palatino Linotype" w:cs="Arial"/>
        </w:rPr>
        <w:t xml:space="preserve">En fecha </w:t>
      </w:r>
      <w:r w:rsidRPr="00E024DD">
        <w:rPr>
          <w:rFonts w:ascii="Palatino Linotype" w:hAnsi="Palatino Linotype" w:cs="Arial"/>
        </w:rPr>
        <w:t xml:space="preserve">quince de abril de dos mil diecinueve, </w:t>
      </w:r>
      <w:r w:rsidRPr="00E024DD">
        <w:rPr>
          <w:rFonts w:ascii="Palatino Linotype" w:hAnsi="Palatino Linotype" w:cs="Arial"/>
          <w:b/>
        </w:rPr>
        <w:t>EL RECURRENTE</w:t>
      </w:r>
      <w:r w:rsidRPr="00E024DD">
        <w:rPr>
          <w:rFonts w:ascii="Palatino Linotype" w:hAnsi="Palatino Linotype" w:cs="Arial"/>
        </w:rPr>
        <w:t xml:space="preserve"> se desistió</w:t>
      </w:r>
      <w:r>
        <w:rPr>
          <w:rFonts w:ascii="Palatino Linotype" w:hAnsi="Palatino Linotype" w:cs="Arial"/>
        </w:rPr>
        <w:t xml:space="preserve"> expresamente</w:t>
      </w:r>
      <w:r w:rsidRPr="00E024DD">
        <w:rPr>
          <w:rFonts w:ascii="Palatino Linotype" w:hAnsi="Palatino Linotype" w:cs="Arial"/>
        </w:rPr>
        <w:t xml:space="preserve"> de continuar con e</w:t>
      </w:r>
      <w:r>
        <w:rPr>
          <w:rFonts w:ascii="Palatino Linotype" w:hAnsi="Palatino Linotype" w:cs="Arial"/>
        </w:rPr>
        <w:t>l recurso de revisión, en el que señaló:</w:t>
      </w:r>
    </w:p>
    <w:p w:rsidR="009559F4" w:rsidRDefault="009559F4" w:rsidP="009559F4">
      <w:pPr>
        <w:pStyle w:val="Piedepgina"/>
        <w:spacing w:line="360" w:lineRule="auto"/>
        <w:jc w:val="both"/>
        <w:rPr>
          <w:rFonts w:ascii="Palatino Linotype" w:hAnsi="Palatino Linotype" w:cs="Arial"/>
        </w:rPr>
      </w:pPr>
    </w:p>
    <w:p w:rsidR="003F60C3" w:rsidRDefault="003F60C3" w:rsidP="009559F4">
      <w:pPr>
        <w:pStyle w:val="Piedepgina"/>
        <w:spacing w:line="360" w:lineRule="auto"/>
        <w:jc w:val="both"/>
        <w:rPr>
          <w:rFonts w:ascii="Palatino Linotype" w:hAnsi="Palatino Linotype" w:cs="Arial"/>
        </w:rPr>
      </w:pPr>
    </w:p>
    <w:p w:rsidR="009559F4" w:rsidRDefault="009559F4" w:rsidP="009559F4">
      <w:pPr>
        <w:pStyle w:val="Piedepgina"/>
        <w:spacing w:line="360" w:lineRule="auto"/>
        <w:ind w:left="1416"/>
        <w:jc w:val="both"/>
        <w:rPr>
          <w:rFonts w:ascii="Palatino Linotype" w:hAnsi="Palatino Linotype" w:cs="Arial"/>
          <w:i/>
          <w:sz w:val="22"/>
          <w:szCs w:val="22"/>
        </w:rPr>
      </w:pPr>
      <w:r w:rsidRPr="002336F3">
        <w:rPr>
          <w:rFonts w:ascii="Palatino Linotype" w:hAnsi="Palatino Linotype" w:cs="Arial"/>
          <w:i/>
          <w:sz w:val="22"/>
          <w:szCs w:val="22"/>
        </w:rPr>
        <w:t>“…ya no me interesa la informacion</w:t>
      </w:r>
    </w:p>
    <w:p w:rsidR="009559F4" w:rsidRPr="002336F3" w:rsidRDefault="009559F4" w:rsidP="009559F4">
      <w:pPr>
        <w:pStyle w:val="Piedepgina"/>
        <w:spacing w:line="360" w:lineRule="auto"/>
        <w:ind w:left="1416"/>
        <w:jc w:val="both"/>
        <w:rPr>
          <w:rFonts w:ascii="Palatino Linotype" w:hAnsi="Palatino Linotype" w:cs="Arial"/>
          <w:i/>
          <w:sz w:val="22"/>
          <w:szCs w:val="22"/>
        </w:rPr>
      </w:pPr>
    </w:p>
    <w:p w:rsidR="009559F4" w:rsidRPr="002336F3" w:rsidRDefault="009559F4" w:rsidP="009559F4">
      <w:pPr>
        <w:pStyle w:val="Piedepgina"/>
        <w:spacing w:line="360" w:lineRule="auto"/>
        <w:ind w:left="1416"/>
        <w:jc w:val="both"/>
        <w:rPr>
          <w:rFonts w:ascii="Palatino Linotype" w:hAnsi="Palatino Linotype" w:cs="Arial"/>
          <w:i/>
          <w:sz w:val="22"/>
          <w:szCs w:val="22"/>
        </w:rPr>
      </w:pPr>
      <w:r w:rsidRPr="002336F3">
        <w:rPr>
          <w:rFonts w:ascii="Palatino Linotype" w:hAnsi="Palatino Linotype" w:cs="Arial"/>
          <w:i/>
          <w:sz w:val="22"/>
          <w:szCs w:val="22"/>
        </w:rPr>
        <w:t>ATENTAMENTE</w:t>
      </w:r>
    </w:p>
    <w:p w:rsidR="004F571C" w:rsidRPr="004F571C" w:rsidRDefault="001A09CB" w:rsidP="009559F4">
      <w:pPr>
        <w:pStyle w:val="Prrafodelista"/>
        <w:autoSpaceDE w:val="0"/>
        <w:autoSpaceDN w:val="0"/>
        <w:adjustRightInd w:val="0"/>
        <w:spacing w:before="240" w:after="160" w:line="360" w:lineRule="auto"/>
        <w:ind w:left="0"/>
        <w:jc w:val="both"/>
        <w:rPr>
          <w:rFonts w:ascii="Palatino Linotype" w:hAnsi="Palatino Linotype" w:cs="Arial"/>
          <w:i/>
          <w:sz w:val="22"/>
          <w:szCs w:val="22"/>
        </w:rPr>
      </w:pPr>
      <w:r>
        <w:rPr>
          <w:rFonts w:ascii="Palatino Linotype" w:hAnsi="Palatino Linotype" w:cs="Arial"/>
          <w:i/>
          <w:sz w:val="22"/>
          <w:szCs w:val="22"/>
        </w:rPr>
        <w:t>XXXXXX XXXXXX XXXXX</w:t>
      </w:r>
      <w:r w:rsidR="009559F4">
        <w:rPr>
          <w:rFonts w:ascii="Palatino Linotype" w:hAnsi="Palatino Linotype" w:cs="Arial"/>
          <w:i/>
          <w:sz w:val="22"/>
          <w:szCs w:val="22"/>
        </w:rPr>
        <w:t>”(sic)</w:t>
      </w:r>
    </w:p>
    <w:p w:rsidR="004F571C" w:rsidRDefault="004F571C" w:rsidP="0004281D">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Así mismo el Sujeto Obligado rindió su informe justificado, tal y como se aprecia en la siguiente imagen:</w:t>
      </w:r>
    </w:p>
    <w:p w:rsidR="00402F7E" w:rsidRDefault="001A09CB" w:rsidP="00E31C39">
      <w:pPr>
        <w:autoSpaceDE w:val="0"/>
        <w:autoSpaceDN w:val="0"/>
        <w:adjustRightInd w:val="0"/>
        <w:spacing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4897755" cy="47072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755" cy="4707255"/>
                    </a:xfrm>
                    <a:prstGeom prst="rect">
                      <a:avLst/>
                    </a:prstGeom>
                    <a:noFill/>
                    <a:ln>
                      <a:noFill/>
                    </a:ln>
                  </pic:spPr>
                </pic:pic>
              </a:graphicData>
            </a:graphic>
          </wp:inline>
        </w:drawing>
      </w:r>
    </w:p>
    <w:p w:rsidR="00402F7E" w:rsidRDefault="00F27508" w:rsidP="00E31C39">
      <w:pPr>
        <w:autoSpaceDE w:val="0"/>
        <w:autoSpaceDN w:val="0"/>
        <w:adjustRightInd w:val="0"/>
        <w:spacing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685155" cy="64408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5155" cy="6440805"/>
                    </a:xfrm>
                    <a:prstGeom prst="rect">
                      <a:avLst/>
                    </a:prstGeom>
                    <a:noFill/>
                    <a:ln>
                      <a:noFill/>
                    </a:ln>
                  </pic:spPr>
                </pic:pic>
              </a:graphicData>
            </a:graphic>
          </wp:inline>
        </w:drawing>
      </w:r>
      <w:bookmarkStart w:id="0" w:name="_GoBack"/>
      <w:bookmarkEnd w:id="0"/>
    </w:p>
    <w:p w:rsidR="00E31C39" w:rsidRDefault="00E31C39" w:rsidP="0004281D">
      <w:pPr>
        <w:autoSpaceDE w:val="0"/>
        <w:autoSpaceDN w:val="0"/>
        <w:adjustRightInd w:val="0"/>
        <w:spacing w:line="360" w:lineRule="auto"/>
        <w:jc w:val="both"/>
        <w:rPr>
          <w:rFonts w:ascii="Palatino Linotype" w:hAnsi="Palatino Linotype" w:cs="Arial"/>
          <w:sz w:val="24"/>
        </w:rPr>
      </w:pPr>
    </w:p>
    <w:p w:rsidR="00E27A30" w:rsidRDefault="00E31C39" w:rsidP="00E31C39">
      <w:pPr>
        <w:autoSpaceDE w:val="0"/>
        <w:autoSpaceDN w:val="0"/>
        <w:adjustRightInd w:val="0"/>
        <w:spacing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003800" cy="6370654"/>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588" cy="6374203"/>
                    </a:xfrm>
                    <a:prstGeom prst="rect">
                      <a:avLst/>
                    </a:prstGeom>
                    <a:noFill/>
                    <a:ln>
                      <a:noFill/>
                    </a:ln>
                  </pic:spPr>
                </pic:pic>
              </a:graphicData>
            </a:graphic>
          </wp:inline>
        </w:drawing>
      </w:r>
    </w:p>
    <w:p w:rsidR="00E31C39" w:rsidRDefault="00E31C39" w:rsidP="00E31C39">
      <w:pPr>
        <w:autoSpaceDE w:val="0"/>
        <w:autoSpaceDN w:val="0"/>
        <w:adjustRightInd w:val="0"/>
        <w:spacing w:line="360" w:lineRule="auto"/>
        <w:jc w:val="center"/>
        <w:rPr>
          <w:rFonts w:ascii="Palatino Linotype" w:hAnsi="Palatino Linotype" w:cs="Arial"/>
          <w:sz w:val="24"/>
        </w:rPr>
      </w:pPr>
    </w:p>
    <w:p w:rsidR="00E31C39" w:rsidRDefault="00E31C39" w:rsidP="00E31C39">
      <w:pPr>
        <w:autoSpaceDE w:val="0"/>
        <w:autoSpaceDN w:val="0"/>
        <w:adjustRightInd w:val="0"/>
        <w:spacing w:line="360" w:lineRule="auto"/>
        <w:jc w:val="center"/>
        <w:rPr>
          <w:rFonts w:ascii="Palatino Linotype" w:hAnsi="Palatino Linotype" w:cs="Arial"/>
          <w:sz w:val="24"/>
        </w:rPr>
      </w:pPr>
    </w:p>
    <w:p w:rsidR="00E31C39" w:rsidRDefault="00E31C39" w:rsidP="00E31C39">
      <w:pPr>
        <w:autoSpaceDE w:val="0"/>
        <w:autoSpaceDN w:val="0"/>
        <w:adjustRightInd w:val="0"/>
        <w:spacing w:line="360" w:lineRule="auto"/>
        <w:jc w:val="center"/>
        <w:rPr>
          <w:rFonts w:ascii="Palatino Linotype" w:hAnsi="Palatino Linotype" w:cs="Arial"/>
          <w:sz w:val="24"/>
        </w:rPr>
      </w:pPr>
      <w:r>
        <w:rPr>
          <w:rFonts w:ascii="Palatino Linotype" w:hAnsi="Palatino Linotype" w:cs="Arial"/>
          <w:noProof/>
          <w:sz w:val="24"/>
          <w:lang w:eastAsia="es-MX"/>
        </w:rPr>
        <w:drawing>
          <wp:inline distT="0" distB="0" distL="0" distR="0">
            <wp:extent cx="5054600" cy="59888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855" cy="5989120"/>
                    </a:xfrm>
                    <a:prstGeom prst="rect">
                      <a:avLst/>
                    </a:prstGeom>
                    <a:noFill/>
                    <a:ln>
                      <a:noFill/>
                    </a:ln>
                  </pic:spPr>
                </pic:pic>
              </a:graphicData>
            </a:graphic>
          </wp:inline>
        </w:drawing>
      </w:r>
    </w:p>
    <w:p w:rsidR="00E31C39" w:rsidRDefault="00E31C39" w:rsidP="00E54B00">
      <w:pPr>
        <w:autoSpaceDE w:val="0"/>
        <w:autoSpaceDN w:val="0"/>
        <w:adjustRightInd w:val="0"/>
        <w:spacing w:line="360" w:lineRule="auto"/>
        <w:jc w:val="both"/>
        <w:rPr>
          <w:rFonts w:ascii="Palatino Linotype" w:hAnsi="Palatino Linotype" w:cs="Arial"/>
          <w:sz w:val="24"/>
        </w:rPr>
      </w:pPr>
    </w:p>
    <w:p w:rsidR="00E31C39" w:rsidRDefault="00E31C39" w:rsidP="00E31C39">
      <w:pPr>
        <w:autoSpaceDE w:val="0"/>
        <w:autoSpaceDN w:val="0"/>
        <w:adjustRightInd w:val="0"/>
        <w:spacing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024120" cy="4360984"/>
            <wp:effectExtent l="0" t="0" r="508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27180"/>
                    <a:stretch/>
                  </pic:blipFill>
                  <pic:spPr bwMode="auto">
                    <a:xfrm>
                      <a:off x="0" y="0"/>
                      <a:ext cx="5024120" cy="4360984"/>
                    </a:xfrm>
                    <a:prstGeom prst="rect">
                      <a:avLst/>
                    </a:prstGeom>
                    <a:noFill/>
                    <a:ln>
                      <a:noFill/>
                    </a:ln>
                    <a:extLst>
                      <a:ext uri="{53640926-AAD7-44D8-BBD7-CCE9431645EC}">
                        <a14:shadowObscured xmlns:a14="http://schemas.microsoft.com/office/drawing/2010/main"/>
                      </a:ext>
                    </a:extLst>
                  </pic:spPr>
                </pic:pic>
              </a:graphicData>
            </a:graphic>
          </wp:inline>
        </w:drawing>
      </w:r>
    </w:p>
    <w:p w:rsidR="0004281D" w:rsidRPr="00E54B00" w:rsidRDefault="0004281D" w:rsidP="00E54B00">
      <w:pPr>
        <w:autoSpaceDE w:val="0"/>
        <w:autoSpaceDN w:val="0"/>
        <w:adjustRightInd w:val="0"/>
        <w:spacing w:line="360" w:lineRule="auto"/>
        <w:jc w:val="both"/>
        <w:rPr>
          <w:rFonts w:ascii="Palatino Linotype" w:hAnsi="Palatino Linotype" w:cs="Arial"/>
          <w:sz w:val="24"/>
        </w:rPr>
      </w:pPr>
      <w:r w:rsidRPr="00BB1E65">
        <w:rPr>
          <w:rFonts w:ascii="Palatino Linotype" w:hAnsi="Palatino Linotype" w:cs="Arial"/>
          <w:sz w:val="24"/>
        </w:rPr>
        <w:t xml:space="preserve">Por tanto </w:t>
      </w:r>
      <w:r w:rsidRPr="00BB1E65">
        <w:rPr>
          <w:rFonts w:ascii="Palatino Linotype" w:eastAsia="Calibri" w:hAnsi="Palatino Linotype" w:cs="Times New Roman"/>
          <w:sz w:val="24"/>
        </w:rPr>
        <w:t xml:space="preserve">podemos concluir que las manifestaciones vertidas por el </w:t>
      </w:r>
      <w:r w:rsidRPr="00BB1E65">
        <w:rPr>
          <w:rFonts w:ascii="Palatino Linotype" w:eastAsia="Calibri" w:hAnsi="Palatino Linotype" w:cs="Times New Roman"/>
          <w:b/>
          <w:sz w:val="24"/>
        </w:rPr>
        <w:t xml:space="preserve">sujeto obligado </w:t>
      </w:r>
      <w:r w:rsidRPr="00BB1E65">
        <w:rPr>
          <w:rFonts w:ascii="Palatino Linotype" w:eastAsia="Calibri" w:hAnsi="Palatino Linotype" w:cs="Times New Roman"/>
          <w:sz w:val="24"/>
        </w:rPr>
        <w:t>resultan fundadas</w:t>
      </w:r>
      <w:r w:rsidRPr="00BB1E65">
        <w:rPr>
          <w:rFonts w:ascii="Palatino Linotype" w:eastAsia="Calibri" w:hAnsi="Palatino Linotype" w:cs="Times New Roman"/>
          <w:b/>
          <w:sz w:val="24"/>
        </w:rPr>
        <w:t xml:space="preserve">, </w:t>
      </w:r>
      <w:r w:rsidRPr="00BB1E65">
        <w:rPr>
          <w:rFonts w:ascii="Palatino Linotype" w:eastAsia="Calibri" w:hAnsi="Palatino Linotype" w:cs="Times New Roman"/>
          <w:sz w:val="24"/>
        </w:rPr>
        <w:t xml:space="preserve">atendiendo a las consideraciones de hecho y de derecho precisadas en líneas anteriores, en ese sentido se </w:t>
      </w:r>
      <w:r w:rsidRPr="00BB1E65">
        <w:rPr>
          <w:rFonts w:ascii="Palatino Linotype" w:hAnsi="Palatino Linotype" w:cs="Arial"/>
          <w:sz w:val="24"/>
        </w:rPr>
        <w:t xml:space="preserve">actualiza lo consagrado en la fracción I del artículo 192, de la </w:t>
      </w:r>
      <w:r w:rsidRPr="00BB1E65">
        <w:rPr>
          <w:rFonts w:ascii="Palatino Linotype" w:hAnsi="Palatino Linotype" w:cs="Arial"/>
          <w:b/>
          <w:sz w:val="24"/>
        </w:rPr>
        <w:t xml:space="preserve">Ley de Transparencia y Acceso a la Información Pública del Estado de México y Municipios </w:t>
      </w:r>
      <w:r w:rsidRPr="00BB1E65">
        <w:rPr>
          <w:rFonts w:ascii="Palatino Linotype" w:hAnsi="Palatino Linotype" w:cs="Arial"/>
          <w:sz w:val="24"/>
        </w:rPr>
        <w:t>vigente, que a la letra señala:</w:t>
      </w:r>
    </w:p>
    <w:p w:rsidR="00243059" w:rsidRPr="008F6206" w:rsidRDefault="00243059" w:rsidP="0004281D">
      <w:pPr>
        <w:pStyle w:val="Prrafodelista"/>
        <w:spacing w:line="360" w:lineRule="auto"/>
        <w:ind w:left="426"/>
        <w:jc w:val="both"/>
        <w:rPr>
          <w:rFonts w:ascii="Palatino Linotype" w:eastAsia="Calibri" w:hAnsi="Palatino Linotype"/>
        </w:rPr>
      </w:pPr>
    </w:p>
    <w:p w:rsidR="0004281D" w:rsidRDefault="0004281D" w:rsidP="0004281D">
      <w:pPr>
        <w:pStyle w:val="Prrafodelista"/>
        <w:autoSpaceDE w:val="0"/>
        <w:autoSpaceDN w:val="0"/>
        <w:adjustRightInd w:val="0"/>
        <w:ind w:left="567" w:right="567"/>
        <w:jc w:val="both"/>
        <w:rPr>
          <w:rFonts w:ascii="Palatino Linotype" w:hAnsi="Palatino Linotype" w:cs="Arial"/>
          <w:i/>
          <w:sz w:val="22"/>
          <w:szCs w:val="22"/>
        </w:rPr>
      </w:pPr>
      <w:r w:rsidRPr="004838C5">
        <w:rPr>
          <w:rFonts w:ascii="Palatino Linotype" w:hAnsi="Palatino Linotype" w:cs="Arial"/>
          <w:b/>
          <w:bCs/>
          <w:i/>
          <w:sz w:val="22"/>
          <w:szCs w:val="22"/>
        </w:rPr>
        <w:t xml:space="preserve">“Artículo 192. </w:t>
      </w:r>
      <w:r w:rsidRPr="004838C5">
        <w:rPr>
          <w:rFonts w:ascii="Palatino Linotype" w:hAnsi="Palatino Linotype" w:cs="Arial"/>
          <w:i/>
          <w:sz w:val="22"/>
          <w:szCs w:val="22"/>
        </w:rPr>
        <w:t>El recurso será sobreseído, en todo o en parte, cuando una vez admitido, se actualicen alguno de los siguientes supuestos:</w:t>
      </w:r>
    </w:p>
    <w:p w:rsidR="004F571C" w:rsidRPr="004838C5" w:rsidRDefault="004F571C" w:rsidP="0004281D">
      <w:pPr>
        <w:pStyle w:val="Prrafodelista"/>
        <w:autoSpaceDE w:val="0"/>
        <w:autoSpaceDN w:val="0"/>
        <w:adjustRightInd w:val="0"/>
        <w:ind w:left="567" w:right="567"/>
        <w:jc w:val="both"/>
        <w:rPr>
          <w:rFonts w:ascii="Palatino Linotype" w:hAnsi="Palatino Linotype" w:cs="Arial"/>
          <w:i/>
          <w:sz w:val="22"/>
          <w:szCs w:val="22"/>
        </w:rPr>
      </w:pPr>
    </w:p>
    <w:p w:rsidR="0004281D" w:rsidRPr="00BB1E65" w:rsidRDefault="0004281D" w:rsidP="0004281D">
      <w:pPr>
        <w:autoSpaceDE w:val="0"/>
        <w:autoSpaceDN w:val="0"/>
        <w:adjustRightInd w:val="0"/>
        <w:ind w:left="567" w:right="567"/>
        <w:rPr>
          <w:rFonts w:ascii="Palatino Linotype" w:hAnsi="Palatino Linotype" w:cs="Arial"/>
          <w:i/>
          <w:u w:val="single"/>
        </w:rPr>
      </w:pPr>
      <w:r w:rsidRPr="004838C5">
        <w:rPr>
          <w:rFonts w:ascii="Palatino Linotype" w:hAnsi="Palatino Linotype" w:cs="Arial"/>
          <w:b/>
          <w:bCs/>
          <w:i/>
        </w:rPr>
        <w:t xml:space="preserve">I. </w:t>
      </w:r>
      <w:r w:rsidRPr="00BB1E65">
        <w:rPr>
          <w:rFonts w:ascii="Palatino Linotype" w:hAnsi="Palatino Linotype" w:cs="Arial"/>
          <w:i/>
          <w:u w:val="single"/>
        </w:rPr>
        <w:t xml:space="preserve">El recurrente se </w:t>
      </w:r>
      <w:r w:rsidRPr="00626CB6">
        <w:rPr>
          <w:rFonts w:ascii="Palatino Linotype" w:hAnsi="Palatino Linotype" w:cs="Arial"/>
          <w:b/>
          <w:i/>
          <w:u w:val="single"/>
        </w:rPr>
        <w:t>desista expresamente</w:t>
      </w:r>
      <w:r w:rsidRPr="00BB1E65">
        <w:rPr>
          <w:rFonts w:ascii="Palatino Linotype" w:hAnsi="Palatino Linotype" w:cs="Arial"/>
          <w:i/>
          <w:u w:val="single"/>
        </w:rPr>
        <w:t xml:space="preserve"> del recurso;</w:t>
      </w:r>
    </w:p>
    <w:p w:rsidR="0004281D" w:rsidRPr="004838C5" w:rsidRDefault="0004281D" w:rsidP="0004281D">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II. </w:t>
      </w:r>
      <w:r w:rsidRPr="004838C5">
        <w:rPr>
          <w:rFonts w:ascii="Palatino Linotype" w:hAnsi="Palatino Linotype" w:cs="Arial"/>
          <w:i/>
        </w:rPr>
        <w:t>El recurrente fallezca o, tratándose de personas jurídicas colectivas, se disuelva;</w:t>
      </w:r>
    </w:p>
    <w:p w:rsidR="0004281D" w:rsidRPr="004838C5" w:rsidRDefault="0004281D" w:rsidP="0004281D">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III</w:t>
      </w:r>
      <w:r w:rsidRPr="00BB1E65">
        <w:rPr>
          <w:rFonts w:ascii="Palatino Linotype" w:hAnsi="Palatino Linotype" w:cs="Arial"/>
          <w:b/>
          <w:bCs/>
          <w:i/>
        </w:rPr>
        <w:t xml:space="preserve">. </w:t>
      </w:r>
      <w:r w:rsidRPr="00BB1E65">
        <w:rPr>
          <w:rFonts w:ascii="Palatino Linotype" w:hAnsi="Palatino Linotype" w:cs="Arial"/>
          <w:i/>
        </w:rPr>
        <w:t xml:space="preserve">El sujeto obligado responsable del acto lo </w:t>
      </w:r>
      <w:r w:rsidRPr="00626CB6">
        <w:rPr>
          <w:rFonts w:ascii="Palatino Linotype" w:hAnsi="Palatino Linotype" w:cs="Arial"/>
          <w:i/>
        </w:rPr>
        <w:t>modifiqu</w:t>
      </w:r>
      <w:r w:rsidRPr="00BB1E65">
        <w:rPr>
          <w:rFonts w:ascii="Palatino Linotype" w:hAnsi="Palatino Linotype" w:cs="Arial"/>
          <w:b/>
          <w:i/>
        </w:rPr>
        <w:t>e</w:t>
      </w:r>
      <w:r w:rsidRPr="00BB1E65">
        <w:rPr>
          <w:rFonts w:ascii="Palatino Linotype" w:hAnsi="Palatino Linotype" w:cs="Arial"/>
          <w:i/>
        </w:rPr>
        <w:t xml:space="preserve"> o revoque de tal manera que el recurso de revisión quede sin materia;</w:t>
      </w:r>
    </w:p>
    <w:p w:rsidR="0004281D" w:rsidRPr="004838C5" w:rsidRDefault="0004281D" w:rsidP="0004281D">
      <w:pPr>
        <w:autoSpaceDE w:val="0"/>
        <w:autoSpaceDN w:val="0"/>
        <w:adjustRightInd w:val="0"/>
        <w:ind w:left="567" w:right="567"/>
        <w:rPr>
          <w:rFonts w:ascii="Palatino Linotype" w:hAnsi="Palatino Linotype" w:cs="Arial"/>
          <w:i/>
        </w:rPr>
      </w:pPr>
      <w:r w:rsidRPr="004838C5">
        <w:rPr>
          <w:rFonts w:ascii="Palatino Linotype" w:hAnsi="Palatino Linotype" w:cs="Arial"/>
          <w:b/>
          <w:bCs/>
          <w:i/>
        </w:rPr>
        <w:t xml:space="preserve">IV. </w:t>
      </w:r>
      <w:r w:rsidRPr="004838C5">
        <w:rPr>
          <w:rFonts w:ascii="Palatino Linotype" w:hAnsi="Palatino Linotype" w:cs="Arial"/>
          <w:i/>
        </w:rPr>
        <w:t>Admitido el recurso de revisión, aparezca alguna causal de improcedencia en los términos de la presente Ley; y</w:t>
      </w:r>
    </w:p>
    <w:p w:rsidR="0004281D" w:rsidRDefault="0004281D" w:rsidP="0004281D">
      <w:pPr>
        <w:pStyle w:val="Prrafodelista"/>
        <w:autoSpaceDE w:val="0"/>
        <w:autoSpaceDN w:val="0"/>
        <w:adjustRightInd w:val="0"/>
        <w:ind w:left="567" w:right="567"/>
        <w:jc w:val="both"/>
        <w:rPr>
          <w:rFonts w:ascii="Palatino Linotype" w:hAnsi="Palatino Linotype" w:cs="Arial"/>
          <w:i/>
          <w:sz w:val="22"/>
          <w:szCs w:val="22"/>
          <w:lang w:val="es-MX"/>
        </w:rPr>
      </w:pPr>
      <w:r w:rsidRPr="004838C5">
        <w:rPr>
          <w:rFonts w:ascii="Palatino Linotype" w:hAnsi="Palatino Linotype" w:cs="Arial"/>
          <w:b/>
          <w:bCs/>
          <w:i/>
          <w:sz w:val="22"/>
          <w:szCs w:val="22"/>
          <w:lang w:val="es-MX"/>
        </w:rPr>
        <w:t>V</w:t>
      </w:r>
      <w:r w:rsidRPr="004838C5">
        <w:rPr>
          <w:rFonts w:ascii="Palatino Linotype" w:hAnsi="Palatino Linotype" w:cs="Arial"/>
          <w:bCs/>
          <w:i/>
          <w:sz w:val="22"/>
          <w:szCs w:val="22"/>
          <w:lang w:val="es-MX"/>
        </w:rPr>
        <w:t xml:space="preserve">. </w:t>
      </w:r>
      <w:r w:rsidRPr="004838C5">
        <w:rPr>
          <w:rFonts w:ascii="Palatino Linotype" w:hAnsi="Palatino Linotype" w:cs="Arial"/>
          <w:i/>
          <w:sz w:val="22"/>
          <w:szCs w:val="22"/>
          <w:lang w:val="es-MX"/>
        </w:rPr>
        <w:t>Cuando por cualquier motivo quede sin materia el recurso.</w:t>
      </w:r>
    </w:p>
    <w:p w:rsidR="0004281D" w:rsidRPr="00626CB6" w:rsidRDefault="0004281D" w:rsidP="0004281D">
      <w:pPr>
        <w:pStyle w:val="Prrafodelista"/>
        <w:autoSpaceDE w:val="0"/>
        <w:autoSpaceDN w:val="0"/>
        <w:adjustRightInd w:val="0"/>
        <w:ind w:left="567" w:right="567"/>
        <w:jc w:val="both"/>
        <w:rPr>
          <w:rFonts w:ascii="Palatino Linotype" w:hAnsi="Palatino Linotype" w:cs="Arial"/>
          <w:i/>
          <w:sz w:val="22"/>
          <w:szCs w:val="22"/>
          <w:lang w:val="es-MX"/>
        </w:rPr>
      </w:pPr>
    </w:p>
    <w:p w:rsidR="0004281D" w:rsidRDefault="0004281D" w:rsidP="0004281D">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El artículo 192 en su fracción </w:t>
      </w:r>
      <w:r w:rsidRPr="00626CB6">
        <w:rPr>
          <w:rFonts w:ascii="Palatino Linotype" w:hAnsi="Palatino Linotype" w:cs="Arial"/>
          <w:sz w:val="24"/>
          <w:szCs w:val="24"/>
        </w:rPr>
        <w:t>I de la Ley de Transparencia y Acceso a la Información Pública del Estado de México y Municipios,</w:t>
      </w:r>
      <w:r>
        <w:rPr>
          <w:rFonts w:ascii="Palatino Linotype" w:hAnsi="Palatino Linotype" w:cs="Arial"/>
          <w:sz w:val="24"/>
          <w:szCs w:val="24"/>
        </w:rPr>
        <w:t xml:space="preserve"> establece</w:t>
      </w:r>
      <w:r w:rsidRPr="00626CB6">
        <w:rPr>
          <w:rFonts w:ascii="Palatino Linotype" w:hAnsi="Palatino Linotype" w:cs="Arial"/>
          <w:sz w:val="24"/>
          <w:szCs w:val="24"/>
        </w:rPr>
        <w:t xml:space="preserve"> la procedencia para sobreseer el recurso de revisión cuando el </w:t>
      </w:r>
      <w:r>
        <w:rPr>
          <w:rFonts w:ascii="Palatino Linotype" w:hAnsi="Palatino Linotype" w:cs="Arial"/>
          <w:sz w:val="24"/>
          <w:szCs w:val="24"/>
        </w:rPr>
        <w:t>recurrente</w:t>
      </w:r>
      <w:r w:rsidRPr="00626CB6">
        <w:rPr>
          <w:rFonts w:ascii="Palatino Linotype" w:hAnsi="Palatino Linotype" w:cs="Arial"/>
          <w:sz w:val="24"/>
          <w:szCs w:val="24"/>
        </w:rPr>
        <w:t xml:space="preserve"> mediante un acto poste</w:t>
      </w:r>
      <w:r>
        <w:rPr>
          <w:rFonts w:ascii="Palatino Linotype" w:hAnsi="Palatino Linotype" w:cs="Arial"/>
          <w:sz w:val="24"/>
          <w:szCs w:val="24"/>
        </w:rPr>
        <w:t>rior, desista expresamente del recurso, de tal manera que ya no es necesario proseguir con dicho recurso.</w:t>
      </w:r>
    </w:p>
    <w:p w:rsidR="00A156E5" w:rsidRDefault="00A156E5" w:rsidP="00B53C3A">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tales consideraciones, se puede apreciar que al desistirse expresamente el recurrente, del </w:t>
      </w:r>
      <w:r w:rsidR="00B53C3A">
        <w:rPr>
          <w:rFonts w:ascii="Palatino Linotype" w:hAnsi="Palatino Linotype" w:cs="Arial"/>
          <w:sz w:val="24"/>
          <w:szCs w:val="24"/>
        </w:rPr>
        <w:t xml:space="preserve">recurso interpuesto al </w:t>
      </w:r>
      <w:r w:rsidR="00B53C3A" w:rsidRPr="00B53C3A">
        <w:rPr>
          <w:rFonts w:ascii="Palatino Linotype" w:hAnsi="Palatino Linotype" w:cs="Arial"/>
          <w:sz w:val="24"/>
          <w:szCs w:val="24"/>
        </w:rPr>
        <w:t>Sistem</w:t>
      </w:r>
      <w:r w:rsidR="00B53C3A">
        <w:rPr>
          <w:rFonts w:ascii="Palatino Linotype" w:hAnsi="Palatino Linotype" w:cs="Arial"/>
          <w:sz w:val="24"/>
          <w:szCs w:val="24"/>
        </w:rPr>
        <w:t xml:space="preserve">a Municipal para el Desarrollo </w:t>
      </w:r>
      <w:r w:rsidR="00B53C3A" w:rsidRPr="00B53C3A">
        <w:rPr>
          <w:rFonts w:ascii="Palatino Linotype" w:hAnsi="Palatino Linotype" w:cs="Arial"/>
          <w:sz w:val="24"/>
          <w:szCs w:val="24"/>
        </w:rPr>
        <w:t>Integral de la</w:t>
      </w:r>
      <w:r>
        <w:rPr>
          <w:rFonts w:ascii="Palatino Linotype" w:hAnsi="Palatino Linotype" w:cs="Arial"/>
          <w:sz w:val="24"/>
          <w:szCs w:val="24"/>
        </w:rPr>
        <w:t xml:space="preserve"> Familia de Ecatepec de Morelos, lo procedente sería que sobreseer el presente recurso de revisión que nos ocupa</w:t>
      </w:r>
      <w:r w:rsidR="00AF0CF4">
        <w:rPr>
          <w:rFonts w:ascii="Palatino Linotype" w:hAnsi="Palatino Linotype" w:cs="Arial"/>
          <w:sz w:val="24"/>
          <w:szCs w:val="24"/>
        </w:rPr>
        <w:t>.</w:t>
      </w:r>
    </w:p>
    <w:p w:rsidR="008E7408" w:rsidRDefault="008E7408" w:rsidP="008E7408">
      <w:pPr>
        <w:spacing w:before="240" w:after="240" w:line="360" w:lineRule="auto"/>
        <w:jc w:val="both"/>
        <w:rPr>
          <w:rFonts w:ascii="Palatino Linotype" w:hAnsi="Palatino Linotype"/>
          <w:sz w:val="24"/>
        </w:rPr>
      </w:pPr>
      <w:r w:rsidRPr="000F6AAA">
        <w:rPr>
          <w:rFonts w:ascii="Palatino Linotype" w:hAnsi="Palatino Linotype"/>
          <w:sz w:val="24"/>
        </w:rPr>
        <w:t xml:space="preserve">Por lo anteriormente expuesto, debe tenerse que </w:t>
      </w:r>
      <w:r w:rsidR="00874C3D">
        <w:rPr>
          <w:rFonts w:ascii="Palatino Linotype" w:hAnsi="Palatino Linotype"/>
          <w:sz w:val="24"/>
        </w:rPr>
        <w:t>con el desis</w:t>
      </w:r>
      <w:r w:rsidR="00E272F6">
        <w:rPr>
          <w:rFonts w:ascii="Palatino Linotype" w:hAnsi="Palatino Linotype"/>
          <w:sz w:val="24"/>
        </w:rPr>
        <w:t>timiento expreso del recurrente, ya no existe motivo de inconformidad</w:t>
      </w:r>
      <w:r w:rsidRPr="000F6AAA">
        <w:rPr>
          <w:rFonts w:ascii="Palatino Linotype" w:hAnsi="Palatino Linotype"/>
          <w:sz w:val="24"/>
        </w:rPr>
        <w:t>, actualizándose entonces la causal prevista en la fra</w:t>
      </w:r>
      <w:r w:rsidR="00E272F6">
        <w:rPr>
          <w:rFonts w:ascii="Palatino Linotype" w:hAnsi="Palatino Linotype"/>
          <w:sz w:val="24"/>
        </w:rPr>
        <w:t>cción I</w:t>
      </w:r>
      <w:r w:rsidRPr="000F6AAA">
        <w:rPr>
          <w:rFonts w:ascii="Palatino Linotype" w:hAnsi="Palatino Linotype"/>
          <w:sz w:val="24"/>
        </w:rPr>
        <w:t xml:space="preserve"> del artículo 192 de la Ley de la Materia vigente en la Entidad, antes transcrita.</w:t>
      </w:r>
    </w:p>
    <w:p w:rsidR="00FA6387" w:rsidRDefault="00FA6387" w:rsidP="00FA638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Luego entonces, es aplicable, en lo conducente la jurisprudencia de la décima época </w:t>
      </w:r>
      <w:r w:rsidRPr="00AF1CE8">
        <w:rPr>
          <w:rFonts w:ascii="Palatino Linotype" w:eastAsia="Times New Roman" w:hAnsi="Palatino Linotype"/>
          <w:color w:val="000000"/>
          <w:sz w:val="24"/>
          <w:szCs w:val="24"/>
          <w:lang w:eastAsia="es-MX"/>
        </w:rPr>
        <w:t xml:space="preserve">visible en el Semanario Judicial de la Federación y su Gaceta. Instancia: </w:t>
      </w:r>
      <w:r>
        <w:rPr>
          <w:rFonts w:ascii="Palatino Linotype" w:eastAsia="Times New Roman" w:hAnsi="Palatino Linotype"/>
          <w:color w:val="000000"/>
          <w:sz w:val="24"/>
          <w:szCs w:val="24"/>
          <w:lang w:eastAsia="es-MX"/>
        </w:rPr>
        <w:t>Segunda Sala</w:t>
      </w:r>
      <w:r w:rsidRPr="00AF1CE8">
        <w:rPr>
          <w:rFonts w:ascii="Palatino Linotype" w:eastAsia="Times New Roman" w:hAnsi="Palatino Linotype"/>
          <w:color w:val="000000"/>
          <w:sz w:val="24"/>
          <w:szCs w:val="24"/>
          <w:lang w:eastAsia="es-MX"/>
        </w:rPr>
        <w:t xml:space="preserve">. Tesis </w:t>
      </w:r>
      <w:r w:rsidRPr="00C17244">
        <w:rPr>
          <w:rFonts w:ascii="Palatino Linotype" w:eastAsia="Times New Roman" w:hAnsi="Palatino Linotype"/>
          <w:color w:val="000000"/>
          <w:sz w:val="24"/>
          <w:szCs w:val="24"/>
          <w:lang w:eastAsia="es-MX"/>
        </w:rPr>
        <w:t>2a./J. 82/2016 (10a.)</w:t>
      </w:r>
      <w:r>
        <w:rPr>
          <w:rFonts w:ascii="Palatino Linotype" w:eastAsia="Times New Roman" w:hAnsi="Palatino Linotype"/>
          <w:color w:val="000000"/>
          <w:sz w:val="24"/>
          <w:szCs w:val="24"/>
          <w:lang w:eastAsia="es-MX"/>
        </w:rPr>
        <w:t xml:space="preserve"> </w:t>
      </w:r>
      <w:r w:rsidRPr="00AF1CE8">
        <w:rPr>
          <w:rFonts w:ascii="Palatino Linotype" w:eastAsia="Times New Roman" w:hAnsi="Palatino Linotype"/>
          <w:color w:val="000000"/>
          <w:sz w:val="24"/>
          <w:szCs w:val="24"/>
          <w:lang w:eastAsia="es-MX"/>
        </w:rPr>
        <w:t xml:space="preserve">bajo el número de registro </w:t>
      </w:r>
      <w:r w:rsidRPr="00C17244">
        <w:rPr>
          <w:rFonts w:ascii="Palatino Linotype" w:eastAsia="Times New Roman" w:hAnsi="Palatino Linotype"/>
          <w:color w:val="000000"/>
          <w:sz w:val="24"/>
          <w:szCs w:val="24"/>
          <w:lang w:eastAsia="es-MX"/>
        </w:rPr>
        <w:t>2012059</w:t>
      </w:r>
      <w:r w:rsidRPr="00AF1CE8">
        <w:rPr>
          <w:rFonts w:ascii="Palatino Linotype" w:eastAsia="Times New Roman" w:hAnsi="Palatino Linotype"/>
          <w:color w:val="000000"/>
          <w:sz w:val="24"/>
          <w:szCs w:val="24"/>
          <w:lang w:eastAsia="es-MX"/>
        </w:rPr>
        <w:t xml:space="preserve"> cuyo rubro y texto esgrime:</w:t>
      </w:r>
    </w:p>
    <w:p w:rsidR="00FA6387" w:rsidRPr="00C17244" w:rsidRDefault="00FA6387" w:rsidP="00FA6387">
      <w:pPr>
        <w:spacing w:before="240" w:line="360" w:lineRule="auto"/>
        <w:ind w:left="708"/>
        <w:jc w:val="both"/>
        <w:rPr>
          <w:rFonts w:ascii="Palatino Linotype" w:eastAsia="Times New Roman" w:hAnsi="Palatino Linotype" w:cs="Times New Roman"/>
          <w:b/>
          <w:bCs/>
          <w:i/>
          <w:color w:val="000000"/>
          <w:szCs w:val="26"/>
          <w:lang w:eastAsia="es-MX"/>
        </w:rPr>
      </w:pPr>
      <w:r w:rsidRPr="00C17244">
        <w:rPr>
          <w:rFonts w:ascii="Palatino Linotype" w:eastAsia="Times New Roman" w:hAnsi="Palatino Linotype" w:cs="Times New Roman"/>
          <w:b/>
          <w:bCs/>
          <w:i/>
          <w:color w:val="000000"/>
          <w:szCs w:val="26"/>
          <w:lang w:eastAsia="es-MX"/>
        </w:rPr>
        <w:t>DESISTIMIENTO DE LA ACCIÓN DE AMPARO. SUS CONSECUENCIAS.</w:t>
      </w:r>
    </w:p>
    <w:p w:rsidR="00FA6387" w:rsidRDefault="00FA6387" w:rsidP="00FA6387">
      <w:pPr>
        <w:spacing w:before="240" w:line="360" w:lineRule="auto"/>
        <w:ind w:left="708"/>
        <w:rPr>
          <w:rFonts w:ascii="Palatino Linotype" w:eastAsia="Times New Roman" w:hAnsi="Palatino Linotype" w:cs="Times New Roman"/>
          <w:i/>
          <w:color w:val="000000"/>
          <w:szCs w:val="26"/>
          <w:lang w:eastAsia="es-MX"/>
        </w:rPr>
      </w:pPr>
      <w:r w:rsidRPr="00C17244">
        <w:rPr>
          <w:rFonts w:ascii="Palatino Linotype" w:eastAsia="Times New Roman" w:hAnsi="Palatino Linotype" w:cs="Times New Roman"/>
          <w:i/>
          <w:color w:val="000000"/>
          <w:szCs w:val="26"/>
          <w:lang w:eastAsia="es-MX"/>
        </w:rPr>
        <w:t>El desistimiento de la acción de amparo consiste en la declaración de voluntad del quejoso de no proseguir con el juicio, el cual, debidamente ratificado, conlleva emitir una resolución con la que finaliza la instancia de amparo, independientemente de la etapa en que se encuentre (desde el inicio del juicio hasta antes de que cause ejecutoria la sentencia que se dicte) y sin necesidad de examinar los conceptos de violación o, en su caso, los agravios.</w:t>
      </w:r>
    </w:p>
    <w:p w:rsidR="00FA6387" w:rsidRPr="00C17244" w:rsidRDefault="00FA6387" w:rsidP="00FA6387">
      <w:pPr>
        <w:spacing w:before="240" w:line="360" w:lineRule="auto"/>
        <w:ind w:left="708"/>
        <w:rPr>
          <w:rFonts w:ascii="Palatino Linotype" w:eastAsia="Times New Roman" w:hAnsi="Palatino Linotype" w:cs="Times New Roman"/>
          <w:i/>
          <w:color w:val="000000"/>
          <w:szCs w:val="26"/>
          <w:lang w:eastAsia="es-MX"/>
        </w:rPr>
      </w:pPr>
    </w:p>
    <w:p w:rsidR="00FA6387" w:rsidRPr="00C17244" w:rsidRDefault="00FA6387" w:rsidP="00FA6387">
      <w:pPr>
        <w:spacing w:before="240" w:line="360" w:lineRule="auto"/>
        <w:ind w:left="708"/>
        <w:jc w:val="both"/>
        <w:rPr>
          <w:rFonts w:ascii="Palatino Linotype" w:eastAsia="Times New Roman" w:hAnsi="Palatino Linotype" w:cs="Times New Roman"/>
          <w:i/>
          <w:color w:val="444444"/>
          <w:szCs w:val="26"/>
          <w:lang w:eastAsia="es-MX"/>
        </w:rPr>
      </w:pPr>
      <w:r w:rsidRPr="00C17244">
        <w:rPr>
          <w:rFonts w:ascii="Palatino Linotype" w:eastAsia="Times New Roman" w:hAnsi="Palatino Linotype" w:cs="Times New Roman"/>
          <w:i/>
          <w:color w:val="444444"/>
          <w:szCs w:val="26"/>
          <w:lang w:eastAsia="es-MX"/>
        </w:rPr>
        <w:t>Amparo directo 41/2014. Asociación Sindical de Sobrecargos de Aviación de México (A.S.S.A.). 30 de octubre de 2014. Unanimidad de cuatro votos de los Ministros Alberto Pérez Dayán, José Fernando Franco González Salas, Margarita Beatriz Luna Ramos y Luis María Aguilar Morales. Ausente: Sergio A. Valls Hernández. Ponente: Alberto Pérez Dayán. Secretario: Jorge Antonio Medina Gaona.</w:t>
      </w:r>
    </w:p>
    <w:p w:rsidR="00FA6387" w:rsidRPr="00C17244" w:rsidRDefault="00FA6387" w:rsidP="00FA6387">
      <w:pPr>
        <w:spacing w:before="240" w:line="360" w:lineRule="auto"/>
        <w:ind w:left="708"/>
        <w:jc w:val="both"/>
        <w:rPr>
          <w:rFonts w:ascii="Palatino Linotype" w:eastAsia="Times New Roman" w:hAnsi="Palatino Linotype" w:cs="Times New Roman"/>
          <w:i/>
          <w:color w:val="444444"/>
          <w:szCs w:val="26"/>
          <w:lang w:eastAsia="es-MX"/>
        </w:rPr>
      </w:pPr>
      <w:r w:rsidRPr="00C17244">
        <w:rPr>
          <w:rFonts w:ascii="Palatino Linotype" w:eastAsia="Times New Roman" w:hAnsi="Palatino Linotype" w:cs="Times New Roman"/>
          <w:i/>
          <w:color w:val="444444"/>
          <w:szCs w:val="26"/>
          <w:lang w:eastAsia="es-MX"/>
        </w:rPr>
        <w:t>Amparo directo en revisión 1377/2015. Alfa New Life International, S.A. de C.V. 13 de mayo de 2015. Cinco votos de los Ministros Eduardo Medina Mora I., Juan N. Silva Meza, José Fernando Franco González Salas, Margarita Beatriz Luna Ramos y Alberto Pérez Dayán. Ponente: Eduardo Medina Mora I. Secretaria: Paola Yaber Coronado.</w:t>
      </w:r>
    </w:p>
    <w:p w:rsidR="00FA6387" w:rsidRPr="00C17244" w:rsidRDefault="00FA6387" w:rsidP="00FA6387">
      <w:pPr>
        <w:spacing w:before="240" w:line="360" w:lineRule="auto"/>
        <w:ind w:left="708"/>
        <w:jc w:val="both"/>
        <w:rPr>
          <w:rFonts w:ascii="Palatino Linotype" w:eastAsia="Times New Roman" w:hAnsi="Palatino Linotype" w:cs="Times New Roman"/>
          <w:i/>
          <w:color w:val="444444"/>
          <w:szCs w:val="26"/>
          <w:lang w:eastAsia="es-MX"/>
        </w:rPr>
      </w:pPr>
      <w:r w:rsidRPr="00C17244">
        <w:rPr>
          <w:rFonts w:ascii="Palatino Linotype" w:eastAsia="Times New Roman" w:hAnsi="Palatino Linotype" w:cs="Times New Roman"/>
          <w:i/>
          <w:color w:val="444444"/>
          <w:szCs w:val="26"/>
          <w:lang w:eastAsia="es-MX"/>
        </w:rPr>
        <w:lastRenderedPageBreak/>
        <w:t>Amparo directo en revisión 1551/2015. Distribuidora Teyvi, S.A. de C.V. 8 de julio de 2015. Cinco votos de los Ministros Eduardo Medina Mora I., Juan N. Silva Meza, José Fernando Franco González Salas, Margarita Beatriz Luna Ramos y Alberto Pérez Dayán. Ponente: Eduardo Medina Mora I. Secretaria: Miroslava de Fátima Alcayde Escalante.</w:t>
      </w:r>
    </w:p>
    <w:p w:rsidR="00FA6387" w:rsidRPr="00C17244" w:rsidRDefault="00FA6387" w:rsidP="00FA6387">
      <w:pPr>
        <w:spacing w:before="240" w:line="360" w:lineRule="auto"/>
        <w:ind w:left="708"/>
        <w:jc w:val="both"/>
        <w:rPr>
          <w:rFonts w:ascii="Palatino Linotype" w:eastAsia="Times New Roman" w:hAnsi="Palatino Linotype" w:cs="Times New Roman"/>
          <w:i/>
          <w:color w:val="444444"/>
          <w:szCs w:val="26"/>
          <w:lang w:eastAsia="es-MX"/>
        </w:rPr>
      </w:pPr>
      <w:r w:rsidRPr="00C17244">
        <w:rPr>
          <w:rFonts w:ascii="Palatino Linotype" w:eastAsia="Times New Roman" w:hAnsi="Palatino Linotype" w:cs="Times New Roman"/>
          <w:i/>
          <w:color w:val="444444"/>
          <w:szCs w:val="26"/>
          <w:lang w:eastAsia="es-MX"/>
        </w:rPr>
        <w:t>Amparo en revisión 928/2015. Cajeme Productos Pecuarios, S.A. de C.V. 10 de febrero de 2016. Unanimidad de cuatro votos de los Ministros Eduardo Medina Mora I., Javier Laynez Potisek, José Fernando Franco González Salas y Margarita Beatriz Luna Ramos. Ausente: Alberto Pérez Dayán. Ponente: Eduardo Medina Mora I. Secretaria: Miroslava de Fátima Alcayde Escalante.</w:t>
      </w:r>
    </w:p>
    <w:p w:rsidR="00FA6387" w:rsidRPr="00C17244" w:rsidRDefault="00FA6387" w:rsidP="00FA6387">
      <w:pPr>
        <w:spacing w:before="240" w:line="360" w:lineRule="auto"/>
        <w:ind w:left="708"/>
        <w:jc w:val="both"/>
        <w:rPr>
          <w:rFonts w:ascii="Palatino Linotype" w:eastAsia="Times New Roman" w:hAnsi="Palatino Linotype" w:cs="Times New Roman"/>
          <w:i/>
          <w:color w:val="444444"/>
          <w:szCs w:val="26"/>
          <w:lang w:eastAsia="es-MX"/>
        </w:rPr>
      </w:pPr>
      <w:r w:rsidRPr="00C17244">
        <w:rPr>
          <w:rFonts w:ascii="Palatino Linotype" w:eastAsia="Times New Roman" w:hAnsi="Palatino Linotype" w:cs="Times New Roman"/>
          <w:i/>
          <w:color w:val="444444"/>
          <w:szCs w:val="26"/>
          <w:lang w:eastAsia="es-MX"/>
        </w:rPr>
        <w:t>Amparo en revisión 1469/2015. Luz Elena García Díaz. 1 de junio de 2016. Unanimidad de cuatro votos de los Ministros Eduardo Medina Mora I., Javier Laynez Potisek, José Fernando Franco González Salas y Alberto Pérez Dayán. Ausente: Margarita Beatriz Luna Ramos. Ponente: Eduardo Medina Mora I. Secretaria: Diana Cristina Rangel León.</w:t>
      </w:r>
    </w:p>
    <w:p w:rsidR="00FA6387" w:rsidRPr="00271BB8" w:rsidRDefault="00FA6387" w:rsidP="00FA6387">
      <w:pPr>
        <w:spacing w:before="240" w:after="240" w:line="360" w:lineRule="auto"/>
        <w:jc w:val="both"/>
        <w:rPr>
          <w:rFonts w:ascii="Palatino Linotype" w:hAnsi="Palatino Linotype"/>
          <w:sz w:val="24"/>
        </w:rPr>
      </w:pPr>
      <w:r w:rsidRPr="00C17244">
        <w:rPr>
          <w:rFonts w:ascii="Palatino Linotype" w:eastAsia="Times New Roman" w:hAnsi="Palatino Linotype" w:cs="Times New Roman"/>
          <w:i/>
          <w:color w:val="444444"/>
          <w:szCs w:val="26"/>
          <w:lang w:eastAsia="es-MX"/>
        </w:rPr>
        <w:t>Tesis de jurisprudencia 82/2016 (10a.). Aprobada por la Segunda Sala de este Alto Tribunal, en sesión privada del veintidós de junio de dos mil dieciséis.</w:t>
      </w:r>
    </w:p>
    <w:p w:rsidR="008E7408" w:rsidRDefault="008E7408" w:rsidP="008E740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en mérito</w:t>
      </w:r>
      <w:r w:rsidRPr="00410726">
        <w:rPr>
          <w:rFonts w:ascii="Palatino Linotype" w:hAnsi="Palatino Linotype"/>
          <w:sz w:val="24"/>
          <w:szCs w:val="24"/>
        </w:rPr>
        <w:t xml:space="preserve"> de lo expuest</w:t>
      </w:r>
      <w:r w:rsidR="007B2429">
        <w:rPr>
          <w:rFonts w:ascii="Palatino Linotype" w:hAnsi="Palatino Linotype"/>
          <w:sz w:val="24"/>
          <w:szCs w:val="24"/>
        </w:rPr>
        <w:t>o en líneas anteriores, resulta</w:t>
      </w:r>
      <w:r w:rsidRPr="00410726">
        <w:rPr>
          <w:rFonts w:ascii="Palatino Linotype" w:hAnsi="Palatino Linotype"/>
          <w:sz w:val="24"/>
          <w:szCs w:val="24"/>
        </w:rPr>
        <w:t xml:space="preserve"> </w:t>
      </w:r>
      <w:r w:rsidR="007B2429">
        <w:rPr>
          <w:rFonts w:ascii="Palatino Linotype" w:hAnsi="Palatino Linotype"/>
          <w:sz w:val="24"/>
          <w:szCs w:val="24"/>
        </w:rPr>
        <w:t>inoperante</w:t>
      </w:r>
      <w:r>
        <w:rPr>
          <w:rFonts w:ascii="Palatino Linotype" w:hAnsi="Palatino Linotype"/>
          <w:sz w:val="24"/>
          <w:szCs w:val="24"/>
        </w:rPr>
        <w:t xml:space="preserve"> </w:t>
      </w:r>
      <w:r w:rsidR="007B2429">
        <w:rPr>
          <w:rFonts w:ascii="Palatino Linotype" w:hAnsi="Palatino Linotype"/>
          <w:sz w:val="24"/>
          <w:szCs w:val="24"/>
        </w:rPr>
        <w:t>el</w:t>
      </w:r>
      <w:r w:rsidR="008032F1">
        <w:rPr>
          <w:rFonts w:ascii="Palatino Linotype" w:hAnsi="Palatino Linotype"/>
          <w:sz w:val="24"/>
          <w:szCs w:val="24"/>
        </w:rPr>
        <w:t xml:space="preserve"> motivo</w:t>
      </w:r>
      <w:r w:rsidRPr="00410726">
        <w:rPr>
          <w:rFonts w:ascii="Palatino Linotype" w:hAnsi="Palatino Linotype"/>
          <w:sz w:val="24"/>
          <w:szCs w:val="24"/>
        </w:rPr>
        <w:t xml:space="preserve">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segunda hipótesis de la fracción 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Pr="00041425">
        <w:rPr>
          <w:rFonts w:ascii="Palatino Linotype" w:hAnsi="Palatino Linotype" w:cs="Arial"/>
          <w:b/>
          <w:sz w:val="24"/>
        </w:rPr>
        <w:t>SOBRESEE</w:t>
      </w:r>
      <w:r>
        <w:rPr>
          <w:rFonts w:ascii="Palatino Linotype" w:hAnsi="Palatino Linotype" w:cs="Arial"/>
          <w:b/>
          <w:sz w:val="24"/>
        </w:rPr>
        <w:t xml:space="preserve"> </w:t>
      </w:r>
      <w:r>
        <w:rPr>
          <w:rFonts w:ascii="Palatino Linotype" w:hAnsi="Palatino Linotype" w:cs="Arial"/>
          <w:sz w:val="24"/>
        </w:rPr>
        <w:t xml:space="preserve">el presente recurso de revisión número </w:t>
      </w:r>
      <w:r w:rsidR="007B2429">
        <w:rPr>
          <w:rFonts w:ascii="Palatino Linotype" w:hAnsi="Palatino Linotype" w:cs="Arial"/>
          <w:b/>
          <w:bCs/>
          <w:sz w:val="24"/>
          <w:lang w:eastAsia="es-MX"/>
        </w:rPr>
        <w:t>02565</w:t>
      </w:r>
      <w:r w:rsidRPr="00041425">
        <w:rPr>
          <w:rFonts w:ascii="Palatino Linotype" w:hAnsi="Palatino Linotype" w:cs="Arial"/>
          <w:b/>
          <w:bCs/>
          <w:sz w:val="24"/>
          <w:lang w:eastAsia="es-MX"/>
        </w:rPr>
        <w:t>/</w:t>
      </w:r>
      <w:r>
        <w:rPr>
          <w:rFonts w:ascii="Palatino Linotype" w:hAnsi="Palatino Linotype" w:cs="Arial"/>
          <w:b/>
          <w:bCs/>
          <w:sz w:val="24"/>
          <w:lang w:eastAsia="es-MX"/>
        </w:rPr>
        <w:t>INFOEM/IP/RR/201</w:t>
      </w:r>
      <w:r w:rsidR="001F5D0E">
        <w:rPr>
          <w:rFonts w:ascii="Palatino Linotype" w:hAnsi="Palatino Linotype" w:cs="Arial"/>
          <w:b/>
          <w:bCs/>
          <w:sz w:val="24"/>
          <w:lang w:eastAsia="es-MX"/>
        </w:rPr>
        <w:t>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8E7408" w:rsidRDefault="008E7408" w:rsidP="008E740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FA6387">
        <w:rPr>
          <w:rFonts w:ascii="Palatino Linotype" w:hAnsi="Palatino Linotype"/>
          <w:sz w:val="24"/>
          <w:szCs w:val="24"/>
        </w:rPr>
        <w:t>,</w:t>
      </w:r>
    </w:p>
    <w:p w:rsidR="008E7408" w:rsidRDefault="008E7408" w:rsidP="008E740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714844" w:rsidRDefault="00714844" w:rsidP="00714844">
      <w:pPr>
        <w:spacing w:after="0" w:line="360" w:lineRule="auto"/>
        <w:jc w:val="both"/>
        <w:rPr>
          <w:rFonts w:ascii="Palatino Linotype" w:hAnsi="Palatino Linotype" w:cs="Arial"/>
          <w:sz w:val="24"/>
          <w:szCs w:val="24"/>
        </w:rPr>
      </w:pPr>
      <w:r w:rsidRPr="00C719A4">
        <w:rPr>
          <w:rFonts w:ascii="Palatino Linotype" w:hAnsi="Palatino Linotype" w:cs="Arial"/>
          <w:b/>
          <w:bCs/>
          <w:color w:val="222222"/>
          <w:sz w:val="28"/>
          <w:lang w:eastAsia="es-MX"/>
        </w:rPr>
        <w:t>PRIMERO</w:t>
      </w:r>
      <w:r w:rsidRPr="00C719A4">
        <w:rPr>
          <w:rFonts w:ascii="Palatino Linotype" w:hAnsi="Palatino Linotype" w:cs="Arial"/>
        </w:rPr>
        <w:t xml:space="preserve">. </w:t>
      </w:r>
      <w:r w:rsidRPr="00664330">
        <w:rPr>
          <w:rFonts w:ascii="Palatino Linotype" w:hAnsi="Palatino Linotype" w:cs="Arial"/>
          <w:sz w:val="24"/>
          <w:szCs w:val="24"/>
        </w:rPr>
        <w:t xml:space="preserve">Se </w:t>
      </w:r>
      <w:r w:rsidRPr="00664330">
        <w:rPr>
          <w:rFonts w:ascii="Palatino Linotype" w:hAnsi="Palatino Linotype" w:cs="Arial"/>
          <w:b/>
          <w:sz w:val="24"/>
          <w:szCs w:val="24"/>
        </w:rPr>
        <w:t>SOBRESEE</w:t>
      </w:r>
      <w:r w:rsidRPr="00664330">
        <w:rPr>
          <w:rFonts w:ascii="Palatino Linotype" w:hAnsi="Palatino Linotype" w:cs="Arial"/>
          <w:sz w:val="24"/>
          <w:szCs w:val="24"/>
        </w:rPr>
        <w:t xml:space="preserve"> el </w:t>
      </w:r>
      <w:r>
        <w:rPr>
          <w:rFonts w:ascii="Palatino Linotype" w:hAnsi="Palatino Linotype" w:cs="Arial"/>
          <w:sz w:val="24"/>
          <w:szCs w:val="24"/>
        </w:rPr>
        <w:t xml:space="preserve">recurso de revisión número </w:t>
      </w:r>
      <w:r w:rsidRPr="009C286E">
        <w:rPr>
          <w:rFonts w:ascii="Palatino Linotype" w:hAnsi="Palatino Linotype" w:cs="Arial"/>
          <w:b/>
          <w:sz w:val="24"/>
          <w:szCs w:val="24"/>
        </w:rPr>
        <w:t>02565/INFOEM/IP/RR/2019,</w:t>
      </w:r>
      <w:r w:rsidRPr="00664330">
        <w:rPr>
          <w:rFonts w:ascii="Palatino Linotype" w:hAnsi="Palatino Linotype" w:cs="Arial"/>
          <w:sz w:val="24"/>
          <w:szCs w:val="24"/>
        </w:rPr>
        <w:t xml:space="preserve"> por haberse desistido expresamente el Recurrente, en </w:t>
      </w:r>
      <w:r>
        <w:rPr>
          <w:rFonts w:ascii="Palatino Linotype" w:hAnsi="Palatino Linotype" w:cs="Arial"/>
          <w:sz w:val="24"/>
          <w:szCs w:val="24"/>
        </w:rPr>
        <w:t>términos del Considerando TERCERO</w:t>
      </w:r>
      <w:r w:rsidRPr="00664330">
        <w:rPr>
          <w:rFonts w:ascii="Palatino Linotype" w:hAnsi="Palatino Linotype" w:cs="Arial"/>
          <w:sz w:val="24"/>
          <w:szCs w:val="24"/>
        </w:rPr>
        <w:t xml:space="preserve"> de la presente resolución.</w:t>
      </w:r>
    </w:p>
    <w:p w:rsidR="00714844" w:rsidRPr="00D54E43" w:rsidRDefault="00714844" w:rsidP="00714844">
      <w:pPr>
        <w:spacing w:after="0" w:line="360" w:lineRule="auto"/>
        <w:jc w:val="both"/>
        <w:rPr>
          <w:rFonts w:ascii="Palatino Linotype" w:hAnsi="Palatino Linotype" w:cs="Arial"/>
          <w:sz w:val="24"/>
          <w:szCs w:val="24"/>
        </w:rPr>
      </w:pPr>
    </w:p>
    <w:p w:rsidR="00714844" w:rsidRPr="00C719A4" w:rsidRDefault="00714844" w:rsidP="00714844">
      <w:pPr>
        <w:spacing w:after="0" w:line="360" w:lineRule="auto"/>
        <w:jc w:val="both"/>
        <w:rPr>
          <w:rFonts w:ascii="Palatino Linotype" w:hAnsi="Palatino Linotype"/>
          <w:color w:val="222222"/>
          <w:sz w:val="24"/>
          <w:szCs w:val="24"/>
          <w:shd w:val="clear" w:color="auto" w:fill="FFFFFF"/>
        </w:rPr>
      </w:pPr>
      <w:r>
        <w:rPr>
          <w:rFonts w:ascii="Palatino Linotype" w:hAnsi="Palatino Linotype"/>
          <w:b/>
          <w:color w:val="222222"/>
          <w:sz w:val="28"/>
          <w:szCs w:val="28"/>
          <w:shd w:val="clear" w:color="auto" w:fill="FFFFFF"/>
        </w:rPr>
        <w:t>SEGUNDO</w:t>
      </w:r>
      <w:r w:rsidRPr="00C719A4">
        <w:rPr>
          <w:rFonts w:ascii="Palatino Linotype" w:hAnsi="Palatino Linotype"/>
          <w:b/>
          <w:color w:val="222222"/>
          <w:sz w:val="28"/>
          <w:szCs w:val="28"/>
          <w:shd w:val="clear" w:color="auto" w:fill="FFFFFF"/>
        </w:rPr>
        <w:t>.</w:t>
      </w:r>
      <w:r w:rsidRPr="00C719A4">
        <w:rPr>
          <w:rStyle w:val="apple-converted-space"/>
          <w:rFonts w:ascii="Palatino Linotype" w:hAnsi="Palatino Linotype"/>
          <w:b/>
          <w:color w:val="222222"/>
          <w:shd w:val="clear" w:color="auto" w:fill="FFFFFF"/>
        </w:rPr>
        <w:t> </w:t>
      </w:r>
      <w:r w:rsidRPr="00C719A4">
        <w:rPr>
          <w:rFonts w:ascii="Palatino Linotype" w:hAnsi="Palatino Linotype"/>
          <w:b/>
          <w:color w:val="222222"/>
          <w:sz w:val="24"/>
          <w:szCs w:val="24"/>
          <w:lang w:eastAsia="es-ES_tradnl"/>
        </w:rPr>
        <w:t>Notifíquese</w:t>
      </w:r>
      <w:r w:rsidRPr="00C719A4">
        <w:rPr>
          <w:rFonts w:ascii="Palatino Linotype" w:hAnsi="Palatino Linotype"/>
          <w:color w:val="222222"/>
          <w:sz w:val="24"/>
          <w:szCs w:val="24"/>
          <w:lang w:eastAsia="es-ES_tradnl"/>
        </w:rPr>
        <w:t xml:space="preserve"> </w:t>
      </w:r>
      <w:r w:rsidRPr="00C719A4">
        <w:rPr>
          <w:rFonts w:ascii="Palatino Linotype" w:hAnsi="Palatino Linotype"/>
          <w:color w:val="222222"/>
          <w:sz w:val="24"/>
          <w:szCs w:val="24"/>
          <w:shd w:val="clear" w:color="auto" w:fill="FFFFFF"/>
        </w:rPr>
        <w:t>al Titular de la Unidad de Transparencia del</w:t>
      </w:r>
      <w:r w:rsidRPr="00C719A4">
        <w:rPr>
          <w:rStyle w:val="apple-converted-space"/>
          <w:rFonts w:ascii="Palatino Linotype" w:hAnsi="Palatino Linotype"/>
          <w:b/>
          <w:color w:val="222222"/>
          <w:sz w:val="24"/>
          <w:szCs w:val="24"/>
          <w:shd w:val="clear" w:color="auto" w:fill="FFFFFF"/>
        </w:rPr>
        <w:t> </w:t>
      </w:r>
      <w:r w:rsidRPr="00C719A4">
        <w:rPr>
          <w:rFonts w:ascii="Palatino Linotype" w:hAnsi="Palatino Linotype"/>
          <w:b/>
          <w:color w:val="222222"/>
          <w:sz w:val="24"/>
          <w:szCs w:val="24"/>
          <w:shd w:val="clear" w:color="auto" w:fill="FFFFFF"/>
        </w:rPr>
        <w:t>SUJETO OBLIGADO</w:t>
      </w:r>
      <w:r>
        <w:rPr>
          <w:rFonts w:ascii="Palatino Linotype" w:hAnsi="Palatino Linotype"/>
          <w:color w:val="222222"/>
          <w:sz w:val="24"/>
          <w:szCs w:val="24"/>
          <w:shd w:val="clear" w:color="auto" w:fill="FFFFFF"/>
        </w:rPr>
        <w:t>.</w:t>
      </w:r>
    </w:p>
    <w:p w:rsidR="00714844" w:rsidRPr="00C719A4" w:rsidRDefault="00714844" w:rsidP="00714844">
      <w:pPr>
        <w:spacing w:after="0" w:line="360" w:lineRule="auto"/>
        <w:ind w:right="49"/>
        <w:jc w:val="both"/>
        <w:rPr>
          <w:rStyle w:val="apple-converted-space"/>
          <w:rFonts w:ascii="Palatino Linotype" w:hAnsi="Palatino Linotype"/>
          <w:b/>
          <w:color w:val="222222"/>
          <w:sz w:val="24"/>
          <w:shd w:val="clear" w:color="auto" w:fill="FFFFFF"/>
        </w:rPr>
      </w:pPr>
    </w:p>
    <w:p w:rsidR="00714844" w:rsidRPr="00C719A4" w:rsidRDefault="00714844" w:rsidP="00714844">
      <w:pPr>
        <w:spacing w:after="0" w:line="360" w:lineRule="auto"/>
        <w:jc w:val="both"/>
        <w:rPr>
          <w:rFonts w:ascii="Palatino Linotype" w:eastAsia="Calibri" w:hAnsi="Palatino Linotype" w:cs="Arial"/>
          <w:sz w:val="24"/>
          <w:szCs w:val="24"/>
        </w:rPr>
      </w:pPr>
      <w:r>
        <w:rPr>
          <w:rFonts w:ascii="Palatino Linotype" w:hAnsi="Palatino Linotype"/>
          <w:b/>
          <w:color w:val="222222"/>
          <w:sz w:val="28"/>
          <w:szCs w:val="28"/>
          <w:shd w:val="clear" w:color="auto" w:fill="FFFFFF"/>
        </w:rPr>
        <w:t>TERCERO</w:t>
      </w:r>
      <w:r w:rsidRPr="00C719A4">
        <w:rPr>
          <w:rFonts w:ascii="Palatino Linotype" w:hAnsi="Palatino Linotype" w:cs="Arial"/>
          <w:b/>
          <w:bCs/>
          <w:color w:val="222222"/>
          <w:sz w:val="24"/>
          <w:szCs w:val="24"/>
          <w:lang w:eastAsia="es-MX"/>
        </w:rPr>
        <w:t xml:space="preserve">. </w:t>
      </w:r>
      <w:r w:rsidRPr="00C719A4">
        <w:rPr>
          <w:rFonts w:ascii="Palatino Linotype" w:hAnsi="Palatino Linotype"/>
          <w:b/>
          <w:color w:val="222222"/>
          <w:sz w:val="24"/>
          <w:szCs w:val="24"/>
          <w:lang w:eastAsia="es-ES_tradnl"/>
        </w:rPr>
        <w:t>Notifíquese</w:t>
      </w:r>
      <w:r w:rsidRPr="00C719A4">
        <w:rPr>
          <w:rFonts w:ascii="Palatino Linotype" w:hAnsi="Palatino Linotype"/>
          <w:color w:val="222222"/>
          <w:sz w:val="24"/>
          <w:szCs w:val="24"/>
          <w:lang w:eastAsia="es-ES_tradnl"/>
        </w:rPr>
        <w:t xml:space="preserve"> al </w:t>
      </w:r>
      <w:r w:rsidRPr="00C719A4">
        <w:rPr>
          <w:rFonts w:ascii="Palatino Linotype" w:hAnsi="Palatino Linotype"/>
          <w:b/>
          <w:color w:val="222222"/>
          <w:sz w:val="24"/>
          <w:szCs w:val="24"/>
          <w:lang w:eastAsia="es-ES_tradnl"/>
        </w:rPr>
        <w:t>RECURRENTE</w:t>
      </w:r>
      <w:r w:rsidRPr="00C719A4">
        <w:rPr>
          <w:rFonts w:ascii="Palatino Linotype" w:hAnsi="Palatino Linotype"/>
          <w:color w:val="222222"/>
          <w:sz w:val="24"/>
          <w:szCs w:val="24"/>
          <w:lang w:eastAsia="es-ES_tradnl"/>
        </w:rPr>
        <w:t xml:space="preserve"> la </w:t>
      </w:r>
      <w:r w:rsidRPr="00C719A4">
        <w:rPr>
          <w:rFonts w:ascii="Palatino Linotype" w:hAnsi="Palatino Linotype" w:cs="Arial"/>
          <w:sz w:val="24"/>
          <w:szCs w:val="24"/>
        </w:rPr>
        <w:t>presente</w:t>
      </w:r>
      <w:r w:rsidRPr="00C719A4">
        <w:rPr>
          <w:rFonts w:ascii="Palatino Linotype" w:hAnsi="Palatino Linotype"/>
          <w:color w:val="222222"/>
          <w:sz w:val="24"/>
          <w:szCs w:val="24"/>
          <w:lang w:eastAsia="es-ES_tradnl"/>
        </w:rPr>
        <w:t xml:space="preserve"> resolución.</w:t>
      </w:r>
    </w:p>
    <w:p w:rsidR="00714844" w:rsidRPr="00C719A4" w:rsidRDefault="00714844" w:rsidP="00714844">
      <w:pPr>
        <w:spacing w:after="0" w:line="360" w:lineRule="auto"/>
        <w:ind w:right="49"/>
        <w:jc w:val="both"/>
        <w:rPr>
          <w:rFonts w:ascii="Palatino Linotype" w:hAnsi="Palatino Linotype" w:cs="Arial"/>
          <w:b/>
          <w:bCs/>
          <w:color w:val="222222"/>
          <w:sz w:val="24"/>
          <w:lang w:eastAsia="es-MX"/>
        </w:rPr>
      </w:pPr>
    </w:p>
    <w:p w:rsidR="00714844" w:rsidRPr="00C719A4" w:rsidRDefault="00714844" w:rsidP="00714844">
      <w:pPr>
        <w:spacing w:after="0" w:line="360" w:lineRule="auto"/>
        <w:jc w:val="both"/>
        <w:rPr>
          <w:rFonts w:ascii="Palatino Linotype" w:hAnsi="Palatino Linotype"/>
          <w:color w:val="222222"/>
          <w:sz w:val="24"/>
          <w:szCs w:val="24"/>
          <w:lang w:eastAsia="es-ES_tradnl"/>
        </w:rPr>
      </w:pPr>
      <w:r>
        <w:rPr>
          <w:rFonts w:ascii="Palatino Linotype" w:hAnsi="Palatino Linotype"/>
          <w:b/>
          <w:color w:val="222222"/>
          <w:sz w:val="28"/>
          <w:szCs w:val="28"/>
          <w:shd w:val="clear" w:color="auto" w:fill="FFFFFF"/>
        </w:rPr>
        <w:t>CUARTO</w:t>
      </w:r>
      <w:r w:rsidRPr="00C719A4">
        <w:rPr>
          <w:rFonts w:ascii="Palatino Linotype" w:hAnsi="Palatino Linotype" w:cs="Arial"/>
          <w:b/>
          <w:bCs/>
          <w:color w:val="222222"/>
          <w:sz w:val="28"/>
          <w:lang w:eastAsia="es-MX"/>
        </w:rPr>
        <w:t>.</w:t>
      </w:r>
      <w:r w:rsidRPr="00C719A4">
        <w:rPr>
          <w:rFonts w:ascii="Palatino Linotype" w:hAnsi="Palatino Linotype"/>
          <w:color w:val="222222"/>
          <w:szCs w:val="17"/>
          <w:lang w:eastAsia="es-ES_tradnl"/>
        </w:rPr>
        <w:t xml:space="preserve"> </w:t>
      </w:r>
      <w:r w:rsidRPr="00C719A4">
        <w:rPr>
          <w:rFonts w:ascii="Palatino Linotype" w:hAnsi="Palatino Linotype"/>
          <w:b/>
          <w:color w:val="222222"/>
          <w:sz w:val="24"/>
          <w:szCs w:val="24"/>
          <w:lang w:eastAsia="es-ES_tradnl"/>
        </w:rPr>
        <w:t>Hágase del conocimiento</w:t>
      </w:r>
      <w:r w:rsidRPr="00C719A4">
        <w:rPr>
          <w:rFonts w:ascii="Palatino Linotype" w:hAnsi="Palatino Linotype"/>
          <w:color w:val="222222"/>
          <w:sz w:val="24"/>
          <w:szCs w:val="24"/>
          <w:lang w:eastAsia="es-ES_tradnl"/>
        </w:rPr>
        <w:t xml:space="preserve"> al </w:t>
      </w:r>
      <w:r w:rsidRPr="00C719A4">
        <w:rPr>
          <w:rFonts w:ascii="Palatino Linotype" w:hAnsi="Palatino Linotype"/>
          <w:b/>
          <w:color w:val="222222"/>
          <w:sz w:val="24"/>
          <w:szCs w:val="24"/>
          <w:lang w:eastAsia="es-ES_tradnl"/>
        </w:rPr>
        <w:t>RECURRENTE</w:t>
      </w:r>
      <w:r w:rsidRPr="00C719A4">
        <w:rPr>
          <w:rFonts w:ascii="Palatino Linotype" w:hAnsi="Palatino Linotype"/>
          <w:color w:val="222222"/>
          <w:sz w:val="24"/>
          <w:szCs w:val="24"/>
          <w:lang w:eastAsia="es-ES_tradnl"/>
        </w:rPr>
        <w:t xml:space="preserve"> que de conformidad con lo establecido en el </w:t>
      </w:r>
      <w:r w:rsidRPr="00C719A4">
        <w:rPr>
          <w:rFonts w:ascii="Palatino Linotype" w:hAnsi="Palatino Linotype" w:cs="Arial"/>
          <w:sz w:val="24"/>
          <w:szCs w:val="24"/>
        </w:rPr>
        <w:t>artículo</w:t>
      </w:r>
      <w:r w:rsidRPr="00C719A4">
        <w:rPr>
          <w:rFonts w:ascii="Palatino Linotype" w:hAnsi="Palatino Linotype"/>
          <w:color w:val="222222"/>
          <w:sz w:val="24"/>
          <w:szCs w:val="24"/>
          <w:lang w:eastAsia="es-ES_tradnl"/>
        </w:rPr>
        <w:t xml:space="preserve"> 196 de la </w:t>
      </w:r>
      <w:r w:rsidRPr="00C719A4">
        <w:rPr>
          <w:rFonts w:ascii="Palatino Linotype" w:hAnsi="Palatino Linotype" w:cs="Arial"/>
          <w:sz w:val="24"/>
          <w:szCs w:val="24"/>
        </w:rPr>
        <w:t>Ley</w:t>
      </w:r>
      <w:r w:rsidRPr="00C719A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A459D0" w:rsidRDefault="00D349F0" w:rsidP="008A5E77">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w:t>
      </w:r>
      <w:r w:rsidR="00714844" w:rsidRPr="00C719A4">
        <w:rPr>
          <w:rFonts w:ascii="Palatino Linotype" w:hAnsi="Palatino Linotype" w:cs="Arial"/>
          <w:sz w:val="24"/>
          <w:szCs w:val="24"/>
        </w:rPr>
        <w:t xml:space="preserve"> VOTOS EL PLENO DEL</w:t>
      </w:r>
      <w:r w:rsidR="00714844" w:rsidRPr="00C719A4">
        <w:rPr>
          <w:rFonts w:ascii="Palatino Linotype" w:eastAsia="Arial Unicode MS" w:hAnsi="Palatino Linotype" w:cs="Arial"/>
          <w:sz w:val="24"/>
          <w:szCs w:val="24"/>
        </w:rPr>
        <w:t xml:space="preserve"> INSTITUTO DE </w:t>
      </w:r>
      <w:r w:rsidR="00714844" w:rsidRPr="00C719A4">
        <w:rPr>
          <w:rFonts w:ascii="Palatino Linotype" w:hAnsi="Palatino Linotype"/>
          <w:sz w:val="24"/>
          <w:szCs w:val="24"/>
        </w:rPr>
        <w:t>TRANSPARENCIA</w:t>
      </w:r>
      <w:r w:rsidR="00714844" w:rsidRPr="00C719A4">
        <w:rPr>
          <w:rFonts w:ascii="Palatino Linotype" w:eastAsia="Arial Unicode MS" w:hAnsi="Palatino Linotype" w:cs="Arial"/>
          <w:sz w:val="24"/>
          <w:szCs w:val="24"/>
        </w:rPr>
        <w:t>, ACCESO A LA INFORMACIÓN PÚBLICA Y PROTECCIÓN DE DATOS PERSONALES DEL ESTADO DE MÉXICO Y MUNICIPIOS</w:t>
      </w:r>
      <w:r w:rsidR="00714844" w:rsidRPr="00C719A4">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00114828">
        <w:rPr>
          <w:rFonts w:ascii="Palatino Linotype" w:hAnsi="Palatino Linotype" w:cs="Arial"/>
          <w:sz w:val="24"/>
          <w:szCs w:val="24"/>
          <w:shd w:val="clear" w:color="auto" w:fill="FFFFFF" w:themeFill="background1"/>
        </w:rPr>
        <w:t xml:space="preserve">EN LA VIGÉSIMA </w:t>
      </w:r>
      <w:r w:rsidR="00114828">
        <w:rPr>
          <w:rFonts w:ascii="Palatino Linotype" w:hAnsi="Palatino Linotype" w:cs="Arial"/>
          <w:sz w:val="24"/>
          <w:szCs w:val="24"/>
          <w:shd w:val="clear" w:color="auto" w:fill="FFFFFF" w:themeFill="background1"/>
        </w:rPr>
        <w:lastRenderedPageBreak/>
        <w:t>CUARTA</w:t>
      </w:r>
      <w:r w:rsidR="00714844" w:rsidRPr="00C719A4">
        <w:rPr>
          <w:rFonts w:ascii="Palatino Linotype" w:hAnsi="Palatino Linotype" w:cs="Arial"/>
          <w:sz w:val="24"/>
          <w:szCs w:val="24"/>
          <w:shd w:val="clear" w:color="auto" w:fill="FFFFFF" w:themeFill="background1"/>
        </w:rPr>
        <w:t xml:space="preserve"> </w:t>
      </w:r>
      <w:r w:rsidR="00714844" w:rsidRPr="00C719A4">
        <w:rPr>
          <w:rFonts w:ascii="Palatino Linotype" w:hAnsi="Palatino Linotype" w:cs="Arial"/>
          <w:sz w:val="24"/>
          <w:szCs w:val="24"/>
        </w:rPr>
        <w:t xml:space="preserve">SESIÓN ORDINARIA CELEBRADA EL </w:t>
      </w:r>
      <w:r w:rsidR="00114828">
        <w:rPr>
          <w:rFonts w:ascii="Palatino Linotype" w:hAnsi="Palatino Linotype" w:cs="Arial"/>
          <w:sz w:val="24"/>
          <w:szCs w:val="24"/>
        </w:rPr>
        <w:t>VEINTISÉIS</w:t>
      </w:r>
      <w:r w:rsidR="00714844" w:rsidRPr="00114828">
        <w:rPr>
          <w:rFonts w:ascii="Palatino Linotype" w:hAnsi="Palatino Linotype" w:cs="Arial"/>
          <w:sz w:val="24"/>
          <w:szCs w:val="24"/>
        </w:rPr>
        <w:t xml:space="preserve"> DE JUNIO DE DOS MIL DIECINUEVE</w:t>
      </w:r>
      <w:r w:rsidR="00714844" w:rsidRPr="00C719A4">
        <w:rPr>
          <w:rFonts w:ascii="Palatino Linotype" w:hAnsi="Palatino Linotype" w:cs="Arial"/>
          <w:sz w:val="24"/>
          <w:szCs w:val="24"/>
        </w:rPr>
        <w:t xml:space="preserve">, ANTE EL SECRETARIO TÉCNICO DEL PLENO, </w:t>
      </w:r>
      <w:r w:rsidR="00714844" w:rsidRPr="00C719A4">
        <w:rPr>
          <w:rFonts w:ascii="Palatino Linotype" w:eastAsia="Arial Unicode MS" w:hAnsi="Palatino Linotype" w:cs="Arial"/>
          <w:sz w:val="24"/>
          <w:szCs w:val="24"/>
        </w:rPr>
        <w:t>ALEXIS</w:t>
      </w:r>
      <w:r w:rsidR="00714844">
        <w:rPr>
          <w:rFonts w:ascii="Palatino Linotype" w:hAnsi="Palatino Linotype" w:cs="Arial"/>
          <w:sz w:val="24"/>
          <w:szCs w:val="24"/>
        </w:rPr>
        <w:t xml:space="preserve"> TAPIA RAMÍREZ</w:t>
      </w:r>
      <w:r w:rsidR="008A5E77">
        <w:rPr>
          <w:rFonts w:ascii="Palatino Linotype" w:hAnsi="Palatino Linotype" w:cs="Arial"/>
          <w:sz w:val="24"/>
          <w:szCs w:val="24"/>
        </w:rPr>
        <w:t>.------------------------</w:t>
      </w:r>
      <w:r w:rsidR="0035772D">
        <w:rPr>
          <w:rFonts w:ascii="Palatino Linotype" w:hAnsi="Palatino Linotype" w:cs="Arial"/>
          <w:sz w:val="24"/>
          <w:szCs w:val="24"/>
        </w:rPr>
        <w:t>--------------------------------------------------------------------------------------------------------------------------------------------------------------------------------------------------------------------------------------------------------------------------------------------------------------------------------------------------------------------------------------------------------------------------------------------------------------------------------------------------------------------------------------------------------------------------------------------------------------------------------------------------------------------------------------------------------------------------------------------------------------------------------</w:t>
      </w:r>
      <w:r w:rsidR="007B2429">
        <w:rPr>
          <w:rFonts w:ascii="Palatino Linotype" w:hAnsi="Palatino Linotype" w:cs="Arial"/>
          <w:sz w:val="24"/>
          <w:szCs w:val="24"/>
        </w:rPr>
        <w:t>---------------------------------------------------------------------------------------------------------------------------------------------------------------------------------------------------------------------------------------------------------------------------------------------------------------------------------------------------------------------------------------------------------------------------------------------------------------------------</w:t>
      </w:r>
      <w:r w:rsidR="00FA6387">
        <w:rPr>
          <w:rFonts w:ascii="Palatino Linotype" w:hAnsi="Palatino Linotype" w:cs="Arial"/>
          <w:sz w:val="24"/>
          <w:szCs w:val="24"/>
        </w:rPr>
        <w:t>------------------------------------------------------------------------------------------------------------------------------------------------------------------------------------------------------------------------------------------------------------------------------------------------------------------------------------------------------------------------------------------------------------------------------------------------------------------------------------------------------------------------------------------------------------------------------------------------------------------------------------------------------------------------------------------------------------------------------------------------------------------------------------------------------------------------------------------------------------------------------------</w:t>
      </w:r>
      <w:r>
        <w:rPr>
          <w:rFonts w:ascii="Palatino Linotype" w:hAnsi="Palatino Linotype" w:cs="Arial"/>
          <w:sz w:val="24"/>
          <w:szCs w:val="24"/>
        </w:rPr>
        <w:t>-------------------------------</w:t>
      </w:r>
      <w:r w:rsidR="00FA6387">
        <w:rPr>
          <w:rFonts w:ascii="Palatino Linotype" w:hAnsi="Palatino Linotype" w:cs="Arial"/>
          <w:sz w:val="24"/>
          <w:szCs w:val="24"/>
        </w:rPr>
        <w:t>------------------------------------------------------------------------------------------------------------------------</w:t>
      </w:r>
      <w:r w:rsidR="007B2429">
        <w:rPr>
          <w:rFonts w:ascii="Palatino Linotype" w:hAnsi="Palatino Linotype" w:cs="Arial"/>
          <w:sz w:val="24"/>
          <w:szCs w:val="24"/>
        </w:rPr>
        <w:t>---------------------------</w:t>
      </w:r>
      <w:r>
        <w:rPr>
          <w:rFonts w:ascii="Palatino Linotype" w:hAnsi="Palatino Linotype" w:cs="Arial"/>
          <w:sz w:val="24"/>
          <w:szCs w:val="24"/>
        </w:rPr>
        <w:t>----------------------------------------------------------------------------------------</w:t>
      </w:r>
      <w:r w:rsidR="007B2429">
        <w:rPr>
          <w:rFonts w:ascii="Palatino Linotype" w:hAnsi="Palatino Linotype" w:cs="Arial"/>
          <w:sz w:val="24"/>
          <w:szCs w:val="24"/>
        </w:rPr>
        <w:t>-----</w:t>
      </w:r>
    </w:p>
    <w:p w:rsidR="007B2429" w:rsidRDefault="007B2429"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1E7A75">
        <w:rPr>
          <w:rFonts w:ascii="Palatino Linotype" w:hAnsi="Palatino Linotype" w:cs="Arial"/>
          <w:sz w:val="16"/>
          <w:szCs w:val="16"/>
        </w:rPr>
        <w:t>veintiséis</w:t>
      </w:r>
      <w:r>
        <w:rPr>
          <w:rFonts w:ascii="Palatino Linotype" w:hAnsi="Palatino Linotype" w:cs="Arial"/>
          <w:sz w:val="16"/>
          <w:szCs w:val="16"/>
        </w:rPr>
        <w:t xml:space="preserve"> </w:t>
      </w:r>
      <w:r w:rsidR="001E7A75">
        <w:rPr>
          <w:rFonts w:ascii="Palatino Linotype" w:hAnsi="Palatino Linotype" w:cs="Arial"/>
          <w:sz w:val="16"/>
          <w:szCs w:val="16"/>
        </w:rPr>
        <w:t>de junio</w:t>
      </w:r>
      <w:r w:rsidR="0035772D">
        <w:rPr>
          <w:rFonts w:ascii="Palatino Linotype" w:hAnsi="Palatino Linotype" w:cs="Arial"/>
          <w:sz w:val="16"/>
          <w:szCs w:val="16"/>
        </w:rPr>
        <w:t xml:space="preserve"> de dos mil diecinueve</w:t>
      </w:r>
      <w:r w:rsidRPr="002052F6">
        <w:rPr>
          <w:rFonts w:ascii="Palatino Linotype" w:hAnsi="Palatino Linotype" w:cs="Arial"/>
          <w:sz w:val="16"/>
          <w:szCs w:val="16"/>
        </w:rPr>
        <w:t xml:space="preserve">, emitida en el recurso de revisión </w:t>
      </w:r>
      <w:r w:rsidR="001E7A75">
        <w:rPr>
          <w:rFonts w:ascii="Palatino Linotype" w:hAnsi="Palatino Linotype" w:cs="Arial"/>
          <w:bCs/>
          <w:sz w:val="16"/>
          <w:szCs w:val="16"/>
          <w:lang w:eastAsia="es-MX"/>
        </w:rPr>
        <w:t>02565</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DD13E2" w:rsidRDefault="007B2429" w:rsidP="007B2429">
      <w:pPr>
        <w:spacing w:after="0"/>
      </w:pPr>
      <w:r>
        <w:t>ZMS/OSAM/FJJC</w:t>
      </w:r>
    </w:p>
    <w:sectPr w:rsidR="00DD13E2" w:rsidSect="00E15E85">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B02" w:rsidRDefault="00CD4B02" w:rsidP="00E15E85">
      <w:pPr>
        <w:spacing w:after="0" w:line="240" w:lineRule="auto"/>
      </w:pPr>
      <w:r>
        <w:separator/>
      </w:r>
    </w:p>
  </w:endnote>
  <w:endnote w:type="continuationSeparator" w:id="0">
    <w:p w:rsidR="00CD4B02" w:rsidRDefault="00CD4B0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750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7508">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2750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27508">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B02" w:rsidRDefault="00CD4B02" w:rsidP="00E15E85">
      <w:pPr>
        <w:spacing w:after="0" w:line="240" w:lineRule="auto"/>
      </w:pPr>
      <w:r>
        <w:separator/>
      </w:r>
    </w:p>
  </w:footnote>
  <w:footnote w:type="continuationSeparator" w:id="0">
    <w:p w:rsidR="00CD4B02" w:rsidRDefault="00CD4B02" w:rsidP="00E15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E27A30"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02565</w:t>
          </w:r>
          <w:r w:rsidR="0037311B" w:rsidRPr="0037311B">
            <w:rPr>
              <w:rFonts w:ascii="Palatino Linotype" w:hAnsi="Palatino Linotype" w:cs="Arial"/>
              <w:bCs/>
              <w:sz w:val="24"/>
              <w:lang w:eastAsia="es-MX"/>
            </w:rPr>
            <w:t>/INFOEM/IP/RR/2019</w:t>
          </w:r>
        </w:p>
      </w:tc>
    </w:tr>
    <w:tr w:rsidR="00E15E85" w:rsidRPr="00E27A30"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8374E" w:rsidRPr="0018374E" w:rsidRDefault="0018374E" w:rsidP="0018374E">
          <w:pPr>
            <w:spacing w:after="120" w:line="256" w:lineRule="auto"/>
            <w:ind w:left="-486" w:right="214" w:firstLine="284"/>
            <w:jc w:val="right"/>
            <w:rPr>
              <w:rFonts w:ascii="Palatino Linotype" w:hAnsi="Palatino Linotype" w:cs="Arial"/>
              <w:szCs w:val="20"/>
            </w:rPr>
          </w:pPr>
          <w:r w:rsidRPr="0018374E">
            <w:rPr>
              <w:rFonts w:ascii="Palatino Linotype" w:hAnsi="Palatino Linotype" w:cs="Arial"/>
              <w:szCs w:val="20"/>
            </w:rPr>
            <w:t xml:space="preserve">Sistema Municipal para el Desarrollo </w:t>
          </w:r>
        </w:p>
        <w:p w:rsidR="00E15E85" w:rsidRDefault="0018374E" w:rsidP="0018374E">
          <w:pPr>
            <w:spacing w:after="120" w:line="256" w:lineRule="auto"/>
            <w:ind w:left="-486" w:right="214" w:firstLine="284"/>
            <w:jc w:val="right"/>
            <w:rPr>
              <w:rFonts w:ascii="Palatino Linotype" w:hAnsi="Palatino Linotype" w:cs="Arial"/>
              <w:szCs w:val="20"/>
            </w:rPr>
          </w:pPr>
          <w:r w:rsidRPr="0018374E">
            <w:rPr>
              <w:rFonts w:ascii="Palatino Linotype" w:hAnsi="Palatino Linotype" w:cs="Arial"/>
              <w:szCs w:val="20"/>
            </w:rPr>
            <w:t>Integral de la Familia de Ecatepec de Morelos.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740142">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740142" w:rsidP="00E16AC8">
          <w:pPr>
            <w:spacing w:after="120" w:line="256" w:lineRule="auto"/>
            <w:ind w:left="-486" w:right="214" w:firstLine="1408"/>
            <w:jc w:val="right"/>
            <w:rPr>
              <w:rFonts w:ascii="Palatino Linotype" w:hAnsi="Palatino Linotype" w:cs="Arial"/>
              <w:szCs w:val="20"/>
            </w:rPr>
          </w:pPr>
          <w:r w:rsidRPr="00740142">
            <w:rPr>
              <w:rFonts w:ascii="Palatino Linotype" w:hAnsi="Palatino Linotype" w:cs="Arial"/>
              <w:bCs/>
              <w:sz w:val="24"/>
              <w:lang w:eastAsia="es-MX"/>
            </w:rPr>
            <w:t>02565/INFOEM/IP/RR/2019</w:t>
          </w:r>
        </w:p>
      </w:tc>
    </w:tr>
    <w:tr w:rsidR="00E15E85" w:rsidTr="00740142">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184EC4"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 XXXXXXX XXXXX</w:t>
          </w:r>
        </w:p>
      </w:tc>
    </w:tr>
    <w:tr w:rsidR="00E15E85" w:rsidTr="00740142">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740142" w:rsidP="00740142">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 xml:space="preserve">Sistema Municipal para el Desarrollo </w:t>
          </w:r>
        </w:p>
        <w:p w:rsidR="00740142" w:rsidRDefault="00740142" w:rsidP="00740142">
          <w:pPr>
            <w:spacing w:after="120" w:line="256" w:lineRule="auto"/>
            <w:ind w:right="214"/>
            <w:jc w:val="right"/>
            <w:rPr>
              <w:rFonts w:ascii="Palatino Linotype" w:hAnsi="Palatino Linotype" w:cs="Arial"/>
              <w:szCs w:val="20"/>
            </w:rPr>
          </w:pPr>
          <w:r>
            <w:rPr>
              <w:rFonts w:ascii="Palatino Linotype" w:hAnsi="Palatino Linotype" w:cs="Arial"/>
              <w:szCs w:val="20"/>
            </w:rPr>
            <w:t>Integral de la Familia de Ecatepec de Morelos.</w:t>
          </w:r>
        </w:p>
      </w:tc>
    </w:tr>
    <w:tr w:rsidR="00E15E85" w:rsidTr="00740142">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157DB9"/>
    <w:multiLevelType w:val="hybridMultilevel"/>
    <w:tmpl w:val="18640776"/>
    <w:numStyleLink w:val="Estiloimportado2"/>
  </w:abstractNum>
  <w:abstractNum w:abstractNumId="12"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4"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3"/>
  </w:num>
  <w:num w:numId="2">
    <w:abstractNumId w:val="3"/>
  </w:num>
  <w:num w:numId="3">
    <w:abstractNumId w:val="10"/>
  </w:num>
  <w:num w:numId="4">
    <w:abstractNumId w:val="7"/>
  </w:num>
  <w:num w:numId="5">
    <w:abstractNumId w:val="11"/>
  </w:num>
  <w:num w:numId="6">
    <w:abstractNumId w:val="4"/>
  </w:num>
  <w:num w:numId="7">
    <w:abstractNumId w:val="15"/>
  </w:num>
  <w:num w:numId="8">
    <w:abstractNumId w:val="9"/>
  </w:num>
  <w:num w:numId="9">
    <w:abstractNumId w:val="5"/>
  </w:num>
  <w:num w:numId="10">
    <w:abstractNumId w:val="14"/>
  </w:num>
  <w:num w:numId="11">
    <w:abstractNumId w:val="6"/>
  </w:num>
  <w:num w:numId="12">
    <w:abstractNumId w:val="8"/>
  </w:num>
  <w:num w:numId="13">
    <w:abstractNumId w:val="1"/>
  </w:num>
  <w:num w:numId="14">
    <w:abstractNumId w:val="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281D"/>
    <w:rsid w:val="00046E4C"/>
    <w:rsid w:val="0004795A"/>
    <w:rsid w:val="00052B19"/>
    <w:rsid w:val="00053ED1"/>
    <w:rsid w:val="00062CBD"/>
    <w:rsid w:val="00073973"/>
    <w:rsid w:val="00074A99"/>
    <w:rsid w:val="00076643"/>
    <w:rsid w:val="00082DF3"/>
    <w:rsid w:val="00091D98"/>
    <w:rsid w:val="000C22EC"/>
    <w:rsid w:val="000C59EE"/>
    <w:rsid w:val="000F019E"/>
    <w:rsid w:val="00105217"/>
    <w:rsid w:val="00114828"/>
    <w:rsid w:val="0011750A"/>
    <w:rsid w:val="0012266D"/>
    <w:rsid w:val="00130D58"/>
    <w:rsid w:val="0013463F"/>
    <w:rsid w:val="00152B26"/>
    <w:rsid w:val="0015550A"/>
    <w:rsid w:val="00171BD5"/>
    <w:rsid w:val="0017548E"/>
    <w:rsid w:val="00183623"/>
    <w:rsid w:val="0018374E"/>
    <w:rsid w:val="00184EC4"/>
    <w:rsid w:val="001A09CB"/>
    <w:rsid w:val="001B066D"/>
    <w:rsid w:val="001B13E6"/>
    <w:rsid w:val="001B3E5E"/>
    <w:rsid w:val="001C28D0"/>
    <w:rsid w:val="001C3E01"/>
    <w:rsid w:val="001C3F41"/>
    <w:rsid w:val="001C7069"/>
    <w:rsid w:val="001E7A75"/>
    <w:rsid w:val="001F5D0E"/>
    <w:rsid w:val="00200950"/>
    <w:rsid w:val="002052F6"/>
    <w:rsid w:val="00217E99"/>
    <w:rsid w:val="00223C2F"/>
    <w:rsid w:val="00224181"/>
    <w:rsid w:val="00233D51"/>
    <w:rsid w:val="00240133"/>
    <w:rsid w:val="00243059"/>
    <w:rsid w:val="00253101"/>
    <w:rsid w:val="002606F0"/>
    <w:rsid w:val="0026534C"/>
    <w:rsid w:val="002677ED"/>
    <w:rsid w:val="00273570"/>
    <w:rsid w:val="0028577D"/>
    <w:rsid w:val="00287512"/>
    <w:rsid w:val="002902D7"/>
    <w:rsid w:val="00294007"/>
    <w:rsid w:val="00294D34"/>
    <w:rsid w:val="002A1820"/>
    <w:rsid w:val="002A30B2"/>
    <w:rsid w:val="002A6F17"/>
    <w:rsid w:val="002B067A"/>
    <w:rsid w:val="002B144D"/>
    <w:rsid w:val="002B18B0"/>
    <w:rsid w:val="002B7CD8"/>
    <w:rsid w:val="002C1EC5"/>
    <w:rsid w:val="002C212B"/>
    <w:rsid w:val="003011A8"/>
    <w:rsid w:val="003034F4"/>
    <w:rsid w:val="00307041"/>
    <w:rsid w:val="00317B8A"/>
    <w:rsid w:val="00330A95"/>
    <w:rsid w:val="0033395A"/>
    <w:rsid w:val="003341B0"/>
    <w:rsid w:val="00334E11"/>
    <w:rsid w:val="00342A59"/>
    <w:rsid w:val="003452FA"/>
    <w:rsid w:val="0034696E"/>
    <w:rsid w:val="003470B1"/>
    <w:rsid w:val="003474F2"/>
    <w:rsid w:val="0035772D"/>
    <w:rsid w:val="00357BFC"/>
    <w:rsid w:val="0037311B"/>
    <w:rsid w:val="00384AC7"/>
    <w:rsid w:val="00385299"/>
    <w:rsid w:val="0039084D"/>
    <w:rsid w:val="003A421D"/>
    <w:rsid w:val="003B465B"/>
    <w:rsid w:val="003C5897"/>
    <w:rsid w:val="003F60C3"/>
    <w:rsid w:val="00402F7E"/>
    <w:rsid w:val="00415E88"/>
    <w:rsid w:val="004254FE"/>
    <w:rsid w:val="00437C82"/>
    <w:rsid w:val="004803ED"/>
    <w:rsid w:val="00492244"/>
    <w:rsid w:val="004A2BFB"/>
    <w:rsid w:val="004B035B"/>
    <w:rsid w:val="004C3693"/>
    <w:rsid w:val="004E6DB3"/>
    <w:rsid w:val="004F05B2"/>
    <w:rsid w:val="004F0F4D"/>
    <w:rsid w:val="004F571C"/>
    <w:rsid w:val="00503088"/>
    <w:rsid w:val="00523067"/>
    <w:rsid w:val="00527856"/>
    <w:rsid w:val="00527C6A"/>
    <w:rsid w:val="005329E8"/>
    <w:rsid w:val="005733EB"/>
    <w:rsid w:val="0057576D"/>
    <w:rsid w:val="00576C26"/>
    <w:rsid w:val="005820BF"/>
    <w:rsid w:val="005841ED"/>
    <w:rsid w:val="005E283C"/>
    <w:rsid w:val="005E6786"/>
    <w:rsid w:val="00611799"/>
    <w:rsid w:val="00614FDD"/>
    <w:rsid w:val="00616784"/>
    <w:rsid w:val="00625D87"/>
    <w:rsid w:val="00631B59"/>
    <w:rsid w:val="00653B08"/>
    <w:rsid w:val="00654B56"/>
    <w:rsid w:val="00673CFD"/>
    <w:rsid w:val="006A08BA"/>
    <w:rsid w:val="006A62D5"/>
    <w:rsid w:val="006B2E10"/>
    <w:rsid w:val="006C1A4F"/>
    <w:rsid w:val="006C7125"/>
    <w:rsid w:val="006F2EA8"/>
    <w:rsid w:val="00707CD8"/>
    <w:rsid w:val="00714844"/>
    <w:rsid w:val="0071620F"/>
    <w:rsid w:val="00740142"/>
    <w:rsid w:val="00740AC8"/>
    <w:rsid w:val="00755099"/>
    <w:rsid w:val="007654BC"/>
    <w:rsid w:val="0079194D"/>
    <w:rsid w:val="007A0267"/>
    <w:rsid w:val="007B2429"/>
    <w:rsid w:val="007C1445"/>
    <w:rsid w:val="007C64C1"/>
    <w:rsid w:val="007D276C"/>
    <w:rsid w:val="007D48FA"/>
    <w:rsid w:val="007D62B3"/>
    <w:rsid w:val="007E2959"/>
    <w:rsid w:val="008032F1"/>
    <w:rsid w:val="00845C1C"/>
    <w:rsid w:val="00872278"/>
    <w:rsid w:val="00874C3D"/>
    <w:rsid w:val="00875499"/>
    <w:rsid w:val="0087560D"/>
    <w:rsid w:val="00881D0D"/>
    <w:rsid w:val="00885104"/>
    <w:rsid w:val="008A12F6"/>
    <w:rsid w:val="008A5E77"/>
    <w:rsid w:val="008B34EC"/>
    <w:rsid w:val="008D6D31"/>
    <w:rsid w:val="008E0E21"/>
    <w:rsid w:val="008E5141"/>
    <w:rsid w:val="008E7408"/>
    <w:rsid w:val="008F7A52"/>
    <w:rsid w:val="009306B4"/>
    <w:rsid w:val="009315B8"/>
    <w:rsid w:val="00943223"/>
    <w:rsid w:val="0094613F"/>
    <w:rsid w:val="009472E2"/>
    <w:rsid w:val="00950056"/>
    <w:rsid w:val="009559F4"/>
    <w:rsid w:val="00980401"/>
    <w:rsid w:val="009838CD"/>
    <w:rsid w:val="00991CC2"/>
    <w:rsid w:val="00994336"/>
    <w:rsid w:val="00997030"/>
    <w:rsid w:val="009A45B6"/>
    <w:rsid w:val="009A4C2C"/>
    <w:rsid w:val="009B76BF"/>
    <w:rsid w:val="009C75A5"/>
    <w:rsid w:val="009E3B36"/>
    <w:rsid w:val="009F7948"/>
    <w:rsid w:val="00A156E5"/>
    <w:rsid w:val="00A30977"/>
    <w:rsid w:val="00A459D0"/>
    <w:rsid w:val="00A45C8D"/>
    <w:rsid w:val="00A70873"/>
    <w:rsid w:val="00A9298D"/>
    <w:rsid w:val="00A92C85"/>
    <w:rsid w:val="00A948EF"/>
    <w:rsid w:val="00AA2CB1"/>
    <w:rsid w:val="00AC1D50"/>
    <w:rsid w:val="00AF0CF4"/>
    <w:rsid w:val="00AF15FD"/>
    <w:rsid w:val="00AF385F"/>
    <w:rsid w:val="00B04652"/>
    <w:rsid w:val="00B052B4"/>
    <w:rsid w:val="00B10B28"/>
    <w:rsid w:val="00B131CC"/>
    <w:rsid w:val="00B17A1D"/>
    <w:rsid w:val="00B258A2"/>
    <w:rsid w:val="00B34A6D"/>
    <w:rsid w:val="00B355AB"/>
    <w:rsid w:val="00B44BB1"/>
    <w:rsid w:val="00B50BD7"/>
    <w:rsid w:val="00B51395"/>
    <w:rsid w:val="00B53C3A"/>
    <w:rsid w:val="00B54578"/>
    <w:rsid w:val="00B56617"/>
    <w:rsid w:val="00B67466"/>
    <w:rsid w:val="00B71DA1"/>
    <w:rsid w:val="00B73CC5"/>
    <w:rsid w:val="00B74369"/>
    <w:rsid w:val="00BA2458"/>
    <w:rsid w:val="00BA68FA"/>
    <w:rsid w:val="00BC1280"/>
    <w:rsid w:val="00BC1C0A"/>
    <w:rsid w:val="00BC4EF7"/>
    <w:rsid w:val="00BC59B2"/>
    <w:rsid w:val="00C16071"/>
    <w:rsid w:val="00C203E8"/>
    <w:rsid w:val="00C23151"/>
    <w:rsid w:val="00C25BA8"/>
    <w:rsid w:val="00C3114B"/>
    <w:rsid w:val="00C56B54"/>
    <w:rsid w:val="00C56C4E"/>
    <w:rsid w:val="00C61C1C"/>
    <w:rsid w:val="00C6478B"/>
    <w:rsid w:val="00C64C22"/>
    <w:rsid w:val="00C66E70"/>
    <w:rsid w:val="00C715B5"/>
    <w:rsid w:val="00C80AEF"/>
    <w:rsid w:val="00CA6DA1"/>
    <w:rsid w:val="00CD4B02"/>
    <w:rsid w:val="00D120B9"/>
    <w:rsid w:val="00D24D6B"/>
    <w:rsid w:val="00D349F0"/>
    <w:rsid w:val="00D5302E"/>
    <w:rsid w:val="00D5453E"/>
    <w:rsid w:val="00D56BC3"/>
    <w:rsid w:val="00D67629"/>
    <w:rsid w:val="00D70FE3"/>
    <w:rsid w:val="00D740A8"/>
    <w:rsid w:val="00D8485C"/>
    <w:rsid w:val="00D9010D"/>
    <w:rsid w:val="00D95936"/>
    <w:rsid w:val="00DA666D"/>
    <w:rsid w:val="00DB584E"/>
    <w:rsid w:val="00DC3B85"/>
    <w:rsid w:val="00DD13E2"/>
    <w:rsid w:val="00DE2498"/>
    <w:rsid w:val="00DF16C4"/>
    <w:rsid w:val="00DF6F40"/>
    <w:rsid w:val="00E10DEE"/>
    <w:rsid w:val="00E11EFA"/>
    <w:rsid w:val="00E12B50"/>
    <w:rsid w:val="00E14924"/>
    <w:rsid w:val="00E158AD"/>
    <w:rsid w:val="00E15E85"/>
    <w:rsid w:val="00E16AC8"/>
    <w:rsid w:val="00E221C1"/>
    <w:rsid w:val="00E272F6"/>
    <w:rsid w:val="00E27A30"/>
    <w:rsid w:val="00E30AF5"/>
    <w:rsid w:val="00E31C39"/>
    <w:rsid w:val="00E34874"/>
    <w:rsid w:val="00E372DA"/>
    <w:rsid w:val="00E44464"/>
    <w:rsid w:val="00E54B00"/>
    <w:rsid w:val="00E85DB7"/>
    <w:rsid w:val="00E872CE"/>
    <w:rsid w:val="00E87E34"/>
    <w:rsid w:val="00E92E34"/>
    <w:rsid w:val="00EA0D06"/>
    <w:rsid w:val="00EA4B96"/>
    <w:rsid w:val="00EB0246"/>
    <w:rsid w:val="00EC601F"/>
    <w:rsid w:val="00ED3DC4"/>
    <w:rsid w:val="00ED466F"/>
    <w:rsid w:val="00EE5CB5"/>
    <w:rsid w:val="00EF2AE9"/>
    <w:rsid w:val="00F21A2E"/>
    <w:rsid w:val="00F27508"/>
    <w:rsid w:val="00F30C56"/>
    <w:rsid w:val="00F433DC"/>
    <w:rsid w:val="00F77F57"/>
    <w:rsid w:val="00F812A0"/>
    <w:rsid w:val="00F873D6"/>
    <w:rsid w:val="00F9756D"/>
    <w:rsid w:val="00FA1D2B"/>
    <w:rsid w:val="00FA6387"/>
    <w:rsid w:val="00FB0756"/>
    <w:rsid w:val="00FC145E"/>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3F60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0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3C03C-D4AC-4C57-B3EC-B2FC9C39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2362</Words>
  <Characters>12992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2019-06-27T16:36:00Z</cp:lastPrinted>
  <dcterms:created xsi:type="dcterms:W3CDTF">2019-08-07T17:25:00Z</dcterms:created>
  <dcterms:modified xsi:type="dcterms:W3CDTF">2019-08-07T17:25:00Z</dcterms:modified>
</cp:coreProperties>
</file>