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2B65EE" w14:textId="77777777" w:rsidR="001B26AA" w:rsidRPr="00EE2DA4" w:rsidRDefault="001B26AA" w:rsidP="004E1461">
      <w:pPr>
        <w:tabs>
          <w:tab w:val="left" w:pos="567"/>
        </w:tabs>
        <w:spacing w:line="360" w:lineRule="auto"/>
        <w:jc w:val="center"/>
        <w:rPr>
          <w:rFonts w:ascii="Palatino Linotype" w:eastAsia="Times New Roman" w:hAnsi="Palatino Linotype" w:cs="Times New Roman"/>
          <w:b/>
          <w:color w:val="000000" w:themeColor="text1"/>
        </w:rPr>
      </w:pPr>
      <w:r w:rsidRPr="00EE2DA4">
        <w:rPr>
          <w:rFonts w:ascii="Palatino Linotype" w:eastAsia="Times New Roman" w:hAnsi="Palatino Linotype" w:cs="Times New Roman"/>
          <w:b/>
          <w:color w:val="000000" w:themeColor="text1"/>
        </w:rPr>
        <w:t>LÍNEAS ARGUMENTATIVAS</w:t>
      </w:r>
    </w:p>
    <w:p w14:paraId="7B893EAF" w14:textId="77777777" w:rsidR="0000092F" w:rsidRPr="00EE2DA4" w:rsidRDefault="0000092F" w:rsidP="004E1461">
      <w:pPr>
        <w:tabs>
          <w:tab w:val="left" w:pos="567"/>
        </w:tabs>
        <w:spacing w:line="360" w:lineRule="auto"/>
        <w:jc w:val="center"/>
        <w:rPr>
          <w:rFonts w:ascii="Palatino Linotype" w:eastAsia="Times New Roman" w:hAnsi="Palatino Linotype" w:cs="Times New Roman"/>
          <w:b/>
          <w:color w:val="000000" w:themeColor="text1"/>
        </w:rPr>
      </w:pPr>
    </w:p>
    <w:p w14:paraId="5111C682" w14:textId="77777777" w:rsidR="00B50131" w:rsidRPr="00EE2DA4" w:rsidRDefault="00B50131" w:rsidP="00B50131">
      <w:pPr>
        <w:spacing w:line="360" w:lineRule="auto"/>
        <w:jc w:val="both"/>
        <w:rPr>
          <w:rFonts w:ascii="Palatino Linotype" w:eastAsia="MS Mincho" w:hAnsi="Palatino Linotype" w:cs="Arial"/>
          <w:color w:val="000000" w:themeColor="text1"/>
        </w:rPr>
      </w:pPr>
      <w:r w:rsidRPr="00EE2DA4">
        <w:rPr>
          <w:rFonts w:ascii="Palatino Linotype" w:eastAsia="MS Mincho" w:hAnsi="Palatino Linotype" w:cs="Arial"/>
          <w:b/>
          <w:color w:val="000000" w:themeColor="text1"/>
        </w:rPr>
        <w:t xml:space="preserve">VERSIÓN PÚBLICA. </w:t>
      </w:r>
      <w:r w:rsidRPr="00EE2DA4">
        <w:rPr>
          <w:rFonts w:ascii="Palatino Linotype" w:eastAsia="MS Mincho" w:hAnsi="Palatino Linotype" w:cs="Arial"/>
          <w:color w:val="000000" w:themeColor="text1"/>
        </w:rPr>
        <w:t>Para generar la versión pública de un documento es necesario que el Comité de Transparencia emita el Acuerdo de Clasificación correspondiente que la sustente, explicando las razones que la motivan y los datos que se protegen.</w:t>
      </w:r>
    </w:p>
    <w:p w14:paraId="6259FA4A" w14:textId="77777777" w:rsidR="00B50131" w:rsidRPr="00EE2DA4" w:rsidRDefault="00B50131" w:rsidP="00B50131">
      <w:pPr>
        <w:spacing w:line="360" w:lineRule="auto"/>
        <w:jc w:val="both"/>
        <w:rPr>
          <w:rFonts w:ascii="Palatino Linotype" w:hAnsi="Palatino Linotype"/>
          <w:b/>
          <w:color w:val="000000" w:themeColor="text1"/>
        </w:rPr>
      </w:pPr>
    </w:p>
    <w:p w14:paraId="6594D64D" w14:textId="77777777" w:rsidR="00B50131" w:rsidRPr="00EE2DA4" w:rsidRDefault="00B50131" w:rsidP="00B50131">
      <w:pPr>
        <w:spacing w:line="360" w:lineRule="auto"/>
        <w:jc w:val="both"/>
        <w:rPr>
          <w:rFonts w:ascii="Palatino Linotype" w:hAnsi="Palatino Linotype"/>
          <w:b/>
          <w:color w:val="000000" w:themeColor="text1"/>
        </w:rPr>
      </w:pPr>
      <w:r w:rsidRPr="00EE2DA4">
        <w:rPr>
          <w:rFonts w:ascii="Palatino Linotype" w:hAnsi="Palatino Linotype"/>
          <w:b/>
          <w:color w:val="000000" w:themeColor="text1"/>
        </w:rPr>
        <w:t xml:space="preserve">INFORMACIÓN CONFIDENCIAL, CLASIFICACIÓN DE LA. </w:t>
      </w:r>
      <w:r w:rsidRPr="00EE2DA4">
        <w:rPr>
          <w:rFonts w:ascii="Palatino Linotype" w:hAnsi="Palatino Linotype"/>
          <w:color w:val="000000" w:themeColor="text1"/>
        </w:rPr>
        <w:t>Si la información, con la que se pueda responder a una solicitud de información, contiene datos personales se deberá de realizar su clasificación como información confidencial, atendiendo las formalidades establecidas por la Ley de la materia y los lineamientos generales en materia de clasificación y desclasificación de la información, así como para la elaboración de versiones públicas, de manera previa a su entrega al solicitante, de lo contrario los servidores públicos involucrados incurrirán en responsabilidad.</w:t>
      </w:r>
    </w:p>
    <w:p w14:paraId="0FF9F554" w14:textId="031180E6" w:rsidR="00C24FD2" w:rsidRPr="00EE2DA4" w:rsidRDefault="00C24FD2">
      <w:pPr>
        <w:rPr>
          <w:rFonts w:ascii="Palatino Linotype" w:hAnsi="Palatino Linotype"/>
          <w:b/>
          <w:color w:val="000000" w:themeColor="text1"/>
        </w:rPr>
      </w:pPr>
      <w:r w:rsidRPr="00EE2DA4">
        <w:rPr>
          <w:rFonts w:ascii="Palatino Linotype" w:hAnsi="Palatino Linotype"/>
          <w:b/>
          <w:color w:val="000000" w:themeColor="text1"/>
        </w:rPr>
        <w:br w:type="page"/>
      </w:r>
    </w:p>
    <w:p w14:paraId="518AB96A" w14:textId="77777777" w:rsidR="00B50131" w:rsidRPr="00EE2DA4" w:rsidRDefault="00B50131" w:rsidP="0094711A">
      <w:pPr>
        <w:tabs>
          <w:tab w:val="left" w:pos="567"/>
        </w:tabs>
        <w:spacing w:line="360" w:lineRule="auto"/>
        <w:jc w:val="both"/>
        <w:rPr>
          <w:rFonts w:ascii="Palatino Linotype" w:hAnsi="Palatino Linotype"/>
          <w:b/>
          <w:color w:val="000000" w:themeColor="text1"/>
        </w:rPr>
      </w:pPr>
    </w:p>
    <w:sdt>
      <w:sdtPr>
        <w:rPr>
          <w:rFonts w:asciiTheme="minorHAnsi" w:eastAsiaTheme="minorEastAsia" w:hAnsiTheme="minorHAnsi" w:cstheme="minorBidi"/>
          <w:b w:val="0"/>
          <w:color w:val="auto"/>
          <w:sz w:val="20"/>
          <w:szCs w:val="20"/>
          <w:lang w:val="es-ES" w:eastAsia="es-ES"/>
        </w:rPr>
        <w:id w:val="-859809631"/>
        <w:docPartObj>
          <w:docPartGallery w:val="Table of Contents"/>
          <w:docPartUnique/>
        </w:docPartObj>
      </w:sdtPr>
      <w:sdtEndPr>
        <w:rPr>
          <w:bCs/>
        </w:rPr>
      </w:sdtEndPr>
      <w:sdtContent>
        <w:p w14:paraId="6EE6DE38" w14:textId="2E63904D" w:rsidR="0011338C" w:rsidRPr="00EE2DA4" w:rsidRDefault="0011338C" w:rsidP="0011338C">
          <w:pPr>
            <w:pStyle w:val="TtuloTDC"/>
            <w:jc w:val="center"/>
            <w:rPr>
              <w:szCs w:val="24"/>
              <w:lang w:val="es-ES"/>
            </w:rPr>
          </w:pPr>
          <w:r w:rsidRPr="00EE2DA4">
            <w:rPr>
              <w:szCs w:val="24"/>
              <w:lang w:val="es-ES"/>
            </w:rPr>
            <w:t>ÍNDICE</w:t>
          </w:r>
        </w:p>
        <w:p w14:paraId="54D7BD84" w14:textId="77777777" w:rsidR="008826F4" w:rsidRPr="00EE2DA4" w:rsidRDefault="008826F4" w:rsidP="008826F4">
          <w:pPr>
            <w:rPr>
              <w:rFonts w:ascii="Palatino Linotype" w:hAnsi="Palatino Linotype"/>
              <w:color w:val="000000" w:themeColor="text1"/>
              <w:lang w:val="es-ES" w:eastAsia="es-MX"/>
            </w:rPr>
          </w:pPr>
        </w:p>
        <w:p w14:paraId="1122A171" w14:textId="77777777" w:rsidR="00A92DEC" w:rsidRPr="00EE2DA4" w:rsidRDefault="0011338C">
          <w:pPr>
            <w:pStyle w:val="TDC1"/>
            <w:rPr>
              <w:noProof/>
              <w:sz w:val="22"/>
              <w:szCs w:val="22"/>
              <w:lang w:val="es-MX" w:eastAsia="es-MX"/>
            </w:rPr>
          </w:pPr>
          <w:r w:rsidRPr="00EE2DA4">
            <w:rPr>
              <w:rFonts w:ascii="Palatino Linotype" w:hAnsi="Palatino Linotype"/>
              <w:color w:val="000000" w:themeColor="text1"/>
            </w:rPr>
            <w:fldChar w:fldCharType="begin"/>
          </w:r>
          <w:r w:rsidRPr="00EE2DA4">
            <w:rPr>
              <w:rFonts w:ascii="Palatino Linotype" w:hAnsi="Palatino Linotype"/>
              <w:color w:val="000000" w:themeColor="text1"/>
            </w:rPr>
            <w:instrText xml:space="preserve"> TOC \o "1-3" \h \z \u </w:instrText>
          </w:r>
          <w:r w:rsidRPr="00EE2DA4">
            <w:rPr>
              <w:rFonts w:ascii="Palatino Linotype" w:hAnsi="Palatino Linotype"/>
              <w:color w:val="000000" w:themeColor="text1"/>
            </w:rPr>
            <w:fldChar w:fldCharType="separate"/>
          </w:r>
          <w:hyperlink w:anchor="_Toc33186528" w:history="1">
            <w:r w:rsidR="00A92DEC" w:rsidRPr="00EE2DA4">
              <w:rPr>
                <w:rStyle w:val="Hipervnculo"/>
                <w:noProof/>
              </w:rPr>
              <w:t>ANTECEDENTES</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_Toc33186528 \h </w:instrText>
            </w:r>
            <w:r w:rsidR="00A92DEC" w:rsidRPr="00EE2DA4">
              <w:rPr>
                <w:noProof/>
                <w:webHidden/>
              </w:rPr>
            </w:r>
            <w:r w:rsidR="00A92DEC" w:rsidRPr="00EE2DA4">
              <w:rPr>
                <w:noProof/>
                <w:webHidden/>
              </w:rPr>
              <w:fldChar w:fldCharType="separate"/>
            </w:r>
            <w:r w:rsidR="00EE2DA4">
              <w:rPr>
                <w:noProof/>
                <w:webHidden/>
              </w:rPr>
              <w:t>3</w:t>
            </w:r>
            <w:r w:rsidR="00A92DEC" w:rsidRPr="00EE2DA4">
              <w:rPr>
                <w:noProof/>
                <w:webHidden/>
              </w:rPr>
              <w:fldChar w:fldCharType="end"/>
            </w:r>
          </w:hyperlink>
        </w:p>
        <w:p w14:paraId="78981855" w14:textId="77777777" w:rsidR="00A92DEC" w:rsidRPr="00EE2DA4" w:rsidRDefault="00C40592">
          <w:pPr>
            <w:pStyle w:val="TDC2"/>
            <w:rPr>
              <w:noProof/>
              <w:sz w:val="22"/>
              <w:szCs w:val="22"/>
              <w:lang w:val="es-MX" w:eastAsia="es-MX"/>
            </w:rPr>
          </w:pPr>
          <w:hyperlink w:anchor="_Toc33186529" w:history="1">
            <w:r w:rsidR="00A92DEC" w:rsidRPr="00EE2DA4">
              <w:rPr>
                <w:rStyle w:val="Hipervnculo"/>
                <w:noProof/>
                <w:lang w:val="es-ES"/>
              </w:rPr>
              <w:t>a) Acto impugnado:</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_Toc33186529 \h </w:instrText>
            </w:r>
            <w:r w:rsidR="00A92DEC" w:rsidRPr="00EE2DA4">
              <w:rPr>
                <w:noProof/>
                <w:webHidden/>
              </w:rPr>
            </w:r>
            <w:r w:rsidR="00A92DEC" w:rsidRPr="00EE2DA4">
              <w:rPr>
                <w:noProof/>
                <w:webHidden/>
              </w:rPr>
              <w:fldChar w:fldCharType="separate"/>
            </w:r>
            <w:r w:rsidR="00EE2DA4">
              <w:rPr>
                <w:noProof/>
                <w:webHidden/>
              </w:rPr>
              <w:t>5</w:t>
            </w:r>
            <w:r w:rsidR="00A92DEC" w:rsidRPr="00EE2DA4">
              <w:rPr>
                <w:noProof/>
                <w:webHidden/>
              </w:rPr>
              <w:fldChar w:fldCharType="end"/>
            </w:r>
          </w:hyperlink>
        </w:p>
        <w:p w14:paraId="7DEA5C20" w14:textId="77777777" w:rsidR="00A92DEC" w:rsidRPr="00EE2DA4" w:rsidRDefault="00C40592">
          <w:pPr>
            <w:pStyle w:val="TDC2"/>
            <w:rPr>
              <w:noProof/>
              <w:sz w:val="22"/>
              <w:szCs w:val="22"/>
              <w:lang w:val="es-MX" w:eastAsia="es-MX"/>
            </w:rPr>
          </w:pPr>
          <w:hyperlink w:anchor="_Toc33186530" w:history="1">
            <w:r w:rsidR="00A92DEC" w:rsidRPr="00EE2DA4">
              <w:rPr>
                <w:rStyle w:val="Hipervnculo"/>
                <w:noProof/>
                <w:lang w:val="es-ES"/>
              </w:rPr>
              <w:t>b) Razones o Motivos de inconformidad:</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_Toc33186530 \h </w:instrText>
            </w:r>
            <w:r w:rsidR="00A92DEC" w:rsidRPr="00EE2DA4">
              <w:rPr>
                <w:noProof/>
                <w:webHidden/>
              </w:rPr>
            </w:r>
            <w:r w:rsidR="00A92DEC" w:rsidRPr="00EE2DA4">
              <w:rPr>
                <w:noProof/>
                <w:webHidden/>
              </w:rPr>
              <w:fldChar w:fldCharType="separate"/>
            </w:r>
            <w:r w:rsidR="00EE2DA4">
              <w:rPr>
                <w:noProof/>
                <w:webHidden/>
              </w:rPr>
              <w:t>5</w:t>
            </w:r>
            <w:r w:rsidR="00A92DEC" w:rsidRPr="00EE2DA4">
              <w:rPr>
                <w:noProof/>
                <w:webHidden/>
              </w:rPr>
              <w:fldChar w:fldCharType="end"/>
            </w:r>
          </w:hyperlink>
        </w:p>
        <w:p w14:paraId="22DD4385" w14:textId="77777777" w:rsidR="00A92DEC" w:rsidRPr="00EE2DA4" w:rsidRDefault="00C40592">
          <w:pPr>
            <w:pStyle w:val="TDC1"/>
            <w:rPr>
              <w:noProof/>
              <w:sz w:val="22"/>
              <w:szCs w:val="22"/>
              <w:lang w:val="es-MX" w:eastAsia="es-MX"/>
            </w:rPr>
          </w:pPr>
          <w:hyperlink w:anchor="_Toc33186531" w:history="1">
            <w:r w:rsidR="00A92DEC" w:rsidRPr="00EE2DA4">
              <w:rPr>
                <w:rStyle w:val="Hipervnculo"/>
                <w:noProof/>
              </w:rPr>
              <w:t>CONSIDERANDO</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_Toc33186531 \h </w:instrText>
            </w:r>
            <w:r w:rsidR="00A92DEC" w:rsidRPr="00EE2DA4">
              <w:rPr>
                <w:noProof/>
                <w:webHidden/>
              </w:rPr>
            </w:r>
            <w:r w:rsidR="00A92DEC" w:rsidRPr="00EE2DA4">
              <w:rPr>
                <w:noProof/>
                <w:webHidden/>
              </w:rPr>
              <w:fldChar w:fldCharType="separate"/>
            </w:r>
            <w:r w:rsidR="00EE2DA4">
              <w:rPr>
                <w:noProof/>
                <w:webHidden/>
              </w:rPr>
              <w:t>10</w:t>
            </w:r>
            <w:r w:rsidR="00A92DEC" w:rsidRPr="00EE2DA4">
              <w:rPr>
                <w:noProof/>
                <w:webHidden/>
              </w:rPr>
              <w:fldChar w:fldCharType="end"/>
            </w:r>
          </w:hyperlink>
        </w:p>
        <w:p w14:paraId="1D73FD97" w14:textId="77777777" w:rsidR="00A92DEC" w:rsidRPr="00EE2DA4" w:rsidRDefault="00C40592">
          <w:pPr>
            <w:pStyle w:val="TDC1"/>
            <w:rPr>
              <w:noProof/>
              <w:sz w:val="22"/>
              <w:szCs w:val="22"/>
              <w:lang w:val="es-MX" w:eastAsia="es-MX"/>
            </w:rPr>
          </w:pPr>
          <w:hyperlink w:anchor="_Toc33186532" w:history="1">
            <w:r w:rsidR="00A92DEC" w:rsidRPr="00EE2DA4">
              <w:rPr>
                <w:rStyle w:val="Hipervnculo"/>
                <w:noProof/>
              </w:rPr>
              <w:t>PRIMERO. De la competencia</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_Toc33186532 \h </w:instrText>
            </w:r>
            <w:r w:rsidR="00A92DEC" w:rsidRPr="00EE2DA4">
              <w:rPr>
                <w:noProof/>
                <w:webHidden/>
              </w:rPr>
            </w:r>
            <w:r w:rsidR="00A92DEC" w:rsidRPr="00EE2DA4">
              <w:rPr>
                <w:noProof/>
                <w:webHidden/>
              </w:rPr>
              <w:fldChar w:fldCharType="separate"/>
            </w:r>
            <w:r w:rsidR="00EE2DA4">
              <w:rPr>
                <w:noProof/>
                <w:webHidden/>
              </w:rPr>
              <w:t>10</w:t>
            </w:r>
            <w:r w:rsidR="00A92DEC" w:rsidRPr="00EE2DA4">
              <w:rPr>
                <w:noProof/>
                <w:webHidden/>
              </w:rPr>
              <w:fldChar w:fldCharType="end"/>
            </w:r>
          </w:hyperlink>
        </w:p>
        <w:p w14:paraId="05D44D25" w14:textId="77777777" w:rsidR="00A92DEC" w:rsidRPr="00EE2DA4" w:rsidRDefault="00C40592">
          <w:pPr>
            <w:pStyle w:val="TDC1"/>
            <w:rPr>
              <w:noProof/>
              <w:sz w:val="22"/>
              <w:szCs w:val="22"/>
              <w:lang w:val="es-MX" w:eastAsia="es-MX"/>
            </w:rPr>
          </w:pPr>
          <w:hyperlink w:anchor="_Toc33186533" w:history="1">
            <w:r w:rsidR="00A92DEC" w:rsidRPr="00EE2DA4">
              <w:rPr>
                <w:rStyle w:val="Hipervnculo"/>
                <w:noProof/>
              </w:rPr>
              <w:t>SEGUNDO. De la oportunidad y procedencia.</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_Toc33186533 \h </w:instrText>
            </w:r>
            <w:r w:rsidR="00A92DEC" w:rsidRPr="00EE2DA4">
              <w:rPr>
                <w:noProof/>
                <w:webHidden/>
              </w:rPr>
            </w:r>
            <w:r w:rsidR="00A92DEC" w:rsidRPr="00EE2DA4">
              <w:rPr>
                <w:noProof/>
                <w:webHidden/>
              </w:rPr>
              <w:fldChar w:fldCharType="separate"/>
            </w:r>
            <w:r w:rsidR="00EE2DA4">
              <w:rPr>
                <w:noProof/>
                <w:webHidden/>
              </w:rPr>
              <w:t>11</w:t>
            </w:r>
            <w:r w:rsidR="00A92DEC" w:rsidRPr="00EE2DA4">
              <w:rPr>
                <w:noProof/>
                <w:webHidden/>
              </w:rPr>
              <w:fldChar w:fldCharType="end"/>
            </w:r>
          </w:hyperlink>
        </w:p>
        <w:p w14:paraId="3CA03C43" w14:textId="77777777" w:rsidR="00A92DEC" w:rsidRPr="00EE2DA4" w:rsidRDefault="00C40592">
          <w:pPr>
            <w:pStyle w:val="TDC2"/>
            <w:rPr>
              <w:noProof/>
              <w:sz w:val="22"/>
              <w:szCs w:val="22"/>
              <w:lang w:val="es-MX" w:eastAsia="es-MX"/>
            </w:rPr>
          </w:pPr>
          <w:hyperlink w:anchor="_Toc33186534" w:history="1">
            <w:r w:rsidR="00A92DEC" w:rsidRPr="00EE2DA4">
              <w:rPr>
                <w:rStyle w:val="Hipervnculo"/>
                <w:noProof/>
              </w:rPr>
              <w:t>TERCERO. Del planteamiento de la Litis:</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_Toc33186534 \h </w:instrText>
            </w:r>
            <w:r w:rsidR="00A92DEC" w:rsidRPr="00EE2DA4">
              <w:rPr>
                <w:noProof/>
                <w:webHidden/>
              </w:rPr>
            </w:r>
            <w:r w:rsidR="00A92DEC" w:rsidRPr="00EE2DA4">
              <w:rPr>
                <w:noProof/>
                <w:webHidden/>
              </w:rPr>
              <w:fldChar w:fldCharType="separate"/>
            </w:r>
            <w:r w:rsidR="00EE2DA4">
              <w:rPr>
                <w:noProof/>
                <w:webHidden/>
              </w:rPr>
              <w:t>12</w:t>
            </w:r>
            <w:r w:rsidR="00A92DEC" w:rsidRPr="00EE2DA4">
              <w:rPr>
                <w:noProof/>
                <w:webHidden/>
              </w:rPr>
              <w:fldChar w:fldCharType="end"/>
            </w:r>
          </w:hyperlink>
        </w:p>
        <w:p w14:paraId="6A34BC8A" w14:textId="77777777" w:rsidR="00A92DEC" w:rsidRPr="00EE2DA4" w:rsidRDefault="00C40592">
          <w:pPr>
            <w:pStyle w:val="TDC1"/>
            <w:rPr>
              <w:noProof/>
              <w:sz w:val="22"/>
              <w:szCs w:val="22"/>
              <w:lang w:val="es-MX" w:eastAsia="es-MX"/>
            </w:rPr>
          </w:pPr>
          <w:hyperlink w:anchor="_Toc33186535" w:history="1">
            <w:r w:rsidR="00A92DEC" w:rsidRPr="00EE2DA4">
              <w:rPr>
                <w:rStyle w:val="Hipervnculo"/>
                <w:noProof/>
              </w:rPr>
              <w:t>CUARTO. Del Estudio y resolución del Asunto.</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_Toc33186535 \h </w:instrText>
            </w:r>
            <w:r w:rsidR="00A92DEC" w:rsidRPr="00EE2DA4">
              <w:rPr>
                <w:noProof/>
                <w:webHidden/>
              </w:rPr>
            </w:r>
            <w:r w:rsidR="00A92DEC" w:rsidRPr="00EE2DA4">
              <w:rPr>
                <w:noProof/>
                <w:webHidden/>
              </w:rPr>
              <w:fldChar w:fldCharType="separate"/>
            </w:r>
            <w:r w:rsidR="00EE2DA4">
              <w:rPr>
                <w:noProof/>
                <w:webHidden/>
              </w:rPr>
              <w:t>13</w:t>
            </w:r>
            <w:r w:rsidR="00A92DEC" w:rsidRPr="00EE2DA4">
              <w:rPr>
                <w:noProof/>
                <w:webHidden/>
              </w:rPr>
              <w:fldChar w:fldCharType="end"/>
            </w:r>
          </w:hyperlink>
        </w:p>
        <w:p w14:paraId="0431F10C" w14:textId="77777777" w:rsidR="00A92DEC" w:rsidRPr="00EE2DA4" w:rsidRDefault="00C40592">
          <w:pPr>
            <w:pStyle w:val="TDC2"/>
            <w:rPr>
              <w:noProof/>
              <w:sz w:val="22"/>
              <w:szCs w:val="22"/>
              <w:lang w:val="es-MX" w:eastAsia="es-MX"/>
            </w:rPr>
          </w:pPr>
          <w:hyperlink w:anchor="_Toc33186536" w:history="1">
            <w:r w:rsidR="00A92DEC" w:rsidRPr="00EE2DA4">
              <w:rPr>
                <w:rStyle w:val="Hipervnculo"/>
                <w:noProof/>
              </w:rPr>
              <w:t>I. De la respuesta emitida por el SUJETO OBLIGADO.</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_Toc33186536 \h </w:instrText>
            </w:r>
            <w:r w:rsidR="00A92DEC" w:rsidRPr="00EE2DA4">
              <w:rPr>
                <w:noProof/>
                <w:webHidden/>
              </w:rPr>
            </w:r>
            <w:r w:rsidR="00A92DEC" w:rsidRPr="00EE2DA4">
              <w:rPr>
                <w:noProof/>
                <w:webHidden/>
              </w:rPr>
              <w:fldChar w:fldCharType="separate"/>
            </w:r>
            <w:r w:rsidR="00EE2DA4">
              <w:rPr>
                <w:noProof/>
                <w:webHidden/>
              </w:rPr>
              <w:t>13</w:t>
            </w:r>
            <w:r w:rsidR="00A92DEC" w:rsidRPr="00EE2DA4">
              <w:rPr>
                <w:noProof/>
                <w:webHidden/>
              </w:rPr>
              <w:fldChar w:fldCharType="end"/>
            </w:r>
          </w:hyperlink>
        </w:p>
        <w:p w14:paraId="0AF916F4" w14:textId="77777777" w:rsidR="00A92DEC" w:rsidRPr="00EE2DA4" w:rsidRDefault="00C40592">
          <w:pPr>
            <w:pStyle w:val="TDC2"/>
            <w:tabs>
              <w:tab w:val="left" w:pos="880"/>
            </w:tabs>
            <w:rPr>
              <w:noProof/>
              <w:sz w:val="22"/>
              <w:szCs w:val="22"/>
              <w:lang w:val="es-MX" w:eastAsia="es-MX"/>
            </w:rPr>
          </w:pPr>
          <w:hyperlink w:anchor="_Toc33186537" w:history="1">
            <w:r w:rsidR="00A92DEC" w:rsidRPr="00EE2DA4">
              <w:rPr>
                <w:rStyle w:val="Hipervnculo"/>
                <w:rFonts w:eastAsia="Times New Roman" w:cs="Times New Roman"/>
                <w:noProof/>
              </w:rPr>
              <w:t>a)</w:t>
            </w:r>
            <w:r w:rsidR="00A92DEC" w:rsidRPr="00EE2DA4">
              <w:rPr>
                <w:noProof/>
                <w:sz w:val="22"/>
                <w:szCs w:val="22"/>
                <w:lang w:val="es-MX" w:eastAsia="es-MX"/>
              </w:rPr>
              <w:tab/>
            </w:r>
            <w:r w:rsidR="00A92DEC" w:rsidRPr="00EE2DA4">
              <w:rPr>
                <w:rStyle w:val="Hipervnculo"/>
                <w:noProof/>
              </w:rPr>
              <w:t>De la Evaluación de impacto.</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_Toc33186537 \h </w:instrText>
            </w:r>
            <w:r w:rsidR="00A92DEC" w:rsidRPr="00EE2DA4">
              <w:rPr>
                <w:noProof/>
                <w:webHidden/>
              </w:rPr>
            </w:r>
            <w:r w:rsidR="00A92DEC" w:rsidRPr="00EE2DA4">
              <w:rPr>
                <w:noProof/>
                <w:webHidden/>
              </w:rPr>
              <w:fldChar w:fldCharType="separate"/>
            </w:r>
            <w:r w:rsidR="00EE2DA4">
              <w:rPr>
                <w:noProof/>
                <w:webHidden/>
              </w:rPr>
              <w:t>17</w:t>
            </w:r>
            <w:r w:rsidR="00A92DEC" w:rsidRPr="00EE2DA4">
              <w:rPr>
                <w:noProof/>
                <w:webHidden/>
              </w:rPr>
              <w:fldChar w:fldCharType="end"/>
            </w:r>
          </w:hyperlink>
        </w:p>
        <w:p w14:paraId="10F24DF5" w14:textId="77777777" w:rsidR="00A92DEC" w:rsidRPr="00EE2DA4" w:rsidRDefault="00C40592">
          <w:pPr>
            <w:pStyle w:val="TDC2"/>
            <w:tabs>
              <w:tab w:val="left" w:pos="660"/>
            </w:tabs>
            <w:rPr>
              <w:noProof/>
              <w:sz w:val="22"/>
              <w:szCs w:val="22"/>
              <w:lang w:val="es-MX" w:eastAsia="es-MX"/>
            </w:rPr>
          </w:pPr>
          <w:hyperlink w:anchor="_Toc33186538" w:history="1">
            <w:r w:rsidR="00A92DEC" w:rsidRPr="00EE2DA4">
              <w:rPr>
                <w:rStyle w:val="Hipervnculo"/>
                <w:rFonts w:ascii="Symbol" w:hAnsi="Symbol"/>
                <w:noProof/>
              </w:rPr>
              <w:t></w:t>
            </w:r>
            <w:r w:rsidR="00A92DEC" w:rsidRPr="00EE2DA4">
              <w:rPr>
                <w:noProof/>
                <w:sz w:val="22"/>
                <w:szCs w:val="22"/>
                <w:lang w:val="es-MX" w:eastAsia="es-MX"/>
              </w:rPr>
              <w:tab/>
            </w:r>
            <w:r w:rsidR="00A92DEC" w:rsidRPr="00EE2DA4">
              <w:rPr>
                <w:rStyle w:val="Hipervnculo"/>
                <w:noProof/>
              </w:rPr>
              <w:t>De la Inexistencia.</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_Toc33186538 \h </w:instrText>
            </w:r>
            <w:r w:rsidR="00A92DEC" w:rsidRPr="00EE2DA4">
              <w:rPr>
                <w:noProof/>
                <w:webHidden/>
              </w:rPr>
            </w:r>
            <w:r w:rsidR="00A92DEC" w:rsidRPr="00EE2DA4">
              <w:rPr>
                <w:noProof/>
                <w:webHidden/>
              </w:rPr>
              <w:fldChar w:fldCharType="separate"/>
            </w:r>
            <w:r w:rsidR="00EE2DA4">
              <w:rPr>
                <w:noProof/>
                <w:webHidden/>
              </w:rPr>
              <w:t>24</w:t>
            </w:r>
            <w:r w:rsidR="00A92DEC" w:rsidRPr="00EE2DA4">
              <w:rPr>
                <w:noProof/>
                <w:webHidden/>
              </w:rPr>
              <w:fldChar w:fldCharType="end"/>
            </w:r>
          </w:hyperlink>
        </w:p>
        <w:p w14:paraId="3AA57623" w14:textId="77777777" w:rsidR="00A92DEC" w:rsidRPr="00EE2DA4" w:rsidRDefault="00C40592">
          <w:pPr>
            <w:pStyle w:val="TDC2"/>
            <w:rPr>
              <w:noProof/>
              <w:sz w:val="22"/>
              <w:szCs w:val="22"/>
              <w:lang w:val="es-MX" w:eastAsia="es-MX"/>
            </w:rPr>
          </w:pPr>
          <w:hyperlink w:anchor="_Toc33186539" w:history="1">
            <w:r w:rsidR="00A92DEC" w:rsidRPr="00EE2DA4">
              <w:rPr>
                <w:rStyle w:val="Hipervnculo"/>
                <w:noProof/>
                <w:shd w:val="clear" w:color="auto" w:fill="FFFFFF"/>
              </w:rPr>
              <w:t>b) Del aviso de privacidad.</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_Toc33186539 \h </w:instrText>
            </w:r>
            <w:r w:rsidR="00A92DEC" w:rsidRPr="00EE2DA4">
              <w:rPr>
                <w:noProof/>
                <w:webHidden/>
              </w:rPr>
            </w:r>
            <w:r w:rsidR="00A92DEC" w:rsidRPr="00EE2DA4">
              <w:rPr>
                <w:noProof/>
                <w:webHidden/>
              </w:rPr>
              <w:fldChar w:fldCharType="separate"/>
            </w:r>
            <w:r w:rsidR="00EE2DA4">
              <w:rPr>
                <w:noProof/>
                <w:webHidden/>
              </w:rPr>
              <w:t>32</w:t>
            </w:r>
            <w:r w:rsidR="00A92DEC" w:rsidRPr="00EE2DA4">
              <w:rPr>
                <w:noProof/>
                <w:webHidden/>
              </w:rPr>
              <w:fldChar w:fldCharType="end"/>
            </w:r>
          </w:hyperlink>
        </w:p>
        <w:p w14:paraId="78B1F726" w14:textId="77777777" w:rsidR="00A92DEC" w:rsidRPr="00EE2DA4" w:rsidRDefault="00C40592">
          <w:pPr>
            <w:pStyle w:val="TDC2"/>
            <w:rPr>
              <w:noProof/>
              <w:sz w:val="22"/>
              <w:szCs w:val="22"/>
              <w:lang w:val="es-MX" w:eastAsia="es-MX"/>
            </w:rPr>
          </w:pPr>
          <w:hyperlink w:anchor="_Toc33186540" w:history="1">
            <w:r w:rsidR="00A92DEC" w:rsidRPr="00EE2DA4">
              <w:rPr>
                <w:rStyle w:val="Hipervnculo"/>
                <w:noProof/>
              </w:rPr>
              <w:t>c) Del acuerdo del Comité de Transparencia.</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_Toc33186540 \h </w:instrText>
            </w:r>
            <w:r w:rsidR="00A92DEC" w:rsidRPr="00EE2DA4">
              <w:rPr>
                <w:noProof/>
                <w:webHidden/>
              </w:rPr>
            </w:r>
            <w:r w:rsidR="00A92DEC" w:rsidRPr="00EE2DA4">
              <w:rPr>
                <w:noProof/>
                <w:webHidden/>
              </w:rPr>
              <w:fldChar w:fldCharType="separate"/>
            </w:r>
            <w:r w:rsidR="00EE2DA4">
              <w:rPr>
                <w:noProof/>
                <w:webHidden/>
              </w:rPr>
              <w:t>38</w:t>
            </w:r>
            <w:r w:rsidR="00A92DEC" w:rsidRPr="00EE2DA4">
              <w:rPr>
                <w:noProof/>
                <w:webHidden/>
              </w:rPr>
              <w:fldChar w:fldCharType="end"/>
            </w:r>
          </w:hyperlink>
        </w:p>
        <w:p w14:paraId="5E637639" w14:textId="77777777" w:rsidR="00A92DEC" w:rsidRPr="00EE2DA4" w:rsidRDefault="00C40592">
          <w:pPr>
            <w:pStyle w:val="TDC2"/>
            <w:rPr>
              <w:noProof/>
              <w:sz w:val="22"/>
              <w:szCs w:val="22"/>
              <w:lang w:val="es-MX" w:eastAsia="es-MX"/>
            </w:rPr>
          </w:pPr>
          <w:hyperlink w:anchor="_Toc33186541" w:history="1">
            <w:r w:rsidR="00A92DEC" w:rsidRPr="00EE2DA4">
              <w:rPr>
                <w:rStyle w:val="Hipervnculo"/>
                <w:rFonts w:eastAsia="Calibri" w:cs="Arial"/>
                <w:noProof/>
                <w:lang w:val="es-ES"/>
              </w:rPr>
              <w:t xml:space="preserve">d) </w:t>
            </w:r>
            <w:r w:rsidR="00A92DEC" w:rsidRPr="00EE2DA4">
              <w:rPr>
                <w:rStyle w:val="Hipervnculo"/>
                <w:noProof/>
              </w:rPr>
              <w:t>El documento de seguridad y el Sistema de Gestión.</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_Toc33186541 \h </w:instrText>
            </w:r>
            <w:r w:rsidR="00A92DEC" w:rsidRPr="00EE2DA4">
              <w:rPr>
                <w:noProof/>
                <w:webHidden/>
              </w:rPr>
            </w:r>
            <w:r w:rsidR="00A92DEC" w:rsidRPr="00EE2DA4">
              <w:rPr>
                <w:noProof/>
                <w:webHidden/>
              </w:rPr>
              <w:fldChar w:fldCharType="separate"/>
            </w:r>
            <w:r w:rsidR="00EE2DA4">
              <w:rPr>
                <w:noProof/>
                <w:webHidden/>
              </w:rPr>
              <w:t>41</w:t>
            </w:r>
            <w:r w:rsidR="00A92DEC" w:rsidRPr="00EE2DA4">
              <w:rPr>
                <w:noProof/>
                <w:webHidden/>
              </w:rPr>
              <w:fldChar w:fldCharType="end"/>
            </w:r>
          </w:hyperlink>
        </w:p>
        <w:p w14:paraId="28BB47A5" w14:textId="77777777" w:rsidR="00A92DEC" w:rsidRPr="00EE2DA4" w:rsidRDefault="00C40592">
          <w:pPr>
            <w:pStyle w:val="TDC2"/>
            <w:rPr>
              <w:noProof/>
              <w:sz w:val="22"/>
              <w:szCs w:val="22"/>
              <w:lang w:val="es-MX" w:eastAsia="es-MX"/>
            </w:rPr>
          </w:pPr>
          <w:hyperlink w:anchor="_Toc33186542" w:history="1">
            <w:r w:rsidR="00A92DEC" w:rsidRPr="00EE2DA4">
              <w:rPr>
                <w:rStyle w:val="Hipervnculo"/>
                <w:noProof/>
              </w:rPr>
              <w:t>QUINTO. De la versión pública.</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_Toc33186542 \h </w:instrText>
            </w:r>
            <w:r w:rsidR="00A92DEC" w:rsidRPr="00EE2DA4">
              <w:rPr>
                <w:noProof/>
                <w:webHidden/>
              </w:rPr>
            </w:r>
            <w:r w:rsidR="00A92DEC" w:rsidRPr="00EE2DA4">
              <w:rPr>
                <w:noProof/>
                <w:webHidden/>
              </w:rPr>
              <w:fldChar w:fldCharType="separate"/>
            </w:r>
            <w:r w:rsidR="00EE2DA4">
              <w:rPr>
                <w:noProof/>
                <w:webHidden/>
              </w:rPr>
              <w:t>45</w:t>
            </w:r>
            <w:r w:rsidR="00A92DEC" w:rsidRPr="00EE2DA4">
              <w:rPr>
                <w:noProof/>
                <w:webHidden/>
              </w:rPr>
              <w:fldChar w:fldCharType="end"/>
            </w:r>
          </w:hyperlink>
        </w:p>
        <w:p w14:paraId="33B83DBD" w14:textId="77777777" w:rsidR="00A92DEC" w:rsidRPr="00EE2DA4" w:rsidRDefault="00C40592">
          <w:pPr>
            <w:pStyle w:val="TDC2"/>
            <w:rPr>
              <w:noProof/>
              <w:sz w:val="22"/>
              <w:szCs w:val="22"/>
              <w:lang w:val="es-MX" w:eastAsia="es-MX"/>
            </w:rPr>
          </w:pPr>
          <w:hyperlink w:anchor="_Toc33186543" w:history="1">
            <w:r w:rsidR="00A92DEC" w:rsidRPr="00EE2DA4">
              <w:rPr>
                <w:rStyle w:val="Hipervnculo"/>
                <w:noProof/>
              </w:rPr>
              <w:t>I. Requisitos previos.</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_Toc33186543 \h </w:instrText>
            </w:r>
            <w:r w:rsidR="00A92DEC" w:rsidRPr="00EE2DA4">
              <w:rPr>
                <w:noProof/>
                <w:webHidden/>
              </w:rPr>
            </w:r>
            <w:r w:rsidR="00A92DEC" w:rsidRPr="00EE2DA4">
              <w:rPr>
                <w:noProof/>
                <w:webHidden/>
              </w:rPr>
              <w:fldChar w:fldCharType="separate"/>
            </w:r>
            <w:r w:rsidR="00EE2DA4">
              <w:rPr>
                <w:noProof/>
                <w:webHidden/>
              </w:rPr>
              <w:t>48</w:t>
            </w:r>
            <w:r w:rsidR="00A92DEC" w:rsidRPr="00EE2DA4">
              <w:rPr>
                <w:noProof/>
                <w:webHidden/>
              </w:rPr>
              <w:fldChar w:fldCharType="end"/>
            </w:r>
          </w:hyperlink>
        </w:p>
        <w:p w14:paraId="3E25495C" w14:textId="77777777" w:rsidR="00A92DEC" w:rsidRPr="00EE2DA4" w:rsidRDefault="00C40592">
          <w:pPr>
            <w:pStyle w:val="TDC2"/>
            <w:rPr>
              <w:noProof/>
              <w:sz w:val="22"/>
              <w:szCs w:val="22"/>
              <w:lang w:val="es-MX" w:eastAsia="es-MX"/>
            </w:rPr>
          </w:pPr>
          <w:hyperlink w:anchor="_Toc33186544" w:history="1">
            <w:r w:rsidR="00A92DEC" w:rsidRPr="00EE2DA4">
              <w:rPr>
                <w:rStyle w:val="Hipervnculo"/>
                <w:noProof/>
              </w:rPr>
              <w:t xml:space="preserve">II. </w:t>
            </w:r>
            <w:r w:rsidR="00A92DEC" w:rsidRPr="00EE2DA4">
              <w:rPr>
                <w:rStyle w:val="Hipervnculo"/>
                <w:rFonts w:eastAsia="MS Mincho" w:cs="Times New Roman"/>
                <w:noProof/>
              </w:rPr>
              <w:t>Supuestos de clasificación.</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_Toc33186544 \h </w:instrText>
            </w:r>
            <w:r w:rsidR="00A92DEC" w:rsidRPr="00EE2DA4">
              <w:rPr>
                <w:noProof/>
                <w:webHidden/>
              </w:rPr>
            </w:r>
            <w:r w:rsidR="00A92DEC" w:rsidRPr="00EE2DA4">
              <w:rPr>
                <w:noProof/>
                <w:webHidden/>
              </w:rPr>
              <w:fldChar w:fldCharType="separate"/>
            </w:r>
            <w:r w:rsidR="00EE2DA4">
              <w:rPr>
                <w:noProof/>
                <w:webHidden/>
              </w:rPr>
              <w:t>49</w:t>
            </w:r>
            <w:r w:rsidR="00A92DEC" w:rsidRPr="00EE2DA4">
              <w:rPr>
                <w:noProof/>
                <w:webHidden/>
              </w:rPr>
              <w:fldChar w:fldCharType="end"/>
            </w:r>
          </w:hyperlink>
        </w:p>
        <w:p w14:paraId="377C3620" w14:textId="77777777" w:rsidR="00A92DEC" w:rsidRPr="00EE2DA4" w:rsidRDefault="00C40592">
          <w:pPr>
            <w:pStyle w:val="TDC2"/>
            <w:rPr>
              <w:noProof/>
              <w:sz w:val="22"/>
              <w:szCs w:val="22"/>
              <w:lang w:val="es-MX" w:eastAsia="es-MX"/>
            </w:rPr>
          </w:pPr>
          <w:hyperlink w:anchor="_Toc33186545" w:history="1">
            <w:r w:rsidR="00A92DEC" w:rsidRPr="00EE2DA4">
              <w:rPr>
                <w:rStyle w:val="Hipervnculo"/>
                <w:noProof/>
              </w:rPr>
              <w:t>III. La intervención del Comité de Transparencia.</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_Toc33186545 \h </w:instrText>
            </w:r>
            <w:r w:rsidR="00A92DEC" w:rsidRPr="00EE2DA4">
              <w:rPr>
                <w:noProof/>
                <w:webHidden/>
              </w:rPr>
            </w:r>
            <w:r w:rsidR="00A92DEC" w:rsidRPr="00EE2DA4">
              <w:rPr>
                <w:noProof/>
                <w:webHidden/>
              </w:rPr>
              <w:fldChar w:fldCharType="separate"/>
            </w:r>
            <w:r w:rsidR="00EE2DA4">
              <w:rPr>
                <w:noProof/>
                <w:webHidden/>
              </w:rPr>
              <w:t>51</w:t>
            </w:r>
            <w:r w:rsidR="00A92DEC" w:rsidRPr="00EE2DA4">
              <w:rPr>
                <w:noProof/>
                <w:webHidden/>
              </w:rPr>
              <w:fldChar w:fldCharType="end"/>
            </w:r>
          </w:hyperlink>
        </w:p>
        <w:p w14:paraId="33352C16" w14:textId="77777777" w:rsidR="00A92DEC" w:rsidRPr="00EE2DA4" w:rsidRDefault="00C40592">
          <w:pPr>
            <w:pStyle w:val="TDC3"/>
            <w:tabs>
              <w:tab w:val="right" w:leader="dot" w:pos="8779"/>
            </w:tabs>
            <w:rPr>
              <w:noProof/>
              <w:sz w:val="22"/>
              <w:szCs w:val="22"/>
              <w:lang w:val="es-MX" w:eastAsia="es-MX"/>
            </w:rPr>
          </w:pPr>
          <w:hyperlink w:anchor="_Toc33186546" w:history="1">
            <w:r w:rsidR="00A92DEC" w:rsidRPr="00EE2DA4">
              <w:rPr>
                <w:rStyle w:val="Hipervnculo"/>
                <w:rFonts w:ascii="Palatino Linotype" w:hAnsi="Palatino Linotype"/>
                <w:b/>
                <w:noProof/>
                <w:lang w:val="es-MX" w:eastAsia="en-US"/>
              </w:rPr>
              <w:t>A. Formalidades para emitir el acuerdo de clasificación.</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_Toc33186546 \h </w:instrText>
            </w:r>
            <w:r w:rsidR="00A92DEC" w:rsidRPr="00EE2DA4">
              <w:rPr>
                <w:noProof/>
                <w:webHidden/>
              </w:rPr>
            </w:r>
            <w:r w:rsidR="00A92DEC" w:rsidRPr="00EE2DA4">
              <w:rPr>
                <w:noProof/>
                <w:webHidden/>
              </w:rPr>
              <w:fldChar w:fldCharType="separate"/>
            </w:r>
            <w:r w:rsidR="00EE2DA4">
              <w:rPr>
                <w:noProof/>
                <w:webHidden/>
              </w:rPr>
              <w:t>51</w:t>
            </w:r>
            <w:r w:rsidR="00A92DEC" w:rsidRPr="00EE2DA4">
              <w:rPr>
                <w:noProof/>
                <w:webHidden/>
              </w:rPr>
              <w:fldChar w:fldCharType="end"/>
            </w:r>
          </w:hyperlink>
        </w:p>
        <w:p w14:paraId="19E92641" w14:textId="77777777" w:rsidR="00A92DEC" w:rsidRPr="00EE2DA4" w:rsidRDefault="00C40592">
          <w:pPr>
            <w:pStyle w:val="TDC3"/>
            <w:tabs>
              <w:tab w:val="right" w:leader="dot" w:pos="8779"/>
            </w:tabs>
            <w:rPr>
              <w:noProof/>
              <w:sz w:val="22"/>
              <w:szCs w:val="22"/>
              <w:lang w:val="es-MX" w:eastAsia="es-MX"/>
            </w:rPr>
          </w:pPr>
          <w:hyperlink w:anchor="_Toc33186547" w:history="1">
            <w:r w:rsidR="00A92DEC" w:rsidRPr="00EE2DA4">
              <w:rPr>
                <w:rStyle w:val="Hipervnculo"/>
                <w:rFonts w:ascii="Palatino Linotype" w:hAnsi="Palatino Linotype"/>
                <w:b/>
                <w:noProof/>
              </w:rPr>
              <w:t>B. Requisitos de fondo del acuerdo de clasificación.</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_Toc33186547 \h </w:instrText>
            </w:r>
            <w:r w:rsidR="00A92DEC" w:rsidRPr="00EE2DA4">
              <w:rPr>
                <w:noProof/>
                <w:webHidden/>
              </w:rPr>
            </w:r>
            <w:r w:rsidR="00A92DEC" w:rsidRPr="00EE2DA4">
              <w:rPr>
                <w:noProof/>
                <w:webHidden/>
              </w:rPr>
              <w:fldChar w:fldCharType="separate"/>
            </w:r>
            <w:r w:rsidR="00EE2DA4">
              <w:rPr>
                <w:noProof/>
                <w:webHidden/>
              </w:rPr>
              <w:t>52</w:t>
            </w:r>
            <w:r w:rsidR="00A92DEC" w:rsidRPr="00EE2DA4">
              <w:rPr>
                <w:noProof/>
                <w:webHidden/>
              </w:rPr>
              <w:fldChar w:fldCharType="end"/>
            </w:r>
          </w:hyperlink>
        </w:p>
        <w:p w14:paraId="206D526C" w14:textId="77777777" w:rsidR="00A92DEC" w:rsidRPr="00EE2DA4" w:rsidRDefault="00C40592">
          <w:pPr>
            <w:pStyle w:val="TDC1"/>
            <w:rPr>
              <w:noProof/>
              <w:sz w:val="22"/>
              <w:szCs w:val="22"/>
              <w:lang w:val="es-MX" w:eastAsia="es-MX"/>
            </w:rPr>
          </w:pPr>
          <w:hyperlink w:anchor="_Toc33186548" w:history="1">
            <w:r w:rsidR="00A92DEC" w:rsidRPr="00EE2DA4">
              <w:rPr>
                <w:rStyle w:val="Hipervnculo"/>
                <w:rFonts w:eastAsia="Calibri"/>
                <w:noProof/>
                <w:lang w:val="es-ES"/>
              </w:rPr>
              <w:t>R E S O L U T I V O S</w:t>
            </w:r>
            <w:r w:rsidR="00A92DEC" w:rsidRPr="00EE2DA4">
              <w:rPr>
                <w:noProof/>
                <w:webHidden/>
              </w:rPr>
              <w:tab/>
            </w:r>
            <w:r w:rsidR="00A92DEC" w:rsidRPr="00EE2DA4">
              <w:rPr>
                <w:noProof/>
                <w:webHidden/>
              </w:rPr>
              <w:fldChar w:fldCharType="begin"/>
            </w:r>
            <w:r w:rsidR="00A92DEC" w:rsidRPr="00EE2DA4">
              <w:rPr>
                <w:noProof/>
                <w:webHidden/>
              </w:rPr>
              <w:instrText xml:space="preserve"> PAGEREF _Toc33186548 \h </w:instrText>
            </w:r>
            <w:r w:rsidR="00A92DEC" w:rsidRPr="00EE2DA4">
              <w:rPr>
                <w:noProof/>
                <w:webHidden/>
              </w:rPr>
            </w:r>
            <w:r w:rsidR="00A92DEC" w:rsidRPr="00EE2DA4">
              <w:rPr>
                <w:noProof/>
                <w:webHidden/>
              </w:rPr>
              <w:fldChar w:fldCharType="separate"/>
            </w:r>
            <w:r w:rsidR="00EE2DA4">
              <w:rPr>
                <w:noProof/>
                <w:webHidden/>
              </w:rPr>
              <w:t>58</w:t>
            </w:r>
            <w:r w:rsidR="00A92DEC" w:rsidRPr="00EE2DA4">
              <w:rPr>
                <w:noProof/>
                <w:webHidden/>
              </w:rPr>
              <w:fldChar w:fldCharType="end"/>
            </w:r>
          </w:hyperlink>
        </w:p>
        <w:p w14:paraId="32D2BD27" w14:textId="2D0D20BE" w:rsidR="00F41E88" w:rsidRPr="00EE2DA4" w:rsidRDefault="0011338C" w:rsidP="00AC19BA">
          <w:pPr>
            <w:rPr>
              <w:rFonts w:ascii="Palatino Linotype" w:hAnsi="Palatino Linotype"/>
              <w:bCs/>
              <w:color w:val="000000" w:themeColor="text1"/>
              <w:lang w:val="es-ES"/>
            </w:rPr>
          </w:pPr>
          <w:r w:rsidRPr="00EE2DA4">
            <w:rPr>
              <w:rFonts w:ascii="Palatino Linotype" w:hAnsi="Palatino Linotype"/>
              <w:bCs/>
              <w:color w:val="000000" w:themeColor="text1"/>
              <w:lang w:val="es-ES"/>
            </w:rPr>
            <w:fldChar w:fldCharType="end"/>
          </w:r>
        </w:p>
      </w:sdtContent>
    </w:sdt>
    <w:p w14:paraId="7BA9DE57" w14:textId="49D0F19B" w:rsidR="00EB4847" w:rsidRPr="00EE2DA4" w:rsidRDefault="001B26AA" w:rsidP="004E1461">
      <w:pPr>
        <w:tabs>
          <w:tab w:val="left" w:pos="567"/>
        </w:tabs>
        <w:spacing w:before="240" w:after="240" w:line="360" w:lineRule="auto"/>
        <w:jc w:val="both"/>
        <w:rPr>
          <w:rFonts w:ascii="Palatino Linotype" w:hAnsi="Palatino Linotype"/>
          <w:color w:val="000000" w:themeColor="text1"/>
          <w:lang w:val="es-MX"/>
        </w:rPr>
      </w:pPr>
      <w:r w:rsidRPr="00EE2DA4">
        <w:rPr>
          <w:rFonts w:ascii="Palatino Linotype" w:hAnsi="Palatino Linotype"/>
          <w:color w:val="000000" w:themeColor="text1"/>
        </w:rPr>
        <w:lastRenderedPageBreak/>
        <w:t>R</w:t>
      </w:r>
      <w:r w:rsidR="00662C69" w:rsidRPr="00EE2DA4">
        <w:rPr>
          <w:rFonts w:ascii="Palatino Linotype" w:hAnsi="Palatino Linotype"/>
          <w:color w:val="000000" w:themeColor="text1"/>
          <w:lang w:val="es-MX"/>
        </w:rPr>
        <w:t xml:space="preserve">esolución del Pleno del Instituto de Transparencia, Acceso a la Información Pública y Protección de Datos Personales del Estado de México y Municipios, con domicilio en Metepec, Estado de México; de </w:t>
      </w:r>
      <w:r w:rsidR="00EE2DA4" w:rsidRPr="00EE2DA4">
        <w:rPr>
          <w:rFonts w:ascii="Palatino Linotype" w:hAnsi="Palatino Linotype"/>
          <w:color w:val="000000" w:themeColor="text1"/>
          <w:lang w:val="es-MX"/>
        </w:rPr>
        <w:t xml:space="preserve">fecha veintiséis de febrero de dos mil veinte. </w:t>
      </w:r>
    </w:p>
    <w:p w14:paraId="678D20AB" w14:textId="1236889E" w:rsidR="009B359D" w:rsidRPr="00EE2DA4" w:rsidRDefault="00924CEA" w:rsidP="008D6C8D">
      <w:pPr>
        <w:pStyle w:val="Encabezado"/>
        <w:spacing w:line="360" w:lineRule="auto"/>
        <w:jc w:val="both"/>
        <w:rPr>
          <w:rFonts w:ascii="Palatino Linotype" w:eastAsia="Times New Roman" w:hAnsi="Palatino Linotype" w:cs="Times New Roman"/>
          <w:color w:val="000000" w:themeColor="text1"/>
        </w:rPr>
      </w:pPr>
      <w:r w:rsidRPr="00EE2DA4">
        <w:rPr>
          <w:rFonts w:ascii="Palatino Linotype" w:eastAsia="Times New Roman" w:hAnsi="Palatino Linotype" w:cs="Times New Roman"/>
          <w:b/>
          <w:color w:val="000000" w:themeColor="text1"/>
        </w:rPr>
        <w:t>VISTO</w:t>
      </w:r>
      <w:r w:rsidR="003122CE" w:rsidRPr="00EE2DA4">
        <w:rPr>
          <w:rFonts w:ascii="Palatino Linotype" w:eastAsia="Times New Roman" w:hAnsi="Palatino Linotype" w:cs="Times New Roman"/>
          <w:color w:val="000000" w:themeColor="text1"/>
        </w:rPr>
        <w:t xml:space="preserve"> </w:t>
      </w:r>
      <w:r w:rsidRPr="00EE2DA4">
        <w:rPr>
          <w:rFonts w:ascii="Palatino Linotype" w:eastAsia="Times New Roman" w:hAnsi="Palatino Linotype" w:cs="Times New Roman"/>
          <w:color w:val="000000" w:themeColor="text1"/>
        </w:rPr>
        <w:t>el expediente</w:t>
      </w:r>
      <w:r w:rsidR="003122CE" w:rsidRPr="00EE2DA4">
        <w:rPr>
          <w:rFonts w:ascii="Palatino Linotype" w:eastAsia="Times New Roman" w:hAnsi="Palatino Linotype" w:cs="Times New Roman"/>
          <w:color w:val="000000" w:themeColor="text1"/>
        </w:rPr>
        <w:t xml:space="preserve"> electrón</w:t>
      </w:r>
      <w:r w:rsidRPr="00EE2DA4">
        <w:rPr>
          <w:rFonts w:ascii="Palatino Linotype" w:eastAsia="Times New Roman" w:hAnsi="Palatino Linotype" w:cs="Times New Roman"/>
          <w:color w:val="000000" w:themeColor="text1"/>
        </w:rPr>
        <w:t>ico formado</w:t>
      </w:r>
      <w:r w:rsidR="00417E0F" w:rsidRPr="00EE2DA4">
        <w:rPr>
          <w:rFonts w:ascii="Palatino Linotype" w:eastAsia="Times New Roman" w:hAnsi="Palatino Linotype" w:cs="Times New Roman"/>
          <w:color w:val="000000" w:themeColor="text1"/>
        </w:rPr>
        <w:t xml:space="preserve"> con motivo del recurso de revisión número</w:t>
      </w:r>
      <w:r w:rsidRPr="00EE2DA4">
        <w:rPr>
          <w:rFonts w:ascii="Palatino Linotype" w:eastAsia="Times New Roman" w:hAnsi="Palatino Linotype" w:cs="Times New Roman"/>
          <w:color w:val="000000" w:themeColor="text1"/>
        </w:rPr>
        <w:t xml:space="preserve"> </w:t>
      </w:r>
      <w:r w:rsidR="00113950" w:rsidRPr="00EE2DA4">
        <w:rPr>
          <w:rFonts w:ascii="Palatino Linotype" w:hAnsi="Palatino Linotype" w:cs="Arial"/>
          <w:b/>
          <w:bCs/>
          <w:color w:val="000000" w:themeColor="text1"/>
          <w:lang w:eastAsia="es-MX"/>
        </w:rPr>
        <w:t>09098/INFOEM/IP/RR/2019</w:t>
      </w:r>
      <w:r w:rsidR="003122CE" w:rsidRPr="00EE2DA4">
        <w:rPr>
          <w:rFonts w:ascii="Palatino Linotype" w:eastAsia="Times New Roman" w:hAnsi="Palatino Linotype" w:cs="Arial"/>
          <w:bCs/>
          <w:color w:val="000000" w:themeColor="text1"/>
        </w:rPr>
        <w:t xml:space="preserve">, </w:t>
      </w:r>
      <w:r w:rsidR="00417E0F" w:rsidRPr="00EE2DA4">
        <w:rPr>
          <w:rFonts w:ascii="Palatino Linotype" w:eastAsia="Times New Roman" w:hAnsi="Palatino Linotype" w:cs="Times New Roman"/>
          <w:color w:val="000000" w:themeColor="text1"/>
        </w:rPr>
        <w:t>promovido</w:t>
      </w:r>
      <w:r w:rsidR="003122CE" w:rsidRPr="00EE2DA4">
        <w:rPr>
          <w:rFonts w:ascii="Palatino Linotype" w:eastAsia="Times New Roman" w:hAnsi="Palatino Linotype" w:cs="Times New Roman"/>
          <w:color w:val="000000" w:themeColor="text1"/>
        </w:rPr>
        <w:t xml:space="preserve"> por</w:t>
      </w:r>
      <w:r w:rsidR="00EF75F9" w:rsidRPr="00EE2DA4">
        <w:rPr>
          <w:rFonts w:ascii="Palatino Linotype" w:eastAsia="Times New Roman" w:hAnsi="Palatino Linotype" w:cs="Times New Roman"/>
          <w:color w:val="000000" w:themeColor="text1"/>
        </w:rPr>
        <w:t xml:space="preserve"> </w:t>
      </w:r>
      <w:r w:rsidR="007100C9" w:rsidRPr="007100C9">
        <w:rPr>
          <w:rFonts w:ascii="Palatino Linotype" w:hAnsi="Palatino Linotype"/>
          <w:b/>
          <w:sz w:val="20"/>
          <w:szCs w:val="20"/>
          <w:highlight w:val="black"/>
        </w:rPr>
        <w:t>Xxxxx Xxxxxx</w:t>
      </w:r>
      <w:r w:rsidR="007100C9" w:rsidRPr="00EE2DA4">
        <w:rPr>
          <w:rFonts w:ascii="Palatino Linotype" w:eastAsia="Times New Roman" w:hAnsi="Palatino Linotype" w:cs="Arial"/>
          <w:color w:val="000000" w:themeColor="text1"/>
        </w:rPr>
        <w:t xml:space="preserve"> </w:t>
      </w:r>
      <w:r w:rsidR="003122CE" w:rsidRPr="00EE2DA4">
        <w:rPr>
          <w:rFonts w:ascii="Palatino Linotype" w:eastAsia="Times New Roman" w:hAnsi="Palatino Linotype" w:cs="Arial"/>
          <w:color w:val="000000" w:themeColor="text1"/>
        </w:rPr>
        <w:t xml:space="preserve">en su calidad de </w:t>
      </w:r>
      <w:r w:rsidR="003122CE" w:rsidRPr="00EE2DA4">
        <w:rPr>
          <w:rFonts w:ascii="Palatino Linotype" w:eastAsia="Times New Roman" w:hAnsi="Palatino Linotype" w:cs="Arial"/>
          <w:b/>
          <w:color w:val="000000" w:themeColor="text1"/>
        </w:rPr>
        <w:t>RECURRENTE</w:t>
      </w:r>
      <w:r w:rsidR="003122CE" w:rsidRPr="00EE2DA4">
        <w:rPr>
          <w:rFonts w:ascii="Palatino Linotype" w:eastAsia="Times New Roman" w:hAnsi="Palatino Linotype" w:cs="Arial"/>
          <w:color w:val="000000" w:themeColor="text1"/>
        </w:rPr>
        <w:t>, en contra de la respuesta</w:t>
      </w:r>
      <w:r w:rsidRPr="00EE2DA4">
        <w:rPr>
          <w:rFonts w:ascii="Palatino Linotype" w:eastAsia="Times New Roman" w:hAnsi="Palatino Linotype" w:cs="Arial"/>
          <w:color w:val="000000" w:themeColor="text1"/>
        </w:rPr>
        <w:t xml:space="preserve"> </w:t>
      </w:r>
      <w:r w:rsidR="00113950" w:rsidRPr="00EE2DA4">
        <w:rPr>
          <w:rFonts w:ascii="Palatino Linotype" w:eastAsia="Times New Roman" w:hAnsi="Palatino Linotype" w:cs="Arial"/>
          <w:color w:val="000000" w:themeColor="text1"/>
        </w:rPr>
        <w:t xml:space="preserve">de la </w:t>
      </w:r>
      <w:r w:rsidR="00113950" w:rsidRPr="00EE2DA4">
        <w:rPr>
          <w:rFonts w:ascii="Palatino Linotype" w:eastAsia="Times New Roman" w:hAnsi="Palatino Linotype" w:cs="Arial"/>
          <w:b/>
          <w:color w:val="000000" w:themeColor="text1"/>
        </w:rPr>
        <w:t>Comisión de Derechos Humanos del Estado de México</w:t>
      </w:r>
      <w:r w:rsidR="003122CE" w:rsidRPr="00EE2DA4">
        <w:rPr>
          <w:rFonts w:ascii="Palatino Linotype" w:eastAsia="Calibri" w:hAnsi="Palatino Linotype" w:cs="Arial"/>
          <w:color w:val="000000" w:themeColor="text1"/>
          <w:lang w:val="es-ES"/>
        </w:rPr>
        <w:t xml:space="preserve">, </w:t>
      </w:r>
      <w:r w:rsidR="003122CE" w:rsidRPr="00EE2DA4">
        <w:rPr>
          <w:rFonts w:ascii="Palatino Linotype" w:eastAsia="Times New Roman" w:hAnsi="Palatino Linotype" w:cs="Times New Roman"/>
          <w:color w:val="000000" w:themeColor="text1"/>
        </w:rPr>
        <w:t>en lo sucesivo el</w:t>
      </w:r>
      <w:r w:rsidR="003122CE" w:rsidRPr="00EE2DA4">
        <w:rPr>
          <w:rFonts w:ascii="Palatino Linotype" w:eastAsia="Times New Roman" w:hAnsi="Palatino Linotype" w:cs="Times New Roman"/>
          <w:b/>
          <w:color w:val="000000" w:themeColor="text1"/>
        </w:rPr>
        <w:t xml:space="preserve"> SUJETO OBLIGADO, </w:t>
      </w:r>
      <w:r w:rsidR="003122CE" w:rsidRPr="00EE2DA4">
        <w:rPr>
          <w:rFonts w:ascii="Palatino Linotype" w:eastAsia="Times New Roman" w:hAnsi="Palatino Linotype" w:cs="Times New Roman"/>
          <w:color w:val="000000" w:themeColor="text1"/>
        </w:rPr>
        <w:t>se procede a dictar la presente resolución, con base en los siguientes:</w:t>
      </w:r>
      <w:bookmarkStart w:id="0" w:name="_Toc466418172"/>
      <w:bookmarkStart w:id="1" w:name="_Toc462402153"/>
    </w:p>
    <w:p w14:paraId="02320B65" w14:textId="77777777" w:rsidR="00F34201" w:rsidRPr="00EE2DA4" w:rsidRDefault="00F34201" w:rsidP="004E1461">
      <w:pPr>
        <w:pStyle w:val="Ttulo1"/>
        <w:tabs>
          <w:tab w:val="left" w:pos="567"/>
        </w:tabs>
        <w:jc w:val="center"/>
        <w:rPr>
          <w:b w:val="0"/>
        </w:rPr>
      </w:pPr>
      <w:bookmarkStart w:id="2" w:name="_Toc473812222"/>
      <w:bookmarkStart w:id="3" w:name="_Toc495430765"/>
      <w:bookmarkStart w:id="4" w:name="_Toc33186528"/>
      <w:r w:rsidRPr="00EE2DA4">
        <w:t>ANTECEDENTES</w:t>
      </w:r>
      <w:bookmarkEnd w:id="2"/>
      <w:bookmarkEnd w:id="3"/>
      <w:bookmarkEnd w:id="4"/>
    </w:p>
    <w:p w14:paraId="54EBC941" w14:textId="77777777" w:rsidR="00F34201" w:rsidRPr="00EE2DA4" w:rsidRDefault="00F34201" w:rsidP="004E1461">
      <w:pPr>
        <w:tabs>
          <w:tab w:val="left" w:pos="567"/>
        </w:tabs>
        <w:rPr>
          <w:rFonts w:ascii="Palatino Linotype" w:hAnsi="Palatino Linotype"/>
          <w:color w:val="000000" w:themeColor="text1"/>
          <w:lang w:val="es-MX" w:eastAsia="en-US"/>
        </w:rPr>
      </w:pPr>
    </w:p>
    <w:p w14:paraId="749498DB" w14:textId="2314C463" w:rsidR="00F34201" w:rsidRPr="00EE2DA4" w:rsidRDefault="00F34201" w:rsidP="004E1461">
      <w:pPr>
        <w:pStyle w:val="Prrafodelista"/>
        <w:numPr>
          <w:ilvl w:val="0"/>
          <w:numId w:val="1"/>
        </w:numPr>
        <w:tabs>
          <w:tab w:val="left" w:pos="426"/>
          <w:tab w:val="left" w:pos="567"/>
        </w:tabs>
        <w:spacing w:line="360" w:lineRule="auto"/>
        <w:ind w:left="0" w:firstLine="0"/>
        <w:jc w:val="both"/>
        <w:rPr>
          <w:rFonts w:ascii="Palatino Linotype" w:eastAsia="Calibri" w:hAnsi="Palatino Linotype" w:cs="Arial"/>
          <w:color w:val="000000" w:themeColor="text1"/>
          <w:lang w:val="es-ES"/>
        </w:rPr>
      </w:pPr>
      <w:r w:rsidRPr="00EE2DA4">
        <w:rPr>
          <w:rFonts w:ascii="Palatino Linotype" w:eastAsia="Calibri" w:hAnsi="Palatino Linotype" w:cs="Arial"/>
          <w:color w:val="000000" w:themeColor="text1"/>
          <w:lang w:val="es-ES"/>
        </w:rPr>
        <w:t xml:space="preserve">El día </w:t>
      </w:r>
      <w:r w:rsidR="007B4BE7" w:rsidRPr="00EE2DA4">
        <w:rPr>
          <w:rFonts w:ascii="Palatino Linotype" w:eastAsia="Calibri" w:hAnsi="Palatino Linotype" w:cs="Arial"/>
          <w:color w:val="000000" w:themeColor="text1"/>
          <w:lang w:val="es-ES"/>
        </w:rPr>
        <w:t>veintinueve</w:t>
      </w:r>
      <w:r w:rsidR="005D57BD" w:rsidRPr="00EE2DA4">
        <w:rPr>
          <w:rFonts w:ascii="Palatino Linotype" w:eastAsia="Calibri" w:hAnsi="Palatino Linotype" w:cs="Arial"/>
          <w:color w:val="000000" w:themeColor="text1"/>
          <w:lang w:val="es-ES"/>
        </w:rPr>
        <w:t xml:space="preserve"> </w:t>
      </w:r>
      <w:r w:rsidR="00EA0700" w:rsidRPr="00EE2DA4">
        <w:rPr>
          <w:rFonts w:ascii="Palatino Linotype" w:eastAsia="Calibri" w:hAnsi="Palatino Linotype" w:cs="Arial"/>
          <w:color w:val="000000" w:themeColor="text1"/>
          <w:lang w:val="es-ES"/>
        </w:rPr>
        <w:t>(</w:t>
      </w:r>
      <w:r w:rsidR="007B4BE7" w:rsidRPr="00EE2DA4">
        <w:rPr>
          <w:rFonts w:ascii="Palatino Linotype" w:eastAsia="Calibri" w:hAnsi="Palatino Linotype" w:cs="Arial"/>
          <w:color w:val="000000" w:themeColor="text1"/>
          <w:lang w:val="es-ES"/>
        </w:rPr>
        <w:t>29</w:t>
      </w:r>
      <w:r w:rsidR="00EA0700" w:rsidRPr="00EE2DA4">
        <w:rPr>
          <w:rFonts w:ascii="Palatino Linotype" w:eastAsia="Calibri" w:hAnsi="Palatino Linotype" w:cs="Arial"/>
          <w:color w:val="000000" w:themeColor="text1"/>
          <w:lang w:val="es-ES"/>
        </w:rPr>
        <w:t xml:space="preserve">) </w:t>
      </w:r>
      <w:r w:rsidR="005D57BD" w:rsidRPr="00EE2DA4">
        <w:rPr>
          <w:rFonts w:ascii="Palatino Linotype" w:eastAsia="Calibri" w:hAnsi="Palatino Linotype" w:cs="Arial"/>
          <w:color w:val="000000" w:themeColor="text1"/>
          <w:lang w:val="es-ES"/>
        </w:rPr>
        <w:t xml:space="preserve">de </w:t>
      </w:r>
      <w:r w:rsidR="00EA0700" w:rsidRPr="00EE2DA4">
        <w:rPr>
          <w:rFonts w:ascii="Palatino Linotype" w:eastAsia="Calibri" w:hAnsi="Palatino Linotype" w:cs="Arial"/>
          <w:color w:val="000000" w:themeColor="text1"/>
          <w:lang w:val="es-ES"/>
        </w:rPr>
        <w:t>octu</w:t>
      </w:r>
      <w:r w:rsidR="005D57BD" w:rsidRPr="00EE2DA4">
        <w:rPr>
          <w:rFonts w:ascii="Palatino Linotype" w:eastAsia="Calibri" w:hAnsi="Palatino Linotype" w:cs="Arial"/>
          <w:color w:val="000000" w:themeColor="text1"/>
          <w:lang w:val="es-ES"/>
        </w:rPr>
        <w:t>bre de dos mil diecinueve</w:t>
      </w:r>
      <w:r w:rsidRPr="00EE2DA4">
        <w:rPr>
          <w:rFonts w:ascii="Palatino Linotype" w:eastAsia="Calibri" w:hAnsi="Palatino Linotype" w:cs="Arial"/>
          <w:color w:val="000000" w:themeColor="text1"/>
          <w:lang w:val="es-ES"/>
        </w:rPr>
        <w:t>,</w:t>
      </w:r>
      <w:r w:rsidRPr="00EE2DA4">
        <w:rPr>
          <w:rFonts w:ascii="Palatino Linotype" w:eastAsia="Calibri" w:hAnsi="Palatino Linotype" w:cs="Times New Roman"/>
          <w:color w:val="000000" w:themeColor="text1"/>
          <w:lang w:val="es-ES"/>
        </w:rPr>
        <w:t xml:space="preserve"> </w:t>
      </w:r>
      <w:r w:rsidR="00F523D6" w:rsidRPr="00EE2DA4">
        <w:rPr>
          <w:rFonts w:ascii="Palatino Linotype" w:eastAsia="Calibri" w:hAnsi="Palatino Linotype" w:cs="Arial"/>
          <w:color w:val="000000" w:themeColor="text1"/>
          <w:lang w:val="es-ES"/>
        </w:rPr>
        <w:t>se</w:t>
      </w:r>
      <w:r w:rsidR="002F768F" w:rsidRPr="00EE2DA4">
        <w:rPr>
          <w:rFonts w:ascii="Palatino Linotype" w:eastAsia="Calibri" w:hAnsi="Palatino Linotype" w:cs="Arial"/>
          <w:b/>
          <w:color w:val="000000" w:themeColor="text1"/>
          <w:lang w:val="es-ES"/>
        </w:rPr>
        <w:t xml:space="preserve"> </w:t>
      </w:r>
      <w:r w:rsidRPr="00EE2DA4">
        <w:rPr>
          <w:rFonts w:ascii="Palatino Linotype" w:hAnsi="Palatino Linotype"/>
          <w:color w:val="000000" w:themeColor="text1"/>
        </w:rPr>
        <w:t>presentó</w:t>
      </w:r>
      <w:r w:rsidRPr="00EE2DA4">
        <w:rPr>
          <w:rFonts w:ascii="Palatino Linotype" w:hAnsi="Palatino Linotype"/>
          <w:b/>
          <w:color w:val="000000" w:themeColor="text1"/>
        </w:rPr>
        <w:t xml:space="preserve"> </w:t>
      </w:r>
      <w:r w:rsidRPr="00EE2DA4">
        <w:rPr>
          <w:rFonts w:ascii="Palatino Linotype" w:eastAsia="Calibri" w:hAnsi="Palatino Linotype" w:cs="Arial"/>
          <w:color w:val="000000" w:themeColor="text1"/>
        </w:rPr>
        <w:t xml:space="preserve">vía </w:t>
      </w:r>
      <w:r w:rsidRPr="00EE2DA4">
        <w:rPr>
          <w:rFonts w:ascii="Palatino Linotype" w:eastAsia="Calibri" w:hAnsi="Palatino Linotype" w:cs="Arial"/>
          <w:color w:val="000000" w:themeColor="text1"/>
          <w:lang w:val="es-ES"/>
        </w:rPr>
        <w:t xml:space="preserve">Sistema de Acceso a la Información Mexiquense </w:t>
      </w:r>
      <w:r w:rsidRPr="00EE2DA4">
        <w:rPr>
          <w:rFonts w:ascii="Palatino Linotype" w:eastAsia="Calibri" w:hAnsi="Palatino Linotype" w:cs="Arial"/>
          <w:b/>
          <w:color w:val="000000" w:themeColor="text1"/>
          <w:lang w:val="es-ES"/>
        </w:rPr>
        <w:t>(SAIMEX)</w:t>
      </w:r>
      <w:r w:rsidRPr="00EE2DA4">
        <w:rPr>
          <w:rFonts w:ascii="Palatino Linotype" w:eastAsia="Calibri" w:hAnsi="Palatino Linotype" w:cs="Arial"/>
          <w:color w:val="000000" w:themeColor="text1"/>
          <w:lang w:val="es-ES"/>
        </w:rPr>
        <w:t>, la solicitud de información p</w:t>
      </w:r>
      <w:r w:rsidR="00924CEA" w:rsidRPr="00EE2DA4">
        <w:rPr>
          <w:rFonts w:ascii="Palatino Linotype" w:eastAsia="Calibri" w:hAnsi="Palatino Linotype" w:cs="Arial"/>
          <w:color w:val="000000" w:themeColor="text1"/>
          <w:lang w:val="es-ES"/>
        </w:rPr>
        <w:t>ública registrada con el número</w:t>
      </w:r>
      <w:r w:rsidR="00305279" w:rsidRPr="00EE2DA4">
        <w:rPr>
          <w:rFonts w:ascii="Palatino Linotype" w:hAnsi="Palatino Linotype"/>
          <w:b/>
          <w:bCs/>
          <w:color w:val="000000" w:themeColor="text1"/>
        </w:rPr>
        <w:t xml:space="preserve"> </w:t>
      </w:r>
      <w:r w:rsidR="00113950" w:rsidRPr="00EE2DA4">
        <w:rPr>
          <w:rFonts w:ascii="Palatino Linotype" w:eastAsia="Calibri" w:hAnsi="Palatino Linotype" w:cs="Arial"/>
          <w:b/>
          <w:color w:val="000000" w:themeColor="text1"/>
          <w:lang w:val="es-ES"/>
        </w:rPr>
        <w:t>00292/CODHEM/IP/2019</w:t>
      </w:r>
      <w:r w:rsidRPr="00EE2DA4">
        <w:rPr>
          <w:rFonts w:ascii="Palatino Linotype" w:hAnsi="Palatino Linotype"/>
          <w:b/>
          <w:bCs/>
          <w:color w:val="000000" w:themeColor="text1"/>
        </w:rPr>
        <w:t>,</w:t>
      </w:r>
      <w:r w:rsidRPr="00EE2DA4">
        <w:rPr>
          <w:rFonts w:ascii="Palatino Linotype" w:eastAsia="Calibri" w:hAnsi="Palatino Linotype" w:cs="Arial"/>
          <w:color w:val="000000" w:themeColor="text1"/>
          <w:lang w:val="es-ES"/>
        </w:rPr>
        <w:t xml:space="preserve"> mediante la cual </w:t>
      </w:r>
      <w:r w:rsidR="00097D8A" w:rsidRPr="00EE2DA4">
        <w:rPr>
          <w:rFonts w:ascii="Palatino Linotype" w:eastAsia="Calibri" w:hAnsi="Palatino Linotype" w:cs="Arial"/>
          <w:color w:val="000000" w:themeColor="text1"/>
          <w:lang w:val="es-ES"/>
        </w:rPr>
        <w:t xml:space="preserve">se </w:t>
      </w:r>
      <w:r w:rsidR="00924CEA" w:rsidRPr="00EE2DA4">
        <w:rPr>
          <w:rFonts w:ascii="Palatino Linotype" w:eastAsia="Calibri" w:hAnsi="Palatino Linotype" w:cs="Arial"/>
          <w:color w:val="000000" w:themeColor="text1"/>
          <w:lang w:val="es-ES"/>
        </w:rPr>
        <w:t>requirió</w:t>
      </w:r>
      <w:r w:rsidRPr="00EE2DA4">
        <w:rPr>
          <w:rFonts w:ascii="Palatino Linotype" w:eastAsia="Calibri" w:hAnsi="Palatino Linotype" w:cs="Arial"/>
          <w:color w:val="000000" w:themeColor="text1"/>
          <w:lang w:val="es-ES"/>
        </w:rPr>
        <w:t>:</w:t>
      </w:r>
    </w:p>
    <w:p w14:paraId="1102FAA0" w14:textId="77777777" w:rsidR="006F7AF2" w:rsidRPr="00EE2DA4" w:rsidRDefault="006F7AF2" w:rsidP="001E4951">
      <w:pPr>
        <w:pStyle w:val="Prrafodelista"/>
        <w:tabs>
          <w:tab w:val="left" w:pos="567"/>
        </w:tabs>
        <w:spacing w:line="360" w:lineRule="auto"/>
        <w:ind w:left="567" w:right="567"/>
        <w:jc w:val="both"/>
        <w:rPr>
          <w:rFonts w:ascii="Palatino Linotype" w:eastAsia="Calibri" w:hAnsi="Palatino Linotype" w:cs="Arial"/>
          <w:color w:val="000000" w:themeColor="text1"/>
          <w:sz w:val="22"/>
          <w:szCs w:val="22"/>
          <w:lang w:val="es-ES"/>
        </w:rPr>
      </w:pPr>
    </w:p>
    <w:p w14:paraId="218C47AD" w14:textId="58BAF7A9" w:rsidR="00C20BFF" w:rsidRPr="00EE2DA4" w:rsidRDefault="00252C4D" w:rsidP="00D6429A">
      <w:pPr>
        <w:spacing w:line="360" w:lineRule="auto"/>
        <w:ind w:left="567" w:right="567"/>
        <w:jc w:val="both"/>
        <w:rPr>
          <w:rFonts w:ascii="Palatino Linotype" w:eastAsia="Times New Roman" w:hAnsi="Palatino Linotype" w:cs="Times New Roman"/>
          <w:i/>
          <w:sz w:val="22"/>
          <w:szCs w:val="22"/>
          <w:lang w:val="es-MX" w:eastAsia="es-MX"/>
        </w:rPr>
      </w:pPr>
      <w:r w:rsidRPr="00EE2DA4">
        <w:rPr>
          <w:rFonts w:ascii="Palatino Linotype" w:hAnsi="Palatino Linotype"/>
          <w:i/>
          <w:color w:val="000000" w:themeColor="text1"/>
          <w:sz w:val="22"/>
          <w:szCs w:val="22"/>
        </w:rPr>
        <w:t>“</w:t>
      </w:r>
      <w:r w:rsidR="00D6429A" w:rsidRPr="00EE2DA4">
        <w:rPr>
          <w:rFonts w:ascii="Palatino Linotype" w:eastAsia="Times New Roman" w:hAnsi="Palatino Linotype" w:cs="Times New Roman"/>
          <w:i/>
          <w:sz w:val="22"/>
          <w:szCs w:val="22"/>
          <w:lang w:val="es-MX" w:eastAsia="es-MX"/>
        </w:rPr>
        <w:t xml:space="preserve">requiero se me proporcione la siguiente información de carácter público: 1.- La evaluación de impacto realizada respecto de la APP PARA DENUNCIAR VIOLACIONES A DERECHOS HUMANOS DE PERIODISTAS, misma que se constituye como un tratamiento relevante e intensivo de datos personales conforme a la Ley de Protección de Datos Personales del Estado de México, mismo que tuvo que ser aprobado por el INFOEM. 2.- Requiero el Aviso de Privacidad de esa aplcación y el acuerdo de comite de transparencia que aprueba la creación de esa base de datos, 4.- </w:t>
      </w:r>
      <w:r w:rsidR="00D6429A" w:rsidRPr="00EE2DA4">
        <w:rPr>
          <w:rFonts w:ascii="Palatino Linotype" w:eastAsia="Times New Roman" w:hAnsi="Palatino Linotype" w:cs="Times New Roman"/>
          <w:i/>
          <w:sz w:val="22"/>
          <w:szCs w:val="22"/>
          <w:lang w:val="es-MX" w:eastAsia="es-MX"/>
        </w:rPr>
        <w:lastRenderedPageBreak/>
        <w:t>Requiero el docuemnto de seguridad de ese tratamiento y 5.- el sistema de gestión de esa aplicación movil.</w:t>
      </w:r>
      <w:r w:rsidRPr="00EE2DA4">
        <w:rPr>
          <w:rFonts w:ascii="Palatino Linotype" w:hAnsi="Palatino Linotype"/>
          <w:i/>
          <w:color w:val="000000" w:themeColor="text1"/>
          <w:sz w:val="22"/>
          <w:szCs w:val="22"/>
        </w:rPr>
        <w:t>”</w:t>
      </w:r>
      <w:r w:rsidR="00F34201" w:rsidRPr="00EE2DA4">
        <w:rPr>
          <w:rFonts w:ascii="Palatino Linotype" w:hAnsi="Palatino Linotype"/>
          <w:i/>
          <w:color w:val="000000" w:themeColor="text1"/>
          <w:sz w:val="22"/>
          <w:szCs w:val="22"/>
        </w:rPr>
        <w:t xml:space="preserve"> (Sic)</w:t>
      </w:r>
    </w:p>
    <w:p w14:paraId="53EAD726" w14:textId="77777777" w:rsidR="00916840" w:rsidRPr="00EE2DA4" w:rsidRDefault="00916840" w:rsidP="001E4951">
      <w:pPr>
        <w:pStyle w:val="Prrafodelista"/>
        <w:numPr>
          <w:ilvl w:val="0"/>
          <w:numId w:val="1"/>
        </w:numPr>
        <w:tabs>
          <w:tab w:val="left" w:pos="567"/>
        </w:tabs>
        <w:spacing w:before="100" w:beforeAutospacing="1" w:after="100" w:afterAutospacing="1" w:line="360" w:lineRule="auto"/>
        <w:ind w:left="0" w:firstLine="0"/>
        <w:jc w:val="both"/>
        <w:rPr>
          <w:rFonts w:ascii="Palatino Linotype" w:hAnsi="Palatino Linotype" w:cs="Arial"/>
          <w:color w:val="000000" w:themeColor="text1"/>
        </w:rPr>
      </w:pPr>
      <w:r w:rsidRPr="00EE2DA4">
        <w:rPr>
          <w:rFonts w:ascii="Palatino Linotype" w:hAnsi="Palatino Linotype" w:cs="Arial"/>
          <w:color w:val="000000" w:themeColor="text1"/>
        </w:rPr>
        <w:t xml:space="preserve">Se hace constar que </w:t>
      </w:r>
      <w:r w:rsidRPr="00EE2DA4">
        <w:rPr>
          <w:rFonts w:ascii="Palatino Linotype" w:eastAsia="Times New Roman" w:hAnsi="Palatino Linotype" w:cs="Arial"/>
          <w:color w:val="000000" w:themeColor="text1"/>
          <w:lang w:val="es-ES"/>
        </w:rPr>
        <w:t>se señaló como modalidad de entrega de la información</w:t>
      </w:r>
      <w:r w:rsidRPr="00EE2DA4">
        <w:rPr>
          <w:rFonts w:ascii="Palatino Linotype" w:eastAsia="Times New Roman" w:hAnsi="Palatino Linotype" w:cs="Arial"/>
          <w:b/>
          <w:color w:val="000000" w:themeColor="text1"/>
          <w:lang w:val="es-ES"/>
        </w:rPr>
        <w:t>:</w:t>
      </w:r>
      <w:r w:rsidRPr="00EE2DA4">
        <w:rPr>
          <w:rFonts w:ascii="Palatino Linotype" w:eastAsia="Times New Roman" w:hAnsi="Palatino Linotype" w:cs="Arial"/>
          <w:color w:val="000000" w:themeColor="text1"/>
          <w:lang w:val="es-ES"/>
        </w:rPr>
        <w:t xml:space="preserve"> a través </w:t>
      </w:r>
      <w:r w:rsidRPr="00EE2DA4">
        <w:rPr>
          <w:rFonts w:ascii="Palatino Linotype" w:hAnsi="Palatino Linotype"/>
          <w:color w:val="000000" w:themeColor="text1"/>
        </w:rPr>
        <w:t xml:space="preserve">del </w:t>
      </w:r>
      <w:r w:rsidRPr="00EE2DA4">
        <w:rPr>
          <w:rFonts w:ascii="Palatino Linotype" w:eastAsia="Calibri" w:hAnsi="Palatino Linotype" w:cs="Arial"/>
          <w:color w:val="000000" w:themeColor="text1"/>
          <w:lang w:val="es-ES"/>
        </w:rPr>
        <w:t xml:space="preserve">Sistema de Acceso a la Información Mexiquense </w:t>
      </w:r>
      <w:r w:rsidRPr="00EE2DA4">
        <w:rPr>
          <w:rFonts w:ascii="Palatino Linotype" w:eastAsia="Calibri" w:hAnsi="Palatino Linotype" w:cs="Arial"/>
          <w:b/>
          <w:color w:val="000000" w:themeColor="text1"/>
          <w:lang w:val="es-ES"/>
        </w:rPr>
        <w:t>(SAIMEX).</w:t>
      </w:r>
    </w:p>
    <w:p w14:paraId="277D6E54" w14:textId="77777777" w:rsidR="00027153" w:rsidRPr="00EE2DA4" w:rsidRDefault="00027153" w:rsidP="004C02F1">
      <w:pPr>
        <w:pStyle w:val="Prrafodelista"/>
        <w:tabs>
          <w:tab w:val="left" w:pos="567"/>
        </w:tabs>
        <w:spacing w:line="360" w:lineRule="auto"/>
        <w:ind w:left="567" w:right="567"/>
        <w:jc w:val="both"/>
        <w:rPr>
          <w:rFonts w:ascii="Palatino Linotype" w:eastAsia="Calibri" w:hAnsi="Palatino Linotype" w:cs="Arial"/>
          <w:color w:val="000000" w:themeColor="text1"/>
          <w:sz w:val="22"/>
          <w:szCs w:val="22"/>
          <w:lang w:val="es-ES"/>
        </w:rPr>
      </w:pPr>
    </w:p>
    <w:p w14:paraId="4C7C9ECA" w14:textId="4AD1E1F1" w:rsidR="00B93AFD" w:rsidRPr="00EE2DA4" w:rsidRDefault="00770B33" w:rsidP="00603FBB">
      <w:pPr>
        <w:pStyle w:val="Prrafodelista"/>
        <w:numPr>
          <w:ilvl w:val="0"/>
          <w:numId w:val="1"/>
        </w:numPr>
        <w:tabs>
          <w:tab w:val="left" w:pos="567"/>
        </w:tabs>
        <w:spacing w:before="100" w:beforeAutospacing="1" w:after="100" w:afterAutospacing="1" w:line="360" w:lineRule="auto"/>
        <w:ind w:left="0" w:firstLine="0"/>
        <w:jc w:val="both"/>
        <w:rPr>
          <w:rFonts w:ascii="Palatino Linotype" w:hAnsi="Palatino Linotype" w:cs="Arial"/>
          <w:color w:val="000000" w:themeColor="text1"/>
        </w:rPr>
      </w:pPr>
      <w:r w:rsidRPr="00EE2DA4">
        <w:rPr>
          <w:rFonts w:ascii="Palatino Linotype" w:eastAsia="Calibri" w:hAnsi="Palatino Linotype" w:cs="Arial"/>
          <w:color w:val="000000" w:themeColor="text1"/>
          <w:lang w:val="es-AR"/>
        </w:rPr>
        <w:t xml:space="preserve">El día </w:t>
      </w:r>
      <w:r w:rsidR="00603FBB" w:rsidRPr="00EE2DA4">
        <w:rPr>
          <w:rFonts w:ascii="Palatino Linotype" w:eastAsia="Calibri" w:hAnsi="Palatino Linotype" w:cs="Arial"/>
          <w:color w:val="000000" w:themeColor="text1"/>
          <w:lang w:val="es-AR"/>
        </w:rPr>
        <w:t>ocho</w:t>
      </w:r>
      <w:r w:rsidR="00A34054" w:rsidRPr="00EE2DA4">
        <w:rPr>
          <w:rFonts w:ascii="Palatino Linotype" w:eastAsia="Calibri" w:hAnsi="Palatino Linotype" w:cs="Arial"/>
          <w:color w:val="000000" w:themeColor="text1"/>
          <w:lang w:val="es-AR"/>
        </w:rPr>
        <w:t xml:space="preserve"> </w:t>
      </w:r>
      <w:r w:rsidRPr="00EE2DA4">
        <w:rPr>
          <w:rFonts w:ascii="Palatino Linotype" w:eastAsia="Calibri" w:hAnsi="Palatino Linotype" w:cs="Arial"/>
          <w:color w:val="000000" w:themeColor="text1"/>
          <w:lang w:val="es-AR"/>
        </w:rPr>
        <w:t>(</w:t>
      </w:r>
      <w:r w:rsidR="004A4DE5" w:rsidRPr="00EE2DA4">
        <w:rPr>
          <w:rFonts w:ascii="Palatino Linotype" w:eastAsia="Calibri" w:hAnsi="Palatino Linotype" w:cs="Arial"/>
          <w:color w:val="000000" w:themeColor="text1"/>
          <w:lang w:val="es-AR"/>
        </w:rPr>
        <w:t>0</w:t>
      </w:r>
      <w:r w:rsidR="00603FBB" w:rsidRPr="00EE2DA4">
        <w:rPr>
          <w:rFonts w:ascii="Palatino Linotype" w:eastAsia="Calibri" w:hAnsi="Palatino Linotype" w:cs="Arial"/>
          <w:color w:val="000000" w:themeColor="text1"/>
          <w:lang w:val="es-AR"/>
        </w:rPr>
        <w:t>8</w:t>
      </w:r>
      <w:r w:rsidRPr="00EE2DA4">
        <w:rPr>
          <w:rFonts w:ascii="Palatino Linotype" w:hAnsi="Palatino Linotype"/>
          <w:i/>
          <w:color w:val="000000" w:themeColor="text1"/>
        </w:rPr>
        <w:t xml:space="preserve">) </w:t>
      </w:r>
      <w:r w:rsidRPr="00EE2DA4">
        <w:rPr>
          <w:rFonts w:ascii="Palatino Linotype" w:hAnsi="Palatino Linotype"/>
          <w:color w:val="000000" w:themeColor="text1"/>
        </w:rPr>
        <w:t xml:space="preserve">de </w:t>
      </w:r>
      <w:r w:rsidR="004A4DE5" w:rsidRPr="00EE2DA4">
        <w:rPr>
          <w:rFonts w:ascii="Palatino Linotype" w:hAnsi="Palatino Linotype"/>
          <w:color w:val="000000" w:themeColor="text1"/>
        </w:rPr>
        <w:t>noviembre</w:t>
      </w:r>
      <w:r w:rsidRPr="00EE2DA4">
        <w:rPr>
          <w:rFonts w:ascii="Palatino Linotype" w:hAnsi="Palatino Linotype"/>
          <w:color w:val="000000" w:themeColor="text1"/>
        </w:rPr>
        <w:t xml:space="preserve"> de </w:t>
      </w:r>
      <w:r w:rsidR="00E91B4E" w:rsidRPr="00EE2DA4">
        <w:rPr>
          <w:rFonts w:ascii="Palatino Linotype" w:hAnsi="Palatino Linotype"/>
          <w:color w:val="000000" w:themeColor="text1"/>
        </w:rPr>
        <w:t>dos mil diecinueve</w:t>
      </w:r>
      <w:r w:rsidRPr="00EE2DA4">
        <w:rPr>
          <w:rFonts w:ascii="Palatino Linotype" w:eastAsia="Times New Roman" w:hAnsi="Palatino Linotype" w:cs="Arial"/>
          <w:color w:val="000000" w:themeColor="text1"/>
          <w:lang w:val="es-ES"/>
        </w:rPr>
        <w:t xml:space="preserve">, el </w:t>
      </w:r>
      <w:r w:rsidRPr="00EE2DA4">
        <w:rPr>
          <w:rFonts w:ascii="Palatino Linotype" w:eastAsia="Times New Roman" w:hAnsi="Palatino Linotype" w:cs="Arial"/>
          <w:b/>
          <w:color w:val="000000" w:themeColor="text1"/>
          <w:lang w:val="es-ES"/>
        </w:rPr>
        <w:t xml:space="preserve">SUJETO OBLIGADO </w:t>
      </w:r>
      <w:r w:rsidR="00B90D3C" w:rsidRPr="00EE2DA4">
        <w:rPr>
          <w:rFonts w:ascii="Palatino Linotype" w:eastAsia="Times New Roman" w:hAnsi="Palatino Linotype" w:cs="Arial"/>
          <w:color w:val="000000" w:themeColor="text1"/>
          <w:lang w:val="es-ES"/>
        </w:rPr>
        <w:t>respondi</w:t>
      </w:r>
      <w:r w:rsidR="00EB1460" w:rsidRPr="00EE2DA4">
        <w:rPr>
          <w:rFonts w:ascii="Palatino Linotype" w:eastAsia="Times New Roman" w:hAnsi="Palatino Linotype" w:cs="Arial"/>
          <w:color w:val="000000" w:themeColor="text1"/>
          <w:lang w:val="es-ES"/>
        </w:rPr>
        <w:t>ó a la solic</w:t>
      </w:r>
      <w:r w:rsidR="00677042" w:rsidRPr="00EE2DA4">
        <w:rPr>
          <w:rFonts w:ascii="Palatino Linotype" w:eastAsia="Times New Roman" w:hAnsi="Palatino Linotype" w:cs="Arial"/>
          <w:color w:val="000000" w:themeColor="text1"/>
          <w:lang w:val="es-ES"/>
        </w:rPr>
        <w:t xml:space="preserve">itud de información </w:t>
      </w:r>
      <w:r w:rsidR="00B93AFD" w:rsidRPr="00EE2DA4">
        <w:rPr>
          <w:rFonts w:ascii="Palatino Linotype" w:eastAsia="Times New Roman" w:hAnsi="Palatino Linotype" w:cs="Arial"/>
          <w:color w:val="000000" w:themeColor="text1"/>
          <w:lang w:val="es-ES"/>
        </w:rPr>
        <w:t>en los siguientes términos:</w:t>
      </w:r>
    </w:p>
    <w:p w14:paraId="05B1CC6A" w14:textId="77777777" w:rsidR="00B93AFD" w:rsidRPr="00EE2DA4" w:rsidRDefault="00B93AFD" w:rsidP="00B93AFD">
      <w:pPr>
        <w:pStyle w:val="Prrafodelista"/>
        <w:tabs>
          <w:tab w:val="left" w:pos="567"/>
        </w:tabs>
        <w:spacing w:before="100" w:beforeAutospacing="1" w:after="100" w:afterAutospacing="1" w:line="360" w:lineRule="auto"/>
        <w:ind w:left="0"/>
        <w:jc w:val="both"/>
        <w:rPr>
          <w:rFonts w:ascii="Palatino Linotype" w:hAnsi="Palatino Linotype" w:cs="Arial"/>
          <w:color w:val="000000" w:themeColor="text1"/>
        </w:rPr>
      </w:pPr>
    </w:p>
    <w:p w14:paraId="54AC4D03" w14:textId="404E1910" w:rsidR="00B93AFD" w:rsidRPr="00EE2DA4" w:rsidRDefault="00B93AFD" w:rsidP="00B93AFD">
      <w:pPr>
        <w:pStyle w:val="Prrafodelista"/>
        <w:spacing w:line="360" w:lineRule="auto"/>
        <w:ind w:left="567" w:right="567"/>
        <w:jc w:val="both"/>
        <w:rPr>
          <w:rFonts w:ascii="Palatino Linotype" w:hAnsi="Palatino Linotype" w:cs="Arial"/>
          <w:i/>
          <w:color w:val="000000" w:themeColor="text1"/>
          <w:sz w:val="22"/>
          <w:szCs w:val="22"/>
        </w:rPr>
      </w:pPr>
      <w:r w:rsidRPr="00EE2DA4">
        <w:rPr>
          <w:rFonts w:ascii="Palatino Linotype" w:hAnsi="Palatino Linotype" w:cs="Arial"/>
          <w:i/>
          <w:color w:val="000000" w:themeColor="text1"/>
          <w:sz w:val="22"/>
          <w:szCs w:val="22"/>
        </w:rPr>
        <w:t>“</w:t>
      </w:r>
      <w:r w:rsidRPr="00EE2DA4">
        <w:rPr>
          <w:rFonts w:ascii="Palatino Linotype" w:eastAsia="Times New Roman" w:hAnsi="Palatino Linotype" w:cs="Times New Roman"/>
          <w:i/>
          <w:sz w:val="22"/>
          <w:szCs w:val="22"/>
          <w:lang w:val="es-MX" w:eastAsia="es-MX"/>
        </w:rPr>
        <w:t xml:space="preserve">Toluca, México a doce de noviembre de dos mil diecinueve Nombre del solicitante: </w:t>
      </w:r>
      <w:r w:rsidR="007100C9" w:rsidRPr="007100C9">
        <w:rPr>
          <w:rFonts w:ascii="Palatino Linotype" w:hAnsi="Palatino Linotype"/>
          <w:b/>
          <w:sz w:val="20"/>
          <w:szCs w:val="20"/>
          <w:highlight w:val="black"/>
        </w:rPr>
        <w:t>Xxxxx Xxxxxx</w:t>
      </w:r>
      <w:r w:rsidR="007100C9" w:rsidRPr="00EE2DA4">
        <w:rPr>
          <w:rFonts w:ascii="Palatino Linotype" w:eastAsia="Times New Roman" w:hAnsi="Palatino Linotype" w:cs="Times New Roman"/>
          <w:i/>
          <w:sz w:val="22"/>
          <w:szCs w:val="22"/>
          <w:lang w:val="es-MX" w:eastAsia="es-MX"/>
        </w:rPr>
        <w:t xml:space="preserve"> </w:t>
      </w:r>
      <w:r w:rsidRPr="00EE2DA4">
        <w:rPr>
          <w:rFonts w:ascii="Palatino Linotype" w:eastAsia="Times New Roman" w:hAnsi="Palatino Linotype" w:cs="Times New Roman"/>
          <w:i/>
          <w:sz w:val="22"/>
          <w:szCs w:val="22"/>
          <w:lang w:val="es-MX" w:eastAsia="es-MX"/>
        </w:rPr>
        <w:t>Folio de la solicitud: 00292/CODHEM/IP/2019 Con fundamento en los artículos 163, y 53 fracciones II, V y VI de la Ley de Transparencia y Acceso a la información Pública del Estado de México y Municipios, me permito notificar la respuesta a su solicitud, misma que encontrará en archivos anexos. Atte. M. en A. P. Sheila Velázquez Londaiz Titular de la Unidad de Transparencia</w:t>
      </w:r>
      <w:r w:rsidRPr="00EE2DA4">
        <w:rPr>
          <w:rFonts w:ascii="Palatino Linotype" w:hAnsi="Palatino Linotype" w:cs="Arial"/>
          <w:i/>
          <w:color w:val="000000" w:themeColor="text1"/>
          <w:sz w:val="22"/>
          <w:szCs w:val="22"/>
        </w:rPr>
        <w:t>”</w:t>
      </w:r>
    </w:p>
    <w:p w14:paraId="53DFCA76" w14:textId="77777777" w:rsidR="00B93AFD" w:rsidRPr="00EE2DA4" w:rsidRDefault="00B93AFD" w:rsidP="00B93AFD">
      <w:pPr>
        <w:pStyle w:val="Prrafodelista"/>
        <w:tabs>
          <w:tab w:val="left" w:pos="567"/>
        </w:tabs>
        <w:spacing w:before="100" w:beforeAutospacing="1" w:after="100" w:afterAutospacing="1" w:line="360" w:lineRule="auto"/>
        <w:ind w:left="0"/>
        <w:jc w:val="both"/>
        <w:rPr>
          <w:rFonts w:ascii="Palatino Linotype" w:hAnsi="Palatino Linotype" w:cs="Arial"/>
          <w:color w:val="000000" w:themeColor="text1"/>
        </w:rPr>
      </w:pPr>
    </w:p>
    <w:p w14:paraId="3185BECF" w14:textId="4E2E4A1B" w:rsidR="00B93AFD" w:rsidRPr="00EE2DA4" w:rsidRDefault="00B93AFD" w:rsidP="00804C26">
      <w:pPr>
        <w:pStyle w:val="Prrafodelista"/>
        <w:numPr>
          <w:ilvl w:val="0"/>
          <w:numId w:val="1"/>
        </w:numPr>
        <w:tabs>
          <w:tab w:val="left" w:pos="567"/>
        </w:tabs>
        <w:spacing w:before="100" w:beforeAutospacing="1" w:after="100" w:afterAutospacing="1" w:line="360" w:lineRule="auto"/>
        <w:ind w:left="0" w:firstLine="0"/>
        <w:jc w:val="both"/>
        <w:rPr>
          <w:rFonts w:ascii="Palatino Linotype" w:hAnsi="Palatino Linotype" w:cs="Arial"/>
          <w:i/>
          <w:color w:val="000000" w:themeColor="text1"/>
          <w:sz w:val="22"/>
          <w:szCs w:val="22"/>
        </w:rPr>
      </w:pPr>
      <w:r w:rsidRPr="00EE2DA4">
        <w:rPr>
          <w:rFonts w:ascii="Palatino Linotype" w:eastAsia="Times New Roman" w:hAnsi="Palatino Linotype" w:cs="Arial"/>
          <w:color w:val="000000" w:themeColor="text1"/>
          <w:lang w:val="es-ES"/>
        </w:rPr>
        <w:t>A</w:t>
      </w:r>
      <w:r w:rsidR="00603FBB" w:rsidRPr="00EE2DA4">
        <w:rPr>
          <w:rFonts w:ascii="Palatino Linotype" w:eastAsia="Times New Roman" w:hAnsi="Palatino Linotype" w:cs="Arial"/>
          <w:color w:val="000000" w:themeColor="text1"/>
          <w:lang w:val="es-ES"/>
        </w:rPr>
        <w:t xml:space="preserve"> </w:t>
      </w:r>
      <w:r w:rsidRPr="00EE2DA4">
        <w:rPr>
          <w:rFonts w:ascii="Palatino Linotype" w:eastAsia="Times New Roman" w:hAnsi="Palatino Linotype" w:cs="Arial"/>
          <w:color w:val="000000" w:themeColor="text1"/>
          <w:lang w:val="es-ES"/>
        </w:rPr>
        <w:t>su respuesta adjuntó los</w:t>
      </w:r>
      <w:r w:rsidR="00603FBB" w:rsidRPr="00EE2DA4">
        <w:rPr>
          <w:rFonts w:ascii="Palatino Linotype" w:eastAsia="Times New Roman" w:hAnsi="Palatino Linotype" w:cs="Arial"/>
          <w:color w:val="000000" w:themeColor="text1"/>
          <w:lang w:val="es-ES"/>
        </w:rPr>
        <w:t xml:space="preserve"> archivo</w:t>
      </w:r>
      <w:r w:rsidRPr="00EE2DA4">
        <w:rPr>
          <w:rFonts w:ascii="Palatino Linotype" w:eastAsia="Times New Roman" w:hAnsi="Palatino Linotype" w:cs="Arial"/>
          <w:color w:val="000000" w:themeColor="text1"/>
          <w:lang w:val="es-ES"/>
        </w:rPr>
        <w:t>s</w:t>
      </w:r>
      <w:r w:rsidR="00603FBB" w:rsidRPr="00EE2DA4">
        <w:rPr>
          <w:rFonts w:ascii="Palatino Linotype" w:eastAsia="Times New Roman" w:hAnsi="Palatino Linotype" w:cs="Arial"/>
          <w:color w:val="000000" w:themeColor="text1"/>
          <w:lang w:val="es-ES"/>
        </w:rPr>
        <w:t xml:space="preserve"> electrónico</w:t>
      </w:r>
      <w:r w:rsidRPr="00EE2DA4">
        <w:rPr>
          <w:rFonts w:ascii="Palatino Linotype" w:eastAsia="Times New Roman" w:hAnsi="Palatino Linotype" w:cs="Arial"/>
          <w:color w:val="000000" w:themeColor="text1"/>
          <w:lang w:val="es-ES"/>
        </w:rPr>
        <w:t>s</w:t>
      </w:r>
      <w:r w:rsidR="00603FBB" w:rsidRPr="00EE2DA4">
        <w:rPr>
          <w:rFonts w:ascii="Palatino Linotype" w:eastAsia="Times New Roman" w:hAnsi="Palatino Linotype" w:cs="Arial"/>
          <w:color w:val="000000" w:themeColor="text1"/>
          <w:lang w:val="es-ES"/>
        </w:rPr>
        <w:t xml:space="preserve"> “</w:t>
      </w:r>
      <w:hyperlink r:id="rId8" w:tgtFrame="_blank" w:history="1">
        <w:r w:rsidRPr="00EE2DA4">
          <w:rPr>
            <w:rStyle w:val="Hipervnculo"/>
            <w:rFonts w:ascii="Palatino Linotype" w:hAnsi="Palatino Linotype" w:cs="Arial"/>
            <w:b/>
            <w:bCs/>
            <w:i/>
            <w:color w:val="000000" w:themeColor="text1"/>
            <w:sz w:val="22"/>
            <w:szCs w:val="22"/>
            <w:u w:val="none"/>
          </w:rPr>
          <w:t>Solicitud 00292 CODHEM IP 20190001.pdf</w:t>
        </w:r>
      </w:hyperlink>
      <w:r w:rsidR="00603FBB" w:rsidRPr="00EE2DA4">
        <w:rPr>
          <w:rFonts w:ascii="Palatino Linotype" w:hAnsi="Palatino Linotype"/>
          <w:i/>
          <w:color w:val="000000" w:themeColor="text1"/>
        </w:rPr>
        <w:t xml:space="preserve">” </w:t>
      </w:r>
      <w:r w:rsidRPr="00EE2DA4">
        <w:rPr>
          <w:rFonts w:ascii="Palatino Linotype" w:hAnsi="Palatino Linotype"/>
          <w:i/>
          <w:color w:val="000000" w:themeColor="text1"/>
        </w:rPr>
        <w:t>y “</w:t>
      </w:r>
      <w:hyperlink r:id="rId9" w:tgtFrame="_blank" w:history="1">
        <w:r w:rsidRPr="00EE2DA4">
          <w:rPr>
            <w:rStyle w:val="Hipervnculo"/>
            <w:rFonts w:ascii="Palatino Linotype" w:hAnsi="Palatino Linotype" w:cs="Arial"/>
            <w:b/>
            <w:bCs/>
            <w:i/>
            <w:color w:val="000000" w:themeColor="text1"/>
            <w:sz w:val="22"/>
            <w:szCs w:val="22"/>
            <w:u w:val="none"/>
          </w:rPr>
          <w:t>292.pdf</w:t>
        </w:r>
      </w:hyperlink>
      <w:r w:rsidRPr="00EE2DA4">
        <w:rPr>
          <w:rFonts w:ascii="Palatino Linotype" w:hAnsi="Palatino Linotype"/>
          <w:i/>
          <w:color w:val="000000" w:themeColor="text1"/>
        </w:rPr>
        <w:t>”</w:t>
      </w:r>
      <w:r w:rsidR="002A794F" w:rsidRPr="00EE2DA4">
        <w:rPr>
          <w:rFonts w:ascii="Palatino Linotype" w:hAnsi="Palatino Linotype"/>
          <w:i/>
          <w:color w:val="000000" w:themeColor="text1"/>
        </w:rPr>
        <w:t xml:space="preserve">, </w:t>
      </w:r>
      <w:r w:rsidR="00616E88" w:rsidRPr="00EE2DA4">
        <w:rPr>
          <w:rFonts w:ascii="Palatino Linotype" w:hAnsi="Palatino Linotype"/>
          <w:color w:val="000000" w:themeColor="text1"/>
        </w:rPr>
        <w:t xml:space="preserve">el primero enunciado </w:t>
      </w:r>
      <w:r w:rsidR="00603FBB" w:rsidRPr="00EE2DA4">
        <w:rPr>
          <w:rFonts w:ascii="Palatino Linotype" w:hAnsi="Palatino Linotype"/>
          <w:color w:val="000000" w:themeColor="text1"/>
        </w:rPr>
        <w:t xml:space="preserve">constante en </w:t>
      </w:r>
      <w:r w:rsidR="00616E88" w:rsidRPr="00EE2DA4">
        <w:rPr>
          <w:rFonts w:ascii="Palatino Linotype" w:hAnsi="Palatino Linotype"/>
          <w:color w:val="000000" w:themeColor="text1"/>
        </w:rPr>
        <w:t>una hoja</w:t>
      </w:r>
      <w:r w:rsidR="00603FBB" w:rsidRPr="00EE2DA4">
        <w:rPr>
          <w:rFonts w:ascii="Palatino Linotype" w:hAnsi="Palatino Linotype"/>
          <w:color w:val="000000" w:themeColor="text1"/>
        </w:rPr>
        <w:t xml:space="preserve"> con </w:t>
      </w:r>
      <w:r w:rsidR="00616E88" w:rsidRPr="00EE2DA4">
        <w:rPr>
          <w:rFonts w:ascii="Palatino Linotype" w:hAnsi="Palatino Linotype"/>
          <w:color w:val="000000" w:themeColor="text1"/>
        </w:rPr>
        <w:t xml:space="preserve">el oficio número UT/456/2019 signado por </w:t>
      </w:r>
      <w:r w:rsidR="00E30BC2" w:rsidRPr="00EE2DA4">
        <w:rPr>
          <w:rFonts w:ascii="Palatino Linotype" w:hAnsi="Palatino Linotype"/>
          <w:color w:val="000000" w:themeColor="text1"/>
        </w:rPr>
        <w:t>la</w:t>
      </w:r>
      <w:r w:rsidR="00616E88" w:rsidRPr="00EE2DA4">
        <w:rPr>
          <w:rFonts w:ascii="Palatino Linotype" w:hAnsi="Palatino Linotype"/>
          <w:color w:val="000000" w:themeColor="text1"/>
        </w:rPr>
        <w:t xml:space="preserve"> Titular de la Unidad de Transparencia mediante el cual se informa que “</w:t>
      </w:r>
      <w:r w:rsidR="00616E88" w:rsidRPr="00EE2DA4">
        <w:rPr>
          <w:rFonts w:ascii="Palatino Linotype" w:hAnsi="Palatino Linotype"/>
          <w:i/>
          <w:color w:val="000000" w:themeColor="text1"/>
        </w:rPr>
        <w:t>el servidor público habilitado de la Unidad de Información, Planeación, Programación y Evaluación preparó respuesta a su solicitud, la cual se adjunta en archivos pdf”</w:t>
      </w:r>
      <w:r w:rsidR="00603FBB" w:rsidRPr="00EE2DA4">
        <w:rPr>
          <w:rFonts w:ascii="Palatino Linotype" w:hAnsi="Palatino Linotype"/>
          <w:i/>
          <w:color w:val="000000" w:themeColor="text1"/>
        </w:rPr>
        <w:t>,</w:t>
      </w:r>
      <w:r w:rsidR="00603FBB" w:rsidRPr="00EE2DA4">
        <w:rPr>
          <w:rFonts w:ascii="Palatino Linotype" w:hAnsi="Palatino Linotype"/>
          <w:color w:val="000000" w:themeColor="text1"/>
        </w:rPr>
        <w:t xml:space="preserve"> </w:t>
      </w:r>
      <w:r w:rsidR="00616E88" w:rsidRPr="00EE2DA4">
        <w:rPr>
          <w:rFonts w:ascii="Palatino Linotype" w:hAnsi="Palatino Linotype"/>
          <w:color w:val="000000" w:themeColor="text1"/>
        </w:rPr>
        <w:t xml:space="preserve">así mismo en el segundo mencionado se advierte la respuesta emitida por el Servidor Público Habilitado de la Unidad de </w:t>
      </w:r>
      <w:r w:rsidR="00BE0E63" w:rsidRPr="00EE2DA4">
        <w:rPr>
          <w:rFonts w:ascii="Palatino Linotype" w:hAnsi="Palatino Linotype"/>
          <w:color w:val="000000" w:themeColor="text1"/>
        </w:rPr>
        <w:t xml:space="preserve">Información, Planeación, Programación y Evaluación de la </w:t>
      </w:r>
      <w:r w:rsidR="00616E88" w:rsidRPr="00EE2DA4">
        <w:rPr>
          <w:rFonts w:ascii="Palatino Linotype" w:hAnsi="Palatino Linotype"/>
          <w:color w:val="000000" w:themeColor="text1"/>
        </w:rPr>
        <w:t>Comisión de Derechos Humanos del Estado de México</w:t>
      </w:r>
      <w:r w:rsidR="00BE0E63" w:rsidRPr="00EE2DA4">
        <w:rPr>
          <w:rFonts w:ascii="Palatino Linotype" w:hAnsi="Palatino Linotype"/>
          <w:color w:val="000000" w:themeColor="text1"/>
        </w:rPr>
        <w:t xml:space="preserve"> constante en trece hojas,</w:t>
      </w:r>
      <w:r w:rsidR="00616E88" w:rsidRPr="00EE2DA4">
        <w:rPr>
          <w:rFonts w:ascii="Palatino Linotype" w:hAnsi="Palatino Linotype"/>
          <w:color w:val="000000" w:themeColor="text1"/>
        </w:rPr>
        <w:t xml:space="preserve"> </w:t>
      </w:r>
      <w:r w:rsidR="00603FBB" w:rsidRPr="00EE2DA4">
        <w:rPr>
          <w:rFonts w:ascii="Palatino Linotype" w:hAnsi="Palatino Linotype"/>
          <w:color w:val="000000" w:themeColor="text1"/>
        </w:rPr>
        <w:t xml:space="preserve">cuyo contenido no se inserta en este </w:t>
      </w:r>
      <w:r w:rsidR="00603FBB" w:rsidRPr="00EE2DA4">
        <w:rPr>
          <w:rFonts w:ascii="Palatino Linotype" w:hAnsi="Palatino Linotype"/>
          <w:color w:val="000000" w:themeColor="text1"/>
        </w:rPr>
        <w:lastRenderedPageBreak/>
        <w:t>apartado en obviedad de repeticiones innecesarias toda vez que ya es del conocimiento de ambas partes y será motivo de estudio en el cuerpo del presente resolución.</w:t>
      </w:r>
    </w:p>
    <w:p w14:paraId="60DDC7DF" w14:textId="77777777" w:rsidR="00804C26" w:rsidRPr="00EE2DA4" w:rsidRDefault="00804C26" w:rsidP="00804C26">
      <w:pPr>
        <w:pStyle w:val="Prrafodelista"/>
        <w:tabs>
          <w:tab w:val="left" w:pos="567"/>
        </w:tabs>
        <w:spacing w:line="360" w:lineRule="auto"/>
        <w:ind w:left="0"/>
        <w:jc w:val="both"/>
        <w:rPr>
          <w:rFonts w:ascii="Palatino Linotype" w:hAnsi="Palatino Linotype"/>
          <w:color w:val="000000" w:themeColor="text1"/>
        </w:rPr>
      </w:pPr>
    </w:p>
    <w:p w14:paraId="507E86AF" w14:textId="6ED34302" w:rsidR="00F34201" w:rsidRPr="00EE2DA4" w:rsidRDefault="00F34201" w:rsidP="004E1461">
      <w:pPr>
        <w:pStyle w:val="Prrafodelista"/>
        <w:numPr>
          <w:ilvl w:val="0"/>
          <w:numId w:val="1"/>
        </w:numPr>
        <w:tabs>
          <w:tab w:val="left" w:pos="426"/>
          <w:tab w:val="left" w:pos="567"/>
        </w:tabs>
        <w:spacing w:line="360" w:lineRule="auto"/>
        <w:ind w:left="0" w:firstLine="0"/>
        <w:jc w:val="both"/>
        <w:rPr>
          <w:rFonts w:ascii="Palatino Linotype" w:hAnsi="Palatino Linotype" w:cs="Arial"/>
          <w:color w:val="000000" w:themeColor="text1"/>
        </w:rPr>
      </w:pPr>
      <w:r w:rsidRPr="00EE2DA4">
        <w:rPr>
          <w:rFonts w:ascii="Palatino Linotype" w:eastAsia="Times New Roman" w:hAnsi="Palatino Linotype" w:cs="Arial"/>
          <w:color w:val="000000" w:themeColor="text1"/>
          <w:lang w:val="es-ES"/>
        </w:rPr>
        <w:t xml:space="preserve">El día </w:t>
      </w:r>
      <w:r w:rsidR="00BE0E63" w:rsidRPr="00EE2DA4">
        <w:rPr>
          <w:rFonts w:ascii="Palatino Linotype" w:eastAsia="Times New Roman" w:hAnsi="Palatino Linotype" w:cs="Arial"/>
          <w:color w:val="000000" w:themeColor="text1"/>
          <w:lang w:val="es-ES"/>
        </w:rPr>
        <w:t>cuatro</w:t>
      </w:r>
      <w:r w:rsidR="00E50A9C" w:rsidRPr="00EE2DA4">
        <w:rPr>
          <w:rFonts w:ascii="Palatino Linotype" w:eastAsia="Times New Roman" w:hAnsi="Palatino Linotype" w:cs="Arial"/>
          <w:color w:val="000000" w:themeColor="text1"/>
          <w:lang w:val="es-ES"/>
        </w:rPr>
        <w:t xml:space="preserve"> </w:t>
      </w:r>
      <w:r w:rsidR="00E239DF" w:rsidRPr="00EE2DA4">
        <w:rPr>
          <w:rFonts w:ascii="Palatino Linotype" w:eastAsia="Times New Roman" w:hAnsi="Palatino Linotype" w:cs="Arial"/>
          <w:color w:val="000000" w:themeColor="text1"/>
          <w:lang w:val="es-ES"/>
        </w:rPr>
        <w:t>(</w:t>
      </w:r>
      <w:r w:rsidR="00BE0E63" w:rsidRPr="00EE2DA4">
        <w:rPr>
          <w:rFonts w:ascii="Palatino Linotype" w:eastAsia="Times New Roman" w:hAnsi="Palatino Linotype" w:cs="Arial"/>
          <w:color w:val="000000" w:themeColor="text1"/>
          <w:lang w:val="es-ES"/>
        </w:rPr>
        <w:t>04</w:t>
      </w:r>
      <w:r w:rsidR="00E239DF" w:rsidRPr="00EE2DA4">
        <w:rPr>
          <w:rFonts w:ascii="Palatino Linotype" w:eastAsia="Times New Roman" w:hAnsi="Palatino Linotype" w:cs="Arial"/>
          <w:color w:val="000000" w:themeColor="text1"/>
          <w:lang w:val="es-ES"/>
        </w:rPr>
        <w:t xml:space="preserve">) de </w:t>
      </w:r>
      <w:r w:rsidR="00BE0E63" w:rsidRPr="00EE2DA4">
        <w:rPr>
          <w:rFonts w:ascii="Palatino Linotype" w:eastAsia="Times New Roman" w:hAnsi="Palatino Linotype" w:cs="Arial"/>
          <w:color w:val="000000" w:themeColor="text1"/>
          <w:lang w:val="es-ES"/>
        </w:rPr>
        <w:t>dic</w:t>
      </w:r>
      <w:r w:rsidR="00696955" w:rsidRPr="00EE2DA4">
        <w:rPr>
          <w:rFonts w:ascii="Palatino Linotype" w:eastAsia="Times New Roman" w:hAnsi="Palatino Linotype" w:cs="Arial"/>
          <w:color w:val="000000" w:themeColor="text1"/>
          <w:lang w:val="es-ES"/>
        </w:rPr>
        <w:t>iembre</w:t>
      </w:r>
      <w:r w:rsidR="00DC6FF3" w:rsidRPr="00EE2DA4">
        <w:rPr>
          <w:rFonts w:ascii="Palatino Linotype" w:eastAsia="Times New Roman" w:hAnsi="Palatino Linotype" w:cs="Arial"/>
          <w:color w:val="000000" w:themeColor="text1"/>
          <w:lang w:val="es-ES"/>
        </w:rPr>
        <w:t xml:space="preserve"> </w:t>
      </w:r>
      <w:r w:rsidR="00E239DF" w:rsidRPr="00EE2DA4">
        <w:rPr>
          <w:rFonts w:ascii="Palatino Linotype" w:eastAsia="Times New Roman" w:hAnsi="Palatino Linotype" w:cs="Arial"/>
          <w:color w:val="000000" w:themeColor="text1"/>
          <w:lang w:val="es-ES"/>
        </w:rPr>
        <w:t xml:space="preserve">de </w:t>
      </w:r>
      <w:r w:rsidR="00E91B4E" w:rsidRPr="00EE2DA4">
        <w:rPr>
          <w:rFonts w:ascii="Palatino Linotype" w:eastAsia="Times New Roman" w:hAnsi="Palatino Linotype" w:cs="Arial"/>
          <w:color w:val="000000" w:themeColor="text1"/>
          <w:lang w:val="es-ES"/>
        </w:rPr>
        <w:t>dos mil diecinueve</w:t>
      </w:r>
      <w:r w:rsidRPr="00EE2DA4">
        <w:rPr>
          <w:rFonts w:ascii="Palatino Linotype" w:eastAsia="Times New Roman" w:hAnsi="Palatino Linotype" w:cs="Arial"/>
          <w:color w:val="000000" w:themeColor="text1"/>
          <w:lang w:val="es-ES"/>
        </w:rPr>
        <w:t xml:space="preserve">, </w:t>
      </w:r>
      <w:r w:rsidR="00797148" w:rsidRPr="00EE2DA4">
        <w:rPr>
          <w:rFonts w:ascii="Palatino Linotype" w:hAnsi="Palatino Linotype"/>
          <w:color w:val="000000" w:themeColor="text1"/>
        </w:rPr>
        <w:t>se</w:t>
      </w:r>
      <w:r w:rsidR="00C15336" w:rsidRPr="00EE2DA4">
        <w:rPr>
          <w:rFonts w:ascii="Palatino Linotype" w:hAnsi="Palatino Linotype"/>
          <w:color w:val="000000" w:themeColor="text1"/>
        </w:rPr>
        <w:t xml:space="preserve"> </w:t>
      </w:r>
      <w:r w:rsidRPr="00EE2DA4">
        <w:rPr>
          <w:rFonts w:ascii="Palatino Linotype" w:eastAsia="Times New Roman" w:hAnsi="Palatino Linotype" w:cs="Arial"/>
          <w:color w:val="000000" w:themeColor="text1"/>
          <w:lang w:val="es-ES"/>
        </w:rPr>
        <w:t xml:space="preserve">interpuso el recurso de revisión, en contra de la respuesta </w:t>
      </w:r>
      <w:r w:rsidR="00826130" w:rsidRPr="00EE2DA4">
        <w:rPr>
          <w:rFonts w:ascii="Palatino Linotype" w:eastAsia="Times New Roman" w:hAnsi="Palatino Linotype" w:cs="Arial"/>
          <w:color w:val="000000" w:themeColor="text1"/>
          <w:lang w:val="es-ES"/>
        </w:rPr>
        <w:t xml:space="preserve">emitida por el </w:t>
      </w:r>
      <w:r w:rsidR="00826130" w:rsidRPr="00EE2DA4">
        <w:rPr>
          <w:rFonts w:ascii="Palatino Linotype" w:eastAsia="Times New Roman" w:hAnsi="Palatino Linotype" w:cs="Arial"/>
          <w:b/>
          <w:color w:val="000000" w:themeColor="text1"/>
          <w:lang w:val="es-ES"/>
        </w:rPr>
        <w:t>SUJETO OBLIGADO</w:t>
      </w:r>
      <w:r w:rsidRPr="00EE2DA4">
        <w:rPr>
          <w:rFonts w:ascii="Palatino Linotype" w:eastAsia="Times New Roman" w:hAnsi="Palatino Linotype" w:cs="Arial"/>
          <w:color w:val="000000" w:themeColor="text1"/>
          <w:lang w:val="es-ES"/>
        </w:rPr>
        <w:t>, señalando como:</w:t>
      </w:r>
    </w:p>
    <w:p w14:paraId="5D195D9E" w14:textId="77777777" w:rsidR="00C15336" w:rsidRPr="00EE2DA4" w:rsidRDefault="00C15336" w:rsidP="004E1461">
      <w:pPr>
        <w:pStyle w:val="Prrafodelista"/>
        <w:tabs>
          <w:tab w:val="left" w:pos="567"/>
        </w:tabs>
        <w:spacing w:line="360" w:lineRule="auto"/>
        <w:ind w:left="0"/>
        <w:jc w:val="both"/>
        <w:rPr>
          <w:rFonts w:ascii="Palatino Linotype" w:hAnsi="Palatino Linotype"/>
          <w:color w:val="000000" w:themeColor="text1"/>
        </w:rPr>
      </w:pPr>
    </w:p>
    <w:p w14:paraId="59970600" w14:textId="33438063" w:rsidR="00F34201" w:rsidRPr="00EE2DA4" w:rsidRDefault="006711DB" w:rsidP="00C64E15">
      <w:pPr>
        <w:spacing w:line="360" w:lineRule="auto"/>
        <w:ind w:left="567" w:right="567"/>
        <w:jc w:val="both"/>
        <w:rPr>
          <w:rFonts w:ascii="Palatino Linotype" w:eastAsia="Calibri" w:hAnsi="Palatino Linotype" w:cs="Arial"/>
          <w:i/>
          <w:color w:val="000000" w:themeColor="text1"/>
          <w:sz w:val="22"/>
          <w:szCs w:val="22"/>
          <w:lang w:val="es-ES"/>
        </w:rPr>
      </w:pPr>
      <w:bookmarkStart w:id="5" w:name="_Toc33186529"/>
      <w:r w:rsidRPr="00EE2DA4">
        <w:rPr>
          <w:rStyle w:val="Ttulo2Car"/>
          <w:sz w:val="22"/>
          <w:szCs w:val="22"/>
          <w:lang w:val="es-ES"/>
        </w:rPr>
        <w:t xml:space="preserve">a) </w:t>
      </w:r>
      <w:bookmarkStart w:id="6" w:name="_Toc464139197"/>
      <w:bookmarkStart w:id="7" w:name="_Toc471981162"/>
      <w:bookmarkStart w:id="8" w:name="_Toc471981317"/>
      <w:bookmarkStart w:id="9" w:name="_Toc472780344"/>
      <w:bookmarkStart w:id="10" w:name="_Toc473229705"/>
      <w:bookmarkStart w:id="11" w:name="_Toc473651751"/>
      <w:bookmarkStart w:id="12" w:name="_Toc476135272"/>
      <w:bookmarkStart w:id="13" w:name="_Toc476135581"/>
      <w:bookmarkStart w:id="14" w:name="_Toc476765027"/>
      <w:bookmarkStart w:id="15" w:name="_Toc476766283"/>
      <w:bookmarkStart w:id="16" w:name="_Toc476766378"/>
      <w:bookmarkStart w:id="17" w:name="_Toc478584831"/>
      <w:bookmarkStart w:id="18" w:name="_Toc481092627"/>
      <w:bookmarkStart w:id="19" w:name="_Toc487053684"/>
      <w:bookmarkStart w:id="20" w:name="_Toc487053879"/>
      <w:bookmarkStart w:id="21" w:name="_Toc494915459"/>
      <w:bookmarkStart w:id="22" w:name="_Toc494920818"/>
      <w:bookmarkStart w:id="23" w:name="_Toc494920990"/>
      <w:bookmarkStart w:id="24" w:name="_Toc473812223"/>
      <w:bookmarkStart w:id="25" w:name="_Toc477277064"/>
      <w:bookmarkStart w:id="26" w:name="_Toc477279481"/>
      <w:bookmarkStart w:id="27" w:name="_Toc479274980"/>
      <w:bookmarkStart w:id="28" w:name="_Toc479275048"/>
      <w:bookmarkStart w:id="29" w:name="_Toc479275094"/>
      <w:bookmarkStart w:id="30" w:name="_Toc494998348"/>
      <w:bookmarkStart w:id="31" w:name="_Toc495430766"/>
      <w:r w:rsidR="00F34201" w:rsidRPr="00EE2DA4">
        <w:rPr>
          <w:rStyle w:val="Ttulo2Car"/>
          <w:sz w:val="22"/>
          <w:szCs w:val="22"/>
          <w:lang w:val="es-ES"/>
        </w:rPr>
        <w:t>Acto impugnado:</w:t>
      </w:r>
      <w:bookmarkStart w:id="32" w:name="_Toc464139198"/>
      <w:bookmarkStart w:id="33" w:name="_Toc471981163"/>
      <w:bookmarkStart w:id="34" w:name="_Toc471981318"/>
      <w:bookmarkStart w:id="35" w:name="_Toc472780345"/>
      <w:bookmarkStart w:id="36" w:name="_Toc473229706"/>
      <w:bookmarkStart w:id="37" w:name="_Toc473651752"/>
      <w:bookmarkStart w:id="38" w:name="_Toc476135273"/>
      <w:bookmarkStart w:id="39" w:name="_Toc476135582"/>
      <w:bookmarkStart w:id="40" w:name="_Toc476765028"/>
      <w:bookmarkStart w:id="41" w:name="_Toc476766284"/>
      <w:bookmarkStart w:id="42" w:name="_Toc476766379"/>
      <w:bookmarkStart w:id="43" w:name="_Toc478584832"/>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0038315E" w:rsidRPr="00EE2DA4">
        <w:rPr>
          <w:rStyle w:val="Ttulo2Car"/>
          <w:sz w:val="22"/>
          <w:szCs w:val="22"/>
          <w:lang w:val="es-ES"/>
        </w:rPr>
        <w:t xml:space="preserve"> </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003B0860" w:rsidRPr="00EE2DA4">
        <w:rPr>
          <w:rFonts w:ascii="Palatino Linotype" w:hAnsi="Palatino Linotype"/>
          <w:i/>
          <w:color w:val="000000" w:themeColor="text1"/>
          <w:sz w:val="22"/>
          <w:szCs w:val="22"/>
        </w:rPr>
        <w:t>“</w:t>
      </w:r>
      <w:r w:rsidR="00BE0E63" w:rsidRPr="00EE2DA4">
        <w:rPr>
          <w:rFonts w:ascii="Palatino Linotype" w:hAnsi="Palatino Linotype"/>
          <w:i/>
          <w:color w:val="000000"/>
          <w:sz w:val="22"/>
          <w:szCs w:val="22"/>
        </w:rPr>
        <w:t>La respuesta del Sujeto Obligado</w:t>
      </w:r>
      <w:r w:rsidR="00451EB6" w:rsidRPr="00EE2DA4">
        <w:rPr>
          <w:rFonts w:ascii="Palatino Linotype" w:eastAsia="Times New Roman" w:hAnsi="Palatino Linotype" w:cs="Times New Roman"/>
          <w:i/>
          <w:color w:val="000000" w:themeColor="text1"/>
          <w:sz w:val="22"/>
          <w:szCs w:val="22"/>
          <w:lang w:val="es-MX" w:eastAsia="es-MX"/>
        </w:rPr>
        <w:t>"</w:t>
      </w:r>
      <w:r w:rsidR="00451EB6" w:rsidRPr="00EE2DA4">
        <w:rPr>
          <w:rFonts w:ascii="Palatino Linotype" w:eastAsia="Calibri" w:hAnsi="Palatino Linotype" w:cs="Arial"/>
          <w:i/>
          <w:color w:val="000000" w:themeColor="text1"/>
          <w:sz w:val="22"/>
          <w:szCs w:val="22"/>
          <w:lang w:val="es-ES"/>
        </w:rPr>
        <w:t xml:space="preserve"> </w:t>
      </w:r>
      <w:r w:rsidR="00AC6585" w:rsidRPr="00EE2DA4">
        <w:rPr>
          <w:rFonts w:ascii="Palatino Linotype" w:eastAsia="Calibri" w:hAnsi="Palatino Linotype" w:cs="Arial"/>
          <w:i/>
          <w:color w:val="000000" w:themeColor="text1"/>
          <w:sz w:val="22"/>
          <w:szCs w:val="22"/>
          <w:lang w:val="es-ES"/>
        </w:rPr>
        <w:t>(Sic)</w:t>
      </w:r>
    </w:p>
    <w:p w14:paraId="7961E1B1" w14:textId="77777777" w:rsidR="00C64E15" w:rsidRPr="00EE2DA4" w:rsidRDefault="00C64E15" w:rsidP="00C64E15">
      <w:pPr>
        <w:pStyle w:val="Prrafodelista"/>
        <w:tabs>
          <w:tab w:val="left" w:pos="567"/>
        </w:tabs>
        <w:spacing w:line="360" w:lineRule="auto"/>
        <w:ind w:left="0"/>
        <w:jc w:val="both"/>
        <w:rPr>
          <w:rFonts w:ascii="Palatino Linotype" w:hAnsi="Palatino Linotype"/>
          <w:color w:val="000000" w:themeColor="text1"/>
        </w:rPr>
      </w:pPr>
    </w:p>
    <w:p w14:paraId="5DF021EB" w14:textId="04B8532E" w:rsidR="00B33884" w:rsidRPr="00EE2DA4" w:rsidRDefault="006711DB" w:rsidP="00D423B5">
      <w:pPr>
        <w:spacing w:line="360" w:lineRule="auto"/>
        <w:ind w:left="567" w:right="567"/>
        <w:jc w:val="both"/>
        <w:rPr>
          <w:rFonts w:ascii="Palatino Linotype" w:hAnsi="Palatino Linotype"/>
          <w:i/>
          <w:color w:val="000000" w:themeColor="text1"/>
          <w:sz w:val="22"/>
          <w:szCs w:val="22"/>
        </w:rPr>
      </w:pPr>
      <w:bookmarkStart w:id="44" w:name="_Toc478584833"/>
      <w:bookmarkStart w:id="45" w:name="_Toc479274981"/>
      <w:bookmarkStart w:id="46" w:name="_Toc479275049"/>
      <w:bookmarkStart w:id="47" w:name="_Toc479275095"/>
      <w:bookmarkStart w:id="48" w:name="_Toc481092629"/>
      <w:bookmarkStart w:id="49" w:name="_Toc487053686"/>
      <w:bookmarkStart w:id="50" w:name="_Toc487053881"/>
      <w:bookmarkStart w:id="51" w:name="_Toc494915461"/>
      <w:bookmarkStart w:id="52" w:name="_Toc494920992"/>
      <w:bookmarkStart w:id="53" w:name="_Toc494998349"/>
      <w:bookmarkStart w:id="54" w:name="_Toc495430767"/>
      <w:bookmarkStart w:id="55" w:name="_Toc33186530"/>
      <w:r w:rsidRPr="00EE2DA4">
        <w:rPr>
          <w:rStyle w:val="Ttulo2Car"/>
          <w:sz w:val="22"/>
          <w:szCs w:val="22"/>
          <w:lang w:val="es-ES"/>
        </w:rPr>
        <w:t xml:space="preserve">b) </w:t>
      </w:r>
      <w:r w:rsidR="00F34201" w:rsidRPr="00EE2DA4">
        <w:rPr>
          <w:rStyle w:val="Ttulo2Car"/>
          <w:sz w:val="22"/>
          <w:szCs w:val="22"/>
          <w:lang w:val="es-ES"/>
        </w:rPr>
        <w:t>Razones o Motivos de inconformidad:</w:t>
      </w:r>
      <w:bookmarkEnd w:id="44"/>
      <w:bookmarkEnd w:id="45"/>
      <w:bookmarkEnd w:id="46"/>
      <w:bookmarkEnd w:id="47"/>
      <w:bookmarkEnd w:id="48"/>
      <w:bookmarkEnd w:id="49"/>
      <w:bookmarkEnd w:id="50"/>
      <w:bookmarkEnd w:id="51"/>
      <w:bookmarkEnd w:id="52"/>
      <w:bookmarkEnd w:id="53"/>
      <w:bookmarkEnd w:id="54"/>
      <w:bookmarkEnd w:id="55"/>
      <w:r w:rsidR="00F34201" w:rsidRPr="00EE2DA4">
        <w:rPr>
          <w:rFonts w:ascii="Palatino Linotype" w:hAnsi="Palatino Linotype"/>
          <w:color w:val="000000" w:themeColor="text1"/>
          <w:sz w:val="22"/>
          <w:szCs w:val="22"/>
        </w:rPr>
        <w:t xml:space="preserve"> </w:t>
      </w:r>
      <w:r w:rsidR="00F34201" w:rsidRPr="00EE2DA4">
        <w:rPr>
          <w:rFonts w:ascii="Palatino Linotype" w:hAnsi="Palatino Linotype"/>
          <w:i/>
          <w:color w:val="000000" w:themeColor="text1"/>
          <w:sz w:val="22"/>
          <w:szCs w:val="22"/>
        </w:rPr>
        <w:t>“</w:t>
      </w:r>
      <w:r w:rsidR="00BE0E63" w:rsidRPr="00EE2DA4">
        <w:rPr>
          <w:rFonts w:ascii="Palatino Linotype" w:hAnsi="Palatino Linotype"/>
          <w:i/>
          <w:color w:val="000000"/>
          <w:sz w:val="22"/>
          <w:szCs w:val="22"/>
        </w:rPr>
        <w:t xml:space="preserve">LA falta de atención a la solicitud de información, toda vez que no se me proporciono la evaluación de impacto solicitada, argumentando de manera conveniente que la ley señala que esta se elaborara a "consideración" de los responsables cuando realicen el tratamiento relevante o intensivo de datos personales, sin embargo la puesta en operación de la aplicación "app" de esa comisión, se configura como un tratamiento relevante e intensivo de datos personales de conformidad con la normatividad aplicable e y no así a la consideración realizada por esa comisión de derechos humanos, por lo cual si señalan que no la hicieron, se encuentran en un incumplimiento de la normatividad, asimismo, al no proporcionarme el sistema de gestión argumentando que contiene medidas de seguridad, sin embargo el mismo contiene información pública, por lo que debió en todo caso de haber generado una versión pública del mismo, y finalmente, el aviso de privacidad que se inventaron no se encuentra elaborado conforme al artículo 31 de la Ley local, puesto que no establece el mecanismo para ejercer la portabildad, a pesar de que la información se encuentra en una plataforma electrónica, asi como el señalar que se cuenta con dos administradores, </w:t>
      </w:r>
      <w:r w:rsidR="00BE0E63" w:rsidRPr="00EE2DA4">
        <w:rPr>
          <w:rFonts w:ascii="Palatino Linotype" w:hAnsi="Palatino Linotype"/>
          <w:i/>
          <w:color w:val="000000"/>
          <w:sz w:val="22"/>
          <w:szCs w:val="22"/>
        </w:rPr>
        <w:lastRenderedPageBreak/>
        <w:t>situación que no me queda claro ante quien acudir para el ejercicio de mis derechos.</w:t>
      </w:r>
      <w:r w:rsidR="00F34201" w:rsidRPr="00EE2DA4">
        <w:rPr>
          <w:rFonts w:ascii="Palatino Linotype" w:hAnsi="Palatino Linotype"/>
          <w:i/>
          <w:color w:val="000000" w:themeColor="text1"/>
          <w:sz w:val="22"/>
          <w:szCs w:val="22"/>
        </w:rPr>
        <w:t>” (Sic)</w:t>
      </w:r>
    </w:p>
    <w:p w14:paraId="5E32C273" w14:textId="77777777" w:rsidR="00804C26" w:rsidRPr="00EE2DA4" w:rsidRDefault="00804C26" w:rsidP="00804C26">
      <w:pPr>
        <w:pStyle w:val="Prrafodelista"/>
        <w:tabs>
          <w:tab w:val="left" w:pos="567"/>
        </w:tabs>
        <w:spacing w:line="360" w:lineRule="auto"/>
        <w:ind w:left="0"/>
        <w:jc w:val="both"/>
        <w:rPr>
          <w:rFonts w:ascii="Palatino Linotype" w:hAnsi="Palatino Linotype"/>
          <w:color w:val="000000" w:themeColor="text1"/>
        </w:rPr>
      </w:pPr>
    </w:p>
    <w:p w14:paraId="6EAD69D3" w14:textId="0EC2B52E" w:rsidR="00F34201" w:rsidRPr="00EE2DA4" w:rsidRDefault="00F34201" w:rsidP="0052081F">
      <w:pPr>
        <w:pStyle w:val="Prrafodelista"/>
        <w:numPr>
          <w:ilvl w:val="0"/>
          <w:numId w:val="1"/>
        </w:numPr>
        <w:tabs>
          <w:tab w:val="left" w:pos="426"/>
          <w:tab w:val="left" w:pos="567"/>
        </w:tabs>
        <w:spacing w:before="240" w:after="240" w:line="360" w:lineRule="auto"/>
        <w:ind w:left="0" w:firstLine="0"/>
        <w:jc w:val="both"/>
        <w:rPr>
          <w:rFonts w:ascii="Palatino Linotype" w:hAnsi="Palatino Linotype"/>
          <w:b/>
          <w:color w:val="000000" w:themeColor="text1"/>
        </w:rPr>
      </w:pPr>
      <w:r w:rsidRPr="00EE2DA4">
        <w:rPr>
          <w:rFonts w:ascii="Palatino Linotype" w:eastAsia="Times New Roman" w:hAnsi="Palatino Linotype" w:cs="Arial"/>
          <w:color w:val="000000" w:themeColor="text1"/>
          <w:lang w:val="es-ES"/>
        </w:rPr>
        <w:t xml:space="preserve">Se registró el recurso de revisión bajo el número de expediente </w:t>
      </w:r>
      <w:r w:rsidRPr="00EE2DA4">
        <w:rPr>
          <w:rFonts w:ascii="Palatino Linotype" w:hAnsi="Palatino Linotype" w:cs="Arial"/>
          <w:bCs/>
          <w:color w:val="000000" w:themeColor="text1"/>
        </w:rPr>
        <w:t xml:space="preserve">al rubro indicado, así mismo con fundamento en lo dispuesto por el </w:t>
      </w:r>
      <w:r w:rsidRPr="00EE2DA4">
        <w:rPr>
          <w:rFonts w:ascii="Palatino Linotype" w:eastAsia="Calibri" w:hAnsi="Palatino Linotype" w:cs="Arial"/>
          <w:color w:val="000000" w:themeColor="text1"/>
          <w:lang w:val="es-ES"/>
        </w:rPr>
        <w:t xml:space="preserve">artículo 185 fracción I de la </w:t>
      </w:r>
      <w:r w:rsidRPr="00EE2DA4">
        <w:rPr>
          <w:rFonts w:ascii="Palatino Linotype" w:eastAsia="Calibri" w:hAnsi="Palatino Linotype" w:cs="Arial"/>
          <w:b/>
          <w:color w:val="000000" w:themeColor="text1"/>
          <w:lang w:val="es-ES"/>
        </w:rPr>
        <w:t xml:space="preserve">Ley de Transparencia y Acceso a la Información Pública del Estado de México y Municipios </w:t>
      </w:r>
      <w:r w:rsidRPr="00EE2DA4">
        <w:rPr>
          <w:rFonts w:ascii="Palatino Linotype" w:eastAsia="Times New Roman" w:hAnsi="Palatino Linotype" w:cs="Arial"/>
          <w:color w:val="000000" w:themeColor="text1"/>
          <w:lang w:val="es-ES"/>
        </w:rPr>
        <w:t xml:space="preserve">se turnó al </w:t>
      </w:r>
      <w:r w:rsidRPr="00EE2DA4">
        <w:rPr>
          <w:rFonts w:ascii="Palatino Linotype" w:eastAsia="Times New Roman" w:hAnsi="Palatino Linotype" w:cs="Arial"/>
          <w:b/>
          <w:color w:val="000000" w:themeColor="text1"/>
          <w:lang w:val="es-ES"/>
        </w:rPr>
        <w:t xml:space="preserve">Comisionado José Guadalupe Luna Hernández, </w:t>
      </w:r>
      <w:r w:rsidRPr="00EE2DA4">
        <w:rPr>
          <w:rFonts w:ascii="Palatino Linotype" w:eastAsia="Times New Roman" w:hAnsi="Palatino Linotype" w:cs="Arial"/>
          <w:color w:val="000000" w:themeColor="text1"/>
          <w:lang w:val="es-ES"/>
        </w:rPr>
        <w:t xml:space="preserve">con el objeto de </w:t>
      </w:r>
      <w:r w:rsidRPr="00EE2DA4">
        <w:rPr>
          <w:rFonts w:ascii="Palatino Linotype" w:eastAsia="Times New Roman" w:hAnsi="Palatino Linotype" w:cs="Arial"/>
          <w:color w:val="000000" w:themeColor="text1"/>
          <w:lang w:val="es-MX"/>
        </w:rPr>
        <w:t>su análisis.</w:t>
      </w:r>
    </w:p>
    <w:p w14:paraId="17513FB7" w14:textId="77777777" w:rsidR="003B7B65" w:rsidRPr="00EE2DA4" w:rsidRDefault="003B7B65" w:rsidP="003B7B65">
      <w:pPr>
        <w:pStyle w:val="Prrafodelista"/>
        <w:tabs>
          <w:tab w:val="left" w:pos="426"/>
          <w:tab w:val="left" w:pos="567"/>
        </w:tabs>
        <w:spacing w:line="360" w:lineRule="auto"/>
        <w:ind w:left="0"/>
        <w:jc w:val="both"/>
        <w:rPr>
          <w:rFonts w:ascii="Palatino Linotype" w:hAnsi="Palatino Linotype"/>
          <w:color w:val="000000" w:themeColor="text1"/>
        </w:rPr>
      </w:pPr>
    </w:p>
    <w:p w14:paraId="27645CCA" w14:textId="4948918A" w:rsidR="003B187B" w:rsidRPr="00EE2DA4" w:rsidRDefault="00F34201" w:rsidP="003B7B65">
      <w:pPr>
        <w:pStyle w:val="Prrafodelista"/>
        <w:numPr>
          <w:ilvl w:val="0"/>
          <w:numId w:val="1"/>
        </w:numPr>
        <w:tabs>
          <w:tab w:val="left" w:pos="426"/>
          <w:tab w:val="left" w:pos="567"/>
        </w:tabs>
        <w:spacing w:before="240" w:after="240" w:line="360" w:lineRule="auto"/>
        <w:ind w:left="0" w:firstLine="0"/>
        <w:jc w:val="both"/>
        <w:rPr>
          <w:rFonts w:ascii="Palatino Linotype" w:hAnsi="Palatino Linotype"/>
          <w:b/>
          <w:i/>
          <w:color w:val="000000" w:themeColor="text1"/>
        </w:rPr>
      </w:pPr>
      <w:r w:rsidRPr="00EE2DA4">
        <w:rPr>
          <w:rFonts w:ascii="Palatino Linotype" w:eastAsia="Calibri" w:hAnsi="Palatino Linotype" w:cs="Arial"/>
          <w:color w:val="000000" w:themeColor="text1"/>
          <w:lang w:val="es-ES"/>
        </w:rPr>
        <w:t xml:space="preserve">El Comisionado Ponente con fundamento en lo dispuesto por el artículo 185 fracción II de la ley de la materia, a través del acuerdo de admisión de fecha </w:t>
      </w:r>
      <w:r w:rsidR="00427DE8" w:rsidRPr="00EE2DA4">
        <w:rPr>
          <w:rFonts w:ascii="Palatino Linotype" w:eastAsia="Calibri" w:hAnsi="Palatino Linotype" w:cs="Arial"/>
          <w:color w:val="000000" w:themeColor="text1"/>
          <w:lang w:val="es-ES"/>
        </w:rPr>
        <w:t>diez</w:t>
      </w:r>
      <w:r w:rsidR="004A4DE5" w:rsidRPr="00EE2DA4">
        <w:rPr>
          <w:rFonts w:ascii="Palatino Linotype" w:eastAsia="Calibri" w:hAnsi="Palatino Linotype" w:cs="Arial"/>
          <w:color w:val="000000" w:themeColor="text1"/>
          <w:lang w:val="es-ES"/>
        </w:rPr>
        <w:t xml:space="preserve"> </w:t>
      </w:r>
      <w:r w:rsidRPr="00EE2DA4">
        <w:rPr>
          <w:rFonts w:ascii="Palatino Linotype" w:eastAsia="Calibri" w:hAnsi="Palatino Linotype" w:cs="Arial"/>
          <w:color w:val="000000" w:themeColor="text1"/>
          <w:lang w:val="es-ES"/>
        </w:rPr>
        <w:t>(</w:t>
      </w:r>
      <w:r w:rsidR="004A4DE5" w:rsidRPr="00EE2DA4">
        <w:rPr>
          <w:rFonts w:ascii="Palatino Linotype" w:eastAsia="Calibri" w:hAnsi="Palatino Linotype" w:cs="Arial"/>
          <w:color w:val="000000" w:themeColor="text1"/>
          <w:lang w:val="es-ES"/>
        </w:rPr>
        <w:t>1</w:t>
      </w:r>
      <w:r w:rsidR="00427DE8" w:rsidRPr="00EE2DA4">
        <w:rPr>
          <w:rFonts w:ascii="Palatino Linotype" w:eastAsia="Calibri" w:hAnsi="Palatino Linotype" w:cs="Arial"/>
          <w:color w:val="000000" w:themeColor="text1"/>
          <w:lang w:val="es-ES"/>
        </w:rPr>
        <w:t>0</w:t>
      </w:r>
      <w:r w:rsidRPr="00EE2DA4">
        <w:rPr>
          <w:rFonts w:ascii="Palatino Linotype" w:eastAsia="Calibri" w:hAnsi="Palatino Linotype" w:cs="Arial"/>
          <w:color w:val="000000" w:themeColor="text1"/>
          <w:lang w:val="es-ES"/>
        </w:rPr>
        <w:t xml:space="preserve">) </w:t>
      </w:r>
      <w:r w:rsidR="00D423B5" w:rsidRPr="00EE2DA4">
        <w:rPr>
          <w:rFonts w:ascii="Palatino Linotype" w:eastAsia="Times New Roman" w:hAnsi="Palatino Linotype" w:cs="Arial"/>
          <w:color w:val="000000" w:themeColor="text1"/>
          <w:lang w:val="es-ES"/>
        </w:rPr>
        <w:t xml:space="preserve">de </w:t>
      </w:r>
      <w:r w:rsidR="00427DE8" w:rsidRPr="00EE2DA4">
        <w:rPr>
          <w:rFonts w:ascii="Palatino Linotype" w:eastAsia="Times New Roman" w:hAnsi="Palatino Linotype" w:cs="Arial"/>
          <w:color w:val="000000" w:themeColor="text1"/>
          <w:lang w:val="es-ES"/>
        </w:rPr>
        <w:t>dic</w:t>
      </w:r>
      <w:r w:rsidR="00D423B5" w:rsidRPr="00EE2DA4">
        <w:rPr>
          <w:rFonts w:ascii="Palatino Linotype" w:eastAsia="Times New Roman" w:hAnsi="Palatino Linotype" w:cs="Arial"/>
          <w:color w:val="000000" w:themeColor="text1"/>
          <w:lang w:val="es-ES"/>
        </w:rPr>
        <w:t>iembre</w:t>
      </w:r>
      <w:r w:rsidR="005508E5" w:rsidRPr="00EE2DA4">
        <w:rPr>
          <w:rFonts w:ascii="Palatino Linotype" w:eastAsia="Times New Roman" w:hAnsi="Palatino Linotype" w:cs="Arial"/>
          <w:color w:val="000000" w:themeColor="text1"/>
          <w:lang w:val="es-ES"/>
        </w:rPr>
        <w:t xml:space="preserve"> de dos mil diecinueve</w:t>
      </w:r>
      <w:r w:rsidRPr="00EE2DA4">
        <w:rPr>
          <w:rFonts w:ascii="Palatino Linotype" w:eastAsia="Calibri" w:hAnsi="Palatino Linotype" w:cs="Arial"/>
          <w:color w:val="000000" w:themeColor="text1"/>
          <w:lang w:val="es-ES"/>
        </w:rPr>
        <w:t xml:space="preserve">, puso a disposición de las partes el expediente electrónico </w:t>
      </w:r>
      <w:r w:rsidRPr="00EE2DA4">
        <w:rPr>
          <w:rFonts w:ascii="Palatino Linotype" w:eastAsia="Calibri" w:hAnsi="Palatino Linotype" w:cs="Arial"/>
          <w:color w:val="000000" w:themeColor="text1"/>
        </w:rPr>
        <w:t xml:space="preserve">vía </w:t>
      </w:r>
      <w:r w:rsidRPr="00EE2DA4">
        <w:rPr>
          <w:rFonts w:ascii="Palatino Linotype" w:eastAsia="Calibri" w:hAnsi="Palatino Linotype" w:cs="Arial"/>
          <w:color w:val="000000" w:themeColor="text1"/>
          <w:lang w:val="es-ES"/>
        </w:rPr>
        <w:t xml:space="preserve">Sistema de Acceso a la Información Mexiquense </w:t>
      </w:r>
      <w:r w:rsidRPr="00EE2DA4">
        <w:rPr>
          <w:rFonts w:ascii="Palatino Linotype" w:eastAsia="Calibri" w:hAnsi="Palatino Linotype" w:cs="Arial"/>
          <w:b/>
          <w:color w:val="000000" w:themeColor="text1"/>
          <w:lang w:val="es-ES"/>
        </w:rPr>
        <w:t xml:space="preserve">(SAIMEX) </w:t>
      </w:r>
      <w:r w:rsidRPr="00EE2DA4">
        <w:rPr>
          <w:rFonts w:ascii="Palatino Linotype" w:eastAsia="Calibri" w:hAnsi="Palatino Linotype" w:cs="Arial"/>
          <w:color w:val="000000" w:themeColor="text1"/>
          <w:lang w:val="es-ES"/>
        </w:rPr>
        <w:t>a efecto de que en un plazo máximo de siete días manifestaran lo que a derecho convinieran, ofrecieran pruebas y alegatos según corresponda al caso concreto</w:t>
      </w:r>
      <w:r w:rsidR="004B4396" w:rsidRPr="00EE2DA4">
        <w:rPr>
          <w:rFonts w:ascii="Palatino Linotype" w:eastAsia="Calibri" w:hAnsi="Palatino Linotype" w:cs="Arial"/>
          <w:color w:val="000000" w:themeColor="text1"/>
          <w:lang w:val="es-ES"/>
        </w:rPr>
        <w:t>.</w:t>
      </w:r>
    </w:p>
    <w:p w14:paraId="244827A8" w14:textId="77777777" w:rsidR="000F6593" w:rsidRPr="00EE2DA4" w:rsidRDefault="000F6593" w:rsidP="000F6593">
      <w:pPr>
        <w:pStyle w:val="Prrafodelista"/>
        <w:tabs>
          <w:tab w:val="left" w:pos="426"/>
          <w:tab w:val="left" w:pos="567"/>
        </w:tabs>
        <w:spacing w:before="240" w:after="240" w:line="360" w:lineRule="auto"/>
        <w:ind w:left="0"/>
        <w:jc w:val="both"/>
        <w:rPr>
          <w:rFonts w:ascii="Palatino Linotype" w:hAnsi="Palatino Linotype"/>
          <w:b/>
          <w:color w:val="000000" w:themeColor="text1"/>
        </w:rPr>
      </w:pPr>
    </w:p>
    <w:p w14:paraId="0CEC5DFD" w14:textId="713407F6" w:rsidR="00CF03E6" w:rsidRPr="00EE2DA4" w:rsidRDefault="00E64CEE" w:rsidP="00CF03E6">
      <w:pPr>
        <w:pStyle w:val="Prrafodelista"/>
        <w:numPr>
          <w:ilvl w:val="0"/>
          <w:numId w:val="1"/>
        </w:numPr>
        <w:tabs>
          <w:tab w:val="left" w:pos="426"/>
          <w:tab w:val="left" w:pos="567"/>
        </w:tabs>
        <w:spacing w:line="360" w:lineRule="auto"/>
        <w:ind w:left="0" w:firstLine="0"/>
        <w:jc w:val="both"/>
        <w:rPr>
          <w:rFonts w:ascii="Palatino Linotype" w:hAnsi="Palatino Linotype" w:cs="Arial"/>
          <w:color w:val="000000" w:themeColor="text1"/>
        </w:rPr>
      </w:pPr>
      <w:r w:rsidRPr="00EE2DA4">
        <w:rPr>
          <w:rFonts w:ascii="Palatino Linotype" w:eastAsia="Calibri" w:hAnsi="Palatino Linotype" w:cs="Arial"/>
          <w:color w:val="000000" w:themeColor="text1"/>
          <w:lang w:val="es-ES"/>
        </w:rPr>
        <w:t>El</w:t>
      </w:r>
      <w:r w:rsidR="003B7B65" w:rsidRPr="00EE2DA4">
        <w:rPr>
          <w:rFonts w:ascii="Palatino Linotype" w:eastAsia="Calibri" w:hAnsi="Palatino Linotype" w:cs="Arial"/>
          <w:color w:val="000000" w:themeColor="text1"/>
          <w:lang w:val="es-ES"/>
        </w:rPr>
        <w:t xml:space="preserve"> </w:t>
      </w:r>
      <w:r w:rsidR="004A4DE5" w:rsidRPr="00EE2DA4">
        <w:rPr>
          <w:rFonts w:ascii="Palatino Linotype" w:eastAsia="Calibri" w:hAnsi="Palatino Linotype" w:cs="Arial"/>
          <w:color w:val="000000" w:themeColor="text1"/>
          <w:lang w:val="es-ES"/>
        </w:rPr>
        <w:t xml:space="preserve">día </w:t>
      </w:r>
      <w:r w:rsidR="00427DE8" w:rsidRPr="00EE2DA4">
        <w:rPr>
          <w:rFonts w:ascii="Palatino Linotype" w:eastAsia="Calibri" w:hAnsi="Palatino Linotype" w:cs="Arial"/>
          <w:color w:val="000000" w:themeColor="text1"/>
          <w:lang w:val="es-ES"/>
        </w:rPr>
        <w:t>diecinueve</w:t>
      </w:r>
      <w:r w:rsidR="00E50A9C" w:rsidRPr="00EE2DA4">
        <w:rPr>
          <w:rFonts w:ascii="Palatino Linotype" w:eastAsia="Calibri" w:hAnsi="Palatino Linotype" w:cs="Arial"/>
          <w:color w:val="000000" w:themeColor="text1"/>
          <w:lang w:val="es-ES"/>
        </w:rPr>
        <w:t xml:space="preserve"> </w:t>
      </w:r>
      <w:r w:rsidR="004A4DE5" w:rsidRPr="00EE2DA4">
        <w:rPr>
          <w:rFonts w:ascii="Palatino Linotype" w:eastAsia="Calibri" w:hAnsi="Palatino Linotype" w:cs="Arial"/>
          <w:color w:val="000000" w:themeColor="text1"/>
          <w:lang w:val="es-ES"/>
        </w:rPr>
        <w:t>(</w:t>
      </w:r>
      <w:r w:rsidR="00427DE8" w:rsidRPr="00EE2DA4">
        <w:rPr>
          <w:rFonts w:ascii="Palatino Linotype" w:eastAsia="Calibri" w:hAnsi="Palatino Linotype" w:cs="Arial"/>
          <w:color w:val="000000" w:themeColor="text1"/>
          <w:lang w:val="es-ES"/>
        </w:rPr>
        <w:t>19</w:t>
      </w:r>
      <w:r w:rsidR="004A4DE5" w:rsidRPr="00EE2DA4">
        <w:rPr>
          <w:rFonts w:ascii="Palatino Linotype" w:eastAsia="Calibri" w:hAnsi="Palatino Linotype" w:cs="Arial"/>
          <w:color w:val="000000" w:themeColor="text1"/>
          <w:lang w:val="es-ES"/>
        </w:rPr>
        <w:t xml:space="preserve">) de </w:t>
      </w:r>
      <w:r w:rsidR="00427DE8" w:rsidRPr="00EE2DA4">
        <w:rPr>
          <w:rFonts w:ascii="Palatino Linotype" w:eastAsia="Calibri" w:hAnsi="Palatino Linotype" w:cs="Arial"/>
          <w:color w:val="000000" w:themeColor="text1"/>
          <w:lang w:val="es-ES"/>
        </w:rPr>
        <w:t>dic</w:t>
      </w:r>
      <w:r w:rsidR="004A4DE5" w:rsidRPr="00EE2DA4">
        <w:rPr>
          <w:rFonts w:ascii="Palatino Linotype" w:eastAsia="Calibri" w:hAnsi="Palatino Linotype" w:cs="Arial"/>
          <w:color w:val="000000" w:themeColor="text1"/>
          <w:lang w:val="es-ES"/>
        </w:rPr>
        <w:t>iembre</w:t>
      </w:r>
      <w:r w:rsidR="00F40109" w:rsidRPr="00EE2DA4">
        <w:rPr>
          <w:rFonts w:ascii="Palatino Linotype" w:eastAsia="Calibri" w:hAnsi="Palatino Linotype" w:cs="Arial"/>
          <w:color w:val="000000" w:themeColor="text1"/>
          <w:lang w:val="es-ES"/>
        </w:rPr>
        <w:t xml:space="preserve"> </w:t>
      </w:r>
      <w:r w:rsidR="00F40109" w:rsidRPr="00EE2DA4">
        <w:rPr>
          <w:rFonts w:ascii="Palatino Linotype" w:eastAsia="Times New Roman" w:hAnsi="Palatino Linotype" w:cs="Arial"/>
          <w:color w:val="000000" w:themeColor="text1"/>
          <w:lang w:val="es-ES"/>
        </w:rPr>
        <w:t>de dos mil diecinueve</w:t>
      </w:r>
      <w:r w:rsidR="004A4DE5" w:rsidRPr="00EE2DA4">
        <w:rPr>
          <w:rFonts w:ascii="Palatino Linotype" w:eastAsia="Calibri" w:hAnsi="Palatino Linotype" w:cs="Arial"/>
          <w:color w:val="000000" w:themeColor="text1"/>
          <w:lang w:val="es-ES"/>
        </w:rPr>
        <w:t xml:space="preserve">, el </w:t>
      </w:r>
      <w:r w:rsidRPr="00EE2DA4">
        <w:rPr>
          <w:rStyle w:val="Hipervnculo"/>
          <w:rFonts w:ascii="Palatino Linotype" w:hAnsi="Palatino Linotype" w:cs="Arial"/>
          <w:b/>
          <w:color w:val="000000" w:themeColor="text1"/>
          <w:u w:val="none"/>
        </w:rPr>
        <w:t>SUJETO OBLIGADO</w:t>
      </w:r>
      <w:r w:rsidRPr="00EE2DA4">
        <w:rPr>
          <w:rStyle w:val="Hipervnculo"/>
          <w:rFonts w:ascii="Palatino Linotype" w:hAnsi="Palatino Linotype" w:cs="Arial"/>
          <w:color w:val="000000" w:themeColor="text1"/>
          <w:u w:val="none"/>
        </w:rPr>
        <w:t xml:space="preserve"> rindió su informe justificado para manifestar lo que a su</w:t>
      </w:r>
      <w:r w:rsidR="00C75B75" w:rsidRPr="00EE2DA4">
        <w:rPr>
          <w:rStyle w:val="Hipervnculo"/>
          <w:rFonts w:ascii="Palatino Linotype" w:hAnsi="Palatino Linotype" w:cs="Arial"/>
          <w:color w:val="000000" w:themeColor="text1"/>
          <w:u w:val="none"/>
        </w:rPr>
        <w:t xml:space="preserve"> derecho asistiera y conviniera</w:t>
      </w:r>
      <w:r w:rsidR="00377BEF" w:rsidRPr="00EE2DA4">
        <w:rPr>
          <w:rFonts w:ascii="Palatino Linotype" w:hAnsi="Palatino Linotype" w:cs="Arial"/>
          <w:color w:val="000000" w:themeColor="text1"/>
        </w:rPr>
        <w:t xml:space="preserve"> a través de</w:t>
      </w:r>
      <w:r w:rsidR="00F40109" w:rsidRPr="00EE2DA4">
        <w:rPr>
          <w:rFonts w:ascii="Palatino Linotype" w:hAnsi="Palatino Linotype" w:cs="Arial"/>
          <w:color w:val="000000" w:themeColor="text1"/>
        </w:rPr>
        <w:t xml:space="preserve"> </w:t>
      </w:r>
      <w:r w:rsidR="00377BEF" w:rsidRPr="00EE2DA4">
        <w:rPr>
          <w:rFonts w:ascii="Palatino Linotype" w:hAnsi="Palatino Linotype" w:cs="Arial"/>
          <w:color w:val="000000" w:themeColor="text1"/>
        </w:rPr>
        <w:t>l</w:t>
      </w:r>
      <w:r w:rsidR="00F40109" w:rsidRPr="00EE2DA4">
        <w:rPr>
          <w:rFonts w:ascii="Palatino Linotype" w:hAnsi="Palatino Linotype" w:cs="Arial"/>
          <w:color w:val="000000" w:themeColor="text1"/>
        </w:rPr>
        <w:t>os</w:t>
      </w:r>
      <w:r w:rsidR="00A40453" w:rsidRPr="00EE2DA4">
        <w:rPr>
          <w:rFonts w:ascii="Palatino Linotype" w:hAnsi="Palatino Linotype" w:cs="Arial"/>
          <w:color w:val="000000" w:themeColor="text1"/>
        </w:rPr>
        <w:t xml:space="preserve"> </w:t>
      </w:r>
      <w:r w:rsidR="00377BEF" w:rsidRPr="00EE2DA4">
        <w:rPr>
          <w:rFonts w:ascii="Palatino Linotype" w:hAnsi="Palatino Linotype" w:cs="Arial"/>
          <w:color w:val="000000" w:themeColor="text1"/>
        </w:rPr>
        <w:t>archivo</w:t>
      </w:r>
      <w:r w:rsidR="00F40109" w:rsidRPr="00EE2DA4">
        <w:rPr>
          <w:rFonts w:ascii="Palatino Linotype" w:hAnsi="Palatino Linotype" w:cs="Arial"/>
          <w:color w:val="000000" w:themeColor="text1"/>
        </w:rPr>
        <w:t>s</w:t>
      </w:r>
      <w:r w:rsidR="00377BEF" w:rsidRPr="00EE2DA4">
        <w:rPr>
          <w:rFonts w:ascii="Palatino Linotype" w:hAnsi="Palatino Linotype" w:cs="Arial"/>
          <w:color w:val="000000" w:themeColor="text1"/>
        </w:rPr>
        <w:t xml:space="preserve"> electrónico</w:t>
      </w:r>
      <w:r w:rsidR="00F40109" w:rsidRPr="00EE2DA4">
        <w:rPr>
          <w:rFonts w:ascii="Palatino Linotype" w:hAnsi="Palatino Linotype" w:cs="Arial"/>
          <w:color w:val="000000" w:themeColor="text1"/>
        </w:rPr>
        <w:t>s</w:t>
      </w:r>
      <w:r w:rsidR="00377BEF" w:rsidRPr="00EE2DA4">
        <w:rPr>
          <w:rFonts w:ascii="Palatino Linotype" w:hAnsi="Palatino Linotype" w:cs="Arial"/>
          <w:color w:val="000000" w:themeColor="text1"/>
        </w:rPr>
        <w:t xml:space="preserve"> “</w:t>
      </w:r>
      <w:hyperlink r:id="rId10" w:history="1">
        <w:r w:rsidR="00F40109" w:rsidRPr="00EE2DA4">
          <w:rPr>
            <w:rStyle w:val="Hipervnculo"/>
            <w:rFonts w:ascii="Palatino Linotype" w:hAnsi="Palatino Linotype" w:cs="Arial"/>
            <w:b/>
            <w:bCs/>
            <w:i/>
            <w:color w:val="000000" w:themeColor="text1"/>
            <w:u w:val="none"/>
          </w:rPr>
          <w:t>Informe Justificado Rec 09098-19.pdf</w:t>
        </w:r>
      </w:hyperlink>
      <w:r w:rsidR="00377BEF" w:rsidRPr="00EE2DA4">
        <w:rPr>
          <w:rFonts w:ascii="Palatino Linotype" w:hAnsi="Palatino Linotype" w:cs="Arial"/>
          <w:color w:val="000000" w:themeColor="text1"/>
        </w:rPr>
        <w:t>”</w:t>
      </w:r>
      <w:r w:rsidR="00E30BC2" w:rsidRPr="00EE2DA4">
        <w:rPr>
          <w:rFonts w:ascii="Palatino Linotype" w:hAnsi="Palatino Linotype" w:cs="Arial"/>
          <w:color w:val="000000" w:themeColor="text1"/>
        </w:rPr>
        <w:t xml:space="preserve"> constante en veintiún hojas, signado por la Titular de la Unidad de Transparencia </w:t>
      </w:r>
      <w:r w:rsidR="00F40109" w:rsidRPr="00EE2DA4">
        <w:rPr>
          <w:rFonts w:ascii="Palatino Linotype" w:hAnsi="Palatino Linotype" w:cs="Arial"/>
          <w:color w:val="000000" w:themeColor="text1"/>
        </w:rPr>
        <w:t xml:space="preserve"> y </w:t>
      </w:r>
      <w:r w:rsidR="00F40109" w:rsidRPr="00EE2DA4">
        <w:rPr>
          <w:rFonts w:ascii="Palatino Linotype" w:hAnsi="Palatino Linotype" w:cs="Arial"/>
          <w:b/>
          <w:color w:val="000000" w:themeColor="text1"/>
        </w:rPr>
        <w:t>“</w:t>
      </w:r>
      <w:hyperlink r:id="rId11" w:history="1">
        <w:r w:rsidR="00F40109" w:rsidRPr="00EE2DA4">
          <w:rPr>
            <w:rStyle w:val="Hipervnculo"/>
            <w:rFonts w:ascii="Palatino Linotype" w:hAnsi="Palatino Linotype" w:cs="Arial"/>
            <w:b/>
            <w:bCs/>
            <w:i/>
            <w:color w:val="000000" w:themeColor="text1"/>
            <w:u w:val="none"/>
          </w:rPr>
          <w:t>Expediente Solicitud 292-19.pdf</w:t>
        </w:r>
      </w:hyperlink>
      <w:r w:rsidR="00F40109" w:rsidRPr="00EE2DA4">
        <w:rPr>
          <w:rFonts w:ascii="Palatino Linotype" w:hAnsi="Palatino Linotype" w:cs="Arial"/>
          <w:color w:val="000000" w:themeColor="text1"/>
        </w:rPr>
        <w:t>”</w:t>
      </w:r>
      <w:r w:rsidR="00377BEF" w:rsidRPr="00EE2DA4">
        <w:rPr>
          <w:rFonts w:ascii="Palatino Linotype" w:hAnsi="Palatino Linotype" w:cs="Arial"/>
          <w:color w:val="000000" w:themeColor="text1"/>
        </w:rPr>
        <w:t>,</w:t>
      </w:r>
      <w:r w:rsidR="00E50A9C" w:rsidRPr="00EE2DA4">
        <w:rPr>
          <w:rFonts w:ascii="Arial" w:hAnsi="Arial" w:cs="Arial"/>
        </w:rPr>
        <w:t xml:space="preserve"> </w:t>
      </w:r>
      <w:r w:rsidR="00792C5A" w:rsidRPr="00EE2DA4">
        <w:rPr>
          <w:rFonts w:ascii="Palatino Linotype" w:hAnsi="Palatino Linotype" w:cs="Arial"/>
          <w:color w:val="000000" w:themeColor="text1"/>
        </w:rPr>
        <w:t xml:space="preserve">constante en </w:t>
      </w:r>
      <w:r w:rsidR="00CF03E6" w:rsidRPr="00EE2DA4">
        <w:rPr>
          <w:rFonts w:ascii="Palatino Linotype" w:hAnsi="Palatino Linotype" w:cs="Arial"/>
          <w:color w:val="000000" w:themeColor="text1"/>
        </w:rPr>
        <w:t>cuarenta y un</w:t>
      </w:r>
      <w:r w:rsidR="00E50A9C" w:rsidRPr="00EE2DA4">
        <w:rPr>
          <w:rFonts w:ascii="Palatino Linotype" w:hAnsi="Palatino Linotype" w:cs="Arial"/>
          <w:color w:val="000000" w:themeColor="text1"/>
        </w:rPr>
        <w:t xml:space="preserve"> </w:t>
      </w:r>
      <w:r w:rsidR="00792C5A" w:rsidRPr="00EE2DA4">
        <w:rPr>
          <w:rFonts w:ascii="Palatino Linotype" w:hAnsi="Palatino Linotype" w:cs="Arial"/>
          <w:color w:val="000000" w:themeColor="text1"/>
        </w:rPr>
        <w:t>hojas</w:t>
      </w:r>
      <w:r w:rsidR="00CF03E6" w:rsidRPr="00EE2DA4">
        <w:rPr>
          <w:rFonts w:ascii="Palatino Linotype" w:hAnsi="Palatino Linotype" w:cs="Arial"/>
          <w:color w:val="000000" w:themeColor="text1"/>
        </w:rPr>
        <w:t xml:space="preserve"> con capturas de pantalla del expediente que obra en el Sistema de Acceso a la Información Mexiquense (SAIMEX)</w:t>
      </w:r>
      <w:r w:rsidR="00792C5A" w:rsidRPr="00EE2DA4">
        <w:rPr>
          <w:rFonts w:ascii="Palatino Linotype" w:hAnsi="Palatino Linotype" w:cs="Arial"/>
          <w:color w:val="000000" w:themeColor="text1"/>
        </w:rPr>
        <w:t>, mismo que ya es del conocimiento</w:t>
      </w:r>
      <w:r w:rsidR="00E50A9C" w:rsidRPr="00EE2DA4">
        <w:rPr>
          <w:rFonts w:ascii="Palatino Linotype" w:hAnsi="Palatino Linotype" w:cs="Arial"/>
          <w:color w:val="000000" w:themeColor="text1"/>
        </w:rPr>
        <w:t xml:space="preserve"> de las </w:t>
      </w:r>
      <w:r w:rsidR="00E50A9C" w:rsidRPr="00EE2DA4">
        <w:rPr>
          <w:rFonts w:ascii="Palatino Linotype" w:hAnsi="Palatino Linotype" w:cs="Arial"/>
          <w:color w:val="000000" w:themeColor="text1"/>
        </w:rPr>
        <w:lastRenderedPageBreak/>
        <w:t xml:space="preserve">partes en su totalidad, </w:t>
      </w:r>
      <w:r w:rsidR="00CF03E6" w:rsidRPr="00EE2DA4">
        <w:rPr>
          <w:rFonts w:ascii="Palatino Linotype" w:hAnsi="Palatino Linotype" w:cs="Arial"/>
          <w:color w:val="000000" w:themeColor="text1"/>
        </w:rPr>
        <w:t>sin embargo por su importancia se inserta un extracto del primero enunciado, a fin de que no exista opacidad:</w:t>
      </w:r>
    </w:p>
    <w:p w14:paraId="74225755" w14:textId="77777777" w:rsidR="00CF03E6" w:rsidRPr="00EE2DA4" w:rsidRDefault="00CF03E6" w:rsidP="00CF03E6">
      <w:pPr>
        <w:pStyle w:val="Prrafodelista"/>
        <w:tabs>
          <w:tab w:val="left" w:pos="426"/>
          <w:tab w:val="left" w:pos="567"/>
        </w:tabs>
        <w:spacing w:line="360" w:lineRule="auto"/>
        <w:ind w:left="0"/>
        <w:jc w:val="both"/>
        <w:rPr>
          <w:rFonts w:ascii="Palatino Linotype" w:hAnsi="Palatino Linotype" w:cs="Arial"/>
          <w:color w:val="000000" w:themeColor="text1"/>
        </w:rPr>
      </w:pPr>
    </w:p>
    <w:p w14:paraId="4D6C61C6" w14:textId="536692BD" w:rsidR="00F40109" w:rsidRPr="00EE2DA4" w:rsidRDefault="00CF03E6" w:rsidP="00CF03E6">
      <w:pPr>
        <w:pStyle w:val="Prrafodelista"/>
        <w:tabs>
          <w:tab w:val="left" w:pos="426"/>
          <w:tab w:val="left" w:pos="567"/>
        </w:tabs>
        <w:spacing w:line="360" w:lineRule="auto"/>
        <w:ind w:left="567"/>
        <w:jc w:val="both"/>
        <w:rPr>
          <w:rFonts w:ascii="Palatino Linotype" w:hAnsi="Palatino Linotype" w:cs="Arial"/>
          <w:color w:val="000000" w:themeColor="text1"/>
        </w:rPr>
      </w:pPr>
      <w:r w:rsidRPr="00EE2DA4">
        <w:rPr>
          <w:rFonts w:ascii="Palatino Linotype" w:hAnsi="Palatino Linotype" w:cs="Arial"/>
          <w:noProof/>
          <w:color w:val="000000" w:themeColor="text1"/>
          <w:lang w:val="es-MX" w:eastAsia="es-MX"/>
        </w:rPr>
        <w:drawing>
          <wp:inline distT="0" distB="0" distL="0" distR="0" wp14:anchorId="2D694CB1" wp14:editId="50F9DE5A">
            <wp:extent cx="4905375" cy="61912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05692" cy="6191650"/>
                    </a:xfrm>
                    <a:prstGeom prst="rect">
                      <a:avLst/>
                    </a:prstGeom>
                    <a:noFill/>
                    <a:ln>
                      <a:noFill/>
                    </a:ln>
                  </pic:spPr>
                </pic:pic>
              </a:graphicData>
            </a:graphic>
          </wp:inline>
        </w:drawing>
      </w:r>
    </w:p>
    <w:p w14:paraId="335DDA31" w14:textId="4FAC899A" w:rsidR="00FB2F56" w:rsidRPr="00EE2DA4" w:rsidRDefault="00FB2F56" w:rsidP="00CF03E6">
      <w:pPr>
        <w:pStyle w:val="Prrafodelista"/>
        <w:tabs>
          <w:tab w:val="left" w:pos="426"/>
          <w:tab w:val="left" w:pos="567"/>
        </w:tabs>
        <w:spacing w:line="360" w:lineRule="auto"/>
        <w:ind w:left="567"/>
        <w:jc w:val="both"/>
        <w:rPr>
          <w:rFonts w:ascii="Palatino Linotype" w:hAnsi="Palatino Linotype" w:cs="Arial"/>
          <w:color w:val="000000" w:themeColor="text1"/>
        </w:rPr>
      </w:pPr>
      <w:r w:rsidRPr="00EE2DA4">
        <w:rPr>
          <w:rFonts w:ascii="Palatino Linotype" w:hAnsi="Palatino Linotype" w:cs="Arial"/>
          <w:noProof/>
          <w:color w:val="000000" w:themeColor="text1"/>
          <w:lang w:val="es-MX" w:eastAsia="es-MX"/>
        </w:rPr>
        <w:lastRenderedPageBreak/>
        <w:drawing>
          <wp:inline distT="0" distB="0" distL="0" distR="0" wp14:anchorId="0922A815" wp14:editId="443F19E3">
            <wp:extent cx="4848225" cy="6894195"/>
            <wp:effectExtent l="0" t="0" r="9525"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48397" cy="6894440"/>
                    </a:xfrm>
                    <a:prstGeom prst="rect">
                      <a:avLst/>
                    </a:prstGeom>
                    <a:noFill/>
                    <a:ln>
                      <a:noFill/>
                    </a:ln>
                  </pic:spPr>
                </pic:pic>
              </a:graphicData>
            </a:graphic>
          </wp:inline>
        </w:drawing>
      </w:r>
    </w:p>
    <w:p w14:paraId="43D0E3CB" w14:textId="77777777" w:rsidR="00FB2F56" w:rsidRPr="00EE2DA4" w:rsidRDefault="00FB2F56" w:rsidP="00CF03E6">
      <w:pPr>
        <w:pStyle w:val="Prrafodelista"/>
        <w:tabs>
          <w:tab w:val="left" w:pos="426"/>
          <w:tab w:val="left" w:pos="567"/>
        </w:tabs>
        <w:spacing w:line="360" w:lineRule="auto"/>
        <w:ind w:left="567"/>
        <w:jc w:val="both"/>
        <w:rPr>
          <w:rFonts w:ascii="Palatino Linotype" w:hAnsi="Palatino Linotype" w:cs="Arial"/>
          <w:color w:val="000000" w:themeColor="text1"/>
        </w:rPr>
      </w:pPr>
    </w:p>
    <w:p w14:paraId="14812E00" w14:textId="5E48C982" w:rsidR="00FB2F56" w:rsidRPr="00EE2DA4" w:rsidRDefault="00FB2F56" w:rsidP="00CF03E6">
      <w:pPr>
        <w:pStyle w:val="Prrafodelista"/>
        <w:tabs>
          <w:tab w:val="left" w:pos="426"/>
          <w:tab w:val="left" w:pos="567"/>
        </w:tabs>
        <w:spacing w:line="360" w:lineRule="auto"/>
        <w:ind w:left="567"/>
        <w:jc w:val="both"/>
        <w:rPr>
          <w:rFonts w:ascii="Palatino Linotype" w:hAnsi="Palatino Linotype" w:cs="Arial"/>
          <w:color w:val="000000" w:themeColor="text1"/>
        </w:rPr>
      </w:pPr>
      <w:r w:rsidRPr="00EE2DA4">
        <w:rPr>
          <w:rFonts w:ascii="Palatino Linotype" w:hAnsi="Palatino Linotype" w:cs="Arial"/>
          <w:noProof/>
          <w:color w:val="000000" w:themeColor="text1"/>
          <w:lang w:val="es-MX" w:eastAsia="es-MX"/>
        </w:rPr>
        <w:lastRenderedPageBreak/>
        <w:drawing>
          <wp:inline distT="0" distB="0" distL="0" distR="0" wp14:anchorId="36BDC854" wp14:editId="7F7B18E3">
            <wp:extent cx="4867275" cy="71532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7499" cy="7153604"/>
                    </a:xfrm>
                    <a:prstGeom prst="rect">
                      <a:avLst/>
                    </a:prstGeom>
                    <a:noFill/>
                    <a:ln>
                      <a:noFill/>
                    </a:ln>
                  </pic:spPr>
                </pic:pic>
              </a:graphicData>
            </a:graphic>
          </wp:inline>
        </w:drawing>
      </w:r>
    </w:p>
    <w:p w14:paraId="64BB5BC5" w14:textId="77777777" w:rsidR="00F40109" w:rsidRPr="00EE2DA4" w:rsidRDefault="00F40109" w:rsidP="00F40109">
      <w:pPr>
        <w:pStyle w:val="Prrafodelista"/>
        <w:rPr>
          <w:rFonts w:ascii="Palatino Linotype" w:hAnsi="Palatino Linotype" w:cs="Arial"/>
          <w:color w:val="000000" w:themeColor="text1"/>
        </w:rPr>
      </w:pPr>
    </w:p>
    <w:p w14:paraId="73C95046" w14:textId="20177DD8" w:rsidR="005268F7" w:rsidRPr="00EE2DA4" w:rsidRDefault="0037770F" w:rsidP="005268F7">
      <w:pPr>
        <w:pStyle w:val="Prrafodelista"/>
        <w:numPr>
          <w:ilvl w:val="0"/>
          <w:numId w:val="1"/>
        </w:numPr>
        <w:tabs>
          <w:tab w:val="left" w:pos="426"/>
          <w:tab w:val="left" w:pos="567"/>
        </w:tabs>
        <w:spacing w:line="360" w:lineRule="auto"/>
        <w:ind w:left="0" w:firstLine="0"/>
        <w:jc w:val="both"/>
        <w:rPr>
          <w:rFonts w:ascii="Palatino Linotype" w:hAnsi="Palatino Linotype" w:cs="Arial"/>
          <w:color w:val="000000" w:themeColor="text1"/>
        </w:rPr>
      </w:pPr>
      <w:r w:rsidRPr="00EE2DA4">
        <w:rPr>
          <w:rFonts w:ascii="Palatino Linotype" w:hAnsi="Palatino Linotype"/>
          <w:color w:val="000000" w:themeColor="text1"/>
        </w:rPr>
        <w:t xml:space="preserve">El </w:t>
      </w:r>
      <w:r w:rsidR="00684C8F" w:rsidRPr="00EE2DA4">
        <w:rPr>
          <w:rFonts w:ascii="Palatino Linotype" w:hAnsi="Palatino Linotype"/>
          <w:color w:val="000000" w:themeColor="text1"/>
        </w:rPr>
        <w:t>doce</w:t>
      </w:r>
      <w:r w:rsidRPr="00EE2DA4">
        <w:rPr>
          <w:rFonts w:ascii="Palatino Linotype" w:hAnsi="Palatino Linotype"/>
          <w:color w:val="000000" w:themeColor="text1"/>
        </w:rPr>
        <w:t xml:space="preserve"> (</w:t>
      </w:r>
      <w:r w:rsidR="00684C8F" w:rsidRPr="00EE2DA4">
        <w:rPr>
          <w:rFonts w:ascii="Palatino Linotype" w:hAnsi="Palatino Linotype"/>
          <w:color w:val="000000" w:themeColor="text1"/>
        </w:rPr>
        <w:t>12</w:t>
      </w:r>
      <w:r w:rsidRPr="00EE2DA4">
        <w:rPr>
          <w:rFonts w:ascii="Palatino Linotype" w:hAnsi="Palatino Linotype"/>
          <w:color w:val="000000" w:themeColor="text1"/>
        </w:rPr>
        <w:t xml:space="preserve">) de </w:t>
      </w:r>
      <w:r w:rsidR="005268F7" w:rsidRPr="00EE2DA4">
        <w:rPr>
          <w:rFonts w:ascii="Palatino Linotype" w:hAnsi="Palatino Linotype"/>
          <w:color w:val="000000" w:themeColor="text1"/>
        </w:rPr>
        <w:t>febrero</w:t>
      </w:r>
      <w:r w:rsidRPr="00EE2DA4">
        <w:rPr>
          <w:rFonts w:ascii="Palatino Linotype" w:hAnsi="Palatino Linotype"/>
          <w:color w:val="000000" w:themeColor="text1"/>
        </w:rPr>
        <w:t xml:space="preserve"> de dos mil </w:t>
      </w:r>
      <w:r w:rsidR="00D542D1" w:rsidRPr="00EE2DA4">
        <w:rPr>
          <w:rFonts w:ascii="Palatino Linotype" w:hAnsi="Palatino Linotype"/>
          <w:color w:val="000000" w:themeColor="text1"/>
        </w:rPr>
        <w:t>veinte</w:t>
      </w:r>
      <w:r w:rsidRPr="00EE2DA4">
        <w:rPr>
          <w:rFonts w:ascii="Palatino Linotype" w:eastAsia="Calibri" w:hAnsi="Palatino Linotype" w:cs="Arial"/>
          <w:color w:val="000000" w:themeColor="text1"/>
          <w:lang w:val="es-ES"/>
        </w:rPr>
        <w:t xml:space="preserve">, </w:t>
      </w:r>
      <w:r w:rsidR="005268F7" w:rsidRPr="00EE2DA4">
        <w:rPr>
          <w:rFonts w:ascii="Palatino Linotype" w:hAnsi="Palatino Linotype" w:cs="Arial"/>
        </w:rPr>
        <w:t xml:space="preserve">éste Instituto puso a disposición del recurrente el informe justificado rendido por el </w:t>
      </w:r>
      <w:r w:rsidR="005268F7" w:rsidRPr="00EE2DA4">
        <w:rPr>
          <w:rFonts w:ascii="Palatino Linotype" w:hAnsi="Palatino Linotype" w:cs="Arial"/>
          <w:b/>
        </w:rPr>
        <w:t>SUJETO OBLIGADO</w:t>
      </w:r>
      <w:r w:rsidR="005268F7" w:rsidRPr="00EE2DA4">
        <w:rPr>
          <w:rFonts w:ascii="Palatino Linotype" w:hAnsi="Palatino Linotype" w:cs="Arial"/>
        </w:rPr>
        <w:t xml:space="preserve"> </w:t>
      </w:r>
      <w:r w:rsidR="005268F7" w:rsidRPr="00EE2DA4">
        <w:rPr>
          <w:rFonts w:ascii="Palatino Linotype" w:hAnsi="Palatino Linotype"/>
        </w:rPr>
        <w:t>para que en un plazo de tres días hábiles manifestara lo que a su derecho conviniera y expresara su conformidad o inconformidad con la modificación a la respuesta emitida, sin que hubiera pronunciamiento alguno al respecto.</w:t>
      </w:r>
    </w:p>
    <w:p w14:paraId="5AD9FF53" w14:textId="77777777" w:rsidR="005268F7" w:rsidRPr="00EE2DA4" w:rsidRDefault="005268F7" w:rsidP="005268F7">
      <w:pPr>
        <w:pStyle w:val="Prrafodelista"/>
        <w:tabs>
          <w:tab w:val="left" w:pos="426"/>
        </w:tabs>
        <w:spacing w:line="360" w:lineRule="auto"/>
        <w:ind w:left="0"/>
        <w:jc w:val="both"/>
        <w:rPr>
          <w:rFonts w:ascii="Palatino Linotype" w:hAnsi="Palatino Linotype"/>
          <w:color w:val="000000" w:themeColor="text1"/>
        </w:rPr>
      </w:pPr>
    </w:p>
    <w:p w14:paraId="7119E95E" w14:textId="62DE5DB1" w:rsidR="0037770F" w:rsidRPr="00EE2DA4" w:rsidRDefault="005268F7" w:rsidP="005268F7">
      <w:pPr>
        <w:pStyle w:val="Prrafodelista"/>
        <w:numPr>
          <w:ilvl w:val="0"/>
          <w:numId w:val="1"/>
        </w:numPr>
        <w:tabs>
          <w:tab w:val="left" w:pos="426"/>
        </w:tabs>
        <w:spacing w:line="360" w:lineRule="auto"/>
        <w:ind w:left="0" w:firstLine="0"/>
        <w:jc w:val="both"/>
        <w:rPr>
          <w:rFonts w:ascii="Palatino Linotype" w:hAnsi="Palatino Linotype"/>
          <w:color w:val="000000" w:themeColor="text1"/>
        </w:rPr>
      </w:pPr>
      <w:r w:rsidRPr="00EE2DA4">
        <w:rPr>
          <w:rFonts w:ascii="Palatino Linotype" w:hAnsi="Palatino Linotype"/>
          <w:color w:val="000000" w:themeColor="text1"/>
        </w:rPr>
        <w:t xml:space="preserve">El </w:t>
      </w:r>
      <w:r w:rsidR="00627119" w:rsidRPr="00EE2DA4">
        <w:rPr>
          <w:rFonts w:ascii="Palatino Linotype" w:hAnsi="Palatino Linotype"/>
          <w:color w:val="000000" w:themeColor="text1"/>
        </w:rPr>
        <w:t>dieci</w:t>
      </w:r>
      <w:r w:rsidR="00E849D4" w:rsidRPr="00EE2DA4">
        <w:rPr>
          <w:rFonts w:ascii="Palatino Linotype" w:hAnsi="Palatino Linotype"/>
          <w:color w:val="000000" w:themeColor="text1"/>
        </w:rPr>
        <w:t>nueve</w:t>
      </w:r>
      <w:r w:rsidRPr="00EE2DA4">
        <w:rPr>
          <w:rFonts w:ascii="Palatino Linotype" w:hAnsi="Palatino Linotype"/>
          <w:color w:val="000000" w:themeColor="text1"/>
        </w:rPr>
        <w:t xml:space="preserve"> (</w:t>
      </w:r>
      <w:r w:rsidR="00E849D4" w:rsidRPr="00EE2DA4">
        <w:rPr>
          <w:rFonts w:ascii="Palatino Linotype" w:hAnsi="Palatino Linotype"/>
          <w:color w:val="000000" w:themeColor="text1"/>
        </w:rPr>
        <w:t>19</w:t>
      </w:r>
      <w:r w:rsidRPr="00EE2DA4">
        <w:rPr>
          <w:rFonts w:ascii="Palatino Linotype" w:hAnsi="Palatino Linotype"/>
          <w:color w:val="000000" w:themeColor="text1"/>
        </w:rPr>
        <w:t>) de febrero de dos mil veinte</w:t>
      </w:r>
      <w:r w:rsidRPr="00EE2DA4">
        <w:rPr>
          <w:rFonts w:ascii="Palatino Linotype" w:eastAsia="Calibri" w:hAnsi="Palatino Linotype" w:cs="Arial"/>
          <w:color w:val="000000" w:themeColor="text1"/>
          <w:lang w:val="es-ES"/>
        </w:rPr>
        <w:t xml:space="preserve">, </w:t>
      </w:r>
      <w:r w:rsidR="0037770F" w:rsidRPr="00EE2DA4">
        <w:rPr>
          <w:rFonts w:ascii="Palatino Linotype" w:hAnsi="Palatino Linotype"/>
          <w:color w:val="000000" w:themeColor="text1"/>
        </w:rPr>
        <w:t>con fundamento en el artículo 181 tercer párrafo de la Ley de Transparencia y Acceso a la Información Pública del Estado de México y Municipios, se notificó que plazo de 30 días para resolver cada recurso de revisión, sería ampliado por un periodo de 15 días hábiles adicionales; para un mejor estudio.</w:t>
      </w:r>
    </w:p>
    <w:p w14:paraId="33B7778A" w14:textId="77777777" w:rsidR="007B20C3" w:rsidRPr="00EE2DA4" w:rsidRDefault="007B20C3" w:rsidP="007B20C3">
      <w:pPr>
        <w:pStyle w:val="Prrafodelista"/>
        <w:tabs>
          <w:tab w:val="left" w:pos="426"/>
        </w:tabs>
        <w:spacing w:line="360" w:lineRule="auto"/>
        <w:ind w:left="0"/>
        <w:jc w:val="both"/>
        <w:rPr>
          <w:rFonts w:ascii="Palatino Linotype" w:hAnsi="Palatino Linotype"/>
          <w:color w:val="000000" w:themeColor="text1"/>
        </w:rPr>
      </w:pPr>
    </w:p>
    <w:p w14:paraId="6604C5EA" w14:textId="11B25B77" w:rsidR="007B20C3" w:rsidRPr="00EE2DA4" w:rsidRDefault="007B20C3" w:rsidP="00D542D1">
      <w:pPr>
        <w:pStyle w:val="Prrafodelista"/>
        <w:numPr>
          <w:ilvl w:val="0"/>
          <w:numId w:val="1"/>
        </w:numPr>
        <w:tabs>
          <w:tab w:val="left" w:pos="426"/>
          <w:tab w:val="left" w:pos="567"/>
        </w:tabs>
        <w:spacing w:before="240" w:after="240" w:line="360" w:lineRule="auto"/>
        <w:ind w:left="0" w:firstLine="0"/>
        <w:jc w:val="both"/>
        <w:rPr>
          <w:rFonts w:ascii="Palatino Linotype" w:hAnsi="Palatino Linotype"/>
          <w:b/>
          <w:i/>
          <w:color w:val="000000" w:themeColor="text1"/>
        </w:rPr>
      </w:pPr>
      <w:r w:rsidRPr="00EE2DA4">
        <w:rPr>
          <w:rFonts w:ascii="Palatino Linotype" w:hAnsi="Palatino Linotype"/>
          <w:color w:val="000000" w:themeColor="text1"/>
        </w:rPr>
        <w:t>El Comisionado Ponente decretó el cierre de instrucción</w:t>
      </w:r>
      <w:r w:rsidRPr="00EE2DA4">
        <w:rPr>
          <w:rFonts w:ascii="Palatino Linotype" w:hAnsi="Palatino Linotype" w:cs="Arial"/>
          <w:color w:val="000000" w:themeColor="text1"/>
        </w:rPr>
        <w:t xml:space="preserve"> </w:t>
      </w:r>
      <w:r w:rsidRPr="00EE2DA4">
        <w:rPr>
          <w:rFonts w:ascii="Palatino Linotype" w:hAnsi="Palatino Linotype"/>
          <w:color w:val="000000" w:themeColor="text1"/>
        </w:rPr>
        <w:t xml:space="preserve">mediante acuerdo de fecha </w:t>
      </w:r>
      <w:r w:rsidR="00627119" w:rsidRPr="00EE2DA4">
        <w:rPr>
          <w:rFonts w:ascii="Palatino Linotype" w:hAnsi="Palatino Linotype"/>
          <w:color w:val="000000" w:themeColor="text1"/>
        </w:rPr>
        <w:t>dieci</w:t>
      </w:r>
      <w:r w:rsidR="00E849D4" w:rsidRPr="00EE2DA4">
        <w:rPr>
          <w:rFonts w:ascii="Palatino Linotype" w:hAnsi="Palatino Linotype"/>
          <w:color w:val="000000" w:themeColor="text1"/>
        </w:rPr>
        <w:t xml:space="preserve">nueve </w:t>
      </w:r>
      <w:r w:rsidR="00627119" w:rsidRPr="00EE2DA4">
        <w:rPr>
          <w:rFonts w:ascii="Palatino Linotype" w:hAnsi="Palatino Linotype"/>
          <w:color w:val="000000" w:themeColor="text1"/>
        </w:rPr>
        <w:t>(</w:t>
      </w:r>
      <w:r w:rsidR="00E849D4" w:rsidRPr="00EE2DA4">
        <w:rPr>
          <w:rFonts w:ascii="Palatino Linotype" w:hAnsi="Palatino Linotype"/>
          <w:color w:val="000000" w:themeColor="text1"/>
        </w:rPr>
        <w:t>19</w:t>
      </w:r>
      <w:r w:rsidR="00627119" w:rsidRPr="00EE2DA4">
        <w:rPr>
          <w:rFonts w:ascii="Palatino Linotype" w:hAnsi="Palatino Linotype"/>
          <w:color w:val="000000" w:themeColor="text1"/>
        </w:rPr>
        <w:t>) de febrero de dos mil veinte</w:t>
      </w:r>
      <w:r w:rsidRPr="00EE2DA4">
        <w:rPr>
          <w:rFonts w:ascii="Palatino Linotype" w:hAnsi="Palatino Linotype"/>
          <w:color w:val="000000" w:themeColor="text1"/>
        </w:rPr>
        <w:t xml:space="preserve">, </w:t>
      </w:r>
      <w:r w:rsidRPr="00EE2DA4">
        <w:rPr>
          <w:rFonts w:ascii="Palatino Linotype" w:hAnsi="Palatino Linotype" w:cs="Arial"/>
          <w:color w:val="000000" w:themeColor="text1"/>
        </w:rPr>
        <w:t>por lo que ordenó turnar el expediente a resolución.</w:t>
      </w:r>
    </w:p>
    <w:p w14:paraId="7F2D0479" w14:textId="77777777" w:rsidR="009A0CB9" w:rsidRPr="00EE2DA4" w:rsidRDefault="009A0CB9" w:rsidP="0037770F">
      <w:pPr>
        <w:pStyle w:val="Prrafodelista"/>
        <w:spacing w:before="240" w:after="240"/>
        <w:ind w:left="0"/>
        <w:rPr>
          <w:rStyle w:val="Hipervnculo"/>
          <w:rFonts w:ascii="Palatino Linotype" w:hAnsi="Palatino Linotype" w:cs="Arial"/>
          <w:color w:val="000000" w:themeColor="text1"/>
          <w:u w:val="none"/>
        </w:rPr>
      </w:pPr>
    </w:p>
    <w:p w14:paraId="216E385F" w14:textId="1291F9EE" w:rsidR="00962E79" w:rsidRPr="00EE2DA4" w:rsidRDefault="00962E79" w:rsidP="004E1461">
      <w:pPr>
        <w:pStyle w:val="Ttulo1"/>
        <w:tabs>
          <w:tab w:val="left" w:pos="567"/>
        </w:tabs>
        <w:jc w:val="center"/>
        <w:rPr>
          <w:szCs w:val="24"/>
        </w:rPr>
      </w:pPr>
      <w:bookmarkStart w:id="56" w:name="_Toc495430768"/>
      <w:bookmarkStart w:id="57" w:name="_Toc33186531"/>
      <w:r w:rsidRPr="00EE2DA4">
        <w:rPr>
          <w:szCs w:val="24"/>
        </w:rPr>
        <w:t>CONSIDERANDO</w:t>
      </w:r>
      <w:bookmarkEnd w:id="56"/>
      <w:bookmarkEnd w:id="57"/>
    </w:p>
    <w:p w14:paraId="602C1877" w14:textId="77777777" w:rsidR="009A0CB9" w:rsidRPr="00EE2DA4" w:rsidRDefault="009A0CB9" w:rsidP="009A0CB9">
      <w:pPr>
        <w:rPr>
          <w:color w:val="000000" w:themeColor="text1"/>
          <w:lang w:val="es-MX" w:eastAsia="en-US"/>
        </w:rPr>
      </w:pPr>
    </w:p>
    <w:p w14:paraId="1C754B23" w14:textId="77777777" w:rsidR="00962E79" w:rsidRPr="00EE2DA4" w:rsidRDefault="00962E79" w:rsidP="004E1461">
      <w:pPr>
        <w:pStyle w:val="Ttulo1"/>
        <w:tabs>
          <w:tab w:val="left" w:pos="567"/>
        </w:tabs>
        <w:rPr>
          <w:b w:val="0"/>
          <w:bCs/>
          <w:spacing w:val="60"/>
        </w:rPr>
      </w:pPr>
      <w:bookmarkStart w:id="58" w:name="_Toc473812224"/>
      <w:bookmarkStart w:id="59" w:name="_Toc495430769"/>
      <w:bookmarkStart w:id="60" w:name="_Toc33186532"/>
      <w:r w:rsidRPr="00EE2DA4">
        <w:t>PRIMERO. De la competencia</w:t>
      </w:r>
      <w:bookmarkEnd w:id="58"/>
      <w:bookmarkEnd w:id="59"/>
      <w:bookmarkEnd w:id="60"/>
    </w:p>
    <w:p w14:paraId="5DFB4714" w14:textId="77777777" w:rsidR="00962E79" w:rsidRPr="00EE2DA4" w:rsidRDefault="00962E79" w:rsidP="009A0CB9">
      <w:pPr>
        <w:pStyle w:val="Prrafodelista"/>
        <w:tabs>
          <w:tab w:val="left" w:pos="567"/>
        </w:tabs>
        <w:spacing w:line="360" w:lineRule="auto"/>
        <w:ind w:left="0"/>
        <w:jc w:val="both"/>
        <w:rPr>
          <w:rFonts w:ascii="Palatino Linotype" w:hAnsi="Palatino Linotype"/>
          <w:color w:val="000000" w:themeColor="text1"/>
        </w:rPr>
      </w:pPr>
    </w:p>
    <w:p w14:paraId="0873CBF9" w14:textId="4CE72826" w:rsidR="00DA59C7" w:rsidRPr="00EE2DA4" w:rsidRDefault="00F34201" w:rsidP="00701F2C">
      <w:pPr>
        <w:pStyle w:val="Prrafodelista"/>
        <w:numPr>
          <w:ilvl w:val="0"/>
          <w:numId w:val="1"/>
        </w:numPr>
        <w:tabs>
          <w:tab w:val="left" w:pos="426"/>
          <w:tab w:val="left" w:pos="567"/>
        </w:tabs>
        <w:spacing w:line="360" w:lineRule="auto"/>
        <w:ind w:left="0" w:firstLine="0"/>
        <w:jc w:val="both"/>
        <w:rPr>
          <w:rFonts w:ascii="Palatino Linotype" w:hAnsi="Palatino Linotype"/>
          <w:color w:val="000000" w:themeColor="text1"/>
          <w:sz w:val="22"/>
          <w:szCs w:val="22"/>
        </w:rPr>
      </w:pPr>
      <w:r w:rsidRPr="00EE2DA4">
        <w:rPr>
          <w:rFonts w:ascii="Palatino Linotype" w:eastAsia="Calibri" w:hAnsi="Palatino Linotype" w:cs="Times New Roman"/>
          <w:color w:val="000000" w:themeColor="text1"/>
          <w:lang w:val="es-ES"/>
        </w:rPr>
        <w:t xml:space="preserve">Este Instituto de Transparencia, Acceso a la Información Pública y Protección de Datos Personales del Estado de México y Municipios, es competente para conocer y resolver del presente recurso de conformidad con el artículo: 6, apartado </w:t>
      </w:r>
      <w:r w:rsidRPr="00EE2DA4">
        <w:rPr>
          <w:rFonts w:ascii="Palatino Linotype" w:eastAsia="Calibri" w:hAnsi="Palatino Linotype" w:cs="Times New Roman"/>
          <w:color w:val="000000" w:themeColor="text1"/>
          <w:lang w:val="es-ES"/>
        </w:rPr>
        <w:lastRenderedPageBreak/>
        <w:t xml:space="preserve">A, fracción IV de la </w:t>
      </w:r>
      <w:r w:rsidRPr="00EE2DA4">
        <w:rPr>
          <w:rFonts w:ascii="Palatino Linotype" w:eastAsia="Calibri" w:hAnsi="Palatino Linotype" w:cs="Times New Roman"/>
          <w:b/>
          <w:color w:val="000000" w:themeColor="text1"/>
          <w:lang w:val="es-ES"/>
        </w:rPr>
        <w:t>Constitución Política de los Estados Unidos Mexicanos</w:t>
      </w:r>
      <w:r w:rsidRPr="00EE2DA4">
        <w:rPr>
          <w:rFonts w:ascii="Palatino Linotype" w:eastAsia="Calibri" w:hAnsi="Palatino Linotype" w:cs="Times New Roman"/>
          <w:color w:val="000000" w:themeColor="text1"/>
          <w:lang w:val="es-ES"/>
        </w:rPr>
        <w:t xml:space="preserve">; 5, párrafos </w:t>
      </w:r>
      <w:r w:rsidR="00217B09" w:rsidRPr="00EE2DA4">
        <w:rPr>
          <w:rFonts w:ascii="Palatino Linotype" w:eastAsia="Calibri" w:hAnsi="Palatino Linotype" w:cs="Times New Roman"/>
          <w:color w:val="000000" w:themeColor="text1"/>
          <w:lang w:val="es-ES"/>
        </w:rPr>
        <w:t xml:space="preserve">vigésimo segundo, vigésimo tercero y vigésimo cuarto </w:t>
      </w:r>
      <w:r w:rsidRPr="00EE2DA4">
        <w:rPr>
          <w:rFonts w:ascii="Palatino Linotype" w:eastAsia="Calibri" w:hAnsi="Palatino Linotype" w:cs="Times New Roman"/>
          <w:color w:val="000000" w:themeColor="text1"/>
          <w:lang w:val="es-ES"/>
        </w:rPr>
        <w:t xml:space="preserve">fracciones IV y V de la </w:t>
      </w:r>
      <w:r w:rsidRPr="00EE2DA4">
        <w:rPr>
          <w:rFonts w:ascii="Palatino Linotype" w:eastAsia="Calibri" w:hAnsi="Palatino Linotype" w:cs="Times New Roman"/>
          <w:b/>
          <w:color w:val="000000" w:themeColor="text1"/>
          <w:lang w:val="es-ES"/>
        </w:rPr>
        <w:t>Constitución Política del Estado Libre y Soberano de México</w:t>
      </w:r>
      <w:r w:rsidRPr="00EE2DA4">
        <w:rPr>
          <w:rFonts w:ascii="Palatino Linotype" w:eastAsia="Calibri" w:hAnsi="Palatino Linotype" w:cs="Times New Roman"/>
          <w:color w:val="000000" w:themeColor="text1"/>
          <w:lang w:val="es-ES"/>
        </w:rPr>
        <w:t xml:space="preserve">; artículos 1, 2 fracción II, 13, 29, 36 fracciones I y II, 176, 178, 179, 181 párrafo tercero y 185 </w:t>
      </w:r>
      <w:r w:rsidRPr="00EE2DA4">
        <w:rPr>
          <w:rFonts w:ascii="Palatino Linotype" w:eastAsia="Calibri" w:hAnsi="Palatino Linotype" w:cs="Arial"/>
          <w:color w:val="000000" w:themeColor="text1"/>
          <w:lang w:val="es-ES"/>
        </w:rPr>
        <w:t xml:space="preserve">de la </w:t>
      </w:r>
      <w:r w:rsidRPr="00EE2DA4">
        <w:rPr>
          <w:rFonts w:ascii="Palatino Linotype" w:eastAsia="Calibri" w:hAnsi="Palatino Linotype" w:cs="Arial"/>
          <w:b/>
          <w:color w:val="000000" w:themeColor="text1"/>
          <w:lang w:val="es-ES"/>
        </w:rPr>
        <w:t>Ley de Transparencia y Acceso a la Información Pública del Estado de México y Municipios</w:t>
      </w:r>
      <w:r w:rsidRPr="00EE2DA4">
        <w:rPr>
          <w:rFonts w:ascii="Palatino Linotype" w:eastAsia="Calibri" w:hAnsi="Palatino Linotype" w:cs="Arial"/>
          <w:color w:val="000000" w:themeColor="text1"/>
          <w:lang w:val="es-ES"/>
        </w:rPr>
        <w:t xml:space="preserve">; y </w:t>
      </w:r>
      <w:r w:rsidR="00011036" w:rsidRPr="00EE2DA4">
        <w:rPr>
          <w:rFonts w:ascii="Palatino Linotype" w:eastAsia="Calibri" w:hAnsi="Palatino Linotype" w:cs="Arial"/>
          <w:color w:val="000000" w:themeColor="text1"/>
          <w:lang w:val="es-ES"/>
        </w:rPr>
        <w:t xml:space="preserve">10, </w:t>
      </w:r>
      <w:r w:rsidRPr="00EE2DA4">
        <w:rPr>
          <w:rFonts w:ascii="Palatino Linotype" w:eastAsia="Calibri" w:hAnsi="Palatino Linotype" w:cs="Arial"/>
          <w:color w:val="000000" w:themeColor="text1"/>
          <w:lang w:val="es-ES"/>
        </w:rPr>
        <w:t xml:space="preserve">7, 9 fracciones I y XXIV, y 11 del </w:t>
      </w:r>
      <w:r w:rsidRPr="00EE2DA4">
        <w:rPr>
          <w:rFonts w:ascii="Palatino Linotype" w:eastAsia="Calibri" w:hAnsi="Palatino Linotype" w:cs="Arial"/>
          <w:b/>
          <w:color w:val="000000" w:themeColor="text1"/>
          <w:lang w:val="es-ES"/>
        </w:rPr>
        <w:t>Reglamento Interior del Instituto de Transparencia, Acceso a la Información Pública y Protección de Datos Personales del Estado de México y Municipios</w:t>
      </w:r>
      <w:r w:rsidRPr="00EE2DA4">
        <w:rPr>
          <w:rFonts w:ascii="Palatino Linotype" w:hAnsi="Palatino Linotype"/>
          <w:color w:val="000000" w:themeColor="text1"/>
        </w:rPr>
        <w:t>.</w:t>
      </w:r>
    </w:p>
    <w:p w14:paraId="522CEB67" w14:textId="77777777" w:rsidR="002E4871" w:rsidRPr="00EE2DA4" w:rsidRDefault="002E4871" w:rsidP="002E4871">
      <w:pPr>
        <w:pStyle w:val="Prrafodelista"/>
        <w:tabs>
          <w:tab w:val="left" w:pos="426"/>
          <w:tab w:val="left" w:pos="567"/>
        </w:tabs>
        <w:spacing w:line="360" w:lineRule="auto"/>
        <w:ind w:left="0"/>
        <w:jc w:val="both"/>
        <w:rPr>
          <w:rFonts w:ascii="Palatino Linotype" w:hAnsi="Palatino Linotype"/>
          <w:color w:val="000000" w:themeColor="text1"/>
          <w:sz w:val="22"/>
          <w:szCs w:val="22"/>
        </w:rPr>
      </w:pPr>
    </w:p>
    <w:p w14:paraId="59367621" w14:textId="20425F7F" w:rsidR="00F34201" w:rsidRPr="00EE2DA4" w:rsidRDefault="00F34201" w:rsidP="00CF0074">
      <w:pPr>
        <w:pStyle w:val="Ttulo1"/>
        <w:tabs>
          <w:tab w:val="left" w:pos="567"/>
        </w:tabs>
        <w:spacing w:before="0"/>
      </w:pPr>
      <w:bookmarkStart w:id="61" w:name="_Toc471845444"/>
      <w:bookmarkStart w:id="62" w:name="_Toc473812225"/>
      <w:bookmarkStart w:id="63" w:name="_Toc495430770"/>
      <w:bookmarkStart w:id="64" w:name="_Toc33186533"/>
      <w:r w:rsidRPr="00EE2DA4">
        <w:t>SEGUNDO. De la oportunidad y proced</w:t>
      </w:r>
      <w:r w:rsidR="00903242" w:rsidRPr="00EE2DA4">
        <w:t>encia</w:t>
      </w:r>
      <w:r w:rsidRPr="00EE2DA4">
        <w:t>.</w:t>
      </w:r>
      <w:bookmarkEnd w:id="61"/>
      <w:bookmarkEnd w:id="62"/>
      <w:bookmarkEnd w:id="63"/>
      <w:bookmarkEnd w:id="64"/>
    </w:p>
    <w:p w14:paraId="195EC81A" w14:textId="2891151F" w:rsidR="00F34201" w:rsidRPr="00EE2DA4" w:rsidRDefault="00F34201" w:rsidP="00CF0074">
      <w:pPr>
        <w:pStyle w:val="Prrafodelista"/>
        <w:tabs>
          <w:tab w:val="left" w:pos="567"/>
        </w:tabs>
        <w:spacing w:line="360" w:lineRule="auto"/>
        <w:ind w:left="0"/>
        <w:jc w:val="both"/>
        <w:rPr>
          <w:rFonts w:ascii="Palatino Linotype" w:hAnsi="Palatino Linotype"/>
          <w:b/>
          <w:color w:val="000000" w:themeColor="text1"/>
        </w:rPr>
      </w:pPr>
    </w:p>
    <w:p w14:paraId="231967D3" w14:textId="19DE8843" w:rsidR="005F0CF0" w:rsidRPr="00EE2DA4" w:rsidRDefault="00F34201" w:rsidP="005F0CF0">
      <w:pPr>
        <w:pStyle w:val="Prrafodelista"/>
        <w:numPr>
          <w:ilvl w:val="0"/>
          <w:numId w:val="1"/>
        </w:numPr>
        <w:tabs>
          <w:tab w:val="left" w:pos="567"/>
        </w:tabs>
        <w:spacing w:before="240" w:after="240" w:line="360" w:lineRule="auto"/>
        <w:ind w:left="0" w:firstLine="0"/>
        <w:jc w:val="both"/>
        <w:rPr>
          <w:rFonts w:ascii="Palatino Linotype" w:hAnsi="Palatino Linotype"/>
          <w:b/>
          <w:color w:val="000000" w:themeColor="text1"/>
        </w:rPr>
      </w:pPr>
      <w:bookmarkStart w:id="65" w:name="_Toc463524052"/>
      <w:r w:rsidRPr="00EE2DA4">
        <w:rPr>
          <w:rFonts w:ascii="Palatino Linotype" w:eastAsia="Calibri" w:hAnsi="Palatino Linotype" w:cs="Arial"/>
          <w:color w:val="000000" w:themeColor="text1"/>
        </w:rPr>
        <w:t>El medio de impugnación fue presentado a través del Sistema de Acceso a la Información Mexiquense (SAIMEX)</w:t>
      </w:r>
      <w:r w:rsidRPr="00EE2DA4">
        <w:rPr>
          <w:rFonts w:ascii="Palatino Linotype" w:eastAsia="Calibri" w:hAnsi="Palatino Linotype" w:cs="Arial"/>
          <w:b/>
          <w:color w:val="000000" w:themeColor="text1"/>
        </w:rPr>
        <w:t>,</w:t>
      </w:r>
      <w:r w:rsidRPr="00EE2DA4">
        <w:rPr>
          <w:rFonts w:ascii="Palatino Linotype" w:eastAsia="Calibri" w:hAnsi="Palatino Linotype" w:cs="Arial"/>
          <w:color w:val="000000" w:themeColor="text1"/>
        </w:rPr>
        <w:t xml:space="preserve"> en el formato previamente aprobado y dentro del plazo legal de quince días hábiles otorgados para tal efecto; para el caso en particular es de señalar que el </w:t>
      </w:r>
      <w:r w:rsidRPr="00EE2DA4">
        <w:rPr>
          <w:rFonts w:ascii="Palatino Linotype" w:eastAsia="Calibri" w:hAnsi="Palatino Linotype" w:cs="Arial"/>
          <w:b/>
          <w:color w:val="000000" w:themeColor="text1"/>
        </w:rPr>
        <w:t>SUJETO OBLIGADO</w:t>
      </w:r>
      <w:r w:rsidRPr="00EE2DA4">
        <w:rPr>
          <w:rFonts w:ascii="Palatino Linotype" w:eastAsia="Calibri" w:hAnsi="Palatino Linotype" w:cs="Arial"/>
          <w:color w:val="000000" w:themeColor="text1"/>
        </w:rPr>
        <w:t xml:space="preserve"> entregó respuesta el </w:t>
      </w:r>
      <w:bookmarkStart w:id="66" w:name="_Toc468394898"/>
      <w:r w:rsidR="002E22A4" w:rsidRPr="00EE2DA4">
        <w:rPr>
          <w:rFonts w:ascii="Palatino Linotype" w:eastAsia="Calibri" w:hAnsi="Palatino Linotype" w:cs="Arial"/>
          <w:color w:val="000000" w:themeColor="text1"/>
        </w:rPr>
        <w:t xml:space="preserve">día </w:t>
      </w:r>
      <w:r w:rsidR="009244A7" w:rsidRPr="00EE2DA4">
        <w:rPr>
          <w:rFonts w:ascii="Palatino Linotype" w:eastAsia="Calibri" w:hAnsi="Palatino Linotype" w:cs="Arial"/>
          <w:color w:val="000000" w:themeColor="text1"/>
          <w:lang w:val="es-AR"/>
        </w:rPr>
        <w:t>doce</w:t>
      </w:r>
      <w:r w:rsidR="00756B2B" w:rsidRPr="00EE2DA4">
        <w:rPr>
          <w:rFonts w:ascii="Palatino Linotype" w:eastAsia="Calibri" w:hAnsi="Palatino Linotype" w:cs="Arial"/>
          <w:color w:val="000000" w:themeColor="text1"/>
          <w:lang w:val="es-AR"/>
        </w:rPr>
        <w:t xml:space="preserve"> </w:t>
      </w:r>
      <w:r w:rsidR="00807ED7" w:rsidRPr="00EE2DA4">
        <w:rPr>
          <w:rFonts w:ascii="Palatino Linotype" w:eastAsia="Calibri" w:hAnsi="Palatino Linotype" w:cs="Arial"/>
          <w:color w:val="000000" w:themeColor="text1"/>
          <w:lang w:val="es-AR"/>
        </w:rPr>
        <w:t>(</w:t>
      </w:r>
      <w:r w:rsidR="009244A7" w:rsidRPr="00EE2DA4">
        <w:rPr>
          <w:rFonts w:ascii="Palatino Linotype" w:eastAsia="Calibri" w:hAnsi="Palatino Linotype" w:cs="Arial"/>
          <w:color w:val="000000" w:themeColor="text1"/>
          <w:lang w:val="es-AR"/>
        </w:rPr>
        <w:t>12</w:t>
      </w:r>
      <w:r w:rsidR="00807ED7" w:rsidRPr="00EE2DA4">
        <w:rPr>
          <w:rFonts w:ascii="Palatino Linotype" w:hAnsi="Palatino Linotype"/>
          <w:i/>
          <w:color w:val="000000" w:themeColor="text1"/>
        </w:rPr>
        <w:t xml:space="preserve">) </w:t>
      </w:r>
      <w:r w:rsidR="00216B6F" w:rsidRPr="00EE2DA4">
        <w:rPr>
          <w:rFonts w:ascii="Palatino Linotype" w:hAnsi="Palatino Linotype"/>
          <w:color w:val="000000" w:themeColor="text1"/>
        </w:rPr>
        <w:t xml:space="preserve">de </w:t>
      </w:r>
      <w:r w:rsidR="00F13408" w:rsidRPr="00EE2DA4">
        <w:rPr>
          <w:rFonts w:ascii="Palatino Linotype" w:hAnsi="Palatino Linotype"/>
          <w:color w:val="000000" w:themeColor="text1"/>
        </w:rPr>
        <w:t>noviembre</w:t>
      </w:r>
      <w:r w:rsidR="00216B6F" w:rsidRPr="00EE2DA4">
        <w:rPr>
          <w:rFonts w:ascii="Palatino Linotype" w:hAnsi="Palatino Linotype"/>
          <w:color w:val="000000" w:themeColor="text1"/>
        </w:rPr>
        <w:t xml:space="preserve"> </w:t>
      </w:r>
      <w:r w:rsidR="00807ED7" w:rsidRPr="00EE2DA4">
        <w:rPr>
          <w:rFonts w:ascii="Palatino Linotype" w:hAnsi="Palatino Linotype"/>
          <w:color w:val="000000" w:themeColor="text1"/>
        </w:rPr>
        <w:t xml:space="preserve">de </w:t>
      </w:r>
      <w:r w:rsidR="00E91B4E" w:rsidRPr="00EE2DA4">
        <w:rPr>
          <w:rFonts w:ascii="Palatino Linotype" w:hAnsi="Palatino Linotype"/>
          <w:color w:val="000000" w:themeColor="text1"/>
        </w:rPr>
        <w:t>dos mil diecinueve</w:t>
      </w:r>
      <w:r w:rsidR="00807ED7" w:rsidRPr="00EE2DA4">
        <w:rPr>
          <w:rFonts w:ascii="Palatino Linotype" w:eastAsia="Calibri" w:hAnsi="Palatino Linotype" w:cs="Arial"/>
          <w:color w:val="000000" w:themeColor="text1"/>
        </w:rPr>
        <w:t xml:space="preserve">, </w:t>
      </w:r>
      <w:r w:rsidR="00807ED7" w:rsidRPr="00EE2DA4">
        <w:rPr>
          <w:rFonts w:ascii="Palatino Linotype" w:hAnsi="Palatino Linotype" w:cs="Arial"/>
          <w:color w:val="000000" w:themeColor="text1"/>
        </w:rPr>
        <w:t xml:space="preserve">de tal forma que el plazo para interponer el recurso de revisión transcurrió del día </w:t>
      </w:r>
      <w:r w:rsidR="005268F7" w:rsidRPr="00EE2DA4">
        <w:rPr>
          <w:rFonts w:ascii="Palatino Linotype" w:eastAsia="Calibri" w:hAnsi="Palatino Linotype" w:cs="Arial"/>
          <w:color w:val="000000" w:themeColor="text1"/>
        </w:rPr>
        <w:t>once</w:t>
      </w:r>
      <w:r w:rsidR="005D38C8" w:rsidRPr="00EE2DA4">
        <w:rPr>
          <w:rFonts w:ascii="Palatino Linotype" w:eastAsia="Calibri" w:hAnsi="Palatino Linotype" w:cs="Arial"/>
          <w:color w:val="000000" w:themeColor="text1"/>
        </w:rPr>
        <w:t xml:space="preserve"> </w:t>
      </w:r>
      <w:r w:rsidR="00807ED7" w:rsidRPr="00EE2DA4">
        <w:rPr>
          <w:rFonts w:ascii="Palatino Linotype" w:eastAsia="Calibri" w:hAnsi="Palatino Linotype" w:cs="Arial"/>
          <w:color w:val="000000" w:themeColor="text1"/>
        </w:rPr>
        <w:t>(</w:t>
      </w:r>
      <w:r w:rsidR="005268F7" w:rsidRPr="00EE2DA4">
        <w:rPr>
          <w:rFonts w:ascii="Palatino Linotype" w:eastAsia="Calibri" w:hAnsi="Palatino Linotype" w:cs="Arial"/>
          <w:color w:val="000000" w:themeColor="text1"/>
        </w:rPr>
        <w:t>1</w:t>
      </w:r>
      <w:r w:rsidR="009244A7" w:rsidRPr="00EE2DA4">
        <w:rPr>
          <w:rFonts w:ascii="Palatino Linotype" w:eastAsia="Calibri" w:hAnsi="Palatino Linotype" w:cs="Arial"/>
          <w:color w:val="000000" w:themeColor="text1"/>
        </w:rPr>
        <w:t>3</w:t>
      </w:r>
      <w:r w:rsidR="00807ED7" w:rsidRPr="00EE2DA4">
        <w:rPr>
          <w:rFonts w:ascii="Palatino Linotype" w:eastAsia="Calibri" w:hAnsi="Palatino Linotype" w:cs="Arial"/>
          <w:color w:val="000000" w:themeColor="text1"/>
        </w:rPr>
        <w:t>)</w:t>
      </w:r>
      <w:r w:rsidR="00807ED7" w:rsidRPr="00EE2DA4">
        <w:rPr>
          <w:rFonts w:ascii="Palatino Linotype" w:hAnsi="Palatino Linotype" w:cs="Arial"/>
          <w:color w:val="000000" w:themeColor="text1"/>
        </w:rPr>
        <w:t xml:space="preserve"> </w:t>
      </w:r>
      <w:r w:rsidR="002E22A4" w:rsidRPr="00EE2DA4">
        <w:rPr>
          <w:rFonts w:ascii="Palatino Linotype" w:hAnsi="Palatino Linotype"/>
          <w:color w:val="000000" w:themeColor="text1"/>
        </w:rPr>
        <w:t xml:space="preserve">de </w:t>
      </w:r>
      <w:r w:rsidR="007446F6" w:rsidRPr="00EE2DA4">
        <w:rPr>
          <w:rFonts w:ascii="Palatino Linotype" w:hAnsi="Palatino Linotype"/>
          <w:color w:val="000000" w:themeColor="text1"/>
        </w:rPr>
        <w:t>noviembre</w:t>
      </w:r>
      <w:r w:rsidR="00216B6F" w:rsidRPr="00EE2DA4">
        <w:rPr>
          <w:rFonts w:ascii="Palatino Linotype" w:hAnsi="Palatino Linotype"/>
          <w:color w:val="000000" w:themeColor="text1"/>
        </w:rPr>
        <w:t xml:space="preserve"> </w:t>
      </w:r>
      <w:r w:rsidR="00807ED7" w:rsidRPr="00EE2DA4">
        <w:rPr>
          <w:rFonts w:ascii="Palatino Linotype" w:hAnsi="Palatino Linotype" w:cs="Arial"/>
          <w:color w:val="000000" w:themeColor="text1"/>
        </w:rPr>
        <w:t xml:space="preserve">al </w:t>
      </w:r>
      <w:r w:rsidR="009244A7" w:rsidRPr="00EE2DA4">
        <w:rPr>
          <w:rFonts w:ascii="Palatino Linotype" w:hAnsi="Palatino Linotype" w:cs="Arial"/>
          <w:color w:val="000000" w:themeColor="text1"/>
        </w:rPr>
        <w:t xml:space="preserve">cuatro </w:t>
      </w:r>
      <w:r w:rsidR="00807ED7" w:rsidRPr="00EE2DA4">
        <w:rPr>
          <w:rFonts w:ascii="Palatino Linotype" w:hAnsi="Palatino Linotype" w:cs="Arial"/>
          <w:color w:val="000000" w:themeColor="text1"/>
        </w:rPr>
        <w:t>(</w:t>
      </w:r>
      <w:r w:rsidR="005268F7" w:rsidRPr="00EE2DA4">
        <w:rPr>
          <w:rFonts w:ascii="Palatino Linotype" w:hAnsi="Palatino Linotype" w:cs="Arial"/>
          <w:color w:val="000000" w:themeColor="text1"/>
        </w:rPr>
        <w:t>0</w:t>
      </w:r>
      <w:r w:rsidR="009244A7" w:rsidRPr="00EE2DA4">
        <w:rPr>
          <w:rFonts w:ascii="Palatino Linotype" w:hAnsi="Palatino Linotype" w:cs="Arial"/>
          <w:color w:val="000000" w:themeColor="text1"/>
        </w:rPr>
        <w:t>4</w:t>
      </w:r>
      <w:r w:rsidR="00807ED7" w:rsidRPr="00EE2DA4">
        <w:rPr>
          <w:rFonts w:ascii="Palatino Linotype" w:hAnsi="Palatino Linotype" w:cs="Arial"/>
          <w:color w:val="000000" w:themeColor="text1"/>
        </w:rPr>
        <w:t>) de</w:t>
      </w:r>
      <w:r w:rsidR="00216B6F" w:rsidRPr="00EE2DA4">
        <w:rPr>
          <w:rFonts w:ascii="Palatino Linotype" w:hAnsi="Palatino Linotype" w:cs="Arial"/>
          <w:color w:val="000000" w:themeColor="text1"/>
        </w:rPr>
        <w:t xml:space="preserve"> </w:t>
      </w:r>
      <w:r w:rsidR="005268F7" w:rsidRPr="00EE2DA4">
        <w:rPr>
          <w:rFonts w:ascii="Palatino Linotype" w:hAnsi="Palatino Linotype" w:cs="Arial"/>
          <w:color w:val="000000" w:themeColor="text1"/>
        </w:rPr>
        <w:t>dic</w:t>
      </w:r>
      <w:r w:rsidR="00756B2B" w:rsidRPr="00EE2DA4">
        <w:rPr>
          <w:rFonts w:ascii="Palatino Linotype" w:hAnsi="Palatino Linotype" w:cs="Arial"/>
          <w:color w:val="000000" w:themeColor="text1"/>
        </w:rPr>
        <w:t>iembre</w:t>
      </w:r>
      <w:r w:rsidR="00807ED7" w:rsidRPr="00EE2DA4">
        <w:rPr>
          <w:rFonts w:ascii="Palatino Linotype" w:hAnsi="Palatino Linotype" w:cs="Arial"/>
          <w:color w:val="000000" w:themeColor="text1"/>
        </w:rPr>
        <w:t xml:space="preserve"> de dos mil diecinueve;</w:t>
      </w:r>
      <w:r w:rsidR="00807ED7" w:rsidRPr="00EE2DA4">
        <w:rPr>
          <w:rFonts w:ascii="Palatino Linotype" w:eastAsia="Calibri" w:hAnsi="Palatino Linotype" w:cs="Arial"/>
          <w:color w:val="000000" w:themeColor="text1"/>
        </w:rPr>
        <w:t xml:space="preserve"> </w:t>
      </w:r>
      <w:r w:rsidR="00807ED7" w:rsidRPr="00EE2DA4">
        <w:rPr>
          <w:rFonts w:ascii="Palatino Linotype" w:hAnsi="Palatino Linotype" w:cs="Arial"/>
          <w:color w:val="000000" w:themeColor="text1"/>
        </w:rPr>
        <w:t xml:space="preserve">por lo que si presentó su inconformidad el día </w:t>
      </w:r>
      <w:r w:rsidR="009244A7" w:rsidRPr="00EE2DA4">
        <w:rPr>
          <w:rFonts w:ascii="Palatino Linotype" w:hAnsi="Palatino Linotype" w:cs="Arial"/>
          <w:color w:val="000000" w:themeColor="text1"/>
        </w:rPr>
        <w:t>cuatro</w:t>
      </w:r>
      <w:r w:rsidR="00756B2B" w:rsidRPr="00EE2DA4">
        <w:rPr>
          <w:rFonts w:ascii="Palatino Linotype" w:hAnsi="Palatino Linotype" w:cs="Arial"/>
          <w:color w:val="000000" w:themeColor="text1"/>
        </w:rPr>
        <w:t xml:space="preserve"> </w:t>
      </w:r>
      <w:r w:rsidR="005D38C8" w:rsidRPr="00EE2DA4">
        <w:rPr>
          <w:rFonts w:ascii="Palatino Linotype" w:eastAsia="Calibri" w:hAnsi="Palatino Linotype" w:cs="Arial"/>
          <w:color w:val="000000" w:themeColor="text1"/>
          <w:lang w:val="es-AR"/>
        </w:rPr>
        <w:t>(</w:t>
      </w:r>
      <w:r w:rsidR="009244A7" w:rsidRPr="00EE2DA4">
        <w:rPr>
          <w:rFonts w:ascii="Palatino Linotype" w:eastAsia="Calibri" w:hAnsi="Palatino Linotype" w:cs="Arial"/>
          <w:color w:val="000000" w:themeColor="text1"/>
          <w:lang w:val="es-AR"/>
        </w:rPr>
        <w:t>04</w:t>
      </w:r>
      <w:r w:rsidR="005D38C8" w:rsidRPr="00EE2DA4">
        <w:rPr>
          <w:rFonts w:ascii="Palatino Linotype" w:hAnsi="Palatino Linotype"/>
          <w:i/>
          <w:color w:val="000000" w:themeColor="text1"/>
        </w:rPr>
        <w:t xml:space="preserve">) </w:t>
      </w:r>
      <w:r w:rsidR="005D38C8" w:rsidRPr="00EE2DA4">
        <w:rPr>
          <w:rFonts w:ascii="Palatino Linotype" w:hAnsi="Palatino Linotype"/>
          <w:color w:val="000000" w:themeColor="text1"/>
        </w:rPr>
        <w:t xml:space="preserve">de </w:t>
      </w:r>
      <w:r w:rsidR="009244A7" w:rsidRPr="00EE2DA4">
        <w:rPr>
          <w:rFonts w:ascii="Palatino Linotype" w:hAnsi="Palatino Linotype"/>
          <w:color w:val="000000" w:themeColor="text1"/>
        </w:rPr>
        <w:t>dic</w:t>
      </w:r>
      <w:r w:rsidR="00756B2B" w:rsidRPr="00EE2DA4">
        <w:rPr>
          <w:rFonts w:ascii="Palatino Linotype" w:hAnsi="Palatino Linotype"/>
          <w:color w:val="000000" w:themeColor="text1"/>
        </w:rPr>
        <w:t>iembre</w:t>
      </w:r>
      <w:r w:rsidR="005D38C8" w:rsidRPr="00EE2DA4">
        <w:rPr>
          <w:rFonts w:ascii="Palatino Linotype" w:hAnsi="Palatino Linotype"/>
          <w:color w:val="000000" w:themeColor="text1"/>
        </w:rPr>
        <w:t xml:space="preserve"> de dos mil diecinueve</w:t>
      </w:r>
      <w:bookmarkStart w:id="67" w:name="_Toc495430771"/>
      <w:bookmarkStart w:id="68" w:name="_Toc517976096"/>
      <w:bookmarkStart w:id="69" w:name="_Toc458528990"/>
      <w:bookmarkStart w:id="70" w:name="_Toc473812227"/>
      <w:bookmarkEnd w:id="65"/>
      <w:bookmarkEnd w:id="66"/>
      <w:r w:rsidR="005F0CF0" w:rsidRPr="00EE2DA4">
        <w:rPr>
          <w:rFonts w:ascii="Palatino Linotype" w:hAnsi="Palatino Linotype" w:cs="Arial"/>
          <w:color w:val="000000" w:themeColor="text1"/>
        </w:rPr>
        <w:t xml:space="preserve">, éste se encuentra dentro de los márgenes temporales previstos en el artículo 178 de la </w:t>
      </w:r>
      <w:r w:rsidR="005F0CF0" w:rsidRPr="00EE2DA4">
        <w:rPr>
          <w:rFonts w:ascii="Palatino Linotype" w:hAnsi="Palatino Linotype" w:cs="Arial"/>
          <w:b/>
          <w:color w:val="000000" w:themeColor="text1"/>
        </w:rPr>
        <w:t>Ley de Transparencia y Acceso a la Información Pública del Estado de México y Municipios.</w:t>
      </w:r>
    </w:p>
    <w:p w14:paraId="45F17E1F" w14:textId="3B572906" w:rsidR="0002372A" w:rsidRPr="00EE2DA4" w:rsidRDefault="0002372A" w:rsidP="005F0CF0">
      <w:pPr>
        <w:pStyle w:val="Prrafodelista"/>
        <w:tabs>
          <w:tab w:val="left" w:pos="567"/>
        </w:tabs>
        <w:spacing w:before="240" w:after="240" w:line="360" w:lineRule="auto"/>
        <w:ind w:left="0"/>
        <w:jc w:val="both"/>
        <w:rPr>
          <w:rFonts w:ascii="Palatino Linotype" w:hAnsi="Palatino Linotype" w:cs="Arial"/>
          <w:color w:val="000000" w:themeColor="text1"/>
        </w:rPr>
      </w:pPr>
    </w:p>
    <w:p w14:paraId="685D57DA" w14:textId="77777777" w:rsidR="005F0CF0" w:rsidRPr="00EE2DA4" w:rsidRDefault="005F0CF0" w:rsidP="005F0CF0">
      <w:pPr>
        <w:pStyle w:val="Prrafodelista"/>
        <w:numPr>
          <w:ilvl w:val="0"/>
          <w:numId w:val="1"/>
        </w:numPr>
        <w:spacing w:before="240" w:line="360" w:lineRule="auto"/>
        <w:ind w:left="0" w:firstLine="0"/>
        <w:jc w:val="both"/>
        <w:rPr>
          <w:rFonts w:ascii="Palatino Linotype" w:eastAsia="Times New Roman" w:hAnsi="Palatino Linotype" w:cs="Arial"/>
          <w:color w:val="000000" w:themeColor="text1"/>
          <w:lang w:val="es-ES" w:eastAsia="es-MX"/>
        </w:rPr>
      </w:pPr>
      <w:r w:rsidRPr="00EE2DA4">
        <w:rPr>
          <w:rFonts w:ascii="Palatino Linotype" w:eastAsia="Calibri" w:hAnsi="Palatino Linotype" w:cs="Arial"/>
          <w:color w:val="000000" w:themeColor="text1"/>
        </w:rPr>
        <w:t xml:space="preserve">Por otro lado, el escrito contiene las formalidades previstas por el artículo 180 último párrafo de la </w:t>
      </w:r>
      <w:r w:rsidRPr="00EE2DA4">
        <w:rPr>
          <w:rFonts w:ascii="Palatino Linotype" w:hAnsi="Palatino Linotype" w:cs="Arial"/>
          <w:b/>
          <w:color w:val="000000" w:themeColor="text1"/>
        </w:rPr>
        <w:t xml:space="preserve">Ley de Transparencia y Acceso a la Información Pública del </w:t>
      </w:r>
      <w:r w:rsidRPr="00EE2DA4">
        <w:rPr>
          <w:rFonts w:ascii="Palatino Linotype" w:hAnsi="Palatino Linotype" w:cs="Arial"/>
          <w:b/>
          <w:color w:val="000000" w:themeColor="text1"/>
        </w:rPr>
        <w:lastRenderedPageBreak/>
        <w:t>Estado de México y Municipios</w:t>
      </w:r>
      <w:r w:rsidRPr="00EE2DA4">
        <w:rPr>
          <w:rFonts w:ascii="Palatino Linotype" w:eastAsia="Calibri" w:hAnsi="Palatino Linotype" w:cs="Arial"/>
          <w:color w:val="000000" w:themeColor="text1"/>
        </w:rPr>
        <w:t>, por lo que es procedente que este Instituto de Transparencia, Acceso a la Información Pública y Protección de Datos Personales del Estado de México y Municipios, conozca y resuelva el presente recurso.</w:t>
      </w:r>
    </w:p>
    <w:p w14:paraId="55DB17C0" w14:textId="77777777" w:rsidR="00A706EA" w:rsidRPr="00EE2DA4" w:rsidRDefault="00A706EA" w:rsidP="00A706EA">
      <w:pPr>
        <w:pStyle w:val="Prrafodelista"/>
        <w:spacing w:before="240" w:line="360" w:lineRule="auto"/>
        <w:ind w:left="0"/>
        <w:jc w:val="both"/>
        <w:rPr>
          <w:rFonts w:ascii="Palatino Linotype" w:eastAsia="Times New Roman" w:hAnsi="Palatino Linotype" w:cs="Arial"/>
          <w:color w:val="000000" w:themeColor="text1"/>
          <w:lang w:val="es-ES" w:eastAsia="es-MX"/>
        </w:rPr>
      </w:pPr>
    </w:p>
    <w:p w14:paraId="41C4064D" w14:textId="77777777" w:rsidR="00A706EA" w:rsidRPr="00EE2DA4" w:rsidRDefault="00A706EA" w:rsidP="00A706EA">
      <w:pPr>
        <w:pStyle w:val="Ttulo2"/>
        <w:tabs>
          <w:tab w:val="left" w:pos="567"/>
        </w:tabs>
        <w:spacing w:before="0"/>
        <w:rPr>
          <w:b w:val="0"/>
          <w:szCs w:val="24"/>
        </w:rPr>
      </w:pPr>
      <w:bookmarkStart w:id="71" w:name="_Toc33186534"/>
      <w:bookmarkStart w:id="72" w:name="_Toc475014715"/>
      <w:bookmarkStart w:id="73" w:name="_Toc475381194"/>
      <w:bookmarkStart w:id="74" w:name="_Toc490155969"/>
      <w:bookmarkStart w:id="75" w:name="_Toc490734332"/>
      <w:bookmarkStart w:id="76" w:name="_Toc491854740"/>
      <w:bookmarkStart w:id="77" w:name="_Toc494991893"/>
      <w:bookmarkStart w:id="78" w:name="_Toc513664628"/>
      <w:bookmarkStart w:id="79" w:name="_Toc8823939"/>
      <w:bookmarkStart w:id="80" w:name="_Toc30093953"/>
      <w:bookmarkEnd w:id="0"/>
      <w:bookmarkEnd w:id="1"/>
      <w:bookmarkEnd w:id="67"/>
      <w:bookmarkEnd w:id="68"/>
      <w:bookmarkEnd w:id="69"/>
      <w:bookmarkEnd w:id="70"/>
      <w:r w:rsidRPr="00EE2DA4">
        <w:rPr>
          <w:szCs w:val="24"/>
        </w:rPr>
        <w:t>TERCERO. Del planteamiento de la Litis:</w:t>
      </w:r>
      <w:bookmarkEnd w:id="71"/>
    </w:p>
    <w:p w14:paraId="183297E2" w14:textId="77777777" w:rsidR="00A706EA" w:rsidRPr="00EE2DA4" w:rsidRDefault="00A706EA" w:rsidP="00A706EA">
      <w:pPr>
        <w:pStyle w:val="Prrafodelista"/>
        <w:tabs>
          <w:tab w:val="left" w:pos="567"/>
        </w:tabs>
        <w:spacing w:after="240" w:line="360" w:lineRule="auto"/>
        <w:ind w:left="0"/>
        <w:jc w:val="both"/>
        <w:rPr>
          <w:rFonts w:ascii="Palatino Linotype" w:hAnsi="Palatino Linotype"/>
          <w:b/>
          <w:color w:val="000000" w:themeColor="text1"/>
        </w:rPr>
      </w:pPr>
    </w:p>
    <w:p w14:paraId="67F97FC2" w14:textId="77777777" w:rsidR="00A706EA" w:rsidRPr="00EE2DA4" w:rsidRDefault="00A706EA" w:rsidP="00A706EA">
      <w:pPr>
        <w:pStyle w:val="Prrafodelista"/>
        <w:numPr>
          <w:ilvl w:val="0"/>
          <w:numId w:val="1"/>
        </w:numPr>
        <w:tabs>
          <w:tab w:val="left" w:pos="567"/>
        </w:tabs>
        <w:spacing w:before="240" w:after="240" w:line="360" w:lineRule="auto"/>
        <w:ind w:left="0" w:firstLine="0"/>
        <w:jc w:val="both"/>
        <w:rPr>
          <w:rFonts w:ascii="Palatino Linotype" w:hAnsi="Palatino Linotype"/>
        </w:rPr>
      </w:pPr>
      <w:r w:rsidRPr="00EE2DA4">
        <w:rPr>
          <w:rFonts w:ascii="Palatino Linotype" w:hAnsi="Palatino Linotype"/>
          <w:color w:val="000000" w:themeColor="text1"/>
        </w:rPr>
        <w:t>En términos generales se manifestó la inconformidad</w:t>
      </w:r>
      <w:r w:rsidRPr="00EE2DA4">
        <w:rPr>
          <w:rFonts w:ascii="Palatino Linotype" w:hAnsi="Palatino Linotype"/>
          <w:b/>
          <w:color w:val="000000" w:themeColor="text1"/>
        </w:rPr>
        <w:t xml:space="preserve"> </w:t>
      </w:r>
      <w:r w:rsidRPr="00EE2DA4">
        <w:rPr>
          <w:rFonts w:ascii="Palatino Linotype" w:hAnsi="Palatino Linotype"/>
          <w:color w:val="000000" w:themeColor="text1"/>
        </w:rPr>
        <w:t>porque la</w:t>
      </w:r>
      <w:r w:rsidRPr="00EE2DA4">
        <w:rPr>
          <w:rFonts w:ascii="Palatino Linotype" w:eastAsia="Calibri" w:hAnsi="Palatino Linotype" w:cs="Times New Roman"/>
          <w:color w:val="000000" w:themeColor="text1"/>
          <w:lang w:val="es-ES"/>
        </w:rPr>
        <w:t xml:space="preserve"> respuesta a consideración del particular se encuentra incompleta al señalar “</w:t>
      </w:r>
      <w:r w:rsidRPr="00EE2DA4">
        <w:rPr>
          <w:rFonts w:ascii="Palatino Linotype" w:hAnsi="Palatino Linotype"/>
          <w:i/>
          <w:color w:val="000000"/>
        </w:rPr>
        <w:t>Entrega de respuesta de acceso de información incompleta</w:t>
      </w:r>
      <w:r w:rsidRPr="00EE2DA4">
        <w:rPr>
          <w:rFonts w:ascii="Palatino Linotype" w:eastAsia="Calibri" w:hAnsi="Palatino Linotype" w:cs="Times New Roman"/>
          <w:color w:val="000000" w:themeColor="text1"/>
          <w:lang w:val="es-ES"/>
        </w:rPr>
        <w:t>” y que “</w:t>
      </w:r>
      <w:r w:rsidRPr="00EE2DA4">
        <w:rPr>
          <w:rFonts w:ascii="Palatino Linotype" w:hAnsi="Palatino Linotype"/>
          <w:i/>
          <w:color w:val="000000"/>
        </w:rPr>
        <w:t>En la respuesta que otorgaron en las preguntas sobre el capital son omiso al no responder dando información si exactitud respecto a lo solicitado</w:t>
      </w:r>
      <w:r w:rsidRPr="00EE2DA4">
        <w:rPr>
          <w:rFonts w:ascii="Palatino Linotype" w:eastAsia="Calibri" w:hAnsi="Palatino Linotype" w:cs="Times New Roman"/>
          <w:color w:val="000000" w:themeColor="text1"/>
          <w:lang w:val="es-ES"/>
        </w:rPr>
        <w:t>”</w:t>
      </w:r>
      <w:r w:rsidRPr="00EE2DA4">
        <w:rPr>
          <w:rFonts w:ascii="Palatino Linotype" w:hAnsi="Palatino Linotype" w:cs="Arial"/>
        </w:rPr>
        <w:t xml:space="preserve">, por lo que se actualiza la causa de procedencia del recurso de revisión establecida en el artículo 179, fracción XIII de la </w:t>
      </w:r>
      <w:r w:rsidRPr="00EE2DA4">
        <w:rPr>
          <w:rFonts w:ascii="Palatino Linotype" w:hAnsi="Palatino Linotype" w:cs="Arial"/>
          <w:b/>
        </w:rPr>
        <w:t>Ley de Transparencia y Acceso a la Información Pública del Estado de México y Municipios.</w:t>
      </w:r>
    </w:p>
    <w:p w14:paraId="69A71A54" w14:textId="77777777" w:rsidR="00A706EA" w:rsidRPr="00EE2DA4" w:rsidRDefault="00A706EA" w:rsidP="00A706EA">
      <w:pPr>
        <w:pStyle w:val="Prrafodelista"/>
        <w:tabs>
          <w:tab w:val="left" w:pos="567"/>
        </w:tabs>
        <w:spacing w:before="240" w:after="240" w:line="360" w:lineRule="auto"/>
        <w:ind w:left="0"/>
        <w:jc w:val="both"/>
        <w:rPr>
          <w:rFonts w:ascii="Palatino Linotype" w:hAnsi="Palatino Linotype"/>
        </w:rPr>
      </w:pPr>
    </w:p>
    <w:p w14:paraId="4AA9F516" w14:textId="77777777" w:rsidR="00A706EA" w:rsidRPr="00EE2DA4" w:rsidRDefault="00A706EA" w:rsidP="00A706EA">
      <w:pPr>
        <w:pStyle w:val="Prrafodelista"/>
        <w:numPr>
          <w:ilvl w:val="0"/>
          <w:numId w:val="1"/>
        </w:numPr>
        <w:tabs>
          <w:tab w:val="left" w:pos="567"/>
        </w:tabs>
        <w:spacing w:before="240" w:after="240" w:line="360" w:lineRule="auto"/>
        <w:ind w:left="0" w:firstLine="0"/>
        <w:jc w:val="both"/>
        <w:rPr>
          <w:rFonts w:ascii="Palatino Linotype" w:hAnsi="Palatino Linotype"/>
        </w:rPr>
      </w:pPr>
      <w:r w:rsidRPr="00EE2DA4">
        <w:rPr>
          <w:rFonts w:ascii="Palatino Linotype" w:eastAsia="Times New Roman" w:hAnsi="Palatino Linotype" w:cs="Times New Roman"/>
          <w:lang w:val="es-ES" w:eastAsia="es-MX"/>
        </w:rPr>
        <w:t xml:space="preserve">El </w:t>
      </w:r>
      <w:r w:rsidRPr="00EE2DA4">
        <w:rPr>
          <w:rFonts w:ascii="Palatino Linotype" w:eastAsia="Times New Roman" w:hAnsi="Palatino Linotype" w:cs="Times New Roman"/>
          <w:b/>
          <w:bCs/>
          <w:lang w:val="es-ES" w:eastAsia="es-MX"/>
        </w:rPr>
        <w:t xml:space="preserve">SUJETO OBLIGADO, </w:t>
      </w:r>
      <w:r w:rsidRPr="00EE2DA4">
        <w:rPr>
          <w:rFonts w:ascii="Palatino Linotype" w:eastAsia="Times New Roman" w:hAnsi="Palatino Linotype" w:cs="Times New Roman"/>
          <w:lang w:val="es-ES" w:eastAsia="es-MX"/>
        </w:rPr>
        <w:t>rindió su informe justificado, para manifestar lo que a su derecho asistiera y conviniera, mismo que ratifica la respuesta inicial pero fue puesto a disposición del particular porque a comparación de la respuesta éste se encuentra completamente legible.</w:t>
      </w:r>
    </w:p>
    <w:p w14:paraId="752C2E65" w14:textId="77777777" w:rsidR="00A706EA" w:rsidRPr="00EE2DA4" w:rsidRDefault="00A706EA" w:rsidP="00A706EA">
      <w:pPr>
        <w:pStyle w:val="Prrafodelista"/>
        <w:tabs>
          <w:tab w:val="left" w:pos="567"/>
        </w:tabs>
        <w:spacing w:before="240" w:after="240" w:line="360" w:lineRule="auto"/>
        <w:ind w:left="0"/>
        <w:jc w:val="both"/>
        <w:rPr>
          <w:rFonts w:ascii="Palatino Linotype" w:hAnsi="Palatino Linotype"/>
        </w:rPr>
      </w:pPr>
    </w:p>
    <w:p w14:paraId="3AFCDDFD" w14:textId="77777777" w:rsidR="00A706EA" w:rsidRPr="00EE2DA4" w:rsidRDefault="00A706EA" w:rsidP="00A706EA">
      <w:pPr>
        <w:pStyle w:val="Prrafodelista"/>
        <w:numPr>
          <w:ilvl w:val="0"/>
          <w:numId w:val="1"/>
        </w:numPr>
        <w:tabs>
          <w:tab w:val="left" w:pos="567"/>
        </w:tabs>
        <w:spacing w:before="240" w:after="240" w:line="360" w:lineRule="auto"/>
        <w:ind w:left="0" w:firstLine="0"/>
        <w:jc w:val="both"/>
        <w:rPr>
          <w:rFonts w:ascii="Palatino Linotype" w:hAnsi="Palatino Linotype"/>
        </w:rPr>
      </w:pPr>
      <w:r w:rsidRPr="00EE2DA4">
        <w:rPr>
          <w:rFonts w:ascii="Palatino Linotype" w:eastAsia="Times New Roman" w:hAnsi="Palatino Linotype" w:cs="Arial"/>
        </w:rPr>
        <w:t xml:space="preserve">En dichas condiciones, la </w:t>
      </w:r>
      <w:r w:rsidRPr="00EE2DA4">
        <w:rPr>
          <w:rFonts w:ascii="Palatino Linotype" w:eastAsia="Times New Roman" w:hAnsi="Palatino Linotype" w:cs="Arial"/>
          <w:i/>
        </w:rPr>
        <w:t>litis</w:t>
      </w:r>
      <w:r w:rsidRPr="00EE2DA4">
        <w:rPr>
          <w:rFonts w:ascii="Palatino Linotype" w:eastAsia="Times New Roman" w:hAnsi="Palatino Linotype" w:cs="Arial"/>
        </w:rPr>
        <w:t xml:space="preserve"> a resolver en este recurso se circunscribe a determinar si con los documentos enviados en la respuesta y/o informe justificado se satisface el Derecho de Acceso a la Información y si son procedentes las razones o motivos de inconformidad.</w:t>
      </w:r>
    </w:p>
    <w:p w14:paraId="11DD1226" w14:textId="77777777" w:rsidR="00A706EA" w:rsidRPr="00EE2DA4" w:rsidRDefault="00A706EA" w:rsidP="00A706EA">
      <w:pPr>
        <w:rPr>
          <w:lang w:val="es-MX" w:eastAsia="en-US"/>
        </w:rPr>
      </w:pPr>
    </w:p>
    <w:p w14:paraId="690DEA1C" w14:textId="77777777" w:rsidR="00A706EA" w:rsidRPr="00EE2DA4" w:rsidRDefault="00A706EA" w:rsidP="00A706EA">
      <w:pPr>
        <w:pStyle w:val="Ttulo1"/>
      </w:pPr>
      <w:bookmarkStart w:id="81" w:name="_Toc30093943"/>
      <w:bookmarkStart w:id="82" w:name="_Toc33186535"/>
      <w:r w:rsidRPr="00EE2DA4">
        <w:t>CUARTO. Del Estudio y resolución del Asunto.</w:t>
      </w:r>
      <w:bookmarkEnd w:id="81"/>
      <w:bookmarkEnd w:id="82"/>
    </w:p>
    <w:p w14:paraId="5AF619FC" w14:textId="77777777" w:rsidR="00A87C4E" w:rsidRPr="00EE2DA4" w:rsidRDefault="00A87C4E" w:rsidP="00A87C4E">
      <w:pPr>
        <w:rPr>
          <w:lang w:val="es-MX" w:eastAsia="en-US"/>
        </w:rPr>
      </w:pPr>
    </w:p>
    <w:p w14:paraId="6AA48F2E" w14:textId="1E41BCD6" w:rsidR="008776A2" w:rsidRPr="00EE2DA4" w:rsidRDefault="008776A2" w:rsidP="00A87C4E">
      <w:pPr>
        <w:pStyle w:val="Ttulo2"/>
      </w:pPr>
      <w:bookmarkStart w:id="83" w:name="_Toc8387929"/>
      <w:bookmarkStart w:id="84" w:name="_Toc15589984"/>
      <w:bookmarkStart w:id="85" w:name="_Toc30093944"/>
      <w:bookmarkStart w:id="86" w:name="_Toc33186536"/>
      <w:r w:rsidRPr="00EE2DA4">
        <w:t>I. De la respuesta emitida por el SUJETO OBLIGADO.</w:t>
      </w:r>
      <w:bookmarkEnd w:id="83"/>
      <w:bookmarkEnd w:id="84"/>
      <w:bookmarkEnd w:id="85"/>
      <w:bookmarkEnd w:id="86"/>
    </w:p>
    <w:p w14:paraId="4615C3E8" w14:textId="227631F9" w:rsidR="008776A2" w:rsidRPr="00EE2DA4" w:rsidRDefault="00A706EA" w:rsidP="008776A2">
      <w:pPr>
        <w:pStyle w:val="Prrafodelista"/>
        <w:numPr>
          <w:ilvl w:val="0"/>
          <w:numId w:val="1"/>
        </w:numPr>
        <w:tabs>
          <w:tab w:val="left" w:pos="567"/>
        </w:tabs>
        <w:spacing w:before="240" w:after="240" w:line="360" w:lineRule="auto"/>
        <w:ind w:left="0" w:firstLine="0"/>
        <w:jc w:val="both"/>
        <w:rPr>
          <w:rFonts w:ascii="Palatino Linotype" w:hAnsi="Palatino Linotype"/>
        </w:rPr>
      </w:pPr>
      <w:r w:rsidRPr="00EE2DA4">
        <w:rPr>
          <w:rFonts w:ascii="Palatino Linotype" w:hAnsi="Palatino Linotype" w:cs="Arial"/>
        </w:rPr>
        <w:t>E</w:t>
      </w:r>
      <w:r w:rsidR="008776A2" w:rsidRPr="00EE2DA4">
        <w:rPr>
          <w:rFonts w:ascii="Palatino Linotype" w:hAnsi="Palatino Linotype" w:cs="Arial"/>
        </w:rPr>
        <w:t>n primer término es necesario reiterar que se requirió información relativa a:</w:t>
      </w:r>
    </w:p>
    <w:p w14:paraId="008283D7" w14:textId="77777777" w:rsidR="00A706EA" w:rsidRPr="00EE2DA4" w:rsidRDefault="00A706EA" w:rsidP="00A706EA">
      <w:pPr>
        <w:pStyle w:val="Prrafodelista"/>
        <w:tabs>
          <w:tab w:val="left" w:pos="567"/>
        </w:tabs>
        <w:spacing w:before="240" w:after="240" w:line="360" w:lineRule="auto"/>
        <w:ind w:left="0"/>
        <w:jc w:val="both"/>
        <w:rPr>
          <w:rFonts w:ascii="Palatino Linotype" w:hAnsi="Palatino Linotype"/>
        </w:rPr>
      </w:pPr>
    </w:p>
    <w:p w14:paraId="4E6C08DC" w14:textId="6F4DC40A" w:rsidR="00A87C4E" w:rsidRPr="00EE2DA4" w:rsidRDefault="00A87C4E" w:rsidP="00A87C4E">
      <w:pPr>
        <w:pStyle w:val="Prrafodelista"/>
        <w:numPr>
          <w:ilvl w:val="0"/>
          <w:numId w:val="22"/>
        </w:numPr>
        <w:spacing w:after="160" w:line="360" w:lineRule="auto"/>
        <w:ind w:left="567" w:right="567" w:firstLine="0"/>
        <w:jc w:val="both"/>
        <w:rPr>
          <w:rFonts w:ascii="Palatino Linotype" w:hAnsi="Palatino Linotype"/>
          <w:color w:val="000000"/>
        </w:rPr>
      </w:pPr>
      <w:r w:rsidRPr="00EE2DA4">
        <w:rPr>
          <w:rFonts w:ascii="Palatino Linotype" w:hAnsi="Palatino Linotype"/>
          <w:color w:val="000000"/>
        </w:rPr>
        <w:t>La evaluación de impacto realizada respecto de la App para denunciar violaciones a derechos humanos de periodistas.</w:t>
      </w:r>
    </w:p>
    <w:p w14:paraId="4314BBBB" w14:textId="19BDDFEC" w:rsidR="009A3462" w:rsidRPr="00EE2DA4" w:rsidRDefault="00A87C4E" w:rsidP="00A87C4E">
      <w:pPr>
        <w:pStyle w:val="Prrafodelista"/>
        <w:numPr>
          <w:ilvl w:val="0"/>
          <w:numId w:val="22"/>
        </w:numPr>
        <w:spacing w:after="160" w:line="360" w:lineRule="auto"/>
        <w:ind w:left="567" w:right="567" w:firstLine="0"/>
        <w:jc w:val="both"/>
        <w:rPr>
          <w:rFonts w:ascii="Palatino Linotype" w:hAnsi="Palatino Linotype"/>
          <w:color w:val="000000"/>
        </w:rPr>
      </w:pPr>
      <w:r w:rsidRPr="00EE2DA4">
        <w:rPr>
          <w:rFonts w:ascii="Palatino Linotype" w:hAnsi="Palatino Linotype"/>
          <w:color w:val="000000"/>
        </w:rPr>
        <w:t>El Aviso de Privacidad de esa aplicación</w:t>
      </w:r>
      <w:r w:rsidR="009A3462" w:rsidRPr="00EE2DA4">
        <w:rPr>
          <w:rFonts w:ascii="Palatino Linotype" w:hAnsi="Palatino Linotype"/>
          <w:color w:val="000000"/>
        </w:rPr>
        <w:t>,</w:t>
      </w:r>
    </w:p>
    <w:p w14:paraId="219CC6E0" w14:textId="13D7F730" w:rsidR="00A87C4E" w:rsidRPr="00EE2DA4" w:rsidRDefault="009A3462" w:rsidP="00A87C4E">
      <w:pPr>
        <w:pStyle w:val="Prrafodelista"/>
        <w:numPr>
          <w:ilvl w:val="0"/>
          <w:numId w:val="22"/>
        </w:numPr>
        <w:spacing w:after="160" w:line="360" w:lineRule="auto"/>
        <w:ind w:left="567" w:right="567" w:firstLine="0"/>
        <w:jc w:val="both"/>
        <w:rPr>
          <w:rFonts w:ascii="Palatino Linotype" w:hAnsi="Palatino Linotype"/>
          <w:color w:val="000000"/>
        </w:rPr>
      </w:pPr>
      <w:r w:rsidRPr="00EE2DA4">
        <w:rPr>
          <w:rFonts w:ascii="Palatino Linotype" w:hAnsi="Palatino Linotype"/>
          <w:color w:val="000000"/>
        </w:rPr>
        <w:t>E</w:t>
      </w:r>
      <w:r w:rsidR="00A87C4E" w:rsidRPr="00EE2DA4">
        <w:rPr>
          <w:rFonts w:ascii="Palatino Linotype" w:hAnsi="Palatino Linotype"/>
          <w:color w:val="000000"/>
        </w:rPr>
        <w:t xml:space="preserve">l acuerdo de </w:t>
      </w:r>
      <w:r w:rsidR="00A706EA" w:rsidRPr="00EE2DA4">
        <w:rPr>
          <w:rFonts w:ascii="Palatino Linotype" w:hAnsi="Palatino Linotype"/>
          <w:color w:val="000000"/>
        </w:rPr>
        <w:t>C</w:t>
      </w:r>
      <w:r w:rsidR="00A87C4E" w:rsidRPr="00EE2DA4">
        <w:rPr>
          <w:rFonts w:ascii="Palatino Linotype" w:hAnsi="Palatino Linotype"/>
          <w:color w:val="000000"/>
        </w:rPr>
        <w:t>omité</w:t>
      </w:r>
      <w:r w:rsidR="00A706EA" w:rsidRPr="00EE2DA4">
        <w:rPr>
          <w:rFonts w:ascii="Palatino Linotype" w:hAnsi="Palatino Linotype"/>
          <w:color w:val="000000"/>
        </w:rPr>
        <w:t xml:space="preserve"> de T</w:t>
      </w:r>
      <w:r w:rsidR="00A87C4E" w:rsidRPr="00EE2DA4">
        <w:rPr>
          <w:rFonts w:ascii="Palatino Linotype" w:hAnsi="Palatino Linotype"/>
          <w:color w:val="000000"/>
        </w:rPr>
        <w:t>ransparencia que aprueba la creación de esa base de datos.</w:t>
      </w:r>
    </w:p>
    <w:p w14:paraId="168648E2" w14:textId="4A6ADF9D" w:rsidR="00A87C4E" w:rsidRPr="00EE2DA4" w:rsidRDefault="00A706EA" w:rsidP="00A87C4E">
      <w:pPr>
        <w:pStyle w:val="Prrafodelista"/>
        <w:numPr>
          <w:ilvl w:val="0"/>
          <w:numId w:val="22"/>
        </w:numPr>
        <w:spacing w:after="160" w:line="360" w:lineRule="auto"/>
        <w:ind w:left="567" w:right="567" w:firstLine="0"/>
        <w:jc w:val="both"/>
        <w:rPr>
          <w:rFonts w:ascii="Palatino Linotype" w:hAnsi="Palatino Linotype"/>
          <w:color w:val="000000"/>
        </w:rPr>
      </w:pPr>
      <w:r w:rsidRPr="00EE2DA4">
        <w:rPr>
          <w:rFonts w:ascii="Palatino Linotype" w:hAnsi="Palatino Linotype"/>
          <w:color w:val="000000"/>
        </w:rPr>
        <w:t>E</w:t>
      </w:r>
      <w:r w:rsidR="00A87C4E" w:rsidRPr="00EE2DA4">
        <w:rPr>
          <w:rFonts w:ascii="Palatino Linotype" w:hAnsi="Palatino Linotype"/>
          <w:color w:val="000000"/>
        </w:rPr>
        <w:t xml:space="preserve">l documento de seguridad de ese tratamiento y </w:t>
      </w:r>
    </w:p>
    <w:p w14:paraId="38A6C0D9" w14:textId="77777777" w:rsidR="00A87C4E" w:rsidRPr="00EE2DA4" w:rsidRDefault="00A87C4E" w:rsidP="00A87C4E">
      <w:pPr>
        <w:pStyle w:val="Prrafodelista"/>
        <w:numPr>
          <w:ilvl w:val="0"/>
          <w:numId w:val="22"/>
        </w:numPr>
        <w:spacing w:after="160" w:line="360" w:lineRule="auto"/>
        <w:ind w:left="567" w:right="567" w:firstLine="0"/>
        <w:jc w:val="both"/>
        <w:rPr>
          <w:rFonts w:ascii="Palatino Linotype" w:hAnsi="Palatino Linotype"/>
          <w:color w:val="000000"/>
        </w:rPr>
      </w:pPr>
      <w:r w:rsidRPr="00EE2DA4">
        <w:rPr>
          <w:rFonts w:ascii="Palatino Linotype" w:hAnsi="Palatino Linotype"/>
          <w:color w:val="000000"/>
        </w:rPr>
        <w:t>El sistema de gestión de esa aplicación móvil.</w:t>
      </w:r>
    </w:p>
    <w:p w14:paraId="6482D8AF" w14:textId="77777777" w:rsidR="00EA6FBF" w:rsidRPr="00EE2DA4" w:rsidRDefault="00EA6FBF" w:rsidP="00EA6FBF">
      <w:pPr>
        <w:pStyle w:val="Prrafodelista"/>
        <w:tabs>
          <w:tab w:val="left" w:pos="567"/>
        </w:tabs>
        <w:spacing w:before="240" w:after="240" w:line="360" w:lineRule="auto"/>
        <w:ind w:left="0"/>
        <w:jc w:val="both"/>
        <w:rPr>
          <w:rFonts w:ascii="Palatino Linotype" w:hAnsi="Palatino Linotype"/>
        </w:rPr>
      </w:pPr>
    </w:p>
    <w:p w14:paraId="1156E776" w14:textId="445152BA" w:rsidR="009272F6" w:rsidRPr="00EE2DA4" w:rsidRDefault="00F17126" w:rsidP="00A706EA">
      <w:pPr>
        <w:pStyle w:val="Prrafodelista"/>
        <w:numPr>
          <w:ilvl w:val="0"/>
          <w:numId w:val="1"/>
        </w:numPr>
        <w:autoSpaceDE w:val="0"/>
        <w:autoSpaceDN w:val="0"/>
        <w:adjustRightInd w:val="0"/>
        <w:spacing w:line="360" w:lineRule="auto"/>
        <w:ind w:left="0" w:firstLine="0"/>
        <w:jc w:val="both"/>
        <w:rPr>
          <w:rFonts w:ascii="Palatino Linotype" w:hAnsi="Palatino Linotype" w:cs="Arial"/>
          <w:b/>
          <w:sz w:val="22"/>
          <w:szCs w:val="22"/>
        </w:rPr>
      </w:pPr>
      <w:r w:rsidRPr="00EE2DA4">
        <w:rPr>
          <w:rFonts w:ascii="Palatino Linotype" w:hAnsi="Palatino Linotype" w:cs="Arial"/>
        </w:rPr>
        <w:t xml:space="preserve">Derivado de lo anterior el </w:t>
      </w:r>
      <w:r w:rsidRPr="00EE2DA4">
        <w:rPr>
          <w:rFonts w:ascii="Palatino Linotype" w:hAnsi="Palatino Linotype" w:cs="Arial"/>
          <w:b/>
        </w:rPr>
        <w:t xml:space="preserve">SUJETO OBLIGADO </w:t>
      </w:r>
      <w:r w:rsidRPr="00EE2DA4">
        <w:rPr>
          <w:rFonts w:ascii="Palatino Linotype" w:hAnsi="Palatino Linotype" w:cs="Arial"/>
        </w:rPr>
        <w:t>a través de su</w:t>
      </w:r>
      <w:r w:rsidR="00A706EA" w:rsidRPr="00EE2DA4">
        <w:rPr>
          <w:rFonts w:ascii="Palatino Linotype" w:hAnsi="Palatino Linotype" w:cs="Arial"/>
        </w:rPr>
        <w:t xml:space="preserve"> servidor público</w:t>
      </w:r>
      <w:r w:rsidRPr="00EE2DA4">
        <w:rPr>
          <w:rFonts w:ascii="Palatino Linotype" w:hAnsi="Palatino Linotype" w:cs="Arial"/>
        </w:rPr>
        <w:t xml:space="preserve"> habilitado, respondi</w:t>
      </w:r>
      <w:r w:rsidR="00A706EA" w:rsidRPr="00EE2DA4">
        <w:rPr>
          <w:rFonts w:ascii="Palatino Linotype" w:hAnsi="Palatino Linotype" w:cs="Arial"/>
        </w:rPr>
        <w:t>ó</w:t>
      </w:r>
      <w:r w:rsidRPr="00EE2DA4">
        <w:rPr>
          <w:rFonts w:ascii="Palatino Linotype" w:hAnsi="Palatino Linotype" w:cs="Arial"/>
        </w:rPr>
        <w:t xml:space="preserve"> a cada </w:t>
      </w:r>
      <w:r w:rsidR="00A706EA" w:rsidRPr="00EE2DA4">
        <w:rPr>
          <w:rFonts w:ascii="Palatino Linotype" w:hAnsi="Palatino Linotype" w:cs="Arial"/>
        </w:rPr>
        <w:t xml:space="preserve">requerimiento, pero a consideración del particular no le fueron entregados los documentos requeridos, </w:t>
      </w:r>
      <w:r w:rsidR="00A706EA" w:rsidRPr="00EE2DA4">
        <w:rPr>
          <w:rFonts w:ascii="Palatino Linotype" w:hAnsi="Palatino Linotype"/>
        </w:rPr>
        <w:t>po</w:t>
      </w:r>
      <w:r w:rsidR="009272F6" w:rsidRPr="00EE2DA4">
        <w:rPr>
          <w:rFonts w:ascii="Palatino Linotype" w:hAnsi="Palatino Linotype"/>
        </w:rPr>
        <w:t xml:space="preserve">r lo que este Pleno considera necesario </w:t>
      </w:r>
      <w:r w:rsidR="009272F6" w:rsidRPr="00EE2DA4">
        <w:rPr>
          <w:rFonts w:ascii="Palatino Linotype" w:hAnsi="Palatino Linotype" w:cs="Arial"/>
        </w:rPr>
        <w:t xml:space="preserve">mencionar que por cuestiones de técnica jurídica, así como para determinar si </w:t>
      </w:r>
      <w:r w:rsidR="00103A74" w:rsidRPr="00EE2DA4">
        <w:rPr>
          <w:rFonts w:ascii="Palatino Linotype" w:hAnsi="Palatino Linotype" w:cs="Arial"/>
        </w:rPr>
        <w:t xml:space="preserve">las respuestas enviadas por los servidores públicos habilitados </w:t>
      </w:r>
      <w:r w:rsidR="00113950" w:rsidRPr="00EE2DA4">
        <w:rPr>
          <w:rFonts w:ascii="Palatino Linotype" w:hAnsi="Palatino Linotype" w:cs="Arial"/>
        </w:rPr>
        <w:t xml:space="preserve">de la </w:t>
      </w:r>
      <w:r w:rsidR="00113950" w:rsidRPr="00EE2DA4">
        <w:rPr>
          <w:rFonts w:ascii="Palatino Linotype" w:hAnsi="Palatino Linotype" w:cs="Arial"/>
          <w:b/>
        </w:rPr>
        <w:t>Comisión de Derechos Humanos del Estado de México</w:t>
      </w:r>
      <w:r w:rsidR="009272F6" w:rsidRPr="00EE2DA4">
        <w:rPr>
          <w:rFonts w:ascii="Palatino Linotype" w:hAnsi="Palatino Linotype"/>
        </w:rPr>
        <w:t xml:space="preserve">, atendieron de manera puntual a todos y cada uno de los requerimientos formulados por el recurrente, </w:t>
      </w:r>
      <w:r w:rsidR="009272F6" w:rsidRPr="00EE2DA4">
        <w:rPr>
          <w:rFonts w:ascii="Palatino Linotype" w:hAnsi="Palatino Linotype"/>
          <w:color w:val="000000" w:themeColor="text1"/>
        </w:rPr>
        <w:t xml:space="preserve">se </w:t>
      </w:r>
      <w:r w:rsidR="009272F6" w:rsidRPr="00EE2DA4">
        <w:rPr>
          <w:rFonts w:ascii="Palatino Linotype" w:hAnsi="Palatino Linotype"/>
          <w:color w:val="000000" w:themeColor="text1"/>
        </w:rPr>
        <w:lastRenderedPageBreak/>
        <w:t>considera pertinente elaborar un cuadro de análisis</w:t>
      </w:r>
      <w:r w:rsidR="009272F6" w:rsidRPr="00EE2DA4">
        <w:rPr>
          <w:rStyle w:val="Refdenotaalpie"/>
          <w:rFonts w:ascii="Palatino Linotype" w:hAnsi="Palatino Linotype"/>
          <w:color w:val="000000" w:themeColor="text1"/>
        </w:rPr>
        <w:footnoteReference w:id="1"/>
      </w:r>
      <w:r w:rsidR="009272F6" w:rsidRPr="00EE2DA4">
        <w:rPr>
          <w:rFonts w:ascii="Palatino Linotype" w:hAnsi="Palatino Linotype"/>
          <w:color w:val="000000" w:themeColor="text1"/>
        </w:rPr>
        <w:t xml:space="preserve"> mismo que se inserta a continuación:</w:t>
      </w:r>
    </w:p>
    <w:p w14:paraId="4DFA46AC" w14:textId="77777777" w:rsidR="009272F6" w:rsidRPr="00EE2DA4" w:rsidRDefault="009272F6" w:rsidP="009272F6">
      <w:pPr>
        <w:pStyle w:val="Prrafodelista"/>
        <w:ind w:left="0"/>
        <w:jc w:val="both"/>
      </w:pPr>
    </w:p>
    <w:tbl>
      <w:tblPr>
        <w:tblStyle w:val="Tablaconcuadrcula"/>
        <w:tblW w:w="7801" w:type="dxa"/>
        <w:jc w:val="center"/>
        <w:tblLayout w:type="fixed"/>
        <w:tblLook w:val="04A0" w:firstRow="1" w:lastRow="0" w:firstColumn="1" w:lastColumn="0" w:noHBand="0" w:noVBand="1"/>
      </w:tblPr>
      <w:tblGrid>
        <w:gridCol w:w="2273"/>
        <w:gridCol w:w="2126"/>
        <w:gridCol w:w="1984"/>
        <w:gridCol w:w="1418"/>
      </w:tblGrid>
      <w:tr w:rsidR="00EF3108" w:rsidRPr="00EE2DA4" w14:paraId="1D27CCAC" w14:textId="31BD37AD" w:rsidTr="006173EA">
        <w:trPr>
          <w:trHeight w:val="1040"/>
          <w:jc w:val="center"/>
        </w:trPr>
        <w:tc>
          <w:tcPr>
            <w:tcW w:w="2273" w:type="dxa"/>
            <w:tcBorders>
              <w:top w:val="single" w:sz="4" w:space="0" w:color="auto"/>
              <w:left w:val="single" w:sz="4" w:space="0" w:color="auto"/>
              <w:bottom w:val="single" w:sz="4" w:space="0" w:color="auto"/>
              <w:right w:val="single" w:sz="4" w:space="0" w:color="auto"/>
            </w:tcBorders>
            <w:shd w:val="clear" w:color="auto" w:fill="D0FDFE"/>
            <w:hideMark/>
          </w:tcPr>
          <w:p w14:paraId="15762627" w14:textId="77777777" w:rsidR="00EF3108" w:rsidRPr="00EE2DA4" w:rsidRDefault="00EF3108" w:rsidP="00A706EA">
            <w:pPr>
              <w:tabs>
                <w:tab w:val="left" w:pos="7655"/>
              </w:tabs>
              <w:spacing w:before="240" w:after="240" w:line="276" w:lineRule="auto"/>
              <w:ind w:left="-113" w:right="-200"/>
              <w:jc w:val="center"/>
              <w:rPr>
                <w:rFonts w:ascii="Palatino Linotype" w:hAnsi="Palatino Linotype"/>
                <w:b/>
                <w:color w:val="000000" w:themeColor="text1"/>
                <w:sz w:val="20"/>
                <w:szCs w:val="20"/>
              </w:rPr>
            </w:pPr>
            <w:r w:rsidRPr="00EE2DA4">
              <w:rPr>
                <w:rFonts w:ascii="Palatino Linotype" w:hAnsi="Palatino Linotype"/>
                <w:b/>
                <w:color w:val="000000" w:themeColor="text1"/>
                <w:sz w:val="20"/>
                <w:szCs w:val="20"/>
              </w:rPr>
              <w:t>Requerimientos y cuestionamientos:</w:t>
            </w:r>
          </w:p>
        </w:tc>
        <w:tc>
          <w:tcPr>
            <w:tcW w:w="2126" w:type="dxa"/>
            <w:tcBorders>
              <w:top w:val="single" w:sz="4" w:space="0" w:color="auto"/>
              <w:left w:val="single" w:sz="4" w:space="0" w:color="auto"/>
              <w:bottom w:val="single" w:sz="4" w:space="0" w:color="auto"/>
              <w:right w:val="single" w:sz="4" w:space="0" w:color="auto"/>
            </w:tcBorders>
            <w:shd w:val="clear" w:color="auto" w:fill="D0FDFE"/>
            <w:hideMark/>
          </w:tcPr>
          <w:p w14:paraId="70A26EB2" w14:textId="77777777" w:rsidR="00EF3108" w:rsidRPr="00EE2DA4" w:rsidRDefault="00EF3108" w:rsidP="00113950">
            <w:pPr>
              <w:tabs>
                <w:tab w:val="left" w:pos="7655"/>
              </w:tabs>
              <w:spacing w:before="240" w:after="240" w:line="276" w:lineRule="auto"/>
              <w:jc w:val="center"/>
              <w:rPr>
                <w:rFonts w:ascii="Palatino Linotype" w:hAnsi="Palatino Linotype"/>
                <w:b/>
                <w:color w:val="000000" w:themeColor="text1"/>
                <w:sz w:val="20"/>
                <w:szCs w:val="20"/>
              </w:rPr>
            </w:pPr>
            <w:r w:rsidRPr="00EE2DA4">
              <w:rPr>
                <w:rFonts w:ascii="Palatino Linotype" w:hAnsi="Palatino Linotype"/>
                <w:b/>
                <w:color w:val="000000" w:themeColor="text1"/>
                <w:sz w:val="20"/>
                <w:szCs w:val="20"/>
              </w:rPr>
              <w:t>Respuesta del SUJETO OBLIGADO:</w:t>
            </w:r>
          </w:p>
        </w:tc>
        <w:tc>
          <w:tcPr>
            <w:tcW w:w="1984" w:type="dxa"/>
            <w:tcBorders>
              <w:top w:val="single" w:sz="4" w:space="0" w:color="auto"/>
              <w:left w:val="single" w:sz="4" w:space="0" w:color="auto"/>
              <w:bottom w:val="single" w:sz="4" w:space="0" w:color="auto"/>
              <w:right w:val="single" w:sz="4" w:space="0" w:color="auto"/>
            </w:tcBorders>
            <w:shd w:val="clear" w:color="auto" w:fill="D0FDFE"/>
            <w:hideMark/>
          </w:tcPr>
          <w:p w14:paraId="47E0FBC7" w14:textId="6898CE21" w:rsidR="00EF3108" w:rsidRPr="00EE2DA4" w:rsidRDefault="001011D7" w:rsidP="00113950">
            <w:pPr>
              <w:tabs>
                <w:tab w:val="left" w:pos="7655"/>
              </w:tabs>
              <w:spacing w:before="240" w:after="240" w:line="276" w:lineRule="auto"/>
              <w:jc w:val="center"/>
              <w:rPr>
                <w:rFonts w:ascii="Palatino Linotype" w:hAnsi="Palatino Linotype"/>
                <w:b/>
                <w:color w:val="000000" w:themeColor="text1"/>
                <w:sz w:val="20"/>
                <w:szCs w:val="20"/>
              </w:rPr>
            </w:pPr>
            <w:r w:rsidRPr="00EE2DA4">
              <w:rPr>
                <w:rFonts w:ascii="Palatino Linotype" w:hAnsi="Palatino Linotype"/>
                <w:b/>
                <w:color w:val="000000" w:themeColor="text1"/>
                <w:sz w:val="20"/>
                <w:szCs w:val="20"/>
              </w:rPr>
              <w:t>Informe Justificado</w:t>
            </w:r>
          </w:p>
        </w:tc>
        <w:tc>
          <w:tcPr>
            <w:tcW w:w="1418" w:type="dxa"/>
            <w:tcBorders>
              <w:top w:val="single" w:sz="4" w:space="0" w:color="auto"/>
              <w:left w:val="single" w:sz="4" w:space="0" w:color="auto"/>
              <w:bottom w:val="single" w:sz="4" w:space="0" w:color="auto"/>
              <w:right w:val="single" w:sz="4" w:space="0" w:color="auto"/>
            </w:tcBorders>
            <w:shd w:val="clear" w:color="auto" w:fill="D0FDFE"/>
          </w:tcPr>
          <w:p w14:paraId="430DAECE" w14:textId="4F6124AA" w:rsidR="00EF3108" w:rsidRPr="00EE2DA4" w:rsidRDefault="00340C41" w:rsidP="00113950">
            <w:pPr>
              <w:tabs>
                <w:tab w:val="left" w:pos="7655"/>
              </w:tabs>
              <w:spacing w:before="240" w:after="240" w:line="276" w:lineRule="auto"/>
              <w:jc w:val="center"/>
              <w:rPr>
                <w:rFonts w:ascii="Palatino Linotype" w:hAnsi="Palatino Linotype"/>
                <w:b/>
                <w:color w:val="000000" w:themeColor="text1"/>
                <w:sz w:val="20"/>
                <w:szCs w:val="20"/>
              </w:rPr>
            </w:pPr>
            <w:r w:rsidRPr="00EE2DA4">
              <w:rPr>
                <w:rFonts w:ascii="Palatino Linotype" w:hAnsi="Palatino Linotype"/>
                <w:b/>
                <w:color w:val="000000" w:themeColor="text1"/>
                <w:sz w:val="20"/>
                <w:szCs w:val="20"/>
              </w:rPr>
              <w:t>Colma</w:t>
            </w:r>
            <w:r w:rsidR="001011D7" w:rsidRPr="00EE2DA4">
              <w:rPr>
                <w:rFonts w:ascii="Palatino Linotype" w:hAnsi="Palatino Linotype"/>
                <w:b/>
                <w:color w:val="000000" w:themeColor="text1"/>
                <w:sz w:val="20"/>
                <w:szCs w:val="20"/>
              </w:rPr>
              <w:t>:</w:t>
            </w:r>
          </w:p>
        </w:tc>
      </w:tr>
      <w:tr w:rsidR="00EF3108" w:rsidRPr="00EE2DA4" w14:paraId="77034708" w14:textId="7EF7EF32" w:rsidTr="00C434F9">
        <w:trPr>
          <w:trHeight w:val="1568"/>
          <w:jc w:val="center"/>
        </w:trPr>
        <w:tc>
          <w:tcPr>
            <w:tcW w:w="2273"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1AE3B1FC" w14:textId="0226A403" w:rsidR="00EF3108" w:rsidRPr="00EE2DA4" w:rsidRDefault="00A706EA" w:rsidP="00A706EA">
            <w:pPr>
              <w:pStyle w:val="Prrafodelista"/>
              <w:numPr>
                <w:ilvl w:val="0"/>
                <w:numId w:val="23"/>
              </w:numPr>
              <w:tabs>
                <w:tab w:val="left" w:pos="313"/>
              </w:tabs>
              <w:spacing w:after="160"/>
              <w:ind w:left="29" w:right="43" w:firstLine="0"/>
              <w:jc w:val="both"/>
              <w:rPr>
                <w:rFonts w:ascii="Palatino Linotype" w:hAnsi="Palatino Linotype"/>
                <w:color w:val="000000"/>
                <w:sz w:val="18"/>
                <w:szCs w:val="18"/>
              </w:rPr>
            </w:pPr>
            <w:r w:rsidRPr="00EE2DA4">
              <w:rPr>
                <w:rFonts w:ascii="Palatino Linotype" w:hAnsi="Palatino Linotype"/>
                <w:color w:val="000000"/>
                <w:sz w:val="18"/>
                <w:szCs w:val="18"/>
              </w:rPr>
              <w:t>La evaluación de impacto realizada respecto de la App para denunciar violaciones a derechos humanos de periodistas.</w:t>
            </w:r>
          </w:p>
        </w:tc>
        <w:tc>
          <w:tcPr>
            <w:tcW w:w="2126"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1F9E5E6B" w14:textId="0FED7135" w:rsidR="00EF3108" w:rsidRPr="00EE2DA4" w:rsidRDefault="00783506" w:rsidP="00783506">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“Es menester señalar que la Evaluación de Impacto a la que se refiere el solicitante no aplica a este Sujeto Obligado, toda vez que no se realiza un tratamiento intensivo a los datos personales que se recaban en la aplicación. Por lo que la finalidad es exclusivamente para efectos estadísticos, para uso interno, sin llevar a cabo transferencia de los mismos. Por lo que no existen riesgos potenciales y probables que entrañen en el tratamiento intensivo o relevante de datos personales…</w:t>
            </w:r>
          </w:p>
          <w:p w14:paraId="035ED78D" w14:textId="0E9751A1" w:rsidR="00783506" w:rsidRPr="00EE2DA4" w:rsidRDefault="00783506" w:rsidP="00783506">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…debe observarse que la aplicación únicamente es una herramienta de</w:t>
            </w:r>
            <w:r w:rsidR="00340C41" w:rsidRPr="00EE2DA4">
              <w:rPr>
                <w:rFonts w:ascii="Palatino Linotype" w:hAnsi="Palatino Linotype"/>
                <w:i/>
                <w:color w:val="000000"/>
                <w:sz w:val="18"/>
                <w:szCs w:val="18"/>
              </w:rPr>
              <w:t xml:space="preserve"> </w:t>
            </w:r>
            <w:r w:rsidRPr="00EE2DA4">
              <w:rPr>
                <w:rFonts w:ascii="Palatino Linotype" w:hAnsi="Palatino Linotype"/>
                <w:i/>
                <w:color w:val="000000"/>
                <w:sz w:val="18"/>
                <w:szCs w:val="18"/>
              </w:rPr>
              <w:t>apoyo para la ciudadanía, toda vez que derivado de una alerta en la aplicación, se desprende en su caso, una orientación o bien una queja.</w:t>
            </w:r>
          </w:p>
          <w:p w14:paraId="43A49C21" w14:textId="19F11EA8" w:rsidR="00783506" w:rsidRPr="00EE2DA4" w:rsidRDefault="00783506" w:rsidP="00783506">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lastRenderedPageBreak/>
              <w:t>Es menester señalar que la aplicación fue puesta en marcha en fecha 21 de noviembre del año 2017 y las Disposiciones administrativas de carácter general para la elaboración, presentación y valoración de evaluaciones de impacto en la protección de datos personales, emitidas por el Sistema Nacional de Transparencia, Acceso a la Información Pública y Protección de Datos Personales, fueron publicadas en el Diario Oficial de la Federación en fecha 23 de enero de 2018, por lo que al momento de lanzar la aplicación no se contaba con dichas disposiciones y las mismas no hacen referencia sobre las aplicaciones que ya estuvieran en funcionamiento.</w:t>
            </w:r>
          </w:p>
        </w:tc>
        <w:tc>
          <w:tcPr>
            <w:tcW w:w="1984"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0CC830C2" w14:textId="4C953251" w:rsidR="00EF3108" w:rsidRPr="00EE2DA4" w:rsidRDefault="00783506" w:rsidP="00783506">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lastRenderedPageBreak/>
              <w:t xml:space="preserve">“…esta Comisión de Derechos Humanos del Estado de México, no ha incumplido con la normatividad, toda vez que la misma Ley lo señala, cuando el responsable pretenda poner en operación o modificar políticas públicas, sistemas o plataformas informáticas, aplicaciones electrónicas o cualquier otra tecnología que a su juicio y de conformidad con esta Ley impliquen el tratamiento intensivo o relevante de datos personales, deberá realizar </w:t>
            </w:r>
            <w:r w:rsidR="00340C41" w:rsidRPr="00EE2DA4">
              <w:rPr>
                <w:rFonts w:ascii="Palatino Linotype" w:hAnsi="Palatino Linotype"/>
                <w:i/>
                <w:color w:val="000000"/>
                <w:sz w:val="18"/>
                <w:szCs w:val="18"/>
              </w:rPr>
              <w:t xml:space="preserve">una </w:t>
            </w:r>
            <w:r w:rsidRPr="00EE2DA4">
              <w:rPr>
                <w:rFonts w:ascii="Palatino Linotype" w:hAnsi="Palatino Linotype"/>
                <w:i/>
                <w:color w:val="000000"/>
                <w:sz w:val="18"/>
                <w:szCs w:val="18"/>
              </w:rPr>
              <w:t xml:space="preserve">Evaluación de Impacto en la Protección de Datos Personales, toda vez que no se realiza un </w:t>
            </w:r>
            <w:r w:rsidR="00340C41" w:rsidRPr="00EE2DA4">
              <w:rPr>
                <w:rFonts w:ascii="Palatino Linotype" w:hAnsi="Palatino Linotype"/>
                <w:i/>
                <w:color w:val="000000"/>
                <w:sz w:val="18"/>
                <w:szCs w:val="18"/>
              </w:rPr>
              <w:t xml:space="preserve">tratamiento </w:t>
            </w:r>
            <w:r w:rsidRPr="00EE2DA4">
              <w:rPr>
                <w:rFonts w:ascii="Palatino Linotype" w:hAnsi="Palatino Linotype"/>
                <w:i/>
                <w:color w:val="000000"/>
                <w:sz w:val="18"/>
                <w:szCs w:val="18"/>
              </w:rPr>
              <w:t>intensivo…”</w:t>
            </w:r>
          </w:p>
        </w:tc>
        <w:tc>
          <w:tcPr>
            <w:tcW w:w="1418"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14:paraId="08A0539E" w14:textId="031FF9B3" w:rsidR="00EF3108" w:rsidRPr="00EE2DA4" w:rsidRDefault="0010023A" w:rsidP="00113950">
            <w:pPr>
              <w:tabs>
                <w:tab w:val="left" w:pos="7655"/>
              </w:tabs>
              <w:spacing w:before="240" w:after="240" w:line="276" w:lineRule="auto"/>
              <w:ind w:right="-516"/>
              <w:jc w:val="both"/>
              <w:rPr>
                <w:rFonts w:ascii="Palatino Linotype" w:eastAsia="Times New Roman" w:hAnsi="Palatino Linotype" w:cs="Times New Roman"/>
                <w:sz w:val="18"/>
                <w:szCs w:val="18"/>
                <w:lang w:val="es-MX" w:eastAsia="es-MX"/>
              </w:rPr>
            </w:pPr>
            <w:r w:rsidRPr="00EE2DA4">
              <w:rPr>
                <w:rFonts w:ascii="Palatino Linotype" w:eastAsia="Times New Roman" w:hAnsi="Palatino Linotype" w:cs="Times New Roman"/>
                <w:sz w:val="18"/>
                <w:szCs w:val="18"/>
                <w:lang w:val="es-MX" w:eastAsia="es-MX"/>
              </w:rPr>
              <w:t>No</w:t>
            </w:r>
          </w:p>
        </w:tc>
      </w:tr>
      <w:tr w:rsidR="00EF3108" w:rsidRPr="00EE2DA4" w14:paraId="734FBD17" w14:textId="09B49105" w:rsidTr="00C434F9">
        <w:trPr>
          <w:trHeight w:val="688"/>
          <w:jc w:val="center"/>
        </w:trPr>
        <w:tc>
          <w:tcPr>
            <w:tcW w:w="2273"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tcPr>
          <w:p w14:paraId="53C905D3" w14:textId="0C6972ED" w:rsidR="00EF3108" w:rsidRPr="00EE2DA4" w:rsidRDefault="00A706EA" w:rsidP="00EA6A50">
            <w:pPr>
              <w:pStyle w:val="Prrafodelista"/>
              <w:numPr>
                <w:ilvl w:val="0"/>
                <w:numId w:val="23"/>
              </w:numPr>
              <w:tabs>
                <w:tab w:val="left" w:pos="313"/>
              </w:tabs>
              <w:spacing w:after="160"/>
              <w:ind w:left="29" w:right="43" w:firstLine="0"/>
              <w:jc w:val="both"/>
              <w:rPr>
                <w:rFonts w:ascii="Palatino Linotype" w:hAnsi="Palatino Linotype"/>
                <w:color w:val="000000"/>
                <w:sz w:val="18"/>
                <w:szCs w:val="18"/>
              </w:rPr>
            </w:pPr>
            <w:r w:rsidRPr="00EE2DA4">
              <w:rPr>
                <w:rFonts w:ascii="Palatino Linotype" w:hAnsi="Palatino Linotype"/>
                <w:color w:val="000000"/>
                <w:sz w:val="18"/>
                <w:szCs w:val="18"/>
              </w:rPr>
              <w:t>El Aviso de Privacidad de esa aplicación</w:t>
            </w:r>
            <w:r w:rsidR="00EA6A50" w:rsidRPr="00EE2DA4">
              <w:rPr>
                <w:rFonts w:ascii="Palatino Linotype" w:hAnsi="Palatino Linotype"/>
                <w:color w:val="000000"/>
                <w:sz w:val="18"/>
                <w:szCs w:val="18"/>
              </w:rPr>
              <w:t>.</w:t>
            </w:r>
          </w:p>
        </w:tc>
        <w:tc>
          <w:tcPr>
            <w:tcW w:w="2126"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tcPr>
          <w:p w14:paraId="08784EF9" w14:textId="2F7038D8" w:rsidR="00EF3108" w:rsidRPr="00EE2DA4" w:rsidRDefault="00340C41" w:rsidP="00BA1513">
            <w:pPr>
              <w:tabs>
                <w:tab w:val="left" w:pos="8647"/>
              </w:tabs>
              <w:spacing w:before="240" w:after="240"/>
              <w:ind w:right="51"/>
              <w:jc w:val="both"/>
              <w:rPr>
                <w:rFonts w:ascii="Palatino Linotype" w:hAnsi="Palatino Linotype"/>
                <w:color w:val="000000" w:themeColor="text1"/>
                <w:sz w:val="18"/>
                <w:szCs w:val="18"/>
              </w:rPr>
            </w:pPr>
            <w:r w:rsidRPr="00EE2DA4">
              <w:rPr>
                <w:rFonts w:ascii="Palatino Linotype" w:hAnsi="Palatino Linotype"/>
                <w:color w:val="000000" w:themeColor="text1"/>
                <w:sz w:val="18"/>
                <w:szCs w:val="18"/>
              </w:rPr>
              <w:t>El SUJETO OBLIGADO transcribi</w:t>
            </w:r>
            <w:r w:rsidR="00291599" w:rsidRPr="00EE2DA4">
              <w:rPr>
                <w:rFonts w:ascii="Palatino Linotype" w:hAnsi="Palatino Linotype"/>
                <w:color w:val="000000" w:themeColor="text1"/>
                <w:sz w:val="18"/>
                <w:szCs w:val="18"/>
              </w:rPr>
              <w:t xml:space="preserve">ó su aviso de privacidad </w:t>
            </w:r>
          </w:p>
        </w:tc>
        <w:tc>
          <w:tcPr>
            <w:tcW w:w="1984"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tcPr>
          <w:p w14:paraId="651502B2" w14:textId="5F28AA2C" w:rsidR="00291599" w:rsidRPr="00EE2DA4" w:rsidRDefault="00291599" w:rsidP="00291599">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“me permito hacer mención que el aviso</w:t>
            </w:r>
          </w:p>
          <w:p w14:paraId="72154D3D" w14:textId="77777777" w:rsidR="00291599" w:rsidRPr="00EE2DA4" w:rsidRDefault="00291599" w:rsidP="00291599">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de privacidad cumple con todas las fracciones del artículo 31 de la Ley de Protección de Datos</w:t>
            </w:r>
          </w:p>
          <w:p w14:paraId="139C6EB4" w14:textId="381CEFE4" w:rsidR="00EF3108" w:rsidRPr="00EE2DA4" w:rsidRDefault="00291599" w:rsidP="00291599">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 xml:space="preserve">Personales en Posesión de Sujetos Obligados del Estado de México y Municipios, y no se establece un mecanismo para ejercer el derecho a la portabilidad, toda vez que la fracción no es aplicable, ya que no se cuenta con un formato establecido, o bien comúnmente manejado por este Organismo, que </w:t>
            </w:r>
            <w:r w:rsidRPr="00EE2DA4">
              <w:rPr>
                <w:rFonts w:ascii="Palatino Linotype" w:hAnsi="Palatino Linotype"/>
                <w:i/>
                <w:color w:val="000000"/>
                <w:sz w:val="18"/>
                <w:szCs w:val="18"/>
              </w:rPr>
              <w:lastRenderedPageBreak/>
              <w:t xml:space="preserve">pueda ser utilizado por el particular para realizar algún otro trámite ante diversas </w:t>
            </w:r>
            <w:r w:rsidR="00256BF2" w:rsidRPr="00EE2DA4">
              <w:rPr>
                <w:rFonts w:ascii="Palatino Linotype" w:hAnsi="Palatino Linotype"/>
                <w:i/>
                <w:color w:val="000000"/>
                <w:sz w:val="18"/>
                <w:szCs w:val="18"/>
              </w:rPr>
              <w:t xml:space="preserve">autoridades.” </w:t>
            </w:r>
          </w:p>
        </w:tc>
        <w:tc>
          <w:tcPr>
            <w:tcW w:w="1418"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tcPr>
          <w:p w14:paraId="6F2C1E44" w14:textId="0F5B6958" w:rsidR="00EF3108" w:rsidRPr="00EE2DA4" w:rsidRDefault="00291599" w:rsidP="00113950">
            <w:pPr>
              <w:tabs>
                <w:tab w:val="left" w:pos="7655"/>
              </w:tabs>
              <w:spacing w:before="240" w:after="240" w:line="276" w:lineRule="auto"/>
              <w:ind w:left="175" w:right="-516"/>
              <w:jc w:val="both"/>
              <w:rPr>
                <w:rFonts w:ascii="Palatino Linotype" w:eastAsia="Times New Roman" w:hAnsi="Palatino Linotype" w:cs="Times New Roman"/>
                <w:sz w:val="20"/>
                <w:szCs w:val="20"/>
                <w:lang w:val="es-MX" w:eastAsia="es-MX"/>
              </w:rPr>
            </w:pPr>
            <w:r w:rsidRPr="00EE2DA4">
              <w:rPr>
                <w:rFonts w:ascii="Palatino Linotype" w:eastAsia="Times New Roman" w:hAnsi="Palatino Linotype" w:cs="Times New Roman"/>
                <w:sz w:val="20"/>
                <w:szCs w:val="20"/>
                <w:lang w:val="es-MX" w:eastAsia="es-MX"/>
              </w:rPr>
              <w:lastRenderedPageBreak/>
              <w:t>Sí</w:t>
            </w:r>
          </w:p>
        </w:tc>
      </w:tr>
      <w:tr w:rsidR="00EF3108" w:rsidRPr="00EE2DA4" w14:paraId="692D611D" w14:textId="0A92126A" w:rsidTr="00C434F9">
        <w:trPr>
          <w:trHeight w:val="912"/>
          <w:jc w:val="center"/>
        </w:trPr>
        <w:tc>
          <w:tcPr>
            <w:tcW w:w="2273"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516030E" w14:textId="68C58DE6" w:rsidR="00EF3108" w:rsidRPr="00EE2DA4" w:rsidRDefault="00EA6A50" w:rsidP="006173EA">
            <w:pPr>
              <w:pStyle w:val="Prrafodelista"/>
              <w:numPr>
                <w:ilvl w:val="0"/>
                <w:numId w:val="23"/>
              </w:numPr>
              <w:tabs>
                <w:tab w:val="left" w:pos="313"/>
              </w:tabs>
              <w:spacing w:after="160"/>
              <w:ind w:left="29" w:right="43" w:firstLine="0"/>
              <w:jc w:val="both"/>
              <w:rPr>
                <w:rFonts w:ascii="Palatino Linotype" w:hAnsi="Palatino Linotype"/>
                <w:color w:val="000000"/>
                <w:sz w:val="18"/>
                <w:szCs w:val="18"/>
              </w:rPr>
            </w:pPr>
            <w:r w:rsidRPr="00EE2DA4">
              <w:rPr>
                <w:rFonts w:ascii="Palatino Linotype" w:hAnsi="Palatino Linotype"/>
                <w:color w:val="000000"/>
                <w:sz w:val="18"/>
                <w:szCs w:val="18"/>
              </w:rPr>
              <w:t>El acuerdo de Comité de Transparencia que aprueba la creación de esa base de datos.</w:t>
            </w:r>
          </w:p>
        </w:tc>
        <w:tc>
          <w:tcPr>
            <w:tcW w:w="2126"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3C05A5B" w14:textId="5AD93974" w:rsidR="002C3DDF" w:rsidRPr="00EE2DA4" w:rsidRDefault="002C3DDF" w:rsidP="002C3DDF">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“por cuanto hace al acuerdo del Comité de Transparencia de la Base</w:t>
            </w:r>
          </w:p>
          <w:p w14:paraId="5E866A04" w14:textId="030299CE" w:rsidR="002C3DDF" w:rsidRPr="00EE2DA4" w:rsidRDefault="002C3DDF" w:rsidP="002C3DDF">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de Datos, me permito, señalar que en la Primera Sesión Extraordinaria del Comité de Transparencia de este Organismo, se sometió en el Décimo Sexto Punto del orden del</w:t>
            </w:r>
          </w:p>
          <w:p w14:paraId="6EA5E5EE" w14:textId="15B8DA40" w:rsidR="00EF3108" w:rsidRPr="00EE2DA4" w:rsidRDefault="002C3DDF" w:rsidP="002C3DDF">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día, la clasificación, actualización y modificación de la base de datos denominada Sistema Integral de Quejas y Asesorías Versión 2.0”</w:t>
            </w:r>
          </w:p>
        </w:tc>
        <w:tc>
          <w:tcPr>
            <w:tcW w:w="198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64E695F" w14:textId="1C45BA06" w:rsidR="00EF3108" w:rsidRPr="00EE2DA4" w:rsidRDefault="00F53C24" w:rsidP="00F53C24">
            <w:pPr>
              <w:tabs>
                <w:tab w:val="left" w:pos="7655"/>
              </w:tabs>
              <w:spacing w:before="240" w:after="240" w:line="276" w:lineRule="auto"/>
              <w:ind w:left="24" w:right="34"/>
              <w:rPr>
                <w:rFonts w:ascii="Palatino Linotype" w:hAnsi="Palatino Linotype"/>
                <w:color w:val="000000"/>
                <w:sz w:val="18"/>
                <w:szCs w:val="18"/>
              </w:rPr>
            </w:pPr>
            <w:r w:rsidRPr="00EE2DA4">
              <w:rPr>
                <w:rFonts w:ascii="Palatino Linotype" w:hAnsi="Palatino Linotype"/>
                <w:color w:val="000000"/>
                <w:sz w:val="18"/>
                <w:szCs w:val="18"/>
              </w:rPr>
              <w:t>El SUJETO OBLIGADO no se pronunció respecto a este punto en su informe justificado.</w:t>
            </w:r>
          </w:p>
        </w:tc>
        <w:tc>
          <w:tcPr>
            <w:tcW w:w="1418"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0D91BCA" w14:textId="70549E6B" w:rsidR="00EF3108" w:rsidRPr="00EE2DA4" w:rsidRDefault="002C3DDF" w:rsidP="006173EA">
            <w:pPr>
              <w:tabs>
                <w:tab w:val="left" w:pos="7655"/>
              </w:tabs>
              <w:spacing w:before="240" w:after="240" w:line="276" w:lineRule="auto"/>
              <w:ind w:left="29" w:right="34"/>
              <w:jc w:val="both"/>
              <w:rPr>
                <w:rFonts w:ascii="Palatino Linotype" w:hAnsi="Palatino Linotype"/>
                <w:color w:val="000000"/>
                <w:sz w:val="18"/>
                <w:szCs w:val="18"/>
              </w:rPr>
            </w:pPr>
            <w:r w:rsidRPr="00EE2DA4">
              <w:rPr>
                <w:rFonts w:ascii="Palatino Linotype" w:hAnsi="Palatino Linotype"/>
                <w:color w:val="000000"/>
                <w:sz w:val="18"/>
                <w:szCs w:val="18"/>
              </w:rPr>
              <w:t>No</w:t>
            </w:r>
          </w:p>
        </w:tc>
      </w:tr>
      <w:tr w:rsidR="00EF3108" w:rsidRPr="00EE2DA4" w14:paraId="7C3D5E98" w14:textId="440BDF76" w:rsidTr="00C434F9">
        <w:trPr>
          <w:trHeight w:val="562"/>
          <w:jc w:val="center"/>
        </w:trPr>
        <w:tc>
          <w:tcPr>
            <w:tcW w:w="2273"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0CF37C31" w14:textId="3048171D" w:rsidR="00EF3108" w:rsidRPr="00EE2DA4" w:rsidRDefault="00EA6A50" w:rsidP="006173EA">
            <w:pPr>
              <w:pStyle w:val="Prrafodelista"/>
              <w:numPr>
                <w:ilvl w:val="0"/>
                <w:numId w:val="23"/>
              </w:numPr>
              <w:tabs>
                <w:tab w:val="left" w:pos="313"/>
              </w:tabs>
              <w:spacing w:after="160"/>
              <w:ind w:left="29" w:right="43" w:firstLine="0"/>
              <w:jc w:val="both"/>
              <w:rPr>
                <w:rFonts w:ascii="Palatino Linotype" w:hAnsi="Palatino Linotype"/>
                <w:color w:val="000000"/>
                <w:sz w:val="18"/>
                <w:szCs w:val="18"/>
              </w:rPr>
            </w:pPr>
            <w:r w:rsidRPr="00EE2DA4">
              <w:rPr>
                <w:rFonts w:ascii="Palatino Linotype" w:hAnsi="Palatino Linotype"/>
                <w:color w:val="000000"/>
                <w:sz w:val="18"/>
                <w:szCs w:val="18"/>
              </w:rPr>
              <w:t xml:space="preserve"> El documento de seguridad de ese </w:t>
            </w:r>
            <w:r w:rsidR="00F53C24" w:rsidRPr="00EE2DA4">
              <w:rPr>
                <w:rFonts w:ascii="Palatino Linotype" w:hAnsi="Palatino Linotype"/>
                <w:color w:val="000000"/>
                <w:sz w:val="18"/>
                <w:szCs w:val="18"/>
              </w:rPr>
              <w:t>tratamiento</w:t>
            </w:r>
            <w:r w:rsidRPr="00EE2DA4">
              <w:rPr>
                <w:rFonts w:ascii="Palatino Linotype" w:hAnsi="Palatino Linotype"/>
                <w:color w:val="000000"/>
                <w:sz w:val="18"/>
                <w:szCs w:val="18"/>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0F31D4AA" w14:textId="7DE492B3" w:rsidR="00EF3108" w:rsidRPr="00EE2DA4" w:rsidRDefault="00F53C24" w:rsidP="00F53C24">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“podemos observar que el contenido del documento de seguridad, refiere información relativa a las medidas de seguridad aplicadas a los sistemas y bases de datos personales, por lo que de liberarse la información se podría vulnerar la base de datos del Sistema Integral de Quejas y Asesorías Versión 2.0., la cual contiene datos personales (información confidencial), mismos que de revelarse podrían conllevar un riesgo grave y en consecuencia afectar la esfera más íntima de los titulares. Por lo que derivado de las características del documento, se niega el acceso.</w:t>
            </w:r>
          </w:p>
        </w:tc>
        <w:tc>
          <w:tcPr>
            <w:tcW w:w="1984"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123AFE60" w14:textId="26CDCC16" w:rsidR="00EF3108" w:rsidRPr="00EE2DA4" w:rsidRDefault="00C434F9" w:rsidP="004075EF">
            <w:pPr>
              <w:tabs>
                <w:tab w:val="left" w:pos="7655"/>
              </w:tabs>
              <w:spacing w:before="240" w:after="240" w:line="276" w:lineRule="auto"/>
              <w:ind w:left="29" w:right="43"/>
              <w:rPr>
                <w:rFonts w:ascii="Palatino Linotype" w:hAnsi="Palatino Linotype"/>
                <w:color w:val="000000"/>
                <w:sz w:val="18"/>
                <w:szCs w:val="18"/>
              </w:rPr>
            </w:pPr>
            <w:r w:rsidRPr="00EE2DA4">
              <w:rPr>
                <w:rFonts w:ascii="Palatino Linotype" w:hAnsi="Palatino Linotype"/>
                <w:color w:val="000000"/>
                <w:sz w:val="18"/>
                <w:szCs w:val="18"/>
              </w:rPr>
              <w:t>El SUJETO OBLIGADO no se pronunció respecto a este punto en su informe justificado.</w:t>
            </w:r>
          </w:p>
        </w:tc>
        <w:tc>
          <w:tcPr>
            <w:tcW w:w="1418"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16888BDC" w14:textId="53F2862D" w:rsidR="00EF3108" w:rsidRPr="00EE2DA4" w:rsidRDefault="00C434F9" w:rsidP="006173EA">
            <w:pPr>
              <w:tabs>
                <w:tab w:val="left" w:pos="7655"/>
              </w:tabs>
              <w:spacing w:before="240" w:after="240" w:line="276" w:lineRule="auto"/>
              <w:ind w:left="29" w:right="-516"/>
              <w:jc w:val="both"/>
              <w:rPr>
                <w:rFonts w:ascii="Palatino Linotype" w:hAnsi="Palatino Linotype"/>
                <w:color w:val="000000"/>
                <w:sz w:val="18"/>
                <w:szCs w:val="18"/>
              </w:rPr>
            </w:pPr>
            <w:r w:rsidRPr="00EE2DA4">
              <w:rPr>
                <w:rFonts w:ascii="Palatino Linotype" w:hAnsi="Palatino Linotype"/>
                <w:color w:val="000000"/>
                <w:sz w:val="18"/>
                <w:szCs w:val="18"/>
              </w:rPr>
              <w:t>No</w:t>
            </w:r>
          </w:p>
        </w:tc>
      </w:tr>
      <w:tr w:rsidR="00EF3108" w:rsidRPr="00EE2DA4" w14:paraId="46AAAA41" w14:textId="0F6A302C" w:rsidTr="00C434F9">
        <w:trPr>
          <w:trHeight w:val="556"/>
          <w:jc w:val="center"/>
        </w:trPr>
        <w:tc>
          <w:tcPr>
            <w:tcW w:w="2273"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962F67C" w14:textId="0965D1D2" w:rsidR="00EF3108" w:rsidRPr="00EE2DA4" w:rsidRDefault="00EA6A50" w:rsidP="006173EA">
            <w:pPr>
              <w:pStyle w:val="Prrafodelista"/>
              <w:numPr>
                <w:ilvl w:val="0"/>
                <w:numId w:val="23"/>
              </w:numPr>
              <w:tabs>
                <w:tab w:val="left" w:pos="313"/>
              </w:tabs>
              <w:spacing w:after="160"/>
              <w:ind w:left="29" w:right="43" w:firstLine="0"/>
              <w:jc w:val="both"/>
              <w:rPr>
                <w:rFonts w:ascii="Palatino Linotype" w:hAnsi="Palatino Linotype"/>
                <w:color w:val="000000"/>
                <w:sz w:val="18"/>
                <w:szCs w:val="18"/>
              </w:rPr>
            </w:pPr>
            <w:r w:rsidRPr="00EE2DA4">
              <w:rPr>
                <w:rFonts w:ascii="Palatino Linotype" w:hAnsi="Palatino Linotype"/>
                <w:color w:val="000000"/>
                <w:sz w:val="18"/>
                <w:szCs w:val="18"/>
              </w:rPr>
              <w:lastRenderedPageBreak/>
              <w:t>El sistema de gestión de esa aplicación móvil.</w:t>
            </w:r>
          </w:p>
        </w:tc>
        <w:tc>
          <w:tcPr>
            <w:tcW w:w="2126"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DAE273F" w14:textId="26AA65E5" w:rsidR="00EF3108" w:rsidRPr="00EE2DA4" w:rsidRDefault="0046528B" w:rsidP="0046528B">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 por lo que hace al sistema de gestión, me permito mencionar que al día de hoy, este Organismo no ha implementado ningún sistema de gestión, motivo por el cual esta Unidad Administrativa se encuentra imposibilitada para proporcionar la información requerida por el particular”</w:t>
            </w:r>
          </w:p>
        </w:tc>
        <w:tc>
          <w:tcPr>
            <w:tcW w:w="198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FA0A02E" w14:textId="27467912" w:rsidR="00C434F9" w:rsidRPr="00EE2DA4" w:rsidRDefault="0046528B" w:rsidP="0046528B">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w:t>
            </w:r>
            <w:r w:rsidR="00C434F9" w:rsidRPr="00EE2DA4">
              <w:rPr>
                <w:rFonts w:ascii="Palatino Linotype" w:hAnsi="Palatino Linotype"/>
                <w:i/>
                <w:color w:val="000000"/>
                <w:sz w:val="18"/>
                <w:szCs w:val="18"/>
              </w:rPr>
              <w:t xml:space="preserve">Me permito señalar en primer término que jamás se hizo mención </w:t>
            </w:r>
            <w:r w:rsidRPr="00EE2DA4">
              <w:rPr>
                <w:rFonts w:ascii="Palatino Linotype" w:hAnsi="Palatino Linotype"/>
                <w:i/>
                <w:color w:val="000000"/>
                <w:sz w:val="18"/>
                <w:szCs w:val="18"/>
              </w:rPr>
              <w:t xml:space="preserve">…que el </w:t>
            </w:r>
            <w:r w:rsidR="00C434F9" w:rsidRPr="00EE2DA4">
              <w:rPr>
                <w:rFonts w:ascii="Palatino Linotype" w:hAnsi="Palatino Linotype"/>
                <w:i/>
                <w:color w:val="000000"/>
                <w:sz w:val="18"/>
                <w:szCs w:val="18"/>
              </w:rPr>
              <w:t>Sistema de Gestión al cual hace referencia, contenía medidas de seguridad, lo que se le mencion6, ,</w:t>
            </w:r>
          </w:p>
          <w:p w14:paraId="6ED309F2" w14:textId="5536CBE9" w:rsidR="00C434F9" w:rsidRPr="00EE2DA4" w:rsidRDefault="00C434F9" w:rsidP="0046528B">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es que al día de hoy, este Organismo no había implementado ningún sistema de gesti</w:t>
            </w:r>
            <w:r w:rsidR="0046528B" w:rsidRPr="00EE2DA4">
              <w:rPr>
                <w:rFonts w:ascii="Palatino Linotype" w:hAnsi="Palatino Linotype"/>
                <w:i/>
                <w:color w:val="000000"/>
                <w:sz w:val="18"/>
                <w:szCs w:val="18"/>
              </w:rPr>
              <w:t xml:space="preserve">ón, motivo </w:t>
            </w:r>
            <w:r w:rsidRPr="00EE2DA4">
              <w:rPr>
                <w:rFonts w:ascii="Palatino Linotype" w:hAnsi="Palatino Linotype"/>
                <w:i/>
                <w:color w:val="000000"/>
                <w:sz w:val="18"/>
                <w:szCs w:val="18"/>
              </w:rPr>
              <w:t>por el cual, esta Comisión de Derechos Humanos del Estado de México, se encontraba</w:t>
            </w:r>
          </w:p>
          <w:p w14:paraId="3607072A" w14:textId="1E8A98A7" w:rsidR="00EF3108" w:rsidRPr="00EE2DA4" w:rsidRDefault="00C434F9" w:rsidP="0046528B">
            <w:pPr>
              <w:autoSpaceDE w:val="0"/>
              <w:autoSpaceDN w:val="0"/>
              <w:adjustRightInd w:val="0"/>
              <w:jc w:val="both"/>
              <w:rPr>
                <w:rFonts w:ascii="Palatino Linotype" w:hAnsi="Palatino Linotype"/>
                <w:i/>
                <w:color w:val="000000"/>
                <w:sz w:val="18"/>
                <w:szCs w:val="18"/>
              </w:rPr>
            </w:pPr>
            <w:r w:rsidRPr="00EE2DA4">
              <w:rPr>
                <w:rFonts w:ascii="Palatino Linotype" w:hAnsi="Palatino Linotype"/>
                <w:i/>
                <w:color w:val="000000"/>
                <w:sz w:val="18"/>
                <w:szCs w:val="18"/>
              </w:rPr>
              <w:t xml:space="preserve">imposibilitada para proporcionar la información requerida y mucho menos para entregar </w:t>
            </w:r>
            <w:r w:rsidR="0046528B" w:rsidRPr="00EE2DA4">
              <w:rPr>
                <w:rFonts w:ascii="Palatino Linotype" w:hAnsi="Palatino Linotype"/>
                <w:i/>
                <w:color w:val="000000"/>
                <w:sz w:val="18"/>
                <w:szCs w:val="18"/>
              </w:rPr>
              <w:t xml:space="preserve">una </w:t>
            </w:r>
            <w:r w:rsidRPr="00EE2DA4">
              <w:rPr>
                <w:rFonts w:ascii="Palatino Linotype" w:hAnsi="Palatino Linotype"/>
                <w:i/>
                <w:color w:val="000000"/>
                <w:sz w:val="18"/>
                <w:szCs w:val="18"/>
              </w:rPr>
              <w:t>versión pública del mism</w:t>
            </w:r>
            <w:r w:rsidR="0046528B" w:rsidRPr="00EE2DA4">
              <w:rPr>
                <w:rFonts w:ascii="Palatino Linotype" w:hAnsi="Palatino Linotype"/>
                <w:i/>
                <w:color w:val="000000"/>
                <w:sz w:val="18"/>
                <w:szCs w:val="18"/>
              </w:rPr>
              <w:t>o, como lo señala el recurrente”</w:t>
            </w:r>
          </w:p>
        </w:tc>
        <w:tc>
          <w:tcPr>
            <w:tcW w:w="1418"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7C6B2C4" w14:textId="5CDD65A5" w:rsidR="00EF3108" w:rsidRPr="00EE2DA4" w:rsidRDefault="002E4804" w:rsidP="006173EA">
            <w:pPr>
              <w:tabs>
                <w:tab w:val="left" w:pos="313"/>
                <w:tab w:val="left" w:pos="7655"/>
              </w:tabs>
              <w:spacing w:after="160"/>
              <w:ind w:right="43"/>
              <w:jc w:val="both"/>
              <w:rPr>
                <w:rFonts w:ascii="Palatino Linotype" w:hAnsi="Palatino Linotype"/>
                <w:color w:val="000000"/>
                <w:sz w:val="18"/>
                <w:szCs w:val="18"/>
              </w:rPr>
            </w:pPr>
            <w:r w:rsidRPr="00EE2DA4">
              <w:rPr>
                <w:rFonts w:ascii="Palatino Linotype" w:hAnsi="Palatino Linotype"/>
                <w:color w:val="000000"/>
                <w:sz w:val="18"/>
                <w:szCs w:val="18"/>
              </w:rPr>
              <w:t>No</w:t>
            </w:r>
          </w:p>
        </w:tc>
      </w:tr>
    </w:tbl>
    <w:p w14:paraId="2D73CD18" w14:textId="77777777" w:rsidR="009272F6" w:rsidRPr="00EE2DA4" w:rsidRDefault="009272F6" w:rsidP="009272F6">
      <w:pPr>
        <w:pStyle w:val="Prrafodelista"/>
        <w:spacing w:before="240" w:after="240"/>
        <w:ind w:left="0"/>
        <w:jc w:val="both"/>
      </w:pPr>
    </w:p>
    <w:p w14:paraId="0A2ADA3D" w14:textId="77B04329" w:rsidR="00C528F0" w:rsidRPr="00EE2DA4" w:rsidRDefault="00C528F0" w:rsidP="00186330">
      <w:pPr>
        <w:pStyle w:val="Ttulo2"/>
        <w:numPr>
          <w:ilvl w:val="3"/>
          <w:numId w:val="1"/>
        </w:numPr>
        <w:ind w:left="0" w:firstLine="0"/>
      </w:pPr>
      <w:bookmarkStart w:id="87" w:name="_Toc33186537"/>
      <w:r w:rsidRPr="00EE2DA4">
        <w:t>De la Evaluación de impacto.</w:t>
      </w:r>
      <w:bookmarkEnd w:id="87"/>
    </w:p>
    <w:p w14:paraId="760074C7" w14:textId="77777777" w:rsidR="00C528F0" w:rsidRPr="00EE2DA4" w:rsidRDefault="00C528F0" w:rsidP="00C528F0">
      <w:pPr>
        <w:pStyle w:val="Prrafodelista"/>
        <w:widowControl w:val="0"/>
        <w:autoSpaceDE w:val="0"/>
        <w:autoSpaceDN w:val="0"/>
        <w:adjustRightInd w:val="0"/>
        <w:spacing w:before="200" w:after="200" w:line="360" w:lineRule="auto"/>
        <w:ind w:left="0"/>
        <w:jc w:val="both"/>
        <w:rPr>
          <w:rFonts w:ascii="Palatino Linotype" w:eastAsia="Calibri" w:hAnsi="Palatino Linotype" w:cs="Arial"/>
          <w:b/>
          <w:lang w:val="es-ES"/>
        </w:rPr>
      </w:pPr>
    </w:p>
    <w:p w14:paraId="0C052F89" w14:textId="77777777" w:rsidR="006002B9" w:rsidRPr="00EE2DA4" w:rsidRDefault="00913508" w:rsidP="00D56E54">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lang w:val="es-ES"/>
        </w:rPr>
      </w:pPr>
      <w:r w:rsidRPr="00EE2DA4">
        <w:rPr>
          <w:rFonts w:ascii="Palatino Linotype" w:eastAsia="Calibri" w:hAnsi="Palatino Linotype" w:cs="Arial"/>
          <w:lang w:val="es-ES"/>
        </w:rPr>
        <w:t xml:space="preserve">Fue </w:t>
      </w:r>
      <w:r w:rsidR="009272F6" w:rsidRPr="00EE2DA4">
        <w:rPr>
          <w:rFonts w:ascii="Palatino Linotype" w:eastAsia="Calibri" w:hAnsi="Palatino Linotype" w:cs="Arial"/>
          <w:lang w:val="es-ES"/>
        </w:rPr>
        <w:t xml:space="preserve">así como </w:t>
      </w:r>
      <w:r w:rsidRPr="00EE2DA4">
        <w:rPr>
          <w:rFonts w:ascii="Palatino Linotype" w:eastAsia="Calibri" w:hAnsi="Palatino Linotype" w:cs="Arial"/>
          <w:lang w:val="es-ES"/>
        </w:rPr>
        <w:t>se observó que el</w:t>
      </w:r>
      <w:r w:rsidR="009272F6" w:rsidRPr="00EE2DA4">
        <w:rPr>
          <w:rFonts w:ascii="Palatino Linotype" w:eastAsia="Calibri" w:hAnsi="Palatino Linotype" w:cs="Arial"/>
          <w:lang w:val="es-ES"/>
        </w:rPr>
        <w:t xml:space="preserve"> </w:t>
      </w:r>
      <w:r w:rsidR="009272F6" w:rsidRPr="00EE2DA4">
        <w:rPr>
          <w:rFonts w:ascii="Palatino Linotype" w:eastAsia="Calibri" w:hAnsi="Palatino Linotype" w:cs="Arial"/>
          <w:b/>
          <w:lang w:val="es-ES"/>
        </w:rPr>
        <w:t>SUJETO OBLIGADO</w:t>
      </w:r>
      <w:r w:rsidR="009272F6" w:rsidRPr="00EE2DA4">
        <w:rPr>
          <w:rFonts w:ascii="Palatino Linotype" w:eastAsia="Calibri" w:hAnsi="Palatino Linotype" w:cs="Arial"/>
          <w:lang w:val="es-ES"/>
        </w:rPr>
        <w:t xml:space="preserve"> </w:t>
      </w:r>
      <w:bookmarkStart w:id="88" w:name="_Toc18609012"/>
      <w:bookmarkStart w:id="89" w:name="_Toc30093945"/>
      <w:r w:rsidR="002E4804" w:rsidRPr="00EE2DA4">
        <w:rPr>
          <w:rFonts w:ascii="Palatino Linotype" w:eastAsia="Calibri" w:hAnsi="Palatino Linotype" w:cs="Arial"/>
          <w:lang w:val="es-ES"/>
        </w:rPr>
        <w:t xml:space="preserve">al contestar el punto identificado con el inciso a), </w:t>
      </w:r>
      <w:r w:rsidR="0010023A" w:rsidRPr="00EE2DA4">
        <w:rPr>
          <w:rFonts w:ascii="Palatino Linotype" w:eastAsia="Calibri" w:hAnsi="Palatino Linotype" w:cs="Arial"/>
          <w:lang w:val="es-ES"/>
        </w:rPr>
        <w:t xml:space="preserve">referente a la evaluación de impacto realizada a la App implementada para denunciar violaciones a derechos humanos de periodistas, manifiesta expresamente que </w:t>
      </w:r>
      <w:r w:rsidR="003D07C1" w:rsidRPr="00EE2DA4">
        <w:rPr>
          <w:rFonts w:ascii="Palatino Linotype" w:eastAsia="Calibri" w:hAnsi="Palatino Linotype" w:cs="Arial"/>
          <w:lang w:val="es-ES"/>
        </w:rPr>
        <w:t>éste documento no le es aplicable “</w:t>
      </w:r>
      <w:r w:rsidR="003D07C1" w:rsidRPr="00EE2DA4">
        <w:rPr>
          <w:rFonts w:ascii="Palatino Linotype" w:hAnsi="Palatino Linotype"/>
          <w:i/>
          <w:color w:val="000000"/>
        </w:rPr>
        <w:t>toda vez que no se realiza un tratamiento intensivo a los datos personales que se recaban en la aplicación</w:t>
      </w:r>
      <w:r w:rsidR="003D07C1" w:rsidRPr="00EE2DA4">
        <w:rPr>
          <w:rFonts w:ascii="Palatino Linotype" w:eastAsia="Calibri" w:hAnsi="Palatino Linotype" w:cs="Arial"/>
          <w:lang w:val="es-ES"/>
        </w:rPr>
        <w:t xml:space="preserve">” </w:t>
      </w:r>
      <w:r w:rsidR="00D56E54" w:rsidRPr="00EE2DA4">
        <w:rPr>
          <w:rFonts w:ascii="Palatino Linotype" w:eastAsia="Calibri" w:hAnsi="Palatino Linotype" w:cs="Arial"/>
          <w:lang w:val="es-ES"/>
        </w:rPr>
        <w:t>y argumentó que “</w:t>
      </w:r>
      <w:r w:rsidR="00D56E54" w:rsidRPr="00EE2DA4">
        <w:rPr>
          <w:rFonts w:ascii="Palatino Linotype" w:hAnsi="Palatino Linotype"/>
          <w:i/>
          <w:color w:val="000000"/>
          <w:sz w:val="18"/>
          <w:szCs w:val="18"/>
        </w:rPr>
        <w:t>no existen riesgos potenciales y probables que entrañen en el tratamiento intensivo o relevante de datos personales</w:t>
      </w:r>
      <w:r w:rsidR="00D56E54" w:rsidRPr="00EE2DA4">
        <w:rPr>
          <w:rFonts w:ascii="Palatino Linotype" w:eastAsia="Calibri" w:hAnsi="Palatino Linotype" w:cs="Arial"/>
          <w:lang w:val="es-ES"/>
        </w:rPr>
        <w:t>”</w:t>
      </w:r>
      <w:r w:rsidR="006002B9" w:rsidRPr="00EE2DA4">
        <w:rPr>
          <w:rFonts w:ascii="Palatino Linotype" w:eastAsia="Calibri" w:hAnsi="Palatino Linotype" w:cs="Arial"/>
          <w:lang w:val="es-ES"/>
        </w:rPr>
        <w:t>.</w:t>
      </w:r>
    </w:p>
    <w:p w14:paraId="20432DE6" w14:textId="77777777" w:rsidR="006002B9" w:rsidRPr="00EE2DA4" w:rsidRDefault="006002B9" w:rsidP="006002B9">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p>
    <w:p w14:paraId="0C6CDAB2" w14:textId="7B3D9448" w:rsidR="00C528F0" w:rsidRPr="00EE2DA4" w:rsidRDefault="006002B9" w:rsidP="00E25313">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lang w:val="es-ES"/>
        </w:rPr>
      </w:pPr>
      <w:r w:rsidRPr="00EE2DA4">
        <w:rPr>
          <w:rFonts w:ascii="Palatino Linotype" w:eastAsia="Calibri" w:hAnsi="Palatino Linotype" w:cs="Arial"/>
          <w:lang w:val="es-ES"/>
        </w:rPr>
        <w:lastRenderedPageBreak/>
        <w:t>P</w:t>
      </w:r>
      <w:r w:rsidR="00D56E54" w:rsidRPr="00EE2DA4">
        <w:rPr>
          <w:rFonts w:ascii="Palatino Linotype" w:eastAsia="Calibri" w:hAnsi="Palatino Linotype" w:cs="Arial"/>
          <w:lang w:val="es-ES"/>
        </w:rPr>
        <w:t>or lo que e</w:t>
      </w:r>
      <w:r w:rsidR="0010023A" w:rsidRPr="00EE2DA4">
        <w:rPr>
          <w:rFonts w:ascii="Palatino Linotype" w:eastAsia="Calibri" w:hAnsi="Palatino Linotype" w:cs="Arial"/>
          <w:lang w:val="es-ES"/>
        </w:rPr>
        <w:t xml:space="preserve">n atención a lo anterior </w:t>
      </w:r>
      <w:r w:rsidR="00D56E54" w:rsidRPr="00EE2DA4">
        <w:rPr>
          <w:rFonts w:ascii="Palatino Linotype" w:eastAsia="Calibri" w:hAnsi="Palatino Linotype" w:cs="Arial"/>
          <w:lang w:val="es-ES"/>
        </w:rPr>
        <w:t xml:space="preserve">y </w:t>
      </w:r>
      <w:r w:rsidR="0010023A" w:rsidRPr="00EE2DA4">
        <w:rPr>
          <w:rFonts w:ascii="Palatino Linotype" w:eastAsia="Calibri" w:hAnsi="Palatino Linotype" w:cs="Arial"/>
          <w:lang w:val="es-ES"/>
        </w:rPr>
        <w:t xml:space="preserve">a efecto de verificar lo argüido se procedió a observar </w:t>
      </w:r>
      <w:r w:rsidRPr="00EE2DA4">
        <w:rPr>
          <w:rFonts w:ascii="Palatino Linotype" w:eastAsia="Calibri" w:hAnsi="Palatino Linotype" w:cs="Arial"/>
          <w:lang w:val="es-ES"/>
        </w:rPr>
        <w:t xml:space="preserve">que </w:t>
      </w:r>
      <w:r w:rsidR="00C528F0" w:rsidRPr="00EE2DA4">
        <w:rPr>
          <w:rFonts w:ascii="Palatino Linotype" w:eastAsia="Calibri" w:hAnsi="Palatino Linotype" w:cs="Arial"/>
          <w:lang w:val="es-ES"/>
        </w:rPr>
        <w:t xml:space="preserve">el SUJETO OBLIGADO de conformidad con el </w:t>
      </w:r>
      <w:r w:rsidR="00C528F0" w:rsidRPr="00EE2DA4">
        <w:rPr>
          <w:rFonts w:ascii="Palatino Linotype" w:eastAsia="Calibri" w:hAnsi="Palatino Linotype" w:cs="Arial"/>
          <w:b/>
          <w:lang w:val="es-ES"/>
        </w:rPr>
        <w:t>Reglamento Interno de la Comisión Nacional de Derechos Humanos</w:t>
      </w:r>
      <w:r w:rsidR="00C528F0" w:rsidRPr="00EE2DA4">
        <w:rPr>
          <w:rFonts w:ascii="Palatino Linotype" w:eastAsia="Calibri" w:hAnsi="Palatino Linotype" w:cs="Arial"/>
          <w:lang w:val="es-ES"/>
        </w:rPr>
        <w:t xml:space="preserve"> tiene las siguientes atribuciones:</w:t>
      </w:r>
    </w:p>
    <w:p w14:paraId="1653D1E1" w14:textId="77777777" w:rsidR="00C528F0" w:rsidRPr="00EE2DA4" w:rsidRDefault="00C528F0" w:rsidP="00C528F0">
      <w:pPr>
        <w:pStyle w:val="Prrafodelista"/>
        <w:rPr>
          <w:rFonts w:ascii="Palatino Linotype" w:eastAsia="Calibri" w:hAnsi="Palatino Linotype" w:cs="Arial"/>
          <w:lang w:val="es-ES"/>
        </w:rPr>
      </w:pPr>
    </w:p>
    <w:p w14:paraId="66A02F5D" w14:textId="618B43A5" w:rsidR="00C528F0" w:rsidRPr="00EE2DA4" w:rsidRDefault="00C528F0" w:rsidP="00E37A0A">
      <w:pPr>
        <w:pStyle w:val="Prrafodelista"/>
        <w:widowControl w:val="0"/>
        <w:autoSpaceDE w:val="0"/>
        <w:autoSpaceDN w:val="0"/>
        <w:adjustRightInd w:val="0"/>
        <w:spacing w:before="200" w:after="20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Artículo 15.- La Unidad de Orientación y Recepción de Quejas cuenta con las atribuciones siguientes: </w:t>
      </w:r>
    </w:p>
    <w:p w14:paraId="5A693B88" w14:textId="2634446B" w:rsidR="00C528F0" w:rsidRPr="00EE2DA4" w:rsidRDefault="00C528F0" w:rsidP="00E37A0A">
      <w:pPr>
        <w:widowControl w:val="0"/>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I. Coordinar el servicio de atención al público a través del otorgamiento de asesorías de manera personal, telefónica </w:t>
      </w:r>
      <w:r w:rsidRPr="00EE2DA4">
        <w:rPr>
          <w:rFonts w:ascii="Palatino Linotype" w:hAnsi="Palatino Linotype"/>
          <w:b/>
          <w:i/>
          <w:sz w:val="22"/>
          <w:szCs w:val="22"/>
          <w:u w:val="single"/>
        </w:rPr>
        <w:t>o electrónica</w:t>
      </w:r>
      <w:r w:rsidRPr="00EE2DA4">
        <w:rPr>
          <w:rFonts w:ascii="Palatino Linotype" w:hAnsi="Palatino Linotype"/>
          <w:i/>
          <w:sz w:val="22"/>
          <w:szCs w:val="22"/>
        </w:rPr>
        <w:t xml:space="preserve"> que se presenten ante el Organismo; </w:t>
      </w:r>
    </w:p>
    <w:p w14:paraId="3E318D32" w14:textId="77777777" w:rsidR="00C528F0" w:rsidRPr="00EE2DA4" w:rsidRDefault="00C528F0" w:rsidP="00E37A0A">
      <w:pPr>
        <w:spacing w:line="360" w:lineRule="auto"/>
        <w:ind w:left="567" w:right="567"/>
        <w:jc w:val="both"/>
        <w:rPr>
          <w:rFonts w:ascii="Palatino Linotype" w:hAnsi="Palatino Linotype"/>
          <w:b/>
          <w:i/>
          <w:sz w:val="22"/>
          <w:szCs w:val="22"/>
          <w:u w:val="single"/>
        </w:rPr>
      </w:pPr>
      <w:r w:rsidRPr="00EE2DA4">
        <w:rPr>
          <w:rFonts w:ascii="Palatino Linotype" w:hAnsi="Palatino Linotype"/>
          <w:b/>
          <w:i/>
          <w:sz w:val="22"/>
          <w:szCs w:val="22"/>
          <w:u w:val="single"/>
        </w:rPr>
        <w:t xml:space="preserve">II. Coordinar la recepción y registro de los escritos sobre presuntas violaciones a derechos humanos que se presenten ante la Comisión; </w:t>
      </w:r>
    </w:p>
    <w:p w14:paraId="11E3B7A9" w14:textId="77777777" w:rsidR="00C528F0" w:rsidRPr="00EE2DA4" w:rsidRDefault="00C528F0" w:rsidP="00E37A0A">
      <w:pPr>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III. Remitir a las Visitadurías Generales los escritos relacionados con presuntas violaciones a derechos humanos;</w:t>
      </w:r>
    </w:p>
    <w:p w14:paraId="5268BB6C" w14:textId="77777777" w:rsidR="00C528F0" w:rsidRPr="00EE2DA4" w:rsidRDefault="00C528F0" w:rsidP="00E37A0A">
      <w:pPr>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 IV. Atender los escritos sobre presuntas violaciones a derechos humanos, formulando y remitiendo la respuesta al quejoso sobre asuntos que no sean competencia de la Comisión; </w:t>
      </w:r>
    </w:p>
    <w:p w14:paraId="3B941C90" w14:textId="77777777" w:rsidR="00C528F0" w:rsidRPr="00EE2DA4" w:rsidRDefault="00C528F0" w:rsidP="00E37A0A">
      <w:pPr>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V. Llevar registro de las orientaciones y canalizaciones que se atiendan; </w:t>
      </w:r>
    </w:p>
    <w:p w14:paraId="4E614C67" w14:textId="3C188B2B" w:rsidR="00C528F0" w:rsidRPr="00EE2DA4" w:rsidRDefault="00C528F0" w:rsidP="00E37A0A">
      <w:pPr>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VI. Informar a su superior jerárquico sobre el funcionamiento y actividades realizadas en la unidad; </w:t>
      </w:r>
    </w:p>
    <w:p w14:paraId="149FB5B5" w14:textId="77777777" w:rsidR="00C528F0" w:rsidRPr="00EE2DA4" w:rsidRDefault="00C528F0" w:rsidP="00E37A0A">
      <w:pPr>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VII. Recibir, analizar y registrar los documentos que ingresen a la Oficialía de Partes de la Comisión y remitir a las unidades administrativas correspondientes; y </w:t>
      </w:r>
    </w:p>
    <w:p w14:paraId="467A801D" w14:textId="4E0AA65D" w:rsidR="00C528F0" w:rsidRPr="00EE2DA4" w:rsidRDefault="00C528F0" w:rsidP="00E37A0A">
      <w:pPr>
        <w:spacing w:line="360" w:lineRule="auto"/>
        <w:ind w:left="567" w:right="567"/>
        <w:jc w:val="both"/>
        <w:rPr>
          <w:rFonts w:ascii="Palatino Linotype" w:eastAsia="Calibri" w:hAnsi="Palatino Linotype" w:cs="Arial"/>
          <w:i/>
          <w:sz w:val="22"/>
          <w:szCs w:val="22"/>
          <w:lang w:val="es-ES"/>
        </w:rPr>
      </w:pPr>
      <w:r w:rsidRPr="00EE2DA4">
        <w:rPr>
          <w:rFonts w:ascii="Palatino Linotype" w:hAnsi="Palatino Linotype"/>
          <w:i/>
          <w:sz w:val="22"/>
          <w:szCs w:val="22"/>
        </w:rPr>
        <w:t>VIII. Desarrollar las demás funciones inherentes al área de su responsabilidad, así como aquellas que le asigne la Primera Visitaduría General.</w:t>
      </w:r>
    </w:p>
    <w:p w14:paraId="25F62D31" w14:textId="77777777" w:rsidR="00C528F0" w:rsidRPr="00EE2DA4" w:rsidRDefault="00C528F0" w:rsidP="00E37A0A">
      <w:pPr>
        <w:pStyle w:val="Prrafodelista"/>
        <w:ind w:right="567"/>
        <w:jc w:val="both"/>
        <w:rPr>
          <w:rFonts w:ascii="Palatino Linotype" w:eastAsia="Calibri" w:hAnsi="Palatino Linotype" w:cs="Arial"/>
          <w:lang w:val="es-ES"/>
        </w:rPr>
      </w:pPr>
    </w:p>
    <w:p w14:paraId="26157556" w14:textId="2600DCFF" w:rsidR="006002B9" w:rsidRPr="00EE2DA4" w:rsidRDefault="00C528F0" w:rsidP="00E25313">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lang w:val="es-ES"/>
        </w:rPr>
      </w:pPr>
      <w:r w:rsidRPr="00EE2DA4">
        <w:rPr>
          <w:rFonts w:ascii="Palatino Linotype" w:eastAsia="Calibri" w:hAnsi="Palatino Linotype" w:cs="Arial"/>
          <w:lang w:val="es-ES"/>
        </w:rPr>
        <w:lastRenderedPageBreak/>
        <w:t xml:space="preserve">De igual manera el </w:t>
      </w:r>
      <w:r w:rsidR="006002B9" w:rsidRPr="00EE2DA4">
        <w:rPr>
          <w:rFonts w:ascii="Palatino Linotype" w:eastAsia="Calibri" w:hAnsi="Palatino Linotype" w:cs="Arial"/>
          <w:lang w:val="es-ES"/>
        </w:rPr>
        <w:t>Plan de Desarrollo Institucional 2019-2021</w:t>
      </w:r>
      <w:r w:rsidR="008B3627" w:rsidRPr="00EE2DA4">
        <w:rPr>
          <w:rStyle w:val="Refdenotaalpie"/>
          <w:rFonts w:ascii="Palatino Linotype" w:eastAsia="Calibri" w:hAnsi="Palatino Linotype" w:cs="Arial"/>
          <w:lang w:val="es-ES"/>
        </w:rPr>
        <w:footnoteReference w:id="2"/>
      </w:r>
      <w:r w:rsidR="006002B9" w:rsidRPr="00EE2DA4">
        <w:rPr>
          <w:rFonts w:ascii="Palatino Linotype" w:eastAsia="Calibri" w:hAnsi="Palatino Linotype" w:cs="Arial"/>
          <w:lang w:val="es-ES"/>
        </w:rPr>
        <w:t xml:space="preserve"> de la </w:t>
      </w:r>
      <w:r w:rsidR="006002B9" w:rsidRPr="00EE2DA4">
        <w:rPr>
          <w:rFonts w:ascii="Palatino Linotype" w:hAnsi="Palatino Linotype" w:cs="Arial"/>
          <w:b/>
        </w:rPr>
        <w:t xml:space="preserve">Comisión de Derechos Humanos del Estado de México </w:t>
      </w:r>
      <w:r w:rsidR="006002B9" w:rsidRPr="00EE2DA4">
        <w:rPr>
          <w:rFonts w:ascii="Palatino Linotype" w:hAnsi="Palatino Linotype" w:cs="Arial"/>
        </w:rPr>
        <w:t>señala:</w:t>
      </w:r>
    </w:p>
    <w:p w14:paraId="5B4FC927" w14:textId="77777777" w:rsidR="00CE41BE" w:rsidRPr="00EE2DA4" w:rsidRDefault="00CE41BE" w:rsidP="00CE41BE">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p>
    <w:p w14:paraId="14A6ADE0" w14:textId="053866C6" w:rsidR="006002B9" w:rsidRPr="00EE2DA4" w:rsidRDefault="006002B9" w:rsidP="006002B9">
      <w:pPr>
        <w:pStyle w:val="Prrafodelista"/>
        <w:widowControl w:val="0"/>
        <w:autoSpaceDE w:val="0"/>
        <w:autoSpaceDN w:val="0"/>
        <w:adjustRightInd w:val="0"/>
        <w:spacing w:before="200" w:after="20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La administración digital permite a las instituciones adaptarse a las nuevas tendencias en </w:t>
      </w:r>
      <w:r w:rsidRPr="00EE2DA4">
        <w:rPr>
          <w:rFonts w:ascii="Palatino Linotype" w:hAnsi="Palatino Linotype"/>
          <w:b/>
          <w:i/>
          <w:sz w:val="22"/>
          <w:szCs w:val="22"/>
          <w:u w:val="single"/>
        </w:rPr>
        <w:t>la aplicación de la tecnología</w:t>
      </w:r>
      <w:r w:rsidRPr="00EE2DA4">
        <w:rPr>
          <w:rFonts w:ascii="Palatino Linotype" w:hAnsi="Palatino Linotype"/>
          <w:i/>
          <w:sz w:val="22"/>
          <w:szCs w:val="22"/>
        </w:rPr>
        <w:t>, acercar los servicios públicos y los procesos democráticos, reforzar el apoyo a las políticas públicas y lograr una mayor productividad y simplificación de los procesos cotidianos. La administración digital puede darse en dos sentidos: el primero, de manera interna, transforma la manera tradicional de hacer las cosas a un modo electrónico, optimizando los tiempos y los recursos con que cuenta la institución; el segundo, de manera externa, acerca los conocimientos sobre el respeto de los derechos humanos a la población y los servicios que esta Comisión ofrece a la ciudadanía.</w:t>
      </w:r>
    </w:p>
    <w:p w14:paraId="1053D2A1" w14:textId="77777777" w:rsidR="006002B9" w:rsidRPr="00EE2DA4" w:rsidRDefault="006002B9" w:rsidP="00E37A0A">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p>
    <w:p w14:paraId="2871F23E" w14:textId="78385B43" w:rsidR="00D83FC0" w:rsidRPr="00EE2DA4" w:rsidRDefault="006002B9" w:rsidP="00D83FC0">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lang w:val="es-ES"/>
        </w:rPr>
      </w:pPr>
      <w:r w:rsidRPr="00EE2DA4">
        <w:rPr>
          <w:rFonts w:ascii="Palatino Linotype" w:eastAsia="Calibri" w:hAnsi="Palatino Linotype" w:cs="Arial"/>
          <w:lang w:val="es-ES"/>
        </w:rPr>
        <w:t>En ese contexto a fin de identificar las acciones</w:t>
      </w:r>
      <w:r w:rsidR="00D83FC0" w:rsidRPr="00EE2DA4">
        <w:rPr>
          <w:rFonts w:ascii="Palatino Linotype" w:eastAsia="Calibri" w:hAnsi="Palatino Linotype" w:cs="Arial"/>
          <w:lang w:val="es-ES"/>
        </w:rPr>
        <w:t xml:space="preserve"> y estrategias </w:t>
      </w:r>
      <w:r w:rsidRPr="00EE2DA4">
        <w:rPr>
          <w:rFonts w:ascii="Palatino Linotype" w:eastAsia="Calibri" w:hAnsi="Palatino Linotype" w:cs="Arial"/>
          <w:lang w:val="es-ES"/>
        </w:rPr>
        <w:t xml:space="preserve">implementadas por el </w:t>
      </w:r>
      <w:r w:rsidRPr="00EE2DA4">
        <w:rPr>
          <w:rFonts w:ascii="Palatino Linotype" w:eastAsia="Calibri" w:hAnsi="Palatino Linotype" w:cs="Arial"/>
          <w:b/>
          <w:lang w:val="es-ES"/>
        </w:rPr>
        <w:t>SUJETO OBLIGADO</w:t>
      </w:r>
      <w:r w:rsidRPr="00EE2DA4">
        <w:rPr>
          <w:rFonts w:ascii="Palatino Linotype" w:eastAsia="Calibri" w:hAnsi="Palatino Linotype" w:cs="Arial"/>
          <w:lang w:val="es-ES"/>
        </w:rPr>
        <w:t xml:space="preserve"> para llevar a cabo la administración digital a que se hace referencia en el párrafo anterior </w:t>
      </w:r>
      <w:r w:rsidR="00D83FC0" w:rsidRPr="00EE2DA4">
        <w:rPr>
          <w:rFonts w:ascii="Palatino Linotype" w:eastAsia="Calibri" w:hAnsi="Palatino Linotype" w:cs="Arial"/>
          <w:lang w:val="es-ES"/>
        </w:rPr>
        <w:t>se muestran las siguientes:</w:t>
      </w:r>
    </w:p>
    <w:p w14:paraId="1CF5A586" w14:textId="1FB52146" w:rsidR="00D83FC0" w:rsidRPr="00EE2DA4" w:rsidRDefault="00E37A0A" w:rsidP="00D83FC0">
      <w:pPr>
        <w:widowControl w:val="0"/>
        <w:autoSpaceDE w:val="0"/>
        <w:autoSpaceDN w:val="0"/>
        <w:adjustRightInd w:val="0"/>
        <w:spacing w:before="200" w:after="200" w:line="360" w:lineRule="auto"/>
        <w:ind w:left="567"/>
        <w:jc w:val="both"/>
        <w:rPr>
          <w:rFonts w:ascii="Palatino Linotype" w:eastAsia="Calibri" w:hAnsi="Palatino Linotype" w:cs="Arial"/>
          <w:lang w:val="es-ES"/>
        </w:rPr>
      </w:pPr>
      <w:r w:rsidRPr="00EE2DA4">
        <w:rPr>
          <w:rFonts w:ascii="Palatino Linotype" w:eastAsia="Calibri" w:hAnsi="Palatino Linotype" w:cs="Arial"/>
          <w:noProof/>
          <w:lang w:val="es-MX" w:eastAsia="es-MX"/>
        </w:rPr>
        <mc:AlternateContent>
          <mc:Choice Requires="wps">
            <w:drawing>
              <wp:anchor distT="0" distB="0" distL="114300" distR="114300" simplePos="0" relativeHeight="251659264" behindDoc="0" locked="0" layoutInCell="1" allowOverlap="1" wp14:anchorId="35728FF3" wp14:editId="080F6EFC">
                <wp:simplePos x="0" y="0"/>
                <wp:positionH relativeFrom="margin">
                  <wp:align>left</wp:align>
                </wp:positionH>
                <wp:positionV relativeFrom="paragraph">
                  <wp:posOffset>799465</wp:posOffset>
                </wp:positionV>
                <wp:extent cx="638175" cy="190500"/>
                <wp:effectExtent l="57150" t="38100" r="9525" b="114300"/>
                <wp:wrapNone/>
                <wp:docPr id="7" name="Flecha derecha 7"/>
                <wp:cNvGraphicFramePr/>
                <a:graphic xmlns:a="http://schemas.openxmlformats.org/drawingml/2006/main">
                  <a:graphicData uri="http://schemas.microsoft.com/office/word/2010/wordprocessingShape">
                    <wps:wsp>
                      <wps:cNvSpPr/>
                      <wps:spPr>
                        <a:xfrm>
                          <a:off x="0" y="0"/>
                          <a:ext cx="638175" cy="190500"/>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B9960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7" o:spid="_x0000_s1026" type="#_x0000_t13" style="position:absolute;margin-left:0;margin-top:62.95pt;width:50.25pt;height:1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" adj="18376" fillcolor="#c0504d [3205]" strokecolor="#bc4542 [3045]">
                <v:fill color2="#dfa7a6 [1621]" rotate="t" angle="180" focus="100%" type="gradient">
                  <o:fill v:ext="view" type="gradientUnscaled"/>
                </v:fill>
                <v:shadow on="t" color="black" opacity="22937f" origin=",.5" offset="0,.63889mm"/>
                <w10:wrap anchorx="margin"/>
              </v:shape>
            </w:pict>
          </mc:Fallback>
        </mc:AlternateContent>
      </w:r>
      <w:r w:rsidRPr="00EE2DA4">
        <w:rPr>
          <w:rFonts w:ascii="Palatino Linotype" w:eastAsia="Calibri" w:hAnsi="Palatino Linotype" w:cs="Arial"/>
          <w:noProof/>
          <w:lang w:val="es-MX" w:eastAsia="es-MX"/>
        </w:rPr>
        <mc:AlternateContent>
          <mc:Choice Requires="wps">
            <w:drawing>
              <wp:anchor distT="0" distB="0" distL="114300" distR="114300" simplePos="0" relativeHeight="251661312" behindDoc="0" locked="0" layoutInCell="1" allowOverlap="1" wp14:anchorId="4DF9C3E6" wp14:editId="02CA33AE">
                <wp:simplePos x="0" y="0"/>
                <wp:positionH relativeFrom="margin">
                  <wp:align>left</wp:align>
                </wp:positionH>
                <wp:positionV relativeFrom="paragraph">
                  <wp:posOffset>1504315</wp:posOffset>
                </wp:positionV>
                <wp:extent cx="638175" cy="190500"/>
                <wp:effectExtent l="57150" t="38100" r="9525" b="114300"/>
                <wp:wrapNone/>
                <wp:docPr id="8" name="Flecha derecha 8"/>
                <wp:cNvGraphicFramePr/>
                <a:graphic xmlns:a="http://schemas.openxmlformats.org/drawingml/2006/main">
                  <a:graphicData uri="http://schemas.microsoft.com/office/word/2010/wordprocessingShape">
                    <wps:wsp>
                      <wps:cNvSpPr/>
                      <wps:spPr>
                        <a:xfrm>
                          <a:off x="0" y="0"/>
                          <a:ext cx="638175" cy="190500"/>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59730" id="Flecha derecha 8" o:spid="_x0000_s1026" type="#_x0000_t13" style="position:absolute;margin-left:0;margin-top:118.45pt;width:50.25pt;height:1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" adj="18376" fillcolor="#c0504d [3205]" strokecolor="#bc4542 [3045]">
                <v:fill color2="#dfa7a6 [1621]" rotate="t" angle="180" focus="100%" type="gradient">
                  <o:fill v:ext="view" type="gradientUnscaled"/>
                </v:fill>
                <v:shadow on="t" color="black" opacity="22937f" origin=",.5" offset="0,.63889mm"/>
                <w10:wrap anchorx="margin"/>
              </v:shape>
            </w:pict>
          </mc:Fallback>
        </mc:AlternateContent>
      </w:r>
      <w:r w:rsidR="00D83FC0" w:rsidRPr="00EE2DA4">
        <w:rPr>
          <w:rFonts w:ascii="Palatino Linotype" w:eastAsia="Calibri" w:hAnsi="Palatino Linotype" w:cs="Arial"/>
          <w:noProof/>
          <w:lang w:val="es-MX" w:eastAsia="es-MX"/>
        </w:rPr>
        <mc:AlternateContent>
          <mc:Choice Requires="wps">
            <w:drawing>
              <wp:anchor distT="0" distB="0" distL="114300" distR="114300" simplePos="0" relativeHeight="251663360" behindDoc="0" locked="0" layoutInCell="1" allowOverlap="1" wp14:anchorId="5ED6AA31" wp14:editId="608A2674">
                <wp:simplePos x="0" y="0"/>
                <wp:positionH relativeFrom="margin">
                  <wp:align>left</wp:align>
                </wp:positionH>
                <wp:positionV relativeFrom="paragraph">
                  <wp:posOffset>142240</wp:posOffset>
                </wp:positionV>
                <wp:extent cx="638175" cy="190500"/>
                <wp:effectExtent l="57150" t="38100" r="9525" b="114300"/>
                <wp:wrapNone/>
                <wp:docPr id="9" name="Flecha derecha 9"/>
                <wp:cNvGraphicFramePr/>
                <a:graphic xmlns:a="http://schemas.openxmlformats.org/drawingml/2006/main">
                  <a:graphicData uri="http://schemas.microsoft.com/office/word/2010/wordprocessingShape">
                    <wps:wsp>
                      <wps:cNvSpPr/>
                      <wps:spPr>
                        <a:xfrm>
                          <a:off x="0" y="0"/>
                          <a:ext cx="638175" cy="190500"/>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514F1" id="Flecha derecha 9" o:spid="_x0000_s1026" type="#_x0000_t13" style="position:absolute;margin-left:0;margin-top:11.2pt;width:50.25pt;height:1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" adj="18376" fillcolor="#c0504d [3205]" strokecolor="#bc4542 [3045]">
                <v:fill color2="#dfa7a6 [1621]" rotate="t" angle="180" focus="100%" type="gradient">
                  <o:fill v:ext="view" type="gradientUnscaled"/>
                </v:fill>
                <v:shadow on="t" color="black" opacity="22937f" origin=",.5" offset="0,.63889mm"/>
                <w10:wrap anchorx="margin"/>
              </v:shape>
            </w:pict>
          </mc:Fallback>
        </mc:AlternateContent>
      </w:r>
      <w:r w:rsidR="00D83FC0" w:rsidRPr="00EE2DA4">
        <w:rPr>
          <w:rFonts w:ascii="Palatino Linotype" w:eastAsia="Calibri" w:hAnsi="Palatino Linotype" w:cs="Arial"/>
          <w:noProof/>
          <w:lang w:val="es-MX" w:eastAsia="es-MX"/>
        </w:rPr>
        <w:drawing>
          <wp:inline distT="0" distB="0" distL="0" distR="0" wp14:anchorId="204D8C3A" wp14:editId="76A57A5B">
            <wp:extent cx="4713605" cy="17049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2019" b="27314"/>
                    <a:stretch/>
                  </pic:blipFill>
                  <pic:spPr bwMode="auto">
                    <a:xfrm>
                      <a:off x="0" y="0"/>
                      <a:ext cx="4724009" cy="1708738"/>
                    </a:xfrm>
                    <a:prstGeom prst="rect">
                      <a:avLst/>
                    </a:prstGeom>
                    <a:noFill/>
                    <a:ln>
                      <a:noFill/>
                    </a:ln>
                    <a:extLst>
                      <a:ext uri="{53640926-AAD7-44D8-BBD7-CCE9431645EC}">
                        <a14:shadowObscured xmlns:a14="http://schemas.microsoft.com/office/drawing/2010/main"/>
                      </a:ext>
                    </a:extLst>
                  </pic:spPr>
                </pic:pic>
              </a:graphicData>
            </a:graphic>
          </wp:inline>
        </w:drawing>
      </w:r>
    </w:p>
    <w:p w14:paraId="56ACE04D" w14:textId="5257128D" w:rsidR="0010023A" w:rsidRPr="00EE2DA4" w:rsidRDefault="00D83FC0" w:rsidP="006002B9">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lang w:val="es-ES"/>
        </w:rPr>
      </w:pPr>
      <w:r w:rsidRPr="00EE2DA4">
        <w:rPr>
          <w:rFonts w:ascii="Palatino Linotype" w:eastAsia="Calibri" w:hAnsi="Palatino Linotype" w:cs="Arial"/>
          <w:lang w:val="es-ES"/>
        </w:rPr>
        <w:lastRenderedPageBreak/>
        <w:t>Asimismo</w:t>
      </w:r>
      <w:r w:rsidR="006002B9" w:rsidRPr="00EE2DA4">
        <w:rPr>
          <w:rFonts w:ascii="Palatino Linotype" w:eastAsia="Calibri" w:hAnsi="Palatino Linotype" w:cs="Arial"/>
          <w:lang w:val="es-ES"/>
        </w:rPr>
        <w:t xml:space="preserve"> para para identificar el objetivo primordial de la Aplicación de denuncia de violaciones a Derechos Humanos de Periodistas, se procedió a ingresar en la página electrónica de la Comisión de Derechos Humanos del Estado de México éste Instituto, </w:t>
      </w:r>
      <w:hyperlink r:id="rId16" w:history="1">
        <w:r w:rsidR="00D56E54" w:rsidRPr="00EE2DA4">
          <w:rPr>
            <w:rStyle w:val="Hipervnculo"/>
            <w:rFonts w:ascii="Palatino Linotype" w:hAnsi="Palatino Linotype"/>
          </w:rPr>
          <w:t>https://www.codhem.org.mx/LocalUser/codhem.org/htm/comunicadosoct19.asp</w:t>
        </w:r>
      </w:hyperlink>
      <w:r w:rsidR="00D56E54" w:rsidRPr="00EE2DA4">
        <w:rPr>
          <w:rFonts w:ascii="Palatino Linotype" w:eastAsia="Calibri" w:hAnsi="Palatino Linotype" w:cs="Arial"/>
          <w:lang w:val="es-ES"/>
        </w:rPr>
        <w:t xml:space="preserve">, </w:t>
      </w:r>
      <w:r w:rsidR="001F7F66" w:rsidRPr="00EE2DA4">
        <w:rPr>
          <w:rFonts w:ascii="Palatino Linotype" w:eastAsia="Calibri" w:hAnsi="Palatino Linotype" w:cs="Arial"/>
          <w:lang w:val="es-ES"/>
        </w:rPr>
        <w:t xml:space="preserve">con el comunicado de prensa número 264 de fecha viernes 25 de octubre de 2019, en el que se aprecia </w:t>
      </w:r>
      <w:r w:rsidR="00D56E54" w:rsidRPr="00EE2DA4">
        <w:rPr>
          <w:rFonts w:ascii="Palatino Linotype" w:eastAsia="Calibri" w:hAnsi="Palatino Linotype" w:cs="Arial"/>
          <w:lang w:val="es-ES"/>
        </w:rPr>
        <w:t>lo siguiente:</w:t>
      </w:r>
    </w:p>
    <w:p w14:paraId="0B3927B8" w14:textId="77777777" w:rsidR="001F7F66" w:rsidRPr="00EE2DA4" w:rsidRDefault="001F7F66" w:rsidP="001F7F66">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p>
    <w:p w14:paraId="44FEF83B" w14:textId="0485D09F" w:rsidR="001F7F66" w:rsidRPr="00EE2DA4" w:rsidRDefault="00D56E54" w:rsidP="001F7F66">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r w:rsidRPr="00EE2DA4">
        <w:rPr>
          <w:noProof/>
          <w:lang w:val="es-MX" w:eastAsia="es-MX"/>
        </w:rPr>
        <w:drawing>
          <wp:inline distT="0" distB="0" distL="0" distR="0" wp14:anchorId="4D45F19D" wp14:editId="732B1151">
            <wp:extent cx="5534025" cy="47815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779" t="3337" r="5664" b="15496"/>
                    <a:stretch/>
                  </pic:blipFill>
                  <pic:spPr bwMode="auto">
                    <a:xfrm>
                      <a:off x="0" y="0"/>
                      <a:ext cx="5534025" cy="4781550"/>
                    </a:xfrm>
                    <a:prstGeom prst="rect">
                      <a:avLst/>
                    </a:prstGeom>
                    <a:ln>
                      <a:noFill/>
                    </a:ln>
                    <a:extLst>
                      <a:ext uri="{53640926-AAD7-44D8-BBD7-CCE9431645EC}">
                        <a14:shadowObscured xmlns:a14="http://schemas.microsoft.com/office/drawing/2010/main"/>
                      </a:ext>
                    </a:extLst>
                  </pic:spPr>
                </pic:pic>
              </a:graphicData>
            </a:graphic>
          </wp:inline>
        </w:drawing>
      </w:r>
    </w:p>
    <w:p w14:paraId="1CA1076E" w14:textId="77777777" w:rsidR="001F7F66" w:rsidRPr="00EE2DA4" w:rsidRDefault="001F7F66" w:rsidP="001F7F66">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p>
    <w:p w14:paraId="76F8E246" w14:textId="36CBCEF8" w:rsidR="0010023A" w:rsidRPr="00EE2DA4" w:rsidRDefault="001F7F66" w:rsidP="00060204">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i/>
          <w:color w:val="000000" w:themeColor="text1"/>
          <w:lang w:val="es-ES"/>
        </w:rPr>
      </w:pPr>
      <w:r w:rsidRPr="00EE2DA4">
        <w:rPr>
          <w:rFonts w:ascii="Palatino Linotype" w:eastAsia="Calibri" w:hAnsi="Palatino Linotype" w:cs="Arial"/>
          <w:lang w:val="es-ES"/>
        </w:rPr>
        <w:t xml:space="preserve">Fue así como se pudo observar que para justificar la creación de la aplicación el </w:t>
      </w:r>
      <w:r w:rsidRPr="00EE2DA4">
        <w:rPr>
          <w:rFonts w:ascii="Palatino Linotype" w:hAnsi="Palatino Linotype"/>
          <w:color w:val="000000" w:themeColor="text1"/>
          <w:shd w:val="clear" w:color="auto" w:fill="FFFFFF"/>
        </w:rPr>
        <w:t xml:space="preserve">ombudsperson de la Comisión </w:t>
      </w:r>
      <w:r w:rsidR="00F95FD1" w:rsidRPr="00EE2DA4">
        <w:rPr>
          <w:rFonts w:ascii="Palatino Linotype" w:hAnsi="Palatino Linotype"/>
          <w:color w:val="000000" w:themeColor="text1"/>
          <w:shd w:val="clear" w:color="auto" w:fill="FFFFFF"/>
        </w:rPr>
        <w:t>(</w:t>
      </w:r>
      <w:r w:rsidRPr="00EE2DA4">
        <w:rPr>
          <w:rFonts w:ascii="Palatino Linotype" w:hAnsi="Palatino Linotype"/>
          <w:color w:val="000000" w:themeColor="text1"/>
          <w:shd w:val="clear" w:color="auto" w:fill="FFFFFF"/>
        </w:rPr>
        <w:t>Jorge Olvera García</w:t>
      </w:r>
      <w:r w:rsidR="00F95FD1" w:rsidRPr="00EE2DA4">
        <w:rPr>
          <w:rFonts w:ascii="Palatino Linotype" w:hAnsi="Palatino Linotype"/>
          <w:color w:val="000000" w:themeColor="text1"/>
          <w:shd w:val="clear" w:color="auto" w:fill="FFFFFF"/>
        </w:rPr>
        <w:t>)</w:t>
      </w:r>
      <w:r w:rsidRPr="00EE2DA4">
        <w:rPr>
          <w:rFonts w:ascii="Palatino Linotype" w:hAnsi="Palatino Linotype"/>
          <w:color w:val="000000" w:themeColor="text1"/>
          <w:shd w:val="clear" w:color="auto" w:fill="FFFFFF"/>
        </w:rPr>
        <w:t xml:space="preserve"> expres</w:t>
      </w:r>
      <w:r w:rsidR="00F95FD1" w:rsidRPr="00EE2DA4">
        <w:rPr>
          <w:rFonts w:ascii="Palatino Linotype" w:hAnsi="Palatino Linotype"/>
          <w:color w:val="000000" w:themeColor="text1"/>
          <w:shd w:val="clear" w:color="auto" w:fill="FFFFFF"/>
        </w:rPr>
        <w:t xml:space="preserve">ó </w:t>
      </w:r>
      <w:r w:rsidRPr="00EE2DA4">
        <w:rPr>
          <w:rFonts w:ascii="Palatino Linotype" w:hAnsi="Palatino Linotype"/>
          <w:color w:val="000000" w:themeColor="text1"/>
          <w:shd w:val="clear" w:color="auto" w:fill="FFFFFF"/>
        </w:rPr>
        <w:t>que “</w:t>
      </w:r>
      <w:r w:rsidRPr="00EE2DA4">
        <w:rPr>
          <w:rFonts w:ascii="Palatino Linotype" w:hAnsi="Palatino Linotype"/>
          <w:i/>
          <w:color w:val="000000" w:themeColor="text1"/>
          <w:shd w:val="clear" w:color="auto" w:fill="FFFFFF"/>
        </w:rPr>
        <w:t xml:space="preserve">La seguridad de las y los periodistas es un tema prioritario, considerando que el entorno en el que desarrollan su actividad se ha visto agravado y afectado por </w:t>
      </w:r>
      <w:r w:rsidRPr="00EE2DA4">
        <w:rPr>
          <w:rFonts w:ascii="Palatino Linotype" w:hAnsi="Palatino Linotype"/>
          <w:b/>
          <w:i/>
          <w:color w:val="000000" w:themeColor="text1"/>
          <w:u w:val="single"/>
          <w:shd w:val="clear" w:color="auto" w:fill="FFFFFF"/>
        </w:rPr>
        <w:t>amenazas, intimidaciones, hostigamiento, detenciones arbitrarias, interposición de acciones legales infundadas, agresiones e incluso asesinatos.</w:t>
      </w:r>
      <w:r w:rsidRPr="00EE2DA4">
        <w:rPr>
          <w:rFonts w:ascii="Palatino Linotype" w:hAnsi="Palatino Linotype"/>
          <w:i/>
          <w:color w:val="000000" w:themeColor="text1"/>
          <w:shd w:val="clear" w:color="auto" w:fill="FFFFFF"/>
        </w:rPr>
        <w:t xml:space="preserve"> Por ello, la CODHEM habilitó una herramienta de apoyo, accesible, amable y sencilla que ya está disponible en el sistema operativo iOS y próximamente en Android, y que sirve como enlace directo entre quienes ejercen dicha profesión y los servidores públicos de la CODHEM, quienes brindarán atención especializada y personalizada”.</w:t>
      </w:r>
    </w:p>
    <w:p w14:paraId="45692959" w14:textId="77777777" w:rsidR="001F7F66" w:rsidRPr="00EE2DA4" w:rsidRDefault="001F7F66" w:rsidP="001F7F66">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p>
    <w:p w14:paraId="3C8EC52D" w14:textId="4D770882" w:rsidR="001F7F66" w:rsidRPr="00EE2DA4" w:rsidRDefault="00CE41BE" w:rsidP="00CE41BE">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i/>
          <w:color w:val="000000" w:themeColor="text1"/>
          <w:lang w:val="es-ES"/>
        </w:rPr>
      </w:pPr>
      <w:r w:rsidRPr="00EE2DA4">
        <w:rPr>
          <w:rFonts w:ascii="Palatino Linotype" w:eastAsia="Calibri" w:hAnsi="Palatino Linotype" w:cs="Arial"/>
          <w:color w:val="000000" w:themeColor="text1"/>
          <w:lang w:val="es-ES"/>
        </w:rPr>
        <w:t xml:space="preserve">Aunado a lo expuesto, cabe agregar que el </w:t>
      </w:r>
      <w:r w:rsidRPr="00EE2DA4">
        <w:rPr>
          <w:rFonts w:ascii="Palatino Linotype" w:eastAsia="Calibri" w:hAnsi="Palatino Linotype" w:cs="Arial"/>
          <w:lang w:val="es-ES"/>
        </w:rPr>
        <w:t xml:space="preserve">Plan de Desarrollo Institucional 2019-2021 comunica que </w:t>
      </w:r>
      <w:r w:rsidRPr="00EE2DA4">
        <w:rPr>
          <w:rFonts w:ascii="Palatino Linotype" w:eastAsia="Calibri" w:hAnsi="Palatino Linotype" w:cs="Arial"/>
          <w:i/>
          <w:color w:val="000000" w:themeColor="text1"/>
          <w:lang w:val="es-ES"/>
        </w:rPr>
        <w:t>“</w:t>
      </w:r>
      <w:r w:rsidR="00F95FD1" w:rsidRPr="00EE2DA4">
        <w:rPr>
          <w:rFonts w:ascii="Palatino Linotype" w:hAnsi="Palatino Linotype"/>
          <w:b/>
          <w:i/>
          <w:u w:val="single"/>
        </w:rPr>
        <w:t>Se han identificado, por tanto, los siguientes grupos en situación de vulnerabilidad:</w:t>
      </w:r>
      <w:r w:rsidR="00F95FD1" w:rsidRPr="00EE2DA4">
        <w:rPr>
          <w:rFonts w:ascii="Palatino Linotype" w:hAnsi="Palatino Linotype"/>
          <w:i/>
        </w:rPr>
        <w:t xml:space="preserve"> personas con discapacidad; personas que viven con VIH/sida; mujeres; niñas, niños y adolescentes; personas adultas mayores; personas con enfermedades crónicas, degenerativas y en etapa terminal; personas que viven con adicciones; personas con orientación y expresiones sexuales diferentes a la heterosexual y diversidad sexogenérica; comunidades y pueblos indígenas; personas migrantes, refugiadas, desplazadas, asiladas o apátridas; población en situación de calle; minorías religiosas; traba</w:t>
      </w:r>
      <w:r w:rsidRPr="00EE2DA4">
        <w:rPr>
          <w:rFonts w:ascii="Palatino Linotype" w:hAnsi="Palatino Linotype"/>
          <w:i/>
        </w:rPr>
        <w:t xml:space="preserve">jadoras del hogar </w:t>
      </w:r>
      <w:r w:rsidRPr="00EE2DA4">
        <w:rPr>
          <w:rFonts w:ascii="Palatino Linotype" w:hAnsi="Palatino Linotype"/>
          <w:b/>
          <w:i/>
          <w:u w:val="single"/>
        </w:rPr>
        <w:t>y periodistas</w:t>
      </w:r>
      <w:r w:rsidRPr="00EE2DA4">
        <w:rPr>
          <w:rFonts w:ascii="Palatino Linotype" w:hAnsi="Palatino Linotype"/>
          <w:b/>
          <w:u w:val="single"/>
        </w:rPr>
        <w:t>”</w:t>
      </w:r>
    </w:p>
    <w:p w14:paraId="7B419C84" w14:textId="77777777" w:rsidR="00F95FD1" w:rsidRPr="00EE2DA4" w:rsidRDefault="00F95FD1" w:rsidP="00E37A0A">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p>
    <w:p w14:paraId="5BE50019" w14:textId="79C25411" w:rsidR="00F95FD1" w:rsidRPr="00EE2DA4" w:rsidRDefault="00CE41BE" w:rsidP="00060204">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i/>
          <w:color w:val="000000" w:themeColor="text1"/>
          <w:lang w:val="es-ES"/>
        </w:rPr>
      </w:pPr>
      <w:r w:rsidRPr="00EE2DA4">
        <w:rPr>
          <w:rFonts w:ascii="Palatino Linotype" w:eastAsia="Calibri" w:hAnsi="Palatino Linotype" w:cs="Arial"/>
          <w:color w:val="000000" w:themeColor="text1"/>
          <w:lang w:val="es-ES"/>
        </w:rPr>
        <w:t xml:space="preserve">En ese sentido el </w:t>
      </w:r>
      <w:r w:rsidRPr="00EE2DA4">
        <w:rPr>
          <w:rFonts w:ascii="Palatino Linotype" w:eastAsia="Calibri" w:hAnsi="Palatino Linotype" w:cs="Arial"/>
          <w:lang w:val="es-ES"/>
        </w:rPr>
        <w:t>Plan de Desarrollo Institucional al referirse a dicha profesión indica “</w:t>
      </w:r>
      <w:r w:rsidR="00F95FD1" w:rsidRPr="00EE2DA4">
        <w:rPr>
          <w:rFonts w:ascii="Palatino Linotype" w:hAnsi="Palatino Linotype"/>
          <w:i/>
        </w:rPr>
        <w:t xml:space="preserve">Periodistas y comunicadores. El sistema de las Naciones Unidas ha </w:t>
      </w:r>
      <w:r w:rsidR="00F95FD1" w:rsidRPr="00EE2DA4">
        <w:rPr>
          <w:rFonts w:ascii="Palatino Linotype" w:hAnsi="Palatino Linotype"/>
          <w:i/>
        </w:rPr>
        <w:lastRenderedPageBreak/>
        <w:t xml:space="preserve">identificado que el defender los derechos humanos de los periodistas es un enorme reto para el Estado, toda vez que los periodistas y comunicadores realizan un valioso aporte al fortalecimiento de un Estado democrático, desempeñan su labor en un contexto adverso, </w:t>
      </w:r>
      <w:r w:rsidR="00F95FD1" w:rsidRPr="00EE2DA4">
        <w:rPr>
          <w:rFonts w:ascii="Palatino Linotype" w:hAnsi="Palatino Linotype"/>
          <w:b/>
          <w:i/>
          <w:u w:val="single"/>
        </w:rPr>
        <w:t>no exento de riesgos</w:t>
      </w:r>
      <w:r w:rsidR="00F95FD1" w:rsidRPr="00EE2DA4">
        <w:rPr>
          <w:rFonts w:ascii="Palatino Linotype" w:hAnsi="Palatino Linotype"/>
          <w:i/>
        </w:rPr>
        <w:t xml:space="preserve"> y en el que el andamiaje institucional, particularmente a nivel local, no ha logrado aún generar las condiciones adecuadas para garantizar su pr</w:t>
      </w:r>
      <w:r w:rsidRPr="00EE2DA4">
        <w:rPr>
          <w:rFonts w:ascii="Palatino Linotype" w:hAnsi="Palatino Linotype"/>
          <w:i/>
        </w:rPr>
        <w:t>otección y potenciar su trabajo”.</w:t>
      </w:r>
    </w:p>
    <w:p w14:paraId="70C15E03" w14:textId="77777777" w:rsidR="00CE41BE" w:rsidRPr="00EE2DA4" w:rsidRDefault="00CE41BE" w:rsidP="00E37A0A">
      <w:pPr>
        <w:pStyle w:val="Prrafodelista"/>
        <w:widowControl w:val="0"/>
        <w:autoSpaceDE w:val="0"/>
        <w:autoSpaceDN w:val="0"/>
        <w:adjustRightInd w:val="0"/>
        <w:spacing w:before="200" w:after="200" w:line="360" w:lineRule="auto"/>
        <w:ind w:left="0"/>
        <w:jc w:val="both"/>
        <w:rPr>
          <w:rFonts w:ascii="Palatino Linotype" w:eastAsia="Calibri" w:hAnsi="Palatino Linotype" w:cs="Arial"/>
          <w:lang w:val="es-ES"/>
        </w:rPr>
      </w:pPr>
    </w:p>
    <w:p w14:paraId="2F1FFA6D" w14:textId="49C4F887" w:rsidR="00CE41BE" w:rsidRPr="00EE2DA4" w:rsidRDefault="00CE41BE" w:rsidP="00060204">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color w:val="000000" w:themeColor="text1"/>
          <w:lang w:val="es-ES"/>
        </w:rPr>
      </w:pPr>
      <w:r w:rsidRPr="00EE2DA4">
        <w:rPr>
          <w:rFonts w:ascii="Palatino Linotype" w:eastAsia="Calibri" w:hAnsi="Palatino Linotype" w:cs="Arial"/>
          <w:color w:val="000000" w:themeColor="text1"/>
          <w:lang w:val="es-ES"/>
        </w:rPr>
        <w:t xml:space="preserve">Por lo que </w:t>
      </w:r>
      <w:r w:rsidR="00C247B3" w:rsidRPr="00EE2DA4">
        <w:rPr>
          <w:rFonts w:ascii="Palatino Linotype" w:eastAsia="Calibri" w:hAnsi="Palatino Linotype" w:cs="Arial"/>
          <w:color w:val="000000" w:themeColor="text1"/>
          <w:lang w:val="es-ES"/>
        </w:rPr>
        <w:t>al advertirse que</w:t>
      </w:r>
      <w:r w:rsidR="00A27FBE" w:rsidRPr="00EE2DA4">
        <w:rPr>
          <w:rFonts w:ascii="Palatino Linotype" w:eastAsia="Calibri" w:hAnsi="Palatino Linotype" w:cs="Arial"/>
          <w:color w:val="000000" w:themeColor="text1"/>
          <w:lang w:val="es-ES"/>
        </w:rPr>
        <w:t xml:space="preserve"> </w:t>
      </w:r>
      <w:r w:rsidR="00A27FBE" w:rsidRPr="00EE2DA4">
        <w:rPr>
          <w:rFonts w:ascii="Palatino Linotype" w:hAnsi="Palatino Linotype"/>
        </w:rPr>
        <w:t xml:space="preserve">al existir riesgos inherentes a los datos personales a tratar, la operación de la aplicación electrónica implica un tratamiento intensivo que deberá ser valorado en la </w:t>
      </w:r>
      <w:r w:rsidR="00A27FBE" w:rsidRPr="00EE2DA4">
        <w:rPr>
          <w:rFonts w:ascii="Palatino Linotype" w:hAnsi="Palatino Linotype"/>
          <w:sz w:val="22"/>
          <w:szCs w:val="22"/>
        </w:rPr>
        <w:t>Evaluación de Impacto en la Protección de Datos Personales:</w:t>
      </w:r>
    </w:p>
    <w:p w14:paraId="2F51FEF3" w14:textId="77777777" w:rsidR="00C247B3" w:rsidRPr="00EE2DA4" w:rsidRDefault="00C247B3" w:rsidP="00C247B3">
      <w:pPr>
        <w:pStyle w:val="Prrafodelista"/>
        <w:widowControl w:val="0"/>
        <w:autoSpaceDE w:val="0"/>
        <w:autoSpaceDN w:val="0"/>
        <w:adjustRightInd w:val="0"/>
        <w:spacing w:before="200" w:after="200" w:line="360" w:lineRule="auto"/>
        <w:ind w:left="0"/>
        <w:jc w:val="both"/>
        <w:rPr>
          <w:rFonts w:ascii="Palatino Linotype" w:eastAsia="Calibri" w:hAnsi="Palatino Linotype" w:cs="Arial"/>
          <w:color w:val="000000" w:themeColor="text1"/>
          <w:lang w:val="es-ES"/>
        </w:rPr>
      </w:pPr>
    </w:p>
    <w:p w14:paraId="45D1F44E" w14:textId="7B172699" w:rsidR="00C247B3" w:rsidRPr="00EE2DA4" w:rsidRDefault="00D83FC0" w:rsidP="00C247B3">
      <w:pPr>
        <w:pStyle w:val="Prrafodelista"/>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Artículo 70. Cuando el responsable pretenda </w:t>
      </w:r>
      <w:r w:rsidRPr="00EE2DA4">
        <w:rPr>
          <w:rFonts w:ascii="Palatino Linotype" w:hAnsi="Palatino Linotype"/>
          <w:b/>
          <w:i/>
          <w:sz w:val="22"/>
          <w:szCs w:val="22"/>
          <w:u w:val="single"/>
        </w:rPr>
        <w:t>poner en operación</w:t>
      </w:r>
      <w:r w:rsidRPr="00EE2DA4">
        <w:rPr>
          <w:rFonts w:ascii="Palatino Linotype" w:hAnsi="Palatino Linotype"/>
          <w:i/>
          <w:sz w:val="22"/>
          <w:szCs w:val="22"/>
        </w:rPr>
        <w:t xml:space="preserve"> o modificar políticas públicas, sistemas o plataformas informáticas, </w:t>
      </w:r>
      <w:r w:rsidRPr="00EE2DA4">
        <w:rPr>
          <w:rFonts w:ascii="Palatino Linotype" w:hAnsi="Palatino Linotype"/>
          <w:b/>
          <w:i/>
          <w:sz w:val="22"/>
          <w:szCs w:val="22"/>
          <w:u w:val="single"/>
        </w:rPr>
        <w:t>aplicaciones electrónicas o cualquier otra tecnología</w:t>
      </w:r>
      <w:r w:rsidRPr="00EE2DA4">
        <w:rPr>
          <w:rFonts w:ascii="Palatino Linotype" w:hAnsi="Palatino Linotype"/>
          <w:i/>
          <w:sz w:val="22"/>
          <w:szCs w:val="22"/>
        </w:rPr>
        <w:t xml:space="preserve"> que a su juicio y de conformidad con esta </w:t>
      </w:r>
      <w:r w:rsidRPr="00EE2DA4">
        <w:rPr>
          <w:rFonts w:ascii="Palatino Linotype" w:hAnsi="Palatino Linotype"/>
          <w:b/>
          <w:i/>
          <w:sz w:val="22"/>
          <w:szCs w:val="22"/>
          <w:u w:val="single"/>
        </w:rPr>
        <w:t>Ley impliquen el tratamiento intensivo o relevante de datos personales, deberá realizar una Evaluación de Impacto en la Protección de Datos Personales y presentarla ante el Instituto</w:t>
      </w:r>
      <w:r w:rsidRPr="00EE2DA4">
        <w:rPr>
          <w:rFonts w:ascii="Palatino Linotype" w:hAnsi="Palatino Linotype"/>
          <w:i/>
          <w:sz w:val="22"/>
          <w:szCs w:val="22"/>
        </w:rPr>
        <w:t xml:space="preserve">, quien podrá emitir recomendaciones no vinculantes especializadas en la materia de protección de datos personales. El contenido de la evaluación de impacto a la protección de datos personales deberá determinarse por el Instituto, </w:t>
      </w:r>
      <w:r w:rsidRPr="00EE2DA4">
        <w:rPr>
          <w:rFonts w:ascii="Palatino Linotype" w:hAnsi="Palatino Linotype"/>
          <w:b/>
          <w:i/>
          <w:sz w:val="22"/>
          <w:szCs w:val="22"/>
          <w:u w:val="single"/>
        </w:rPr>
        <w:t>de conformidad con los criterios que para tal efecto emita el Sistema Nacional</w:t>
      </w:r>
      <w:r w:rsidRPr="00EE2DA4">
        <w:rPr>
          <w:rFonts w:ascii="Palatino Linotype" w:hAnsi="Palatino Linotype"/>
          <w:i/>
          <w:sz w:val="22"/>
          <w:szCs w:val="22"/>
        </w:rPr>
        <w:t>. Supuestos que Implican Tratamiento Intensivo o Relevante de</w:t>
      </w:r>
      <w:r w:rsidR="00C247B3" w:rsidRPr="00EE2DA4">
        <w:rPr>
          <w:rFonts w:ascii="Palatino Linotype" w:hAnsi="Palatino Linotype"/>
          <w:i/>
          <w:sz w:val="22"/>
          <w:szCs w:val="22"/>
        </w:rPr>
        <w:t xml:space="preserve"> Protección de Datos Personales.</w:t>
      </w:r>
    </w:p>
    <w:p w14:paraId="247F289D" w14:textId="77777777" w:rsidR="00A27FBE" w:rsidRPr="00EE2DA4" w:rsidRDefault="00A27FBE" w:rsidP="00C247B3">
      <w:pPr>
        <w:pStyle w:val="Prrafodelista"/>
        <w:spacing w:line="360" w:lineRule="auto"/>
        <w:ind w:left="567" w:right="567"/>
        <w:jc w:val="both"/>
        <w:rPr>
          <w:rFonts w:ascii="Palatino Linotype" w:hAnsi="Palatino Linotype"/>
          <w:i/>
          <w:sz w:val="22"/>
          <w:szCs w:val="22"/>
        </w:rPr>
      </w:pPr>
    </w:p>
    <w:p w14:paraId="1AF464E6" w14:textId="77777777" w:rsidR="00A27FBE" w:rsidRPr="00EE2DA4" w:rsidRDefault="00D83FC0" w:rsidP="00A27FBE">
      <w:pPr>
        <w:pStyle w:val="Prrafodelista"/>
        <w:spacing w:line="360" w:lineRule="auto"/>
        <w:ind w:left="567"/>
        <w:jc w:val="both"/>
        <w:rPr>
          <w:rFonts w:ascii="Palatino Linotype" w:hAnsi="Palatino Linotype"/>
          <w:i/>
          <w:sz w:val="22"/>
          <w:szCs w:val="22"/>
        </w:rPr>
      </w:pPr>
      <w:r w:rsidRPr="00EE2DA4">
        <w:rPr>
          <w:rFonts w:ascii="Palatino Linotype" w:hAnsi="Palatino Linotype"/>
          <w:i/>
          <w:sz w:val="22"/>
          <w:szCs w:val="22"/>
        </w:rPr>
        <w:t xml:space="preserve">Artículo 71. Para efectos de esta Ley se considerará que se </w:t>
      </w:r>
      <w:r w:rsidRPr="00EE2DA4">
        <w:rPr>
          <w:rFonts w:ascii="Palatino Linotype" w:hAnsi="Palatino Linotype"/>
          <w:b/>
          <w:i/>
          <w:sz w:val="22"/>
          <w:szCs w:val="22"/>
          <w:u w:val="single"/>
        </w:rPr>
        <w:t>está en presencia de un tratamiento intensivo o relevante de datos personales</w:t>
      </w:r>
      <w:r w:rsidRPr="00EE2DA4">
        <w:rPr>
          <w:rFonts w:ascii="Palatino Linotype" w:hAnsi="Palatino Linotype"/>
          <w:i/>
          <w:sz w:val="22"/>
          <w:szCs w:val="22"/>
        </w:rPr>
        <w:t xml:space="preserve"> cuando: </w:t>
      </w:r>
    </w:p>
    <w:p w14:paraId="0613644D" w14:textId="2CCF91EA" w:rsidR="00D83FC0" w:rsidRPr="00EE2DA4" w:rsidRDefault="00D83FC0" w:rsidP="00C247B3">
      <w:pPr>
        <w:pStyle w:val="Prrafodelista"/>
        <w:spacing w:line="360" w:lineRule="auto"/>
        <w:jc w:val="both"/>
        <w:rPr>
          <w:rFonts w:ascii="Palatino Linotype" w:hAnsi="Palatino Linotype"/>
          <w:b/>
          <w:i/>
          <w:sz w:val="22"/>
          <w:szCs w:val="22"/>
          <w:u w:val="single"/>
        </w:rPr>
      </w:pPr>
      <w:r w:rsidRPr="00EE2DA4">
        <w:rPr>
          <w:rFonts w:ascii="Palatino Linotype" w:hAnsi="Palatino Linotype"/>
          <w:b/>
          <w:i/>
          <w:sz w:val="22"/>
          <w:szCs w:val="22"/>
          <w:u w:val="single"/>
        </w:rPr>
        <w:lastRenderedPageBreak/>
        <w:t>I. Existan riesgos inherentes a los datos personales a tratar.</w:t>
      </w:r>
    </w:p>
    <w:p w14:paraId="2B10CCD8" w14:textId="77777777" w:rsidR="00A27FBE" w:rsidRPr="00EE2DA4" w:rsidRDefault="00A27FBE" w:rsidP="00C247B3">
      <w:pPr>
        <w:pStyle w:val="Prrafodelista"/>
        <w:spacing w:line="360" w:lineRule="auto"/>
        <w:jc w:val="both"/>
        <w:rPr>
          <w:rFonts w:ascii="Palatino Linotype" w:eastAsia="Calibri" w:hAnsi="Palatino Linotype" w:cs="Arial"/>
          <w:b/>
          <w:i/>
          <w:color w:val="000000" w:themeColor="text1"/>
          <w:sz w:val="22"/>
          <w:szCs w:val="22"/>
          <w:u w:val="single"/>
          <w:lang w:val="es-ES"/>
        </w:rPr>
      </w:pPr>
    </w:p>
    <w:p w14:paraId="2190B912" w14:textId="0DE0F91F" w:rsidR="00D83FC0" w:rsidRPr="00EE2DA4" w:rsidRDefault="008F1A5F" w:rsidP="00060204">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color w:val="000000" w:themeColor="text1"/>
          <w:lang w:val="es-ES"/>
        </w:rPr>
      </w:pPr>
      <w:r w:rsidRPr="00EE2DA4">
        <w:rPr>
          <w:rFonts w:ascii="Palatino Linotype" w:eastAsia="Calibri" w:hAnsi="Palatino Linotype" w:cs="Arial"/>
          <w:color w:val="000000" w:themeColor="text1"/>
          <w:lang w:val="es-ES"/>
        </w:rPr>
        <w:t>Es oportuno precisar también que el SUJETO OBLIGADO tanto en su respuesta como en su informe justificado refiere que “</w:t>
      </w:r>
      <w:r w:rsidRPr="00EE2DA4">
        <w:rPr>
          <w:rFonts w:ascii="Palatino Linotype" w:hAnsi="Palatino Linotype"/>
          <w:i/>
          <w:color w:val="000000"/>
        </w:rPr>
        <w:t xml:space="preserve">la aplicación </w:t>
      </w:r>
      <w:r w:rsidRPr="00EE2DA4">
        <w:rPr>
          <w:rFonts w:ascii="Palatino Linotype" w:hAnsi="Palatino Linotype"/>
          <w:b/>
          <w:i/>
          <w:color w:val="000000"/>
          <w:u w:val="single"/>
        </w:rPr>
        <w:t xml:space="preserve">fue puesta en marcha en fecha 21 de noviembre del año 2017 </w:t>
      </w:r>
      <w:r w:rsidRPr="00EE2DA4">
        <w:rPr>
          <w:rFonts w:ascii="Palatino Linotype" w:hAnsi="Palatino Linotype"/>
          <w:i/>
          <w:color w:val="000000"/>
        </w:rPr>
        <w:t xml:space="preserve">y las Disposiciones administrativas de carácter general para la elaboración, presentación y valoración de evaluaciones de impacto en la protección de datos personales, emitidas por el Sistema Nacional de Transparencia, Acceso a la Información Pública y Protección de Datos Personales, </w:t>
      </w:r>
      <w:r w:rsidRPr="00EE2DA4">
        <w:rPr>
          <w:rFonts w:ascii="Palatino Linotype" w:hAnsi="Palatino Linotype"/>
          <w:b/>
          <w:i/>
          <w:color w:val="000000"/>
          <w:u w:val="single"/>
        </w:rPr>
        <w:t>fueron publicadas en el Diario Oficial de la Federación en fecha 23 de enero de 2018, por lo que al momento de lanzar la aplicación no se contaba con dichas disposiciones y las mismas no hacen referencia sobre las aplicaciones que ya estuvieran en funcionamiento</w:t>
      </w:r>
      <w:r w:rsidRPr="00EE2DA4">
        <w:rPr>
          <w:rFonts w:ascii="Palatino Linotype" w:eastAsia="Calibri" w:hAnsi="Palatino Linotype" w:cs="Arial"/>
          <w:color w:val="000000" w:themeColor="text1"/>
          <w:lang w:val="es-ES"/>
        </w:rPr>
        <w:t>”.</w:t>
      </w:r>
    </w:p>
    <w:p w14:paraId="1FBB3724" w14:textId="77777777" w:rsidR="00A21733" w:rsidRPr="00EE2DA4" w:rsidRDefault="00A21733" w:rsidP="00A21733">
      <w:pPr>
        <w:pStyle w:val="Prrafodelista"/>
        <w:widowControl w:val="0"/>
        <w:autoSpaceDE w:val="0"/>
        <w:autoSpaceDN w:val="0"/>
        <w:adjustRightInd w:val="0"/>
        <w:spacing w:before="200" w:after="200" w:line="360" w:lineRule="auto"/>
        <w:ind w:left="0"/>
        <w:jc w:val="both"/>
        <w:rPr>
          <w:rFonts w:ascii="Palatino Linotype" w:eastAsia="Calibri" w:hAnsi="Palatino Linotype" w:cs="Arial"/>
          <w:color w:val="000000" w:themeColor="text1"/>
          <w:lang w:val="es-ES"/>
        </w:rPr>
      </w:pPr>
    </w:p>
    <w:p w14:paraId="535C255E" w14:textId="386C0381" w:rsidR="00F851E7" w:rsidRPr="00EE2DA4" w:rsidRDefault="008F1A5F" w:rsidP="00A07359">
      <w:pPr>
        <w:pStyle w:val="Prrafodelista"/>
        <w:widowControl w:val="0"/>
        <w:numPr>
          <w:ilvl w:val="0"/>
          <w:numId w:val="1"/>
        </w:numPr>
        <w:autoSpaceDE w:val="0"/>
        <w:autoSpaceDN w:val="0"/>
        <w:adjustRightInd w:val="0"/>
        <w:spacing w:before="200" w:after="200" w:line="360" w:lineRule="auto"/>
        <w:ind w:left="0" w:firstLine="0"/>
        <w:jc w:val="both"/>
        <w:rPr>
          <w:rFonts w:ascii="Palatino Linotype" w:eastAsia="Calibri" w:hAnsi="Palatino Linotype" w:cs="Arial"/>
          <w:color w:val="000000" w:themeColor="text1"/>
          <w:lang w:val="es-ES"/>
        </w:rPr>
      </w:pPr>
      <w:r w:rsidRPr="00EE2DA4">
        <w:rPr>
          <w:rFonts w:ascii="Palatino Linotype" w:eastAsia="Calibri" w:hAnsi="Palatino Linotype" w:cs="Arial"/>
          <w:color w:val="000000" w:themeColor="text1"/>
          <w:lang w:val="es-ES"/>
        </w:rPr>
        <w:t xml:space="preserve">En esa tesitura, si bien es cierto que pudiera no haberse generado una evaluación de impacto </w:t>
      </w:r>
      <w:r w:rsidRPr="00EE2DA4">
        <w:rPr>
          <w:rFonts w:ascii="Palatino Linotype" w:eastAsia="Calibri" w:hAnsi="Palatino Linotype" w:cs="Arial"/>
          <w:b/>
          <w:color w:val="000000" w:themeColor="text1"/>
          <w:u w:val="single"/>
          <w:lang w:val="es-ES"/>
        </w:rPr>
        <w:t>en el año 2017</w:t>
      </w:r>
      <w:r w:rsidRPr="00EE2DA4">
        <w:rPr>
          <w:rFonts w:ascii="Palatino Linotype" w:eastAsia="Calibri" w:hAnsi="Palatino Linotype" w:cs="Arial"/>
          <w:color w:val="000000" w:themeColor="text1"/>
          <w:lang w:val="es-ES"/>
        </w:rPr>
        <w:t xml:space="preserve"> por no contar con los criterios emitidos por el Sistema Nacional, </w:t>
      </w:r>
      <w:r w:rsidRPr="00EE2DA4">
        <w:rPr>
          <w:rFonts w:ascii="Palatino Linotype" w:eastAsia="Calibri" w:hAnsi="Palatino Linotype" w:cs="Arial"/>
          <w:b/>
          <w:color w:val="000000" w:themeColor="text1"/>
          <w:u w:val="single"/>
          <w:lang w:val="es-ES"/>
        </w:rPr>
        <w:t>también lo es que</w:t>
      </w:r>
      <w:r w:rsidRPr="00EE2DA4">
        <w:rPr>
          <w:rFonts w:ascii="Palatino Linotype" w:eastAsia="Calibri" w:hAnsi="Palatino Linotype" w:cs="Arial"/>
          <w:color w:val="000000" w:themeColor="text1"/>
          <w:lang w:val="es-ES"/>
        </w:rPr>
        <w:t xml:space="preserve"> dicha aplicación se encuentra vigente y continúa operando, por lo que </w:t>
      </w:r>
      <w:r w:rsidR="00A21733" w:rsidRPr="00EE2DA4">
        <w:rPr>
          <w:rFonts w:ascii="Palatino Linotype" w:eastAsia="Calibri" w:hAnsi="Palatino Linotype" w:cs="Arial"/>
          <w:color w:val="000000" w:themeColor="text1"/>
          <w:lang w:val="es-ES"/>
        </w:rPr>
        <w:t xml:space="preserve">en el año 2018, una vez publicadas y en vigor las Disposiciones administrativas emitidas por el Sistema Nacional de Transparencia, Acceso a la Información Pública y Protección de Datos Personales, el SUJETO OBLIGADO debió realizar </w:t>
      </w:r>
      <w:r w:rsidR="00A07359" w:rsidRPr="00EE2DA4">
        <w:rPr>
          <w:rFonts w:ascii="Palatino Linotype" w:eastAsia="Calibri" w:hAnsi="Palatino Linotype" w:cs="Arial"/>
          <w:color w:val="000000" w:themeColor="text1"/>
          <w:lang w:val="es-ES"/>
        </w:rPr>
        <w:t>un documento que implicara la</w:t>
      </w:r>
      <w:r w:rsidR="00F851E7" w:rsidRPr="00EE2DA4">
        <w:rPr>
          <w:rFonts w:ascii="Palatino Linotype" w:eastAsia="Calibri" w:hAnsi="Palatino Linotype" w:cs="Arial"/>
          <w:color w:val="000000" w:themeColor="text1"/>
          <w:lang w:val="es-ES"/>
        </w:rPr>
        <w:t xml:space="preserve"> valoración de impactos reales respecto de un tratamiento intensivo o relevante de datos </w:t>
      </w:r>
      <w:r w:rsidR="00A07359" w:rsidRPr="00EE2DA4">
        <w:rPr>
          <w:rFonts w:ascii="Palatino Linotype" w:eastAsia="Calibri" w:hAnsi="Palatino Linotype" w:cs="Arial"/>
          <w:color w:val="000000" w:themeColor="text1"/>
          <w:lang w:val="es-ES"/>
        </w:rPr>
        <w:t>personales denominado “</w:t>
      </w:r>
      <w:r w:rsidR="00A07359" w:rsidRPr="00EE2DA4">
        <w:rPr>
          <w:rFonts w:ascii="Palatino Linotype" w:hAnsi="Palatino Linotype"/>
          <w:b/>
          <w:i/>
        </w:rPr>
        <w:t>Evaluación de impacto en la protección de datos personales</w:t>
      </w:r>
      <w:r w:rsidR="00A07359" w:rsidRPr="00EE2DA4">
        <w:rPr>
          <w:rFonts w:ascii="Palatino Linotype" w:eastAsia="Calibri" w:hAnsi="Palatino Linotype" w:cs="Arial"/>
          <w:color w:val="000000" w:themeColor="text1"/>
          <w:lang w:val="es-ES"/>
        </w:rPr>
        <w:t>”</w:t>
      </w:r>
      <w:r w:rsidR="00F851E7" w:rsidRPr="00EE2DA4">
        <w:rPr>
          <w:rFonts w:ascii="Palatino Linotype" w:eastAsia="Calibri" w:hAnsi="Palatino Linotype" w:cs="Arial"/>
          <w:color w:val="000000" w:themeColor="text1"/>
          <w:lang w:val="es-ES"/>
        </w:rPr>
        <w:t xml:space="preserve"> a efecto de identificar y mitigar </w:t>
      </w:r>
      <w:r w:rsidR="00F851E7" w:rsidRPr="00EE2DA4">
        <w:rPr>
          <w:rFonts w:ascii="Palatino Linotype" w:eastAsia="Calibri" w:hAnsi="Palatino Linotype" w:cs="Arial"/>
          <w:b/>
          <w:color w:val="000000" w:themeColor="text1"/>
          <w:u w:val="single"/>
          <w:lang w:val="es-ES"/>
        </w:rPr>
        <w:t>posibles riesgos</w:t>
      </w:r>
      <w:r w:rsidR="00F851E7" w:rsidRPr="00EE2DA4">
        <w:rPr>
          <w:rFonts w:ascii="Palatino Linotype" w:eastAsia="Calibri" w:hAnsi="Palatino Linotype" w:cs="Arial"/>
          <w:color w:val="000000" w:themeColor="text1"/>
          <w:lang w:val="es-ES"/>
        </w:rPr>
        <w:t xml:space="preserve">, en cumplimiento a los artículos 3, fracción XVI </w:t>
      </w:r>
      <w:r w:rsidR="00A21733" w:rsidRPr="00EE2DA4">
        <w:rPr>
          <w:rFonts w:ascii="Palatino Linotype" w:eastAsia="Calibri" w:hAnsi="Palatino Linotype" w:cs="Arial"/>
          <w:color w:val="000000" w:themeColor="text1"/>
          <w:lang w:val="es-ES"/>
        </w:rPr>
        <w:t xml:space="preserve">y 74 </w:t>
      </w:r>
      <w:r w:rsidR="00F851E7" w:rsidRPr="00EE2DA4">
        <w:rPr>
          <w:rFonts w:ascii="Palatino Linotype" w:eastAsia="Calibri" w:hAnsi="Palatino Linotype" w:cs="Arial"/>
          <w:color w:val="000000" w:themeColor="text1"/>
          <w:lang w:val="es-ES"/>
        </w:rPr>
        <w:t xml:space="preserve">de la </w:t>
      </w:r>
      <w:r w:rsidR="00A07359" w:rsidRPr="00EE2DA4">
        <w:rPr>
          <w:rFonts w:ascii="Palatino Linotype" w:hAnsi="Palatino Linotype"/>
          <w:b/>
        </w:rPr>
        <w:t xml:space="preserve">Ley General de Protección de Datos Personales en Posesión de </w:t>
      </w:r>
      <w:r w:rsidR="00A07359" w:rsidRPr="00EE2DA4">
        <w:rPr>
          <w:rFonts w:ascii="Palatino Linotype" w:hAnsi="Palatino Linotype"/>
          <w:b/>
        </w:rPr>
        <w:lastRenderedPageBreak/>
        <w:t>Sujetos Obligados</w:t>
      </w:r>
      <w:r w:rsidR="00A21733" w:rsidRPr="00EE2DA4">
        <w:rPr>
          <w:rFonts w:ascii="Palatino Linotype" w:eastAsia="Calibri" w:hAnsi="Palatino Linotype" w:cs="Arial"/>
          <w:color w:val="000000" w:themeColor="text1"/>
          <w:lang w:val="es-ES"/>
        </w:rPr>
        <w:t xml:space="preserve">, </w:t>
      </w:r>
      <w:r w:rsidR="000D4539" w:rsidRPr="00EE2DA4">
        <w:rPr>
          <w:rFonts w:ascii="Palatino Linotype" w:eastAsia="Calibri" w:hAnsi="Palatino Linotype" w:cs="Arial"/>
          <w:color w:val="000000" w:themeColor="text1"/>
          <w:lang w:val="es-ES"/>
        </w:rPr>
        <w:t xml:space="preserve">los artículos </w:t>
      </w:r>
      <w:r w:rsidR="00A21733" w:rsidRPr="00EE2DA4">
        <w:rPr>
          <w:rFonts w:ascii="Palatino Linotype" w:eastAsia="Calibri" w:hAnsi="Palatino Linotype" w:cs="Arial"/>
          <w:color w:val="000000" w:themeColor="text1"/>
          <w:lang w:val="es-ES"/>
        </w:rPr>
        <w:t>4 fracción XX</w:t>
      </w:r>
      <w:r w:rsidR="000D4539" w:rsidRPr="00EE2DA4">
        <w:rPr>
          <w:rFonts w:ascii="Palatino Linotype" w:eastAsia="Calibri" w:hAnsi="Palatino Linotype" w:cs="Arial"/>
          <w:color w:val="000000" w:themeColor="text1"/>
          <w:lang w:val="es-ES"/>
        </w:rPr>
        <w:t>, y 70 a 75</w:t>
      </w:r>
      <w:r w:rsidR="00A21733" w:rsidRPr="00EE2DA4">
        <w:rPr>
          <w:rFonts w:ascii="Palatino Linotype" w:eastAsia="Calibri" w:hAnsi="Palatino Linotype" w:cs="Arial"/>
          <w:color w:val="000000" w:themeColor="text1"/>
          <w:lang w:val="es-ES"/>
        </w:rPr>
        <w:t xml:space="preserve"> de la </w:t>
      </w:r>
      <w:r w:rsidR="00A07359" w:rsidRPr="00EE2DA4">
        <w:rPr>
          <w:rFonts w:ascii="Palatino Linotype" w:hAnsi="Palatino Linotype"/>
          <w:b/>
        </w:rPr>
        <w:t>Ley de Protección de Datos Personales en Posesión de Sujetos Obligados del Estado de México y Municipios</w:t>
      </w:r>
      <w:r w:rsidR="00A07359" w:rsidRPr="00EE2DA4">
        <w:rPr>
          <w:rFonts w:ascii="Palatino Linotype" w:eastAsia="Calibri" w:hAnsi="Palatino Linotype" w:cs="Arial"/>
          <w:color w:val="000000" w:themeColor="text1"/>
          <w:lang w:val="es-ES"/>
        </w:rPr>
        <w:t>, as</w:t>
      </w:r>
      <w:r w:rsidR="000D4539" w:rsidRPr="00EE2DA4">
        <w:rPr>
          <w:rFonts w:ascii="Palatino Linotype" w:eastAsia="Calibri" w:hAnsi="Palatino Linotype" w:cs="Arial"/>
          <w:color w:val="000000" w:themeColor="text1"/>
          <w:lang w:val="es-ES"/>
        </w:rPr>
        <w:t>í como</w:t>
      </w:r>
      <w:r w:rsidR="00A21733" w:rsidRPr="00EE2DA4">
        <w:rPr>
          <w:rFonts w:ascii="Palatino Linotype" w:eastAsia="Calibri" w:hAnsi="Palatino Linotype" w:cs="Arial"/>
          <w:color w:val="000000" w:themeColor="text1"/>
          <w:lang w:val="es-ES"/>
        </w:rPr>
        <w:t xml:space="preserve"> </w:t>
      </w:r>
      <w:r w:rsidR="00A07359" w:rsidRPr="00EE2DA4">
        <w:rPr>
          <w:rFonts w:ascii="Palatino Linotype" w:eastAsia="Calibri" w:hAnsi="Palatino Linotype" w:cs="Arial"/>
          <w:color w:val="000000" w:themeColor="text1"/>
          <w:lang w:val="es-ES"/>
        </w:rPr>
        <w:t xml:space="preserve">las </w:t>
      </w:r>
      <w:r w:rsidR="00A07359" w:rsidRPr="00EE2DA4">
        <w:rPr>
          <w:rFonts w:ascii="Palatino Linotype" w:eastAsia="Calibri" w:hAnsi="Palatino Linotype" w:cs="Arial"/>
          <w:b/>
          <w:color w:val="000000" w:themeColor="text1"/>
          <w:lang w:val="es-ES"/>
        </w:rPr>
        <w:t>Disposiciones administrativas de carácter general para la elaboración,</w:t>
      </w:r>
      <w:r w:rsidR="000D4539" w:rsidRPr="00EE2DA4">
        <w:rPr>
          <w:rFonts w:ascii="Palatino Linotype" w:eastAsia="Calibri" w:hAnsi="Palatino Linotype" w:cs="Arial"/>
          <w:b/>
          <w:color w:val="000000" w:themeColor="text1"/>
          <w:lang w:val="es-ES"/>
        </w:rPr>
        <w:t xml:space="preserve"> </w:t>
      </w:r>
      <w:r w:rsidR="00A07359" w:rsidRPr="00EE2DA4">
        <w:rPr>
          <w:rFonts w:ascii="Palatino Linotype" w:eastAsia="Calibri" w:hAnsi="Palatino Linotype" w:cs="Arial"/>
          <w:b/>
          <w:color w:val="000000" w:themeColor="text1"/>
          <w:lang w:val="es-ES"/>
        </w:rPr>
        <w:t>presentación y valoración de evaluaciones de impacto en la protección de datos personales</w:t>
      </w:r>
      <w:r w:rsidR="000D4539" w:rsidRPr="00EE2DA4">
        <w:rPr>
          <w:rFonts w:ascii="Palatino Linotype" w:eastAsia="Calibri" w:hAnsi="Palatino Linotype" w:cs="Arial"/>
          <w:color w:val="000000" w:themeColor="text1"/>
          <w:lang w:val="es-ES"/>
        </w:rPr>
        <w:t>, ordenamientos ya citados por el propio SUJETO OBLIGADO.</w:t>
      </w:r>
    </w:p>
    <w:p w14:paraId="503EE865" w14:textId="77777777" w:rsidR="00C12AF6" w:rsidRPr="00EE2DA4" w:rsidRDefault="00C12AF6" w:rsidP="00C12AF6">
      <w:pPr>
        <w:pStyle w:val="Prrafodelista"/>
        <w:widowControl w:val="0"/>
        <w:autoSpaceDE w:val="0"/>
        <w:autoSpaceDN w:val="0"/>
        <w:adjustRightInd w:val="0"/>
        <w:spacing w:before="200" w:after="200" w:line="360" w:lineRule="auto"/>
        <w:ind w:left="0"/>
        <w:jc w:val="both"/>
        <w:rPr>
          <w:rFonts w:ascii="Palatino Linotype" w:eastAsia="Calibri" w:hAnsi="Palatino Linotype" w:cs="Arial"/>
          <w:color w:val="000000" w:themeColor="text1"/>
          <w:lang w:val="es-ES"/>
        </w:rPr>
      </w:pPr>
    </w:p>
    <w:p w14:paraId="203F644A" w14:textId="29CA6B09" w:rsidR="001D2F66" w:rsidRPr="00EE2DA4" w:rsidRDefault="001D2F66" w:rsidP="001D2F66">
      <w:pPr>
        <w:pStyle w:val="Prrafodelista"/>
        <w:numPr>
          <w:ilvl w:val="0"/>
          <w:numId w:val="1"/>
        </w:numPr>
        <w:tabs>
          <w:tab w:val="left" w:pos="851"/>
        </w:tabs>
        <w:spacing w:before="240" w:after="240" w:line="360" w:lineRule="auto"/>
        <w:ind w:left="0" w:right="49" w:firstLine="0"/>
        <w:jc w:val="both"/>
        <w:rPr>
          <w:rFonts w:ascii="Palatino Linotype" w:hAnsi="Palatino Linotype"/>
          <w:lang w:val="es-ES"/>
        </w:rPr>
      </w:pPr>
      <w:r w:rsidRPr="00EE2DA4">
        <w:rPr>
          <w:rFonts w:ascii="Palatino Linotype" w:eastAsia="Times New Roman" w:hAnsi="Palatino Linotype" w:cs="Arial"/>
          <w:color w:val="000000"/>
        </w:rPr>
        <w:t>Atendiendo a lo expuesto se ordena hacer una nueva búsqueda de la información a efecto de localizar y ponerla a disposición del particular, y sólo de ser el caso de que no se localice la información, el Sujeto Obligado deberá estar a lo dispuesto en el siguiente apartado.</w:t>
      </w:r>
    </w:p>
    <w:p w14:paraId="3AF737AF" w14:textId="77777777" w:rsidR="001D2F66" w:rsidRPr="00EE2DA4" w:rsidRDefault="001D2F66" w:rsidP="000A3187">
      <w:pPr>
        <w:pStyle w:val="Ttulo2"/>
        <w:numPr>
          <w:ilvl w:val="0"/>
          <w:numId w:val="29"/>
        </w:numPr>
        <w:rPr>
          <w:b w:val="0"/>
          <w:color w:val="auto"/>
        </w:rPr>
      </w:pPr>
      <w:bookmarkStart w:id="90" w:name="_Toc528081977"/>
      <w:bookmarkStart w:id="91" w:name="_Toc24928444"/>
      <w:bookmarkStart w:id="92" w:name="_Toc33186538"/>
      <w:r w:rsidRPr="00EE2DA4">
        <w:rPr>
          <w:color w:val="auto"/>
        </w:rPr>
        <w:t>De la Inexistencia.</w:t>
      </w:r>
      <w:bookmarkEnd w:id="90"/>
      <w:bookmarkEnd w:id="91"/>
      <w:bookmarkEnd w:id="92"/>
    </w:p>
    <w:p w14:paraId="39201562" w14:textId="77777777" w:rsidR="001D2F66" w:rsidRPr="00EE2DA4" w:rsidRDefault="001D2F66" w:rsidP="001D2F66">
      <w:pPr>
        <w:pStyle w:val="Prrafodelista"/>
        <w:autoSpaceDE w:val="0"/>
        <w:autoSpaceDN w:val="0"/>
        <w:adjustRightInd w:val="0"/>
        <w:spacing w:line="360" w:lineRule="auto"/>
        <w:ind w:left="0" w:right="567"/>
        <w:jc w:val="both"/>
        <w:rPr>
          <w:rFonts w:ascii="Palatino Linotype" w:hAnsi="Palatino Linotype"/>
          <w:iCs/>
        </w:rPr>
      </w:pPr>
    </w:p>
    <w:p w14:paraId="1EE11E28" w14:textId="77777777" w:rsidR="001D2F66" w:rsidRPr="00EE2DA4" w:rsidRDefault="001D2F66" w:rsidP="001D2F66">
      <w:pPr>
        <w:pStyle w:val="Prrafodelista"/>
        <w:numPr>
          <w:ilvl w:val="0"/>
          <w:numId w:val="1"/>
        </w:numPr>
        <w:spacing w:before="100" w:beforeAutospacing="1" w:after="100" w:afterAutospacing="1" w:line="360" w:lineRule="auto"/>
        <w:ind w:left="0" w:firstLine="0"/>
        <w:jc w:val="both"/>
        <w:rPr>
          <w:rFonts w:ascii="Palatino Linotype" w:hAnsi="Palatino Linotype" w:cs="Segoe UI"/>
        </w:rPr>
      </w:pPr>
      <w:r w:rsidRPr="00EE2DA4">
        <w:rPr>
          <w:rFonts w:ascii="Palatino Linotype" w:hAnsi="Palatino Linotype"/>
          <w:color w:val="222222"/>
        </w:rPr>
        <w:t xml:space="preserve">Observando que el Sujeto Obligado tanto en respuesta como en informe justificado refiere no cuenta con la información del año 2007, es necesario traer a contexto lo que dispone la </w:t>
      </w:r>
      <w:r w:rsidRPr="00EE2DA4">
        <w:rPr>
          <w:rFonts w:ascii="Palatino Linotype" w:hAnsi="Palatino Linotype"/>
          <w:b/>
          <w:bCs/>
          <w:color w:val="222222"/>
        </w:rPr>
        <w:t>Ley General de Transparencia y Acceso a la Información Pública</w:t>
      </w:r>
      <w:r w:rsidRPr="00EE2DA4">
        <w:rPr>
          <w:rFonts w:ascii="Palatino Linotype" w:hAnsi="Palatino Linotype"/>
          <w:color w:val="222222"/>
        </w:rPr>
        <w:t>, en específico en su artículo 65 fracción III:</w:t>
      </w:r>
    </w:p>
    <w:p w14:paraId="3D4E97EF" w14:textId="77777777" w:rsidR="001D2F66" w:rsidRPr="00EE2DA4" w:rsidRDefault="001D2F66" w:rsidP="001D2F66">
      <w:pPr>
        <w:pStyle w:val="m-698976158124685028gmail-default"/>
        <w:shd w:val="clear" w:color="auto" w:fill="FFFFFF"/>
        <w:spacing w:before="0" w:beforeAutospacing="0" w:after="0" w:afterAutospacing="0" w:line="360" w:lineRule="auto"/>
        <w:ind w:left="567" w:right="567"/>
        <w:jc w:val="both"/>
        <w:rPr>
          <w:rFonts w:ascii="Palatino Linotype" w:hAnsi="Palatino Linotype"/>
          <w:color w:val="000000"/>
          <w:sz w:val="22"/>
        </w:rPr>
      </w:pPr>
      <w:r w:rsidRPr="00EE2DA4">
        <w:rPr>
          <w:rFonts w:ascii="Palatino Linotype" w:hAnsi="Palatino Linotype"/>
          <w:b/>
          <w:bCs/>
          <w:i/>
          <w:iCs/>
          <w:color w:val="000000"/>
          <w:sz w:val="22"/>
        </w:rPr>
        <w:t>Artículo 65. Los Comités de Transparencia tendrán las facultades y atribuciones siguientes:</w:t>
      </w:r>
    </w:p>
    <w:p w14:paraId="0B277688" w14:textId="77777777" w:rsidR="001D2F66" w:rsidRPr="00EE2DA4" w:rsidRDefault="001D2F66" w:rsidP="001D2F66">
      <w:pPr>
        <w:pStyle w:val="m-698976158124685028gmail-default"/>
        <w:shd w:val="clear" w:color="auto" w:fill="FFFFFF"/>
        <w:spacing w:before="0" w:beforeAutospacing="0" w:after="0" w:afterAutospacing="0" w:line="360" w:lineRule="auto"/>
        <w:ind w:left="567" w:right="567"/>
        <w:jc w:val="both"/>
        <w:rPr>
          <w:rFonts w:ascii="Palatino Linotype" w:hAnsi="Palatino Linotype"/>
          <w:color w:val="000000"/>
          <w:sz w:val="22"/>
        </w:rPr>
      </w:pPr>
      <w:r w:rsidRPr="00EE2DA4">
        <w:rPr>
          <w:rFonts w:ascii="Palatino Linotype" w:hAnsi="Palatino Linotype"/>
          <w:b/>
          <w:bCs/>
          <w:i/>
          <w:iCs/>
          <w:color w:val="000000"/>
          <w:sz w:val="22"/>
        </w:rPr>
        <w:t>…</w:t>
      </w:r>
    </w:p>
    <w:p w14:paraId="03FAF68F" w14:textId="77777777" w:rsidR="001D2F66" w:rsidRPr="00EE2DA4" w:rsidRDefault="001D2F66" w:rsidP="001D2F66">
      <w:pPr>
        <w:shd w:val="clear" w:color="auto" w:fill="FFFFFF"/>
        <w:spacing w:before="240" w:after="240" w:line="360" w:lineRule="auto"/>
        <w:ind w:left="567" w:right="567"/>
        <w:jc w:val="both"/>
        <w:rPr>
          <w:rFonts w:ascii="Palatino Linotype" w:hAnsi="Palatino Linotype"/>
          <w:color w:val="222222"/>
          <w:sz w:val="22"/>
        </w:rPr>
      </w:pPr>
      <w:r w:rsidRPr="00EE2DA4">
        <w:rPr>
          <w:rFonts w:ascii="Palatino Linotype" w:hAnsi="Palatino Linotype"/>
          <w:b/>
          <w:bCs/>
          <w:i/>
          <w:iCs/>
          <w:color w:val="222222"/>
          <w:sz w:val="22"/>
          <w:u w:val="single"/>
        </w:rPr>
        <w:t xml:space="preserve">III. Ordenar, en su caso, a las Áreas competentes que generen la información que derivado de sus facultades, competencias y funciones deban tener en posesión o que previa acreditación de la imposibilidad de su generación, </w:t>
      </w:r>
      <w:r w:rsidRPr="00EE2DA4">
        <w:rPr>
          <w:rFonts w:ascii="Palatino Linotype" w:hAnsi="Palatino Linotype"/>
          <w:b/>
          <w:bCs/>
          <w:i/>
          <w:iCs/>
          <w:color w:val="222222"/>
          <w:sz w:val="22"/>
          <w:u w:val="single"/>
        </w:rPr>
        <w:lastRenderedPageBreak/>
        <w:t>exponga, de forma fundada y motivada, las razones por las cuales, en el caso particular, no ejercieron dichas facultades, competencias o funciones;</w:t>
      </w:r>
    </w:p>
    <w:p w14:paraId="4DD17370" w14:textId="77777777" w:rsidR="001D2F66" w:rsidRPr="00EE2DA4" w:rsidRDefault="001D2F66" w:rsidP="001D2F66">
      <w:pPr>
        <w:pStyle w:val="Prrafodelista"/>
        <w:numPr>
          <w:ilvl w:val="0"/>
          <w:numId w:val="1"/>
        </w:numPr>
        <w:spacing w:before="100" w:beforeAutospacing="1" w:after="100" w:afterAutospacing="1" w:line="360" w:lineRule="auto"/>
        <w:ind w:left="0" w:firstLine="0"/>
        <w:jc w:val="both"/>
        <w:rPr>
          <w:rFonts w:ascii="Palatino Linotype" w:hAnsi="Palatino Linotype"/>
          <w:color w:val="222222"/>
        </w:rPr>
      </w:pPr>
      <w:r w:rsidRPr="00EE2DA4">
        <w:rPr>
          <w:rFonts w:ascii="Palatino Linotype" w:hAnsi="Palatino Linotype"/>
          <w:color w:val="222222"/>
        </w:rPr>
        <w:t xml:space="preserve">Así mismo, la </w:t>
      </w:r>
      <w:r w:rsidRPr="00EE2DA4">
        <w:rPr>
          <w:rFonts w:ascii="Palatino Linotype" w:hAnsi="Palatino Linotype"/>
          <w:b/>
          <w:bCs/>
          <w:color w:val="222222"/>
        </w:rPr>
        <w:t>Ley de Trasparencia y Acceso a la Información Pública del Estado de México y Municipios</w:t>
      </w:r>
      <w:r w:rsidRPr="00EE2DA4">
        <w:rPr>
          <w:rFonts w:ascii="Palatino Linotype" w:hAnsi="Palatino Linotype"/>
          <w:color w:val="222222"/>
        </w:rPr>
        <w:t xml:space="preserve"> en su 169, fracción III, señala:</w:t>
      </w:r>
    </w:p>
    <w:p w14:paraId="77465EF5" w14:textId="77777777" w:rsidR="001D2F66" w:rsidRPr="00EE2DA4" w:rsidRDefault="001D2F66" w:rsidP="001D2F66">
      <w:pPr>
        <w:pStyle w:val="m-698976158124685028gmail-msolistparagraph"/>
        <w:shd w:val="clear" w:color="auto" w:fill="FFFFFF"/>
        <w:spacing w:before="240" w:beforeAutospacing="0" w:after="240" w:afterAutospacing="0" w:line="360" w:lineRule="auto"/>
        <w:ind w:left="567" w:right="567"/>
        <w:jc w:val="both"/>
        <w:rPr>
          <w:rFonts w:ascii="Palatino Linotype" w:hAnsi="Palatino Linotype" w:cs="Bookman Old Style"/>
          <w:i/>
          <w:sz w:val="22"/>
          <w:szCs w:val="20"/>
        </w:rPr>
      </w:pPr>
      <w:r w:rsidRPr="00EE2DA4">
        <w:rPr>
          <w:rFonts w:ascii="Palatino Linotype" w:hAnsi="Palatino Linotype"/>
          <w:color w:val="222222"/>
          <w:lang w:val="es-ES_tradnl"/>
        </w:rPr>
        <w:t xml:space="preserve"> </w:t>
      </w:r>
      <w:r w:rsidRPr="00EE2DA4">
        <w:rPr>
          <w:rFonts w:ascii="Palatino Linotype" w:hAnsi="Palatino Linotype" w:cs="Bookman Old Style,Bold"/>
          <w:b/>
          <w:bCs/>
          <w:i/>
          <w:sz w:val="22"/>
          <w:szCs w:val="20"/>
        </w:rPr>
        <w:t xml:space="preserve">Artículo 169. </w:t>
      </w:r>
      <w:r w:rsidRPr="00EE2DA4">
        <w:rPr>
          <w:rFonts w:ascii="Palatino Linotype" w:hAnsi="Palatino Linotype" w:cs="Bookman Old Style"/>
          <w:i/>
          <w:sz w:val="22"/>
          <w:szCs w:val="20"/>
        </w:rPr>
        <w:t>Cuando la información no se encuentre en los archivos del sujeto obligado, el Comité de Transparencia:</w:t>
      </w:r>
    </w:p>
    <w:p w14:paraId="61B5E3F3" w14:textId="77777777" w:rsidR="001D2F66" w:rsidRPr="00EE2DA4" w:rsidRDefault="001D2F66" w:rsidP="001D2F66">
      <w:pPr>
        <w:autoSpaceDE w:val="0"/>
        <w:autoSpaceDN w:val="0"/>
        <w:adjustRightInd w:val="0"/>
        <w:spacing w:line="360" w:lineRule="auto"/>
        <w:ind w:left="567" w:right="567"/>
        <w:jc w:val="both"/>
        <w:rPr>
          <w:rFonts w:ascii="Palatino Linotype" w:hAnsi="Palatino Linotype" w:cs="Bookman Old Style"/>
          <w:i/>
          <w:sz w:val="22"/>
          <w:szCs w:val="20"/>
          <w:lang w:val="es-MX"/>
        </w:rPr>
      </w:pPr>
      <w:r w:rsidRPr="00EE2DA4">
        <w:rPr>
          <w:rFonts w:ascii="Palatino Linotype" w:hAnsi="Palatino Linotype" w:cs="Bookman Old Style,Bold"/>
          <w:b/>
          <w:bCs/>
          <w:i/>
          <w:sz w:val="22"/>
          <w:szCs w:val="20"/>
          <w:lang w:val="es-MX"/>
        </w:rPr>
        <w:t xml:space="preserve">I. </w:t>
      </w:r>
      <w:r w:rsidRPr="00EE2DA4">
        <w:rPr>
          <w:rFonts w:ascii="Palatino Linotype" w:hAnsi="Palatino Linotype" w:cs="Bookman Old Style"/>
          <w:i/>
          <w:sz w:val="22"/>
          <w:szCs w:val="20"/>
          <w:lang w:val="es-MX"/>
        </w:rPr>
        <w:t>Analizará el caso y tomará las medidas necesarias para localizar la información;</w:t>
      </w:r>
    </w:p>
    <w:p w14:paraId="19F6C05D" w14:textId="77777777" w:rsidR="001D2F66" w:rsidRPr="00EE2DA4" w:rsidRDefault="001D2F66" w:rsidP="001D2F66">
      <w:pPr>
        <w:autoSpaceDE w:val="0"/>
        <w:autoSpaceDN w:val="0"/>
        <w:adjustRightInd w:val="0"/>
        <w:spacing w:line="360" w:lineRule="auto"/>
        <w:ind w:left="567" w:right="567"/>
        <w:jc w:val="both"/>
        <w:rPr>
          <w:rFonts w:ascii="Palatino Linotype" w:hAnsi="Palatino Linotype" w:cs="Bookman Old Style"/>
          <w:i/>
          <w:sz w:val="22"/>
          <w:szCs w:val="20"/>
          <w:lang w:val="es-MX"/>
        </w:rPr>
      </w:pPr>
      <w:r w:rsidRPr="00EE2DA4">
        <w:rPr>
          <w:rFonts w:ascii="Palatino Linotype" w:hAnsi="Palatino Linotype" w:cs="Bookman Old Style,Bold"/>
          <w:b/>
          <w:bCs/>
          <w:i/>
          <w:sz w:val="22"/>
          <w:szCs w:val="20"/>
          <w:lang w:val="es-MX"/>
        </w:rPr>
        <w:t xml:space="preserve">II. </w:t>
      </w:r>
      <w:r w:rsidRPr="00EE2DA4">
        <w:rPr>
          <w:rFonts w:ascii="Palatino Linotype" w:hAnsi="Palatino Linotype" w:cs="Bookman Old Style"/>
          <w:i/>
          <w:sz w:val="22"/>
          <w:szCs w:val="20"/>
          <w:lang w:val="es-MX"/>
        </w:rPr>
        <w:t>Expedirá una resolución que confirme la inexistencia del documento;</w:t>
      </w:r>
    </w:p>
    <w:p w14:paraId="2A3E7685" w14:textId="77777777" w:rsidR="001D2F66" w:rsidRPr="00EE2DA4" w:rsidRDefault="001D2F66" w:rsidP="001D2F66">
      <w:pPr>
        <w:autoSpaceDE w:val="0"/>
        <w:autoSpaceDN w:val="0"/>
        <w:adjustRightInd w:val="0"/>
        <w:spacing w:line="360" w:lineRule="auto"/>
        <w:ind w:left="567" w:right="567"/>
        <w:jc w:val="both"/>
        <w:rPr>
          <w:rFonts w:ascii="Palatino Linotype" w:hAnsi="Palatino Linotype" w:cs="Bookman Old Style"/>
          <w:i/>
          <w:sz w:val="22"/>
          <w:szCs w:val="20"/>
          <w:lang w:val="es-MX"/>
        </w:rPr>
      </w:pPr>
      <w:r w:rsidRPr="00EE2DA4">
        <w:rPr>
          <w:rFonts w:ascii="Palatino Linotype" w:hAnsi="Palatino Linotype" w:cs="Bookman Old Style,Bold"/>
          <w:b/>
          <w:bCs/>
          <w:i/>
          <w:sz w:val="22"/>
          <w:szCs w:val="20"/>
          <w:lang w:val="es-MX"/>
        </w:rPr>
        <w:t xml:space="preserve">III. </w:t>
      </w:r>
      <w:r w:rsidRPr="00EE2DA4">
        <w:rPr>
          <w:rFonts w:ascii="Palatino Linotype" w:hAnsi="Palatino Linotype" w:cs="Bookman Old Style"/>
          <w:i/>
          <w:sz w:val="22"/>
          <w:szCs w:val="20"/>
          <w:lang w:val="es-MX"/>
        </w:rPr>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14:paraId="395591C7" w14:textId="77777777" w:rsidR="001D2F66" w:rsidRPr="00EE2DA4" w:rsidRDefault="001D2F66" w:rsidP="001D2F66">
      <w:pPr>
        <w:autoSpaceDE w:val="0"/>
        <w:autoSpaceDN w:val="0"/>
        <w:adjustRightInd w:val="0"/>
        <w:spacing w:line="360" w:lineRule="auto"/>
        <w:ind w:left="567" w:right="567"/>
        <w:jc w:val="both"/>
        <w:rPr>
          <w:rFonts w:ascii="Palatino Linotype" w:hAnsi="Palatino Linotype" w:cs="Bookman Old Style"/>
          <w:i/>
          <w:sz w:val="22"/>
          <w:szCs w:val="20"/>
          <w:lang w:val="es-MX"/>
        </w:rPr>
      </w:pPr>
      <w:r w:rsidRPr="00EE2DA4">
        <w:rPr>
          <w:rFonts w:ascii="Palatino Linotype" w:hAnsi="Palatino Linotype" w:cs="Bookman Old Style,Bold"/>
          <w:b/>
          <w:bCs/>
          <w:i/>
          <w:sz w:val="22"/>
          <w:szCs w:val="20"/>
          <w:lang w:val="es-MX"/>
        </w:rPr>
        <w:t xml:space="preserve">IV. </w:t>
      </w:r>
      <w:r w:rsidRPr="00EE2DA4">
        <w:rPr>
          <w:rFonts w:ascii="Palatino Linotype" w:hAnsi="Palatino Linotype" w:cs="Bookman Old Style"/>
          <w:i/>
          <w:sz w:val="22"/>
          <w:szCs w:val="20"/>
          <w:lang w:val="es-MX"/>
        </w:rPr>
        <w:t>Notificará al órgano interno de control o equivalente del sujeto obligado quien, en su caso, deberá iniciar el procedimiento de responsabilidad administrativa que corresponda.</w:t>
      </w:r>
    </w:p>
    <w:p w14:paraId="22C64162" w14:textId="77777777" w:rsidR="001D2F66" w:rsidRPr="00EE2DA4" w:rsidRDefault="001D2F66" w:rsidP="001D2F66">
      <w:pPr>
        <w:autoSpaceDE w:val="0"/>
        <w:autoSpaceDN w:val="0"/>
        <w:adjustRightInd w:val="0"/>
        <w:spacing w:line="360" w:lineRule="auto"/>
        <w:ind w:left="567" w:right="567"/>
        <w:jc w:val="both"/>
        <w:rPr>
          <w:rFonts w:ascii="Palatino Linotype" w:hAnsi="Palatino Linotype" w:cs="Bookman Old Style"/>
          <w:i/>
          <w:sz w:val="20"/>
          <w:szCs w:val="20"/>
          <w:lang w:val="es-MX"/>
        </w:rPr>
      </w:pPr>
    </w:p>
    <w:p w14:paraId="2AC70805" w14:textId="77777777" w:rsidR="001D2F66" w:rsidRPr="00EE2DA4" w:rsidRDefault="001D2F66" w:rsidP="001D2F66">
      <w:pPr>
        <w:autoSpaceDE w:val="0"/>
        <w:autoSpaceDN w:val="0"/>
        <w:adjustRightInd w:val="0"/>
        <w:spacing w:line="360" w:lineRule="auto"/>
        <w:ind w:left="567" w:right="567"/>
        <w:jc w:val="both"/>
        <w:rPr>
          <w:rFonts w:ascii="Palatino Linotype" w:hAnsi="Palatino Linotype" w:cs="Bookman Old Style"/>
          <w:i/>
          <w:sz w:val="22"/>
          <w:szCs w:val="20"/>
          <w:lang w:val="es-MX"/>
        </w:rPr>
      </w:pPr>
      <w:r w:rsidRPr="00EE2DA4">
        <w:rPr>
          <w:rFonts w:ascii="Palatino Linotype" w:hAnsi="Palatino Linotype" w:cs="Bookman Old Style"/>
          <w:i/>
          <w:sz w:val="22"/>
          <w:szCs w:val="20"/>
          <w:lang w:val="es-MX"/>
        </w:rPr>
        <w:t>La Unidad de Transparencia deberá notificarlo al solicitante por escrito, en un plazo que no exceda de quince días hábiles contados a partir del día siguiente a la presentación de la solicitud.</w:t>
      </w:r>
    </w:p>
    <w:p w14:paraId="308B833B" w14:textId="77777777" w:rsidR="001D2F66" w:rsidRPr="00EE2DA4" w:rsidRDefault="001D2F66" w:rsidP="001D2F66">
      <w:pPr>
        <w:autoSpaceDE w:val="0"/>
        <w:autoSpaceDN w:val="0"/>
        <w:adjustRightInd w:val="0"/>
        <w:spacing w:line="360" w:lineRule="auto"/>
        <w:ind w:left="567" w:right="567"/>
        <w:jc w:val="both"/>
        <w:rPr>
          <w:rFonts w:ascii="Palatino Linotype" w:hAnsi="Palatino Linotype" w:cs="Bookman Old Style"/>
          <w:i/>
          <w:sz w:val="22"/>
          <w:szCs w:val="20"/>
          <w:lang w:val="es-MX"/>
        </w:rPr>
      </w:pPr>
    </w:p>
    <w:p w14:paraId="733638FC" w14:textId="77777777" w:rsidR="001D2F66" w:rsidRPr="00EE2DA4" w:rsidRDefault="001D2F66" w:rsidP="001D2F66">
      <w:pPr>
        <w:autoSpaceDE w:val="0"/>
        <w:autoSpaceDN w:val="0"/>
        <w:adjustRightInd w:val="0"/>
        <w:spacing w:line="360" w:lineRule="auto"/>
        <w:ind w:left="567" w:right="567"/>
        <w:jc w:val="both"/>
        <w:rPr>
          <w:rFonts w:ascii="Palatino Linotype" w:hAnsi="Palatino Linotype"/>
          <w:i/>
          <w:iCs/>
          <w:color w:val="222222"/>
          <w:sz w:val="28"/>
        </w:rPr>
      </w:pPr>
      <w:r w:rsidRPr="00EE2DA4">
        <w:rPr>
          <w:rFonts w:ascii="Palatino Linotype" w:hAnsi="Palatino Linotype" w:cs="Bookman Old Style"/>
          <w:i/>
          <w:sz w:val="22"/>
          <w:szCs w:val="20"/>
          <w:lang w:val="es-MX"/>
        </w:rPr>
        <w:t>Este plazo podrá ampliarse hasta por otros siete días hábiles, siempre que existan razones para ello, debiendo notificarse por escrito al solicitante.</w:t>
      </w:r>
    </w:p>
    <w:p w14:paraId="0235117D"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rPr>
      </w:pPr>
    </w:p>
    <w:p w14:paraId="48EC984A"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right="51" w:firstLine="0"/>
        <w:jc w:val="both"/>
        <w:rPr>
          <w:rFonts w:ascii="Palatino Linotype" w:hAnsi="Palatino Linotype"/>
          <w:color w:val="222222"/>
        </w:rPr>
      </w:pPr>
      <w:r w:rsidRPr="00EE2DA4">
        <w:rPr>
          <w:rFonts w:ascii="Palatino Linotype" w:hAnsi="Palatino Linotype"/>
          <w:color w:val="222222"/>
          <w:lang w:val="es-ES_tradnl"/>
        </w:rPr>
        <w:t xml:space="preserve">De los preceptos antes transcritos se advierte claramente que </w:t>
      </w:r>
      <w:r w:rsidRPr="00EE2DA4">
        <w:rPr>
          <w:rFonts w:ascii="Palatino Linotype" w:hAnsi="Palatino Linotype"/>
          <w:color w:val="222222"/>
        </w:rPr>
        <w:t xml:space="preserve">cuando la información no se encuentre en los archivos del Sujeto Obligado, el Comité de Transparencia deberá ordenar </w:t>
      </w:r>
      <w:r w:rsidRPr="00EE2DA4">
        <w:rPr>
          <w:rFonts w:ascii="Palatino Linotype" w:hAnsi="Palatino Linotype"/>
          <w:color w:val="222222"/>
          <w:u w:val="single"/>
        </w:rPr>
        <w:t>que se genere la información en caso de que ésta tuviera que existir en la medida que deriva del ejercicio de sus facultades, competencias o funciones</w:t>
      </w:r>
      <w:r w:rsidRPr="00EE2DA4">
        <w:rPr>
          <w:rFonts w:ascii="Palatino Linotype" w:hAnsi="Palatino Linotype"/>
          <w:color w:val="222222"/>
        </w:rPr>
        <w:t>.</w:t>
      </w:r>
    </w:p>
    <w:p w14:paraId="379B2B59"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right="51" w:firstLine="0"/>
        <w:jc w:val="both"/>
        <w:rPr>
          <w:rFonts w:ascii="Palatino Linotype" w:hAnsi="Palatino Linotype"/>
          <w:color w:val="222222"/>
        </w:rPr>
      </w:pPr>
      <w:r w:rsidRPr="00EE2DA4">
        <w:rPr>
          <w:rFonts w:ascii="Palatino Linotype" w:hAnsi="Palatino Linotype"/>
          <w:color w:val="222222"/>
          <w:lang w:val="es-ES_tradnl"/>
        </w:rPr>
        <w:t xml:space="preserve">Ahora bien, es importante señalar que en el caso de que no se pueda generar la información, </w:t>
      </w:r>
      <w:r w:rsidRPr="00EE2DA4">
        <w:rPr>
          <w:rFonts w:ascii="Palatino Linotype" w:hAnsi="Palatino Linotype"/>
          <w:b/>
          <w:bCs/>
          <w:color w:val="222222"/>
          <w:lang w:val="es-ES_tradnl"/>
        </w:rPr>
        <w:t xml:space="preserve">SE ORDENA </w:t>
      </w:r>
      <w:r w:rsidRPr="00EE2DA4">
        <w:rPr>
          <w:rFonts w:ascii="Palatino Linotype" w:hAnsi="Palatino Linotype"/>
          <w:bCs/>
          <w:color w:val="222222"/>
          <w:lang w:val="es-ES_tradnl"/>
        </w:rPr>
        <w:t>al</w:t>
      </w:r>
      <w:r w:rsidRPr="00EE2DA4">
        <w:rPr>
          <w:rFonts w:ascii="Palatino Linotype" w:hAnsi="Palatino Linotype"/>
          <w:b/>
          <w:bCs/>
          <w:color w:val="222222"/>
          <w:lang w:val="es-ES_tradnl"/>
        </w:rPr>
        <w:t xml:space="preserve"> SUJETO OBLIGADO </w:t>
      </w:r>
      <w:r w:rsidRPr="00EE2DA4">
        <w:rPr>
          <w:rFonts w:ascii="Palatino Linotype" w:hAnsi="Palatino Linotype"/>
          <w:color w:val="222222"/>
          <w:lang w:val="es-ES_tradnl"/>
        </w:rPr>
        <w:t>hacer entrega de un Acuerdo de su Comité de Transparencia en donde conste la declaratoria de inexistencia de la información.</w:t>
      </w:r>
    </w:p>
    <w:p w14:paraId="56DAC55B"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right="51" w:firstLine="0"/>
        <w:jc w:val="both"/>
        <w:rPr>
          <w:rFonts w:ascii="Palatino Linotype" w:hAnsi="Palatino Linotype"/>
          <w:color w:val="222222"/>
        </w:rPr>
      </w:pPr>
      <w:r w:rsidRPr="00EE2DA4">
        <w:rPr>
          <w:rFonts w:ascii="Palatino Linotype" w:hAnsi="Palatino Linotype"/>
          <w:color w:val="222222"/>
          <w:lang w:val="es-ES_tradnl"/>
        </w:rPr>
        <w:t xml:space="preserve">Previo a observar las formalidades que han de observarse en dicho acuerdo y para mayor entendimiento sobre el concepto de inexistencia en materia de acceso a la información pública, es necesario señalar que el </w:t>
      </w:r>
      <w:r w:rsidRPr="00EE2DA4">
        <w:rPr>
          <w:rFonts w:ascii="Palatino Linotype" w:hAnsi="Palatino Linotype"/>
          <w:color w:val="222222"/>
          <w:shd w:val="clear" w:color="auto" w:fill="FFFFFF"/>
          <w:lang w:val="es-ES_tradnl"/>
        </w:rPr>
        <w:t xml:space="preserve">Instituto Nacional de Transparencia, Acceso a la Información y Protección de Datos Personales </w:t>
      </w:r>
      <w:r w:rsidRPr="00EE2DA4">
        <w:rPr>
          <w:rFonts w:ascii="Palatino Linotype" w:hAnsi="Palatino Linotype"/>
          <w:color w:val="222222"/>
          <w:lang w:val="es-ES_tradnl"/>
        </w:rPr>
        <w:t>emitió el criterio número 14-17, que es de la literalidad siguiente:</w:t>
      </w:r>
    </w:p>
    <w:p w14:paraId="21D20D9A" w14:textId="77777777" w:rsidR="001D2F66" w:rsidRPr="00EE2DA4" w:rsidRDefault="001D2F66" w:rsidP="001D2F66">
      <w:pPr>
        <w:pStyle w:val="m-698976158124685028gmail-msolistparagraph"/>
        <w:shd w:val="clear" w:color="auto" w:fill="FFFFFF"/>
        <w:spacing w:before="0" w:beforeAutospacing="0" w:after="0" w:afterAutospacing="0" w:line="360" w:lineRule="auto"/>
        <w:ind w:left="567"/>
        <w:jc w:val="both"/>
        <w:rPr>
          <w:rFonts w:ascii="Palatino Linotype" w:hAnsi="Palatino Linotype"/>
          <w:color w:val="222222"/>
          <w:sz w:val="22"/>
        </w:rPr>
      </w:pPr>
      <w:r w:rsidRPr="00EE2DA4">
        <w:rPr>
          <w:rFonts w:ascii="Palatino Linotype" w:hAnsi="Palatino Linotype"/>
          <w:b/>
          <w:bCs/>
          <w:i/>
          <w:iCs/>
          <w:color w:val="222222"/>
          <w:sz w:val="22"/>
          <w:lang w:val="es-ES_tradnl"/>
        </w:rPr>
        <w:t>Criterio 14/17</w:t>
      </w:r>
    </w:p>
    <w:p w14:paraId="126082BF"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222222"/>
          <w:sz w:val="22"/>
        </w:rPr>
        <w:t xml:space="preserve">Inexistencia. La inexistencia es una cuestión de hecho que se atribuye a la información solicitada e implica que ésta </w:t>
      </w:r>
      <w:r w:rsidRPr="00EE2DA4">
        <w:rPr>
          <w:rFonts w:ascii="Palatino Linotype" w:hAnsi="Palatino Linotype"/>
          <w:b/>
          <w:bCs/>
          <w:i/>
          <w:iCs/>
          <w:color w:val="222222"/>
          <w:sz w:val="22"/>
          <w:u w:val="single"/>
        </w:rPr>
        <w:t>no se encuentra en los archivos del sujeto obligado, no obstante que cuenta con facultades para poseerla</w:t>
      </w:r>
      <w:r w:rsidRPr="00EE2DA4">
        <w:rPr>
          <w:rFonts w:ascii="Palatino Linotype" w:hAnsi="Palatino Linotype"/>
          <w:i/>
          <w:iCs/>
          <w:color w:val="222222"/>
          <w:sz w:val="22"/>
        </w:rPr>
        <w:t>.</w:t>
      </w:r>
    </w:p>
    <w:p w14:paraId="1B849CE6"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222222"/>
          <w:sz w:val="22"/>
        </w:rPr>
        <w:t> </w:t>
      </w:r>
    </w:p>
    <w:p w14:paraId="4983F048"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222222"/>
          <w:sz w:val="22"/>
        </w:rPr>
        <w:t xml:space="preserve">Resoluciones: RRA 4669/16. Instituto Nacional Electoral. 18 de enero de 2017. Por unanimidad. Comisionado Ponente Joel Salas Suárez. RRA 0183/17. Nueva Alianza. </w:t>
      </w:r>
      <w:r w:rsidRPr="00EE2DA4">
        <w:rPr>
          <w:rFonts w:ascii="Palatino Linotype" w:hAnsi="Palatino Linotype"/>
          <w:i/>
          <w:iCs/>
          <w:color w:val="222222"/>
          <w:sz w:val="22"/>
        </w:rPr>
        <w:lastRenderedPageBreak/>
        <w:t>01 de febrero de 2017. Por unanimidad. Comisionado Ponente Francisco Javier Acuña Llamas. RRA 4484/16. Instituto Nacional de Migración. 16 de febrero de 2017. Por mayoría de seis votos a favor y uno en contra de la Comisionada Areli Cano Guadiana. Comisionada Ponente María Patricia Kurczyn Villalobos.</w:t>
      </w:r>
    </w:p>
    <w:p w14:paraId="65A5D3FE" w14:textId="77777777" w:rsidR="001D2F66" w:rsidRPr="00EE2DA4" w:rsidRDefault="001D2F66" w:rsidP="001D2F66">
      <w:pPr>
        <w:pStyle w:val="m-698976158124685028gmail-m483811427706604298gmail-msolistparagraph"/>
        <w:shd w:val="clear" w:color="auto" w:fill="FFFFFF"/>
        <w:spacing w:before="0" w:beforeAutospacing="0" w:after="0" w:afterAutospacing="0" w:line="360" w:lineRule="auto"/>
        <w:jc w:val="both"/>
        <w:rPr>
          <w:rFonts w:ascii="Palatino Linotype" w:hAnsi="Palatino Linotype"/>
          <w:color w:val="222222"/>
        </w:rPr>
      </w:pPr>
      <w:r w:rsidRPr="00EE2DA4">
        <w:rPr>
          <w:rFonts w:ascii="Palatino Linotype" w:hAnsi="Palatino Linotype"/>
          <w:color w:val="000000"/>
        </w:rPr>
        <w:t> </w:t>
      </w:r>
    </w:p>
    <w:p w14:paraId="25C2AF4F" w14:textId="77777777" w:rsidR="001D2F66" w:rsidRPr="00EE2DA4" w:rsidRDefault="001D2F66" w:rsidP="001D2F66">
      <w:pPr>
        <w:pStyle w:val="m-698976158124685028gmail-m483811427706604298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olor w:val="222222"/>
        </w:rPr>
      </w:pPr>
      <w:r w:rsidRPr="00EE2DA4">
        <w:rPr>
          <w:rFonts w:ascii="Palatino Linotype" w:hAnsi="Palatino Linotype"/>
          <w:color w:val="000000"/>
        </w:rPr>
        <w:t>Además como consecuencia de las disposiciones legales contenidas en la </w:t>
      </w:r>
      <w:r w:rsidRPr="00EE2DA4">
        <w:rPr>
          <w:rFonts w:ascii="Palatino Linotype" w:hAnsi="Palatino Linotype"/>
          <w:b/>
          <w:bCs/>
          <w:color w:val="000000"/>
        </w:rPr>
        <w:t>Ley General de Transparencia y Acceso a la Información Pública</w:t>
      </w:r>
      <w:r w:rsidRPr="00EE2DA4">
        <w:rPr>
          <w:rFonts w:ascii="Palatino Linotype" w:hAnsi="Palatino Linotype"/>
          <w:color w:val="000000"/>
        </w:rPr>
        <w:t xml:space="preserve">, es que existe el mandato expreso de que en caso de no </w:t>
      </w:r>
      <w:r w:rsidRPr="00EE2DA4">
        <w:rPr>
          <w:rFonts w:ascii="Palatino Linotype" w:hAnsi="Palatino Linotype"/>
          <w:color w:val="000000"/>
          <w:u w:val="single"/>
        </w:rPr>
        <w:t>existir la documentación que debió, por mandato de ley, generarse, administrarse o poseerse,</w:t>
      </w:r>
      <w:r w:rsidRPr="00EE2DA4">
        <w:rPr>
          <w:rFonts w:ascii="Palatino Linotype" w:hAnsi="Palatino Linotype"/>
          <w:color w:val="000000"/>
        </w:rPr>
        <w:t xml:space="preserve"> es obligación de la autoridad emitir una declaratoria formal que debe reunir los requisitos señalados en la propia norma jurídica,</w:t>
      </w:r>
      <w:r w:rsidRPr="00EE2DA4">
        <w:rPr>
          <w:rStyle w:val="Refdenotaalpie"/>
          <w:rFonts w:ascii="Palatino Linotype" w:hAnsi="Palatino Linotype"/>
          <w:color w:val="000000"/>
        </w:rPr>
        <w:footnoteReference w:id="3"/>
      </w:r>
      <w:r w:rsidRPr="00EE2DA4">
        <w:rPr>
          <w:rFonts w:ascii="Palatino Linotype" w:hAnsi="Palatino Linotype"/>
          <w:color w:val="000000"/>
        </w:rPr>
        <w:t>según puede apreciarse a continuación:</w:t>
      </w:r>
    </w:p>
    <w:p w14:paraId="38CC4317" w14:textId="77777777" w:rsidR="001D2F66" w:rsidRPr="00EE2DA4" w:rsidRDefault="001D2F66" w:rsidP="001D2F66">
      <w:pPr>
        <w:pStyle w:val="m-698976158124685028gmail-m483811427706604298gmail-msolistparagraph"/>
        <w:shd w:val="clear" w:color="auto" w:fill="FFFFFF"/>
        <w:spacing w:before="240" w:beforeAutospacing="0" w:after="360" w:afterAutospacing="0" w:line="360" w:lineRule="auto"/>
        <w:ind w:left="567" w:right="567"/>
        <w:jc w:val="both"/>
        <w:rPr>
          <w:rFonts w:ascii="Palatino Linotype" w:hAnsi="Palatino Linotype"/>
          <w:color w:val="222222"/>
          <w:sz w:val="22"/>
        </w:rPr>
      </w:pPr>
      <w:r w:rsidRPr="00EE2DA4">
        <w:rPr>
          <w:rFonts w:ascii="Palatino Linotype" w:hAnsi="Palatino Linotype"/>
          <w:b/>
          <w:bCs/>
          <w:i/>
          <w:iCs/>
          <w:color w:val="000000"/>
          <w:sz w:val="22"/>
        </w:rPr>
        <w:t>Artículo 19.</w:t>
      </w:r>
      <w:r w:rsidRPr="00EE2DA4">
        <w:rPr>
          <w:rFonts w:ascii="Palatino Linotype" w:hAnsi="Palatino Linotype"/>
          <w:i/>
          <w:iCs/>
          <w:color w:val="000000"/>
          <w:sz w:val="22"/>
        </w:rPr>
        <w:t> Se presume que la información debe existir si se refiere a las facultades, competencias y funciones que los ordenamientos jurídicos aplicables otorgan a los sujetos obligados.</w:t>
      </w:r>
    </w:p>
    <w:p w14:paraId="0F369795" w14:textId="77777777" w:rsidR="001D2F66" w:rsidRPr="00EE2DA4" w:rsidRDefault="001D2F66" w:rsidP="001D2F66">
      <w:pPr>
        <w:shd w:val="clear" w:color="auto" w:fill="FFFFFF"/>
        <w:spacing w:before="240" w:after="240"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En los casos en que ciertas facultades, competencias o funciones no se hayan ejercido, se debe motivar la respuesta en función de las causas que motiven la inexistencia.</w:t>
      </w:r>
    </w:p>
    <w:p w14:paraId="3C61FAE2" w14:textId="77777777" w:rsidR="001D2F66" w:rsidRPr="00EE2DA4" w:rsidRDefault="001D2F66" w:rsidP="001D2F66">
      <w:pPr>
        <w:shd w:val="clear" w:color="auto" w:fill="FFFFFF"/>
        <w:spacing w:before="240" w:after="240" w:line="360" w:lineRule="auto"/>
        <w:ind w:left="567" w:right="567"/>
        <w:jc w:val="both"/>
        <w:rPr>
          <w:rFonts w:ascii="Palatino Linotype" w:hAnsi="Palatino Linotype"/>
          <w:color w:val="222222"/>
          <w:sz w:val="22"/>
        </w:rPr>
      </w:pPr>
      <w:r w:rsidRPr="00EE2DA4">
        <w:rPr>
          <w:rFonts w:ascii="Palatino Linotype" w:hAnsi="Palatino Linotype"/>
          <w:b/>
          <w:bCs/>
          <w:i/>
          <w:iCs/>
          <w:color w:val="000000"/>
          <w:sz w:val="22"/>
        </w:rPr>
        <w:t>Artículo 20.</w:t>
      </w:r>
      <w:r w:rsidRPr="00EE2DA4">
        <w:rPr>
          <w:rFonts w:ascii="Palatino Linotype" w:hAnsi="Palatino Linotype"/>
          <w:i/>
          <w:iCs/>
          <w:color w:val="000000"/>
          <w:sz w:val="22"/>
        </w:rPr>
        <w:t xml:space="preserve"> Ante la negativa del acceso a la información o su inexistencia, el sujeto obligado deberá demostrar que la información solicitada está prevista en alguna de las excepciones contenidas en esta Ley o, en su caso, demostrar que la información no se refiere a alguna de sus facultades, competencias o funciones.</w:t>
      </w:r>
    </w:p>
    <w:p w14:paraId="15E27C15" w14:textId="77777777" w:rsidR="001D2F66" w:rsidRPr="00EE2DA4" w:rsidRDefault="001D2F66" w:rsidP="001D2F66">
      <w:pPr>
        <w:pStyle w:val="m-698976158124685028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olor w:val="222222"/>
        </w:rPr>
      </w:pPr>
      <w:r w:rsidRPr="00EE2DA4">
        <w:rPr>
          <w:rFonts w:ascii="Palatino Linotype" w:hAnsi="Palatino Linotype"/>
          <w:color w:val="000000"/>
          <w:lang w:val="es-ES_tradnl"/>
        </w:rPr>
        <w:lastRenderedPageBreak/>
        <w:t xml:space="preserve">Y por cuanto hace a la normatividad local debe aplicarse lo establecido en los </w:t>
      </w:r>
      <w:r w:rsidRPr="00EE2DA4">
        <w:rPr>
          <w:rFonts w:ascii="Palatino Linotype" w:hAnsi="Palatino Linotype"/>
          <w:b/>
          <w:color w:val="000000"/>
          <w:lang w:val="es-ES_tradnl"/>
        </w:rPr>
        <w:t>LINEAMIENTOS PARA LA RECEPCIÓN, TRÁMITE Y RESOLUCIÓN DE LAS SOLICITUDES DE ACCESO A LA INFORMACIÓN PÚBLICA, ACCESO, MODIFICACIÓN, SUSTITUCIÓN, RECTIFICACIÓN O SUPRESIÓN PARCIAL O TOTAL DE DATOS PERSONALES, ASÍ COMO DE LOS RECURSOS DE REVISIÓN QUE DEBERÁN OBSERVAR LOS SUJETOS OBLIGADOS POR LA LEY DE TRANSPARENCIA Y ACCESO A LA INFORMACIÓN PÚBLICA DEL ESTADO DE MÉXICO Y MUNICIPIOS</w:t>
      </w:r>
      <w:r w:rsidRPr="00EE2DA4">
        <w:rPr>
          <w:rFonts w:ascii="Palatino Linotype" w:hAnsi="Palatino Linotype"/>
          <w:color w:val="000000"/>
          <w:lang w:val="es-ES_tradnl"/>
        </w:rPr>
        <w:t>, en su numeral CUARENTA Y CUATRO, así como, CUARENTA Y CINCO, y los criterios 0003-11 y 0004-11 aprobados por el Pleno de este Órgano Garante, en la sesión ordinaria de fecha 25 de agosto del año 2011, que demuestran claramente el concepto de inexistencia, y en qué circunstancias debe emitirse la declaratoria respectiva:</w:t>
      </w:r>
    </w:p>
    <w:p w14:paraId="2CBEEC26" w14:textId="77777777" w:rsidR="001D2F66" w:rsidRPr="00EE2DA4" w:rsidRDefault="001D2F66" w:rsidP="001D2F66">
      <w:pPr>
        <w:pStyle w:val="m-698976158124685028gmail-msolistparagraph"/>
        <w:shd w:val="clear" w:color="auto" w:fill="FFFFFF"/>
        <w:spacing w:before="0" w:beforeAutospacing="0" w:after="0" w:afterAutospacing="0" w:line="360" w:lineRule="auto"/>
        <w:jc w:val="both"/>
        <w:rPr>
          <w:rFonts w:ascii="Palatino Linotype" w:hAnsi="Palatino Linotype"/>
          <w:color w:val="222222"/>
        </w:rPr>
      </w:pPr>
    </w:p>
    <w:p w14:paraId="33764253"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b/>
          <w:bCs/>
          <w:i/>
          <w:iCs/>
          <w:color w:val="000000"/>
          <w:sz w:val="22"/>
        </w:rPr>
        <w:t>“CRITERIO 0003-11</w:t>
      </w:r>
    </w:p>
    <w:p w14:paraId="5ADB3FCB"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b/>
          <w:bCs/>
          <w:i/>
          <w:iCs/>
          <w:color w:val="000000"/>
          <w:sz w:val="22"/>
        </w:rPr>
        <w:t>INEXISTENCIA, CONCEPTO DE, EN MATERIA DE TRANSPARENCIA</w:t>
      </w:r>
      <w:r w:rsidRPr="00EE2DA4">
        <w:rPr>
          <w:rFonts w:ascii="Palatino Linotype" w:hAnsi="Palatino Linotype"/>
          <w:i/>
          <w:iCs/>
          <w:color w:val="000000"/>
          <w:sz w:val="22"/>
        </w:rPr>
        <w:t>. 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supuestos:</w:t>
      </w:r>
    </w:p>
    <w:p w14:paraId="282B4030"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 xml:space="preserve">a) La existencia previa de la documentación y la falta posterior de la misma en los archivos del Sujeto Obligado, esto es, la información se generó, poseyó o administró –cuestión de hecho– en el marco de las atribuciones conferidas al Sujeto Obligado, pero </w:t>
      </w:r>
      <w:r w:rsidRPr="00EE2DA4">
        <w:rPr>
          <w:rFonts w:ascii="Palatino Linotype" w:hAnsi="Palatino Linotype"/>
          <w:i/>
          <w:iCs/>
          <w:color w:val="000000"/>
          <w:sz w:val="22"/>
        </w:rPr>
        <w:lastRenderedPageBreak/>
        <w:t>no la conserva por diversas razones (destrucción física, desaparición física¸ sustracción ilícita, baja documental, etcétera).</w:t>
      </w:r>
    </w:p>
    <w:p w14:paraId="1E4A4B6E"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b) En los casos en que por las atribuciones conferidas al Sujeto Obligado éste debió generar, administrar o poseer la información, pero en incumplimiento a la normatividad respectiva no llevó a cabo ninguna de esas acciones.</w:t>
      </w:r>
    </w:p>
    <w:p w14:paraId="233C7435"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14:paraId="6142E666"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 </w:t>
      </w:r>
    </w:p>
    <w:p w14:paraId="5E8DCC64"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b/>
          <w:bCs/>
          <w:i/>
          <w:iCs/>
          <w:color w:val="000000"/>
          <w:sz w:val="22"/>
        </w:rPr>
        <w:t>CRITERIO 0004-11</w:t>
      </w:r>
    </w:p>
    <w:p w14:paraId="00E70368"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b/>
          <w:bCs/>
          <w:i/>
          <w:iCs/>
          <w:color w:val="000000"/>
          <w:sz w:val="22"/>
        </w:rPr>
        <w:t>INEXISTENCIA. DECLARATORIA DE LA. ALCANCES Y PROCEDIMIENTOS</w:t>
      </w:r>
      <w:r w:rsidRPr="00EE2DA4">
        <w:rPr>
          <w:rFonts w:ascii="Palatino Linotype" w:hAnsi="Palatino Linotype"/>
          <w:i/>
          <w:iCs/>
          <w:color w:val="000000"/>
          <w:sz w:val="22"/>
        </w:rPr>
        <w:t xml:space="preserve">. 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particular tenga la certeza jurídica de que el Sujeto Obligado realizó una búsqueda exhaustiva y minuciosa de la información en los archivos a cargo.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w:t>
      </w:r>
      <w:r w:rsidRPr="00EE2DA4">
        <w:rPr>
          <w:rFonts w:ascii="Palatino Linotype" w:hAnsi="Palatino Linotype"/>
          <w:i/>
          <w:iCs/>
          <w:color w:val="000000"/>
          <w:sz w:val="22"/>
        </w:rPr>
        <w:lastRenderedPageBreak/>
        <w:t>la información requerida dentro de la estructura del Sujeto Obligado y, en general, el de adoptar cualquier otra previsión que considere conducente para tales efectos y velar por la certeza en el derecho de acceso a la información.</w:t>
      </w:r>
    </w:p>
    <w:p w14:paraId="397A4F8C"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Bajo el entendido de que dicha búsqueda exhaustiva permitirá dos determinaciones:</w:t>
      </w:r>
    </w:p>
    <w:p w14:paraId="244A927E"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1ª) Que se localice la documentación que contenga la información solicitada y de ser así la información pueda entregarse al solicitante en la forma en que se encuentra disponible, o</w:t>
      </w:r>
    </w:p>
    <w:p w14:paraId="5BE2A88A"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2ª)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w:t>
      </w:r>
    </w:p>
    <w:p w14:paraId="21689BE3" w14:textId="77777777" w:rsidR="001D2F66" w:rsidRPr="00EE2DA4" w:rsidRDefault="001D2F66" w:rsidP="001D2F66">
      <w:pPr>
        <w:shd w:val="clear" w:color="auto" w:fill="FFFFFF"/>
        <w:spacing w:line="360" w:lineRule="auto"/>
        <w:ind w:left="567" w:right="567"/>
        <w:jc w:val="both"/>
        <w:rPr>
          <w:rFonts w:ascii="Palatino Linotype" w:hAnsi="Palatino Linotype"/>
          <w:color w:val="222222"/>
          <w:sz w:val="22"/>
        </w:rPr>
      </w:pPr>
      <w:r w:rsidRPr="00EE2DA4">
        <w:rPr>
          <w:rFonts w:ascii="Palatino Linotype" w:hAnsi="Palatino Linotype"/>
          <w:i/>
          <w:iCs/>
          <w:color w:val="000000"/>
          <w:sz w:val="22"/>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14:paraId="45312091"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firstLine="0"/>
        <w:jc w:val="both"/>
        <w:rPr>
          <w:rFonts w:ascii="Palatino Linotype" w:hAnsi="Palatino Linotype"/>
          <w:color w:val="222222"/>
        </w:rPr>
      </w:pPr>
      <w:r w:rsidRPr="00EE2DA4">
        <w:rPr>
          <w:rFonts w:ascii="Palatino Linotype" w:hAnsi="Palatino Linotype"/>
          <w:color w:val="000000"/>
          <w:lang w:val="es-ES_tradnl"/>
        </w:rPr>
        <w:t xml:space="preserve">Bajo éste tenor se debe destacar que para que se declare la inexistencia de la información, debió haber existencia previa de la documentación y la falta posterior de la misma en los archivos del </w:t>
      </w:r>
      <w:r w:rsidRPr="00EE2DA4">
        <w:rPr>
          <w:rFonts w:ascii="Palatino Linotype" w:hAnsi="Palatino Linotype"/>
          <w:b/>
          <w:bCs/>
          <w:color w:val="000000"/>
          <w:lang w:val="es-ES_tradnl"/>
        </w:rPr>
        <w:t>SUJETO OBLIGADO</w:t>
      </w:r>
      <w:r w:rsidRPr="00EE2DA4">
        <w:rPr>
          <w:rFonts w:ascii="Palatino Linotype" w:hAnsi="Palatino Linotype"/>
          <w:color w:val="000000"/>
          <w:lang w:val="es-ES_tradnl"/>
        </w:rPr>
        <w:t xml:space="preserve">, esto es que la información se generó, poseyó o administró en el marco de las atribuciones conferidas a al Sujeto Obligado, </w:t>
      </w:r>
      <w:r w:rsidRPr="00EE2DA4">
        <w:rPr>
          <w:rFonts w:ascii="Palatino Linotype" w:hAnsi="Palatino Linotype"/>
          <w:color w:val="000000"/>
          <w:u w:val="single"/>
          <w:lang w:val="es-ES_tradnl"/>
        </w:rPr>
        <w:t>pero no la conserva</w:t>
      </w:r>
      <w:r w:rsidRPr="00EE2DA4">
        <w:rPr>
          <w:rFonts w:ascii="Palatino Linotype" w:hAnsi="Palatino Linotype"/>
          <w:color w:val="000000"/>
          <w:lang w:val="es-ES_tradnl"/>
        </w:rPr>
        <w:t xml:space="preserve"> por diversas razones (destrucción física, desaparición física, sustracción ilícita, baja documental, etcétera).</w:t>
      </w:r>
    </w:p>
    <w:p w14:paraId="08BB30FF"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firstLine="0"/>
        <w:jc w:val="both"/>
        <w:rPr>
          <w:rFonts w:ascii="Palatino Linotype" w:hAnsi="Palatino Linotype"/>
          <w:color w:val="222222"/>
        </w:rPr>
      </w:pPr>
      <w:r w:rsidRPr="00EE2DA4">
        <w:rPr>
          <w:rFonts w:ascii="Palatino Linotype" w:hAnsi="Palatino Linotype"/>
          <w:color w:val="000000"/>
          <w:lang w:val="es-ES_tradnl"/>
        </w:rPr>
        <w:lastRenderedPageBreak/>
        <w:t xml:space="preserve">En consecuencia, </w:t>
      </w:r>
      <w:r w:rsidRPr="00EE2DA4">
        <w:rPr>
          <w:rFonts w:ascii="Palatino Linotype" w:hAnsi="Palatino Linotype"/>
          <w:b/>
          <w:bCs/>
          <w:color w:val="000000"/>
          <w:lang w:val="es-ES_tradnl"/>
        </w:rPr>
        <w:t xml:space="preserve">el SUJETO OBLIGADO </w:t>
      </w:r>
      <w:r w:rsidRPr="00EE2DA4">
        <w:rPr>
          <w:rFonts w:ascii="Palatino Linotype" w:hAnsi="Palatino Linotype"/>
          <w:color w:val="000000"/>
          <w:lang w:val="es-ES_tradnl"/>
        </w:rPr>
        <w:t>en todo tiempo debió cumplir con las formalidades exigidas por el marco jurídico implicando fundar y motivar su respuesta, por lo que deberá </w:t>
      </w:r>
      <w:r w:rsidRPr="00EE2DA4">
        <w:rPr>
          <w:rFonts w:ascii="Palatino Linotype" w:hAnsi="Palatino Linotype"/>
          <w:color w:val="000000"/>
          <w:u w:val="single"/>
          <w:lang w:val="es-ES_tradnl"/>
        </w:rPr>
        <w:t>emitir un nuevo</w:t>
      </w:r>
      <w:r w:rsidRPr="00EE2DA4">
        <w:rPr>
          <w:rFonts w:ascii="Palatino Linotype" w:hAnsi="Palatino Linotype"/>
          <w:color w:val="000000"/>
          <w:lang w:val="es-ES_tradnl"/>
        </w:rPr>
        <w:t xml:space="preserve"> Acuerdo del Comité de Transparencia, que se hará del conocimiento del particular pero, en los siguientes términos:</w:t>
      </w:r>
    </w:p>
    <w:p w14:paraId="105363B5" w14:textId="77777777" w:rsidR="001D2F66" w:rsidRPr="00EE2DA4" w:rsidRDefault="001D2F66" w:rsidP="001D2F66">
      <w:pPr>
        <w:pStyle w:val="m-698976158124685028gmail-msonormal"/>
        <w:shd w:val="clear" w:color="auto" w:fill="FFFFFF"/>
        <w:spacing w:before="0" w:beforeAutospacing="0" w:after="0" w:afterAutospacing="0" w:line="360" w:lineRule="auto"/>
        <w:ind w:left="567" w:right="567"/>
        <w:jc w:val="both"/>
        <w:rPr>
          <w:rFonts w:ascii="Palatino Linotype" w:hAnsi="Palatino Linotype" w:cs="Arial"/>
          <w:color w:val="222222"/>
        </w:rPr>
      </w:pPr>
      <w:r w:rsidRPr="00EE2DA4">
        <w:rPr>
          <w:rFonts w:ascii="Palatino Linotype" w:hAnsi="Palatino Linotype" w:cs="Arial"/>
          <w:color w:val="000000"/>
          <w:lang w:val="es-ES"/>
        </w:rPr>
        <w:t xml:space="preserve">Deberá emitir el acuerdo de inexistencia respectivo, en el entendido, que el acto de autoridad debe estar </w:t>
      </w:r>
      <w:r w:rsidRPr="00EE2DA4">
        <w:rPr>
          <w:rFonts w:ascii="Palatino Linotype" w:hAnsi="Palatino Linotype" w:cs="Arial"/>
          <w:b/>
          <w:bCs/>
          <w:color w:val="000000"/>
          <w:u w:val="single"/>
          <w:lang w:val="es-ES"/>
        </w:rPr>
        <w:t>debidamente fundado y motivado.</w:t>
      </w:r>
    </w:p>
    <w:p w14:paraId="6A24CBA7" w14:textId="77777777" w:rsidR="001D2F66" w:rsidRPr="00EE2DA4" w:rsidRDefault="001D2F66" w:rsidP="001D2F66">
      <w:pPr>
        <w:pStyle w:val="m-698976158124685028gmail-msonormal"/>
        <w:shd w:val="clear" w:color="auto" w:fill="FFFFFF"/>
        <w:spacing w:before="0" w:beforeAutospacing="0" w:after="0" w:afterAutospacing="0" w:line="360" w:lineRule="auto"/>
        <w:ind w:left="567" w:right="567"/>
        <w:jc w:val="both"/>
        <w:rPr>
          <w:rFonts w:ascii="Palatino Linotype" w:hAnsi="Palatino Linotype" w:cs="Arial"/>
          <w:color w:val="222222"/>
        </w:rPr>
      </w:pPr>
      <w:r w:rsidRPr="00EE2DA4">
        <w:rPr>
          <w:rFonts w:ascii="Palatino Linotype" w:hAnsi="Palatino Linotype" w:cs="Arial"/>
          <w:color w:val="000000"/>
          <w:lang w:val="es-ES"/>
        </w:rPr>
        <w:t> </w:t>
      </w:r>
    </w:p>
    <w:p w14:paraId="20A5A8A7" w14:textId="77777777" w:rsidR="001D2F66" w:rsidRPr="00EE2DA4" w:rsidRDefault="001D2F66" w:rsidP="001D2F66">
      <w:pPr>
        <w:pStyle w:val="m-698976158124685028gmail-msonormal"/>
        <w:shd w:val="clear" w:color="auto" w:fill="FFFFFF"/>
        <w:spacing w:before="0" w:beforeAutospacing="0" w:after="0" w:afterAutospacing="0" w:line="360" w:lineRule="auto"/>
        <w:ind w:left="567" w:right="567"/>
        <w:jc w:val="both"/>
        <w:rPr>
          <w:rFonts w:ascii="Palatino Linotype" w:hAnsi="Palatino Linotype" w:cs="Arial"/>
          <w:color w:val="222222"/>
        </w:rPr>
      </w:pPr>
      <w:r w:rsidRPr="00EE2DA4">
        <w:rPr>
          <w:rFonts w:ascii="Palatino Linotype" w:hAnsi="Palatino Linotype" w:cs="Arial"/>
          <w:color w:val="000000"/>
          <w:lang w:val="es-ES"/>
        </w:rPr>
        <w:t>Señalando el lugar y fecha de la resolución, el nombre del solicitante, la información solicitada, </w:t>
      </w:r>
      <w:r w:rsidRPr="00EE2DA4">
        <w:rPr>
          <w:rFonts w:ascii="Palatino Linotype" w:hAnsi="Palatino Linotype" w:cs="Arial"/>
          <w:b/>
          <w:bCs/>
          <w:color w:val="000000"/>
          <w:u w:val="single"/>
          <w:lang w:val="es-ES"/>
        </w:rPr>
        <w:t>el fundamento y motivo por el cual se determina que la información solicitada no obra en sus archivos</w:t>
      </w:r>
      <w:r w:rsidRPr="00EE2DA4">
        <w:rPr>
          <w:rFonts w:ascii="Palatino Linotype" w:hAnsi="Palatino Linotype" w:cs="Arial"/>
          <w:color w:val="000000"/>
          <w:lang w:val="es-ES"/>
        </w:rPr>
        <w:t>, los nombres y firmas autógrafas de los integrantes del Comité de Información.</w:t>
      </w:r>
    </w:p>
    <w:p w14:paraId="0E43C020" w14:textId="77777777" w:rsidR="001D2F66" w:rsidRPr="00EE2DA4" w:rsidRDefault="001D2F66" w:rsidP="001D2F66">
      <w:pPr>
        <w:pStyle w:val="m-698976158124685028gmail-msonormal"/>
        <w:numPr>
          <w:ilvl w:val="0"/>
          <w:numId w:val="1"/>
        </w:numPr>
        <w:shd w:val="clear" w:color="auto" w:fill="FFFFFF"/>
        <w:spacing w:line="360" w:lineRule="auto"/>
        <w:ind w:left="0" w:firstLine="0"/>
        <w:jc w:val="both"/>
        <w:rPr>
          <w:rFonts w:ascii="Palatino Linotype" w:hAnsi="Palatino Linotype"/>
          <w:color w:val="222222"/>
        </w:rPr>
      </w:pPr>
      <w:r w:rsidRPr="00EE2DA4">
        <w:rPr>
          <w:rFonts w:ascii="Palatino Linotype" w:hAnsi="Palatino Linotype"/>
          <w:color w:val="000000"/>
          <w:lang w:val="es-ES_tradnl"/>
        </w:rPr>
        <w:t xml:space="preserve">Lo anterior es así, toda vez que </w:t>
      </w:r>
      <w:r w:rsidRPr="00EE2DA4">
        <w:rPr>
          <w:rFonts w:ascii="Palatino Linotype" w:hAnsi="Palatino Linotype"/>
          <w:b/>
          <w:bCs/>
          <w:color w:val="000000"/>
          <w:u w:val="single"/>
          <w:lang w:val="es-ES_tradnl"/>
        </w:rPr>
        <w:t>es necesaria</w:t>
      </w:r>
      <w:r w:rsidRPr="00EE2DA4">
        <w:rPr>
          <w:rFonts w:ascii="Palatino Linotype" w:hAnsi="Palatino Linotype"/>
          <w:color w:val="000000"/>
          <w:lang w:val="es-ES_tradnl"/>
        </w:rPr>
        <w:t xml:space="preserve"> la emisión del acuerdo de inexistencia en aquellos casos en que el </w:t>
      </w:r>
      <w:r w:rsidRPr="00EE2DA4">
        <w:rPr>
          <w:rFonts w:ascii="Palatino Linotype" w:hAnsi="Palatino Linotype"/>
          <w:b/>
          <w:bCs/>
          <w:color w:val="000000"/>
          <w:lang w:val="es-ES_tradnl"/>
        </w:rPr>
        <w:t xml:space="preserve">SUJETO OBLIGADO </w:t>
      </w:r>
      <w:r w:rsidRPr="00EE2DA4">
        <w:rPr>
          <w:rFonts w:ascii="Palatino Linotype" w:hAnsi="Palatino Linotype"/>
          <w:b/>
          <w:bCs/>
          <w:color w:val="000000"/>
          <w:u w:val="single"/>
          <w:lang w:val="es-ES_tradnl"/>
        </w:rPr>
        <w:t>generó, administró o poseyó</w:t>
      </w:r>
      <w:r w:rsidRPr="00EE2DA4">
        <w:rPr>
          <w:rFonts w:ascii="Palatino Linotype" w:hAnsi="Palatino Linotype"/>
          <w:b/>
          <w:bCs/>
          <w:color w:val="000000"/>
          <w:lang w:val="es-ES_tradnl"/>
        </w:rPr>
        <w:t xml:space="preserve"> </w:t>
      </w:r>
      <w:r w:rsidRPr="00EE2DA4">
        <w:rPr>
          <w:rFonts w:ascii="Palatino Linotype" w:hAnsi="Palatino Linotype"/>
          <w:color w:val="000000"/>
          <w:lang w:val="es-ES_tradnl"/>
        </w:rPr>
        <w:t>la información solicitada empero previa búsqueda exhaustiva y minuciosa de la misma, no localiza la información requerida.</w:t>
      </w:r>
    </w:p>
    <w:p w14:paraId="582E3A9B"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firstLine="0"/>
        <w:jc w:val="both"/>
        <w:rPr>
          <w:rFonts w:ascii="Palatino Linotype" w:hAnsi="Palatino Linotype"/>
          <w:color w:val="222222"/>
        </w:rPr>
      </w:pPr>
      <w:r w:rsidRPr="00EE2DA4">
        <w:rPr>
          <w:rFonts w:ascii="Palatino Linotype" w:hAnsi="Palatino Linotype"/>
          <w:b/>
          <w:bCs/>
          <w:color w:val="000000"/>
          <w:u w:val="single"/>
          <w:lang w:val="es-ES_tradnl"/>
        </w:rPr>
        <w:t>En ese caso</w:t>
      </w:r>
      <w:r w:rsidRPr="00EE2DA4">
        <w:rPr>
          <w:rFonts w:ascii="Palatino Linotype" w:hAnsi="Palatino Linotype"/>
          <w:color w:val="000000"/>
          <w:lang w:val="es-ES_tradnl"/>
        </w:rPr>
        <w:t xml:space="preserve"> su Comité de Transparencia tiene el deber de emitir un acuerdo de inexistencia, el cual -se insiste-, se dicta en aquellos supuestos en los que si bien la información solicitada la genera, posee o administra el </w:t>
      </w:r>
      <w:r w:rsidRPr="00EE2DA4">
        <w:rPr>
          <w:rFonts w:ascii="Palatino Linotype" w:hAnsi="Palatino Linotype"/>
          <w:b/>
          <w:bCs/>
          <w:color w:val="000000"/>
          <w:lang w:val="es-ES_tradnl"/>
        </w:rPr>
        <w:t>SUJETO OBLIGADO</w:t>
      </w:r>
      <w:r w:rsidRPr="00EE2DA4">
        <w:rPr>
          <w:rFonts w:ascii="Palatino Linotype" w:hAnsi="Palatino Linotype"/>
          <w:color w:val="000000"/>
          <w:lang w:val="es-ES_tradnl"/>
        </w:rPr>
        <w:t xml:space="preserve"> en el marco de las funciones de derecho público; sin embargo, éste no lo posee por la razones que se deben expresar </w:t>
      </w:r>
      <w:r w:rsidRPr="00EE2DA4">
        <w:rPr>
          <w:rFonts w:ascii="Palatino Linotype" w:hAnsi="Palatino Linotype"/>
          <w:b/>
          <w:bCs/>
          <w:color w:val="000000"/>
          <w:u w:val="single"/>
          <w:lang w:val="es-ES_tradnl"/>
        </w:rPr>
        <w:t xml:space="preserve">a través de un acuerdo debidamente fundado y </w:t>
      </w:r>
      <w:r w:rsidRPr="00EE2DA4">
        <w:rPr>
          <w:rFonts w:ascii="Palatino Linotype" w:hAnsi="Palatino Linotype"/>
          <w:b/>
          <w:bCs/>
          <w:color w:val="000000"/>
          <w:u w:val="single"/>
          <w:lang w:val="es-ES_tradnl"/>
        </w:rPr>
        <w:lastRenderedPageBreak/>
        <w:t xml:space="preserve">motivado </w:t>
      </w:r>
      <w:r w:rsidRPr="00EE2DA4">
        <w:rPr>
          <w:rFonts w:ascii="Palatino Linotype" w:hAnsi="Palatino Linotype"/>
          <w:color w:val="000000"/>
          <w:lang w:val="es-ES_tradnl"/>
        </w:rPr>
        <w:t>esto en estricto apego a lo establecido en los artículos 169 y 170 de la ley de la materia situación que no ocurrió.</w:t>
      </w:r>
    </w:p>
    <w:p w14:paraId="008B21E2"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firstLine="0"/>
        <w:jc w:val="both"/>
        <w:rPr>
          <w:rFonts w:ascii="Palatino Linotype" w:hAnsi="Palatino Linotype"/>
          <w:color w:val="222222"/>
        </w:rPr>
      </w:pPr>
      <w:r w:rsidRPr="00EE2DA4">
        <w:rPr>
          <w:rFonts w:ascii="Palatino Linotype" w:hAnsi="Palatino Linotype"/>
          <w:color w:val="000000"/>
          <w:lang w:val="es-ES_tradnl"/>
        </w:rPr>
        <w:t>En otras palabras, hablar de información inexistente implica la alta responsabilidad de explicar a la ciudadanía por qué un ente público que tiene la facultad y el deber de generar, poseer o administrar su información pública no la tiene.</w:t>
      </w:r>
    </w:p>
    <w:p w14:paraId="749F78D8"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firstLine="0"/>
        <w:jc w:val="both"/>
        <w:rPr>
          <w:rFonts w:ascii="Palatino Linotype" w:hAnsi="Palatino Linotype"/>
          <w:color w:val="222222"/>
        </w:rPr>
      </w:pPr>
      <w:r w:rsidRPr="00EE2DA4">
        <w:rPr>
          <w:rFonts w:ascii="Palatino Linotype" w:hAnsi="Palatino Linotype"/>
          <w:color w:val="000000"/>
          <w:lang w:val="es-ES_tradnl"/>
        </w:rPr>
        <w:t>Además, materialmente se trata de una negativa de la información válida con independencia de las responsabilidades administrativas que pudieran ser procedentes.</w:t>
      </w:r>
    </w:p>
    <w:p w14:paraId="24EBFAF2" w14:textId="77777777" w:rsidR="001D2F66" w:rsidRPr="00EE2DA4" w:rsidRDefault="001D2F66" w:rsidP="001D2F66">
      <w:pPr>
        <w:pStyle w:val="m-698976158124685028gmail-msolistparagraph"/>
        <w:numPr>
          <w:ilvl w:val="0"/>
          <w:numId w:val="1"/>
        </w:numPr>
        <w:shd w:val="clear" w:color="auto" w:fill="FFFFFF"/>
        <w:spacing w:before="240" w:beforeAutospacing="0" w:after="240" w:afterAutospacing="0" w:line="360" w:lineRule="auto"/>
        <w:ind w:left="0" w:firstLine="0"/>
        <w:jc w:val="both"/>
        <w:rPr>
          <w:rFonts w:ascii="Palatino Linotype" w:hAnsi="Palatino Linotype"/>
          <w:color w:val="222222"/>
        </w:rPr>
      </w:pPr>
      <w:r w:rsidRPr="00EE2DA4">
        <w:rPr>
          <w:rFonts w:ascii="Palatino Linotype" w:hAnsi="Palatino Linotype"/>
          <w:color w:val="000000"/>
          <w:shd w:val="clear" w:color="auto" w:fill="FFFFFF"/>
          <w:lang w:val="es-ES_tradnl"/>
        </w:rPr>
        <w:t>Es menester señalar que la manifestación hecha por el</w:t>
      </w:r>
      <w:r w:rsidRPr="00EE2DA4">
        <w:rPr>
          <w:rStyle w:val="m-698976158124685028gmail-apple-converted-space"/>
          <w:rFonts w:ascii="Palatino Linotype" w:hAnsi="Palatino Linotype"/>
          <w:color w:val="000000"/>
          <w:shd w:val="clear" w:color="auto" w:fill="FFFFFF"/>
          <w:lang w:val="es-ES_tradnl"/>
        </w:rPr>
        <w:t xml:space="preserve"> </w:t>
      </w:r>
      <w:r w:rsidRPr="00EE2DA4">
        <w:rPr>
          <w:rFonts w:ascii="Palatino Linotype" w:hAnsi="Palatino Linotype"/>
          <w:b/>
          <w:bCs/>
          <w:color w:val="000000"/>
          <w:shd w:val="clear" w:color="auto" w:fill="FFFFFF"/>
          <w:lang w:val="es-ES_tradnl"/>
        </w:rPr>
        <w:t>Sujeto Obligado</w:t>
      </w:r>
      <w:r w:rsidRPr="00EE2DA4">
        <w:rPr>
          <w:rStyle w:val="m-698976158124685028gmail-apple-converted-space"/>
          <w:rFonts w:ascii="Palatino Linotype" w:hAnsi="Palatino Linotype"/>
          <w:b/>
          <w:bCs/>
          <w:color w:val="000000"/>
          <w:shd w:val="clear" w:color="auto" w:fill="FFFFFF"/>
          <w:lang w:val="es-ES_tradnl"/>
        </w:rPr>
        <w:t xml:space="preserve"> </w:t>
      </w:r>
      <w:r w:rsidRPr="00EE2DA4">
        <w:rPr>
          <w:rFonts w:ascii="Palatino Linotype" w:hAnsi="Palatino Linotype"/>
          <w:color w:val="000000"/>
          <w:shd w:val="clear" w:color="auto" w:fill="FFFFFF"/>
          <w:lang w:val="es-ES_tradnl"/>
        </w:rPr>
        <w:t>tanto en la respuesta inicial</w:t>
      </w:r>
      <w:r w:rsidRPr="00EE2DA4">
        <w:rPr>
          <w:rStyle w:val="m-698976158124685028gmail-apple-converted-space"/>
          <w:rFonts w:ascii="Palatino Linotype" w:hAnsi="Palatino Linotype"/>
          <w:color w:val="000000"/>
          <w:shd w:val="clear" w:color="auto" w:fill="FFFFFF"/>
          <w:lang w:val="es-ES_tradnl"/>
        </w:rPr>
        <w:t xml:space="preserve"> como en el acuerdo de inexistencia que será generado </w:t>
      </w:r>
      <w:r w:rsidRPr="00EE2DA4">
        <w:rPr>
          <w:rFonts w:ascii="Palatino Linotype" w:hAnsi="Palatino Linotype"/>
          <w:color w:val="000000"/>
          <w:shd w:val="clear" w:color="auto" w:fill="FFFFFF"/>
          <w:lang w:val="es-ES_tradnl"/>
        </w:rPr>
        <w:t xml:space="preserve">constituyen una confesión expresa en virtud de que concurren las circunstancia dispuestas en el numeral 97 del </w:t>
      </w:r>
      <w:r w:rsidRPr="00EE2DA4">
        <w:rPr>
          <w:rFonts w:ascii="Palatino Linotype" w:hAnsi="Palatino Linotype"/>
          <w:b/>
          <w:bCs/>
          <w:color w:val="000000"/>
          <w:shd w:val="clear" w:color="auto" w:fill="FFFFFF"/>
          <w:lang w:val="es-ES_tradnl"/>
        </w:rPr>
        <w:t>Código de Procedimientos Administrativos del Estado de México</w:t>
      </w:r>
      <w:r w:rsidRPr="00EE2DA4">
        <w:rPr>
          <w:rFonts w:ascii="Palatino Linotype" w:hAnsi="Palatino Linotype"/>
          <w:color w:val="000000"/>
          <w:shd w:val="clear" w:color="auto" w:fill="FFFFFF"/>
          <w:lang w:val="es-ES_tradnl"/>
        </w:rPr>
        <w:t>, consistentes en que fue realizada por persona capacitada para obligarse, con pleno conocimiento, sin coacción ni violencia y respecto de un hecho propio.</w:t>
      </w:r>
    </w:p>
    <w:p w14:paraId="09A7141F" w14:textId="6EEBA777" w:rsidR="00E37A0A" w:rsidRPr="00EE2DA4" w:rsidRDefault="00E37A0A" w:rsidP="00855E9C">
      <w:pPr>
        <w:pStyle w:val="Ttulo2"/>
        <w:rPr>
          <w:color w:val="222222"/>
        </w:rPr>
      </w:pPr>
      <w:bookmarkStart w:id="93" w:name="_Toc33186539"/>
      <w:r w:rsidRPr="00EE2DA4">
        <w:rPr>
          <w:shd w:val="clear" w:color="auto" w:fill="FFFFFF"/>
        </w:rPr>
        <w:t>b) Del aviso de privacidad.</w:t>
      </w:r>
      <w:bookmarkEnd w:id="93"/>
    </w:p>
    <w:p w14:paraId="0BF0EEEC" w14:textId="7777777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Es </w:t>
      </w:r>
      <w:r w:rsidRPr="00EE2DA4">
        <w:rPr>
          <w:rFonts w:ascii="Palatino Linotype" w:eastAsia="MS Mincho" w:hAnsi="Palatino Linotype" w:cs="Arial"/>
        </w:rPr>
        <w:t>menester señalar que la protección de datos personales es un derecho preservado por nuestra Constitución que implica que a toda persona se le debe garantizar que el tratamiento de su información personal en manos de terceros, sea legítima, controlada e informada, debiendo salvaguardad su privacidad.</w:t>
      </w:r>
    </w:p>
    <w:p w14:paraId="350A9213" w14:textId="77777777" w:rsidR="00855E9C" w:rsidRPr="00EE2DA4" w:rsidRDefault="00855E9C" w:rsidP="00855E9C">
      <w:pPr>
        <w:pStyle w:val="Prrafodelista"/>
        <w:tabs>
          <w:tab w:val="left" w:pos="142"/>
          <w:tab w:val="left" w:pos="284"/>
          <w:tab w:val="left" w:pos="426"/>
          <w:tab w:val="left" w:pos="993"/>
        </w:tabs>
        <w:spacing w:before="240" w:after="240" w:line="360" w:lineRule="auto"/>
        <w:ind w:left="0"/>
        <w:jc w:val="both"/>
        <w:rPr>
          <w:rFonts w:ascii="Palatino Linotype" w:eastAsia="MS Gothic" w:hAnsi="Palatino Linotype" w:cs="Times New Roman"/>
          <w:szCs w:val="26"/>
        </w:rPr>
      </w:pPr>
    </w:p>
    <w:p w14:paraId="7192C189" w14:textId="7777777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Para </w:t>
      </w:r>
      <w:r w:rsidRPr="00EE2DA4">
        <w:rPr>
          <w:rFonts w:ascii="Palatino Linotype" w:eastAsia="MS Mincho" w:hAnsi="Palatino Linotype" w:cs="Arial"/>
        </w:rPr>
        <w:t xml:space="preserve">satisfacer lo establecido por nuestra carta magna, se tiene que en el ámbito estatal, se establece en el artículo 4 fracción V, de la </w:t>
      </w:r>
      <w:r w:rsidRPr="00EE2DA4">
        <w:rPr>
          <w:rFonts w:ascii="Palatino Linotype" w:eastAsia="MS Mincho" w:hAnsi="Palatino Linotype" w:cs="Arial"/>
          <w:b/>
        </w:rPr>
        <w:t>Ley de Protección de Datos Personales en Posesión de Sujetos Obligados del Estado de México y Municipios</w:t>
      </w:r>
      <w:r w:rsidRPr="00EE2DA4">
        <w:rPr>
          <w:rFonts w:ascii="Palatino Linotype" w:eastAsia="MS Mincho" w:hAnsi="Palatino Linotype" w:cs="Arial"/>
        </w:rPr>
        <w:t>, la definición del Aviso de Privacidad siendo entendido este como:</w:t>
      </w:r>
    </w:p>
    <w:p w14:paraId="26178E6C" w14:textId="77777777" w:rsidR="00855E9C" w:rsidRPr="00EE2DA4" w:rsidRDefault="00855E9C" w:rsidP="00855E9C">
      <w:pPr>
        <w:pStyle w:val="Prrafodelista"/>
        <w:tabs>
          <w:tab w:val="left" w:pos="142"/>
          <w:tab w:val="left" w:pos="284"/>
          <w:tab w:val="left" w:pos="426"/>
          <w:tab w:val="left" w:pos="993"/>
        </w:tabs>
        <w:spacing w:line="360" w:lineRule="auto"/>
        <w:ind w:left="567"/>
        <w:jc w:val="both"/>
        <w:rPr>
          <w:rFonts w:ascii="Palatino Linotype" w:eastAsia="MS Gothic" w:hAnsi="Palatino Linotype" w:cs="Times New Roman"/>
          <w:szCs w:val="26"/>
        </w:rPr>
      </w:pPr>
    </w:p>
    <w:p w14:paraId="70BF7D34" w14:textId="77777777" w:rsidR="00855E9C" w:rsidRPr="00EE2DA4" w:rsidRDefault="00855E9C" w:rsidP="00855E9C">
      <w:pPr>
        <w:spacing w:line="360" w:lineRule="auto"/>
        <w:ind w:left="567" w:right="567"/>
        <w:contextualSpacing/>
        <w:jc w:val="both"/>
        <w:rPr>
          <w:rFonts w:ascii="Palatino Linotype" w:hAnsi="Palatino Linotype"/>
          <w:i/>
          <w:sz w:val="22"/>
        </w:rPr>
      </w:pPr>
      <w:r w:rsidRPr="00EE2DA4">
        <w:rPr>
          <w:rFonts w:ascii="Palatino Linotype" w:hAnsi="Palatino Linotype"/>
          <w:i/>
          <w:sz w:val="22"/>
        </w:rPr>
        <w:t>“</w:t>
      </w:r>
      <w:r w:rsidRPr="00EE2DA4">
        <w:rPr>
          <w:rFonts w:ascii="Palatino Linotype" w:hAnsi="Palatino Linotype"/>
          <w:b/>
          <w:i/>
          <w:sz w:val="22"/>
        </w:rPr>
        <w:t>Artículo 4.</w:t>
      </w:r>
      <w:r w:rsidRPr="00EE2DA4">
        <w:rPr>
          <w:rFonts w:ascii="Palatino Linotype" w:hAnsi="Palatino Linotype"/>
          <w:i/>
          <w:sz w:val="22"/>
        </w:rPr>
        <w:t xml:space="preserve"> Para los efectos de esta Ley se entenderá por:</w:t>
      </w:r>
    </w:p>
    <w:p w14:paraId="7D332807" w14:textId="77777777" w:rsidR="00855E9C" w:rsidRPr="00EE2DA4" w:rsidRDefault="00855E9C" w:rsidP="00855E9C">
      <w:pPr>
        <w:spacing w:line="360" w:lineRule="auto"/>
        <w:ind w:left="567" w:right="567"/>
        <w:contextualSpacing/>
        <w:jc w:val="both"/>
        <w:rPr>
          <w:rFonts w:ascii="Palatino Linotype" w:hAnsi="Palatino Linotype"/>
          <w:i/>
          <w:sz w:val="22"/>
        </w:rPr>
      </w:pPr>
      <w:r w:rsidRPr="00EE2DA4">
        <w:rPr>
          <w:rFonts w:ascii="Palatino Linotype" w:hAnsi="Palatino Linotype"/>
          <w:i/>
          <w:sz w:val="22"/>
        </w:rPr>
        <w:t>[…]</w:t>
      </w:r>
    </w:p>
    <w:p w14:paraId="2E93835D" w14:textId="77777777" w:rsidR="00855E9C" w:rsidRPr="00EE2DA4" w:rsidRDefault="00855E9C" w:rsidP="00855E9C">
      <w:pPr>
        <w:spacing w:line="360" w:lineRule="auto"/>
        <w:ind w:left="567" w:right="567"/>
        <w:contextualSpacing/>
        <w:jc w:val="both"/>
        <w:rPr>
          <w:rFonts w:ascii="Palatino Linotype" w:hAnsi="Palatino Linotype"/>
          <w:i/>
          <w:sz w:val="22"/>
        </w:rPr>
      </w:pPr>
      <w:r w:rsidRPr="00EE2DA4">
        <w:rPr>
          <w:rFonts w:ascii="Palatino Linotype" w:hAnsi="Palatino Linotype"/>
          <w:b/>
          <w:i/>
          <w:sz w:val="22"/>
        </w:rPr>
        <w:t>V. Aviso de Privacidad:</w:t>
      </w:r>
      <w:r w:rsidRPr="00EE2DA4">
        <w:rPr>
          <w:rFonts w:ascii="Palatino Linotype" w:hAnsi="Palatino Linotype"/>
          <w:i/>
          <w:sz w:val="22"/>
        </w:rPr>
        <w:t xml:space="preserve"> al documento físico, electrónico o en cualquier formato generado por el responsable que es puesto a disposición del Titular con el objeto de informarle los propósitos del tratamiento al que serán sometidos sus datos personales.</w:t>
      </w:r>
    </w:p>
    <w:p w14:paraId="6C235322" w14:textId="77777777" w:rsidR="00855E9C" w:rsidRPr="00EE2DA4" w:rsidRDefault="00855E9C" w:rsidP="00855E9C">
      <w:pPr>
        <w:spacing w:line="360" w:lineRule="auto"/>
        <w:ind w:left="567" w:right="567"/>
        <w:contextualSpacing/>
        <w:jc w:val="both"/>
        <w:rPr>
          <w:rFonts w:ascii="Palatino Linotype" w:eastAsia="MS Mincho" w:hAnsi="Palatino Linotype" w:cs="Arial"/>
          <w:i/>
          <w:sz w:val="22"/>
        </w:rPr>
      </w:pPr>
      <w:r w:rsidRPr="00EE2DA4">
        <w:rPr>
          <w:rFonts w:ascii="Palatino Linotype" w:hAnsi="Palatino Linotype"/>
          <w:i/>
          <w:sz w:val="22"/>
        </w:rPr>
        <w:t>[…]”</w:t>
      </w:r>
    </w:p>
    <w:p w14:paraId="22394314" w14:textId="77777777" w:rsidR="00855E9C" w:rsidRPr="00EE2DA4" w:rsidRDefault="00855E9C" w:rsidP="00855E9C">
      <w:pPr>
        <w:pStyle w:val="Prrafodelista"/>
        <w:tabs>
          <w:tab w:val="left" w:pos="142"/>
          <w:tab w:val="left" w:pos="284"/>
          <w:tab w:val="left" w:pos="426"/>
          <w:tab w:val="left" w:pos="993"/>
        </w:tabs>
        <w:spacing w:line="360" w:lineRule="auto"/>
        <w:ind w:left="567"/>
        <w:jc w:val="both"/>
        <w:rPr>
          <w:rFonts w:ascii="Palatino Linotype" w:eastAsia="MS Gothic" w:hAnsi="Palatino Linotype" w:cs="Times New Roman"/>
          <w:szCs w:val="26"/>
        </w:rPr>
      </w:pPr>
    </w:p>
    <w:p w14:paraId="09CF1655" w14:textId="7777777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De </w:t>
      </w:r>
      <w:r w:rsidRPr="00EE2DA4">
        <w:rPr>
          <w:rFonts w:ascii="Palatino Linotype" w:hAnsi="Palatino Linotype"/>
          <w:iCs/>
          <w:color w:val="000000"/>
        </w:rPr>
        <w:t xml:space="preserve">igual forma, el artículo 29 la </w:t>
      </w:r>
      <w:r w:rsidRPr="00EE2DA4">
        <w:rPr>
          <w:rFonts w:ascii="Palatino Linotype" w:hAnsi="Palatino Linotype"/>
          <w:b/>
          <w:iCs/>
          <w:color w:val="000000"/>
        </w:rPr>
        <w:t>Ley de Protección de Datos en Posesión de Sujetos Obligados</w:t>
      </w:r>
      <w:r w:rsidRPr="00EE2DA4">
        <w:rPr>
          <w:rFonts w:ascii="Palatino Linotype" w:hAnsi="Palatino Linotype"/>
          <w:iCs/>
          <w:color w:val="000000"/>
        </w:rPr>
        <w:t xml:space="preserve"> Estatal, establece que: </w:t>
      </w:r>
      <w:r w:rsidRPr="00EE2DA4">
        <w:rPr>
          <w:rFonts w:ascii="Palatino Linotype" w:hAnsi="Palatino Linotype"/>
          <w:i/>
          <w:iCs/>
          <w:color w:val="000000"/>
        </w:rPr>
        <w:t xml:space="preserve">“Los responsables pondrán a disposición de la o el titular en formatos impresos, digitales, visuales, sonoros o de cualquier otra tecnología, el aviso de privacidad, </w:t>
      </w:r>
      <w:r w:rsidRPr="00EE2DA4">
        <w:rPr>
          <w:rFonts w:ascii="Palatino Linotype" w:hAnsi="Palatino Linotype"/>
          <w:b/>
          <w:i/>
          <w:iCs/>
          <w:color w:val="000000"/>
        </w:rPr>
        <w:t>en las modalidades simplificado e integral</w:t>
      </w:r>
      <w:r w:rsidRPr="00EE2DA4">
        <w:rPr>
          <w:rFonts w:ascii="Palatino Linotype" w:hAnsi="Palatino Linotype"/>
          <w:i/>
          <w:iCs/>
          <w:color w:val="000000"/>
        </w:rPr>
        <w:t>”.</w:t>
      </w:r>
    </w:p>
    <w:p w14:paraId="689879F7" w14:textId="77777777" w:rsidR="00855E9C" w:rsidRPr="00EE2DA4" w:rsidRDefault="00855E9C" w:rsidP="00855E9C">
      <w:pPr>
        <w:pStyle w:val="Prrafodelista"/>
        <w:tabs>
          <w:tab w:val="left" w:pos="142"/>
          <w:tab w:val="left" w:pos="284"/>
          <w:tab w:val="left" w:pos="426"/>
          <w:tab w:val="left" w:pos="993"/>
        </w:tabs>
        <w:spacing w:before="240" w:after="240" w:line="360" w:lineRule="auto"/>
        <w:ind w:left="0"/>
        <w:jc w:val="both"/>
        <w:rPr>
          <w:rFonts w:ascii="Palatino Linotype" w:eastAsia="MS Gothic" w:hAnsi="Palatino Linotype" w:cs="Times New Roman"/>
          <w:szCs w:val="26"/>
        </w:rPr>
      </w:pPr>
    </w:p>
    <w:p w14:paraId="3C8BF6AF" w14:textId="7777777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Asimismo, </w:t>
      </w:r>
      <w:r w:rsidRPr="00EE2DA4">
        <w:rPr>
          <w:rFonts w:ascii="Palatino Linotype" w:hAnsi="Palatino Linotype"/>
          <w:iCs/>
          <w:color w:val="000000"/>
        </w:rPr>
        <w:t xml:space="preserve">el Instituto Nacional de Acceso a la Información (INAI) define al aviso de privacidad como un documento físico, electrónico o en cualquier otro formato, a través del cual el responsable informa al titular sobre la existencia y características principales del tratamiento al que serán sometidos sus datos personales, estando obligado </w:t>
      </w:r>
      <w:r w:rsidRPr="00EE2DA4">
        <w:rPr>
          <w:rFonts w:ascii="Palatino Linotype" w:hAnsi="Palatino Linotype"/>
          <w:b/>
          <w:iCs/>
          <w:color w:val="000000"/>
        </w:rPr>
        <w:t>todo aquel que trate datos personales, sin importar la actividad que realice, o si se trata de una persona física o moral.</w:t>
      </w:r>
    </w:p>
    <w:p w14:paraId="60837E60" w14:textId="77777777" w:rsidR="00855E9C" w:rsidRPr="00EE2DA4" w:rsidRDefault="00855E9C" w:rsidP="00855E9C">
      <w:pPr>
        <w:pStyle w:val="Prrafodelista"/>
        <w:tabs>
          <w:tab w:val="left" w:pos="142"/>
          <w:tab w:val="left" w:pos="284"/>
          <w:tab w:val="left" w:pos="426"/>
          <w:tab w:val="left" w:pos="993"/>
        </w:tabs>
        <w:spacing w:before="240" w:after="240" w:line="360" w:lineRule="auto"/>
        <w:ind w:left="0"/>
        <w:jc w:val="both"/>
        <w:rPr>
          <w:rFonts w:ascii="Palatino Linotype" w:eastAsia="MS Gothic" w:hAnsi="Palatino Linotype" w:cs="Times New Roman"/>
          <w:szCs w:val="26"/>
        </w:rPr>
      </w:pPr>
    </w:p>
    <w:p w14:paraId="2F940ACF" w14:textId="7777777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Hasta </w:t>
      </w:r>
      <w:r w:rsidRPr="00EE2DA4">
        <w:rPr>
          <w:rFonts w:ascii="Palatino Linotype" w:hAnsi="Palatino Linotype"/>
          <w:iCs/>
          <w:color w:val="000000"/>
        </w:rPr>
        <w:t>aquí se tiene que el Aviso de Privacidad, es un documento generado por el responsable de la administración de datos, que se pone a disposición de su titular, con la finalidad de informarle acerca de su tratamiento; es decir se informa qué datos son los que serán recabados y con qué fines.</w:t>
      </w:r>
    </w:p>
    <w:p w14:paraId="5D6F6A2F" w14:textId="77777777" w:rsidR="00855E9C" w:rsidRPr="00EE2DA4" w:rsidRDefault="00855E9C" w:rsidP="00855E9C">
      <w:pPr>
        <w:pStyle w:val="Prrafodelista"/>
        <w:tabs>
          <w:tab w:val="left" w:pos="142"/>
          <w:tab w:val="left" w:pos="284"/>
          <w:tab w:val="left" w:pos="426"/>
          <w:tab w:val="left" w:pos="993"/>
        </w:tabs>
        <w:spacing w:before="240" w:after="240" w:line="360" w:lineRule="auto"/>
        <w:ind w:left="0"/>
        <w:jc w:val="both"/>
        <w:rPr>
          <w:rFonts w:ascii="Palatino Linotype" w:eastAsia="MS Gothic" w:hAnsi="Palatino Linotype" w:cs="Times New Roman"/>
          <w:szCs w:val="26"/>
        </w:rPr>
      </w:pPr>
    </w:p>
    <w:p w14:paraId="164975C0" w14:textId="7777777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Como </w:t>
      </w:r>
      <w:r w:rsidRPr="00EE2DA4">
        <w:rPr>
          <w:rFonts w:ascii="Palatino Linotype" w:hAnsi="Palatino Linotype"/>
          <w:iCs/>
          <w:color w:val="000000"/>
        </w:rPr>
        <w:t>se aprecia, este documento, es sumamente importante en la protección de los datos personales, pues permite que el titular conozca y esté informado sobre los datos que se le están pidiendo y cuál será el destino de éstos, asimismo, dicho aviso, establece y delimita el alcance, términos y condiciones a las que se sujetará el tratamiento de datos personales, a fin de que su titular tome decisiones informadas con relación al uso de estos y por ende, también permite que el responsable, transparente el tratamiento y uso que dará a los mismos.</w:t>
      </w:r>
    </w:p>
    <w:p w14:paraId="1B371713" w14:textId="77777777" w:rsidR="00855E9C" w:rsidRPr="00EE2DA4" w:rsidRDefault="00855E9C" w:rsidP="00855E9C">
      <w:pPr>
        <w:pStyle w:val="Prrafodelista"/>
        <w:tabs>
          <w:tab w:val="left" w:pos="142"/>
          <w:tab w:val="left" w:pos="284"/>
          <w:tab w:val="left" w:pos="426"/>
          <w:tab w:val="left" w:pos="993"/>
        </w:tabs>
        <w:spacing w:before="240" w:after="240" w:line="360" w:lineRule="auto"/>
        <w:ind w:left="0"/>
        <w:jc w:val="both"/>
        <w:rPr>
          <w:rFonts w:ascii="Palatino Linotype" w:eastAsia="MS Gothic" w:hAnsi="Palatino Linotype" w:cs="Times New Roman"/>
          <w:szCs w:val="26"/>
        </w:rPr>
      </w:pPr>
    </w:p>
    <w:p w14:paraId="2B7D02F4" w14:textId="7777777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Ahora </w:t>
      </w:r>
      <w:r w:rsidRPr="00EE2DA4">
        <w:rPr>
          <w:rFonts w:ascii="Palatino Linotype" w:hAnsi="Palatino Linotype"/>
          <w:iCs/>
          <w:color w:val="000000"/>
        </w:rPr>
        <w:t xml:space="preserve">bien, la </w:t>
      </w:r>
      <w:r w:rsidRPr="00EE2DA4">
        <w:rPr>
          <w:rFonts w:ascii="Palatino Linotype" w:hAnsi="Palatino Linotype"/>
          <w:b/>
          <w:iCs/>
          <w:color w:val="000000"/>
        </w:rPr>
        <w:t xml:space="preserve">Ley de Protección de Datos </w:t>
      </w:r>
      <w:r w:rsidRPr="00EE2DA4">
        <w:rPr>
          <w:rFonts w:ascii="Palatino Linotype" w:eastAsia="MS Mincho" w:hAnsi="Palatino Linotype" w:cs="Arial"/>
          <w:b/>
        </w:rPr>
        <w:t>en Posesión de Sujetos Obligados del Estado de México y Municipios</w:t>
      </w:r>
      <w:r w:rsidRPr="00EE2DA4">
        <w:rPr>
          <w:rFonts w:ascii="Palatino Linotype" w:hAnsi="Palatino Linotype"/>
          <w:iCs/>
          <w:color w:val="000000"/>
        </w:rPr>
        <w:t>, establece las excepciones para la comunicación previa del Aviso de Privacidad, las cuales son las siguientes:</w:t>
      </w:r>
    </w:p>
    <w:p w14:paraId="75E71651" w14:textId="77777777" w:rsidR="00855E9C" w:rsidRPr="00EE2DA4" w:rsidRDefault="00855E9C" w:rsidP="00FB16CC">
      <w:pPr>
        <w:pStyle w:val="Prrafodelista"/>
        <w:tabs>
          <w:tab w:val="left" w:pos="142"/>
          <w:tab w:val="left" w:pos="993"/>
        </w:tabs>
        <w:spacing w:before="240" w:line="360" w:lineRule="auto"/>
        <w:ind w:left="567"/>
        <w:jc w:val="both"/>
        <w:rPr>
          <w:rFonts w:ascii="Palatino Linotype" w:eastAsia="MS Gothic" w:hAnsi="Palatino Linotype" w:cs="Times New Roman"/>
          <w:szCs w:val="26"/>
        </w:rPr>
      </w:pPr>
    </w:p>
    <w:p w14:paraId="3D500CCC" w14:textId="77777777" w:rsidR="00855E9C" w:rsidRPr="00EE2DA4" w:rsidRDefault="00855E9C" w:rsidP="00855E9C">
      <w:pPr>
        <w:spacing w:line="276" w:lineRule="auto"/>
        <w:ind w:left="567" w:right="567"/>
        <w:jc w:val="both"/>
        <w:rPr>
          <w:rFonts w:ascii="Palatino Linotype" w:hAnsi="Palatino Linotype"/>
          <w:b/>
          <w:i/>
          <w:sz w:val="22"/>
        </w:rPr>
      </w:pPr>
      <w:r w:rsidRPr="00EE2DA4">
        <w:rPr>
          <w:rFonts w:ascii="Palatino Linotype" w:hAnsi="Palatino Linotype"/>
          <w:b/>
          <w:i/>
          <w:sz w:val="22"/>
        </w:rPr>
        <w:t xml:space="preserve">“Artículo 34. No será necesario proporcionar el aviso de privacidad de manera previa, a la o el titular, cuando: </w:t>
      </w:r>
    </w:p>
    <w:p w14:paraId="4307D330" w14:textId="77777777" w:rsidR="00855E9C" w:rsidRPr="00EE2DA4" w:rsidRDefault="00855E9C" w:rsidP="00855E9C">
      <w:pPr>
        <w:spacing w:line="276" w:lineRule="auto"/>
        <w:ind w:left="567" w:right="567"/>
        <w:jc w:val="both"/>
        <w:rPr>
          <w:rFonts w:ascii="Palatino Linotype" w:hAnsi="Palatino Linotype"/>
          <w:b/>
          <w:i/>
          <w:sz w:val="22"/>
        </w:rPr>
      </w:pPr>
    </w:p>
    <w:p w14:paraId="1E3DB38D" w14:textId="77777777" w:rsidR="00855E9C" w:rsidRPr="00EE2DA4" w:rsidRDefault="00855E9C" w:rsidP="00855E9C">
      <w:pPr>
        <w:spacing w:line="276" w:lineRule="auto"/>
        <w:ind w:left="567" w:right="567"/>
        <w:jc w:val="both"/>
        <w:rPr>
          <w:rFonts w:ascii="Palatino Linotype" w:hAnsi="Palatino Linotype"/>
          <w:i/>
          <w:sz w:val="22"/>
        </w:rPr>
      </w:pPr>
      <w:r w:rsidRPr="00EE2DA4">
        <w:rPr>
          <w:rFonts w:ascii="Palatino Linotype" w:hAnsi="Palatino Linotype"/>
          <w:i/>
          <w:sz w:val="22"/>
        </w:rPr>
        <w:t xml:space="preserve">I. Expresamente una ley lo prevea. </w:t>
      </w:r>
    </w:p>
    <w:p w14:paraId="401DFD44" w14:textId="77777777" w:rsidR="00855E9C" w:rsidRPr="00EE2DA4" w:rsidRDefault="00855E9C" w:rsidP="00855E9C">
      <w:pPr>
        <w:spacing w:line="276" w:lineRule="auto"/>
        <w:ind w:left="567" w:right="567"/>
        <w:jc w:val="both"/>
        <w:rPr>
          <w:rFonts w:ascii="Palatino Linotype" w:hAnsi="Palatino Linotype"/>
          <w:b/>
          <w:i/>
          <w:sz w:val="22"/>
        </w:rPr>
      </w:pPr>
      <w:r w:rsidRPr="00EE2DA4">
        <w:rPr>
          <w:rFonts w:ascii="Palatino Linotype" w:hAnsi="Palatino Linotype"/>
          <w:b/>
          <w:i/>
          <w:sz w:val="22"/>
        </w:rPr>
        <w:t xml:space="preserve">II. Los datos personales se obtengan de manera indirecta. </w:t>
      </w:r>
    </w:p>
    <w:p w14:paraId="5989F9C3" w14:textId="77777777" w:rsidR="00855E9C" w:rsidRPr="00EE2DA4" w:rsidRDefault="00855E9C" w:rsidP="00855E9C">
      <w:pPr>
        <w:spacing w:line="276" w:lineRule="auto"/>
        <w:ind w:left="567" w:right="567"/>
        <w:jc w:val="both"/>
        <w:rPr>
          <w:rFonts w:ascii="Palatino Linotype" w:hAnsi="Palatino Linotype"/>
          <w:i/>
          <w:sz w:val="22"/>
        </w:rPr>
      </w:pPr>
      <w:r w:rsidRPr="00EE2DA4">
        <w:rPr>
          <w:rFonts w:ascii="Palatino Linotype" w:hAnsi="Palatino Linotype"/>
          <w:i/>
          <w:sz w:val="22"/>
        </w:rPr>
        <w:t xml:space="preserve">III. Se trate de urgencias médicas, seguridad pública, o análogas en las cuales se ponga en riesgo la vida o la libertad de las personas, en términos de la legislación de la materia. </w:t>
      </w:r>
    </w:p>
    <w:p w14:paraId="1D3F8270" w14:textId="77777777" w:rsidR="00855E9C" w:rsidRPr="00EE2DA4" w:rsidRDefault="00855E9C" w:rsidP="00855E9C">
      <w:pPr>
        <w:spacing w:line="276" w:lineRule="auto"/>
        <w:ind w:left="567" w:right="567"/>
        <w:jc w:val="both"/>
        <w:rPr>
          <w:rFonts w:ascii="Palatino Linotype" w:hAnsi="Palatino Linotype"/>
          <w:i/>
          <w:sz w:val="22"/>
        </w:rPr>
      </w:pPr>
      <w:r w:rsidRPr="00EE2DA4">
        <w:rPr>
          <w:rFonts w:ascii="Palatino Linotype" w:hAnsi="Palatino Linotype"/>
          <w:i/>
          <w:sz w:val="22"/>
        </w:rPr>
        <w:lastRenderedPageBreak/>
        <w:t xml:space="preserve">IV. Resulte imposible dar a conocer a la o el titular el aviso de privacidad, de manera directa o ello exija esfuerzos desproporcionados, en tales casos, el responsable instrumentará medidas compensatorias de comunicación masiva de acuerdo con los criterios que para tal efecto emitan el Instituto y el Sistema Nacional. </w:t>
      </w:r>
    </w:p>
    <w:p w14:paraId="287BB8F0" w14:textId="77777777" w:rsidR="00855E9C" w:rsidRPr="00EE2DA4" w:rsidRDefault="00855E9C" w:rsidP="00855E9C">
      <w:pPr>
        <w:spacing w:line="276" w:lineRule="auto"/>
        <w:ind w:left="567" w:right="567"/>
        <w:jc w:val="both"/>
        <w:rPr>
          <w:rFonts w:ascii="Palatino Linotype" w:hAnsi="Palatino Linotype"/>
          <w:i/>
          <w:sz w:val="22"/>
        </w:rPr>
      </w:pPr>
    </w:p>
    <w:p w14:paraId="2D729625" w14:textId="77777777" w:rsidR="00855E9C" w:rsidRPr="00EE2DA4" w:rsidRDefault="00855E9C" w:rsidP="00855E9C">
      <w:pPr>
        <w:spacing w:line="276" w:lineRule="auto"/>
        <w:ind w:left="567" w:right="567"/>
        <w:jc w:val="both"/>
        <w:rPr>
          <w:rFonts w:ascii="Palatino Linotype" w:hAnsi="Palatino Linotype"/>
          <w:i/>
          <w:sz w:val="22"/>
        </w:rPr>
      </w:pPr>
      <w:r w:rsidRPr="00EE2DA4">
        <w:rPr>
          <w:rFonts w:ascii="Palatino Linotype" w:hAnsi="Palatino Linotype"/>
          <w:i/>
          <w:sz w:val="22"/>
        </w:rPr>
        <w:t xml:space="preserve">En el supuesto previsto en la fracción II del presente artículo, cuando los datos personales se obtengan de manera indirecta, es decir, no hayan sido obtenidos personal o directamente de su titular y el tratamiento tenga una finalidad diversa a la que originó su obtención, el responsable deberá comunicar el aviso de privacidad dentro de los tres meses siguientes al momento del registro de los datos, salvo que exista constancia de que la o el titular ya fue informado del contenido del aviso de privacidad por el transferente. </w:t>
      </w:r>
    </w:p>
    <w:p w14:paraId="1FF6E3CF" w14:textId="77777777" w:rsidR="00855E9C" w:rsidRPr="00EE2DA4" w:rsidRDefault="00855E9C" w:rsidP="00855E9C">
      <w:pPr>
        <w:spacing w:line="276" w:lineRule="auto"/>
        <w:ind w:left="567" w:right="567"/>
        <w:jc w:val="both"/>
        <w:rPr>
          <w:rFonts w:ascii="Palatino Linotype" w:hAnsi="Palatino Linotype"/>
          <w:i/>
          <w:sz w:val="22"/>
        </w:rPr>
      </w:pPr>
    </w:p>
    <w:p w14:paraId="5D8E31EC" w14:textId="77777777" w:rsidR="00855E9C" w:rsidRPr="00EE2DA4" w:rsidRDefault="00855E9C" w:rsidP="00855E9C">
      <w:pPr>
        <w:spacing w:line="276" w:lineRule="auto"/>
        <w:ind w:left="567" w:right="567"/>
        <w:jc w:val="both"/>
        <w:rPr>
          <w:rFonts w:ascii="Palatino Linotype" w:hAnsi="Palatino Linotype"/>
          <w:i/>
          <w:sz w:val="22"/>
        </w:rPr>
      </w:pPr>
      <w:r w:rsidRPr="00EE2DA4">
        <w:rPr>
          <w:rFonts w:ascii="Palatino Linotype" w:hAnsi="Palatino Linotype"/>
          <w:i/>
          <w:sz w:val="22"/>
        </w:rPr>
        <w:t xml:space="preserve">En los demás casos, es decir, cuando la finalidad sea análoga y compatible con aquella que originó su tratamiento conforme lo señalado en la presente Ley, el aviso de privacidad será comunicado al titular en los mismos términos del párrafo anterior”. </w:t>
      </w:r>
    </w:p>
    <w:p w14:paraId="331E0DA4" w14:textId="77777777" w:rsidR="00855E9C" w:rsidRPr="00EE2DA4" w:rsidRDefault="00855E9C" w:rsidP="00855E9C">
      <w:pPr>
        <w:pStyle w:val="Prrafodelista"/>
        <w:tabs>
          <w:tab w:val="left" w:pos="142"/>
          <w:tab w:val="left" w:pos="284"/>
          <w:tab w:val="left" w:pos="426"/>
          <w:tab w:val="left" w:pos="993"/>
        </w:tabs>
        <w:spacing w:before="240" w:after="240" w:line="360" w:lineRule="auto"/>
        <w:ind w:left="0"/>
        <w:jc w:val="both"/>
        <w:rPr>
          <w:rFonts w:ascii="Palatino Linotype" w:eastAsia="MS Gothic" w:hAnsi="Palatino Linotype" w:cs="Times New Roman"/>
          <w:szCs w:val="26"/>
        </w:rPr>
      </w:pPr>
    </w:p>
    <w:p w14:paraId="22FE1D6E" w14:textId="7777777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De </w:t>
      </w:r>
      <w:r w:rsidRPr="00EE2DA4">
        <w:rPr>
          <w:rFonts w:ascii="Palatino Linotype" w:hAnsi="Palatino Linotype"/>
          <w:iCs/>
          <w:color w:val="000000"/>
        </w:rPr>
        <w:t>lo anterior, se tiene que el responsable no siempre estará obligado a dar a conocer el aviso de privacidad, como cuando los datos personales los haya obtenido de forma indirecta, cuando la ley lo prevea, se trate de urgencias médicas, seguridad pública o sus análogas, cuando resulte imposible dar a conocer el mismo.</w:t>
      </w:r>
    </w:p>
    <w:p w14:paraId="09BBB811" w14:textId="77777777" w:rsidR="00855E9C" w:rsidRPr="00EE2DA4" w:rsidRDefault="00855E9C" w:rsidP="00855E9C">
      <w:pPr>
        <w:pStyle w:val="Prrafodelista"/>
        <w:tabs>
          <w:tab w:val="left" w:pos="142"/>
          <w:tab w:val="left" w:pos="284"/>
          <w:tab w:val="left" w:pos="426"/>
          <w:tab w:val="left" w:pos="993"/>
        </w:tabs>
        <w:spacing w:before="240" w:after="240" w:line="360" w:lineRule="auto"/>
        <w:ind w:left="0"/>
        <w:jc w:val="both"/>
        <w:rPr>
          <w:rFonts w:ascii="Palatino Linotype" w:eastAsia="MS Gothic" w:hAnsi="Palatino Linotype" w:cs="Times New Roman"/>
          <w:szCs w:val="26"/>
        </w:rPr>
      </w:pPr>
    </w:p>
    <w:p w14:paraId="56AB7D40" w14:textId="00128967" w:rsidR="00855E9C" w:rsidRPr="00EE2DA4" w:rsidRDefault="00855E9C" w:rsidP="00855E9C">
      <w:pPr>
        <w:pStyle w:val="Prrafodelista"/>
        <w:numPr>
          <w:ilvl w:val="0"/>
          <w:numId w:val="1"/>
        </w:numPr>
        <w:tabs>
          <w:tab w:val="left" w:pos="142"/>
          <w:tab w:val="left" w:pos="284"/>
          <w:tab w:val="left" w:pos="426"/>
          <w:tab w:val="left" w:pos="993"/>
        </w:tabs>
        <w:spacing w:before="240" w:after="240" w:line="360" w:lineRule="auto"/>
        <w:ind w:left="0" w:firstLine="0"/>
        <w:jc w:val="both"/>
        <w:rPr>
          <w:rFonts w:ascii="Palatino Linotype" w:eastAsia="MS Gothic" w:hAnsi="Palatino Linotype" w:cs="Times New Roman"/>
          <w:szCs w:val="26"/>
        </w:rPr>
      </w:pPr>
      <w:r w:rsidRPr="00EE2DA4">
        <w:rPr>
          <w:rFonts w:ascii="Palatino Linotype" w:eastAsia="MS Gothic" w:hAnsi="Palatino Linotype" w:cs="Times New Roman"/>
          <w:szCs w:val="26"/>
        </w:rPr>
        <w:t xml:space="preserve">Una </w:t>
      </w:r>
      <w:r w:rsidRPr="00EE2DA4">
        <w:rPr>
          <w:rFonts w:ascii="Palatino Linotype" w:hAnsi="Palatino Linotype"/>
          <w:iCs/>
          <w:color w:val="000000"/>
        </w:rPr>
        <w:t xml:space="preserve">vez establecido lo anterior, atendiendo a las manifestaciones vertidas por el recurrente en su recurso de revisión, se tiene que este se inconformó porque </w:t>
      </w:r>
      <w:r w:rsidR="00FB16CC" w:rsidRPr="00EE2DA4">
        <w:rPr>
          <w:rFonts w:ascii="Palatino Linotype" w:hAnsi="Palatino Linotype"/>
          <w:iCs/>
          <w:color w:val="000000"/>
        </w:rPr>
        <w:t>a su consideración “</w:t>
      </w:r>
      <w:r w:rsidR="00FB16CC" w:rsidRPr="00EE2DA4">
        <w:rPr>
          <w:rFonts w:ascii="Palatino Linotype" w:hAnsi="Palatino Linotype"/>
          <w:i/>
          <w:color w:val="000000"/>
        </w:rPr>
        <w:t>el aviso de privacidad que se inventaron no se encuentra elaborado conforme al artículo 31 de la Ley local, puesto que no establece el mecanismo para ejercer la portabildad, a pesar de que la información se encuentra en una plataforma electrónica, asi como el señalar que se cuenta con dos administradores</w:t>
      </w:r>
      <w:r w:rsidR="00FB16CC" w:rsidRPr="00EE2DA4">
        <w:rPr>
          <w:rFonts w:ascii="Palatino Linotype" w:hAnsi="Palatino Linotype"/>
          <w:iCs/>
          <w:color w:val="000000"/>
        </w:rPr>
        <w:t>”</w:t>
      </w:r>
      <w:r w:rsidRPr="00EE2DA4">
        <w:rPr>
          <w:rFonts w:ascii="Palatino Linotype" w:hAnsi="Palatino Linotype"/>
          <w:iCs/>
          <w:color w:val="000000"/>
        </w:rPr>
        <w:t>.</w:t>
      </w:r>
    </w:p>
    <w:p w14:paraId="1176B305" w14:textId="77777777" w:rsidR="00855E9C" w:rsidRPr="00EE2DA4" w:rsidRDefault="00855E9C" w:rsidP="00855E9C">
      <w:pPr>
        <w:pStyle w:val="Prrafodelista"/>
        <w:tabs>
          <w:tab w:val="left" w:pos="142"/>
          <w:tab w:val="left" w:pos="284"/>
          <w:tab w:val="left" w:pos="426"/>
          <w:tab w:val="left" w:pos="993"/>
        </w:tabs>
        <w:spacing w:line="360" w:lineRule="auto"/>
        <w:ind w:left="0"/>
        <w:jc w:val="both"/>
        <w:rPr>
          <w:rFonts w:ascii="Palatino Linotype" w:eastAsia="MS Gothic" w:hAnsi="Palatino Linotype" w:cs="Times New Roman"/>
          <w:szCs w:val="26"/>
        </w:rPr>
      </w:pPr>
    </w:p>
    <w:p w14:paraId="6C8F1FD7" w14:textId="0869F163" w:rsidR="00361BC0" w:rsidRPr="00EE2DA4" w:rsidRDefault="00FB16CC" w:rsidP="00855E9C">
      <w:pPr>
        <w:pStyle w:val="m-698976158124685028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olor w:val="000000" w:themeColor="text1"/>
        </w:rPr>
      </w:pPr>
      <w:r w:rsidRPr="00EE2DA4">
        <w:rPr>
          <w:rFonts w:ascii="Palatino Linotype" w:hAnsi="Palatino Linotype"/>
          <w:color w:val="222222"/>
        </w:rPr>
        <w:lastRenderedPageBreak/>
        <w:t>En ese sentido</w:t>
      </w:r>
      <w:r w:rsidR="00E37A0A" w:rsidRPr="00EE2DA4">
        <w:rPr>
          <w:rFonts w:ascii="Palatino Linotype" w:hAnsi="Palatino Linotype"/>
          <w:color w:val="222222"/>
        </w:rPr>
        <w:t xml:space="preserve"> a todas luces se observó que el </w:t>
      </w:r>
      <w:r w:rsidR="00E37A0A" w:rsidRPr="00EE2DA4">
        <w:rPr>
          <w:rFonts w:ascii="Palatino Linotype" w:hAnsi="Palatino Linotype"/>
          <w:b/>
          <w:color w:val="222222"/>
        </w:rPr>
        <w:t>SUJETO OBLIGADO</w:t>
      </w:r>
      <w:r w:rsidR="00E37A0A" w:rsidRPr="00EE2DA4">
        <w:rPr>
          <w:rFonts w:ascii="Palatino Linotype" w:hAnsi="Palatino Linotype"/>
          <w:color w:val="222222"/>
        </w:rPr>
        <w:t xml:space="preserve"> desde su respuesta transcribió el </w:t>
      </w:r>
      <w:r w:rsidR="00361BC0" w:rsidRPr="00EE2DA4">
        <w:rPr>
          <w:rFonts w:ascii="Palatino Linotype" w:hAnsi="Palatino Linotype"/>
          <w:iCs/>
          <w:color w:val="000000" w:themeColor="text1"/>
        </w:rPr>
        <w:t>Aviso de Privacidad Integral de la Base de Datos "</w:t>
      </w:r>
      <w:r w:rsidR="00361BC0" w:rsidRPr="00EE2DA4">
        <w:rPr>
          <w:rFonts w:ascii="Palatino Linotype" w:hAnsi="Palatino Linotype"/>
          <w:i/>
          <w:iCs/>
          <w:color w:val="000000" w:themeColor="text1"/>
        </w:rPr>
        <w:t>Sistema Integral de Quejas</w:t>
      </w:r>
      <w:r w:rsidR="00361BC0" w:rsidRPr="00EE2DA4">
        <w:rPr>
          <w:rFonts w:ascii="Palatino Linotype" w:hAnsi="Palatino Linotype"/>
          <w:i/>
          <w:color w:val="000000" w:themeColor="text1"/>
        </w:rPr>
        <w:t xml:space="preserve"> </w:t>
      </w:r>
      <w:r w:rsidR="00361BC0" w:rsidRPr="00EE2DA4">
        <w:rPr>
          <w:rFonts w:ascii="Palatino Linotype" w:hAnsi="Palatino Linotype"/>
          <w:i/>
          <w:iCs/>
          <w:color w:val="000000" w:themeColor="text1"/>
        </w:rPr>
        <w:t>Versión 2.0</w:t>
      </w:r>
      <w:r w:rsidR="00361BC0" w:rsidRPr="00EE2DA4">
        <w:rPr>
          <w:rFonts w:ascii="Palatino Linotype" w:hAnsi="Palatino Linotype"/>
          <w:iCs/>
          <w:color w:val="000000" w:themeColor="text1"/>
        </w:rPr>
        <w:t xml:space="preserve">” disponible en la página electrónica </w:t>
      </w:r>
      <w:hyperlink r:id="rId18" w:history="1">
        <w:r w:rsidR="00361BC0" w:rsidRPr="00EE2DA4">
          <w:rPr>
            <w:rStyle w:val="Hipervnculo"/>
            <w:rFonts w:ascii="Palatino Linotype" w:hAnsi="Palatino Linotype"/>
          </w:rPr>
          <w:t>https://www.codhem.org.mx/LocalUser/codhem.org/avisos/AvisoPrivacidadPrimeraVisitaduriaGeneral.pdf</w:t>
        </w:r>
      </w:hyperlink>
      <w:r w:rsidR="00361BC0" w:rsidRPr="00EE2DA4">
        <w:rPr>
          <w:rFonts w:ascii="Palatino Linotype" w:hAnsi="Palatino Linotype"/>
        </w:rPr>
        <w:t xml:space="preserve">, y de la revisión al mismo se advirtió que el mismo cumplió con los requisitos establecidos </w:t>
      </w:r>
      <w:r w:rsidRPr="00EE2DA4">
        <w:rPr>
          <w:rFonts w:ascii="Palatino Linotype" w:hAnsi="Palatino Linotype"/>
        </w:rPr>
        <w:t xml:space="preserve">en el artículo 31 de la </w:t>
      </w:r>
      <w:r w:rsidRPr="00EE2DA4">
        <w:rPr>
          <w:rFonts w:ascii="Palatino Linotype" w:hAnsi="Palatino Linotype"/>
          <w:b/>
          <w:iCs/>
          <w:color w:val="000000"/>
        </w:rPr>
        <w:t xml:space="preserve">Ley de Protección de Datos </w:t>
      </w:r>
      <w:r w:rsidRPr="00EE2DA4">
        <w:rPr>
          <w:rFonts w:ascii="Palatino Linotype" w:eastAsia="MS Mincho" w:hAnsi="Palatino Linotype" w:cs="Arial"/>
          <w:b/>
        </w:rPr>
        <w:t xml:space="preserve">en Posesión de Sujetos Obligados del Estado de México y Municipios, </w:t>
      </w:r>
      <w:r w:rsidRPr="00EE2DA4">
        <w:rPr>
          <w:rFonts w:ascii="Palatino Linotype" w:eastAsia="MS Mincho" w:hAnsi="Palatino Linotype" w:cs="Arial"/>
        </w:rPr>
        <w:t>que a continuación se transcriben:</w:t>
      </w:r>
    </w:p>
    <w:p w14:paraId="7EEF0236" w14:textId="77777777" w:rsidR="00FB16CC" w:rsidRPr="00EE2DA4" w:rsidRDefault="00FB16CC" w:rsidP="00E25313">
      <w:pPr>
        <w:pStyle w:val="m-698976158124685028gmail-msolistparagraph"/>
        <w:shd w:val="clear" w:color="auto" w:fill="FFFFFF"/>
        <w:spacing w:before="0" w:beforeAutospacing="0" w:after="0" w:afterAutospacing="0" w:line="360" w:lineRule="auto"/>
        <w:jc w:val="both"/>
        <w:rPr>
          <w:rFonts w:ascii="Palatino Linotype" w:hAnsi="Palatino Linotype"/>
          <w:color w:val="000000" w:themeColor="text1"/>
        </w:rPr>
      </w:pPr>
    </w:p>
    <w:p w14:paraId="31847565"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Artículo 31. El aviso de privacidad integral contendrá la información siguiente: </w:t>
      </w:r>
    </w:p>
    <w:p w14:paraId="0E4BE7AA" w14:textId="0398FF62"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I. La denominación del responsable. </w:t>
      </w:r>
    </w:p>
    <w:p w14:paraId="1F89F871"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II. El nombre y cargo del administrador, así como el área o unidad administrativa a la que se encuentra adscrito. </w:t>
      </w:r>
    </w:p>
    <w:p w14:paraId="068CCE7B"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III. El nombre del sistema de datos personales o base de datos al que serán incorporados los datos personales. </w:t>
      </w:r>
    </w:p>
    <w:p w14:paraId="5E9C33DE"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IV. Los datos personales que serán sometidos a tratamiento, identificando los que son sensibles. </w:t>
      </w:r>
    </w:p>
    <w:p w14:paraId="6FE217F2"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V. El carácter obligatorio o facultativo de la entrega de los datos personales. </w:t>
      </w:r>
    </w:p>
    <w:p w14:paraId="7CE14416" w14:textId="4FBD8DA8"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VI. Las consecuencias de la negativa a suministrarlos. </w:t>
      </w:r>
    </w:p>
    <w:p w14:paraId="35F051DB"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VII. Las finalidades del tratamiento para las cuales se obtienen los datos personales, distinguiendo aquéllas que requieran el consentimiento de la o el titular. </w:t>
      </w:r>
    </w:p>
    <w:p w14:paraId="5D551550"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VIII. Cuando se realicen transferencias de datos personales se informará: </w:t>
      </w:r>
    </w:p>
    <w:p w14:paraId="73029BB8" w14:textId="241F9400"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a) Destinatario de los datos. </w:t>
      </w:r>
    </w:p>
    <w:p w14:paraId="6A7D9A17"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b) Finalidad de la transferencia. </w:t>
      </w:r>
    </w:p>
    <w:p w14:paraId="1CA58727"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c) El fundamento que autoriza la transferencia. </w:t>
      </w:r>
    </w:p>
    <w:p w14:paraId="1E5C7BA6"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lastRenderedPageBreak/>
        <w:t xml:space="preserve">d) Los datos personales a transferir. </w:t>
      </w:r>
    </w:p>
    <w:p w14:paraId="7047EAB8"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e) Las implicaciones de otorgar, el consentimiento expreso. Cuando se realicen transferencias de datos personales que requieran consentimiento, se acreditará el otorgamiento. </w:t>
      </w:r>
    </w:p>
    <w:p w14:paraId="5338D1BA"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IX. Los mecanismos y medios estarán disponibles para el uso previo al tratamiento de los datos personales, para que la o el titular, pueda manifestar su negativa para la finalidad y transferencia que requieran el consentimiento de la o el titular. </w:t>
      </w:r>
    </w:p>
    <w:p w14:paraId="63D235DC"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X. Los mecanismos, medios y procedimientos disponibles para ejercer los derechos ARCO, indicando la dirección electrónica del sistema para presentar sus solicitudes. </w:t>
      </w:r>
    </w:p>
    <w:p w14:paraId="40F2D187" w14:textId="1269342F"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XI. La indicación por la cual la o el titular podrá revocar el consentimiento para el tratamiento de sus datos, detallando el procedimiento a seguir para tal efecto. </w:t>
      </w:r>
    </w:p>
    <w:p w14:paraId="1051F5F5"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XII. Cuando aplique, las opciones y medios que el responsable ofrezca a las o los titulares para limitar el uso o divulgación, o la portabilidad de datos. </w:t>
      </w:r>
    </w:p>
    <w:p w14:paraId="7292969D" w14:textId="69039AD5"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XIII. Los medios a través de los cuales el responsable comunicará a los titulares los cambios al aviso de privacidad, </w:t>
      </w:r>
    </w:p>
    <w:p w14:paraId="7C181CDF"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XIV. El cargo y domicilio del encargado, indicando su nombre o el medio por el cual se pueda conocer su identidad. </w:t>
      </w:r>
    </w:p>
    <w:p w14:paraId="7CCFFD59"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XV. El domicilio del responsable, y en su caso, cargo y domicilio del encargado, indicando su nombre o el medio por el cual se pueda conocer su identidad. </w:t>
      </w:r>
    </w:p>
    <w:p w14:paraId="2A797485" w14:textId="4A57BA3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XVI. El fundamento legal que faculta al responsable para llevar a cabo el tratamiento. XVII. El procedimiento para que se ejerza el derecho a la portabilidad. </w:t>
      </w:r>
    </w:p>
    <w:p w14:paraId="5F365F8B" w14:textId="77777777"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XVIII. El domicilio de la Unidad de Transparencia. </w:t>
      </w:r>
    </w:p>
    <w:p w14:paraId="635E22E0" w14:textId="43FC49B0" w:rsidR="00FB16CC" w:rsidRPr="00EE2DA4" w:rsidRDefault="00FB16CC" w:rsidP="00E25313">
      <w:pPr>
        <w:pStyle w:val="m-698976158124685028gmail-msolistparagraph"/>
        <w:shd w:val="clear" w:color="auto" w:fill="FFFFFF"/>
        <w:spacing w:before="0" w:beforeAutospacing="0" w:after="0" w:afterAutospacing="0" w:line="360" w:lineRule="auto"/>
        <w:ind w:left="567" w:right="567"/>
        <w:jc w:val="both"/>
        <w:rPr>
          <w:rFonts w:ascii="Palatino Linotype" w:hAnsi="Palatino Linotype"/>
          <w:i/>
          <w:color w:val="000000" w:themeColor="text1"/>
          <w:sz w:val="22"/>
          <w:szCs w:val="22"/>
        </w:rPr>
      </w:pPr>
      <w:r w:rsidRPr="00EE2DA4">
        <w:rPr>
          <w:rFonts w:ascii="Palatino Linotype" w:hAnsi="Palatino Linotype"/>
          <w:i/>
          <w:sz w:val="22"/>
          <w:szCs w:val="22"/>
        </w:rPr>
        <w:t>XIX. Datos de contacto del Instituto, incluidos domicilio, dirección del portal informativo, correo electrónico y teléfono del Centro de Atención Telefónica, para que la o el titular pueda recibir asesoría o presentar denuncias por violaciones a las disposiciones de la Ley.</w:t>
      </w:r>
    </w:p>
    <w:p w14:paraId="6358E508" w14:textId="77777777" w:rsidR="00FB16CC" w:rsidRPr="00EE2DA4" w:rsidRDefault="00FB16CC" w:rsidP="00FB16CC">
      <w:pPr>
        <w:pStyle w:val="Prrafodelista"/>
        <w:rPr>
          <w:rFonts w:ascii="Palatino Linotype" w:hAnsi="Palatino Linotype"/>
          <w:color w:val="000000" w:themeColor="text1"/>
        </w:rPr>
      </w:pPr>
    </w:p>
    <w:p w14:paraId="2C0D7879" w14:textId="11C3F000" w:rsidR="00E25313" w:rsidRPr="00EE2DA4" w:rsidRDefault="00FB16CC" w:rsidP="00E25313">
      <w:pPr>
        <w:pStyle w:val="Prrafodelista"/>
        <w:numPr>
          <w:ilvl w:val="0"/>
          <w:numId w:val="1"/>
        </w:numPr>
        <w:autoSpaceDE w:val="0"/>
        <w:autoSpaceDN w:val="0"/>
        <w:adjustRightInd w:val="0"/>
        <w:spacing w:line="360" w:lineRule="auto"/>
        <w:ind w:left="0" w:firstLine="0"/>
        <w:jc w:val="both"/>
        <w:rPr>
          <w:rFonts w:ascii="Palatino Linotype" w:hAnsi="Palatino Linotype" w:cs="Arial"/>
          <w:i/>
          <w:color w:val="000000" w:themeColor="text1"/>
          <w:lang w:val="es-MX"/>
        </w:rPr>
      </w:pPr>
      <w:r w:rsidRPr="00EE2DA4">
        <w:rPr>
          <w:rFonts w:ascii="Palatino Linotype" w:hAnsi="Palatino Linotype"/>
          <w:color w:val="000000" w:themeColor="text1"/>
        </w:rPr>
        <w:t>Así mismo</w:t>
      </w:r>
      <w:r w:rsidR="00E25313" w:rsidRPr="00EE2DA4">
        <w:rPr>
          <w:rFonts w:ascii="Palatino Linotype" w:hAnsi="Palatino Linotype"/>
          <w:color w:val="000000" w:themeColor="text1"/>
        </w:rPr>
        <w:t xml:space="preserve"> el </w:t>
      </w:r>
      <w:r w:rsidR="00E25313" w:rsidRPr="00EE2DA4">
        <w:rPr>
          <w:rFonts w:ascii="Palatino Linotype" w:hAnsi="Palatino Linotype"/>
          <w:b/>
          <w:color w:val="000000" w:themeColor="text1"/>
        </w:rPr>
        <w:t>SUJETO OBLIGADO</w:t>
      </w:r>
      <w:r w:rsidR="00E25313" w:rsidRPr="00EE2DA4">
        <w:rPr>
          <w:rFonts w:ascii="Palatino Linotype" w:hAnsi="Palatino Linotype"/>
          <w:color w:val="000000" w:themeColor="text1"/>
        </w:rPr>
        <w:t xml:space="preserve"> mediante su informe justificado señaló “</w:t>
      </w:r>
      <w:r w:rsidR="00E25313" w:rsidRPr="00EE2DA4">
        <w:rPr>
          <w:rFonts w:ascii="Palatino Linotype" w:hAnsi="Palatino Linotype" w:cs="Arial"/>
          <w:bCs/>
          <w:i/>
          <w:color w:val="000000" w:themeColor="text1"/>
          <w:lang w:val="es-MX"/>
        </w:rPr>
        <w:t xml:space="preserve">por cuanto hace al aviso de privacidad, </w:t>
      </w:r>
      <w:r w:rsidR="00E25313" w:rsidRPr="00EE2DA4">
        <w:rPr>
          <w:rFonts w:ascii="Palatino Linotype" w:hAnsi="Palatino Linotype" w:cs="Arial"/>
          <w:i/>
          <w:color w:val="000000" w:themeColor="text1"/>
          <w:lang w:val="es-MX"/>
        </w:rPr>
        <w:t xml:space="preserve">me permito hacer mención que el aviso de privacidad cumple con todas las fracciones del artículo 31 de la Ley de Protección de Datos Personales en Posesión de Sujetos Obligados del Estado de México y Municipios, y no se establece un mecanismo para ejercer el derecho a la portabilidad, toda vez que la fracción no es aplicable, ya que no se cuenta con un formato establecido, o bien comúnmente manejado por este Organismo, que pueda ser utilizado por el particular para realizar algún otro trámite ante diversas </w:t>
      </w:r>
      <w:r w:rsidR="00E25313" w:rsidRPr="00EE2DA4">
        <w:rPr>
          <w:rFonts w:ascii="Palatino Linotype" w:hAnsi="Palatino Linotype" w:cs="Arial"/>
          <w:i/>
          <w:color w:val="000000" w:themeColor="text1"/>
        </w:rPr>
        <w:t xml:space="preserve">autoridades”, </w:t>
      </w:r>
      <w:r w:rsidR="00E25313" w:rsidRPr="00EE2DA4">
        <w:rPr>
          <w:rFonts w:ascii="Palatino Linotype" w:hAnsi="Palatino Linotype" w:cs="Arial"/>
          <w:color w:val="000000" w:themeColor="text1"/>
        </w:rPr>
        <w:t>tal como se expresa en el apartado XVII del aviso de privacidad en cuestión.</w:t>
      </w:r>
    </w:p>
    <w:p w14:paraId="24DADD1C" w14:textId="77777777" w:rsidR="00E25313" w:rsidRPr="00EE2DA4" w:rsidRDefault="00E25313" w:rsidP="00E25313">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2F702A34" w14:textId="0FA1C99C" w:rsidR="00FB16CC" w:rsidRPr="00EE2DA4" w:rsidRDefault="0085749C" w:rsidP="0085749C">
      <w:pPr>
        <w:pStyle w:val="Ttulo2"/>
      </w:pPr>
      <w:bookmarkStart w:id="94" w:name="_Toc33186540"/>
      <w:r w:rsidRPr="00EE2DA4">
        <w:t>c) Del acuerdo del Comité de Transparencia.</w:t>
      </w:r>
      <w:bookmarkEnd w:id="94"/>
    </w:p>
    <w:p w14:paraId="2ED8B1CF" w14:textId="77777777" w:rsidR="0085749C" w:rsidRPr="00EE2DA4" w:rsidRDefault="0085749C" w:rsidP="0085749C">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4EABC3EB" w14:textId="4C413F53" w:rsidR="0085749C" w:rsidRPr="00EE2DA4" w:rsidRDefault="0085749C" w:rsidP="0085749C">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EE2DA4">
        <w:rPr>
          <w:rFonts w:ascii="Palatino Linotype" w:hAnsi="Palatino Linotype" w:cs="Arial"/>
          <w:color w:val="000000" w:themeColor="text1"/>
          <w:lang w:val="es-MX"/>
        </w:rPr>
        <w:t xml:space="preserve">En referencia al acuerdo del Comité de Transparencia , se observó que el </w:t>
      </w:r>
      <w:r w:rsidRPr="00EE2DA4">
        <w:rPr>
          <w:rFonts w:ascii="Palatino Linotype" w:hAnsi="Palatino Linotype" w:cs="Arial"/>
          <w:b/>
          <w:color w:val="000000" w:themeColor="text1"/>
          <w:lang w:val="es-MX"/>
        </w:rPr>
        <w:t>SUJETO OBLIGADO</w:t>
      </w:r>
      <w:r w:rsidRPr="00EE2DA4">
        <w:rPr>
          <w:rFonts w:ascii="Palatino Linotype" w:hAnsi="Palatino Linotype" w:cs="Arial"/>
          <w:color w:val="000000" w:themeColor="text1"/>
          <w:lang w:val="es-MX"/>
        </w:rPr>
        <w:t xml:space="preserve"> únicamente se limitó a señalar que en la Primera Sesión Extraordinaria del Comité de Transparencia, se sometió en el Décimo Sexto Punto del orden del día, la clasificación, actualización y modificación de la base de datos denominada Sistema Integral de Quejas y Asesorías Versión 2.0, así mismo realizó una transcripción del referido acuerdo pero no hizo entrega del </w:t>
      </w:r>
      <w:r w:rsidRPr="00EE2DA4">
        <w:rPr>
          <w:rFonts w:ascii="Palatino Linotype" w:hAnsi="Palatino Linotype" w:cs="Arial"/>
          <w:b/>
          <w:color w:val="000000" w:themeColor="text1"/>
          <w:u w:val="single"/>
          <w:lang w:val="es-MX"/>
        </w:rPr>
        <w:t>soporte documental</w:t>
      </w:r>
      <w:r w:rsidRPr="00EE2DA4">
        <w:rPr>
          <w:rFonts w:ascii="Palatino Linotype" w:hAnsi="Palatino Linotype" w:cs="Arial"/>
          <w:color w:val="000000" w:themeColor="text1"/>
          <w:lang w:val="es-MX"/>
        </w:rPr>
        <w:t xml:space="preserve"> en donde consta, es decir el acta en donde se asentó, mediante la cual se pudiera corroborar que el Comité de transparencia asentó su firma para proporcionar legalidad al mismo</w:t>
      </w:r>
      <w:r w:rsidR="00861394" w:rsidRPr="00EE2DA4">
        <w:rPr>
          <w:rFonts w:ascii="Palatino Linotype" w:hAnsi="Palatino Linotype" w:cs="Arial"/>
          <w:color w:val="000000" w:themeColor="text1"/>
          <w:lang w:val="es-MX"/>
        </w:rPr>
        <w:t xml:space="preserve">, o si </w:t>
      </w:r>
      <w:r w:rsidR="00861394" w:rsidRPr="00EE2DA4">
        <w:rPr>
          <w:rFonts w:ascii="Palatino Linotype" w:hAnsi="Palatino Linotype"/>
          <w:lang w:val="es-MX"/>
        </w:rPr>
        <w:t>hubo manifestación expresa de voluntad de las partes.</w:t>
      </w:r>
    </w:p>
    <w:p w14:paraId="7E272F16" w14:textId="77777777" w:rsidR="00861394" w:rsidRPr="00EE2DA4" w:rsidRDefault="00861394" w:rsidP="00861394">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11A89E44" w14:textId="18246211" w:rsidR="00861394" w:rsidRPr="00EE2DA4" w:rsidRDefault="00861394" w:rsidP="00861394">
      <w:pPr>
        <w:pStyle w:val="Prrafodelista"/>
        <w:numPr>
          <w:ilvl w:val="0"/>
          <w:numId w:val="1"/>
        </w:numPr>
        <w:spacing w:before="240" w:after="240" w:line="360" w:lineRule="auto"/>
        <w:ind w:left="0" w:firstLine="0"/>
        <w:jc w:val="both"/>
        <w:rPr>
          <w:rFonts w:ascii="Palatino Linotype" w:hAnsi="Palatino Linotype"/>
        </w:rPr>
      </w:pPr>
      <w:r w:rsidRPr="00EE2DA4">
        <w:rPr>
          <w:rFonts w:ascii="Palatino Linotype" w:hAnsi="Palatino Linotype" w:cs="Arial"/>
          <w:lang w:val="es-MX"/>
        </w:rPr>
        <w:lastRenderedPageBreak/>
        <w:t xml:space="preserve">Por ello cabe destacar que el Derecho Humano de Acceso a la Información se colma una vez que se hace entrega del </w:t>
      </w:r>
      <w:r w:rsidRPr="00EE2DA4">
        <w:rPr>
          <w:rFonts w:ascii="Palatino Linotype" w:hAnsi="Palatino Linotype" w:cs="Arial"/>
          <w:b/>
          <w:u w:val="single"/>
          <w:lang w:val="es-MX"/>
        </w:rPr>
        <w:t>soporte documental</w:t>
      </w:r>
      <w:r w:rsidRPr="00EE2DA4">
        <w:rPr>
          <w:rFonts w:ascii="Palatino Linotype" w:hAnsi="Palatino Linotype" w:cs="Arial"/>
          <w:lang w:val="es-MX"/>
        </w:rPr>
        <w:t xml:space="preserve"> que el </w:t>
      </w:r>
      <w:r w:rsidRPr="00EE2DA4">
        <w:rPr>
          <w:rFonts w:ascii="Palatino Linotype" w:hAnsi="Palatino Linotype" w:cs="Arial"/>
          <w:b/>
          <w:lang w:val="es-MX"/>
        </w:rPr>
        <w:t>SUJETO OBLIGADO</w:t>
      </w:r>
      <w:r w:rsidRPr="00EE2DA4">
        <w:rPr>
          <w:rFonts w:ascii="Palatino Linotype" w:hAnsi="Palatino Linotype" w:cs="Arial"/>
          <w:lang w:val="es-MX"/>
        </w:rPr>
        <w:t xml:space="preserve"> posee, genera o administra en el ejercicio de sus atribuciones, es decir, una solicitud de acceso a la información pública </w:t>
      </w:r>
      <w:r w:rsidRPr="00EE2DA4">
        <w:rPr>
          <w:rFonts w:ascii="Palatino Linotype" w:hAnsi="Palatino Linotype" w:cs="Arial"/>
          <w:b/>
          <w:u w:val="single"/>
          <w:lang w:val="es-MX"/>
        </w:rPr>
        <w:t xml:space="preserve">no se colma con hacer referencia a </w:t>
      </w:r>
      <w:r w:rsidRPr="00EE2DA4">
        <w:rPr>
          <w:rFonts w:ascii="Palatino Linotype" w:hAnsi="Palatino Linotype" w:cs="Arial"/>
          <w:lang w:val="es-MX"/>
        </w:rPr>
        <w:t xml:space="preserve">los documentos donde consta la información solicitada, para respetar adecuadamente el derecho se necesita que el </w:t>
      </w:r>
      <w:r w:rsidRPr="00EE2DA4">
        <w:rPr>
          <w:rFonts w:ascii="Palatino Linotype" w:hAnsi="Palatino Linotype" w:cs="Arial"/>
          <w:b/>
          <w:lang w:val="es-MX"/>
        </w:rPr>
        <w:t>SUJETO OBLIGADO</w:t>
      </w:r>
      <w:r w:rsidRPr="00EE2DA4">
        <w:rPr>
          <w:rFonts w:ascii="Palatino Linotype" w:hAnsi="Palatino Linotype" w:cs="Arial"/>
          <w:lang w:val="es-MX"/>
        </w:rPr>
        <w:t xml:space="preserve"> haga entrega de la información requerida.</w:t>
      </w:r>
    </w:p>
    <w:p w14:paraId="0CCC5100" w14:textId="77777777" w:rsidR="00861394" w:rsidRPr="00EE2DA4" w:rsidRDefault="00861394" w:rsidP="00861394">
      <w:pPr>
        <w:pStyle w:val="Prrafodelista"/>
        <w:spacing w:before="240" w:after="360"/>
        <w:ind w:left="0"/>
        <w:jc w:val="both"/>
        <w:rPr>
          <w:rFonts w:cs="Arial"/>
          <w:lang w:val="es-MX"/>
        </w:rPr>
      </w:pPr>
    </w:p>
    <w:p w14:paraId="154C2C9E" w14:textId="77777777" w:rsidR="00861394" w:rsidRPr="00EE2DA4" w:rsidRDefault="00861394" w:rsidP="00861394">
      <w:pPr>
        <w:pStyle w:val="Prrafodelista"/>
        <w:numPr>
          <w:ilvl w:val="0"/>
          <w:numId w:val="1"/>
        </w:numPr>
        <w:tabs>
          <w:tab w:val="left" w:pos="0"/>
        </w:tabs>
        <w:spacing w:line="360" w:lineRule="auto"/>
        <w:ind w:left="0" w:firstLine="0"/>
        <w:jc w:val="both"/>
        <w:rPr>
          <w:rFonts w:ascii="Palatino Linotype" w:eastAsia="Times New Roman" w:hAnsi="Palatino Linotype" w:cs="Arial"/>
          <w:color w:val="000000" w:themeColor="text1"/>
        </w:rPr>
      </w:pPr>
      <w:r w:rsidRPr="00EE2DA4">
        <w:rPr>
          <w:rFonts w:ascii="Palatino Linotype" w:hAnsi="Palatino Linotype"/>
          <w:color w:val="000000" w:themeColor="text1"/>
        </w:rPr>
        <w:t>En ese sentido, el derecho a la información constituye una prerrogativa a acceder a documentación en poder de los Sujetos Obligados. Sirve de apoyo a lo anterior la definición de derecho a la información de Ernesto Villanueva Villanueva que dice: “</w:t>
      </w:r>
      <w:r w:rsidRPr="00EE2DA4">
        <w:rPr>
          <w:rFonts w:ascii="Palatino Linotype" w:hAnsi="Palatino Linotype"/>
          <w:i/>
          <w:iCs/>
          <w:color w:val="000000" w:themeColor="text1"/>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 (Sic)</w:t>
      </w:r>
      <w:r w:rsidRPr="00EE2DA4">
        <w:rPr>
          <w:rStyle w:val="Refdenotaalpie"/>
          <w:rFonts w:ascii="Palatino Linotype" w:hAnsi="Palatino Linotype"/>
          <w:i/>
          <w:iCs/>
          <w:color w:val="000000" w:themeColor="text1"/>
        </w:rPr>
        <w:footnoteReference w:id="4"/>
      </w:r>
      <w:r w:rsidRPr="00EE2DA4">
        <w:rPr>
          <w:rFonts w:ascii="Palatino Linotype" w:hAnsi="Palatino Linotype"/>
          <w:i/>
          <w:iCs/>
          <w:color w:val="000000" w:themeColor="text1"/>
        </w:rPr>
        <w:t>.</w:t>
      </w:r>
    </w:p>
    <w:p w14:paraId="2658650B" w14:textId="77777777" w:rsidR="00861394" w:rsidRPr="00EE2DA4" w:rsidRDefault="00861394" w:rsidP="00861394">
      <w:pPr>
        <w:pStyle w:val="Prrafodelista"/>
        <w:tabs>
          <w:tab w:val="left" w:pos="0"/>
        </w:tabs>
        <w:ind w:left="0"/>
        <w:jc w:val="both"/>
        <w:rPr>
          <w:rFonts w:ascii="Palatino Linotype" w:eastAsia="Times New Roman" w:hAnsi="Palatino Linotype" w:cs="Arial"/>
          <w:color w:val="000000" w:themeColor="text1"/>
        </w:rPr>
      </w:pPr>
    </w:p>
    <w:p w14:paraId="282920F4" w14:textId="77777777" w:rsidR="00861394" w:rsidRPr="00EE2DA4" w:rsidRDefault="00861394" w:rsidP="00861394">
      <w:pPr>
        <w:pStyle w:val="Prrafodelista"/>
        <w:numPr>
          <w:ilvl w:val="0"/>
          <w:numId w:val="1"/>
        </w:numPr>
        <w:spacing w:before="240" w:after="360" w:line="360" w:lineRule="auto"/>
        <w:ind w:left="0" w:firstLine="0"/>
        <w:jc w:val="both"/>
        <w:rPr>
          <w:rFonts w:ascii="Palatino Linotype" w:hAnsi="Palatino Linotype" w:cs="Arial"/>
          <w:lang w:val="es-MX"/>
        </w:rPr>
      </w:pPr>
      <w:r w:rsidRPr="00EE2DA4">
        <w:rPr>
          <w:rFonts w:ascii="Palatino Linotype" w:hAnsi="Palatino Linotype"/>
          <w:color w:val="000000" w:themeColor="text1"/>
        </w:rPr>
        <w:t>En esa virtud, -se reitera-el</w:t>
      </w:r>
      <w:r w:rsidRPr="00EE2DA4">
        <w:rPr>
          <w:rStyle w:val="apple-converted-space"/>
          <w:rFonts w:ascii="Palatino Linotype" w:hAnsi="Palatino Linotype"/>
          <w:color w:val="000000" w:themeColor="text1"/>
        </w:rPr>
        <w:t xml:space="preserve"> </w:t>
      </w:r>
      <w:r w:rsidRPr="00EE2DA4">
        <w:rPr>
          <w:rFonts w:ascii="Palatino Linotype" w:hAnsi="Palatino Linotype"/>
          <w:b/>
          <w:bCs/>
          <w:color w:val="000000" w:themeColor="text1"/>
        </w:rPr>
        <w:t>SUJETO OBLIGADO</w:t>
      </w:r>
      <w:r w:rsidRPr="00EE2DA4">
        <w:rPr>
          <w:rStyle w:val="apple-converted-space"/>
          <w:rFonts w:ascii="Palatino Linotype" w:hAnsi="Palatino Linotype"/>
          <w:color w:val="000000" w:themeColor="text1"/>
        </w:rPr>
        <w:t xml:space="preserve"> </w:t>
      </w:r>
      <w:r w:rsidRPr="00EE2DA4">
        <w:rPr>
          <w:rFonts w:ascii="Palatino Linotype" w:hAnsi="Palatino Linotype"/>
          <w:color w:val="000000" w:themeColor="text1"/>
        </w:rPr>
        <w:t>está constreñido a entregar los documentos en los que conste la información que sea generada, poseída o administrada en el ejercicio de sus atribuciones.</w:t>
      </w:r>
    </w:p>
    <w:p w14:paraId="4CE1EED5" w14:textId="77777777" w:rsidR="00861394" w:rsidRPr="00EE2DA4" w:rsidRDefault="00861394" w:rsidP="00861394">
      <w:pPr>
        <w:pStyle w:val="Prrafodelista"/>
        <w:spacing w:before="240" w:after="360"/>
        <w:ind w:left="0"/>
        <w:jc w:val="both"/>
        <w:rPr>
          <w:rFonts w:ascii="Palatino Linotype" w:hAnsi="Palatino Linotype" w:cs="Arial"/>
          <w:lang w:val="es-MX"/>
        </w:rPr>
      </w:pPr>
    </w:p>
    <w:p w14:paraId="12943214" w14:textId="77777777" w:rsidR="00861394" w:rsidRPr="00EE2DA4" w:rsidRDefault="00861394" w:rsidP="00861394">
      <w:pPr>
        <w:pStyle w:val="Prrafodelista"/>
        <w:numPr>
          <w:ilvl w:val="0"/>
          <w:numId w:val="1"/>
        </w:numPr>
        <w:spacing w:line="360" w:lineRule="auto"/>
        <w:ind w:left="0" w:right="49" w:firstLine="0"/>
        <w:jc w:val="both"/>
        <w:rPr>
          <w:rFonts w:ascii="Palatino Linotype" w:eastAsia="Calibri" w:hAnsi="Palatino Linotype" w:cs="Arial"/>
          <w:lang w:val="es-ES"/>
        </w:rPr>
      </w:pPr>
      <w:r w:rsidRPr="00EE2DA4">
        <w:rPr>
          <w:rFonts w:ascii="Palatino Linotype" w:hAnsi="Palatino Linotype"/>
          <w:color w:val="000000" w:themeColor="text1"/>
        </w:rPr>
        <w:t xml:space="preserve">Robustece lo anterior expuesto el primer párrafo del artículo 160 de la </w:t>
      </w:r>
      <w:r w:rsidRPr="00EE2DA4">
        <w:rPr>
          <w:rFonts w:ascii="Palatino Linotype" w:hAnsi="Palatino Linotype"/>
          <w:b/>
        </w:rPr>
        <w:t xml:space="preserve">Ley de Transparencia y Acceso a la Información Pública del Estado de México y Municipios, </w:t>
      </w:r>
      <w:r w:rsidRPr="00EE2DA4">
        <w:rPr>
          <w:rFonts w:ascii="Palatino Linotype" w:hAnsi="Palatino Linotype" w:cs="Tahoma"/>
        </w:rPr>
        <w:t>que a la letra dispone:</w:t>
      </w:r>
    </w:p>
    <w:p w14:paraId="5A51F4CB" w14:textId="77777777" w:rsidR="00861394" w:rsidRPr="00EE2DA4" w:rsidRDefault="00861394" w:rsidP="00861394">
      <w:pPr>
        <w:pStyle w:val="Prrafodelista"/>
        <w:spacing w:before="240" w:after="360"/>
        <w:ind w:left="0"/>
        <w:jc w:val="both"/>
        <w:rPr>
          <w:rFonts w:ascii="Palatino Linotype" w:hAnsi="Palatino Linotype" w:cs="Arial"/>
          <w:lang w:val="es-MX"/>
        </w:rPr>
      </w:pPr>
    </w:p>
    <w:p w14:paraId="1528ED2F" w14:textId="77777777" w:rsidR="00861394" w:rsidRPr="00EE2DA4" w:rsidRDefault="00861394" w:rsidP="00861394">
      <w:pPr>
        <w:pStyle w:val="Prrafodelista"/>
        <w:spacing w:before="240" w:after="360" w:line="360" w:lineRule="auto"/>
        <w:ind w:left="567" w:right="567"/>
        <w:jc w:val="both"/>
        <w:rPr>
          <w:rFonts w:ascii="Palatino Linotype" w:hAnsi="Palatino Linotype" w:cs="Arial"/>
          <w:i/>
          <w:sz w:val="22"/>
          <w:szCs w:val="22"/>
          <w:lang w:val="es-MX"/>
        </w:rPr>
      </w:pPr>
      <w:r w:rsidRPr="00EE2DA4">
        <w:rPr>
          <w:rFonts w:ascii="Palatino Linotype" w:hAnsi="Palatino Linotype"/>
          <w:b/>
          <w:i/>
          <w:sz w:val="22"/>
          <w:szCs w:val="22"/>
        </w:rPr>
        <w:t>Artículo 160.</w:t>
      </w:r>
      <w:r w:rsidRPr="00EE2DA4">
        <w:rPr>
          <w:rFonts w:ascii="Palatino Linotype" w:hAnsi="Palatino Linotype"/>
          <w:i/>
          <w:sz w:val="22"/>
          <w:szCs w:val="22"/>
        </w:rPr>
        <w:t xml:space="preserve">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5E1FEAF4" w14:textId="77777777" w:rsidR="00861394" w:rsidRPr="00EE2DA4" w:rsidRDefault="00861394" w:rsidP="00861394">
      <w:pPr>
        <w:pStyle w:val="Prrafodelista"/>
        <w:spacing w:before="240" w:after="360"/>
        <w:ind w:left="0"/>
        <w:jc w:val="both"/>
        <w:rPr>
          <w:rFonts w:ascii="Palatino Linotype" w:hAnsi="Palatino Linotype" w:cs="Arial"/>
          <w:lang w:val="es-MX"/>
        </w:rPr>
      </w:pPr>
    </w:p>
    <w:p w14:paraId="63680543" w14:textId="77777777" w:rsidR="00861394" w:rsidRPr="00EE2DA4" w:rsidRDefault="00861394" w:rsidP="00861394">
      <w:pPr>
        <w:pStyle w:val="Prrafodelista"/>
        <w:spacing w:before="240" w:after="360" w:line="360" w:lineRule="auto"/>
        <w:ind w:left="0"/>
        <w:jc w:val="both"/>
        <w:rPr>
          <w:rFonts w:ascii="Palatino Linotype" w:hAnsi="Palatino Linotype" w:cs="Arial"/>
          <w:lang w:val="es-MX"/>
        </w:rPr>
      </w:pPr>
    </w:p>
    <w:p w14:paraId="289EBDDF" w14:textId="77777777" w:rsidR="00861394" w:rsidRPr="00EE2DA4" w:rsidRDefault="00861394" w:rsidP="00861394">
      <w:pPr>
        <w:pStyle w:val="Prrafodelista"/>
        <w:numPr>
          <w:ilvl w:val="0"/>
          <w:numId w:val="1"/>
        </w:numPr>
        <w:spacing w:line="360" w:lineRule="auto"/>
        <w:ind w:left="0" w:firstLine="0"/>
        <w:jc w:val="both"/>
        <w:rPr>
          <w:rFonts w:ascii="Palatino Linotype" w:hAnsi="Palatino Linotype"/>
          <w:lang w:eastAsia="es-MX"/>
        </w:rPr>
      </w:pPr>
      <w:r w:rsidRPr="00EE2DA4">
        <w:rPr>
          <w:rFonts w:ascii="Palatino Linotype" w:eastAsia="MS Mincho" w:hAnsi="Palatino Linotype" w:cs="Times New Roman"/>
        </w:rPr>
        <w:t>En atención a lo anterior expuesto es pertinente señalar que el párrafo primero del artículo 11 de la</w:t>
      </w:r>
      <w:r w:rsidRPr="00EE2DA4">
        <w:rPr>
          <w:rFonts w:ascii="Palatino Linotype" w:hAnsi="Palatino Linotype"/>
        </w:rPr>
        <w:t xml:space="preserve"> </w:t>
      </w:r>
      <w:r w:rsidRPr="00EE2DA4">
        <w:rPr>
          <w:rFonts w:ascii="Palatino Linotype" w:hAnsi="Palatino Linotype"/>
          <w:b/>
        </w:rPr>
        <w:t>Ley de Transparencia y Acceso a la Información Pública del Estado de México y Municipios</w:t>
      </w:r>
      <w:r w:rsidRPr="00EE2DA4">
        <w:rPr>
          <w:rFonts w:ascii="Palatino Linotype" w:hAnsi="Palatino Linotype"/>
        </w:rPr>
        <w:t xml:space="preserve"> , misma que dispone las formas en que se habrá de generar, publicar y hacer entrega de la información al señalar que </w:t>
      </w:r>
      <w:r w:rsidRPr="00EE2DA4">
        <w:rPr>
          <w:rFonts w:ascii="Palatino Linotype" w:eastAsia="Calibri" w:hAnsi="Palatino Linotype" w:cs="Arial"/>
          <w:lang w:val="es-ES"/>
        </w:rPr>
        <w:t>“</w:t>
      </w:r>
      <w:r w:rsidRPr="00EE2DA4">
        <w:rPr>
          <w:rFonts w:ascii="Palatino Linotype" w:hAnsi="Palatino Linotype"/>
          <w:i/>
        </w:rPr>
        <w:t xml:space="preserve">En la generación, publicación y </w:t>
      </w:r>
      <w:r w:rsidRPr="00EE2DA4">
        <w:rPr>
          <w:rFonts w:ascii="Palatino Linotype" w:hAnsi="Palatino Linotype"/>
          <w:b/>
          <w:i/>
          <w:u w:val="single"/>
        </w:rPr>
        <w:t>entrega de información</w:t>
      </w:r>
      <w:r w:rsidRPr="00EE2DA4">
        <w:rPr>
          <w:rFonts w:ascii="Palatino Linotype" w:hAnsi="Palatino Linotype"/>
          <w:i/>
        </w:rPr>
        <w:t xml:space="preserve"> se deberá garantizar que ésta sea accesible, actualizada, </w:t>
      </w:r>
      <w:r w:rsidRPr="00EE2DA4">
        <w:rPr>
          <w:rFonts w:ascii="Palatino Linotype" w:hAnsi="Palatino Linotype"/>
          <w:b/>
          <w:i/>
          <w:u w:val="single"/>
        </w:rPr>
        <w:t>completa</w:t>
      </w:r>
      <w:r w:rsidRPr="00EE2DA4">
        <w:rPr>
          <w:rFonts w:ascii="Palatino Linotype" w:hAnsi="Palatino Linotype"/>
          <w:i/>
        </w:rPr>
        <w:t xml:space="preserve">, congruente, confiable, verificable, veraz, </w:t>
      </w:r>
      <w:r w:rsidRPr="00EE2DA4">
        <w:rPr>
          <w:rFonts w:ascii="Palatino Linotype" w:hAnsi="Palatino Linotype"/>
          <w:b/>
          <w:i/>
          <w:u w:val="single"/>
        </w:rPr>
        <w:t>integral</w:t>
      </w:r>
      <w:r w:rsidRPr="00EE2DA4">
        <w:rPr>
          <w:rFonts w:ascii="Palatino Linotype" w:hAnsi="Palatino Linotype"/>
          <w:i/>
        </w:rPr>
        <w:t>, oportuna y expedita, sujeta a un claro régimen de excepciones que deberá estar definido y ser además legítima y estrictamente necesaria en una sociedad democrática, por lo que atenderá las necesidades del derecho de acceso a la información de toda persona”.</w:t>
      </w:r>
    </w:p>
    <w:p w14:paraId="6CE6E861" w14:textId="77777777" w:rsidR="00861394" w:rsidRPr="00EE2DA4" w:rsidRDefault="00861394" w:rsidP="00861394">
      <w:pPr>
        <w:pStyle w:val="Prrafodelista"/>
        <w:spacing w:before="240" w:line="360" w:lineRule="auto"/>
        <w:ind w:left="0" w:right="49"/>
        <w:jc w:val="both"/>
        <w:rPr>
          <w:rFonts w:ascii="Palatino Linotype" w:eastAsia="Calibri" w:hAnsi="Palatino Linotype" w:cs="Arial"/>
          <w:lang w:val="es-ES"/>
        </w:rPr>
      </w:pPr>
    </w:p>
    <w:p w14:paraId="716DBF4E" w14:textId="77777777" w:rsidR="00861394" w:rsidRPr="00EE2DA4" w:rsidRDefault="00861394" w:rsidP="00861394">
      <w:pPr>
        <w:pStyle w:val="Prrafodelista"/>
        <w:numPr>
          <w:ilvl w:val="0"/>
          <w:numId w:val="1"/>
        </w:numPr>
        <w:spacing w:before="240" w:after="240" w:line="360" w:lineRule="auto"/>
        <w:ind w:left="0" w:right="49" w:firstLine="0"/>
        <w:jc w:val="both"/>
        <w:rPr>
          <w:rFonts w:ascii="Palatino Linotype" w:eastAsia="Calibri" w:hAnsi="Palatino Linotype" w:cs="Arial"/>
          <w:u w:val="single"/>
          <w:lang w:val="es-ES"/>
        </w:rPr>
      </w:pPr>
      <w:r w:rsidRPr="00EE2DA4">
        <w:rPr>
          <w:rFonts w:ascii="Palatino Linotype" w:eastAsia="MS Mincho" w:hAnsi="Palatino Linotype" w:cs="Times New Roman"/>
        </w:rPr>
        <w:t xml:space="preserve">De ello se advierte que la respuesta de todos los Sujetos Obligados a una solicitud de Acceso a la Información Pública debe ser completa </w:t>
      </w:r>
      <w:r w:rsidRPr="00EE2DA4">
        <w:rPr>
          <w:rFonts w:ascii="Palatino Linotype" w:hAnsi="Palatino Linotype"/>
        </w:rPr>
        <w:t>confiable, accesible, verificable, veraz, integral</w:t>
      </w:r>
      <w:r w:rsidRPr="00EE2DA4">
        <w:rPr>
          <w:rFonts w:ascii="Palatino Linotype" w:eastAsia="MS Mincho" w:hAnsi="Palatino Linotype" w:cs="Times New Roman"/>
        </w:rPr>
        <w:t xml:space="preserve"> y congruente con lo requerido, de lo contrario se contravendría el artículo 11 de la Ley de Transparencia Local.</w:t>
      </w:r>
    </w:p>
    <w:p w14:paraId="1A510D19" w14:textId="77777777" w:rsidR="00861394" w:rsidRPr="00EE2DA4" w:rsidRDefault="00861394" w:rsidP="00861394">
      <w:pPr>
        <w:pStyle w:val="Prrafodelista"/>
        <w:spacing w:before="240" w:after="240" w:line="360" w:lineRule="auto"/>
        <w:ind w:left="0" w:right="49"/>
        <w:jc w:val="both"/>
        <w:rPr>
          <w:rFonts w:ascii="Palatino Linotype" w:eastAsia="Calibri" w:hAnsi="Palatino Linotype" w:cs="Arial"/>
          <w:u w:val="single"/>
          <w:lang w:val="es-ES"/>
        </w:rPr>
      </w:pPr>
    </w:p>
    <w:p w14:paraId="32703201" w14:textId="77777777" w:rsidR="00861394" w:rsidRPr="00EE2DA4" w:rsidRDefault="00861394" w:rsidP="00861394">
      <w:pPr>
        <w:pStyle w:val="Prrafodelista"/>
        <w:numPr>
          <w:ilvl w:val="0"/>
          <w:numId w:val="1"/>
        </w:numPr>
        <w:spacing w:before="240" w:after="240" w:line="360" w:lineRule="auto"/>
        <w:ind w:left="0" w:right="49" w:firstLine="0"/>
        <w:jc w:val="both"/>
        <w:rPr>
          <w:rFonts w:ascii="Palatino Linotype" w:eastAsia="Calibri" w:hAnsi="Palatino Linotype" w:cs="Arial"/>
          <w:u w:val="single"/>
          <w:lang w:val="es-ES"/>
        </w:rPr>
      </w:pPr>
      <w:r w:rsidRPr="00EE2DA4">
        <w:rPr>
          <w:rFonts w:ascii="Palatino Linotype" w:hAnsi="Palatino Linotype"/>
          <w:lang w:eastAsia="es-MX"/>
        </w:rPr>
        <w:t xml:space="preserve">Bajo ese tenor se concluye que es obligación de todas las autoridades, promover, respetar y garantizar los derechos humanos, entre ellos el de acceso a la </w:t>
      </w:r>
      <w:r w:rsidRPr="00EE2DA4">
        <w:rPr>
          <w:rFonts w:ascii="Palatino Linotype" w:hAnsi="Palatino Linotype"/>
          <w:lang w:eastAsia="es-MX"/>
        </w:rPr>
        <w:lastRenderedPageBreak/>
        <w:t xml:space="preserve">información pública, por lo que la falta de respuesta, </w:t>
      </w:r>
      <w:r w:rsidRPr="00EE2DA4">
        <w:rPr>
          <w:rFonts w:ascii="Palatino Linotype" w:hAnsi="Palatino Linotype"/>
          <w:b/>
          <w:u w:val="single"/>
          <w:lang w:eastAsia="es-MX"/>
        </w:rPr>
        <w:t>las respuestas imprecisas</w:t>
      </w:r>
      <w:r w:rsidRPr="00EE2DA4">
        <w:rPr>
          <w:rFonts w:ascii="Palatino Linotype" w:hAnsi="Palatino Linotype"/>
          <w:lang w:eastAsia="es-MX"/>
        </w:rPr>
        <w:t xml:space="preserve">, incompletas, o que no corresponden a lo solicitado </w:t>
      </w:r>
      <w:r w:rsidRPr="00EE2DA4">
        <w:rPr>
          <w:rFonts w:ascii="Palatino Linotype" w:hAnsi="Palatino Linotype"/>
          <w:b/>
          <w:u w:val="single"/>
          <w:lang w:eastAsia="es-MX"/>
        </w:rPr>
        <w:t>generan una afectación inicial susceptible de ser reparada mediante el recurso de revisión</w:t>
      </w:r>
      <w:r w:rsidRPr="00EE2DA4">
        <w:rPr>
          <w:rFonts w:ascii="Palatino Linotype" w:hAnsi="Palatino Linotype"/>
          <w:lang w:eastAsia="es-MX"/>
        </w:rPr>
        <w:t>.</w:t>
      </w:r>
    </w:p>
    <w:p w14:paraId="25A942AA" w14:textId="77777777" w:rsidR="00861394" w:rsidRPr="00EE2DA4" w:rsidRDefault="00861394" w:rsidP="00861394">
      <w:pPr>
        <w:pStyle w:val="Prrafodelista"/>
        <w:rPr>
          <w:rFonts w:ascii="Palatino Linotype" w:eastAsia="Calibri" w:hAnsi="Palatino Linotype" w:cs="Arial"/>
          <w:u w:val="single"/>
          <w:lang w:val="es-ES"/>
        </w:rPr>
      </w:pPr>
    </w:p>
    <w:p w14:paraId="32FB0B49" w14:textId="6B8093E0" w:rsidR="00861394" w:rsidRPr="00EE2DA4" w:rsidRDefault="00861394" w:rsidP="00861394">
      <w:pPr>
        <w:pStyle w:val="Ttulo2"/>
      </w:pPr>
      <w:bookmarkStart w:id="95" w:name="_Toc33186541"/>
      <w:r w:rsidRPr="00EE2DA4">
        <w:rPr>
          <w:rFonts w:eastAsia="Calibri" w:cs="Arial"/>
          <w:lang w:val="es-ES"/>
        </w:rPr>
        <w:t xml:space="preserve">d) </w:t>
      </w:r>
      <w:r w:rsidRPr="00EE2DA4">
        <w:t>El documento de seguridad y el Sistema de Gestión.</w:t>
      </w:r>
      <w:bookmarkEnd w:id="95"/>
    </w:p>
    <w:p w14:paraId="3EB5DA02" w14:textId="77777777" w:rsidR="00861394" w:rsidRPr="00EE2DA4" w:rsidRDefault="00861394" w:rsidP="00861394">
      <w:pPr>
        <w:rPr>
          <w:lang w:val="es-MX" w:eastAsia="en-US"/>
        </w:rPr>
      </w:pPr>
    </w:p>
    <w:p w14:paraId="3E008827" w14:textId="77B537CD" w:rsidR="00861394" w:rsidRPr="00EE2DA4" w:rsidRDefault="00861394" w:rsidP="00CE7EDD">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EE2DA4">
        <w:rPr>
          <w:rFonts w:ascii="Palatino Linotype" w:hAnsi="Palatino Linotype" w:cs="Arial"/>
          <w:color w:val="000000" w:themeColor="text1"/>
          <w:lang w:val="es-MX"/>
        </w:rPr>
        <w:t xml:space="preserve">Así mismo se considera que la respuesta otorgada por el SUJETO OBLIGADO </w:t>
      </w:r>
      <w:r w:rsidR="00D07D6B" w:rsidRPr="00EE2DA4">
        <w:rPr>
          <w:rFonts w:ascii="Palatino Linotype" w:hAnsi="Palatino Linotype" w:cs="Arial"/>
          <w:color w:val="000000" w:themeColor="text1"/>
          <w:lang w:val="es-MX"/>
        </w:rPr>
        <w:t xml:space="preserve">es imprecisa y confusa, </w:t>
      </w:r>
      <w:r w:rsidRPr="00EE2DA4">
        <w:rPr>
          <w:rFonts w:ascii="Palatino Linotype" w:hAnsi="Palatino Linotype" w:cs="Arial"/>
          <w:color w:val="000000" w:themeColor="text1"/>
          <w:lang w:val="es-MX"/>
        </w:rPr>
        <w:t xml:space="preserve">en atención a </w:t>
      </w:r>
      <w:r w:rsidR="00D07D6B" w:rsidRPr="00EE2DA4">
        <w:rPr>
          <w:rFonts w:ascii="Palatino Linotype" w:hAnsi="Palatino Linotype" w:cs="Arial"/>
          <w:color w:val="000000" w:themeColor="text1"/>
          <w:lang w:val="es-MX"/>
        </w:rPr>
        <w:t>que en un primer momento refiere que “</w:t>
      </w:r>
      <w:r w:rsidR="00D07D6B" w:rsidRPr="00EE2DA4">
        <w:rPr>
          <w:rFonts w:ascii="Palatino Linotype" w:hAnsi="Palatino Linotype" w:cs="Arial"/>
          <w:i/>
          <w:color w:val="000000" w:themeColor="text1"/>
          <w:lang w:val="es-MX"/>
        </w:rPr>
        <w:t>podemos observar qu</w:t>
      </w:r>
      <w:r w:rsidR="00CE7EDD" w:rsidRPr="00EE2DA4">
        <w:rPr>
          <w:rFonts w:ascii="Palatino Linotype" w:hAnsi="Palatino Linotype" w:cs="Arial"/>
          <w:i/>
          <w:color w:val="000000" w:themeColor="text1"/>
          <w:lang w:val="es-MX"/>
        </w:rPr>
        <w:t xml:space="preserve">e el contenido del documento de </w:t>
      </w:r>
      <w:r w:rsidR="00D07D6B" w:rsidRPr="00EE2DA4">
        <w:rPr>
          <w:rFonts w:ascii="Palatino Linotype" w:hAnsi="Palatino Linotype" w:cs="Arial"/>
          <w:i/>
          <w:color w:val="000000" w:themeColor="text1"/>
          <w:lang w:val="es-MX"/>
        </w:rPr>
        <w:t>seguridad, refiere información relativa a las medid</w:t>
      </w:r>
      <w:r w:rsidR="00CE7EDD" w:rsidRPr="00EE2DA4">
        <w:rPr>
          <w:rFonts w:ascii="Palatino Linotype" w:hAnsi="Palatino Linotype" w:cs="Arial"/>
          <w:i/>
          <w:color w:val="000000" w:themeColor="text1"/>
          <w:lang w:val="es-MX"/>
        </w:rPr>
        <w:t xml:space="preserve">as de seguridad aplicadas a los </w:t>
      </w:r>
      <w:r w:rsidR="00D07D6B" w:rsidRPr="00EE2DA4">
        <w:rPr>
          <w:rFonts w:ascii="Palatino Linotype" w:hAnsi="Palatino Linotype" w:cs="Arial"/>
          <w:i/>
          <w:color w:val="000000" w:themeColor="text1"/>
          <w:lang w:val="es-MX"/>
        </w:rPr>
        <w:t>sistemas y bases de datos personales, por lo que de lib</w:t>
      </w:r>
      <w:r w:rsidR="00CE7EDD" w:rsidRPr="00EE2DA4">
        <w:rPr>
          <w:rFonts w:ascii="Palatino Linotype" w:hAnsi="Palatino Linotype" w:cs="Arial"/>
          <w:i/>
          <w:color w:val="000000" w:themeColor="text1"/>
          <w:lang w:val="es-MX"/>
        </w:rPr>
        <w:t xml:space="preserve">erarse la información se podría </w:t>
      </w:r>
      <w:r w:rsidR="00D07D6B" w:rsidRPr="00EE2DA4">
        <w:rPr>
          <w:rFonts w:ascii="Palatino Linotype" w:hAnsi="Palatino Linotype" w:cs="Arial"/>
          <w:i/>
          <w:color w:val="000000" w:themeColor="text1"/>
          <w:lang w:val="es-MX"/>
        </w:rPr>
        <w:t>vulnerar la base de datos del Sistema Integral de Quej</w:t>
      </w:r>
      <w:r w:rsidR="00CE7EDD" w:rsidRPr="00EE2DA4">
        <w:rPr>
          <w:rFonts w:ascii="Palatino Linotype" w:hAnsi="Palatino Linotype" w:cs="Arial"/>
          <w:i/>
          <w:color w:val="000000" w:themeColor="text1"/>
          <w:lang w:val="es-MX"/>
        </w:rPr>
        <w:t xml:space="preserve">as y Asesorías Versión 2.0., la </w:t>
      </w:r>
      <w:r w:rsidR="00D07D6B" w:rsidRPr="00EE2DA4">
        <w:rPr>
          <w:rFonts w:ascii="Palatino Linotype" w:hAnsi="Palatino Linotype" w:cs="Arial"/>
          <w:i/>
          <w:color w:val="000000" w:themeColor="text1"/>
          <w:lang w:val="es-MX"/>
        </w:rPr>
        <w:t>cual contiene datos personales (información confide</w:t>
      </w:r>
      <w:r w:rsidR="00CE7EDD" w:rsidRPr="00EE2DA4">
        <w:rPr>
          <w:rFonts w:ascii="Palatino Linotype" w:hAnsi="Palatino Linotype" w:cs="Arial"/>
          <w:i/>
          <w:color w:val="000000" w:themeColor="text1"/>
          <w:lang w:val="es-MX"/>
        </w:rPr>
        <w:t xml:space="preserve">ncial), mismos que de revelarse </w:t>
      </w:r>
      <w:r w:rsidR="00D07D6B" w:rsidRPr="00EE2DA4">
        <w:rPr>
          <w:rFonts w:ascii="Palatino Linotype" w:hAnsi="Palatino Linotype" w:cs="Arial"/>
          <w:i/>
          <w:color w:val="000000" w:themeColor="text1"/>
          <w:lang w:val="es-MX"/>
        </w:rPr>
        <w:t>podrían conllevar un riesgo grave y en consecuencia afec</w:t>
      </w:r>
      <w:r w:rsidR="00CE7EDD" w:rsidRPr="00EE2DA4">
        <w:rPr>
          <w:rFonts w:ascii="Palatino Linotype" w:hAnsi="Palatino Linotype" w:cs="Arial"/>
          <w:i/>
          <w:color w:val="000000" w:themeColor="text1"/>
          <w:lang w:val="es-MX"/>
        </w:rPr>
        <w:t xml:space="preserve">tar la esfera más íntima de los </w:t>
      </w:r>
      <w:r w:rsidR="00D07D6B" w:rsidRPr="00EE2DA4">
        <w:rPr>
          <w:rFonts w:ascii="Palatino Linotype" w:hAnsi="Palatino Linotype" w:cs="Arial"/>
          <w:i/>
          <w:color w:val="000000" w:themeColor="text1"/>
          <w:lang w:val="es-MX"/>
        </w:rPr>
        <w:t xml:space="preserve">titulares. </w:t>
      </w:r>
      <w:r w:rsidR="00D07D6B" w:rsidRPr="00EE2DA4">
        <w:rPr>
          <w:rFonts w:ascii="Palatino Linotype" w:hAnsi="Palatino Linotype" w:cs="Arial"/>
          <w:b/>
          <w:i/>
          <w:color w:val="000000" w:themeColor="text1"/>
          <w:lang w:val="es-MX"/>
        </w:rPr>
        <w:t>Por lo que derivado de las características del documento, se niega el acceso</w:t>
      </w:r>
      <w:r w:rsidR="00D07D6B" w:rsidRPr="00EE2DA4">
        <w:rPr>
          <w:rFonts w:ascii="Palatino Linotype" w:hAnsi="Palatino Linotype" w:cs="Arial"/>
          <w:i/>
          <w:color w:val="000000" w:themeColor="text1"/>
          <w:lang w:val="es-MX"/>
        </w:rPr>
        <w:t>.</w:t>
      </w:r>
      <w:r w:rsidR="00D07D6B" w:rsidRPr="00EE2DA4">
        <w:rPr>
          <w:rFonts w:ascii="Palatino Linotype" w:hAnsi="Palatino Linotype" w:cs="Arial"/>
          <w:color w:val="000000" w:themeColor="text1"/>
          <w:lang w:val="es-MX"/>
        </w:rPr>
        <w:t>”</w:t>
      </w:r>
    </w:p>
    <w:p w14:paraId="036C3B09" w14:textId="77777777" w:rsidR="00CE7EDD" w:rsidRPr="00EE2DA4" w:rsidRDefault="00CE7EDD" w:rsidP="00CE7EDD">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10B7B4B4" w14:textId="2EAAF57B" w:rsidR="00CE7EDD" w:rsidRPr="00EE2DA4" w:rsidRDefault="00CE7EDD" w:rsidP="00CE7EDD">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EE2DA4">
        <w:rPr>
          <w:rFonts w:ascii="Palatino Linotype" w:hAnsi="Palatino Linotype" w:cs="Arial"/>
          <w:color w:val="000000" w:themeColor="text1"/>
          <w:lang w:val="es-MX"/>
        </w:rPr>
        <w:t xml:space="preserve">Por lo que para dar una mayor claridad respecto de la imprecisión es necesario traer a colación que de conformidad con el artículo 48 de la </w:t>
      </w:r>
      <w:r w:rsidRPr="00EE2DA4">
        <w:rPr>
          <w:rFonts w:ascii="Palatino Linotype" w:hAnsi="Palatino Linotype"/>
          <w:b/>
        </w:rPr>
        <w:t>Ley de Protección de Datos Personales en Posesión de Sujetos Obligados del Estado de México y Municipios</w:t>
      </w:r>
      <w:r w:rsidRPr="00EE2DA4">
        <w:rPr>
          <w:rFonts w:ascii="Palatino Linotype" w:hAnsi="Palatino Linotype" w:cs="Arial"/>
          <w:color w:val="000000" w:themeColor="text1"/>
          <w:lang w:val="es-MX"/>
        </w:rPr>
        <w:t xml:space="preserve">, el documento de seguridad es un documento elaborado y aprobado por el </w:t>
      </w:r>
      <w:r w:rsidRPr="00EE2DA4">
        <w:rPr>
          <w:rFonts w:ascii="Palatino Linotype" w:hAnsi="Palatino Linotype" w:cs="Arial"/>
          <w:b/>
          <w:color w:val="000000" w:themeColor="text1"/>
          <w:lang w:val="es-MX"/>
        </w:rPr>
        <w:t>SUJETO OBLIGADO</w:t>
      </w:r>
      <w:r w:rsidRPr="00EE2DA4">
        <w:rPr>
          <w:rFonts w:ascii="Palatino Linotype" w:hAnsi="Palatino Linotype" w:cs="Arial"/>
          <w:color w:val="000000" w:themeColor="text1"/>
          <w:lang w:val="es-MX"/>
        </w:rPr>
        <w:t xml:space="preserve">, en cuyo contenido se observan </w:t>
      </w:r>
      <w:r w:rsidRPr="00EE2DA4">
        <w:rPr>
          <w:rFonts w:ascii="Palatino Linotype" w:hAnsi="Palatino Linotype"/>
          <w:b/>
          <w:u w:val="single"/>
        </w:rPr>
        <w:t>las medidas de seguridad aplicables</w:t>
      </w:r>
      <w:r w:rsidRPr="00EE2DA4">
        <w:rPr>
          <w:rFonts w:ascii="Palatino Linotype" w:hAnsi="Palatino Linotype"/>
        </w:rPr>
        <w:t xml:space="preserve"> a las bases y sistemas de datos personales, tomando en cuenta los estándares internacionales de seguridad, la presente Ley así como los lineamientos que se expidan, tal como se cita:</w:t>
      </w:r>
    </w:p>
    <w:p w14:paraId="659F9D01" w14:textId="77777777" w:rsidR="00CE7EDD" w:rsidRPr="00EE2DA4" w:rsidRDefault="00CE7EDD" w:rsidP="00CE7EDD">
      <w:pPr>
        <w:pStyle w:val="Prrafodelista"/>
        <w:rPr>
          <w:rFonts w:ascii="Palatino Linotype" w:hAnsi="Palatino Linotype" w:cs="Arial"/>
          <w:color w:val="000000" w:themeColor="text1"/>
          <w:lang w:val="es-MX"/>
        </w:rPr>
      </w:pPr>
    </w:p>
    <w:p w14:paraId="64A1FB66" w14:textId="77777777" w:rsidR="00CE7EDD" w:rsidRPr="00EE2DA4" w:rsidRDefault="00CE7EDD" w:rsidP="00CE7EDD">
      <w:pPr>
        <w:pStyle w:val="Prrafodelista"/>
        <w:autoSpaceDE w:val="0"/>
        <w:autoSpaceDN w:val="0"/>
        <w:adjustRightInd w:val="0"/>
        <w:spacing w:line="360" w:lineRule="auto"/>
        <w:ind w:left="567" w:right="567"/>
        <w:jc w:val="both"/>
        <w:rPr>
          <w:rFonts w:ascii="Palatino Linotype" w:hAnsi="Palatino Linotype" w:cs="Arial"/>
          <w:i/>
          <w:color w:val="000000" w:themeColor="text1"/>
          <w:sz w:val="22"/>
          <w:szCs w:val="22"/>
          <w:lang w:val="es-MX"/>
        </w:rPr>
      </w:pPr>
      <w:r w:rsidRPr="00EE2DA4">
        <w:rPr>
          <w:rFonts w:ascii="Palatino Linotype" w:hAnsi="Palatino Linotype"/>
          <w:i/>
          <w:sz w:val="22"/>
          <w:szCs w:val="22"/>
        </w:rPr>
        <w:lastRenderedPageBreak/>
        <w:t xml:space="preserve">Artículo 48. Los sujetos obligados elaborarán y aprobarán un documento que contenga las medidas de seguridad aplicables a las bases y sistemas de datos personales, tomando en cuenta los estándares internacionales de seguridad, la presente Ley así como los lineamientos que se expidan. El documento de seguridad será de observancia obligatoria para los responsables, encargados y demás personas que realizan algún tipo de tratamiento a los datos personales. A elección del sujeto obligado, éste podrá ser único e incluir todos los sistemas y bases de datos personales que posea, por unidad administrativa en que se incluyan los sistemas y bases de datos personales en custodia, individualizado para cada sistema, o mixto. Contenido del Documento de Seguridad </w:t>
      </w:r>
    </w:p>
    <w:p w14:paraId="04855B1A" w14:textId="77777777" w:rsidR="00CE7EDD" w:rsidRPr="00EE2DA4" w:rsidRDefault="00CE7EDD" w:rsidP="00CE7EDD">
      <w:pPr>
        <w:pStyle w:val="Prrafodelista"/>
      </w:pPr>
    </w:p>
    <w:p w14:paraId="5657C95F" w14:textId="4CDC5433" w:rsidR="00CE7EDD" w:rsidRPr="00EE2DA4" w:rsidRDefault="00CE7EDD" w:rsidP="00CE7EDD">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EE2DA4">
        <w:rPr>
          <w:rFonts w:ascii="Palatino Linotype" w:hAnsi="Palatino Linotype" w:cs="Arial"/>
          <w:color w:val="000000" w:themeColor="text1"/>
          <w:lang w:val="es-MX"/>
        </w:rPr>
        <w:t>Así mismo la Ley de Protección de Datos arriba citada establece los datos que habrá de contener dicho documento:</w:t>
      </w:r>
    </w:p>
    <w:p w14:paraId="6CB8549D" w14:textId="77777777" w:rsidR="00E648B7" w:rsidRPr="00EE2DA4" w:rsidRDefault="00E648B7" w:rsidP="00E648B7">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7692F98D" w14:textId="77777777" w:rsidR="00E648B7"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Artículo 49. El documento de seguridad deberá contener como mínimo lo siguiente: </w:t>
      </w:r>
    </w:p>
    <w:p w14:paraId="3B96FBC6" w14:textId="7F7C936D"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I. Respecto de los sistemas de datos personales: </w:t>
      </w:r>
    </w:p>
    <w:p w14:paraId="4E12684D"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a) El nombre. </w:t>
      </w:r>
    </w:p>
    <w:p w14:paraId="6930AA84" w14:textId="77777777" w:rsidR="00E648B7"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b) El nombre, cargo y adscripción del administrador de cada sistema y base de datos. </w:t>
      </w:r>
    </w:p>
    <w:p w14:paraId="0C0706F9" w14:textId="0B0A75C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c) Las funciones y obligaciones del responsable, encargado o encargados y todas las personas que traten datos personales. </w:t>
      </w:r>
    </w:p>
    <w:p w14:paraId="033295D6"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d) El folio del registro del sistema y base de datos. </w:t>
      </w:r>
    </w:p>
    <w:p w14:paraId="26C19356"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e) El inventario o la especificación detallada del tipo de datos personales contenidos. </w:t>
      </w:r>
    </w:p>
    <w:p w14:paraId="486E5D26"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f) La estructura y descripción de los sistemas y bases de datos personales, lo cual consiste en precisar y describir el tipo de soporte, así como las características del lugar donde se resguardan. II. Respecto de las medidas de seguridad implementadas deberá incluir lo siguiente: </w:t>
      </w:r>
    </w:p>
    <w:p w14:paraId="6CC01C07"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a) Transferencia y remisiones. </w:t>
      </w:r>
    </w:p>
    <w:p w14:paraId="1C88B76F"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lastRenderedPageBreak/>
        <w:t xml:space="preserve">b) Resguardo de soportes físicos y electrónicos. </w:t>
      </w:r>
    </w:p>
    <w:p w14:paraId="6CAE08B1"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c) Bitácoras para accesos, operación cotidiana y violaciones a la seguridad de los datos personales. </w:t>
      </w:r>
    </w:p>
    <w:p w14:paraId="327ED0A2" w14:textId="6B904E82"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d) El análisis de riesgos. </w:t>
      </w:r>
    </w:p>
    <w:p w14:paraId="1A20B3C3"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e) El análisis de brecha. </w:t>
      </w:r>
    </w:p>
    <w:p w14:paraId="56E5187A"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f) Gestión de incidentes. </w:t>
      </w:r>
    </w:p>
    <w:p w14:paraId="16539C7F" w14:textId="2DE8DAAF"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g) Acceso a las instalaciones. </w:t>
      </w:r>
    </w:p>
    <w:p w14:paraId="60593EC5"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i) Procedimientos de respaldo y recuperación de datos. </w:t>
      </w:r>
    </w:p>
    <w:p w14:paraId="133E013C"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j) Plan de contingencia. </w:t>
      </w:r>
    </w:p>
    <w:p w14:paraId="534CCC0A" w14:textId="4CC212D8"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k) Auditorías. </w:t>
      </w:r>
    </w:p>
    <w:p w14:paraId="4C59BD36"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l) Supresión y borrado seguro de datos. </w:t>
      </w:r>
    </w:p>
    <w:p w14:paraId="45FF4F56"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m) El plan de trabajo. </w:t>
      </w:r>
    </w:p>
    <w:p w14:paraId="2970851B" w14:textId="77777777"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n) Los mecanismos de monitoreo y revisión de las medidas de seguridad. </w:t>
      </w:r>
    </w:p>
    <w:p w14:paraId="6D34A44A" w14:textId="70FD87AC" w:rsidR="00CE7EDD"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o) El programa general de capacitación. Revisión y actualización del documento de seguridad.</w:t>
      </w:r>
    </w:p>
    <w:p w14:paraId="494AD548" w14:textId="77777777" w:rsidR="00CE7EDD" w:rsidRPr="00EE2DA4" w:rsidRDefault="00CE7EDD" w:rsidP="00CE7EDD">
      <w:pPr>
        <w:pStyle w:val="Prrafodelista"/>
        <w:autoSpaceDE w:val="0"/>
        <w:autoSpaceDN w:val="0"/>
        <w:adjustRightInd w:val="0"/>
        <w:spacing w:line="360" w:lineRule="auto"/>
        <w:ind w:left="0"/>
        <w:jc w:val="both"/>
      </w:pPr>
    </w:p>
    <w:p w14:paraId="6CEB1ADA" w14:textId="51D9EA02" w:rsidR="00E648B7" w:rsidRPr="00EE2DA4" w:rsidRDefault="00E648B7" w:rsidP="00E648B7">
      <w:pPr>
        <w:pStyle w:val="Prrafodelista"/>
        <w:numPr>
          <w:ilvl w:val="0"/>
          <w:numId w:val="1"/>
        </w:numPr>
        <w:autoSpaceDE w:val="0"/>
        <w:autoSpaceDN w:val="0"/>
        <w:adjustRightInd w:val="0"/>
        <w:spacing w:line="360" w:lineRule="auto"/>
        <w:ind w:left="0" w:firstLine="0"/>
        <w:jc w:val="both"/>
        <w:rPr>
          <w:rFonts w:ascii="Palatino Linotype" w:hAnsi="Palatino Linotype"/>
        </w:rPr>
      </w:pPr>
      <w:r w:rsidRPr="00EE2DA4">
        <w:rPr>
          <w:rFonts w:ascii="Palatino Linotype" w:hAnsi="Palatino Linotype"/>
        </w:rPr>
        <w:t xml:space="preserve">En ese sentido se considera que el documento de seguridad no contiene datos personales de particulares, únicamente constituye un mecanismo de organización elaborado por el </w:t>
      </w:r>
      <w:r w:rsidRPr="00EE2DA4">
        <w:rPr>
          <w:rFonts w:ascii="Palatino Linotype" w:hAnsi="Palatino Linotype"/>
          <w:b/>
        </w:rPr>
        <w:t>SUJETO OBLIGADO</w:t>
      </w:r>
      <w:r w:rsidRPr="00EE2DA4">
        <w:rPr>
          <w:rFonts w:ascii="Palatino Linotype" w:hAnsi="Palatino Linotype"/>
        </w:rPr>
        <w:t xml:space="preserve"> para el tratamiento de los mismos, es decir medidas de seguridad que se deben tomar en cuenta durante el tratamiento de  bases y sistemas de datos personales, no así las propias bases de datos.</w:t>
      </w:r>
    </w:p>
    <w:p w14:paraId="3AF21487" w14:textId="77777777" w:rsidR="00E648B7" w:rsidRPr="00EE2DA4" w:rsidRDefault="00E648B7" w:rsidP="00E648B7">
      <w:pPr>
        <w:pStyle w:val="Prrafodelista"/>
        <w:autoSpaceDE w:val="0"/>
        <w:autoSpaceDN w:val="0"/>
        <w:adjustRightInd w:val="0"/>
        <w:spacing w:line="360" w:lineRule="auto"/>
        <w:ind w:left="0"/>
        <w:jc w:val="both"/>
        <w:rPr>
          <w:rFonts w:ascii="Palatino Linotype" w:hAnsi="Palatino Linotype"/>
        </w:rPr>
      </w:pPr>
    </w:p>
    <w:p w14:paraId="2FF3318F" w14:textId="75E549EB" w:rsidR="00E648B7" w:rsidRPr="00EE2DA4" w:rsidRDefault="00E648B7" w:rsidP="00E648B7">
      <w:pPr>
        <w:pStyle w:val="Prrafodelista"/>
        <w:numPr>
          <w:ilvl w:val="0"/>
          <w:numId w:val="1"/>
        </w:numPr>
        <w:autoSpaceDE w:val="0"/>
        <w:autoSpaceDN w:val="0"/>
        <w:adjustRightInd w:val="0"/>
        <w:spacing w:line="360" w:lineRule="auto"/>
        <w:ind w:left="0" w:firstLine="0"/>
        <w:jc w:val="both"/>
        <w:rPr>
          <w:rFonts w:ascii="Palatino Linotype" w:hAnsi="Palatino Linotype"/>
        </w:rPr>
      </w:pPr>
      <w:r w:rsidRPr="00EE2DA4">
        <w:rPr>
          <w:rFonts w:ascii="Palatino Linotype" w:hAnsi="Palatino Linotype"/>
        </w:rPr>
        <w:t>Aunado a lo anterior la Ley de la materia señala que existe un responsable de la elaboración del mismo, quién deberá revisar el documento de seguridad de manera periódica y actualizarlo en diversas situaciones a saber:</w:t>
      </w:r>
    </w:p>
    <w:p w14:paraId="625499A1" w14:textId="77777777" w:rsidR="00E648B7" w:rsidRPr="00EE2DA4" w:rsidRDefault="00E648B7" w:rsidP="00E648B7">
      <w:pPr>
        <w:pStyle w:val="Prrafodelista"/>
        <w:autoSpaceDE w:val="0"/>
        <w:autoSpaceDN w:val="0"/>
        <w:adjustRightInd w:val="0"/>
        <w:spacing w:line="360" w:lineRule="auto"/>
        <w:ind w:left="0"/>
        <w:jc w:val="both"/>
      </w:pPr>
    </w:p>
    <w:p w14:paraId="2B551562" w14:textId="77777777" w:rsidR="00E648B7" w:rsidRPr="00EE2DA4" w:rsidRDefault="00CE7EDD" w:rsidP="00E648B7">
      <w:pPr>
        <w:pStyle w:val="Prrafodelista"/>
        <w:autoSpaceDE w:val="0"/>
        <w:autoSpaceDN w:val="0"/>
        <w:adjustRightInd w:val="0"/>
        <w:spacing w:line="360" w:lineRule="auto"/>
        <w:ind w:left="567" w:right="567"/>
        <w:jc w:val="both"/>
        <w:rPr>
          <w:rFonts w:ascii="Palatino Linotype" w:hAnsi="Palatino Linotype"/>
          <w:i/>
          <w:sz w:val="22"/>
          <w:szCs w:val="22"/>
        </w:rPr>
      </w:pPr>
      <w:r w:rsidRPr="00EE2DA4">
        <w:rPr>
          <w:rFonts w:ascii="Palatino Linotype" w:hAnsi="Palatino Linotype"/>
          <w:i/>
          <w:sz w:val="22"/>
          <w:szCs w:val="22"/>
        </w:rPr>
        <w:t xml:space="preserve">Artículo 50. El responsable revisará el documento de seguridad de manera periódica y actualizarlo cuando ocurran los eventos siguientes: </w:t>
      </w:r>
    </w:p>
    <w:p w14:paraId="0733F73C" w14:textId="761C257B" w:rsidR="00E648B7" w:rsidRPr="00EE2DA4" w:rsidRDefault="00CE7EDD" w:rsidP="00E648B7">
      <w:pPr>
        <w:pStyle w:val="Prrafodelista"/>
        <w:numPr>
          <w:ilvl w:val="0"/>
          <w:numId w:val="28"/>
        </w:numPr>
        <w:autoSpaceDE w:val="0"/>
        <w:autoSpaceDN w:val="0"/>
        <w:adjustRightInd w:val="0"/>
        <w:spacing w:line="360" w:lineRule="auto"/>
        <w:ind w:left="567" w:right="567" w:firstLine="0"/>
        <w:jc w:val="both"/>
        <w:rPr>
          <w:rFonts w:ascii="Palatino Linotype" w:hAnsi="Palatino Linotype"/>
          <w:i/>
          <w:sz w:val="22"/>
          <w:szCs w:val="22"/>
        </w:rPr>
      </w:pPr>
      <w:r w:rsidRPr="00EE2DA4">
        <w:rPr>
          <w:rFonts w:ascii="Palatino Linotype" w:hAnsi="Palatino Linotype"/>
          <w:i/>
          <w:sz w:val="22"/>
          <w:szCs w:val="22"/>
        </w:rPr>
        <w:t xml:space="preserve">Se produzcan modificaciones sustanciales al tratamiento de datos personales que deriven en un cambio en el nivel de riesgo. </w:t>
      </w:r>
    </w:p>
    <w:p w14:paraId="4C673F49" w14:textId="77777777" w:rsidR="00E648B7" w:rsidRPr="00EE2DA4" w:rsidRDefault="00CE7EDD" w:rsidP="00E648B7">
      <w:pPr>
        <w:autoSpaceDE w:val="0"/>
        <w:autoSpaceDN w:val="0"/>
        <w:adjustRightInd w:val="0"/>
        <w:spacing w:line="360" w:lineRule="auto"/>
        <w:ind w:left="567" w:right="567"/>
        <w:jc w:val="both"/>
        <w:rPr>
          <w:rFonts w:ascii="Palatino Linotype" w:hAnsi="Palatino Linotype" w:cs="Arial"/>
          <w:i/>
          <w:color w:val="000000" w:themeColor="text1"/>
          <w:sz w:val="22"/>
          <w:szCs w:val="22"/>
          <w:lang w:val="es-MX"/>
        </w:rPr>
      </w:pPr>
      <w:r w:rsidRPr="00EE2DA4">
        <w:rPr>
          <w:rFonts w:ascii="Palatino Linotype" w:hAnsi="Palatino Linotype"/>
          <w:i/>
          <w:sz w:val="22"/>
          <w:szCs w:val="22"/>
        </w:rPr>
        <w:t xml:space="preserve">II. Como resultado de un proceso de mejora continua, derivado del monitoreo y revisión del sistema de gestión. </w:t>
      </w:r>
    </w:p>
    <w:p w14:paraId="325FB352" w14:textId="77777777" w:rsidR="00E648B7" w:rsidRPr="00EE2DA4" w:rsidRDefault="00CE7EDD" w:rsidP="00E648B7">
      <w:pPr>
        <w:autoSpaceDE w:val="0"/>
        <w:autoSpaceDN w:val="0"/>
        <w:adjustRightInd w:val="0"/>
        <w:spacing w:line="360" w:lineRule="auto"/>
        <w:ind w:left="567" w:right="567"/>
        <w:jc w:val="both"/>
        <w:rPr>
          <w:rFonts w:ascii="Palatino Linotype" w:hAnsi="Palatino Linotype" w:cs="Arial"/>
          <w:i/>
          <w:color w:val="000000" w:themeColor="text1"/>
          <w:sz w:val="22"/>
          <w:szCs w:val="22"/>
          <w:lang w:val="es-MX"/>
        </w:rPr>
      </w:pPr>
      <w:r w:rsidRPr="00EE2DA4">
        <w:rPr>
          <w:rFonts w:ascii="Palatino Linotype" w:hAnsi="Palatino Linotype"/>
          <w:i/>
          <w:sz w:val="22"/>
          <w:szCs w:val="22"/>
        </w:rPr>
        <w:t xml:space="preserve">III. Como resultado de un proceso de mejora para mitigar el impacto de una vulneración a la seguridad ocurrida. </w:t>
      </w:r>
    </w:p>
    <w:p w14:paraId="5B0386EF" w14:textId="1DF36000" w:rsidR="00CE7EDD" w:rsidRPr="00EE2DA4" w:rsidRDefault="00CE7EDD" w:rsidP="00E648B7">
      <w:pPr>
        <w:autoSpaceDE w:val="0"/>
        <w:autoSpaceDN w:val="0"/>
        <w:adjustRightInd w:val="0"/>
        <w:spacing w:line="360" w:lineRule="auto"/>
        <w:ind w:left="567" w:right="567"/>
        <w:jc w:val="both"/>
        <w:rPr>
          <w:rFonts w:ascii="Palatino Linotype" w:hAnsi="Palatino Linotype" w:cs="Arial"/>
          <w:i/>
          <w:color w:val="000000" w:themeColor="text1"/>
          <w:sz w:val="22"/>
          <w:szCs w:val="22"/>
          <w:lang w:val="es-MX"/>
        </w:rPr>
      </w:pPr>
      <w:r w:rsidRPr="00EE2DA4">
        <w:rPr>
          <w:rFonts w:ascii="Palatino Linotype" w:hAnsi="Palatino Linotype"/>
          <w:i/>
          <w:sz w:val="22"/>
          <w:szCs w:val="22"/>
        </w:rPr>
        <w:t>IV. Implementación de acciones correctivas y preventivas ante una violación de la seguridad de los datos personales.</w:t>
      </w:r>
    </w:p>
    <w:p w14:paraId="1CB69FFE" w14:textId="77777777" w:rsidR="00E648B7" w:rsidRPr="00EE2DA4" w:rsidRDefault="00E648B7" w:rsidP="00E648B7">
      <w:pPr>
        <w:autoSpaceDE w:val="0"/>
        <w:autoSpaceDN w:val="0"/>
        <w:adjustRightInd w:val="0"/>
        <w:spacing w:line="360" w:lineRule="auto"/>
        <w:ind w:left="567" w:right="567"/>
        <w:jc w:val="both"/>
        <w:rPr>
          <w:rFonts w:ascii="Palatino Linotype" w:hAnsi="Palatino Linotype" w:cs="Arial"/>
          <w:i/>
          <w:color w:val="000000" w:themeColor="text1"/>
          <w:sz w:val="22"/>
          <w:szCs w:val="22"/>
          <w:lang w:val="es-MX"/>
        </w:rPr>
      </w:pPr>
    </w:p>
    <w:p w14:paraId="69C09D34" w14:textId="57A392EC" w:rsidR="00CE7EDD" w:rsidRPr="00EE2DA4" w:rsidRDefault="00E648B7" w:rsidP="00CE7EDD">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EE2DA4">
        <w:rPr>
          <w:rFonts w:ascii="Palatino Linotype" w:hAnsi="Palatino Linotype" w:cs="Arial"/>
          <w:color w:val="000000" w:themeColor="text1"/>
          <w:lang w:val="es-MX"/>
        </w:rPr>
        <w:t>En ese sentido se considera la improcedencia de dicha negativa pues el documento de seguridad no debe contener datos personales,únicamente las medidas implementadas para su tratamiento.</w:t>
      </w:r>
    </w:p>
    <w:p w14:paraId="6BA99A48" w14:textId="77777777" w:rsidR="000A3187" w:rsidRPr="00EE2DA4" w:rsidRDefault="000A3187" w:rsidP="000A3187">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3747C6D4" w14:textId="17C69975" w:rsidR="00E648B7" w:rsidRPr="00EE2DA4" w:rsidRDefault="00E648B7" w:rsidP="000A3187">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EE2DA4">
        <w:rPr>
          <w:rFonts w:ascii="Palatino Linotype" w:hAnsi="Palatino Linotype" w:cs="Arial"/>
          <w:color w:val="000000" w:themeColor="text1"/>
          <w:lang w:val="es-MX"/>
        </w:rPr>
        <w:t>Ahora bien la incongruencia de la respuesta radica en que por una parte niega la entrega de la información y por otra refiere que “</w:t>
      </w:r>
      <w:r w:rsidR="000A3187" w:rsidRPr="00EE2DA4">
        <w:rPr>
          <w:rFonts w:ascii="Palatino Linotype" w:hAnsi="Palatino Linotype" w:cs="Arial"/>
          <w:i/>
          <w:color w:val="000000" w:themeColor="text1"/>
          <w:lang w:val="es-MX"/>
        </w:rPr>
        <w:t xml:space="preserve">por lo que hace al sistema de gestión, me permito mencionar que al día de hoy, </w:t>
      </w:r>
      <w:r w:rsidR="000A3187" w:rsidRPr="00EE2DA4">
        <w:rPr>
          <w:rFonts w:ascii="Palatino Linotype" w:hAnsi="Palatino Linotype" w:cs="Arial"/>
          <w:b/>
          <w:i/>
          <w:color w:val="000000" w:themeColor="text1"/>
          <w:u w:val="single"/>
          <w:lang w:val="es-MX"/>
        </w:rPr>
        <w:t>este Organismo no ha implementado ningún sistema de gestión</w:t>
      </w:r>
      <w:r w:rsidR="000A3187" w:rsidRPr="00EE2DA4">
        <w:rPr>
          <w:rFonts w:ascii="Palatino Linotype" w:hAnsi="Palatino Linotype" w:cs="Arial"/>
          <w:i/>
          <w:color w:val="000000" w:themeColor="text1"/>
          <w:lang w:val="es-MX"/>
        </w:rPr>
        <w:t>, motivo por el cual esta Unidad Administrativa se encuentra imposibilitada para proporcionar la información requerida por el particular</w:t>
      </w:r>
      <w:r w:rsidRPr="00EE2DA4">
        <w:rPr>
          <w:rFonts w:ascii="Palatino Linotype" w:hAnsi="Palatino Linotype" w:cs="Arial"/>
          <w:color w:val="000000" w:themeColor="text1"/>
          <w:lang w:val="es-MX"/>
        </w:rPr>
        <w:t>”</w:t>
      </w:r>
    </w:p>
    <w:p w14:paraId="50812C72" w14:textId="77777777" w:rsidR="00861394" w:rsidRPr="00EE2DA4" w:rsidRDefault="00861394" w:rsidP="00861394">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1DEE6E36" w14:textId="56604469" w:rsidR="00D07D6B" w:rsidRPr="00EE2DA4" w:rsidRDefault="000A3187" w:rsidP="00D07D6B">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EE2DA4">
        <w:rPr>
          <w:rFonts w:ascii="Palatino Linotype" w:hAnsi="Palatino Linotype" w:cs="Arial"/>
          <w:color w:val="000000" w:themeColor="text1"/>
          <w:lang w:val="es-MX"/>
        </w:rPr>
        <w:t>Bajo ese tenor e</w:t>
      </w:r>
      <w:r w:rsidR="00861394" w:rsidRPr="00EE2DA4">
        <w:rPr>
          <w:rFonts w:ascii="Palatino Linotype" w:hAnsi="Palatino Linotype" w:cs="Arial"/>
          <w:color w:val="000000" w:themeColor="text1"/>
          <w:lang w:val="es-MX"/>
        </w:rPr>
        <w:t xml:space="preserve">l artículo 47 de la </w:t>
      </w:r>
      <w:r w:rsidR="00861394" w:rsidRPr="00EE2DA4">
        <w:rPr>
          <w:rFonts w:ascii="Palatino Linotype" w:hAnsi="Palatino Linotype"/>
          <w:b/>
        </w:rPr>
        <w:t>Ley de Protección de Datos Personales en Posesión de Sujetos Obligados del Estado de México y Municipios</w:t>
      </w:r>
      <w:r w:rsidR="00D07D6B" w:rsidRPr="00EE2DA4">
        <w:rPr>
          <w:rFonts w:ascii="Palatino Linotype" w:hAnsi="Palatino Linotype"/>
        </w:rPr>
        <w:t xml:space="preserve"> establece que </w:t>
      </w:r>
      <w:r w:rsidR="00CE7EDD" w:rsidRPr="00EE2DA4">
        <w:rPr>
          <w:rFonts w:ascii="Palatino Linotype" w:hAnsi="Palatino Linotype"/>
        </w:rPr>
        <w:t>l</w:t>
      </w:r>
      <w:r w:rsidR="00D07D6B" w:rsidRPr="00EE2DA4">
        <w:rPr>
          <w:rFonts w:ascii="Palatino Linotype" w:hAnsi="Palatino Linotype"/>
        </w:rPr>
        <w:t xml:space="preserve">as acciones relacionadas con las medidas de seguridad para el tratamiento de los </w:t>
      </w:r>
      <w:r w:rsidR="00D07D6B" w:rsidRPr="00EE2DA4">
        <w:rPr>
          <w:rFonts w:ascii="Palatino Linotype" w:hAnsi="Palatino Linotype"/>
        </w:rPr>
        <w:lastRenderedPageBreak/>
        <w:t>datos personales serán documentadas y contenidas en un sistema de gestión y que éste se entenderá por al conjunto de elementos y actividades interrelacionadas para establecer, implementar, operar, monitorear, revisar, mantener y mejorar el tratamiento y seguridad de los datos personales, tal como se transcribe:</w:t>
      </w:r>
    </w:p>
    <w:p w14:paraId="50576BC1" w14:textId="77777777" w:rsidR="00861394" w:rsidRPr="00EE2DA4" w:rsidRDefault="00861394" w:rsidP="00861394">
      <w:pPr>
        <w:pStyle w:val="Prrafodelista"/>
      </w:pPr>
    </w:p>
    <w:p w14:paraId="41B660EE" w14:textId="6AFA5851" w:rsidR="00D07D6B" w:rsidRPr="00EE2DA4" w:rsidRDefault="00861394" w:rsidP="00D07D6B">
      <w:pPr>
        <w:pStyle w:val="Prrafodelista"/>
        <w:autoSpaceDE w:val="0"/>
        <w:autoSpaceDN w:val="0"/>
        <w:adjustRightInd w:val="0"/>
        <w:spacing w:line="360" w:lineRule="auto"/>
        <w:ind w:left="567" w:right="567"/>
        <w:jc w:val="both"/>
        <w:rPr>
          <w:rFonts w:ascii="Palatino Linotype" w:hAnsi="Palatino Linotype" w:cs="Arial"/>
          <w:i/>
          <w:color w:val="000000" w:themeColor="text1"/>
          <w:lang w:val="es-MX"/>
        </w:rPr>
      </w:pPr>
      <w:r w:rsidRPr="00EE2DA4">
        <w:rPr>
          <w:rFonts w:ascii="Palatino Linotype" w:hAnsi="Palatino Linotype"/>
          <w:i/>
        </w:rPr>
        <w:t xml:space="preserve">Artículo 47. Las acciones relacionadas con las medidas de seguridad para el tratamiento de los datos personales serán documentadas y </w:t>
      </w:r>
      <w:r w:rsidRPr="00EE2DA4">
        <w:rPr>
          <w:rFonts w:ascii="Palatino Linotype" w:hAnsi="Palatino Linotype"/>
          <w:b/>
          <w:i/>
        </w:rPr>
        <w:t>contenidas en un sistema de gestión.</w:t>
      </w:r>
      <w:r w:rsidRPr="00EE2DA4">
        <w:rPr>
          <w:rFonts w:ascii="Palatino Linotype" w:hAnsi="Palatino Linotype"/>
          <w:i/>
        </w:rPr>
        <w:t xml:space="preserve"> Se entenderá por sistema de gestión al conjunto de elementos y actividades interrelacionadas para establecer, implementar, operar, monitorear, revisar, mantener y mejorar el tratamiento y seguridad de los datos personales, de conformidad con lo previsto en la presente Ley y las demás disposiciones legales aplicables. Obligatoriedad del Docu</w:t>
      </w:r>
      <w:r w:rsidR="00D07D6B" w:rsidRPr="00EE2DA4">
        <w:rPr>
          <w:rFonts w:ascii="Palatino Linotype" w:hAnsi="Palatino Linotype"/>
          <w:i/>
        </w:rPr>
        <w:t>mento de Seguridad.</w:t>
      </w:r>
    </w:p>
    <w:p w14:paraId="0B1FBE22" w14:textId="77777777" w:rsidR="00D07D6B" w:rsidRPr="00EE2DA4" w:rsidRDefault="00D07D6B" w:rsidP="00D07D6B">
      <w:pPr>
        <w:pStyle w:val="Prrafodelista"/>
      </w:pPr>
    </w:p>
    <w:p w14:paraId="3B741C1F" w14:textId="77777777" w:rsidR="000A3187" w:rsidRPr="00EE2DA4" w:rsidRDefault="000A3187" w:rsidP="000A3187">
      <w:pPr>
        <w:autoSpaceDE w:val="0"/>
        <w:autoSpaceDN w:val="0"/>
        <w:adjustRightInd w:val="0"/>
        <w:rPr>
          <w:rFonts w:ascii="Palatino Linotype" w:hAnsi="Palatino Linotype" w:cs="Arial"/>
          <w:color w:val="59585C"/>
          <w:sz w:val="21"/>
          <w:szCs w:val="21"/>
          <w:lang w:val="es-MX"/>
        </w:rPr>
      </w:pPr>
    </w:p>
    <w:p w14:paraId="6C46799B" w14:textId="1C21F74F" w:rsidR="000A3187" w:rsidRPr="00EE2DA4" w:rsidRDefault="000A3187" w:rsidP="000A3187">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EE2DA4">
        <w:rPr>
          <w:rFonts w:ascii="Palatino Linotype" w:hAnsi="Palatino Linotype" w:cs="Arial"/>
          <w:color w:val="000000" w:themeColor="text1"/>
          <w:lang w:val="es-MX"/>
        </w:rPr>
        <w:t>Luego entonces, si existen acciones relacionadas con medidas de seguridad, deben existir sistemas de gestión pues las primeras enunciadas se</w:t>
      </w:r>
      <w:r w:rsidR="00920E6E" w:rsidRPr="00EE2DA4">
        <w:rPr>
          <w:rFonts w:ascii="Palatino Linotype" w:hAnsi="Palatino Linotype" w:cs="Arial"/>
          <w:color w:val="000000" w:themeColor="text1"/>
          <w:lang w:val="es-MX"/>
        </w:rPr>
        <w:t xml:space="preserve"> encuentran contenidas en ellos, por tal motivo es dable ordenar la entrega de ambos documentos de ser el caso previa elaboración de una versión pública.</w:t>
      </w:r>
    </w:p>
    <w:p w14:paraId="1EBD8AC3" w14:textId="77777777" w:rsidR="00920E6E" w:rsidRPr="00EE2DA4" w:rsidRDefault="00920E6E" w:rsidP="00920E6E">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3B07EB0F" w14:textId="77777777" w:rsidR="00920E6E" w:rsidRPr="00EE2DA4" w:rsidRDefault="00920E6E" w:rsidP="00920E6E">
      <w:pPr>
        <w:pStyle w:val="Ttulo2"/>
        <w:rPr>
          <w:szCs w:val="24"/>
        </w:rPr>
      </w:pPr>
      <w:bookmarkStart w:id="96" w:name="_Toc465246434"/>
      <w:bookmarkStart w:id="97" w:name="_Toc8823932"/>
      <w:bookmarkStart w:id="98" w:name="_Toc30093947"/>
      <w:bookmarkStart w:id="99" w:name="_Toc33186542"/>
      <w:r w:rsidRPr="00EE2DA4">
        <w:rPr>
          <w:szCs w:val="24"/>
        </w:rPr>
        <w:t>QUINTO. De la versión pública.</w:t>
      </w:r>
      <w:bookmarkEnd w:id="96"/>
      <w:bookmarkEnd w:id="97"/>
      <w:bookmarkEnd w:id="98"/>
      <w:bookmarkEnd w:id="99"/>
    </w:p>
    <w:p w14:paraId="39D16C4D" w14:textId="77777777" w:rsidR="00920E6E" w:rsidRPr="00EE2DA4" w:rsidRDefault="00920E6E" w:rsidP="00920E6E">
      <w:pPr>
        <w:spacing w:line="360" w:lineRule="auto"/>
        <w:rPr>
          <w:rFonts w:ascii="Palatino Linotype" w:hAnsi="Palatino Linotype"/>
        </w:rPr>
      </w:pPr>
    </w:p>
    <w:p w14:paraId="3234953F" w14:textId="77777777" w:rsidR="00920E6E" w:rsidRPr="00EE2DA4" w:rsidRDefault="00920E6E" w:rsidP="00920E6E">
      <w:pPr>
        <w:pStyle w:val="Prrafodelista"/>
        <w:numPr>
          <w:ilvl w:val="0"/>
          <w:numId w:val="1"/>
        </w:numPr>
        <w:spacing w:line="360" w:lineRule="auto"/>
        <w:ind w:left="0" w:firstLine="0"/>
        <w:jc w:val="both"/>
        <w:rPr>
          <w:rFonts w:ascii="Palatino Linotype" w:hAnsi="Palatino Linotype" w:cs="Arial"/>
          <w:i/>
          <w:color w:val="000000" w:themeColor="text1"/>
          <w:sz w:val="22"/>
          <w:szCs w:val="22"/>
        </w:rPr>
      </w:pPr>
      <w:r w:rsidRPr="00EE2DA4">
        <w:rPr>
          <w:rFonts w:ascii="Palatino Linotype" w:eastAsia="Calibri" w:hAnsi="Palatino Linotype" w:cs="Arial"/>
          <w:color w:val="000000" w:themeColor="text1"/>
          <w:lang w:val="es-ES" w:eastAsia="es-MX"/>
        </w:rPr>
        <w:t xml:space="preserve">Es de señalar, que por lo que hace a las versiones públicas, el </w:t>
      </w:r>
      <w:r w:rsidRPr="00EE2DA4">
        <w:rPr>
          <w:rFonts w:ascii="Palatino Linotype" w:eastAsia="Calibri" w:hAnsi="Palatino Linotype" w:cs="Arial"/>
          <w:b/>
          <w:color w:val="000000" w:themeColor="text1"/>
          <w:lang w:val="es-ES" w:eastAsia="es-MX"/>
        </w:rPr>
        <w:t>SUJETO OBLIGADO</w:t>
      </w:r>
      <w:r w:rsidRPr="00EE2DA4">
        <w:rPr>
          <w:rFonts w:ascii="Palatino Linotype" w:eastAsia="Calibri" w:hAnsi="Palatino Linotype" w:cs="Arial"/>
          <w:color w:val="000000" w:themeColor="text1"/>
          <w:lang w:val="es-ES" w:eastAsia="es-MX"/>
        </w:rPr>
        <w:t xml:space="preserve"> debe cumplir con las formalidades exigidas en la Ley, por lo que </w:t>
      </w:r>
      <w:r w:rsidRPr="00EE2DA4">
        <w:rPr>
          <w:rFonts w:ascii="Palatino Linotype" w:eastAsia="Times New Roman" w:hAnsi="Palatino Linotype" w:cs="Arial"/>
          <w:color w:val="000000" w:themeColor="text1"/>
          <w:lang w:eastAsia="es-MX"/>
        </w:rPr>
        <w:t xml:space="preserve">para tal efecto emitirá el </w:t>
      </w:r>
      <w:r w:rsidRPr="00EE2DA4">
        <w:rPr>
          <w:rFonts w:ascii="Palatino Linotype" w:eastAsia="Calibri" w:hAnsi="Palatino Linotype" w:cs="Arial"/>
          <w:color w:val="000000" w:themeColor="text1"/>
          <w:lang w:val="es-ES" w:eastAsia="es-MX"/>
        </w:rPr>
        <w:t xml:space="preserve">Acuerdo del Comité de Transparencia en términos de los </w:t>
      </w:r>
      <w:r w:rsidRPr="00EE2DA4">
        <w:rPr>
          <w:rFonts w:ascii="Palatino Linotype" w:eastAsia="Calibri" w:hAnsi="Palatino Linotype" w:cs="Arial"/>
          <w:color w:val="000000" w:themeColor="text1"/>
          <w:lang w:val="es-ES" w:eastAsia="es-MX"/>
        </w:rPr>
        <w:lastRenderedPageBreak/>
        <w:t>artículos 49 fracción</w:t>
      </w:r>
      <w:r w:rsidRPr="00EE2DA4">
        <w:rPr>
          <w:rFonts w:ascii="Palatino Linotype" w:eastAsia="Calibri" w:hAnsi="Palatino Linotype" w:cs="Arial"/>
          <w:bCs/>
          <w:color w:val="000000" w:themeColor="text1"/>
        </w:rPr>
        <w:t xml:space="preserve"> VIII,</w:t>
      </w:r>
      <w:r w:rsidRPr="00EE2DA4">
        <w:rPr>
          <w:rFonts w:ascii="Palatino Linotype" w:eastAsia="Calibri" w:hAnsi="Palatino Linotype" w:cs="Arial"/>
          <w:color w:val="000000" w:themeColor="text1"/>
          <w:lang w:val="es-ES" w:eastAsia="es-MX"/>
        </w:rPr>
        <w:t xml:space="preserve"> 122</w:t>
      </w:r>
      <w:r w:rsidRPr="00EE2DA4">
        <w:rPr>
          <w:rFonts w:cs="Times New Roman"/>
          <w:vertAlign w:val="superscript"/>
          <w:lang w:val="es-ES" w:eastAsia="es-MX"/>
        </w:rPr>
        <w:footnoteReference w:id="5"/>
      </w:r>
      <w:r w:rsidRPr="00EE2DA4">
        <w:rPr>
          <w:rFonts w:ascii="Palatino Linotype" w:eastAsia="Calibri" w:hAnsi="Palatino Linotype" w:cs="Arial"/>
          <w:color w:val="000000" w:themeColor="text1"/>
          <w:lang w:val="es-ES" w:eastAsia="es-MX"/>
        </w:rPr>
        <w:t>, 135</w:t>
      </w:r>
      <w:r w:rsidRPr="00EE2DA4">
        <w:rPr>
          <w:rFonts w:cs="Times New Roman"/>
          <w:vertAlign w:val="superscript"/>
          <w:lang w:val="es-ES" w:eastAsia="es-MX"/>
        </w:rPr>
        <w:footnoteReference w:id="6"/>
      </w:r>
      <w:r w:rsidRPr="00EE2DA4">
        <w:rPr>
          <w:rFonts w:ascii="Palatino Linotype" w:eastAsia="Calibri" w:hAnsi="Palatino Linotype" w:cs="Arial"/>
          <w:color w:val="000000" w:themeColor="text1"/>
          <w:lang w:val="es-ES" w:eastAsia="es-MX"/>
        </w:rPr>
        <w:t xml:space="preserve"> y 149 de la </w:t>
      </w:r>
      <w:r w:rsidRPr="00EE2DA4">
        <w:rPr>
          <w:rFonts w:ascii="Palatino Linotype" w:eastAsia="Calibri" w:hAnsi="Palatino Linotype" w:cs="Arial"/>
          <w:b/>
          <w:color w:val="000000" w:themeColor="text1"/>
          <w:lang w:val="es-ES" w:eastAsia="es-MX"/>
        </w:rPr>
        <w:t>Ley de Transparencia y Acceso a la Información Pública del Estado de México y Municipios</w:t>
      </w:r>
      <w:r w:rsidRPr="00EE2DA4">
        <w:rPr>
          <w:rFonts w:ascii="Palatino Linotype" w:eastAsia="Calibri" w:hAnsi="Palatino Linotype" w:cs="Arial"/>
          <w:color w:val="000000" w:themeColor="text1"/>
          <w:lang w:val="es-ES" w:eastAsia="es-MX"/>
        </w:rPr>
        <w:t>, con el cual sustentara de forma fundada y motivada la clasificación de datos y con ello la "versión pública" de los documentos materia de la solicitud.</w:t>
      </w:r>
    </w:p>
    <w:p w14:paraId="264E7279"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2A8A449B"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 xml:space="preserve">La </w:t>
      </w:r>
      <w:r w:rsidRPr="00EE2DA4">
        <w:rPr>
          <w:rFonts w:ascii="Palatino Linotype" w:eastAsia="MS Mincho" w:hAnsi="Palatino Linotype" w:cs="Times New Roman"/>
          <w:b/>
          <w:color w:val="000000"/>
          <w:u w:val="single"/>
        </w:rPr>
        <w:t>clasificación total o parcial</w:t>
      </w:r>
      <w:r w:rsidRPr="00EE2DA4">
        <w:rPr>
          <w:rFonts w:ascii="Palatino Linotype" w:eastAsia="MS Mincho" w:hAnsi="Palatino Linotype" w:cs="Times New Roman"/>
          <w:color w:val="000000"/>
        </w:rPr>
        <w:t xml:space="preserve"> de la información requerida, mediante solicitud de acceso a la información pública, constituye una restricción al derecho humano de acceso a la información. Como reiteradamente han dicho, diversos órganos jurisdiccionales, ningún derecho es absoluto</w:t>
      </w:r>
      <w:r w:rsidRPr="00EE2DA4">
        <w:footnoteReference w:id="7"/>
      </w:r>
      <w:r w:rsidRPr="00EE2DA4">
        <w:rPr>
          <w:rFonts w:ascii="Palatino Linotype" w:eastAsia="MS Mincho" w:hAnsi="Palatino Linotype" w:cs="Times New Roman"/>
          <w:color w:val="000000"/>
        </w:rPr>
        <w:t xml:space="preserve"> aunque cualquier límite o </w:t>
      </w:r>
      <w:r w:rsidRPr="00EE2DA4">
        <w:rPr>
          <w:rFonts w:ascii="Palatino Linotype" w:eastAsia="MS Mincho" w:hAnsi="Palatino Linotype" w:cs="Times New Roman"/>
          <w:color w:val="000000"/>
        </w:rPr>
        <w:lastRenderedPageBreak/>
        <w:t>restricción, para ser legítimo, debe reunir con tres requisitos: primero, debe de estar establecida en un ordenamiento legal, antes de su aplicación; debe de corresponder a un fin legítimo y ser estrictamente proporcional con el principio o valor que se pretende preservar.</w:t>
      </w:r>
      <w:r w:rsidRPr="00EE2DA4">
        <w:footnoteReference w:id="8"/>
      </w:r>
      <w:r w:rsidRPr="00EE2DA4">
        <w:rPr>
          <w:rFonts w:ascii="Palatino Linotype" w:eastAsia="MS Mincho" w:hAnsi="Palatino Linotype" w:cs="Times New Roman"/>
          <w:color w:val="000000"/>
        </w:rPr>
        <w:t xml:space="preserve">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w:t>
      </w:r>
      <w:r w:rsidRPr="00EE2DA4">
        <w:rPr>
          <w:rFonts w:ascii="Palatino Linotype" w:eastAsia="MS Mincho" w:hAnsi="Palatino Linotype" w:cs="Times New Roman"/>
          <w:color w:val="000000"/>
        </w:rPr>
        <w:lastRenderedPageBreak/>
        <w:t>establecen, y agotar el procedimiento legalmente establecido, es precisamente lo que permite acreditar el cumplimiento de los otros dos requisitos.</w:t>
      </w:r>
    </w:p>
    <w:p w14:paraId="1576AE13" w14:textId="77777777" w:rsidR="00920E6E" w:rsidRPr="00EE2DA4" w:rsidRDefault="00920E6E" w:rsidP="00920E6E">
      <w:pPr>
        <w:pStyle w:val="Prrafodelista"/>
        <w:spacing w:line="360" w:lineRule="auto"/>
        <w:ind w:left="0"/>
        <w:jc w:val="both"/>
        <w:rPr>
          <w:rFonts w:ascii="Palatino Linotype" w:eastAsia="MS Mincho" w:hAnsi="Palatino Linotype" w:cs="Times New Roman"/>
          <w:color w:val="000000"/>
        </w:rPr>
      </w:pPr>
    </w:p>
    <w:p w14:paraId="0500D87C" w14:textId="77777777" w:rsidR="00920E6E" w:rsidRPr="00EE2DA4" w:rsidRDefault="00920E6E" w:rsidP="00920E6E">
      <w:pPr>
        <w:pStyle w:val="Ttulo2"/>
      </w:pPr>
      <w:bookmarkStart w:id="100" w:name="_Toc500422379"/>
      <w:bookmarkStart w:id="101" w:name="_Toc504070607"/>
      <w:bookmarkStart w:id="102" w:name="_Toc505173986"/>
      <w:bookmarkStart w:id="103" w:name="_Toc8823933"/>
      <w:bookmarkStart w:id="104" w:name="_Toc30093948"/>
      <w:bookmarkStart w:id="105" w:name="_Toc33186543"/>
      <w:r w:rsidRPr="00EE2DA4">
        <w:t>I. Requisitos previos</w:t>
      </w:r>
      <w:bookmarkEnd w:id="100"/>
      <w:r w:rsidRPr="00EE2DA4">
        <w:t>.</w:t>
      </w:r>
      <w:bookmarkEnd w:id="101"/>
      <w:bookmarkEnd w:id="102"/>
      <w:bookmarkEnd w:id="103"/>
      <w:bookmarkEnd w:id="104"/>
      <w:bookmarkEnd w:id="105"/>
    </w:p>
    <w:p w14:paraId="0C7DCEC3" w14:textId="77777777" w:rsidR="00920E6E" w:rsidRPr="00EE2DA4" w:rsidRDefault="00920E6E" w:rsidP="00920E6E">
      <w:pPr>
        <w:spacing w:line="360" w:lineRule="auto"/>
        <w:ind w:left="360"/>
        <w:contextualSpacing/>
        <w:jc w:val="both"/>
        <w:rPr>
          <w:rFonts w:ascii="Palatino Linotype" w:eastAsia="MS Mincho" w:hAnsi="Palatino Linotype" w:cs="Times New Roman"/>
          <w:color w:val="000000"/>
        </w:rPr>
      </w:pPr>
    </w:p>
    <w:p w14:paraId="5171CDC7" w14:textId="77777777" w:rsidR="00920E6E" w:rsidRPr="00EE2DA4" w:rsidRDefault="00920E6E" w:rsidP="00920E6E">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Los artículos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registro federal de contribuyentes, edad, fotografía, entre otros) que forme parte de algún documento o el documento que se pretende reservar (contrato, licencia, póliza, entre otros), señalando el supuesto de clasificación (confidencialidad o reserva).</w:t>
      </w:r>
    </w:p>
    <w:p w14:paraId="15F03B50" w14:textId="77777777" w:rsidR="00920E6E" w:rsidRPr="00EE2DA4" w:rsidRDefault="00920E6E" w:rsidP="00920E6E">
      <w:pPr>
        <w:pStyle w:val="Prrafodelista"/>
        <w:spacing w:line="360" w:lineRule="auto"/>
        <w:ind w:left="0"/>
        <w:jc w:val="both"/>
        <w:rPr>
          <w:rFonts w:ascii="Palatino Linotype" w:eastAsia="MS Mincho" w:hAnsi="Palatino Linotype" w:cs="Times New Roman"/>
          <w:color w:val="000000"/>
        </w:rPr>
      </w:pPr>
    </w:p>
    <w:p w14:paraId="3C2034BE" w14:textId="77777777" w:rsidR="00920E6E" w:rsidRPr="00EE2DA4" w:rsidRDefault="00920E6E" w:rsidP="00920E6E">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Además, se debe señalar el procedimiento, de los tres 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3A943E35" w14:textId="77777777" w:rsidR="00920E6E" w:rsidRPr="00EE2DA4" w:rsidRDefault="00920E6E" w:rsidP="00920E6E">
      <w:pPr>
        <w:pStyle w:val="Prrafodelista"/>
        <w:spacing w:line="360" w:lineRule="auto"/>
        <w:ind w:left="0"/>
        <w:jc w:val="both"/>
        <w:rPr>
          <w:rFonts w:ascii="Palatino Linotype" w:eastAsia="MS Mincho" w:hAnsi="Palatino Linotype" w:cs="Times New Roman"/>
          <w:color w:val="000000"/>
        </w:rPr>
      </w:pPr>
    </w:p>
    <w:p w14:paraId="64234148" w14:textId="77777777" w:rsidR="00920E6E" w:rsidRPr="00EE2DA4" w:rsidRDefault="00920E6E" w:rsidP="00920E6E">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 xml:space="preserve">El último de estos requisitos previos consiste en que no se pueden emitir acuerdos de carácter general ni particular, según lo disponen los artículos 134 y 108 </w:t>
      </w:r>
      <w:r w:rsidRPr="00EE2DA4">
        <w:rPr>
          <w:rFonts w:ascii="Palatino Linotype" w:eastAsia="MS Mincho" w:hAnsi="Palatino Linotype" w:cs="Times New Roman"/>
          <w:color w:val="000000"/>
        </w:rPr>
        <w:lastRenderedPageBreak/>
        <w:t>de la Ley Estatal y de la Ley General, respectivamente, esto es, no se puede hacer un acuerdo para clasificar de manera general todos los documentos de un expediente o área,  sin individualizar su análisis y tampoco se puede hacer un acuerdo por cada dato que se vaya a clasificar dentro de un documento con diez datos, por ejemplo, susceptibles de ser clasificados.</w:t>
      </w:r>
    </w:p>
    <w:p w14:paraId="378C52AE" w14:textId="77777777" w:rsidR="00920E6E" w:rsidRPr="00EE2DA4" w:rsidRDefault="00920E6E" w:rsidP="00920E6E">
      <w:pPr>
        <w:pStyle w:val="Prrafodelista"/>
        <w:spacing w:line="360" w:lineRule="auto"/>
        <w:ind w:left="0"/>
        <w:jc w:val="both"/>
        <w:rPr>
          <w:rFonts w:ascii="Palatino Linotype" w:eastAsia="MS Mincho" w:hAnsi="Palatino Linotype" w:cs="Times New Roman"/>
          <w:color w:val="000000"/>
        </w:rPr>
      </w:pPr>
    </w:p>
    <w:p w14:paraId="1D4CA9CA" w14:textId="77777777" w:rsidR="00920E6E" w:rsidRPr="00EE2DA4" w:rsidRDefault="00920E6E" w:rsidP="00920E6E">
      <w:pPr>
        <w:pStyle w:val="Ttulo2"/>
      </w:pPr>
      <w:bookmarkStart w:id="106" w:name="_Toc500422380"/>
      <w:bookmarkStart w:id="107" w:name="_Toc504070608"/>
      <w:bookmarkStart w:id="108" w:name="_Toc505173987"/>
      <w:bookmarkStart w:id="109" w:name="_Toc8823934"/>
      <w:bookmarkStart w:id="110" w:name="_Toc30093949"/>
      <w:bookmarkStart w:id="111" w:name="_Toc33186544"/>
      <w:r w:rsidRPr="00EE2DA4">
        <w:t xml:space="preserve">II. </w:t>
      </w:r>
      <w:r w:rsidRPr="00EE2DA4">
        <w:rPr>
          <w:rFonts w:eastAsia="MS Mincho" w:cs="Times New Roman"/>
          <w:color w:val="000000"/>
          <w:szCs w:val="24"/>
        </w:rPr>
        <w:t>Supuestos de clasificación</w:t>
      </w:r>
      <w:bookmarkEnd w:id="106"/>
      <w:r w:rsidRPr="00EE2DA4">
        <w:rPr>
          <w:rFonts w:eastAsia="MS Mincho" w:cs="Times New Roman"/>
          <w:color w:val="000000"/>
          <w:szCs w:val="24"/>
        </w:rPr>
        <w:t>.</w:t>
      </w:r>
      <w:bookmarkEnd w:id="107"/>
      <w:bookmarkEnd w:id="108"/>
      <w:bookmarkEnd w:id="109"/>
      <w:bookmarkEnd w:id="110"/>
      <w:bookmarkEnd w:id="111"/>
    </w:p>
    <w:p w14:paraId="211A764A"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Las disposiciones constitucionales y legales en la materia establecen los dos supuestos generales para clasificar la información: por reserva y por confidencialidad.</w:t>
      </w:r>
    </w:p>
    <w:p w14:paraId="0F38A870"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0BA282F8"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Mientras que los artículos 143 y 116 de la Ley Estatal y de la Ley General, respectivamente, señalan los supuestos para que la información pueda ser clasificada como confidencial:</w:t>
      </w:r>
    </w:p>
    <w:p w14:paraId="748712FF" w14:textId="77777777" w:rsidR="00920E6E" w:rsidRPr="00EE2DA4" w:rsidRDefault="00920E6E" w:rsidP="00920E6E">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 xml:space="preserve">I. Se refiera a la información privada y los datos personales concernientes a una persona física o jurídico colectiva identificada o identificable; </w:t>
      </w:r>
    </w:p>
    <w:p w14:paraId="7CF0B599" w14:textId="77777777" w:rsidR="00920E6E" w:rsidRPr="00EE2DA4" w:rsidRDefault="00920E6E" w:rsidP="00920E6E">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 xml:space="preserve">II. Los secretos bancario, fiduciario, industrial, comercial, fiscal, bursátil y postal, cuya titularidad corresponda a particulares, sujetos de derecho internacional o a sujetos obligados cuando no involucren el ejercicio de recursos públicos; y </w:t>
      </w:r>
    </w:p>
    <w:p w14:paraId="39739D40" w14:textId="77777777" w:rsidR="00920E6E" w:rsidRPr="00EE2DA4" w:rsidRDefault="00920E6E" w:rsidP="00920E6E">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 xml:space="preserve">III. La que presenten los particulares a los sujetos obligados, de conformidad con lo dispuesto por las leyes o los tratados internacionales. </w:t>
      </w:r>
    </w:p>
    <w:p w14:paraId="23648508" w14:textId="77777777" w:rsidR="00920E6E" w:rsidRPr="00EE2DA4" w:rsidRDefault="00920E6E" w:rsidP="00920E6E">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 xml:space="preserve">La información confidencial no estará sujeta a temporalidad alguna y sólo podrán tener </w:t>
      </w:r>
      <w:r w:rsidRPr="00EE2DA4">
        <w:rPr>
          <w:rFonts w:ascii="Palatino Linotype" w:eastAsia="MS Mincho" w:hAnsi="Palatino Linotype" w:cs="Times New Roman"/>
          <w:i/>
          <w:color w:val="000000"/>
          <w:sz w:val="22"/>
          <w:szCs w:val="22"/>
        </w:rPr>
        <w:lastRenderedPageBreak/>
        <w:t xml:space="preserve">acceso a ella los titulares de la misma, sus representantes y los servidores públicos facultados para ello. </w:t>
      </w:r>
    </w:p>
    <w:p w14:paraId="62504325" w14:textId="77777777" w:rsidR="00920E6E" w:rsidRPr="00EE2DA4" w:rsidRDefault="00920E6E" w:rsidP="00920E6E">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 xml:space="preserve">No se considerará confidencial la información que se encuentre en los registros públicos o en fuentes de acceso público, ni tampoco la que sea considerada por la presente ley como información pública. </w:t>
      </w:r>
    </w:p>
    <w:p w14:paraId="3C2CC7F8"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1D0053A8"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3096105A"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Como consecuencia de lo anterior, el sujeto obligado debe identificar claramente el tipo de información y hacer un juicio de subsunción o encaje</w:t>
      </w:r>
      <w:r w:rsidRPr="00EE2DA4">
        <w:footnoteReference w:id="9"/>
      </w:r>
      <w:r w:rsidRPr="00EE2DA4">
        <w:rPr>
          <w:rFonts w:ascii="Palatino Linotype" w:eastAsia="MS Mincho" w:hAnsi="Palatino Linotype" w:cs="Times New Roman"/>
          <w:color w:val="000000"/>
        </w:rPr>
        <w:t xml:space="preserve"> para </w:t>
      </w:r>
      <w:r w:rsidRPr="00EE2DA4">
        <w:rPr>
          <w:rFonts w:ascii="Palatino Linotype" w:eastAsia="MS Mincho" w:hAnsi="Palatino Linotype" w:cs="Times New Roman"/>
          <w:color w:val="000000"/>
        </w:rPr>
        <w:lastRenderedPageBreak/>
        <w:t>acreditar que el supuesto de hecho corresponde estrictamente con la hipótesis jurídica. Esto también lo debe de realizar el servidor público habilitado y el titular del área que administra la información.</w:t>
      </w:r>
    </w:p>
    <w:p w14:paraId="07FE08A4"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379E3B0B"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Una vez hecho lo anterior, se remite la información al Titular de la Unidad de Transparencia, con el acuerdo de clasificación correspondiente, para que sea sometido al conocimiento del Comité de Transparencia.</w:t>
      </w:r>
    </w:p>
    <w:p w14:paraId="4C4BE911" w14:textId="77777777" w:rsidR="00920E6E" w:rsidRPr="00EE2DA4" w:rsidRDefault="00920E6E" w:rsidP="00920E6E">
      <w:pPr>
        <w:pStyle w:val="Ttulo2"/>
      </w:pPr>
      <w:bookmarkStart w:id="112" w:name="_Toc500422381"/>
      <w:bookmarkStart w:id="113" w:name="_Toc504070609"/>
      <w:bookmarkStart w:id="114" w:name="_Toc505173988"/>
      <w:bookmarkStart w:id="115" w:name="_Toc8823935"/>
      <w:bookmarkStart w:id="116" w:name="_Toc30093950"/>
      <w:bookmarkStart w:id="117" w:name="_Toc33186545"/>
      <w:r w:rsidRPr="00EE2DA4">
        <w:t>III. La intervención del Comité de Transparencia.</w:t>
      </w:r>
      <w:bookmarkEnd w:id="112"/>
      <w:bookmarkEnd w:id="113"/>
      <w:bookmarkEnd w:id="114"/>
      <w:bookmarkEnd w:id="115"/>
      <w:bookmarkEnd w:id="116"/>
      <w:bookmarkEnd w:id="117"/>
    </w:p>
    <w:p w14:paraId="17390360" w14:textId="77777777" w:rsidR="00920E6E" w:rsidRPr="00EE2DA4" w:rsidRDefault="00920E6E" w:rsidP="00920E6E">
      <w:pPr>
        <w:pStyle w:val="Ttulo3"/>
        <w:rPr>
          <w:rFonts w:ascii="Palatino Linotype" w:hAnsi="Palatino Linotype"/>
          <w:b/>
          <w:color w:val="000000" w:themeColor="text1"/>
          <w:szCs w:val="26"/>
          <w:lang w:val="es-MX" w:eastAsia="en-US"/>
        </w:rPr>
      </w:pPr>
      <w:bookmarkStart w:id="118" w:name="_Toc500422382"/>
      <w:bookmarkStart w:id="119" w:name="_Toc504070610"/>
      <w:bookmarkStart w:id="120" w:name="_Toc505173989"/>
      <w:bookmarkStart w:id="121" w:name="_Toc8823936"/>
      <w:bookmarkStart w:id="122" w:name="_Toc30093951"/>
      <w:bookmarkStart w:id="123" w:name="_Toc33186546"/>
      <w:r w:rsidRPr="00EE2DA4">
        <w:rPr>
          <w:rFonts w:ascii="Palatino Linotype" w:hAnsi="Palatino Linotype"/>
          <w:b/>
          <w:color w:val="000000" w:themeColor="text1"/>
          <w:szCs w:val="26"/>
          <w:lang w:val="es-MX" w:eastAsia="en-US"/>
        </w:rPr>
        <w:t>A. Formalidades para emitir el acuerdo de clasificación.</w:t>
      </w:r>
      <w:bookmarkEnd w:id="118"/>
      <w:bookmarkEnd w:id="119"/>
      <w:bookmarkEnd w:id="120"/>
      <w:bookmarkEnd w:id="121"/>
      <w:bookmarkEnd w:id="122"/>
      <w:bookmarkEnd w:id="123"/>
    </w:p>
    <w:p w14:paraId="01433752" w14:textId="77777777" w:rsidR="00920E6E" w:rsidRPr="00EE2DA4" w:rsidRDefault="00920E6E" w:rsidP="00920E6E">
      <w:pPr>
        <w:pStyle w:val="Prrafodelista"/>
        <w:spacing w:line="360" w:lineRule="auto"/>
        <w:ind w:left="0"/>
        <w:jc w:val="both"/>
        <w:rPr>
          <w:rFonts w:ascii="Palatino Linotype" w:eastAsia="MS Mincho" w:hAnsi="Palatino Linotype" w:cs="Times New Roman"/>
          <w:color w:val="000000"/>
        </w:rPr>
      </w:pPr>
    </w:p>
    <w:p w14:paraId="0AADF62C"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El 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públicas, en adelante los Lineamientos Generales, 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14:paraId="4EC99DFF"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27BF24D4"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 xml:space="preserve">Evidentemente, 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es decir, que </w:t>
      </w:r>
      <w:r w:rsidRPr="00EE2DA4">
        <w:rPr>
          <w:rFonts w:ascii="Palatino Linotype" w:eastAsia="MS Mincho" w:hAnsi="Palatino Linotype" w:cs="Times New Roman"/>
          <w:color w:val="000000"/>
        </w:rPr>
        <w:lastRenderedPageBreak/>
        <w:t>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6AF4AB6F"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4761BA09"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La 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p w14:paraId="0B2AB6BA" w14:textId="77777777" w:rsidR="00920E6E" w:rsidRPr="00EE2DA4" w:rsidRDefault="00920E6E" w:rsidP="00920E6E">
      <w:pPr>
        <w:pStyle w:val="Prrafodelista"/>
        <w:spacing w:line="360" w:lineRule="auto"/>
        <w:ind w:left="0"/>
        <w:jc w:val="both"/>
        <w:rPr>
          <w:rFonts w:ascii="Palatino Linotype" w:eastAsia="MS Mincho" w:hAnsi="Palatino Linotype" w:cs="Times New Roman"/>
          <w:color w:val="000000"/>
        </w:rPr>
      </w:pPr>
    </w:p>
    <w:p w14:paraId="00B0ADAE" w14:textId="77777777" w:rsidR="00920E6E" w:rsidRPr="00EE2DA4" w:rsidRDefault="00920E6E" w:rsidP="00920E6E">
      <w:pPr>
        <w:pStyle w:val="Ttulo3"/>
        <w:rPr>
          <w:rFonts w:ascii="Palatino Linotype" w:hAnsi="Palatino Linotype"/>
          <w:b/>
          <w:color w:val="000000" w:themeColor="text1"/>
        </w:rPr>
      </w:pPr>
      <w:bookmarkStart w:id="124" w:name="_Toc500422383"/>
      <w:bookmarkStart w:id="125" w:name="_Toc504070611"/>
      <w:bookmarkStart w:id="126" w:name="_Toc505173990"/>
      <w:bookmarkStart w:id="127" w:name="_Toc8823937"/>
      <w:bookmarkStart w:id="128" w:name="_Toc30093952"/>
      <w:bookmarkStart w:id="129" w:name="_Toc33186547"/>
      <w:r w:rsidRPr="00EE2DA4">
        <w:rPr>
          <w:rFonts w:ascii="Palatino Linotype" w:hAnsi="Palatino Linotype"/>
          <w:b/>
          <w:color w:val="000000" w:themeColor="text1"/>
        </w:rPr>
        <w:t>B. Requisitos de fondo del acuerdo de clasificación.</w:t>
      </w:r>
      <w:bookmarkEnd w:id="124"/>
      <w:bookmarkEnd w:id="125"/>
      <w:bookmarkEnd w:id="126"/>
      <w:bookmarkEnd w:id="127"/>
      <w:bookmarkEnd w:id="128"/>
      <w:bookmarkEnd w:id="129"/>
    </w:p>
    <w:p w14:paraId="150390DB"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w:t>
      </w:r>
      <w:r w:rsidRPr="00EE2DA4">
        <w:rPr>
          <w:rFonts w:ascii="Palatino Linotype" w:eastAsia="MS Mincho" w:hAnsi="Palatino Linotype" w:cs="Times New Roman"/>
          <w:color w:val="000000"/>
        </w:rPr>
        <w:lastRenderedPageBreak/>
        <w:t>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w:t>
      </w:r>
    </w:p>
    <w:p w14:paraId="44D8CE38"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4C6C0336"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De 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66C40E13"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0A5CD87B"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 xml:space="preserve">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w:t>
      </w:r>
      <w:r w:rsidRPr="00EE2DA4">
        <w:rPr>
          <w:rFonts w:ascii="Palatino Linotype" w:eastAsia="MS Mincho" w:hAnsi="Palatino Linotype" w:cs="Times New Roman"/>
          <w:color w:val="000000"/>
        </w:rPr>
        <w:lastRenderedPageBreak/>
        <w:t>del análisis de las pruebas, lo cual se debe exteriorizar en una argumentación o juicio de hecho....”</w:t>
      </w:r>
      <w:r w:rsidRPr="00EE2DA4">
        <w:footnoteReference w:id="10"/>
      </w:r>
    </w:p>
    <w:p w14:paraId="26E9978A" w14:textId="77777777" w:rsidR="00920E6E" w:rsidRPr="00EE2DA4" w:rsidRDefault="00920E6E" w:rsidP="00920E6E">
      <w:pPr>
        <w:pStyle w:val="Prrafodelista"/>
        <w:spacing w:line="360" w:lineRule="auto"/>
        <w:ind w:left="0"/>
        <w:jc w:val="both"/>
        <w:rPr>
          <w:rFonts w:ascii="Palatino Linotype" w:eastAsia="MS Mincho" w:hAnsi="Palatino Linotype" w:cs="Times New Roman"/>
          <w:color w:val="000000"/>
        </w:rPr>
      </w:pPr>
    </w:p>
    <w:p w14:paraId="6A674D17" w14:textId="77777777" w:rsidR="00920E6E" w:rsidRPr="00EE2DA4" w:rsidRDefault="00920E6E" w:rsidP="00920E6E">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Por su parte, el intérprete judicial del país ha establecido una jurisprudencia respecto a qué debe entenderse por fundamentación y motivación, en los siguientes términos:</w:t>
      </w:r>
    </w:p>
    <w:p w14:paraId="180561E5" w14:textId="77777777" w:rsidR="00920E6E" w:rsidRPr="00EE2DA4" w:rsidRDefault="00920E6E" w:rsidP="00920E6E">
      <w:pPr>
        <w:spacing w:line="360" w:lineRule="auto"/>
        <w:ind w:left="426"/>
        <w:contextualSpacing/>
        <w:jc w:val="both"/>
        <w:rPr>
          <w:rFonts w:ascii="Palatino Linotype" w:eastAsia="MS Mincho" w:hAnsi="Palatino Linotype" w:cs="Times New Roman"/>
          <w:color w:val="000000"/>
        </w:rPr>
      </w:pPr>
    </w:p>
    <w:p w14:paraId="21894F4E" w14:textId="77777777" w:rsidR="00920E6E" w:rsidRPr="00EE2DA4" w:rsidRDefault="00920E6E" w:rsidP="00920E6E">
      <w:pPr>
        <w:spacing w:line="360" w:lineRule="auto"/>
        <w:ind w:left="851" w:right="618"/>
        <w:contextualSpacing/>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b/>
          <w:i/>
          <w:color w:val="000000"/>
          <w:sz w:val="22"/>
          <w:szCs w:val="22"/>
        </w:rPr>
        <w:t>FUNDAMENTACIÓN Y MOTIVACIÓN.</w:t>
      </w:r>
      <w:r w:rsidRPr="00EE2DA4">
        <w:rPr>
          <w:rFonts w:ascii="Palatino Linotype" w:eastAsia="MS Mincho" w:hAnsi="Palatino Linotype" w:cs="Times New Roman"/>
          <w:i/>
          <w:color w:val="000000"/>
          <w:sz w:val="22"/>
          <w:szCs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2BB43742" w14:textId="77777777" w:rsidR="00920E6E" w:rsidRPr="00EE2DA4" w:rsidRDefault="00920E6E" w:rsidP="00920E6E">
      <w:pPr>
        <w:spacing w:line="360" w:lineRule="auto"/>
        <w:ind w:left="851" w:right="618"/>
        <w:contextualSpacing/>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SEGUNDO TRIBUNAL COLEGIADO DEL SEXTO CIRCUITO.</w:t>
      </w:r>
    </w:p>
    <w:p w14:paraId="3BB8A33D" w14:textId="77777777" w:rsidR="00920E6E" w:rsidRPr="00EE2DA4" w:rsidRDefault="00920E6E" w:rsidP="00920E6E">
      <w:pPr>
        <w:spacing w:line="360" w:lineRule="auto"/>
        <w:ind w:left="851" w:right="618"/>
        <w:contextualSpacing/>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Amparo directo 194/88. Bufete Industrial Construcciones, S.A. de C.V. 28 de junio de 1988. Unanimidad de votos. Ponente: Gustavo Calvillo Rangel. Secretario: Jorge Alberto González Álvarez.</w:t>
      </w:r>
    </w:p>
    <w:p w14:paraId="355B20D8" w14:textId="77777777" w:rsidR="00920E6E" w:rsidRPr="00EE2DA4" w:rsidRDefault="00920E6E" w:rsidP="00920E6E">
      <w:pPr>
        <w:spacing w:line="360" w:lineRule="auto"/>
        <w:ind w:left="851" w:right="618"/>
        <w:contextualSpacing/>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Revisión fiscal 103/88. Instituto Mexicano del Seguro Social. 18 de octubre de 1988. Unanimidad de votos. Ponente: Arnoldo Nájera Virgen. Secretario: Alejandro Esponda Rincón.</w:t>
      </w:r>
    </w:p>
    <w:p w14:paraId="0407D577" w14:textId="77777777" w:rsidR="00920E6E" w:rsidRPr="00EE2DA4" w:rsidRDefault="00920E6E" w:rsidP="00920E6E">
      <w:pPr>
        <w:spacing w:line="360" w:lineRule="auto"/>
        <w:ind w:left="851" w:right="618"/>
        <w:contextualSpacing/>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Amparo en revisión 333/88. Adilia Romero. 26 de octubre de 1988. Unanimidad de votos. Ponente: Arnoldo Nájera Virgen. Secretario: Enrique Crispín Campos Ramírez.</w:t>
      </w:r>
    </w:p>
    <w:p w14:paraId="3B94E549" w14:textId="77777777" w:rsidR="00920E6E" w:rsidRPr="00EE2DA4" w:rsidRDefault="00920E6E" w:rsidP="00920E6E">
      <w:pPr>
        <w:spacing w:line="360" w:lineRule="auto"/>
        <w:ind w:left="851" w:right="618"/>
        <w:contextualSpacing/>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lastRenderedPageBreak/>
        <w:t>Amparo en revisión 597/95. Emilio Maurer Bretón. 15 de noviembre de 1995. Unanimidad de votos. Ponente: Clementina Ramírez Moguel Goyzueta. Secretario: Gonzalo Carrera Molina.</w:t>
      </w:r>
    </w:p>
    <w:p w14:paraId="5A2CFE0E" w14:textId="77777777" w:rsidR="00920E6E" w:rsidRPr="00EE2DA4" w:rsidRDefault="00920E6E" w:rsidP="00920E6E">
      <w:pPr>
        <w:spacing w:line="360" w:lineRule="auto"/>
        <w:ind w:left="851" w:right="618"/>
        <w:contextualSpacing/>
        <w:jc w:val="both"/>
        <w:rPr>
          <w:rFonts w:ascii="Palatino Linotype" w:eastAsia="MS Mincho" w:hAnsi="Palatino Linotype" w:cs="Times New Roman"/>
          <w:i/>
          <w:color w:val="000000"/>
          <w:sz w:val="22"/>
          <w:szCs w:val="22"/>
        </w:rPr>
      </w:pPr>
      <w:r w:rsidRPr="00EE2DA4">
        <w:rPr>
          <w:rFonts w:ascii="Palatino Linotype" w:eastAsia="MS Mincho" w:hAnsi="Palatino Linotype" w:cs="Times New Roman"/>
          <w:i/>
          <w:color w:val="000000"/>
          <w:sz w:val="22"/>
          <w:szCs w:val="22"/>
        </w:rPr>
        <w:t>Amparo directo 7/96. Pedro Vicente López Miro. 21 de febrero de 1996. Unanimidad de votos. Ponente: María Eugenia Estela Martínez Cardiel. Secretario: Enrique Baigts Muñoz.</w:t>
      </w:r>
    </w:p>
    <w:p w14:paraId="0B1B4571"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3043B82C"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30FD4BB3"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004DD218"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4481A1CF"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En ese mismo sentido, el numeral trigésimo tercero fracción V de los Lineamientos Generales, precisa que para motivar la clasificación se deben acreditar las circunstancias de tiempo, modo y lugar.</w:t>
      </w:r>
    </w:p>
    <w:p w14:paraId="3C2959CB" w14:textId="77777777" w:rsidR="00920E6E" w:rsidRPr="00EE2DA4" w:rsidRDefault="00920E6E" w:rsidP="00920E6E">
      <w:pPr>
        <w:pStyle w:val="Prrafodelista"/>
        <w:spacing w:line="360" w:lineRule="auto"/>
        <w:ind w:left="0"/>
        <w:jc w:val="both"/>
        <w:rPr>
          <w:rFonts w:ascii="Palatino Linotype" w:eastAsia="MS Mincho" w:hAnsi="Palatino Linotype" w:cs="Times New Roman"/>
          <w:color w:val="000000"/>
        </w:rPr>
      </w:pPr>
    </w:p>
    <w:p w14:paraId="19668F93" w14:textId="77777777" w:rsidR="00920E6E" w:rsidRPr="00EE2DA4" w:rsidRDefault="00920E6E" w:rsidP="00920E6E">
      <w:pPr>
        <w:pStyle w:val="Ttulo4"/>
        <w:jc w:val="both"/>
        <w:rPr>
          <w:rFonts w:ascii="Palatino Linotype" w:hAnsi="Palatino Linotype"/>
          <w:b/>
          <w:i w:val="0"/>
        </w:rPr>
      </w:pPr>
      <w:r w:rsidRPr="00EE2DA4">
        <w:rPr>
          <w:rFonts w:ascii="Palatino Linotype" w:hAnsi="Palatino Linotype"/>
          <w:b/>
          <w:i w:val="0"/>
          <w:color w:val="000000" w:themeColor="text1"/>
        </w:rPr>
        <w:lastRenderedPageBreak/>
        <w:t>a) Condiciones especiales de la clasificación de la información como confidencial.</w:t>
      </w:r>
    </w:p>
    <w:p w14:paraId="0E9EB12E"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 xml:space="preserve">Los artículos 148 y 120 de la Ley Estatal y de la Ley General, respectivamente, establecen que aun tratándose de datos personales, se podrán proporcionar, incluso sin solicitar el consentimiento de su titular, cuando dichos datos correspondan a los siguientes supuestos: </w:t>
      </w:r>
    </w:p>
    <w:p w14:paraId="78FFDCB7" w14:textId="77777777" w:rsidR="00920E6E" w:rsidRPr="00EE2DA4" w:rsidRDefault="00920E6E" w:rsidP="00920E6E">
      <w:pPr>
        <w:spacing w:line="360" w:lineRule="auto"/>
        <w:ind w:left="851" w:right="333"/>
        <w:jc w:val="both"/>
        <w:rPr>
          <w:rFonts w:ascii="Palatino Linotype" w:eastAsia="MS Mincho" w:hAnsi="Palatino Linotype" w:cs="Times New Roman"/>
          <w:i/>
          <w:color w:val="000000"/>
        </w:rPr>
      </w:pPr>
      <w:r w:rsidRPr="00EE2DA4">
        <w:rPr>
          <w:rFonts w:ascii="Palatino Linotype" w:eastAsia="MS Mincho" w:hAnsi="Palatino Linotype" w:cs="Times New Roman"/>
          <w:i/>
          <w:color w:val="000000"/>
        </w:rPr>
        <w:t>I. La información se encuentre en registros públicos o fuentes de acceso público;</w:t>
      </w:r>
    </w:p>
    <w:p w14:paraId="0AC362BA" w14:textId="77777777" w:rsidR="00920E6E" w:rsidRPr="00EE2DA4" w:rsidRDefault="00920E6E" w:rsidP="00920E6E">
      <w:pPr>
        <w:spacing w:line="360" w:lineRule="auto"/>
        <w:ind w:left="851" w:right="333"/>
        <w:jc w:val="both"/>
        <w:rPr>
          <w:rFonts w:ascii="Palatino Linotype" w:eastAsia="MS Mincho" w:hAnsi="Palatino Linotype" w:cs="Times New Roman"/>
          <w:i/>
          <w:color w:val="000000"/>
        </w:rPr>
      </w:pPr>
      <w:r w:rsidRPr="00EE2DA4">
        <w:rPr>
          <w:rFonts w:ascii="Palatino Linotype" w:eastAsia="MS Mincho" w:hAnsi="Palatino Linotype" w:cs="Times New Roman"/>
          <w:i/>
          <w:color w:val="000000"/>
        </w:rPr>
        <w:t>II. Por Ley tenga el carácter de pública;</w:t>
      </w:r>
    </w:p>
    <w:p w14:paraId="04AF31FF" w14:textId="77777777" w:rsidR="00920E6E" w:rsidRPr="00EE2DA4" w:rsidRDefault="00920E6E" w:rsidP="00920E6E">
      <w:pPr>
        <w:spacing w:line="360" w:lineRule="auto"/>
        <w:ind w:left="851" w:right="333"/>
        <w:jc w:val="both"/>
        <w:rPr>
          <w:rFonts w:ascii="Palatino Linotype" w:eastAsia="MS Mincho" w:hAnsi="Palatino Linotype" w:cs="Times New Roman"/>
          <w:i/>
          <w:color w:val="000000"/>
        </w:rPr>
      </w:pPr>
      <w:r w:rsidRPr="00EE2DA4">
        <w:rPr>
          <w:rFonts w:ascii="Palatino Linotype" w:eastAsia="MS Mincho" w:hAnsi="Palatino Linotype" w:cs="Times New Roman"/>
          <w:i/>
          <w:color w:val="000000"/>
        </w:rPr>
        <w:t xml:space="preserve">III. Exista una orden judicial; </w:t>
      </w:r>
    </w:p>
    <w:p w14:paraId="501DAE7F" w14:textId="77777777" w:rsidR="00920E6E" w:rsidRPr="00EE2DA4" w:rsidRDefault="00920E6E" w:rsidP="00920E6E">
      <w:pPr>
        <w:spacing w:line="360" w:lineRule="auto"/>
        <w:ind w:left="851" w:right="333"/>
        <w:jc w:val="both"/>
        <w:rPr>
          <w:rFonts w:ascii="Palatino Linotype" w:eastAsia="MS Mincho" w:hAnsi="Palatino Linotype" w:cs="Times New Roman"/>
          <w:i/>
          <w:color w:val="000000"/>
        </w:rPr>
      </w:pPr>
      <w:r w:rsidRPr="00EE2DA4">
        <w:rPr>
          <w:rFonts w:ascii="Palatino Linotype" w:eastAsia="MS Mincho" w:hAnsi="Palatino Linotype" w:cs="Times New Roman"/>
          <w:i/>
          <w:color w:val="000000"/>
        </w:rPr>
        <w:t xml:space="preserve">IV. Por razones de seguridad pública, o para proteger los derechos de terceros, se requiera su publicación; o </w:t>
      </w:r>
    </w:p>
    <w:p w14:paraId="1DBC1415" w14:textId="77777777" w:rsidR="00920E6E" w:rsidRPr="00EE2DA4" w:rsidRDefault="00920E6E" w:rsidP="00920E6E">
      <w:pPr>
        <w:spacing w:line="360" w:lineRule="auto"/>
        <w:ind w:left="851" w:right="333"/>
        <w:jc w:val="both"/>
        <w:rPr>
          <w:rFonts w:ascii="Palatino Linotype" w:eastAsia="MS Mincho" w:hAnsi="Palatino Linotype" w:cs="Times New Roman"/>
          <w:i/>
          <w:color w:val="000000"/>
        </w:rPr>
      </w:pPr>
      <w:r w:rsidRPr="00EE2DA4">
        <w:rPr>
          <w:rFonts w:ascii="Palatino Linotype" w:eastAsia="MS Mincho" w:hAnsi="Palatino Linotype" w:cs="Times New Roman"/>
          <w:i/>
          <w:color w:val="000000"/>
        </w:rPr>
        <w:t xml:space="preserve">V. Cuando se transmita entre sujetos obligados y entre éstos y los sujetos de derecho internacional, en términos de los tratados y los acuerdos interinstitucionales, siempre y cuando la información se utilice para el ejercicio de facultades propias de los mismos. </w:t>
      </w:r>
    </w:p>
    <w:p w14:paraId="535B2A37"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En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w:t>
      </w:r>
    </w:p>
    <w:p w14:paraId="6B6F6FD9"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2D22B8F1"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MS Mincho" w:hAnsi="Palatino Linotype" w:cs="Times New Roman"/>
          <w:color w:val="000000"/>
        </w:rPr>
        <w:t xml:space="preserve">Pero si la información que se pretende clasificar como confidencial no se encuentra en los supuestos antes señalados y es posible, se deberá consultar al </w:t>
      </w:r>
      <w:r w:rsidRPr="00EE2DA4">
        <w:rPr>
          <w:rFonts w:ascii="Palatino Linotype" w:eastAsia="MS Mincho" w:hAnsi="Palatino Linotype" w:cs="Times New Roman"/>
          <w:color w:val="000000"/>
        </w:rPr>
        <w:lastRenderedPageBreak/>
        <w:t>titular de los datos si permite o no el acceso. De no ser posible, la realización de la consulta, procede, fundando y motivando, la clasificación.</w:t>
      </w:r>
    </w:p>
    <w:p w14:paraId="281DB89D"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17402851" w14:textId="77777777" w:rsidR="00920E6E" w:rsidRPr="00EE2DA4" w:rsidRDefault="00920E6E" w:rsidP="00920E6E">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EE2DA4">
        <w:rPr>
          <w:rFonts w:ascii="Palatino Linotype" w:eastAsia="Times New Roman" w:hAnsi="Palatino Linotype" w:cs="Arial"/>
          <w:color w:val="222222"/>
          <w:lang w:val="es-ES" w:eastAsia="es-MX"/>
        </w:rPr>
        <w:t xml:space="preserve">Lo anterior, es de suma importancia, ya que los </w:t>
      </w:r>
      <w:r w:rsidRPr="00EE2DA4">
        <w:rPr>
          <w:rFonts w:ascii="Palatino Linotype" w:eastAsia="Times New Roman" w:hAnsi="Palatino Linotype" w:cs="Arial"/>
          <w:b/>
          <w:color w:val="222222"/>
          <w:lang w:val="es-ES" w:eastAsia="es-MX"/>
        </w:rPr>
        <w:t>SUJETOS OBLIGADOS</w:t>
      </w:r>
      <w:r w:rsidRPr="00EE2DA4">
        <w:rPr>
          <w:rFonts w:ascii="Palatino Linotype" w:eastAsia="Times New Roman" w:hAnsi="Palatino Linotype" w:cs="Arial"/>
          <w:color w:val="222222"/>
          <w:lang w:val="es-ES" w:eastAsia="es-MX"/>
        </w:rPr>
        <w:t>, deben proteger los datos personales que consten en las documentales que entregan, toda vez que es su responsabilidad elaborar las versiones públicas de la información en ellos contenida y a su vez los documentos que se ponen a la vista, en ese sentido, todos los documentos que proporcionan desde su respuesta, en su informe o en alcance al mismo hasta el cumplimiento de la resolución misma, deben de ser revisados y analizados con detenimiento para que en caso de contener información susceptible de ser clasificada, se elaboren las versiones públicas correspondientes tal y como lo dispone la normatividad aplicable, de tal manera que en una correcta ponderación del derecho al acceso a la información pública y el derecho a la protección de datos personales ambos prevalezcan.</w:t>
      </w:r>
    </w:p>
    <w:p w14:paraId="135777A2" w14:textId="77777777" w:rsidR="00920E6E" w:rsidRPr="00EE2DA4" w:rsidRDefault="00920E6E" w:rsidP="00920E6E">
      <w:pPr>
        <w:pStyle w:val="Prrafodelista"/>
        <w:spacing w:before="240" w:after="240" w:line="360" w:lineRule="auto"/>
        <w:ind w:left="0"/>
        <w:jc w:val="both"/>
        <w:rPr>
          <w:rFonts w:ascii="Palatino Linotype" w:eastAsia="MS Mincho" w:hAnsi="Palatino Linotype" w:cs="Times New Roman"/>
          <w:color w:val="000000"/>
        </w:rPr>
      </w:pPr>
    </w:p>
    <w:p w14:paraId="1D952AEA" w14:textId="77777777" w:rsidR="00920E6E" w:rsidRPr="00EE2DA4" w:rsidRDefault="00920E6E" w:rsidP="00920E6E">
      <w:pPr>
        <w:pStyle w:val="Prrafodelista"/>
        <w:numPr>
          <w:ilvl w:val="0"/>
          <w:numId w:val="1"/>
        </w:numPr>
        <w:shd w:val="clear" w:color="auto" w:fill="FFFFFF"/>
        <w:spacing w:line="360" w:lineRule="auto"/>
        <w:ind w:left="0" w:firstLine="0"/>
        <w:jc w:val="both"/>
        <w:rPr>
          <w:rFonts w:ascii="Palatino Linotype" w:hAnsi="Palatino Linotype"/>
          <w:color w:val="000000" w:themeColor="text1"/>
        </w:rPr>
      </w:pPr>
      <w:r w:rsidRPr="00EE2DA4">
        <w:rPr>
          <w:rFonts w:ascii="Palatino Linotype" w:hAnsi="Palatino Linotype"/>
          <w:color w:val="000000" w:themeColor="text1"/>
          <w:lang w:val="es-ES" w:eastAsia="es-MX"/>
        </w:rPr>
        <w:t xml:space="preserve">Por lo anteriormente expuesto y fundado, este </w:t>
      </w:r>
      <w:r w:rsidRPr="00EE2DA4">
        <w:rPr>
          <w:rFonts w:ascii="Palatino Linotype" w:hAnsi="Palatino Linotype"/>
          <w:b/>
          <w:bCs/>
          <w:color w:val="000000" w:themeColor="text1"/>
          <w:lang w:val="es-ES" w:eastAsia="es-MX"/>
        </w:rPr>
        <w:t>ÓRGANO GARANTE</w:t>
      </w:r>
      <w:r w:rsidRPr="00EE2DA4">
        <w:rPr>
          <w:rFonts w:ascii="Palatino Linotype" w:hAnsi="Palatino Linotype"/>
          <w:color w:val="000000" w:themeColor="text1"/>
          <w:lang w:val="es-ES" w:eastAsia="es-MX"/>
        </w:rPr>
        <w:t xml:space="preserve"> emite los siguientes:</w:t>
      </w:r>
    </w:p>
    <w:p w14:paraId="30007423" w14:textId="6C75834D" w:rsidR="00920E6E" w:rsidRPr="00EE2DA4" w:rsidRDefault="00920E6E" w:rsidP="00920E6E">
      <w:pPr>
        <w:pStyle w:val="Prrafodelista"/>
        <w:shd w:val="clear" w:color="auto" w:fill="FFFFFF"/>
        <w:spacing w:line="360" w:lineRule="auto"/>
        <w:ind w:left="0"/>
        <w:jc w:val="both"/>
        <w:rPr>
          <w:rFonts w:ascii="Palatino Linotype" w:hAnsi="Palatino Linotype"/>
          <w:color w:val="000000" w:themeColor="text1"/>
        </w:rPr>
      </w:pPr>
      <w:r w:rsidRPr="00EE2DA4">
        <w:rPr>
          <w:rFonts w:ascii="Palatino Linotype" w:hAnsi="Palatino Linotype"/>
          <w:noProof/>
          <w:color w:val="000000" w:themeColor="text1"/>
          <w:lang w:val="es-MX" w:eastAsia="es-MX"/>
        </w:rPr>
        <mc:AlternateContent>
          <mc:Choice Requires="wps">
            <w:drawing>
              <wp:anchor distT="0" distB="0" distL="114300" distR="114300" simplePos="0" relativeHeight="251664384" behindDoc="0" locked="0" layoutInCell="1" allowOverlap="1" wp14:anchorId="733B09F2" wp14:editId="5CE16D24">
                <wp:simplePos x="0" y="0"/>
                <wp:positionH relativeFrom="column">
                  <wp:posOffset>15240</wp:posOffset>
                </wp:positionH>
                <wp:positionV relativeFrom="paragraph">
                  <wp:posOffset>109855</wp:posOffset>
                </wp:positionV>
                <wp:extent cx="5505450" cy="1581150"/>
                <wp:effectExtent l="38100" t="38100" r="76200" b="95250"/>
                <wp:wrapNone/>
                <wp:docPr id="4" name="Conector recto 4"/>
                <wp:cNvGraphicFramePr/>
                <a:graphic xmlns:a="http://schemas.openxmlformats.org/drawingml/2006/main">
                  <a:graphicData uri="http://schemas.microsoft.com/office/word/2010/wordprocessingShape">
                    <wps:wsp>
                      <wps:cNvCnPr/>
                      <wps:spPr>
                        <a:xfrm>
                          <a:off x="0" y="0"/>
                          <a:ext cx="5505450" cy="15811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C04AFD7" id="Conector recto 4"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2pt,8.65pt" to="434.7pt,1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" strokecolor="#4f81bd [3204]" strokeweight="2pt">
                <v:shadow on="t" color="black" opacity="24903f" origin=",.5" offset="0,.55556mm"/>
              </v:line>
            </w:pict>
          </mc:Fallback>
        </mc:AlternateContent>
      </w:r>
    </w:p>
    <w:p w14:paraId="1C743178" w14:textId="77777777" w:rsidR="00920E6E" w:rsidRPr="00EE2DA4" w:rsidRDefault="00920E6E" w:rsidP="00920E6E">
      <w:pPr>
        <w:pStyle w:val="Prrafodelista"/>
        <w:shd w:val="clear" w:color="auto" w:fill="FFFFFF"/>
        <w:spacing w:line="360" w:lineRule="auto"/>
        <w:ind w:left="0"/>
        <w:jc w:val="both"/>
        <w:rPr>
          <w:rFonts w:ascii="Palatino Linotype" w:hAnsi="Palatino Linotype"/>
          <w:color w:val="000000" w:themeColor="text1"/>
        </w:rPr>
      </w:pPr>
    </w:p>
    <w:p w14:paraId="5CACFC5D" w14:textId="77777777" w:rsidR="00920E6E" w:rsidRPr="00EE2DA4" w:rsidRDefault="00920E6E" w:rsidP="00920E6E">
      <w:pPr>
        <w:pStyle w:val="Prrafodelista"/>
        <w:shd w:val="clear" w:color="auto" w:fill="FFFFFF"/>
        <w:spacing w:line="360" w:lineRule="auto"/>
        <w:ind w:left="0"/>
        <w:jc w:val="both"/>
        <w:rPr>
          <w:rFonts w:ascii="Palatino Linotype" w:hAnsi="Palatino Linotype"/>
          <w:color w:val="000000" w:themeColor="text1"/>
        </w:rPr>
      </w:pPr>
    </w:p>
    <w:p w14:paraId="735A5E03" w14:textId="77777777" w:rsidR="00920E6E" w:rsidRPr="00EE2DA4" w:rsidRDefault="00920E6E" w:rsidP="00920E6E">
      <w:pPr>
        <w:pStyle w:val="Prrafodelista"/>
        <w:shd w:val="clear" w:color="auto" w:fill="FFFFFF"/>
        <w:spacing w:line="360" w:lineRule="auto"/>
        <w:ind w:left="0"/>
        <w:jc w:val="both"/>
        <w:rPr>
          <w:rFonts w:ascii="Palatino Linotype" w:hAnsi="Palatino Linotype"/>
          <w:color w:val="000000" w:themeColor="text1"/>
        </w:rPr>
      </w:pPr>
    </w:p>
    <w:p w14:paraId="6CD59E4F" w14:textId="77777777" w:rsidR="00920E6E" w:rsidRPr="00EE2DA4" w:rsidRDefault="00920E6E" w:rsidP="00920E6E">
      <w:pPr>
        <w:pStyle w:val="Prrafodelista"/>
        <w:shd w:val="clear" w:color="auto" w:fill="FFFFFF"/>
        <w:spacing w:line="360" w:lineRule="auto"/>
        <w:ind w:left="0"/>
        <w:jc w:val="both"/>
        <w:rPr>
          <w:rFonts w:ascii="Palatino Linotype" w:hAnsi="Palatino Linotype"/>
          <w:color w:val="000000" w:themeColor="text1"/>
        </w:rPr>
      </w:pPr>
    </w:p>
    <w:p w14:paraId="5A273B67" w14:textId="77777777" w:rsidR="00920E6E" w:rsidRPr="00EE2DA4" w:rsidRDefault="00920E6E" w:rsidP="00920E6E">
      <w:pPr>
        <w:pStyle w:val="Prrafodelista"/>
        <w:shd w:val="clear" w:color="auto" w:fill="FFFFFF"/>
        <w:spacing w:line="360" w:lineRule="auto"/>
        <w:ind w:left="0"/>
        <w:jc w:val="both"/>
        <w:rPr>
          <w:rFonts w:ascii="Palatino Linotype" w:hAnsi="Palatino Linotype"/>
          <w:color w:val="000000" w:themeColor="text1"/>
        </w:rPr>
      </w:pPr>
    </w:p>
    <w:p w14:paraId="7E9C1B29" w14:textId="77777777" w:rsidR="00920E6E" w:rsidRDefault="00920E6E" w:rsidP="00920E6E">
      <w:pPr>
        <w:pStyle w:val="Ttulo1"/>
        <w:spacing w:line="360" w:lineRule="auto"/>
        <w:ind w:left="2912"/>
        <w:rPr>
          <w:rFonts w:eastAsia="Calibri"/>
          <w:color w:val="auto"/>
          <w:szCs w:val="24"/>
          <w:lang w:val="es-ES" w:eastAsia="es-ES"/>
        </w:rPr>
      </w:pPr>
      <w:bookmarkStart w:id="130" w:name="_Toc33186548"/>
      <w:r w:rsidRPr="00EE2DA4">
        <w:rPr>
          <w:rFonts w:eastAsia="Calibri"/>
          <w:color w:val="auto"/>
          <w:szCs w:val="24"/>
          <w:lang w:val="es-ES" w:eastAsia="es-ES"/>
        </w:rPr>
        <w:lastRenderedPageBreak/>
        <w:t>R E S O L U T I V O S</w:t>
      </w:r>
      <w:bookmarkEnd w:id="130"/>
    </w:p>
    <w:p w14:paraId="2B901F1B" w14:textId="77777777" w:rsidR="00EE2DA4" w:rsidRPr="00EE2DA4" w:rsidRDefault="00EE2DA4" w:rsidP="00EE2DA4">
      <w:pPr>
        <w:rPr>
          <w:lang w:val="es-ES"/>
        </w:rPr>
      </w:pPr>
    </w:p>
    <w:p w14:paraId="158D5A36" w14:textId="6E88A7B8" w:rsidR="00920E6E" w:rsidRPr="00EE2DA4" w:rsidRDefault="00920E6E" w:rsidP="00920E6E">
      <w:pPr>
        <w:spacing w:line="360" w:lineRule="auto"/>
        <w:jc w:val="both"/>
        <w:rPr>
          <w:rFonts w:ascii="Palatino Linotype" w:eastAsia="Times New Roman" w:hAnsi="Palatino Linotype" w:cs="Times New Roman"/>
        </w:rPr>
      </w:pPr>
      <w:r w:rsidRPr="00EE2DA4">
        <w:rPr>
          <w:rFonts w:ascii="Palatino Linotype" w:eastAsia="Times New Roman" w:hAnsi="Palatino Linotype" w:cs="Arial"/>
          <w:b/>
        </w:rPr>
        <w:t xml:space="preserve">PRIMERO. </w:t>
      </w:r>
      <w:r w:rsidRPr="00EE2DA4">
        <w:rPr>
          <w:rFonts w:ascii="Palatino Linotype" w:eastAsia="Times New Roman" w:hAnsi="Palatino Linotype" w:cs="Arial"/>
        </w:rPr>
        <w:t>Resultan parcialmente fundadas las</w:t>
      </w:r>
      <w:r w:rsidRPr="00EE2DA4">
        <w:rPr>
          <w:rFonts w:ascii="Palatino Linotype" w:eastAsia="Times New Roman" w:hAnsi="Palatino Linotype" w:cs="Arial"/>
          <w:b/>
        </w:rPr>
        <w:t xml:space="preserve"> </w:t>
      </w:r>
      <w:r w:rsidRPr="00EE2DA4">
        <w:rPr>
          <w:rFonts w:ascii="Palatino Linotype" w:eastAsia="Times New Roman" w:hAnsi="Palatino Linotype" w:cs="Arial"/>
          <w:lang w:val="es-ES"/>
        </w:rPr>
        <w:t xml:space="preserve">razones o motivos de inconformidad hechos valer </w:t>
      </w:r>
      <w:r w:rsidRPr="00EE2DA4">
        <w:rPr>
          <w:rFonts w:ascii="Palatino Linotype" w:eastAsia="Calibri" w:hAnsi="Palatino Linotype" w:cs="Arial"/>
          <w:lang w:val="es-ES"/>
        </w:rPr>
        <w:t xml:space="preserve">en el recurso de revisión </w:t>
      </w:r>
      <w:r w:rsidR="00F35752" w:rsidRPr="00EE2DA4">
        <w:rPr>
          <w:rFonts w:ascii="Palatino Linotype" w:hAnsi="Palatino Linotype" w:cs="Arial"/>
          <w:b/>
          <w:bCs/>
        </w:rPr>
        <w:t>0909</w:t>
      </w:r>
      <w:r w:rsidRPr="00EE2DA4">
        <w:rPr>
          <w:rFonts w:ascii="Palatino Linotype" w:hAnsi="Palatino Linotype" w:cs="Arial"/>
          <w:b/>
          <w:bCs/>
        </w:rPr>
        <w:t xml:space="preserve">8/INFOEM/IP/RR/2019, </w:t>
      </w:r>
      <w:r w:rsidRPr="00EE2DA4">
        <w:rPr>
          <w:rFonts w:ascii="Palatino Linotype" w:hAnsi="Palatino Linotype" w:cs="Arial"/>
          <w:bCs/>
        </w:rPr>
        <w:t xml:space="preserve">en términos de los </w:t>
      </w:r>
      <w:r w:rsidRPr="00EE2DA4">
        <w:rPr>
          <w:rFonts w:ascii="Palatino Linotype" w:hAnsi="Palatino Linotype" w:cs="Arial"/>
          <w:b/>
          <w:bCs/>
        </w:rPr>
        <w:t>Considerandos</w:t>
      </w:r>
      <w:r w:rsidRPr="00EE2DA4">
        <w:rPr>
          <w:rFonts w:ascii="Palatino Linotype" w:hAnsi="Palatino Linotype" w:cs="Arial"/>
          <w:bCs/>
        </w:rPr>
        <w:t xml:space="preserve"> </w:t>
      </w:r>
      <w:r w:rsidRPr="00EE2DA4">
        <w:rPr>
          <w:rFonts w:ascii="Palatino Linotype" w:hAnsi="Palatino Linotype" w:cs="Arial"/>
          <w:b/>
          <w:bCs/>
        </w:rPr>
        <w:t xml:space="preserve">CUARTO y QUINTO </w:t>
      </w:r>
      <w:r w:rsidRPr="00EE2DA4">
        <w:rPr>
          <w:rFonts w:ascii="Palatino Linotype" w:hAnsi="Palatino Linotype" w:cs="Arial"/>
          <w:bCs/>
        </w:rPr>
        <w:t>de la presente resolución.</w:t>
      </w:r>
    </w:p>
    <w:p w14:paraId="38101BDF" w14:textId="02469AA4" w:rsidR="00920E6E" w:rsidRPr="00EE2DA4" w:rsidRDefault="00920E6E" w:rsidP="000F7F17">
      <w:pPr>
        <w:spacing w:before="240" w:after="240" w:line="360" w:lineRule="auto"/>
        <w:jc w:val="both"/>
        <w:rPr>
          <w:rFonts w:ascii="Palatino Linotype" w:hAnsi="Palatino Linotype"/>
          <w:b/>
          <w:bCs/>
        </w:rPr>
      </w:pPr>
      <w:bookmarkStart w:id="131" w:name="_Toc477891768"/>
      <w:bookmarkStart w:id="132" w:name="_Toc477891858"/>
      <w:bookmarkStart w:id="133" w:name="_Toc481576259"/>
      <w:bookmarkStart w:id="134" w:name="_Toc492590391"/>
      <w:bookmarkStart w:id="135" w:name="_Toc462653937"/>
      <w:bookmarkStart w:id="136" w:name="_Toc453696502"/>
      <w:bookmarkStart w:id="137" w:name="_Toc454301155"/>
      <w:r w:rsidRPr="00EE2DA4">
        <w:rPr>
          <w:rFonts w:ascii="Palatino Linotype" w:hAnsi="Palatino Linotype"/>
          <w:b/>
        </w:rPr>
        <w:t>SEGUNDO.</w:t>
      </w:r>
      <w:r w:rsidRPr="00EE2DA4">
        <w:rPr>
          <w:rStyle w:val="Ttulo2Car"/>
          <w:b w:val="0"/>
        </w:rPr>
        <w:t xml:space="preserve"> </w:t>
      </w:r>
      <w:bookmarkEnd w:id="131"/>
      <w:bookmarkEnd w:id="132"/>
      <w:bookmarkEnd w:id="133"/>
      <w:bookmarkEnd w:id="134"/>
      <w:bookmarkEnd w:id="135"/>
      <w:bookmarkEnd w:id="136"/>
      <w:bookmarkEnd w:id="137"/>
      <w:r w:rsidRPr="00EE2DA4">
        <w:rPr>
          <w:rFonts w:ascii="Palatino Linotype" w:eastAsia="Calibri" w:hAnsi="Palatino Linotype" w:cs="Arial"/>
          <w:lang w:val="es-ES"/>
        </w:rPr>
        <w:t>Se</w:t>
      </w:r>
      <w:r w:rsidRPr="00EE2DA4">
        <w:rPr>
          <w:rFonts w:ascii="Palatino Linotype" w:eastAsia="Calibri" w:hAnsi="Palatino Linotype" w:cs="Arial"/>
          <w:b/>
          <w:lang w:val="es-ES"/>
        </w:rPr>
        <w:t xml:space="preserve"> MODIFICA </w:t>
      </w:r>
      <w:r w:rsidRPr="00EE2DA4">
        <w:rPr>
          <w:rFonts w:ascii="Palatino Linotype" w:eastAsia="Calibri" w:hAnsi="Palatino Linotype" w:cs="Arial"/>
          <w:lang w:val="es-ES"/>
        </w:rPr>
        <w:t xml:space="preserve">la respuesta emitida por </w:t>
      </w:r>
      <w:r w:rsidR="000F7F17" w:rsidRPr="00EE2DA4">
        <w:rPr>
          <w:rFonts w:ascii="Palatino Linotype" w:eastAsia="Calibri" w:hAnsi="Palatino Linotype" w:cs="Arial"/>
          <w:lang w:val="es-ES"/>
        </w:rPr>
        <w:t xml:space="preserve">la </w:t>
      </w:r>
      <w:r w:rsidR="000F7F17" w:rsidRPr="00EE2DA4">
        <w:rPr>
          <w:rFonts w:ascii="Palatino Linotype" w:hAnsi="Palatino Linotype"/>
          <w:b/>
          <w:bCs/>
        </w:rPr>
        <w:t>Comisión de Derechos Humanos  del Estado de México</w:t>
      </w:r>
      <w:r w:rsidR="000F7F17" w:rsidRPr="00EE2DA4">
        <w:rPr>
          <w:rFonts w:ascii="Palatino Linotype" w:hAnsi="Palatino Linotype"/>
          <w:b/>
          <w:lang w:val="es-ES"/>
        </w:rPr>
        <w:t xml:space="preserve"> </w:t>
      </w:r>
      <w:r w:rsidRPr="00EE2DA4">
        <w:rPr>
          <w:rFonts w:ascii="Palatino Linotype" w:eastAsia="Calibri" w:hAnsi="Palatino Linotype" w:cs="Arial"/>
          <w:lang w:val="es-ES"/>
        </w:rPr>
        <w:t>y se</w:t>
      </w:r>
      <w:r w:rsidRPr="00EE2DA4">
        <w:rPr>
          <w:rFonts w:ascii="Palatino Linotype" w:eastAsia="Calibri" w:hAnsi="Palatino Linotype" w:cs="Arial"/>
          <w:b/>
          <w:lang w:val="es-ES"/>
        </w:rPr>
        <w:t xml:space="preserve"> ORDENA </w:t>
      </w:r>
      <w:r w:rsidRPr="00EE2DA4">
        <w:rPr>
          <w:rFonts w:ascii="Palatino Linotype" w:eastAsia="Times New Roman" w:hAnsi="Palatino Linotype" w:cs="Arial"/>
          <w:lang w:val="es-ES"/>
        </w:rPr>
        <w:t>entregar vía Sistema de Acceso a la Información Mexiquense (SAIMEX)</w:t>
      </w:r>
      <w:r w:rsidRPr="00EE2DA4">
        <w:rPr>
          <w:rFonts w:ascii="Palatino Linotype" w:eastAsia="Times New Roman" w:hAnsi="Palatino Linotype" w:cs="Arial"/>
          <w:b/>
          <w:lang w:val="es-ES"/>
        </w:rPr>
        <w:t>,</w:t>
      </w:r>
      <w:r w:rsidRPr="00EE2DA4">
        <w:rPr>
          <w:rFonts w:ascii="Palatino Linotype" w:eastAsia="Times New Roman" w:hAnsi="Palatino Linotype" w:cs="Arial"/>
          <w:lang w:val="es-ES"/>
        </w:rPr>
        <w:t xml:space="preserve"> en su caso en versión pública, la siguiente </w:t>
      </w:r>
      <w:r w:rsidRPr="00EE2DA4">
        <w:rPr>
          <w:rFonts w:ascii="Palatino Linotype" w:hAnsi="Palatino Linotype" w:cs="Arial"/>
          <w:bCs/>
        </w:rPr>
        <w:t>información:</w:t>
      </w:r>
    </w:p>
    <w:bookmarkEnd w:id="88"/>
    <w:bookmarkEnd w:id="89"/>
    <w:p w14:paraId="3884240C" w14:textId="05C36544" w:rsidR="00920E6E" w:rsidRPr="00EE2DA4" w:rsidRDefault="00920E6E" w:rsidP="00A92DEC">
      <w:pPr>
        <w:pStyle w:val="Prrafodelista"/>
        <w:numPr>
          <w:ilvl w:val="3"/>
          <w:numId w:val="1"/>
        </w:numPr>
        <w:spacing w:after="160" w:line="360" w:lineRule="auto"/>
        <w:ind w:left="567" w:right="567" w:firstLine="0"/>
        <w:jc w:val="both"/>
        <w:rPr>
          <w:rFonts w:ascii="Palatino Linotype" w:hAnsi="Palatino Linotype"/>
          <w:b/>
          <w:color w:val="000000"/>
        </w:rPr>
      </w:pPr>
      <w:r w:rsidRPr="00EE2DA4">
        <w:rPr>
          <w:rFonts w:ascii="Palatino Linotype" w:hAnsi="Palatino Linotype"/>
          <w:b/>
          <w:color w:val="000000"/>
        </w:rPr>
        <w:t>La evaluación de impacto realizada respecto de la Aplicación para denunciar violaciones a derechos humanos de periodistas.</w:t>
      </w:r>
    </w:p>
    <w:p w14:paraId="6387C8EB" w14:textId="4127C7F1" w:rsidR="00920E6E" w:rsidRPr="00EE2DA4" w:rsidRDefault="00920E6E" w:rsidP="00A92DEC">
      <w:pPr>
        <w:pStyle w:val="Prrafodelista"/>
        <w:numPr>
          <w:ilvl w:val="3"/>
          <w:numId w:val="1"/>
        </w:numPr>
        <w:spacing w:after="160" w:line="360" w:lineRule="auto"/>
        <w:ind w:left="567" w:right="567" w:firstLine="0"/>
        <w:jc w:val="both"/>
        <w:rPr>
          <w:rFonts w:ascii="Palatino Linotype" w:hAnsi="Palatino Linotype"/>
          <w:b/>
          <w:color w:val="000000"/>
        </w:rPr>
      </w:pPr>
      <w:r w:rsidRPr="00EE2DA4">
        <w:rPr>
          <w:rFonts w:ascii="Palatino Linotype" w:hAnsi="Palatino Linotype"/>
          <w:b/>
          <w:color w:val="000000"/>
        </w:rPr>
        <w:t xml:space="preserve">El acuerdo de Comité de Transparencia </w:t>
      </w:r>
      <w:r w:rsidR="00A92DEC" w:rsidRPr="00EE2DA4">
        <w:rPr>
          <w:rFonts w:ascii="Palatino Linotype" w:hAnsi="Palatino Linotype"/>
          <w:b/>
          <w:color w:val="000000"/>
        </w:rPr>
        <w:t>a que hace referencia el SUJETO OBLIGADO en su respuesta</w:t>
      </w:r>
      <w:r w:rsidRPr="00EE2DA4">
        <w:rPr>
          <w:rFonts w:ascii="Palatino Linotype" w:hAnsi="Palatino Linotype"/>
          <w:b/>
          <w:color w:val="000000"/>
        </w:rPr>
        <w:t>.</w:t>
      </w:r>
    </w:p>
    <w:p w14:paraId="0C083B35" w14:textId="6953B339" w:rsidR="00A92DEC" w:rsidRPr="00EE2DA4" w:rsidRDefault="00A92DEC" w:rsidP="00A92DEC">
      <w:pPr>
        <w:pStyle w:val="Prrafodelista"/>
        <w:numPr>
          <w:ilvl w:val="3"/>
          <w:numId w:val="1"/>
        </w:numPr>
        <w:spacing w:after="160" w:line="360" w:lineRule="auto"/>
        <w:ind w:left="567" w:right="567" w:firstLine="0"/>
        <w:jc w:val="both"/>
        <w:rPr>
          <w:rFonts w:ascii="Palatino Linotype" w:hAnsi="Palatino Linotype"/>
          <w:b/>
          <w:color w:val="000000"/>
        </w:rPr>
      </w:pPr>
      <w:r w:rsidRPr="00EE2DA4">
        <w:rPr>
          <w:rFonts w:ascii="Palatino Linotype" w:hAnsi="Palatino Linotype"/>
          <w:b/>
          <w:color w:val="000000"/>
        </w:rPr>
        <w:t>El sistema de gestión y el documento de seguridad implementado.</w:t>
      </w:r>
    </w:p>
    <w:p w14:paraId="21B72414" w14:textId="77777777" w:rsidR="00A92DEC" w:rsidRPr="00EE2DA4" w:rsidRDefault="00A92DEC" w:rsidP="00A92DEC">
      <w:pPr>
        <w:spacing w:line="360" w:lineRule="auto"/>
        <w:jc w:val="both"/>
        <w:rPr>
          <w:rFonts w:ascii="Palatino Linotype" w:hAnsi="Palatino Linotype"/>
        </w:rPr>
      </w:pPr>
      <w:r w:rsidRPr="00EE2DA4">
        <w:rPr>
          <w:rFonts w:ascii="Palatino Linotype" w:eastAsia="Calibri" w:hAnsi="Palatino Linotype" w:cs="Arial"/>
        </w:rPr>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w:t>
      </w:r>
      <w:r w:rsidRPr="00EE2DA4">
        <w:rPr>
          <w:rFonts w:ascii="Palatino Linotype" w:hAnsi="Palatino Linotype"/>
        </w:rPr>
        <w:t>l recurrente.</w:t>
      </w:r>
    </w:p>
    <w:p w14:paraId="38A97CCC" w14:textId="77777777" w:rsidR="00A92DEC" w:rsidRPr="00EE2DA4" w:rsidRDefault="00A92DEC" w:rsidP="00A92DEC">
      <w:pPr>
        <w:spacing w:line="360" w:lineRule="auto"/>
        <w:jc w:val="both"/>
        <w:rPr>
          <w:rFonts w:ascii="Palatino Linotype" w:eastAsia="Calibri" w:hAnsi="Palatino Linotype" w:cs="Arial"/>
          <w:lang w:val="es-ES"/>
        </w:rPr>
      </w:pPr>
    </w:p>
    <w:p w14:paraId="09EFC925" w14:textId="6BCC1354" w:rsidR="00A92DEC" w:rsidRPr="00EE2DA4" w:rsidRDefault="00A92DEC" w:rsidP="00A92DEC">
      <w:pPr>
        <w:spacing w:line="360" w:lineRule="auto"/>
        <w:jc w:val="both"/>
        <w:rPr>
          <w:rFonts w:ascii="Palatino Linotype" w:hAnsi="Palatino Linotype"/>
        </w:rPr>
      </w:pPr>
      <w:r w:rsidRPr="00EE2DA4">
        <w:rPr>
          <w:rFonts w:ascii="Palatino Linotype" w:hAnsi="Palatino Linotype"/>
        </w:rPr>
        <w:lastRenderedPageBreak/>
        <w:t xml:space="preserve">Para el caso de que el </w:t>
      </w:r>
      <w:r w:rsidRPr="00EE2DA4">
        <w:rPr>
          <w:rFonts w:ascii="Palatino Linotype" w:hAnsi="Palatino Linotype"/>
          <w:b/>
          <w:bCs/>
        </w:rPr>
        <w:t>SUJETO OBLIGADO</w:t>
      </w:r>
      <w:r w:rsidRPr="00EE2DA4">
        <w:rPr>
          <w:rFonts w:ascii="Palatino Linotype" w:hAnsi="Palatino Linotype"/>
        </w:rPr>
        <w:t>, no localice la información señalada en el inciso a), deberá de emitir el Acuerdo de Inexistencia en términos de los artículos 49, fracciones II y XIII, 169 y 170 de la Ley de Transparencia y Acceso a la Información Pública del Estado de México y Municipios que al respecto emita su Comité de Transparencia.</w:t>
      </w:r>
    </w:p>
    <w:p w14:paraId="0F0E74F4" w14:textId="77777777" w:rsidR="00A92DEC" w:rsidRPr="00EE2DA4" w:rsidRDefault="00A92DEC" w:rsidP="00A92DEC">
      <w:pPr>
        <w:spacing w:line="360" w:lineRule="auto"/>
        <w:jc w:val="both"/>
        <w:rPr>
          <w:rFonts w:ascii="Palatino Linotype" w:eastAsia="Calibri" w:hAnsi="Palatino Linotype" w:cs="Arial"/>
          <w:lang w:val="es-ES"/>
        </w:rPr>
      </w:pPr>
    </w:p>
    <w:p w14:paraId="4F04348E" w14:textId="77777777" w:rsidR="00A92DEC" w:rsidRPr="00EE2DA4" w:rsidRDefault="00A92DEC" w:rsidP="00A92DEC">
      <w:pPr>
        <w:tabs>
          <w:tab w:val="left" w:pos="8080"/>
        </w:tabs>
        <w:spacing w:line="360" w:lineRule="auto"/>
        <w:ind w:right="49"/>
        <w:jc w:val="both"/>
        <w:rPr>
          <w:rFonts w:ascii="Palatino Linotype" w:eastAsia="Palatino Linotype" w:hAnsi="Palatino Linotype" w:cs="Palatino Linotype"/>
          <w:b/>
        </w:rPr>
      </w:pPr>
      <w:bookmarkStart w:id="138" w:name="_Toc460947013"/>
      <w:r w:rsidRPr="00EE2DA4">
        <w:rPr>
          <w:rFonts w:ascii="Palatino Linotype" w:eastAsia="Palatino Linotype" w:hAnsi="Palatino Linotype" w:cs="Palatino Linotype"/>
          <w:b/>
        </w:rPr>
        <w:t xml:space="preserve">TERCERO. Notifíquese </w:t>
      </w:r>
      <w:r w:rsidRPr="00EE2DA4">
        <w:rPr>
          <w:rFonts w:ascii="Palatino Linotype" w:eastAsia="Palatino Linotype" w:hAnsi="Palatino Linotype" w:cs="Palatino Linotype"/>
        </w:rPr>
        <w:t xml:space="preserve">al Titular de la Unidad de Transparencia del </w:t>
      </w:r>
      <w:r w:rsidRPr="00EE2DA4">
        <w:rPr>
          <w:rFonts w:ascii="Palatino Linotype" w:eastAsia="Palatino Linotype" w:hAnsi="Palatino Linotype" w:cs="Palatino Linotype"/>
          <w:b/>
        </w:rPr>
        <w:t>SUJETO OBLIGADO</w:t>
      </w:r>
      <w:r w:rsidRPr="00EE2DA4">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Pr="00EE2DA4">
        <w:rPr>
          <w:rFonts w:ascii="Palatino Linotype" w:hAnsi="Palatino Linotype"/>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6F611A8D" w14:textId="77777777" w:rsidR="00A92DEC" w:rsidRPr="00EE2DA4" w:rsidRDefault="00A92DEC" w:rsidP="00A92DEC">
      <w:pPr>
        <w:shd w:val="clear" w:color="auto" w:fill="FFFFFF"/>
        <w:spacing w:line="360" w:lineRule="auto"/>
        <w:jc w:val="both"/>
        <w:rPr>
          <w:rFonts w:ascii="Palatino Linotype" w:eastAsia="Times New Roman" w:hAnsi="Palatino Linotype" w:cs="Arial"/>
          <w:b/>
        </w:rPr>
      </w:pPr>
    </w:p>
    <w:p w14:paraId="7B4493CC" w14:textId="2B682ADA" w:rsidR="00A92DEC" w:rsidRPr="00EE2DA4" w:rsidRDefault="00A92DEC" w:rsidP="00A92DEC">
      <w:pPr>
        <w:shd w:val="clear" w:color="auto" w:fill="FFFFFF"/>
        <w:spacing w:line="360" w:lineRule="auto"/>
        <w:jc w:val="both"/>
        <w:rPr>
          <w:rFonts w:ascii="Palatino Linotype" w:hAnsi="Palatino Linotype"/>
        </w:rPr>
      </w:pPr>
      <w:r w:rsidRPr="00EE2DA4">
        <w:rPr>
          <w:rFonts w:ascii="Palatino Linotype" w:eastAsia="Times New Roman" w:hAnsi="Palatino Linotype" w:cs="Arial"/>
          <w:b/>
        </w:rPr>
        <w:t xml:space="preserve">CUARTO. </w:t>
      </w:r>
      <w:r w:rsidRPr="00EE2DA4">
        <w:rPr>
          <w:rFonts w:ascii="Palatino Linotype" w:eastAsia="Times New Roman" w:hAnsi="Palatino Linotype" w:cs="Times New Roman"/>
          <w:b/>
          <w:bCs/>
          <w:color w:val="222222"/>
          <w:lang w:val="es-ES"/>
        </w:rPr>
        <w:t>Notifíquese a</w:t>
      </w:r>
      <w:r w:rsidR="007100C9" w:rsidRPr="007100C9">
        <w:rPr>
          <w:rFonts w:ascii="Palatino Linotype" w:hAnsi="Palatino Linotype"/>
          <w:b/>
          <w:sz w:val="20"/>
          <w:szCs w:val="20"/>
          <w:highlight w:val="black"/>
        </w:rPr>
        <w:t xml:space="preserve"> </w:t>
      </w:r>
      <w:r w:rsidR="007100C9" w:rsidRPr="007100C9">
        <w:rPr>
          <w:rFonts w:ascii="Palatino Linotype" w:hAnsi="Palatino Linotype"/>
          <w:b/>
          <w:sz w:val="20"/>
          <w:szCs w:val="20"/>
          <w:highlight w:val="black"/>
        </w:rPr>
        <w:t>Xxxxx Xxxxxx</w:t>
      </w:r>
      <w:r w:rsidRPr="00EE2DA4">
        <w:rPr>
          <w:rFonts w:ascii="Palatino Linotype" w:hAnsi="Palatino Linotype"/>
          <w:b/>
        </w:rPr>
        <w:t xml:space="preserve"> </w:t>
      </w:r>
      <w:r w:rsidRPr="00EE2DA4">
        <w:rPr>
          <w:rFonts w:ascii="Palatino Linotype" w:hAnsi="Palatino Linotype"/>
        </w:rPr>
        <w:t>la presente resolución.</w:t>
      </w:r>
    </w:p>
    <w:p w14:paraId="10E6EDA0" w14:textId="77777777" w:rsidR="00A92DEC" w:rsidRPr="00EE2DA4" w:rsidRDefault="00A92DEC" w:rsidP="00A92DEC">
      <w:pPr>
        <w:shd w:val="clear" w:color="auto" w:fill="FFFFFF"/>
        <w:spacing w:line="360" w:lineRule="auto"/>
        <w:jc w:val="both"/>
        <w:rPr>
          <w:rFonts w:ascii="Palatino Linotype" w:hAnsi="Palatino Linotype"/>
        </w:rPr>
      </w:pPr>
    </w:p>
    <w:bookmarkEnd w:id="138"/>
    <w:p w14:paraId="0636D7FD" w14:textId="5640A4F1" w:rsidR="00A92DEC" w:rsidRPr="00EE2DA4" w:rsidRDefault="00A92DEC" w:rsidP="00A92DEC">
      <w:pPr>
        <w:spacing w:line="360" w:lineRule="auto"/>
        <w:jc w:val="both"/>
        <w:rPr>
          <w:rFonts w:ascii="Palatino Linotype" w:eastAsia="MS Mincho" w:hAnsi="Palatino Linotype" w:cs="Times New Roman"/>
          <w:lang w:val="es-ES"/>
        </w:rPr>
      </w:pPr>
      <w:r w:rsidRPr="00EE2DA4">
        <w:rPr>
          <w:rFonts w:ascii="Palatino Linotype" w:eastAsia="MS Mincho" w:hAnsi="Palatino Linotype" w:cs="Times New Roman"/>
          <w:b/>
          <w:lang w:val="es-MX"/>
        </w:rPr>
        <w:t>QUINTO.</w:t>
      </w:r>
      <w:r w:rsidRPr="00EE2DA4">
        <w:rPr>
          <w:rFonts w:ascii="Palatino Linotype" w:eastAsia="MS Mincho" w:hAnsi="Palatino Linotype" w:cs="Times New Roman"/>
          <w:lang w:val="es-MX"/>
        </w:rPr>
        <w:t xml:space="preserve"> </w:t>
      </w:r>
      <w:r w:rsidRPr="00EE2DA4">
        <w:rPr>
          <w:rFonts w:ascii="Palatino Linotype" w:eastAsia="MS Mincho" w:hAnsi="Palatino Linotype" w:cs="Times New Roman"/>
          <w:lang w:val="es-ES"/>
        </w:rPr>
        <w:t>Se hace del conocimiento de</w:t>
      </w:r>
      <w:r w:rsidR="007100C9" w:rsidRPr="007100C9">
        <w:rPr>
          <w:rFonts w:ascii="Palatino Linotype" w:hAnsi="Palatino Linotype"/>
          <w:b/>
          <w:sz w:val="20"/>
          <w:szCs w:val="20"/>
          <w:highlight w:val="black"/>
        </w:rPr>
        <w:t xml:space="preserve"> </w:t>
      </w:r>
      <w:r w:rsidR="007100C9" w:rsidRPr="007100C9">
        <w:rPr>
          <w:rFonts w:ascii="Palatino Linotype" w:hAnsi="Palatino Linotype"/>
          <w:b/>
          <w:sz w:val="20"/>
          <w:szCs w:val="20"/>
          <w:highlight w:val="black"/>
        </w:rPr>
        <w:t>Xxxxx Xxxxxx</w:t>
      </w:r>
      <w:r w:rsidRPr="00EE2DA4">
        <w:rPr>
          <w:rFonts w:ascii="Palatino Linotype" w:eastAsia="MS Mincho" w:hAnsi="Palatino Linotype" w:cs="Times New Roman"/>
          <w:lang w:val="es-ES"/>
        </w:rPr>
        <w:t xml:space="preserve"> que, de conformidad con lo establecido en el artículo 196 de la Ley de Transparencia y Acceso a la Información Pública del Estado de México y Municipios, en caso de que considere que la resolución le cause algún perjuicio podrá impugnarla </w:t>
      </w:r>
      <w:r w:rsidRPr="00EE2DA4">
        <w:rPr>
          <w:rFonts w:ascii="Palatino Linotype" w:eastAsia="MS Mincho" w:hAnsi="Palatino Linotype" w:cs="Times New Roman"/>
          <w:bCs/>
          <w:lang w:val="es-ES"/>
        </w:rPr>
        <w:t>vía juicio de amparo</w:t>
      </w:r>
      <w:r w:rsidRPr="00EE2DA4">
        <w:rPr>
          <w:rFonts w:ascii="Palatino Linotype" w:eastAsia="MS Mincho" w:hAnsi="Palatino Linotype" w:cs="Times New Roman"/>
          <w:lang w:val="es-ES"/>
        </w:rPr>
        <w:t> en los términos de las leyes aplicables.</w:t>
      </w:r>
    </w:p>
    <w:p w14:paraId="00B85718" w14:textId="77777777" w:rsidR="00EF3108" w:rsidRPr="00EE2DA4" w:rsidRDefault="00EF3108" w:rsidP="00EF3108">
      <w:pPr>
        <w:shd w:val="clear" w:color="auto" w:fill="FFFFFF"/>
        <w:spacing w:line="360" w:lineRule="auto"/>
        <w:jc w:val="both"/>
        <w:rPr>
          <w:rFonts w:ascii="Palatino Linotype" w:eastAsia="MS Mincho" w:hAnsi="Palatino Linotype" w:cs="Times New Roman"/>
          <w:color w:val="000000" w:themeColor="text1"/>
          <w:lang w:val="es-ES"/>
        </w:rPr>
      </w:pPr>
    </w:p>
    <w:bookmarkEnd w:id="72"/>
    <w:bookmarkEnd w:id="73"/>
    <w:bookmarkEnd w:id="74"/>
    <w:bookmarkEnd w:id="75"/>
    <w:bookmarkEnd w:id="76"/>
    <w:bookmarkEnd w:id="77"/>
    <w:bookmarkEnd w:id="78"/>
    <w:bookmarkEnd w:id="79"/>
    <w:bookmarkEnd w:id="80"/>
    <w:p w14:paraId="53060BCD" w14:textId="77777777" w:rsidR="00EE2DA4" w:rsidRPr="00EE2DA4" w:rsidRDefault="00EE2DA4" w:rsidP="00EE2DA4">
      <w:pPr>
        <w:pStyle w:val="Prrafodelista"/>
        <w:spacing w:line="360" w:lineRule="auto"/>
        <w:ind w:left="0"/>
        <w:jc w:val="both"/>
        <w:rPr>
          <w:rFonts w:ascii="Palatino Linotype" w:hAnsi="Palatino Linotype" w:cs="Arial"/>
          <w:color w:val="000000" w:themeColor="text1"/>
          <w:sz w:val="22"/>
          <w:szCs w:val="22"/>
        </w:rPr>
      </w:pPr>
      <w:r w:rsidRPr="00EE2DA4">
        <w:rPr>
          <w:rFonts w:ascii="Palatino Linotype" w:hAnsi="Palatino Linotype"/>
          <w:color w:val="000000" w:themeColor="text1"/>
          <w:sz w:val="22"/>
          <w:szCs w:val="22"/>
        </w:rPr>
        <w:t>ASÍ LO RESUELVE, POR</w:t>
      </w:r>
      <w:r w:rsidRPr="00EE2DA4">
        <w:rPr>
          <w:sz w:val="22"/>
          <w:szCs w:val="22"/>
        </w:rPr>
        <w:t xml:space="preserve"> </w:t>
      </w:r>
      <w:r w:rsidRPr="00EE2DA4">
        <w:rPr>
          <w:rFonts w:ascii="Palatino Linotype" w:hAnsi="Palatino Linotype"/>
          <w:color w:val="000000" w:themeColor="text1"/>
          <w:sz w:val="22"/>
          <w:szCs w:val="22"/>
        </w:rPr>
        <w:t xml:space="preserve">UNANIMIDAD DE VOTOS, EL PLENO DEL INSTITUTO DE TRANSPARENCIA, ACCESO A LA INFORMACIÓN PÚBLICA Y PROTECCIÓN DE DATOS PERSONALES DEL ESTADO DE MÉXICO Y MUNICIPIOS, CONFORMADO </w:t>
      </w:r>
      <w:r w:rsidRPr="00EE2DA4">
        <w:rPr>
          <w:rFonts w:ascii="Palatino Linotype" w:hAnsi="Palatino Linotype"/>
          <w:color w:val="000000" w:themeColor="text1"/>
          <w:sz w:val="22"/>
          <w:szCs w:val="22"/>
        </w:rPr>
        <w:lastRenderedPageBreak/>
        <w:t>POR LOS COMISIONADOS ZULEMA MARTÍNEZ SÁNCHEZ; EVA ABAID YAPUR; JOSÉ GUADALUPE LUNA HERNÁNDEZ; JAVIER MARTÍNEZ CRUZ Y LUIS GUSTAVO PARRA NORIEGA;</w:t>
      </w:r>
      <w:r w:rsidRPr="00EE2DA4">
        <w:rPr>
          <w:sz w:val="22"/>
          <w:szCs w:val="22"/>
        </w:rPr>
        <w:t xml:space="preserve"> </w:t>
      </w:r>
      <w:r w:rsidRPr="00EE2DA4">
        <w:rPr>
          <w:rFonts w:ascii="Palatino Linotype" w:hAnsi="Palatino Linotype"/>
          <w:color w:val="000000" w:themeColor="text1"/>
          <w:sz w:val="22"/>
          <w:szCs w:val="22"/>
        </w:rPr>
        <w:t>EN LA SÉPTIMA SESIÓN ORDINARIA CELEBRADA EL  VEINTISÉIS  (26) DE FEBRERO  DE DOS MIL VEINTE, ANTE EL SECRETARIO TÉCNICO DEL PLENO ALEXIS TAPIA RAMÍREZ.</w:t>
      </w:r>
      <w:r w:rsidRPr="00EE2DA4">
        <w:rPr>
          <w:rFonts w:ascii="Palatino Linotype" w:hAnsi="Palatino Linotype" w:cs="Arial"/>
          <w:color w:val="000000" w:themeColor="text1"/>
          <w:sz w:val="22"/>
          <w:szCs w:val="22"/>
        </w:rPr>
        <w:t xml:space="preserve"> </w:t>
      </w:r>
    </w:p>
    <w:p w14:paraId="29FF8BC5" w14:textId="77777777" w:rsidR="00EE2DA4" w:rsidRPr="00AB4BDA" w:rsidRDefault="00EE2DA4" w:rsidP="00EE2DA4">
      <w:pPr>
        <w:tabs>
          <w:tab w:val="left" w:pos="990"/>
        </w:tabs>
        <w:spacing w:line="360" w:lineRule="auto"/>
        <w:jc w:val="both"/>
        <w:rPr>
          <w:rFonts w:ascii="Palatino Linotype" w:eastAsia="MS Mincho" w:hAnsi="Palatino Linotype" w:cs="Times New Roman"/>
        </w:rPr>
      </w:pPr>
      <w:r>
        <w:rPr>
          <w:rFonts w:ascii="Palatino Linotype" w:eastAsia="MS Mincho" w:hAnsi="Palatino Linotype" w:cs="Times New Roman"/>
        </w:rPr>
        <w:tab/>
      </w:r>
    </w:p>
    <w:tbl>
      <w:tblPr>
        <w:tblStyle w:val="Tablaconcuadrcula1"/>
        <w:tblW w:w="907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820"/>
      </w:tblGrid>
      <w:tr w:rsidR="00EE2DA4" w:rsidRPr="008741D8" w14:paraId="1669ADA2" w14:textId="77777777" w:rsidTr="004973C2">
        <w:trPr>
          <w:trHeight w:val="1807"/>
        </w:trPr>
        <w:tc>
          <w:tcPr>
            <w:tcW w:w="9073" w:type="dxa"/>
            <w:gridSpan w:val="2"/>
            <w:vAlign w:val="center"/>
          </w:tcPr>
          <w:p w14:paraId="4BA1C54E" w14:textId="77777777" w:rsidR="00EE2DA4" w:rsidRDefault="00EE2DA4" w:rsidP="00EE2DA4">
            <w:pPr>
              <w:pStyle w:val="Prrafodelista"/>
              <w:spacing w:line="240" w:lineRule="atLeast"/>
              <w:ind w:left="0"/>
              <w:jc w:val="both"/>
              <w:rPr>
                <w:rFonts w:ascii="Palatino Linotype" w:hAnsi="Palatino Linotype" w:cs="Arial"/>
                <w:color w:val="000000" w:themeColor="text1"/>
              </w:rPr>
            </w:pPr>
          </w:p>
          <w:p w14:paraId="62926328" w14:textId="77777777" w:rsidR="00EE2DA4" w:rsidRPr="008741D8" w:rsidRDefault="00EE2DA4" w:rsidP="00EE2DA4">
            <w:pPr>
              <w:spacing w:line="240" w:lineRule="atLeast"/>
              <w:jc w:val="center"/>
              <w:rPr>
                <w:rFonts w:ascii="Palatino Linotype" w:hAnsi="Palatino Linotype" w:cs="Times New Roman"/>
                <w:b/>
                <w:color w:val="000000" w:themeColor="text1"/>
              </w:rPr>
            </w:pPr>
            <w:r w:rsidRPr="008741D8">
              <w:rPr>
                <w:rFonts w:ascii="Palatino Linotype" w:hAnsi="Palatino Linotype" w:cs="Times New Roman"/>
                <w:b/>
                <w:color w:val="000000" w:themeColor="text1"/>
              </w:rPr>
              <w:t>Zulema Martínez Sánchez</w:t>
            </w:r>
          </w:p>
          <w:p w14:paraId="24F2DFB5" w14:textId="77777777" w:rsidR="00EE2DA4" w:rsidRPr="008741D8" w:rsidRDefault="00EE2DA4" w:rsidP="00EE2DA4">
            <w:pPr>
              <w:spacing w:line="240" w:lineRule="atLeast"/>
              <w:jc w:val="center"/>
              <w:rPr>
                <w:rFonts w:ascii="Palatino Linotype" w:hAnsi="Palatino Linotype"/>
                <w:color w:val="000000" w:themeColor="text1"/>
              </w:rPr>
            </w:pPr>
            <w:r w:rsidRPr="008741D8">
              <w:rPr>
                <w:rFonts w:ascii="Palatino Linotype" w:hAnsi="Palatino Linotype"/>
                <w:color w:val="000000" w:themeColor="text1"/>
              </w:rPr>
              <w:t>Comisionada Presidenta</w:t>
            </w:r>
          </w:p>
          <w:p w14:paraId="147CE4FE" w14:textId="77777777" w:rsidR="00EE2DA4" w:rsidRPr="008741D8" w:rsidRDefault="00EE2DA4" w:rsidP="00EE2DA4">
            <w:pPr>
              <w:spacing w:line="240" w:lineRule="atLeast"/>
              <w:jc w:val="center"/>
              <w:rPr>
                <w:rFonts w:ascii="Palatino Linotype" w:hAnsi="Palatino Linotype"/>
                <w:color w:val="000000" w:themeColor="text1"/>
              </w:rPr>
            </w:pPr>
            <w:r w:rsidRPr="008741D8">
              <w:rPr>
                <w:rFonts w:ascii="Palatino Linotype" w:hAnsi="Palatino Linotype" w:cs="Times New Roman"/>
                <w:color w:val="000000" w:themeColor="text1"/>
              </w:rPr>
              <w:t>(Rúbrica)</w:t>
            </w:r>
          </w:p>
        </w:tc>
      </w:tr>
      <w:tr w:rsidR="00EE2DA4" w:rsidRPr="008741D8" w14:paraId="021BA88C" w14:textId="77777777" w:rsidTr="004973C2">
        <w:trPr>
          <w:trHeight w:val="2156"/>
        </w:trPr>
        <w:tc>
          <w:tcPr>
            <w:tcW w:w="4253" w:type="dxa"/>
            <w:vAlign w:val="center"/>
          </w:tcPr>
          <w:p w14:paraId="6F36CCA8" w14:textId="77777777" w:rsidR="00EE2DA4" w:rsidRDefault="00EE2DA4" w:rsidP="00EE2DA4">
            <w:pPr>
              <w:spacing w:line="240" w:lineRule="atLeast"/>
              <w:rPr>
                <w:rFonts w:ascii="Palatino Linotype" w:hAnsi="Palatino Linotype" w:cs="Times New Roman"/>
                <w:b/>
                <w:color w:val="000000" w:themeColor="text1"/>
              </w:rPr>
            </w:pPr>
          </w:p>
          <w:p w14:paraId="24563AB3" w14:textId="77777777" w:rsidR="00EE2DA4" w:rsidRDefault="00EE2DA4" w:rsidP="00EE2DA4">
            <w:pPr>
              <w:spacing w:line="240" w:lineRule="atLeast"/>
              <w:rPr>
                <w:rFonts w:ascii="Palatino Linotype" w:hAnsi="Palatino Linotype" w:cs="Times New Roman"/>
                <w:b/>
                <w:color w:val="000000" w:themeColor="text1"/>
              </w:rPr>
            </w:pPr>
          </w:p>
          <w:p w14:paraId="1B16ADA3" w14:textId="77777777" w:rsidR="00EE2DA4" w:rsidRPr="008741D8" w:rsidRDefault="00EE2DA4" w:rsidP="00EE2DA4">
            <w:pPr>
              <w:spacing w:line="240" w:lineRule="atLeast"/>
              <w:jc w:val="center"/>
              <w:rPr>
                <w:rFonts w:ascii="Palatino Linotype" w:hAnsi="Palatino Linotype" w:cs="Times New Roman"/>
                <w:b/>
                <w:color w:val="000000" w:themeColor="text1"/>
              </w:rPr>
            </w:pPr>
            <w:r w:rsidRPr="008741D8">
              <w:rPr>
                <w:rFonts w:ascii="Palatino Linotype" w:hAnsi="Palatino Linotype" w:cs="Times New Roman"/>
                <w:b/>
                <w:color w:val="000000" w:themeColor="text1"/>
              </w:rPr>
              <w:t>Eva Abaid Yapur</w:t>
            </w:r>
          </w:p>
          <w:p w14:paraId="500FFA11" w14:textId="77777777" w:rsidR="00EE2DA4" w:rsidRPr="008741D8" w:rsidRDefault="00EE2DA4" w:rsidP="00EE2DA4">
            <w:pPr>
              <w:spacing w:line="240" w:lineRule="atLeast"/>
              <w:jc w:val="center"/>
              <w:rPr>
                <w:rFonts w:ascii="Palatino Linotype" w:hAnsi="Palatino Linotype" w:cs="Times New Roman"/>
                <w:color w:val="000000" w:themeColor="text1"/>
              </w:rPr>
            </w:pPr>
            <w:r w:rsidRPr="008741D8">
              <w:rPr>
                <w:rFonts w:ascii="Palatino Linotype" w:hAnsi="Palatino Linotype" w:cs="Times New Roman"/>
                <w:color w:val="000000" w:themeColor="text1"/>
              </w:rPr>
              <w:t>Comisionada</w:t>
            </w:r>
          </w:p>
          <w:p w14:paraId="0FF92C54" w14:textId="77777777" w:rsidR="00EE2DA4" w:rsidRPr="008741D8" w:rsidRDefault="00EE2DA4" w:rsidP="00EE2DA4">
            <w:pPr>
              <w:spacing w:line="240" w:lineRule="atLeast"/>
              <w:jc w:val="center"/>
              <w:rPr>
                <w:rFonts w:ascii="Palatino Linotype" w:hAnsi="Palatino Linotype" w:cs="Times New Roman"/>
                <w:color w:val="000000" w:themeColor="text1"/>
              </w:rPr>
            </w:pPr>
            <w:r w:rsidRPr="008741D8">
              <w:rPr>
                <w:rFonts w:ascii="Palatino Linotype" w:hAnsi="Palatino Linotype" w:cs="Times New Roman"/>
                <w:color w:val="000000" w:themeColor="text1"/>
              </w:rPr>
              <w:t>(Rúbrica)</w:t>
            </w:r>
          </w:p>
        </w:tc>
        <w:tc>
          <w:tcPr>
            <w:tcW w:w="4820" w:type="dxa"/>
            <w:vAlign w:val="center"/>
          </w:tcPr>
          <w:p w14:paraId="6526574C" w14:textId="77777777" w:rsidR="00EE2DA4" w:rsidRDefault="00EE2DA4" w:rsidP="00EE2DA4">
            <w:pPr>
              <w:spacing w:line="240" w:lineRule="atLeast"/>
              <w:rPr>
                <w:rFonts w:ascii="Palatino Linotype" w:hAnsi="Palatino Linotype" w:cs="Times New Roman"/>
                <w:b/>
                <w:color w:val="000000" w:themeColor="text1"/>
              </w:rPr>
            </w:pPr>
          </w:p>
          <w:p w14:paraId="0AEFF513" w14:textId="77777777" w:rsidR="00EE2DA4" w:rsidRDefault="00EE2DA4" w:rsidP="00EE2DA4">
            <w:pPr>
              <w:spacing w:line="240" w:lineRule="atLeast"/>
              <w:rPr>
                <w:rFonts w:ascii="Palatino Linotype" w:hAnsi="Palatino Linotype" w:cs="Times New Roman"/>
                <w:b/>
                <w:color w:val="000000" w:themeColor="text1"/>
              </w:rPr>
            </w:pPr>
          </w:p>
          <w:p w14:paraId="3299940C" w14:textId="77777777" w:rsidR="00EE2DA4" w:rsidRPr="008741D8" w:rsidRDefault="00EE2DA4" w:rsidP="00EE2DA4">
            <w:pPr>
              <w:spacing w:line="240" w:lineRule="atLeast"/>
              <w:jc w:val="center"/>
              <w:rPr>
                <w:rFonts w:ascii="Palatino Linotype" w:hAnsi="Palatino Linotype" w:cs="Times New Roman"/>
                <w:b/>
                <w:color w:val="000000" w:themeColor="text1"/>
              </w:rPr>
            </w:pPr>
            <w:r w:rsidRPr="008741D8">
              <w:rPr>
                <w:rFonts w:ascii="Palatino Linotype" w:hAnsi="Palatino Linotype" w:cs="Times New Roman"/>
                <w:b/>
                <w:color w:val="000000" w:themeColor="text1"/>
              </w:rPr>
              <w:t>José Guadalupe Luna Hernández</w:t>
            </w:r>
          </w:p>
          <w:p w14:paraId="48D16866" w14:textId="77777777" w:rsidR="00EE2DA4" w:rsidRPr="008741D8" w:rsidRDefault="00EE2DA4" w:rsidP="00EE2DA4">
            <w:pPr>
              <w:spacing w:line="240" w:lineRule="atLeast"/>
              <w:jc w:val="center"/>
              <w:rPr>
                <w:rFonts w:ascii="Palatino Linotype" w:hAnsi="Palatino Linotype" w:cs="Times New Roman"/>
                <w:color w:val="000000" w:themeColor="text1"/>
              </w:rPr>
            </w:pPr>
            <w:r w:rsidRPr="008741D8">
              <w:rPr>
                <w:rFonts w:ascii="Palatino Linotype" w:hAnsi="Palatino Linotype" w:cs="Times New Roman"/>
                <w:color w:val="000000" w:themeColor="text1"/>
              </w:rPr>
              <w:t>Comisionado</w:t>
            </w:r>
          </w:p>
          <w:p w14:paraId="249EFB4E" w14:textId="77777777" w:rsidR="00EE2DA4" w:rsidRPr="008741D8" w:rsidRDefault="00EE2DA4" w:rsidP="00EE2DA4">
            <w:pPr>
              <w:spacing w:line="240" w:lineRule="atLeast"/>
              <w:jc w:val="center"/>
              <w:rPr>
                <w:rFonts w:ascii="Palatino Linotype" w:hAnsi="Palatino Linotype" w:cs="Times New Roman"/>
                <w:color w:val="000000" w:themeColor="text1"/>
              </w:rPr>
            </w:pPr>
            <w:r w:rsidRPr="008741D8">
              <w:rPr>
                <w:rFonts w:ascii="Palatino Linotype" w:hAnsi="Palatino Linotype" w:cs="Times New Roman"/>
                <w:color w:val="000000" w:themeColor="text1"/>
              </w:rPr>
              <w:t>(Rúbrica)</w:t>
            </w:r>
          </w:p>
        </w:tc>
      </w:tr>
      <w:tr w:rsidR="00EE2DA4" w:rsidRPr="008741D8" w14:paraId="0C775C19" w14:textId="77777777" w:rsidTr="004973C2">
        <w:trPr>
          <w:trHeight w:val="2244"/>
        </w:trPr>
        <w:tc>
          <w:tcPr>
            <w:tcW w:w="4253" w:type="dxa"/>
            <w:vAlign w:val="center"/>
          </w:tcPr>
          <w:p w14:paraId="7A1DA1BA" w14:textId="77777777" w:rsidR="00EE2DA4" w:rsidRPr="008741D8" w:rsidRDefault="00EE2DA4" w:rsidP="00EE2DA4">
            <w:pPr>
              <w:spacing w:line="240" w:lineRule="atLeast"/>
              <w:rPr>
                <w:rFonts w:ascii="Palatino Linotype" w:hAnsi="Palatino Linotype" w:cs="Times New Roman"/>
                <w:b/>
                <w:color w:val="000000" w:themeColor="text1"/>
              </w:rPr>
            </w:pPr>
          </w:p>
          <w:p w14:paraId="5DD2567B" w14:textId="77777777" w:rsidR="00EE2DA4" w:rsidRPr="008741D8" w:rsidRDefault="00EE2DA4" w:rsidP="00EE2DA4">
            <w:pPr>
              <w:spacing w:line="240" w:lineRule="atLeast"/>
              <w:rPr>
                <w:rFonts w:ascii="Palatino Linotype" w:hAnsi="Palatino Linotype" w:cs="Times New Roman"/>
                <w:b/>
                <w:color w:val="000000" w:themeColor="text1"/>
              </w:rPr>
            </w:pPr>
          </w:p>
          <w:p w14:paraId="694C8B77" w14:textId="77777777" w:rsidR="00EE2DA4" w:rsidRPr="008741D8" w:rsidRDefault="00EE2DA4" w:rsidP="00EE2DA4">
            <w:pPr>
              <w:spacing w:line="240" w:lineRule="atLeast"/>
              <w:jc w:val="center"/>
              <w:rPr>
                <w:rFonts w:ascii="Palatino Linotype" w:hAnsi="Palatino Linotype" w:cs="Times New Roman"/>
                <w:b/>
                <w:color w:val="000000" w:themeColor="text1"/>
              </w:rPr>
            </w:pPr>
            <w:r w:rsidRPr="008741D8">
              <w:rPr>
                <w:rFonts w:ascii="Palatino Linotype" w:hAnsi="Palatino Linotype" w:cs="Times New Roman"/>
                <w:b/>
                <w:color w:val="000000" w:themeColor="text1"/>
              </w:rPr>
              <w:t>Javier Martínez Cruz</w:t>
            </w:r>
          </w:p>
          <w:p w14:paraId="388F4BD1" w14:textId="77777777" w:rsidR="00EE2DA4" w:rsidRPr="008741D8" w:rsidRDefault="00EE2DA4" w:rsidP="00EE2DA4">
            <w:pPr>
              <w:spacing w:line="240" w:lineRule="atLeast"/>
              <w:jc w:val="center"/>
              <w:rPr>
                <w:rFonts w:ascii="Palatino Linotype" w:hAnsi="Palatino Linotype" w:cs="Times New Roman"/>
                <w:color w:val="000000" w:themeColor="text1"/>
              </w:rPr>
            </w:pPr>
            <w:r w:rsidRPr="008741D8">
              <w:rPr>
                <w:rFonts w:ascii="Palatino Linotype" w:hAnsi="Palatino Linotype" w:cs="Times New Roman"/>
                <w:color w:val="000000" w:themeColor="text1"/>
              </w:rPr>
              <w:t>Comisionado</w:t>
            </w:r>
          </w:p>
          <w:p w14:paraId="6C5C66DE" w14:textId="77777777" w:rsidR="00EE2DA4" w:rsidRPr="008741D8" w:rsidRDefault="00EE2DA4" w:rsidP="00EE2DA4">
            <w:pPr>
              <w:spacing w:line="240" w:lineRule="atLeast"/>
              <w:jc w:val="center"/>
              <w:rPr>
                <w:rFonts w:ascii="Palatino Linotype" w:hAnsi="Palatino Linotype" w:cs="Times New Roman"/>
                <w:color w:val="000000" w:themeColor="text1"/>
              </w:rPr>
            </w:pPr>
            <w:r w:rsidRPr="008741D8">
              <w:rPr>
                <w:rFonts w:ascii="Palatino Linotype" w:hAnsi="Palatino Linotype" w:cs="Times New Roman"/>
                <w:color w:val="000000" w:themeColor="text1"/>
              </w:rPr>
              <w:t>(Rúbrica)</w:t>
            </w:r>
          </w:p>
        </w:tc>
        <w:tc>
          <w:tcPr>
            <w:tcW w:w="4820" w:type="dxa"/>
            <w:vAlign w:val="center"/>
          </w:tcPr>
          <w:p w14:paraId="2FE3399A" w14:textId="77777777" w:rsidR="00EE2DA4" w:rsidRPr="008741D8" w:rsidRDefault="00EE2DA4" w:rsidP="00EE2DA4">
            <w:pPr>
              <w:spacing w:line="240" w:lineRule="atLeast"/>
              <w:rPr>
                <w:rFonts w:ascii="Palatino Linotype" w:hAnsi="Palatino Linotype" w:cs="Times New Roman"/>
                <w:b/>
                <w:color w:val="000000" w:themeColor="text1"/>
              </w:rPr>
            </w:pPr>
          </w:p>
          <w:p w14:paraId="3B25929A" w14:textId="77777777" w:rsidR="00EE2DA4" w:rsidRPr="008741D8" w:rsidRDefault="00EE2DA4" w:rsidP="00EE2DA4">
            <w:pPr>
              <w:spacing w:line="240" w:lineRule="atLeast"/>
              <w:jc w:val="center"/>
              <w:rPr>
                <w:rFonts w:ascii="Palatino Linotype" w:hAnsi="Palatino Linotype" w:cs="Times New Roman"/>
                <w:b/>
                <w:color w:val="000000" w:themeColor="text1"/>
              </w:rPr>
            </w:pPr>
          </w:p>
          <w:p w14:paraId="2B75E6A1" w14:textId="77777777" w:rsidR="00EE2DA4" w:rsidRPr="008741D8" w:rsidRDefault="00EE2DA4" w:rsidP="00EE2DA4">
            <w:pPr>
              <w:spacing w:line="240" w:lineRule="atLeast"/>
              <w:jc w:val="center"/>
              <w:rPr>
                <w:rFonts w:ascii="Palatino Linotype" w:hAnsi="Palatino Linotype"/>
                <w:b/>
                <w:color w:val="000000" w:themeColor="text1"/>
              </w:rPr>
            </w:pPr>
            <w:r w:rsidRPr="008741D8">
              <w:rPr>
                <w:rFonts w:ascii="Palatino Linotype" w:hAnsi="Palatino Linotype"/>
                <w:b/>
                <w:color w:val="000000" w:themeColor="text1"/>
              </w:rPr>
              <w:t>Luis Gustavo Parra Noriega</w:t>
            </w:r>
          </w:p>
          <w:p w14:paraId="651D694E" w14:textId="77777777" w:rsidR="00EE2DA4" w:rsidRPr="008741D8" w:rsidRDefault="00EE2DA4" w:rsidP="00EE2DA4">
            <w:pPr>
              <w:spacing w:line="240" w:lineRule="atLeast"/>
              <w:jc w:val="center"/>
              <w:rPr>
                <w:rFonts w:ascii="Palatino Linotype" w:hAnsi="Palatino Linotype" w:cs="Times New Roman"/>
                <w:color w:val="000000" w:themeColor="text1"/>
              </w:rPr>
            </w:pPr>
            <w:r w:rsidRPr="008741D8">
              <w:rPr>
                <w:rFonts w:ascii="Palatino Linotype" w:hAnsi="Palatino Linotype" w:cs="Times New Roman"/>
                <w:color w:val="000000" w:themeColor="text1"/>
              </w:rPr>
              <w:t>Comisionado</w:t>
            </w:r>
          </w:p>
          <w:p w14:paraId="345DC5BB" w14:textId="77777777" w:rsidR="00EE2DA4" w:rsidRPr="008741D8" w:rsidRDefault="00EE2DA4" w:rsidP="00EE2DA4">
            <w:pPr>
              <w:spacing w:line="240" w:lineRule="atLeast"/>
              <w:jc w:val="center"/>
              <w:rPr>
                <w:rFonts w:ascii="Palatino Linotype" w:hAnsi="Palatino Linotype" w:cs="Times New Roman"/>
                <w:color w:val="000000" w:themeColor="text1"/>
              </w:rPr>
            </w:pPr>
            <w:r w:rsidRPr="008741D8">
              <w:rPr>
                <w:rFonts w:ascii="Palatino Linotype" w:hAnsi="Palatino Linotype" w:cs="Times New Roman"/>
                <w:color w:val="000000" w:themeColor="text1"/>
              </w:rPr>
              <w:t>(Rúbrica)</w:t>
            </w:r>
          </w:p>
        </w:tc>
      </w:tr>
      <w:tr w:rsidR="00EE2DA4" w:rsidRPr="008741D8" w14:paraId="1B9CC0F4" w14:textId="77777777" w:rsidTr="004973C2">
        <w:trPr>
          <w:trHeight w:val="1953"/>
        </w:trPr>
        <w:tc>
          <w:tcPr>
            <w:tcW w:w="9073" w:type="dxa"/>
            <w:gridSpan w:val="2"/>
            <w:vAlign w:val="center"/>
          </w:tcPr>
          <w:p w14:paraId="5A14D14B" w14:textId="77777777" w:rsidR="00EE2DA4" w:rsidRPr="008741D8" w:rsidRDefault="00EE2DA4" w:rsidP="00EE2DA4">
            <w:pPr>
              <w:pStyle w:val="Prrafodelista"/>
              <w:spacing w:line="240" w:lineRule="atLeast"/>
              <w:ind w:left="0"/>
              <w:jc w:val="both"/>
              <w:rPr>
                <w:rFonts w:ascii="Palatino Linotype" w:hAnsi="Palatino Linotype"/>
                <w:color w:val="000000" w:themeColor="text1"/>
              </w:rPr>
            </w:pPr>
          </w:p>
          <w:p w14:paraId="6BAE1C82" w14:textId="77777777" w:rsidR="00EE2DA4" w:rsidRPr="008741D8" w:rsidRDefault="00EE2DA4" w:rsidP="00EE2DA4">
            <w:pPr>
              <w:pStyle w:val="Prrafodelista"/>
              <w:spacing w:line="240" w:lineRule="atLeast"/>
              <w:ind w:left="0"/>
              <w:jc w:val="both"/>
              <w:rPr>
                <w:rFonts w:ascii="Palatino Linotype" w:hAnsi="Palatino Linotype"/>
                <w:color w:val="000000" w:themeColor="text1"/>
              </w:rPr>
            </w:pPr>
          </w:p>
          <w:p w14:paraId="1188A782" w14:textId="77777777" w:rsidR="00EE2DA4" w:rsidRPr="008741D8" w:rsidRDefault="00EE2DA4" w:rsidP="00EE2DA4">
            <w:pPr>
              <w:spacing w:line="240" w:lineRule="atLeast"/>
              <w:jc w:val="center"/>
              <w:rPr>
                <w:rFonts w:ascii="Palatino Linotype" w:hAnsi="Palatino Linotype" w:cs="Times New Roman"/>
                <w:b/>
                <w:color w:val="000000" w:themeColor="text1"/>
              </w:rPr>
            </w:pPr>
            <w:r w:rsidRPr="008741D8">
              <w:rPr>
                <w:rFonts w:ascii="Palatino Linotype" w:hAnsi="Palatino Linotype" w:cs="Times New Roman"/>
                <w:b/>
                <w:color w:val="000000" w:themeColor="text1"/>
              </w:rPr>
              <w:t>Alexis Tapia Ramírez</w:t>
            </w:r>
          </w:p>
          <w:p w14:paraId="428ED881" w14:textId="77777777" w:rsidR="00EE2DA4" w:rsidRPr="008741D8" w:rsidRDefault="00EE2DA4" w:rsidP="00EE2DA4">
            <w:pPr>
              <w:spacing w:line="240" w:lineRule="atLeast"/>
              <w:jc w:val="center"/>
              <w:rPr>
                <w:rFonts w:ascii="Palatino Linotype" w:hAnsi="Palatino Linotype" w:cs="Times New Roman"/>
                <w:color w:val="000000" w:themeColor="text1"/>
              </w:rPr>
            </w:pPr>
            <w:r>
              <w:rPr>
                <w:rFonts w:ascii="Palatino Linotype" w:hAnsi="Palatino Linotype" w:cs="Times New Roman"/>
                <w:color w:val="000000" w:themeColor="text1"/>
              </w:rPr>
              <w:t>Secretario Técnico</w:t>
            </w:r>
            <w:r w:rsidRPr="008741D8">
              <w:rPr>
                <w:rFonts w:ascii="Palatino Linotype" w:hAnsi="Palatino Linotype" w:cs="Times New Roman"/>
                <w:color w:val="000000" w:themeColor="text1"/>
              </w:rPr>
              <w:t xml:space="preserve"> del Pleno</w:t>
            </w:r>
          </w:p>
          <w:p w14:paraId="7D14A221" w14:textId="77777777" w:rsidR="00EE2DA4" w:rsidRPr="007B021C" w:rsidRDefault="00EE2DA4" w:rsidP="00EE2DA4">
            <w:pPr>
              <w:spacing w:line="240" w:lineRule="atLeast"/>
              <w:jc w:val="center"/>
              <w:rPr>
                <w:rFonts w:ascii="Palatino Linotype" w:hAnsi="Palatino Linotype" w:cs="Times New Roman"/>
                <w:color w:val="000000" w:themeColor="text1"/>
              </w:rPr>
            </w:pPr>
            <w:r>
              <w:rPr>
                <w:rFonts w:ascii="Palatino Linotype" w:hAnsi="Palatino Linotype" w:cs="Times New Roman"/>
                <w:color w:val="000000" w:themeColor="text1"/>
              </w:rPr>
              <w:t>(Rúbrica)</w:t>
            </w:r>
          </w:p>
        </w:tc>
      </w:tr>
    </w:tbl>
    <w:p w14:paraId="0CFE34E2" w14:textId="5A6BDA34" w:rsidR="007914E4" w:rsidRPr="00EE2DA4" w:rsidRDefault="00EE2DA4" w:rsidP="00EE2DA4">
      <w:pPr>
        <w:spacing w:line="240" w:lineRule="atLeast"/>
        <w:ind w:right="49"/>
        <w:contextualSpacing/>
        <w:jc w:val="both"/>
        <w:rPr>
          <w:rFonts w:ascii="Palatino Linotype" w:eastAsia="MS Mincho" w:hAnsi="Palatino Linotype" w:cstheme="majorBidi"/>
        </w:rPr>
      </w:pPr>
      <w:r w:rsidRPr="007B021C">
        <w:rPr>
          <w:rFonts w:ascii="Palatino Linotype" w:hAnsi="Palatino Linotype"/>
        </w:rPr>
        <w:t>Esta hoja corresponde a la resolución del veintiséis de febrero de dos mil veinte en el recurso de r</w:t>
      </w:r>
      <w:r>
        <w:rPr>
          <w:rFonts w:ascii="Palatino Linotype" w:hAnsi="Palatino Linotype"/>
        </w:rPr>
        <w:t>evisión 09098/INFOEM/IP/RR/2019.</w:t>
      </w:r>
    </w:p>
    <w:sectPr w:rsidR="007914E4" w:rsidRPr="00EE2DA4" w:rsidSect="00F801DD">
      <w:headerReference w:type="default" r:id="rId19"/>
      <w:footerReference w:type="default" r:id="rId20"/>
      <w:headerReference w:type="first" r:id="rId21"/>
      <w:footerReference w:type="first" r:id="rId22"/>
      <w:pgSz w:w="12240" w:h="15840"/>
      <w:pgMar w:top="1417" w:right="1750"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A499DF" w14:textId="77777777" w:rsidR="00C40592" w:rsidRDefault="00C40592" w:rsidP="00587366">
      <w:r>
        <w:separator/>
      </w:r>
    </w:p>
    <w:p w14:paraId="4AAFCA6A" w14:textId="77777777" w:rsidR="00C40592" w:rsidRDefault="00C40592"/>
  </w:endnote>
  <w:endnote w:type="continuationSeparator" w:id="0">
    <w:p w14:paraId="5CB9558F" w14:textId="77777777" w:rsidR="00C40592" w:rsidRDefault="00C40592" w:rsidP="00587366">
      <w:r>
        <w:continuationSeparator/>
      </w:r>
    </w:p>
    <w:p w14:paraId="4D144316" w14:textId="77777777" w:rsidR="00C40592" w:rsidRDefault="00C405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00000000"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ookman Old Style,Bold">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Palatino Linotype" w:hAnsi="Palatino Linotype"/>
        <w:sz w:val="28"/>
      </w:rPr>
      <w:id w:val="120813738"/>
      <w:docPartObj>
        <w:docPartGallery w:val="Page Numbers (Bottom of Page)"/>
        <w:docPartUnique/>
      </w:docPartObj>
    </w:sdtPr>
    <w:sdtEndPr/>
    <w:sdtContent>
      <w:sdt>
        <w:sdtPr>
          <w:rPr>
            <w:rFonts w:ascii="Palatino Linotype" w:hAnsi="Palatino Linotype"/>
            <w:sz w:val="28"/>
          </w:rPr>
          <w:id w:val="2028050644"/>
          <w:docPartObj>
            <w:docPartGallery w:val="Page Numbers (Top of Page)"/>
            <w:docPartUnique/>
          </w:docPartObj>
        </w:sdtPr>
        <w:sdtEndPr/>
        <w:sdtContent>
          <w:p w14:paraId="43E44DEB" w14:textId="77777777" w:rsidR="00E25313" w:rsidRDefault="00E25313" w:rsidP="0057438B">
            <w:pPr>
              <w:pStyle w:val="Piedepgina"/>
              <w:jc w:val="center"/>
              <w:rPr>
                <w:rFonts w:ascii="Palatino Linotype" w:hAnsi="Palatino Linotype"/>
                <w:b/>
                <w:bCs/>
                <w:sz w:val="22"/>
                <w:szCs w:val="20"/>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EE2DA4">
              <w:rPr>
                <w:rFonts w:ascii="Palatino Linotype" w:hAnsi="Palatino Linotype"/>
                <w:b/>
                <w:bCs/>
                <w:noProof/>
                <w:sz w:val="22"/>
                <w:szCs w:val="20"/>
              </w:rPr>
              <w:t>60</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EE2DA4">
              <w:rPr>
                <w:rFonts w:ascii="Palatino Linotype" w:hAnsi="Palatino Linotype"/>
                <w:b/>
                <w:bCs/>
                <w:noProof/>
                <w:sz w:val="22"/>
                <w:szCs w:val="20"/>
              </w:rPr>
              <w:t>60</w:t>
            </w:r>
            <w:r w:rsidRPr="00883450">
              <w:rPr>
                <w:rFonts w:ascii="Palatino Linotype" w:hAnsi="Palatino Linotype"/>
                <w:b/>
                <w:bCs/>
                <w:sz w:val="22"/>
                <w:szCs w:val="20"/>
              </w:rPr>
              <w:fldChar w:fldCharType="end"/>
            </w:r>
          </w:p>
          <w:p w14:paraId="187818B4" w14:textId="42E0FFCB" w:rsidR="00E25313" w:rsidRDefault="00C40592" w:rsidP="00985DA6">
            <w:pPr>
              <w:pStyle w:val="Piedepgina"/>
              <w:rPr>
                <w:rFonts w:ascii="Palatino Linotype" w:hAnsi="Palatino Linotype"/>
                <w:sz w:val="28"/>
              </w:rPr>
            </w:pPr>
          </w:p>
        </w:sdtContent>
      </w:sdt>
    </w:sdtContent>
  </w:sdt>
  <w:p w14:paraId="1AED78E8" w14:textId="77777777" w:rsidR="00E25313" w:rsidRDefault="00E2531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B882B7" w14:textId="77777777" w:rsidR="00E25313" w:rsidRPr="00883450" w:rsidRDefault="00E25313"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EE2DA4" w:rsidRPr="00EE2DA4">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EE2DA4" w:rsidRPr="00EE2DA4">
      <w:rPr>
        <w:rFonts w:ascii="Palatino Linotype" w:hAnsi="Palatino Linotype"/>
        <w:noProof/>
        <w:sz w:val="22"/>
        <w:szCs w:val="22"/>
        <w:lang w:val="es-ES"/>
      </w:rPr>
      <w:t>60</w:t>
    </w:r>
    <w:r w:rsidRPr="00883450">
      <w:rPr>
        <w:rFonts w:ascii="Palatino Linotype" w:hAnsi="Palatino Linotype"/>
        <w:sz w:val="22"/>
        <w:szCs w:val="22"/>
      </w:rPr>
      <w:fldChar w:fldCharType="end"/>
    </w:r>
  </w:p>
  <w:p w14:paraId="5F5C4865" w14:textId="77777777" w:rsidR="00E25313" w:rsidRPr="00883450" w:rsidRDefault="00E25313">
    <w:pPr>
      <w:pStyle w:val="Piedepgina"/>
      <w:rPr>
        <w:rFonts w:ascii="Palatino Linotype" w:hAnsi="Palatino Linotype"/>
        <w:sz w:val="22"/>
        <w:szCs w:val="22"/>
      </w:rPr>
    </w:pPr>
  </w:p>
  <w:p w14:paraId="2E09EA83" w14:textId="77777777" w:rsidR="00E25313" w:rsidRDefault="00E2531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4BCC5A" w14:textId="77777777" w:rsidR="00C40592" w:rsidRDefault="00C40592" w:rsidP="00587366">
      <w:r>
        <w:separator/>
      </w:r>
    </w:p>
    <w:p w14:paraId="34EB6A4B" w14:textId="77777777" w:rsidR="00C40592" w:rsidRDefault="00C40592"/>
  </w:footnote>
  <w:footnote w:type="continuationSeparator" w:id="0">
    <w:p w14:paraId="75361F77" w14:textId="77777777" w:rsidR="00C40592" w:rsidRDefault="00C40592" w:rsidP="00587366">
      <w:r>
        <w:continuationSeparator/>
      </w:r>
    </w:p>
    <w:p w14:paraId="386209F9" w14:textId="77777777" w:rsidR="00C40592" w:rsidRDefault="00C40592"/>
  </w:footnote>
  <w:footnote w:id="1">
    <w:p w14:paraId="7FD43B12" w14:textId="77777777" w:rsidR="00E25313" w:rsidRPr="00C102FA" w:rsidRDefault="00E25313" w:rsidP="009272F6">
      <w:pPr>
        <w:pStyle w:val="Textonotapie"/>
        <w:ind w:left="142"/>
        <w:jc w:val="both"/>
        <w:rPr>
          <w:rFonts w:asciiTheme="majorHAnsi" w:hAnsiTheme="majorHAnsi"/>
        </w:rPr>
      </w:pPr>
      <w:r>
        <w:rPr>
          <w:rStyle w:val="Refdenotaalpie"/>
        </w:rPr>
        <w:footnoteRef/>
      </w:r>
      <w:r>
        <w:t xml:space="preserve"> </w:t>
      </w:r>
      <w:r w:rsidRPr="00C102FA">
        <w:rPr>
          <w:rFonts w:asciiTheme="majorHAnsi" w:eastAsia="Calibri" w:hAnsiTheme="majorHAnsi" w:cs="Times New Roman"/>
        </w:rPr>
        <w:t xml:space="preserve">Para garantizar el Derecho de Acceso a la Información Pública en recursos de revisión en los que </w:t>
      </w:r>
      <w:r w:rsidRPr="00C102FA">
        <w:rPr>
          <w:rFonts w:asciiTheme="majorHAnsi" w:eastAsia="Calibri" w:hAnsiTheme="majorHAnsi" w:cs="Times New Roman"/>
          <w:b/>
        </w:rPr>
        <w:t>la solicitud inicial</w:t>
      </w:r>
      <w:r w:rsidRPr="00C102FA">
        <w:rPr>
          <w:rFonts w:asciiTheme="majorHAnsi" w:eastAsia="Calibri" w:hAnsiTheme="majorHAnsi" w:cs="Times New Roman"/>
        </w:rPr>
        <w:t xml:space="preserve">, el acto impugnado o los motivos de inconformidad </w:t>
      </w:r>
      <w:r w:rsidRPr="002A37CB">
        <w:rPr>
          <w:rFonts w:asciiTheme="majorHAnsi" w:eastAsia="Calibri" w:hAnsiTheme="majorHAnsi" w:cs="Times New Roman"/>
        </w:rPr>
        <w:t>son abundantes</w:t>
      </w:r>
      <w:r>
        <w:rPr>
          <w:rFonts w:asciiTheme="majorHAnsi" w:eastAsia="Calibri" w:hAnsiTheme="majorHAnsi" w:cs="Times New Roman"/>
        </w:rPr>
        <w:t>,</w:t>
      </w:r>
      <w:r w:rsidRPr="00C102FA">
        <w:rPr>
          <w:rFonts w:asciiTheme="majorHAnsi" w:eastAsia="Calibri" w:hAnsiTheme="majorHAnsi" w:cs="Times New Roman"/>
        </w:rPr>
        <w:t xml:space="preserve"> complejos</w:t>
      </w:r>
      <w:r>
        <w:rPr>
          <w:rFonts w:asciiTheme="majorHAnsi" w:eastAsia="Calibri" w:hAnsiTheme="majorHAnsi" w:cs="Times New Roman"/>
        </w:rPr>
        <w:t xml:space="preserve"> o diversos</w:t>
      </w:r>
      <w:r w:rsidRPr="00C102FA">
        <w:rPr>
          <w:rFonts w:asciiTheme="majorHAnsi" w:eastAsia="Calibri" w:hAnsiTheme="majorHAnsi" w:cs="Times New Roman"/>
        </w:rPr>
        <w:t>, el órgano garante puede adoptar instrumentos de exposición que sistematicen todos los elementos. Criterio utilizado en las resoluciones 01863/INFOEM/IP/RR/2015, 00048/INFOEM/IP/RR/2016 y acumulados.</w:t>
      </w:r>
    </w:p>
  </w:footnote>
  <w:footnote w:id="2">
    <w:p w14:paraId="5D1A4F7D" w14:textId="41CF185A" w:rsidR="00E25313" w:rsidRDefault="00E25313">
      <w:pPr>
        <w:pStyle w:val="Textonotapie"/>
      </w:pPr>
      <w:r>
        <w:rPr>
          <w:rStyle w:val="Refdenotaalpie"/>
        </w:rPr>
        <w:footnoteRef/>
      </w:r>
      <w:r>
        <w:t xml:space="preserve">Consultable en la página electrónica </w:t>
      </w:r>
    </w:p>
  </w:footnote>
  <w:footnote w:id="3">
    <w:p w14:paraId="0C06DA54" w14:textId="77777777" w:rsidR="00E25313" w:rsidRDefault="00E25313" w:rsidP="001D2F66">
      <w:pPr>
        <w:pStyle w:val="Textonotapie"/>
      </w:pPr>
      <w:r>
        <w:rPr>
          <w:rStyle w:val="Refdenotaalpie"/>
        </w:rPr>
        <w:footnoteRef/>
      </w:r>
      <w:r>
        <w:t xml:space="preserve"> </w:t>
      </w:r>
      <w:r w:rsidRPr="006667ED">
        <w:rPr>
          <w:rFonts w:cs="Arial"/>
          <w:color w:val="222222"/>
          <w:szCs w:val="24"/>
        </w:rPr>
        <w:t>Lo anterior es incluso un requerimiento del sistema interamericano de protección a los derechos humanos. </w:t>
      </w:r>
      <w:r w:rsidRPr="006667ED">
        <w:rPr>
          <w:rFonts w:cs="Arial"/>
          <w:i/>
          <w:iCs/>
          <w:color w:val="222222"/>
          <w:szCs w:val="24"/>
        </w:rPr>
        <w:t>Ibídem</w:t>
      </w:r>
      <w:r w:rsidRPr="006667ED">
        <w:rPr>
          <w:rFonts w:cs="Arial"/>
          <w:color w:val="222222"/>
          <w:szCs w:val="24"/>
        </w:rPr>
        <w:t>. Párr. 113.</w:t>
      </w:r>
    </w:p>
  </w:footnote>
  <w:footnote w:id="4">
    <w:p w14:paraId="153B1381" w14:textId="77777777" w:rsidR="00861394" w:rsidRPr="001D5FB5" w:rsidRDefault="00861394" w:rsidP="00861394">
      <w:pPr>
        <w:pStyle w:val="Textonotapie"/>
        <w:rPr>
          <w:lang w:val="es-ES"/>
        </w:rPr>
      </w:pPr>
      <w:r w:rsidRPr="001D5FB5">
        <w:rPr>
          <w:rStyle w:val="Refdenotaalpie"/>
          <w:color w:val="000000" w:themeColor="text1"/>
        </w:rPr>
        <w:footnoteRef/>
      </w:r>
      <w:r w:rsidRPr="001D5FB5">
        <w:rPr>
          <w:color w:val="000000" w:themeColor="text1"/>
        </w:rPr>
        <w:t xml:space="preserve"> </w:t>
      </w:r>
      <w:r w:rsidRPr="001D5FB5">
        <w:rPr>
          <w:color w:val="000000" w:themeColor="text1"/>
          <w:sz w:val="16"/>
          <w:szCs w:val="16"/>
          <w:shd w:val="clear" w:color="auto" w:fill="FFFFFF"/>
        </w:rPr>
        <w:t>VILLANUEVA VILLANUEVA Ernesto. Derecho de la Información, Ed. Porrúa.S.A., México. 2006. p. 270.</w:t>
      </w:r>
    </w:p>
  </w:footnote>
  <w:footnote w:id="5">
    <w:p w14:paraId="73C6838E" w14:textId="77777777" w:rsidR="00920E6E" w:rsidRPr="00446878" w:rsidRDefault="00920E6E" w:rsidP="00920E6E">
      <w:pPr>
        <w:autoSpaceDE w:val="0"/>
        <w:autoSpaceDN w:val="0"/>
        <w:adjustRightInd w:val="0"/>
        <w:spacing w:line="276" w:lineRule="auto"/>
        <w:jc w:val="both"/>
        <w:rPr>
          <w:rFonts w:asciiTheme="majorHAnsi" w:hAnsiTheme="majorHAnsi" w:cs="Arial"/>
          <w:sz w:val="20"/>
          <w:szCs w:val="20"/>
        </w:rPr>
      </w:pPr>
      <w:r>
        <w:rPr>
          <w:rStyle w:val="Refdenotaalpie"/>
        </w:rPr>
        <w:footnoteRef/>
      </w:r>
      <w:r>
        <w:t xml:space="preserve"> </w:t>
      </w:r>
      <w:r w:rsidRPr="00446878">
        <w:rPr>
          <w:rFonts w:asciiTheme="majorHAnsi" w:hAnsiTheme="majorHAnsi" w:cs="Arial"/>
          <w:b/>
          <w:bCs/>
          <w:sz w:val="20"/>
          <w:szCs w:val="20"/>
        </w:rPr>
        <w:t xml:space="preserve">Artículo 122. </w:t>
      </w:r>
      <w:r w:rsidRPr="00446878">
        <w:rPr>
          <w:rFonts w:asciiTheme="majorHAnsi" w:hAnsiTheme="majorHAnsi" w:cs="Arial"/>
          <w:sz w:val="20"/>
          <w:szCs w:val="20"/>
        </w:rPr>
        <w:t>La clasificación es el proceso mediante el cual el sujeto obligado determina que la información en su poder actualiza alguno de los supuestos de reserva o confidencialidad, de conformidad con lo dispuesto en el presente título.</w:t>
      </w:r>
    </w:p>
    <w:p w14:paraId="21B1C876" w14:textId="77777777" w:rsidR="00920E6E" w:rsidRPr="00446878" w:rsidRDefault="00920E6E" w:rsidP="00920E6E">
      <w:pPr>
        <w:autoSpaceDE w:val="0"/>
        <w:autoSpaceDN w:val="0"/>
        <w:adjustRightInd w:val="0"/>
        <w:spacing w:line="276" w:lineRule="auto"/>
        <w:jc w:val="both"/>
        <w:rPr>
          <w:rFonts w:asciiTheme="majorHAnsi" w:hAnsiTheme="majorHAnsi" w:cs="Arial"/>
          <w:sz w:val="20"/>
          <w:szCs w:val="20"/>
        </w:rPr>
      </w:pPr>
      <w:r w:rsidRPr="00446878">
        <w:rPr>
          <w:rFonts w:asciiTheme="majorHAnsi" w:hAnsiTheme="majorHAnsi" w:cs="Arial"/>
          <w:sz w:val="20"/>
          <w:szCs w:val="20"/>
        </w:rPr>
        <w:t>Los supuestos de reserva o confidencialidad previstos en las leyes deberán ser acordes con las bases, principios y disposiciones establecidos en la Ley General y, en ningún caso, podrán contravenirla.</w:t>
      </w:r>
    </w:p>
    <w:p w14:paraId="3C6423AB" w14:textId="77777777" w:rsidR="00920E6E" w:rsidRPr="00446878" w:rsidRDefault="00920E6E" w:rsidP="00920E6E">
      <w:pPr>
        <w:autoSpaceDE w:val="0"/>
        <w:autoSpaceDN w:val="0"/>
        <w:adjustRightInd w:val="0"/>
        <w:spacing w:line="276" w:lineRule="auto"/>
        <w:jc w:val="both"/>
        <w:rPr>
          <w:rFonts w:asciiTheme="majorHAnsi" w:hAnsiTheme="majorHAnsi" w:cs="Arial"/>
          <w:sz w:val="20"/>
          <w:szCs w:val="20"/>
        </w:rPr>
      </w:pPr>
      <w:r w:rsidRPr="00446878">
        <w:rPr>
          <w:rFonts w:asciiTheme="majorHAnsi" w:hAnsiTheme="majorHAnsi" w:cs="Arial"/>
          <w:sz w:val="20"/>
          <w:szCs w:val="20"/>
        </w:rPr>
        <w:t>Los titulares de las áreas de los sujetos obligados serán los responsables de clasificar la información, de conformidad con lo dispuesto en la presente Ley y demás disposiciones jurídicas aplicables.</w:t>
      </w:r>
    </w:p>
    <w:p w14:paraId="68B937ED" w14:textId="77777777" w:rsidR="00920E6E" w:rsidRPr="00446878" w:rsidRDefault="00920E6E" w:rsidP="00920E6E">
      <w:pPr>
        <w:autoSpaceDE w:val="0"/>
        <w:autoSpaceDN w:val="0"/>
        <w:adjustRightInd w:val="0"/>
        <w:spacing w:line="276" w:lineRule="auto"/>
        <w:jc w:val="both"/>
        <w:rPr>
          <w:rFonts w:asciiTheme="majorHAnsi" w:hAnsiTheme="majorHAnsi"/>
          <w:sz w:val="20"/>
          <w:szCs w:val="20"/>
        </w:rPr>
      </w:pPr>
    </w:p>
  </w:footnote>
  <w:footnote w:id="6">
    <w:p w14:paraId="24A37304" w14:textId="77777777" w:rsidR="00920E6E" w:rsidRPr="00446878" w:rsidRDefault="00920E6E" w:rsidP="00920E6E">
      <w:pPr>
        <w:autoSpaceDE w:val="0"/>
        <w:autoSpaceDN w:val="0"/>
        <w:adjustRightInd w:val="0"/>
        <w:spacing w:line="276" w:lineRule="auto"/>
        <w:jc w:val="both"/>
        <w:rPr>
          <w:rFonts w:asciiTheme="majorHAnsi" w:hAnsiTheme="majorHAnsi" w:cs="Arial"/>
          <w:sz w:val="20"/>
          <w:szCs w:val="20"/>
        </w:rPr>
      </w:pPr>
      <w:r w:rsidRPr="00446878">
        <w:rPr>
          <w:rStyle w:val="Refdenotaalpie"/>
          <w:rFonts w:asciiTheme="majorHAnsi" w:hAnsiTheme="majorHAnsi"/>
          <w:sz w:val="20"/>
          <w:szCs w:val="20"/>
        </w:rPr>
        <w:footnoteRef/>
      </w:r>
      <w:r w:rsidRPr="00446878">
        <w:rPr>
          <w:rFonts w:asciiTheme="majorHAnsi" w:hAnsiTheme="majorHAnsi"/>
          <w:sz w:val="20"/>
          <w:szCs w:val="20"/>
        </w:rPr>
        <w:t xml:space="preserve"> </w:t>
      </w:r>
      <w:r w:rsidRPr="00446878">
        <w:rPr>
          <w:rFonts w:asciiTheme="majorHAnsi" w:hAnsiTheme="majorHAnsi" w:cs="Arial"/>
          <w:b/>
          <w:sz w:val="20"/>
          <w:szCs w:val="20"/>
        </w:rPr>
        <w:t>Artículo 135.</w:t>
      </w:r>
      <w:r w:rsidRPr="00446878">
        <w:rPr>
          <w:rFonts w:asciiTheme="majorHAnsi" w:hAnsiTheme="majorHAnsi" w:cs="Arial"/>
          <w:sz w:val="20"/>
          <w:szCs w:val="20"/>
        </w:rPr>
        <w:t xml:space="preserve"> Los lineamientos generales que se emitan al respecto en materia de clasificación de la información reservada y confidencial y, para la elaboración de versiones públicas, serán de observancia obligatoria para los sujetos obligados.</w:t>
      </w:r>
    </w:p>
  </w:footnote>
  <w:footnote w:id="7">
    <w:p w14:paraId="2D8013DB" w14:textId="77777777" w:rsidR="00920E6E" w:rsidRPr="00426457" w:rsidRDefault="00920E6E" w:rsidP="00920E6E">
      <w:pPr>
        <w:pStyle w:val="Textonotapie"/>
        <w:spacing w:line="360" w:lineRule="auto"/>
        <w:jc w:val="both"/>
        <w:rPr>
          <w:sz w:val="18"/>
          <w:szCs w:val="18"/>
        </w:rPr>
      </w:pPr>
      <w:r w:rsidRPr="00426457">
        <w:rPr>
          <w:rStyle w:val="Refdenotaalpie"/>
          <w:sz w:val="14"/>
        </w:rPr>
        <w:footnoteRef/>
      </w:r>
      <w:r w:rsidRPr="00426457">
        <w:rPr>
          <w:sz w:val="14"/>
          <w:lang w:val="es-ES"/>
        </w:rPr>
        <w:t xml:space="preserve"> </w:t>
      </w:r>
      <w:r w:rsidRPr="00426457">
        <w:rPr>
          <w:b/>
          <w:sz w:val="18"/>
          <w:szCs w:val="18"/>
        </w:rPr>
        <w:t>RESTRICCIONES A LOS DERECHOS FUNDAMENTALES. ELEMENTOS QUE EL JUEZ CONSTITUCIONAL DEBE TOMAR EN CUENTA PARA CONSIDERARLAS VÁLIDAS.</w:t>
      </w:r>
      <w:r w:rsidRPr="00426457">
        <w:rPr>
          <w:sz w:val="18"/>
          <w:szCs w:val="18"/>
        </w:rPr>
        <w:t xml:space="preserve"> Ningún derecho fundamental es absoluto y en esa medida todos admiten restricciones. Sin embargo, la regulación de dichas restricciones no puede ser arbitraria. Para que las medidas emitidas por el legislador ordinario con el propósito de restringir los derechos fundamentales sean válidas, deben satisfacer al menos los siguientes requisitos: a) ser admisibles dentro del ámbito constitucional, esto es, el legislador ordinario sólo puede restringir o suspender el ejercicio de las garantías individuales con objetivos que puedan enmarcarse dentro de las previsiones de la Carta Magna; b) ser necesarias para asegurar la obtención de los fines que fundamentan la restricción constitucional, es decir, no basta que la restricción sea en términos amplios útil para la obtención de esos objetivos, sino que debe ser la idónea para su realización,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persecución de un objetivo constitucional no puede hacerse a costa de una afectación innecesaria o desmedida a otros bienes y derechos constitucionalmente protegidos. Así́, el juzgador debe determinar en cada caso si la restricción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y en tercer lugar, si la distinción legislativa se encuentra dentro de las opciones de tratamiento que pueden considerarse proporcionales. De igual manera, las restricciones deberán estar en consonancia con la ley, incluidas las normas internacionales de derechos humanos, y ser compatibles con la naturaleza de los derechos amparados por la Constitución, en aras de la consecución de los objetivos legítimos perseguidos, y ser estrictamente necesarias para promover el bienestar general en una sociedad democrática. </w:t>
      </w:r>
    </w:p>
    <w:p w14:paraId="25868344" w14:textId="77777777" w:rsidR="00920E6E" w:rsidRPr="00426457" w:rsidRDefault="00920E6E" w:rsidP="00920E6E">
      <w:pPr>
        <w:pStyle w:val="Textonotapie"/>
        <w:spacing w:line="360" w:lineRule="auto"/>
        <w:jc w:val="both"/>
        <w:rPr>
          <w:sz w:val="18"/>
          <w:szCs w:val="18"/>
        </w:rPr>
      </w:pPr>
      <w:r w:rsidRPr="00426457">
        <w:rPr>
          <w:sz w:val="18"/>
          <w:szCs w:val="18"/>
        </w:rPr>
        <w:t xml:space="preserve">1a./J. 2/2012 (9a.). Primera Sala. Decima Época. Semanario Judicial de la Federación y su Gaceta. Libro V, Febrero de 2012, Pág. 533.  </w:t>
      </w:r>
    </w:p>
  </w:footnote>
  <w:footnote w:id="8">
    <w:p w14:paraId="34667EDA" w14:textId="77777777" w:rsidR="00920E6E" w:rsidRPr="00426457" w:rsidRDefault="00920E6E" w:rsidP="00920E6E">
      <w:pPr>
        <w:pStyle w:val="Textonotapie"/>
        <w:spacing w:line="360" w:lineRule="auto"/>
        <w:jc w:val="both"/>
        <w:rPr>
          <w:sz w:val="18"/>
          <w:szCs w:val="18"/>
          <w:lang w:val="es-ES"/>
        </w:rPr>
      </w:pPr>
      <w:r w:rsidRPr="00426457">
        <w:rPr>
          <w:rStyle w:val="Refdenotaalpie"/>
          <w:sz w:val="18"/>
          <w:szCs w:val="18"/>
        </w:rPr>
        <w:footnoteRef/>
      </w:r>
      <w:r w:rsidRPr="00426457">
        <w:rPr>
          <w:sz w:val="18"/>
          <w:szCs w:val="18"/>
        </w:rP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sidRPr="00426457">
        <w:rPr>
          <w:i/>
          <w:sz w:val="18"/>
          <w:szCs w:val="18"/>
        </w:rPr>
        <w:t>Marco jurídico interamericano sobre el derecho a la libertad de expresión</w:t>
      </w:r>
      <w:r w:rsidRPr="00426457">
        <w:rPr>
          <w:sz w:val="18"/>
          <w:szCs w:val="18"/>
        </w:rPr>
        <w:t xml:space="preserve">. Párr. 67. </w:t>
      </w:r>
    </w:p>
  </w:footnote>
  <w:footnote w:id="9">
    <w:p w14:paraId="5B1D3F0B" w14:textId="77777777" w:rsidR="00920E6E" w:rsidRPr="00034B44" w:rsidRDefault="00920E6E" w:rsidP="00920E6E">
      <w:pPr>
        <w:pStyle w:val="Textonotapie"/>
        <w:jc w:val="both"/>
        <w:rPr>
          <w:rFonts w:ascii="Palatino Linotype" w:hAnsi="Palatino Linotype"/>
          <w:sz w:val="18"/>
          <w:lang w:val="es-ES"/>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034B44">
        <w:rPr>
          <w:rFonts w:ascii="Palatino Linotype" w:hAnsi="Palatino Linotype"/>
          <w:sz w:val="18"/>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0C087EA3" w14:textId="77777777" w:rsidR="00920E6E" w:rsidRPr="00034B44" w:rsidRDefault="00920E6E" w:rsidP="00920E6E">
      <w:pPr>
        <w:pStyle w:val="Textonotapie"/>
        <w:jc w:val="both"/>
        <w:rPr>
          <w:rFonts w:ascii="Palatino Linotype" w:hAnsi="Palatino Linotype"/>
          <w:sz w:val="18"/>
          <w:lang w:val="es-ES"/>
        </w:rPr>
      </w:pPr>
      <w:r w:rsidRPr="00034B44">
        <w:rPr>
          <w:rFonts w:ascii="Palatino Linotype" w:hAnsi="Palatino Linotype"/>
          <w:sz w:val="18"/>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3CEEED6F" w14:textId="77777777" w:rsidR="00920E6E" w:rsidRPr="00034B44" w:rsidRDefault="00920E6E" w:rsidP="00920E6E">
      <w:pPr>
        <w:pStyle w:val="Textonotapie"/>
        <w:jc w:val="both"/>
        <w:rPr>
          <w:rFonts w:ascii="Palatino Linotype" w:hAnsi="Palatino Linotype"/>
          <w:sz w:val="18"/>
          <w:lang w:val="es-ES"/>
        </w:rPr>
      </w:pPr>
      <w:r w:rsidRPr="00034B44">
        <w:rPr>
          <w:rFonts w:ascii="Palatino Linotype" w:hAnsi="Palatino Linotype"/>
          <w:sz w:val="18"/>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Pp 1-19. </w:t>
      </w:r>
    </w:p>
  </w:footnote>
  <w:footnote w:id="10">
    <w:p w14:paraId="35179A56" w14:textId="77777777" w:rsidR="00920E6E" w:rsidRPr="00034B44" w:rsidRDefault="00920E6E" w:rsidP="00920E6E">
      <w:pPr>
        <w:pStyle w:val="Textonotapie"/>
        <w:jc w:val="both"/>
        <w:rPr>
          <w:rFonts w:ascii="Palatino Linotype" w:hAnsi="Palatino Linotype"/>
          <w:sz w:val="18"/>
          <w:lang w:val="es-ES"/>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034B44">
        <w:rPr>
          <w:rFonts w:ascii="Palatino Linotype" w:hAnsi="Palatino Linotype"/>
          <w:sz w:val="18"/>
          <w:lang w:val="es-ES"/>
        </w:rPr>
        <w:t>Tribunales Colegiados de Circuito. Novena Epoca. Semanario Judicial de la Federación y su Gaceta. Tomo III, marzo de 1996. Pág 769. Consultado en http://sjf.scjn.gob.mx/sjfsist/Documentos/Tesis/203/203143.pdf  el viernes 16 de junio de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F5F23E" w14:textId="390690E5" w:rsidR="00E25313" w:rsidRDefault="00E25313">
    <w:pPr>
      <w:pStyle w:val="Encabezado"/>
    </w:pPr>
  </w:p>
  <w:tbl>
    <w:tblPr>
      <w:tblStyle w:val="Tablaconcuadrcula"/>
      <w:tblW w:w="637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3826"/>
    </w:tblGrid>
    <w:tr w:rsidR="00E25313" w:rsidRPr="00E84957" w14:paraId="07F2896E" w14:textId="77777777" w:rsidTr="003116A6">
      <w:trPr>
        <w:trHeight w:val="138"/>
        <w:jc w:val="right"/>
      </w:trPr>
      <w:tc>
        <w:tcPr>
          <w:tcW w:w="2552" w:type="dxa"/>
          <w:vAlign w:val="center"/>
        </w:tcPr>
        <w:p w14:paraId="4A5B1974" w14:textId="77777777" w:rsidR="00E25313" w:rsidRPr="00E84957" w:rsidRDefault="00E25313" w:rsidP="00587366">
          <w:pPr>
            <w:rPr>
              <w:rFonts w:ascii="Palatino Linotype" w:hAnsi="Palatino Linotype"/>
              <w:b/>
              <w:sz w:val="22"/>
              <w:szCs w:val="22"/>
            </w:rPr>
          </w:pPr>
          <w:r w:rsidRPr="00E84957">
            <w:rPr>
              <w:rFonts w:ascii="Palatino Linotype" w:hAnsi="Palatino Linotype"/>
              <w:b/>
              <w:sz w:val="22"/>
              <w:szCs w:val="22"/>
            </w:rPr>
            <w:t>Recurso de revisión:</w:t>
          </w:r>
        </w:p>
      </w:tc>
      <w:tc>
        <w:tcPr>
          <w:tcW w:w="3826" w:type="dxa"/>
          <w:vAlign w:val="center"/>
        </w:tcPr>
        <w:p w14:paraId="3A05B4B6" w14:textId="4149EB01" w:rsidR="00E25313" w:rsidRPr="002D0ECC" w:rsidRDefault="00E25313" w:rsidP="00113950">
          <w:pPr>
            <w:pStyle w:val="Encabezado"/>
            <w:jc w:val="right"/>
            <w:rPr>
              <w:rFonts w:ascii="Palatino Linotype" w:hAnsi="Palatino Linotype"/>
              <w:b/>
              <w:sz w:val="20"/>
              <w:szCs w:val="20"/>
            </w:rPr>
          </w:pPr>
          <w:r>
            <w:rPr>
              <w:rFonts w:ascii="Palatino Linotype" w:hAnsi="Palatino Linotype" w:cs="Arial"/>
              <w:b/>
              <w:bCs/>
              <w:sz w:val="20"/>
              <w:szCs w:val="20"/>
              <w:lang w:eastAsia="es-MX"/>
            </w:rPr>
            <w:t>09098/INFOEM/IP/RR/2019</w:t>
          </w:r>
        </w:p>
      </w:tc>
    </w:tr>
    <w:tr w:rsidR="00E25313" w:rsidRPr="00C93068" w14:paraId="095EB01B" w14:textId="77777777" w:rsidTr="003116A6">
      <w:trPr>
        <w:trHeight w:val="321"/>
        <w:jc w:val="right"/>
      </w:trPr>
      <w:tc>
        <w:tcPr>
          <w:tcW w:w="2552" w:type="dxa"/>
          <w:vAlign w:val="center"/>
        </w:tcPr>
        <w:p w14:paraId="6E000A51" w14:textId="4DA3E277" w:rsidR="00E25313" w:rsidRPr="00E84957" w:rsidRDefault="00E25313" w:rsidP="00114C6B">
          <w:pPr>
            <w:rPr>
              <w:rFonts w:ascii="Palatino Linotype" w:hAnsi="Palatino Linotype"/>
              <w:b/>
              <w:sz w:val="22"/>
              <w:szCs w:val="22"/>
            </w:rPr>
          </w:pPr>
          <w:r w:rsidRPr="00E84957">
            <w:rPr>
              <w:rFonts w:ascii="Palatino Linotype" w:hAnsi="Palatino Linotype"/>
              <w:b/>
              <w:sz w:val="22"/>
              <w:szCs w:val="22"/>
            </w:rPr>
            <w:t>Sujeto obligado:</w:t>
          </w:r>
        </w:p>
      </w:tc>
      <w:tc>
        <w:tcPr>
          <w:tcW w:w="3826" w:type="dxa"/>
          <w:vAlign w:val="center"/>
        </w:tcPr>
        <w:p w14:paraId="51492658" w14:textId="77777777" w:rsidR="00E25313" w:rsidRDefault="00E25313" w:rsidP="006D3FCE">
          <w:pPr>
            <w:pStyle w:val="Encabezado"/>
            <w:jc w:val="right"/>
            <w:rPr>
              <w:rFonts w:ascii="Palatino Linotype" w:hAnsi="Palatino Linotype"/>
              <w:b/>
              <w:bCs/>
              <w:color w:val="000000"/>
              <w:sz w:val="18"/>
              <w:szCs w:val="18"/>
            </w:rPr>
          </w:pPr>
          <w:r>
            <w:rPr>
              <w:rFonts w:ascii="Palatino Linotype" w:hAnsi="Palatino Linotype"/>
              <w:b/>
              <w:bCs/>
              <w:color w:val="000000"/>
              <w:sz w:val="18"/>
              <w:szCs w:val="18"/>
            </w:rPr>
            <w:t xml:space="preserve">Comisión de Derechos Humanos </w:t>
          </w:r>
        </w:p>
        <w:p w14:paraId="07560085" w14:textId="7E50E285" w:rsidR="00E25313" w:rsidRPr="00C93068" w:rsidRDefault="00E25313" w:rsidP="006D3FCE">
          <w:pPr>
            <w:pStyle w:val="Encabezado"/>
            <w:jc w:val="right"/>
            <w:rPr>
              <w:rFonts w:ascii="Palatino Linotype" w:hAnsi="Palatino Linotype"/>
              <w:b/>
              <w:sz w:val="18"/>
              <w:szCs w:val="18"/>
            </w:rPr>
          </w:pPr>
          <w:r>
            <w:rPr>
              <w:rFonts w:ascii="Palatino Linotype" w:hAnsi="Palatino Linotype"/>
              <w:b/>
              <w:bCs/>
              <w:color w:val="000000"/>
              <w:sz w:val="18"/>
              <w:szCs w:val="18"/>
            </w:rPr>
            <w:t>del Estado de México</w:t>
          </w:r>
        </w:p>
      </w:tc>
    </w:tr>
    <w:tr w:rsidR="00E25313" w:rsidRPr="00E84957" w14:paraId="14F3CE0D" w14:textId="77777777" w:rsidTr="003116A6">
      <w:trPr>
        <w:trHeight w:val="321"/>
        <w:jc w:val="right"/>
      </w:trPr>
      <w:tc>
        <w:tcPr>
          <w:tcW w:w="2552" w:type="dxa"/>
          <w:vAlign w:val="center"/>
        </w:tcPr>
        <w:p w14:paraId="12248485" w14:textId="081B3348" w:rsidR="00E25313" w:rsidRPr="00E84957" w:rsidRDefault="00E25313" w:rsidP="00114C6B">
          <w:pPr>
            <w:rPr>
              <w:rFonts w:ascii="Palatino Linotype" w:hAnsi="Palatino Linotype"/>
              <w:b/>
              <w:sz w:val="22"/>
              <w:szCs w:val="22"/>
            </w:rPr>
          </w:pPr>
          <w:r w:rsidRPr="00E84957">
            <w:rPr>
              <w:rFonts w:ascii="Palatino Linotype" w:hAnsi="Palatino Linotype"/>
              <w:b/>
              <w:sz w:val="22"/>
              <w:szCs w:val="22"/>
            </w:rPr>
            <w:t>Comisionado ponente:</w:t>
          </w:r>
        </w:p>
      </w:tc>
      <w:tc>
        <w:tcPr>
          <w:tcW w:w="3826" w:type="dxa"/>
          <w:vAlign w:val="center"/>
        </w:tcPr>
        <w:p w14:paraId="7F810D9A" w14:textId="492F93C6" w:rsidR="00E25313" w:rsidRPr="002D0ECC" w:rsidRDefault="00E25313" w:rsidP="00114C6B">
          <w:pPr>
            <w:pStyle w:val="Encabezado"/>
            <w:jc w:val="right"/>
            <w:rPr>
              <w:rFonts w:ascii="Palatino Linotype" w:hAnsi="Palatino Linotype"/>
              <w:b/>
              <w:sz w:val="20"/>
              <w:szCs w:val="20"/>
            </w:rPr>
          </w:pPr>
          <w:r w:rsidRPr="002D0ECC">
            <w:rPr>
              <w:rFonts w:ascii="Palatino Linotype" w:hAnsi="Palatino Linotype"/>
              <w:b/>
              <w:sz w:val="20"/>
              <w:szCs w:val="20"/>
            </w:rPr>
            <w:t>José Guadalupe Luna Hernández</w:t>
          </w:r>
        </w:p>
      </w:tc>
    </w:tr>
  </w:tbl>
  <w:p w14:paraId="1096C1B8" w14:textId="77777777" w:rsidR="00E25313" w:rsidRDefault="00E25313" w:rsidP="00587366">
    <w:pPr>
      <w:pStyle w:val="Encabezado"/>
    </w:pPr>
  </w:p>
  <w:p w14:paraId="01FCACBC" w14:textId="77777777" w:rsidR="00E25313" w:rsidRDefault="00E2531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17C796" w14:textId="5AC2D56D" w:rsidR="00E25313" w:rsidRDefault="00E25313" w:rsidP="000B5D79">
    <w:pPr>
      <w:pStyle w:val="Encabezado"/>
      <w:tabs>
        <w:tab w:val="clear" w:pos="4252"/>
        <w:tab w:val="clear" w:pos="8504"/>
        <w:tab w:val="left" w:pos="3103"/>
      </w:tabs>
    </w:pPr>
    <w:r>
      <w:tab/>
    </w:r>
    <w:r>
      <w:tab/>
    </w:r>
  </w:p>
  <w:tbl>
    <w:tblPr>
      <w:tblStyle w:val="Tablaconcuadrcula"/>
      <w:tblW w:w="6029" w:type="dxa"/>
      <w:tblInd w:w="279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32"/>
      <w:gridCol w:w="236"/>
      <w:gridCol w:w="3261"/>
    </w:tblGrid>
    <w:tr w:rsidR="00E25313" w:rsidRPr="00182113" w14:paraId="665387B4" w14:textId="77777777" w:rsidTr="000B5D79">
      <w:trPr>
        <w:trHeight w:val="138"/>
      </w:trPr>
      <w:tc>
        <w:tcPr>
          <w:tcW w:w="2532" w:type="dxa"/>
          <w:vAlign w:val="center"/>
        </w:tcPr>
        <w:p w14:paraId="01509DD6" w14:textId="77777777" w:rsidR="00E25313" w:rsidRPr="00182113" w:rsidRDefault="00E25313" w:rsidP="000B5D79">
          <w:pPr>
            <w:rPr>
              <w:rFonts w:ascii="Palatino Linotype" w:hAnsi="Palatino Linotype"/>
              <w:b/>
              <w:sz w:val="22"/>
              <w:szCs w:val="22"/>
            </w:rPr>
          </w:pPr>
          <w:r w:rsidRPr="00182113">
            <w:rPr>
              <w:rFonts w:ascii="Palatino Linotype" w:hAnsi="Palatino Linotype"/>
              <w:b/>
              <w:sz w:val="22"/>
              <w:szCs w:val="22"/>
            </w:rPr>
            <w:t>Recurso de revisión:</w:t>
          </w:r>
        </w:p>
      </w:tc>
      <w:tc>
        <w:tcPr>
          <w:tcW w:w="236" w:type="dxa"/>
          <w:vAlign w:val="center"/>
        </w:tcPr>
        <w:p w14:paraId="0CC3D424" w14:textId="77777777" w:rsidR="00E25313" w:rsidRPr="00182113" w:rsidRDefault="00E25313" w:rsidP="000B5D79">
          <w:pPr>
            <w:pStyle w:val="Encabezado"/>
            <w:jc w:val="center"/>
            <w:rPr>
              <w:rFonts w:ascii="Palatino Linotype" w:hAnsi="Palatino Linotype"/>
              <w:b/>
              <w:sz w:val="22"/>
              <w:szCs w:val="22"/>
            </w:rPr>
          </w:pPr>
        </w:p>
      </w:tc>
      <w:tc>
        <w:tcPr>
          <w:tcW w:w="3261" w:type="dxa"/>
          <w:vAlign w:val="center"/>
        </w:tcPr>
        <w:p w14:paraId="4FAE21CD" w14:textId="12E220BA" w:rsidR="00E25313" w:rsidRPr="00182113" w:rsidRDefault="00E25313" w:rsidP="00113950">
          <w:pPr>
            <w:pStyle w:val="Encabezado"/>
            <w:rPr>
              <w:rFonts w:ascii="Palatino Linotype" w:hAnsi="Palatino Linotype"/>
              <w:b/>
              <w:sz w:val="22"/>
              <w:szCs w:val="22"/>
            </w:rPr>
          </w:pPr>
          <w:r>
            <w:rPr>
              <w:rFonts w:ascii="Palatino Linotype" w:hAnsi="Palatino Linotype" w:cs="Arial"/>
              <w:b/>
              <w:bCs/>
              <w:sz w:val="20"/>
              <w:szCs w:val="20"/>
              <w:lang w:eastAsia="es-MX"/>
            </w:rPr>
            <w:t>09098/INFOEM/IP/RR/2019</w:t>
          </w:r>
        </w:p>
      </w:tc>
    </w:tr>
    <w:tr w:rsidR="00E25313" w:rsidRPr="00182113" w14:paraId="78C9F2F4" w14:textId="77777777" w:rsidTr="000B5D79">
      <w:trPr>
        <w:trHeight w:val="227"/>
      </w:trPr>
      <w:tc>
        <w:tcPr>
          <w:tcW w:w="2532" w:type="dxa"/>
          <w:vAlign w:val="center"/>
        </w:tcPr>
        <w:p w14:paraId="2D89FED3" w14:textId="77777777" w:rsidR="00E25313" w:rsidRPr="00182113" w:rsidRDefault="00E25313" w:rsidP="000B5D79">
          <w:pPr>
            <w:rPr>
              <w:rFonts w:ascii="Palatino Linotype" w:hAnsi="Palatino Linotype"/>
              <w:b/>
              <w:sz w:val="22"/>
              <w:szCs w:val="22"/>
            </w:rPr>
          </w:pPr>
          <w:r w:rsidRPr="00182113">
            <w:rPr>
              <w:rFonts w:ascii="Palatino Linotype" w:hAnsi="Palatino Linotype"/>
              <w:b/>
              <w:sz w:val="22"/>
              <w:szCs w:val="22"/>
            </w:rPr>
            <w:t>Recurrente:</w:t>
          </w:r>
        </w:p>
      </w:tc>
      <w:tc>
        <w:tcPr>
          <w:tcW w:w="236" w:type="dxa"/>
          <w:vAlign w:val="center"/>
        </w:tcPr>
        <w:p w14:paraId="2201B6DA" w14:textId="77777777" w:rsidR="00E25313" w:rsidRPr="00182113" w:rsidRDefault="00E25313" w:rsidP="000B5D79">
          <w:pPr>
            <w:pStyle w:val="Encabezado"/>
            <w:jc w:val="center"/>
            <w:rPr>
              <w:rFonts w:ascii="Palatino Linotype" w:hAnsi="Palatino Linotype"/>
              <w:b/>
              <w:sz w:val="22"/>
              <w:szCs w:val="22"/>
            </w:rPr>
          </w:pPr>
        </w:p>
      </w:tc>
      <w:tc>
        <w:tcPr>
          <w:tcW w:w="3261" w:type="dxa"/>
          <w:vAlign w:val="center"/>
        </w:tcPr>
        <w:p w14:paraId="36D086A3" w14:textId="7F5D854E" w:rsidR="00E25313" w:rsidRPr="007100C9" w:rsidRDefault="007100C9" w:rsidP="000B5D79">
          <w:pPr>
            <w:pStyle w:val="Encabezado"/>
            <w:rPr>
              <w:rFonts w:ascii="Palatino Linotype" w:hAnsi="Palatino Linotype"/>
              <w:b/>
              <w:sz w:val="20"/>
              <w:szCs w:val="20"/>
              <w:highlight w:val="black"/>
            </w:rPr>
          </w:pPr>
          <w:bookmarkStart w:id="139" w:name="_Hlk39693258"/>
          <w:r w:rsidRPr="007100C9">
            <w:rPr>
              <w:rFonts w:ascii="Palatino Linotype" w:hAnsi="Palatino Linotype"/>
              <w:b/>
              <w:sz w:val="20"/>
              <w:szCs w:val="20"/>
              <w:highlight w:val="black"/>
            </w:rPr>
            <w:t>Xxxxx Xxxxxx</w:t>
          </w:r>
          <w:bookmarkEnd w:id="139"/>
        </w:p>
      </w:tc>
    </w:tr>
    <w:tr w:rsidR="00E25313" w:rsidRPr="00182113" w14:paraId="1A862673" w14:textId="77777777" w:rsidTr="000B5D79">
      <w:trPr>
        <w:trHeight w:val="232"/>
      </w:trPr>
      <w:tc>
        <w:tcPr>
          <w:tcW w:w="2532" w:type="dxa"/>
          <w:vAlign w:val="center"/>
        </w:tcPr>
        <w:p w14:paraId="767A6F60" w14:textId="77777777" w:rsidR="00E25313" w:rsidRPr="00182113" w:rsidRDefault="00E25313" w:rsidP="000B5D79">
          <w:pPr>
            <w:rPr>
              <w:rFonts w:ascii="Palatino Linotype" w:hAnsi="Palatino Linotype"/>
              <w:b/>
              <w:sz w:val="22"/>
              <w:szCs w:val="22"/>
            </w:rPr>
          </w:pPr>
          <w:r w:rsidRPr="00182113">
            <w:rPr>
              <w:rFonts w:ascii="Palatino Linotype" w:hAnsi="Palatino Linotype"/>
              <w:b/>
              <w:sz w:val="22"/>
              <w:szCs w:val="22"/>
            </w:rPr>
            <w:t>Sujeto obligado:</w:t>
          </w:r>
        </w:p>
      </w:tc>
      <w:tc>
        <w:tcPr>
          <w:tcW w:w="236" w:type="dxa"/>
          <w:vAlign w:val="center"/>
        </w:tcPr>
        <w:p w14:paraId="520FB614" w14:textId="77777777" w:rsidR="00E25313" w:rsidRPr="00182113" w:rsidRDefault="00E25313" w:rsidP="000B5D79">
          <w:pPr>
            <w:pStyle w:val="Encabezado"/>
            <w:jc w:val="center"/>
            <w:rPr>
              <w:rFonts w:ascii="Palatino Linotype" w:hAnsi="Palatino Linotype"/>
              <w:b/>
              <w:sz w:val="22"/>
              <w:szCs w:val="22"/>
            </w:rPr>
          </w:pPr>
        </w:p>
      </w:tc>
      <w:tc>
        <w:tcPr>
          <w:tcW w:w="3261" w:type="dxa"/>
          <w:vAlign w:val="center"/>
        </w:tcPr>
        <w:p w14:paraId="3FC8EF03" w14:textId="6A09EE58" w:rsidR="00E25313" w:rsidRPr="00C93068" w:rsidRDefault="00E25313" w:rsidP="00F41E88">
          <w:pPr>
            <w:pStyle w:val="Encabezado"/>
            <w:rPr>
              <w:rFonts w:ascii="Palatino Linotype" w:hAnsi="Palatino Linotype"/>
              <w:b/>
              <w:sz w:val="18"/>
              <w:szCs w:val="18"/>
            </w:rPr>
          </w:pPr>
          <w:r>
            <w:rPr>
              <w:rFonts w:ascii="Palatino Linotype" w:hAnsi="Palatino Linotype"/>
              <w:b/>
              <w:bCs/>
              <w:color w:val="000000"/>
              <w:sz w:val="18"/>
              <w:szCs w:val="18"/>
            </w:rPr>
            <w:t>Comisión de Derechos Humanos del Estado de México</w:t>
          </w:r>
        </w:p>
      </w:tc>
    </w:tr>
    <w:tr w:rsidR="00E25313" w:rsidRPr="00182113" w14:paraId="4416531B" w14:textId="77777777" w:rsidTr="000B5D79">
      <w:trPr>
        <w:trHeight w:val="320"/>
      </w:trPr>
      <w:tc>
        <w:tcPr>
          <w:tcW w:w="2532" w:type="dxa"/>
          <w:vAlign w:val="center"/>
        </w:tcPr>
        <w:p w14:paraId="277DD3E2" w14:textId="7989BCC5" w:rsidR="00E25313" w:rsidRPr="00182113" w:rsidRDefault="00E25313" w:rsidP="000B5D79">
          <w:pPr>
            <w:rPr>
              <w:rFonts w:ascii="Palatino Linotype" w:hAnsi="Palatino Linotype"/>
              <w:b/>
              <w:sz w:val="22"/>
              <w:szCs w:val="22"/>
            </w:rPr>
          </w:pPr>
          <w:r w:rsidRPr="00182113">
            <w:rPr>
              <w:rFonts w:ascii="Palatino Linotype" w:hAnsi="Palatino Linotype"/>
              <w:b/>
              <w:sz w:val="22"/>
              <w:szCs w:val="22"/>
            </w:rPr>
            <w:t>Comisionado ponente:</w:t>
          </w:r>
        </w:p>
      </w:tc>
      <w:tc>
        <w:tcPr>
          <w:tcW w:w="236" w:type="dxa"/>
          <w:vAlign w:val="center"/>
        </w:tcPr>
        <w:p w14:paraId="2136513B" w14:textId="77777777" w:rsidR="00E25313" w:rsidRPr="00182113" w:rsidRDefault="00E25313" w:rsidP="000B5D79">
          <w:pPr>
            <w:pStyle w:val="Encabezado"/>
            <w:jc w:val="center"/>
            <w:rPr>
              <w:rFonts w:ascii="Palatino Linotype" w:hAnsi="Palatino Linotype"/>
              <w:b/>
              <w:sz w:val="22"/>
              <w:szCs w:val="22"/>
            </w:rPr>
          </w:pPr>
        </w:p>
      </w:tc>
      <w:tc>
        <w:tcPr>
          <w:tcW w:w="3261" w:type="dxa"/>
          <w:vAlign w:val="center"/>
        </w:tcPr>
        <w:p w14:paraId="3BD70CE4" w14:textId="61A13249" w:rsidR="00E25313" w:rsidRPr="00182113" w:rsidRDefault="00E25313" w:rsidP="000B5D79">
          <w:pPr>
            <w:pStyle w:val="Encabezado"/>
            <w:rPr>
              <w:rFonts w:ascii="Palatino Linotype" w:hAnsi="Palatino Linotype"/>
              <w:b/>
              <w:sz w:val="22"/>
              <w:szCs w:val="22"/>
            </w:rPr>
          </w:pPr>
          <w:r w:rsidRPr="002D0ECC">
            <w:rPr>
              <w:rFonts w:ascii="Palatino Linotype" w:hAnsi="Palatino Linotype"/>
              <w:b/>
              <w:sz w:val="20"/>
              <w:szCs w:val="20"/>
            </w:rPr>
            <w:t>José Guadalupe Luna Hernández</w:t>
          </w:r>
        </w:p>
      </w:tc>
    </w:tr>
  </w:tbl>
  <w:p w14:paraId="156B5574" w14:textId="35A2B07E" w:rsidR="00E25313" w:rsidRDefault="00E25313">
    <w:pPr>
      <w:pStyle w:val="Encabezado"/>
    </w:pPr>
  </w:p>
  <w:p w14:paraId="2C496126" w14:textId="77777777" w:rsidR="00E25313" w:rsidRDefault="00E2531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61318C"/>
    <w:multiLevelType w:val="hybridMultilevel"/>
    <w:tmpl w:val="0D0A9C2E"/>
    <w:lvl w:ilvl="0" w:tplc="19DA0D28">
      <w:start w:val="1"/>
      <w:numFmt w:val="lowerLetter"/>
      <w:lvlText w:val="%1)"/>
      <w:lvlJc w:val="left"/>
      <w:pPr>
        <w:ind w:left="720" w:hanging="360"/>
      </w:pPr>
      <w:rPr>
        <w:rFonts w:ascii="Palatino Linotype" w:hAnsi="Palatino Linotype" w:cs="Times New Roman" w:hint="default"/>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683A06"/>
    <w:multiLevelType w:val="hybridMultilevel"/>
    <w:tmpl w:val="79FC247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9CB55B0"/>
    <w:multiLevelType w:val="hybridMultilevel"/>
    <w:tmpl w:val="E1586CBE"/>
    <w:lvl w:ilvl="0" w:tplc="080A0017">
      <w:start w:val="3"/>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C070BBC"/>
    <w:multiLevelType w:val="hybridMultilevel"/>
    <w:tmpl w:val="80802FE4"/>
    <w:lvl w:ilvl="0" w:tplc="19DA0D28">
      <w:start w:val="1"/>
      <w:numFmt w:val="lowerLetter"/>
      <w:lvlText w:val="%1)"/>
      <w:lvlJc w:val="left"/>
      <w:pPr>
        <w:ind w:left="1287" w:hanging="360"/>
      </w:pPr>
      <w:rPr>
        <w:rFonts w:ascii="Palatino Linotype" w:hAnsi="Palatino Linotype" w:cs="Times New Roman" w:hint="default"/>
        <w:color w:val="auto"/>
        <w:sz w:val="24"/>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4" w15:restartNumberingAfterBreak="0">
    <w:nsid w:val="147F086B"/>
    <w:multiLevelType w:val="hybridMultilevel"/>
    <w:tmpl w:val="38E2ABAC"/>
    <w:lvl w:ilvl="0" w:tplc="19DA0D28">
      <w:start w:val="1"/>
      <w:numFmt w:val="lowerLetter"/>
      <w:lvlText w:val="%1)"/>
      <w:lvlJc w:val="left"/>
      <w:pPr>
        <w:ind w:left="720" w:hanging="360"/>
      </w:pPr>
      <w:rPr>
        <w:rFonts w:ascii="Palatino Linotype" w:hAnsi="Palatino Linotype" w:cs="Times New Roman" w:hint="default"/>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B76CA9"/>
    <w:multiLevelType w:val="hybridMultilevel"/>
    <w:tmpl w:val="BE7E82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9FB757E"/>
    <w:multiLevelType w:val="hybridMultilevel"/>
    <w:tmpl w:val="43EAF5F2"/>
    <w:lvl w:ilvl="0" w:tplc="19DA0D28">
      <w:start w:val="1"/>
      <w:numFmt w:val="lowerLetter"/>
      <w:lvlText w:val="%1)"/>
      <w:lvlJc w:val="left"/>
      <w:pPr>
        <w:ind w:left="1287" w:hanging="360"/>
      </w:pPr>
      <w:rPr>
        <w:rFonts w:ascii="Palatino Linotype" w:hAnsi="Palatino Linotype" w:cs="Times New Roman" w:hint="default"/>
        <w:color w:val="auto"/>
        <w:sz w:val="24"/>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7" w15:restartNumberingAfterBreak="0">
    <w:nsid w:val="1E0F5E8A"/>
    <w:multiLevelType w:val="hybridMultilevel"/>
    <w:tmpl w:val="E6EA28C0"/>
    <w:lvl w:ilvl="0" w:tplc="75501D24">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8" w15:restartNumberingAfterBreak="0">
    <w:nsid w:val="24871917"/>
    <w:multiLevelType w:val="hybridMultilevel"/>
    <w:tmpl w:val="0E74E816"/>
    <w:lvl w:ilvl="0" w:tplc="521A2B46">
      <w:start w:val="1"/>
      <w:numFmt w:val="upperLetter"/>
      <w:lvlText w:val="%1)"/>
      <w:lvlJc w:val="left"/>
      <w:pPr>
        <w:ind w:left="720" w:hanging="360"/>
      </w:pPr>
      <w:rPr>
        <w:rFonts w:ascii="Palatino Linotype" w:hAnsi="Palatino Linotype" w:hint="default"/>
        <w:b/>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EA40F37"/>
    <w:multiLevelType w:val="hybridMultilevel"/>
    <w:tmpl w:val="D89C6D8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0" w15:restartNumberingAfterBreak="0">
    <w:nsid w:val="30D63DCD"/>
    <w:multiLevelType w:val="hybridMultilevel"/>
    <w:tmpl w:val="E04EBE9C"/>
    <w:lvl w:ilvl="0" w:tplc="DDB046E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0EB5F82"/>
    <w:multiLevelType w:val="hybridMultilevel"/>
    <w:tmpl w:val="675A6E42"/>
    <w:lvl w:ilvl="0" w:tplc="6A060682">
      <w:start w:val="1"/>
      <w:numFmt w:val="lowerLetter"/>
      <w:lvlText w:val="%1)"/>
      <w:lvlJc w:val="left"/>
      <w:pPr>
        <w:ind w:left="1637" w:hanging="360"/>
      </w:pPr>
      <w:rPr>
        <w:rFonts w:ascii="Palatino Linotype" w:hAnsi="Palatino Linotype" w:cs="Times New Roman" w:hint="default"/>
        <w:color w:val="auto"/>
        <w:sz w:val="18"/>
        <w:szCs w:val="18"/>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2" w15:restartNumberingAfterBreak="0">
    <w:nsid w:val="34317490"/>
    <w:multiLevelType w:val="hybridMultilevel"/>
    <w:tmpl w:val="C11CF686"/>
    <w:lvl w:ilvl="0" w:tplc="92BE0B36">
      <w:start w:val="1"/>
      <w:numFmt w:val="decimal"/>
      <w:lvlText w:val="%1."/>
      <w:lvlJc w:val="left"/>
      <w:pPr>
        <w:ind w:left="4330" w:hanging="360"/>
      </w:pPr>
      <w:rPr>
        <w:rFonts w:ascii="Palatino Linotype" w:hAnsi="Palatino Linotype" w:hint="default"/>
        <w:b/>
        <w:i w:val="0"/>
        <w:color w:val="auto"/>
        <w:sz w:val="24"/>
      </w:rPr>
    </w:lvl>
    <w:lvl w:ilvl="1" w:tplc="29E0ED44">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89E3833"/>
    <w:multiLevelType w:val="hybridMultilevel"/>
    <w:tmpl w:val="80802FE4"/>
    <w:lvl w:ilvl="0" w:tplc="19DA0D28">
      <w:start w:val="1"/>
      <w:numFmt w:val="lowerLetter"/>
      <w:lvlText w:val="%1)"/>
      <w:lvlJc w:val="left"/>
      <w:pPr>
        <w:ind w:left="1287" w:hanging="360"/>
      </w:pPr>
      <w:rPr>
        <w:rFonts w:ascii="Palatino Linotype" w:hAnsi="Palatino Linotype" w:cs="Times New Roman" w:hint="default"/>
        <w:color w:val="auto"/>
        <w:sz w:val="24"/>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4" w15:restartNumberingAfterBreak="0">
    <w:nsid w:val="3F107F6D"/>
    <w:multiLevelType w:val="hybridMultilevel"/>
    <w:tmpl w:val="D4AC87D6"/>
    <w:lvl w:ilvl="0" w:tplc="E25A2FEE">
      <w:start w:val="1"/>
      <w:numFmt w:val="upperRoman"/>
      <w:lvlText w:val="%1."/>
      <w:lvlJc w:val="left"/>
      <w:pPr>
        <w:ind w:left="1347" w:hanging="720"/>
      </w:pPr>
      <w:rPr>
        <w:rFonts w:hint="default"/>
      </w:rPr>
    </w:lvl>
    <w:lvl w:ilvl="1" w:tplc="7F2E68BC">
      <w:start w:val="1"/>
      <w:numFmt w:val="lowerLetter"/>
      <w:lvlText w:val="%2)"/>
      <w:lvlJc w:val="left"/>
      <w:pPr>
        <w:ind w:left="1707" w:hanging="360"/>
      </w:pPr>
      <w:rPr>
        <w:rFonts w:hint="default"/>
      </w:rPr>
    </w:lvl>
    <w:lvl w:ilvl="2" w:tplc="080A001B" w:tentative="1">
      <w:start w:val="1"/>
      <w:numFmt w:val="lowerRoman"/>
      <w:lvlText w:val="%3."/>
      <w:lvlJc w:val="right"/>
      <w:pPr>
        <w:ind w:left="2427" w:hanging="180"/>
      </w:pPr>
    </w:lvl>
    <w:lvl w:ilvl="3" w:tplc="080A000F" w:tentative="1">
      <w:start w:val="1"/>
      <w:numFmt w:val="decimal"/>
      <w:lvlText w:val="%4."/>
      <w:lvlJc w:val="left"/>
      <w:pPr>
        <w:ind w:left="3147" w:hanging="360"/>
      </w:pPr>
    </w:lvl>
    <w:lvl w:ilvl="4" w:tplc="080A0019" w:tentative="1">
      <w:start w:val="1"/>
      <w:numFmt w:val="lowerLetter"/>
      <w:lvlText w:val="%5."/>
      <w:lvlJc w:val="left"/>
      <w:pPr>
        <w:ind w:left="3867" w:hanging="360"/>
      </w:pPr>
    </w:lvl>
    <w:lvl w:ilvl="5" w:tplc="080A001B" w:tentative="1">
      <w:start w:val="1"/>
      <w:numFmt w:val="lowerRoman"/>
      <w:lvlText w:val="%6."/>
      <w:lvlJc w:val="right"/>
      <w:pPr>
        <w:ind w:left="4587" w:hanging="180"/>
      </w:pPr>
    </w:lvl>
    <w:lvl w:ilvl="6" w:tplc="080A000F" w:tentative="1">
      <w:start w:val="1"/>
      <w:numFmt w:val="decimal"/>
      <w:lvlText w:val="%7."/>
      <w:lvlJc w:val="left"/>
      <w:pPr>
        <w:ind w:left="5307" w:hanging="360"/>
      </w:pPr>
    </w:lvl>
    <w:lvl w:ilvl="7" w:tplc="080A0019" w:tentative="1">
      <w:start w:val="1"/>
      <w:numFmt w:val="lowerLetter"/>
      <w:lvlText w:val="%8."/>
      <w:lvlJc w:val="left"/>
      <w:pPr>
        <w:ind w:left="6027" w:hanging="360"/>
      </w:pPr>
    </w:lvl>
    <w:lvl w:ilvl="8" w:tplc="080A001B" w:tentative="1">
      <w:start w:val="1"/>
      <w:numFmt w:val="lowerRoman"/>
      <w:lvlText w:val="%9."/>
      <w:lvlJc w:val="right"/>
      <w:pPr>
        <w:ind w:left="6747" w:hanging="180"/>
      </w:pPr>
    </w:lvl>
  </w:abstractNum>
  <w:abstractNum w:abstractNumId="15" w15:restartNumberingAfterBreak="0">
    <w:nsid w:val="4DD76B83"/>
    <w:multiLevelType w:val="hybridMultilevel"/>
    <w:tmpl w:val="AC66679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6" w15:restartNumberingAfterBreak="0">
    <w:nsid w:val="57856271"/>
    <w:multiLevelType w:val="hybridMultilevel"/>
    <w:tmpl w:val="B142D6EC"/>
    <w:lvl w:ilvl="0" w:tplc="19DA0D28">
      <w:start w:val="1"/>
      <w:numFmt w:val="lowerLetter"/>
      <w:lvlText w:val="%1)"/>
      <w:lvlJc w:val="left"/>
      <w:pPr>
        <w:ind w:left="1287" w:hanging="360"/>
      </w:pPr>
      <w:rPr>
        <w:rFonts w:ascii="Palatino Linotype" w:hAnsi="Palatino Linotype" w:cs="Times New Roman" w:hint="default"/>
        <w:color w:val="auto"/>
        <w:sz w:val="24"/>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7" w15:restartNumberingAfterBreak="0">
    <w:nsid w:val="58D766C6"/>
    <w:multiLevelType w:val="hybridMultilevel"/>
    <w:tmpl w:val="15522AFE"/>
    <w:lvl w:ilvl="0" w:tplc="75501D24">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8" w15:restartNumberingAfterBreak="0">
    <w:nsid w:val="5C5A2FA2"/>
    <w:multiLevelType w:val="hybridMultilevel"/>
    <w:tmpl w:val="28965AFE"/>
    <w:lvl w:ilvl="0" w:tplc="F2C2C02E">
      <w:start w:val="1"/>
      <w:numFmt w:val="lowerLetter"/>
      <w:lvlText w:val="%1)"/>
      <w:lvlJc w:val="left"/>
      <w:pPr>
        <w:ind w:left="720" w:hanging="360"/>
      </w:pPr>
      <w:rPr>
        <w:rFonts w:eastAsiaTheme="minorEastAsia"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1280DC5"/>
    <w:multiLevelType w:val="hybridMultilevel"/>
    <w:tmpl w:val="D83042DC"/>
    <w:lvl w:ilvl="0" w:tplc="58E4B27C">
      <w:start w:val="1"/>
      <w:numFmt w:val="decimal"/>
      <w:lvlText w:val="%1."/>
      <w:lvlJc w:val="left"/>
      <w:pPr>
        <w:ind w:left="8582" w:hanging="360"/>
      </w:pPr>
      <w:rPr>
        <w:rFonts w:ascii="Palatino Linotype" w:hAnsi="Palatino Linotype" w:hint="default"/>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21D42A8"/>
    <w:multiLevelType w:val="hybridMultilevel"/>
    <w:tmpl w:val="F5B49EAC"/>
    <w:lvl w:ilvl="0" w:tplc="19DA0D28">
      <w:start w:val="1"/>
      <w:numFmt w:val="lowerLetter"/>
      <w:lvlText w:val="%1)"/>
      <w:lvlJc w:val="left"/>
      <w:pPr>
        <w:ind w:left="1287" w:hanging="360"/>
      </w:pPr>
      <w:rPr>
        <w:rFonts w:ascii="Palatino Linotype" w:hAnsi="Palatino Linotype" w:cs="Times New Roman" w:hint="default"/>
        <w:color w:val="auto"/>
        <w:sz w:val="24"/>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1" w15:restartNumberingAfterBreak="0">
    <w:nsid w:val="66C72B97"/>
    <w:multiLevelType w:val="hybridMultilevel"/>
    <w:tmpl w:val="F496C27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2" w15:restartNumberingAfterBreak="0">
    <w:nsid w:val="690826BC"/>
    <w:multiLevelType w:val="hybridMultilevel"/>
    <w:tmpl w:val="2842E4E4"/>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C1821F7"/>
    <w:multiLevelType w:val="hybridMultilevel"/>
    <w:tmpl w:val="83C8F47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70065A5E"/>
    <w:multiLevelType w:val="hybridMultilevel"/>
    <w:tmpl w:val="4878B816"/>
    <w:lvl w:ilvl="0" w:tplc="19DA0D28">
      <w:start w:val="1"/>
      <w:numFmt w:val="lowerLetter"/>
      <w:lvlText w:val="%1)"/>
      <w:lvlJc w:val="left"/>
      <w:pPr>
        <w:ind w:left="8582" w:hanging="360"/>
      </w:pPr>
      <w:rPr>
        <w:rFonts w:ascii="Palatino Linotype" w:hAnsi="Palatino Linotype" w:cs="Times New Roman" w:hint="default"/>
        <w:i w:val="0"/>
        <w:color w:val="auto"/>
        <w:sz w:val="24"/>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11D421C"/>
    <w:multiLevelType w:val="hybridMultilevel"/>
    <w:tmpl w:val="C5608C52"/>
    <w:lvl w:ilvl="0" w:tplc="080A0001">
      <w:start w:val="1"/>
      <w:numFmt w:val="bullet"/>
      <w:lvlText w:val=""/>
      <w:lvlJc w:val="left"/>
      <w:pPr>
        <w:ind w:left="8582" w:hanging="360"/>
      </w:pPr>
      <w:rPr>
        <w:rFonts w:ascii="Symbol" w:hAnsi="Symbol" w:hint="default"/>
        <w:i w:val="0"/>
        <w:color w:val="auto"/>
        <w:sz w:val="24"/>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70136A0"/>
    <w:multiLevelType w:val="hybridMultilevel"/>
    <w:tmpl w:val="8186637A"/>
    <w:lvl w:ilvl="0" w:tplc="58E4B27C">
      <w:start w:val="1"/>
      <w:numFmt w:val="decimal"/>
      <w:lvlText w:val="%1."/>
      <w:lvlJc w:val="left"/>
      <w:pPr>
        <w:ind w:left="8582" w:hanging="360"/>
      </w:pPr>
      <w:rPr>
        <w:rFonts w:ascii="Palatino Linotype" w:hAnsi="Palatino Linotype" w:hint="default"/>
        <w:i w:val="0"/>
        <w:sz w:val="24"/>
        <w:szCs w:val="24"/>
      </w:rPr>
    </w:lvl>
    <w:lvl w:ilvl="1" w:tplc="080A0019">
      <w:start w:val="1"/>
      <w:numFmt w:val="lowerLetter"/>
      <w:lvlText w:val="%2."/>
      <w:lvlJc w:val="left"/>
      <w:pPr>
        <w:ind w:left="1440" w:hanging="360"/>
      </w:pPr>
    </w:lvl>
    <w:lvl w:ilvl="2" w:tplc="41A230E4">
      <w:start w:val="1"/>
      <w:numFmt w:val="upperRoman"/>
      <w:lvlText w:val="%3."/>
      <w:lvlJc w:val="left"/>
      <w:pPr>
        <w:ind w:left="4406"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9A87901"/>
    <w:multiLevelType w:val="hybridMultilevel"/>
    <w:tmpl w:val="6C76567C"/>
    <w:lvl w:ilvl="0" w:tplc="2A9C158C">
      <w:start w:val="1"/>
      <w:numFmt w:val="lowerLetter"/>
      <w:lvlText w:val="%1)"/>
      <w:lvlJc w:val="left"/>
      <w:pPr>
        <w:ind w:left="8582" w:hanging="360"/>
      </w:pPr>
      <w:rPr>
        <w:rFonts w:ascii="Palatino Linotype" w:eastAsia="Arial Unicode MS" w:hAnsi="Palatino Linotype" w:cs="Arial"/>
        <w:i w:val="0"/>
        <w:color w:val="auto"/>
        <w:sz w:val="24"/>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CBA354C"/>
    <w:multiLevelType w:val="hybridMultilevel"/>
    <w:tmpl w:val="CCEC28A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num w:numId="1">
    <w:abstractNumId w:val="26"/>
  </w:num>
  <w:num w:numId="2">
    <w:abstractNumId w:val="22"/>
  </w:num>
  <w:num w:numId="3">
    <w:abstractNumId w:val="18"/>
  </w:num>
  <w:num w:numId="4">
    <w:abstractNumId w:val="1"/>
  </w:num>
  <w:num w:numId="5">
    <w:abstractNumId w:val="17"/>
  </w:num>
  <w:num w:numId="6">
    <w:abstractNumId w:val="7"/>
  </w:num>
  <w:num w:numId="7">
    <w:abstractNumId w:val="12"/>
  </w:num>
  <w:num w:numId="8">
    <w:abstractNumId w:val="28"/>
  </w:num>
  <w:num w:numId="9">
    <w:abstractNumId w:val="9"/>
  </w:num>
  <w:num w:numId="10">
    <w:abstractNumId w:val="27"/>
  </w:num>
  <w:num w:numId="11">
    <w:abstractNumId w:val="24"/>
  </w:num>
  <w:num w:numId="12">
    <w:abstractNumId w:val="14"/>
  </w:num>
  <w:num w:numId="13">
    <w:abstractNumId w:val="23"/>
  </w:num>
  <w:num w:numId="14">
    <w:abstractNumId w:val="21"/>
  </w:num>
  <w:num w:numId="15">
    <w:abstractNumId w:val="2"/>
  </w:num>
  <w:num w:numId="16">
    <w:abstractNumId w:val="16"/>
  </w:num>
  <w:num w:numId="17">
    <w:abstractNumId w:val="25"/>
  </w:num>
  <w:num w:numId="18">
    <w:abstractNumId w:val="6"/>
  </w:num>
  <w:num w:numId="19">
    <w:abstractNumId w:val="0"/>
  </w:num>
  <w:num w:numId="20">
    <w:abstractNumId w:val="5"/>
  </w:num>
  <w:num w:numId="21">
    <w:abstractNumId w:val="4"/>
  </w:num>
  <w:num w:numId="22">
    <w:abstractNumId w:val="13"/>
  </w:num>
  <w:num w:numId="23">
    <w:abstractNumId w:val="11"/>
  </w:num>
  <w:num w:numId="24">
    <w:abstractNumId w:val="20"/>
  </w:num>
  <w:num w:numId="25">
    <w:abstractNumId w:val="8"/>
  </w:num>
  <w:num w:numId="26">
    <w:abstractNumId w:val="19"/>
  </w:num>
  <w:num w:numId="27">
    <w:abstractNumId w:val="3"/>
  </w:num>
  <w:num w:numId="28">
    <w:abstractNumId w:val="10"/>
  </w:num>
  <w:num w:numId="29">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366"/>
    <w:rsid w:val="0000092F"/>
    <w:rsid w:val="00000ABA"/>
    <w:rsid w:val="00000C48"/>
    <w:rsid w:val="0000198C"/>
    <w:rsid w:val="00001A97"/>
    <w:rsid w:val="00002AB3"/>
    <w:rsid w:val="0000315A"/>
    <w:rsid w:val="00004A43"/>
    <w:rsid w:val="00007057"/>
    <w:rsid w:val="00007A8A"/>
    <w:rsid w:val="00010B0F"/>
    <w:rsid w:val="00011036"/>
    <w:rsid w:val="00011251"/>
    <w:rsid w:val="00011719"/>
    <w:rsid w:val="00012472"/>
    <w:rsid w:val="000135F5"/>
    <w:rsid w:val="00014154"/>
    <w:rsid w:val="00015690"/>
    <w:rsid w:val="000163B0"/>
    <w:rsid w:val="000164E7"/>
    <w:rsid w:val="00016A29"/>
    <w:rsid w:val="00020D45"/>
    <w:rsid w:val="0002117A"/>
    <w:rsid w:val="0002135B"/>
    <w:rsid w:val="000217BC"/>
    <w:rsid w:val="000218D7"/>
    <w:rsid w:val="0002264E"/>
    <w:rsid w:val="00022868"/>
    <w:rsid w:val="00022E10"/>
    <w:rsid w:val="00022EEF"/>
    <w:rsid w:val="00023547"/>
    <w:rsid w:val="0002372A"/>
    <w:rsid w:val="0002392C"/>
    <w:rsid w:val="000240A5"/>
    <w:rsid w:val="000240F4"/>
    <w:rsid w:val="00024548"/>
    <w:rsid w:val="0002623B"/>
    <w:rsid w:val="00027153"/>
    <w:rsid w:val="00027894"/>
    <w:rsid w:val="0003063D"/>
    <w:rsid w:val="00031C89"/>
    <w:rsid w:val="00032493"/>
    <w:rsid w:val="00032B32"/>
    <w:rsid w:val="00034578"/>
    <w:rsid w:val="000348AB"/>
    <w:rsid w:val="00034AEC"/>
    <w:rsid w:val="00035959"/>
    <w:rsid w:val="00036AC3"/>
    <w:rsid w:val="000370C1"/>
    <w:rsid w:val="00037177"/>
    <w:rsid w:val="00040BF6"/>
    <w:rsid w:val="00041206"/>
    <w:rsid w:val="0004133B"/>
    <w:rsid w:val="00041C72"/>
    <w:rsid w:val="0004277D"/>
    <w:rsid w:val="00045BF1"/>
    <w:rsid w:val="00045EC8"/>
    <w:rsid w:val="00046211"/>
    <w:rsid w:val="000467C5"/>
    <w:rsid w:val="0004686A"/>
    <w:rsid w:val="000468E2"/>
    <w:rsid w:val="00046A5A"/>
    <w:rsid w:val="00050682"/>
    <w:rsid w:val="00050767"/>
    <w:rsid w:val="00050C57"/>
    <w:rsid w:val="00051730"/>
    <w:rsid w:val="00051F9D"/>
    <w:rsid w:val="00052007"/>
    <w:rsid w:val="000520C1"/>
    <w:rsid w:val="0005282A"/>
    <w:rsid w:val="000533EE"/>
    <w:rsid w:val="000536A4"/>
    <w:rsid w:val="000536C4"/>
    <w:rsid w:val="0005420C"/>
    <w:rsid w:val="00054220"/>
    <w:rsid w:val="00054585"/>
    <w:rsid w:val="00054A7C"/>
    <w:rsid w:val="00055B29"/>
    <w:rsid w:val="00055FF9"/>
    <w:rsid w:val="00056A79"/>
    <w:rsid w:val="00060204"/>
    <w:rsid w:val="000616D2"/>
    <w:rsid w:val="00061822"/>
    <w:rsid w:val="00062AC3"/>
    <w:rsid w:val="000634AC"/>
    <w:rsid w:val="00064750"/>
    <w:rsid w:val="00064822"/>
    <w:rsid w:val="00064B95"/>
    <w:rsid w:val="000664BC"/>
    <w:rsid w:val="0007139C"/>
    <w:rsid w:val="000725E7"/>
    <w:rsid w:val="00072D85"/>
    <w:rsid w:val="00073D21"/>
    <w:rsid w:val="00075505"/>
    <w:rsid w:val="000769BB"/>
    <w:rsid w:val="00076F07"/>
    <w:rsid w:val="00077456"/>
    <w:rsid w:val="00077C5C"/>
    <w:rsid w:val="00077F9A"/>
    <w:rsid w:val="000800AC"/>
    <w:rsid w:val="000802B8"/>
    <w:rsid w:val="00080AE2"/>
    <w:rsid w:val="00080FB9"/>
    <w:rsid w:val="000820A1"/>
    <w:rsid w:val="00082B75"/>
    <w:rsid w:val="00084133"/>
    <w:rsid w:val="00084FD5"/>
    <w:rsid w:val="0008542A"/>
    <w:rsid w:val="00085FE0"/>
    <w:rsid w:val="00086A19"/>
    <w:rsid w:val="000877FD"/>
    <w:rsid w:val="00087819"/>
    <w:rsid w:val="00087F83"/>
    <w:rsid w:val="00091EC6"/>
    <w:rsid w:val="000946B6"/>
    <w:rsid w:val="00094CAC"/>
    <w:rsid w:val="000957B1"/>
    <w:rsid w:val="0009723C"/>
    <w:rsid w:val="00097D8A"/>
    <w:rsid w:val="000A09F5"/>
    <w:rsid w:val="000A0D7B"/>
    <w:rsid w:val="000A13A2"/>
    <w:rsid w:val="000A149C"/>
    <w:rsid w:val="000A1909"/>
    <w:rsid w:val="000A3124"/>
    <w:rsid w:val="000A3187"/>
    <w:rsid w:val="000A379E"/>
    <w:rsid w:val="000A4150"/>
    <w:rsid w:val="000A5102"/>
    <w:rsid w:val="000A69FC"/>
    <w:rsid w:val="000A6A59"/>
    <w:rsid w:val="000A6C0E"/>
    <w:rsid w:val="000A736A"/>
    <w:rsid w:val="000A748D"/>
    <w:rsid w:val="000A77ED"/>
    <w:rsid w:val="000B1010"/>
    <w:rsid w:val="000B20A9"/>
    <w:rsid w:val="000B48D4"/>
    <w:rsid w:val="000B503E"/>
    <w:rsid w:val="000B5D79"/>
    <w:rsid w:val="000B62CA"/>
    <w:rsid w:val="000C05FA"/>
    <w:rsid w:val="000C09CB"/>
    <w:rsid w:val="000C0DC5"/>
    <w:rsid w:val="000C0FB1"/>
    <w:rsid w:val="000C10B9"/>
    <w:rsid w:val="000C210B"/>
    <w:rsid w:val="000C4A8E"/>
    <w:rsid w:val="000C555C"/>
    <w:rsid w:val="000C5A04"/>
    <w:rsid w:val="000C7734"/>
    <w:rsid w:val="000C7957"/>
    <w:rsid w:val="000D020C"/>
    <w:rsid w:val="000D0C47"/>
    <w:rsid w:val="000D0CA8"/>
    <w:rsid w:val="000D151D"/>
    <w:rsid w:val="000D17AB"/>
    <w:rsid w:val="000D4539"/>
    <w:rsid w:val="000D466E"/>
    <w:rsid w:val="000D5248"/>
    <w:rsid w:val="000D5B08"/>
    <w:rsid w:val="000D5C91"/>
    <w:rsid w:val="000D5C96"/>
    <w:rsid w:val="000D5CC0"/>
    <w:rsid w:val="000E2013"/>
    <w:rsid w:val="000E29E0"/>
    <w:rsid w:val="000E41A9"/>
    <w:rsid w:val="000E48E7"/>
    <w:rsid w:val="000E5A4F"/>
    <w:rsid w:val="000E6945"/>
    <w:rsid w:val="000E6BDE"/>
    <w:rsid w:val="000E7F64"/>
    <w:rsid w:val="000F12A4"/>
    <w:rsid w:val="000F1EFE"/>
    <w:rsid w:val="000F214D"/>
    <w:rsid w:val="000F2D38"/>
    <w:rsid w:val="000F366D"/>
    <w:rsid w:val="000F3F8B"/>
    <w:rsid w:val="000F4357"/>
    <w:rsid w:val="000F43C9"/>
    <w:rsid w:val="000F483B"/>
    <w:rsid w:val="000F6593"/>
    <w:rsid w:val="000F6621"/>
    <w:rsid w:val="000F675E"/>
    <w:rsid w:val="000F760A"/>
    <w:rsid w:val="000F773F"/>
    <w:rsid w:val="000F7F17"/>
    <w:rsid w:val="0010023A"/>
    <w:rsid w:val="00100767"/>
    <w:rsid w:val="00100A1D"/>
    <w:rsid w:val="001011D7"/>
    <w:rsid w:val="001012FE"/>
    <w:rsid w:val="00102ADC"/>
    <w:rsid w:val="00103A74"/>
    <w:rsid w:val="00103B78"/>
    <w:rsid w:val="0010528C"/>
    <w:rsid w:val="001054A7"/>
    <w:rsid w:val="001064DB"/>
    <w:rsid w:val="0010722C"/>
    <w:rsid w:val="00110238"/>
    <w:rsid w:val="00110A12"/>
    <w:rsid w:val="0011102B"/>
    <w:rsid w:val="00112711"/>
    <w:rsid w:val="00112B02"/>
    <w:rsid w:val="00112B9A"/>
    <w:rsid w:val="0011338C"/>
    <w:rsid w:val="00113950"/>
    <w:rsid w:val="00114C6B"/>
    <w:rsid w:val="0011537F"/>
    <w:rsid w:val="0011644C"/>
    <w:rsid w:val="0011671E"/>
    <w:rsid w:val="001174EC"/>
    <w:rsid w:val="00117A22"/>
    <w:rsid w:val="00117C43"/>
    <w:rsid w:val="00117E42"/>
    <w:rsid w:val="0012006D"/>
    <w:rsid w:val="00121EBE"/>
    <w:rsid w:val="00122C7C"/>
    <w:rsid w:val="00122D83"/>
    <w:rsid w:val="00123DF6"/>
    <w:rsid w:val="001248A0"/>
    <w:rsid w:val="0012592B"/>
    <w:rsid w:val="0012670D"/>
    <w:rsid w:val="001267F8"/>
    <w:rsid w:val="00127D56"/>
    <w:rsid w:val="00130C63"/>
    <w:rsid w:val="001318D2"/>
    <w:rsid w:val="00132306"/>
    <w:rsid w:val="00132899"/>
    <w:rsid w:val="0013327A"/>
    <w:rsid w:val="001336E2"/>
    <w:rsid w:val="00133B79"/>
    <w:rsid w:val="0013492B"/>
    <w:rsid w:val="00134C74"/>
    <w:rsid w:val="0013583D"/>
    <w:rsid w:val="001358E8"/>
    <w:rsid w:val="00136014"/>
    <w:rsid w:val="001365A4"/>
    <w:rsid w:val="001374A0"/>
    <w:rsid w:val="00140070"/>
    <w:rsid w:val="00140A4D"/>
    <w:rsid w:val="00140D44"/>
    <w:rsid w:val="001415F8"/>
    <w:rsid w:val="0014188A"/>
    <w:rsid w:val="0014190B"/>
    <w:rsid w:val="0014199E"/>
    <w:rsid w:val="00143222"/>
    <w:rsid w:val="00143783"/>
    <w:rsid w:val="00144239"/>
    <w:rsid w:val="00144537"/>
    <w:rsid w:val="00145FFA"/>
    <w:rsid w:val="00146524"/>
    <w:rsid w:val="00146A0A"/>
    <w:rsid w:val="00146E2E"/>
    <w:rsid w:val="00147163"/>
    <w:rsid w:val="00147864"/>
    <w:rsid w:val="00147B63"/>
    <w:rsid w:val="0015179D"/>
    <w:rsid w:val="00151FD7"/>
    <w:rsid w:val="00152EE8"/>
    <w:rsid w:val="0015466E"/>
    <w:rsid w:val="001565C9"/>
    <w:rsid w:val="0015798B"/>
    <w:rsid w:val="00157C5A"/>
    <w:rsid w:val="00162712"/>
    <w:rsid w:val="001632E2"/>
    <w:rsid w:val="0016332D"/>
    <w:rsid w:val="00163D29"/>
    <w:rsid w:val="00164833"/>
    <w:rsid w:val="001648EE"/>
    <w:rsid w:val="00164B65"/>
    <w:rsid w:val="0016539F"/>
    <w:rsid w:val="00165C02"/>
    <w:rsid w:val="00166794"/>
    <w:rsid w:val="001669E6"/>
    <w:rsid w:val="00166E88"/>
    <w:rsid w:val="00167CCF"/>
    <w:rsid w:val="00170323"/>
    <w:rsid w:val="0017146D"/>
    <w:rsid w:val="00171A4E"/>
    <w:rsid w:val="001721C4"/>
    <w:rsid w:val="00172689"/>
    <w:rsid w:val="00172B01"/>
    <w:rsid w:val="00173B92"/>
    <w:rsid w:val="00174B76"/>
    <w:rsid w:val="00174F63"/>
    <w:rsid w:val="00175585"/>
    <w:rsid w:val="00176DE7"/>
    <w:rsid w:val="001775DF"/>
    <w:rsid w:val="00181DC0"/>
    <w:rsid w:val="001850D6"/>
    <w:rsid w:val="00186330"/>
    <w:rsid w:val="00186391"/>
    <w:rsid w:val="00186971"/>
    <w:rsid w:val="0018788D"/>
    <w:rsid w:val="001878A8"/>
    <w:rsid w:val="0019076C"/>
    <w:rsid w:val="0019358B"/>
    <w:rsid w:val="0019484F"/>
    <w:rsid w:val="001964AF"/>
    <w:rsid w:val="00196F89"/>
    <w:rsid w:val="00197168"/>
    <w:rsid w:val="00197318"/>
    <w:rsid w:val="00197709"/>
    <w:rsid w:val="001979C5"/>
    <w:rsid w:val="00197B63"/>
    <w:rsid w:val="001A04D3"/>
    <w:rsid w:val="001A0524"/>
    <w:rsid w:val="001A0AA2"/>
    <w:rsid w:val="001A0BE8"/>
    <w:rsid w:val="001A138D"/>
    <w:rsid w:val="001A230D"/>
    <w:rsid w:val="001A339A"/>
    <w:rsid w:val="001A3C17"/>
    <w:rsid w:val="001A4753"/>
    <w:rsid w:val="001A4764"/>
    <w:rsid w:val="001A513D"/>
    <w:rsid w:val="001A5277"/>
    <w:rsid w:val="001A6360"/>
    <w:rsid w:val="001A7FD1"/>
    <w:rsid w:val="001B0EFF"/>
    <w:rsid w:val="001B1995"/>
    <w:rsid w:val="001B26AA"/>
    <w:rsid w:val="001B53A0"/>
    <w:rsid w:val="001B57F2"/>
    <w:rsid w:val="001B5F70"/>
    <w:rsid w:val="001B6C18"/>
    <w:rsid w:val="001C0C2E"/>
    <w:rsid w:val="001C13B1"/>
    <w:rsid w:val="001C16B6"/>
    <w:rsid w:val="001C1C2A"/>
    <w:rsid w:val="001C1FFF"/>
    <w:rsid w:val="001C4087"/>
    <w:rsid w:val="001C53A0"/>
    <w:rsid w:val="001C572C"/>
    <w:rsid w:val="001C5D12"/>
    <w:rsid w:val="001C67B0"/>
    <w:rsid w:val="001C79FA"/>
    <w:rsid w:val="001D2662"/>
    <w:rsid w:val="001D2F66"/>
    <w:rsid w:val="001D3EEA"/>
    <w:rsid w:val="001D64F6"/>
    <w:rsid w:val="001E0EE9"/>
    <w:rsid w:val="001E18B8"/>
    <w:rsid w:val="001E2813"/>
    <w:rsid w:val="001E32B7"/>
    <w:rsid w:val="001E4951"/>
    <w:rsid w:val="001E69E2"/>
    <w:rsid w:val="001E6C2C"/>
    <w:rsid w:val="001E7B9E"/>
    <w:rsid w:val="001E7EE1"/>
    <w:rsid w:val="001F0B43"/>
    <w:rsid w:val="001F0D49"/>
    <w:rsid w:val="001F2F13"/>
    <w:rsid w:val="001F3293"/>
    <w:rsid w:val="001F33D2"/>
    <w:rsid w:val="001F3453"/>
    <w:rsid w:val="001F39CE"/>
    <w:rsid w:val="001F3B5D"/>
    <w:rsid w:val="001F4083"/>
    <w:rsid w:val="001F4366"/>
    <w:rsid w:val="001F4EA5"/>
    <w:rsid w:val="001F61FC"/>
    <w:rsid w:val="001F7F66"/>
    <w:rsid w:val="00200562"/>
    <w:rsid w:val="00200D19"/>
    <w:rsid w:val="002017F1"/>
    <w:rsid w:val="00202556"/>
    <w:rsid w:val="002025F8"/>
    <w:rsid w:val="002029CB"/>
    <w:rsid w:val="002031F3"/>
    <w:rsid w:val="00204293"/>
    <w:rsid w:val="002045D5"/>
    <w:rsid w:val="00204787"/>
    <w:rsid w:val="00204958"/>
    <w:rsid w:val="00205C02"/>
    <w:rsid w:val="00206DFD"/>
    <w:rsid w:val="002077BE"/>
    <w:rsid w:val="0021022A"/>
    <w:rsid w:val="00210263"/>
    <w:rsid w:val="00210FED"/>
    <w:rsid w:val="00211AB6"/>
    <w:rsid w:val="00212171"/>
    <w:rsid w:val="00212683"/>
    <w:rsid w:val="002126C6"/>
    <w:rsid w:val="002128E9"/>
    <w:rsid w:val="00212D39"/>
    <w:rsid w:val="0021369F"/>
    <w:rsid w:val="00213BA0"/>
    <w:rsid w:val="002144D4"/>
    <w:rsid w:val="0021496E"/>
    <w:rsid w:val="00215985"/>
    <w:rsid w:val="00215F3E"/>
    <w:rsid w:val="0021607D"/>
    <w:rsid w:val="00216355"/>
    <w:rsid w:val="00216B6F"/>
    <w:rsid w:val="0021700D"/>
    <w:rsid w:val="002179AC"/>
    <w:rsid w:val="00217B09"/>
    <w:rsid w:val="00217BF5"/>
    <w:rsid w:val="002210A4"/>
    <w:rsid w:val="002217BA"/>
    <w:rsid w:val="00222D9F"/>
    <w:rsid w:val="0022359C"/>
    <w:rsid w:val="00225357"/>
    <w:rsid w:val="0022540B"/>
    <w:rsid w:val="00225CEA"/>
    <w:rsid w:val="00225D53"/>
    <w:rsid w:val="00225EA5"/>
    <w:rsid w:val="00225EEA"/>
    <w:rsid w:val="00226E61"/>
    <w:rsid w:val="002278AA"/>
    <w:rsid w:val="002310A0"/>
    <w:rsid w:val="00231B40"/>
    <w:rsid w:val="002324E9"/>
    <w:rsid w:val="00232983"/>
    <w:rsid w:val="00232A8D"/>
    <w:rsid w:val="002345FF"/>
    <w:rsid w:val="00234D76"/>
    <w:rsid w:val="00235620"/>
    <w:rsid w:val="002366A2"/>
    <w:rsid w:val="00237428"/>
    <w:rsid w:val="0023784D"/>
    <w:rsid w:val="0023797E"/>
    <w:rsid w:val="00237F61"/>
    <w:rsid w:val="002419CB"/>
    <w:rsid w:val="00241C95"/>
    <w:rsid w:val="00241CB1"/>
    <w:rsid w:val="00242056"/>
    <w:rsid w:val="00243063"/>
    <w:rsid w:val="00243AA0"/>
    <w:rsid w:val="00243E9C"/>
    <w:rsid w:val="00244FB1"/>
    <w:rsid w:val="0024535A"/>
    <w:rsid w:val="002466A2"/>
    <w:rsid w:val="0024739F"/>
    <w:rsid w:val="002479E3"/>
    <w:rsid w:val="00250DF8"/>
    <w:rsid w:val="002519B8"/>
    <w:rsid w:val="00252174"/>
    <w:rsid w:val="00252BD0"/>
    <w:rsid w:val="00252C4D"/>
    <w:rsid w:val="00254168"/>
    <w:rsid w:val="002545BF"/>
    <w:rsid w:val="0025661F"/>
    <w:rsid w:val="00256BF2"/>
    <w:rsid w:val="00260323"/>
    <w:rsid w:val="00261001"/>
    <w:rsid w:val="00261BB3"/>
    <w:rsid w:val="00261DA1"/>
    <w:rsid w:val="002632B3"/>
    <w:rsid w:val="00264510"/>
    <w:rsid w:val="002651CA"/>
    <w:rsid w:val="00265381"/>
    <w:rsid w:val="00265A4A"/>
    <w:rsid w:val="002665BD"/>
    <w:rsid w:val="00267441"/>
    <w:rsid w:val="00267487"/>
    <w:rsid w:val="00267710"/>
    <w:rsid w:val="00267B3D"/>
    <w:rsid w:val="00270AB9"/>
    <w:rsid w:val="00271318"/>
    <w:rsid w:val="00271563"/>
    <w:rsid w:val="00273B0A"/>
    <w:rsid w:val="0027430D"/>
    <w:rsid w:val="0027468C"/>
    <w:rsid w:val="0027482D"/>
    <w:rsid w:val="00274BE9"/>
    <w:rsid w:val="0027645C"/>
    <w:rsid w:val="00277D3D"/>
    <w:rsid w:val="00280260"/>
    <w:rsid w:val="002802AC"/>
    <w:rsid w:val="00281338"/>
    <w:rsid w:val="00281389"/>
    <w:rsid w:val="002823A0"/>
    <w:rsid w:val="0028429B"/>
    <w:rsid w:val="00286BCA"/>
    <w:rsid w:val="0028727E"/>
    <w:rsid w:val="0029059C"/>
    <w:rsid w:val="00291599"/>
    <w:rsid w:val="002920F5"/>
    <w:rsid w:val="00292CBE"/>
    <w:rsid w:val="00293DE8"/>
    <w:rsid w:val="00295595"/>
    <w:rsid w:val="00295CAC"/>
    <w:rsid w:val="002A00A2"/>
    <w:rsid w:val="002A0C6D"/>
    <w:rsid w:val="002A13C4"/>
    <w:rsid w:val="002A1509"/>
    <w:rsid w:val="002A2E3D"/>
    <w:rsid w:val="002A2FBF"/>
    <w:rsid w:val="002A48BE"/>
    <w:rsid w:val="002A65F6"/>
    <w:rsid w:val="002A6A1F"/>
    <w:rsid w:val="002A6CC3"/>
    <w:rsid w:val="002A794F"/>
    <w:rsid w:val="002A7E83"/>
    <w:rsid w:val="002A7F74"/>
    <w:rsid w:val="002B07E8"/>
    <w:rsid w:val="002B085C"/>
    <w:rsid w:val="002B2A2E"/>
    <w:rsid w:val="002B3141"/>
    <w:rsid w:val="002B3565"/>
    <w:rsid w:val="002B45B9"/>
    <w:rsid w:val="002B4B37"/>
    <w:rsid w:val="002B55D1"/>
    <w:rsid w:val="002B64CD"/>
    <w:rsid w:val="002B7DDA"/>
    <w:rsid w:val="002C036E"/>
    <w:rsid w:val="002C125D"/>
    <w:rsid w:val="002C30ED"/>
    <w:rsid w:val="002C38C9"/>
    <w:rsid w:val="002C3DDF"/>
    <w:rsid w:val="002C42B6"/>
    <w:rsid w:val="002C47ED"/>
    <w:rsid w:val="002C6CCC"/>
    <w:rsid w:val="002C7827"/>
    <w:rsid w:val="002C7942"/>
    <w:rsid w:val="002C7CC7"/>
    <w:rsid w:val="002D0ECC"/>
    <w:rsid w:val="002D1360"/>
    <w:rsid w:val="002D141D"/>
    <w:rsid w:val="002D15ED"/>
    <w:rsid w:val="002D1A38"/>
    <w:rsid w:val="002D2284"/>
    <w:rsid w:val="002D28FF"/>
    <w:rsid w:val="002D2A33"/>
    <w:rsid w:val="002D2A90"/>
    <w:rsid w:val="002D3714"/>
    <w:rsid w:val="002D373C"/>
    <w:rsid w:val="002D4559"/>
    <w:rsid w:val="002D5424"/>
    <w:rsid w:val="002D59A8"/>
    <w:rsid w:val="002D6F04"/>
    <w:rsid w:val="002D7363"/>
    <w:rsid w:val="002D77C8"/>
    <w:rsid w:val="002E12C3"/>
    <w:rsid w:val="002E22A4"/>
    <w:rsid w:val="002E2686"/>
    <w:rsid w:val="002E2E98"/>
    <w:rsid w:val="002E3C8D"/>
    <w:rsid w:val="002E41F0"/>
    <w:rsid w:val="002E4804"/>
    <w:rsid w:val="002E4871"/>
    <w:rsid w:val="002E5B3F"/>
    <w:rsid w:val="002E6A53"/>
    <w:rsid w:val="002E6E73"/>
    <w:rsid w:val="002E74CE"/>
    <w:rsid w:val="002E754F"/>
    <w:rsid w:val="002E7620"/>
    <w:rsid w:val="002E7D78"/>
    <w:rsid w:val="002F0536"/>
    <w:rsid w:val="002F13A2"/>
    <w:rsid w:val="002F14DE"/>
    <w:rsid w:val="002F3672"/>
    <w:rsid w:val="002F3693"/>
    <w:rsid w:val="002F397F"/>
    <w:rsid w:val="002F5BD8"/>
    <w:rsid w:val="002F6123"/>
    <w:rsid w:val="002F62A4"/>
    <w:rsid w:val="002F6F9C"/>
    <w:rsid w:val="002F768F"/>
    <w:rsid w:val="002F7E3E"/>
    <w:rsid w:val="00300E89"/>
    <w:rsid w:val="00300FA7"/>
    <w:rsid w:val="0030150B"/>
    <w:rsid w:val="0030255D"/>
    <w:rsid w:val="00302998"/>
    <w:rsid w:val="0030302B"/>
    <w:rsid w:val="00303717"/>
    <w:rsid w:val="00305279"/>
    <w:rsid w:val="003071F9"/>
    <w:rsid w:val="00307227"/>
    <w:rsid w:val="00307E34"/>
    <w:rsid w:val="003102A6"/>
    <w:rsid w:val="0031056C"/>
    <w:rsid w:val="003105D0"/>
    <w:rsid w:val="00310962"/>
    <w:rsid w:val="003116A6"/>
    <w:rsid w:val="003118CB"/>
    <w:rsid w:val="003122CE"/>
    <w:rsid w:val="00312DF8"/>
    <w:rsid w:val="003140AC"/>
    <w:rsid w:val="0031421F"/>
    <w:rsid w:val="00314295"/>
    <w:rsid w:val="00314AE4"/>
    <w:rsid w:val="00315002"/>
    <w:rsid w:val="00316FED"/>
    <w:rsid w:val="00317266"/>
    <w:rsid w:val="00317CE0"/>
    <w:rsid w:val="00320D05"/>
    <w:rsid w:val="003210EB"/>
    <w:rsid w:val="00321AA3"/>
    <w:rsid w:val="00321CF1"/>
    <w:rsid w:val="00322C0C"/>
    <w:rsid w:val="00322E7D"/>
    <w:rsid w:val="00323478"/>
    <w:rsid w:val="00323895"/>
    <w:rsid w:val="00323F71"/>
    <w:rsid w:val="003244DC"/>
    <w:rsid w:val="00326450"/>
    <w:rsid w:val="00326714"/>
    <w:rsid w:val="00330149"/>
    <w:rsid w:val="00330170"/>
    <w:rsid w:val="003306A9"/>
    <w:rsid w:val="003306E2"/>
    <w:rsid w:val="00330C9F"/>
    <w:rsid w:val="00330E0C"/>
    <w:rsid w:val="003311D6"/>
    <w:rsid w:val="00331A87"/>
    <w:rsid w:val="003326D1"/>
    <w:rsid w:val="00333BE8"/>
    <w:rsid w:val="0033477F"/>
    <w:rsid w:val="00334B20"/>
    <w:rsid w:val="00335541"/>
    <w:rsid w:val="0033557D"/>
    <w:rsid w:val="00337364"/>
    <w:rsid w:val="0034052A"/>
    <w:rsid w:val="00340C41"/>
    <w:rsid w:val="003411ED"/>
    <w:rsid w:val="00341748"/>
    <w:rsid w:val="003429D1"/>
    <w:rsid w:val="00343990"/>
    <w:rsid w:val="00343B0D"/>
    <w:rsid w:val="003441A6"/>
    <w:rsid w:val="003457AF"/>
    <w:rsid w:val="00345D0F"/>
    <w:rsid w:val="00347058"/>
    <w:rsid w:val="003472B3"/>
    <w:rsid w:val="003474AE"/>
    <w:rsid w:val="00350E15"/>
    <w:rsid w:val="00351895"/>
    <w:rsid w:val="003528EB"/>
    <w:rsid w:val="003532D0"/>
    <w:rsid w:val="003549F5"/>
    <w:rsid w:val="00356B99"/>
    <w:rsid w:val="003577BB"/>
    <w:rsid w:val="0036054B"/>
    <w:rsid w:val="0036073F"/>
    <w:rsid w:val="00360A7E"/>
    <w:rsid w:val="00361BC0"/>
    <w:rsid w:val="00361EC5"/>
    <w:rsid w:val="00362D92"/>
    <w:rsid w:val="00362F9C"/>
    <w:rsid w:val="00362FE6"/>
    <w:rsid w:val="00363F05"/>
    <w:rsid w:val="003645D3"/>
    <w:rsid w:val="00364627"/>
    <w:rsid w:val="00365E82"/>
    <w:rsid w:val="00367F35"/>
    <w:rsid w:val="00370D40"/>
    <w:rsid w:val="003713DA"/>
    <w:rsid w:val="003718D7"/>
    <w:rsid w:val="003721B2"/>
    <w:rsid w:val="0037475B"/>
    <w:rsid w:val="00375C69"/>
    <w:rsid w:val="003773A4"/>
    <w:rsid w:val="00377556"/>
    <w:rsid w:val="0037770F"/>
    <w:rsid w:val="00377BEF"/>
    <w:rsid w:val="00380950"/>
    <w:rsid w:val="00381808"/>
    <w:rsid w:val="003819B3"/>
    <w:rsid w:val="00381A79"/>
    <w:rsid w:val="003830A0"/>
    <w:rsid w:val="0038315E"/>
    <w:rsid w:val="00383318"/>
    <w:rsid w:val="0038394F"/>
    <w:rsid w:val="00383C5E"/>
    <w:rsid w:val="003848C2"/>
    <w:rsid w:val="003851DF"/>
    <w:rsid w:val="00387B0E"/>
    <w:rsid w:val="00387DC9"/>
    <w:rsid w:val="0039214C"/>
    <w:rsid w:val="00392447"/>
    <w:rsid w:val="0039278B"/>
    <w:rsid w:val="00392D57"/>
    <w:rsid w:val="00393859"/>
    <w:rsid w:val="00393B71"/>
    <w:rsid w:val="003947DD"/>
    <w:rsid w:val="00394886"/>
    <w:rsid w:val="00395C0B"/>
    <w:rsid w:val="00395D7D"/>
    <w:rsid w:val="00396732"/>
    <w:rsid w:val="00396885"/>
    <w:rsid w:val="003A00C8"/>
    <w:rsid w:val="003A11ED"/>
    <w:rsid w:val="003A1261"/>
    <w:rsid w:val="003A23D8"/>
    <w:rsid w:val="003A2508"/>
    <w:rsid w:val="003A320E"/>
    <w:rsid w:val="003A3B6F"/>
    <w:rsid w:val="003A3E6E"/>
    <w:rsid w:val="003A46C7"/>
    <w:rsid w:val="003A4A94"/>
    <w:rsid w:val="003A4C79"/>
    <w:rsid w:val="003A4DFA"/>
    <w:rsid w:val="003A5572"/>
    <w:rsid w:val="003A60AD"/>
    <w:rsid w:val="003A6367"/>
    <w:rsid w:val="003A6A5A"/>
    <w:rsid w:val="003A6BAD"/>
    <w:rsid w:val="003A7153"/>
    <w:rsid w:val="003A75F1"/>
    <w:rsid w:val="003B0772"/>
    <w:rsid w:val="003B0860"/>
    <w:rsid w:val="003B1589"/>
    <w:rsid w:val="003B187B"/>
    <w:rsid w:val="003B1C9B"/>
    <w:rsid w:val="003B200A"/>
    <w:rsid w:val="003B4D2C"/>
    <w:rsid w:val="003B52C9"/>
    <w:rsid w:val="003B54D5"/>
    <w:rsid w:val="003B55AD"/>
    <w:rsid w:val="003B59CC"/>
    <w:rsid w:val="003B5E27"/>
    <w:rsid w:val="003B6D26"/>
    <w:rsid w:val="003B7403"/>
    <w:rsid w:val="003B7A7B"/>
    <w:rsid w:val="003B7B09"/>
    <w:rsid w:val="003B7B65"/>
    <w:rsid w:val="003C0117"/>
    <w:rsid w:val="003C06C5"/>
    <w:rsid w:val="003C0E06"/>
    <w:rsid w:val="003C2FC2"/>
    <w:rsid w:val="003C31E8"/>
    <w:rsid w:val="003C665B"/>
    <w:rsid w:val="003C66EF"/>
    <w:rsid w:val="003C7282"/>
    <w:rsid w:val="003D0435"/>
    <w:rsid w:val="003D04B3"/>
    <w:rsid w:val="003D07C1"/>
    <w:rsid w:val="003D1343"/>
    <w:rsid w:val="003D1971"/>
    <w:rsid w:val="003D210D"/>
    <w:rsid w:val="003D24B8"/>
    <w:rsid w:val="003D2BDA"/>
    <w:rsid w:val="003D4544"/>
    <w:rsid w:val="003D46D0"/>
    <w:rsid w:val="003D5EE4"/>
    <w:rsid w:val="003D7850"/>
    <w:rsid w:val="003E0B0F"/>
    <w:rsid w:val="003E167A"/>
    <w:rsid w:val="003E1875"/>
    <w:rsid w:val="003E1C5B"/>
    <w:rsid w:val="003E1DF9"/>
    <w:rsid w:val="003E2043"/>
    <w:rsid w:val="003E2871"/>
    <w:rsid w:val="003E3BCD"/>
    <w:rsid w:val="003E3DB3"/>
    <w:rsid w:val="003E4020"/>
    <w:rsid w:val="003E4659"/>
    <w:rsid w:val="003E4742"/>
    <w:rsid w:val="003E562F"/>
    <w:rsid w:val="003E64F3"/>
    <w:rsid w:val="003E6C90"/>
    <w:rsid w:val="003E720E"/>
    <w:rsid w:val="003E7D2E"/>
    <w:rsid w:val="003F05EC"/>
    <w:rsid w:val="003F1143"/>
    <w:rsid w:val="003F11BF"/>
    <w:rsid w:val="003F15DB"/>
    <w:rsid w:val="003F2702"/>
    <w:rsid w:val="003F3245"/>
    <w:rsid w:val="003F380A"/>
    <w:rsid w:val="003F3908"/>
    <w:rsid w:val="003F4B66"/>
    <w:rsid w:val="003F6762"/>
    <w:rsid w:val="003F70CA"/>
    <w:rsid w:val="00401147"/>
    <w:rsid w:val="00401963"/>
    <w:rsid w:val="00401E22"/>
    <w:rsid w:val="0040278D"/>
    <w:rsid w:val="00402AAD"/>
    <w:rsid w:val="00402AB0"/>
    <w:rsid w:val="00402BF1"/>
    <w:rsid w:val="00402C25"/>
    <w:rsid w:val="00403031"/>
    <w:rsid w:val="004043EF"/>
    <w:rsid w:val="0040489F"/>
    <w:rsid w:val="004075EF"/>
    <w:rsid w:val="00407CCB"/>
    <w:rsid w:val="00410B83"/>
    <w:rsid w:val="00410CA2"/>
    <w:rsid w:val="00411936"/>
    <w:rsid w:val="004119DC"/>
    <w:rsid w:val="00415FDC"/>
    <w:rsid w:val="0041620D"/>
    <w:rsid w:val="00416BDB"/>
    <w:rsid w:val="0041703D"/>
    <w:rsid w:val="00417E0F"/>
    <w:rsid w:val="004205DB"/>
    <w:rsid w:val="00420646"/>
    <w:rsid w:val="0042068A"/>
    <w:rsid w:val="004211BA"/>
    <w:rsid w:val="00421799"/>
    <w:rsid w:val="00421F72"/>
    <w:rsid w:val="00422367"/>
    <w:rsid w:val="00424901"/>
    <w:rsid w:val="00424F11"/>
    <w:rsid w:val="00425956"/>
    <w:rsid w:val="00426D7C"/>
    <w:rsid w:val="00426FE6"/>
    <w:rsid w:val="00427DE8"/>
    <w:rsid w:val="004301F6"/>
    <w:rsid w:val="00430B2E"/>
    <w:rsid w:val="00431A2B"/>
    <w:rsid w:val="00432621"/>
    <w:rsid w:val="00432B72"/>
    <w:rsid w:val="00433016"/>
    <w:rsid w:val="00433BD3"/>
    <w:rsid w:val="00433C27"/>
    <w:rsid w:val="004342F1"/>
    <w:rsid w:val="00434710"/>
    <w:rsid w:val="00434EB9"/>
    <w:rsid w:val="00435C67"/>
    <w:rsid w:val="00441015"/>
    <w:rsid w:val="00441468"/>
    <w:rsid w:val="0044162C"/>
    <w:rsid w:val="00441E3B"/>
    <w:rsid w:val="00442835"/>
    <w:rsid w:val="00444435"/>
    <w:rsid w:val="00444CFD"/>
    <w:rsid w:val="00444F82"/>
    <w:rsid w:val="00446A9D"/>
    <w:rsid w:val="00447A56"/>
    <w:rsid w:val="004502A6"/>
    <w:rsid w:val="004507DB"/>
    <w:rsid w:val="00450A5F"/>
    <w:rsid w:val="00450AA0"/>
    <w:rsid w:val="00451514"/>
    <w:rsid w:val="00451CED"/>
    <w:rsid w:val="00451DA9"/>
    <w:rsid w:val="00451EB6"/>
    <w:rsid w:val="00452DF9"/>
    <w:rsid w:val="0045300D"/>
    <w:rsid w:val="00453214"/>
    <w:rsid w:val="00454C45"/>
    <w:rsid w:val="004554F7"/>
    <w:rsid w:val="004564AD"/>
    <w:rsid w:val="004567D6"/>
    <w:rsid w:val="00456A74"/>
    <w:rsid w:val="00456D61"/>
    <w:rsid w:val="00456F66"/>
    <w:rsid w:val="00457B29"/>
    <w:rsid w:val="00460E8A"/>
    <w:rsid w:val="004617F0"/>
    <w:rsid w:val="00461B98"/>
    <w:rsid w:val="00463308"/>
    <w:rsid w:val="00464131"/>
    <w:rsid w:val="0046528B"/>
    <w:rsid w:val="004655C4"/>
    <w:rsid w:val="0046566E"/>
    <w:rsid w:val="004658E6"/>
    <w:rsid w:val="00466B5A"/>
    <w:rsid w:val="00466C21"/>
    <w:rsid w:val="0046701A"/>
    <w:rsid w:val="00467EB5"/>
    <w:rsid w:val="0047025A"/>
    <w:rsid w:val="0047055A"/>
    <w:rsid w:val="0047344D"/>
    <w:rsid w:val="00473924"/>
    <w:rsid w:val="004739E8"/>
    <w:rsid w:val="00473D11"/>
    <w:rsid w:val="00476957"/>
    <w:rsid w:val="00477411"/>
    <w:rsid w:val="00477932"/>
    <w:rsid w:val="00480BA2"/>
    <w:rsid w:val="00481A7B"/>
    <w:rsid w:val="00481D42"/>
    <w:rsid w:val="0048344A"/>
    <w:rsid w:val="00483DB3"/>
    <w:rsid w:val="0048517E"/>
    <w:rsid w:val="00485348"/>
    <w:rsid w:val="00485C71"/>
    <w:rsid w:val="00486806"/>
    <w:rsid w:val="00486EDD"/>
    <w:rsid w:val="00487AF6"/>
    <w:rsid w:val="004908CE"/>
    <w:rsid w:val="0049100C"/>
    <w:rsid w:val="00491A61"/>
    <w:rsid w:val="00491C96"/>
    <w:rsid w:val="00492E89"/>
    <w:rsid w:val="004936B3"/>
    <w:rsid w:val="00493CB9"/>
    <w:rsid w:val="00493FF9"/>
    <w:rsid w:val="004945E4"/>
    <w:rsid w:val="004945E8"/>
    <w:rsid w:val="00494DFB"/>
    <w:rsid w:val="00496359"/>
    <w:rsid w:val="00496650"/>
    <w:rsid w:val="0049695F"/>
    <w:rsid w:val="00497031"/>
    <w:rsid w:val="00497E8C"/>
    <w:rsid w:val="00497F63"/>
    <w:rsid w:val="004A00DC"/>
    <w:rsid w:val="004A14C2"/>
    <w:rsid w:val="004A2BF5"/>
    <w:rsid w:val="004A4DE5"/>
    <w:rsid w:val="004A5B12"/>
    <w:rsid w:val="004A6B0A"/>
    <w:rsid w:val="004B1ACE"/>
    <w:rsid w:val="004B1D5D"/>
    <w:rsid w:val="004B293C"/>
    <w:rsid w:val="004B2AEB"/>
    <w:rsid w:val="004B31A6"/>
    <w:rsid w:val="004B3B1A"/>
    <w:rsid w:val="004B40BF"/>
    <w:rsid w:val="004B4396"/>
    <w:rsid w:val="004B4A7B"/>
    <w:rsid w:val="004B57A3"/>
    <w:rsid w:val="004B5AC8"/>
    <w:rsid w:val="004B607D"/>
    <w:rsid w:val="004B64D1"/>
    <w:rsid w:val="004B6C52"/>
    <w:rsid w:val="004B6F5C"/>
    <w:rsid w:val="004B7B21"/>
    <w:rsid w:val="004C00C8"/>
    <w:rsid w:val="004C02F1"/>
    <w:rsid w:val="004C2799"/>
    <w:rsid w:val="004C324B"/>
    <w:rsid w:val="004C3727"/>
    <w:rsid w:val="004C3779"/>
    <w:rsid w:val="004C3A91"/>
    <w:rsid w:val="004C3FBD"/>
    <w:rsid w:val="004C412C"/>
    <w:rsid w:val="004C494D"/>
    <w:rsid w:val="004C4A44"/>
    <w:rsid w:val="004C51CE"/>
    <w:rsid w:val="004C6780"/>
    <w:rsid w:val="004C6BE7"/>
    <w:rsid w:val="004C6EFC"/>
    <w:rsid w:val="004C7579"/>
    <w:rsid w:val="004C75EE"/>
    <w:rsid w:val="004C78C3"/>
    <w:rsid w:val="004D00B3"/>
    <w:rsid w:val="004D1102"/>
    <w:rsid w:val="004D11B8"/>
    <w:rsid w:val="004D1287"/>
    <w:rsid w:val="004D1332"/>
    <w:rsid w:val="004D215D"/>
    <w:rsid w:val="004D257A"/>
    <w:rsid w:val="004D3026"/>
    <w:rsid w:val="004D4DAD"/>
    <w:rsid w:val="004D5AE8"/>
    <w:rsid w:val="004D5BF4"/>
    <w:rsid w:val="004D5E35"/>
    <w:rsid w:val="004D60AB"/>
    <w:rsid w:val="004E0333"/>
    <w:rsid w:val="004E0B2B"/>
    <w:rsid w:val="004E1166"/>
    <w:rsid w:val="004E1461"/>
    <w:rsid w:val="004E17C2"/>
    <w:rsid w:val="004E1BAF"/>
    <w:rsid w:val="004E2185"/>
    <w:rsid w:val="004E21A7"/>
    <w:rsid w:val="004E3E76"/>
    <w:rsid w:val="004E3E79"/>
    <w:rsid w:val="004E49CF"/>
    <w:rsid w:val="004E51D7"/>
    <w:rsid w:val="004E5482"/>
    <w:rsid w:val="004E6834"/>
    <w:rsid w:val="004E78AF"/>
    <w:rsid w:val="004E7AF3"/>
    <w:rsid w:val="004F3C08"/>
    <w:rsid w:val="004F44C7"/>
    <w:rsid w:val="004F489F"/>
    <w:rsid w:val="004F48F8"/>
    <w:rsid w:val="004F4915"/>
    <w:rsid w:val="004F6261"/>
    <w:rsid w:val="004F65D2"/>
    <w:rsid w:val="004F766F"/>
    <w:rsid w:val="004F7944"/>
    <w:rsid w:val="004F7BF5"/>
    <w:rsid w:val="005010B6"/>
    <w:rsid w:val="0050190F"/>
    <w:rsid w:val="005019F7"/>
    <w:rsid w:val="00501BB6"/>
    <w:rsid w:val="005037B4"/>
    <w:rsid w:val="00504811"/>
    <w:rsid w:val="00504B5E"/>
    <w:rsid w:val="00505B93"/>
    <w:rsid w:val="00505CFF"/>
    <w:rsid w:val="00505FA4"/>
    <w:rsid w:val="0051069C"/>
    <w:rsid w:val="005114D1"/>
    <w:rsid w:val="00511BD2"/>
    <w:rsid w:val="00511DF4"/>
    <w:rsid w:val="00512F22"/>
    <w:rsid w:val="00513165"/>
    <w:rsid w:val="00514311"/>
    <w:rsid w:val="00514404"/>
    <w:rsid w:val="005147B2"/>
    <w:rsid w:val="00514C14"/>
    <w:rsid w:val="00515872"/>
    <w:rsid w:val="005167B1"/>
    <w:rsid w:val="0052064D"/>
    <w:rsid w:val="0052081F"/>
    <w:rsid w:val="00520B44"/>
    <w:rsid w:val="0052151F"/>
    <w:rsid w:val="005215EE"/>
    <w:rsid w:val="00521EBC"/>
    <w:rsid w:val="005221FA"/>
    <w:rsid w:val="00522396"/>
    <w:rsid w:val="00522BDB"/>
    <w:rsid w:val="005238E8"/>
    <w:rsid w:val="00524CC5"/>
    <w:rsid w:val="005250C9"/>
    <w:rsid w:val="00525160"/>
    <w:rsid w:val="005255F2"/>
    <w:rsid w:val="00525B47"/>
    <w:rsid w:val="00525F9D"/>
    <w:rsid w:val="00526172"/>
    <w:rsid w:val="00526369"/>
    <w:rsid w:val="005263C4"/>
    <w:rsid w:val="005268F7"/>
    <w:rsid w:val="00526E75"/>
    <w:rsid w:val="005273EF"/>
    <w:rsid w:val="00530E3B"/>
    <w:rsid w:val="00531016"/>
    <w:rsid w:val="005311FA"/>
    <w:rsid w:val="00531C72"/>
    <w:rsid w:val="00532551"/>
    <w:rsid w:val="0053513D"/>
    <w:rsid w:val="00540029"/>
    <w:rsid w:val="00540F3C"/>
    <w:rsid w:val="005419B4"/>
    <w:rsid w:val="00542B3A"/>
    <w:rsid w:val="00544EC9"/>
    <w:rsid w:val="00545E6A"/>
    <w:rsid w:val="00547542"/>
    <w:rsid w:val="005508E5"/>
    <w:rsid w:val="00550F81"/>
    <w:rsid w:val="00551714"/>
    <w:rsid w:val="00551D75"/>
    <w:rsid w:val="005520BF"/>
    <w:rsid w:val="005527B6"/>
    <w:rsid w:val="00554431"/>
    <w:rsid w:val="00555C32"/>
    <w:rsid w:val="00556814"/>
    <w:rsid w:val="00557D6A"/>
    <w:rsid w:val="00561858"/>
    <w:rsid w:val="00562474"/>
    <w:rsid w:val="00563BDC"/>
    <w:rsid w:val="00563FE5"/>
    <w:rsid w:val="00564721"/>
    <w:rsid w:val="0056598A"/>
    <w:rsid w:val="005660F0"/>
    <w:rsid w:val="0056692A"/>
    <w:rsid w:val="00566997"/>
    <w:rsid w:val="00566F85"/>
    <w:rsid w:val="00567154"/>
    <w:rsid w:val="00570139"/>
    <w:rsid w:val="00570A27"/>
    <w:rsid w:val="00570A2E"/>
    <w:rsid w:val="005720DF"/>
    <w:rsid w:val="00572195"/>
    <w:rsid w:val="00572B55"/>
    <w:rsid w:val="00573665"/>
    <w:rsid w:val="00573813"/>
    <w:rsid w:val="0057438B"/>
    <w:rsid w:val="00574B70"/>
    <w:rsid w:val="00575BB2"/>
    <w:rsid w:val="00576944"/>
    <w:rsid w:val="00577B42"/>
    <w:rsid w:val="00580021"/>
    <w:rsid w:val="00580FC0"/>
    <w:rsid w:val="00581C0F"/>
    <w:rsid w:val="00581D99"/>
    <w:rsid w:val="00582919"/>
    <w:rsid w:val="005833AC"/>
    <w:rsid w:val="0058547C"/>
    <w:rsid w:val="00585902"/>
    <w:rsid w:val="00585A8F"/>
    <w:rsid w:val="00586760"/>
    <w:rsid w:val="00587366"/>
    <w:rsid w:val="0058753D"/>
    <w:rsid w:val="005876AF"/>
    <w:rsid w:val="005878DD"/>
    <w:rsid w:val="00587A7A"/>
    <w:rsid w:val="00590BB3"/>
    <w:rsid w:val="00592B9F"/>
    <w:rsid w:val="00594258"/>
    <w:rsid w:val="00594593"/>
    <w:rsid w:val="00595511"/>
    <w:rsid w:val="00597448"/>
    <w:rsid w:val="00597A82"/>
    <w:rsid w:val="00597DB8"/>
    <w:rsid w:val="00597DE4"/>
    <w:rsid w:val="005A0F1D"/>
    <w:rsid w:val="005A113A"/>
    <w:rsid w:val="005A1F9C"/>
    <w:rsid w:val="005A2A65"/>
    <w:rsid w:val="005A350D"/>
    <w:rsid w:val="005A3513"/>
    <w:rsid w:val="005A3BD7"/>
    <w:rsid w:val="005A51E1"/>
    <w:rsid w:val="005A60BC"/>
    <w:rsid w:val="005A6B67"/>
    <w:rsid w:val="005A7720"/>
    <w:rsid w:val="005A7C7B"/>
    <w:rsid w:val="005B0ABA"/>
    <w:rsid w:val="005B0EC2"/>
    <w:rsid w:val="005B1979"/>
    <w:rsid w:val="005B2738"/>
    <w:rsid w:val="005B4711"/>
    <w:rsid w:val="005B4F63"/>
    <w:rsid w:val="005B5733"/>
    <w:rsid w:val="005B5C5D"/>
    <w:rsid w:val="005B7C5D"/>
    <w:rsid w:val="005C02E9"/>
    <w:rsid w:val="005C0EEF"/>
    <w:rsid w:val="005C1A74"/>
    <w:rsid w:val="005C1BFB"/>
    <w:rsid w:val="005C1D14"/>
    <w:rsid w:val="005C22B5"/>
    <w:rsid w:val="005C2C8B"/>
    <w:rsid w:val="005C3294"/>
    <w:rsid w:val="005C4072"/>
    <w:rsid w:val="005C4817"/>
    <w:rsid w:val="005C4EEC"/>
    <w:rsid w:val="005C540C"/>
    <w:rsid w:val="005C54EF"/>
    <w:rsid w:val="005C637A"/>
    <w:rsid w:val="005C6F55"/>
    <w:rsid w:val="005C74E1"/>
    <w:rsid w:val="005C7B7B"/>
    <w:rsid w:val="005C7CFF"/>
    <w:rsid w:val="005C7FE0"/>
    <w:rsid w:val="005D0083"/>
    <w:rsid w:val="005D00C9"/>
    <w:rsid w:val="005D0487"/>
    <w:rsid w:val="005D06E1"/>
    <w:rsid w:val="005D08AC"/>
    <w:rsid w:val="005D115F"/>
    <w:rsid w:val="005D2757"/>
    <w:rsid w:val="005D27DD"/>
    <w:rsid w:val="005D3493"/>
    <w:rsid w:val="005D3845"/>
    <w:rsid w:val="005D38C8"/>
    <w:rsid w:val="005D3D76"/>
    <w:rsid w:val="005D3DD0"/>
    <w:rsid w:val="005D524A"/>
    <w:rsid w:val="005D5658"/>
    <w:rsid w:val="005D57BD"/>
    <w:rsid w:val="005D6604"/>
    <w:rsid w:val="005D665B"/>
    <w:rsid w:val="005D78CD"/>
    <w:rsid w:val="005D7EC6"/>
    <w:rsid w:val="005E00EF"/>
    <w:rsid w:val="005E066A"/>
    <w:rsid w:val="005E079B"/>
    <w:rsid w:val="005E0F6B"/>
    <w:rsid w:val="005E24A3"/>
    <w:rsid w:val="005E29F2"/>
    <w:rsid w:val="005E338F"/>
    <w:rsid w:val="005E4710"/>
    <w:rsid w:val="005E4721"/>
    <w:rsid w:val="005E4B46"/>
    <w:rsid w:val="005E6F79"/>
    <w:rsid w:val="005E7DF7"/>
    <w:rsid w:val="005F0812"/>
    <w:rsid w:val="005F0B21"/>
    <w:rsid w:val="005F0CF0"/>
    <w:rsid w:val="005F1310"/>
    <w:rsid w:val="005F34C9"/>
    <w:rsid w:val="005F35E6"/>
    <w:rsid w:val="005F35FF"/>
    <w:rsid w:val="005F37F3"/>
    <w:rsid w:val="005F403D"/>
    <w:rsid w:val="005F4118"/>
    <w:rsid w:val="005F4746"/>
    <w:rsid w:val="005F4A16"/>
    <w:rsid w:val="005F4C4F"/>
    <w:rsid w:val="005F5EB5"/>
    <w:rsid w:val="005F62B2"/>
    <w:rsid w:val="005F715E"/>
    <w:rsid w:val="005F7A58"/>
    <w:rsid w:val="006002B9"/>
    <w:rsid w:val="006012DC"/>
    <w:rsid w:val="00601BAE"/>
    <w:rsid w:val="00601F5E"/>
    <w:rsid w:val="0060204C"/>
    <w:rsid w:val="006027AA"/>
    <w:rsid w:val="006037DA"/>
    <w:rsid w:val="00603FBB"/>
    <w:rsid w:val="00604626"/>
    <w:rsid w:val="00604AC3"/>
    <w:rsid w:val="00605D3E"/>
    <w:rsid w:val="0060655B"/>
    <w:rsid w:val="00606FE5"/>
    <w:rsid w:val="006071D8"/>
    <w:rsid w:val="0060753C"/>
    <w:rsid w:val="00607E13"/>
    <w:rsid w:val="00611107"/>
    <w:rsid w:val="006116DE"/>
    <w:rsid w:val="00611921"/>
    <w:rsid w:val="00611FB6"/>
    <w:rsid w:val="006127AB"/>
    <w:rsid w:val="0061287F"/>
    <w:rsid w:val="00612ADE"/>
    <w:rsid w:val="00612CB2"/>
    <w:rsid w:val="00612E6D"/>
    <w:rsid w:val="00613297"/>
    <w:rsid w:val="00613980"/>
    <w:rsid w:val="00613B9E"/>
    <w:rsid w:val="00616627"/>
    <w:rsid w:val="00616B24"/>
    <w:rsid w:val="00616E88"/>
    <w:rsid w:val="006173EA"/>
    <w:rsid w:val="006174EC"/>
    <w:rsid w:val="006176AB"/>
    <w:rsid w:val="00617963"/>
    <w:rsid w:val="00620179"/>
    <w:rsid w:val="006228BC"/>
    <w:rsid w:val="00622B06"/>
    <w:rsid w:val="0062357F"/>
    <w:rsid w:val="0062365A"/>
    <w:rsid w:val="0062368E"/>
    <w:rsid w:val="006238D2"/>
    <w:rsid w:val="0062416F"/>
    <w:rsid w:val="00625557"/>
    <w:rsid w:val="0062622B"/>
    <w:rsid w:val="006269D4"/>
    <w:rsid w:val="00627119"/>
    <w:rsid w:val="00627DF5"/>
    <w:rsid w:val="00630609"/>
    <w:rsid w:val="00631337"/>
    <w:rsid w:val="00631A28"/>
    <w:rsid w:val="00632B31"/>
    <w:rsid w:val="00633171"/>
    <w:rsid w:val="0063422F"/>
    <w:rsid w:val="00637311"/>
    <w:rsid w:val="006402EE"/>
    <w:rsid w:val="006412FD"/>
    <w:rsid w:val="00641AB0"/>
    <w:rsid w:val="00642B18"/>
    <w:rsid w:val="00643B42"/>
    <w:rsid w:val="00643D5D"/>
    <w:rsid w:val="00644C6E"/>
    <w:rsid w:val="006460B5"/>
    <w:rsid w:val="006460DE"/>
    <w:rsid w:val="00646A08"/>
    <w:rsid w:val="006508C1"/>
    <w:rsid w:val="00651B1B"/>
    <w:rsid w:val="0065212B"/>
    <w:rsid w:val="00654AB8"/>
    <w:rsid w:val="00656B81"/>
    <w:rsid w:val="00657974"/>
    <w:rsid w:val="0066068C"/>
    <w:rsid w:val="00661749"/>
    <w:rsid w:val="00661C3C"/>
    <w:rsid w:val="006624DB"/>
    <w:rsid w:val="006625D3"/>
    <w:rsid w:val="00662A48"/>
    <w:rsid w:val="00662C69"/>
    <w:rsid w:val="006635D8"/>
    <w:rsid w:val="006638FD"/>
    <w:rsid w:val="00664A70"/>
    <w:rsid w:val="00664F7B"/>
    <w:rsid w:val="006657E8"/>
    <w:rsid w:val="00667011"/>
    <w:rsid w:val="00670087"/>
    <w:rsid w:val="006711DB"/>
    <w:rsid w:val="0067245D"/>
    <w:rsid w:val="006751CA"/>
    <w:rsid w:val="00675AC5"/>
    <w:rsid w:val="00675D22"/>
    <w:rsid w:val="00677042"/>
    <w:rsid w:val="006770E9"/>
    <w:rsid w:val="00677556"/>
    <w:rsid w:val="006803E4"/>
    <w:rsid w:val="0068178C"/>
    <w:rsid w:val="00682B40"/>
    <w:rsid w:val="00684C8F"/>
    <w:rsid w:val="00684F0B"/>
    <w:rsid w:val="00685D21"/>
    <w:rsid w:val="00686CD7"/>
    <w:rsid w:val="006870BD"/>
    <w:rsid w:val="00692B64"/>
    <w:rsid w:val="00693427"/>
    <w:rsid w:val="00693495"/>
    <w:rsid w:val="00693EF3"/>
    <w:rsid w:val="00694432"/>
    <w:rsid w:val="00694CAC"/>
    <w:rsid w:val="006950EE"/>
    <w:rsid w:val="0069518A"/>
    <w:rsid w:val="00696955"/>
    <w:rsid w:val="00696990"/>
    <w:rsid w:val="006969CA"/>
    <w:rsid w:val="00696EF8"/>
    <w:rsid w:val="006A1EE9"/>
    <w:rsid w:val="006A1FD4"/>
    <w:rsid w:val="006A207D"/>
    <w:rsid w:val="006A2B11"/>
    <w:rsid w:val="006A3A04"/>
    <w:rsid w:val="006A430D"/>
    <w:rsid w:val="006A4D91"/>
    <w:rsid w:val="006A5558"/>
    <w:rsid w:val="006A56DE"/>
    <w:rsid w:val="006A6278"/>
    <w:rsid w:val="006A628C"/>
    <w:rsid w:val="006A6958"/>
    <w:rsid w:val="006A6F3A"/>
    <w:rsid w:val="006A78DC"/>
    <w:rsid w:val="006A7D36"/>
    <w:rsid w:val="006B0198"/>
    <w:rsid w:val="006B12E8"/>
    <w:rsid w:val="006B27E5"/>
    <w:rsid w:val="006B290F"/>
    <w:rsid w:val="006B2FD1"/>
    <w:rsid w:val="006B30A8"/>
    <w:rsid w:val="006B4A1C"/>
    <w:rsid w:val="006B52EC"/>
    <w:rsid w:val="006B5917"/>
    <w:rsid w:val="006B5BB9"/>
    <w:rsid w:val="006B6E7D"/>
    <w:rsid w:val="006B751C"/>
    <w:rsid w:val="006B76FD"/>
    <w:rsid w:val="006C078E"/>
    <w:rsid w:val="006C2A0E"/>
    <w:rsid w:val="006C341B"/>
    <w:rsid w:val="006C34A4"/>
    <w:rsid w:val="006C3B64"/>
    <w:rsid w:val="006C49B4"/>
    <w:rsid w:val="006C50C2"/>
    <w:rsid w:val="006C563A"/>
    <w:rsid w:val="006C6868"/>
    <w:rsid w:val="006C6D64"/>
    <w:rsid w:val="006C7573"/>
    <w:rsid w:val="006C7A33"/>
    <w:rsid w:val="006C7BFE"/>
    <w:rsid w:val="006D0309"/>
    <w:rsid w:val="006D158E"/>
    <w:rsid w:val="006D223D"/>
    <w:rsid w:val="006D27EF"/>
    <w:rsid w:val="006D3FCE"/>
    <w:rsid w:val="006D453F"/>
    <w:rsid w:val="006D45A3"/>
    <w:rsid w:val="006D473F"/>
    <w:rsid w:val="006D4B87"/>
    <w:rsid w:val="006D52D1"/>
    <w:rsid w:val="006E1056"/>
    <w:rsid w:val="006E21D4"/>
    <w:rsid w:val="006E27CA"/>
    <w:rsid w:val="006E4010"/>
    <w:rsid w:val="006E47E7"/>
    <w:rsid w:val="006E54D3"/>
    <w:rsid w:val="006E694E"/>
    <w:rsid w:val="006F07F8"/>
    <w:rsid w:val="006F1CC5"/>
    <w:rsid w:val="006F24D3"/>
    <w:rsid w:val="006F27F3"/>
    <w:rsid w:val="006F2894"/>
    <w:rsid w:val="006F2AE2"/>
    <w:rsid w:val="006F2C12"/>
    <w:rsid w:val="006F2F92"/>
    <w:rsid w:val="006F648B"/>
    <w:rsid w:val="006F673D"/>
    <w:rsid w:val="006F6E1A"/>
    <w:rsid w:val="006F6FE0"/>
    <w:rsid w:val="006F7AF2"/>
    <w:rsid w:val="00700173"/>
    <w:rsid w:val="00701F2C"/>
    <w:rsid w:val="007025D1"/>
    <w:rsid w:val="00702F7F"/>
    <w:rsid w:val="00703B76"/>
    <w:rsid w:val="0070401B"/>
    <w:rsid w:val="0070525F"/>
    <w:rsid w:val="00705544"/>
    <w:rsid w:val="00706175"/>
    <w:rsid w:val="00707096"/>
    <w:rsid w:val="007073D4"/>
    <w:rsid w:val="007076FF"/>
    <w:rsid w:val="00707731"/>
    <w:rsid w:val="00707B6F"/>
    <w:rsid w:val="007100C9"/>
    <w:rsid w:val="0071011B"/>
    <w:rsid w:val="007114F2"/>
    <w:rsid w:val="0071231D"/>
    <w:rsid w:val="007127CA"/>
    <w:rsid w:val="007127D3"/>
    <w:rsid w:val="007129CF"/>
    <w:rsid w:val="0071459F"/>
    <w:rsid w:val="007150D6"/>
    <w:rsid w:val="00715525"/>
    <w:rsid w:val="00716071"/>
    <w:rsid w:val="00716D44"/>
    <w:rsid w:val="007179E1"/>
    <w:rsid w:val="00717B59"/>
    <w:rsid w:val="007207BB"/>
    <w:rsid w:val="00720926"/>
    <w:rsid w:val="00721767"/>
    <w:rsid w:val="00721F66"/>
    <w:rsid w:val="00722530"/>
    <w:rsid w:val="00723247"/>
    <w:rsid w:val="007237BF"/>
    <w:rsid w:val="00724054"/>
    <w:rsid w:val="0072483C"/>
    <w:rsid w:val="00725463"/>
    <w:rsid w:val="007301D7"/>
    <w:rsid w:val="00730D94"/>
    <w:rsid w:val="00731194"/>
    <w:rsid w:val="00731C85"/>
    <w:rsid w:val="00732469"/>
    <w:rsid w:val="00732EA5"/>
    <w:rsid w:val="007335A2"/>
    <w:rsid w:val="00735205"/>
    <w:rsid w:val="0073540B"/>
    <w:rsid w:val="00735965"/>
    <w:rsid w:val="00736B9E"/>
    <w:rsid w:val="00736D69"/>
    <w:rsid w:val="007377E3"/>
    <w:rsid w:val="00740719"/>
    <w:rsid w:val="007408CD"/>
    <w:rsid w:val="00740A75"/>
    <w:rsid w:val="00741C5B"/>
    <w:rsid w:val="007422EF"/>
    <w:rsid w:val="00742974"/>
    <w:rsid w:val="00743C9C"/>
    <w:rsid w:val="007446F6"/>
    <w:rsid w:val="00744FE0"/>
    <w:rsid w:val="00746D8D"/>
    <w:rsid w:val="0074727C"/>
    <w:rsid w:val="007472FC"/>
    <w:rsid w:val="00747727"/>
    <w:rsid w:val="0074796B"/>
    <w:rsid w:val="007479C2"/>
    <w:rsid w:val="00747F0B"/>
    <w:rsid w:val="00750A80"/>
    <w:rsid w:val="00750E15"/>
    <w:rsid w:val="0075151E"/>
    <w:rsid w:val="007518F2"/>
    <w:rsid w:val="0075265E"/>
    <w:rsid w:val="00752C5E"/>
    <w:rsid w:val="00753D43"/>
    <w:rsid w:val="00753E8F"/>
    <w:rsid w:val="0075440D"/>
    <w:rsid w:val="00755DFC"/>
    <w:rsid w:val="0075650E"/>
    <w:rsid w:val="00756B2B"/>
    <w:rsid w:val="00756F43"/>
    <w:rsid w:val="00757995"/>
    <w:rsid w:val="0076000F"/>
    <w:rsid w:val="0076072C"/>
    <w:rsid w:val="00760CCF"/>
    <w:rsid w:val="007617AE"/>
    <w:rsid w:val="00761A6A"/>
    <w:rsid w:val="00762E88"/>
    <w:rsid w:val="00765686"/>
    <w:rsid w:val="00765D83"/>
    <w:rsid w:val="00766A89"/>
    <w:rsid w:val="007671BB"/>
    <w:rsid w:val="007674CB"/>
    <w:rsid w:val="00767703"/>
    <w:rsid w:val="00770454"/>
    <w:rsid w:val="00770B33"/>
    <w:rsid w:val="00771243"/>
    <w:rsid w:val="00771337"/>
    <w:rsid w:val="00771FED"/>
    <w:rsid w:val="00772095"/>
    <w:rsid w:val="00772B3D"/>
    <w:rsid w:val="00774459"/>
    <w:rsid w:val="00774DFD"/>
    <w:rsid w:val="00775353"/>
    <w:rsid w:val="00775CE8"/>
    <w:rsid w:val="007760C8"/>
    <w:rsid w:val="00776C3A"/>
    <w:rsid w:val="007800B3"/>
    <w:rsid w:val="007805E0"/>
    <w:rsid w:val="0078099A"/>
    <w:rsid w:val="00780DDE"/>
    <w:rsid w:val="0078136D"/>
    <w:rsid w:val="00783320"/>
    <w:rsid w:val="00783506"/>
    <w:rsid w:val="007839E7"/>
    <w:rsid w:val="00784F9C"/>
    <w:rsid w:val="00785E0C"/>
    <w:rsid w:val="0078619D"/>
    <w:rsid w:val="00786828"/>
    <w:rsid w:val="00786841"/>
    <w:rsid w:val="00787364"/>
    <w:rsid w:val="00790520"/>
    <w:rsid w:val="00790804"/>
    <w:rsid w:val="007908A0"/>
    <w:rsid w:val="00791459"/>
    <w:rsid w:val="007914E4"/>
    <w:rsid w:val="007918F9"/>
    <w:rsid w:val="00792C5A"/>
    <w:rsid w:val="0079378F"/>
    <w:rsid w:val="007940E8"/>
    <w:rsid w:val="00795745"/>
    <w:rsid w:val="00797148"/>
    <w:rsid w:val="007A1118"/>
    <w:rsid w:val="007A1303"/>
    <w:rsid w:val="007A2C34"/>
    <w:rsid w:val="007A52D0"/>
    <w:rsid w:val="007A6016"/>
    <w:rsid w:val="007A645D"/>
    <w:rsid w:val="007A6979"/>
    <w:rsid w:val="007A77F5"/>
    <w:rsid w:val="007A7B06"/>
    <w:rsid w:val="007B0020"/>
    <w:rsid w:val="007B0864"/>
    <w:rsid w:val="007B173E"/>
    <w:rsid w:val="007B20C3"/>
    <w:rsid w:val="007B215C"/>
    <w:rsid w:val="007B2228"/>
    <w:rsid w:val="007B30F3"/>
    <w:rsid w:val="007B3846"/>
    <w:rsid w:val="007B3C8F"/>
    <w:rsid w:val="007B4BE7"/>
    <w:rsid w:val="007C0013"/>
    <w:rsid w:val="007C1130"/>
    <w:rsid w:val="007C23C4"/>
    <w:rsid w:val="007C37D2"/>
    <w:rsid w:val="007C393A"/>
    <w:rsid w:val="007C3B22"/>
    <w:rsid w:val="007C6C5A"/>
    <w:rsid w:val="007C7277"/>
    <w:rsid w:val="007D2A1A"/>
    <w:rsid w:val="007D2E5F"/>
    <w:rsid w:val="007D4253"/>
    <w:rsid w:val="007D4DF3"/>
    <w:rsid w:val="007D572F"/>
    <w:rsid w:val="007D5DDE"/>
    <w:rsid w:val="007D7EF3"/>
    <w:rsid w:val="007E0A58"/>
    <w:rsid w:val="007E14CE"/>
    <w:rsid w:val="007E1A67"/>
    <w:rsid w:val="007E1D05"/>
    <w:rsid w:val="007E2264"/>
    <w:rsid w:val="007E303C"/>
    <w:rsid w:val="007E30F2"/>
    <w:rsid w:val="007E4081"/>
    <w:rsid w:val="007E4090"/>
    <w:rsid w:val="007E4EB2"/>
    <w:rsid w:val="007E5278"/>
    <w:rsid w:val="007E5A18"/>
    <w:rsid w:val="007E6158"/>
    <w:rsid w:val="007E659D"/>
    <w:rsid w:val="007E6643"/>
    <w:rsid w:val="007E68E3"/>
    <w:rsid w:val="007E70D8"/>
    <w:rsid w:val="007F06FB"/>
    <w:rsid w:val="007F0734"/>
    <w:rsid w:val="007F1FB3"/>
    <w:rsid w:val="007F283E"/>
    <w:rsid w:val="007F3166"/>
    <w:rsid w:val="007F3B89"/>
    <w:rsid w:val="007F42D7"/>
    <w:rsid w:val="007F4490"/>
    <w:rsid w:val="007F4937"/>
    <w:rsid w:val="007F4BCC"/>
    <w:rsid w:val="007F5F5B"/>
    <w:rsid w:val="007F6CB3"/>
    <w:rsid w:val="007F7690"/>
    <w:rsid w:val="00800647"/>
    <w:rsid w:val="008006A4"/>
    <w:rsid w:val="00801802"/>
    <w:rsid w:val="00804680"/>
    <w:rsid w:val="00804C26"/>
    <w:rsid w:val="008053A5"/>
    <w:rsid w:val="00806236"/>
    <w:rsid w:val="0080776C"/>
    <w:rsid w:val="00807C99"/>
    <w:rsid w:val="00807ED7"/>
    <w:rsid w:val="00807FF3"/>
    <w:rsid w:val="0081045B"/>
    <w:rsid w:val="00810C87"/>
    <w:rsid w:val="0081173D"/>
    <w:rsid w:val="00814548"/>
    <w:rsid w:val="008157CA"/>
    <w:rsid w:val="00815CCC"/>
    <w:rsid w:val="008164E8"/>
    <w:rsid w:val="008167F5"/>
    <w:rsid w:val="00816819"/>
    <w:rsid w:val="00816A05"/>
    <w:rsid w:val="008200A3"/>
    <w:rsid w:val="0082054B"/>
    <w:rsid w:val="00822C7A"/>
    <w:rsid w:val="008231BF"/>
    <w:rsid w:val="008231DD"/>
    <w:rsid w:val="008231F8"/>
    <w:rsid w:val="008251B8"/>
    <w:rsid w:val="0082531E"/>
    <w:rsid w:val="00825EAD"/>
    <w:rsid w:val="00826130"/>
    <w:rsid w:val="0082653B"/>
    <w:rsid w:val="0082700E"/>
    <w:rsid w:val="00827015"/>
    <w:rsid w:val="00830431"/>
    <w:rsid w:val="0083049F"/>
    <w:rsid w:val="00830EF8"/>
    <w:rsid w:val="008314DC"/>
    <w:rsid w:val="0083273C"/>
    <w:rsid w:val="0083332B"/>
    <w:rsid w:val="008334FD"/>
    <w:rsid w:val="00834586"/>
    <w:rsid w:val="008346D3"/>
    <w:rsid w:val="00837056"/>
    <w:rsid w:val="00837EFE"/>
    <w:rsid w:val="008403BB"/>
    <w:rsid w:val="00840559"/>
    <w:rsid w:val="00840DFB"/>
    <w:rsid w:val="008422B8"/>
    <w:rsid w:val="008424CA"/>
    <w:rsid w:val="00843238"/>
    <w:rsid w:val="00843FEB"/>
    <w:rsid w:val="008440CB"/>
    <w:rsid w:val="008440D7"/>
    <w:rsid w:val="008442D9"/>
    <w:rsid w:val="00846689"/>
    <w:rsid w:val="008467A4"/>
    <w:rsid w:val="00846EF6"/>
    <w:rsid w:val="008473FA"/>
    <w:rsid w:val="008478DB"/>
    <w:rsid w:val="00847AE4"/>
    <w:rsid w:val="008505AC"/>
    <w:rsid w:val="0085214E"/>
    <w:rsid w:val="008523BA"/>
    <w:rsid w:val="00852BB9"/>
    <w:rsid w:val="00854F1E"/>
    <w:rsid w:val="00855E9C"/>
    <w:rsid w:val="008560F4"/>
    <w:rsid w:val="0085624E"/>
    <w:rsid w:val="0085625E"/>
    <w:rsid w:val="00856E44"/>
    <w:rsid w:val="00857422"/>
    <w:rsid w:val="0085749C"/>
    <w:rsid w:val="008601A5"/>
    <w:rsid w:val="00861394"/>
    <w:rsid w:val="008615F9"/>
    <w:rsid w:val="00862B5A"/>
    <w:rsid w:val="00862DB1"/>
    <w:rsid w:val="008637BA"/>
    <w:rsid w:val="00864B22"/>
    <w:rsid w:val="008652B7"/>
    <w:rsid w:val="00866DE8"/>
    <w:rsid w:val="00866F1B"/>
    <w:rsid w:val="00867D0D"/>
    <w:rsid w:val="00870C2F"/>
    <w:rsid w:val="00870D08"/>
    <w:rsid w:val="0087111F"/>
    <w:rsid w:val="00872A7B"/>
    <w:rsid w:val="00873178"/>
    <w:rsid w:val="0087356C"/>
    <w:rsid w:val="00875167"/>
    <w:rsid w:val="00877472"/>
    <w:rsid w:val="008776A2"/>
    <w:rsid w:val="00880095"/>
    <w:rsid w:val="00880236"/>
    <w:rsid w:val="00880BA5"/>
    <w:rsid w:val="00881753"/>
    <w:rsid w:val="00881F97"/>
    <w:rsid w:val="008826F4"/>
    <w:rsid w:val="008827C1"/>
    <w:rsid w:val="00882DE1"/>
    <w:rsid w:val="00883450"/>
    <w:rsid w:val="008835C6"/>
    <w:rsid w:val="00883659"/>
    <w:rsid w:val="00884511"/>
    <w:rsid w:val="00886971"/>
    <w:rsid w:val="00891563"/>
    <w:rsid w:val="00892281"/>
    <w:rsid w:val="00892282"/>
    <w:rsid w:val="008929DD"/>
    <w:rsid w:val="0089358F"/>
    <w:rsid w:val="00894303"/>
    <w:rsid w:val="00895D34"/>
    <w:rsid w:val="00896EE5"/>
    <w:rsid w:val="00897A78"/>
    <w:rsid w:val="008A0E02"/>
    <w:rsid w:val="008A154E"/>
    <w:rsid w:val="008A2809"/>
    <w:rsid w:val="008A334C"/>
    <w:rsid w:val="008A4B5C"/>
    <w:rsid w:val="008A4B68"/>
    <w:rsid w:val="008A5473"/>
    <w:rsid w:val="008A6BCB"/>
    <w:rsid w:val="008A74C2"/>
    <w:rsid w:val="008A79BE"/>
    <w:rsid w:val="008B012D"/>
    <w:rsid w:val="008B2F14"/>
    <w:rsid w:val="008B3627"/>
    <w:rsid w:val="008B3B06"/>
    <w:rsid w:val="008B533D"/>
    <w:rsid w:val="008B6281"/>
    <w:rsid w:val="008B649A"/>
    <w:rsid w:val="008B6DE0"/>
    <w:rsid w:val="008C2B3C"/>
    <w:rsid w:val="008C41A7"/>
    <w:rsid w:val="008C46F3"/>
    <w:rsid w:val="008C48EB"/>
    <w:rsid w:val="008C52BE"/>
    <w:rsid w:val="008C57F7"/>
    <w:rsid w:val="008C61EB"/>
    <w:rsid w:val="008C67D3"/>
    <w:rsid w:val="008C6F4D"/>
    <w:rsid w:val="008D02A3"/>
    <w:rsid w:val="008D0A1A"/>
    <w:rsid w:val="008D106F"/>
    <w:rsid w:val="008D1384"/>
    <w:rsid w:val="008D3591"/>
    <w:rsid w:val="008D3CB5"/>
    <w:rsid w:val="008D6C8D"/>
    <w:rsid w:val="008D6ED2"/>
    <w:rsid w:val="008D6F99"/>
    <w:rsid w:val="008D7A78"/>
    <w:rsid w:val="008D7C45"/>
    <w:rsid w:val="008E022F"/>
    <w:rsid w:val="008E11CC"/>
    <w:rsid w:val="008E1674"/>
    <w:rsid w:val="008E1E98"/>
    <w:rsid w:val="008E223E"/>
    <w:rsid w:val="008E2971"/>
    <w:rsid w:val="008E2A08"/>
    <w:rsid w:val="008E2E89"/>
    <w:rsid w:val="008E355D"/>
    <w:rsid w:val="008E4A9E"/>
    <w:rsid w:val="008E4D9D"/>
    <w:rsid w:val="008E6986"/>
    <w:rsid w:val="008E6C1A"/>
    <w:rsid w:val="008E6D05"/>
    <w:rsid w:val="008E7A93"/>
    <w:rsid w:val="008F12E6"/>
    <w:rsid w:val="008F1A5F"/>
    <w:rsid w:val="008F1B10"/>
    <w:rsid w:val="008F375A"/>
    <w:rsid w:val="008F4404"/>
    <w:rsid w:val="008F4921"/>
    <w:rsid w:val="008F5D01"/>
    <w:rsid w:val="008F6458"/>
    <w:rsid w:val="009017D1"/>
    <w:rsid w:val="00902959"/>
    <w:rsid w:val="00902E5A"/>
    <w:rsid w:val="00903058"/>
    <w:rsid w:val="00903242"/>
    <w:rsid w:val="00903BBA"/>
    <w:rsid w:val="00903C30"/>
    <w:rsid w:val="009055FD"/>
    <w:rsid w:val="009061D3"/>
    <w:rsid w:val="009062C0"/>
    <w:rsid w:val="009071FE"/>
    <w:rsid w:val="0091079B"/>
    <w:rsid w:val="00910A8B"/>
    <w:rsid w:val="0091154D"/>
    <w:rsid w:val="00913508"/>
    <w:rsid w:val="0091369F"/>
    <w:rsid w:val="009142D8"/>
    <w:rsid w:val="009145A9"/>
    <w:rsid w:val="00915245"/>
    <w:rsid w:val="00915778"/>
    <w:rsid w:val="00915C84"/>
    <w:rsid w:val="009164D0"/>
    <w:rsid w:val="009164DD"/>
    <w:rsid w:val="00916840"/>
    <w:rsid w:val="00917B05"/>
    <w:rsid w:val="0092033E"/>
    <w:rsid w:val="009204FF"/>
    <w:rsid w:val="00920E6E"/>
    <w:rsid w:val="00920F93"/>
    <w:rsid w:val="0092262C"/>
    <w:rsid w:val="009244A7"/>
    <w:rsid w:val="00924CEA"/>
    <w:rsid w:val="009256FF"/>
    <w:rsid w:val="00925ED1"/>
    <w:rsid w:val="00925F38"/>
    <w:rsid w:val="009261E2"/>
    <w:rsid w:val="009272F6"/>
    <w:rsid w:val="009304FC"/>
    <w:rsid w:val="009316E9"/>
    <w:rsid w:val="009337EC"/>
    <w:rsid w:val="00933835"/>
    <w:rsid w:val="00934F4D"/>
    <w:rsid w:val="00934FF1"/>
    <w:rsid w:val="00935B80"/>
    <w:rsid w:val="00935DA0"/>
    <w:rsid w:val="0093734D"/>
    <w:rsid w:val="00937767"/>
    <w:rsid w:val="00940F1B"/>
    <w:rsid w:val="00941637"/>
    <w:rsid w:val="009416A5"/>
    <w:rsid w:val="00941B55"/>
    <w:rsid w:val="00943598"/>
    <w:rsid w:val="00943C67"/>
    <w:rsid w:val="00943E93"/>
    <w:rsid w:val="00944729"/>
    <w:rsid w:val="00944E99"/>
    <w:rsid w:val="009451FC"/>
    <w:rsid w:val="00946F09"/>
    <w:rsid w:val="0094711A"/>
    <w:rsid w:val="009479FB"/>
    <w:rsid w:val="00947B51"/>
    <w:rsid w:val="00947C76"/>
    <w:rsid w:val="00950D1D"/>
    <w:rsid w:val="00951412"/>
    <w:rsid w:val="00951E3A"/>
    <w:rsid w:val="00952DAB"/>
    <w:rsid w:val="00953CDB"/>
    <w:rsid w:val="00953D92"/>
    <w:rsid w:val="0095407C"/>
    <w:rsid w:val="0095592C"/>
    <w:rsid w:val="009560D1"/>
    <w:rsid w:val="009563A5"/>
    <w:rsid w:val="00957BEC"/>
    <w:rsid w:val="009603D4"/>
    <w:rsid w:val="009606E6"/>
    <w:rsid w:val="0096176B"/>
    <w:rsid w:val="00962180"/>
    <w:rsid w:val="00962254"/>
    <w:rsid w:val="00962626"/>
    <w:rsid w:val="00962E79"/>
    <w:rsid w:val="00962F1C"/>
    <w:rsid w:val="00962F40"/>
    <w:rsid w:val="00962F74"/>
    <w:rsid w:val="0096330E"/>
    <w:rsid w:val="00964322"/>
    <w:rsid w:val="009650B1"/>
    <w:rsid w:val="009669BC"/>
    <w:rsid w:val="0096735F"/>
    <w:rsid w:val="00967CE6"/>
    <w:rsid w:val="00967CF8"/>
    <w:rsid w:val="00970865"/>
    <w:rsid w:val="0097117E"/>
    <w:rsid w:val="009711DA"/>
    <w:rsid w:val="00971509"/>
    <w:rsid w:val="00971DDF"/>
    <w:rsid w:val="0097236F"/>
    <w:rsid w:val="00972668"/>
    <w:rsid w:val="009727B4"/>
    <w:rsid w:val="0097394F"/>
    <w:rsid w:val="00975AA1"/>
    <w:rsid w:val="00976FF9"/>
    <w:rsid w:val="0098098A"/>
    <w:rsid w:val="00981A0B"/>
    <w:rsid w:val="009824EC"/>
    <w:rsid w:val="00982770"/>
    <w:rsid w:val="00985DA6"/>
    <w:rsid w:val="00985FD8"/>
    <w:rsid w:val="00986102"/>
    <w:rsid w:val="00991076"/>
    <w:rsid w:val="009921D7"/>
    <w:rsid w:val="009924D5"/>
    <w:rsid w:val="0099409F"/>
    <w:rsid w:val="0099482D"/>
    <w:rsid w:val="00994E5A"/>
    <w:rsid w:val="00995311"/>
    <w:rsid w:val="0099752D"/>
    <w:rsid w:val="009A0CB9"/>
    <w:rsid w:val="009A11F0"/>
    <w:rsid w:val="009A1E1D"/>
    <w:rsid w:val="009A3462"/>
    <w:rsid w:val="009A5191"/>
    <w:rsid w:val="009A6008"/>
    <w:rsid w:val="009A624F"/>
    <w:rsid w:val="009A6CF3"/>
    <w:rsid w:val="009A7623"/>
    <w:rsid w:val="009A7C0D"/>
    <w:rsid w:val="009A7F6A"/>
    <w:rsid w:val="009B0A52"/>
    <w:rsid w:val="009B0F5C"/>
    <w:rsid w:val="009B11D6"/>
    <w:rsid w:val="009B174E"/>
    <w:rsid w:val="009B22B4"/>
    <w:rsid w:val="009B359D"/>
    <w:rsid w:val="009B3636"/>
    <w:rsid w:val="009B3E53"/>
    <w:rsid w:val="009B4043"/>
    <w:rsid w:val="009B4864"/>
    <w:rsid w:val="009B5179"/>
    <w:rsid w:val="009B5552"/>
    <w:rsid w:val="009B63CB"/>
    <w:rsid w:val="009B6BB6"/>
    <w:rsid w:val="009B6F16"/>
    <w:rsid w:val="009B6F43"/>
    <w:rsid w:val="009B7490"/>
    <w:rsid w:val="009B7E7A"/>
    <w:rsid w:val="009C113B"/>
    <w:rsid w:val="009C17FD"/>
    <w:rsid w:val="009C1E0F"/>
    <w:rsid w:val="009C3553"/>
    <w:rsid w:val="009C501E"/>
    <w:rsid w:val="009C5511"/>
    <w:rsid w:val="009C5718"/>
    <w:rsid w:val="009C573B"/>
    <w:rsid w:val="009C661B"/>
    <w:rsid w:val="009C69B3"/>
    <w:rsid w:val="009C77B3"/>
    <w:rsid w:val="009D12E0"/>
    <w:rsid w:val="009D1BD9"/>
    <w:rsid w:val="009D2708"/>
    <w:rsid w:val="009D340E"/>
    <w:rsid w:val="009D4727"/>
    <w:rsid w:val="009D4D4F"/>
    <w:rsid w:val="009D542A"/>
    <w:rsid w:val="009D61D9"/>
    <w:rsid w:val="009D7312"/>
    <w:rsid w:val="009D76F0"/>
    <w:rsid w:val="009E011D"/>
    <w:rsid w:val="009E1584"/>
    <w:rsid w:val="009E1C30"/>
    <w:rsid w:val="009E4942"/>
    <w:rsid w:val="009E5D70"/>
    <w:rsid w:val="009F124C"/>
    <w:rsid w:val="009F1480"/>
    <w:rsid w:val="009F1F30"/>
    <w:rsid w:val="009F263F"/>
    <w:rsid w:val="009F50DE"/>
    <w:rsid w:val="009F5506"/>
    <w:rsid w:val="009F65DD"/>
    <w:rsid w:val="009F6F6A"/>
    <w:rsid w:val="009F7BB0"/>
    <w:rsid w:val="00A00BCF"/>
    <w:rsid w:val="00A02044"/>
    <w:rsid w:val="00A02593"/>
    <w:rsid w:val="00A02659"/>
    <w:rsid w:val="00A03005"/>
    <w:rsid w:val="00A03173"/>
    <w:rsid w:val="00A050C0"/>
    <w:rsid w:val="00A0510D"/>
    <w:rsid w:val="00A05DE8"/>
    <w:rsid w:val="00A05E8C"/>
    <w:rsid w:val="00A07359"/>
    <w:rsid w:val="00A07D84"/>
    <w:rsid w:val="00A1023E"/>
    <w:rsid w:val="00A11773"/>
    <w:rsid w:val="00A13811"/>
    <w:rsid w:val="00A14CAD"/>
    <w:rsid w:val="00A14F46"/>
    <w:rsid w:val="00A1734A"/>
    <w:rsid w:val="00A17BE8"/>
    <w:rsid w:val="00A21733"/>
    <w:rsid w:val="00A218E5"/>
    <w:rsid w:val="00A219DA"/>
    <w:rsid w:val="00A21B07"/>
    <w:rsid w:val="00A22284"/>
    <w:rsid w:val="00A235D0"/>
    <w:rsid w:val="00A237F8"/>
    <w:rsid w:val="00A23AB7"/>
    <w:rsid w:val="00A23B93"/>
    <w:rsid w:val="00A2445C"/>
    <w:rsid w:val="00A24CE9"/>
    <w:rsid w:val="00A270BA"/>
    <w:rsid w:val="00A274FA"/>
    <w:rsid w:val="00A27FBE"/>
    <w:rsid w:val="00A30136"/>
    <w:rsid w:val="00A305AB"/>
    <w:rsid w:val="00A31FB2"/>
    <w:rsid w:val="00A325D3"/>
    <w:rsid w:val="00A3276A"/>
    <w:rsid w:val="00A32959"/>
    <w:rsid w:val="00A3313A"/>
    <w:rsid w:val="00A34054"/>
    <w:rsid w:val="00A3443E"/>
    <w:rsid w:val="00A349D2"/>
    <w:rsid w:val="00A3543C"/>
    <w:rsid w:val="00A35DAF"/>
    <w:rsid w:val="00A37525"/>
    <w:rsid w:val="00A37925"/>
    <w:rsid w:val="00A40453"/>
    <w:rsid w:val="00A40ACB"/>
    <w:rsid w:val="00A41E4A"/>
    <w:rsid w:val="00A42506"/>
    <w:rsid w:val="00A42BC6"/>
    <w:rsid w:val="00A4327F"/>
    <w:rsid w:val="00A43392"/>
    <w:rsid w:val="00A442C4"/>
    <w:rsid w:val="00A443C1"/>
    <w:rsid w:val="00A44EF0"/>
    <w:rsid w:val="00A45CFF"/>
    <w:rsid w:val="00A462D5"/>
    <w:rsid w:val="00A46F7A"/>
    <w:rsid w:val="00A474C0"/>
    <w:rsid w:val="00A477D0"/>
    <w:rsid w:val="00A50234"/>
    <w:rsid w:val="00A50953"/>
    <w:rsid w:val="00A51747"/>
    <w:rsid w:val="00A518CE"/>
    <w:rsid w:val="00A537A8"/>
    <w:rsid w:val="00A547F4"/>
    <w:rsid w:val="00A558E6"/>
    <w:rsid w:val="00A572BC"/>
    <w:rsid w:val="00A575AA"/>
    <w:rsid w:val="00A5798D"/>
    <w:rsid w:val="00A57F5F"/>
    <w:rsid w:val="00A60016"/>
    <w:rsid w:val="00A607ED"/>
    <w:rsid w:val="00A60F1F"/>
    <w:rsid w:val="00A60FB9"/>
    <w:rsid w:val="00A61E11"/>
    <w:rsid w:val="00A62A60"/>
    <w:rsid w:val="00A63B88"/>
    <w:rsid w:val="00A64EE3"/>
    <w:rsid w:val="00A6564B"/>
    <w:rsid w:val="00A666E5"/>
    <w:rsid w:val="00A67D28"/>
    <w:rsid w:val="00A706EA"/>
    <w:rsid w:val="00A70CF3"/>
    <w:rsid w:val="00A715B0"/>
    <w:rsid w:val="00A716C2"/>
    <w:rsid w:val="00A719DE"/>
    <w:rsid w:val="00A72690"/>
    <w:rsid w:val="00A72857"/>
    <w:rsid w:val="00A72A35"/>
    <w:rsid w:val="00A73AB4"/>
    <w:rsid w:val="00A73F54"/>
    <w:rsid w:val="00A743FB"/>
    <w:rsid w:val="00A74E9D"/>
    <w:rsid w:val="00A75260"/>
    <w:rsid w:val="00A75EE4"/>
    <w:rsid w:val="00A76BEE"/>
    <w:rsid w:val="00A770CD"/>
    <w:rsid w:val="00A77CCE"/>
    <w:rsid w:val="00A77E4A"/>
    <w:rsid w:val="00A8029E"/>
    <w:rsid w:val="00A80550"/>
    <w:rsid w:val="00A80EF4"/>
    <w:rsid w:val="00A81509"/>
    <w:rsid w:val="00A82724"/>
    <w:rsid w:val="00A85A3A"/>
    <w:rsid w:val="00A85DD3"/>
    <w:rsid w:val="00A86004"/>
    <w:rsid w:val="00A8620F"/>
    <w:rsid w:val="00A8769A"/>
    <w:rsid w:val="00A87C4E"/>
    <w:rsid w:val="00A87F72"/>
    <w:rsid w:val="00A90030"/>
    <w:rsid w:val="00A9005D"/>
    <w:rsid w:val="00A90873"/>
    <w:rsid w:val="00A90C0A"/>
    <w:rsid w:val="00A91D16"/>
    <w:rsid w:val="00A92889"/>
    <w:rsid w:val="00A92D7D"/>
    <w:rsid w:val="00A92DEC"/>
    <w:rsid w:val="00A941F5"/>
    <w:rsid w:val="00A94982"/>
    <w:rsid w:val="00A94D69"/>
    <w:rsid w:val="00A9576E"/>
    <w:rsid w:val="00A972F8"/>
    <w:rsid w:val="00A97EE2"/>
    <w:rsid w:val="00AA0660"/>
    <w:rsid w:val="00AA0C1B"/>
    <w:rsid w:val="00AA13C2"/>
    <w:rsid w:val="00AA218B"/>
    <w:rsid w:val="00AA223A"/>
    <w:rsid w:val="00AA22A7"/>
    <w:rsid w:val="00AA23F6"/>
    <w:rsid w:val="00AA2A0A"/>
    <w:rsid w:val="00AA384F"/>
    <w:rsid w:val="00AA41CF"/>
    <w:rsid w:val="00AA590E"/>
    <w:rsid w:val="00AA60EE"/>
    <w:rsid w:val="00AA6228"/>
    <w:rsid w:val="00AA69A4"/>
    <w:rsid w:val="00AA736D"/>
    <w:rsid w:val="00AB1761"/>
    <w:rsid w:val="00AB258C"/>
    <w:rsid w:val="00AB274F"/>
    <w:rsid w:val="00AB3F28"/>
    <w:rsid w:val="00AB5092"/>
    <w:rsid w:val="00AB6358"/>
    <w:rsid w:val="00AB6BE3"/>
    <w:rsid w:val="00AB7113"/>
    <w:rsid w:val="00AC07E5"/>
    <w:rsid w:val="00AC10C7"/>
    <w:rsid w:val="00AC13B7"/>
    <w:rsid w:val="00AC1518"/>
    <w:rsid w:val="00AC19BA"/>
    <w:rsid w:val="00AC1CE4"/>
    <w:rsid w:val="00AC241C"/>
    <w:rsid w:val="00AC36D2"/>
    <w:rsid w:val="00AC3F55"/>
    <w:rsid w:val="00AC3F60"/>
    <w:rsid w:val="00AC4137"/>
    <w:rsid w:val="00AC4933"/>
    <w:rsid w:val="00AC547F"/>
    <w:rsid w:val="00AC61A6"/>
    <w:rsid w:val="00AC6585"/>
    <w:rsid w:val="00AC6747"/>
    <w:rsid w:val="00AC7118"/>
    <w:rsid w:val="00AD070E"/>
    <w:rsid w:val="00AD0B3C"/>
    <w:rsid w:val="00AD0E08"/>
    <w:rsid w:val="00AD1BA6"/>
    <w:rsid w:val="00AD4561"/>
    <w:rsid w:val="00AD4FD5"/>
    <w:rsid w:val="00AD51A1"/>
    <w:rsid w:val="00AD528A"/>
    <w:rsid w:val="00AD59D3"/>
    <w:rsid w:val="00AD623D"/>
    <w:rsid w:val="00AD6463"/>
    <w:rsid w:val="00AD7076"/>
    <w:rsid w:val="00AD712F"/>
    <w:rsid w:val="00AE1504"/>
    <w:rsid w:val="00AE28FE"/>
    <w:rsid w:val="00AE5BF6"/>
    <w:rsid w:val="00AF1048"/>
    <w:rsid w:val="00AF1979"/>
    <w:rsid w:val="00AF1F04"/>
    <w:rsid w:val="00AF1FE0"/>
    <w:rsid w:val="00AF21E7"/>
    <w:rsid w:val="00AF2E4E"/>
    <w:rsid w:val="00AF3778"/>
    <w:rsid w:val="00AF51AD"/>
    <w:rsid w:val="00AF5838"/>
    <w:rsid w:val="00AF5900"/>
    <w:rsid w:val="00AF62E8"/>
    <w:rsid w:val="00AF6A1C"/>
    <w:rsid w:val="00AF6D87"/>
    <w:rsid w:val="00AF71BA"/>
    <w:rsid w:val="00AF7720"/>
    <w:rsid w:val="00AF77BD"/>
    <w:rsid w:val="00AF78EA"/>
    <w:rsid w:val="00B00E7A"/>
    <w:rsid w:val="00B016F7"/>
    <w:rsid w:val="00B02514"/>
    <w:rsid w:val="00B030C5"/>
    <w:rsid w:val="00B039F3"/>
    <w:rsid w:val="00B03B3A"/>
    <w:rsid w:val="00B055B9"/>
    <w:rsid w:val="00B10987"/>
    <w:rsid w:val="00B10BAD"/>
    <w:rsid w:val="00B119B6"/>
    <w:rsid w:val="00B11A97"/>
    <w:rsid w:val="00B124B4"/>
    <w:rsid w:val="00B13D85"/>
    <w:rsid w:val="00B1481E"/>
    <w:rsid w:val="00B14CBB"/>
    <w:rsid w:val="00B14D80"/>
    <w:rsid w:val="00B14E74"/>
    <w:rsid w:val="00B16108"/>
    <w:rsid w:val="00B1764D"/>
    <w:rsid w:val="00B1786A"/>
    <w:rsid w:val="00B206D8"/>
    <w:rsid w:val="00B20975"/>
    <w:rsid w:val="00B2133E"/>
    <w:rsid w:val="00B235B5"/>
    <w:rsid w:val="00B23A7C"/>
    <w:rsid w:val="00B23CBF"/>
    <w:rsid w:val="00B2441C"/>
    <w:rsid w:val="00B25275"/>
    <w:rsid w:val="00B25407"/>
    <w:rsid w:val="00B263B2"/>
    <w:rsid w:val="00B27684"/>
    <w:rsid w:val="00B27805"/>
    <w:rsid w:val="00B30A40"/>
    <w:rsid w:val="00B30B2D"/>
    <w:rsid w:val="00B312C7"/>
    <w:rsid w:val="00B314D6"/>
    <w:rsid w:val="00B315EE"/>
    <w:rsid w:val="00B31E3B"/>
    <w:rsid w:val="00B3289B"/>
    <w:rsid w:val="00B330C8"/>
    <w:rsid w:val="00B33884"/>
    <w:rsid w:val="00B34922"/>
    <w:rsid w:val="00B34A5E"/>
    <w:rsid w:val="00B34BEC"/>
    <w:rsid w:val="00B35C18"/>
    <w:rsid w:val="00B36C00"/>
    <w:rsid w:val="00B37007"/>
    <w:rsid w:val="00B37405"/>
    <w:rsid w:val="00B379A0"/>
    <w:rsid w:val="00B37D77"/>
    <w:rsid w:val="00B401FC"/>
    <w:rsid w:val="00B4182C"/>
    <w:rsid w:val="00B41B33"/>
    <w:rsid w:val="00B42CA6"/>
    <w:rsid w:val="00B443A3"/>
    <w:rsid w:val="00B44755"/>
    <w:rsid w:val="00B44CE7"/>
    <w:rsid w:val="00B45356"/>
    <w:rsid w:val="00B453A8"/>
    <w:rsid w:val="00B4563D"/>
    <w:rsid w:val="00B477D1"/>
    <w:rsid w:val="00B50131"/>
    <w:rsid w:val="00B5126B"/>
    <w:rsid w:val="00B51FEE"/>
    <w:rsid w:val="00B549E4"/>
    <w:rsid w:val="00B54A5F"/>
    <w:rsid w:val="00B54D52"/>
    <w:rsid w:val="00B54DDC"/>
    <w:rsid w:val="00B570AB"/>
    <w:rsid w:val="00B606B7"/>
    <w:rsid w:val="00B60E95"/>
    <w:rsid w:val="00B62B87"/>
    <w:rsid w:val="00B63502"/>
    <w:rsid w:val="00B63636"/>
    <w:rsid w:val="00B644C2"/>
    <w:rsid w:val="00B64BF1"/>
    <w:rsid w:val="00B64D8A"/>
    <w:rsid w:val="00B64EF9"/>
    <w:rsid w:val="00B66073"/>
    <w:rsid w:val="00B66075"/>
    <w:rsid w:val="00B678B4"/>
    <w:rsid w:val="00B67A76"/>
    <w:rsid w:val="00B700BB"/>
    <w:rsid w:val="00B70791"/>
    <w:rsid w:val="00B71632"/>
    <w:rsid w:val="00B72A61"/>
    <w:rsid w:val="00B73838"/>
    <w:rsid w:val="00B74C84"/>
    <w:rsid w:val="00B74D9D"/>
    <w:rsid w:val="00B75548"/>
    <w:rsid w:val="00B75DD8"/>
    <w:rsid w:val="00B76E3F"/>
    <w:rsid w:val="00B77623"/>
    <w:rsid w:val="00B81371"/>
    <w:rsid w:val="00B8193E"/>
    <w:rsid w:val="00B8335E"/>
    <w:rsid w:val="00B83900"/>
    <w:rsid w:val="00B84FED"/>
    <w:rsid w:val="00B85B1C"/>
    <w:rsid w:val="00B8601B"/>
    <w:rsid w:val="00B86C2C"/>
    <w:rsid w:val="00B86D4B"/>
    <w:rsid w:val="00B86E90"/>
    <w:rsid w:val="00B90D3C"/>
    <w:rsid w:val="00B91835"/>
    <w:rsid w:val="00B91FA8"/>
    <w:rsid w:val="00B91FAB"/>
    <w:rsid w:val="00B924C9"/>
    <w:rsid w:val="00B92825"/>
    <w:rsid w:val="00B932D8"/>
    <w:rsid w:val="00B93AFD"/>
    <w:rsid w:val="00B941D0"/>
    <w:rsid w:val="00B9556A"/>
    <w:rsid w:val="00B95CD2"/>
    <w:rsid w:val="00B95D84"/>
    <w:rsid w:val="00B96464"/>
    <w:rsid w:val="00B96A20"/>
    <w:rsid w:val="00B96A5B"/>
    <w:rsid w:val="00B974B4"/>
    <w:rsid w:val="00BA0169"/>
    <w:rsid w:val="00BA069C"/>
    <w:rsid w:val="00BA0821"/>
    <w:rsid w:val="00BA0AD4"/>
    <w:rsid w:val="00BA10F4"/>
    <w:rsid w:val="00BA1513"/>
    <w:rsid w:val="00BA1666"/>
    <w:rsid w:val="00BA22E0"/>
    <w:rsid w:val="00BA34F9"/>
    <w:rsid w:val="00BA3F66"/>
    <w:rsid w:val="00BA4A54"/>
    <w:rsid w:val="00BA52D7"/>
    <w:rsid w:val="00BA56A8"/>
    <w:rsid w:val="00BA5DD5"/>
    <w:rsid w:val="00BA61BB"/>
    <w:rsid w:val="00BA62CB"/>
    <w:rsid w:val="00BA75C1"/>
    <w:rsid w:val="00BB15A6"/>
    <w:rsid w:val="00BB17BF"/>
    <w:rsid w:val="00BB2B24"/>
    <w:rsid w:val="00BB30F0"/>
    <w:rsid w:val="00BB3156"/>
    <w:rsid w:val="00BB3B19"/>
    <w:rsid w:val="00BB3E82"/>
    <w:rsid w:val="00BB56F5"/>
    <w:rsid w:val="00BB6662"/>
    <w:rsid w:val="00BB675D"/>
    <w:rsid w:val="00BB68DC"/>
    <w:rsid w:val="00BC09E5"/>
    <w:rsid w:val="00BC0DA6"/>
    <w:rsid w:val="00BC13F7"/>
    <w:rsid w:val="00BC25C5"/>
    <w:rsid w:val="00BC2836"/>
    <w:rsid w:val="00BC2AAB"/>
    <w:rsid w:val="00BC3150"/>
    <w:rsid w:val="00BC4E4B"/>
    <w:rsid w:val="00BC5BA0"/>
    <w:rsid w:val="00BC69B7"/>
    <w:rsid w:val="00BC755B"/>
    <w:rsid w:val="00BD1B67"/>
    <w:rsid w:val="00BD3BA2"/>
    <w:rsid w:val="00BD3FFB"/>
    <w:rsid w:val="00BD5ACF"/>
    <w:rsid w:val="00BD5FC4"/>
    <w:rsid w:val="00BE00FA"/>
    <w:rsid w:val="00BE0B1A"/>
    <w:rsid w:val="00BE0C95"/>
    <w:rsid w:val="00BE0E63"/>
    <w:rsid w:val="00BE1152"/>
    <w:rsid w:val="00BE15C4"/>
    <w:rsid w:val="00BE203D"/>
    <w:rsid w:val="00BE26B9"/>
    <w:rsid w:val="00BE38BC"/>
    <w:rsid w:val="00BE430D"/>
    <w:rsid w:val="00BE5B14"/>
    <w:rsid w:val="00BE5F02"/>
    <w:rsid w:val="00BE63DC"/>
    <w:rsid w:val="00BE7363"/>
    <w:rsid w:val="00BE7C89"/>
    <w:rsid w:val="00BF01CB"/>
    <w:rsid w:val="00BF0848"/>
    <w:rsid w:val="00BF0D16"/>
    <w:rsid w:val="00BF2854"/>
    <w:rsid w:val="00BF2E2C"/>
    <w:rsid w:val="00BF310D"/>
    <w:rsid w:val="00BF5B19"/>
    <w:rsid w:val="00BF5B55"/>
    <w:rsid w:val="00BF5EF4"/>
    <w:rsid w:val="00BF6D83"/>
    <w:rsid w:val="00C00017"/>
    <w:rsid w:val="00C0138A"/>
    <w:rsid w:val="00C020B9"/>
    <w:rsid w:val="00C0217D"/>
    <w:rsid w:val="00C023F8"/>
    <w:rsid w:val="00C02746"/>
    <w:rsid w:val="00C02AAB"/>
    <w:rsid w:val="00C02D08"/>
    <w:rsid w:val="00C03887"/>
    <w:rsid w:val="00C0515E"/>
    <w:rsid w:val="00C0577F"/>
    <w:rsid w:val="00C05C75"/>
    <w:rsid w:val="00C06DE1"/>
    <w:rsid w:val="00C073BF"/>
    <w:rsid w:val="00C10372"/>
    <w:rsid w:val="00C126E3"/>
    <w:rsid w:val="00C12AF6"/>
    <w:rsid w:val="00C12D36"/>
    <w:rsid w:val="00C13B9F"/>
    <w:rsid w:val="00C14291"/>
    <w:rsid w:val="00C14542"/>
    <w:rsid w:val="00C15336"/>
    <w:rsid w:val="00C15754"/>
    <w:rsid w:val="00C16AA8"/>
    <w:rsid w:val="00C16BBA"/>
    <w:rsid w:val="00C201C1"/>
    <w:rsid w:val="00C20722"/>
    <w:rsid w:val="00C20BFF"/>
    <w:rsid w:val="00C21141"/>
    <w:rsid w:val="00C2139F"/>
    <w:rsid w:val="00C2181B"/>
    <w:rsid w:val="00C225BA"/>
    <w:rsid w:val="00C22F9F"/>
    <w:rsid w:val="00C23941"/>
    <w:rsid w:val="00C24339"/>
    <w:rsid w:val="00C24682"/>
    <w:rsid w:val="00C247B3"/>
    <w:rsid w:val="00C24FD2"/>
    <w:rsid w:val="00C251E9"/>
    <w:rsid w:val="00C26954"/>
    <w:rsid w:val="00C271AA"/>
    <w:rsid w:val="00C279AD"/>
    <w:rsid w:val="00C27CBC"/>
    <w:rsid w:val="00C3089B"/>
    <w:rsid w:val="00C30F98"/>
    <w:rsid w:val="00C3112A"/>
    <w:rsid w:val="00C318B7"/>
    <w:rsid w:val="00C31C9D"/>
    <w:rsid w:val="00C31CF1"/>
    <w:rsid w:val="00C34285"/>
    <w:rsid w:val="00C35103"/>
    <w:rsid w:val="00C35483"/>
    <w:rsid w:val="00C378D3"/>
    <w:rsid w:val="00C40592"/>
    <w:rsid w:val="00C40C91"/>
    <w:rsid w:val="00C41AA4"/>
    <w:rsid w:val="00C43270"/>
    <w:rsid w:val="00C434F9"/>
    <w:rsid w:val="00C43B2C"/>
    <w:rsid w:val="00C440BE"/>
    <w:rsid w:val="00C44212"/>
    <w:rsid w:val="00C45BF0"/>
    <w:rsid w:val="00C45FA0"/>
    <w:rsid w:val="00C46026"/>
    <w:rsid w:val="00C46471"/>
    <w:rsid w:val="00C50D78"/>
    <w:rsid w:val="00C5279D"/>
    <w:rsid w:val="00C528F0"/>
    <w:rsid w:val="00C5394F"/>
    <w:rsid w:val="00C53F0C"/>
    <w:rsid w:val="00C5487B"/>
    <w:rsid w:val="00C55302"/>
    <w:rsid w:val="00C559EF"/>
    <w:rsid w:val="00C55E7B"/>
    <w:rsid w:val="00C56C71"/>
    <w:rsid w:val="00C56FDA"/>
    <w:rsid w:val="00C571C2"/>
    <w:rsid w:val="00C57782"/>
    <w:rsid w:val="00C6051A"/>
    <w:rsid w:val="00C616EE"/>
    <w:rsid w:val="00C61E8D"/>
    <w:rsid w:val="00C6220B"/>
    <w:rsid w:val="00C6469C"/>
    <w:rsid w:val="00C64E15"/>
    <w:rsid w:val="00C6595D"/>
    <w:rsid w:val="00C66059"/>
    <w:rsid w:val="00C66443"/>
    <w:rsid w:val="00C66C67"/>
    <w:rsid w:val="00C6734B"/>
    <w:rsid w:val="00C67920"/>
    <w:rsid w:val="00C7024C"/>
    <w:rsid w:val="00C71E96"/>
    <w:rsid w:val="00C733E9"/>
    <w:rsid w:val="00C7354D"/>
    <w:rsid w:val="00C73C25"/>
    <w:rsid w:val="00C74F56"/>
    <w:rsid w:val="00C750A0"/>
    <w:rsid w:val="00C75B75"/>
    <w:rsid w:val="00C76080"/>
    <w:rsid w:val="00C76498"/>
    <w:rsid w:val="00C76908"/>
    <w:rsid w:val="00C776E5"/>
    <w:rsid w:val="00C80542"/>
    <w:rsid w:val="00C80991"/>
    <w:rsid w:val="00C80BE8"/>
    <w:rsid w:val="00C80EFB"/>
    <w:rsid w:val="00C81097"/>
    <w:rsid w:val="00C816A5"/>
    <w:rsid w:val="00C82422"/>
    <w:rsid w:val="00C83A91"/>
    <w:rsid w:val="00C83C29"/>
    <w:rsid w:val="00C84A05"/>
    <w:rsid w:val="00C851D9"/>
    <w:rsid w:val="00C858C7"/>
    <w:rsid w:val="00C86964"/>
    <w:rsid w:val="00C87160"/>
    <w:rsid w:val="00C90BE5"/>
    <w:rsid w:val="00C90C75"/>
    <w:rsid w:val="00C910AC"/>
    <w:rsid w:val="00C93068"/>
    <w:rsid w:val="00C9357D"/>
    <w:rsid w:val="00C9486B"/>
    <w:rsid w:val="00C9545D"/>
    <w:rsid w:val="00C978B2"/>
    <w:rsid w:val="00CA063C"/>
    <w:rsid w:val="00CA06D5"/>
    <w:rsid w:val="00CA0769"/>
    <w:rsid w:val="00CA18ED"/>
    <w:rsid w:val="00CA1D49"/>
    <w:rsid w:val="00CA2180"/>
    <w:rsid w:val="00CA2A54"/>
    <w:rsid w:val="00CA2D3F"/>
    <w:rsid w:val="00CA316E"/>
    <w:rsid w:val="00CA414B"/>
    <w:rsid w:val="00CA4625"/>
    <w:rsid w:val="00CA4910"/>
    <w:rsid w:val="00CA5074"/>
    <w:rsid w:val="00CA5844"/>
    <w:rsid w:val="00CA5A42"/>
    <w:rsid w:val="00CA5B37"/>
    <w:rsid w:val="00CA6AD4"/>
    <w:rsid w:val="00CA7507"/>
    <w:rsid w:val="00CB00F7"/>
    <w:rsid w:val="00CB10EB"/>
    <w:rsid w:val="00CB1899"/>
    <w:rsid w:val="00CB1A83"/>
    <w:rsid w:val="00CB1FB3"/>
    <w:rsid w:val="00CB2B6B"/>
    <w:rsid w:val="00CB3600"/>
    <w:rsid w:val="00CB44F3"/>
    <w:rsid w:val="00CB4A46"/>
    <w:rsid w:val="00CB4AB4"/>
    <w:rsid w:val="00CB4C1C"/>
    <w:rsid w:val="00CB55FC"/>
    <w:rsid w:val="00CB5B35"/>
    <w:rsid w:val="00CB6AAB"/>
    <w:rsid w:val="00CB7A22"/>
    <w:rsid w:val="00CC0815"/>
    <w:rsid w:val="00CC0EA9"/>
    <w:rsid w:val="00CC360E"/>
    <w:rsid w:val="00CC3656"/>
    <w:rsid w:val="00CC41A7"/>
    <w:rsid w:val="00CC5686"/>
    <w:rsid w:val="00CC5FB0"/>
    <w:rsid w:val="00CC6748"/>
    <w:rsid w:val="00CC75C5"/>
    <w:rsid w:val="00CC7863"/>
    <w:rsid w:val="00CD10E5"/>
    <w:rsid w:val="00CD1D4E"/>
    <w:rsid w:val="00CD3360"/>
    <w:rsid w:val="00CD3580"/>
    <w:rsid w:val="00CD39B5"/>
    <w:rsid w:val="00CD4082"/>
    <w:rsid w:val="00CD5B84"/>
    <w:rsid w:val="00CD5C1E"/>
    <w:rsid w:val="00CD641E"/>
    <w:rsid w:val="00CD76D4"/>
    <w:rsid w:val="00CD7893"/>
    <w:rsid w:val="00CD79C0"/>
    <w:rsid w:val="00CD7DDD"/>
    <w:rsid w:val="00CE270B"/>
    <w:rsid w:val="00CE3261"/>
    <w:rsid w:val="00CE3ACB"/>
    <w:rsid w:val="00CE41BE"/>
    <w:rsid w:val="00CE57DE"/>
    <w:rsid w:val="00CE630A"/>
    <w:rsid w:val="00CE7D57"/>
    <w:rsid w:val="00CE7E6A"/>
    <w:rsid w:val="00CE7EDD"/>
    <w:rsid w:val="00CF0074"/>
    <w:rsid w:val="00CF03E6"/>
    <w:rsid w:val="00CF1291"/>
    <w:rsid w:val="00CF1ADD"/>
    <w:rsid w:val="00CF1F77"/>
    <w:rsid w:val="00CF26CB"/>
    <w:rsid w:val="00CF377E"/>
    <w:rsid w:val="00CF3B06"/>
    <w:rsid w:val="00CF6781"/>
    <w:rsid w:val="00CF6CBE"/>
    <w:rsid w:val="00CF6D7A"/>
    <w:rsid w:val="00D0063D"/>
    <w:rsid w:val="00D00672"/>
    <w:rsid w:val="00D0201A"/>
    <w:rsid w:val="00D02A31"/>
    <w:rsid w:val="00D0365A"/>
    <w:rsid w:val="00D03FEC"/>
    <w:rsid w:val="00D054ED"/>
    <w:rsid w:val="00D055F9"/>
    <w:rsid w:val="00D062B8"/>
    <w:rsid w:val="00D0686D"/>
    <w:rsid w:val="00D06C36"/>
    <w:rsid w:val="00D07D6B"/>
    <w:rsid w:val="00D10089"/>
    <w:rsid w:val="00D11AE0"/>
    <w:rsid w:val="00D11B56"/>
    <w:rsid w:val="00D12A22"/>
    <w:rsid w:val="00D13690"/>
    <w:rsid w:val="00D13CD2"/>
    <w:rsid w:val="00D143D7"/>
    <w:rsid w:val="00D1644D"/>
    <w:rsid w:val="00D16490"/>
    <w:rsid w:val="00D16EEC"/>
    <w:rsid w:val="00D1727F"/>
    <w:rsid w:val="00D172C0"/>
    <w:rsid w:val="00D216FA"/>
    <w:rsid w:val="00D23509"/>
    <w:rsid w:val="00D245D0"/>
    <w:rsid w:val="00D24E56"/>
    <w:rsid w:val="00D250C4"/>
    <w:rsid w:val="00D25359"/>
    <w:rsid w:val="00D26A4E"/>
    <w:rsid w:val="00D270E2"/>
    <w:rsid w:val="00D2734A"/>
    <w:rsid w:val="00D273F8"/>
    <w:rsid w:val="00D32A2E"/>
    <w:rsid w:val="00D341E6"/>
    <w:rsid w:val="00D3451C"/>
    <w:rsid w:val="00D3572E"/>
    <w:rsid w:val="00D35986"/>
    <w:rsid w:val="00D35E27"/>
    <w:rsid w:val="00D36173"/>
    <w:rsid w:val="00D36631"/>
    <w:rsid w:val="00D3789A"/>
    <w:rsid w:val="00D40A05"/>
    <w:rsid w:val="00D41301"/>
    <w:rsid w:val="00D41E2D"/>
    <w:rsid w:val="00D423B5"/>
    <w:rsid w:val="00D43146"/>
    <w:rsid w:val="00D4338A"/>
    <w:rsid w:val="00D43578"/>
    <w:rsid w:val="00D43AAD"/>
    <w:rsid w:val="00D451D1"/>
    <w:rsid w:val="00D45B8C"/>
    <w:rsid w:val="00D46D9C"/>
    <w:rsid w:val="00D4793C"/>
    <w:rsid w:val="00D50842"/>
    <w:rsid w:val="00D521BF"/>
    <w:rsid w:val="00D5273B"/>
    <w:rsid w:val="00D53A58"/>
    <w:rsid w:val="00D53DA0"/>
    <w:rsid w:val="00D542D1"/>
    <w:rsid w:val="00D547D2"/>
    <w:rsid w:val="00D55390"/>
    <w:rsid w:val="00D5594A"/>
    <w:rsid w:val="00D55B7A"/>
    <w:rsid w:val="00D56E54"/>
    <w:rsid w:val="00D573A8"/>
    <w:rsid w:val="00D57969"/>
    <w:rsid w:val="00D57990"/>
    <w:rsid w:val="00D6024B"/>
    <w:rsid w:val="00D60281"/>
    <w:rsid w:val="00D608A1"/>
    <w:rsid w:val="00D60E1C"/>
    <w:rsid w:val="00D6131A"/>
    <w:rsid w:val="00D622AB"/>
    <w:rsid w:val="00D624E8"/>
    <w:rsid w:val="00D62A2E"/>
    <w:rsid w:val="00D6429A"/>
    <w:rsid w:val="00D6497C"/>
    <w:rsid w:val="00D64B5C"/>
    <w:rsid w:val="00D65068"/>
    <w:rsid w:val="00D67455"/>
    <w:rsid w:val="00D7234D"/>
    <w:rsid w:val="00D732AE"/>
    <w:rsid w:val="00D74208"/>
    <w:rsid w:val="00D74CC9"/>
    <w:rsid w:val="00D751F4"/>
    <w:rsid w:val="00D755D6"/>
    <w:rsid w:val="00D76A91"/>
    <w:rsid w:val="00D779DF"/>
    <w:rsid w:val="00D808C3"/>
    <w:rsid w:val="00D809C7"/>
    <w:rsid w:val="00D8144C"/>
    <w:rsid w:val="00D8246A"/>
    <w:rsid w:val="00D830A4"/>
    <w:rsid w:val="00D83C17"/>
    <w:rsid w:val="00D83FC0"/>
    <w:rsid w:val="00D847AA"/>
    <w:rsid w:val="00D84CDE"/>
    <w:rsid w:val="00D85016"/>
    <w:rsid w:val="00D85797"/>
    <w:rsid w:val="00D85885"/>
    <w:rsid w:val="00D87652"/>
    <w:rsid w:val="00D9132D"/>
    <w:rsid w:val="00D91522"/>
    <w:rsid w:val="00D9298F"/>
    <w:rsid w:val="00D92AAF"/>
    <w:rsid w:val="00D954C6"/>
    <w:rsid w:val="00D9554E"/>
    <w:rsid w:val="00D9641E"/>
    <w:rsid w:val="00D96DB8"/>
    <w:rsid w:val="00D97019"/>
    <w:rsid w:val="00D97444"/>
    <w:rsid w:val="00DA00B7"/>
    <w:rsid w:val="00DA13A4"/>
    <w:rsid w:val="00DA2BD5"/>
    <w:rsid w:val="00DA2F08"/>
    <w:rsid w:val="00DA3F70"/>
    <w:rsid w:val="00DA4776"/>
    <w:rsid w:val="00DA52E1"/>
    <w:rsid w:val="00DA5697"/>
    <w:rsid w:val="00DA59C7"/>
    <w:rsid w:val="00DA70CC"/>
    <w:rsid w:val="00DA7126"/>
    <w:rsid w:val="00DB22B7"/>
    <w:rsid w:val="00DB372E"/>
    <w:rsid w:val="00DB39BF"/>
    <w:rsid w:val="00DB4BEF"/>
    <w:rsid w:val="00DB631B"/>
    <w:rsid w:val="00DB6CC6"/>
    <w:rsid w:val="00DB75A1"/>
    <w:rsid w:val="00DB7EEC"/>
    <w:rsid w:val="00DC0C55"/>
    <w:rsid w:val="00DC0C9A"/>
    <w:rsid w:val="00DC1000"/>
    <w:rsid w:val="00DC10FA"/>
    <w:rsid w:val="00DC121D"/>
    <w:rsid w:val="00DC2347"/>
    <w:rsid w:val="00DC3181"/>
    <w:rsid w:val="00DC34B2"/>
    <w:rsid w:val="00DC38AC"/>
    <w:rsid w:val="00DC4246"/>
    <w:rsid w:val="00DC4550"/>
    <w:rsid w:val="00DC4FE1"/>
    <w:rsid w:val="00DC62F6"/>
    <w:rsid w:val="00DC6AEA"/>
    <w:rsid w:val="00DC6FF3"/>
    <w:rsid w:val="00DC77CE"/>
    <w:rsid w:val="00DC7AF4"/>
    <w:rsid w:val="00DD03D3"/>
    <w:rsid w:val="00DD11C6"/>
    <w:rsid w:val="00DD16BF"/>
    <w:rsid w:val="00DD25E2"/>
    <w:rsid w:val="00DD2628"/>
    <w:rsid w:val="00DD45C1"/>
    <w:rsid w:val="00DD5EC6"/>
    <w:rsid w:val="00DD6E22"/>
    <w:rsid w:val="00DE00D7"/>
    <w:rsid w:val="00DE015A"/>
    <w:rsid w:val="00DE156E"/>
    <w:rsid w:val="00DE236C"/>
    <w:rsid w:val="00DE28A7"/>
    <w:rsid w:val="00DE329E"/>
    <w:rsid w:val="00DE3ABB"/>
    <w:rsid w:val="00DE3D8D"/>
    <w:rsid w:val="00DE5DB4"/>
    <w:rsid w:val="00DE70DC"/>
    <w:rsid w:val="00DE74C8"/>
    <w:rsid w:val="00DF2328"/>
    <w:rsid w:val="00DF241E"/>
    <w:rsid w:val="00DF2421"/>
    <w:rsid w:val="00DF265C"/>
    <w:rsid w:val="00DF32B0"/>
    <w:rsid w:val="00DF3376"/>
    <w:rsid w:val="00DF3FA2"/>
    <w:rsid w:val="00DF5C1A"/>
    <w:rsid w:val="00DF64E7"/>
    <w:rsid w:val="00DF6625"/>
    <w:rsid w:val="00DF6687"/>
    <w:rsid w:val="00DF7384"/>
    <w:rsid w:val="00E00510"/>
    <w:rsid w:val="00E0068A"/>
    <w:rsid w:val="00E007C2"/>
    <w:rsid w:val="00E00812"/>
    <w:rsid w:val="00E016A3"/>
    <w:rsid w:val="00E01739"/>
    <w:rsid w:val="00E01CE3"/>
    <w:rsid w:val="00E02777"/>
    <w:rsid w:val="00E028C6"/>
    <w:rsid w:val="00E03246"/>
    <w:rsid w:val="00E03C0E"/>
    <w:rsid w:val="00E04848"/>
    <w:rsid w:val="00E05D8B"/>
    <w:rsid w:val="00E11872"/>
    <w:rsid w:val="00E12D1C"/>
    <w:rsid w:val="00E140CC"/>
    <w:rsid w:val="00E15453"/>
    <w:rsid w:val="00E15875"/>
    <w:rsid w:val="00E15B5E"/>
    <w:rsid w:val="00E1688C"/>
    <w:rsid w:val="00E16A8F"/>
    <w:rsid w:val="00E16EE5"/>
    <w:rsid w:val="00E2104E"/>
    <w:rsid w:val="00E22193"/>
    <w:rsid w:val="00E229C8"/>
    <w:rsid w:val="00E239DF"/>
    <w:rsid w:val="00E25313"/>
    <w:rsid w:val="00E25E9A"/>
    <w:rsid w:val="00E26DF5"/>
    <w:rsid w:val="00E276BA"/>
    <w:rsid w:val="00E30BC2"/>
    <w:rsid w:val="00E30BDE"/>
    <w:rsid w:val="00E3130C"/>
    <w:rsid w:val="00E31ED5"/>
    <w:rsid w:val="00E32A4E"/>
    <w:rsid w:val="00E32DDF"/>
    <w:rsid w:val="00E336A7"/>
    <w:rsid w:val="00E3446C"/>
    <w:rsid w:val="00E3447E"/>
    <w:rsid w:val="00E348A7"/>
    <w:rsid w:val="00E349A0"/>
    <w:rsid w:val="00E34C57"/>
    <w:rsid w:val="00E34CE5"/>
    <w:rsid w:val="00E350EF"/>
    <w:rsid w:val="00E37A0A"/>
    <w:rsid w:val="00E37DA6"/>
    <w:rsid w:val="00E4023F"/>
    <w:rsid w:val="00E41154"/>
    <w:rsid w:val="00E412B2"/>
    <w:rsid w:val="00E41937"/>
    <w:rsid w:val="00E41B88"/>
    <w:rsid w:val="00E4282D"/>
    <w:rsid w:val="00E43ABE"/>
    <w:rsid w:val="00E44129"/>
    <w:rsid w:val="00E44326"/>
    <w:rsid w:val="00E445BD"/>
    <w:rsid w:val="00E4515A"/>
    <w:rsid w:val="00E4515C"/>
    <w:rsid w:val="00E46D50"/>
    <w:rsid w:val="00E46F12"/>
    <w:rsid w:val="00E479A1"/>
    <w:rsid w:val="00E47F13"/>
    <w:rsid w:val="00E50804"/>
    <w:rsid w:val="00E50A9C"/>
    <w:rsid w:val="00E51942"/>
    <w:rsid w:val="00E519E1"/>
    <w:rsid w:val="00E53122"/>
    <w:rsid w:val="00E531DF"/>
    <w:rsid w:val="00E53334"/>
    <w:rsid w:val="00E53654"/>
    <w:rsid w:val="00E5461E"/>
    <w:rsid w:val="00E549F5"/>
    <w:rsid w:val="00E54E43"/>
    <w:rsid w:val="00E563A0"/>
    <w:rsid w:val="00E5713E"/>
    <w:rsid w:val="00E573EE"/>
    <w:rsid w:val="00E609BA"/>
    <w:rsid w:val="00E6120E"/>
    <w:rsid w:val="00E61CB9"/>
    <w:rsid w:val="00E62066"/>
    <w:rsid w:val="00E627D0"/>
    <w:rsid w:val="00E62DAE"/>
    <w:rsid w:val="00E6302E"/>
    <w:rsid w:val="00E63062"/>
    <w:rsid w:val="00E63879"/>
    <w:rsid w:val="00E648B7"/>
    <w:rsid w:val="00E64CEE"/>
    <w:rsid w:val="00E65E2E"/>
    <w:rsid w:val="00E67D5F"/>
    <w:rsid w:val="00E67EB7"/>
    <w:rsid w:val="00E70E9E"/>
    <w:rsid w:val="00E70F06"/>
    <w:rsid w:val="00E70FF1"/>
    <w:rsid w:val="00E727B7"/>
    <w:rsid w:val="00E730AA"/>
    <w:rsid w:val="00E74768"/>
    <w:rsid w:val="00E74B72"/>
    <w:rsid w:val="00E7543C"/>
    <w:rsid w:val="00E76158"/>
    <w:rsid w:val="00E76CD1"/>
    <w:rsid w:val="00E76F52"/>
    <w:rsid w:val="00E76FF6"/>
    <w:rsid w:val="00E80A23"/>
    <w:rsid w:val="00E829E3"/>
    <w:rsid w:val="00E82C38"/>
    <w:rsid w:val="00E83D40"/>
    <w:rsid w:val="00E83F4A"/>
    <w:rsid w:val="00E84957"/>
    <w:rsid w:val="00E849D4"/>
    <w:rsid w:val="00E850FE"/>
    <w:rsid w:val="00E863D2"/>
    <w:rsid w:val="00E866E1"/>
    <w:rsid w:val="00E86EF4"/>
    <w:rsid w:val="00E875D4"/>
    <w:rsid w:val="00E87C8A"/>
    <w:rsid w:val="00E90F63"/>
    <w:rsid w:val="00E916C4"/>
    <w:rsid w:val="00E91722"/>
    <w:rsid w:val="00E91B4E"/>
    <w:rsid w:val="00E92247"/>
    <w:rsid w:val="00E92503"/>
    <w:rsid w:val="00E9259B"/>
    <w:rsid w:val="00E933E5"/>
    <w:rsid w:val="00E9344C"/>
    <w:rsid w:val="00E93AF1"/>
    <w:rsid w:val="00E93E0F"/>
    <w:rsid w:val="00E94AB9"/>
    <w:rsid w:val="00E96CC9"/>
    <w:rsid w:val="00E96ECF"/>
    <w:rsid w:val="00E9707E"/>
    <w:rsid w:val="00E978D8"/>
    <w:rsid w:val="00EA0700"/>
    <w:rsid w:val="00EA07CD"/>
    <w:rsid w:val="00EA0983"/>
    <w:rsid w:val="00EA11A2"/>
    <w:rsid w:val="00EA3DBA"/>
    <w:rsid w:val="00EA3E0B"/>
    <w:rsid w:val="00EA3FDE"/>
    <w:rsid w:val="00EA4144"/>
    <w:rsid w:val="00EA5392"/>
    <w:rsid w:val="00EA5A2F"/>
    <w:rsid w:val="00EA5A8E"/>
    <w:rsid w:val="00EA6454"/>
    <w:rsid w:val="00EA6A50"/>
    <w:rsid w:val="00EA6C23"/>
    <w:rsid w:val="00EA6FBF"/>
    <w:rsid w:val="00EA7936"/>
    <w:rsid w:val="00EA795F"/>
    <w:rsid w:val="00EB00DC"/>
    <w:rsid w:val="00EB10A3"/>
    <w:rsid w:val="00EB1460"/>
    <w:rsid w:val="00EB1559"/>
    <w:rsid w:val="00EB1B46"/>
    <w:rsid w:val="00EB1EF0"/>
    <w:rsid w:val="00EB249B"/>
    <w:rsid w:val="00EB291A"/>
    <w:rsid w:val="00EB407D"/>
    <w:rsid w:val="00EB40DC"/>
    <w:rsid w:val="00EB4847"/>
    <w:rsid w:val="00EC02B8"/>
    <w:rsid w:val="00EC1BBC"/>
    <w:rsid w:val="00EC2B2B"/>
    <w:rsid w:val="00EC336C"/>
    <w:rsid w:val="00EC3605"/>
    <w:rsid w:val="00EC3934"/>
    <w:rsid w:val="00EC393C"/>
    <w:rsid w:val="00EC3A5F"/>
    <w:rsid w:val="00EC45D5"/>
    <w:rsid w:val="00EC4C3A"/>
    <w:rsid w:val="00EC5429"/>
    <w:rsid w:val="00EC55D0"/>
    <w:rsid w:val="00EC5B7B"/>
    <w:rsid w:val="00EC6B26"/>
    <w:rsid w:val="00EC6B99"/>
    <w:rsid w:val="00EC7352"/>
    <w:rsid w:val="00ED03B7"/>
    <w:rsid w:val="00ED1374"/>
    <w:rsid w:val="00ED188B"/>
    <w:rsid w:val="00ED1E03"/>
    <w:rsid w:val="00ED24E7"/>
    <w:rsid w:val="00ED25C2"/>
    <w:rsid w:val="00ED27E8"/>
    <w:rsid w:val="00ED3F83"/>
    <w:rsid w:val="00ED3FFE"/>
    <w:rsid w:val="00ED49B6"/>
    <w:rsid w:val="00EE0F52"/>
    <w:rsid w:val="00EE107C"/>
    <w:rsid w:val="00EE10A0"/>
    <w:rsid w:val="00EE272C"/>
    <w:rsid w:val="00EE2DA4"/>
    <w:rsid w:val="00EE36EB"/>
    <w:rsid w:val="00EE38DA"/>
    <w:rsid w:val="00EE3E9C"/>
    <w:rsid w:val="00EE42CA"/>
    <w:rsid w:val="00EE4760"/>
    <w:rsid w:val="00EE4F6A"/>
    <w:rsid w:val="00EE5A21"/>
    <w:rsid w:val="00EE6E2F"/>
    <w:rsid w:val="00EE7F91"/>
    <w:rsid w:val="00EF026E"/>
    <w:rsid w:val="00EF13C1"/>
    <w:rsid w:val="00EF151B"/>
    <w:rsid w:val="00EF18EF"/>
    <w:rsid w:val="00EF1BA3"/>
    <w:rsid w:val="00EF2477"/>
    <w:rsid w:val="00EF285F"/>
    <w:rsid w:val="00EF3108"/>
    <w:rsid w:val="00EF58D4"/>
    <w:rsid w:val="00EF5E91"/>
    <w:rsid w:val="00EF6658"/>
    <w:rsid w:val="00EF70B0"/>
    <w:rsid w:val="00EF740B"/>
    <w:rsid w:val="00EF74B6"/>
    <w:rsid w:val="00EF75F9"/>
    <w:rsid w:val="00EF7758"/>
    <w:rsid w:val="00F00988"/>
    <w:rsid w:val="00F01C37"/>
    <w:rsid w:val="00F01EEC"/>
    <w:rsid w:val="00F03378"/>
    <w:rsid w:val="00F03EAB"/>
    <w:rsid w:val="00F04044"/>
    <w:rsid w:val="00F0417B"/>
    <w:rsid w:val="00F042F9"/>
    <w:rsid w:val="00F046C8"/>
    <w:rsid w:val="00F05EAC"/>
    <w:rsid w:val="00F06AF6"/>
    <w:rsid w:val="00F0752D"/>
    <w:rsid w:val="00F076C4"/>
    <w:rsid w:val="00F0788E"/>
    <w:rsid w:val="00F079FA"/>
    <w:rsid w:val="00F07DFB"/>
    <w:rsid w:val="00F1111B"/>
    <w:rsid w:val="00F1131A"/>
    <w:rsid w:val="00F11BDE"/>
    <w:rsid w:val="00F13408"/>
    <w:rsid w:val="00F147C6"/>
    <w:rsid w:val="00F16C21"/>
    <w:rsid w:val="00F17126"/>
    <w:rsid w:val="00F20251"/>
    <w:rsid w:val="00F2045B"/>
    <w:rsid w:val="00F214E5"/>
    <w:rsid w:val="00F21DBF"/>
    <w:rsid w:val="00F21F44"/>
    <w:rsid w:val="00F22806"/>
    <w:rsid w:val="00F22F84"/>
    <w:rsid w:val="00F23C7C"/>
    <w:rsid w:val="00F2474A"/>
    <w:rsid w:val="00F24BC3"/>
    <w:rsid w:val="00F25266"/>
    <w:rsid w:val="00F26CAB"/>
    <w:rsid w:val="00F2706D"/>
    <w:rsid w:val="00F27C1E"/>
    <w:rsid w:val="00F27E74"/>
    <w:rsid w:val="00F30690"/>
    <w:rsid w:val="00F3166D"/>
    <w:rsid w:val="00F323E5"/>
    <w:rsid w:val="00F3265B"/>
    <w:rsid w:val="00F336C8"/>
    <w:rsid w:val="00F34201"/>
    <w:rsid w:val="00F34622"/>
    <w:rsid w:val="00F34BB7"/>
    <w:rsid w:val="00F35752"/>
    <w:rsid w:val="00F366EA"/>
    <w:rsid w:val="00F3693F"/>
    <w:rsid w:val="00F36B6B"/>
    <w:rsid w:val="00F37C94"/>
    <w:rsid w:val="00F40109"/>
    <w:rsid w:val="00F41CC3"/>
    <w:rsid w:val="00F41E88"/>
    <w:rsid w:val="00F42D31"/>
    <w:rsid w:val="00F42FB3"/>
    <w:rsid w:val="00F43D97"/>
    <w:rsid w:val="00F452A0"/>
    <w:rsid w:val="00F458B2"/>
    <w:rsid w:val="00F468DB"/>
    <w:rsid w:val="00F469F5"/>
    <w:rsid w:val="00F46E03"/>
    <w:rsid w:val="00F474F9"/>
    <w:rsid w:val="00F51118"/>
    <w:rsid w:val="00F51D89"/>
    <w:rsid w:val="00F523D6"/>
    <w:rsid w:val="00F52DE5"/>
    <w:rsid w:val="00F5370B"/>
    <w:rsid w:val="00F53C24"/>
    <w:rsid w:val="00F53DA1"/>
    <w:rsid w:val="00F54C8D"/>
    <w:rsid w:val="00F55DA3"/>
    <w:rsid w:val="00F56189"/>
    <w:rsid w:val="00F5623F"/>
    <w:rsid w:val="00F56F2D"/>
    <w:rsid w:val="00F5759B"/>
    <w:rsid w:val="00F6079C"/>
    <w:rsid w:val="00F60C62"/>
    <w:rsid w:val="00F62B08"/>
    <w:rsid w:val="00F67946"/>
    <w:rsid w:val="00F71078"/>
    <w:rsid w:val="00F71ECB"/>
    <w:rsid w:val="00F724B1"/>
    <w:rsid w:val="00F72CF5"/>
    <w:rsid w:val="00F739E9"/>
    <w:rsid w:val="00F73A6F"/>
    <w:rsid w:val="00F750A8"/>
    <w:rsid w:val="00F75720"/>
    <w:rsid w:val="00F760B3"/>
    <w:rsid w:val="00F763FC"/>
    <w:rsid w:val="00F76679"/>
    <w:rsid w:val="00F76F4F"/>
    <w:rsid w:val="00F77AAD"/>
    <w:rsid w:val="00F77F03"/>
    <w:rsid w:val="00F801DD"/>
    <w:rsid w:val="00F81D39"/>
    <w:rsid w:val="00F83DD3"/>
    <w:rsid w:val="00F851E7"/>
    <w:rsid w:val="00F85205"/>
    <w:rsid w:val="00F85237"/>
    <w:rsid w:val="00F86951"/>
    <w:rsid w:val="00F8702D"/>
    <w:rsid w:val="00F876BB"/>
    <w:rsid w:val="00F878C9"/>
    <w:rsid w:val="00F9000A"/>
    <w:rsid w:val="00F936ED"/>
    <w:rsid w:val="00F93EBF"/>
    <w:rsid w:val="00F95826"/>
    <w:rsid w:val="00F959DA"/>
    <w:rsid w:val="00F95D87"/>
    <w:rsid w:val="00F95FD1"/>
    <w:rsid w:val="00F9720E"/>
    <w:rsid w:val="00F97457"/>
    <w:rsid w:val="00F97ABA"/>
    <w:rsid w:val="00FA03E6"/>
    <w:rsid w:val="00FA116D"/>
    <w:rsid w:val="00FA11F7"/>
    <w:rsid w:val="00FA32A8"/>
    <w:rsid w:val="00FA5AE3"/>
    <w:rsid w:val="00FA6568"/>
    <w:rsid w:val="00FA690A"/>
    <w:rsid w:val="00FA71CA"/>
    <w:rsid w:val="00FA73DD"/>
    <w:rsid w:val="00FB095B"/>
    <w:rsid w:val="00FB104E"/>
    <w:rsid w:val="00FB13C2"/>
    <w:rsid w:val="00FB16CC"/>
    <w:rsid w:val="00FB1EFB"/>
    <w:rsid w:val="00FB2637"/>
    <w:rsid w:val="00FB26A1"/>
    <w:rsid w:val="00FB2F56"/>
    <w:rsid w:val="00FB3261"/>
    <w:rsid w:val="00FB33E4"/>
    <w:rsid w:val="00FB38D2"/>
    <w:rsid w:val="00FB68AC"/>
    <w:rsid w:val="00FC03B8"/>
    <w:rsid w:val="00FC0874"/>
    <w:rsid w:val="00FC1719"/>
    <w:rsid w:val="00FC4236"/>
    <w:rsid w:val="00FC4A20"/>
    <w:rsid w:val="00FC57ED"/>
    <w:rsid w:val="00FC5DF8"/>
    <w:rsid w:val="00FC60AD"/>
    <w:rsid w:val="00FC7E40"/>
    <w:rsid w:val="00FD0568"/>
    <w:rsid w:val="00FD09AE"/>
    <w:rsid w:val="00FD0F3D"/>
    <w:rsid w:val="00FD24F3"/>
    <w:rsid w:val="00FD2612"/>
    <w:rsid w:val="00FD2EDF"/>
    <w:rsid w:val="00FD323A"/>
    <w:rsid w:val="00FD37D4"/>
    <w:rsid w:val="00FD42D6"/>
    <w:rsid w:val="00FD67EC"/>
    <w:rsid w:val="00FE2025"/>
    <w:rsid w:val="00FE2651"/>
    <w:rsid w:val="00FE2E18"/>
    <w:rsid w:val="00FE3061"/>
    <w:rsid w:val="00FE3266"/>
    <w:rsid w:val="00FE3472"/>
    <w:rsid w:val="00FE4107"/>
    <w:rsid w:val="00FE43FB"/>
    <w:rsid w:val="00FE4473"/>
    <w:rsid w:val="00FE49E3"/>
    <w:rsid w:val="00FE6020"/>
    <w:rsid w:val="00FE64CC"/>
    <w:rsid w:val="00FE676C"/>
    <w:rsid w:val="00FE7BB2"/>
    <w:rsid w:val="00FE7E0D"/>
    <w:rsid w:val="00FF0101"/>
    <w:rsid w:val="00FF03C2"/>
    <w:rsid w:val="00FF21D2"/>
    <w:rsid w:val="00FF502B"/>
    <w:rsid w:val="00FF5310"/>
    <w:rsid w:val="00FF5374"/>
    <w:rsid w:val="00FF5C73"/>
    <w:rsid w:val="00FF5EE9"/>
    <w:rsid w:val="00FF69A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4418CD"/>
  <w15:docId w15:val="{B92C7FF1-AE9B-4D17-B8FE-B7FD80CD4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F214E5"/>
    <w:pPr>
      <w:keepNext/>
      <w:keepLines/>
      <w:spacing w:before="240" w:line="259" w:lineRule="auto"/>
      <w:outlineLvl w:val="0"/>
    </w:pPr>
    <w:rPr>
      <w:rFonts w:ascii="Palatino Linotype" w:eastAsiaTheme="majorEastAsia" w:hAnsi="Palatino Linotype" w:cstheme="majorBidi"/>
      <w:b/>
      <w:color w:val="000000" w:themeColor="text1"/>
      <w:szCs w:val="32"/>
      <w:lang w:val="es-MX" w:eastAsia="en-US"/>
    </w:rPr>
  </w:style>
  <w:style w:type="paragraph" w:styleId="Ttulo2">
    <w:name w:val="heading 2"/>
    <w:basedOn w:val="Normal"/>
    <w:next w:val="Normal"/>
    <w:link w:val="Ttulo2Car"/>
    <w:uiPriority w:val="9"/>
    <w:unhideWhenUsed/>
    <w:qFormat/>
    <w:rsid w:val="008E2E89"/>
    <w:pPr>
      <w:keepNext/>
      <w:keepLines/>
      <w:spacing w:before="40" w:line="259" w:lineRule="auto"/>
      <w:outlineLvl w:val="1"/>
    </w:pPr>
    <w:rPr>
      <w:rFonts w:ascii="Palatino Linotype" w:eastAsiaTheme="majorEastAsia" w:hAnsi="Palatino Linotype" w:cstheme="majorBidi"/>
      <w:b/>
      <w:color w:val="000000" w:themeColor="text1"/>
      <w:szCs w:val="26"/>
      <w:lang w:val="es-MX" w:eastAsia="en-US"/>
    </w:rPr>
  </w:style>
  <w:style w:type="paragraph" w:styleId="Ttulo3">
    <w:name w:val="heading 3"/>
    <w:basedOn w:val="Normal"/>
    <w:next w:val="Normal"/>
    <w:link w:val="Ttulo3Car"/>
    <w:uiPriority w:val="9"/>
    <w:unhideWhenUsed/>
    <w:qFormat/>
    <w:rsid w:val="004D215D"/>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D55B7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8826F4"/>
    <w:pPr>
      <w:tabs>
        <w:tab w:val="right" w:leader="dot" w:pos="8779"/>
      </w:tabs>
      <w:spacing w:after="100" w:line="360" w:lineRule="auto"/>
      <w:ind w:left="284"/>
    </w:pPr>
  </w:style>
  <w:style w:type="paragraph" w:styleId="TDC2">
    <w:name w:val="toc 2"/>
    <w:basedOn w:val="Normal"/>
    <w:next w:val="Normal"/>
    <w:autoRedefine/>
    <w:uiPriority w:val="39"/>
    <w:unhideWhenUsed/>
    <w:rsid w:val="000E6945"/>
    <w:pPr>
      <w:tabs>
        <w:tab w:val="right" w:leader="dot" w:pos="8779"/>
      </w:tabs>
      <w:spacing w:after="100" w:line="276" w:lineRule="auto"/>
      <w:ind w:left="284"/>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F214E5"/>
    <w:rPr>
      <w:rFonts w:ascii="Palatino Linotype" w:eastAsiaTheme="majorEastAsia" w:hAnsi="Palatino Linotype" w:cstheme="majorBidi"/>
      <w:b/>
      <w:color w:val="000000" w:themeColor="text1"/>
      <w:szCs w:val="32"/>
      <w:lang w:val="es-MX" w:eastAsia="en-US"/>
    </w:rPr>
  </w:style>
  <w:style w:type="character" w:customStyle="1" w:styleId="Ttulo2Car">
    <w:name w:val="Título 2 Car"/>
    <w:basedOn w:val="Fuentedeprrafopredeter"/>
    <w:link w:val="Ttulo2"/>
    <w:uiPriority w:val="9"/>
    <w:rsid w:val="008E2E89"/>
    <w:rPr>
      <w:rFonts w:ascii="Palatino Linotype" w:eastAsiaTheme="majorEastAsia" w:hAnsi="Palatino Linotype" w:cstheme="majorBidi"/>
      <w:b/>
      <w:color w:val="000000" w:themeColor="text1"/>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D7893"/>
    <w:pPr>
      <w:outlineLvl w:val="9"/>
    </w:pPr>
    <w:rPr>
      <w:lang w:eastAsia="es-MX"/>
    </w:rPr>
  </w:style>
  <w:style w:type="character" w:styleId="Hipervnculovisitado">
    <w:name w:val="FollowedHyperlink"/>
    <w:basedOn w:val="Fuentedeprrafopredeter"/>
    <w:uiPriority w:val="99"/>
    <w:semiHidden/>
    <w:unhideWhenUsed/>
    <w:rsid w:val="00A575AA"/>
    <w:rPr>
      <w:color w:val="800080" w:themeColor="followedHyperlink"/>
      <w:u w:val="single"/>
    </w:rPr>
  </w:style>
  <w:style w:type="paragraph" w:customStyle="1" w:styleId="Default">
    <w:name w:val="Default"/>
    <w:rsid w:val="00946F09"/>
    <w:pPr>
      <w:autoSpaceDE w:val="0"/>
      <w:autoSpaceDN w:val="0"/>
      <w:adjustRightInd w:val="0"/>
    </w:pPr>
    <w:rPr>
      <w:rFonts w:ascii="Palatino Linotype" w:eastAsiaTheme="minorHAnsi" w:hAnsi="Palatino Linotype" w:cs="Palatino Linotype"/>
      <w:color w:val="000000"/>
      <w:lang w:val="es-MX" w:eastAsia="en-US"/>
    </w:rPr>
  </w:style>
  <w:style w:type="paragraph" w:styleId="NormalWeb">
    <w:name w:val="Normal (Web)"/>
    <w:basedOn w:val="Normal"/>
    <w:uiPriority w:val="99"/>
    <w:unhideWhenUsed/>
    <w:rsid w:val="0033477F"/>
    <w:pPr>
      <w:spacing w:before="100" w:beforeAutospacing="1" w:after="100" w:afterAutospacing="1"/>
    </w:pPr>
    <w:rPr>
      <w:rFonts w:ascii="Times New Roman" w:eastAsia="Times New Roman" w:hAnsi="Times New Roman" w:cs="Times New Roman"/>
      <w:lang w:val="es-ES"/>
    </w:rPr>
  </w:style>
  <w:style w:type="character" w:customStyle="1" w:styleId="nacep">
    <w:name w:val="n_acep"/>
    <w:basedOn w:val="Fuentedeprrafopredeter"/>
    <w:rsid w:val="0033477F"/>
  </w:style>
  <w:style w:type="character" w:customStyle="1" w:styleId="apple-style-span">
    <w:name w:val="apple-style-span"/>
    <w:rsid w:val="00E53334"/>
  </w:style>
  <w:style w:type="paragraph" w:customStyle="1" w:styleId="FootnoteTextCharCharChar1">
    <w:name w:val="Footnote Text Char Char Char1"/>
    <w:basedOn w:val="Normal"/>
    <w:next w:val="Textonotapie"/>
    <w:unhideWhenUsed/>
    <w:rsid w:val="00A4327F"/>
    <w:rPr>
      <w:rFonts w:eastAsia="Cambria"/>
      <w:sz w:val="20"/>
      <w:szCs w:val="20"/>
      <w:lang w:val="es-MX" w:eastAsia="en-US"/>
    </w:rPr>
  </w:style>
  <w:style w:type="character" w:customStyle="1" w:styleId="il">
    <w:name w:val="il"/>
    <w:basedOn w:val="Fuentedeprrafopredeter"/>
    <w:rsid w:val="0052151F"/>
  </w:style>
  <w:style w:type="character" w:customStyle="1" w:styleId="Ttulo3Car">
    <w:name w:val="Título 3 Car"/>
    <w:basedOn w:val="Fuentedeprrafopredeter"/>
    <w:link w:val="Ttulo3"/>
    <w:uiPriority w:val="9"/>
    <w:rsid w:val="004D215D"/>
    <w:rPr>
      <w:rFonts w:asciiTheme="majorHAnsi" w:eastAsiaTheme="majorEastAsia" w:hAnsiTheme="majorHAnsi" w:cstheme="majorBidi"/>
      <w:color w:val="243F60" w:themeColor="accent1" w:themeShade="7F"/>
    </w:rPr>
  </w:style>
  <w:style w:type="paragraph" w:styleId="TDC3">
    <w:name w:val="toc 3"/>
    <w:basedOn w:val="Normal"/>
    <w:next w:val="Normal"/>
    <w:autoRedefine/>
    <w:uiPriority w:val="39"/>
    <w:unhideWhenUsed/>
    <w:rsid w:val="00756F43"/>
    <w:pPr>
      <w:spacing w:after="100"/>
      <w:ind w:left="480"/>
    </w:pPr>
  </w:style>
  <w:style w:type="paragraph" w:styleId="Textoindependiente2">
    <w:name w:val="Body Text 2"/>
    <w:basedOn w:val="Normal"/>
    <w:link w:val="Textoindependiente2Car"/>
    <w:uiPriority w:val="99"/>
    <w:semiHidden/>
    <w:unhideWhenUsed/>
    <w:rsid w:val="00967CE6"/>
    <w:pPr>
      <w:spacing w:after="120" w:line="480" w:lineRule="auto"/>
    </w:pPr>
  </w:style>
  <w:style w:type="character" w:customStyle="1" w:styleId="Textoindependiente2Car">
    <w:name w:val="Texto independiente 2 Car"/>
    <w:basedOn w:val="Fuentedeprrafopredeter"/>
    <w:link w:val="Textoindependiente2"/>
    <w:uiPriority w:val="99"/>
    <w:semiHidden/>
    <w:rsid w:val="00967CE6"/>
  </w:style>
  <w:style w:type="character" w:styleId="Textoennegrita">
    <w:name w:val="Strong"/>
    <w:uiPriority w:val="22"/>
    <w:qFormat/>
    <w:rsid w:val="009C113B"/>
    <w:rPr>
      <w:b/>
      <w:bCs/>
    </w:rPr>
  </w:style>
  <w:style w:type="character" w:customStyle="1" w:styleId="SinespaciadoCar">
    <w:name w:val="Sin espaciado Car"/>
    <w:aliases w:val="Francesa Car"/>
    <w:link w:val="Sinespaciado"/>
    <w:uiPriority w:val="1"/>
    <w:locked/>
    <w:rsid w:val="009C113B"/>
  </w:style>
  <w:style w:type="paragraph" w:customStyle="1" w:styleId="q">
    <w:name w:val="q"/>
    <w:basedOn w:val="Normal"/>
    <w:rsid w:val="00732EA5"/>
    <w:pPr>
      <w:spacing w:before="100" w:beforeAutospacing="1" w:after="100" w:afterAutospacing="1"/>
    </w:pPr>
    <w:rPr>
      <w:rFonts w:ascii="Times New Roman" w:eastAsia="Times New Roman" w:hAnsi="Times New Roman" w:cs="Times New Roman"/>
      <w:lang w:val="es-MX" w:eastAsia="es-MX"/>
    </w:rPr>
  </w:style>
  <w:style w:type="character" w:customStyle="1" w:styleId="k">
    <w:name w:val="k"/>
    <w:basedOn w:val="Fuentedeprrafopredeter"/>
    <w:rsid w:val="00732EA5"/>
  </w:style>
  <w:style w:type="character" w:customStyle="1" w:styleId="h">
    <w:name w:val="h"/>
    <w:basedOn w:val="Fuentedeprrafopredeter"/>
    <w:rsid w:val="00732EA5"/>
  </w:style>
  <w:style w:type="character" w:customStyle="1" w:styleId="titulorubrolgt">
    <w:name w:val="titulorubrolgt"/>
    <w:basedOn w:val="Fuentedeprrafopredeter"/>
    <w:rsid w:val="00CA063C"/>
  </w:style>
  <w:style w:type="character" w:customStyle="1" w:styleId="ctr">
    <w:name w:val="ctr"/>
    <w:basedOn w:val="Fuentedeprrafopredeter"/>
    <w:rsid w:val="00CA063C"/>
  </w:style>
  <w:style w:type="paragraph" w:customStyle="1" w:styleId="Textonotapie1">
    <w:name w:val="Texto nota pie1"/>
    <w:basedOn w:val="Normal"/>
    <w:next w:val="Textonotapie"/>
    <w:uiPriority w:val="99"/>
    <w:unhideWhenUsed/>
    <w:rsid w:val="00EC6B99"/>
    <w:rPr>
      <w:rFonts w:eastAsia="Cambria"/>
      <w:sz w:val="20"/>
      <w:szCs w:val="20"/>
      <w:lang w:val="es-MX" w:eastAsia="en-US"/>
    </w:rPr>
  </w:style>
  <w:style w:type="paragraph" w:customStyle="1" w:styleId="n2">
    <w:name w:val="n2"/>
    <w:basedOn w:val="Normal"/>
    <w:rsid w:val="009E1584"/>
    <w:pPr>
      <w:spacing w:before="100" w:beforeAutospacing="1" w:after="100" w:afterAutospacing="1"/>
    </w:pPr>
    <w:rPr>
      <w:rFonts w:ascii="Times New Roman" w:eastAsia="Times New Roman" w:hAnsi="Times New Roman" w:cs="Times New Roman"/>
      <w:lang w:val="es-MX" w:eastAsia="es-MX"/>
    </w:rPr>
  </w:style>
  <w:style w:type="character" w:styleId="nfasis">
    <w:name w:val="Emphasis"/>
    <w:basedOn w:val="Fuentedeprrafopredeter"/>
    <w:uiPriority w:val="20"/>
    <w:qFormat/>
    <w:rsid w:val="009E1584"/>
    <w:rPr>
      <w:i/>
      <w:iCs/>
    </w:rPr>
  </w:style>
  <w:style w:type="paragraph" w:customStyle="1" w:styleId="j">
    <w:name w:val="j"/>
    <w:basedOn w:val="Normal"/>
    <w:rsid w:val="009E1584"/>
    <w:pPr>
      <w:spacing w:before="100" w:beforeAutospacing="1" w:after="100" w:afterAutospacing="1"/>
    </w:pPr>
    <w:rPr>
      <w:rFonts w:ascii="Times New Roman" w:eastAsia="Times New Roman" w:hAnsi="Times New Roman" w:cs="Times New Roman"/>
      <w:lang w:val="es-MX" w:eastAsia="es-MX"/>
    </w:rPr>
  </w:style>
  <w:style w:type="paragraph" w:customStyle="1" w:styleId="j1">
    <w:name w:val="j1"/>
    <w:basedOn w:val="Normal"/>
    <w:rsid w:val="009E1584"/>
    <w:pPr>
      <w:spacing w:before="100" w:beforeAutospacing="1" w:after="100" w:afterAutospacing="1"/>
    </w:pPr>
    <w:rPr>
      <w:rFonts w:ascii="Times New Roman" w:eastAsia="Times New Roman" w:hAnsi="Times New Roman" w:cs="Times New Roman"/>
      <w:lang w:val="es-MX" w:eastAsia="es-MX"/>
    </w:rPr>
  </w:style>
  <w:style w:type="table" w:customStyle="1" w:styleId="Cuadrculadetablaclara1">
    <w:name w:val="Cuadrícula de tabla clara1"/>
    <w:basedOn w:val="Tablanormal"/>
    <w:uiPriority w:val="40"/>
    <w:rsid w:val="00226E61"/>
    <w:rPr>
      <w:rFonts w:eastAsiaTheme="minorHAnsi"/>
      <w:sz w:val="22"/>
      <w:szCs w:val="22"/>
      <w:lang w:val="es-MX"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exto">
    <w:name w:val="Texto"/>
    <w:basedOn w:val="Normal"/>
    <w:link w:val="TextoCar"/>
    <w:rsid w:val="00041C72"/>
    <w:pPr>
      <w:spacing w:after="101" w:line="216" w:lineRule="exact"/>
      <w:ind w:firstLine="288"/>
      <w:jc w:val="both"/>
    </w:pPr>
    <w:rPr>
      <w:rFonts w:ascii="Arial" w:eastAsia="Times New Roman" w:hAnsi="Arial" w:cs="Arial"/>
      <w:sz w:val="18"/>
      <w:szCs w:val="20"/>
      <w:lang w:val="es-ES"/>
    </w:rPr>
  </w:style>
  <w:style w:type="character" w:customStyle="1" w:styleId="TextoCar">
    <w:name w:val="Texto Car"/>
    <w:link w:val="Texto"/>
    <w:locked/>
    <w:rsid w:val="00041C72"/>
    <w:rPr>
      <w:rFonts w:ascii="Arial" w:eastAsia="Times New Roman" w:hAnsi="Arial" w:cs="Arial"/>
      <w:sz w:val="18"/>
      <w:szCs w:val="20"/>
      <w:lang w:val="es-ES"/>
    </w:rPr>
  </w:style>
  <w:style w:type="paragraph" w:styleId="Textosinformato">
    <w:name w:val="Plain Text"/>
    <w:basedOn w:val="Normal"/>
    <w:link w:val="TextosinformatoCar"/>
    <w:rsid w:val="00D4338A"/>
    <w:rPr>
      <w:rFonts w:ascii="Courier New" w:eastAsia="Times New Roman" w:hAnsi="Courier New" w:cs="Times New Roman"/>
      <w:sz w:val="20"/>
      <w:szCs w:val="20"/>
      <w:lang w:val="es-ES"/>
    </w:rPr>
  </w:style>
  <w:style w:type="character" w:customStyle="1" w:styleId="TextosinformatoCar">
    <w:name w:val="Texto sin formato Car"/>
    <w:basedOn w:val="Fuentedeprrafopredeter"/>
    <w:link w:val="Textosinformato"/>
    <w:uiPriority w:val="99"/>
    <w:rsid w:val="00D4338A"/>
    <w:rPr>
      <w:rFonts w:ascii="Courier New" w:eastAsia="Times New Roman" w:hAnsi="Courier New" w:cs="Times New Roman"/>
      <w:sz w:val="20"/>
      <w:szCs w:val="20"/>
      <w:lang w:val="es-ES"/>
    </w:rPr>
  </w:style>
  <w:style w:type="table" w:styleId="Tablanormal1">
    <w:name w:val="Plain Table 1"/>
    <w:basedOn w:val="Tablanormal"/>
    <w:uiPriority w:val="41"/>
    <w:rsid w:val="00962626"/>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3468294172500300143gmail-msolistparagraph">
    <w:name w:val="m_3468294172500300143gmail-msolistparagraph"/>
    <w:basedOn w:val="Normal"/>
    <w:rsid w:val="00480BA2"/>
    <w:pPr>
      <w:spacing w:before="100" w:beforeAutospacing="1" w:after="100" w:afterAutospacing="1"/>
    </w:pPr>
    <w:rPr>
      <w:rFonts w:ascii="Times New Roman" w:eastAsia="Times New Roman" w:hAnsi="Times New Roman" w:cs="Times New Roman"/>
      <w:lang w:val="es-MX" w:eastAsia="es-MX"/>
    </w:rPr>
  </w:style>
  <w:style w:type="paragraph" w:customStyle="1" w:styleId="m7640689326625126977gmail-msolistparagraph">
    <w:name w:val="m_7640689326625126977gmail-msolistparagraph"/>
    <w:basedOn w:val="Normal"/>
    <w:rsid w:val="00631337"/>
    <w:pPr>
      <w:spacing w:before="100" w:beforeAutospacing="1" w:after="100" w:afterAutospacing="1"/>
    </w:pPr>
    <w:rPr>
      <w:rFonts w:ascii="Times New Roman" w:eastAsia="Times New Roman" w:hAnsi="Times New Roman" w:cs="Times New Roman"/>
      <w:lang w:val="es-MX" w:eastAsia="es-MX"/>
    </w:rPr>
  </w:style>
  <w:style w:type="character" w:customStyle="1" w:styleId="stytxtare">
    <w:name w:val="stytxtare"/>
    <w:rsid w:val="005B0EC2"/>
  </w:style>
  <w:style w:type="character" w:customStyle="1" w:styleId="Ttulo4Car">
    <w:name w:val="Título 4 Car"/>
    <w:basedOn w:val="Fuentedeprrafopredeter"/>
    <w:link w:val="Ttulo4"/>
    <w:uiPriority w:val="9"/>
    <w:rsid w:val="00D55B7A"/>
    <w:rPr>
      <w:rFonts w:asciiTheme="majorHAnsi" w:eastAsiaTheme="majorEastAsia" w:hAnsiTheme="majorHAnsi" w:cstheme="majorBidi"/>
      <w:i/>
      <w:iCs/>
      <w:color w:val="365F91" w:themeColor="accent1" w:themeShade="BF"/>
    </w:rPr>
  </w:style>
  <w:style w:type="paragraph" w:customStyle="1" w:styleId="paragraph">
    <w:name w:val="paragraph"/>
    <w:basedOn w:val="Normal"/>
    <w:rsid w:val="00BC13F7"/>
    <w:pPr>
      <w:spacing w:before="100" w:beforeAutospacing="1" w:after="100" w:afterAutospacing="1"/>
    </w:pPr>
    <w:rPr>
      <w:rFonts w:ascii="Times New Roman" w:eastAsia="Times New Roman" w:hAnsi="Times New Roman" w:cs="Times New Roman"/>
      <w:lang w:val="es-MX" w:eastAsia="es-MX"/>
    </w:rPr>
  </w:style>
  <w:style w:type="paragraph" w:customStyle="1" w:styleId="yiv6449924580ydp7ca81294msonormal">
    <w:name w:val="yiv6449924580ydp7ca81294msonormal"/>
    <w:basedOn w:val="Normal"/>
    <w:rsid w:val="003B7B09"/>
    <w:pPr>
      <w:spacing w:before="100" w:beforeAutospacing="1" w:after="100" w:afterAutospacing="1"/>
    </w:pPr>
    <w:rPr>
      <w:rFonts w:ascii="Times New Roman" w:eastAsia="Times New Roman" w:hAnsi="Times New Roman" w:cs="Times New Roman"/>
      <w:lang w:val="es-MX" w:eastAsia="es-MX"/>
    </w:rPr>
  </w:style>
  <w:style w:type="table" w:customStyle="1" w:styleId="Tablanormal11">
    <w:name w:val="Tabla normal 11"/>
    <w:basedOn w:val="Tablanormal"/>
    <w:uiPriority w:val="41"/>
    <w:rsid w:val="00B66073"/>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7252173996042159756gmail-msolistparagraph">
    <w:name w:val="m_7252173996042159756gmail-msolistparagraph"/>
    <w:basedOn w:val="Normal"/>
    <w:rsid w:val="00886971"/>
    <w:pPr>
      <w:spacing w:before="100" w:beforeAutospacing="1" w:after="100" w:afterAutospacing="1"/>
    </w:pPr>
    <w:rPr>
      <w:rFonts w:ascii="Times New Roman" w:eastAsia="Times New Roman" w:hAnsi="Times New Roman" w:cs="Times New Roman"/>
      <w:lang w:val="es-MX" w:eastAsia="es-MX"/>
    </w:rPr>
  </w:style>
  <w:style w:type="paragraph" w:customStyle="1" w:styleId="m7252173996042159756gmail-msonormal">
    <w:name w:val="m_7252173996042159756gmail-msonormal"/>
    <w:basedOn w:val="Normal"/>
    <w:rsid w:val="00886971"/>
    <w:pPr>
      <w:spacing w:before="100" w:beforeAutospacing="1" w:after="100" w:afterAutospacing="1"/>
    </w:pPr>
    <w:rPr>
      <w:rFonts w:ascii="Times New Roman" w:eastAsia="Times New Roman" w:hAnsi="Times New Roman" w:cs="Times New Roman"/>
      <w:lang w:val="es-MX" w:eastAsia="es-MX"/>
    </w:rPr>
  </w:style>
  <w:style w:type="paragraph" w:customStyle="1" w:styleId="m-698976158124685028gmail-msolistparagraph">
    <w:name w:val="m_-698976158124685028gmail-msolistparagraph"/>
    <w:basedOn w:val="Normal"/>
    <w:rsid w:val="001D2F66"/>
    <w:pPr>
      <w:spacing w:before="100" w:beforeAutospacing="1" w:after="100" w:afterAutospacing="1"/>
    </w:pPr>
    <w:rPr>
      <w:rFonts w:ascii="Times New Roman" w:eastAsia="Times New Roman" w:hAnsi="Times New Roman" w:cs="Times New Roman"/>
      <w:lang w:val="es-MX" w:eastAsia="es-MX"/>
    </w:rPr>
  </w:style>
  <w:style w:type="paragraph" w:customStyle="1" w:styleId="m-698976158124685028gmail-default">
    <w:name w:val="m_-698976158124685028gmail-default"/>
    <w:basedOn w:val="Normal"/>
    <w:rsid w:val="001D2F66"/>
    <w:pPr>
      <w:spacing w:before="100" w:beforeAutospacing="1" w:after="100" w:afterAutospacing="1"/>
    </w:pPr>
    <w:rPr>
      <w:rFonts w:ascii="Times New Roman" w:eastAsia="Times New Roman" w:hAnsi="Times New Roman" w:cs="Times New Roman"/>
      <w:lang w:val="es-MX" w:eastAsia="es-MX"/>
    </w:rPr>
  </w:style>
  <w:style w:type="paragraph" w:customStyle="1" w:styleId="m-698976158124685028gmail-m483811427706604298gmail-msolistparagraph">
    <w:name w:val="m_-698976158124685028gmail-m483811427706604298gmail-msolistparagraph"/>
    <w:basedOn w:val="Normal"/>
    <w:rsid w:val="001D2F66"/>
    <w:pPr>
      <w:spacing w:before="100" w:beforeAutospacing="1" w:after="100" w:afterAutospacing="1"/>
    </w:pPr>
    <w:rPr>
      <w:rFonts w:ascii="Times New Roman" w:eastAsia="Times New Roman" w:hAnsi="Times New Roman" w:cs="Times New Roman"/>
      <w:lang w:val="es-MX" w:eastAsia="es-MX"/>
    </w:rPr>
  </w:style>
  <w:style w:type="paragraph" w:customStyle="1" w:styleId="m-698976158124685028gmail-msonormal">
    <w:name w:val="m_-698976158124685028gmail-msonormal"/>
    <w:basedOn w:val="Normal"/>
    <w:rsid w:val="001D2F66"/>
    <w:pPr>
      <w:spacing w:before="100" w:beforeAutospacing="1" w:after="100" w:afterAutospacing="1"/>
    </w:pPr>
    <w:rPr>
      <w:rFonts w:ascii="Times New Roman" w:eastAsia="Times New Roman" w:hAnsi="Times New Roman" w:cs="Times New Roman"/>
      <w:lang w:val="es-MX" w:eastAsia="es-MX"/>
    </w:rPr>
  </w:style>
  <w:style w:type="character" w:customStyle="1" w:styleId="m-698976158124685028gmail-apple-converted-space">
    <w:name w:val="m_-698976158124685028gmail-apple-converted-space"/>
    <w:basedOn w:val="Fuentedeprrafopredeter"/>
    <w:rsid w:val="001D2F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71494">
      <w:bodyDiv w:val="1"/>
      <w:marLeft w:val="0"/>
      <w:marRight w:val="0"/>
      <w:marTop w:val="0"/>
      <w:marBottom w:val="0"/>
      <w:divBdr>
        <w:top w:val="none" w:sz="0" w:space="0" w:color="auto"/>
        <w:left w:val="none" w:sz="0" w:space="0" w:color="auto"/>
        <w:bottom w:val="none" w:sz="0" w:space="0" w:color="auto"/>
        <w:right w:val="none" w:sz="0" w:space="0" w:color="auto"/>
      </w:divBdr>
      <w:divsChild>
        <w:div w:id="2014993391">
          <w:marLeft w:val="0"/>
          <w:marRight w:val="0"/>
          <w:marTop w:val="0"/>
          <w:marBottom w:val="240"/>
          <w:divBdr>
            <w:top w:val="none" w:sz="0" w:space="0" w:color="auto"/>
            <w:left w:val="none" w:sz="0" w:space="0" w:color="auto"/>
            <w:bottom w:val="none" w:sz="0" w:space="0" w:color="auto"/>
            <w:right w:val="none" w:sz="0" w:space="0" w:color="auto"/>
          </w:divBdr>
        </w:div>
      </w:divsChild>
    </w:div>
    <w:div w:id="25840027">
      <w:bodyDiv w:val="1"/>
      <w:marLeft w:val="0"/>
      <w:marRight w:val="0"/>
      <w:marTop w:val="0"/>
      <w:marBottom w:val="0"/>
      <w:divBdr>
        <w:top w:val="none" w:sz="0" w:space="0" w:color="auto"/>
        <w:left w:val="none" w:sz="0" w:space="0" w:color="auto"/>
        <w:bottom w:val="none" w:sz="0" w:space="0" w:color="auto"/>
        <w:right w:val="none" w:sz="0" w:space="0" w:color="auto"/>
      </w:divBdr>
    </w:div>
    <w:div w:id="28646164">
      <w:bodyDiv w:val="1"/>
      <w:marLeft w:val="0"/>
      <w:marRight w:val="0"/>
      <w:marTop w:val="0"/>
      <w:marBottom w:val="0"/>
      <w:divBdr>
        <w:top w:val="none" w:sz="0" w:space="0" w:color="auto"/>
        <w:left w:val="none" w:sz="0" w:space="0" w:color="auto"/>
        <w:bottom w:val="none" w:sz="0" w:space="0" w:color="auto"/>
        <w:right w:val="none" w:sz="0" w:space="0" w:color="auto"/>
      </w:divBdr>
    </w:div>
    <w:div w:id="42140087">
      <w:bodyDiv w:val="1"/>
      <w:marLeft w:val="0"/>
      <w:marRight w:val="0"/>
      <w:marTop w:val="0"/>
      <w:marBottom w:val="0"/>
      <w:divBdr>
        <w:top w:val="none" w:sz="0" w:space="0" w:color="auto"/>
        <w:left w:val="none" w:sz="0" w:space="0" w:color="auto"/>
        <w:bottom w:val="none" w:sz="0" w:space="0" w:color="auto"/>
        <w:right w:val="none" w:sz="0" w:space="0" w:color="auto"/>
      </w:divBdr>
    </w:div>
    <w:div w:id="52628327">
      <w:bodyDiv w:val="1"/>
      <w:marLeft w:val="0"/>
      <w:marRight w:val="0"/>
      <w:marTop w:val="0"/>
      <w:marBottom w:val="0"/>
      <w:divBdr>
        <w:top w:val="none" w:sz="0" w:space="0" w:color="auto"/>
        <w:left w:val="none" w:sz="0" w:space="0" w:color="auto"/>
        <w:bottom w:val="none" w:sz="0" w:space="0" w:color="auto"/>
        <w:right w:val="none" w:sz="0" w:space="0" w:color="auto"/>
      </w:divBdr>
    </w:div>
    <w:div w:id="60173860">
      <w:bodyDiv w:val="1"/>
      <w:marLeft w:val="0"/>
      <w:marRight w:val="0"/>
      <w:marTop w:val="0"/>
      <w:marBottom w:val="0"/>
      <w:divBdr>
        <w:top w:val="none" w:sz="0" w:space="0" w:color="auto"/>
        <w:left w:val="none" w:sz="0" w:space="0" w:color="auto"/>
        <w:bottom w:val="none" w:sz="0" w:space="0" w:color="auto"/>
        <w:right w:val="none" w:sz="0" w:space="0" w:color="auto"/>
      </w:divBdr>
    </w:div>
    <w:div w:id="73359516">
      <w:bodyDiv w:val="1"/>
      <w:marLeft w:val="0"/>
      <w:marRight w:val="0"/>
      <w:marTop w:val="0"/>
      <w:marBottom w:val="0"/>
      <w:divBdr>
        <w:top w:val="none" w:sz="0" w:space="0" w:color="auto"/>
        <w:left w:val="none" w:sz="0" w:space="0" w:color="auto"/>
        <w:bottom w:val="none" w:sz="0" w:space="0" w:color="auto"/>
        <w:right w:val="none" w:sz="0" w:space="0" w:color="auto"/>
      </w:divBdr>
    </w:div>
    <w:div w:id="89156663">
      <w:bodyDiv w:val="1"/>
      <w:marLeft w:val="0"/>
      <w:marRight w:val="0"/>
      <w:marTop w:val="0"/>
      <w:marBottom w:val="0"/>
      <w:divBdr>
        <w:top w:val="none" w:sz="0" w:space="0" w:color="auto"/>
        <w:left w:val="none" w:sz="0" w:space="0" w:color="auto"/>
        <w:bottom w:val="none" w:sz="0" w:space="0" w:color="auto"/>
        <w:right w:val="none" w:sz="0" w:space="0" w:color="auto"/>
      </w:divBdr>
    </w:div>
    <w:div w:id="91047417">
      <w:bodyDiv w:val="1"/>
      <w:marLeft w:val="0"/>
      <w:marRight w:val="0"/>
      <w:marTop w:val="0"/>
      <w:marBottom w:val="0"/>
      <w:divBdr>
        <w:top w:val="none" w:sz="0" w:space="0" w:color="auto"/>
        <w:left w:val="none" w:sz="0" w:space="0" w:color="auto"/>
        <w:bottom w:val="none" w:sz="0" w:space="0" w:color="auto"/>
        <w:right w:val="none" w:sz="0" w:space="0" w:color="auto"/>
      </w:divBdr>
    </w:div>
    <w:div w:id="96871179">
      <w:bodyDiv w:val="1"/>
      <w:marLeft w:val="0"/>
      <w:marRight w:val="0"/>
      <w:marTop w:val="0"/>
      <w:marBottom w:val="0"/>
      <w:divBdr>
        <w:top w:val="none" w:sz="0" w:space="0" w:color="auto"/>
        <w:left w:val="none" w:sz="0" w:space="0" w:color="auto"/>
        <w:bottom w:val="none" w:sz="0" w:space="0" w:color="auto"/>
        <w:right w:val="none" w:sz="0" w:space="0" w:color="auto"/>
      </w:divBdr>
    </w:div>
    <w:div w:id="122046211">
      <w:bodyDiv w:val="1"/>
      <w:marLeft w:val="0"/>
      <w:marRight w:val="0"/>
      <w:marTop w:val="0"/>
      <w:marBottom w:val="0"/>
      <w:divBdr>
        <w:top w:val="none" w:sz="0" w:space="0" w:color="auto"/>
        <w:left w:val="none" w:sz="0" w:space="0" w:color="auto"/>
        <w:bottom w:val="none" w:sz="0" w:space="0" w:color="auto"/>
        <w:right w:val="none" w:sz="0" w:space="0" w:color="auto"/>
      </w:divBdr>
    </w:div>
    <w:div w:id="145515303">
      <w:bodyDiv w:val="1"/>
      <w:marLeft w:val="0"/>
      <w:marRight w:val="0"/>
      <w:marTop w:val="0"/>
      <w:marBottom w:val="0"/>
      <w:divBdr>
        <w:top w:val="none" w:sz="0" w:space="0" w:color="auto"/>
        <w:left w:val="none" w:sz="0" w:space="0" w:color="auto"/>
        <w:bottom w:val="none" w:sz="0" w:space="0" w:color="auto"/>
        <w:right w:val="none" w:sz="0" w:space="0" w:color="auto"/>
      </w:divBdr>
    </w:div>
    <w:div w:id="156848715">
      <w:bodyDiv w:val="1"/>
      <w:marLeft w:val="0"/>
      <w:marRight w:val="0"/>
      <w:marTop w:val="0"/>
      <w:marBottom w:val="0"/>
      <w:divBdr>
        <w:top w:val="none" w:sz="0" w:space="0" w:color="auto"/>
        <w:left w:val="none" w:sz="0" w:space="0" w:color="auto"/>
        <w:bottom w:val="none" w:sz="0" w:space="0" w:color="auto"/>
        <w:right w:val="none" w:sz="0" w:space="0" w:color="auto"/>
      </w:divBdr>
    </w:div>
    <w:div w:id="157238611">
      <w:bodyDiv w:val="1"/>
      <w:marLeft w:val="0"/>
      <w:marRight w:val="0"/>
      <w:marTop w:val="0"/>
      <w:marBottom w:val="0"/>
      <w:divBdr>
        <w:top w:val="none" w:sz="0" w:space="0" w:color="auto"/>
        <w:left w:val="none" w:sz="0" w:space="0" w:color="auto"/>
        <w:bottom w:val="none" w:sz="0" w:space="0" w:color="auto"/>
        <w:right w:val="none" w:sz="0" w:space="0" w:color="auto"/>
      </w:divBdr>
    </w:div>
    <w:div w:id="172306900">
      <w:bodyDiv w:val="1"/>
      <w:marLeft w:val="0"/>
      <w:marRight w:val="0"/>
      <w:marTop w:val="0"/>
      <w:marBottom w:val="0"/>
      <w:divBdr>
        <w:top w:val="none" w:sz="0" w:space="0" w:color="auto"/>
        <w:left w:val="none" w:sz="0" w:space="0" w:color="auto"/>
        <w:bottom w:val="none" w:sz="0" w:space="0" w:color="auto"/>
        <w:right w:val="none" w:sz="0" w:space="0" w:color="auto"/>
      </w:divBdr>
    </w:div>
    <w:div w:id="174349251">
      <w:bodyDiv w:val="1"/>
      <w:marLeft w:val="0"/>
      <w:marRight w:val="0"/>
      <w:marTop w:val="0"/>
      <w:marBottom w:val="0"/>
      <w:divBdr>
        <w:top w:val="none" w:sz="0" w:space="0" w:color="auto"/>
        <w:left w:val="none" w:sz="0" w:space="0" w:color="auto"/>
        <w:bottom w:val="none" w:sz="0" w:space="0" w:color="auto"/>
        <w:right w:val="none" w:sz="0" w:space="0" w:color="auto"/>
      </w:divBdr>
    </w:div>
    <w:div w:id="176890729">
      <w:bodyDiv w:val="1"/>
      <w:marLeft w:val="0"/>
      <w:marRight w:val="0"/>
      <w:marTop w:val="0"/>
      <w:marBottom w:val="0"/>
      <w:divBdr>
        <w:top w:val="none" w:sz="0" w:space="0" w:color="auto"/>
        <w:left w:val="none" w:sz="0" w:space="0" w:color="auto"/>
        <w:bottom w:val="none" w:sz="0" w:space="0" w:color="auto"/>
        <w:right w:val="none" w:sz="0" w:space="0" w:color="auto"/>
      </w:divBdr>
    </w:div>
    <w:div w:id="188641317">
      <w:bodyDiv w:val="1"/>
      <w:marLeft w:val="0"/>
      <w:marRight w:val="0"/>
      <w:marTop w:val="0"/>
      <w:marBottom w:val="0"/>
      <w:divBdr>
        <w:top w:val="none" w:sz="0" w:space="0" w:color="auto"/>
        <w:left w:val="none" w:sz="0" w:space="0" w:color="auto"/>
        <w:bottom w:val="none" w:sz="0" w:space="0" w:color="auto"/>
        <w:right w:val="none" w:sz="0" w:space="0" w:color="auto"/>
      </w:divBdr>
    </w:div>
    <w:div w:id="216358375">
      <w:bodyDiv w:val="1"/>
      <w:marLeft w:val="0"/>
      <w:marRight w:val="0"/>
      <w:marTop w:val="0"/>
      <w:marBottom w:val="0"/>
      <w:divBdr>
        <w:top w:val="none" w:sz="0" w:space="0" w:color="auto"/>
        <w:left w:val="none" w:sz="0" w:space="0" w:color="auto"/>
        <w:bottom w:val="none" w:sz="0" w:space="0" w:color="auto"/>
        <w:right w:val="none" w:sz="0" w:space="0" w:color="auto"/>
      </w:divBdr>
    </w:div>
    <w:div w:id="234560416">
      <w:bodyDiv w:val="1"/>
      <w:marLeft w:val="0"/>
      <w:marRight w:val="0"/>
      <w:marTop w:val="0"/>
      <w:marBottom w:val="0"/>
      <w:divBdr>
        <w:top w:val="none" w:sz="0" w:space="0" w:color="auto"/>
        <w:left w:val="none" w:sz="0" w:space="0" w:color="auto"/>
        <w:bottom w:val="none" w:sz="0" w:space="0" w:color="auto"/>
        <w:right w:val="none" w:sz="0" w:space="0" w:color="auto"/>
      </w:divBdr>
    </w:div>
    <w:div w:id="290600236">
      <w:bodyDiv w:val="1"/>
      <w:marLeft w:val="0"/>
      <w:marRight w:val="0"/>
      <w:marTop w:val="0"/>
      <w:marBottom w:val="0"/>
      <w:divBdr>
        <w:top w:val="none" w:sz="0" w:space="0" w:color="auto"/>
        <w:left w:val="none" w:sz="0" w:space="0" w:color="auto"/>
        <w:bottom w:val="none" w:sz="0" w:space="0" w:color="auto"/>
        <w:right w:val="none" w:sz="0" w:space="0" w:color="auto"/>
      </w:divBdr>
    </w:div>
    <w:div w:id="300501063">
      <w:bodyDiv w:val="1"/>
      <w:marLeft w:val="0"/>
      <w:marRight w:val="0"/>
      <w:marTop w:val="0"/>
      <w:marBottom w:val="0"/>
      <w:divBdr>
        <w:top w:val="none" w:sz="0" w:space="0" w:color="auto"/>
        <w:left w:val="none" w:sz="0" w:space="0" w:color="auto"/>
        <w:bottom w:val="none" w:sz="0" w:space="0" w:color="auto"/>
        <w:right w:val="none" w:sz="0" w:space="0" w:color="auto"/>
      </w:divBdr>
    </w:div>
    <w:div w:id="358236013">
      <w:bodyDiv w:val="1"/>
      <w:marLeft w:val="0"/>
      <w:marRight w:val="0"/>
      <w:marTop w:val="0"/>
      <w:marBottom w:val="0"/>
      <w:divBdr>
        <w:top w:val="none" w:sz="0" w:space="0" w:color="auto"/>
        <w:left w:val="none" w:sz="0" w:space="0" w:color="auto"/>
        <w:bottom w:val="none" w:sz="0" w:space="0" w:color="auto"/>
        <w:right w:val="none" w:sz="0" w:space="0" w:color="auto"/>
      </w:divBdr>
    </w:div>
    <w:div w:id="372265870">
      <w:bodyDiv w:val="1"/>
      <w:marLeft w:val="0"/>
      <w:marRight w:val="0"/>
      <w:marTop w:val="0"/>
      <w:marBottom w:val="0"/>
      <w:divBdr>
        <w:top w:val="none" w:sz="0" w:space="0" w:color="auto"/>
        <w:left w:val="none" w:sz="0" w:space="0" w:color="auto"/>
        <w:bottom w:val="none" w:sz="0" w:space="0" w:color="auto"/>
        <w:right w:val="none" w:sz="0" w:space="0" w:color="auto"/>
      </w:divBdr>
    </w:div>
    <w:div w:id="373970172">
      <w:bodyDiv w:val="1"/>
      <w:marLeft w:val="0"/>
      <w:marRight w:val="0"/>
      <w:marTop w:val="0"/>
      <w:marBottom w:val="0"/>
      <w:divBdr>
        <w:top w:val="none" w:sz="0" w:space="0" w:color="auto"/>
        <w:left w:val="none" w:sz="0" w:space="0" w:color="auto"/>
        <w:bottom w:val="none" w:sz="0" w:space="0" w:color="auto"/>
        <w:right w:val="none" w:sz="0" w:space="0" w:color="auto"/>
      </w:divBdr>
    </w:div>
    <w:div w:id="407311184">
      <w:bodyDiv w:val="1"/>
      <w:marLeft w:val="0"/>
      <w:marRight w:val="0"/>
      <w:marTop w:val="0"/>
      <w:marBottom w:val="0"/>
      <w:divBdr>
        <w:top w:val="none" w:sz="0" w:space="0" w:color="auto"/>
        <w:left w:val="none" w:sz="0" w:space="0" w:color="auto"/>
        <w:bottom w:val="none" w:sz="0" w:space="0" w:color="auto"/>
        <w:right w:val="none" w:sz="0" w:space="0" w:color="auto"/>
      </w:divBdr>
    </w:div>
    <w:div w:id="421225819">
      <w:bodyDiv w:val="1"/>
      <w:marLeft w:val="0"/>
      <w:marRight w:val="0"/>
      <w:marTop w:val="0"/>
      <w:marBottom w:val="0"/>
      <w:divBdr>
        <w:top w:val="none" w:sz="0" w:space="0" w:color="auto"/>
        <w:left w:val="none" w:sz="0" w:space="0" w:color="auto"/>
        <w:bottom w:val="none" w:sz="0" w:space="0" w:color="auto"/>
        <w:right w:val="none" w:sz="0" w:space="0" w:color="auto"/>
      </w:divBdr>
    </w:div>
    <w:div w:id="440956453">
      <w:bodyDiv w:val="1"/>
      <w:marLeft w:val="0"/>
      <w:marRight w:val="0"/>
      <w:marTop w:val="0"/>
      <w:marBottom w:val="0"/>
      <w:divBdr>
        <w:top w:val="none" w:sz="0" w:space="0" w:color="auto"/>
        <w:left w:val="none" w:sz="0" w:space="0" w:color="auto"/>
        <w:bottom w:val="none" w:sz="0" w:space="0" w:color="auto"/>
        <w:right w:val="none" w:sz="0" w:space="0" w:color="auto"/>
      </w:divBdr>
    </w:div>
    <w:div w:id="467168296">
      <w:bodyDiv w:val="1"/>
      <w:marLeft w:val="0"/>
      <w:marRight w:val="0"/>
      <w:marTop w:val="0"/>
      <w:marBottom w:val="0"/>
      <w:divBdr>
        <w:top w:val="none" w:sz="0" w:space="0" w:color="auto"/>
        <w:left w:val="none" w:sz="0" w:space="0" w:color="auto"/>
        <w:bottom w:val="none" w:sz="0" w:space="0" w:color="auto"/>
        <w:right w:val="none" w:sz="0" w:space="0" w:color="auto"/>
      </w:divBdr>
    </w:div>
    <w:div w:id="482698247">
      <w:bodyDiv w:val="1"/>
      <w:marLeft w:val="0"/>
      <w:marRight w:val="0"/>
      <w:marTop w:val="0"/>
      <w:marBottom w:val="0"/>
      <w:divBdr>
        <w:top w:val="none" w:sz="0" w:space="0" w:color="auto"/>
        <w:left w:val="none" w:sz="0" w:space="0" w:color="auto"/>
        <w:bottom w:val="none" w:sz="0" w:space="0" w:color="auto"/>
        <w:right w:val="none" w:sz="0" w:space="0" w:color="auto"/>
      </w:divBdr>
    </w:div>
    <w:div w:id="483594491">
      <w:bodyDiv w:val="1"/>
      <w:marLeft w:val="0"/>
      <w:marRight w:val="0"/>
      <w:marTop w:val="0"/>
      <w:marBottom w:val="0"/>
      <w:divBdr>
        <w:top w:val="none" w:sz="0" w:space="0" w:color="auto"/>
        <w:left w:val="none" w:sz="0" w:space="0" w:color="auto"/>
        <w:bottom w:val="none" w:sz="0" w:space="0" w:color="auto"/>
        <w:right w:val="none" w:sz="0" w:space="0" w:color="auto"/>
      </w:divBdr>
    </w:div>
    <w:div w:id="492722697">
      <w:bodyDiv w:val="1"/>
      <w:marLeft w:val="0"/>
      <w:marRight w:val="0"/>
      <w:marTop w:val="0"/>
      <w:marBottom w:val="0"/>
      <w:divBdr>
        <w:top w:val="none" w:sz="0" w:space="0" w:color="auto"/>
        <w:left w:val="none" w:sz="0" w:space="0" w:color="auto"/>
        <w:bottom w:val="none" w:sz="0" w:space="0" w:color="auto"/>
        <w:right w:val="none" w:sz="0" w:space="0" w:color="auto"/>
      </w:divBdr>
    </w:div>
    <w:div w:id="495614794">
      <w:bodyDiv w:val="1"/>
      <w:marLeft w:val="0"/>
      <w:marRight w:val="0"/>
      <w:marTop w:val="0"/>
      <w:marBottom w:val="0"/>
      <w:divBdr>
        <w:top w:val="none" w:sz="0" w:space="0" w:color="auto"/>
        <w:left w:val="none" w:sz="0" w:space="0" w:color="auto"/>
        <w:bottom w:val="none" w:sz="0" w:space="0" w:color="auto"/>
        <w:right w:val="none" w:sz="0" w:space="0" w:color="auto"/>
      </w:divBdr>
    </w:div>
    <w:div w:id="548342245">
      <w:bodyDiv w:val="1"/>
      <w:marLeft w:val="0"/>
      <w:marRight w:val="0"/>
      <w:marTop w:val="0"/>
      <w:marBottom w:val="0"/>
      <w:divBdr>
        <w:top w:val="none" w:sz="0" w:space="0" w:color="auto"/>
        <w:left w:val="none" w:sz="0" w:space="0" w:color="auto"/>
        <w:bottom w:val="none" w:sz="0" w:space="0" w:color="auto"/>
        <w:right w:val="none" w:sz="0" w:space="0" w:color="auto"/>
      </w:divBdr>
    </w:div>
    <w:div w:id="553128246">
      <w:bodyDiv w:val="1"/>
      <w:marLeft w:val="0"/>
      <w:marRight w:val="0"/>
      <w:marTop w:val="0"/>
      <w:marBottom w:val="0"/>
      <w:divBdr>
        <w:top w:val="none" w:sz="0" w:space="0" w:color="auto"/>
        <w:left w:val="none" w:sz="0" w:space="0" w:color="auto"/>
        <w:bottom w:val="none" w:sz="0" w:space="0" w:color="auto"/>
        <w:right w:val="none" w:sz="0" w:space="0" w:color="auto"/>
      </w:divBdr>
      <w:divsChild>
        <w:div w:id="441269403">
          <w:marLeft w:val="0"/>
          <w:marRight w:val="0"/>
          <w:marTop w:val="0"/>
          <w:marBottom w:val="0"/>
          <w:divBdr>
            <w:top w:val="none" w:sz="0" w:space="0" w:color="auto"/>
            <w:left w:val="none" w:sz="0" w:space="0" w:color="auto"/>
            <w:bottom w:val="none" w:sz="0" w:space="0" w:color="auto"/>
            <w:right w:val="none" w:sz="0" w:space="0" w:color="auto"/>
          </w:divBdr>
        </w:div>
        <w:div w:id="340670125">
          <w:marLeft w:val="0"/>
          <w:marRight w:val="0"/>
          <w:marTop w:val="0"/>
          <w:marBottom w:val="0"/>
          <w:divBdr>
            <w:top w:val="none" w:sz="0" w:space="0" w:color="auto"/>
            <w:left w:val="none" w:sz="0" w:space="0" w:color="auto"/>
            <w:bottom w:val="none" w:sz="0" w:space="0" w:color="auto"/>
            <w:right w:val="none" w:sz="0" w:space="0" w:color="auto"/>
          </w:divBdr>
        </w:div>
      </w:divsChild>
    </w:div>
    <w:div w:id="571963297">
      <w:bodyDiv w:val="1"/>
      <w:marLeft w:val="0"/>
      <w:marRight w:val="0"/>
      <w:marTop w:val="0"/>
      <w:marBottom w:val="0"/>
      <w:divBdr>
        <w:top w:val="none" w:sz="0" w:space="0" w:color="auto"/>
        <w:left w:val="none" w:sz="0" w:space="0" w:color="auto"/>
        <w:bottom w:val="none" w:sz="0" w:space="0" w:color="auto"/>
        <w:right w:val="none" w:sz="0" w:space="0" w:color="auto"/>
      </w:divBdr>
    </w:div>
    <w:div w:id="579367053">
      <w:bodyDiv w:val="1"/>
      <w:marLeft w:val="0"/>
      <w:marRight w:val="0"/>
      <w:marTop w:val="0"/>
      <w:marBottom w:val="0"/>
      <w:divBdr>
        <w:top w:val="none" w:sz="0" w:space="0" w:color="auto"/>
        <w:left w:val="none" w:sz="0" w:space="0" w:color="auto"/>
        <w:bottom w:val="none" w:sz="0" w:space="0" w:color="auto"/>
        <w:right w:val="none" w:sz="0" w:space="0" w:color="auto"/>
      </w:divBdr>
    </w:div>
    <w:div w:id="588007889">
      <w:bodyDiv w:val="1"/>
      <w:marLeft w:val="0"/>
      <w:marRight w:val="0"/>
      <w:marTop w:val="0"/>
      <w:marBottom w:val="0"/>
      <w:divBdr>
        <w:top w:val="none" w:sz="0" w:space="0" w:color="auto"/>
        <w:left w:val="none" w:sz="0" w:space="0" w:color="auto"/>
        <w:bottom w:val="none" w:sz="0" w:space="0" w:color="auto"/>
        <w:right w:val="none" w:sz="0" w:space="0" w:color="auto"/>
      </w:divBdr>
    </w:div>
    <w:div w:id="624313785">
      <w:bodyDiv w:val="1"/>
      <w:marLeft w:val="0"/>
      <w:marRight w:val="0"/>
      <w:marTop w:val="0"/>
      <w:marBottom w:val="0"/>
      <w:divBdr>
        <w:top w:val="none" w:sz="0" w:space="0" w:color="auto"/>
        <w:left w:val="none" w:sz="0" w:space="0" w:color="auto"/>
        <w:bottom w:val="none" w:sz="0" w:space="0" w:color="auto"/>
        <w:right w:val="none" w:sz="0" w:space="0" w:color="auto"/>
      </w:divBdr>
    </w:div>
    <w:div w:id="673607304">
      <w:bodyDiv w:val="1"/>
      <w:marLeft w:val="0"/>
      <w:marRight w:val="0"/>
      <w:marTop w:val="0"/>
      <w:marBottom w:val="0"/>
      <w:divBdr>
        <w:top w:val="none" w:sz="0" w:space="0" w:color="auto"/>
        <w:left w:val="none" w:sz="0" w:space="0" w:color="auto"/>
        <w:bottom w:val="none" w:sz="0" w:space="0" w:color="auto"/>
        <w:right w:val="none" w:sz="0" w:space="0" w:color="auto"/>
      </w:divBdr>
    </w:div>
    <w:div w:id="721055107">
      <w:bodyDiv w:val="1"/>
      <w:marLeft w:val="0"/>
      <w:marRight w:val="0"/>
      <w:marTop w:val="0"/>
      <w:marBottom w:val="0"/>
      <w:divBdr>
        <w:top w:val="none" w:sz="0" w:space="0" w:color="auto"/>
        <w:left w:val="none" w:sz="0" w:space="0" w:color="auto"/>
        <w:bottom w:val="none" w:sz="0" w:space="0" w:color="auto"/>
        <w:right w:val="none" w:sz="0" w:space="0" w:color="auto"/>
      </w:divBdr>
    </w:div>
    <w:div w:id="724109121">
      <w:bodyDiv w:val="1"/>
      <w:marLeft w:val="0"/>
      <w:marRight w:val="0"/>
      <w:marTop w:val="0"/>
      <w:marBottom w:val="0"/>
      <w:divBdr>
        <w:top w:val="none" w:sz="0" w:space="0" w:color="auto"/>
        <w:left w:val="none" w:sz="0" w:space="0" w:color="auto"/>
        <w:bottom w:val="none" w:sz="0" w:space="0" w:color="auto"/>
        <w:right w:val="none" w:sz="0" w:space="0" w:color="auto"/>
      </w:divBdr>
      <w:divsChild>
        <w:div w:id="10842312">
          <w:marLeft w:val="-225"/>
          <w:marRight w:val="-225"/>
          <w:marTop w:val="0"/>
          <w:marBottom w:val="0"/>
          <w:divBdr>
            <w:top w:val="none" w:sz="0" w:space="0" w:color="auto"/>
            <w:left w:val="none" w:sz="0" w:space="0" w:color="auto"/>
            <w:bottom w:val="none" w:sz="0" w:space="0" w:color="auto"/>
            <w:right w:val="none" w:sz="0" w:space="0" w:color="auto"/>
          </w:divBdr>
          <w:divsChild>
            <w:div w:id="126627353">
              <w:marLeft w:val="0"/>
              <w:marRight w:val="0"/>
              <w:marTop w:val="0"/>
              <w:marBottom w:val="0"/>
              <w:divBdr>
                <w:top w:val="none" w:sz="0" w:space="0" w:color="auto"/>
                <w:left w:val="none" w:sz="0" w:space="0" w:color="auto"/>
                <w:bottom w:val="none" w:sz="0" w:space="0" w:color="auto"/>
                <w:right w:val="none" w:sz="0" w:space="0" w:color="auto"/>
              </w:divBdr>
              <w:divsChild>
                <w:div w:id="6607611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631283422">
          <w:marLeft w:val="0"/>
          <w:marRight w:val="0"/>
          <w:marTop w:val="0"/>
          <w:marBottom w:val="0"/>
          <w:divBdr>
            <w:top w:val="none" w:sz="0" w:space="0" w:color="auto"/>
            <w:left w:val="none" w:sz="0" w:space="0" w:color="auto"/>
            <w:bottom w:val="none" w:sz="0" w:space="0" w:color="auto"/>
            <w:right w:val="none" w:sz="0" w:space="0" w:color="auto"/>
          </w:divBdr>
          <w:divsChild>
            <w:div w:id="1633485643">
              <w:marLeft w:val="0"/>
              <w:marRight w:val="0"/>
              <w:marTop w:val="0"/>
              <w:marBottom w:val="0"/>
              <w:divBdr>
                <w:top w:val="none" w:sz="0" w:space="0" w:color="auto"/>
                <w:left w:val="none" w:sz="0" w:space="0" w:color="auto"/>
                <w:bottom w:val="none" w:sz="0" w:space="0" w:color="auto"/>
                <w:right w:val="none" w:sz="0" w:space="0" w:color="auto"/>
              </w:divBdr>
              <w:divsChild>
                <w:div w:id="493376423">
                  <w:marLeft w:val="0"/>
                  <w:marRight w:val="0"/>
                  <w:marTop w:val="0"/>
                  <w:marBottom w:val="0"/>
                  <w:divBdr>
                    <w:top w:val="none" w:sz="0" w:space="0" w:color="auto"/>
                    <w:left w:val="none" w:sz="0" w:space="0" w:color="auto"/>
                    <w:bottom w:val="none" w:sz="0" w:space="0" w:color="auto"/>
                    <w:right w:val="none" w:sz="0" w:space="0" w:color="auto"/>
                  </w:divBdr>
                </w:div>
                <w:div w:id="141520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965009">
      <w:bodyDiv w:val="1"/>
      <w:marLeft w:val="0"/>
      <w:marRight w:val="0"/>
      <w:marTop w:val="0"/>
      <w:marBottom w:val="0"/>
      <w:divBdr>
        <w:top w:val="none" w:sz="0" w:space="0" w:color="auto"/>
        <w:left w:val="none" w:sz="0" w:space="0" w:color="auto"/>
        <w:bottom w:val="none" w:sz="0" w:space="0" w:color="auto"/>
        <w:right w:val="none" w:sz="0" w:space="0" w:color="auto"/>
      </w:divBdr>
    </w:div>
    <w:div w:id="739641771">
      <w:bodyDiv w:val="1"/>
      <w:marLeft w:val="0"/>
      <w:marRight w:val="0"/>
      <w:marTop w:val="0"/>
      <w:marBottom w:val="0"/>
      <w:divBdr>
        <w:top w:val="none" w:sz="0" w:space="0" w:color="auto"/>
        <w:left w:val="none" w:sz="0" w:space="0" w:color="auto"/>
        <w:bottom w:val="none" w:sz="0" w:space="0" w:color="auto"/>
        <w:right w:val="none" w:sz="0" w:space="0" w:color="auto"/>
      </w:divBdr>
    </w:div>
    <w:div w:id="745221650">
      <w:bodyDiv w:val="1"/>
      <w:marLeft w:val="0"/>
      <w:marRight w:val="0"/>
      <w:marTop w:val="0"/>
      <w:marBottom w:val="0"/>
      <w:divBdr>
        <w:top w:val="none" w:sz="0" w:space="0" w:color="auto"/>
        <w:left w:val="none" w:sz="0" w:space="0" w:color="auto"/>
        <w:bottom w:val="none" w:sz="0" w:space="0" w:color="auto"/>
        <w:right w:val="none" w:sz="0" w:space="0" w:color="auto"/>
      </w:divBdr>
    </w:div>
    <w:div w:id="747966204">
      <w:bodyDiv w:val="1"/>
      <w:marLeft w:val="0"/>
      <w:marRight w:val="0"/>
      <w:marTop w:val="0"/>
      <w:marBottom w:val="0"/>
      <w:divBdr>
        <w:top w:val="none" w:sz="0" w:space="0" w:color="auto"/>
        <w:left w:val="none" w:sz="0" w:space="0" w:color="auto"/>
        <w:bottom w:val="none" w:sz="0" w:space="0" w:color="auto"/>
        <w:right w:val="none" w:sz="0" w:space="0" w:color="auto"/>
      </w:divBdr>
    </w:div>
    <w:div w:id="749351024">
      <w:bodyDiv w:val="1"/>
      <w:marLeft w:val="0"/>
      <w:marRight w:val="0"/>
      <w:marTop w:val="0"/>
      <w:marBottom w:val="0"/>
      <w:divBdr>
        <w:top w:val="none" w:sz="0" w:space="0" w:color="auto"/>
        <w:left w:val="none" w:sz="0" w:space="0" w:color="auto"/>
        <w:bottom w:val="none" w:sz="0" w:space="0" w:color="auto"/>
        <w:right w:val="none" w:sz="0" w:space="0" w:color="auto"/>
      </w:divBdr>
    </w:div>
    <w:div w:id="773938865">
      <w:bodyDiv w:val="1"/>
      <w:marLeft w:val="0"/>
      <w:marRight w:val="0"/>
      <w:marTop w:val="0"/>
      <w:marBottom w:val="0"/>
      <w:divBdr>
        <w:top w:val="none" w:sz="0" w:space="0" w:color="auto"/>
        <w:left w:val="none" w:sz="0" w:space="0" w:color="auto"/>
        <w:bottom w:val="none" w:sz="0" w:space="0" w:color="auto"/>
        <w:right w:val="none" w:sz="0" w:space="0" w:color="auto"/>
      </w:divBdr>
    </w:div>
    <w:div w:id="792987936">
      <w:bodyDiv w:val="1"/>
      <w:marLeft w:val="0"/>
      <w:marRight w:val="0"/>
      <w:marTop w:val="0"/>
      <w:marBottom w:val="0"/>
      <w:divBdr>
        <w:top w:val="none" w:sz="0" w:space="0" w:color="auto"/>
        <w:left w:val="none" w:sz="0" w:space="0" w:color="auto"/>
        <w:bottom w:val="none" w:sz="0" w:space="0" w:color="auto"/>
        <w:right w:val="none" w:sz="0" w:space="0" w:color="auto"/>
      </w:divBdr>
    </w:div>
    <w:div w:id="794980672">
      <w:bodyDiv w:val="1"/>
      <w:marLeft w:val="0"/>
      <w:marRight w:val="0"/>
      <w:marTop w:val="0"/>
      <w:marBottom w:val="0"/>
      <w:divBdr>
        <w:top w:val="none" w:sz="0" w:space="0" w:color="auto"/>
        <w:left w:val="none" w:sz="0" w:space="0" w:color="auto"/>
        <w:bottom w:val="none" w:sz="0" w:space="0" w:color="auto"/>
        <w:right w:val="none" w:sz="0" w:space="0" w:color="auto"/>
      </w:divBdr>
    </w:div>
    <w:div w:id="798298270">
      <w:bodyDiv w:val="1"/>
      <w:marLeft w:val="0"/>
      <w:marRight w:val="0"/>
      <w:marTop w:val="0"/>
      <w:marBottom w:val="0"/>
      <w:divBdr>
        <w:top w:val="none" w:sz="0" w:space="0" w:color="auto"/>
        <w:left w:val="none" w:sz="0" w:space="0" w:color="auto"/>
        <w:bottom w:val="none" w:sz="0" w:space="0" w:color="auto"/>
        <w:right w:val="none" w:sz="0" w:space="0" w:color="auto"/>
      </w:divBdr>
    </w:div>
    <w:div w:id="800996557">
      <w:bodyDiv w:val="1"/>
      <w:marLeft w:val="0"/>
      <w:marRight w:val="0"/>
      <w:marTop w:val="0"/>
      <w:marBottom w:val="0"/>
      <w:divBdr>
        <w:top w:val="none" w:sz="0" w:space="0" w:color="auto"/>
        <w:left w:val="none" w:sz="0" w:space="0" w:color="auto"/>
        <w:bottom w:val="none" w:sz="0" w:space="0" w:color="auto"/>
        <w:right w:val="none" w:sz="0" w:space="0" w:color="auto"/>
      </w:divBdr>
      <w:divsChild>
        <w:div w:id="413744077">
          <w:marLeft w:val="0"/>
          <w:marRight w:val="0"/>
          <w:marTop w:val="0"/>
          <w:marBottom w:val="0"/>
          <w:divBdr>
            <w:top w:val="none" w:sz="0" w:space="0" w:color="auto"/>
            <w:left w:val="none" w:sz="0" w:space="0" w:color="auto"/>
            <w:bottom w:val="none" w:sz="0" w:space="0" w:color="auto"/>
            <w:right w:val="none" w:sz="0" w:space="0" w:color="auto"/>
          </w:divBdr>
        </w:div>
      </w:divsChild>
    </w:div>
    <w:div w:id="808132991">
      <w:bodyDiv w:val="1"/>
      <w:marLeft w:val="0"/>
      <w:marRight w:val="0"/>
      <w:marTop w:val="0"/>
      <w:marBottom w:val="0"/>
      <w:divBdr>
        <w:top w:val="none" w:sz="0" w:space="0" w:color="auto"/>
        <w:left w:val="none" w:sz="0" w:space="0" w:color="auto"/>
        <w:bottom w:val="none" w:sz="0" w:space="0" w:color="auto"/>
        <w:right w:val="none" w:sz="0" w:space="0" w:color="auto"/>
      </w:divBdr>
    </w:div>
    <w:div w:id="812450242">
      <w:bodyDiv w:val="1"/>
      <w:marLeft w:val="0"/>
      <w:marRight w:val="0"/>
      <w:marTop w:val="0"/>
      <w:marBottom w:val="0"/>
      <w:divBdr>
        <w:top w:val="none" w:sz="0" w:space="0" w:color="auto"/>
        <w:left w:val="none" w:sz="0" w:space="0" w:color="auto"/>
        <w:bottom w:val="none" w:sz="0" w:space="0" w:color="auto"/>
        <w:right w:val="none" w:sz="0" w:space="0" w:color="auto"/>
      </w:divBdr>
    </w:div>
    <w:div w:id="850071975">
      <w:bodyDiv w:val="1"/>
      <w:marLeft w:val="0"/>
      <w:marRight w:val="0"/>
      <w:marTop w:val="0"/>
      <w:marBottom w:val="0"/>
      <w:divBdr>
        <w:top w:val="none" w:sz="0" w:space="0" w:color="auto"/>
        <w:left w:val="none" w:sz="0" w:space="0" w:color="auto"/>
        <w:bottom w:val="none" w:sz="0" w:space="0" w:color="auto"/>
        <w:right w:val="none" w:sz="0" w:space="0" w:color="auto"/>
      </w:divBdr>
    </w:div>
    <w:div w:id="856890746">
      <w:bodyDiv w:val="1"/>
      <w:marLeft w:val="0"/>
      <w:marRight w:val="0"/>
      <w:marTop w:val="0"/>
      <w:marBottom w:val="0"/>
      <w:divBdr>
        <w:top w:val="none" w:sz="0" w:space="0" w:color="auto"/>
        <w:left w:val="none" w:sz="0" w:space="0" w:color="auto"/>
        <w:bottom w:val="none" w:sz="0" w:space="0" w:color="auto"/>
        <w:right w:val="none" w:sz="0" w:space="0" w:color="auto"/>
      </w:divBdr>
    </w:div>
    <w:div w:id="859274226">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37252519">
      <w:bodyDiv w:val="1"/>
      <w:marLeft w:val="0"/>
      <w:marRight w:val="0"/>
      <w:marTop w:val="0"/>
      <w:marBottom w:val="0"/>
      <w:divBdr>
        <w:top w:val="none" w:sz="0" w:space="0" w:color="auto"/>
        <w:left w:val="none" w:sz="0" w:space="0" w:color="auto"/>
        <w:bottom w:val="none" w:sz="0" w:space="0" w:color="auto"/>
        <w:right w:val="none" w:sz="0" w:space="0" w:color="auto"/>
      </w:divBdr>
    </w:div>
    <w:div w:id="944461968">
      <w:bodyDiv w:val="1"/>
      <w:marLeft w:val="0"/>
      <w:marRight w:val="0"/>
      <w:marTop w:val="0"/>
      <w:marBottom w:val="0"/>
      <w:divBdr>
        <w:top w:val="none" w:sz="0" w:space="0" w:color="auto"/>
        <w:left w:val="none" w:sz="0" w:space="0" w:color="auto"/>
        <w:bottom w:val="none" w:sz="0" w:space="0" w:color="auto"/>
        <w:right w:val="none" w:sz="0" w:space="0" w:color="auto"/>
      </w:divBdr>
    </w:div>
    <w:div w:id="948391794">
      <w:bodyDiv w:val="1"/>
      <w:marLeft w:val="0"/>
      <w:marRight w:val="0"/>
      <w:marTop w:val="0"/>
      <w:marBottom w:val="0"/>
      <w:divBdr>
        <w:top w:val="none" w:sz="0" w:space="0" w:color="auto"/>
        <w:left w:val="none" w:sz="0" w:space="0" w:color="auto"/>
        <w:bottom w:val="none" w:sz="0" w:space="0" w:color="auto"/>
        <w:right w:val="none" w:sz="0" w:space="0" w:color="auto"/>
      </w:divBdr>
    </w:div>
    <w:div w:id="953439293">
      <w:bodyDiv w:val="1"/>
      <w:marLeft w:val="0"/>
      <w:marRight w:val="0"/>
      <w:marTop w:val="0"/>
      <w:marBottom w:val="0"/>
      <w:divBdr>
        <w:top w:val="none" w:sz="0" w:space="0" w:color="auto"/>
        <w:left w:val="none" w:sz="0" w:space="0" w:color="auto"/>
        <w:bottom w:val="none" w:sz="0" w:space="0" w:color="auto"/>
        <w:right w:val="none" w:sz="0" w:space="0" w:color="auto"/>
      </w:divBdr>
    </w:div>
    <w:div w:id="958993342">
      <w:bodyDiv w:val="1"/>
      <w:marLeft w:val="0"/>
      <w:marRight w:val="0"/>
      <w:marTop w:val="0"/>
      <w:marBottom w:val="0"/>
      <w:divBdr>
        <w:top w:val="none" w:sz="0" w:space="0" w:color="auto"/>
        <w:left w:val="none" w:sz="0" w:space="0" w:color="auto"/>
        <w:bottom w:val="none" w:sz="0" w:space="0" w:color="auto"/>
        <w:right w:val="none" w:sz="0" w:space="0" w:color="auto"/>
      </w:divBdr>
    </w:div>
    <w:div w:id="964769473">
      <w:bodyDiv w:val="1"/>
      <w:marLeft w:val="0"/>
      <w:marRight w:val="0"/>
      <w:marTop w:val="0"/>
      <w:marBottom w:val="0"/>
      <w:divBdr>
        <w:top w:val="none" w:sz="0" w:space="0" w:color="auto"/>
        <w:left w:val="none" w:sz="0" w:space="0" w:color="auto"/>
        <w:bottom w:val="none" w:sz="0" w:space="0" w:color="auto"/>
        <w:right w:val="none" w:sz="0" w:space="0" w:color="auto"/>
      </w:divBdr>
    </w:div>
    <w:div w:id="994257349">
      <w:bodyDiv w:val="1"/>
      <w:marLeft w:val="0"/>
      <w:marRight w:val="0"/>
      <w:marTop w:val="0"/>
      <w:marBottom w:val="0"/>
      <w:divBdr>
        <w:top w:val="none" w:sz="0" w:space="0" w:color="auto"/>
        <w:left w:val="none" w:sz="0" w:space="0" w:color="auto"/>
        <w:bottom w:val="none" w:sz="0" w:space="0" w:color="auto"/>
        <w:right w:val="none" w:sz="0" w:space="0" w:color="auto"/>
      </w:divBdr>
    </w:div>
    <w:div w:id="1005940149">
      <w:bodyDiv w:val="1"/>
      <w:marLeft w:val="0"/>
      <w:marRight w:val="0"/>
      <w:marTop w:val="0"/>
      <w:marBottom w:val="0"/>
      <w:divBdr>
        <w:top w:val="none" w:sz="0" w:space="0" w:color="auto"/>
        <w:left w:val="none" w:sz="0" w:space="0" w:color="auto"/>
        <w:bottom w:val="none" w:sz="0" w:space="0" w:color="auto"/>
        <w:right w:val="none" w:sz="0" w:space="0" w:color="auto"/>
      </w:divBdr>
    </w:div>
    <w:div w:id="1032069431">
      <w:bodyDiv w:val="1"/>
      <w:marLeft w:val="0"/>
      <w:marRight w:val="0"/>
      <w:marTop w:val="0"/>
      <w:marBottom w:val="0"/>
      <w:divBdr>
        <w:top w:val="none" w:sz="0" w:space="0" w:color="auto"/>
        <w:left w:val="none" w:sz="0" w:space="0" w:color="auto"/>
        <w:bottom w:val="none" w:sz="0" w:space="0" w:color="auto"/>
        <w:right w:val="none" w:sz="0" w:space="0" w:color="auto"/>
      </w:divBdr>
    </w:div>
    <w:div w:id="1055851879">
      <w:bodyDiv w:val="1"/>
      <w:marLeft w:val="0"/>
      <w:marRight w:val="0"/>
      <w:marTop w:val="0"/>
      <w:marBottom w:val="0"/>
      <w:divBdr>
        <w:top w:val="none" w:sz="0" w:space="0" w:color="auto"/>
        <w:left w:val="none" w:sz="0" w:space="0" w:color="auto"/>
        <w:bottom w:val="none" w:sz="0" w:space="0" w:color="auto"/>
        <w:right w:val="none" w:sz="0" w:space="0" w:color="auto"/>
      </w:divBdr>
    </w:div>
    <w:div w:id="1105493564">
      <w:bodyDiv w:val="1"/>
      <w:marLeft w:val="0"/>
      <w:marRight w:val="0"/>
      <w:marTop w:val="0"/>
      <w:marBottom w:val="0"/>
      <w:divBdr>
        <w:top w:val="none" w:sz="0" w:space="0" w:color="auto"/>
        <w:left w:val="none" w:sz="0" w:space="0" w:color="auto"/>
        <w:bottom w:val="none" w:sz="0" w:space="0" w:color="auto"/>
        <w:right w:val="none" w:sz="0" w:space="0" w:color="auto"/>
      </w:divBdr>
    </w:div>
    <w:div w:id="1106464401">
      <w:bodyDiv w:val="1"/>
      <w:marLeft w:val="0"/>
      <w:marRight w:val="0"/>
      <w:marTop w:val="0"/>
      <w:marBottom w:val="0"/>
      <w:divBdr>
        <w:top w:val="none" w:sz="0" w:space="0" w:color="auto"/>
        <w:left w:val="none" w:sz="0" w:space="0" w:color="auto"/>
        <w:bottom w:val="none" w:sz="0" w:space="0" w:color="auto"/>
        <w:right w:val="none" w:sz="0" w:space="0" w:color="auto"/>
      </w:divBdr>
    </w:div>
    <w:div w:id="1120805486">
      <w:bodyDiv w:val="1"/>
      <w:marLeft w:val="0"/>
      <w:marRight w:val="0"/>
      <w:marTop w:val="0"/>
      <w:marBottom w:val="0"/>
      <w:divBdr>
        <w:top w:val="none" w:sz="0" w:space="0" w:color="auto"/>
        <w:left w:val="none" w:sz="0" w:space="0" w:color="auto"/>
        <w:bottom w:val="none" w:sz="0" w:space="0" w:color="auto"/>
        <w:right w:val="none" w:sz="0" w:space="0" w:color="auto"/>
      </w:divBdr>
    </w:div>
    <w:div w:id="1160537720">
      <w:bodyDiv w:val="1"/>
      <w:marLeft w:val="0"/>
      <w:marRight w:val="0"/>
      <w:marTop w:val="0"/>
      <w:marBottom w:val="0"/>
      <w:divBdr>
        <w:top w:val="none" w:sz="0" w:space="0" w:color="auto"/>
        <w:left w:val="none" w:sz="0" w:space="0" w:color="auto"/>
        <w:bottom w:val="none" w:sz="0" w:space="0" w:color="auto"/>
        <w:right w:val="none" w:sz="0" w:space="0" w:color="auto"/>
      </w:divBdr>
    </w:div>
    <w:div w:id="1161651725">
      <w:bodyDiv w:val="1"/>
      <w:marLeft w:val="0"/>
      <w:marRight w:val="0"/>
      <w:marTop w:val="0"/>
      <w:marBottom w:val="0"/>
      <w:divBdr>
        <w:top w:val="none" w:sz="0" w:space="0" w:color="auto"/>
        <w:left w:val="none" w:sz="0" w:space="0" w:color="auto"/>
        <w:bottom w:val="none" w:sz="0" w:space="0" w:color="auto"/>
        <w:right w:val="none" w:sz="0" w:space="0" w:color="auto"/>
      </w:divBdr>
    </w:div>
    <w:div w:id="1168984886">
      <w:bodyDiv w:val="1"/>
      <w:marLeft w:val="0"/>
      <w:marRight w:val="0"/>
      <w:marTop w:val="0"/>
      <w:marBottom w:val="0"/>
      <w:divBdr>
        <w:top w:val="none" w:sz="0" w:space="0" w:color="auto"/>
        <w:left w:val="none" w:sz="0" w:space="0" w:color="auto"/>
        <w:bottom w:val="none" w:sz="0" w:space="0" w:color="auto"/>
        <w:right w:val="none" w:sz="0" w:space="0" w:color="auto"/>
      </w:divBdr>
    </w:div>
    <w:div w:id="1174414001">
      <w:bodyDiv w:val="1"/>
      <w:marLeft w:val="0"/>
      <w:marRight w:val="0"/>
      <w:marTop w:val="0"/>
      <w:marBottom w:val="0"/>
      <w:divBdr>
        <w:top w:val="none" w:sz="0" w:space="0" w:color="auto"/>
        <w:left w:val="none" w:sz="0" w:space="0" w:color="auto"/>
        <w:bottom w:val="none" w:sz="0" w:space="0" w:color="auto"/>
        <w:right w:val="none" w:sz="0" w:space="0" w:color="auto"/>
      </w:divBdr>
    </w:div>
    <w:div w:id="1180895424">
      <w:bodyDiv w:val="1"/>
      <w:marLeft w:val="0"/>
      <w:marRight w:val="0"/>
      <w:marTop w:val="0"/>
      <w:marBottom w:val="0"/>
      <w:divBdr>
        <w:top w:val="none" w:sz="0" w:space="0" w:color="auto"/>
        <w:left w:val="none" w:sz="0" w:space="0" w:color="auto"/>
        <w:bottom w:val="none" w:sz="0" w:space="0" w:color="auto"/>
        <w:right w:val="none" w:sz="0" w:space="0" w:color="auto"/>
      </w:divBdr>
      <w:divsChild>
        <w:div w:id="1359892603">
          <w:marLeft w:val="0"/>
          <w:marRight w:val="0"/>
          <w:marTop w:val="0"/>
          <w:marBottom w:val="80"/>
          <w:divBdr>
            <w:top w:val="none" w:sz="0" w:space="0" w:color="auto"/>
            <w:left w:val="none" w:sz="0" w:space="0" w:color="auto"/>
            <w:bottom w:val="none" w:sz="0" w:space="0" w:color="auto"/>
            <w:right w:val="none" w:sz="0" w:space="0" w:color="auto"/>
          </w:divBdr>
        </w:div>
        <w:div w:id="383792655">
          <w:marLeft w:val="0"/>
          <w:marRight w:val="0"/>
          <w:marTop w:val="0"/>
          <w:marBottom w:val="80"/>
          <w:divBdr>
            <w:top w:val="none" w:sz="0" w:space="0" w:color="auto"/>
            <w:left w:val="none" w:sz="0" w:space="0" w:color="auto"/>
            <w:bottom w:val="none" w:sz="0" w:space="0" w:color="auto"/>
            <w:right w:val="none" w:sz="0" w:space="0" w:color="auto"/>
          </w:divBdr>
        </w:div>
        <w:div w:id="46686545">
          <w:marLeft w:val="0"/>
          <w:marRight w:val="0"/>
          <w:marTop w:val="0"/>
          <w:marBottom w:val="80"/>
          <w:divBdr>
            <w:top w:val="none" w:sz="0" w:space="0" w:color="auto"/>
            <w:left w:val="none" w:sz="0" w:space="0" w:color="auto"/>
            <w:bottom w:val="none" w:sz="0" w:space="0" w:color="auto"/>
            <w:right w:val="none" w:sz="0" w:space="0" w:color="auto"/>
          </w:divBdr>
        </w:div>
        <w:div w:id="188568224">
          <w:marLeft w:val="720"/>
          <w:marRight w:val="0"/>
          <w:marTop w:val="0"/>
          <w:marBottom w:val="80"/>
          <w:divBdr>
            <w:top w:val="none" w:sz="0" w:space="0" w:color="auto"/>
            <w:left w:val="none" w:sz="0" w:space="0" w:color="auto"/>
            <w:bottom w:val="none" w:sz="0" w:space="0" w:color="auto"/>
            <w:right w:val="none" w:sz="0" w:space="0" w:color="auto"/>
          </w:divBdr>
        </w:div>
        <w:div w:id="2010667268">
          <w:marLeft w:val="720"/>
          <w:marRight w:val="0"/>
          <w:marTop w:val="0"/>
          <w:marBottom w:val="80"/>
          <w:divBdr>
            <w:top w:val="none" w:sz="0" w:space="0" w:color="auto"/>
            <w:left w:val="none" w:sz="0" w:space="0" w:color="auto"/>
            <w:bottom w:val="none" w:sz="0" w:space="0" w:color="auto"/>
            <w:right w:val="none" w:sz="0" w:space="0" w:color="auto"/>
          </w:divBdr>
        </w:div>
        <w:div w:id="439616404">
          <w:marLeft w:val="720"/>
          <w:marRight w:val="0"/>
          <w:marTop w:val="0"/>
          <w:marBottom w:val="80"/>
          <w:divBdr>
            <w:top w:val="none" w:sz="0" w:space="0" w:color="auto"/>
            <w:left w:val="none" w:sz="0" w:space="0" w:color="auto"/>
            <w:bottom w:val="none" w:sz="0" w:space="0" w:color="auto"/>
            <w:right w:val="none" w:sz="0" w:space="0" w:color="auto"/>
          </w:divBdr>
        </w:div>
        <w:div w:id="1459224941">
          <w:marLeft w:val="720"/>
          <w:marRight w:val="0"/>
          <w:marTop w:val="0"/>
          <w:marBottom w:val="80"/>
          <w:divBdr>
            <w:top w:val="none" w:sz="0" w:space="0" w:color="auto"/>
            <w:left w:val="none" w:sz="0" w:space="0" w:color="auto"/>
            <w:bottom w:val="none" w:sz="0" w:space="0" w:color="auto"/>
            <w:right w:val="none" w:sz="0" w:space="0" w:color="auto"/>
          </w:divBdr>
        </w:div>
      </w:divsChild>
    </w:div>
    <w:div w:id="1197156718">
      <w:bodyDiv w:val="1"/>
      <w:marLeft w:val="0"/>
      <w:marRight w:val="0"/>
      <w:marTop w:val="0"/>
      <w:marBottom w:val="0"/>
      <w:divBdr>
        <w:top w:val="none" w:sz="0" w:space="0" w:color="auto"/>
        <w:left w:val="none" w:sz="0" w:space="0" w:color="auto"/>
        <w:bottom w:val="none" w:sz="0" w:space="0" w:color="auto"/>
        <w:right w:val="none" w:sz="0" w:space="0" w:color="auto"/>
      </w:divBdr>
    </w:div>
    <w:div w:id="1203322085">
      <w:bodyDiv w:val="1"/>
      <w:marLeft w:val="0"/>
      <w:marRight w:val="0"/>
      <w:marTop w:val="0"/>
      <w:marBottom w:val="0"/>
      <w:divBdr>
        <w:top w:val="none" w:sz="0" w:space="0" w:color="auto"/>
        <w:left w:val="none" w:sz="0" w:space="0" w:color="auto"/>
        <w:bottom w:val="none" w:sz="0" w:space="0" w:color="auto"/>
        <w:right w:val="none" w:sz="0" w:space="0" w:color="auto"/>
      </w:divBdr>
    </w:div>
    <w:div w:id="1217859701">
      <w:bodyDiv w:val="1"/>
      <w:marLeft w:val="0"/>
      <w:marRight w:val="0"/>
      <w:marTop w:val="0"/>
      <w:marBottom w:val="0"/>
      <w:divBdr>
        <w:top w:val="none" w:sz="0" w:space="0" w:color="auto"/>
        <w:left w:val="none" w:sz="0" w:space="0" w:color="auto"/>
        <w:bottom w:val="none" w:sz="0" w:space="0" w:color="auto"/>
        <w:right w:val="none" w:sz="0" w:space="0" w:color="auto"/>
      </w:divBdr>
    </w:div>
    <w:div w:id="1236474321">
      <w:bodyDiv w:val="1"/>
      <w:marLeft w:val="0"/>
      <w:marRight w:val="0"/>
      <w:marTop w:val="0"/>
      <w:marBottom w:val="0"/>
      <w:divBdr>
        <w:top w:val="none" w:sz="0" w:space="0" w:color="auto"/>
        <w:left w:val="none" w:sz="0" w:space="0" w:color="auto"/>
        <w:bottom w:val="none" w:sz="0" w:space="0" w:color="auto"/>
        <w:right w:val="none" w:sz="0" w:space="0" w:color="auto"/>
      </w:divBdr>
    </w:div>
    <w:div w:id="1263610430">
      <w:bodyDiv w:val="1"/>
      <w:marLeft w:val="0"/>
      <w:marRight w:val="0"/>
      <w:marTop w:val="0"/>
      <w:marBottom w:val="0"/>
      <w:divBdr>
        <w:top w:val="none" w:sz="0" w:space="0" w:color="auto"/>
        <w:left w:val="none" w:sz="0" w:space="0" w:color="auto"/>
        <w:bottom w:val="none" w:sz="0" w:space="0" w:color="auto"/>
        <w:right w:val="none" w:sz="0" w:space="0" w:color="auto"/>
      </w:divBdr>
    </w:div>
    <w:div w:id="1287278519">
      <w:bodyDiv w:val="1"/>
      <w:marLeft w:val="0"/>
      <w:marRight w:val="0"/>
      <w:marTop w:val="0"/>
      <w:marBottom w:val="0"/>
      <w:divBdr>
        <w:top w:val="none" w:sz="0" w:space="0" w:color="auto"/>
        <w:left w:val="none" w:sz="0" w:space="0" w:color="auto"/>
        <w:bottom w:val="none" w:sz="0" w:space="0" w:color="auto"/>
        <w:right w:val="none" w:sz="0" w:space="0" w:color="auto"/>
      </w:divBdr>
    </w:div>
    <w:div w:id="1308704300">
      <w:bodyDiv w:val="1"/>
      <w:marLeft w:val="0"/>
      <w:marRight w:val="0"/>
      <w:marTop w:val="0"/>
      <w:marBottom w:val="0"/>
      <w:divBdr>
        <w:top w:val="none" w:sz="0" w:space="0" w:color="auto"/>
        <w:left w:val="none" w:sz="0" w:space="0" w:color="auto"/>
        <w:bottom w:val="none" w:sz="0" w:space="0" w:color="auto"/>
        <w:right w:val="none" w:sz="0" w:space="0" w:color="auto"/>
      </w:divBdr>
    </w:div>
    <w:div w:id="1309550784">
      <w:bodyDiv w:val="1"/>
      <w:marLeft w:val="0"/>
      <w:marRight w:val="0"/>
      <w:marTop w:val="0"/>
      <w:marBottom w:val="0"/>
      <w:divBdr>
        <w:top w:val="none" w:sz="0" w:space="0" w:color="auto"/>
        <w:left w:val="none" w:sz="0" w:space="0" w:color="auto"/>
        <w:bottom w:val="none" w:sz="0" w:space="0" w:color="auto"/>
        <w:right w:val="none" w:sz="0" w:space="0" w:color="auto"/>
      </w:divBdr>
      <w:divsChild>
        <w:div w:id="2076397025">
          <w:marLeft w:val="0"/>
          <w:marRight w:val="0"/>
          <w:marTop w:val="0"/>
          <w:marBottom w:val="0"/>
          <w:divBdr>
            <w:top w:val="none" w:sz="0" w:space="0" w:color="auto"/>
            <w:left w:val="none" w:sz="0" w:space="0" w:color="auto"/>
            <w:bottom w:val="none" w:sz="0" w:space="0" w:color="auto"/>
            <w:right w:val="none" w:sz="0" w:space="0" w:color="auto"/>
          </w:divBdr>
        </w:div>
      </w:divsChild>
    </w:div>
    <w:div w:id="1311977313">
      <w:bodyDiv w:val="1"/>
      <w:marLeft w:val="0"/>
      <w:marRight w:val="0"/>
      <w:marTop w:val="0"/>
      <w:marBottom w:val="0"/>
      <w:divBdr>
        <w:top w:val="none" w:sz="0" w:space="0" w:color="auto"/>
        <w:left w:val="none" w:sz="0" w:space="0" w:color="auto"/>
        <w:bottom w:val="none" w:sz="0" w:space="0" w:color="auto"/>
        <w:right w:val="none" w:sz="0" w:space="0" w:color="auto"/>
      </w:divBdr>
    </w:div>
    <w:div w:id="1314213861">
      <w:bodyDiv w:val="1"/>
      <w:marLeft w:val="0"/>
      <w:marRight w:val="0"/>
      <w:marTop w:val="0"/>
      <w:marBottom w:val="0"/>
      <w:divBdr>
        <w:top w:val="none" w:sz="0" w:space="0" w:color="auto"/>
        <w:left w:val="none" w:sz="0" w:space="0" w:color="auto"/>
        <w:bottom w:val="none" w:sz="0" w:space="0" w:color="auto"/>
        <w:right w:val="none" w:sz="0" w:space="0" w:color="auto"/>
      </w:divBdr>
    </w:div>
    <w:div w:id="1317152649">
      <w:bodyDiv w:val="1"/>
      <w:marLeft w:val="0"/>
      <w:marRight w:val="0"/>
      <w:marTop w:val="0"/>
      <w:marBottom w:val="0"/>
      <w:divBdr>
        <w:top w:val="none" w:sz="0" w:space="0" w:color="auto"/>
        <w:left w:val="none" w:sz="0" w:space="0" w:color="auto"/>
        <w:bottom w:val="none" w:sz="0" w:space="0" w:color="auto"/>
        <w:right w:val="none" w:sz="0" w:space="0" w:color="auto"/>
      </w:divBdr>
    </w:div>
    <w:div w:id="1325544195">
      <w:bodyDiv w:val="1"/>
      <w:marLeft w:val="0"/>
      <w:marRight w:val="0"/>
      <w:marTop w:val="0"/>
      <w:marBottom w:val="0"/>
      <w:divBdr>
        <w:top w:val="none" w:sz="0" w:space="0" w:color="auto"/>
        <w:left w:val="none" w:sz="0" w:space="0" w:color="auto"/>
        <w:bottom w:val="none" w:sz="0" w:space="0" w:color="auto"/>
        <w:right w:val="none" w:sz="0" w:space="0" w:color="auto"/>
      </w:divBdr>
    </w:div>
    <w:div w:id="1373845739">
      <w:bodyDiv w:val="1"/>
      <w:marLeft w:val="0"/>
      <w:marRight w:val="0"/>
      <w:marTop w:val="0"/>
      <w:marBottom w:val="0"/>
      <w:divBdr>
        <w:top w:val="none" w:sz="0" w:space="0" w:color="auto"/>
        <w:left w:val="none" w:sz="0" w:space="0" w:color="auto"/>
        <w:bottom w:val="none" w:sz="0" w:space="0" w:color="auto"/>
        <w:right w:val="none" w:sz="0" w:space="0" w:color="auto"/>
      </w:divBdr>
    </w:div>
    <w:div w:id="1402673355">
      <w:bodyDiv w:val="1"/>
      <w:marLeft w:val="0"/>
      <w:marRight w:val="0"/>
      <w:marTop w:val="0"/>
      <w:marBottom w:val="0"/>
      <w:divBdr>
        <w:top w:val="none" w:sz="0" w:space="0" w:color="auto"/>
        <w:left w:val="none" w:sz="0" w:space="0" w:color="auto"/>
        <w:bottom w:val="none" w:sz="0" w:space="0" w:color="auto"/>
        <w:right w:val="none" w:sz="0" w:space="0" w:color="auto"/>
      </w:divBdr>
    </w:div>
    <w:div w:id="1421103327">
      <w:bodyDiv w:val="1"/>
      <w:marLeft w:val="0"/>
      <w:marRight w:val="0"/>
      <w:marTop w:val="0"/>
      <w:marBottom w:val="0"/>
      <w:divBdr>
        <w:top w:val="none" w:sz="0" w:space="0" w:color="auto"/>
        <w:left w:val="none" w:sz="0" w:space="0" w:color="auto"/>
        <w:bottom w:val="none" w:sz="0" w:space="0" w:color="auto"/>
        <w:right w:val="none" w:sz="0" w:space="0" w:color="auto"/>
      </w:divBdr>
    </w:div>
    <w:div w:id="1428503727">
      <w:bodyDiv w:val="1"/>
      <w:marLeft w:val="0"/>
      <w:marRight w:val="0"/>
      <w:marTop w:val="0"/>
      <w:marBottom w:val="0"/>
      <w:divBdr>
        <w:top w:val="none" w:sz="0" w:space="0" w:color="auto"/>
        <w:left w:val="none" w:sz="0" w:space="0" w:color="auto"/>
        <w:bottom w:val="none" w:sz="0" w:space="0" w:color="auto"/>
        <w:right w:val="none" w:sz="0" w:space="0" w:color="auto"/>
      </w:divBdr>
    </w:div>
    <w:div w:id="1437628383">
      <w:bodyDiv w:val="1"/>
      <w:marLeft w:val="0"/>
      <w:marRight w:val="0"/>
      <w:marTop w:val="0"/>
      <w:marBottom w:val="0"/>
      <w:divBdr>
        <w:top w:val="none" w:sz="0" w:space="0" w:color="auto"/>
        <w:left w:val="none" w:sz="0" w:space="0" w:color="auto"/>
        <w:bottom w:val="none" w:sz="0" w:space="0" w:color="auto"/>
        <w:right w:val="none" w:sz="0" w:space="0" w:color="auto"/>
      </w:divBdr>
    </w:div>
    <w:div w:id="1442534804">
      <w:bodyDiv w:val="1"/>
      <w:marLeft w:val="0"/>
      <w:marRight w:val="0"/>
      <w:marTop w:val="0"/>
      <w:marBottom w:val="0"/>
      <w:divBdr>
        <w:top w:val="none" w:sz="0" w:space="0" w:color="auto"/>
        <w:left w:val="none" w:sz="0" w:space="0" w:color="auto"/>
        <w:bottom w:val="none" w:sz="0" w:space="0" w:color="auto"/>
        <w:right w:val="none" w:sz="0" w:space="0" w:color="auto"/>
      </w:divBdr>
    </w:div>
    <w:div w:id="1455249920">
      <w:bodyDiv w:val="1"/>
      <w:marLeft w:val="0"/>
      <w:marRight w:val="0"/>
      <w:marTop w:val="0"/>
      <w:marBottom w:val="0"/>
      <w:divBdr>
        <w:top w:val="none" w:sz="0" w:space="0" w:color="auto"/>
        <w:left w:val="none" w:sz="0" w:space="0" w:color="auto"/>
        <w:bottom w:val="none" w:sz="0" w:space="0" w:color="auto"/>
        <w:right w:val="none" w:sz="0" w:space="0" w:color="auto"/>
      </w:divBdr>
    </w:div>
    <w:div w:id="1467352590">
      <w:bodyDiv w:val="1"/>
      <w:marLeft w:val="0"/>
      <w:marRight w:val="0"/>
      <w:marTop w:val="0"/>
      <w:marBottom w:val="0"/>
      <w:divBdr>
        <w:top w:val="none" w:sz="0" w:space="0" w:color="auto"/>
        <w:left w:val="none" w:sz="0" w:space="0" w:color="auto"/>
        <w:bottom w:val="none" w:sz="0" w:space="0" w:color="auto"/>
        <w:right w:val="none" w:sz="0" w:space="0" w:color="auto"/>
      </w:divBdr>
    </w:div>
    <w:div w:id="1474635711">
      <w:bodyDiv w:val="1"/>
      <w:marLeft w:val="0"/>
      <w:marRight w:val="0"/>
      <w:marTop w:val="0"/>
      <w:marBottom w:val="0"/>
      <w:divBdr>
        <w:top w:val="none" w:sz="0" w:space="0" w:color="auto"/>
        <w:left w:val="none" w:sz="0" w:space="0" w:color="auto"/>
        <w:bottom w:val="none" w:sz="0" w:space="0" w:color="auto"/>
        <w:right w:val="none" w:sz="0" w:space="0" w:color="auto"/>
      </w:divBdr>
    </w:div>
    <w:div w:id="1488864078">
      <w:bodyDiv w:val="1"/>
      <w:marLeft w:val="0"/>
      <w:marRight w:val="0"/>
      <w:marTop w:val="0"/>
      <w:marBottom w:val="0"/>
      <w:divBdr>
        <w:top w:val="none" w:sz="0" w:space="0" w:color="auto"/>
        <w:left w:val="none" w:sz="0" w:space="0" w:color="auto"/>
        <w:bottom w:val="none" w:sz="0" w:space="0" w:color="auto"/>
        <w:right w:val="none" w:sz="0" w:space="0" w:color="auto"/>
      </w:divBdr>
    </w:div>
    <w:div w:id="1508861353">
      <w:bodyDiv w:val="1"/>
      <w:marLeft w:val="0"/>
      <w:marRight w:val="0"/>
      <w:marTop w:val="0"/>
      <w:marBottom w:val="0"/>
      <w:divBdr>
        <w:top w:val="none" w:sz="0" w:space="0" w:color="auto"/>
        <w:left w:val="none" w:sz="0" w:space="0" w:color="auto"/>
        <w:bottom w:val="none" w:sz="0" w:space="0" w:color="auto"/>
        <w:right w:val="none" w:sz="0" w:space="0" w:color="auto"/>
      </w:divBdr>
    </w:div>
    <w:div w:id="1518539139">
      <w:bodyDiv w:val="1"/>
      <w:marLeft w:val="0"/>
      <w:marRight w:val="0"/>
      <w:marTop w:val="0"/>
      <w:marBottom w:val="0"/>
      <w:divBdr>
        <w:top w:val="none" w:sz="0" w:space="0" w:color="auto"/>
        <w:left w:val="none" w:sz="0" w:space="0" w:color="auto"/>
        <w:bottom w:val="none" w:sz="0" w:space="0" w:color="auto"/>
        <w:right w:val="none" w:sz="0" w:space="0" w:color="auto"/>
      </w:divBdr>
    </w:div>
    <w:div w:id="1530603457">
      <w:bodyDiv w:val="1"/>
      <w:marLeft w:val="0"/>
      <w:marRight w:val="0"/>
      <w:marTop w:val="0"/>
      <w:marBottom w:val="0"/>
      <w:divBdr>
        <w:top w:val="none" w:sz="0" w:space="0" w:color="auto"/>
        <w:left w:val="none" w:sz="0" w:space="0" w:color="auto"/>
        <w:bottom w:val="none" w:sz="0" w:space="0" w:color="auto"/>
        <w:right w:val="none" w:sz="0" w:space="0" w:color="auto"/>
      </w:divBdr>
    </w:div>
    <w:div w:id="1542786538">
      <w:bodyDiv w:val="1"/>
      <w:marLeft w:val="0"/>
      <w:marRight w:val="0"/>
      <w:marTop w:val="0"/>
      <w:marBottom w:val="0"/>
      <w:divBdr>
        <w:top w:val="none" w:sz="0" w:space="0" w:color="auto"/>
        <w:left w:val="none" w:sz="0" w:space="0" w:color="auto"/>
        <w:bottom w:val="none" w:sz="0" w:space="0" w:color="auto"/>
        <w:right w:val="none" w:sz="0" w:space="0" w:color="auto"/>
      </w:divBdr>
    </w:div>
    <w:div w:id="1545024541">
      <w:bodyDiv w:val="1"/>
      <w:marLeft w:val="0"/>
      <w:marRight w:val="0"/>
      <w:marTop w:val="0"/>
      <w:marBottom w:val="0"/>
      <w:divBdr>
        <w:top w:val="none" w:sz="0" w:space="0" w:color="auto"/>
        <w:left w:val="none" w:sz="0" w:space="0" w:color="auto"/>
        <w:bottom w:val="none" w:sz="0" w:space="0" w:color="auto"/>
        <w:right w:val="none" w:sz="0" w:space="0" w:color="auto"/>
      </w:divBdr>
    </w:div>
    <w:div w:id="1548368339">
      <w:bodyDiv w:val="1"/>
      <w:marLeft w:val="0"/>
      <w:marRight w:val="0"/>
      <w:marTop w:val="0"/>
      <w:marBottom w:val="0"/>
      <w:divBdr>
        <w:top w:val="none" w:sz="0" w:space="0" w:color="auto"/>
        <w:left w:val="none" w:sz="0" w:space="0" w:color="auto"/>
        <w:bottom w:val="none" w:sz="0" w:space="0" w:color="auto"/>
        <w:right w:val="none" w:sz="0" w:space="0" w:color="auto"/>
      </w:divBdr>
    </w:div>
    <w:div w:id="1557861501">
      <w:bodyDiv w:val="1"/>
      <w:marLeft w:val="0"/>
      <w:marRight w:val="0"/>
      <w:marTop w:val="0"/>
      <w:marBottom w:val="0"/>
      <w:divBdr>
        <w:top w:val="none" w:sz="0" w:space="0" w:color="auto"/>
        <w:left w:val="none" w:sz="0" w:space="0" w:color="auto"/>
        <w:bottom w:val="none" w:sz="0" w:space="0" w:color="auto"/>
        <w:right w:val="none" w:sz="0" w:space="0" w:color="auto"/>
      </w:divBdr>
    </w:div>
    <w:div w:id="1558468057">
      <w:bodyDiv w:val="1"/>
      <w:marLeft w:val="0"/>
      <w:marRight w:val="0"/>
      <w:marTop w:val="0"/>
      <w:marBottom w:val="0"/>
      <w:divBdr>
        <w:top w:val="none" w:sz="0" w:space="0" w:color="auto"/>
        <w:left w:val="none" w:sz="0" w:space="0" w:color="auto"/>
        <w:bottom w:val="none" w:sz="0" w:space="0" w:color="auto"/>
        <w:right w:val="none" w:sz="0" w:space="0" w:color="auto"/>
      </w:divBdr>
    </w:div>
    <w:div w:id="1567491441">
      <w:bodyDiv w:val="1"/>
      <w:marLeft w:val="0"/>
      <w:marRight w:val="0"/>
      <w:marTop w:val="0"/>
      <w:marBottom w:val="0"/>
      <w:divBdr>
        <w:top w:val="none" w:sz="0" w:space="0" w:color="auto"/>
        <w:left w:val="none" w:sz="0" w:space="0" w:color="auto"/>
        <w:bottom w:val="none" w:sz="0" w:space="0" w:color="auto"/>
        <w:right w:val="none" w:sz="0" w:space="0" w:color="auto"/>
      </w:divBdr>
    </w:div>
    <w:div w:id="1576160386">
      <w:bodyDiv w:val="1"/>
      <w:marLeft w:val="0"/>
      <w:marRight w:val="0"/>
      <w:marTop w:val="0"/>
      <w:marBottom w:val="0"/>
      <w:divBdr>
        <w:top w:val="none" w:sz="0" w:space="0" w:color="auto"/>
        <w:left w:val="none" w:sz="0" w:space="0" w:color="auto"/>
        <w:bottom w:val="none" w:sz="0" w:space="0" w:color="auto"/>
        <w:right w:val="none" w:sz="0" w:space="0" w:color="auto"/>
      </w:divBdr>
    </w:div>
    <w:div w:id="1590895017">
      <w:bodyDiv w:val="1"/>
      <w:marLeft w:val="0"/>
      <w:marRight w:val="0"/>
      <w:marTop w:val="0"/>
      <w:marBottom w:val="0"/>
      <w:divBdr>
        <w:top w:val="none" w:sz="0" w:space="0" w:color="auto"/>
        <w:left w:val="none" w:sz="0" w:space="0" w:color="auto"/>
        <w:bottom w:val="none" w:sz="0" w:space="0" w:color="auto"/>
        <w:right w:val="none" w:sz="0" w:space="0" w:color="auto"/>
      </w:divBdr>
    </w:div>
    <w:div w:id="1626501512">
      <w:bodyDiv w:val="1"/>
      <w:marLeft w:val="0"/>
      <w:marRight w:val="0"/>
      <w:marTop w:val="0"/>
      <w:marBottom w:val="0"/>
      <w:divBdr>
        <w:top w:val="none" w:sz="0" w:space="0" w:color="auto"/>
        <w:left w:val="none" w:sz="0" w:space="0" w:color="auto"/>
        <w:bottom w:val="none" w:sz="0" w:space="0" w:color="auto"/>
        <w:right w:val="none" w:sz="0" w:space="0" w:color="auto"/>
      </w:divBdr>
    </w:div>
    <w:div w:id="1638536083">
      <w:bodyDiv w:val="1"/>
      <w:marLeft w:val="0"/>
      <w:marRight w:val="0"/>
      <w:marTop w:val="0"/>
      <w:marBottom w:val="0"/>
      <w:divBdr>
        <w:top w:val="none" w:sz="0" w:space="0" w:color="auto"/>
        <w:left w:val="none" w:sz="0" w:space="0" w:color="auto"/>
        <w:bottom w:val="none" w:sz="0" w:space="0" w:color="auto"/>
        <w:right w:val="none" w:sz="0" w:space="0" w:color="auto"/>
      </w:divBdr>
    </w:div>
    <w:div w:id="1655380244">
      <w:bodyDiv w:val="1"/>
      <w:marLeft w:val="0"/>
      <w:marRight w:val="0"/>
      <w:marTop w:val="0"/>
      <w:marBottom w:val="0"/>
      <w:divBdr>
        <w:top w:val="none" w:sz="0" w:space="0" w:color="auto"/>
        <w:left w:val="none" w:sz="0" w:space="0" w:color="auto"/>
        <w:bottom w:val="none" w:sz="0" w:space="0" w:color="auto"/>
        <w:right w:val="none" w:sz="0" w:space="0" w:color="auto"/>
      </w:divBdr>
    </w:div>
    <w:div w:id="1660423314">
      <w:bodyDiv w:val="1"/>
      <w:marLeft w:val="0"/>
      <w:marRight w:val="0"/>
      <w:marTop w:val="0"/>
      <w:marBottom w:val="0"/>
      <w:divBdr>
        <w:top w:val="none" w:sz="0" w:space="0" w:color="auto"/>
        <w:left w:val="none" w:sz="0" w:space="0" w:color="auto"/>
        <w:bottom w:val="none" w:sz="0" w:space="0" w:color="auto"/>
        <w:right w:val="none" w:sz="0" w:space="0" w:color="auto"/>
      </w:divBdr>
    </w:div>
    <w:div w:id="1672684634">
      <w:bodyDiv w:val="1"/>
      <w:marLeft w:val="0"/>
      <w:marRight w:val="0"/>
      <w:marTop w:val="0"/>
      <w:marBottom w:val="0"/>
      <w:divBdr>
        <w:top w:val="none" w:sz="0" w:space="0" w:color="auto"/>
        <w:left w:val="none" w:sz="0" w:space="0" w:color="auto"/>
        <w:bottom w:val="none" w:sz="0" w:space="0" w:color="auto"/>
        <w:right w:val="none" w:sz="0" w:space="0" w:color="auto"/>
      </w:divBdr>
    </w:div>
    <w:div w:id="1679383031">
      <w:bodyDiv w:val="1"/>
      <w:marLeft w:val="0"/>
      <w:marRight w:val="0"/>
      <w:marTop w:val="0"/>
      <w:marBottom w:val="0"/>
      <w:divBdr>
        <w:top w:val="none" w:sz="0" w:space="0" w:color="auto"/>
        <w:left w:val="none" w:sz="0" w:space="0" w:color="auto"/>
        <w:bottom w:val="none" w:sz="0" w:space="0" w:color="auto"/>
        <w:right w:val="none" w:sz="0" w:space="0" w:color="auto"/>
      </w:divBdr>
    </w:div>
    <w:div w:id="1684623328">
      <w:bodyDiv w:val="1"/>
      <w:marLeft w:val="0"/>
      <w:marRight w:val="0"/>
      <w:marTop w:val="0"/>
      <w:marBottom w:val="0"/>
      <w:divBdr>
        <w:top w:val="none" w:sz="0" w:space="0" w:color="auto"/>
        <w:left w:val="none" w:sz="0" w:space="0" w:color="auto"/>
        <w:bottom w:val="none" w:sz="0" w:space="0" w:color="auto"/>
        <w:right w:val="none" w:sz="0" w:space="0" w:color="auto"/>
      </w:divBdr>
    </w:div>
    <w:div w:id="1707560179">
      <w:bodyDiv w:val="1"/>
      <w:marLeft w:val="0"/>
      <w:marRight w:val="0"/>
      <w:marTop w:val="0"/>
      <w:marBottom w:val="0"/>
      <w:divBdr>
        <w:top w:val="none" w:sz="0" w:space="0" w:color="auto"/>
        <w:left w:val="none" w:sz="0" w:space="0" w:color="auto"/>
        <w:bottom w:val="none" w:sz="0" w:space="0" w:color="auto"/>
        <w:right w:val="none" w:sz="0" w:space="0" w:color="auto"/>
      </w:divBdr>
    </w:div>
    <w:div w:id="1715079108">
      <w:bodyDiv w:val="1"/>
      <w:marLeft w:val="0"/>
      <w:marRight w:val="0"/>
      <w:marTop w:val="0"/>
      <w:marBottom w:val="0"/>
      <w:divBdr>
        <w:top w:val="none" w:sz="0" w:space="0" w:color="auto"/>
        <w:left w:val="none" w:sz="0" w:space="0" w:color="auto"/>
        <w:bottom w:val="none" w:sz="0" w:space="0" w:color="auto"/>
        <w:right w:val="none" w:sz="0" w:space="0" w:color="auto"/>
      </w:divBdr>
    </w:div>
    <w:div w:id="1741949300">
      <w:bodyDiv w:val="1"/>
      <w:marLeft w:val="0"/>
      <w:marRight w:val="0"/>
      <w:marTop w:val="0"/>
      <w:marBottom w:val="0"/>
      <w:divBdr>
        <w:top w:val="none" w:sz="0" w:space="0" w:color="auto"/>
        <w:left w:val="none" w:sz="0" w:space="0" w:color="auto"/>
        <w:bottom w:val="none" w:sz="0" w:space="0" w:color="auto"/>
        <w:right w:val="none" w:sz="0" w:space="0" w:color="auto"/>
      </w:divBdr>
    </w:div>
    <w:div w:id="1789473853">
      <w:bodyDiv w:val="1"/>
      <w:marLeft w:val="0"/>
      <w:marRight w:val="0"/>
      <w:marTop w:val="0"/>
      <w:marBottom w:val="0"/>
      <w:divBdr>
        <w:top w:val="none" w:sz="0" w:space="0" w:color="auto"/>
        <w:left w:val="none" w:sz="0" w:space="0" w:color="auto"/>
        <w:bottom w:val="none" w:sz="0" w:space="0" w:color="auto"/>
        <w:right w:val="none" w:sz="0" w:space="0" w:color="auto"/>
      </w:divBdr>
    </w:div>
    <w:div w:id="1792868628">
      <w:bodyDiv w:val="1"/>
      <w:marLeft w:val="0"/>
      <w:marRight w:val="0"/>
      <w:marTop w:val="0"/>
      <w:marBottom w:val="0"/>
      <w:divBdr>
        <w:top w:val="none" w:sz="0" w:space="0" w:color="auto"/>
        <w:left w:val="none" w:sz="0" w:space="0" w:color="auto"/>
        <w:bottom w:val="none" w:sz="0" w:space="0" w:color="auto"/>
        <w:right w:val="none" w:sz="0" w:space="0" w:color="auto"/>
      </w:divBdr>
      <w:divsChild>
        <w:div w:id="1208025588">
          <w:marLeft w:val="0"/>
          <w:marRight w:val="0"/>
          <w:marTop w:val="0"/>
          <w:marBottom w:val="0"/>
          <w:divBdr>
            <w:top w:val="none" w:sz="0" w:space="0" w:color="auto"/>
            <w:left w:val="none" w:sz="0" w:space="0" w:color="auto"/>
            <w:bottom w:val="none" w:sz="0" w:space="0" w:color="auto"/>
            <w:right w:val="none" w:sz="0" w:space="0" w:color="auto"/>
          </w:divBdr>
        </w:div>
        <w:div w:id="1868834248">
          <w:marLeft w:val="0"/>
          <w:marRight w:val="0"/>
          <w:marTop w:val="0"/>
          <w:marBottom w:val="0"/>
          <w:divBdr>
            <w:top w:val="none" w:sz="0" w:space="0" w:color="auto"/>
            <w:left w:val="none" w:sz="0" w:space="0" w:color="auto"/>
            <w:bottom w:val="none" w:sz="0" w:space="0" w:color="auto"/>
            <w:right w:val="none" w:sz="0" w:space="0" w:color="auto"/>
          </w:divBdr>
        </w:div>
        <w:div w:id="1799756154">
          <w:marLeft w:val="0"/>
          <w:marRight w:val="0"/>
          <w:marTop w:val="0"/>
          <w:marBottom w:val="0"/>
          <w:divBdr>
            <w:top w:val="none" w:sz="0" w:space="0" w:color="auto"/>
            <w:left w:val="none" w:sz="0" w:space="0" w:color="auto"/>
            <w:bottom w:val="none" w:sz="0" w:space="0" w:color="auto"/>
            <w:right w:val="none" w:sz="0" w:space="0" w:color="auto"/>
          </w:divBdr>
        </w:div>
        <w:div w:id="1722706478">
          <w:marLeft w:val="0"/>
          <w:marRight w:val="0"/>
          <w:marTop w:val="0"/>
          <w:marBottom w:val="0"/>
          <w:divBdr>
            <w:top w:val="none" w:sz="0" w:space="0" w:color="auto"/>
            <w:left w:val="none" w:sz="0" w:space="0" w:color="auto"/>
            <w:bottom w:val="none" w:sz="0" w:space="0" w:color="auto"/>
            <w:right w:val="none" w:sz="0" w:space="0" w:color="auto"/>
          </w:divBdr>
        </w:div>
        <w:div w:id="402610504">
          <w:marLeft w:val="0"/>
          <w:marRight w:val="0"/>
          <w:marTop w:val="0"/>
          <w:marBottom w:val="0"/>
          <w:divBdr>
            <w:top w:val="none" w:sz="0" w:space="0" w:color="auto"/>
            <w:left w:val="none" w:sz="0" w:space="0" w:color="auto"/>
            <w:bottom w:val="none" w:sz="0" w:space="0" w:color="auto"/>
            <w:right w:val="none" w:sz="0" w:space="0" w:color="auto"/>
          </w:divBdr>
        </w:div>
        <w:div w:id="970865822">
          <w:marLeft w:val="0"/>
          <w:marRight w:val="0"/>
          <w:marTop w:val="0"/>
          <w:marBottom w:val="0"/>
          <w:divBdr>
            <w:top w:val="none" w:sz="0" w:space="0" w:color="auto"/>
            <w:left w:val="none" w:sz="0" w:space="0" w:color="auto"/>
            <w:bottom w:val="none" w:sz="0" w:space="0" w:color="auto"/>
            <w:right w:val="none" w:sz="0" w:space="0" w:color="auto"/>
          </w:divBdr>
        </w:div>
        <w:div w:id="7490303">
          <w:marLeft w:val="0"/>
          <w:marRight w:val="0"/>
          <w:marTop w:val="0"/>
          <w:marBottom w:val="0"/>
          <w:divBdr>
            <w:top w:val="none" w:sz="0" w:space="0" w:color="auto"/>
            <w:left w:val="none" w:sz="0" w:space="0" w:color="auto"/>
            <w:bottom w:val="none" w:sz="0" w:space="0" w:color="auto"/>
            <w:right w:val="none" w:sz="0" w:space="0" w:color="auto"/>
          </w:divBdr>
        </w:div>
        <w:div w:id="1183276590">
          <w:marLeft w:val="0"/>
          <w:marRight w:val="0"/>
          <w:marTop w:val="0"/>
          <w:marBottom w:val="0"/>
          <w:divBdr>
            <w:top w:val="none" w:sz="0" w:space="0" w:color="auto"/>
            <w:left w:val="none" w:sz="0" w:space="0" w:color="auto"/>
            <w:bottom w:val="none" w:sz="0" w:space="0" w:color="auto"/>
            <w:right w:val="none" w:sz="0" w:space="0" w:color="auto"/>
          </w:divBdr>
        </w:div>
        <w:div w:id="639073787">
          <w:marLeft w:val="0"/>
          <w:marRight w:val="0"/>
          <w:marTop w:val="0"/>
          <w:marBottom w:val="0"/>
          <w:divBdr>
            <w:top w:val="none" w:sz="0" w:space="0" w:color="auto"/>
            <w:left w:val="none" w:sz="0" w:space="0" w:color="auto"/>
            <w:bottom w:val="none" w:sz="0" w:space="0" w:color="auto"/>
            <w:right w:val="none" w:sz="0" w:space="0" w:color="auto"/>
          </w:divBdr>
        </w:div>
        <w:div w:id="685445330">
          <w:marLeft w:val="0"/>
          <w:marRight w:val="0"/>
          <w:marTop w:val="0"/>
          <w:marBottom w:val="0"/>
          <w:divBdr>
            <w:top w:val="none" w:sz="0" w:space="0" w:color="auto"/>
            <w:left w:val="none" w:sz="0" w:space="0" w:color="auto"/>
            <w:bottom w:val="none" w:sz="0" w:space="0" w:color="auto"/>
            <w:right w:val="none" w:sz="0" w:space="0" w:color="auto"/>
          </w:divBdr>
        </w:div>
        <w:div w:id="1539077550">
          <w:marLeft w:val="0"/>
          <w:marRight w:val="0"/>
          <w:marTop w:val="0"/>
          <w:marBottom w:val="0"/>
          <w:divBdr>
            <w:top w:val="none" w:sz="0" w:space="0" w:color="auto"/>
            <w:left w:val="none" w:sz="0" w:space="0" w:color="auto"/>
            <w:bottom w:val="none" w:sz="0" w:space="0" w:color="auto"/>
            <w:right w:val="none" w:sz="0" w:space="0" w:color="auto"/>
          </w:divBdr>
        </w:div>
        <w:div w:id="1012411578">
          <w:marLeft w:val="0"/>
          <w:marRight w:val="0"/>
          <w:marTop w:val="0"/>
          <w:marBottom w:val="0"/>
          <w:divBdr>
            <w:top w:val="none" w:sz="0" w:space="0" w:color="auto"/>
            <w:left w:val="none" w:sz="0" w:space="0" w:color="auto"/>
            <w:bottom w:val="none" w:sz="0" w:space="0" w:color="auto"/>
            <w:right w:val="none" w:sz="0" w:space="0" w:color="auto"/>
          </w:divBdr>
        </w:div>
        <w:div w:id="1766728807">
          <w:marLeft w:val="0"/>
          <w:marRight w:val="0"/>
          <w:marTop w:val="0"/>
          <w:marBottom w:val="0"/>
          <w:divBdr>
            <w:top w:val="none" w:sz="0" w:space="0" w:color="auto"/>
            <w:left w:val="none" w:sz="0" w:space="0" w:color="auto"/>
            <w:bottom w:val="none" w:sz="0" w:space="0" w:color="auto"/>
            <w:right w:val="none" w:sz="0" w:space="0" w:color="auto"/>
          </w:divBdr>
        </w:div>
        <w:div w:id="70782431">
          <w:marLeft w:val="0"/>
          <w:marRight w:val="0"/>
          <w:marTop w:val="0"/>
          <w:marBottom w:val="0"/>
          <w:divBdr>
            <w:top w:val="none" w:sz="0" w:space="0" w:color="auto"/>
            <w:left w:val="none" w:sz="0" w:space="0" w:color="auto"/>
            <w:bottom w:val="none" w:sz="0" w:space="0" w:color="auto"/>
            <w:right w:val="none" w:sz="0" w:space="0" w:color="auto"/>
          </w:divBdr>
        </w:div>
        <w:div w:id="1048453922">
          <w:marLeft w:val="0"/>
          <w:marRight w:val="0"/>
          <w:marTop w:val="0"/>
          <w:marBottom w:val="0"/>
          <w:divBdr>
            <w:top w:val="none" w:sz="0" w:space="0" w:color="auto"/>
            <w:left w:val="none" w:sz="0" w:space="0" w:color="auto"/>
            <w:bottom w:val="none" w:sz="0" w:space="0" w:color="auto"/>
            <w:right w:val="none" w:sz="0" w:space="0" w:color="auto"/>
          </w:divBdr>
        </w:div>
        <w:div w:id="1643266997">
          <w:marLeft w:val="0"/>
          <w:marRight w:val="0"/>
          <w:marTop w:val="0"/>
          <w:marBottom w:val="0"/>
          <w:divBdr>
            <w:top w:val="none" w:sz="0" w:space="0" w:color="auto"/>
            <w:left w:val="none" w:sz="0" w:space="0" w:color="auto"/>
            <w:bottom w:val="none" w:sz="0" w:space="0" w:color="auto"/>
            <w:right w:val="none" w:sz="0" w:space="0" w:color="auto"/>
          </w:divBdr>
        </w:div>
        <w:div w:id="285626282">
          <w:marLeft w:val="0"/>
          <w:marRight w:val="0"/>
          <w:marTop w:val="0"/>
          <w:marBottom w:val="0"/>
          <w:divBdr>
            <w:top w:val="none" w:sz="0" w:space="0" w:color="auto"/>
            <w:left w:val="none" w:sz="0" w:space="0" w:color="auto"/>
            <w:bottom w:val="none" w:sz="0" w:space="0" w:color="auto"/>
            <w:right w:val="none" w:sz="0" w:space="0" w:color="auto"/>
          </w:divBdr>
        </w:div>
        <w:div w:id="1483158833">
          <w:marLeft w:val="0"/>
          <w:marRight w:val="0"/>
          <w:marTop w:val="0"/>
          <w:marBottom w:val="0"/>
          <w:divBdr>
            <w:top w:val="none" w:sz="0" w:space="0" w:color="auto"/>
            <w:left w:val="none" w:sz="0" w:space="0" w:color="auto"/>
            <w:bottom w:val="none" w:sz="0" w:space="0" w:color="auto"/>
            <w:right w:val="none" w:sz="0" w:space="0" w:color="auto"/>
          </w:divBdr>
        </w:div>
        <w:div w:id="984241928">
          <w:marLeft w:val="0"/>
          <w:marRight w:val="0"/>
          <w:marTop w:val="0"/>
          <w:marBottom w:val="0"/>
          <w:divBdr>
            <w:top w:val="none" w:sz="0" w:space="0" w:color="auto"/>
            <w:left w:val="none" w:sz="0" w:space="0" w:color="auto"/>
            <w:bottom w:val="none" w:sz="0" w:space="0" w:color="auto"/>
            <w:right w:val="none" w:sz="0" w:space="0" w:color="auto"/>
          </w:divBdr>
        </w:div>
        <w:div w:id="1717387719">
          <w:marLeft w:val="0"/>
          <w:marRight w:val="0"/>
          <w:marTop w:val="0"/>
          <w:marBottom w:val="0"/>
          <w:divBdr>
            <w:top w:val="none" w:sz="0" w:space="0" w:color="auto"/>
            <w:left w:val="none" w:sz="0" w:space="0" w:color="auto"/>
            <w:bottom w:val="none" w:sz="0" w:space="0" w:color="auto"/>
            <w:right w:val="none" w:sz="0" w:space="0" w:color="auto"/>
          </w:divBdr>
        </w:div>
        <w:div w:id="306592119">
          <w:marLeft w:val="0"/>
          <w:marRight w:val="0"/>
          <w:marTop w:val="0"/>
          <w:marBottom w:val="0"/>
          <w:divBdr>
            <w:top w:val="none" w:sz="0" w:space="0" w:color="auto"/>
            <w:left w:val="none" w:sz="0" w:space="0" w:color="auto"/>
            <w:bottom w:val="none" w:sz="0" w:space="0" w:color="auto"/>
            <w:right w:val="none" w:sz="0" w:space="0" w:color="auto"/>
          </w:divBdr>
        </w:div>
        <w:div w:id="582497986">
          <w:marLeft w:val="0"/>
          <w:marRight w:val="0"/>
          <w:marTop w:val="0"/>
          <w:marBottom w:val="0"/>
          <w:divBdr>
            <w:top w:val="none" w:sz="0" w:space="0" w:color="auto"/>
            <w:left w:val="none" w:sz="0" w:space="0" w:color="auto"/>
            <w:bottom w:val="none" w:sz="0" w:space="0" w:color="auto"/>
            <w:right w:val="none" w:sz="0" w:space="0" w:color="auto"/>
          </w:divBdr>
        </w:div>
        <w:div w:id="1030564894">
          <w:marLeft w:val="0"/>
          <w:marRight w:val="0"/>
          <w:marTop w:val="0"/>
          <w:marBottom w:val="0"/>
          <w:divBdr>
            <w:top w:val="none" w:sz="0" w:space="0" w:color="auto"/>
            <w:left w:val="none" w:sz="0" w:space="0" w:color="auto"/>
            <w:bottom w:val="none" w:sz="0" w:space="0" w:color="auto"/>
            <w:right w:val="none" w:sz="0" w:space="0" w:color="auto"/>
          </w:divBdr>
        </w:div>
        <w:div w:id="529144962">
          <w:marLeft w:val="0"/>
          <w:marRight w:val="0"/>
          <w:marTop w:val="0"/>
          <w:marBottom w:val="0"/>
          <w:divBdr>
            <w:top w:val="none" w:sz="0" w:space="0" w:color="auto"/>
            <w:left w:val="none" w:sz="0" w:space="0" w:color="auto"/>
            <w:bottom w:val="none" w:sz="0" w:space="0" w:color="auto"/>
            <w:right w:val="none" w:sz="0" w:space="0" w:color="auto"/>
          </w:divBdr>
        </w:div>
        <w:div w:id="1070006749">
          <w:marLeft w:val="0"/>
          <w:marRight w:val="0"/>
          <w:marTop w:val="0"/>
          <w:marBottom w:val="0"/>
          <w:divBdr>
            <w:top w:val="none" w:sz="0" w:space="0" w:color="auto"/>
            <w:left w:val="none" w:sz="0" w:space="0" w:color="auto"/>
            <w:bottom w:val="none" w:sz="0" w:space="0" w:color="auto"/>
            <w:right w:val="none" w:sz="0" w:space="0" w:color="auto"/>
          </w:divBdr>
        </w:div>
        <w:div w:id="1973175634">
          <w:marLeft w:val="0"/>
          <w:marRight w:val="0"/>
          <w:marTop w:val="0"/>
          <w:marBottom w:val="0"/>
          <w:divBdr>
            <w:top w:val="none" w:sz="0" w:space="0" w:color="auto"/>
            <w:left w:val="none" w:sz="0" w:space="0" w:color="auto"/>
            <w:bottom w:val="none" w:sz="0" w:space="0" w:color="auto"/>
            <w:right w:val="none" w:sz="0" w:space="0" w:color="auto"/>
          </w:divBdr>
        </w:div>
        <w:div w:id="1726224153">
          <w:marLeft w:val="0"/>
          <w:marRight w:val="0"/>
          <w:marTop w:val="0"/>
          <w:marBottom w:val="0"/>
          <w:divBdr>
            <w:top w:val="none" w:sz="0" w:space="0" w:color="auto"/>
            <w:left w:val="none" w:sz="0" w:space="0" w:color="auto"/>
            <w:bottom w:val="none" w:sz="0" w:space="0" w:color="auto"/>
            <w:right w:val="none" w:sz="0" w:space="0" w:color="auto"/>
          </w:divBdr>
        </w:div>
        <w:div w:id="391199763">
          <w:marLeft w:val="0"/>
          <w:marRight w:val="0"/>
          <w:marTop w:val="0"/>
          <w:marBottom w:val="0"/>
          <w:divBdr>
            <w:top w:val="none" w:sz="0" w:space="0" w:color="auto"/>
            <w:left w:val="none" w:sz="0" w:space="0" w:color="auto"/>
            <w:bottom w:val="none" w:sz="0" w:space="0" w:color="auto"/>
            <w:right w:val="none" w:sz="0" w:space="0" w:color="auto"/>
          </w:divBdr>
        </w:div>
        <w:div w:id="801729716">
          <w:marLeft w:val="0"/>
          <w:marRight w:val="0"/>
          <w:marTop w:val="0"/>
          <w:marBottom w:val="0"/>
          <w:divBdr>
            <w:top w:val="none" w:sz="0" w:space="0" w:color="auto"/>
            <w:left w:val="none" w:sz="0" w:space="0" w:color="auto"/>
            <w:bottom w:val="none" w:sz="0" w:space="0" w:color="auto"/>
            <w:right w:val="none" w:sz="0" w:space="0" w:color="auto"/>
          </w:divBdr>
        </w:div>
        <w:div w:id="1886407400">
          <w:marLeft w:val="0"/>
          <w:marRight w:val="0"/>
          <w:marTop w:val="0"/>
          <w:marBottom w:val="0"/>
          <w:divBdr>
            <w:top w:val="none" w:sz="0" w:space="0" w:color="auto"/>
            <w:left w:val="none" w:sz="0" w:space="0" w:color="auto"/>
            <w:bottom w:val="none" w:sz="0" w:space="0" w:color="auto"/>
            <w:right w:val="none" w:sz="0" w:space="0" w:color="auto"/>
          </w:divBdr>
        </w:div>
        <w:div w:id="1098259374">
          <w:marLeft w:val="0"/>
          <w:marRight w:val="0"/>
          <w:marTop w:val="0"/>
          <w:marBottom w:val="0"/>
          <w:divBdr>
            <w:top w:val="none" w:sz="0" w:space="0" w:color="auto"/>
            <w:left w:val="none" w:sz="0" w:space="0" w:color="auto"/>
            <w:bottom w:val="none" w:sz="0" w:space="0" w:color="auto"/>
            <w:right w:val="none" w:sz="0" w:space="0" w:color="auto"/>
          </w:divBdr>
        </w:div>
        <w:div w:id="1960717765">
          <w:marLeft w:val="0"/>
          <w:marRight w:val="0"/>
          <w:marTop w:val="0"/>
          <w:marBottom w:val="0"/>
          <w:divBdr>
            <w:top w:val="none" w:sz="0" w:space="0" w:color="auto"/>
            <w:left w:val="none" w:sz="0" w:space="0" w:color="auto"/>
            <w:bottom w:val="none" w:sz="0" w:space="0" w:color="auto"/>
            <w:right w:val="none" w:sz="0" w:space="0" w:color="auto"/>
          </w:divBdr>
        </w:div>
        <w:div w:id="2126610057">
          <w:marLeft w:val="0"/>
          <w:marRight w:val="0"/>
          <w:marTop w:val="0"/>
          <w:marBottom w:val="0"/>
          <w:divBdr>
            <w:top w:val="none" w:sz="0" w:space="0" w:color="auto"/>
            <w:left w:val="none" w:sz="0" w:space="0" w:color="auto"/>
            <w:bottom w:val="none" w:sz="0" w:space="0" w:color="auto"/>
            <w:right w:val="none" w:sz="0" w:space="0" w:color="auto"/>
          </w:divBdr>
        </w:div>
        <w:div w:id="66609758">
          <w:marLeft w:val="0"/>
          <w:marRight w:val="0"/>
          <w:marTop w:val="0"/>
          <w:marBottom w:val="0"/>
          <w:divBdr>
            <w:top w:val="none" w:sz="0" w:space="0" w:color="auto"/>
            <w:left w:val="none" w:sz="0" w:space="0" w:color="auto"/>
            <w:bottom w:val="none" w:sz="0" w:space="0" w:color="auto"/>
            <w:right w:val="none" w:sz="0" w:space="0" w:color="auto"/>
          </w:divBdr>
        </w:div>
        <w:div w:id="1368289011">
          <w:marLeft w:val="0"/>
          <w:marRight w:val="0"/>
          <w:marTop w:val="0"/>
          <w:marBottom w:val="0"/>
          <w:divBdr>
            <w:top w:val="none" w:sz="0" w:space="0" w:color="auto"/>
            <w:left w:val="none" w:sz="0" w:space="0" w:color="auto"/>
            <w:bottom w:val="none" w:sz="0" w:space="0" w:color="auto"/>
            <w:right w:val="none" w:sz="0" w:space="0" w:color="auto"/>
          </w:divBdr>
        </w:div>
        <w:div w:id="330064632">
          <w:marLeft w:val="0"/>
          <w:marRight w:val="0"/>
          <w:marTop w:val="0"/>
          <w:marBottom w:val="0"/>
          <w:divBdr>
            <w:top w:val="none" w:sz="0" w:space="0" w:color="auto"/>
            <w:left w:val="none" w:sz="0" w:space="0" w:color="auto"/>
            <w:bottom w:val="none" w:sz="0" w:space="0" w:color="auto"/>
            <w:right w:val="none" w:sz="0" w:space="0" w:color="auto"/>
          </w:divBdr>
        </w:div>
        <w:div w:id="1850874105">
          <w:marLeft w:val="0"/>
          <w:marRight w:val="0"/>
          <w:marTop w:val="0"/>
          <w:marBottom w:val="0"/>
          <w:divBdr>
            <w:top w:val="none" w:sz="0" w:space="0" w:color="auto"/>
            <w:left w:val="none" w:sz="0" w:space="0" w:color="auto"/>
            <w:bottom w:val="none" w:sz="0" w:space="0" w:color="auto"/>
            <w:right w:val="none" w:sz="0" w:space="0" w:color="auto"/>
          </w:divBdr>
        </w:div>
        <w:div w:id="242253494">
          <w:marLeft w:val="0"/>
          <w:marRight w:val="0"/>
          <w:marTop w:val="0"/>
          <w:marBottom w:val="0"/>
          <w:divBdr>
            <w:top w:val="none" w:sz="0" w:space="0" w:color="auto"/>
            <w:left w:val="none" w:sz="0" w:space="0" w:color="auto"/>
            <w:bottom w:val="none" w:sz="0" w:space="0" w:color="auto"/>
            <w:right w:val="none" w:sz="0" w:space="0" w:color="auto"/>
          </w:divBdr>
        </w:div>
        <w:div w:id="758715094">
          <w:marLeft w:val="0"/>
          <w:marRight w:val="0"/>
          <w:marTop w:val="0"/>
          <w:marBottom w:val="0"/>
          <w:divBdr>
            <w:top w:val="none" w:sz="0" w:space="0" w:color="auto"/>
            <w:left w:val="none" w:sz="0" w:space="0" w:color="auto"/>
            <w:bottom w:val="none" w:sz="0" w:space="0" w:color="auto"/>
            <w:right w:val="none" w:sz="0" w:space="0" w:color="auto"/>
          </w:divBdr>
        </w:div>
        <w:div w:id="865873525">
          <w:marLeft w:val="0"/>
          <w:marRight w:val="0"/>
          <w:marTop w:val="0"/>
          <w:marBottom w:val="0"/>
          <w:divBdr>
            <w:top w:val="none" w:sz="0" w:space="0" w:color="auto"/>
            <w:left w:val="none" w:sz="0" w:space="0" w:color="auto"/>
            <w:bottom w:val="none" w:sz="0" w:space="0" w:color="auto"/>
            <w:right w:val="none" w:sz="0" w:space="0" w:color="auto"/>
          </w:divBdr>
        </w:div>
        <w:div w:id="1474370462">
          <w:marLeft w:val="0"/>
          <w:marRight w:val="0"/>
          <w:marTop w:val="0"/>
          <w:marBottom w:val="0"/>
          <w:divBdr>
            <w:top w:val="none" w:sz="0" w:space="0" w:color="auto"/>
            <w:left w:val="none" w:sz="0" w:space="0" w:color="auto"/>
            <w:bottom w:val="none" w:sz="0" w:space="0" w:color="auto"/>
            <w:right w:val="none" w:sz="0" w:space="0" w:color="auto"/>
          </w:divBdr>
        </w:div>
        <w:div w:id="2140569074">
          <w:marLeft w:val="0"/>
          <w:marRight w:val="0"/>
          <w:marTop w:val="0"/>
          <w:marBottom w:val="0"/>
          <w:divBdr>
            <w:top w:val="none" w:sz="0" w:space="0" w:color="auto"/>
            <w:left w:val="none" w:sz="0" w:space="0" w:color="auto"/>
            <w:bottom w:val="none" w:sz="0" w:space="0" w:color="auto"/>
            <w:right w:val="none" w:sz="0" w:space="0" w:color="auto"/>
          </w:divBdr>
        </w:div>
        <w:div w:id="1671173052">
          <w:marLeft w:val="0"/>
          <w:marRight w:val="0"/>
          <w:marTop w:val="0"/>
          <w:marBottom w:val="0"/>
          <w:divBdr>
            <w:top w:val="none" w:sz="0" w:space="0" w:color="auto"/>
            <w:left w:val="none" w:sz="0" w:space="0" w:color="auto"/>
            <w:bottom w:val="none" w:sz="0" w:space="0" w:color="auto"/>
            <w:right w:val="none" w:sz="0" w:space="0" w:color="auto"/>
          </w:divBdr>
        </w:div>
        <w:div w:id="783421284">
          <w:marLeft w:val="0"/>
          <w:marRight w:val="0"/>
          <w:marTop w:val="0"/>
          <w:marBottom w:val="0"/>
          <w:divBdr>
            <w:top w:val="none" w:sz="0" w:space="0" w:color="auto"/>
            <w:left w:val="none" w:sz="0" w:space="0" w:color="auto"/>
            <w:bottom w:val="none" w:sz="0" w:space="0" w:color="auto"/>
            <w:right w:val="none" w:sz="0" w:space="0" w:color="auto"/>
          </w:divBdr>
        </w:div>
        <w:div w:id="224992649">
          <w:marLeft w:val="0"/>
          <w:marRight w:val="0"/>
          <w:marTop w:val="0"/>
          <w:marBottom w:val="0"/>
          <w:divBdr>
            <w:top w:val="none" w:sz="0" w:space="0" w:color="auto"/>
            <w:left w:val="none" w:sz="0" w:space="0" w:color="auto"/>
            <w:bottom w:val="none" w:sz="0" w:space="0" w:color="auto"/>
            <w:right w:val="none" w:sz="0" w:space="0" w:color="auto"/>
          </w:divBdr>
        </w:div>
        <w:div w:id="262418256">
          <w:marLeft w:val="0"/>
          <w:marRight w:val="0"/>
          <w:marTop w:val="0"/>
          <w:marBottom w:val="0"/>
          <w:divBdr>
            <w:top w:val="none" w:sz="0" w:space="0" w:color="auto"/>
            <w:left w:val="none" w:sz="0" w:space="0" w:color="auto"/>
            <w:bottom w:val="none" w:sz="0" w:space="0" w:color="auto"/>
            <w:right w:val="none" w:sz="0" w:space="0" w:color="auto"/>
          </w:divBdr>
        </w:div>
        <w:div w:id="531841768">
          <w:marLeft w:val="0"/>
          <w:marRight w:val="0"/>
          <w:marTop w:val="0"/>
          <w:marBottom w:val="0"/>
          <w:divBdr>
            <w:top w:val="none" w:sz="0" w:space="0" w:color="auto"/>
            <w:left w:val="none" w:sz="0" w:space="0" w:color="auto"/>
            <w:bottom w:val="none" w:sz="0" w:space="0" w:color="auto"/>
            <w:right w:val="none" w:sz="0" w:space="0" w:color="auto"/>
          </w:divBdr>
        </w:div>
        <w:div w:id="1687974589">
          <w:marLeft w:val="0"/>
          <w:marRight w:val="0"/>
          <w:marTop w:val="0"/>
          <w:marBottom w:val="0"/>
          <w:divBdr>
            <w:top w:val="none" w:sz="0" w:space="0" w:color="auto"/>
            <w:left w:val="none" w:sz="0" w:space="0" w:color="auto"/>
            <w:bottom w:val="none" w:sz="0" w:space="0" w:color="auto"/>
            <w:right w:val="none" w:sz="0" w:space="0" w:color="auto"/>
          </w:divBdr>
        </w:div>
        <w:div w:id="1448349770">
          <w:marLeft w:val="0"/>
          <w:marRight w:val="0"/>
          <w:marTop w:val="0"/>
          <w:marBottom w:val="0"/>
          <w:divBdr>
            <w:top w:val="none" w:sz="0" w:space="0" w:color="auto"/>
            <w:left w:val="none" w:sz="0" w:space="0" w:color="auto"/>
            <w:bottom w:val="none" w:sz="0" w:space="0" w:color="auto"/>
            <w:right w:val="none" w:sz="0" w:space="0" w:color="auto"/>
          </w:divBdr>
        </w:div>
        <w:div w:id="2030913977">
          <w:marLeft w:val="0"/>
          <w:marRight w:val="0"/>
          <w:marTop w:val="0"/>
          <w:marBottom w:val="0"/>
          <w:divBdr>
            <w:top w:val="none" w:sz="0" w:space="0" w:color="auto"/>
            <w:left w:val="none" w:sz="0" w:space="0" w:color="auto"/>
            <w:bottom w:val="none" w:sz="0" w:space="0" w:color="auto"/>
            <w:right w:val="none" w:sz="0" w:space="0" w:color="auto"/>
          </w:divBdr>
        </w:div>
      </w:divsChild>
    </w:div>
    <w:div w:id="1815490883">
      <w:bodyDiv w:val="1"/>
      <w:marLeft w:val="0"/>
      <w:marRight w:val="0"/>
      <w:marTop w:val="0"/>
      <w:marBottom w:val="0"/>
      <w:divBdr>
        <w:top w:val="none" w:sz="0" w:space="0" w:color="auto"/>
        <w:left w:val="none" w:sz="0" w:space="0" w:color="auto"/>
        <w:bottom w:val="none" w:sz="0" w:space="0" w:color="auto"/>
        <w:right w:val="none" w:sz="0" w:space="0" w:color="auto"/>
      </w:divBdr>
    </w:div>
    <w:div w:id="1823428600">
      <w:bodyDiv w:val="1"/>
      <w:marLeft w:val="0"/>
      <w:marRight w:val="0"/>
      <w:marTop w:val="0"/>
      <w:marBottom w:val="0"/>
      <w:divBdr>
        <w:top w:val="none" w:sz="0" w:space="0" w:color="auto"/>
        <w:left w:val="none" w:sz="0" w:space="0" w:color="auto"/>
        <w:bottom w:val="none" w:sz="0" w:space="0" w:color="auto"/>
        <w:right w:val="none" w:sz="0" w:space="0" w:color="auto"/>
      </w:divBdr>
    </w:div>
    <w:div w:id="1835340315">
      <w:bodyDiv w:val="1"/>
      <w:marLeft w:val="0"/>
      <w:marRight w:val="0"/>
      <w:marTop w:val="0"/>
      <w:marBottom w:val="0"/>
      <w:divBdr>
        <w:top w:val="none" w:sz="0" w:space="0" w:color="auto"/>
        <w:left w:val="none" w:sz="0" w:space="0" w:color="auto"/>
        <w:bottom w:val="none" w:sz="0" w:space="0" w:color="auto"/>
        <w:right w:val="none" w:sz="0" w:space="0" w:color="auto"/>
      </w:divBdr>
    </w:div>
    <w:div w:id="1839692341">
      <w:bodyDiv w:val="1"/>
      <w:marLeft w:val="0"/>
      <w:marRight w:val="0"/>
      <w:marTop w:val="0"/>
      <w:marBottom w:val="0"/>
      <w:divBdr>
        <w:top w:val="none" w:sz="0" w:space="0" w:color="auto"/>
        <w:left w:val="none" w:sz="0" w:space="0" w:color="auto"/>
        <w:bottom w:val="none" w:sz="0" w:space="0" w:color="auto"/>
        <w:right w:val="none" w:sz="0" w:space="0" w:color="auto"/>
      </w:divBdr>
    </w:div>
    <w:div w:id="1845700526">
      <w:bodyDiv w:val="1"/>
      <w:marLeft w:val="0"/>
      <w:marRight w:val="0"/>
      <w:marTop w:val="0"/>
      <w:marBottom w:val="0"/>
      <w:divBdr>
        <w:top w:val="none" w:sz="0" w:space="0" w:color="auto"/>
        <w:left w:val="none" w:sz="0" w:space="0" w:color="auto"/>
        <w:bottom w:val="none" w:sz="0" w:space="0" w:color="auto"/>
        <w:right w:val="none" w:sz="0" w:space="0" w:color="auto"/>
      </w:divBdr>
    </w:div>
    <w:div w:id="1850560387">
      <w:bodyDiv w:val="1"/>
      <w:marLeft w:val="0"/>
      <w:marRight w:val="0"/>
      <w:marTop w:val="0"/>
      <w:marBottom w:val="0"/>
      <w:divBdr>
        <w:top w:val="none" w:sz="0" w:space="0" w:color="auto"/>
        <w:left w:val="none" w:sz="0" w:space="0" w:color="auto"/>
        <w:bottom w:val="none" w:sz="0" w:space="0" w:color="auto"/>
        <w:right w:val="none" w:sz="0" w:space="0" w:color="auto"/>
      </w:divBdr>
    </w:div>
    <w:div w:id="1892955843">
      <w:bodyDiv w:val="1"/>
      <w:marLeft w:val="0"/>
      <w:marRight w:val="0"/>
      <w:marTop w:val="0"/>
      <w:marBottom w:val="0"/>
      <w:divBdr>
        <w:top w:val="none" w:sz="0" w:space="0" w:color="auto"/>
        <w:left w:val="none" w:sz="0" w:space="0" w:color="auto"/>
        <w:bottom w:val="none" w:sz="0" w:space="0" w:color="auto"/>
        <w:right w:val="none" w:sz="0" w:space="0" w:color="auto"/>
      </w:divBdr>
    </w:div>
    <w:div w:id="1894928400">
      <w:bodyDiv w:val="1"/>
      <w:marLeft w:val="0"/>
      <w:marRight w:val="0"/>
      <w:marTop w:val="0"/>
      <w:marBottom w:val="0"/>
      <w:divBdr>
        <w:top w:val="none" w:sz="0" w:space="0" w:color="auto"/>
        <w:left w:val="none" w:sz="0" w:space="0" w:color="auto"/>
        <w:bottom w:val="none" w:sz="0" w:space="0" w:color="auto"/>
        <w:right w:val="none" w:sz="0" w:space="0" w:color="auto"/>
      </w:divBdr>
    </w:div>
    <w:div w:id="1905485207">
      <w:bodyDiv w:val="1"/>
      <w:marLeft w:val="0"/>
      <w:marRight w:val="0"/>
      <w:marTop w:val="0"/>
      <w:marBottom w:val="0"/>
      <w:divBdr>
        <w:top w:val="none" w:sz="0" w:space="0" w:color="auto"/>
        <w:left w:val="none" w:sz="0" w:space="0" w:color="auto"/>
        <w:bottom w:val="none" w:sz="0" w:space="0" w:color="auto"/>
        <w:right w:val="none" w:sz="0" w:space="0" w:color="auto"/>
      </w:divBdr>
    </w:div>
    <w:div w:id="1947500123">
      <w:bodyDiv w:val="1"/>
      <w:marLeft w:val="0"/>
      <w:marRight w:val="0"/>
      <w:marTop w:val="0"/>
      <w:marBottom w:val="0"/>
      <w:divBdr>
        <w:top w:val="none" w:sz="0" w:space="0" w:color="auto"/>
        <w:left w:val="none" w:sz="0" w:space="0" w:color="auto"/>
        <w:bottom w:val="none" w:sz="0" w:space="0" w:color="auto"/>
        <w:right w:val="none" w:sz="0" w:space="0" w:color="auto"/>
      </w:divBdr>
    </w:div>
    <w:div w:id="1952976602">
      <w:bodyDiv w:val="1"/>
      <w:marLeft w:val="0"/>
      <w:marRight w:val="0"/>
      <w:marTop w:val="0"/>
      <w:marBottom w:val="0"/>
      <w:divBdr>
        <w:top w:val="none" w:sz="0" w:space="0" w:color="auto"/>
        <w:left w:val="none" w:sz="0" w:space="0" w:color="auto"/>
        <w:bottom w:val="none" w:sz="0" w:space="0" w:color="auto"/>
        <w:right w:val="none" w:sz="0" w:space="0" w:color="auto"/>
      </w:divBdr>
    </w:div>
    <w:div w:id="1978878044">
      <w:bodyDiv w:val="1"/>
      <w:marLeft w:val="0"/>
      <w:marRight w:val="0"/>
      <w:marTop w:val="0"/>
      <w:marBottom w:val="0"/>
      <w:divBdr>
        <w:top w:val="none" w:sz="0" w:space="0" w:color="auto"/>
        <w:left w:val="none" w:sz="0" w:space="0" w:color="auto"/>
        <w:bottom w:val="none" w:sz="0" w:space="0" w:color="auto"/>
        <w:right w:val="none" w:sz="0" w:space="0" w:color="auto"/>
      </w:divBdr>
    </w:div>
    <w:div w:id="1991515991">
      <w:bodyDiv w:val="1"/>
      <w:marLeft w:val="0"/>
      <w:marRight w:val="0"/>
      <w:marTop w:val="0"/>
      <w:marBottom w:val="0"/>
      <w:divBdr>
        <w:top w:val="none" w:sz="0" w:space="0" w:color="auto"/>
        <w:left w:val="none" w:sz="0" w:space="0" w:color="auto"/>
        <w:bottom w:val="none" w:sz="0" w:space="0" w:color="auto"/>
        <w:right w:val="none" w:sz="0" w:space="0" w:color="auto"/>
      </w:divBdr>
    </w:div>
    <w:div w:id="2016420381">
      <w:bodyDiv w:val="1"/>
      <w:marLeft w:val="0"/>
      <w:marRight w:val="0"/>
      <w:marTop w:val="0"/>
      <w:marBottom w:val="0"/>
      <w:divBdr>
        <w:top w:val="none" w:sz="0" w:space="0" w:color="auto"/>
        <w:left w:val="none" w:sz="0" w:space="0" w:color="auto"/>
        <w:bottom w:val="none" w:sz="0" w:space="0" w:color="auto"/>
        <w:right w:val="none" w:sz="0" w:space="0" w:color="auto"/>
      </w:divBdr>
    </w:div>
    <w:div w:id="2026832511">
      <w:bodyDiv w:val="1"/>
      <w:marLeft w:val="0"/>
      <w:marRight w:val="0"/>
      <w:marTop w:val="0"/>
      <w:marBottom w:val="0"/>
      <w:divBdr>
        <w:top w:val="none" w:sz="0" w:space="0" w:color="auto"/>
        <w:left w:val="none" w:sz="0" w:space="0" w:color="auto"/>
        <w:bottom w:val="none" w:sz="0" w:space="0" w:color="auto"/>
        <w:right w:val="none" w:sz="0" w:space="0" w:color="auto"/>
      </w:divBdr>
    </w:div>
    <w:div w:id="2037923390">
      <w:bodyDiv w:val="1"/>
      <w:marLeft w:val="0"/>
      <w:marRight w:val="0"/>
      <w:marTop w:val="0"/>
      <w:marBottom w:val="0"/>
      <w:divBdr>
        <w:top w:val="none" w:sz="0" w:space="0" w:color="auto"/>
        <w:left w:val="none" w:sz="0" w:space="0" w:color="auto"/>
        <w:bottom w:val="none" w:sz="0" w:space="0" w:color="auto"/>
        <w:right w:val="none" w:sz="0" w:space="0" w:color="auto"/>
      </w:divBdr>
    </w:div>
    <w:div w:id="2062753938">
      <w:bodyDiv w:val="1"/>
      <w:marLeft w:val="0"/>
      <w:marRight w:val="0"/>
      <w:marTop w:val="0"/>
      <w:marBottom w:val="0"/>
      <w:divBdr>
        <w:top w:val="none" w:sz="0" w:space="0" w:color="auto"/>
        <w:left w:val="none" w:sz="0" w:space="0" w:color="auto"/>
        <w:bottom w:val="none" w:sz="0" w:space="0" w:color="auto"/>
        <w:right w:val="none" w:sz="0" w:space="0" w:color="auto"/>
      </w:divBdr>
    </w:div>
    <w:div w:id="2084058227">
      <w:bodyDiv w:val="1"/>
      <w:marLeft w:val="0"/>
      <w:marRight w:val="0"/>
      <w:marTop w:val="0"/>
      <w:marBottom w:val="0"/>
      <w:divBdr>
        <w:top w:val="none" w:sz="0" w:space="0" w:color="auto"/>
        <w:left w:val="none" w:sz="0" w:space="0" w:color="auto"/>
        <w:bottom w:val="none" w:sz="0" w:space="0" w:color="auto"/>
        <w:right w:val="none" w:sz="0" w:space="0" w:color="auto"/>
      </w:divBdr>
    </w:div>
    <w:div w:id="2121559255">
      <w:bodyDiv w:val="1"/>
      <w:marLeft w:val="0"/>
      <w:marRight w:val="0"/>
      <w:marTop w:val="0"/>
      <w:marBottom w:val="0"/>
      <w:divBdr>
        <w:top w:val="none" w:sz="0" w:space="0" w:color="auto"/>
        <w:left w:val="none" w:sz="0" w:space="0" w:color="auto"/>
        <w:bottom w:val="none" w:sz="0" w:space="0" w:color="auto"/>
        <w:right w:val="none" w:sz="0" w:space="0" w:color="auto"/>
      </w:divBdr>
    </w:div>
    <w:div w:id="2127844904">
      <w:bodyDiv w:val="1"/>
      <w:marLeft w:val="0"/>
      <w:marRight w:val="0"/>
      <w:marTop w:val="0"/>
      <w:marBottom w:val="0"/>
      <w:divBdr>
        <w:top w:val="none" w:sz="0" w:space="0" w:color="auto"/>
        <w:left w:val="none" w:sz="0" w:space="0" w:color="auto"/>
        <w:bottom w:val="none" w:sz="0" w:space="0" w:color="auto"/>
        <w:right w:val="none" w:sz="0" w:space="0" w:color="auto"/>
      </w:divBdr>
    </w:div>
    <w:div w:id="2138792508">
      <w:bodyDiv w:val="1"/>
      <w:marLeft w:val="0"/>
      <w:marRight w:val="0"/>
      <w:marTop w:val="0"/>
      <w:marBottom w:val="0"/>
      <w:divBdr>
        <w:top w:val="none" w:sz="0" w:space="0" w:color="auto"/>
        <w:left w:val="none" w:sz="0" w:space="0" w:color="auto"/>
        <w:bottom w:val="none" w:sz="0" w:space="0" w:color="auto"/>
        <w:right w:val="none" w:sz="0" w:space="0" w:color="auto"/>
      </w:divBdr>
    </w:div>
    <w:div w:id="2146585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aimex.org.mx/saimex/solicitud/downloadAttach/826669.page" TargetMode="External"/><Relationship Id="rId13" Type="http://schemas.openxmlformats.org/officeDocument/2006/relationships/image" Target="media/image2.emf"/><Relationship Id="rId18" Type="http://schemas.openxmlformats.org/officeDocument/2006/relationships/hyperlink" Target="https://www.codhem.org.mx/LocalUser/codhem.org/avisos/AvisoPrivacidadPrimeraVisitaduriaGeneral.pdf" TargetMode="Externa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https://www.codhem.org.mx/LocalUser/codhem.org/htm/comunicadosoct19.asp"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aimex.org.mx/saimex/solicitud/downloadAttach/853124.page"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fontTable" Target="fontTable.xml"/><Relationship Id="rId10" Type="http://schemas.openxmlformats.org/officeDocument/2006/relationships/hyperlink" Target="https://www.saimex.org.mx/saimex/solicitud/downloadAttach/853123.page"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saimex.org.mx/saimex/solicitud/downloadAttach/826670.page" TargetMode="External"/><Relationship Id="rId14" Type="http://schemas.openxmlformats.org/officeDocument/2006/relationships/image" Target="media/image3.emf"/><Relationship Id="rId22"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460DD9-63C8-4249-BDBE-F57C1B131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60</Pages>
  <Words>12232</Words>
  <Characters>67280</Characters>
  <Application>Microsoft Office Word</Application>
  <DocSecurity>0</DocSecurity>
  <Lines>560</Lines>
  <Paragraphs>158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Rubí</cp:lastModifiedBy>
  <cp:revision>2</cp:revision>
  <cp:lastPrinted>2020-02-28T03:28:00Z</cp:lastPrinted>
  <dcterms:created xsi:type="dcterms:W3CDTF">2020-05-07T02:37:00Z</dcterms:created>
  <dcterms:modified xsi:type="dcterms:W3CDTF">2020-05-07T02:37:00Z</dcterms:modified>
</cp:coreProperties>
</file>