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BF2830" w14:textId="47C63EE2" w:rsidR="00994396" w:rsidRPr="00302243" w:rsidRDefault="00994396"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bCs/>
          <w:color w:val="000000" w:themeColor="text1"/>
          <w:sz w:val="22"/>
          <w:szCs w:val="22"/>
        </w:rPr>
        <w:t>Resolución del Pleno del Instituto de Transparencia, Acceso a la Información Pública y Protección de Datos Personales del Estado de México y Municipios, con domicilio en Metepec, Estado de México, de fecha</w:t>
      </w:r>
      <w:r w:rsidR="00A266B4">
        <w:rPr>
          <w:rFonts w:ascii="Palatino Linotype" w:hAnsi="Palatino Linotype" w:cs="Tahoma"/>
          <w:bCs/>
          <w:color w:val="000000" w:themeColor="text1"/>
          <w:sz w:val="22"/>
          <w:szCs w:val="22"/>
        </w:rPr>
        <w:t xml:space="preserve"> veintisiete</w:t>
      </w:r>
      <w:r w:rsidR="00677BBD" w:rsidRPr="00302243">
        <w:rPr>
          <w:rFonts w:ascii="Palatino Linotype" w:hAnsi="Palatino Linotype" w:cs="Tahoma"/>
          <w:bCs/>
          <w:color w:val="000000" w:themeColor="text1"/>
          <w:sz w:val="22"/>
          <w:szCs w:val="22"/>
        </w:rPr>
        <w:t xml:space="preserve"> de noviembre</w:t>
      </w:r>
      <w:r w:rsidRPr="00302243">
        <w:rPr>
          <w:rFonts w:ascii="Palatino Linotype" w:hAnsi="Palatino Linotype" w:cs="Tahoma"/>
          <w:bCs/>
          <w:color w:val="000000" w:themeColor="text1"/>
          <w:sz w:val="22"/>
          <w:szCs w:val="22"/>
        </w:rPr>
        <w:t xml:space="preserve"> de dos mil </w:t>
      </w:r>
      <w:r w:rsidR="00D34402" w:rsidRPr="00302243">
        <w:rPr>
          <w:rFonts w:ascii="Palatino Linotype" w:hAnsi="Palatino Linotype" w:cs="Tahoma"/>
          <w:bCs/>
          <w:color w:val="000000" w:themeColor="text1"/>
          <w:sz w:val="22"/>
          <w:szCs w:val="22"/>
        </w:rPr>
        <w:t>diecinueve</w:t>
      </w:r>
      <w:r w:rsidRPr="00302243">
        <w:rPr>
          <w:rFonts w:ascii="Palatino Linotype" w:hAnsi="Palatino Linotype" w:cs="Tahoma"/>
          <w:bCs/>
          <w:color w:val="000000" w:themeColor="text1"/>
          <w:sz w:val="22"/>
          <w:szCs w:val="22"/>
        </w:rPr>
        <w:t>.</w:t>
      </w:r>
    </w:p>
    <w:p w14:paraId="60758BA2" w14:textId="77777777" w:rsidR="00B31222" w:rsidRPr="00302243" w:rsidRDefault="00B31222" w:rsidP="00447875">
      <w:pPr>
        <w:spacing w:line="360" w:lineRule="auto"/>
        <w:rPr>
          <w:rFonts w:ascii="Palatino Linotype" w:hAnsi="Palatino Linotype" w:cs="Tahoma"/>
          <w:bCs/>
          <w:color w:val="000000" w:themeColor="text1"/>
          <w:sz w:val="22"/>
          <w:szCs w:val="22"/>
        </w:rPr>
      </w:pPr>
    </w:p>
    <w:p w14:paraId="187AA9A9" w14:textId="104E9785" w:rsidR="00B31222" w:rsidRPr="00302243" w:rsidRDefault="00994396" w:rsidP="00447875">
      <w:pPr>
        <w:spacing w:line="360" w:lineRule="auto"/>
        <w:jc w:val="both"/>
        <w:rPr>
          <w:rFonts w:ascii="Palatino Linotype" w:hAnsi="Palatino Linotype" w:cs="Tahoma"/>
          <w:bCs/>
          <w:color w:val="000000" w:themeColor="text1"/>
          <w:sz w:val="22"/>
          <w:szCs w:val="22"/>
        </w:rPr>
      </w:pPr>
      <w:r w:rsidRPr="00302243">
        <w:rPr>
          <w:rFonts w:ascii="Palatino Linotype" w:hAnsi="Palatino Linotype" w:cs="Tahoma"/>
          <w:b/>
          <w:bCs/>
          <w:color w:val="000000" w:themeColor="text1"/>
          <w:sz w:val="22"/>
          <w:szCs w:val="22"/>
        </w:rPr>
        <w:t>VISTO</w:t>
      </w:r>
      <w:r w:rsidR="00F41B19" w:rsidRPr="00302243">
        <w:rPr>
          <w:rFonts w:ascii="Palatino Linotype" w:hAnsi="Palatino Linotype" w:cs="Tahoma"/>
          <w:b/>
          <w:bCs/>
          <w:color w:val="000000" w:themeColor="text1"/>
          <w:sz w:val="22"/>
          <w:szCs w:val="22"/>
        </w:rPr>
        <w:t xml:space="preserve"> </w:t>
      </w:r>
      <w:r w:rsidR="001171BD" w:rsidRPr="00302243">
        <w:rPr>
          <w:rFonts w:ascii="Palatino Linotype" w:hAnsi="Palatino Linotype" w:cs="Tahoma"/>
          <w:bCs/>
          <w:color w:val="000000" w:themeColor="text1"/>
          <w:sz w:val="22"/>
          <w:szCs w:val="22"/>
        </w:rPr>
        <w:t>el expediente</w:t>
      </w:r>
      <w:r w:rsidR="0019389B" w:rsidRPr="00302243">
        <w:rPr>
          <w:rFonts w:ascii="Palatino Linotype" w:hAnsi="Palatino Linotype" w:cs="Tahoma"/>
          <w:bCs/>
          <w:color w:val="000000" w:themeColor="text1"/>
          <w:sz w:val="22"/>
          <w:szCs w:val="22"/>
        </w:rPr>
        <w:t xml:space="preserve"> conformado </w:t>
      </w:r>
      <w:r w:rsidR="00422869" w:rsidRPr="00302243">
        <w:rPr>
          <w:rFonts w:ascii="Palatino Linotype" w:hAnsi="Palatino Linotype" w:cs="Tahoma"/>
          <w:bCs/>
          <w:color w:val="000000" w:themeColor="text1"/>
          <w:sz w:val="22"/>
          <w:szCs w:val="22"/>
        </w:rPr>
        <w:t xml:space="preserve">con motivo del Recurso de Revisión </w:t>
      </w:r>
      <w:r w:rsidR="00D34402" w:rsidRPr="00302243">
        <w:rPr>
          <w:rFonts w:ascii="Palatino Linotype" w:hAnsi="Palatino Linotype" w:cs="Tahoma"/>
          <w:bCs/>
          <w:color w:val="000000" w:themeColor="text1"/>
          <w:sz w:val="22"/>
          <w:szCs w:val="22"/>
        </w:rPr>
        <w:t>0</w:t>
      </w:r>
      <w:r w:rsidR="000457BC" w:rsidRPr="00302243">
        <w:rPr>
          <w:rFonts w:ascii="Palatino Linotype" w:hAnsi="Palatino Linotype" w:cs="Tahoma"/>
          <w:bCs/>
          <w:color w:val="000000" w:themeColor="text1"/>
          <w:sz w:val="22"/>
          <w:szCs w:val="22"/>
        </w:rPr>
        <w:t>7516</w:t>
      </w:r>
      <w:r w:rsidR="00D34402" w:rsidRPr="00302243">
        <w:rPr>
          <w:rFonts w:ascii="Palatino Linotype" w:hAnsi="Palatino Linotype" w:cs="Tahoma"/>
          <w:bCs/>
          <w:color w:val="000000" w:themeColor="text1"/>
          <w:sz w:val="22"/>
          <w:szCs w:val="22"/>
        </w:rPr>
        <w:t>/INFOEM/IP/RR/2019</w:t>
      </w:r>
      <w:r w:rsidR="00422869" w:rsidRPr="00302243">
        <w:rPr>
          <w:rFonts w:ascii="Palatino Linotype" w:hAnsi="Palatino Linotype" w:cs="Tahoma"/>
          <w:bCs/>
          <w:color w:val="000000" w:themeColor="text1"/>
          <w:sz w:val="22"/>
          <w:szCs w:val="22"/>
        </w:rPr>
        <w:t xml:space="preserve">, </w:t>
      </w:r>
      <w:r w:rsidR="00127757" w:rsidRPr="00302243">
        <w:rPr>
          <w:rFonts w:ascii="Palatino Linotype" w:hAnsi="Palatino Linotype" w:cs="Tahoma"/>
          <w:bCs/>
          <w:color w:val="000000" w:themeColor="text1"/>
          <w:sz w:val="22"/>
          <w:szCs w:val="22"/>
        </w:rPr>
        <w:t xml:space="preserve">interpuesto por </w:t>
      </w:r>
      <w:r w:rsidR="00D63C35">
        <w:rPr>
          <w:rFonts w:ascii="Palatino Linotype" w:hAnsi="Palatino Linotype" w:cs="Tahoma"/>
          <w:b/>
          <w:bCs/>
          <w:color w:val="000000" w:themeColor="text1"/>
          <w:sz w:val="22"/>
          <w:szCs w:val="22"/>
        </w:rPr>
        <w:t>xxxxxxxxxxxxxxxxxxxxxxxxxx</w:t>
      </w:r>
      <w:r w:rsidR="003A2ED2" w:rsidRPr="00302243">
        <w:rPr>
          <w:rFonts w:ascii="Palatino Linotype" w:hAnsi="Palatino Linotype" w:cs="Tahoma"/>
          <w:bCs/>
          <w:color w:val="000000" w:themeColor="text1"/>
          <w:sz w:val="22"/>
          <w:szCs w:val="22"/>
        </w:rPr>
        <w:t>, en lo sucesivo Recurrente o Particular</w:t>
      </w:r>
      <w:r w:rsidRPr="00302243">
        <w:rPr>
          <w:rFonts w:ascii="Palatino Linotype" w:hAnsi="Palatino Linotype" w:cs="Tahoma"/>
          <w:bCs/>
          <w:color w:val="000000" w:themeColor="text1"/>
          <w:sz w:val="22"/>
          <w:szCs w:val="22"/>
        </w:rPr>
        <w:t>,</w:t>
      </w:r>
      <w:r w:rsidR="00F41B19" w:rsidRPr="00302243">
        <w:rPr>
          <w:rFonts w:ascii="Palatino Linotype" w:hAnsi="Palatino Linotype" w:cs="Tahoma"/>
          <w:bCs/>
          <w:color w:val="000000" w:themeColor="text1"/>
          <w:sz w:val="22"/>
          <w:szCs w:val="22"/>
        </w:rPr>
        <w:t xml:space="preserve"> </w:t>
      </w:r>
      <w:r w:rsidR="00DC1594" w:rsidRPr="00302243">
        <w:rPr>
          <w:rFonts w:ascii="Palatino Linotype" w:hAnsi="Palatino Linotype" w:cs="Tahoma"/>
          <w:bCs/>
          <w:color w:val="000000" w:themeColor="text1"/>
          <w:sz w:val="22"/>
          <w:szCs w:val="22"/>
        </w:rPr>
        <w:t xml:space="preserve">en contra de la respuesta del </w:t>
      </w:r>
      <w:r w:rsidR="002A0FB8" w:rsidRPr="00302243">
        <w:rPr>
          <w:rFonts w:ascii="Palatino Linotype" w:hAnsi="Palatino Linotype" w:cs="Tahoma"/>
          <w:bCs/>
          <w:color w:val="000000" w:themeColor="text1"/>
          <w:sz w:val="22"/>
          <w:szCs w:val="22"/>
        </w:rPr>
        <w:t>Sujeto Obligado</w:t>
      </w:r>
      <w:r w:rsidR="002060B4" w:rsidRPr="00302243">
        <w:rPr>
          <w:rFonts w:ascii="Palatino Linotype" w:hAnsi="Palatino Linotype" w:cs="Tahoma"/>
          <w:bCs/>
          <w:color w:val="000000" w:themeColor="text1"/>
          <w:sz w:val="22"/>
          <w:szCs w:val="22"/>
        </w:rPr>
        <w:t>,</w:t>
      </w:r>
      <w:r w:rsidR="00F41B19" w:rsidRPr="00302243">
        <w:rPr>
          <w:rFonts w:ascii="Palatino Linotype" w:hAnsi="Palatino Linotype" w:cs="Tahoma"/>
          <w:bCs/>
          <w:color w:val="000000" w:themeColor="text1"/>
          <w:sz w:val="22"/>
          <w:szCs w:val="22"/>
        </w:rPr>
        <w:t xml:space="preserve"> </w:t>
      </w:r>
      <w:r w:rsidR="0074079C" w:rsidRPr="00302243">
        <w:rPr>
          <w:rFonts w:ascii="Palatino Linotype" w:hAnsi="Palatino Linotype" w:cs="Tahoma"/>
          <w:bCs/>
          <w:color w:val="000000" w:themeColor="text1"/>
          <w:sz w:val="22"/>
          <w:szCs w:val="22"/>
        </w:rPr>
        <w:t xml:space="preserve">Ayuntamiento de </w:t>
      </w:r>
      <w:r w:rsidR="000457BC" w:rsidRPr="00302243">
        <w:rPr>
          <w:rFonts w:ascii="Palatino Linotype" w:hAnsi="Palatino Linotype" w:cs="Tahoma"/>
          <w:bCs/>
          <w:color w:val="000000" w:themeColor="text1"/>
          <w:sz w:val="22"/>
          <w:szCs w:val="22"/>
        </w:rPr>
        <w:t>Nicolás Romero</w:t>
      </w:r>
      <w:r w:rsidR="00DC1594" w:rsidRPr="00302243">
        <w:rPr>
          <w:rFonts w:ascii="Palatino Linotype" w:hAnsi="Palatino Linotype" w:cs="Tahoma"/>
          <w:bCs/>
          <w:color w:val="000000" w:themeColor="text1"/>
          <w:sz w:val="22"/>
          <w:szCs w:val="22"/>
        </w:rPr>
        <w:t xml:space="preserve">, </w:t>
      </w:r>
      <w:r w:rsidR="00422869" w:rsidRPr="00302243">
        <w:rPr>
          <w:rFonts w:ascii="Palatino Linotype" w:hAnsi="Palatino Linotype" w:cs="Tahoma"/>
          <w:bCs/>
          <w:color w:val="000000" w:themeColor="text1"/>
          <w:sz w:val="22"/>
          <w:szCs w:val="22"/>
        </w:rPr>
        <w:t xml:space="preserve">se emite la presente Resolución, </w:t>
      </w:r>
      <w:r w:rsidR="00DC1594" w:rsidRPr="00302243">
        <w:rPr>
          <w:rFonts w:ascii="Palatino Linotype" w:hAnsi="Palatino Linotype" w:cs="Tahoma"/>
          <w:bCs/>
          <w:color w:val="000000" w:themeColor="text1"/>
          <w:sz w:val="22"/>
          <w:szCs w:val="22"/>
        </w:rPr>
        <w:t>con base en</w:t>
      </w:r>
      <w:r w:rsidR="00F41B19" w:rsidRPr="00302243">
        <w:rPr>
          <w:rFonts w:ascii="Palatino Linotype" w:hAnsi="Palatino Linotype" w:cs="Tahoma"/>
          <w:bCs/>
          <w:color w:val="000000" w:themeColor="text1"/>
          <w:sz w:val="22"/>
          <w:szCs w:val="22"/>
        </w:rPr>
        <w:t xml:space="preserve"> </w:t>
      </w:r>
      <w:r w:rsidR="00DC1594" w:rsidRPr="00302243">
        <w:rPr>
          <w:rFonts w:ascii="Palatino Linotype" w:hAnsi="Palatino Linotype" w:cs="Tahoma"/>
          <w:bCs/>
          <w:color w:val="000000" w:themeColor="text1"/>
          <w:sz w:val="22"/>
          <w:szCs w:val="22"/>
        </w:rPr>
        <w:t xml:space="preserve">los </w:t>
      </w:r>
      <w:r w:rsidR="006C1B1D" w:rsidRPr="00302243">
        <w:rPr>
          <w:rFonts w:ascii="Palatino Linotype" w:hAnsi="Palatino Linotype" w:cs="Tahoma"/>
          <w:bCs/>
          <w:color w:val="000000" w:themeColor="text1"/>
          <w:sz w:val="22"/>
          <w:szCs w:val="22"/>
        </w:rPr>
        <w:t>A</w:t>
      </w:r>
      <w:r w:rsidR="00DC1594" w:rsidRPr="00302243">
        <w:rPr>
          <w:rFonts w:ascii="Palatino Linotype" w:hAnsi="Palatino Linotype" w:cs="Tahoma"/>
          <w:bCs/>
          <w:color w:val="000000" w:themeColor="text1"/>
          <w:sz w:val="22"/>
          <w:szCs w:val="22"/>
        </w:rPr>
        <w:t xml:space="preserve">ntecedentes y </w:t>
      </w:r>
      <w:r w:rsidR="002A0FB8" w:rsidRPr="00302243">
        <w:rPr>
          <w:rFonts w:ascii="Palatino Linotype" w:hAnsi="Palatino Linotype" w:cs="Tahoma"/>
          <w:bCs/>
          <w:color w:val="000000" w:themeColor="text1"/>
          <w:sz w:val="22"/>
          <w:szCs w:val="22"/>
        </w:rPr>
        <w:t xml:space="preserve">Considerandos </w:t>
      </w:r>
      <w:r w:rsidR="00DC1594" w:rsidRPr="00302243">
        <w:rPr>
          <w:rFonts w:ascii="Palatino Linotype" w:hAnsi="Palatino Linotype" w:cs="Tahoma"/>
          <w:bCs/>
          <w:color w:val="000000" w:themeColor="text1"/>
          <w:sz w:val="22"/>
          <w:szCs w:val="22"/>
        </w:rPr>
        <w:t>que a continuación se exponen</w:t>
      </w:r>
      <w:r w:rsidR="00B31222" w:rsidRPr="00302243">
        <w:rPr>
          <w:rFonts w:ascii="Palatino Linotype" w:hAnsi="Palatino Linotype" w:cs="Tahoma"/>
          <w:bCs/>
          <w:color w:val="000000" w:themeColor="text1"/>
          <w:sz w:val="22"/>
          <w:szCs w:val="22"/>
        </w:rPr>
        <w:t>:</w:t>
      </w:r>
    </w:p>
    <w:p w14:paraId="34CB69C6" w14:textId="77777777" w:rsidR="00735915" w:rsidRPr="00302243" w:rsidRDefault="00735915" w:rsidP="00447875">
      <w:pPr>
        <w:spacing w:line="360" w:lineRule="auto"/>
        <w:rPr>
          <w:rFonts w:ascii="Palatino Linotype" w:hAnsi="Palatino Linotype" w:cs="Tahoma"/>
          <w:color w:val="000000" w:themeColor="text1"/>
          <w:sz w:val="22"/>
          <w:szCs w:val="22"/>
        </w:rPr>
      </w:pPr>
      <w:bookmarkStart w:id="0" w:name="_GoBack"/>
      <w:bookmarkEnd w:id="0"/>
    </w:p>
    <w:p w14:paraId="7AA59F4D" w14:textId="77777777" w:rsidR="00B31222" w:rsidRPr="00302243" w:rsidRDefault="00B31222" w:rsidP="00447875">
      <w:pPr>
        <w:tabs>
          <w:tab w:val="center" w:pos="4522"/>
          <w:tab w:val="left" w:pos="7245"/>
        </w:tabs>
        <w:spacing w:line="360" w:lineRule="auto"/>
        <w:jc w:val="center"/>
        <w:rPr>
          <w:rFonts w:ascii="Palatino Linotype" w:hAnsi="Palatino Linotype" w:cs="Tahoma"/>
          <w:b/>
          <w:color w:val="000000" w:themeColor="text1"/>
          <w:sz w:val="22"/>
          <w:szCs w:val="22"/>
        </w:rPr>
      </w:pPr>
      <w:r w:rsidRPr="00302243">
        <w:rPr>
          <w:rFonts w:ascii="Palatino Linotype" w:hAnsi="Palatino Linotype" w:cs="Tahoma"/>
          <w:b/>
          <w:color w:val="000000" w:themeColor="text1"/>
          <w:sz w:val="22"/>
          <w:szCs w:val="22"/>
        </w:rPr>
        <w:t>ANTECEDENTES:</w:t>
      </w:r>
    </w:p>
    <w:p w14:paraId="3EDD4D07" w14:textId="77777777" w:rsidR="00B31222" w:rsidRPr="00302243" w:rsidRDefault="00B31222" w:rsidP="00447875">
      <w:pPr>
        <w:pStyle w:val="Prrafodelista"/>
        <w:tabs>
          <w:tab w:val="left" w:pos="567"/>
        </w:tabs>
        <w:spacing w:line="360" w:lineRule="auto"/>
        <w:ind w:left="0"/>
        <w:contextualSpacing w:val="0"/>
        <w:jc w:val="both"/>
        <w:rPr>
          <w:rFonts w:ascii="Palatino Linotype" w:hAnsi="Palatino Linotype" w:cs="Tahoma"/>
          <w:color w:val="000000" w:themeColor="text1"/>
          <w:szCs w:val="22"/>
        </w:rPr>
      </w:pPr>
    </w:p>
    <w:p w14:paraId="4AE0C95A" w14:textId="77777777" w:rsidR="00DC1594" w:rsidRPr="00302243" w:rsidRDefault="00B31222" w:rsidP="00447875">
      <w:pPr>
        <w:pStyle w:val="Prrafodelista"/>
        <w:tabs>
          <w:tab w:val="left" w:pos="567"/>
        </w:tabs>
        <w:spacing w:line="360" w:lineRule="auto"/>
        <w:ind w:left="0"/>
        <w:contextualSpacing w:val="0"/>
        <w:jc w:val="both"/>
        <w:rPr>
          <w:rFonts w:ascii="Palatino Linotype" w:hAnsi="Palatino Linotype" w:cs="Tahoma"/>
          <w:b/>
          <w:color w:val="000000" w:themeColor="text1"/>
          <w:szCs w:val="22"/>
        </w:rPr>
      </w:pPr>
      <w:r w:rsidRPr="00302243">
        <w:rPr>
          <w:rFonts w:ascii="Palatino Linotype" w:hAnsi="Palatino Linotype" w:cs="Tahoma"/>
          <w:b/>
          <w:color w:val="000000" w:themeColor="text1"/>
          <w:szCs w:val="22"/>
        </w:rPr>
        <w:t xml:space="preserve">I. Presentación de la solicitud de información. </w:t>
      </w:r>
    </w:p>
    <w:p w14:paraId="2C996A4C" w14:textId="77777777" w:rsidR="00DC1594" w:rsidRPr="00302243" w:rsidRDefault="00DC1594" w:rsidP="00447875">
      <w:pPr>
        <w:pStyle w:val="Prrafodelista"/>
        <w:tabs>
          <w:tab w:val="left" w:pos="567"/>
        </w:tabs>
        <w:spacing w:line="360" w:lineRule="auto"/>
        <w:ind w:left="0"/>
        <w:contextualSpacing w:val="0"/>
        <w:jc w:val="both"/>
        <w:rPr>
          <w:rFonts w:ascii="Palatino Linotype" w:hAnsi="Palatino Linotype" w:cs="Tahoma"/>
          <w:color w:val="000000" w:themeColor="text1"/>
          <w:szCs w:val="22"/>
        </w:rPr>
      </w:pPr>
    </w:p>
    <w:p w14:paraId="485AB879" w14:textId="58AFF7E1" w:rsidR="00B11579" w:rsidRPr="00302243" w:rsidRDefault="00B11579" w:rsidP="00447875">
      <w:pPr>
        <w:autoSpaceDE w:val="0"/>
        <w:autoSpaceDN w:val="0"/>
        <w:adjustRightInd w:val="0"/>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 xml:space="preserve">Con fecha </w:t>
      </w:r>
      <w:r w:rsidR="003339CA" w:rsidRPr="00302243">
        <w:rPr>
          <w:rFonts w:ascii="Palatino Linotype" w:hAnsi="Palatino Linotype" w:cs="Tahoma"/>
          <w:color w:val="000000" w:themeColor="text1"/>
          <w:sz w:val="22"/>
          <w:szCs w:val="22"/>
        </w:rPr>
        <w:t xml:space="preserve">diecinueve </w:t>
      </w:r>
      <w:r w:rsidRPr="00302243">
        <w:rPr>
          <w:rFonts w:ascii="Palatino Linotype" w:hAnsi="Palatino Linotype" w:cs="Tahoma"/>
          <w:color w:val="000000" w:themeColor="text1"/>
          <w:sz w:val="22"/>
          <w:szCs w:val="22"/>
        </w:rPr>
        <w:t>de agosto de dos mil diecinueve,</w:t>
      </w:r>
      <w:r w:rsidRPr="00302243">
        <w:rPr>
          <w:rFonts w:ascii="Palatino Linotype" w:hAnsi="Palatino Linotype" w:cs="Tahoma"/>
          <w:color w:val="000000" w:themeColor="text1"/>
          <w:szCs w:val="22"/>
        </w:rPr>
        <w:t xml:space="preserve"> </w:t>
      </w:r>
      <w:r w:rsidRPr="00302243">
        <w:rPr>
          <w:rFonts w:ascii="Palatino Linotype" w:hAnsi="Palatino Linotype" w:cs="Tahoma"/>
          <w:color w:val="000000" w:themeColor="text1"/>
          <w:sz w:val="22"/>
          <w:szCs w:val="22"/>
        </w:rPr>
        <w:t xml:space="preserve">se tuvo por recibida una solicitud de acceso a la información pública, a través del Sistema de Acceso a la Información Mexiquense (SAIMEX), ante el Ayuntamiento de </w:t>
      </w:r>
      <w:r w:rsidR="000457BC" w:rsidRPr="00302243">
        <w:rPr>
          <w:rFonts w:ascii="Palatino Linotype" w:hAnsi="Palatino Linotype" w:cs="Tahoma"/>
          <w:color w:val="000000" w:themeColor="text1"/>
          <w:sz w:val="22"/>
          <w:szCs w:val="22"/>
        </w:rPr>
        <w:t>Nicolás Romero</w:t>
      </w:r>
      <w:r w:rsidRPr="00302243">
        <w:rPr>
          <w:rFonts w:ascii="Palatino Linotype" w:hAnsi="Palatino Linotype" w:cs="Tahoma"/>
          <w:color w:val="000000" w:themeColor="text1"/>
          <w:sz w:val="22"/>
          <w:szCs w:val="22"/>
        </w:rPr>
        <w:t>;</w:t>
      </w:r>
      <w:r w:rsidRPr="00302243">
        <w:rPr>
          <w:rFonts w:ascii="Palatino Linotype" w:hAnsi="Palatino Linotype" w:cs="Tahoma"/>
          <w:b/>
          <w:color w:val="000000" w:themeColor="text1"/>
          <w:sz w:val="22"/>
          <w:szCs w:val="22"/>
        </w:rPr>
        <w:t xml:space="preserve"> lo anterior, ya que si bien, se presentó, el </w:t>
      </w:r>
      <w:r w:rsidR="003339CA" w:rsidRPr="00302243">
        <w:rPr>
          <w:rFonts w:ascii="Palatino Linotype" w:hAnsi="Palatino Linotype" w:cs="Tahoma"/>
          <w:b/>
          <w:color w:val="000000" w:themeColor="text1"/>
          <w:sz w:val="22"/>
          <w:szCs w:val="22"/>
        </w:rPr>
        <w:t>diecisiete</w:t>
      </w:r>
      <w:r w:rsidRPr="00302243">
        <w:rPr>
          <w:rFonts w:ascii="Palatino Linotype" w:hAnsi="Palatino Linotype" w:cs="Tahoma"/>
          <w:b/>
          <w:color w:val="000000" w:themeColor="text1"/>
          <w:sz w:val="22"/>
          <w:szCs w:val="22"/>
        </w:rPr>
        <w:t xml:space="preserve"> de ese mes y año, a través de dicho portal, también lo es, que fue inhábil, de conformidad con el artículo 3°, fracción X de la Ley de Transparencia y Acceso a la Información Pública del Estado de México y Municipios, </w:t>
      </w:r>
      <w:r w:rsidRPr="00302243">
        <w:rPr>
          <w:rFonts w:ascii="Palatino Linotype" w:hAnsi="Palatino Linotype" w:cs="Tahoma"/>
          <w:b/>
          <w:bCs/>
          <w:color w:val="000000" w:themeColor="text1"/>
          <w:sz w:val="22"/>
          <w:szCs w:val="22"/>
          <w:lang w:val="es-ES"/>
        </w:rPr>
        <w:t>y el Acuerdo mediante el cual se expide el Calendario Oficial en Materia de Transparencia, Acceso a la Información Pública y Protección de Datos Personales del Estado de México y Municipios, para el año dos mil diecinueve y enero dos mil veinte, publicado en el Periódico Oficial “Gaceta del Gobierno” del Estado Libre y Soberano de México, el diecinueve de diciembre de dos mil dieciocho</w:t>
      </w:r>
      <w:r w:rsidRPr="00302243">
        <w:rPr>
          <w:rFonts w:ascii="Palatino Linotype" w:hAnsi="Palatino Linotype" w:cs="Tahoma"/>
          <w:b/>
          <w:color w:val="000000" w:themeColor="text1"/>
          <w:sz w:val="22"/>
          <w:szCs w:val="22"/>
        </w:rPr>
        <w:t>, por lo que, se tuvo por recibido, el día hábil siguiente,</w:t>
      </w:r>
      <w:r w:rsidRPr="00302243">
        <w:rPr>
          <w:rFonts w:ascii="Palatino Linotype" w:hAnsi="Palatino Linotype" w:cs="Tahoma"/>
          <w:color w:val="000000" w:themeColor="text1"/>
          <w:sz w:val="22"/>
          <w:szCs w:val="22"/>
        </w:rPr>
        <w:t xml:space="preserve"> en los siguientes términos:</w:t>
      </w:r>
    </w:p>
    <w:p w14:paraId="67380CE6" w14:textId="77777777" w:rsidR="00637179" w:rsidRPr="00302243" w:rsidRDefault="00637179" w:rsidP="00447875">
      <w:pPr>
        <w:pStyle w:val="Prrafodelista"/>
        <w:tabs>
          <w:tab w:val="left" w:pos="567"/>
        </w:tabs>
        <w:spacing w:line="360" w:lineRule="auto"/>
        <w:ind w:left="0"/>
        <w:contextualSpacing w:val="0"/>
        <w:jc w:val="both"/>
        <w:rPr>
          <w:rFonts w:ascii="Palatino Linotype" w:hAnsi="Palatino Linotype" w:cs="Tahoma"/>
          <w:color w:val="000000" w:themeColor="text1"/>
          <w:szCs w:val="22"/>
        </w:rPr>
      </w:pPr>
    </w:p>
    <w:p w14:paraId="6C53C538" w14:textId="77777777" w:rsidR="00D01F75" w:rsidRPr="00302243" w:rsidRDefault="00D01F75" w:rsidP="00447875">
      <w:pPr>
        <w:tabs>
          <w:tab w:val="left" w:pos="4667"/>
        </w:tabs>
        <w:spacing w:line="360" w:lineRule="auto"/>
        <w:ind w:left="567" w:right="567"/>
        <w:jc w:val="both"/>
        <w:rPr>
          <w:rFonts w:ascii="Palatino Linotype" w:hAnsi="Palatino Linotype" w:cs="Tahoma"/>
          <w:b/>
          <w:bCs/>
          <w:i/>
          <w:color w:val="000000" w:themeColor="text1"/>
        </w:rPr>
      </w:pPr>
      <w:r w:rsidRPr="00302243">
        <w:rPr>
          <w:rFonts w:ascii="Palatino Linotype" w:hAnsi="Palatino Linotype" w:cs="Tahoma"/>
          <w:b/>
          <w:bCs/>
          <w:i/>
          <w:color w:val="000000" w:themeColor="text1"/>
        </w:rPr>
        <w:lastRenderedPageBreak/>
        <w:t>“DESCRIPCIÓN CLARA Y PRECISA DE LA INFORMACIÓN SOLICITADA</w:t>
      </w:r>
    </w:p>
    <w:p w14:paraId="64C1E43C" w14:textId="037B6D96" w:rsidR="00D01F75" w:rsidRPr="00302243" w:rsidRDefault="003339CA" w:rsidP="00447875">
      <w:pPr>
        <w:tabs>
          <w:tab w:val="left" w:pos="4667"/>
        </w:tabs>
        <w:spacing w:line="360" w:lineRule="auto"/>
        <w:ind w:left="567" w:right="567"/>
        <w:jc w:val="both"/>
        <w:rPr>
          <w:rFonts w:ascii="Palatino Linotype" w:hAnsi="Palatino Linotype" w:cs="Tahoma"/>
          <w:bCs/>
          <w:i/>
          <w:color w:val="000000" w:themeColor="text1"/>
        </w:rPr>
      </w:pPr>
      <w:r w:rsidRPr="00302243">
        <w:rPr>
          <w:rFonts w:ascii="Palatino Linotype" w:hAnsi="Palatino Linotype" w:cs="Tahoma"/>
          <w:bCs/>
          <w:i/>
          <w:color w:val="000000" w:themeColor="text1"/>
        </w:rPr>
        <w:t xml:space="preserve">SOLICITO SE ME PROPORCIONE EN MEDIO DIGITAL PARA DESCARGA: 1.- GACETAS MUNICIPALES COMPLETAS Y LEGALMENTE PUBLICADAS DE: A.- APROBACIÓN Y MODIFICACIONES AL PROGRAMA OPERATIVO ANUAL (O DOCUMENTO A FIN EN EL QUE SE CONTENGA EL PRESUPUESTO TOTAL A EJERCER EN MATERIA DE OBRAS PUBLICAS) PARA EL EJERCICIO FISCAL 2019, EN EL MUNICIPIO DE NICOLÁS ROMERO. B.- REGLAMENTO ORGÁNICO MUNICIPAL DEL AYUNTAMIENTO DE NICOLAS ROMERO. C.- OBRAS DE ALTO IMPACTO PROYECTADAS A EJECUTAR POR LA ADMINISTRACIÓN EN CURSO. 2.- LISTADO DE OBRAS PÚBLICAS CONTRATADAS EN EL PERIODO QUE COMPRENDE DEL 01 DE ENERO DE 2019, AL 17 DE AGOSTO DE 2019. 3.- TODA DOCUMENTACIÓN CON QUE SE JUSTIFIQUE LA CONTRATACIÓN (i.- MODALIDAD DE CONTRATACIÓN; ii.- ORIGEN DE LOS RECURSOS; iii.- PROCEDIMIENTO DE CONTRATACIÓN, DESDE INVITACIÓN O CONVOCATORIA, HASTA EL FALLO CORRESPONDIENTE; iv.- CONTRATO) 4.- SOBRE LAS CONSTANCIAS DE CADA EXPEDIENTE DE OBRA PÚBLICA: A.- CONSTANCIA DE QUE LAS CONTRATISTAS HAYAN ENTREGADO LAS FINANZAS CORRESPONDIENTES. B.- DIGITALIZACIÓN DE LAS FIANZAS. C.- CONSTANCIA DE HABER ENTREGADO A LA CONTRATISTA EL LUGAR DE LOS TRABAJOS. D.- BITÁCORA DE OBRA. E.- DESIGNACIÓN Y ACEPTACIÓN DE RESIDENTE DE OBRA. 5.- INFORME DE AVANCE (PORCENTAJE) EN LA EJECUCIÓN DE LA OBRA </w:t>
      </w:r>
      <w:r w:rsidR="00477F0C" w:rsidRPr="00302243">
        <w:rPr>
          <w:rFonts w:ascii="Palatino Linotype" w:hAnsi="Palatino Linotype" w:cs="Tahoma"/>
          <w:bCs/>
          <w:i/>
          <w:color w:val="000000" w:themeColor="text1"/>
        </w:rPr>
        <w:t>PÚBLICA</w:t>
      </w:r>
      <w:r w:rsidRPr="00302243">
        <w:rPr>
          <w:rFonts w:ascii="Palatino Linotype" w:hAnsi="Palatino Linotype" w:cs="Tahoma"/>
          <w:bCs/>
          <w:i/>
          <w:color w:val="000000" w:themeColor="text1"/>
        </w:rPr>
        <w:t>. 6.- EN CASO DE ATRASO, LAS ACCIONES IMPLEMENTADAS POR LA AUTORIDAD COMPETENTE. 7.- PERIODOS DE EJECUCIÓN DE CADA OBRA PÚBLICA. 8.- OBRAS A EJECUTAR CON RECURSOS FEFOM 2019 Y FISM 2019. 9.- LISTADO DEL PERSONAL QUE LABORA EN LA DIRECCIÓN DE OBRAS PUBLICAS (O DEPENDENCIA ANÁLOGA QUE EJERZA LAS FACULTADES CONTENIDAS EN EL ARTÍCULO 96 BIS DE LA LEY ORGÁNICA MUNICIPAL DEL ESTADO DE MÉXICO), PRECISANDO NOMBRE, CARGO, SUELDO NETO MENSUAL, FUNCIONES, ACTIVIDADES Y ATRIBUCIONES. LA RESPUESTA EMITIDA POR EL SUJETO OBLIGADO, DEBERÁ ENCONTRARSE DEBIDAMENTE FUNDADA Y MOTIVADA.</w:t>
      </w:r>
      <w:r w:rsidR="00D01F75" w:rsidRPr="00302243">
        <w:rPr>
          <w:rFonts w:ascii="Palatino Linotype" w:hAnsi="Palatino Linotype" w:cs="Tahoma"/>
          <w:bCs/>
          <w:i/>
          <w:color w:val="000000" w:themeColor="text1"/>
        </w:rPr>
        <w:t>” (Sic.)</w:t>
      </w:r>
    </w:p>
    <w:p w14:paraId="1251270E" w14:textId="77777777" w:rsidR="00D01F75" w:rsidRPr="00302243" w:rsidRDefault="00D01F75" w:rsidP="00447875">
      <w:pPr>
        <w:tabs>
          <w:tab w:val="left" w:pos="4667"/>
        </w:tabs>
        <w:spacing w:line="360" w:lineRule="auto"/>
        <w:ind w:left="567" w:right="567"/>
        <w:jc w:val="both"/>
        <w:rPr>
          <w:rFonts w:ascii="Palatino Linotype" w:hAnsi="Palatino Linotype" w:cs="Tahoma"/>
          <w:bCs/>
          <w:i/>
          <w:color w:val="000000" w:themeColor="text1"/>
        </w:rPr>
      </w:pPr>
      <w:r w:rsidRPr="00302243">
        <w:rPr>
          <w:rFonts w:ascii="Palatino Linotype" w:hAnsi="Palatino Linotype" w:cs="Tahoma"/>
          <w:b/>
          <w:bCs/>
          <w:i/>
          <w:color w:val="000000" w:themeColor="text1"/>
        </w:rPr>
        <w:lastRenderedPageBreak/>
        <w:t>“MODALIDAD DE ENTREGA</w:t>
      </w:r>
    </w:p>
    <w:p w14:paraId="4E5408A5" w14:textId="77777777" w:rsidR="00D01F75" w:rsidRPr="00302243" w:rsidRDefault="00E64BD9" w:rsidP="00447875">
      <w:pPr>
        <w:tabs>
          <w:tab w:val="left" w:pos="4667"/>
        </w:tabs>
        <w:spacing w:line="360" w:lineRule="auto"/>
        <w:ind w:left="567" w:right="567"/>
        <w:jc w:val="both"/>
        <w:rPr>
          <w:rFonts w:ascii="Palatino Linotype" w:hAnsi="Palatino Linotype" w:cs="Tahoma"/>
          <w:bCs/>
          <w:i/>
          <w:color w:val="000000" w:themeColor="text1"/>
        </w:rPr>
      </w:pPr>
      <w:r w:rsidRPr="00302243">
        <w:rPr>
          <w:rFonts w:ascii="Palatino Linotype" w:hAnsi="Palatino Linotype" w:cs="Tahoma"/>
          <w:bCs/>
          <w:i/>
          <w:color w:val="000000" w:themeColor="text1"/>
        </w:rPr>
        <w:t>A través del SAIMEX</w:t>
      </w:r>
      <w:r w:rsidR="00D01F75" w:rsidRPr="00302243">
        <w:rPr>
          <w:rFonts w:ascii="Palatino Linotype" w:hAnsi="Palatino Linotype" w:cs="Tahoma"/>
          <w:bCs/>
          <w:i/>
          <w:color w:val="000000" w:themeColor="text1"/>
        </w:rPr>
        <w:t>”</w:t>
      </w:r>
    </w:p>
    <w:p w14:paraId="08DC8380" w14:textId="77777777" w:rsidR="0092073B" w:rsidRPr="00302243" w:rsidRDefault="0092073B" w:rsidP="00447875">
      <w:pPr>
        <w:pStyle w:val="Prrafodelista"/>
        <w:tabs>
          <w:tab w:val="left" w:pos="567"/>
        </w:tabs>
        <w:spacing w:line="360" w:lineRule="auto"/>
        <w:ind w:left="0"/>
        <w:contextualSpacing w:val="0"/>
        <w:jc w:val="both"/>
        <w:rPr>
          <w:rFonts w:ascii="Palatino Linotype" w:hAnsi="Palatino Linotype" w:cs="Tahoma"/>
          <w:b/>
          <w:color w:val="000000" w:themeColor="text1"/>
          <w:szCs w:val="22"/>
        </w:rPr>
      </w:pPr>
    </w:p>
    <w:p w14:paraId="077658AE" w14:textId="2C2117FB" w:rsidR="00AA5A86" w:rsidRPr="00302243" w:rsidRDefault="00144582" w:rsidP="00447875">
      <w:pPr>
        <w:pStyle w:val="Prrafodelista"/>
        <w:tabs>
          <w:tab w:val="left" w:pos="567"/>
        </w:tabs>
        <w:spacing w:line="360" w:lineRule="auto"/>
        <w:ind w:left="0"/>
        <w:contextualSpacing w:val="0"/>
        <w:jc w:val="both"/>
        <w:rPr>
          <w:rFonts w:ascii="Palatino Linotype" w:hAnsi="Palatino Linotype" w:cs="Tahoma"/>
          <w:b/>
          <w:color w:val="000000" w:themeColor="text1"/>
          <w:szCs w:val="22"/>
        </w:rPr>
      </w:pPr>
      <w:r w:rsidRPr="00302243">
        <w:rPr>
          <w:rFonts w:ascii="Palatino Linotype" w:hAnsi="Palatino Linotype" w:cs="Tahoma"/>
          <w:b/>
          <w:color w:val="000000" w:themeColor="text1"/>
          <w:szCs w:val="22"/>
        </w:rPr>
        <w:t xml:space="preserve">II. </w:t>
      </w:r>
      <w:r w:rsidR="00AA5A86" w:rsidRPr="00302243">
        <w:rPr>
          <w:rFonts w:ascii="Palatino Linotype" w:hAnsi="Palatino Linotype" w:cs="Tahoma"/>
          <w:b/>
          <w:color w:val="000000" w:themeColor="text1"/>
          <w:szCs w:val="22"/>
        </w:rPr>
        <w:t>Respuesta del Sujeto Obligado.</w:t>
      </w:r>
    </w:p>
    <w:p w14:paraId="6234AE6D" w14:textId="77777777" w:rsidR="00AA5A86" w:rsidRPr="00302243" w:rsidRDefault="00AA5A86" w:rsidP="00447875">
      <w:pPr>
        <w:autoSpaceDE w:val="0"/>
        <w:autoSpaceDN w:val="0"/>
        <w:adjustRightInd w:val="0"/>
        <w:spacing w:line="360" w:lineRule="auto"/>
        <w:jc w:val="both"/>
        <w:rPr>
          <w:rFonts w:ascii="Palatino Linotype" w:hAnsi="Palatino Linotype" w:cs="Tahoma"/>
          <w:b/>
          <w:color w:val="000000" w:themeColor="text1"/>
          <w:sz w:val="22"/>
          <w:szCs w:val="22"/>
        </w:rPr>
      </w:pPr>
    </w:p>
    <w:p w14:paraId="1A1473AD" w14:textId="23D87BF5" w:rsidR="00E5668B" w:rsidRPr="00302243" w:rsidRDefault="00E43A0F" w:rsidP="00447875">
      <w:pPr>
        <w:autoSpaceDE w:val="0"/>
        <w:autoSpaceDN w:val="0"/>
        <w:adjustRightInd w:val="0"/>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 xml:space="preserve">Con fecha </w:t>
      </w:r>
      <w:r w:rsidR="006B647B" w:rsidRPr="00302243">
        <w:rPr>
          <w:rFonts w:ascii="Palatino Linotype" w:hAnsi="Palatino Linotype" w:cs="Tahoma"/>
          <w:color w:val="000000" w:themeColor="text1"/>
          <w:sz w:val="22"/>
          <w:szCs w:val="22"/>
        </w:rPr>
        <w:t>cuatro</w:t>
      </w:r>
      <w:r w:rsidR="003204C7" w:rsidRPr="00302243">
        <w:rPr>
          <w:rFonts w:ascii="Palatino Linotype" w:hAnsi="Palatino Linotype" w:cs="Tahoma"/>
          <w:color w:val="000000" w:themeColor="text1"/>
          <w:sz w:val="22"/>
          <w:szCs w:val="22"/>
        </w:rPr>
        <w:t xml:space="preserve"> de octubre</w:t>
      </w:r>
      <w:r w:rsidR="00D34402" w:rsidRPr="00302243">
        <w:rPr>
          <w:rFonts w:ascii="Palatino Linotype" w:hAnsi="Palatino Linotype" w:cs="Tahoma"/>
          <w:color w:val="000000" w:themeColor="text1"/>
          <w:sz w:val="22"/>
          <w:szCs w:val="22"/>
        </w:rPr>
        <w:t xml:space="preserve"> de dos mil diecinueve</w:t>
      </w:r>
      <w:r w:rsidRPr="00302243">
        <w:rPr>
          <w:rFonts w:ascii="Palatino Linotype" w:hAnsi="Palatino Linotype" w:cs="Tahoma"/>
          <w:color w:val="000000" w:themeColor="text1"/>
          <w:sz w:val="22"/>
          <w:szCs w:val="22"/>
        </w:rPr>
        <w:t xml:space="preserve">, </w:t>
      </w:r>
      <w:r w:rsidR="00FA1EF1" w:rsidRPr="00302243">
        <w:rPr>
          <w:rFonts w:ascii="Palatino Linotype" w:hAnsi="Palatino Linotype" w:cs="Tahoma"/>
          <w:color w:val="000000" w:themeColor="text1"/>
          <w:sz w:val="22"/>
          <w:szCs w:val="22"/>
        </w:rPr>
        <w:t>el</w:t>
      </w:r>
      <w:r w:rsidRPr="00302243">
        <w:rPr>
          <w:rFonts w:ascii="Palatino Linotype" w:hAnsi="Palatino Linotype" w:cs="Tahoma"/>
          <w:color w:val="000000" w:themeColor="text1"/>
          <w:sz w:val="22"/>
          <w:szCs w:val="22"/>
        </w:rPr>
        <w:t xml:space="preserve"> </w:t>
      </w:r>
      <w:r w:rsidR="0074079C" w:rsidRPr="00302243">
        <w:rPr>
          <w:rFonts w:ascii="Palatino Linotype" w:hAnsi="Palatino Linotype" w:cs="Tahoma"/>
          <w:color w:val="000000" w:themeColor="text1"/>
          <w:sz w:val="22"/>
          <w:szCs w:val="22"/>
        </w:rPr>
        <w:t xml:space="preserve">Ayuntamiento de </w:t>
      </w:r>
      <w:r w:rsidR="000457BC" w:rsidRPr="00302243">
        <w:rPr>
          <w:rFonts w:ascii="Palatino Linotype" w:hAnsi="Palatino Linotype" w:cs="Tahoma"/>
          <w:color w:val="000000" w:themeColor="text1"/>
          <w:sz w:val="22"/>
          <w:szCs w:val="22"/>
        </w:rPr>
        <w:t>Nicolás Romero</w:t>
      </w:r>
      <w:r w:rsidRPr="00302243">
        <w:rPr>
          <w:rFonts w:ascii="Palatino Linotype" w:hAnsi="Palatino Linotype" w:cs="Tahoma"/>
          <w:color w:val="000000" w:themeColor="text1"/>
          <w:sz w:val="22"/>
          <w:szCs w:val="22"/>
        </w:rPr>
        <w:t xml:space="preserve"> notificó </w:t>
      </w:r>
      <w:r w:rsidR="00B34642" w:rsidRPr="00302243">
        <w:rPr>
          <w:rFonts w:ascii="Palatino Linotype" w:hAnsi="Palatino Linotype" w:cs="Tahoma"/>
          <w:color w:val="000000" w:themeColor="text1"/>
          <w:sz w:val="22"/>
          <w:szCs w:val="22"/>
        </w:rPr>
        <w:t>al</w:t>
      </w:r>
      <w:r w:rsidRPr="00302243">
        <w:rPr>
          <w:rFonts w:ascii="Palatino Linotype" w:hAnsi="Palatino Linotype" w:cs="Tahoma"/>
          <w:color w:val="000000" w:themeColor="text1"/>
          <w:sz w:val="22"/>
          <w:szCs w:val="22"/>
        </w:rPr>
        <w:t xml:space="preserve"> </w:t>
      </w:r>
      <w:r w:rsidR="00D34402" w:rsidRPr="00302243">
        <w:rPr>
          <w:rFonts w:ascii="Palatino Linotype" w:hAnsi="Palatino Linotype" w:cs="Tahoma"/>
          <w:color w:val="000000" w:themeColor="text1"/>
          <w:sz w:val="22"/>
          <w:szCs w:val="22"/>
        </w:rPr>
        <w:t>Solicitante</w:t>
      </w:r>
      <w:r w:rsidRPr="00302243">
        <w:rPr>
          <w:rFonts w:ascii="Palatino Linotype" w:hAnsi="Palatino Linotype" w:cs="Tahoma"/>
          <w:color w:val="000000" w:themeColor="text1"/>
          <w:sz w:val="22"/>
          <w:szCs w:val="22"/>
        </w:rPr>
        <w:t>, mediante el Sistema de Acceso a la Información Me</w:t>
      </w:r>
      <w:r w:rsidR="003C5C01" w:rsidRPr="00302243">
        <w:rPr>
          <w:rFonts w:ascii="Palatino Linotype" w:hAnsi="Palatino Linotype" w:cs="Tahoma"/>
          <w:color w:val="000000" w:themeColor="text1"/>
          <w:sz w:val="22"/>
          <w:szCs w:val="22"/>
        </w:rPr>
        <w:t>xiquense (SAIMEX), la respuesta, a través del oficio</w:t>
      </w:r>
      <w:r w:rsidR="00E5668B" w:rsidRPr="00302243">
        <w:rPr>
          <w:rFonts w:ascii="Palatino Linotype" w:hAnsi="Palatino Linotype" w:cs="Tahoma"/>
          <w:color w:val="000000" w:themeColor="text1"/>
          <w:sz w:val="22"/>
          <w:szCs w:val="22"/>
        </w:rPr>
        <w:t xml:space="preserve"> </w:t>
      </w:r>
      <w:r w:rsidR="00580BBC" w:rsidRPr="00302243">
        <w:rPr>
          <w:rFonts w:ascii="Palatino Linotype" w:hAnsi="Palatino Linotype" w:cs="Tahoma"/>
          <w:color w:val="000000" w:themeColor="text1"/>
          <w:sz w:val="22"/>
          <w:szCs w:val="22"/>
        </w:rPr>
        <w:t>número</w:t>
      </w:r>
      <w:r w:rsidR="00094625" w:rsidRPr="00302243">
        <w:rPr>
          <w:rFonts w:ascii="Palatino Linotype" w:hAnsi="Palatino Linotype" w:cs="Tahoma"/>
          <w:color w:val="000000" w:themeColor="text1"/>
          <w:sz w:val="22"/>
          <w:szCs w:val="22"/>
        </w:rPr>
        <w:t xml:space="preserve"> DOP/SOIYEU/DCYSA/1967/2019</w:t>
      </w:r>
      <w:r w:rsidR="00580BBC" w:rsidRPr="00302243">
        <w:rPr>
          <w:rFonts w:ascii="Palatino Linotype" w:hAnsi="Palatino Linotype" w:cs="Tahoma"/>
          <w:color w:val="000000" w:themeColor="text1"/>
          <w:sz w:val="22"/>
          <w:szCs w:val="22"/>
        </w:rPr>
        <w:t xml:space="preserve">, </w:t>
      </w:r>
      <w:r w:rsidR="00094625" w:rsidRPr="00302243">
        <w:rPr>
          <w:rFonts w:ascii="Palatino Linotype" w:hAnsi="Palatino Linotype" w:cs="Tahoma"/>
          <w:color w:val="000000" w:themeColor="text1"/>
          <w:sz w:val="22"/>
          <w:szCs w:val="22"/>
        </w:rPr>
        <w:t xml:space="preserve">del veintiocho de agosto de dos mil diecinueve, suscrito por el Director de Obras Públicas y dirigido al </w:t>
      </w:r>
      <w:r w:rsidR="008C57A6" w:rsidRPr="00302243">
        <w:rPr>
          <w:rFonts w:ascii="Palatino Linotype" w:hAnsi="Palatino Linotype" w:cs="Tahoma"/>
          <w:color w:val="000000" w:themeColor="text1"/>
          <w:sz w:val="22"/>
          <w:szCs w:val="22"/>
        </w:rPr>
        <w:t>Titular de la Unidad de Transparencia, cuyo contenido es el</w:t>
      </w:r>
      <w:r w:rsidR="00AD1A3D" w:rsidRPr="00302243">
        <w:rPr>
          <w:rFonts w:ascii="Palatino Linotype" w:hAnsi="Palatino Linotype" w:cs="Tahoma"/>
          <w:color w:val="000000" w:themeColor="text1"/>
          <w:sz w:val="22"/>
          <w:szCs w:val="22"/>
        </w:rPr>
        <w:t xml:space="preserve"> siguiente:</w:t>
      </w:r>
    </w:p>
    <w:p w14:paraId="1DA672CA" w14:textId="77777777" w:rsidR="00AD1A3D" w:rsidRPr="00302243" w:rsidRDefault="00AD1A3D"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158E790A" w14:textId="77777777" w:rsidR="00AD1A3D" w:rsidRPr="007D1CD9" w:rsidRDefault="00AD1A3D" w:rsidP="00447875">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w:t>
      </w:r>
    </w:p>
    <w:p w14:paraId="5D07C364" w14:textId="0C5BAB26" w:rsidR="008C57A6" w:rsidRPr="007D1CD9" w:rsidRDefault="008C57A6" w:rsidP="008C57A6">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 xml:space="preserve">Por lo que corresponde al numeral, 1.- GACETAS MUNICIPALES COMPLETAS Y LEGALMENTE PUBLICADAS DE A.- APROBACIÓN Y MODIFICACIONES AL PROGRAMA OPERATIVO ANUAL. (O DOCUMENTO A FIN EN EL QUE SE CONTENGA EL PRESUPUESTO TOTAL </w:t>
      </w:r>
      <w:r w:rsidR="00A9603F" w:rsidRPr="007D1CD9">
        <w:rPr>
          <w:rFonts w:ascii="Palatino Linotype" w:hAnsi="Palatino Linotype" w:cs="Tahoma"/>
          <w:i/>
          <w:color w:val="000000" w:themeColor="text1"/>
        </w:rPr>
        <w:t xml:space="preserve">A </w:t>
      </w:r>
      <w:r w:rsidRPr="007D1CD9">
        <w:rPr>
          <w:rFonts w:ascii="Palatino Linotype" w:hAnsi="Palatino Linotype" w:cs="Tahoma"/>
          <w:i/>
          <w:color w:val="000000" w:themeColor="text1"/>
        </w:rPr>
        <w:t>EJERCER EN MATERIA DE OBRAS PÚBLICAS) PARA EL</w:t>
      </w:r>
      <w:r w:rsidR="00A9603F" w:rsidRPr="007D1CD9">
        <w:rPr>
          <w:rFonts w:ascii="Palatino Linotype" w:hAnsi="Palatino Linotype" w:cs="Tahoma"/>
          <w:i/>
          <w:color w:val="000000" w:themeColor="text1"/>
        </w:rPr>
        <w:t xml:space="preserve"> EJERCIDO</w:t>
      </w:r>
      <w:r w:rsidRPr="007D1CD9">
        <w:rPr>
          <w:rFonts w:ascii="Palatino Linotype" w:hAnsi="Palatino Linotype" w:cs="Tahoma"/>
          <w:i/>
          <w:color w:val="000000" w:themeColor="text1"/>
        </w:rPr>
        <w:t xml:space="preserve"> FISCAL 2019, EN EL MUNICIPIO DE NICOLÁS ROMERO. </w:t>
      </w:r>
      <w:r w:rsidR="00A9603F" w:rsidRPr="007D1CD9">
        <w:rPr>
          <w:rFonts w:ascii="Palatino Linotype" w:hAnsi="Palatino Linotype" w:cs="Tahoma"/>
          <w:i/>
          <w:color w:val="000000" w:themeColor="text1"/>
        </w:rPr>
        <w:t>B</w:t>
      </w:r>
      <w:r w:rsidRPr="007D1CD9">
        <w:rPr>
          <w:rFonts w:ascii="Palatino Linotype" w:hAnsi="Palatino Linotype" w:cs="Tahoma"/>
          <w:i/>
          <w:color w:val="000000" w:themeColor="text1"/>
        </w:rPr>
        <w:t>.- REGLAMENTO ORGÁNICO MUNICIPAL</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DEL AYUNTAMIENTO DE .NICOLÁS ROMERO. C.- OBRAS DE ALTO IMPACTO PROYECTADAS A EJECUTAR POR</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LA ADMINISTRACIÓN EN CURSO. Al respecto se le informa que las gacetas municipales no son atribución de</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esta Dirección emitir su publicación, sin embargo a efecto de privilegiar la Transparencia Proactiva esta</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Dirección le manifiesta que las modificaciones al programa anual de obra pública se encuentran disponibles</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para su consulta en el portal de transparencia de este Ayuntamiento visible en los registros número 1 y 2 en la</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liga siguiente:</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 https://www.ipomex.or</w:t>
      </w:r>
      <w:r w:rsidR="005034E5">
        <w:rPr>
          <w:rFonts w:ascii="Palatino Linotype" w:hAnsi="Palatino Linotype" w:cs="Tahoma"/>
          <w:i/>
          <w:color w:val="000000" w:themeColor="text1"/>
        </w:rPr>
        <w:t>g</w:t>
      </w:r>
      <w:r w:rsidRPr="007D1CD9">
        <w:rPr>
          <w:rFonts w:ascii="Palatino Linotype" w:hAnsi="Palatino Linotype" w:cs="Tahoma"/>
          <w:i/>
          <w:color w:val="000000" w:themeColor="text1"/>
        </w:rPr>
        <w:t>.mx/ip</w:t>
      </w:r>
      <w:r w:rsidR="00AA0AC9">
        <w:rPr>
          <w:rFonts w:ascii="Palatino Linotype" w:hAnsi="Palatino Linotype" w:cs="Tahoma"/>
          <w:i/>
          <w:color w:val="000000" w:themeColor="text1"/>
        </w:rPr>
        <w:t>o3/lgt/</w:t>
      </w:r>
      <w:r w:rsidR="007E4797">
        <w:rPr>
          <w:rFonts w:ascii="Palatino Linotype" w:hAnsi="Palatino Linotype" w:cs="Tahoma"/>
          <w:i/>
          <w:color w:val="000000" w:themeColor="text1"/>
        </w:rPr>
        <w:t>indice/NICOLASROMERO/</w:t>
      </w:r>
      <w:r w:rsidR="00A9603F" w:rsidRPr="007D1CD9">
        <w:rPr>
          <w:rFonts w:ascii="Palatino Linotype" w:hAnsi="Palatino Linotype" w:cs="Tahoma"/>
          <w:i/>
          <w:color w:val="000000" w:themeColor="text1"/>
        </w:rPr>
        <w:t>art_92_</w:t>
      </w:r>
      <w:r w:rsidR="007E4797">
        <w:rPr>
          <w:rFonts w:ascii="Palatino Linotype" w:hAnsi="Palatino Linotype" w:cs="Tahoma"/>
          <w:i/>
          <w:color w:val="000000" w:themeColor="text1"/>
        </w:rPr>
        <w:t>L</w:t>
      </w:r>
      <w:r w:rsidRPr="007D1CD9">
        <w:rPr>
          <w:rFonts w:ascii="Palatino Linotype" w:hAnsi="Palatino Linotype" w:cs="Tahoma"/>
          <w:i/>
          <w:color w:val="000000" w:themeColor="text1"/>
        </w:rPr>
        <w:t>ii</w:t>
      </w:r>
      <w:r w:rsidR="00A9603F" w:rsidRPr="007D1CD9">
        <w:rPr>
          <w:rFonts w:ascii="Palatino Linotype" w:hAnsi="Palatino Linotype" w:cs="Tahoma"/>
          <w:i/>
          <w:color w:val="000000" w:themeColor="text1"/>
        </w:rPr>
        <w:t>_</w:t>
      </w:r>
      <w:r w:rsidR="005034E5">
        <w:rPr>
          <w:rFonts w:ascii="Palatino Linotype" w:hAnsi="Palatino Linotype" w:cs="Tahoma"/>
          <w:i/>
          <w:color w:val="000000" w:themeColor="text1"/>
        </w:rPr>
        <w:t>a</w:t>
      </w:r>
      <w:r w:rsidR="00AA0AC9">
        <w:rPr>
          <w:rFonts w:ascii="Palatino Linotype" w:hAnsi="Palatino Linotype" w:cs="Tahoma"/>
          <w:i/>
          <w:color w:val="000000" w:themeColor="text1"/>
        </w:rPr>
        <w:t>/</w:t>
      </w:r>
      <w:r w:rsidRPr="007D1CD9">
        <w:rPr>
          <w:rFonts w:ascii="Palatino Linotype" w:hAnsi="Palatino Linotype" w:cs="Tahoma"/>
          <w:i/>
          <w:color w:val="000000" w:themeColor="text1"/>
        </w:rPr>
        <w:t>1.web; de igual</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forma para una </w:t>
      </w:r>
      <w:r w:rsidR="00A9603F" w:rsidRPr="007D1CD9">
        <w:rPr>
          <w:rFonts w:ascii="Palatino Linotype" w:hAnsi="Palatino Linotype" w:cs="Tahoma"/>
          <w:i/>
          <w:color w:val="000000" w:themeColor="text1"/>
        </w:rPr>
        <w:t>m</w:t>
      </w:r>
      <w:r w:rsidRPr="007D1CD9">
        <w:rPr>
          <w:rFonts w:ascii="Palatino Linotype" w:hAnsi="Palatino Linotype" w:cs="Tahoma"/>
          <w:i/>
          <w:color w:val="000000" w:themeColor="text1"/>
        </w:rPr>
        <w:t>ejor consulta puede visualizar el apartado de las obligaciones de Trasparencia de este</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Municipio en su rubro de contenido de las gacetas municipales a través de la liga del sitio de </w:t>
      </w:r>
      <w:r w:rsidRPr="007D1CD9">
        <w:rPr>
          <w:rFonts w:ascii="Palatino Linotype" w:hAnsi="Palatino Linotype" w:cs="Tahoma"/>
          <w:i/>
          <w:color w:val="000000" w:themeColor="text1"/>
        </w:rPr>
        <w:lastRenderedPageBreak/>
        <w:t>internet</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https://www.ipomex.or</w:t>
      </w:r>
      <w:r w:rsidR="005034E5">
        <w:rPr>
          <w:rFonts w:ascii="Palatino Linotype" w:hAnsi="Palatino Linotype" w:cs="Tahoma"/>
          <w:i/>
          <w:color w:val="000000" w:themeColor="text1"/>
        </w:rPr>
        <w:t>g</w:t>
      </w:r>
      <w:r w:rsidRPr="007D1CD9">
        <w:rPr>
          <w:rFonts w:ascii="Palatino Linotype" w:hAnsi="Palatino Linotype" w:cs="Tahoma"/>
          <w:i/>
          <w:color w:val="000000" w:themeColor="text1"/>
        </w:rPr>
        <w:t>.mx/ip</w:t>
      </w:r>
      <w:r w:rsidR="00A9603F" w:rsidRPr="007D1CD9">
        <w:rPr>
          <w:rFonts w:ascii="Palatino Linotype" w:hAnsi="Palatino Linotype" w:cs="Tahoma"/>
          <w:i/>
          <w:color w:val="000000" w:themeColor="text1"/>
        </w:rPr>
        <w:t>o3/lgt/indice/NICOLASROMERO/art_94_ii_</w:t>
      </w:r>
      <w:r w:rsidRPr="007D1CD9">
        <w:rPr>
          <w:rFonts w:ascii="Palatino Linotype" w:hAnsi="Palatino Linotype" w:cs="Tahoma"/>
          <w:i/>
          <w:color w:val="000000" w:themeColor="text1"/>
        </w:rPr>
        <w:t>a2.web. Así mismo y por lo que</w:t>
      </w:r>
      <w:r w:rsidR="00A9603F"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respecta a obras de alto impacto, a la fecha no se cuentan con las mismas.</w:t>
      </w:r>
    </w:p>
    <w:p w14:paraId="6B15C581" w14:textId="77777777" w:rsidR="00B61B06" w:rsidRPr="007D1CD9" w:rsidRDefault="00B61B06" w:rsidP="008C57A6">
      <w:pPr>
        <w:autoSpaceDE w:val="0"/>
        <w:autoSpaceDN w:val="0"/>
        <w:adjustRightInd w:val="0"/>
        <w:spacing w:line="360" w:lineRule="auto"/>
        <w:ind w:left="567" w:right="567"/>
        <w:jc w:val="both"/>
        <w:rPr>
          <w:rFonts w:ascii="Palatino Linotype" w:hAnsi="Palatino Linotype" w:cs="Tahoma"/>
          <w:i/>
          <w:color w:val="000000" w:themeColor="text1"/>
        </w:rPr>
      </w:pPr>
    </w:p>
    <w:p w14:paraId="43183C79" w14:textId="1112DC2F" w:rsidR="008C57A6" w:rsidRPr="007D1CD9" w:rsidRDefault="008C57A6" w:rsidP="008C57A6">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En cuanto al numeral, 2.- LISTADO DE OBRAS PÚBLICAS CONTRATADAS EN EL PERIODO QUE COMPRENDE</w:t>
      </w:r>
      <w:r w:rsidR="00B61B06"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DEL 01 DE ENERO DE 2019, AL 17 DE AGOSTO DE 2019. Se anexa informe emitido por el Jefe del</w:t>
      </w:r>
      <w:r w:rsidR="00B61B06"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Departamento de Const</w:t>
      </w:r>
      <w:r w:rsidR="00B61B06" w:rsidRPr="007D1CD9">
        <w:rPr>
          <w:rFonts w:ascii="Palatino Linotype" w:hAnsi="Palatino Linotype" w:cs="Tahoma"/>
          <w:i/>
          <w:color w:val="000000" w:themeColor="text1"/>
        </w:rPr>
        <w:t>rucción de Obras</w:t>
      </w:r>
      <w:r w:rsidRPr="007D1CD9">
        <w:rPr>
          <w:rFonts w:ascii="Palatino Linotype" w:hAnsi="Palatino Linotype" w:cs="Tahoma"/>
          <w:i/>
          <w:color w:val="000000" w:themeColor="text1"/>
        </w:rPr>
        <w:t xml:space="preserve"> en el cual se enuncian.</w:t>
      </w:r>
    </w:p>
    <w:p w14:paraId="13D4B8F7" w14:textId="77777777" w:rsidR="008C57A6" w:rsidRPr="007D1CD9" w:rsidRDefault="008C57A6" w:rsidP="00447875">
      <w:pPr>
        <w:autoSpaceDE w:val="0"/>
        <w:autoSpaceDN w:val="0"/>
        <w:adjustRightInd w:val="0"/>
        <w:spacing w:line="360" w:lineRule="auto"/>
        <w:ind w:left="567" w:right="567"/>
        <w:jc w:val="both"/>
        <w:rPr>
          <w:rFonts w:ascii="Palatino Linotype" w:hAnsi="Palatino Linotype" w:cs="Tahoma"/>
          <w:i/>
          <w:color w:val="000000" w:themeColor="text1"/>
        </w:rPr>
      </w:pPr>
    </w:p>
    <w:p w14:paraId="1B95B7AA" w14:textId="4A5021C0" w:rsidR="00B61B06" w:rsidRPr="007D1CD9" w:rsidRDefault="00B61B06" w:rsidP="00B61B06">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 xml:space="preserve">En lo correspondiente al numeral, 3.- TODA LA DOCUMENTACIÓN QUE JUSTIFIQUE LA CONTRATACIÓN (1.- MODALIDAD DE CONTRATACIÓN; II.- ORIGEN DE LOS RECURSOS, III.- PROCEDIMIENTO DE CONTRATACIÓN, DESDE INVITACIÓN O CONVOCATORIA, HASTA EL FALLO CORRESPONDIENTE; IV.- CONTRATO). Le informo que el Ayuntamiento de Nicolás Romero, dentro del portal de Información Pública Mexiquense que regula el Instituto de Transparencia, Acceso a la Información Pública y Protección de Datos Personales del Estado de México y Municipios, </w:t>
      </w:r>
      <w:r w:rsidRPr="007D1CD9">
        <w:rPr>
          <w:rFonts w:ascii="Palatino Linotype" w:hAnsi="Palatino Linotype" w:cs="Tahoma"/>
          <w:i/>
          <w:iCs/>
          <w:color w:val="000000" w:themeColor="text1"/>
        </w:rPr>
        <w:t>visible en</w:t>
      </w:r>
      <w:r w:rsidRPr="007D1CD9">
        <w:rPr>
          <w:rFonts w:ascii="Palatino Linotype" w:hAnsi="Palatino Linotype" w:cs="Tahoma"/>
          <w:i/>
          <w:color w:val="000000" w:themeColor="text1"/>
        </w:rPr>
        <w:t>, se encuentra Información Pública de Oficio Mexiquense, en el cual se puede observar las</w:t>
      </w:r>
      <w:r w:rsidR="0094373A"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diversas obligaciones y con dicha consulta en línea podrá visualizar y consultar los procedimientos de</w:t>
      </w:r>
      <w:r w:rsidR="0094373A"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adjudicación y contratación de las obras públicas así como </w:t>
      </w:r>
      <w:r w:rsidR="0094373A" w:rsidRPr="007D1CD9">
        <w:rPr>
          <w:rFonts w:ascii="Palatino Linotype" w:hAnsi="Palatino Linotype" w:cs="Tahoma"/>
          <w:i/>
          <w:color w:val="000000" w:themeColor="text1"/>
        </w:rPr>
        <w:t xml:space="preserve">el </w:t>
      </w:r>
      <w:r w:rsidRPr="007D1CD9">
        <w:rPr>
          <w:rFonts w:ascii="Palatino Linotype" w:hAnsi="Palatino Linotype" w:cs="Tahoma"/>
          <w:i/>
          <w:color w:val="000000" w:themeColor="text1"/>
        </w:rPr>
        <w:t>importe de los recursos públicos destinados para</w:t>
      </w:r>
      <w:r w:rsidR="0094373A"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cada obra pública. Por lo </w:t>
      </w:r>
      <w:r w:rsidR="0094373A" w:rsidRPr="007D1CD9">
        <w:rPr>
          <w:rFonts w:ascii="Palatino Linotype" w:hAnsi="Palatino Linotype" w:cs="Tahoma"/>
          <w:i/>
          <w:color w:val="000000" w:themeColor="text1"/>
        </w:rPr>
        <w:t>anterior</w:t>
      </w:r>
      <w:r w:rsidRPr="007D1CD9">
        <w:rPr>
          <w:rFonts w:ascii="Palatino Linotype" w:hAnsi="Palatino Linotype" w:cs="Tahoma"/>
          <w:i/>
          <w:color w:val="000000" w:themeColor="text1"/>
        </w:rPr>
        <w:t xml:space="preserve">, se </w:t>
      </w:r>
      <w:r w:rsidR="0094373A" w:rsidRPr="007D1CD9">
        <w:rPr>
          <w:rFonts w:ascii="Palatino Linotype" w:hAnsi="Palatino Linotype" w:cs="Tahoma"/>
          <w:i/>
          <w:color w:val="000000" w:themeColor="text1"/>
        </w:rPr>
        <w:t>cita</w:t>
      </w:r>
      <w:r w:rsidRPr="007D1CD9">
        <w:rPr>
          <w:rFonts w:ascii="Palatino Linotype" w:hAnsi="Palatino Linotype" w:cs="Tahoma"/>
          <w:i/>
          <w:color w:val="000000" w:themeColor="text1"/>
        </w:rPr>
        <w:t xml:space="preserve"> textualmente</w:t>
      </w:r>
      <w:r w:rsidR="0094373A" w:rsidRPr="007D1CD9">
        <w:rPr>
          <w:rFonts w:ascii="Palatino Linotype" w:hAnsi="Palatino Linotype" w:cs="Tahoma"/>
          <w:i/>
          <w:color w:val="000000" w:themeColor="text1"/>
        </w:rPr>
        <w:t>,</w:t>
      </w:r>
      <w:r w:rsidRPr="007D1CD9">
        <w:rPr>
          <w:rFonts w:ascii="Palatino Linotype" w:hAnsi="Palatino Linotype" w:cs="Tahoma"/>
          <w:i/>
          <w:color w:val="000000" w:themeColor="text1"/>
        </w:rPr>
        <w:t xml:space="preserve"> el link para su consulta </w:t>
      </w:r>
      <w:r w:rsidR="0094373A" w:rsidRPr="007D1CD9">
        <w:rPr>
          <w:rFonts w:ascii="Palatino Linotype" w:hAnsi="Palatino Linotype" w:cs="Tahoma"/>
          <w:i/>
          <w:color w:val="000000" w:themeColor="text1"/>
        </w:rPr>
        <w:t>a</w:t>
      </w:r>
      <w:r w:rsidRPr="007D1CD9">
        <w:rPr>
          <w:rFonts w:ascii="Palatino Linotype" w:hAnsi="Palatino Linotype" w:cs="Tahoma"/>
          <w:i/>
          <w:color w:val="000000" w:themeColor="text1"/>
        </w:rPr>
        <w:t xml:space="preserve"> través del sistema de</w:t>
      </w:r>
      <w:r w:rsidR="0094373A"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Información Pública </w:t>
      </w:r>
      <w:r w:rsidR="0094373A" w:rsidRPr="007D1CD9">
        <w:rPr>
          <w:rFonts w:ascii="Palatino Linotype" w:hAnsi="Palatino Linotype" w:cs="Tahoma"/>
          <w:i/>
          <w:color w:val="000000" w:themeColor="text1"/>
        </w:rPr>
        <w:t>de Oficio Mexiquense (IPOMEX)</w:t>
      </w:r>
      <w:r w:rsidRPr="007D1CD9">
        <w:rPr>
          <w:rFonts w:ascii="Palatino Linotype" w:hAnsi="Palatino Linotype" w:cs="Tahoma"/>
          <w:i/>
          <w:color w:val="000000" w:themeColor="text1"/>
        </w:rPr>
        <w:t>,</w:t>
      </w:r>
      <w:r w:rsidR="0094373A"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siendo el</w:t>
      </w:r>
      <w:r w:rsidR="0094373A" w:rsidRPr="007D1CD9">
        <w:rPr>
          <w:rFonts w:ascii="Palatino Linotype" w:hAnsi="Palatino Linotype" w:cs="Tahoma"/>
          <w:i/>
          <w:color w:val="000000" w:themeColor="text1"/>
        </w:rPr>
        <w:t xml:space="preserve"> https:</w:t>
      </w:r>
      <w:r w:rsidRPr="007D1CD9">
        <w:rPr>
          <w:rFonts w:ascii="Palatino Linotype" w:hAnsi="Palatino Linotype" w:cs="Tahoma"/>
          <w:i/>
          <w:color w:val="000000" w:themeColor="text1"/>
        </w:rPr>
        <w:t>//www.ipomex.org</w:t>
      </w:r>
      <w:r w:rsidR="0094373A" w:rsidRPr="007D1CD9">
        <w:rPr>
          <w:rFonts w:ascii="Palatino Linotype" w:hAnsi="Palatino Linotype" w:cs="Tahoma"/>
          <w:i/>
          <w:color w:val="000000" w:themeColor="text1"/>
        </w:rPr>
        <w:t>.</w:t>
      </w:r>
      <w:r w:rsidRPr="007D1CD9">
        <w:rPr>
          <w:rFonts w:ascii="Palatino Linotype" w:hAnsi="Palatino Linotype" w:cs="Tahoma"/>
          <w:i/>
          <w:color w:val="000000" w:themeColor="text1"/>
        </w:rPr>
        <w:t>mx/ip</w:t>
      </w:r>
      <w:r w:rsidR="0094373A" w:rsidRPr="007D1CD9">
        <w:rPr>
          <w:rFonts w:ascii="Palatino Linotype" w:hAnsi="Palatino Linotype" w:cs="Tahoma"/>
          <w:i/>
          <w:color w:val="000000" w:themeColor="text1"/>
        </w:rPr>
        <w:t>o3/lgt/i</w:t>
      </w:r>
      <w:r w:rsidRPr="007D1CD9">
        <w:rPr>
          <w:rFonts w:ascii="Palatino Linotype" w:hAnsi="Palatino Linotype" w:cs="Tahoma"/>
          <w:i/>
          <w:color w:val="000000" w:themeColor="text1"/>
        </w:rPr>
        <w:t>ndice/NICOL</w:t>
      </w:r>
      <w:r w:rsidR="0094373A" w:rsidRPr="007D1CD9">
        <w:rPr>
          <w:rFonts w:ascii="Palatino Linotype" w:hAnsi="Palatino Linotype" w:cs="Tahoma"/>
          <w:i/>
          <w:color w:val="000000" w:themeColor="text1"/>
        </w:rPr>
        <w:t>A</w:t>
      </w:r>
      <w:r w:rsidRPr="007D1CD9">
        <w:rPr>
          <w:rFonts w:ascii="Palatino Linotype" w:hAnsi="Palatino Linotype" w:cs="Tahoma"/>
          <w:i/>
          <w:color w:val="000000" w:themeColor="text1"/>
        </w:rPr>
        <w:t>SROMERO/art</w:t>
      </w:r>
      <w:r w:rsidR="0094373A" w:rsidRPr="007D1CD9">
        <w:rPr>
          <w:rFonts w:ascii="Palatino Linotype" w:hAnsi="Palatino Linotype" w:cs="Tahoma"/>
          <w:i/>
          <w:color w:val="000000" w:themeColor="text1"/>
        </w:rPr>
        <w:t>_</w:t>
      </w:r>
      <w:r w:rsidRPr="007D1CD9">
        <w:rPr>
          <w:rFonts w:ascii="Palatino Linotype" w:hAnsi="Palatino Linotype" w:cs="Tahoma"/>
          <w:i/>
          <w:color w:val="000000" w:themeColor="text1"/>
        </w:rPr>
        <w:t>92</w:t>
      </w:r>
      <w:r w:rsidR="0094373A" w:rsidRPr="007D1CD9">
        <w:rPr>
          <w:rFonts w:ascii="Palatino Linotype" w:hAnsi="Palatino Linotype" w:cs="Tahoma"/>
          <w:i/>
          <w:color w:val="000000" w:themeColor="text1"/>
        </w:rPr>
        <w:t>_</w:t>
      </w:r>
      <w:r w:rsidRPr="007D1CD9">
        <w:rPr>
          <w:rFonts w:ascii="Palatino Linotype" w:hAnsi="Palatino Linotype" w:cs="Tahoma"/>
          <w:i/>
          <w:color w:val="000000" w:themeColor="text1"/>
        </w:rPr>
        <w:t>xxix</w:t>
      </w:r>
      <w:r w:rsidR="0094373A" w:rsidRPr="007D1CD9">
        <w:rPr>
          <w:rFonts w:ascii="Palatino Linotype" w:hAnsi="Palatino Linotype" w:cs="Tahoma"/>
          <w:i/>
          <w:color w:val="000000" w:themeColor="text1"/>
        </w:rPr>
        <w:t>_</w:t>
      </w:r>
      <w:r w:rsidRPr="007D1CD9">
        <w:rPr>
          <w:rFonts w:ascii="Palatino Linotype" w:hAnsi="Palatino Linotype" w:cs="Tahoma"/>
          <w:i/>
          <w:color w:val="000000" w:themeColor="text1"/>
        </w:rPr>
        <w:t>a.web.</w:t>
      </w:r>
    </w:p>
    <w:p w14:paraId="62C88863" w14:textId="77777777" w:rsidR="008C57A6" w:rsidRPr="007D1CD9" w:rsidRDefault="008C57A6" w:rsidP="00447875">
      <w:pPr>
        <w:autoSpaceDE w:val="0"/>
        <w:autoSpaceDN w:val="0"/>
        <w:adjustRightInd w:val="0"/>
        <w:spacing w:line="360" w:lineRule="auto"/>
        <w:ind w:left="567" w:right="567"/>
        <w:jc w:val="both"/>
        <w:rPr>
          <w:rFonts w:ascii="Palatino Linotype" w:hAnsi="Palatino Linotype" w:cs="Tahoma"/>
          <w:i/>
          <w:color w:val="000000" w:themeColor="text1"/>
        </w:rPr>
      </w:pPr>
    </w:p>
    <w:p w14:paraId="28DFAC96" w14:textId="3E1C2820" w:rsidR="008C57A6" w:rsidRPr="007D1CD9" w:rsidRDefault="00302243" w:rsidP="00302243">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eastAsiaTheme="minorHAnsi" w:hAnsi="Palatino Linotype" w:cs="Arial"/>
          <w:i/>
          <w:color w:val="515252"/>
          <w:lang w:eastAsia="en-US"/>
        </w:rPr>
        <w:t xml:space="preserve">En relación al </w:t>
      </w:r>
      <w:r w:rsidRPr="007D1CD9">
        <w:rPr>
          <w:rFonts w:ascii="Palatino Linotype" w:eastAsiaTheme="minorHAnsi" w:hAnsi="Palatino Linotype" w:cs="Arial"/>
          <w:i/>
          <w:color w:val="414242"/>
          <w:lang w:eastAsia="en-US"/>
        </w:rPr>
        <w:t>numeral</w:t>
      </w:r>
      <w:r w:rsidRPr="007D1CD9">
        <w:rPr>
          <w:rFonts w:ascii="Palatino Linotype" w:eastAsiaTheme="minorHAnsi" w:hAnsi="Palatino Linotype" w:cs="Arial"/>
          <w:i/>
          <w:color w:val="646464"/>
          <w:lang w:eastAsia="en-US"/>
        </w:rPr>
        <w:t xml:space="preserve">, </w:t>
      </w:r>
      <w:r w:rsidRPr="007D1CD9">
        <w:rPr>
          <w:rFonts w:ascii="Palatino Linotype" w:hAnsi="Palatino Linotype" w:cs="Tahoma"/>
          <w:bCs/>
          <w:i/>
          <w:color w:val="000000" w:themeColor="text1"/>
        </w:rPr>
        <w:t xml:space="preserve">4.- SOBRE LAS CONSTANCIAS DE CADA EXPEDIENTE DE OBRA PÚBLICA: A.- CONSTANCIA DE QUE LAS CONTRATISTAS HAYAN ENTREGADO LAS FINANZAS CORRESPONDIENTES. B.- DIGITALIZACIÓN DE LAS FIANZAS. C.- CONSTANCIA DE HABER ENTREGADO A LA CONTRATISTA EL LUGAR DE LOS TRABAJOS. D.- BITÁCORA DE OBRA. E.- DESIGNACIÓN Y ACEPTACIÓN DE RESIDENTE DE OBRA. </w:t>
      </w:r>
      <w:r w:rsidRPr="007D1CD9">
        <w:rPr>
          <w:rFonts w:ascii="Palatino Linotype" w:hAnsi="Palatino Linotype" w:cs="Tahoma"/>
          <w:i/>
          <w:color w:val="000000" w:themeColor="text1"/>
        </w:rPr>
        <w:t xml:space="preserve">Se adjunta la información solicita, siendo las fianzas otorgadas para garantizar el debido cumplimiento del contrato de obra pública así como la correcta inversión del </w:t>
      </w:r>
      <w:r w:rsidRPr="007D1CD9">
        <w:rPr>
          <w:rFonts w:ascii="Palatino Linotype" w:hAnsi="Palatino Linotype" w:cs="Tahoma"/>
          <w:i/>
          <w:color w:val="000000" w:themeColor="text1"/>
        </w:rPr>
        <w:lastRenderedPageBreak/>
        <w:t xml:space="preserve">anticipo otorgado para la ejecución de los trabajos, para atender los puntos A y B, la </w:t>
      </w:r>
      <w:r w:rsidR="00BA41D9" w:rsidRPr="007D1CD9">
        <w:rPr>
          <w:rFonts w:ascii="Palatino Linotype" w:hAnsi="Palatino Linotype" w:cs="Tahoma"/>
          <w:i/>
          <w:color w:val="000000" w:themeColor="text1"/>
        </w:rPr>
        <w:t>cual se entrega en versión</w:t>
      </w:r>
      <w:r w:rsidRPr="007D1CD9">
        <w:rPr>
          <w:rFonts w:ascii="Palatino Linotype" w:hAnsi="Palatino Linotype" w:cs="Tahoma"/>
          <w:i/>
          <w:color w:val="000000" w:themeColor="text1"/>
        </w:rPr>
        <w:t xml:space="preserve"> pública</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para que se apruebe la clasificación por</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confidencialidad de la información contendida en las </w:t>
      </w:r>
      <w:r w:rsidR="00BA41D9" w:rsidRPr="007D1CD9">
        <w:rPr>
          <w:rFonts w:ascii="Palatino Linotype" w:hAnsi="Palatino Linotype" w:cs="Tahoma"/>
          <w:i/>
          <w:color w:val="000000" w:themeColor="text1"/>
        </w:rPr>
        <w:t xml:space="preserve">mismas </w:t>
      </w:r>
      <w:r w:rsidRPr="007D1CD9">
        <w:rPr>
          <w:rFonts w:ascii="Palatino Linotype" w:hAnsi="Palatino Linotype" w:cs="Tahoma"/>
          <w:i/>
          <w:color w:val="000000" w:themeColor="text1"/>
        </w:rPr>
        <w:t xml:space="preserve">siendo el </w:t>
      </w:r>
      <w:r w:rsidR="00BA41D9" w:rsidRPr="007D1CD9">
        <w:rPr>
          <w:rFonts w:ascii="Palatino Linotype" w:hAnsi="Palatino Linotype" w:cs="Tahoma"/>
          <w:i/>
          <w:iCs/>
          <w:color w:val="000000" w:themeColor="text1"/>
        </w:rPr>
        <w:t>código de</w:t>
      </w:r>
      <w:r w:rsidRPr="007D1CD9">
        <w:rPr>
          <w:rFonts w:ascii="Palatino Linotype" w:hAnsi="Palatino Linotype" w:cs="Tahoma"/>
          <w:i/>
          <w:iCs/>
          <w:color w:val="000000" w:themeColor="text1"/>
        </w:rPr>
        <w:t xml:space="preserve"> seguridad; firma y/o sello</w:t>
      </w:r>
      <w:r w:rsidR="00BA41D9" w:rsidRPr="007D1CD9">
        <w:rPr>
          <w:rFonts w:ascii="Palatino Linotype" w:hAnsi="Palatino Linotype" w:cs="Tahoma"/>
          <w:i/>
          <w:iCs/>
          <w:color w:val="000000" w:themeColor="text1"/>
        </w:rPr>
        <w:t xml:space="preserve"> </w:t>
      </w:r>
      <w:r w:rsidRPr="007D1CD9">
        <w:rPr>
          <w:rFonts w:ascii="Palatino Linotype" w:hAnsi="Palatino Linotype" w:cs="Tahoma"/>
          <w:i/>
          <w:iCs/>
          <w:color w:val="000000" w:themeColor="text1"/>
        </w:rPr>
        <w:t xml:space="preserve">digital,· Registro federal de </w:t>
      </w:r>
      <w:r w:rsidR="00BA41D9" w:rsidRPr="007D1CD9">
        <w:rPr>
          <w:rFonts w:ascii="Palatino Linotype" w:hAnsi="Palatino Linotype" w:cs="Tahoma"/>
          <w:i/>
          <w:iCs/>
          <w:color w:val="000000" w:themeColor="text1"/>
        </w:rPr>
        <w:t>Contribuyentes y d</w:t>
      </w:r>
      <w:r w:rsidRPr="007D1CD9">
        <w:rPr>
          <w:rFonts w:ascii="Palatino Linotype" w:hAnsi="Palatino Linotype" w:cs="Tahoma"/>
          <w:i/>
          <w:iCs/>
          <w:color w:val="000000" w:themeColor="text1"/>
        </w:rPr>
        <w:t>omicili</w:t>
      </w:r>
      <w:r w:rsidR="00BA41D9" w:rsidRPr="007D1CD9">
        <w:rPr>
          <w:rFonts w:ascii="Palatino Linotype" w:hAnsi="Palatino Linotype" w:cs="Tahoma"/>
          <w:i/>
          <w:iCs/>
          <w:color w:val="000000" w:themeColor="text1"/>
        </w:rPr>
        <w:t>o</w:t>
      </w:r>
      <w:r w:rsidRPr="007D1CD9">
        <w:rPr>
          <w:rFonts w:ascii="Palatino Linotype" w:hAnsi="Palatino Linotype" w:cs="Tahoma"/>
          <w:i/>
          <w:iCs/>
          <w:color w:val="000000" w:themeColor="text1"/>
        </w:rPr>
        <w:t xml:space="preserve"> de la empresa; número de fianza y su folio. </w:t>
      </w:r>
      <w:r w:rsidRPr="007D1CD9">
        <w:rPr>
          <w:rFonts w:ascii="Palatino Linotype" w:hAnsi="Palatino Linotype" w:cs="Tahoma"/>
          <w:i/>
          <w:color w:val="000000" w:themeColor="text1"/>
        </w:rPr>
        <w:t>De igual</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forma se entrega en versión pública </w:t>
      </w:r>
      <w:r w:rsidR="00BA41D9" w:rsidRPr="007D1CD9">
        <w:rPr>
          <w:rFonts w:ascii="Palatino Linotype" w:hAnsi="Palatino Linotype" w:cs="Tahoma"/>
          <w:i/>
          <w:color w:val="000000" w:themeColor="text1"/>
        </w:rPr>
        <w:t>para que se</w:t>
      </w:r>
      <w:r w:rsidRPr="007D1CD9">
        <w:rPr>
          <w:rFonts w:ascii="Palatino Linotype" w:hAnsi="Palatino Linotype" w:cs="Tahoma"/>
          <w:i/>
          <w:color w:val="000000" w:themeColor="text1"/>
        </w:rPr>
        <w:t xml:space="preserve"> apruebe la clasificación por confidencialidad de la información</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contendida en las constancias de haber entregado el sitio de los trabajos de obra en lo que corresponde a la</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firma de acuse de </w:t>
      </w:r>
      <w:r w:rsidR="00BA41D9" w:rsidRPr="007D1CD9">
        <w:rPr>
          <w:rFonts w:ascii="Palatino Linotype" w:hAnsi="Palatino Linotype" w:cs="Tahoma"/>
          <w:i/>
          <w:color w:val="000000" w:themeColor="text1"/>
        </w:rPr>
        <w:t>recibido</w:t>
      </w:r>
      <w:r w:rsidRPr="007D1CD9">
        <w:rPr>
          <w:rFonts w:ascii="Palatino Linotype" w:hAnsi="Palatino Linotype" w:cs="Tahoma"/>
          <w:i/>
          <w:color w:val="000000" w:themeColor="text1"/>
        </w:rPr>
        <w:t xml:space="preserve"> por parte del personal de las empresas contratistas; y por último de igual forma se</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entrega la designación con firma de acuse de aceptación de los residentes de las obras públicas. Lo anterior se</w:t>
      </w:r>
      <w:r w:rsidR="00BA41D9"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adjunta al presente de manera digital en CD</w:t>
      </w:r>
      <w:r w:rsidR="00BA41D9" w:rsidRPr="007D1CD9">
        <w:rPr>
          <w:rFonts w:ascii="Palatino Linotype" w:hAnsi="Palatino Linotype" w:cs="Tahoma"/>
          <w:i/>
          <w:color w:val="000000" w:themeColor="text1"/>
        </w:rPr>
        <w:t>.</w:t>
      </w:r>
    </w:p>
    <w:p w14:paraId="6A50F036" w14:textId="77777777" w:rsidR="00BA41D9" w:rsidRPr="007D1CD9" w:rsidRDefault="00BA41D9" w:rsidP="00302243">
      <w:pPr>
        <w:autoSpaceDE w:val="0"/>
        <w:autoSpaceDN w:val="0"/>
        <w:adjustRightInd w:val="0"/>
        <w:spacing w:line="360" w:lineRule="auto"/>
        <w:ind w:left="567" w:right="567"/>
        <w:jc w:val="both"/>
        <w:rPr>
          <w:rFonts w:ascii="Palatino Linotype" w:hAnsi="Palatino Linotype" w:cs="Tahoma"/>
          <w:i/>
          <w:color w:val="000000" w:themeColor="text1"/>
        </w:rPr>
      </w:pPr>
    </w:p>
    <w:p w14:paraId="6020C465" w14:textId="2781CDCD" w:rsidR="00BA41D9" w:rsidRPr="007D1CD9" w:rsidRDefault="00BA41D9" w:rsidP="00BA41D9">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 xml:space="preserve">Por </w:t>
      </w:r>
      <w:r w:rsidR="00C24D38" w:rsidRPr="007D1CD9">
        <w:rPr>
          <w:rFonts w:ascii="Palatino Linotype" w:hAnsi="Palatino Linotype" w:cs="Tahoma"/>
          <w:i/>
          <w:color w:val="000000" w:themeColor="text1"/>
        </w:rPr>
        <w:t>lo que enunc</w:t>
      </w:r>
      <w:r w:rsidRPr="007D1CD9">
        <w:rPr>
          <w:rFonts w:ascii="Palatino Linotype" w:hAnsi="Palatino Linotype" w:cs="Tahoma"/>
          <w:i/>
          <w:color w:val="000000" w:themeColor="text1"/>
        </w:rPr>
        <w:t>ia</w:t>
      </w:r>
      <w:r w:rsidR="00B23C85" w:rsidRPr="007D1CD9">
        <w:rPr>
          <w:rFonts w:ascii="Palatino Linotype" w:hAnsi="Palatino Linotype" w:cs="Tahoma"/>
          <w:i/>
          <w:color w:val="000000" w:themeColor="text1"/>
        </w:rPr>
        <w:t>,</w:t>
      </w:r>
      <w:r w:rsidRPr="007D1CD9">
        <w:rPr>
          <w:rFonts w:ascii="Palatino Linotype" w:hAnsi="Palatino Linotype" w:cs="Tahoma"/>
          <w:i/>
          <w:color w:val="000000" w:themeColor="text1"/>
        </w:rPr>
        <w:t xml:space="preserve"> el </w:t>
      </w:r>
      <w:r w:rsidR="00B23C85" w:rsidRPr="007D1CD9">
        <w:rPr>
          <w:rFonts w:ascii="Palatino Linotype" w:hAnsi="Palatino Linotype" w:cs="Tahoma"/>
          <w:i/>
          <w:color w:val="000000" w:themeColor="text1"/>
        </w:rPr>
        <w:t>numeral</w:t>
      </w:r>
      <w:r w:rsidRPr="007D1CD9">
        <w:rPr>
          <w:rFonts w:ascii="Palatino Linotype" w:hAnsi="Palatino Linotype" w:cs="Tahoma"/>
          <w:i/>
          <w:color w:val="000000" w:themeColor="text1"/>
        </w:rPr>
        <w:t>, 5.- INFORME DE AVANCE (PORCENTAJE) EN LA EJECUCIÓN DE LA OBRA</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PÚBLICA. </w:t>
      </w:r>
      <w:r w:rsidR="00B23C85" w:rsidRPr="007D1CD9">
        <w:rPr>
          <w:rFonts w:ascii="Palatino Linotype" w:hAnsi="Palatino Linotype" w:cs="Tahoma"/>
          <w:i/>
          <w:color w:val="000000" w:themeColor="text1"/>
        </w:rPr>
        <w:t>Se anexa</w:t>
      </w:r>
      <w:r w:rsidRPr="007D1CD9">
        <w:rPr>
          <w:rFonts w:ascii="Palatino Linotype" w:hAnsi="Palatino Linotype" w:cs="Tahoma"/>
          <w:i/>
          <w:color w:val="000000" w:themeColor="text1"/>
        </w:rPr>
        <w:t xml:space="preserve"> informe emitido por el Jefe del Departamento de Construcción de Obras</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en </w:t>
      </w:r>
      <w:r w:rsidR="00B23C85" w:rsidRPr="007D1CD9">
        <w:rPr>
          <w:rFonts w:ascii="Palatino Linotype" w:hAnsi="Palatino Linotype" w:cs="Tahoma"/>
          <w:i/>
          <w:color w:val="000000" w:themeColor="text1"/>
        </w:rPr>
        <w:t>el</w:t>
      </w:r>
      <w:r w:rsidRPr="007D1CD9">
        <w:rPr>
          <w:rFonts w:ascii="Palatino Linotype" w:hAnsi="Palatino Linotype" w:cs="Tahoma"/>
          <w:i/>
          <w:color w:val="000000" w:themeColor="text1"/>
        </w:rPr>
        <w:t xml:space="preserve"> cual se</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observa el porcentaje de avance.</w:t>
      </w:r>
    </w:p>
    <w:p w14:paraId="39C101A6" w14:textId="77777777" w:rsidR="00B23C85" w:rsidRPr="007D1CD9" w:rsidRDefault="00B23C85" w:rsidP="00BA41D9">
      <w:pPr>
        <w:autoSpaceDE w:val="0"/>
        <w:autoSpaceDN w:val="0"/>
        <w:adjustRightInd w:val="0"/>
        <w:spacing w:line="360" w:lineRule="auto"/>
        <w:ind w:left="567" w:right="567"/>
        <w:jc w:val="both"/>
        <w:rPr>
          <w:rFonts w:ascii="Palatino Linotype" w:hAnsi="Palatino Linotype" w:cs="Tahoma"/>
          <w:i/>
          <w:color w:val="000000" w:themeColor="text1"/>
        </w:rPr>
      </w:pPr>
    </w:p>
    <w:p w14:paraId="4F39C014" w14:textId="77777777" w:rsidR="00B23C85" w:rsidRPr="007D1CD9" w:rsidRDefault="00BA41D9" w:rsidP="00BA41D9">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 xml:space="preserve">Al respecto del numeral, 6.- EN CASO DE ATRASO, LAS </w:t>
      </w:r>
      <w:r w:rsidR="00B23C85" w:rsidRPr="007D1CD9">
        <w:rPr>
          <w:rFonts w:ascii="Palatino Linotype" w:hAnsi="Palatino Linotype" w:cs="Tahoma"/>
          <w:i/>
          <w:color w:val="000000" w:themeColor="text1"/>
        </w:rPr>
        <w:t>ACCIONES</w:t>
      </w:r>
      <w:r w:rsidRPr="007D1CD9">
        <w:rPr>
          <w:rFonts w:ascii="Palatino Linotype" w:hAnsi="Palatino Linotype" w:cs="Tahoma"/>
          <w:i/>
          <w:color w:val="000000" w:themeColor="text1"/>
        </w:rPr>
        <w:t xml:space="preserve"> IMPLEMENTADAS POR LA AUTORIDAD</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COMPETENTE. A la fecha las obras </w:t>
      </w:r>
      <w:r w:rsidR="00B23C85" w:rsidRPr="007D1CD9">
        <w:rPr>
          <w:rFonts w:ascii="Palatino Linotype" w:hAnsi="Palatino Linotype" w:cs="Tahoma"/>
          <w:i/>
          <w:color w:val="000000" w:themeColor="text1"/>
        </w:rPr>
        <w:t>públicas</w:t>
      </w:r>
      <w:r w:rsidRPr="007D1CD9">
        <w:rPr>
          <w:rFonts w:ascii="Palatino Linotype" w:hAnsi="Palatino Linotype" w:cs="Tahoma"/>
          <w:i/>
          <w:color w:val="000000" w:themeColor="text1"/>
        </w:rPr>
        <w:t xml:space="preserve"> contratadas se encuentran dentro de los </w:t>
      </w:r>
      <w:r w:rsidR="00B23C85" w:rsidRPr="007D1CD9">
        <w:rPr>
          <w:rFonts w:ascii="Palatino Linotype" w:hAnsi="Palatino Linotype" w:cs="Tahoma"/>
          <w:i/>
          <w:color w:val="000000" w:themeColor="text1"/>
        </w:rPr>
        <w:t xml:space="preserve">periodos </w:t>
      </w:r>
      <w:r w:rsidRPr="007D1CD9">
        <w:rPr>
          <w:rFonts w:ascii="Palatino Linotype" w:hAnsi="Palatino Linotype" w:cs="Tahoma"/>
          <w:i/>
          <w:color w:val="000000" w:themeColor="text1"/>
        </w:rPr>
        <w:t>de e</w:t>
      </w:r>
      <w:r w:rsidR="00B23C85" w:rsidRPr="007D1CD9">
        <w:rPr>
          <w:rFonts w:ascii="Palatino Linotype" w:hAnsi="Palatino Linotype" w:cs="Tahoma"/>
          <w:i/>
          <w:color w:val="000000" w:themeColor="text1"/>
        </w:rPr>
        <w:t>j</w:t>
      </w:r>
      <w:r w:rsidRPr="007D1CD9">
        <w:rPr>
          <w:rFonts w:ascii="Palatino Linotype" w:hAnsi="Palatino Linotype" w:cs="Tahoma"/>
          <w:i/>
          <w:color w:val="000000" w:themeColor="text1"/>
        </w:rPr>
        <w:t>ecución</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las que se encuentran terminadas culminaron los trabajos dentro del mismo.</w:t>
      </w:r>
      <w:r w:rsidR="00B23C85" w:rsidRPr="007D1CD9">
        <w:rPr>
          <w:rFonts w:ascii="Palatino Linotype" w:hAnsi="Palatino Linotype" w:cs="Tahoma"/>
          <w:i/>
          <w:color w:val="000000" w:themeColor="text1"/>
        </w:rPr>
        <w:t xml:space="preserve"> </w:t>
      </w:r>
    </w:p>
    <w:p w14:paraId="6187EDD3" w14:textId="77777777" w:rsidR="00B23C85" w:rsidRPr="007D1CD9" w:rsidRDefault="00B23C85" w:rsidP="00BA41D9">
      <w:pPr>
        <w:autoSpaceDE w:val="0"/>
        <w:autoSpaceDN w:val="0"/>
        <w:adjustRightInd w:val="0"/>
        <w:spacing w:line="360" w:lineRule="auto"/>
        <w:ind w:left="567" w:right="567"/>
        <w:jc w:val="both"/>
        <w:rPr>
          <w:rFonts w:ascii="Palatino Linotype" w:hAnsi="Palatino Linotype" w:cs="Tahoma"/>
          <w:i/>
          <w:color w:val="000000" w:themeColor="text1"/>
        </w:rPr>
      </w:pPr>
    </w:p>
    <w:p w14:paraId="614650CD" w14:textId="430EE8AA" w:rsidR="00BA41D9" w:rsidRPr="007D1CD9" w:rsidRDefault="00BA41D9" w:rsidP="00BA41D9">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Al respecto del numeral, 7.- PERIODOS DE EJECUCIÓN DE CADA OBRA PÚBLICA. Se anexa en forma di</w:t>
      </w:r>
      <w:r w:rsidR="00B23C85" w:rsidRPr="007D1CD9">
        <w:rPr>
          <w:rFonts w:ascii="Palatino Linotype" w:hAnsi="Palatino Linotype" w:cs="Tahoma"/>
          <w:i/>
          <w:color w:val="000000" w:themeColor="text1"/>
        </w:rPr>
        <w:t>g</w:t>
      </w:r>
      <w:r w:rsidRPr="007D1CD9">
        <w:rPr>
          <w:rFonts w:ascii="Palatino Linotype" w:hAnsi="Palatino Linotype" w:cs="Tahoma"/>
          <w:i/>
          <w:color w:val="000000" w:themeColor="text1"/>
        </w:rPr>
        <w:t>it</w:t>
      </w:r>
      <w:r w:rsidR="00B23C85" w:rsidRPr="007D1CD9">
        <w:rPr>
          <w:rFonts w:ascii="Palatino Linotype" w:hAnsi="Palatino Linotype" w:cs="Tahoma"/>
          <w:i/>
          <w:color w:val="000000" w:themeColor="text1"/>
        </w:rPr>
        <w:t xml:space="preserve">al </w:t>
      </w:r>
      <w:r w:rsidRPr="007D1CD9">
        <w:rPr>
          <w:rFonts w:ascii="Palatino Linotype" w:hAnsi="Palatino Linotype" w:cs="Tahoma"/>
          <w:i/>
          <w:color w:val="000000" w:themeColor="text1"/>
        </w:rPr>
        <w:t>en el CD informe emitido por el Jefe del Departamento de Construcción de Obras, en el cual se observa el</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periodo de ejecución de cada obra pública.</w:t>
      </w:r>
    </w:p>
    <w:p w14:paraId="2E00A770" w14:textId="77777777" w:rsidR="00B23C85" w:rsidRPr="007D1CD9" w:rsidRDefault="00B23C85" w:rsidP="00BA41D9">
      <w:pPr>
        <w:autoSpaceDE w:val="0"/>
        <w:autoSpaceDN w:val="0"/>
        <w:adjustRightInd w:val="0"/>
        <w:spacing w:line="360" w:lineRule="auto"/>
        <w:ind w:left="567" w:right="567"/>
        <w:jc w:val="both"/>
        <w:rPr>
          <w:rFonts w:ascii="Palatino Linotype" w:hAnsi="Palatino Linotype" w:cs="Tahoma"/>
          <w:i/>
          <w:color w:val="000000" w:themeColor="text1"/>
        </w:rPr>
      </w:pPr>
    </w:p>
    <w:p w14:paraId="593C2BAA" w14:textId="4B0192B2" w:rsidR="00BA41D9" w:rsidRPr="007D1CD9" w:rsidRDefault="00BA41D9" w:rsidP="00B23C85">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Por lo que compete al numeral, 8.- OBRAS A EJECUTARSE CON RECURSOS FEFOM 2019 Y FISM 2019. Se</w:t>
      </w:r>
      <w:r w:rsidR="00B23C85"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anexa en forma digital en el CD informe emitido por el Jefe del Departamento de Construcci</w:t>
      </w:r>
      <w:r w:rsidR="00B23C85" w:rsidRPr="007D1CD9">
        <w:rPr>
          <w:rFonts w:ascii="Palatino Linotype" w:hAnsi="Palatino Linotype" w:cs="Tahoma"/>
          <w:i/>
          <w:color w:val="000000" w:themeColor="text1"/>
        </w:rPr>
        <w:t>ón de Obras,</w:t>
      </w:r>
      <w:r w:rsidRPr="007D1CD9">
        <w:rPr>
          <w:rFonts w:ascii="Palatino Linotype" w:hAnsi="Palatino Linotype" w:cs="Tahoma"/>
          <w:i/>
          <w:color w:val="000000" w:themeColor="text1"/>
        </w:rPr>
        <w:t xml:space="preserve"> en el</w:t>
      </w:r>
      <w:r w:rsidR="00B23C85" w:rsidRPr="007D1CD9">
        <w:rPr>
          <w:rFonts w:ascii="Palatino Linotype" w:hAnsi="Palatino Linotype" w:cs="Tahoma"/>
          <w:i/>
          <w:color w:val="000000" w:themeColor="text1"/>
        </w:rPr>
        <w:t xml:space="preserve"> cual se observa las obras que se encuentran ejecutando al recurso FISMDF y por lo que corresponde al recurso FEFOM a la fecha no hay obras públicas en concurso o por ejecutarse.</w:t>
      </w:r>
    </w:p>
    <w:p w14:paraId="74640301" w14:textId="77777777" w:rsidR="00BA41D9" w:rsidRPr="007D1CD9" w:rsidRDefault="00BA41D9" w:rsidP="00302243">
      <w:pPr>
        <w:autoSpaceDE w:val="0"/>
        <w:autoSpaceDN w:val="0"/>
        <w:adjustRightInd w:val="0"/>
        <w:spacing w:line="360" w:lineRule="auto"/>
        <w:ind w:left="567" w:right="567"/>
        <w:jc w:val="both"/>
        <w:rPr>
          <w:rFonts w:ascii="Palatino Linotype" w:hAnsi="Palatino Linotype" w:cs="Tahoma"/>
          <w:i/>
          <w:color w:val="000000" w:themeColor="text1"/>
        </w:rPr>
      </w:pPr>
    </w:p>
    <w:p w14:paraId="0A37121D" w14:textId="04E7FF63" w:rsidR="00B23C85" w:rsidRPr="007D1CD9" w:rsidRDefault="00B23C85" w:rsidP="00B23C85">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lastRenderedPageBreak/>
        <w:t>Por último y en referencia al numeral, 9.- LISTADO DEL PERSONAL QUE LABORA EN LA DIRECCIÓN DE OBRAS PÚBLICAS (O DEPENDENCIA ANÁLOGA QUE EJERZA LAS FACULTADES CONTENIDAS EN EL ARTÍCULO 96 BIS DE LA LEY ORGÁNICA MUNICIPAL DEL ESTADO DE MÉXICO), PRECISANDO NOMBRE, CARGO, SUELDO</w:t>
      </w:r>
    </w:p>
    <w:p w14:paraId="16659DEB" w14:textId="10995EEE" w:rsidR="00B23C85" w:rsidRPr="007D1CD9" w:rsidRDefault="00B23C85" w:rsidP="00B23C85">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 xml:space="preserve">NETO MENSUAL, FUNCIONES, ACTIVIDADES Y ATRIBUCIONES. Al respecto esta Dirección no es la autoridad competente para proporcionar la información aludida ya que </w:t>
      </w:r>
      <w:r w:rsidR="002D3797" w:rsidRPr="007D1CD9">
        <w:rPr>
          <w:rFonts w:ascii="Palatino Linotype" w:hAnsi="Palatino Linotype" w:cs="Tahoma"/>
          <w:i/>
          <w:color w:val="000000" w:themeColor="text1"/>
        </w:rPr>
        <w:t xml:space="preserve">obra en los archivo de la Dirección de </w:t>
      </w:r>
      <w:r w:rsidRPr="007D1CD9">
        <w:rPr>
          <w:rFonts w:ascii="Palatino Linotype" w:hAnsi="Palatino Linotype" w:cs="Tahoma"/>
          <w:i/>
          <w:color w:val="000000" w:themeColor="text1"/>
        </w:rPr>
        <w:t xml:space="preserve">Administración; sin embargo a </w:t>
      </w:r>
      <w:r w:rsidR="002D3797" w:rsidRPr="007D1CD9">
        <w:rPr>
          <w:rFonts w:ascii="Palatino Linotype" w:hAnsi="Palatino Linotype" w:cs="Tahoma"/>
          <w:i/>
          <w:color w:val="000000" w:themeColor="text1"/>
        </w:rPr>
        <w:t>e</w:t>
      </w:r>
      <w:r w:rsidRPr="007D1CD9">
        <w:rPr>
          <w:rFonts w:ascii="Palatino Linotype" w:hAnsi="Palatino Linotype" w:cs="Tahoma"/>
          <w:i/>
          <w:color w:val="000000" w:themeColor="text1"/>
        </w:rPr>
        <w:t xml:space="preserve">fecto de privilegiar la </w:t>
      </w:r>
      <w:r w:rsidR="002D3797" w:rsidRPr="007D1CD9">
        <w:rPr>
          <w:rFonts w:ascii="Palatino Linotype" w:hAnsi="Palatino Linotype" w:cs="Tahoma"/>
          <w:i/>
          <w:color w:val="000000" w:themeColor="text1"/>
        </w:rPr>
        <w:t>transparencia proactiva</w:t>
      </w:r>
      <w:r w:rsidRPr="007D1CD9">
        <w:rPr>
          <w:rFonts w:ascii="Palatino Linotype" w:hAnsi="Palatino Linotype" w:cs="Tahoma"/>
          <w:i/>
          <w:color w:val="000000" w:themeColor="text1"/>
        </w:rPr>
        <w:t xml:space="preserve"> </w:t>
      </w:r>
      <w:r w:rsidR="002D3797" w:rsidRPr="007D1CD9">
        <w:rPr>
          <w:rFonts w:ascii="Palatino Linotype" w:hAnsi="Palatino Linotype" w:cs="Tahoma"/>
          <w:i/>
          <w:color w:val="000000" w:themeColor="text1"/>
        </w:rPr>
        <w:t>se hace de su</w:t>
      </w:r>
      <w:r w:rsidRPr="007D1CD9">
        <w:rPr>
          <w:rFonts w:ascii="Palatino Linotype" w:hAnsi="Palatino Linotype" w:cs="Tahoma"/>
          <w:i/>
          <w:color w:val="000000" w:themeColor="text1"/>
        </w:rPr>
        <w:t xml:space="preserve"> conocimiento que</w:t>
      </w:r>
      <w:r w:rsidR="002D3797" w:rsidRPr="007D1CD9">
        <w:rPr>
          <w:rFonts w:ascii="Palatino Linotype" w:hAnsi="Palatino Linotype" w:cs="Tahoma"/>
          <w:i/>
          <w:color w:val="000000" w:themeColor="text1"/>
        </w:rPr>
        <w:t xml:space="preserve"> el Ayuntamiento</w:t>
      </w:r>
      <w:r w:rsidRPr="007D1CD9">
        <w:rPr>
          <w:rFonts w:ascii="Palatino Linotype" w:hAnsi="Palatino Linotype" w:cs="Tahoma"/>
          <w:i/>
          <w:color w:val="000000" w:themeColor="text1"/>
        </w:rPr>
        <w:t xml:space="preserve"> de Nicolás Romero, dentro del portal de Información </w:t>
      </w:r>
      <w:r w:rsidR="002D3797" w:rsidRPr="007D1CD9">
        <w:rPr>
          <w:rFonts w:ascii="Palatino Linotype" w:hAnsi="Palatino Linotype" w:cs="Tahoma"/>
          <w:i/>
          <w:color w:val="000000" w:themeColor="text1"/>
        </w:rPr>
        <w:t>Pública Mexiquen</w:t>
      </w:r>
      <w:r w:rsidRPr="007D1CD9">
        <w:rPr>
          <w:rFonts w:ascii="Palatino Linotype" w:hAnsi="Palatino Linotype" w:cs="Tahoma"/>
          <w:i/>
          <w:color w:val="000000" w:themeColor="text1"/>
        </w:rPr>
        <w:t>se que regula el</w:t>
      </w:r>
      <w:r w:rsidR="002D3797"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Instituto de Transparencia, Acceso .a la .Información Pública</w:t>
      </w:r>
      <w:r w:rsidR="002D3797"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y</w:t>
      </w:r>
      <w:r w:rsidR="002D3797"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Protección de</w:t>
      </w:r>
      <w:r w:rsidR="002D3797"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Datos Personales del Estado de</w:t>
      </w:r>
      <w:r w:rsidR="002D3797"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México y </w:t>
      </w:r>
      <w:r w:rsidR="002D3797" w:rsidRPr="007D1CD9">
        <w:rPr>
          <w:rFonts w:ascii="Palatino Linotype" w:hAnsi="Palatino Linotype" w:cs="Tahoma"/>
          <w:i/>
          <w:color w:val="000000" w:themeColor="text1"/>
        </w:rPr>
        <w:t>Municipios</w:t>
      </w:r>
      <w:r w:rsidRPr="007D1CD9">
        <w:rPr>
          <w:rFonts w:ascii="Palatino Linotype" w:hAnsi="Palatino Linotype" w:cs="Tahoma"/>
          <w:i/>
          <w:color w:val="000000" w:themeColor="text1"/>
        </w:rPr>
        <w:t xml:space="preserve">, </w:t>
      </w:r>
      <w:r w:rsidRPr="007D1CD9">
        <w:rPr>
          <w:rFonts w:ascii="Palatino Linotype" w:hAnsi="Palatino Linotype" w:cs="Tahoma"/>
          <w:i/>
          <w:iCs/>
          <w:color w:val="000000" w:themeColor="text1"/>
        </w:rPr>
        <w:t xml:space="preserve">visible </w:t>
      </w:r>
      <w:r w:rsidR="002D3797" w:rsidRPr="007D1CD9">
        <w:rPr>
          <w:rFonts w:ascii="Palatino Linotype" w:hAnsi="Palatino Linotype" w:cs="Tahoma"/>
          <w:i/>
          <w:color w:val="000000" w:themeColor="text1"/>
        </w:rPr>
        <w:t xml:space="preserve">en la </w:t>
      </w:r>
      <w:r w:rsidRPr="007D1CD9">
        <w:rPr>
          <w:rFonts w:ascii="Palatino Linotype" w:hAnsi="Palatino Linotype" w:cs="Tahoma"/>
          <w:i/>
          <w:iCs/>
          <w:color w:val="000000" w:themeColor="text1"/>
        </w:rPr>
        <w:t xml:space="preserve"> página </w:t>
      </w:r>
      <w:r w:rsidR="002D3797" w:rsidRPr="007D1CD9">
        <w:rPr>
          <w:rFonts w:ascii="Palatino Linotype" w:hAnsi="Palatino Linotype" w:cs="Tahoma"/>
          <w:i/>
          <w:color w:val="000000" w:themeColor="text1"/>
        </w:rPr>
        <w:t xml:space="preserve">de internet </w:t>
      </w:r>
      <w:r w:rsidR="001F6A0D" w:rsidRPr="007D1CD9">
        <w:rPr>
          <w:rFonts w:ascii="Palatino Linotype" w:hAnsi="Palatino Linotype" w:cs="Tahoma"/>
          <w:i/>
          <w:color w:val="000000" w:themeColor="text1"/>
        </w:rPr>
        <w:t>bajo la liga  siguiente https://www.</w:t>
      </w:r>
      <w:r w:rsidRPr="007D1CD9">
        <w:rPr>
          <w:rFonts w:ascii="Palatino Linotype" w:hAnsi="Palatino Linotype" w:cs="Tahoma"/>
          <w:i/>
          <w:color w:val="000000" w:themeColor="text1"/>
        </w:rPr>
        <w:t>ipomex.org.mx/ipo3/lgt/indice</w:t>
      </w:r>
      <w:r w:rsidR="001F6A0D" w:rsidRPr="007D1CD9">
        <w:rPr>
          <w:rFonts w:ascii="Palatino Linotype" w:hAnsi="Palatino Linotype" w:cs="Tahoma"/>
          <w:i/>
          <w:color w:val="000000" w:themeColor="text1"/>
        </w:rPr>
        <w:t>/</w:t>
      </w:r>
      <w:r w:rsidRPr="007D1CD9">
        <w:rPr>
          <w:rFonts w:ascii="Palatino Linotype" w:hAnsi="Palatino Linotype" w:cs="Tahoma"/>
          <w:i/>
          <w:color w:val="000000" w:themeColor="text1"/>
        </w:rPr>
        <w:t>NICOLASROMERO</w:t>
      </w:r>
      <w:r w:rsidR="001F6A0D" w:rsidRPr="007D1CD9">
        <w:rPr>
          <w:rFonts w:ascii="Palatino Linotype" w:hAnsi="Palatino Linotype" w:cs="Tahoma"/>
          <w:i/>
          <w:color w:val="000000" w:themeColor="text1"/>
        </w:rPr>
        <w:t>.</w:t>
      </w:r>
      <w:r w:rsidRPr="007D1CD9">
        <w:rPr>
          <w:rFonts w:ascii="Palatino Linotype" w:hAnsi="Palatino Linotype" w:cs="Tahoma"/>
          <w:i/>
          <w:color w:val="000000" w:themeColor="text1"/>
        </w:rPr>
        <w:t>web</w:t>
      </w:r>
      <w:r w:rsidR="001F6A0D" w:rsidRPr="007D1CD9">
        <w:rPr>
          <w:rFonts w:ascii="Palatino Linotype" w:hAnsi="Palatino Linotype" w:cs="Tahoma"/>
          <w:i/>
          <w:color w:val="000000" w:themeColor="text1"/>
        </w:rPr>
        <w:t>;jsessionid</w:t>
      </w:r>
      <w:r w:rsidRPr="007D1CD9">
        <w:rPr>
          <w:rFonts w:ascii="Palatino Linotype" w:hAnsi="Palatino Linotype" w:cs="Tahoma"/>
          <w:i/>
          <w:color w:val="000000" w:themeColor="text1"/>
        </w:rPr>
        <w:t xml:space="preserve">=A32AF14BAAF7BD41663AC7734D16ADA9?q=2019, se encuentra Información Pública de </w:t>
      </w:r>
      <w:r w:rsidR="001F6A0D" w:rsidRPr="007D1CD9">
        <w:rPr>
          <w:rFonts w:ascii="Palatino Linotype" w:hAnsi="Palatino Linotype" w:cs="Tahoma"/>
          <w:i/>
          <w:color w:val="000000" w:themeColor="text1"/>
        </w:rPr>
        <w:t>Oficio Mexiquens</w:t>
      </w:r>
      <w:r w:rsidRPr="007D1CD9">
        <w:rPr>
          <w:rFonts w:ascii="Palatino Linotype" w:hAnsi="Palatino Linotype" w:cs="Tahoma"/>
          <w:i/>
          <w:color w:val="000000" w:themeColor="text1"/>
        </w:rPr>
        <w:t>e,</w:t>
      </w:r>
      <w:r w:rsidR="001F6A0D"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en el </w:t>
      </w:r>
      <w:r w:rsidR="001F6A0D" w:rsidRPr="007D1CD9">
        <w:rPr>
          <w:rFonts w:ascii="Palatino Linotype" w:hAnsi="Palatino Linotype" w:cs="Tahoma"/>
          <w:i/>
          <w:color w:val="000000" w:themeColor="text1"/>
        </w:rPr>
        <w:t>cual</w:t>
      </w:r>
      <w:r w:rsidRPr="007D1CD9">
        <w:rPr>
          <w:rFonts w:ascii="Palatino Linotype" w:hAnsi="Palatino Linotype" w:cs="Tahoma"/>
          <w:i/>
          <w:color w:val="000000" w:themeColor="text1"/>
        </w:rPr>
        <w:t xml:space="preserve"> se puede observar las</w:t>
      </w:r>
      <w:r w:rsidR="001F6A0D"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diversas obligaciones y con dicha </w:t>
      </w:r>
      <w:r w:rsidR="001F6A0D" w:rsidRPr="007D1CD9">
        <w:rPr>
          <w:rFonts w:ascii="Palatino Linotype" w:hAnsi="Palatino Linotype" w:cs="Tahoma"/>
          <w:i/>
          <w:color w:val="000000" w:themeColor="text1"/>
        </w:rPr>
        <w:t>consulta</w:t>
      </w:r>
      <w:r w:rsidRPr="007D1CD9">
        <w:rPr>
          <w:rFonts w:ascii="Palatino Linotype" w:hAnsi="Palatino Linotype" w:cs="Tahoma"/>
          <w:i/>
          <w:color w:val="000000" w:themeColor="text1"/>
        </w:rPr>
        <w:t xml:space="preserve"> en línea </w:t>
      </w:r>
      <w:r w:rsidR="001F6A0D" w:rsidRPr="007D1CD9">
        <w:rPr>
          <w:rFonts w:ascii="Palatino Linotype" w:hAnsi="Palatino Linotype" w:cs="Tahoma"/>
          <w:i/>
          <w:color w:val="000000" w:themeColor="text1"/>
        </w:rPr>
        <w:t>po</w:t>
      </w:r>
      <w:r w:rsidRPr="007D1CD9">
        <w:rPr>
          <w:rFonts w:ascii="Palatino Linotype" w:hAnsi="Palatino Linotype" w:cs="Tahoma"/>
          <w:i/>
          <w:color w:val="000000" w:themeColor="text1"/>
        </w:rPr>
        <w:t>drá</w:t>
      </w:r>
      <w:r w:rsidR="001F6A0D"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 xml:space="preserve">visualizar y </w:t>
      </w:r>
      <w:r w:rsidR="001F6A0D" w:rsidRPr="007D1CD9">
        <w:rPr>
          <w:rFonts w:ascii="Palatino Linotype" w:hAnsi="Palatino Linotype" w:cs="Tahoma"/>
          <w:i/>
          <w:color w:val="000000" w:themeColor="text1"/>
        </w:rPr>
        <w:t>consultar</w:t>
      </w:r>
      <w:r w:rsidRPr="007D1CD9">
        <w:rPr>
          <w:rFonts w:ascii="Palatino Linotype" w:hAnsi="Palatino Linotype" w:cs="Tahoma"/>
          <w:i/>
          <w:color w:val="000000" w:themeColor="text1"/>
        </w:rPr>
        <w:t xml:space="preserve"> la información al numeral que</w:t>
      </w:r>
      <w:r w:rsidR="001F6A0D" w:rsidRPr="007D1CD9">
        <w:rPr>
          <w:rFonts w:ascii="Palatino Linotype" w:hAnsi="Palatino Linotype" w:cs="Tahoma"/>
          <w:i/>
          <w:color w:val="000000" w:themeColor="text1"/>
        </w:rPr>
        <w:t xml:space="preserve"> </w:t>
      </w:r>
      <w:r w:rsidRPr="007D1CD9">
        <w:rPr>
          <w:rFonts w:ascii="Palatino Linotype" w:hAnsi="Palatino Linotype" w:cs="Tahoma"/>
          <w:i/>
          <w:color w:val="000000" w:themeColor="text1"/>
        </w:rPr>
        <w:t>nos ocupa.</w:t>
      </w:r>
    </w:p>
    <w:p w14:paraId="25DFABE5" w14:textId="77777777" w:rsidR="00AD1A3D" w:rsidRPr="007D1CD9" w:rsidRDefault="00AD1A3D" w:rsidP="00447875">
      <w:pPr>
        <w:autoSpaceDE w:val="0"/>
        <w:autoSpaceDN w:val="0"/>
        <w:adjustRightInd w:val="0"/>
        <w:spacing w:line="360" w:lineRule="auto"/>
        <w:ind w:left="567" w:right="567"/>
        <w:jc w:val="both"/>
        <w:rPr>
          <w:rFonts w:ascii="Palatino Linotype" w:hAnsi="Palatino Linotype" w:cs="Tahoma"/>
          <w:i/>
          <w:color w:val="000000" w:themeColor="text1"/>
        </w:rPr>
      </w:pPr>
      <w:r w:rsidRPr="007D1CD9">
        <w:rPr>
          <w:rFonts w:ascii="Palatino Linotype" w:hAnsi="Palatino Linotype" w:cs="Tahoma"/>
          <w:i/>
          <w:color w:val="000000" w:themeColor="text1"/>
        </w:rPr>
        <w:t>…”</w:t>
      </w:r>
    </w:p>
    <w:p w14:paraId="10D22F5C" w14:textId="77777777" w:rsidR="00643E69" w:rsidRPr="00302243" w:rsidRDefault="00643E69"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5C2E6A9A" w14:textId="77777777" w:rsidR="009061B8" w:rsidRPr="00302243" w:rsidRDefault="00FD7868" w:rsidP="00447875">
      <w:pPr>
        <w:autoSpaceDE w:val="0"/>
        <w:autoSpaceDN w:val="0"/>
        <w:adjustRightInd w:val="0"/>
        <w:spacing w:line="360" w:lineRule="auto"/>
        <w:jc w:val="both"/>
        <w:rPr>
          <w:rFonts w:ascii="Palatino Linotype" w:hAnsi="Palatino Linotype" w:cs="Tahoma"/>
          <w:bCs/>
          <w:color w:val="000000" w:themeColor="text1"/>
          <w:sz w:val="22"/>
          <w:szCs w:val="22"/>
        </w:rPr>
      </w:pPr>
      <w:r w:rsidRPr="00302243">
        <w:rPr>
          <w:rFonts w:ascii="Palatino Linotype" w:hAnsi="Palatino Linotype" w:cs="Tahoma"/>
          <w:bCs/>
          <w:color w:val="000000" w:themeColor="text1"/>
          <w:sz w:val="22"/>
          <w:szCs w:val="22"/>
        </w:rPr>
        <w:t>El Sujeto Obligado adjuntó la digitalización</w:t>
      </w:r>
      <w:r w:rsidR="009061B8" w:rsidRPr="00302243">
        <w:rPr>
          <w:rFonts w:ascii="Palatino Linotype" w:hAnsi="Palatino Linotype" w:cs="Tahoma"/>
          <w:bCs/>
          <w:color w:val="000000" w:themeColor="text1"/>
          <w:sz w:val="22"/>
          <w:szCs w:val="22"/>
        </w:rPr>
        <w:t xml:space="preserve"> de los siguientes documentos:</w:t>
      </w:r>
    </w:p>
    <w:p w14:paraId="0B4F3333" w14:textId="77777777" w:rsidR="009061B8" w:rsidRPr="00302243" w:rsidRDefault="009061B8" w:rsidP="00447875">
      <w:pPr>
        <w:autoSpaceDE w:val="0"/>
        <w:autoSpaceDN w:val="0"/>
        <w:adjustRightInd w:val="0"/>
        <w:spacing w:line="360" w:lineRule="auto"/>
        <w:jc w:val="both"/>
        <w:rPr>
          <w:rFonts w:ascii="Palatino Linotype" w:hAnsi="Palatino Linotype" w:cs="Tahoma"/>
          <w:bCs/>
          <w:color w:val="000000" w:themeColor="text1"/>
          <w:sz w:val="22"/>
          <w:szCs w:val="22"/>
        </w:rPr>
      </w:pPr>
    </w:p>
    <w:p w14:paraId="077A5620" w14:textId="0A2A9FD1" w:rsidR="009061B8" w:rsidRDefault="009061B8" w:rsidP="00447875">
      <w:pPr>
        <w:autoSpaceDE w:val="0"/>
        <w:autoSpaceDN w:val="0"/>
        <w:adjustRightInd w:val="0"/>
        <w:spacing w:line="360" w:lineRule="auto"/>
        <w:jc w:val="both"/>
        <w:rPr>
          <w:rFonts w:ascii="Palatino Linotype" w:hAnsi="Palatino Linotype" w:cs="Tahoma"/>
          <w:bCs/>
          <w:color w:val="000000" w:themeColor="text1"/>
          <w:sz w:val="22"/>
          <w:szCs w:val="22"/>
        </w:rPr>
      </w:pPr>
      <w:r w:rsidRPr="00302243">
        <w:rPr>
          <w:rFonts w:ascii="Palatino Linotype" w:hAnsi="Palatino Linotype" w:cs="Tahoma"/>
          <w:bCs/>
          <w:color w:val="000000" w:themeColor="text1"/>
          <w:sz w:val="22"/>
          <w:szCs w:val="22"/>
        </w:rPr>
        <w:t xml:space="preserve">i) </w:t>
      </w:r>
      <w:r w:rsidR="005C2E64">
        <w:rPr>
          <w:rFonts w:ascii="Palatino Linotype" w:hAnsi="Palatino Linotype" w:cs="Tahoma"/>
          <w:bCs/>
          <w:color w:val="000000" w:themeColor="text1"/>
          <w:sz w:val="22"/>
          <w:szCs w:val="22"/>
        </w:rPr>
        <w:t xml:space="preserve">Tabla denominada “Relación de Obras por Contrato 2019”, </w:t>
      </w:r>
      <w:r w:rsidR="00DB415E">
        <w:rPr>
          <w:rFonts w:ascii="Palatino Linotype" w:hAnsi="Palatino Linotype" w:cs="Tahoma"/>
          <w:bCs/>
          <w:color w:val="000000" w:themeColor="text1"/>
          <w:sz w:val="22"/>
          <w:szCs w:val="22"/>
        </w:rPr>
        <w:t>cuyos</w:t>
      </w:r>
      <w:r w:rsidR="005C2E64">
        <w:rPr>
          <w:rFonts w:ascii="Palatino Linotype" w:hAnsi="Palatino Linotype" w:cs="Tahoma"/>
          <w:bCs/>
          <w:color w:val="000000" w:themeColor="text1"/>
          <w:sz w:val="22"/>
          <w:szCs w:val="22"/>
        </w:rPr>
        <w:t xml:space="preserve"> rubros son los siguientes: “NO.”, “CONTRATO”, “NOMBRE”, “UBICACIÓN”, “COLONIA”, “INICIO”, “TERMINO”, “PORCENTAJE DE EJECUCIÓN” y “</w:t>
      </w:r>
      <w:r w:rsidR="00DB415E">
        <w:rPr>
          <w:rFonts w:ascii="Palatino Linotype" w:hAnsi="Palatino Linotype" w:cs="Tahoma"/>
          <w:bCs/>
          <w:color w:val="000000" w:themeColor="text1"/>
          <w:sz w:val="22"/>
          <w:szCs w:val="22"/>
        </w:rPr>
        <w:t>OBSERVACIÓN</w:t>
      </w:r>
      <w:r w:rsidR="005C2E64">
        <w:rPr>
          <w:rFonts w:ascii="Palatino Linotype" w:hAnsi="Palatino Linotype" w:cs="Tahoma"/>
          <w:bCs/>
          <w:color w:val="000000" w:themeColor="text1"/>
          <w:sz w:val="22"/>
          <w:szCs w:val="22"/>
        </w:rPr>
        <w:t>”</w:t>
      </w:r>
      <w:r w:rsidR="00DB415E">
        <w:rPr>
          <w:rFonts w:ascii="Palatino Linotype" w:hAnsi="Palatino Linotype" w:cs="Tahoma"/>
          <w:bCs/>
          <w:color w:val="000000" w:themeColor="text1"/>
          <w:sz w:val="22"/>
          <w:szCs w:val="22"/>
        </w:rPr>
        <w:t>.</w:t>
      </w:r>
      <w:r w:rsidR="005C2E64">
        <w:rPr>
          <w:rFonts w:ascii="Palatino Linotype" w:hAnsi="Palatino Linotype" w:cs="Tahoma"/>
          <w:bCs/>
          <w:color w:val="000000" w:themeColor="text1"/>
          <w:sz w:val="22"/>
          <w:szCs w:val="22"/>
        </w:rPr>
        <w:t xml:space="preserve"> </w:t>
      </w:r>
    </w:p>
    <w:p w14:paraId="2FFE19C0" w14:textId="77777777" w:rsidR="005C2E64" w:rsidRPr="00302243" w:rsidRDefault="005C2E64" w:rsidP="00447875">
      <w:pPr>
        <w:autoSpaceDE w:val="0"/>
        <w:autoSpaceDN w:val="0"/>
        <w:adjustRightInd w:val="0"/>
        <w:spacing w:line="360" w:lineRule="auto"/>
        <w:jc w:val="both"/>
        <w:rPr>
          <w:rFonts w:ascii="Palatino Linotype" w:hAnsi="Palatino Linotype" w:cs="Tahoma"/>
          <w:bCs/>
          <w:color w:val="000000" w:themeColor="text1"/>
          <w:sz w:val="22"/>
          <w:szCs w:val="22"/>
        </w:rPr>
      </w:pPr>
    </w:p>
    <w:p w14:paraId="7B46B9F3" w14:textId="6972B13C" w:rsidR="009061B8" w:rsidRPr="00302243" w:rsidRDefault="009061B8" w:rsidP="00447875">
      <w:pPr>
        <w:autoSpaceDE w:val="0"/>
        <w:autoSpaceDN w:val="0"/>
        <w:adjustRightInd w:val="0"/>
        <w:spacing w:line="360" w:lineRule="auto"/>
        <w:jc w:val="both"/>
        <w:rPr>
          <w:rFonts w:ascii="Palatino Linotype" w:hAnsi="Palatino Linotype" w:cs="Tahoma"/>
          <w:bCs/>
          <w:color w:val="000000" w:themeColor="text1"/>
          <w:sz w:val="22"/>
          <w:szCs w:val="22"/>
        </w:rPr>
      </w:pPr>
      <w:r w:rsidRPr="00302243">
        <w:rPr>
          <w:rFonts w:ascii="Palatino Linotype" w:hAnsi="Palatino Linotype" w:cs="Tahoma"/>
          <w:bCs/>
          <w:color w:val="000000" w:themeColor="text1"/>
          <w:sz w:val="22"/>
          <w:szCs w:val="22"/>
        </w:rPr>
        <w:t xml:space="preserve">ii) </w:t>
      </w:r>
      <w:r w:rsidR="002101BF">
        <w:rPr>
          <w:rFonts w:ascii="Palatino Linotype" w:hAnsi="Palatino Linotype" w:cs="Tahoma"/>
          <w:bCs/>
          <w:color w:val="000000" w:themeColor="text1"/>
          <w:sz w:val="22"/>
          <w:szCs w:val="22"/>
        </w:rPr>
        <w:t>Acuses de recibo de los</w:t>
      </w:r>
      <w:r w:rsidR="00BE42E7">
        <w:rPr>
          <w:rFonts w:ascii="Palatino Linotype" w:hAnsi="Palatino Linotype" w:cs="Tahoma"/>
          <w:bCs/>
          <w:color w:val="000000" w:themeColor="text1"/>
          <w:sz w:val="22"/>
          <w:szCs w:val="22"/>
        </w:rPr>
        <w:t xml:space="preserve"> oficios de designación de residente de las obras públicas, de los contratos con número NR</w:t>
      </w:r>
      <w:r w:rsidR="00FA6EF4">
        <w:rPr>
          <w:rFonts w:ascii="Palatino Linotype" w:hAnsi="Palatino Linotype" w:cs="Tahoma"/>
          <w:bCs/>
          <w:color w:val="000000" w:themeColor="text1"/>
          <w:sz w:val="22"/>
          <w:szCs w:val="22"/>
        </w:rPr>
        <w:t xml:space="preserve">-DOP-FISMDF-LP-001-19, </w:t>
      </w:r>
      <w:r w:rsidR="00FA6EF4" w:rsidRPr="00FA6EF4">
        <w:rPr>
          <w:rFonts w:ascii="Palatino Linotype" w:hAnsi="Palatino Linotype" w:cs="Tahoma"/>
          <w:bCs/>
          <w:color w:val="000000" w:themeColor="text1"/>
          <w:sz w:val="22"/>
          <w:szCs w:val="22"/>
        </w:rPr>
        <w:t>NR-DOP-FISMDF-LP-00</w:t>
      </w:r>
      <w:r w:rsidR="00FA6EF4">
        <w:rPr>
          <w:rFonts w:ascii="Palatino Linotype" w:hAnsi="Palatino Linotype" w:cs="Tahoma"/>
          <w:bCs/>
          <w:color w:val="000000" w:themeColor="text1"/>
          <w:sz w:val="22"/>
          <w:szCs w:val="22"/>
        </w:rPr>
        <w:t>2</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NR-DOP-FISMDF-LP-00</w:t>
      </w:r>
      <w:r w:rsidR="00FA6EF4">
        <w:rPr>
          <w:rFonts w:ascii="Palatino Linotype" w:hAnsi="Palatino Linotype" w:cs="Tahoma"/>
          <w:bCs/>
          <w:color w:val="000000" w:themeColor="text1"/>
          <w:sz w:val="22"/>
          <w:szCs w:val="22"/>
        </w:rPr>
        <w:t>3</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w:t>
      </w:r>
      <w:r w:rsidR="00FA6EF4">
        <w:rPr>
          <w:rFonts w:ascii="Palatino Linotype" w:hAnsi="Palatino Linotype" w:cs="Tahoma"/>
          <w:bCs/>
          <w:color w:val="000000" w:themeColor="text1"/>
          <w:sz w:val="22"/>
          <w:szCs w:val="22"/>
        </w:rPr>
        <w:t>IR</w:t>
      </w:r>
      <w:r w:rsidR="00FA6EF4" w:rsidRPr="00FA6EF4">
        <w:rPr>
          <w:rFonts w:ascii="Palatino Linotype" w:hAnsi="Palatino Linotype" w:cs="Tahoma"/>
          <w:bCs/>
          <w:color w:val="000000" w:themeColor="text1"/>
          <w:sz w:val="22"/>
          <w:szCs w:val="22"/>
        </w:rPr>
        <w:t>-00</w:t>
      </w:r>
      <w:r w:rsidR="00FA6EF4">
        <w:rPr>
          <w:rFonts w:ascii="Palatino Linotype" w:hAnsi="Palatino Linotype" w:cs="Tahoma"/>
          <w:bCs/>
          <w:color w:val="000000" w:themeColor="text1"/>
          <w:sz w:val="22"/>
          <w:szCs w:val="22"/>
        </w:rPr>
        <w:t>4</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w:t>
      </w:r>
      <w:r w:rsidR="003E4023">
        <w:rPr>
          <w:rFonts w:ascii="Palatino Linotype" w:hAnsi="Palatino Linotype" w:cs="Tahoma"/>
          <w:bCs/>
          <w:color w:val="000000" w:themeColor="text1"/>
          <w:sz w:val="22"/>
          <w:szCs w:val="22"/>
        </w:rPr>
        <w:t>IR</w:t>
      </w:r>
      <w:r w:rsidR="00FA6EF4" w:rsidRPr="00FA6EF4">
        <w:rPr>
          <w:rFonts w:ascii="Palatino Linotype" w:hAnsi="Palatino Linotype" w:cs="Tahoma"/>
          <w:bCs/>
          <w:color w:val="000000" w:themeColor="text1"/>
          <w:sz w:val="22"/>
          <w:szCs w:val="22"/>
        </w:rPr>
        <w:t>-00</w:t>
      </w:r>
      <w:r w:rsidR="00FA6EF4">
        <w:rPr>
          <w:rFonts w:ascii="Palatino Linotype" w:hAnsi="Palatino Linotype" w:cs="Tahoma"/>
          <w:bCs/>
          <w:color w:val="000000" w:themeColor="text1"/>
          <w:sz w:val="22"/>
          <w:szCs w:val="22"/>
        </w:rPr>
        <w:t>5</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w:t>
      </w:r>
      <w:r w:rsidR="003E4023">
        <w:rPr>
          <w:rFonts w:ascii="Palatino Linotype" w:hAnsi="Palatino Linotype" w:cs="Tahoma"/>
          <w:bCs/>
          <w:color w:val="000000" w:themeColor="text1"/>
          <w:sz w:val="22"/>
          <w:szCs w:val="22"/>
        </w:rPr>
        <w:t>IR</w:t>
      </w:r>
      <w:r w:rsidR="00FA6EF4" w:rsidRPr="00FA6EF4">
        <w:rPr>
          <w:rFonts w:ascii="Palatino Linotype" w:hAnsi="Palatino Linotype" w:cs="Tahoma"/>
          <w:bCs/>
          <w:color w:val="000000" w:themeColor="text1"/>
          <w:sz w:val="22"/>
          <w:szCs w:val="22"/>
        </w:rPr>
        <w:t>-00</w:t>
      </w:r>
      <w:r w:rsidR="00FA6EF4">
        <w:rPr>
          <w:rFonts w:ascii="Palatino Linotype" w:hAnsi="Palatino Linotype" w:cs="Tahoma"/>
          <w:bCs/>
          <w:color w:val="000000" w:themeColor="text1"/>
          <w:sz w:val="22"/>
          <w:szCs w:val="22"/>
        </w:rPr>
        <w:t>6</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w:t>
      </w:r>
      <w:r w:rsidR="003E4023">
        <w:rPr>
          <w:rFonts w:ascii="Palatino Linotype" w:hAnsi="Palatino Linotype" w:cs="Tahoma"/>
          <w:bCs/>
          <w:color w:val="000000" w:themeColor="text1"/>
          <w:sz w:val="22"/>
          <w:szCs w:val="22"/>
        </w:rPr>
        <w:t>IR</w:t>
      </w:r>
      <w:r w:rsidR="00FA6EF4" w:rsidRPr="00FA6EF4">
        <w:rPr>
          <w:rFonts w:ascii="Palatino Linotype" w:hAnsi="Palatino Linotype" w:cs="Tahoma"/>
          <w:bCs/>
          <w:color w:val="000000" w:themeColor="text1"/>
          <w:sz w:val="22"/>
          <w:szCs w:val="22"/>
        </w:rPr>
        <w:t>-00</w:t>
      </w:r>
      <w:r w:rsidR="00FA6EF4">
        <w:rPr>
          <w:rFonts w:ascii="Palatino Linotype" w:hAnsi="Palatino Linotype" w:cs="Tahoma"/>
          <w:bCs/>
          <w:color w:val="000000" w:themeColor="text1"/>
          <w:sz w:val="22"/>
          <w:szCs w:val="22"/>
        </w:rPr>
        <w:t>7</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w:t>
      </w:r>
      <w:r w:rsidR="003E4023">
        <w:rPr>
          <w:rFonts w:ascii="Palatino Linotype" w:hAnsi="Palatino Linotype" w:cs="Tahoma"/>
          <w:bCs/>
          <w:color w:val="000000" w:themeColor="text1"/>
          <w:sz w:val="22"/>
          <w:szCs w:val="22"/>
        </w:rPr>
        <w:t>IR</w:t>
      </w:r>
      <w:r w:rsidR="00FA6EF4" w:rsidRPr="00FA6EF4">
        <w:rPr>
          <w:rFonts w:ascii="Palatino Linotype" w:hAnsi="Palatino Linotype" w:cs="Tahoma"/>
          <w:bCs/>
          <w:color w:val="000000" w:themeColor="text1"/>
          <w:sz w:val="22"/>
          <w:szCs w:val="22"/>
        </w:rPr>
        <w:t>-00</w:t>
      </w:r>
      <w:r w:rsidR="00FA6EF4">
        <w:rPr>
          <w:rFonts w:ascii="Palatino Linotype" w:hAnsi="Palatino Linotype" w:cs="Tahoma"/>
          <w:bCs/>
          <w:color w:val="000000" w:themeColor="text1"/>
          <w:sz w:val="22"/>
          <w:szCs w:val="22"/>
        </w:rPr>
        <w:t>8</w:t>
      </w:r>
      <w:r w:rsidR="00FA6EF4" w:rsidRPr="00FA6EF4">
        <w:rPr>
          <w:rFonts w:ascii="Palatino Linotype" w:hAnsi="Palatino Linotype" w:cs="Tahoma"/>
          <w:bCs/>
          <w:color w:val="000000" w:themeColor="text1"/>
          <w:sz w:val="22"/>
          <w:szCs w:val="22"/>
        </w:rPr>
        <w:t>-19</w:t>
      </w:r>
      <w:r w:rsidR="00FA6EF4">
        <w:rPr>
          <w:rFonts w:ascii="Palatino Linotype" w:hAnsi="Palatino Linotype" w:cs="Tahoma"/>
          <w:bCs/>
          <w:color w:val="000000" w:themeColor="text1"/>
          <w:sz w:val="22"/>
          <w:szCs w:val="22"/>
        </w:rPr>
        <w:t xml:space="preserve">, </w:t>
      </w:r>
      <w:r w:rsidR="00FA6EF4" w:rsidRPr="00FA6EF4">
        <w:rPr>
          <w:rFonts w:ascii="Palatino Linotype" w:hAnsi="Palatino Linotype" w:cs="Tahoma"/>
          <w:bCs/>
          <w:color w:val="000000" w:themeColor="text1"/>
          <w:sz w:val="22"/>
          <w:szCs w:val="22"/>
        </w:rPr>
        <w:t>NR-DOP-FISMDF-LP-00</w:t>
      </w:r>
      <w:r w:rsidR="00FA6EF4">
        <w:rPr>
          <w:rFonts w:ascii="Palatino Linotype" w:hAnsi="Palatino Linotype" w:cs="Tahoma"/>
          <w:bCs/>
          <w:color w:val="000000" w:themeColor="text1"/>
          <w:sz w:val="22"/>
          <w:szCs w:val="22"/>
        </w:rPr>
        <w:t>9</w:t>
      </w:r>
      <w:r w:rsidR="00FA6EF4" w:rsidRPr="00FA6EF4">
        <w:rPr>
          <w:rFonts w:ascii="Palatino Linotype" w:hAnsi="Palatino Linotype" w:cs="Tahoma"/>
          <w:bCs/>
          <w:color w:val="000000" w:themeColor="text1"/>
          <w:sz w:val="22"/>
          <w:szCs w:val="22"/>
        </w:rPr>
        <w:t>-19</w:t>
      </w:r>
      <w:r w:rsidR="003E4023">
        <w:rPr>
          <w:rFonts w:ascii="Palatino Linotype" w:hAnsi="Palatino Linotype" w:cs="Tahoma"/>
          <w:bCs/>
          <w:color w:val="000000" w:themeColor="text1"/>
          <w:sz w:val="22"/>
          <w:szCs w:val="22"/>
        </w:rPr>
        <w:t xml:space="preserve">, </w:t>
      </w:r>
      <w:r w:rsidR="003E4023" w:rsidRPr="003E4023">
        <w:rPr>
          <w:rFonts w:ascii="Palatino Linotype" w:hAnsi="Palatino Linotype" w:cs="Tahoma"/>
          <w:bCs/>
          <w:color w:val="000000" w:themeColor="text1"/>
          <w:sz w:val="22"/>
          <w:szCs w:val="22"/>
        </w:rPr>
        <w:t>NR-DOP-FISMDF-LP</w:t>
      </w:r>
      <w:r w:rsidR="003E4023">
        <w:rPr>
          <w:rFonts w:ascii="Palatino Linotype" w:hAnsi="Palatino Linotype" w:cs="Tahoma"/>
          <w:bCs/>
          <w:color w:val="000000" w:themeColor="text1"/>
          <w:sz w:val="22"/>
          <w:szCs w:val="22"/>
        </w:rPr>
        <w:t>-010</w:t>
      </w:r>
      <w:r w:rsidR="003E4023" w:rsidRPr="003E4023">
        <w:rPr>
          <w:rFonts w:ascii="Palatino Linotype" w:hAnsi="Palatino Linotype" w:cs="Tahoma"/>
          <w:bCs/>
          <w:color w:val="000000" w:themeColor="text1"/>
          <w:sz w:val="22"/>
          <w:szCs w:val="22"/>
        </w:rPr>
        <w:t>-19</w:t>
      </w:r>
      <w:r w:rsidR="003E4023">
        <w:rPr>
          <w:rFonts w:ascii="Palatino Linotype" w:hAnsi="Palatino Linotype" w:cs="Tahoma"/>
          <w:bCs/>
          <w:color w:val="000000" w:themeColor="text1"/>
          <w:sz w:val="22"/>
          <w:szCs w:val="22"/>
        </w:rPr>
        <w:t xml:space="preserve"> y </w:t>
      </w:r>
      <w:r w:rsidR="003E4023" w:rsidRPr="003E4023">
        <w:rPr>
          <w:rFonts w:ascii="Palatino Linotype" w:hAnsi="Palatino Linotype" w:cs="Tahoma"/>
          <w:bCs/>
          <w:color w:val="000000" w:themeColor="text1"/>
          <w:sz w:val="22"/>
          <w:szCs w:val="22"/>
        </w:rPr>
        <w:t>NR-DOP-FISMDF-LP-001-19</w:t>
      </w:r>
      <w:r w:rsidR="003E4023">
        <w:rPr>
          <w:rFonts w:ascii="Palatino Linotype" w:hAnsi="Palatino Linotype" w:cs="Tahoma"/>
          <w:bCs/>
          <w:color w:val="000000" w:themeColor="text1"/>
          <w:sz w:val="22"/>
          <w:szCs w:val="22"/>
        </w:rPr>
        <w:t>.</w:t>
      </w:r>
    </w:p>
    <w:p w14:paraId="1A016815" w14:textId="130279A6" w:rsidR="0053723B" w:rsidRPr="0053723B" w:rsidRDefault="005C2E64" w:rsidP="0053723B">
      <w:pPr>
        <w:autoSpaceDE w:val="0"/>
        <w:autoSpaceDN w:val="0"/>
        <w:adjustRightInd w:val="0"/>
        <w:spacing w:line="360" w:lineRule="auto"/>
        <w:jc w:val="both"/>
        <w:rPr>
          <w:rFonts w:ascii="Palatino Linotype" w:hAnsi="Palatino Linotype" w:cs="Tahoma"/>
          <w:bCs/>
          <w:color w:val="000000" w:themeColor="text1"/>
          <w:sz w:val="22"/>
          <w:szCs w:val="22"/>
        </w:rPr>
      </w:pPr>
      <w:r w:rsidRPr="005C2E64">
        <w:rPr>
          <w:rFonts w:ascii="Palatino Linotype" w:hAnsi="Palatino Linotype" w:cs="Tahoma"/>
          <w:color w:val="000000" w:themeColor="text1"/>
          <w:sz w:val="22"/>
          <w:szCs w:val="22"/>
        </w:rPr>
        <w:lastRenderedPageBreak/>
        <w:t>iii)</w:t>
      </w:r>
      <w:r w:rsidR="003E4023">
        <w:rPr>
          <w:rFonts w:ascii="Palatino Linotype" w:hAnsi="Palatino Linotype" w:cs="Tahoma"/>
          <w:color w:val="000000" w:themeColor="text1"/>
          <w:sz w:val="22"/>
          <w:szCs w:val="22"/>
        </w:rPr>
        <w:t xml:space="preserve">Versión pública de once oficios, </w:t>
      </w:r>
      <w:r w:rsidR="0053723B">
        <w:rPr>
          <w:rFonts w:ascii="Palatino Linotype" w:hAnsi="Palatino Linotype" w:cs="Tahoma"/>
          <w:color w:val="000000" w:themeColor="text1"/>
          <w:sz w:val="22"/>
          <w:szCs w:val="22"/>
        </w:rPr>
        <w:t xml:space="preserve">por medio de los cuales se libera y pone a disposición el sitio de los trabajos para iniciar las obras públicas, de los contratos con número </w:t>
      </w:r>
      <w:r w:rsidR="0053723B" w:rsidRPr="0053723B">
        <w:rPr>
          <w:rFonts w:ascii="Palatino Linotype" w:hAnsi="Palatino Linotype" w:cs="Tahoma"/>
          <w:bCs/>
          <w:color w:val="000000" w:themeColor="text1"/>
          <w:sz w:val="22"/>
          <w:szCs w:val="22"/>
        </w:rPr>
        <w:t>NR-DOP-FISMDF-LP-001-19, NR-DOP-FISMDF-LP-002-19, NR-DOP-FISMDF-LP-003-19, NR-DOP-FISMDF-IR-004-19, NR-DOP-FISMDF-IR-005-19, NR-DOP-FISMDF-IR-006-19, NR-DOP-FISMDF-IR-007-19, NR-DOP-FISMDF-IR-008-19, NR-DOP-FISMDF-LP-009-19, NR-DOP-FISMDF</w:t>
      </w:r>
      <w:r w:rsidR="00A23AE3">
        <w:rPr>
          <w:rFonts w:ascii="Palatino Linotype" w:hAnsi="Palatino Linotype" w:cs="Tahoma"/>
          <w:bCs/>
          <w:color w:val="000000" w:themeColor="text1"/>
          <w:sz w:val="22"/>
          <w:szCs w:val="22"/>
        </w:rPr>
        <w:t>-LP-010-19 y NR-DOP-FISMDF-LP-01</w:t>
      </w:r>
      <w:r w:rsidR="0053723B" w:rsidRPr="0053723B">
        <w:rPr>
          <w:rFonts w:ascii="Palatino Linotype" w:hAnsi="Palatino Linotype" w:cs="Tahoma"/>
          <w:bCs/>
          <w:color w:val="000000" w:themeColor="text1"/>
          <w:sz w:val="22"/>
          <w:szCs w:val="22"/>
        </w:rPr>
        <w:t>1-19.</w:t>
      </w:r>
    </w:p>
    <w:p w14:paraId="3B59A815" w14:textId="77777777"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16FDE3E8" w14:textId="420E6A40"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iv)</w:t>
      </w:r>
      <w:r w:rsidR="0053723B">
        <w:rPr>
          <w:rFonts w:ascii="Palatino Linotype" w:hAnsi="Palatino Linotype" w:cs="Tahoma"/>
          <w:color w:val="000000" w:themeColor="text1"/>
          <w:sz w:val="22"/>
          <w:szCs w:val="22"/>
        </w:rPr>
        <w:t xml:space="preserve"> Versión pública </w:t>
      </w:r>
      <w:r w:rsidR="00D52523">
        <w:rPr>
          <w:rFonts w:ascii="Palatino Linotype" w:hAnsi="Palatino Linotype" w:cs="Tahoma"/>
          <w:color w:val="000000" w:themeColor="text1"/>
          <w:sz w:val="22"/>
          <w:szCs w:val="22"/>
        </w:rPr>
        <w:t>de dos</w:t>
      </w:r>
      <w:r w:rsidR="0053723B">
        <w:rPr>
          <w:rFonts w:ascii="Palatino Linotype" w:hAnsi="Palatino Linotype" w:cs="Tahoma"/>
          <w:color w:val="000000" w:themeColor="text1"/>
          <w:sz w:val="22"/>
          <w:szCs w:val="22"/>
        </w:rPr>
        <w:t xml:space="preserve"> fianzas respecto al contrato con número </w:t>
      </w:r>
      <w:r w:rsidR="0053723B" w:rsidRPr="0053723B">
        <w:rPr>
          <w:rFonts w:ascii="Palatino Linotype" w:hAnsi="Palatino Linotype" w:cs="Tahoma"/>
          <w:bCs/>
          <w:color w:val="000000" w:themeColor="text1"/>
          <w:sz w:val="22"/>
          <w:szCs w:val="22"/>
        </w:rPr>
        <w:t>NR-DOP-FISMDF-LP-001-19</w:t>
      </w:r>
      <w:r w:rsidR="0053723B">
        <w:rPr>
          <w:rFonts w:ascii="Palatino Linotype" w:hAnsi="Palatino Linotype" w:cs="Tahoma"/>
          <w:bCs/>
          <w:color w:val="000000" w:themeColor="text1"/>
          <w:sz w:val="22"/>
          <w:szCs w:val="22"/>
        </w:rPr>
        <w:t>.</w:t>
      </w:r>
    </w:p>
    <w:p w14:paraId="5797D2B8" w14:textId="77777777"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5DC69D7E" w14:textId="6F17A7AB" w:rsidR="0053723B" w:rsidRPr="0053723B" w:rsidRDefault="005C2E64" w:rsidP="0053723B">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v)</w:t>
      </w:r>
      <w:r w:rsidR="0053723B">
        <w:rPr>
          <w:rFonts w:ascii="Palatino Linotype" w:hAnsi="Palatino Linotype" w:cs="Tahoma"/>
          <w:color w:val="000000" w:themeColor="text1"/>
          <w:sz w:val="22"/>
          <w:szCs w:val="22"/>
        </w:rPr>
        <w:t xml:space="preserve"> </w:t>
      </w:r>
      <w:r w:rsidR="0053723B" w:rsidRPr="0053723B">
        <w:rPr>
          <w:rFonts w:ascii="Palatino Linotype" w:hAnsi="Palatino Linotype" w:cs="Tahoma"/>
          <w:color w:val="000000" w:themeColor="text1"/>
          <w:sz w:val="22"/>
          <w:szCs w:val="22"/>
        </w:rPr>
        <w:t xml:space="preserve">Versión pública de </w:t>
      </w:r>
      <w:r w:rsidR="003214A2">
        <w:rPr>
          <w:rFonts w:ascii="Palatino Linotype" w:hAnsi="Palatino Linotype" w:cs="Tahoma"/>
          <w:color w:val="000000" w:themeColor="text1"/>
          <w:sz w:val="22"/>
          <w:szCs w:val="22"/>
        </w:rPr>
        <w:t>dos</w:t>
      </w:r>
      <w:r w:rsidR="0053723B" w:rsidRPr="0053723B">
        <w:rPr>
          <w:rFonts w:ascii="Palatino Linotype" w:hAnsi="Palatino Linotype" w:cs="Tahoma"/>
          <w:color w:val="000000" w:themeColor="text1"/>
          <w:sz w:val="22"/>
          <w:szCs w:val="22"/>
        </w:rPr>
        <w:t xml:space="preserve"> fianzas respecto al contrato con número </w:t>
      </w:r>
      <w:r w:rsidR="0053723B" w:rsidRPr="0053723B">
        <w:rPr>
          <w:rFonts w:ascii="Palatino Linotype" w:hAnsi="Palatino Linotype" w:cs="Tahoma"/>
          <w:bCs/>
          <w:color w:val="000000" w:themeColor="text1"/>
          <w:sz w:val="22"/>
          <w:szCs w:val="22"/>
        </w:rPr>
        <w:t>NR-DOP-FISMDF-LP-00</w:t>
      </w:r>
      <w:r w:rsidR="003214A2">
        <w:rPr>
          <w:rFonts w:ascii="Palatino Linotype" w:hAnsi="Palatino Linotype" w:cs="Tahoma"/>
          <w:bCs/>
          <w:color w:val="000000" w:themeColor="text1"/>
          <w:sz w:val="22"/>
          <w:szCs w:val="22"/>
        </w:rPr>
        <w:t>2</w:t>
      </w:r>
      <w:r w:rsidR="0053723B" w:rsidRPr="0053723B">
        <w:rPr>
          <w:rFonts w:ascii="Palatino Linotype" w:hAnsi="Palatino Linotype" w:cs="Tahoma"/>
          <w:bCs/>
          <w:color w:val="000000" w:themeColor="text1"/>
          <w:sz w:val="22"/>
          <w:szCs w:val="22"/>
        </w:rPr>
        <w:t>-19.</w:t>
      </w:r>
    </w:p>
    <w:p w14:paraId="60A18268" w14:textId="77777777"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7A03E133" w14:textId="75AF1619" w:rsidR="0053723B" w:rsidRPr="0053723B" w:rsidRDefault="005C2E64" w:rsidP="0053723B">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vi)</w:t>
      </w:r>
      <w:r w:rsidR="0053723B">
        <w:rPr>
          <w:rFonts w:ascii="Palatino Linotype" w:hAnsi="Palatino Linotype" w:cs="Tahoma"/>
          <w:color w:val="000000" w:themeColor="text1"/>
          <w:sz w:val="22"/>
          <w:szCs w:val="22"/>
        </w:rPr>
        <w:t xml:space="preserve"> </w:t>
      </w:r>
      <w:r w:rsidR="0053723B" w:rsidRPr="0053723B">
        <w:rPr>
          <w:rFonts w:ascii="Palatino Linotype" w:hAnsi="Palatino Linotype" w:cs="Tahoma"/>
          <w:color w:val="000000" w:themeColor="text1"/>
          <w:sz w:val="22"/>
          <w:szCs w:val="22"/>
        </w:rPr>
        <w:t xml:space="preserve">Versión pública de </w:t>
      </w:r>
      <w:r w:rsidR="003214A2">
        <w:rPr>
          <w:rFonts w:ascii="Palatino Linotype" w:hAnsi="Palatino Linotype" w:cs="Tahoma"/>
          <w:color w:val="000000" w:themeColor="text1"/>
          <w:sz w:val="22"/>
          <w:szCs w:val="22"/>
        </w:rPr>
        <w:t>dos</w:t>
      </w:r>
      <w:r w:rsidR="0053723B" w:rsidRPr="0053723B">
        <w:rPr>
          <w:rFonts w:ascii="Palatino Linotype" w:hAnsi="Palatino Linotype" w:cs="Tahoma"/>
          <w:color w:val="000000" w:themeColor="text1"/>
          <w:sz w:val="22"/>
          <w:szCs w:val="22"/>
        </w:rPr>
        <w:t xml:space="preserve"> fianzas respecto al contrato con número </w:t>
      </w:r>
      <w:r w:rsidR="0053723B" w:rsidRPr="0053723B">
        <w:rPr>
          <w:rFonts w:ascii="Palatino Linotype" w:hAnsi="Palatino Linotype" w:cs="Tahoma"/>
          <w:bCs/>
          <w:color w:val="000000" w:themeColor="text1"/>
          <w:sz w:val="22"/>
          <w:szCs w:val="22"/>
        </w:rPr>
        <w:t>NR-DOP-FISMDF-LP-00</w:t>
      </w:r>
      <w:r w:rsidR="003214A2">
        <w:rPr>
          <w:rFonts w:ascii="Palatino Linotype" w:hAnsi="Palatino Linotype" w:cs="Tahoma"/>
          <w:bCs/>
          <w:color w:val="000000" w:themeColor="text1"/>
          <w:sz w:val="22"/>
          <w:szCs w:val="22"/>
        </w:rPr>
        <w:t>3</w:t>
      </w:r>
      <w:r w:rsidR="0053723B" w:rsidRPr="0053723B">
        <w:rPr>
          <w:rFonts w:ascii="Palatino Linotype" w:hAnsi="Palatino Linotype" w:cs="Tahoma"/>
          <w:bCs/>
          <w:color w:val="000000" w:themeColor="text1"/>
          <w:sz w:val="22"/>
          <w:szCs w:val="22"/>
        </w:rPr>
        <w:t>-19.</w:t>
      </w:r>
    </w:p>
    <w:p w14:paraId="3463F4D8" w14:textId="77777777"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67FCF5FF" w14:textId="10D00DC3" w:rsidR="0053723B" w:rsidRPr="0053723B" w:rsidRDefault="005C2E64" w:rsidP="0053723B">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vii)</w:t>
      </w:r>
      <w:r w:rsidR="0053723B" w:rsidRPr="0053723B">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w:t>
      </w:r>
      <w:r w:rsidR="0053723B" w:rsidRPr="0053723B">
        <w:rPr>
          <w:rFonts w:ascii="Palatino Linotype" w:hAnsi="Palatino Linotype" w:cs="Tahoma"/>
          <w:color w:val="000000" w:themeColor="text1"/>
          <w:sz w:val="22"/>
          <w:szCs w:val="22"/>
        </w:rPr>
        <w:t xml:space="preserve"> fianzas respecto al contrato con número </w:t>
      </w:r>
      <w:r w:rsidR="0053723B" w:rsidRPr="0053723B">
        <w:rPr>
          <w:rFonts w:ascii="Palatino Linotype" w:hAnsi="Palatino Linotype" w:cs="Tahoma"/>
          <w:bCs/>
          <w:color w:val="000000" w:themeColor="text1"/>
          <w:sz w:val="22"/>
          <w:szCs w:val="22"/>
        </w:rPr>
        <w:t>NR-DOP-FISMDF-</w:t>
      </w:r>
      <w:r w:rsidR="003214A2">
        <w:rPr>
          <w:rFonts w:ascii="Palatino Linotype" w:hAnsi="Palatino Linotype" w:cs="Tahoma"/>
          <w:bCs/>
          <w:color w:val="000000" w:themeColor="text1"/>
          <w:sz w:val="22"/>
          <w:szCs w:val="22"/>
        </w:rPr>
        <w:t>IR-004</w:t>
      </w:r>
      <w:r w:rsidR="0053723B" w:rsidRPr="0053723B">
        <w:rPr>
          <w:rFonts w:ascii="Palatino Linotype" w:hAnsi="Palatino Linotype" w:cs="Tahoma"/>
          <w:bCs/>
          <w:color w:val="000000" w:themeColor="text1"/>
          <w:sz w:val="22"/>
          <w:szCs w:val="22"/>
        </w:rPr>
        <w:t>-19.</w:t>
      </w:r>
    </w:p>
    <w:p w14:paraId="79B4D197" w14:textId="156E1052"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04AB20FF" w14:textId="20F1FE86" w:rsidR="0053723B" w:rsidRPr="0053723B" w:rsidRDefault="005C2E64" w:rsidP="0053723B">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viii)</w:t>
      </w:r>
      <w:r w:rsidR="0053723B" w:rsidRPr="0053723B">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w:t>
      </w:r>
      <w:r w:rsidR="0053723B" w:rsidRPr="0053723B">
        <w:rPr>
          <w:rFonts w:ascii="Palatino Linotype" w:hAnsi="Palatino Linotype" w:cs="Tahoma"/>
          <w:color w:val="000000" w:themeColor="text1"/>
          <w:sz w:val="22"/>
          <w:szCs w:val="22"/>
        </w:rPr>
        <w:t xml:space="preserve"> fianzas respecto al contrato con número </w:t>
      </w:r>
      <w:r w:rsidR="0053723B" w:rsidRPr="0053723B">
        <w:rPr>
          <w:rFonts w:ascii="Palatino Linotype" w:hAnsi="Palatino Linotype" w:cs="Tahoma"/>
          <w:bCs/>
          <w:color w:val="000000" w:themeColor="text1"/>
          <w:sz w:val="22"/>
          <w:szCs w:val="22"/>
        </w:rPr>
        <w:t>NR-DOP-FISMDF-</w:t>
      </w:r>
      <w:r w:rsidR="00D52523">
        <w:rPr>
          <w:rFonts w:ascii="Palatino Linotype" w:hAnsi="Palatino Linotype" w:cs="Tahoma"/>
          <w:bCs/>
          <w:color w:val="000000" w:themeColor="text1"/>
          <w:sz w:val="22"/>
          <w:szCs w:val="22"/>
        </w:rPr>
        <w:t>IR-005</w:t>
      </w:r>
      <w:r w:rsidR="0053723B" w:rsidRPr="0053723B">
        <w:rPr>
          <w:rFonts w:ascii="Palatino Linotype" w:hAnsi="Palatino Linotype" w:cs="Tahoma"/>
          <w:bCs/>
          <w:color w:val="000000" w:themeColor="text1"/>
          <w:sz w:val="22"/>
          <w:szCs w:val="22"/>
        </w:rPr>
        <w:t>-19.</w:t>
      </w:r>
    </w:p>
    <w:p w14:paraId="30941D1D" w14:textId="1D9FAD61"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19245EC8" w14:textId="23EF8AE0" w:rsidR="003214A2" w:rsidRPr="003214A2" w:rsidRDefault="005C2E64" w:rsidP="003214A2">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ix)</w:t>
      </w:r>
      <w:r w:rsidR="003214A2" w:rsidRPr="003214A2">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 fianzas</w:t>
      </w:r>
      <w:r w:rsidR="003214A2" w:rsidRPr="003214A2">
        <w:rPr>
          <w:rFonts w:ascii="Palatino Linotype" w:hAnsi="Palatino Linotype" w:cs="Tahoma"/>
          <w:color w:val="000000" w:themeColor="text1"/>
          <w:sz w:val="22"/>
          <w:szCs w:val="22"/>
        </w:rPr>
        <w:t xml:space="preserve"> respecto al contrato con número </w:t>
      </w:r>
      <w:r w:rsidR="003214A2" w:rsidRPr="003214A2">
        <w:rPr>
          <w:rFonts w:ascii="Palatino Linotype" w:hAnsi="Palatino Linotype" w:cs="Tahoma"/>
          <w:bCs/>
          <w:color w:val="000000" w:themeColor="text1"/>
          <w:sz w:val="22"/>
          <w:szCs w:val="22"/>
        </w:rPr>
        <w:t>NR-DOP-FISMDF-</w:t>
      </w:r>
      <w:r w:rsidR="00D52523">
        <w:rPr>
          <w:rFonts w:ascii="Palatino Linotype" w:hAnsi="Palatino Linotype" w:cs="Tahoma"/>
          <w:bCs/>
          <w:color w:val="000000" w:themeColor="text1"/>
          <w:sz w:val="22"/>
          <w:szCs w:val="22"/>
        </w:rPr>
        <w:t>IR</w:t>
      </w:r>
      <w:r w:rsidR="003214A2" w:rsidRPr="003214A2">
        <w:rPr>
          <w:rFonts w:ascii="Palatino Linotype" w:hAnsi="Palatino Linotype" w:cs="Tahoma"/>
          <w:bCs/>
          <w:color w:val="000000" w:themeColor="text1"/>
          <w:sz w:val="22"/>
          <w:szCs w:val="22"/>
        </w:rPr>
        <w:t>-00</w:t>
      </w:r>
      <w:r w:rsidR="00D52523">
        <w:rPr>
          <w:rFonts w:ascii="Palatino Linotype" w:hAnsi="Palatino Linotype" w:cs="Tahoma"/>
          <w:bCs/>
          <w:color w:val="000000" w:themeColor="text1"/>
          <w:sz w:val="22"/>
          <w:szCs w:val="22"/>
        </w:rPr>
        <w:t>6</w:t>
      </w:r>
      <w:r w:rsidR="003214A2" w:rsidRPr="003214A2">
        <w:rPr>
          <w:rFonts w:ascii="Palatino Linotype" w:hAnsi="Palatino Linotype" w:cs="Tahoma"/>
          <w:bCs/>
          <w:color w:val="000000" w:themeColor="text1"/>
          <w:sz w:val="22"/>
          <w:szCs w:val="22"/>
        </w:rPr>
        <w:t>-19.</w:t>
      </w:r>
    </w:p>
    <w:p w14:paraId="37ED1511" w14:textId="53310FFD"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6A61F72C" w14:textId="77777777" w:rsidR="007D1CD9" w:rsidRDefault="007D1CD9"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3D26AF0F" w14:textId="7EC1E9F6" w:rsidR="003214A2" w:rsidRPr="003214A2" w:rsidRDefault="005C2E64" w:rsidP="003214A2">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lastRenderedPageBreak/>
        <w:t xml:space="preserve">x) </w:t>
      </w:r>
      <w:r w:rsidR="003214A2" w:rsidRPr="003214A2">
        <w:rPr>
          <w:rFonts w:ascii="Palatino Linotype" w:hAnsi="Palatino Linotype" w:cs="Tahoma"/>
          <w:color w:val="000000" w:themeColor="text1"/>
          <w:sz w:val="22"/>
          <w:szCs w:val="22"/>
        </w:rPr>
        <w:t xml:space="preserve">Versión pública de </w:t>
      </w:r>
      <w:r w:rsidR="00D52523">
        <w:rPr>
          <w:rFonts w:ascii="Palatino Linotype" w:hAnsi="Palatino Linotype" w:cs="Tahoma"/>
          <w:color w:val="000000" w:themeColor="text1"/>
          <w:sz w:val="22"/>
          <w:szCs w:val="22"/>
        </w:rPr>
        <w:t>dos fianzas</w:t>
      </w:r>
      <w:r w:rsidR="003214A2" w:rsidRPr="003214A2">
        <w:rPr>
          <w:rFonts w:ascii="Palatino Linotype" w:hAnsi="Palatino Linotype" w:cs="Tahoma"/>
          <w:color w:val="000000" w:themeColor="text1"/>
          <w:sz w:val="22"/>
          <w:szCs w:val="22"/>
        </w:rPr>
        <w:t xml:space="preserve"> respecto al contrato con número </w:t>
      </w:r>
      <w:r w:rsidR="003214A2" w:rsidRPr="003214A2">
        <w:rPr>
          <w:rFonts w:ascii="Palatino Linotype" w:hAnsi="Palatino Linotype" w:cs="Tahoma"/>
          <w:bCs/>
          <w:color w:val="000000" w:themeColor="text1"/>
          <w:sz w:val="22"/>
          <w:szCs w:val="22"/>
        </w:rPr>
        <w:t>NR-DOP-FISMDF-</w:t>
      </w:r>
      <w:r w:rsidR="00D52523">
        <w:rPr>
          <w:rFonts w:ascii="Palatino Linotype" w:hAnsi="Palatino Linotype" w:cs="Tahoma"/>
          <w:bCs/>
          <w:color w:val="000000" w:themeColor="text1"/>
          <w:sz w:val="22"/>
          <w:szCs w:val="22"/>
        </w:rPr>
        <w:t>IR-007</w:t>
      </w:r>
      <w:r w:rsidR="003214A2" w:rsidRPr="003214A2">
        <w:rPr>
          <w:rFonts w:ascii="Palatino Linotype" w:hAnsi="Palatino Linotype" w:cs="Tahoma"/>
          <w:bCs/>
          <w:color w:val="000000" w:themeColor="text1"/>
          <w:sz w:val="22"/>
          <w:szCs w:val="22"/>
        </w:rPr>
        <w:t>-19.</w:t>
      </w:r>
    </w:p>
    <w:p w14:paraId="42DBD620" w14:textId="1B02D8BF" w:rsidR="005C2E64" w:rsidRDefault="005C2E64"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3C0C68B5" w14:textId="4248EFF9" w:rsidR="003214A2" w:rsidRPr="003214A2" w:rsidRDefault="0053723B" w:rsidP="003214A2">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xi)</w:t>
      </w:r>
      <w:r w:rsidR="003214A2" w:rsidRPr="003214A2">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 fianzas</w:t>
      </w:r>
      <w:r w:rsidR="003214A2" w:rsidRPr="003214A2">
        <w:rPr>
          <w:rFonts w:ascii="Palatino Linotype" w:hAnsi="Palatino Linotype" w:cs="Tahoma"/>
          <w:color w:val="000000" w:themeColor="text1"/>
          <w:sz w:val="22"/>
          <w:szCs w:val="22"/>
        </w:rPr>
        <w:t xml:space="preserve"> respecto al contrato con número </w:t>
      </w:r>
      <w:r w:rsidR="00386602">
        <w:rPr>
          <w:rFonts w:ascii="Palatino Linotype" w:hAnsi="Palatino Linotype" w:cs="Tahoma"/>
          <w:bCs/>
          <w:color w:val="000000" w:themeColor="text1"/>
          <w:sz w:val="22"/>
          <w:szCs w:val="22"/>
        </w:rPr>
        <w:t>NR-DOP-FISMDF-IR-008</w:t>
      </w:r>
      <w:r w:rsidR="003214A2" w:rsidRPr="003214A2">
        <w:rPr>
          <w:rFonts w:ascii="Palatino Linotype" w:hAnsi="Palatino Linotype" w:cs="Tahoma"/>
          <w:bCs/>
          <w:color w:val="000000" w:themeColor="text1"/>
          <w:sz w:val="22"/>
          <w:szCs w:val="22"/>
        </w:rPr>
        <w:t>-19.</w:t>
      </w:r>
    </w:p>
    <w:p w14:paraId="3795BA16" w14:textId="45E260AB"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60A0B4CC" w14:textId="2446D2A5" w:rsidR="003214A2" w:rsidRPr="003214A2" w:rsidRDefault="0053723B" w:rsidP="003214A2">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xii)</w:t>
      </w:r>
      <w:r w:rsidR="003214A2" w:rsidRPr="003214A2">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 fianzas</w:t>
      </w:r>
      <w:r w:rsidR="003214A2" w:rsidRPr="003214A2">
        <w:rPr>
          <w:rFonts w:ascii="Palatino Linotype" w:hAnsi="Palatino Linotype" w:cs="Tahoma"/>
          <w:color w:val="000000" w:themeColor="text1"/>
          <w:sz w:val="22"/>
          <w:szCs w:val="22"/>
        </w:rPr>
        <w:t xml:space="preserve"> respecto al contrato con número </w:t>
      </w:r>
      <w:r w:rsidR="003214A2" w:rsidRPr="003214A2">
        <w:rPr>
          <w:rFonts w:ascii="Palatino Linotype" w:hAnsi="Palatino Linotype" w:cs="Tahoma"/>
          <w:bCs/>
          <w:color w:val="000000" w:themeColor="text1"/>
          <w:sz w:val="22"/>
          <w:szCs w:val="22"/>
        </w:rPr>
        <w:t>NR-DOP-FISMDF-LP-00</w:t>
      </w:r>
      <w:r w:rsidR="00386602">
        <w:rPr>
          <w:rFonts w:ascii="Palatino Linotype" w:hAnsi="Palatino Linotype" w:cs="Tahoma"/>
          <w:bCs/>
          <w:color w:val="000000" w:themeColor="text1"/>
          <w:sz w:val="22"/>
          <w:szCs w:val="22"/>
        </w:rPr>
        <w:t>9</w:t>
      </w:r>
      <w:r w:rsidR="003214A2" w:rsidRPr="003214A2">
        <w:rPr>
          <w:rFonts w:ascii="Palatino Linotype" w:hAnsi="Palatino Linotype" w:cs="Tahoma"/>
          <w:bCs/>
          <w:color w:val="000000" w:themeColor="text1"/>
          <w:sz w:val="22"/>
          <w:szCs w:val="22"/>
        </w:rPr>
        <w:t>-19.</w:t>
      </w:r>
    </w:p>
    <w:p w14:paraId="18A354A5" w14:textId="1E836ECA"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0CC4CB19" w14:textId="49D4DD40" w:rsidR="003214A2" w:rsidRPr="003214A2" w:rsidRDefault="0053723B" w:rsidP="003214A2">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xiii)</w:t>
      </w:r>
      <w:r w:rsidR="003214A2" w:rsidRPr="003214A2">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 fianzas</w:t>
      </w:r>
      <w:r w:rsidR="003214A2" w:rsidRPr="003214A2">
        <w:rPr>
          <w:rFonts w:ascii="Palatino Linotype" w:hAnsi="Palatino Linotype" w:cs="Tahoma"/>
          <w:color w:val="000000" w:themeColor="text1"/>
          <w:sz w:val="22"/>
          <w:szCs w:val="22"/>
        </w:rPr>
        <w:t xml:space="preserve"> respecto al contrato con número </w:t>
      </w:r>
      <w:r w:rsidR="003214A2" w:rsidRPr="003214A2">
        <w:rPr>
          <w:rFonts w:ascii="Palatino Linotype" w:hAnsi="Palatino Linotype" w:cs="Tahoma"/>
          <w:bCs/>
          <w:color w:val="000000" w:themeColor="text1"/>
          <w:sz w:val="22"/>
          <w:szCs w:val="22"/>
        </w:rPr>
        <w:t>NR-DOP-FISMDF-LP-0</w:t>
      </w:r>
      <w:r w:rsidR="00386602">
        <w:rPr>
          <w:rFonts w:ascii="Palatino Linotype" w:hAnsi="Palatino Linotype" w:cs="Tahoma"/>
          <w:bCs/>
          <w:color w:val="000000" w:themeColor="text1"/>
          <w:sz w:val="22"/>
          <w:szCs w:val="22"/>
        </w:rPr>
        <w:t>10</w:t>
      </w:r>
      <w:r w:rsidR="003214A2" w:rsidRPr="003214A2">
        <w:rPr>
          <w:rFonts w:ascii="Palatino Linotype" w:hAnsi="Palatino Linotype" w:cs="Tahoma"/>
          <w:bCs/>
          <w:color w:val="000000" w:themeColor="text1"/>
          <w:sz w:val="22"/>
          <w:szCs w:val="22"/>
        </w:rPr>
        <w:t>-19.</w:t>
      </w:r>
    </w:p>
    <w:p w14:paraId="6A06FF55" w14:textId="6EEB664D"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2CADED98" w14:textId="4B1F40D1" w:rsidR="003214A2" w:rsidRPr="003214A2" w:rsidRDefault="0053723B" w:rsidP="003214A2">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xiv)</w:t>
      </w:r>
      <w:r w:rsidR="003214A2" w:rsidRPr="003214A2">
        <w:rPr>
          <w:rFonts w:ascii="Palatino Linotype" w:hAnsi="Palatino Linotype" w:cs="Tahoma"/>
          <w:color w:val="000000" w:themeColor="text1"/>
          <w:sz w:val="22"/>
          <w:szCs w:val="22"/>
        </w:rPr>
        <w:t xml:space="preserve"> Versión pública de </w:t>
      </w:r>
      <w:r w:rsidR="00D52523">
        <w:rPr>
          <w:rFonts w:ascii="Palatino Linotype" w:hAnsi="Palatino Linotype" w:cs="Tahoma"/>
          <w:color w:val="000000" w:themeColor="text1"/>
          <w:sz w:val="22"/>
          <w:szCs w:val="22"/>
        </w:rPr>
        <w:t>dos fianzas</w:t>
      </w:r>
      <w:r w:rsidR="003214A2" w:rsidRPr="003214A2">
        <w:rPr>
          <w:rFonts w:ascii="Palatino Linotype" w:hAnsi="Palatino Linotype" w:cs="Tahoma"/>
          <w:color w:val="000000" w:themeColor="text1"/>
          <w:sz w:val="22"/>
          <w:szCs w:val="22"/>
        </w:rPr>
        <w:t xml:space="preserve"> respecto al contrato con número </w:t>
      </w:r>
      <w:r w:rsidR="00386602">
        <w:rPr>
          <w:rFonts w:ascii="Palatino Linotype" w:hAnsi="Palatino Linotype" w:cs="Tahoma"/>
          <w:bCs/>
          <w:color w:val="000000" w:themeColor="text1"/>
          <w:sz w:val="22"/>
          <w:szCs w:val="22"/>
        </w:rPr>
        <w:t>NR-DOP-FISMDF-LP-01</w:t>
      </w:r>
      <w:r w:rsidR="003214A2" w:rsidRPr="003214A2">
        <w:rPr>
          <w:rFonts w:ascii="Palatino Linotype" w:hAnsi="Palatino Linotype" w:cs="Tahoma"/>
          <w:bCs/>
          <w:color w:val="000000" w:themeColor="text1"/>
          <w:sz w:val="22"/>
          <w:szCs w:val="22"/>
        </w:rPr>
        <w:t>1-19.</w:t>
      </w:r>
    </w:p>
    <w:p w14:paraId="57C0830B" w14:textId="5D6A7BE8"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59206D30" w14:textId="62615950"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xv)</w:t>
      </w:r>
      <w:r w:rsidR="00386602">
        <w:rPr>
          <w:rFonts w:ascii="Palatino Linotype" w:hAnsi="Palatino Linotype" w:cs="Tahoma"/>
          <w:color w:val="000000" w:themeColor="text1"/>
          <w:sz w:val="22"/>
          <w:szCs w:val="22"/>
        </w:rPr>
        <w:t xml:space="preserve"> Acuerdo</w:t>
      </w:r>
      <w:r w:rsidR="007B7A1C">
        <w:rPr>
          <w:rFonts w:ascii="Palatino Linotype" w:hAnsi="Palatino Linotype" w:cs="Tahoma"/>
          <w:color w:val="000000" w:themeColor="text1"/>
          <w:sz w:val="22"/>
          <w:szCs w:val="22"/>
        </w:rPr>
        <w:t xml:space="preserve"> número 86, de la Décima Segunda Sesión Extraordinaria, del dos de septiembre de dos mil diecinueve, suscrito por el Comité de Transparencia del Ayuntamiento de Nicolás Romero, cuyo contenido es el siguiente:</w:t>
      </w:r>
    </w:p>
    <w:p w14:paraId="4BAC33EB" w14:textId="77777777" w:rsidR="007B7A1C" w:rsidRDefault="007B7A1C"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2850A0C1" w14:textId="02A95722" w:rsidR="007B7A1C" w:rsidRDefault="007B7A1C" w:rsidP="00EE01FE">
      <w:pPr>
        <w:autoSpaceDE w:val="0"/>
        <w:autoSpaceDN w:val="0"/>
        <w:adjustRightInd w:val="0"/>
        <w:spacing w:line="360" w:lineRule="auto"/>
        <w:ind w:left="567" w:right="567"/>
        <w:jc w:val="both"/>
        <w:rPr>
          <w:rFonts w:ascii="Palatino Linotype" w:hAnsi="Palatino Linotype" w:cs="Tahoma"/>
          <w:color w:val="000000" w:themeColor="text1"/>
        </w:rPr>
      </w:pPr>
      <w:r w:rsidRPr="007B7A1C">
        <w:rPr>
          <w:rFonts w:ascii="Palatino Linotype" w:hAnsi="Palatino Linotype" w:cs="Tahoma"/>
          <w:color w:val="000000" w:themeColor="text1"/>
        </w:rPr>
        <w:t>“…</w:t>
      </w:r>
    </w:p>
    <w:p w14:paraId="364BDC48" w14:textId="77777777" w:rsidR="00105732" w:rsidRDefault="00105732"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5E85844E" wp14:editId="4AF94826">
            <wp:extent cx="4981723" cy="1701209"/>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038" b="24154"/>
                    <a:stretch/>
                  </pic:blipFill>
                  <pic:spPr bwMode="auto">
                    <a:xfrm>
                      <a:off x="0" y="0"/>
                      <a:ext cx="5007745" cy="1710095"/>
                    </a:xfrm>
                    <a:prstGeom prst="rect">
                      <a:avLst/>
                    </a:prstGeom>
                    <a:ln>
                      <a:noFill/>
                    </a:ln>
                    <a:extLst>
                      <a:ext uri="{53640926-AAD7-44D8-BBD7-CCE9431645EC}">
                        <a14:shadowObscured xmlns:a14="http://schemas.microsoft.com/office/drawing/2010/main"/>
                      </a:ext>
                    </a:extLst>
                  </pic:spPr>
                </pic:pic>
              </a:graphicData>
            </a:graphic>
          </wp:inline>
        </w:drawing>
      </w:r>
    </w:p>
    <w:p w14:paraId="1D5B6FAE" w14:textId="174E9000" w:rsidR="00EE01FE" w:rsidRDefault="00105732"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559D1050" wp14:editId="2B2F0C30">
            <wp:extent cx="4985849" cy="552923"/>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6681"/>
                    <a:stretch/>
                  </pic:blipFill>
                  <pic:spPr bwMode="auto">
                    <a:xfrm>
                      <a:off x="0" y="0"/>
                      <a:ext cx="5007745" cy="555351"/>
                    </a:xfrm>
                    <a:prstGeom prst="rect">
                      <a:avLst/>
                    </a:prstGeom>
                    <a:ln>
                      <a:noFill/>
                    </a:ln>
                    <a:extLst>
                      <a:ext uri="{53640926-AAD7-44D8-BBD7-CCE9431645EC}">
                        <a14:shadowObscured xmlns:a14="http://schemas.microsoft.com/office/drawing/2010/main"/>
                      </a:ext>
                    </a:extLst>
                  </pic:spPr>
                </pic:pic>
              </a:graphicData>
            </a:graphic>
          </wp:inline>
        </w:drawing>
      </w:r>
    </w:p>
    <w:p w14:paraId="02D3A036" w14:textId="3E7CF8F5" w:rsidR="00105732" w:rsidRDefault="00105732"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5B67A672" wp14:editId="08FF3C2F">
            <wp:extent cx="5007935" cy="6283729"/>
            <wp:effectExtent l="0" t="0" r="254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9077" cy="6297709"/>
                    </a:xfrm>
                    <a:prstGeom prst="rect">
                      <a:avLst/>
                    </a:prstGeom>
                  </pic:spPr>
                </pic:pic>
              </a:graphicData>
            </a:graphic>
          </wp:inline>
        </w:drawing>
      </w:r>
    </w:p>
    <w:p w14:paraId="69DFCCB0" w14:textId="77777777" w:rsidR="00225CE6" w:rsidRDefault="00225CE6" w:rsidP="00EE01FE">
      <w:pPr>
        <w:autoSpaceDE w:val="0"/>
        <w:autoSpaceDN w:val="0"/>
        <w:adjustRightInd w:val="0"/>
        <w:spacing w:line="360" w:lineRule="auto"/>
        <w:ind w:left="567" w:right="567"/>
        <w:jc w:val="both"/>
        <w:rPr>
          <w:rFonts w:ascii="Palatino Linotype" w:hAnsi="Palatino Linotype" w:cs="Tahoma"/>
          <w:color w:val="000000" w:themeColor="text1"/>
        </w:rPr>
      </w:pPr>
    </w:p>
    <w:p w14:paraId="49BC71CD" w14:textId="38C356F7" w:rsidR="00225CE6" w:rsidRPr="007B7A1C" w:rsidRDefault="00225CE6"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38EC18B9" wp14:editId="55C2F86E">
            <wp:extent cx="5039833" cy="6137629"/>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5422" cy="6144435"/>
                    </a:xfrm>
                    <a:prstGeom prst="rect">
                      <a:avLst/>
                    </a:prstGeom>
                  </pic:spPr>
                </pic:pic>
              </a:graphicData>
            </a:graphic>
          </wp:inline>
        </w:drawing>
      </w:r>
    </w:p>
    <w:p w14:paraId="33C1743F" w14:textId="4704D28A" w:rsidR="00225CE6" w:rsidRDefault="00225CE6"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1F0DC6BC" wp14:editId="0C839EEC">
            <wp:extent cx="5012242" cy="129717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9320"/>
                    <a:stretch/>
                  </pic:blipFill>
                  <pic:spPr bwMode="auto">
                    <a:xfrm>
                      <a:off x="0" y="0"/>
                      <a:ext cx="5020731" cy="1299369"/>
                    </a:xfrm>
                    <a:prstGeom prst="rect">
                      <a:avLst/>
                    </a:prstGeom>
                    <a:ln>
                      <a:noFill/>
                    </a:ln>
                    <a:extLst>
                      <a:ext uri="{53640926-AAD7-44D8-BBD7-CCE9431645EC}">
                        <a14:shadowObscured xmlns:a14="http://schemas.microsoft.com/office/drawing/2010/main"/>
                      </a:ext>
                    </a:extLst>
                  </pic:spPr>
                </pic:pic>
              </a:graphicData>
            </a:graphic>
          </wp:inline>
        </w:drawing>
      </w:r>
    </w:p>
    <w:p w14:paraId="7FA9EF21" w14:textId="68429C09" w:rsidR="00225CE6" w:rsidRDefault="00225CE6"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5E68F6DC" wp14:editId="025B3E45">
            <wp:extent cx="5012690" cy="49758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679"/>
                    <a:stretch/>
                  </pic:blipFill>
                  <pic:spPr bwMode="auto">
                    <a:xfrm>
                      <a:off x="0" y="0"/>
                      <a:ext cx="5020731" cy="4983878"/>
                    </a:xfrm>
                    <a:prstGeom prst="rect">
                      <a:avLst/>
                    </a:prstGeom>
                    <a:ln>
                      <a:noFill/>
                    </a:ln>
                    <a:extLst>
                      <a:ext uri="{53640926-AAD7-44D8-BBD7-CCE9431645EC}">
                        <a14:shadowObscured xmlns:a14="http://schemas.microsoft.com/office/drawing/2010/main"/>
                      </a:ext>
                    </a:extLst>
                  </pic:spPr>
                </pic:pic>
              </a:graphicData>
            </a:graphic>
          </wp:inline>
        </w:drawing>
      </w:r>
    </w:p>
    <w:p w14:paraId="1F955806" w14:textId="6018A3F8" w:rsidR="00225CE6" w:rsidRDefault="00225CE6"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2C573C5C" wp14:editId="036B3080">
            <wp:extent cx="5060229" cy="2073349"/>
            <wp:effectExtent l="0" t="0" r="762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7391"/>
                    <a:stretch/>
                  </pic:blipFill>
                  <pic:spPr bwMode="auto">
                    <a:xfrm>
                      <a:off x="0" y="0"/>
                      <a:ext cx="5068560" cy="2076762"/>
                    </a:xfrm>
                    <a:prstGeom prst="rect">
                      <a:avLst/>
                    </a:prstGeom>
                    <a:ln>
                      <a:noFill/>
                    </a:ln>
                    <a:extLst>
                      <a:ext uri="{53640926-AAD7-44D8-BBD7-CCE9431645EC}">
                        <a14:shadowObscured xmlns:a14="http://schemas.microsoft.com/office/drawing/2010/main"/>
                      </a:ext>
                    </a:extLst>
                  </pic:spPr>
                </pic:pic>
              </a:graphicData>
            </a:graphic>
          </wp:inline>
        </w:drawing>
      </w:r>
    </w:p>
    <w:p w14:paraId="2208B7F9" w14:textId="3975B8D0" w:rsidR="00225CE6" w:rsidRDefault="00225CE6"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743FD801" wp14:editId="6E431CC1">
            <wp:extent cx="5060701" cy="4189848"/>
            <wp:effectExtent l="0" t="0" r="698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4110"/>
                    <a:stretch/>
                  </pic:blipFill>
                  <pic:spPr bwMode="auto">
                    <a:xfrm>
                      <a:off x="0" y="0"/>
                      <a:ext cx="5068560" cy="4196355"/>
                    </a:xfrm>
                    <a:prstGeom prst="rect">
                      <a:avLst/>
                    </a:prstGeom>
                    <a:ln>
                      <a:noFill/>
                    </a:ln>
                    <a:extLst>
                      <a:ext uri="{53640926-AAD7-44D8-BBD7-CCE9431645EC}">
                        <a14:shadowObscured xmlns:a14="http://schemas.microsoft.com/office/drawing/2010/main"/>
                      </a:ext>
                    </a:extLst>
                  </pic:spPr>
                </pic:pic>
              </a:graphicData>
            </a:graphic>
          </wp:inline>
        </w:drawing>
      </w:r>
    </w:p>
    <w:p w14:paraId="3F5EAE6E" w14:textId="4DBE6EA1" w:rsidR="00225CE6" w:rsidRDefault="009C4AC3"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1DA6F487" wp14:editId="49AA2044">
            <wp:extent cx="5006417" cy="322166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47009"/>
                    <a:stretch/>
                  </pic:blipFill>
                  <pic:spPr bwMode="auto">
                    <a:xfrm>
                      <a:off x="0" y="0"/>
                      <a:ext cx="5013906" cy="3226484"/>
                    </a:xfrm>
                    <a:prstGeom prst="rect">
                      <a:avLst/>
                    </a:prstGeom>
                    <a:ln>
                      <a:noFill/>
                    </a:ln>
                    <a:extLst>
                      <a:ext uri="{53640926-AAD7-44D8-BBD7-CCE9431645EC}">
                        <a14:shadowObscured xmlns:a14="http://schemas.microsoft.com/office/drawing/2010/main"/>
                      </a:ext>
                    </a:extLst>
                  </pic:spPr>
                </pic:pic>
              </a:graphicData>
            </a:graphic>
          </wp:inline>
        </w:drawing>
      </w:r>
    </w:p>
    <w:p w14:paraId="76C911A1" w14:textId="1AB64C7F" w:rsidR="009C4AC3" w:rsidRDefault="009C4AC3"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5EA1531D" wp14:editId="30FB27F8">
            <wp:extent cx="5007610" cy="2827661"/>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3502"/>
                    <a:stretch/>
                  </pic:blipFill>
                  <pic:spPr bwMode="auto">
                    <a:xfrm>
                      <a:off x="0" y="0"/>
                      <a:ext cx="5013906" cy="2831216"/>
                    </a:xfrm>
                    <a:prstGeom prst="rect">
                      <a:avLst/>
                    </a:prstGeom>
                    <a:ln>
                      <a:noFill/>
                    </a:ln>
                    <a:extLst>
                      <a:ext uri="{53640926-AAD7-44D8-BBD7-CCE9431645EC}">
                        <a14:shadowObscured xmlns:a14="http://schemas.microsoft.com/office/drawing/2010/main"/>
                      </a:ext>
                    </a:extLst>
                  </pic:spPr>
                </pic:pic>
              </a:graphicData>
            </a:graphic>
          </wp:inline>
        </w:drawing>
      </w:r>
    </w:p>
    <w:p w14:paraId="2E567A0B" w14:textId="032998C0" w:rsidR="00225CE6" w:rsidRDefault="009C4AC3"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6DD5B56B" wp14:editId="415C90E7">
            <wp:extent cx="5007610" cy="3969433"/>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6008" cy="3976090"/>
                    </a:xfrm>
                    <a:prstGeom prst="rect">
                      <a:avLst/>
                    </a:prstGeom>
                  </pic:spPr>
                </pic:pic>
              </a:graphicData>
            </a:graphic>
          </wp:inline>
        </w:drawing>
      </w:r>
    </w:p>
    <w:p w14:paraId="4694C7CB" w14:textId="45FDC93E" w:rsidR="00225CE6" w:rsidRDefault="009C4AC3" w:rsidP="00EE01FE">
      <w:pPr>
        <w:autoSpaceDE w:val="0"/>
        <w:autoSpaceDN w:val="0"/>
        <w:adjustRightInd w:val="0"/>
        <w:spacing w:line="360" w:lineRule="auto"/>
        <w:ind w:left="567" w:right="567"/>
        <w:jc w:val="both"/>
        <w:rPr>
          <w:rFonts w:ascii="Palatino Linotype" w:hAnsi="Palatino Linotype" w:cs="Tahoma"/>
          <w:color w:val="000000" w:themeColor="text1"/>
        </w:rPr>
      </w:pPr>
      <w:r>
        <w:rPr>
          <w:rFonts w:ascii="Palatino Linotype" w:hAnsi="Palatino Linotype" w:cs="Tahoma"/>
          <w:color w:val="000000" w:themeColor="text1"/>
        </w:rPr>
        <w:t>…</w:t>
      </w:r>
    </w:p>
    <w:p w14:paraId="2E14DBCE" w14:textId="77777777" w:rsidR="00152326" w:rsidRDefault="00152326" w:rsidP="00EE01FE">
      <w:pPr>
        <w:autoSpaceDE w:val="0"/>
        <w:autoSpaceDN w:val="0"/>
        <w:adjustRightInd w:val="0"/>
        <w:spacing w:line="360" w:lineRule="auto"/>
        <w:ind w:left="567" w:right="567"/>
        <w:jc w:val="both"/>
        <w:rPr>
          <w:rFonts w:ascii="Palatino Linotype" w:hAnsi="Palatino Linotype" w:cs="Tahoma"/>
          <w:color w:val="000000" w:themeColor="text1"/>
        </w:rPr>
      </w:pPr>
    </w:p>
    <w:p w14:paraId="15EF6A15" w14:textId="587A94DB" w:rsidR="009C4AC3" w:rsidRDefault="009C4AC3" w:rsidP="00EE01FE">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71AD8A72" wp14:editId="610B51AD">
            <wp:extent cx="5050465" cy="17970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1860" cy="1811765"/>
                    </a:xfrm>
                    <a:prstGeom prst="rect">
                      <a:avLst/>
                    </a:prstGeom>
                  </pic:spPr>
                </pic:pic>
              </a:graphicData>
            </a:graphic>
          </wp:inline>
        </w:drawing>
      </w:r>
    </w:p>
    <w:p w14:paraId="35805512" w14:textId="15B9B4A0" w:rsidR="007B7A1C" w:rsidRDefault="007B7A1C" w:rsidP="00EE01FE">
      <w:pPr>
        <w:autoSpaceDE w:val="0"/>
        <w:autoSpaceDN w:val="0"/>
        <w:adjustRightInd w:val="0"/>
        <w:spacing w:line="360" w:lineRule="auto"/>
        <w:ind w:left="567" w:right="567"/>
        <w:jc w:val="both"/>
        <w:rPr>
          <w:rFonts w:ascii="Palatino Linotype" w:hAnsi="Palatino Linotype" w:cs="Tahoma"/>
          <w:color w:val="000000" w:themeColor="text1"/>
        </w:rPr>
      </w:pPr>
      <w:r w:rsidRPr="007B7A1C">
        <w:rPr>
          <w:rFonts w:ascii="Palatino Linotype" w:hAnsi="Palatino Linotype" w:cs="Tahoma"/>
          <w:color w:val="000000" w:themeColor="text1"/>
        </w:rPr>
        <w:t>…”</w:t>
      </w:r>
    </w:p>
    <w:p w14:paraId="3E81439F" w14:textId="77777777" w:rsidR="003214A2" w:rsidRDefault="003214A2"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58320BFD" w14:textId="0E119359" w:rsidR="0053723B" w:rsidRDefault="0053723B" w:rsidP="00447875">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xvi)</w:t>
      </w:r>
      <w:r w:rsidR="009C4AC3">
        <w:rPr>
          <w:rFonts w:ascii="Palatino Linotype" w:hAnsi="Palatino Linotype" w:cs="Tahoma"/>
          <w:color w:val="000000" w:themeColor="text1"/>
          <w:sz w:val="22"/>
          <w:szCs w:val="22"/>
        </w:rPr>
        <w:t xml:space="preserve"> </w:t>
      </w:r>
      <w:r w:rsidR="009C4AC3" w:rsidRPr="009C4AC3">
        <w:rPr>
          <w:rFonts w:ascii="Palatino Linotype" w:hAnsi="Palatino Linotype" w:cs="Tahoma"/>
          <w:color w:val="000000" w:themeColor="text1"/>
          <w:sz w:val="22"/>
          <w:szCs w:val="22"/>
        </w:rPr>
        <w:t>Acuerdo n</w:t>
      </w:r>
      <w:r w:rsidR="001F35D3">
        <w:rPr>
          <w:rFonts w:ascii="Palatino Linotype" w:hAnsi="Palatino Linotype" w:cs="Tahoma"/>
          <w:color w:val="000000" w:themeColor="text1"/>
          <w:sz w:val="22"/>
          <w:szCs w:val="22"/>
        </w:rPr>
        <w:t>úmero 87</w:t>
      </w:r>
      <w:r w:rsidR="009C4AC3" w:rsidRPr="009C4AC3">
        <w:rPr>
          <w:rFonts w:ascii="Palatino Linotype" w:hAnsi="Palatino Linotype" w:cs="Tahoma"/>
          <w:color w:val="000000" w:themeColor="text1"/>
          <w:sz w:val="22"/>
          <w:szCs w:val="22"/>
        </w:rPr>
        <w:t>, de la Décima Segunda Sesión Extraordinaria, del dos de septiembre de dos mil diecinueve, suscrito por el Comité de Transparencia del Ayuntamiento de Nicolás Romero, cuyo contenido es el siguiente:</w:t>
      </w:r>
    </w:p>
    <w:p w14:paraId="000BF23F" w14:textId="77777777" w:rsidR="003214A2" w:rsidRDefault="003214A2"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131E445F" w14:textId="0CFA1295" w:rsidR="009C4AC3" w:rsidRPr="00152326" w:rsidRDefault="009C4AC3" w:rsidP="009C4AC3">
      <w:pPr>
        <w:autoSpaceDE w:val="0"/>
        <w:autoSpaceDN w:val="0"/>
        <w:adjustRightInd w:val="0"/>
        <w:spacing w:line="360" w:lineRule="auto"/>
        <w:ind w:left="567" w:right="567"/>
        <w:jc w:val="both"/>
        <w:rPr>
          <w:rFonts w:ascii="Palatino Linotype" w:hAnsi="Palatino Linotype" w:cs="Tahoma"/>
          <w:color w:val="000000" w:themeColor="text1"/>
        </w:rPr>
      </w:pPr>
      <w:r w:rsidRPr="00152326">
        <w:rPr>
          <w:rFonts w:ascii="Palatino Linotype" w:hAnsi="Palatino Linotype" w:cs="Tahoma"/>
          <w:color w:val="000000" w:themeColor="text1"/>
        </w:rPr>
        <w:t>“…</w:t>
      </w:r>
    </w:p>
    <w:p w14:paraId="209053CA" w14:textId="6A8885A9" w:rsidR="009C4AC3" w:rsidRPr="00152326" w:rsidRDefault="00152326" w:rsidP="009C4AC3">
      <w:pPr>
        <w:autoSpaceDE w:val="0"/>
        <w:autoSpaceDN w:val="0"/>
        <w:adjustRightInd w:val="0"/>
        <w:spacing w:line="360" w:lineRule="auto"/>
        <w:ind w:left="567" w:right="567"/>
        <w:jc w:val="both"/>
        <w:rPr>
          <w:rFonts w:ascii="Palatino Linotype" w:hAnsi="Palatino Linotype" w:cs="Tahoma"/>
          <w:color w:val="000000" w:themeColor="text1"/>
        </w:rPr>
      </w:pPr>
      <w:r w:rsidRPr="00152326">
        <w:rPr>
          <w:noProof/>
          <w:lang w:eastAsia="es-MX"/>
        </w:rPr>
        <w:drawing>
          <wp:inline distT="0" distB="0" distL="0" distR="0" wp14:anchorId="127C9E4E" wp14:editId="6696870A">
            <wp:extent cx="4933507" cy="1412301"/>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0967" cy="1423024"/>
                    </a:xfrm>
                    <a:prstGeom prst="rect">
                      <a:avLst/>
                    </a:prstGeom>
                  </pic:spPr>
                </pic:pic>
              </a:graphicData>
            </a:graphic>
          </wp:inline>
        </w:drawing>
      </w:r>
    </w:p>
    <w:p w14:paraId="1FCF540D" w14:textId="262EF436" w:rsidR="00152326" w:rsidRPr="00152326" w:rsidRDefault="00152326" w:rsidP="009C4AC3">
      <w:pPr>
        <w:autoSpaceDE w:val="0"/>
        <w:autoSpaceDN w:val="0"/>
        <w:adjustRightInd w:val="0"/>
        <w:spacing w:line="360" w:lineRule="auto"/>
        <w:ind w:left="567" w:right="567"/>
        <w:jc w:val="both"/>
        <w:rPr>
          <w:rFonts w:ascii="Palatino Linotype" w:hAnsi="Palatino Linotype" w:cs="Tahoma"/>
          <w:color w:val="000000" w:themeColor="text1"/>
        </w:rPr>
      </w:pPr>
      <w:r w:rsidRPr="00152326">
        <w:rPr>
          <w:noProof/>
          <w:lang w:eastAsia="es-MX"/>
        </w:rPr>
        <w:drawing>
          <wp:inline distT="0" distB="0" distL="0" distR="0" wp14:anchorId="725B82CC" wp14:editId="5D5F5A37">
            <wp:extent cx="5039360" cy="18713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5909"/>
                    <a:stretch/>
                  </pic:blipFill>
                  <pic:spPr bwMode="auto">
                    <a:xfrm>
                      <a:off x="0" y="0"/>
                      <a:ext cx="5052801" cy="1876321"/>
                    </a:xfrm>
                    <a:prstGeom prst="rect">
                      <a:avLst/>
                    </a:prstGeom>
                    <a:ln>
                      <a:noFill/>
                    </a:ln>
                    <a:extLst>
                      <a:ext uri="{53640926-AAD7-44D8-BBD7-CCE9431645EC}">
                        <a14:shadowObscured xmlns:a14="http://schemas.microsoft.com/office/drawing/2010/main"/>
                      </a:ext>
                    </a:extLst>
                  </pic:spPr>
                </pic:pic>
              </a:graphicData>
            </a:graphic>
          </wp:inline>
        </w:drawing>
      </w:r>
    </w:p>
    <w:p w14:paraId="45E24809" w14:textId="716EA194" w:rsidR="00152326" w:rsidRPr="00152326" w:rsidRDefault="00152326" w:rsidP="009C4AC3">
      <w:pPr>
        <w:autoSpaceDE w:val="0"/>
        <w:autoSpaceDN w:val="0"/>
        <w:adjustRightInd w:val="0"/>
        <w:spacing w:line="360" w:lineRule="auto"/>
        <w:ind w:left="567" w:right="567"/>
        <w:jc w:val="both"/>
        <w:rPr>
          <w:rFonts w:ascii="Palatino Linotype" w:hAnsi="Palatino Linotype" w:cs="Tahoma"/>
          <w:color w:val="000000" w:themeColor="text1"/>
        </w:rPr>
      </w:pPr>
      <w:r w:rsidRPr="00152326">
        <w:rPr>
          <w:noProof/>
          <w:lang w:eastAsia="es-MX"/>
        </w:rPr>
        <w:lastRenderedPageBreak/>
        <w:drawing>
          <wp:inline distT="0" distB="0" distL="0" distR="0" wp14:anchorId="3C399C0F" wp14:editId="17B507BB">
            <wp:extent cx="5039360" cy="22878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6095"/>
                    <a:stretch/>
                  </pic:blipFill>
                  <pic:spPr bwMode="auto">
                    <a:xfrm>
                      <a:off x="0" y="0"/>
                      <a:ext cx="5052801" cy="2293939"/>
                    </a:xfrm>
                    <a:prstGeom prst="rect">
                      <a:avLst/>
                    </a:prstGeom>
                    <a:ln>
                      <a:noFill/>
                    </a:ln>
                    <a:extLst>
                      <a:ext uri="{53640926-AAD7-44D8-BBD7-CCE9431645EC}">
                        <a14:shadowObscured xmlns:a14="http://schemas.microsoft.com/office/drawing/2010/main"/>
                      </a:ext>
                    </a:extLst>
                  </pic:spPr>
                </pic:pic>
              </a:graphicData>
            </a:graphic>
          </wp:inline>
        </w:drawing>
      </w:r>
    </w:p>
    <w:p w14:paraId="16F63CEB" w14:textId="77B72663" w:rsidR="00152326" w:rsidRPr="00152326" w:rsidRDefault="00152326" w:rsidP="009C4AC3">
      <w:pPr>
        <w:autoSpaceDE w:val="0"/>
        <w:autoSpaceDN w:val="0"/>
        <w:adjustRightInd w:val="0"/>
        <w:spacing w:line="360" w:lineRule="auto"/>
        <w:ind w:left="567" w:right="567"/>
        <w:jc w:val="both"/>
        <w:rPr>
          <w:rFonts w:ascii="Palatino Linotype" w:hAnsi="Palatino Linotype" w:cs="Tahoma"/>
          <w:color w:val="000000" w:themeColor="text1"/>
        </w:rPr>
      </w:pPr>
      <w:r w:rsidRPr="00152326">
        <w:rPr>
          <w:rFonts w:ascii="Palatino Linotype" w:hAnsi="Palatino Linotype" w:cs="Tahoma"/>
          <w:color w:val="000000" w:themeColor="text1"/>
        </w:rPr>
        <w:t>…</w:t>
      </w:r>
    </w:p>
    <w:p w14:paraId="4848AD75" w14:textId="14E11EB1" w:rsidR="00152326" w:rsidRPr="00152326" w:rsidRDefault="00152326" w:rsidP="009C4AC3">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1B633954" wp14:editId="5FFD778C">
            <wp:extent cx="5039360" cy="2261694"/>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9805" cy="2270870"/>
                    </a:xfrm>
                    <a:prstGeom prst="rect">
                      <a:avLst/>
                    </a:prstGeom>
                  </pic:spPr>
                </pic:pic>
              </a:graphicData>
            </a:graphic>
          </wp:inline>
        </w:drawing>
      </w:r>
    </w:p>
    <w:p w14:paraId="32BD982E" w14:textId="77777777" w:rsidR="009C4AC3" w:rsidRPr="00152326" w:rsidRDefault="009C4AC3" w:rsidP="009C4AC3">
      <w:pPr>
        <w:autoSpaceDE w:val="0"/>
        <w:autoSpaceDN w:val="0"/>
        <w:adjustRightInd w:val="0"/>
        <w:spacing w:line="360" w:lineRule="auto"/>
        <w:ind w:left="567" w:right="567"/>
        <w:jc w:val="both"/>
        <w:rPr>
          <w:rFonts w:ascii="Palatino Linotype" w:hAnsi="Palatino Linotype" w:cs="Tahoma"/>
          <w:color w:val="000000" w:themeColor="text1"/>
        </w:rPr>
      </w:pPr>
      <w:r w:rsidRPr="00152326">
        <w:rPr>
          <w:rFonts w:ascii="Palatino Linotype" w:hAnsi="Palatino Linotype" w:cs="Tahoma"/>
          <w:color w:val="000000" w:themeColor="text1"/>
        </w:rPr>
        <w:t>…”</w:t>
      </w:r>
    </w:p>
    <w:p w14:paraId="68BE4864" w14:textId="77777777" w:rsidR="009C4AC3" w:rsidRDefault="009C4AC3"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6559194D" w14:textId="032248B0" w:rsidR="003214A2" w:rsidRDefault="003214A2" w:rsidP="00447875">
      <w:pPr>
        <w:autoSpaceDE w:val="0"/>
        <w:autoSpaceDN w:val="0"/>
        <w:adjustRightInd w:val="0"/>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xvii)</w:t>
      </w:r>
      <w:r w:rsidR="00386602">
        <w:rPr>
          <w:rFonts w:ascii="Palatino Linotype" w:hAnsi="Palatino Linotype" w:cs="Tahoma"/>
          <w:color w:val="000000" w:themeColor="text1"/>
          <w:sz w:val="22"/>
          <w:szCs w:val="22"/>
        </w:rPr>
        <w:t xml:space="preserve"> </w:t>
      </w:r>
      <w:r w:rsidR="009C4AC3" w:rsidRPr="009C4AC3">
        <w:rPr>
          <w:rFonts w:ascii="Palatino Linotype" w:hAnsi="Palatino Linotype" w:cs="Tahoma"/>
          <w:color w:val="000000" w:themeColor="text1"/>
          <w:sz w:val="22"/>
          <w:szCs w:val="22"/>
        </w:rPr>
        <w:t>Acuerdo n</w:t>
      </w:r>
      <w:r w:rsidR="001F35D3">
        <w:rPr>
          <w:rFonts w:ascii="Palatino Linotype" w:hAnsi="Palatino Linotype" w:cs="Tahoma"/>
          <w:color w:val="000000" w:themeColor="text1"/>
          <w:sz w:val="22"/>
          <w:szCs w:val="22"/>
        </w:rPr>
        <w:t>úmero 88</w:t>
      </w:r>
      <w:r w:rsidR="009C4AC3" w:rsidRPr="009C4AC3">
        <w:rPr>
          <w:rFonts w:ascii="Palatino Linotype" w:hAnsi="Palatino Linotype" w:cs="Tahoma"/>
          <w:color w:val="000000" w:themeColor="text1"/>
          <w:sz w:val="22"/>
          <w:szCs w:val="22"/>
        </w:rPr>
        <w:t>, de la Décima Segunda Sesión Extraordinaria, del dos de septiembre de dos mil diecinueve, suscrito por el Comité de Transparencia del Ayuntamiento de Nicolás Romero, cuyo contenido es el siguiente:</w:t>
      </w:r>
    </w:p>
    <w:p w14:paraId="05A89283" w14:textId="77777777" w:rsidR="00152326" w:rsidRDefault="00152326" w:rsidP="00447875">
      <w:pPr>
        <w:autoSpaceDE w:val="0"/>
        <w:autoSpaceDN w:val="0"/>
        <w:adjustRightInd w:val="0"/>
        <w:spacing w:line="360" w:lineRule="auto"/>
        <w:jc w:val="both"/>
        <w:rPr>
          <w:rFonts w:ascii="Palatino Linotype" w:hAnsi="Palatino Linotype" w:cs="Tahoma"/>
          <w:color w:val="000000" w:themeColor="text1"/>
          <w:sz w:val="22"/>
          <w:szCs w:val="22"/>
        </w:rPr>
      </w:pPr>
    </w:p>
    <w:p w14:paraId="1F1F3D73" w14:textId="77777777" w:rsidR="00152326" w:rsidRPr="001F35D3" w:rsidRDefault="00152326" w:rsidP="00152326">
      <w:pPr>
        <w:autoSpaceDE w:val="0"/>
        <w:autoSpaceDN w:val="0"/>
        <w:adjustRightInd w:val="0"/>
        <w:spacing w:line="360" w:lineRule="auto"/>
        <w:ind w:left="567" w:right="567"/>
        <w:jc w:val="both"/>
        <w:rPr>
          <w:rFonts w:ascii="Palatino Linotype" w:hAnsi="Palatino Linotype" w:cs="Tahoma"/>
          <w:color w:val="000000" w:themeColor="text1"/>
        </w:rPr>
      </w:pPr>
      <w:r w:rsidRPr="001F35D3">
        <w:rPr>
          <w:rFonts w:ascii="Palatino Linotype" w:hAnsi="Palatino Linotype" w:cs="Tahoma"/>
          <w:color w:val="000000" w:themeColor="text1"/>
        </w:rPr>
        <w:t>“…</w:t>
      </w:r>
    </w:p>
    <w:p w14:paraId="6CF257C3" w14:textId="1256B5C5" w:rsidR="00152326" w:rsidRDefault="001F35D3" w:rsidP="00152326">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2387FE47" wp14:editId="2D78B91C">
            <wp:extent cx="5028729" cy="467832"/>
            <wp:effectExtent l="0" t="0" r="63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4288"/>
                    <a:stretch/>
                  </pic:blipFill>
                  <pic:spPr bwMode="auto">
                    <a:xfrm>
                      <a:off x="0" y="0"/>
                      <a:ext cx="5080271" cy="472627"/>
                    </a:xfrm>
                    <a:prstGeom prst="rect">
                      <a:avLst/>
                    </a:prstGeom>
                    <a:ln>
                      <a:noFill/>
                    </a:ln>
                    <a:extLst>
                      <a:ext uri="{53640926-AAD7-44D8-BBD7-CCE9431645EC}">
                        <a14:shadowObscured xmlns:a14="http://schemas.microsoft.com/office/drawing/2010/main"/>
                      </a:ext>
                    </a:extLst>
                  </pic:spPr>
                </pic:pic>
              </a:graphicData>
            </a:graphic>
          </wp:inline>
        </w:drawing>
      </w:r>
    </w:p>
    <w:p w14:paraId="0B858CB1" w14:textId="1D732118" w:rsidR="001F35D3" w:rsidRPr="001F35D3" w:rsidRDefault="001F35D3" w:rsidP="00152326">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lastRenderedPageBreak/>
        <w:drawing>
          <wp:inline distT="0" distB="0" distL="0" distR="0" wp14:anchorId="64C9516F" wp14:editId="17C5EA0D">
            <wp:extent cx="5028729" cy="74648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3017"/>
                    <a:stretch/>
                  </pic:blipFill>
                  <pic:spPr bwMode="auto">
                    <a:xfrm>
                      <a:off x="0" y="0"/>
                      <a:ext cx="5080271" cy="754131"/>
                    </a:xfrm>
                    <a:prstGeom prst="rect">
                      <a:avLst/>
                    </a:prstGeom>
                    <a:ln>
                      <a:noFill/>
                    </a:ln>
                    <a:extLst>
                      <a:ext uri="{53640926-AAD7-44D8-BBD7-CCE9431645EC}">
                        <a14:shadowObscured xmlns:a14="http://schemas.microsoft.com/office/drawing/2010/main"/>
                      </a:ext>
                    </a:extLst>
                  </pic:spPr>
                </pic:pic>
              </a:graphicData>
            </a:graphic>
          </wp:inline>
        </w:drawing>
      </w:r>
    </w:p>
    <w:p w14:paraId="034194FF" w14:textId="4F6D0505" w:rsidR="00152326" w:rsidRDefault="001F35D3" w:rsidP="00152326">
      <w:pPr>
        <w:autoSpaceDE w:val="0"/>
        <w:autoSpaceDN w:val="0"/>
        <w:adjustRightInd w:val="0"/>
        <w:spacing w:line="360" w:lineRule="auto"/>
        <w:ind w:left="567" w:right="567"/>
        <w:jc w:val="both"/>
        <w:rPr>
          <w:rFonts w:ascii="Palatino Linotype" w:hAnsi="Palatino Linotype" w:cs="Tahoma"/>
          <w:color w:val="000000" w:themeColor="text1"/>
        </w:rPr>
      </w:pPr>
      <w:r>
        <w:rPr>
          <w:rFonts w:ascii="Palatino Linotype" w:hAnsi="Palatino Linotype" w:cs="Tahoma"/>
          <w:color w:val="000000" w:themeColor="text1"/>
        </w:rPr>
        <w:t>…</w:t>
      </w:r>
    </w:p>
    <w:p w14:paraId="24666E8E" w14:textId="1BB84592" w:rsidR="001F35D3" w:rsidRPr="001F35D3" w:rsidRDefault="001F35D3" w:rsidP="00152326">
      <w:pPr>
        <w:autoSpaceDE w:val="0"/>
        <w:autoSpaceDN w:val="0"/>
        <w:adjustRightInd w:val="0"/>
        <w:spacing w:line="360" w:lineRule="auto"/>
        <w:ind w:left="567" w:right="567"/>
        <w:jc w:val="both"/>
        <w:rPr>
          <w:rFonts w:ascii="Palatino Linotype" w:hAnsi="Palatino Linotype" w:cs="Tahoma"/>
          <w:color w:val="000000" w:themeColor="text1"/>
        </w:rPr>
      </w:pPr>
      <w:r>
        <w:rPr>
          <w:noProof/>
          <w:lang w:eastAsia="es-MX"/>
        </w:rPr>
        <w:drawing>
          <wp:inline distT="0" distB="0" distL="0" distR="0" wp14:anchorId="0751B182" wp14:editId="2B1192BE">
            <wp:extent cx="5028565" cy="227353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8236" cy="2277902"/>
                    </a:xfrm>
                    <a:prstGeom prst="rect">
                      <a:avLst/>
                    </a:prstGeom>
                  </pic:spPr>
                </pic:pic>
              </a:graphicData>
            </a:graphic>
          </wp:inline>
        </w:drawing>
      </w:r>
    </w:p>
    <w:p w14:paraId="698D20F2" w14:textId="77777777" w:rsidR="00152326" w:rsidRPr="001F35D3" w:rsidRDefault="00152326" w:rsidP="00152326">
      <w:pPr>
        <w:autoSpaceDE w:val="0"/>
        <w:autoSpaceDN w:val="0"/>
        <w:adjustRightInd w:val="0"/>
        <w:spacing w:line="360" w:lineRule="auto"/>
        <w:ind w:left="567" w:right="567"/>
        <w:jc w:val="both"/>
        <w:rPr>
          <w:rFonts w:ascii="Palatino Linotype" w:hAnsi="Palatino Linotype" w:cs="Tahoma"/>
          <w:color w:val="000000" w:themeColor="text1"/>
        </w:rPr>
      </w:pPr>
      <w:r w:rsidRPr="001F35D3">
        <w:rPr>
          <w:rFonts w:ascii="Palatino Linotype" w:hAnsi="Palatino Linotype" w:cs="Tahoma"/>
          <w:color w:val="000000" w:themeColor="text1"/>
        </w:rPr>
        <w:t>…”</w:t>
      </w:r>
    </w:p>
    <w:p w14:paraId="3B18E224" w14:textId="77777777" w:rsidR="005C2E64" w:rsidRPr="00302243" w:rsidRDefault="005C2E64" w:rsidP="00447875">
      <w:pPr>
        <w:autoSpaceDE w:val="0"/>
        <w:autoSpaceDN w:val="0"/>
        <w:adjustRightInd w:val="0"/>
        <w:spacing w:line="360" w:lineRule="auto"/>
        <w:jc w:val="both"/>
        <w:rPr>
          <w:rFonts w:ascii="Palatino Linotype" w:hAnsi="Palatino Linotype" w:cs="Tahoma"/>
          <w:b/>
          <w:color w:val="000000" w:themeColor="text1"/>
          <w:sz w:val="22"/>
          <w:szCs w:val="22"/>
        </w:rPr>
      </w:pPr>
    </w:p>
    <w:p w14:paraId="42976592" w14:textId="3F71F8F2" w:rsidR="00587F23" w:rsidRPr="00302243" w:rsidRDefault="0030032A" w:rsidP="00447875">
      <w:pPr>
        <w:autoSpaceDE w:val="0"/>
        <w:autoSpaceDN w:val="0"/>
        <w:adjustRightInd w:val="0"/>
        <w:spacing w:line="360" w:lineRule="auto"/>
        <w:jc w:val="both"/>
        <w:rPr>
          <w:rFonts w:ascii="Palatino Linotype" w:hAnsi="Palatino Linotype" w:cs="Tahoma"/>
          <w:b/>
          <w:color w:val="000000" w:themeColor="text1"/>
          <w:sz w:val="22"/>
          <w:szCs w:val="22"/>
        </w:rPr>
      </w:pPr>
      <w:r w:rsidRPr="00302243">
        <w:rPr>
          <w:rFonts w:ascii="Palatino Linotype" w:hAnsi="Palatino Linotype" w:cs="Tahoma"/>
          <w:b/>
          <w:color w:val="000000" w:themeColor="text1"/>
          <w:sz w:val="22"/>
          <w:szCs w:val="22"/>
        </w:rPr>
        <w:t>I</w:t>
      </w:r>
      <w:r w:rsidR="009504FE" w:rsidRPr="00302243">
        <w:rPr>
          <w:rFonts w:ascii="Palatino Linotype" w:hAnsi="Palatino Linotype" w:cs="Tahoma"/>
          <w:b/>
          <w:color w:val="000000" w:themeColor="text1"/>
          <w:sz w:val="22"/>
          <w:szCs w:val="22"/>
        </w:rPr>
        <w:t>V</w:t>
      </w:r>
      <w:r w:rsidR="00AA5A86" w:rsidRPr="00302243">
        <w:rPr>
          <w:rFonts w:ascii="Palatino Linotype" w:hAnsi="Palatino Linotype" w:cs="Tahoma"/>
          <w:b/>
          <w:color w:val="000000" w:themeColor="text1"/>
          <w:sz w:val="22"/>
          <w:szCs w:val="22"/>
        </w:rPr>
        <w:t xml:space="preserve">. </w:t>
      </w:r>
      <w:r w:rsidR="004100AA" w:rsidRPr="00302243">
        <w:rPr>
          <w:rFonts w:ascii="Palatino Linotype" w:hAnsi="Palatino Linotype" w:cs="Tahoma"/>
          <w:b/>
          <w:color w:val="000000" w:themeColor="text1"/>
          <w:sz w:val="22"/>
          <w:szCs w:val="22"/>
        </w:rPr>
        <w:t>Interposición</w:t>
      </w:r>
      <w:r w:rsidR="00C459A9" w:rsidRPr="00302243">
        <w:rPr>
          <w:rFonts w:ascii="Palatino Linotype" w:hAnsi="Palatino Linotype" w:cs="Tahoma"/>
          <w:b/>
          <w:color w:val="000000" w:themeColor="text1"/>
          <w:sz w:val="22"/>
          <w:szCs w:val="22"/>
        </w:rPr>
        <w:t xml:space="preserve"> del Recurso de R</w:t>
      </w:r>
      <w:r w:rsidR="00C25238" w:rsidRPr="00302243">
        <w:rPr>
          <w:rFonts w:ascii="Palatino Linotype" w:hAnsi="Palatino Linotype" w:cs="Tahoma"/>
          <w:b/>
          <w:color w:val="000000" w:themeColor="text1"/>
          <w:sz w:val="22"/>
          <w:szCs w:val="22"/>
        </w:rPr>
        <w:t xml:space="preserve">evisión. </w:t>
      </w:r>
    </w:p>
    <w:p w14:paraId="452077DE" w14:textId="77777777" w:rsidR="00587F23" w:rsidRPr="00302243" w:rsidRDefault="00587F23" w:rsidP="00447875">
      <w:pPr>
        <w:autoSpaceDE w:val="0"/>
        <w:autoSpaceDN w:val="0"/>
        <w:adjustRightInd w:val="0"/>
        <w:spacing w:line="360" w:lineRule="auto"/>
        <w:jc w:val="both"/>
        <w:rPr>
          <w:rFonts w:ascii="Palatino Linotype" w:hAnsi="Palatino Linotype" w:cs="Tahoma"/>
          <w:b/>
          <w:color w:val="000000" w:themeColor="text1"/>
          <w:sz w:val="22"/>
          <w:szCs w:val="22"/>
        </w:rPr>
      </w:pPr>
    </w:p>
    <w:p w14:paraId="09A353B9" w14:textId="4E09858A" w:rsidR="00BE4843" w:rsidRPr="00302243" w:rsidRDefault="004E401B" w:rsidP="00447875">
      <w:pPr>
        <w:autoSpaceDE w:val="0"/>
        <w:autoSpaceDN w:val="0"/>
        <w:adjustRightInd w:val="0"/>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 xml:space="preserve">Con fecha </w:t>
      </w:r>
      <w:r w:rsidR="00205F7E">
        <w:rPr>
          <w:rFonts w:ascii="Palatino Linotype" w:hAnsi="Palatino Linotype" w:cs="Tahoma"/>
          <w:color w:val="000000" w:themeColor="text1"/>
          <w:sz w:val="22"/>
          <w:szCs w:val="22"/>
        </w:rPr>
        <w:t>veinte de septiembre</w:t>
      </w:r>
      <w:r w:rsidR="003F2343" w:rsidRPr="00302243">
        <w:rPr>
          <w:rFonts w:ascii="Palatino Linotype" w:hAnsi="Palatino Linotype" w:cs="Tahoma"/>
          <w:color w:val="000000" w:themeColor="text1"/>
          <w:sz w:val="22"/>
          <w:szCs w:val="22"/>
        </w:rPr>
        <w:t xml:space="preserve"> </w:t>
      </w:r>
      <w:r w:rsidR="0030032A" w:rsidRPr="00302243">
        <w:rPr>
          <w:rFonts w:ascii="Palatino Linotype" w:hAnsi="Palatino Linotype" w:cs="Tahoma"/>
          <w:color w:val="000000" w:themeColor="text1"/>
          <w:sz w:val="22"/>
          <w:szCs w:val="22"/>
        </w:rPr>
        <w:t>de dos mil diecinueve</w:t>
      </w:r>
      <w:r w:rsidR="00C25238" w:rsidRPr="00302243">
        <w:rPr>
          <w:rFonts w:ascii="Palatino Linotype" w:hAnsi="Palatino Linotype" w:cs="Tahoma"/>
          <w:color w:val="000000" w:themeColor="text1"/>
          <w:sz w:val="22"/>
          <w:szCs w:val="22"/>
        </w:rPr>
        <w:t xml:space="preserve">, </w:t>
      </w:r>
      <w:r w:rsidR="00BE4843" w:rsidRPr="00302243">
        <w:rPr>
          <w:rFonts w:ascii="Palatino Linotype" w:hAnsi="Palatino Linotype" w:cs="Tahoma"/>
          <w:color w:val="000000" w:themeColor="text1"/>
          <w:sz w:val="22"/>
          <w:szCs w:val="22"/>
        </w:rPr>
        <w:t xml:space="preserve">se recibió en este Instituto, a través del </w:t>
      </w:r>
      <w:r w:rsidR="00BE4843" w:rsidRPr="00302243">
        <w:rPr>
          <w:rFonts w:ascii="Palatino Linotype" w:hAnsi="Palatino Linotype" w:cs="Tahoma"/>
          <w:color w:val="000000" w:themeColor="text1"/>
          <w:sz w:val="22"/>
          <w:szCs w:val="22"/>
          <w:lang w:val="es-ES"/>
        </w:rPr>
        <w:t>Sistema de Acceso a la Información Mexiquense (SAIMEX)</w:t>
      </w:r>
      <w:r w:rsidR="00BE4843" w:rsidRPr="00302243">
        <w:rPr>
          <w:rFonts w:ascii="Palatino Linotype" w:hAnsi="Palatino Linotype" w:cs="Tahoma"/>
          <w:color w:val="000000" w:themeColor="text1"/>
          <w:sz w:val="22"/>
          <w:szCs w:val="22"/>
        </w:rPr>
        <w:t xml:space="preserve">, Recurso de Revisión interpuesto por la parte </w:t>
      </w:r>
      <w:r w:rsidR="0030032A" w:rsidRPr="00302243">
        <w:rPr>
          <w:rFonts w:ascii="Palatino Linotype" w:hAnsi="Palatino Linotype" w:cs="Tahoma"/>
          <w:color w:val="000000" w:themeColor="text1"/>
          <w:sz w:val="22"/>
          <w:szCs w:val="22"/>
        </w:rPr>
        <w:t>R</w:t>
      </w:r>
      <w:r w:rsidR="00BE4843" w:rsidRPr="00302243">
        <w:rPr>
          <w:rFonts w:ascii="Palatino Linotype" w:hAnsi="Palatino Linotype" w:cs="Tahoma"/>
          <w:color w:val="000000" w:themeColor="text1"/>
          <w:sz w:val="22"/>
          <w:szCs w:val="22"/>
        </w:rPr>
        <w:t>ecurrente, en contra de la respuesta emitida por el Sujeto Obligado a la solicitud de información, en los siguientes términos:</w:t>
      </w:r>
    </w:p>
    <w:p w14:paraId="59CF8C0A" w14:textId="77777777" w:rsidR="00C25238" w:rsidRPr="00302243" w:rsidRDefault="00C25238" w:rsidP="00447875">
      <w:pPr>
        <w:autoSpaceDE w:val="0"/>
        <w:autoSpaceDN w:val="0"/>
        <w:adjustRightInd w:val="0"/>
        <w:spacing w:line="360" w:lineRule="auto"/>
        <w:jc w:val="both"/>
        <w:rPr>
          <w:rFonts w:ascii="Palatino Linotype" w:hAnsi="Palatino Linotype" w:cs="Tahoma"/>
          <w:bCs/>
          <w:color w:val="000000" w:themeColor="text1"/>
          <w:sz w:val="22"/>
          <w:szCs w:val="22"/>
        </w:rPr>
      </w:pPr>
    </w:p>
    <w:p w14:paraId="0A3C3F71" w14:textId="77777777" w:rsidR="00C25238" w:rsidRPr="00302243" w:rsidRDefault="00B727C5" w:rsidP="00447875">
      <w:pPr>
        <w:tabs>
          <w:tab w:val="left" w:pos="4667"/>
        </w:tabs>
        <w:spacing w:line="360" w:lineRule="auto"/>
        <w:ind w:left="567" w:right="567"/>
        <w:jc w:val="both"/>
        <w:rPr>
          <w:rFonts w:ascii="Palatino Linotype" w:hAnsi="Palatino Linotype" w:cs="Tahoma"/>
          <w:bCs/>
          <w:i/>
          <w:color w:val="000000" w:themeColor="text1"/>
        </w:rPr>
      </w:pPr>
      <w:r w:rsidRPr="00302243">
        <w:rPr>
          <w:rFonts w:ascii="Palatino Linotype" w:hAnsi="Palatino Linotype" w:cs="Tahoma"/>
          <w:b/>
          <w:bCs/>
          <w:i/>
          <w:color w:val="000000" w:themeColor="text1"/>
        </w:rPr>
        <w:t>“</w:t>
      </w:r>
      <w:r w:rsidR="00C25238" w:rsidRPr="00302243">
        <w:rPr>
          <w:rFonts w:ascii="Palatino Linotype" w:hAnsi="Palatino Linotype" w:cs="Tahoma"/>
          <w:b/>
          <w:bCs/>
          <w:i/>
          <w:color w:val="000000" w:themeColor="text1"/>
        </w:rPr>
        <w:t>ACTO IMPUGNADO</w:t>
      </w:r>
    </w:p>
    <w:p w14:paraId="445A836E" w14:textId="74250A5C" w:rsidR="00CD3A5D" w:rsidRPr="00302243" w:rsidRDefault="00205F7E" w:rsidP="00447875">
      <w:pPr>
        <w:autoSpaceDE w:val="0"/>
        <w:autoSpaceDN w:val="0"/>
        <w:adjustRightInd w:val="0"/>
        <w:spacing w:line="360" w:lineRule="auto"/>
        <w:ind w:left="567" w:right="567"/>
        <w:jc w:val="both"/>
        <w:rPr>
          <w:rFonts w:ascii="Palatino Linotype" w:hAnsi="Palatino Linotype" w:cs="Tahoma"/>
          <w:i/>
          <w:color w:val="000000" w:themeColor="text1"/>
        </w:rPr>
      </w:pPr>
      <w:r w:rsidRPr="00205F7E">
        <w:rPr>
          <w:rFonts w:ascii="Palatino Linotype" w:hAnsi="Palatino Linotype" w:cs="Tahoma"/>
          <w:i/>
          <w:color w:val="000000" w:themeColor="text1"/>
        </w:rPr>
        <w:t>LA RESPUESTA OTORGADA POR EL SUJETO OBLIGADO</w:t>
      </w:r>
      <w:r w:rsidR="00B727C5" w:rsidRPr="00302243">
        <w:rPr>
          <w:rFonts w:ascii="Palatino Linotype" w:hAnsi="Palatino Linotype" w:cs="Tahoma"/>
          <w:i/>
          <w:color w:val="000000" w:themeColor="text1"/>
        </w:rPr>
        <w:t>”</w:t>
      </w:r>
      <w:r w:rsidR="00092475" w:rsidRPr="00302243">
        <w:rPr>
          <w:rFonts w:ascii="Palatino Linotype" w:hAnsi="Palatino Linotype" w:cs="Tahoma"/>
          <w:i/>
          <w:color w:val="000000" w:themeColor="text1"/>
        </w:rPr>
        <w:t xml:space="preserve"> (Sic.)</w:t>
      </w:r>
    </w:p>
    <w:p w14:paraId="5F70E156" w14:textId="77777777" w:rsidR="000313A7" w:rsidRPr="00302243" w:rsidRDefault="000313A7" w:rsidP="00447875">
      <w:pPr>
        <w:autoSpaceDE w:val="0"/>
        <w:autoSpaceDN w:val="0"/>
        <w:adjustRightInd w:val="0"/>
        <w:spacing w:line="360" w:lineRule="auto"/>
        <w:ind w:left="567" w:right="567"/>
        <w:jc w:val="both"/>
        <w:rPr>
          <w:rFonts w:ascii="Palatino Linotype" w:hAnsi="Palatino Linotype" w:cs="Tahoma"/>
          <w:i/>
          <w:color w:val="000000" w:themeColor="text1"/>
        </w:rPr>
      </w:pPr>
    </w:p>
    <w:p w14:paraId="088179EF" w14:textId="77777777" w:rsidR="00C25238" w:rsidRPr="00302243" w:rsidRDefault="00B727C5" w:rsidP="00447875">
      <w:pPr>
        <w:autoSpaceDE w:val="0"/>
        <w:autoSpaceDN w:val="0"/>
        <w:adjustRightInd w:val="0"/>
        <w:spacing w:line="360" w:lineRule="auto"/>
        <w:ind w:left="567" w:right="567"/>
        <w:jc w:val="both"/>
        <w:rPr>
          <w:rFonts w:ascii="Palatino Linotype" w:hAnsi="Palatino Linotype" w:cs="Tahoma"/>
          <w:b/>
          <w:i/>
          <w:color w:val="000000" w:themeColor="text1"/>
        </w:rPr>
      </w:pPr>
      <w:r w:rsidRPr="00302243">
        <w:rPr>
          <w:rFonts w:ascii="Palatino Linotype" w:hAnsi="Palatino Linotype" w:cs="Tahoma"/>
          <w:b/>
          <w:i/>
          <w:color w:val="000000" w:themeColor="text1"/>
        </w:rPr>
        <w:t>“</w:t>
      </w:r>
      <w:r w:rsidR="00C25238" w:rsidRPr="00302243">
        <w:rPr>
          <w:rFonts w:ascii="Palatino Linotype" w:hAnsi="Palatino Linotype" w:cs="Tahoma"/>
          <w:b/>
          <w:i/>
          <w:color w:val="000000" w:themeColor="text1"/>
        </w:rPr>
        <w:t>RAZONES O MOTIVOS DE LA INCONFORMIDAD</w:t>
      </w:r>
    </w:p>
    <w:p w14:paraId="6A2F898F" w14:textId="74BDEB97" w:rsidR="00B31222" w:rsidRPr="00302243" w:rsidRDefault="00205F7E" w:rsidP="00447875">
      <w:pPr>
        <w:autoSpaceDE w:val="0"/>
        <w:autoSpaceDN w:val="0"/>
        <w:adjustRightInd w:val="0"/>
        <w:spacing w:line="360" w:lineRule="auto"/>
        <w:ind w:left="567" w:right="567"/>
        <w:jc w:val="both"/>
        <w:rPr>
          <w:rFonts w:ascii="Palatino Linotype" w:hAnsi="Palatino Linotype" w:cs="Tahoma"/>
          <w:i/>
          <w:color w:val="000000" w:themeColor="text1"/>
        </w:rPr>
      </w:pPr>
      <w:r w:rsidRPr="00205F7E">
        <w:rPr>
          <w:rFonts w:ascii="Palatino Linotype" w:hAnsi="Palatino Linotype" w:cs="Tahoma"/>
          <w:i/>
          <w:color w:val="000000" w:themeColor="text1"/>
        </w:rPr>
        <w:t xml:space="preserve">LA ILEGALIDAD DE LA RESPUESTA OTORGADA, PUES LA MISMA NO SE ENCUENTRA AJUSTADA A DERECHO. LA RESPUESTA NO ATIENDE LA TOTALIDAD </w:t>
      </w:r>
      <w:r w:rsidRPr="00205F7E">
        <w:rPr>
          <w:rFonts w:ascii="Palatino Linotype" w:hAnsi="Palatino Linotype" w:cs="Tahoma"/>
          <w:i/>
          <w:color w:val="000000" w:themeColor="text1"/>
        </w:rPr>
        <w:lastRenderedPageBreak/>
        <w:t>DE LOS PUNTOS CONTENIDOS EN LA SOLICITUD LOS ACUERDOS DE CLASIFICACIÓN EMITIDOS NO SE JUSTIFICAN, PUES QUE LOS DOCUMENTOS PÚBLICOS QUE FUERON CLASIFICADOS, ACTUALMENTE NO SE ENCUENTRAN DENTRO DE PROCEDIMIENTO ALGUNO ALGUNO YA QUE, TAL Y COMO LO HA REFERIDO LA AUTORIDAD, LAS OBRAS SE ENCUENTRAN TOTALMENTE CONCLUIDAS (EJECUCIÓN FÍSICA), QUEDANDO ´PENDIENTE EL CIERRE ADMINISTRATIVO DE LA OBRA. NO OBSTANTE, LA AUTORIDAD MUNICIPAL DOLOSAMENTE OMITE ADJUNTAR LOS DOCUMENTOS QUE ACREDITEN SU DICHO, PUESTO QUE, DE SER CIERTO QUE LAS OBRAS SE ENCUENTRAN EJECUTADAS EN SU TOTALIDAD, DEBE EXISTIR YA EN LOS ARCHIVOS DE LA DEPENDENCIA, LAS DOCUMENTALES CORRESPONDIENTES A: ACTA ENTREGA-RECEPCIÓN (QUE NO SE ADJUNTA), ACTA FINIQUITO EN LA QUE SE EXPRESE CON CLARIDAD LOS SALDOS A FAVOR O EN CONTRA DE CADA UNA DE LAS PARTES EN LA QUE SE DEBERÁ REFLEJAR ESPECÍFICAMENTE EN QUE ETAPA DEL CIERRE ADMINISTRATIVO SE ENCUENTRA LA OBRA (QUE NO SE ADJUNTA).</w:t>
      </w:r>
      <w:r w:rsidR="00B727C5" w:rsidRPr="00302243">
        <w:rPr>
          <w:rFonts w:ascii="Palatino Linotype" w:hAnsi="Palatino Linotype" w:cs="Tahoma"/>
          <w:i/>
          <w:color w:val="000000" w:themeColor="text1"/>
        </w:rPr>
        <w:t>”</w:t>
      </w:r>
      <w:r w:rsidR="006C1B1D" w:rsidRPr="00302243">
        <w:rPr>
          <w:rFonts w:ascii="Palatino Linotype" w:hAnsi="Palatino Linotype" w:cs="Tahoma"/>
          <w:i/>
          <w:color w:val="000000" w:themeColor="text1"/>
        </w:rPr>
        <w:t xml:space="preserve"> (Sic.)</w:t>
      </w:r>
    </w:p>
    <w:p w14:paraId="3CBD1495" w14:textId="77777777" w:rsidR="00787B77" w:rsidRPr="00302243" w:rsidRDefault="00787B77" w:rsidP="00447875">
      <w:pPr>
        <w:tabs>
          <w:tab w:val="left" w:pos="6210"/>
        </w:tabs>
        <w:spacing w:line="360" w:lineRule="auto"/>
        <w:jc w:val="both"/>
        <w:rPr>
          <w:rFonts w:ascii="Palatino Linotype" w:hAnsi="Palatino Linotype" w:cs="Tahoma"/>
          <w:b/>
          <w:color w:val="000000" w:themeColor="text1"/>
          <w:sz w:val="22"/>
          <w:szCs w:val="22"/>
        </w:rPr>
      </w:pPr>
    </w:p>
    <w:p w14:paraId="538F8076" w14:textId="099553FF" w:rsidR="009504FE" w:rsidRPr="00302243" w:rsidRDefault="009504FE" w:rsidP="00447875">
      <w:pPr>
        <w:tabs>
          <w:tab w:val="left" w:pos="6210"/>
        </w:tabs>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El ahora Recurrente adjuntó la digitalización de los documentos señalados en el Antecedente III, de la presente Resolución.</w:t>
      </w:r>
    </w:p>
    <w:p w14:paraId="43400483" w14:textId="77777777" w:rsidR="009504FE" w:rsidRPr="00302243" w:rsidRDefault="009504FE" w:rsidP="00447875">
      <w:pPr>
        <w:tabs>
          <w:tab w:val="left" w:pos="6210"/>
        </w:tabs>
        <w:spacing w:line="360" w:lineRule="auto"/>
        <w:jc w:val="both"/>
        <w:rPr>
          <w:rFonts w:ascii="Palatino Linotype" w:hAnsi="Palatino Linotype" w:cs="Tahoma"/>
          <w:b/>
          <w:color w:val="000000" w:themeColor="text1"/>
          <w:sz w:val="22"/>
          <w:szCs w:val="22"/>
        </w:rPr>
      </w:pPr>
    </w:p>
    <w:p w14:paraId="3CCB659B" w14:textId="12683010" w:rsidR="00B31222" w:rsidRPr="00302243" w:rsidRDefault="0030032A" w:rsidP="00447875">
      <w:pPr>
        <w:spacing w:line="360" w:lineRule="auto"/>
        <w:jc w:val="both"/>
        <w:rPr>
          <w:rFonts w:ascii="Palatino Linotype" w:eastAsia="Batang" w:hAnsi="Palatino Linotype" w:cs="Tahoma"/>
          <w:b/>
          <w:bCs/>
          <w:color w:val="000000" w:themeColor="text1"/>
          <w:sz w:val="22"/>
          <w:szCs w:val="22"/>
        </w:rPr>
      </w:pPr>
      <w:r w:rsidRPr="00302243">
        <w:rPr>
          <w:rFonts w:ascii="Palatino Linotype" w:hAnsi="Palatino Linotype" w:cs="Tahoma"/>
          <w:b/>
          <w:color w:val="000000" w:themeColor="text1"/>
          <w:sz w:val="22"/>
          <w:szCs w:val="22"/>
        </w:rPr>
        <w:t>V</w:t>
      </w:r>
      <w:r w:rsidR="00B31222" w:rsidRPr="00302243">
        <w:rPr>
          <w:rFonts w:ascii="Palatino Linotype" w:hAnsi="Palatino Linotype" w:cs="Tahoma"/>
          <w:b/>
          <w:color w:val="000000" w:themeColor="text1"/>
          <w:sz w:val="22"/>
          <w:szCs w:val="22"/>
        </w:rPr>
        <w:t xml:space="preserve">. </w:t>
      </w:r>
      <w:r w:rsidR="00B31222" w:rsidRPr="00302243">
        <w:rPr>
          <w:rFonts w:ascii="Palatino Linotype" w:eastAsia="Batang" w:hAnsi="Palatino Linotype" w:cs="Tahoma"/>
          <w:b/>
          <w:bCs/>
          <w:color w:val="000000" w:themeColor="text1"/>
          <w:sz w:val="22"/>
          <w:szCs w:val="22"/>
        </w:rPr>
        <w:t xml:space="preserve">Trámite del </w:t>
      </w:r>
      <w:r w:rsidR="00C459A9" w:rsidRPr="00302243">
        <w:rPr>
          <w:rFonts w:ascii="Palatino Linotype" w:hAnsi="Palatino Linotype" w:cs="Tahoma"/>
          <w:b/>
          <w:color w:val="000000" w:themeColor="text1"/>
          <w:sz w:val="22"/>
          <w:szCs w:val="22"/>
        </w:rPr>
        <w:t>Recurso de Revisión</w:t>
      </w:r>
      <w:r w:rsidR="00AE489D" w:rsidRPr="00302243">
        <w:rPr>
          <w:rFonts w:ascii="Palatino Linotype" w:hAnsi="Palatino Linotype" w:cs="Tahoma"/>
          <w:b/>
          <w:color w:val="000000" w:themeColor="text1"/>
          <w:sz w:val="22"/>
          <w:szCs w:val="22"/>
        </w:rPr>
        <w:t xml:space="preserve"> </w:t>
      </w:r>
      <w:r w:rsidR="00B31222" w:rsidRPr="00302243">
        <w:rPr>
          <w:rFonts w:ascii="Palatino Linotype" w:eastAsia="Batang" w:hAnsi="Palatino Linotype" w:cs="Tahoma"/>
          <w:b/>
          <w:bCs/>
          <w:color w:val="000000" w:themeColor="text1"/>
          <w:sz w:val="22"/>
          <w:szCs w:val="22"/>
        </w:rPr>
        <w:t>ante el Instituto</w:t>
      </w:r>
      <w:r w:rsidR="00E445DA" w:rsidRPr="00302243">
        <w:rPr>
          <w:rFonts w:ascii="Palatino Linotype" w:eastAsia="Batang" w:hAnsi="Palatino Linotype" w:cs="Tahoma"/>
          <w:b/>
          <w:bCs/>
          <w:color w:val="000000" w:themeColor="text1"/>
          <w:sz w:val="22"/>
          <w:szCs w:val="22"/>
        </w:rPr>
        <w:t>.</w:t>
      </w:r>
    </w:p>
    <w:p w14:paraId="6205BE1A" w14:textId="77777777" w:rsidR="00E445DA" w:rsidRPr="00302243" w:rsidRDefault="00E445DA" w:rsidP="00447875">
      <w:pPr>
        <w:spacing w:line="360" w:lineRule="auto"/>
        <w:jc w:val="both"/>
        <w:rPr>
          <w:rFonts w:ascii="Palatino Linotype" w:eastAsia="Batang" w:hAnsi="Palatino Linotype" w:cs="Tahoma"/>
          <w:b/>
          <w:bCs/>
          <w:color w:val="000000" w:themeColor="text1"/>
          <w:sz w:val="22"/>
          <w:szCs w:val="22"/>
        </w:rPr>
      </w:pPr>
    </w:p>
    <w:p w14:paraId="115AE0A3" w14:textId="047CC3EF" w:rsidR="00BE4843" w:rsidRPr="00302243" w:rsidRDefault="00A90F9B" w:rsidP="00447875">
      <w:pPr>
        <w:spacing w:line="360" w:lineRule="auto"/>
        <w:jc w:val="both"/>
        <w:rPr>
          <w:rFonts w:ascii="Palatino Linotype" w:eastAsia="Batang" w:hAnsi="Palatino Linotype" w:cs="Tahoma"/>
          <w:bCs/>
          <w:color w:val="000000" w:themeColor="text1"/>
          <w:sz w:val="22"/>
          <w:szCs w:val="22"/>
        </w:rPr>
      </w:pPr>
      <w:r w:rsidRPr="00302243">
        <w:rPr>
          <w:rFonts w:ascii="Palatino Linotype" w:eastAsia="Batang" w:hAnsi="Palatino Linotype" w:cs="Tahoma"/>
          <w:b/>
          <w:bCs/>
          <w:color w:val="000000" w:themeColor="text1"/>
          <w:sz w:val="22"/>
          <w:szCs w:val="22"/>
        </w:rPr>
        <w:t xml:space="preserve">a) </w:t>
      </w:r>
      <w:r w:rsidR="00B31222" w:rsidRPr="00302243">
        <w:rPr>
          <w:rFonts w:ascii="Palatino Linotype" w:eastAsia="Batang" w:hAnsi="Palatino Linotype" w:cs="Tahoma"/>
          <w:b/>
          <w:bCs/>
          <w:color w:val="000000" w:themeColor="text1"/>
          <w:sz w:val="22"/>
          <w:szCs w:val="22"/>
        </w:rPr>
        <w:t xml:space="preserve">Turno del </w:t>
      </w:r>
      <w:r w:rsidR="00C459A9" w:rsidRPr="00302243">
        <w:rPr>
          <w:rFonts w:ascii="Palatino Linotype" w:hAnsi="Palatino Linotype" w:cs="Tahoma"/>
          <w:b/>
          <w:color w:val="000000" w:themeColor="text1"/>
          <w:sz w:val="22"/>
          <w:szCs w:val="22"/>
        </w:rPr>
        <w:t>Recurso de Revisión</w:t>
      </w:r>
      <w:r w:rsidRPr="00302243">
        <w:rPr>
          <w:rFonts w:ascii="Palatino Linotype" w:eastAsia="Batang" w:hAnsi="Palatino Linotype" w:cs="Tahoma"/>
          <w:b/>
          <w:bCs/>
          <w:color w:val="000000" w:themeColor="text1"/>
          <w:sz w:val="22"/>
          <w:szCs w:val="22"/>
        </w:rPr>
        <w:t>.</w:t>
      </w:r>
      <w:r w:rsidR="00AE489D" w:rsidRPr="00302243">
        <w:rPr>
          <w:rFonts w:ascii="Palatino Linotype" w:eastAsia="Batang" w:hAnsi="Palatino Linotype" w:cs="Tahoma"/>
          <w:b/>
          <w:bCs/>
          <w:color w:val="000000" w:themeColor="text1"/>
          <w:sz w:val="22"/>
          <w:szCs w:val="22"/>
        </w:rPr>
        <w:t xml:space="preserve"> </w:t>
      </w:r>
      <w:r w:rsidR="00BE4843" w:rsidRPr="00302243">
        <w:rPr>
          <w:rFonts w:ascii="Palatino Linotype" w:eastAsia="Batang" w:hAnsi="Palatino Linotype" w:cs="Tahoma"/>
          <w:bCs/>
          <w:color w:val="000000" w:themeColor="text1"/>
          <w:sz w:val="22"/>
          <w:szCs w:val="22"/>
        </w:rPr>
        <w:t xml:space="preserve">El </w:t>
      </w:r>
      <w:r w:rsidR="007D1CD9">
        <w:rPr>
          <w:rFonts w:ascii="Palatino Linotype" w:eastAsia="Batang" w:hAnsi="Palatino Linotype" w:cs="Tahoma"/>
          <w:bCs/>
          <w:color w:val="000000" w:themeColor="text1"/>
          <w:sz w:val="22"/>
          <w:szCs w:val="22"/>
        </w:rPr>
        <w:t>veinte de septiembre</w:t>
      </w:r>
      <w:r w:rsidR="0030032A" w:rsidRPr="00302243">
        <w:rPr>
          <w:rFonts w:ascii="Palatino Linotype" w:eastAsia="Batang" w:hAnsi="Palatino Linotype" w:cs="Tahoma"/>
          <w:bCs/>
          <w:color w:val="000000" w:themeColor="text1"/>
          <w:sz w:val="22"/>
          <w:szCs w:val="22"/>
        </w:rPr>
        <w:t xml:space="preserve"> de dos mil diecinueve</w:t>
      </w:r>
      <w:r w:rsidR="00BE4843" w:rsidRPr="00302243">
        <w:rPr>
          <w:rFonts w:ascii="Palatino Linotype" w:eastAsia="Batang" w:hAnsi="Palatino Linotype" w:cs="Tahoma"/>
          <w:bCs/>
          <w:color w:val="000000" w:themeColor="text1"/>
          <w:sz w:val="22"/>
          <w:szCs w:val="22"/>
        </w:rPr>
        <w:t xml:space="preserve">, el </w:t>
      </w:r>
      <w:r w:rsidR="00BE4843" w:rsidRPr="00302243">
        <w:rPr>
          <w:rFonts w:ascii="Palatino Linotype" w:hAnsi="Palatino Linotype" w:cs="Tahoma"/>
          <w:color w:val="000000" w:themeColor="text1"/>
          <w:sz w:val="22"/>
          <w:szCs w:val="22"/>
          <w:lang w:val="es-ES"/>
        </w:rPr>
        <w:t>Sistema de Acceso a la Información Mexiquense (SAIMEX),</w:t>
      </w:r>
      <w:r w:rsidR="00BE4843" w:rsidRPr="00302243">
        <w:rPr>
          <w:rFonts w:ascii="Palatino Linotype" w:eastAsia="Batang" w:hAnsi="Palatino Linotype" w:cs="Tahoma"/>
          <w:bCs/>
          <w:color w:val="000000" w:themeColor="text1"/>
          <w:sz w:val="22"/>
          <w:szCs w:val="22"/>
        </w:rPr>
        <w:t xml:space="preserve"> asignó el número de expediente </w:t>
      </w:r>
      <w:r w:rsidR="00D34402" w:rsidRPr="00302243">
        <w:rPr>
          <w:rFonts w:ascii="Palatino Linotype" w:eastAsia="Batang" w:hAnsi="Palatino Linotype" w:cs="Tahoma"/>
          <w:bCs/>
          <w:color w:val="000000" w:themeColor="text1"/>
          <w:sz w:val="22"/>
          <w:szCs w:val="22"/>
        </w:rPr>
        <w:t>0</w:t>
      </w:r>
      <w:r w:rsidR="000457BC" w:rsidRPr="00302243">
        <w:rPr>
          <w:rFonts w:ascii="Palatino Linotype" w:eastAsia="Batang" w:hAnsi="Palatino Linotype" w:cs="Tahoma"/>
          <w:bCs/>
          <w:color w:val="000000" w:themeColor="text1"/>
          <w:sz w:val="22"/>
          <w:szCs w:val="22"/>
        </w:rPr>
        <w:t>7516</w:t>
      </w:r>
      <w:r w:rsidR="00D34402" w:rsidRPr="00302243">
        <w:rPr>
          <w:rFonts w:ascii="Palatino Linotype" w:eastAsia="Batang" w:hAnsi="Palatino Linotype" w:cs="Tahoma"/>
          <w:bCs/>
          <w:color w:val="000000" w:themeColor="text1"/>
          <w:sz w:val="22"/>
          <w:szCs w:val="22"/>
        </w:rPr>
        <w:t>/INFOEM/IP/RR/2019</w:t>
      </w:r>
      <w:r w:rsidR="00BE4843" w:rsidRPr="00302243">
        <w:rPr>
          <w:rFonts w:ascii="Palatino Linotype" w:eastAsia="Batang" w:hAnsi="Palatino Linotype" w:cs="Tahoma"/>
          <w:bCs/>
          <w:color w:val="000000" w:themeColor="text1"/>
          <w:sz w:val="22"/>
          <w:szCs w:val="22"/>
        </w:rPr>
        <w:t>,</w:t>
      </w:r>
      <w:r w:rsidR="00AE489D" w:rsidRPr="00302243">
        <w:rPr>
          <w:rFonts w:ascii="Palatino Linotype" w:eastAsia="Batang" w:hAnsi="Palatino Linotype" w:cs="Tahoma"/>
          <w:bCs/>
          <w:color w:val="000000" w:themeColor="text1"/>
          <w:sz w:val="22"/>
          <w:szCs w:val="22"/>
        </w:rPr>
        <w:t xml:space="preserve"> </w:t>
      </w:r>
      <w:r w:rsidR="00BE4843" w:rsidRPr="00302243">
        <w:rPr>
          <w:rFonts w:ascii="Palatino Linotype" w:eastAsia="Batang" w:hAnsi="Palatino Linotype" w:cs="Tahoma"/>
          <w:bCs/>
          <w:color w:val="000000" w:themeColor="text1"/>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66883FC" w14:textId="77777777" w:rsidR="00BE4843" w:rsidRPr="00302243" w:rsidRDefault="00BE4843" w:rsidP="00447875">
      <w:pPr>
        <w:spacing w:line="360" w:lineRule="auto"/>
        <w:ind w:left="708"/>
        <w:jc w:val="both"/>
        <w:rPr>
          <w:rFonts w:ascii="Palatino Linotype" w:eastAsia="Batang" w:hAnsi="Palatino Linotype" w:cs="Tahoma"/>
          <w:bCs/>
          <w:color w:val="000000" w:themeColor="text1"/>
          <w:sz w:val="22"/>
          <w:szCs w:val="22"/>
        </w:rPr>
      </w:pPr>
    </w:p>
    <w:p w14:paraId="529C5248" w14:textId="0AF42260" w:rsidR="00B31222" w:rsidRPr="00302243" w:rsidRDefault="00625DFB" w:rsidP="00447875">
      <w:pPr>
        <w:spacing w:line="360" w:lineRule="auto"/>
        <w:jc w:val="both"/>
        <w:rPr>
          <w:rFonts w:ascii="Palatino Linotype" w:hAnsi="Palatino Linotype" w:cs="Tahoma"/>
          <w:bCs/>
          <w:color w:val="000000" w:themeColor="text1"/>
          <w:sz w:val="22"/>
          <w:szCs w:val="22"/>
        </w:rPr>
      </w:pPr>
      <w:r w:rsidRPr="00302243">
        <w:rPr>
          <w:rFonts w:ascii="Palatino Linotype" w:eastAsia="Batang" w:hAnsi="Palatino Linotype" w:cs="Tahoma"/>
          <w:b/>
          <w:bCs/>
          <w:color w:val="000000" w:themeColor="text1"/>
          <w:sz w:val="22"/>
          <w:szCs w:val="22"/>
        </w:rPr>
        <w:lastRenderedPageBreak/>
        <w:t>b</w:t>
      </w:r>
      <w:r w:rsidR="009F46DC" w:rsidRPr="00302243">
        <w:rPr>
          <w:rFonts w:ascii="Palatino Linotype" w:eastAsia="Batang" w:hAnsi="Palatino Linotype" w:cs="Tahoma"/>
          <w:b/>
          <w:bCs/>
          <w:color w:val="000000" w:themeColor="text1"/>
          <w:sz w:val="22"/>
          <w:szCs w:val="22"/>
        </w:rPr>
        <w:t xml:space="preserve">) </w:t>
      </w:r>
      <w:r w:rsidR="00B31222" w:rsidRPr="00302243">
        <w:rPr>
          <w:rFonts w:ascii="Palatino Linotype" w:eastAsia="Batang" w:hAnsi="Palatino Linotype" w:cs="Tahoma"/>
          <w:b/>
          <w:bCs/>
          <w:color w:val="000000" w:themeColor="text1"/>
          <w:sz w:val="22"/>
          <w:szCs w:val="22"/>
        </w:rPr>
        <w:t>Admisión del</w:t>
      </w:r>
      <w:r w:rsidR="00AE489D" w:rsidRPr="00302243">
        <w:rPr>
          <w:rFonts w:ascii="Palatino Linotype" w:eastAsia="Batang" w:hAnsi="Palatino Linotype" w:cs="Tahoma"/>
          <w:b/>
          <w:bCs/>
          <w:color w:val="000000" w:themeColor="text1"/>
          <w:sz w:val="22"/>
          <w:szCs w:val="22"/>
        </w:rPr>
        <w:t xml:space="preserve"> </w:t>
      </w:r>
      <w:r w:rsidR="00C459A9" w:rsidRPr="00302243">
        <w:rPr>
          <w:rFonts w:ascii="Palatino Linotype" w:hAnsi="Palatino Linotype" w:cs="Tahoma"/>
          <w:b/>
          <w:color w:val="000000" w:themeColor="text1"/>
          <w:sz w:val="22"/>
          <w:szCs w:val="22"/>
        </w:rPr>
        <w:t>Recurso de Revisión</w:t>
      </w:r>
      <w:r w:rsidR="00B31222" w:rsidRPr="00302243">
        <w:rPr>
          <w:rFonts w:ascii="Palatino Linotype" w:eastAsia="Batang" w:hAnsi="Palatino Linotype" w:cs="Tahoma"/>
          <w:b/>
          <w:bCs/>
          <w:color w:val="000000" w:themeColor="text1"/>
          <w:sz w:val="22"/>
          <w:szCs w:val="22"/>
          <w:lang w:val="es-ES_tradnl"/>
        </w:rPr>
        <w:t xml:space="preserve">. </w:t>
      </w:r>
      <w:r w:rsidR="00BE4843" w:rsidRPr="00302243">
        <w:rPr>
          <w:rFonts w:ascii="Palatino Linotype" w:eastAsia="Batang" w:hAnsi="Palatino Linotype" w:cs="Tahoma"/>
          <w:bCs/>
          <w:color w:val="000000" w:themeColor="text1"/>
          <w:sz w:val="22"/>
          <w:szCs w:val="22"/>
          <w:lang w:val="es-ES_tradnl"/>
        </w:rPr>
        <w:t xml:space="preserve">El </w:t>
      </w:r>
      <w:r w:rsidR="007D1CD9">
        <w:rPr>
          <w:rFonts w:ascii="Palatino Linotype" w:eastAsia="Batang" w:hAnsi="Palatino Linotype" w:cs="Tahoma"/>
          <w:bCs/>
          <w:color w:val="000000" w:themeColor="text1"/>
          <w:sz w:val="22"/>
          <w:szCs w:val="22"/>
          <w:lang w:val="es-ES_tradnl"/>
        </w:rPr>
        <w:t>veintiséis de septiembre</w:t>
      </w:r>
      <w:r w:rsidR="0030032A" w:rsidRPr="00302243">
        <w:rPr>
          <w:rFonts w:ascii="Palatino Linotype" w:eastAsia="Batang" w:hAnsi="Palatino Linotype" w:cs="Tahoma"/>
          <w:bCs/>
          <w:color w:val="000000" w:themeColor="text1"/>
          <w:sz w:val="22"/>
          <w:szCs w:val="22"/>
          <w:lang w:val="es-ES_tradnl"/>
        </w:rPr>
        <w:t xml:space="preserve"> de dos mil diecinueve</w:t>
      </w:r>
      <w:r w:rsidR="00BE4843" w:rsidRPr="00302243">
        <w:rPr>
          <w:rFonts w:ascii="Palatino Linotype" w:eastAsia="Batang" w:hAnsi="Palatino Linotype" w:cs="Tahoma"/>
          <w:bCs/>
          <w:color w:val="000000" w:themeColor="text1"/>
          <w:sz w:val="22"/>
          <w:szCs w:val="22"/>
          <w:lang w:val="es-ES_tradnl"/>
        </w:rPr>
        <w:t>, se acordó la admisión del Recurs</w:t>
      </w:r>
      <w:r w:rsidR="000E7602" w:rsidRPr="00302243">
        <w:rPr>
          <w:rFonts w:ascii="Palatino Linotype" w:eastAsia="Batang" w:hAnsi="Palatino Linotype" w:cs="Tahoma"/>
          <w:bCs/>
          <w:color w:val="000000" w:themeColor="text1"/>
          <w:sz w:val="22"/>
          <w:szCs w:val="22"/>
          <w:lang w:val="es-ES_tradnl"/>
        </w:rPr>
        <w:t>o de Revisión interpuesto por el</w:t>
      </w:r>
      <w:r w:rsidR="00BE4843" w:rsidRPr="00302243">
        <w:rPr>
          <w:rFonts w:ascii="Palatino Linotype" w:eastAsia="Batang" w:hAnsi="Palatino Linotype" w:cs="Tahoma"/>
          <w:bCs/>
          <w:color w:val="000000" w:themeColor="text1"/>
          <w:sz w:val="22"/>
          <w:szCs w:val="22"/>
          <w:lang w:val="es-ES_tradnl"/>
        </w:rPr>
        <w:t xml:space="preserve"> Recurrente en contra del </w:t>
      </w:r>
      <w:r w:rsidR="00141895" w:rsidRPr="00302243">
        <w:rPr>
          <w:rFonts w:ascii="Palatino Linotype" w:eastAsia="Batang" w:hAnsi="Palatino Linotype" w:cs="Tahoma"/>
          <w:bCs/>
          <w:color w:val="000000" w:themeColor="text1"/>
          <w:sz w:val="22"/>
          <w:szCs w:val="22"/>
          <w:lang w:val="es-ES_tradnl"/>
        </w:rPr>
        <w:t>Sujeto Obligado</w:t>
      </w:r>
      <w:r w:rsidR="00BE4843" w:rsidRPr="00302243">
        <w:rPr>
          <w:rFonts w:ascii="Palatino Linotype" w:eastAsia="Batang" w:hAnsi="Palatino Linotype" w:cs="Tahoma"/>
          <w:bCs/>
          <w:color w:val="000000" w:themeColor="text1"/>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20D7809" w14:textId="77777777" w:rsidR="0061115C" w:rsidRPr="00302243" w:rsidRDefault="0061115C" w:rsidP="00447875">
      <w:pPr>
        <w:spacing w:line="360" w:lineRule="auto"/>
        <w:jc w:val="both"/>
        <w:rPr>
          <w:rFonts w:ascii="Palatino Linotype" w:hAnsi="Palatino Linotype" w:cs="Tahoma"/>
          <w:bCs/>
          <w:color w:val="000000" w:themeColor="text1"/>
          <w:sz w:val="22"/>
          <w:szCs w:val="22"/>
        </w:rPr>
      </w:pPr>
    </w:p>
    <w:p w14:paraId="7681CE6A" w14:textId="70379A08" w:rsidR="00AF663F" w:rsidRDefault="004406CF" w:rsidP="00AF663F">
      <w:pPr>
        <w:spacing w:line="360" w:lineRule="auto"/>
        <w:jc w:val="both"/>
        <w:rPr>
          <w:rFonts w:ascii="Palatino Linotype" w:hAnsi="Palatino Linotype" w:cs="Tahoma"/>
          <w:bCs/>
          <w:iCs/>
          <w:sz w:val="22"/>
          <w:szCs w:val="22"/>
        </w:rPr>
      </w:pPr>
      <w:r w:rsidRPr="00302243">
        <w:rPr>
          <w:rFonts w:ascii="Palatino Linotype" w:hAnsi="Palatino Linotype" w:cs="Tahoma"/>
          <w:b/>
          <w:color w:val="000000" w:themeColor="text1"/>
          <w:sz w:val="22"/>
          <w:szCs w:val="22"/>
        </w:rPr>
        <w:t>c</w:t>
      </w:r>
      <w:r w:rsidR="00B31222" w:rsidRPr="00302243">
        <w:rPr>
          <w:rFonts w:ascii="Palatino Linotype" w:hAnsi="Palatino Linotype" w:cs="Tahoma"/>
          <w:b/>
          <w:color w:val="000000" w:themeColor="text1"/>
          <w:sz w:val="22"/>
          <w:szCs w:val="22"/>
        </w:rPr>
        <w:t xml:space="preserve">) </w:t>
      </w:r>
      <w:r w:rsidR="00AF663F" w:rsidRPr="00912331">
        <w:rPr>
          <w:rFonts w:ascii="Palatino Linotype" w:hAnsi="Palatino Linotype" w:cs="Tahoma"/>
          <w:b/>
          <w:sz w:val="22"/>
          <w:szCs w:val="22"/>
        </w:rPr>
        <w:t xml:space="preserve">Informe justificado del Sujeto Obligado. </w:t>
      </w:r>
      <w:r w:rsidR="00AF663F" w:rsidRPr="00912331">
        <w:rPr>
          <w:rFonts w:ascii="Palatino Linotype" w:hAnsi="Palatino Linotype" w:cs="Tahoma"/>
          <w:sz w:val="22"/>
          <w:szCs w:val="22"/>
        </w:rPr>
        <w:t xml:space="preserve">El </w:t>
      </w:r>
      <w:r w:rsidR="00884679">
        <w:rPr>
          <w:rFonts w:ascii="Palatino Linotype" w:hAnsi="Palatino Linotype" w:cs="Tahoma"/>
          <w:sz w:val="22"/>
          <w:szCs w:val="22"/>
        </w:rPr>
        <w:t>veintisiete de septiembre</w:t>
      </w:r>
      <w:r w:rsidR="00AF663F">
        <w:rPr>
          <w:rFonts w:ascii="Palatino Linotype" w:hAnsi="Palatino Linotype" w:cs="Tahoma"/>
          <w:sz w:val="22"/>
          <w:szCs w:val="22"/>
        </w:rPr>
        <w:t xml:space="preserve"> </w:t>
      </w:r>
      <w:r w:rsidR="00AF663F" w:rsidRPr="00912331">
        <w:rPr>
          <w:rFonts w:ascii="Palatino Linotype" w:hAnsi="Palatino Linotype" w:cs="Tahoma"/>
          <w:sz w:val="22"/>
          <w:szCs w:val="22"/>
        </w:rPr>
        <w:t>de dos mil diecinueve, se recibió a través del Sistema de Acceso a la Información Mexiquense</w:t>
      </w:r>
      <w:r w:rsidR="00AF663F">
        <w:rPr>
          <w:rFonts w:ascii="Palatino Linotype" w:hAnsi="Palatino Linotype" w:cs="Tahoma"/>
          <w:sz w:val="22"/>
          <w:szCs w:val="22"/>
        </w:rPr>
        <w:t xml:space="preserve"> (SAIMEX)</w:t>
      </w:r>
      <w:r w:rsidR="00AF663F" w:rsidRPr="00912331">
        <w:rPr>
          <w:rFonts w:ascii="Palatino Linotype" w:hAnsi="Palatino Linotype" w:cs="Tahoma"/>
          <w:sz w:val="22"/>
          <w:szCs w:val="22"/>
        </w:rPr>
        <w:t xml:space="preserve">, </w:t>
      </w:r>
      <w:r w:rsidR="00AF663F" w:rsidRPr="00912331">
        <w:rPr>
          <w:rFonts w:ascii="Palatino Linotype" w:hAnsi="Palatino Linotype" w:cs="Tahoma"/>
          <w:bCs/>
          <w:iCs/>
          <w:sz w:val="22"/>
          <w:szCs w:val="22"/>
        </w:rPr>
        <w:t>el Informe Justificado</w:t>
      </w:r>
      <w:r w:rsidR="00AF663F">
        <w:rPr>
          <w:rFonts w:ascii="Palatino Linotype" w:hAnsi="Palatino Linotype" w:cs="Tahoma"/>
          <w:bCs/>
          <w:iCs/>
          <w:sz w:val="22"/>
          <w:szCs w:val="22"/>
        </w:rPr>
        <w:t xml:space="preserve"> con número </w:t>
      </w:r>
      <w:r w:rsidR="00CB20C5">
        <w:rPr>
          <w:rFonts w:ascii="Palatino Linotype" w:hAnsi="Palatino Linotype" w:cs="Tahoma"/>
          <w:bCs/>
          <w:iCs/>
          <w:sz w:val="22"/>
          <w:szCs w:val="22"/>
        </w:rPr>
        <w:t>UTM/NR/834/2019</w:t>
      </w:r>
      <w:r w:rsidR="00AF663F">
        <w:rPr>
          <w:rFonts w:ascii="Palatino Linotype" w:hAnsi="Palatino Linotype" w:cs="Tahoma"/>
          <w:bCs/>
          <w:iCs/>
          <w:sz w:val="22"/>
          <w:szCs w:val="22"/>
        </w:rPr>
        <w:t>,</w:t>
      </w:r>
      <w:r w:rsidR="00AF663F" w:rsidRPr="00912331">
        <w:rPr>
          <w:rFonts w:ascii="Palatino Linotype" w:hAnsi="Palatino Linotype" w:cs="Tahoma"/>
          <w:bCs/>
          <w:iCs/>
          <w:sz w:val="22"/>
          <w:szCs w:val="22"/>
        </w:rPr>
        <w:t xml:space="preserve"> </w:t>
      </w:r>
      <w:r w:rsidR="00AF663F">
        <w:rPr>
          <w:rFonts w:ascii="Palatino Linotype" w:hAnsi="Palatino Linotype" w:cs="Tahoma"/>
          <w:bCs/>
          <w:iCs/>
          <w:sz w:val="22"/>
          <w:szCs w:val="22"/>
        </w:rPr>
        <w:t>de la misma fecha de recepción</w:t>
      </w:r>
      <w:r w:rsidR="00AF663F" w:rsidRPr="00912331">
        <w:rPr>
          <w:rFonts w:ascii="Palatino Linotype" w:hAnsi="Palatino Linotype" w:cs="Tahoma"/>
          <w:bCs/>
          <w:iCs/>
          <w:sz w:val="22"/>
          <w:szCs w:val="22"/>
        </w:rPr>
        <w:t xml:space="preserve">, </w:t>
      </w:r>
      <w:r w:rsidR="00AF663F">
        <w:rPr>
          <w:rFonts w:ascii="Palatino Linotype" w:hAnsi="Palatino Linotype" w:cs="Tahoma"/>
          <w:bCs/>
          <w:iCs/>
          <w:sz w:val="22"/>
          <w:szCs w:val="22"/>
        </w:rPr>
        <w:t>suscrito por el</w:t>
      </w:r>
      <w:r w:rsidR="00AF663F" w:rsidRPr="00912331">
        <w:rPr>
          <w:rFonts w:ascii="Palatino Linotype" w:hAnsi="Palatino Linotype" w:cs="Tahoma"/>
          <w:bCs/>
          <w:iCs/>
          <w:sz w:val="22"/>
          <w:szCs w:val="22"/>
        </w:rPr>
        <w:t xml:space="preserve"> </w:t>
      </w:r>
      <w:r w:rsidR="00AF663F">
        <w:rPr>
          <w:rFonts w:ascii="Palatino Linotype" w:hAnsi="Palatino Linotype" w:cs="Tahoma"/>
          <w:bCs/>
          <w:iCs/>
          <w:sz w:val="22"/>
          <w:szCs w:val="22"/>
        </w:rPr>
        <w:t xml:space="preserve">Titular de la Unidad de Transparencia del Ayuntamiento de </w:t>
      </w:r>
      <w:r w:rsidR="00CB20C5">
        <w:rPr>
          <w:rFonts w:ascii="Palatino Linotype" w:hAnsi="Palatino Linotype" w:cs="Tahoma"/>
          <w:bCs/>
          <w:iCs/>
          <w:sz w:val="22"/>
          <w:szCs w:val="22"/>
        </w:rPr>
        <w:t>Nicolás Romero</w:t>
      </w:r>
      <w:r w:rsidR="00AF663F" w:rsidRPr="00912331">
        <w:rPr>
          <w:rFonts w:ascii="Palatino Linotype" w:hAnsi="Palatino Linotype" w:cs="Tahoma"/>
          <w:bCs/>
          <w:iCs/>
          <w:sz w:val="22"/>
          <w:szCs w:val="22"/>
        </w:rPr>
        <w:t>, dirigido al Comisionado Ponente,</w:t>
      </w:r>
      <w:r w:rsidR="00AF663F" w:rsidRPr="00912331">
        <w:rPr>
          <w:rFonts w:ascii="Palatino Linotype" w:hAnsi="Palatino Linotype" w:cs="Tahoma"/>
          <w:b/>
          <w:bCs/>
          <w:color w:val="0D0D0D" w:themeColor="text1" w:themeTint="F2"/>
          <w:sz w:val="22"/>
          <w:szCs w:val="22"/>
        </w:rPr>
        <w:t xml:space="preserve"> </w:t>
      </w:r>
      <w:r w:rsidR="00AF663F" w:rsidRPr="00912331">
        <w:rPr>
          <w:rFonts w:ascii="Palatino Linotype" w:hAnsi="Palatino Linotype" w:cs="Tahoma"/>
          <w:bCs/>
          <w:iCs/>
          <w:sz w:val="22"/>
          <w:szCs w:val="22"/>
        </w:rPr>
        <w:t>por medio del cual ratificó la respuesta primigenia</w:t>
      </w:r>
      <w:r w:rsidR="00AF663F">
        <w:rPr>
          <w:rFonts w:ascii="Palatino Linotype" w:hAnsi="Palatino Linotype" w:cs="Tahoma"/>
          <w:bCs/>
          <w:iCs/>
          <w:sz w:val="22"/>
          <w:szCs w:val="22"/>
        </w:rPr>
        <w:t xml:space="preserve"> </w:t>
      </w:r>
      <w:r w:rsidR="00CB20C5">
        <w:rPr>
          <w:rFonts w:ascii="Palatino Linotype" w:hAnsi="Palatino Linotype" w:cs="Tahoma"/>
          <w:bCs/>
          <w:iCs/>
          <w:sz w:val="22"/>
          <w:szCs w:val="22"/>
        </w:rPr>
        <w:t>y precisó lo siguiente:</w:t>
      </w:r>
    </w:p>
    <w:p w14:paraId="201D203E" w14:textId="77777777" w:rsidR="00CB20C5" w:rsidRDefault="00CB20C5" w:rsidP="00AF663F">
      <w:pPr>
        <w:spacing w:line="360" w:lineRule="auto"/>
        <w:jc w:val="both"/>
        <w:rPr>
          <w:rFonts w:ascii="Palatino Linotype" w:hAnsi="Palatino Linotype" w:cs="Tahoma"/>
          <w:bCs/>
          <w:iCs/>
          <w:sz w:val="22"/>
          <w:szCs w:val="22"/>
        </w:rPr>
      </w:pPr>
    </w:p>
    <w:p w14:paraId="186A9D67" w14:textId="6BF67528" w:rsidR="00CB20C5" w:rsidRPr="00CB20C5" w:rsidRDefault="00CB20C5" w:rsidP="00CB20C5">
      <w:pPr>
        <w:spacing w:line="360" w:lineRule="auto"/>
        <w:ind w:left="567" w:right="567"/>
        <w:jc w:val="both"/>
        <w:rPr>
          <w:rFonts w:ascii="Palatino Linotype" w:hAnsi="Palatino Linotype" w:cs="Tahoma"/>
          <w:bCs/>
          <w:i/>
          <w:iCs/>
        </w:rPr>
      </w:pPr>
      <w:r w:rsidRPr="00CB20C5">
        <w:rPr>
          <w:rFonts w:ascii="Palatino Linotype" w:hAnsi="Palatino Linotype" w:cs="Tahoma"/>
          <w:bCs/>
          <w:i/>
          <w:iCs/>
        </w:rPr>
        <w:t>“…</w:t>
      </w:r>
    </w:p>
    <w:p w14:paraId="2C8DC573" w14:textId="6AEE0F6A" w:rsidR="00CB20C5" w:rsidRDefault="002D3B2E" w:rsidP="002D3B2E">
      <w:pPr>
        <w:spacing w:line="360" w:lineRule="auto"/>
        <w:ind w:left="567" w:right="567"/>
        <w:jc w:val="both"/>
        <w:rPr>
          <w:rFonts w:ascii="Palatino Linotype" w:hAnsi="Palatino Linotype" w:cs="Tahoma"/>
          <w:bCs/>
          <w:i/>
          <w:iCs/>
        </w:rPr>
      </w:pPr>
      <w:r w:rsidRPr="002D3B2E">
        <w:rPr>
          <w:rFonts w:ascii="Palatino Linotype" w:hAnsi="Palatino Linotype" w:cs="Tahoma"/>
          <w:bCs/>
          <w:i/>
          <w:iCs/>
        </w:rPr>
        <w:t>Con el análisis puntual se observa que se dio contención a cada uno de los puntos</w:t>
      </w:r>
      <w:r>
        <w:rPr>
          <w:rFonts w:ascii="Palatino Linotype" w:hAnsi="Palatino Linotype" w:cs="Tahoma"/>
          <w:bCs/>
          <w:i/>
          <w:iCs/>
        </w:rPr>
        <w:t xml:space="preserve"> </w:t>
      </w:r>
      <w:r w:rsidRPr="002D3B2E">
        <w:rPr>
          <w:rFonts w:ascii="Palatino Linotype" w:hAnsi="Palatino Linotype" w:cs="Tahoma"/>
          <w:bCs/>
          <w:i/>
          <w:iCs/>
        </w:rPr>
        <w:t>solicitados por el particular; por lo cual su acto impugnado carece de sustento.</w:t>
      </w:r>
    </w:p>
    <w:p w14:paraId="49D24347" w14:textId="5904E3EE" w:rsidR="002D3B2E" w:rsidRDefault="002D3B2E" w:rsidP="002D3B2E">
      <w:pPr>
        <w:spacing w:line="360" w:lineRule="auto"/>
        <w:ind w:left="567" w:right="567"/>
        <w:jc w:val="both"/>
        <w:rPr>
          <w:rFonts w:ascii="Palatino Linotype" w:hAnsi="Palatino Linotype" w:cs="Tahoma"/>
          <w:bCs/>
          <w:i/>
          <w:iCs/>
        </w:rPr>
      </w:pPr>
      <w:r>
        <w:rPr>
          <w:rFonts w:ascii="Palatino Linotype" w:hAnsi="Palatino Linotype" w:cs="Tahoma"/>
          <w:bCs/>
          <w:i/>
          <w:iCs/>
        </w:rPr>
        <w:t>…</w:t>
      </w:r>
    </w:p>
    <w:p w14:paraId="226BD8AE" w14:textId="191C15AB" w:rsidR="002D3B2E" w:rsidRDefault="002D3B2E" w:rsidP="002D3B2E">
      <w:pPr>
        <w:spacing w:line="360" w:lineRule="auto"/>
        <w:ind w:left="567" w:right="567"/>
        <w:jc w:val="both"/>
        <w:rPr>
          <w:rFonts w:ascii="Palatino Linotype" w:hAnsi="Palatino Linotype" w:cs="Tahoma"/>
          <w:bCs/>
          <w:i/>
          <w:iCs/>
        </w:rPr>
      </w:pPr>
      <w:r w:rsidRPr="002D3B2E">
        <w:rPr>
          <w:rFonts w:ascii="Palatino Linotype" w:hAnsi="Palatino Linotype" w:cs="Tahoma"/>
          <w:bCs/>
          <w:i/>
          <w:iCs/>
        </w:rPr>
        <w:t>De conformidad con los artículos 122, 125, 128, 129, 132, 133, 140, 141, 143, 149 de la</w:t>
      </w:r>
      <w:r>
        <w:rPr>
          <w:rFonts w:ascii="Palatino Linotype" w:hAnsi="Palatino Linotype" w:cs="Tahoma"/>
          <w:bCs/>
          <w:i/>
          <w:iCs/>
        </w:rPr>
        <w:t xml:space="preserve"> </w:t>
      </w:r>
      <w:r w:rsidRPr="002D3B2E">
        <w:rPr>
          <w:rFonts w:ascii="Palatino Linotype" w:hAnsi="Palatino Linotype" w:cs="Tahoma"/>
          <w:bCs/>
          <w:i/>
          <w:iCs/>
        </w:rPr>
        <w:t>Ley de Transparencia y Acceso a la Información Pública del Estado de México y</w:t>
      </w:r>
      <w:r>
        <w:rPr>
          <w:rFonts w:ascii="Palatino Linotype" w:hAnsi="Palatino Linotype" w:cs="Tahoma"/>
          <w:bCs/>
          <w:i/>
          <w:iCs/>
        </w:rPr>
        <w:t xml:space="preserve"> </w:t>
      </w:r>
      <w:r w:rsidRPr="002D3B2E">
        <w:rPr>
          <w:rFonts w:ascii="Palatino Linotype" w:hAnsi="Palatino Linotype" w:cs="Tahoma"/>
          <w:bCs/>
          <w:i/>
          <w:iCs/>
        </w:rPr>
        <w:t>Municipios son parte de la fundamentación de los acuerdos emitidos ya que la</w:t>
      </w:r>
      <w:r>
        <w:rPr>
          <w:rFonts w:ascii="Palatino Linotype" w:hAnsi="Palatino Linotype" w:cs="Tahoma"/>
          <w:bCs/>
          <w:i/>
          <w:iCs/>
        </w:rPr>
        <w:t xml:space="preserve"> </w:t>
      </w:r>
      <w:r w:rsidRPr="002D3B2E">
        <w:rPr>
          <w:rFonts w:ascii="Palatino Linotype" w:hAnsi="Palatino Linotype" w:cs="Tahoma"/>
          <w:bCs/>
          <w:i/>
          <w:iCs/>
        </w:rPr>
        <w:t>clasificación es un procedimiento mediante el cual se determina que la información se</w:t>
      </w:r>
      <w:r>
        <w:rPr>
          <w:rFonts w:ascii="Palatino Linotype" w:hAnsi="Palatino Linotype" w:cs="Tahoma"/>
          <w:bCs/>
          <w:i/>
          <w:iCs/>
        </w:rPr>
        <w:t xml:space="preserve"> </w:t>
      </w:r>
      <w:r w:rsidRPr="002D3B2E">
        <w:rPr>
          <w:rFonts w:ascii="Palatino Linotype" w:hAnsi="Palatino Linotype" w:cs="Tahoma"/>
          <w:bCs/>
          <w:i/>
          <w:iCs/>
        </w:rPr>
        <w:t>encuentra en alguno de los supuestos de reserva o confidencial; por tal motivo, los</w:t>
      </w:r>
      <w:r>
        <w:rPr>
          <w:rFonts w:ascii="Palatino Linotype" w:hAnsi="Palatino Linotype" w:cs="Tahoma"/>
          <w:bCs/>
          <w:i/>
          <w:iCs/>
        </w:rPr>
        <w:t xml:space="preserve"> </w:t>
      </w:r>
      <w:r w:rsidRPr="002D3B2E">
        <w:rPr>
          <w:rFonts w:ascii="Palatino Linotype" w:hAnsi="Palatino Linotype" w:cs="Tahoma"/>
          <w:bCs/>
          <w:i/>
          <w:iCs/>
        </w:rPr>
        <w:t>documentos enviados a l particular poseen un carácter de información reservada e n la</w:t>
      </w:r>
      <w:r>
        <w:rPr>
          <w:rFonts w:ascii="Palatino Linotype" w:hAnsi="Palatino Linotype" w:cs="Tahoma"/>
          <w:bCs/>
          <w:i/>
          <w:iCs/>
        </w:rPr>
        <w:t xml:space="preserve"> </w:t>
      </w:r>
      <w:r w:rsidRPr="002D3B2E">
        <w:rPr>
          <w:rFonts w:ascii="Palatino Linotype" w:hAnsi="Palatino Linotype" w:cs="Tahoma"/>
          <w:bCs/>
          <w:i/>
          <w:iCs/>
        </w:rPr>
        <w:t>cual se presentó la prueba de daño, fundamentando y motivando las razones por las</w:t>
      </w:r>
      <w:r>
        <w:rPr>
          <w:rFonts w:ascii="Palatino Linotype" w:hAnsi="Palatino Linotype" w:cs="Tahoma"/>
          <w:bCs/>
          <w:i/>
          <w:iCs/>
        </w:rPr>
        <w:t xml:space="preserve"> </w:t>
      </w:r>
      <w:r w:rsidRPr="002D3B2E">
        <w:rPr>
          <w:rFonts w:ascii="Palatino Linotype" w:hAnsi="Palatino Linotype" w:cs="Tahoma"/>
          <w:bCs/>
          <w:i/>
          <w:iCs/>
        </w:rPr>
        <w:t>cuales no se puede proporcionar dicha información, ; ya que la obra aun no casusa</w:t>
      </w:r>
      <w:r w:rsidR="00860C8D">
        <w:rPr>
          <w:rFonts w:ascii="Palatino Linotype" w:hAnsi="Palatino Linotype" w:cs="Tahoma"/>
          <w:bCs/>
          <w:i/>
          <w:iCs/>
        </w:rPr>
        <w:t xml:space="preserve"> </w:t>
      </w:r>
      <w:r w:rsidRPr="002D3B2E">
        <w:rPr>
          <w:rFonts w:ascii="Palatino Linotype" w:hAnsi="Palatino Linotype" w:cs="Tahoma"/>
          <w:bCs/>
          <w:i/>
          <w:iCs/>
        </w:rPr>
        <w:t xml:space="preserve">estado. Por otro lado, se enviaron documentos </w:t>
      </w:r>
      <w:r w:rsidR="00860C8D">
        <w:rPr>
          <w:rFonts w:ascii="Palatino Linotype" w:hAnsi="Palatino Linotype" w:cs="Tahoma"/>
          <w:bCs/>
          <w:i/>
          <w:iCs/>
        </w:rPr>
        <w:t>que contenían información con</w:t>
      </w:r>
      <w:r w:rsidRPr="002D3B2E">
        <w:rPr>
          <w:rFonts w:ascii="Palatino Linotype" w:hAnsi="Palatino Linotype" w:cs="Tahoma"/>
          <w:bCs/>
          <w:i/>
          <w:iCs/>
        </w:rPr>
        <w:t>fidencial</w:t>
      </w:r>
      <w:r w:rsidR="00860C8D">
        <w:rPr>
          <w:rFonts w:ascii="Palatino Linotype" w:hAnsi="Palatino Linotype" w:cs="Tahoma"/>
          <w:bCs/>
          <w:i/>
          <w:iCs/>
        </w:rPr>
        <w:t xml:space="preserve"> </w:t>
      </w:r>
      <w:r w:rsidRPr="002D3B2E">
        <w:rPr>
          <w:rFonts w:ascii="Palatino Linotype" w:hAnsi="Palatino Linotype" w:cs="Tahoma"/>
          <w:bCs/>
          <w:i/>
          <w:iCs/>
        </w:rPr>
        <w:t xml:space="preserve">atendiendo </w:t>
      </w:r>
      <w:r w:rsidRPr="002D3B2E">
        <w:rPr>
          <w:rFonts w:ascii="Palatino Linotype" w:hAnsi="Palatino Linotype" w:cs="Tahoma"/>
          <w:bCs/>
          <w:i/>
          <w:iCs/>
        </w:rPr>
        <w:lastRenderedPageBreak/>
        <w:t>el artículo 133 de la Ley de Transparencia y Acceso a la Información Pública</w:t>
      </w:r>
      <w:r w:rsidR="00860C8D">
        <w:rPr>
          <w:rFonts w:ascii="Palatino Linotype" w:hAnsi="Palatino Linotype" w:cs="Tahoma"/>
          <w:bCs/>
          <w:i/>
          <w:iCs/>
        </w:rPr>
        <w:t xml:space="preserve"> </w:t>
      </w:r>
      <w:r w:rsidRPr="002D3B2E">
        <w:rPr>
          <w:rFonts w:ascii="Palatino Linotype" w:hAnsi="Palatino Linotype" w:cs="Tahoma"/>
          <w:bCs/>
          <w:i/>
          <w:iCs/>
        </w:rPr>
        <w:t>del Estado de México y Municipios</w:t>
      </w:r>
    </w:p>
    <w:p w14:paraId="254444DE" w14:textId="59187232" w:rsidR="00860C8D" w:rsidRDefault="00860C8D" w:rsidP="002D3B2E">
      <w:pPr>
        <w:spacing w:line="360" w:lineRule="auto"/>
        <w:ind w:left="567" w:right="567"/>
        <w:jc w:val="both"/>
        <w:rPr>
          <w:rFonts w:ascii="Palatino Linotype" w:hAnsi="Palatino Linotype" w:cs="Tahoma"/>
          <w:bCs/>
          <w:i/>
          <w:iCs/>
        </w:rPr>
      </w:pPr>
      <w:r>
        <w:rPr>
          <w:rFonts w:ascii="Palatino Linotype" w:hAnsi="Palatino Linotype" w:cs="Tahoma"/>
          <w:bCs/>
          <w:i/>
          <w:iCs/>
        </w:rPr>
        <w:t>…</w:t>
      </w:r>
    </w:p>
    <w:p w14:paraId="74736D1A" w14:textId="67261C54" w:rsidR="00860C8D" w:rsidRDefault="00860C8D" w:rsidP="00860C8D">
      <w:pPr>
        <w:spacing w:line="360" w:lineRule="auto"/>
        <w:ind w:left="567" w:right="567"/>
        <w:jc w:val="both"/>
        <w:rPr>
          <w:rFonts w:ascii="Palatino Linotype" w:hAnsi="Palatino Linotype" w:cs="Tahoma"/>
          <w:bCs/>
          <w:i/>
          <w:iCs/>
        </w:rPr>
      </w:pPr>
      <w:r w:rsidRPr="00860C8D">
        <w:rPr>
          <w:rFonts w:ascii="Palatino Linotype" w:hAnsi="Palatino Linotype" w:cs="Tahoma"/>
          <w:bCs/>
          <w:i/>
          <w:iCs/>
        </w:rPr>
        <w:t>De acuerdo al Reglamento del Libro Décimo Segundo del Código Administrativo del</w:t>
      </w:r>
      <w:r>
        <w:rPr>
          <w:rFonts w:ascii="Palatino Linotype" w:hAnsi="Palatino Linotype" w:cs="Tahoma"/>
          <w:bCs/>
          <w:i/>
          <w:iCs/>
        </w:rPr>
        <w:t xml:space="preserve"> </w:t>
      </w:r>
      <w:r w:rsidRPr="00860C8D">
        <w:rPr>
          <w:rFonts w:ascii="Palatino Linotype" w:hAnsi="Palatino Linotype" w:cs="Tahoma"/>
          <w:bCs/>
          <w:i/>
          <w:iCs/>
        </w:rPr>
        <w:t>Estado de México en</w:t>
      </w:r>
      <w:r>
        <w:rPr>
          <w:rFonts w:ascii="Palatino Linotype" w:hAnsi="Palatino Linotype" w:cs="Tahoma"/>
          <w:bCs/>
          <w:i/>
          <w:iCs/>
        </w:rPr>
        <w:t xml:space="preserve"> </w:t>
      </w:r>
      <w:r w:rsidRPr="00860C8D">
        <w:rPr>
          <w:rFonts w:ascii="Palatino Linotype" w:hAnsi="Palatino Linotype" w:cs="Tahoma"/>
          <w:bCs/>
          <w:i/>
          <w:iCs/>
        </w:rPr>
        <w:t xml:space="preserve">su sección cuarta </w:t>
      </w:r>
      <w:r>
        <w:rPr>
          <w:rFonts w:ascii="Palatino Linotype" w:hAnsi="Palatino Linotype" w:cs="Tahoma"/>
          <w:bCs/>
          <w:i/>
          <w:iCs/>
        </w:rPr>
        <w:t>‘</w:t>
      </w:r>
      <w:r w:rsidRPr="00860C8D">
        <w:rPr>
          <w:rFonts w:ascii="Palatino Linotype" w:hAnsi="Palatino Linotype" w:cs="Tahoma"/>
          <w:bCs/>
          <w:i/>
          <w:iCs/>
        </w:rPr>
        <w:t>De la recepción de los Trabajos</w:t>
      </w:r>
      <w:r>
        <w:rPr>
          <w:rFonts w:ascii="Palatino Linotype" w:hAnsi="Palatino Linotype" w:cs="Tahoma"/>
          <w:bCs/>
          <w:i/>
          <w:iCs/>
        </w:rPr>
        <w:t>’</w:t>
      </w:r>
      <w:r w:rsidRPr="00860C8D">
        <w:rPr>
          <w:rFonts w:ascii="Palatino Linotype" w:hAnsi="Palatino Linotype" w:cs="Tahoma"/>
          <w:bCs/>
          <w:i/>
          <w:iCs/>
        </w:rPr>
        <w:t xml:space="preserve"> Articulo 230</w:t>
      </w:r>
      <w:r>
        <w:rPr>
          <w:rFonts w:ascii="Palatino Linotype" w:hAnsi="Palatino Linotype" w:cs="Tahoma"/>
          <w:bCs/>
          <w:i/>
          <w:iCs/>
        </w:rPr>
        <w:t xml:space="preserve"> </w:t>
      </w:r>
      <w:r w:rsidRPr="00860C8D">
        <w:rPr>
          <w:rFonts w:ascii="Palatino Linotype" w:hAnsi="Palatino Linotype" w:cs="Tahoma"/>
          <w:bCs/>
          <w:i/>
          <w:iCs/>
        </w:rPr>
        <w:t>que a letra dice: Para inicia</w:t>
      </w:r>
      <w:r>
        <w:rPr>
          <w:rFonts w:ascii="Palatino Linotype" w:hAnsi="Palatino Linotype" w:cs="Tahoma"/>
          <w:bCs/>
          <w:i/>
          <w:iCs/>
        </w:rPr>
        <w:t xml:space="preserve"> </w:t>
      </w:r>
      <w:r w:rsidRPr="00860C8D">
        <w:rPr>
          <w:rFonts w:ascii="Palatino Linotype" w:hAnsi="Palatino Linotype" w:cs="Tahoma"/>
          <w:bCs/>
          <w:i/>
          <w:iCs/>
        </w:rPr>
        <w:t xml:space="preserve">(el procedimiento de recepción de los trabajos, </w:t>
      </w:r>
      <w:r>
        <w:rPr>
          <w:rFonts w:ascii="Palatino Linotype" w:hAnsi="Palatino Linotype" w:cs="Tahoma"/>
          <w:bCs/>
          <w:i/>
          <w:iCs/>
        </w:rPr>
        <w:t>e</w:t>
      </w:r>
      <w:r w:rsidRPr="00860C8D">
        <w:rPr>
          <w:rFonts w:ascii="Palatino Linotype" w:hAnsi="Palatino Linotype" w:cs="Tahoma"/>
          <w:bCs/>
          <w:i/>
          <w:iCs/>
        </w:rPr>
        <w:t>l contratista</w:t>
      </w:r>
      <w:r>
        <w:rPr>
          <w:rFonts w:ascii="Palatino Linotype" w:hAnsi="Palatino Linotype" w:cs="Tahoma"/>
          <w:bCs/>
          <w:i/>
          <w:iCs/>
        </w:rPr>
        <w:t xml:space="preserve"> </w:t>
      </w:r>
      <w:r w:rsidRPr="00860C8D">
        <w:rPr>
          <w:rFonts w:ascii="Palatino Linotype" w:hAnsi="Palatino Linotype" w:cs="Tahoma"/>
          <w:bCs/>
          <w:i/>
          <w:iCs/>
        </w:rPr>
        <w:t>deberá notificar al contratante la</w:t>
      </w:r>
      <w:r>
        <w:rPr>
          <w:rFonts w:ascii="Palatino Linotype" w:hAnsi="Palatino Linotype" w:cs="Tahoma"/>
          <w:bCs/>
          <w:i/>
          <w:iCs/>
        </w:rPr>
        <w:t xml:space="preserve"> term</w:t>
      </w:r>
      <w:r w:rsidRPr="00860C8D">
        <w:rPr>
          <w:rFonts w:ascii="Palatino Linotype" w:hAnsi="Palatino Linotype" w:cs="Tahoma"/>
          <w:bCs/>
          <w:i/>
          <w:iCs/>
        </w:rPr>
        <w:t>inación de los mismos mediante la bitácora y por</w:t>
      </w:r>
      <w:r>
        <w:rPr>
          <w:rFonts w:ascii="Palatino Linotype" w:hAnsi="Palatino Linotype" w:cs="Tahoma"/>
          <w:bCs/>
          <w:i/>
          <w:iCs/>
        </w:rPr>
        <w:t xml:space="preserve"> </w:t>
      </w:r>
      <w:r w:rsidRPr="00860C8D">
        <w:rPr>
          <w:rFonts w:ascii="Palatino Linotype" w:hAnsi="Palatino Linotype" w:cs="Tahoma"/>
          <w:bCs/>
          <w:i/>
          <w:iCs/>
        </w:rPr>
        <w:t>escrito,</w:t>
      </w:r>
      <w:r>
        <w:rPr>
          <w:rFonts w:ascii="Palatino Linotype" w:hAnsi="Palatino Linotype" w:cs="Tahoma"/>
          <w:bCs/>
          <w:i/>
          <w:iCs/>
        </w:rPr>
        <w:t xml:space="preserve"> </w:t>
      </w:r>
      <w:r w:rsidRPr="00860C8D">
        <w:rPr>
          <w:rFonts w:ascii="Palatino Linotype" w:hAnsi="Palatino Linotype" w:cs="Tahoma"/>
          <w:bCs/>
          <w:i/>
          <w:iCs/>
        </w:rPr>
        <w:t xml:space="preserve"> anexando los documentos de soporte que incluye una relación de las</w:t>
      </w:r>
      <w:r>
        <w:rPr>
          <w:rFonts w:ascii="Palatino Linotype" w:hAnsi="Palatino Linotype" w:cs="Tahoma"/>
          <w:bCs/>
          <w:i/>
          <w:iCs/>
        </w:rPr>
        <w:t xml:space="preserve"> </w:t>
      </w:r>
      <w:r w:rsidRPr="00860C8D">
        <w:rPr>
          <w:rFonts w:ascii="Palatino Linotype" w:hAnsi="Palatino Linotype" w:cs="Tahoma"/>
          <w:bCs/>
          <w:i/>
          <w:iCs/>
        </w:rPr>
        <w:t>estimaciones o de gastos aprobados , monto ejercido y créditos a favor o en contra.</w:t>
      </w:r>
    </w:p>
    <w:p w14:paraId="3C19B049" w14:textId="77777777" w:rsidR="00860C8D" w:rsidRPr="00860C8D" w:rsidRDefault="00860C8D" w:rsidP="00860C8D">
      <w:pPr>
        <w:spacing w:line="360" w:lineRule="auto"/>
        <w:ind w:left="567" w:right="567"/>
        <w:jc w:val="both"/>
        <w:rPr>
          <w:rFonts w:ascii="Palatino Linotype" w:hAnsi="Palatino Linotype" w:cs="Tahoma"/>
          <w:bCs/>
          <w:i/>
          <w:iCs/>
        </w:rPr>
      </w:pPr>
    </w:p>
    <w:p w14:paraId="22B65ED5" w14:textId="77777777" w:rsidR="00051C45" w:rsidRDefault="00860C8D" w:rsidP="00860C8D">
      <w:pPr>
        <w:spacing w:line="360" w:lineRule="auto"/>
        <w:ind w:left="567" w:right="567"/>
        <w:jc w:val="both"/>
        <w:rPr>
          <w:rFonts w:ascii="Palatino Linotype" w:hAnsi="Palatino Linotype" w:cs="Tahoma"/>
          <w:bCs/>
          <w:i/>
          <w:iCs/>
        </w:rPr>
      </w:pPr>
      <w:r w:rsidRPr="00860C8D">
        <w:rPr>
          <w:rFonts w:ascii="Palatino Linotype" w:hAnsi="Palatino Linotype" w:cs="Tahoma"/>
          <w:bCs/>
          <w:i/>
          <w:iCs/>
        </w:rPr>
        <w:t>Desde la ejecución de los trabajos se contempla la bitácora, con la cual se realizan las</w:t>
      </w:r>
      <w:r>
        <w:rPr>
          <w:rFonts w:ascii="Palatino Linotype" w:hAnsi="Palatino Linotype" w:cs="Tahoma"/>
          <w:bCs/>
          <w:i/>
          <w:iCs/>
        </w:rPr>
        <w:t xml:space="preserve"> </w:t>
      </w:r>
      <w:r w:rsidRPr="00860C8D">
        <w:rPr>
          <w:rFonts w:ascii="Palatino Linotype" w:hAnsi="Palatino Linotype" w:cs="Tahoma"/>
          <w:bCs/>
          <w:i/>
          <w:iCs/>
        </w:rPr>
        <w:t>consultas necesarias para las visitas, inspecciones, auditorias y suspe</w:t>
      </w:r>
      <w:r>
        <w:rPr>
          <w:rFonts w:ascii="Palatino Linotype" w:hAnsi="Palatino Linotype" w:cs="Tahoma"/>
          <w:bCs/>
          <w:i/>
          <w:iCs/>
        </w:rPr>
        <w:t>n</w:t>
      </w:r>
      <w:r w:rsidRPr="00860C8D">
        <w:rPr>
          <w:rFonts w:ascii="Palatino Linotype" w:hAnsi="Palatino Linotype" w:cs="Tahoma"/>
          <w:bCs/>
          <w:i/>
          <w:iCs/>
        </w:rPr>
        <w:t>siones. Es</w:t>
      </w:r>
      <w:r>
        <w:rPr>
          <w:rFonts w:ascii="Palatino Linotype" w:hAnsi="Palatino Linotype" w:cs="Tahoma"/>
          <w:bCs/>
          <w:i/>
          <w:iCs/>
        </w:rPr>
        <w:t xml:space="preserve"> </w:t>
      </w:r>
      <w:r w:rsidRPr="00860C8D">
        <w:rPr>
          <w:rFonts w:ascii="Palatino Linotype" w:hAnsi="Palatino Linotype" w:cs="Tahoma"/>
          <w:bCs/>
          <w:i/>
          <w:iCs/>
        </w:rPr>
        <w:t>así que con forme al artículo 231 del Reglamento del Libro Décimo Segundo del Código</w:t>
      </w:r>
      <w:r>
        <w:rPr>
          <w:rFonts w:ascii="Palatino Linotype" w:hAnsi="Palatino Linotype" w:cs="Tahoma"/>
          <w:bCs/>
          <w:i/>
          <w:iCs/>
        </w:rPr>
        <w:t xml:space="preserve"> </w:t>
      </w:r>
      <w:r w:rsidRPr="00860C8D">
        <w:rPr>
          <w:rFonts w:ascii="Palatino Linotype" w:hAnsi="Palatino Linotype" w:cs="Tahoma"/>
          <w:bCs/>
          <w:i/>
          <w:iCs/>
        </w:rPr>
        <w:t>Administrativo del Estado de México, sito: durante la verificación de los trabajos, el</w:t>
      </w:r>
      <w:r>
        <w:rPr>
          <w:rFonts w:ascii="Palatino Linotype" w:hAnsi="Palatino Linotype" w:cs="Tahoma"/>
          <w:bCs/>
          <w:i/>
          <w:iCs/>
        </w:rPr>
        <w:t xml:space="preserve"> </w:t>
      </w:r>
      <w:r w:rsidRPr="00860C8D">
        <w:rPr>
          <w:rFonts w:ascii="Palatino Linotype" w:hAnsi="Palatino Linotype" w:cs="Tahoma"/>
          <w:bCs/>
          <w:i/>
          <w:iCs/>
        </w:rPr>
        <w:t>contratante observa deficiencias, deberá solicitar al contratista que realice las</w:t>
      </w:r>
      <w:r>
        <w:rPr>
          <w:rFonts w:ascii="Palatino Linotype" w:hAnsi="Palatino Linotype" w:cs="Tahoma"/>
          <w:bCs/>
          <w:i/>
          <w:iCs/>
        </w:rPr>
        <w:t xml:space="preserve"> </w:t>
      </w:r>
      <w:r w:rsidRPr="00860C8D">
        <w:rPr>
          <w:rFonts w:ascii="Palatino Linotype" w:hAnsi="Palatino Linotype" w:cs="Tahoma"/>
          <w:bCs/>
          <w:i/>
          <w:iCs/>
        </w:rPr>
        <w:t>correcciones o reparaciones conforme a lo establecido en el contrato. En este caso, el</w:t>
      </w:r>
      <w:r>
        <w:rPr>
          <w:rFonts w:ascii="Palatino Linotype" w:hAnsi="Palatino Linotype" w:cs="Tahoma"/>
          <w:bCs/>
          <w:i/>
          <w:iCs/>
        </w:rPr>
        <w:t xml:space="preserve"> </w:t>
      </w:r>
      <w:r w:rsidRPr="00860C8D">
        <w:rPr>
          <w:rFonts w:ascii="Palatino Linotype" w:hAnsi="Palatino Linotype" w:cs="Tahoma"/>
          <w:bCs/>
          <w:i/>
          <w:iCs/>
        </w:rPr>
        <w:t>plazo de verificación de los trabajos, pactado en e l contrato, se</w:t>
      </w:r>
      <w:r w:rsidR="00051C45">
        <w:rPr>
          <w:rFonts w:ascii="Palatino Linotype" w:hAnsi="Palatino Linotype" w:cs="Tahoma"/>
          <w:bCs/>
          <w:i/>
          <w:iCs/>
        </w:rPr>
        <w:t xml:space="preserve"> pod</w:t>
      </w:r>
      <w:r w:rsidRPr="00860C8D">
        <w:rPr>
          <w:rFonts w:ascii="Palatino Linotype" w:hAnsi="Palatino Linotype" w:cs="Tahoma"/>
          <w:bCs/>
          <w:i/>
          <w:iCs/>
        </w:rPr>
        <w:t>rá ampliar po</w:t>
      </w:r>
      <w:r w:rsidR="00051C45">
        <w:rPr>
          <w:rFonts w:ascii="Palatino Linotype" w:hAnsi="Palatino Linotype" w:cs="Tahoma"/>
          <w:bCs/>
          <w:i/>
          <w:iCs/>
        </w:rPr>
        <w:t>r</w:t>
      </w:r>
      <w:r w:rsidRPr="00860C8D">
        <w:rPr>
          <w:rFonts w:ascii="Palatino Linotype" w:hAnsi="Palatino Linotype" w:cs="Tahoma"/>
          <w:bCs/>
          <w:i/>
          <w:iCs/>
        </w:rPr>
        <w:t xml:space="preserve"> el</w:t>
      </w:r>
      <w:r w:rsidR="00051C45">
        <w:rPr>
          <w:rFonts w:ascii="Palatino Linotype" w:hAnsi="Palatino Linotype" w:cs="Tahoma"/>
          <w:bCs/>
          <w:i/>
          <w:iCs/>
        </w:rPr>
        <w:t xml:space="preserve"> </w:t>
      </w:r>
      <w:r w:rsidRPr="00860C8D">
        <w:rPr>
          <w:rFonts w:ascii="Palatino Linotype" w:hAnsi="Palatino Linotype" w:cs="Tahoma"/>
          <w:bCs/>
          <w:i/>
          <w:iCs/>
        </w:rPr>
        <w:t>periodo que acuerden las partes para la reparación de las deficiencias. Lo anterior, sin</w:t>
      </w:r>
      <w:r w:rsidR="00051C45">
        <w:rPr>
          <w:rFonts w:ascii="Palatino Linotype" w:hAnsi="Palatino Linotype" w:cs="Tahoma"/>
          <w:bCs/>
          <w:i/>
          <w:iCs/>
        </w:rPr>
        <w:t xml:space="preserve"> </w:t>
      </w:r>
      <w:r w:rsidRPr="00860C8D">
        <w:rPr>
          <w:rFonts w:ascii="Palatino Linotype" w:hAnsi="Palatino Linotype" w:cs="Tahoma"/>
          <w:bCs/>
          <w:i/>
          <w:iCs/>
        </w:rPr>
        <w:t>perjuicio de que el contratante opte por la rescisión del contrato.</w:t>
      </w:r>
      <w:r w:rsidR="00051C45">
        <w:rPr>
          <w:rFonts w:ascii="Palatino Linotype" w:hAnsi="Palatino Linotype" w:cs="Tahoma"/>
          <w:bCs/>
          <w:i/>
          <w:iCs/>
        </w:rPr>
        <w:t xml:space="preserve"> </w:t>
      </w:r>
    </w:p>
    <w:p w14:paraId="26BC2912" w14:textId="4960D929" w:rsidR="00860C8D" w:rsidRPr="00860C8D" w:rsidRDefault="00051C45" w:rsidP="00860C8D">
      <w:pPr>
        <w:spacing w:line="360" w:lineRule="auto"/>
        <w:ind w:left="567" w:right="567"/>
        <w:jc w:val="both"/>
        <w:rPr>
          <w:rFonts w:ascii="Palatino Linotype" w:hAnsi="Palatino Linotype" w:cs="Tahoma"/>
          <w:bCs/>
          <w:i/>
          <w:iCs/>
        </w:rPr>
      </w:pPr>
      <w:r>
        <w:rPr>
          <w:rFonts w:ascii="Palatino Linotype" w:hAnsi="Palatino Linotype" w:cs="Tahoma"/>
          <w:bCs/>
          <w:i/>
          <w:iCs/>
        </w:rPr>
        <w:t xml:space="preserve"> </w:t>
      </w:r>
    </w:p>
    <w:p w14:paraId="4712BBA2" w14:textId="2FD7D906" w:rsidR="00860C8D" w:rsidRDefault="00860C8D" w:rsidP="00051C45">
      <w:pPr>
        <w:spacing w:line="360" w:lineRule="auto"/>
        <w:ind w:left="567" w:right="567"/>
        <w:jc w:val="both"/>
        <w:rPr>
          <w:rFonts w:ascii="Palatino Linotype" w:hAnsi="Palatino Linotype" w:cs="Tahoma"/>
          <w:bCs/>
          <w:i/>
          <w:iCs/>
        </w:rPr>
      </w:pPr>
      <w:r w:rsidRPr="00860C8D">
        <w:rPr>
          <w:rFonts w:ascii="Palatino Linotype" w:hAnsi="Palatino Linotype" w:cs="Tahoma"/>
          <w:bCs/>
          <w:i/>
          <w:iCs/>
        </w:rPr>
        <w:t>Cabe mencionar que en cuanto a la recepción de la obra se lleva un procedimiento el</w:t>
      </w:r>
      <w:r w:rsidR="00051C45">
        <w:rPr>
          <w:rFonts w:ascii="Palatino Linotype" w:hAnsi="Palatino Linotype" w:cs="Tahoma"/>
          <w:bCs/>
          <w:i/>
          <w:iCs/>
        </w:rPr>
        <w:t xml:space="preserve"> </w:t>
      </w:r>
      <w:r w:rsidRPr="00860C8D">
        <w:rPr>
          <w:rFonts w:ascii="Palatino Linotype" w:hAnsi="Palatino Linotype" w:cs="Tahoma"/>
          <w:bCs/>
          <w:i/>
          <w:iCs/>
        </w:rPr>
        <w:t xml:space="preserve">cual se señala en el artículo 232 del Reglamento del Libro Décimo Segundo del </w:t>
      </w:r>
      <w:r w:rsidR="00051C45">
        <w:rPr>
          <w:rFonts w:ascii="Palatino Linotype" w:hAnsi="Palatino Linotype" w:cs="Tahoma"/>
          <w:bCs/>
          <w:i/>
          <w:iCs/>
        </w:rPr>
        <w:t>Cód</w:t>
      </w:r>
      <w:r w:rsidRPr="00860C8D">
        <w:rPr>
          <w:rFonts w:ascii="Palatino Linotype" w:hAnsi="Palatino Linotype" w:cs="Tahoma"/>
          <w:bCs/>
          <w:i/>
          <w:iCs/>
        </w:rPr>
        <w:t>igo</w:t>
      </w:r>
      <w:r w:rsidR="00051C45">
        <w:rPr>
          <w:rFonts w:ascii="Palatino Linotype" w:hAnsi="Palatino Linotype" w:cs="Tahoma"/>
          <w:bCs/>
          <w:i/>
          <w:iCs/>
        </w:rPr>
        <w:t xml:space="preserve"> </w:t>
      </w:r>
      <w:r w:rsidRPr="00860C8D">
        <w:rPr>
          <w:rFonts w:ascii="Palatino Linotype" w:hAnsi="Palatino Linotype" w:cs="Tahoma"/>
          <w:bCs/>
          <w:i/>
          <w:iCs/>
        </w:rPr>
        <w:t xml:space="preserve">Administrativo del Estado de México. Así como en </w:t>
      </w:r>
      <w:r w:rsidR="00051C45">
        <w:rPr>
          <w:rFonts w:ascii="Palatino Linotype" w:hAnsi="Palatino Linotype" w:cs="Tahoma"/>
          <w:bCs/>
          <w:i/>
          <w:iCs/>
        </w:rPr>
        <w:t>‘</w:t>
      </w:r>
      <w:r w:rsidRPr="00860C8D">
        <w:rPr>
          <w:rFonts w:ascii="Palatino Linotype" w:hAnsi="Palatino Linotype" w:cs="Tahoma"/>
          <w:bCs/>
          <w:i/>
          <w:iCs/>
        </w:rPr>
        <w:t>Del finiquito y t</w:t>
      </w:r>
      <w:r w:rsidR="00051C45">
        <w:rPr>
          <w:rFonts w:ascii="Palatino Linotype" w:hAnsi="Palatino Linotype" w:cs="Tahoma"/>
          <w:bCs/>
          <w:i/>
          <w:iCs/>
        </w:rPr>
        <w:t>ermi</w:t>
      </w:r>
      <w:r w:rsidRPr="00860C8D">
        <w:rPr>
          <w:rFonts w:ascii="Palatino Linotype" w:hAnsi="Palatino Linotype" w:cs="Tahoma"/>
          <w:bCs/>
          <w:i/>
          <w:iCs/>
        </w:rPr>
        <w:t>nación del</w:t>
      </w:r>
      <w:r w:rsidR="00051C45">
        <w:rPr>
          <w:rFonts w:ascii="Palatino Linotype" w:hAnsi="Palatino Linotype" w:cs="Tahoma"/>
          <w:bCs/>
          <w:i/>
          <w:iCs/>
        </w:rPr>
        <w:t xml:space="preserve"> </w:t>
      </w:r>
      <w:r w:rsidR="00051C45" w:rsidRPr="00051C45">
        <w:rPr>
          <w:rFonts w:ascii="Palatino Linotype" w:hAnsi="Palatino Linotype" w:cs="Tahoma"/>
          <w:bCs/>
          <w:i/>
          <w:iCs/>
        </w:rPr>
        <w:t>contrato</w:t>
      </w:r>
      <w:r w:rsidR="00051C45">
        <w:rPr>
          <w:rFonts w:ascii="Palatino Linotype" w:hAnsi="Palatino Linotype" w:cs="Tahoma"/>
          <w:bCs/>
          <w:i/>
          <w:iCs/>
        </w:rPr>
        <w:t>’</w:t>
      </w:r>
      <w:r w:rsidR="00051C45" w:rsidRPr="00051C45">
        <w:rPr>
          <w:rFonts w:ascii="Palatino Linotype" w:hAnsi="Palatino Linotype" w:cs="Tahoma"/>
          <w:bCs/>
          <w:i/>
          <w:iCs/>
        </w:rPr>
        <w:t xml:space="preserve"> el cual tiene su sustento en el artículo 236 del Reglamento del Libro Décimo</w:t>
      </w:r>
      <w:r w:rsidR="00051C45">
        <w:rPr>
          <w:rFonts w:ascii="Palatino Linotype" w:hAnsi="Palatino Linotype" w:cs="Tahoma"/>
          <w:bCs/>
          <w:i/>
          <w:iCs/>
        </w:rPr>
        <w:t xml:space="preserve"> </w:t>
      </w:r>
      <w:r w:rsidR="00051C45" w:rsidRPr="00051C45">
        <w:rPr>
          <w:rFonts w:ascii="Palatino Linotype" w:hAnsi="Palatino Linotype" w:cs="Tahoma"/>
          <w:bCs/>
          <w:i/>
          <w:iCs/>
        </w:rPr>
        <w:t>Segundo del Código Administrativo del Estado de México.</w:t>
      </w:r>
    </w:p>
    <w:p w14:paraId="06AD7D1F" w14:textId="07041C05" w:rsidR="00051C45" w:rsidRDefault="00051C45" w:rsidP="00051C45">
      <w:pPr>
        <w:spacing w:line="360" w:lineRule="auto"/>
        <w:ind w:left="567" w:right="567"/>
        <w:jc w:val="both"/>
        <w:rPr>
          <w:rFonts w:ascii="Palatino Linotype" w:hAnsi="Palatino Linotype" w:cs="Tahoma"/>
          <w:bCs/>
          <w:i/>
          <w:iCs/>
        </w:rPr>
      </w:pPr>
      <w:r>
        <w:rPr>
          <w:rFonts w:ascii="Palatino Linotype" w:hAnsi="Palatino Linotype" w:cs="Tahoma"/>
          <w:bCs/>
          <w:i/>
          <w:iCs/>
        </w:rPr>
        <w:t>…</w:t>
      </w:r>
    </w:p>
    <w:p w14:paraId="6AA2DC4C" w14:textId="6A5B096A" w:rsidR="00051C45" w:rsidRDefault="00051C45" w:rsidP="00051C45">
      <w:pPr>
        <w:spacing w:line="360" w:lineRule="auto"/>
        <w:ind w:left="567" w:right="567"/>
        <w:jc w:val="both"/>
        <w:rPr>
          <w:rFonts w:ascii="Palatino Linotype" w:hAnsi="Palatino Linotype" w:cs="Tahoma"/>
          <w:bCs/>
          <w:i/>
          <w:iCs/>
        </w:rPr>
      </w:pPr>
      <w:r w:rsidRPr="00051C45">
        <w:rPr>
          <w:rFonts w:ascii="Palatino Linotype" w:hAnsi="Palatino Linotype" w:cs="Tahoma"/>
          <w:bCs/>
          <w:i/>
          <w:iCs/>
        </w:rPr>
        <w:t>Cabe mencionar que en su pregunta original el particular no menciona que se otorgue el</w:t>
      </w:r>
      <w:r>
        <w:rPr>
          <w:rFonts w:ascii="Palatino Linotype" w:hAnsi="Palatino Linotype" w:cs="Tahoma"/>
          <w:bCs/>
          <w:i/>
          <w:iCs/>
        </w:rPr>
        <w:t xml:space="preserve"> </w:t>
      </w:r>
      <w:r w:rsidRPr="00051C45">
        <w:rPr>
          <w:rFonts w:ascii="Palatino Linotype" w:hAnsi="Palatino Linotype" w:cs="Tahoma"/>
          <w:bCs/>
          <w:i/>
          <w:iCs/>
        </w:rPr>
        <w:t>acta entrega-recepción, así como el acta finiquito; sin embargo, hago de su conocimiento</w:t>
      </w:r>
      <w:r>
        <w:rPr>
          <w:rFonts w:ascii="Palatino Linotype" w:hAnsi="Palatino Linotype" w:cs="Tahoma"/>
          <w:bCs/>
          <w:i/>
          <w:iCs/>
        </w:rPr>
        <w:t xml:space="preserve"> </w:t>
      </w:r>
      <w:r w:rsidRPr="00051C45">
        <w:rPr>
          <w:rFonts w:ascii="Palatino Linotype" w:hAnsi="Palatino Linotype" w:cs="Tahoma"/>
          <w:bCs/>
          <w:i/>
          <w:iCs/>
        </w:rPr>
        <w:t>que la obra físicamente se encuentra finalizada, pero aun no concluyen las verificaciones,</w:t>
      </w:r>
      <w:r>
        <w:rPr>
          <w:rFonts w:ascii="Palatino Linotype" w:hAnsi="Palatino Linotype" w:cs="Tahoma"/>
          <w:bCs/>
          <w:i/>
          <w:iCs/>
        </w:rPr>
        <w:t xml:space="preserve"> </w:t>
      </w:r>
      <w:r w:rsidRPr="00051C45">
        <w:rPr>
          <w:rFonts w:ascii="Palatino Linotype" w:hAnsi="Palatino Linotype" w:cs="Tahoma"/>
          <w:bCs/>
          <w:i/>
          <w:iCs/>
        </w:rPr>
        <w:t>que garanticen la calidad de la obra realizada, así como la función adecuada conforme</w:t>
      </w:r>
      <w:r>
        <w:rPr>
          <w:rFonts w:ascii="Palatino Linotype" w:hAnsi="Palatino Linotype" w:cs="Tahoma"/>
          <w:bCs/>
          <w:i/>
          <w:iCs/>
        </w:rPr>
        <w:t xml:space="preserve"> </w:t>
      </w:r>
      <w:r w:rsidRPr="00051C45">
        <w:rPr>
          <w:rFonts w:ascii="Palatino Linotype" w:hAnsi="Palatino Linotype" w:cs="Tahoma"/>
          <w:bCs/>
          <w:i/>
          <w:iCs/>
        </w:rPr>
        <w:t xml:space="preserve">a lo establecido en el contrato </w:t>
      </w:r>
      <w:r w:rsidRPr="00051C45">
        <w:rPr>
          <w:rFonts w:ascii="Palatino Linotype" w:hAnsi="Palatino Linotype" w:cs="Tahoma"/>
          <w:bCs/>
          <w:i/>
          <w:iCs/>
        </w:rPr>
        <w:lastRenderedPageBreak/>
        <w:t>dentro de sus cláusulas establecidas en cuanto a tiempos</w:t>
      </w:r>
      <w:r>
        <w:rPr>
          <w:rFonts w:ascii="Palatino Linotype" w:hAnsi="Palatino Linotype" w:cs="Tahoma"/>
          <w:bCs/>
          <w:i/>
          <w:iCs/>
        </w:rPr>
        <w:t xml:space="preserve"> </w:t>
      </w:r>
      <w:r w:rsidRPr="00051C45">
        <w:rPr>
          <w:rFonts w:ascii="Palatino Linotype" w:hAnsi="Palatino Linotype" w:cs="Tahoma"/>
          <w:bCs/>
          <w:i/>
          <w:iCs/>
        </w:rPr>
        <w:t xml:space="preserve">(mismo que puede </w:t>
      </w:r>
      <w:r>
        <w:rPr>
          <w:rFonts w:ascii="Palatino Linotype" w:hAnsi="Palatino Linotype" w:cs="Tahoma"/>
          <w:bCs/>
          <w:i/>
          <w:iCs/>
        </w:rPr>
        <w:t>consultar</w:t>
      </w:r>
      <w:r w:rsidRPr="00051C45">
        <w:rPr>
          <w:rFonts w:ascii="Palatino Linotype" w:hAnsi="Palatino Linotype" w:cs="Tahoma"/>
          <w:bCs/>
          <w:i/>
          <w:iCs/>
        </w:rPr>
        <w:t xml:space="preserve"> en el portal IPOMEX) </w:t>
      </w:r>
    </w:p>
    <w:p w14:paraId="41852490" w14:textId="77777777" w:rsidR="00051C45" w:rsidRPr="00051C45" w:rsidRDefault="00051C45" w:rsidP="00051C45">
      <w:pPr>
        <w:spacing w:line="360" w:lineRule="auto"/>
        <w:ind w:left="567" w:right="567"/>
        <w:jc w:val="both"/>
        <w:rPr>
          <w:rFonts w:ascii="Palatino Linotype" w:hAnsi="Palatino Linotype" w:cs="Tahoma"/>
          <w:bCs/>
          <w:i/>
          <w:iCs/>
        </w:rPr>
      </w:pPr>
    </w:p>
    <w:p w14:paraId="2B559474" w14:textId="44ACA001" w:rsidR="00051C45" w:rsidRDefault="00051C45" w:rsidP="00051C45">
      <w:pPr>
        <w:spacing w:line="360" w:lineRule="auto"/>
        <w:ind w:left="567" w:right="567"/>
        <w:jc w:val="both"/>
        <w:rPr>
          <w:rFonts w:ascii="Palatino Linotype" w:hAnsi="Palatino Linotype" w:cs="Tahoma"/>
          <w:bCs/>
          <w:i/>
          <w:iCs/>
        </w:rPr>
      </w:pPr>
      <w:r w:rsidRPr="00051C45">
        <w:rPr>
          <w:rFonts w:ascii="Palatino Linotype" w:hAnsi="Palatino Linotype" w:cs="Tahoma"/>
          <w:bCs/>
          <w:i/>
          <w:iCs/>
        </w:rPr>
        <w:t xml:space="preserve">Derivado de lo expresado en líneas </w:t>
      </w:r>
      <w:r>
        <w:rPr>
          <w:rFonts w:ascii="Palatino Linotype" w:hAnsi="Palatino Linotype" w:cs="Tahoma"/>
          <w:bCs/>
          <w:i/>
          <w:iCs/>
        </w:rPr>
        <w:t>anteriores</w:t>
      </w:r>
      <w:r w:rsidRPr="00051C45">
        <w:rPr>
          <w:rFonts w:ascii="Palatino Linotype" w:hAnsi="Palatino Linotype" w:cs="Tahoma"/>
          <w:bCs/>
          <w:i/>
          <w:iCs/>
        </w:rPr>
        <w:t xml:space="preserve"> solicito sobreseer el presente recurso de</w:t>
      </w:r>
      <w:r>
        <w:rPr>
          <w:rFonts w:ascii="Palatino Linotype" w:hAnsi="Palatino Linotype" w:cs="Tahoma"/>
          <w:bCs/>
          <w:i/>
          <w:iCs/>
        </w:rPr>
        <w:t xml:space="preserve"> </w:t>
      </w:r>
      <w:r w:rsidRPr="00051C45">
        <w:rPr>
          <w:rFonts w:ascii="Palatino Linotype" w:hAnsi="Palatino Linotype" w:cs="Tahoma"/>
          <w:bCs/>
          <w:i/>
          <w:iCs/>
        </w:rPr>
        <w:t>revisión en primer lugar porque al solicitante se le hizo entrega de la información que</w:t>
      </w:r>
      <w:r w:rsidR="00D17C8B">
        <w:rPr>
          <w:rFonts w:ascii="Palatino Linotype" w:hAnsi="Palatino Linotype" w:cs="Tahoma"/>
          <w:bCs/>
          <w:i/>
          <w:iCs/>
        </w:rPr>
        <w:t xml:space="preserve"> </w:t>
      </w:r>
      <w:r w:rsidRPr="00051C45">
        <w:rPr>
          <w:rFonts w:ascii="Palatino Linotype" w:hAnsi="Palatino Linotype" w:cs="Tahoma"/>
          <w:bCs/>
          <w:i/>
          <w:iCs/>
        </w:rPr>
        <w:t xml:space="preserve">solicito conforme a lo </w:t>
      </w:r>
      <w:r w:rsidR="00D17C8B" w:rsidRPr="00051C45">
        <w:rPr>
          <w:rFonts w:ascii="Palatino Linotype" w:hAnsi="Palatino Linotype" w:cs="Tahoma"/>
          <w:bCs/>
          <w:i/>
          <w:iCs/>
        </w:rPr>
        <w:t>establecido</w:t>
      </w:r>
      <w:r w:rsidRPr="00051C45">
        <w:rPr>
          <w:rFonts w:ascii="Palatino Linotype" w:hAnsi="Palatino Linotype" w:cs="Tahoma"/>
          <w:bCs/>
          <w:i/>
          <w:iCs/>
        </w:rPr>
        <w:t xml:space="preserve"> en la normatividad en su solicitud original, en segundo</w:t>
      </w:r>
      <w:r w:rsidR="00D17C8B">
        <w:rPr>
          <w:rFonts w:ascii="Palatino Linotype" w:hAnsi="Palatino Linotype" w:cs="Tahoma"/>
          <w:bCs/>
          <w:i/>
          <w:iCs/>
        </w:rPr>
        <w:t xml:space="preserve"> </w:t>
      </w:r>
      <w:r w:rsidRPr="00051C45">
        <w:rPr>
          <w:rFonts w:ascii="Palatino Linotype" w:hAnsi="Palatino Linotype" w:cs="Tahoma"/>
          <w:bCs/>
          <w:i/>
          <w:iCs/>
        </w:rPr>
        <w:t xml:space="preserve">lugar, porque el solicitante requiere </w:t>
      </w:r>
      <w:r w:rsidR="00D17C8B" w:rsidRPr="00051C45">
        <w:rPr>
          <w:rFonts w:ascii="Palatino Linotype" w:hAnsi="Palatino Linotype" w:cs="Tahoma"/>
          <w:bCs/>
          <w:i/>
          <w:iCs/>
        </w:rPr>
        <w:t>información</w:t>
      </w:r>
      <w:r w:rsidRPr="00051C45">
        <w:rPr>
          <w:rFonts w:ascii="Palatino Linotype" w:hAnsi="Palatino Linotype" w:cs="Tahoma"/>
          <w:bCs/>
          <w:i/>
          <w:iCs/>
        </w:rPr>
        <w:t xml:space="preserve"> adicional al momento de ejercer su</w:t>
      </w:r>
      <w:r w:rsidR="00D17C8B">
        <w:rPr>
          <w:rFonts w:ascii="Palatino Linotype" w:hAnsi="Palatino Linotype" w:cs="Tahoma"/>
          <w:bCs/>
          <w:i/>
          <w:iCs/>
        </w:rPr>
        <w:t xml:space="preserve"> </w:t>
      </w:r>
      <w:r w:rsidRPr="00051C45">
        <w:rPr>
          <w:rFonts w:ascii="Palatino Linotype" w:hAnsi="Palatino Linotype" w:cs="Tahoma"/>
          <w:bCs/>
          <w:i/>
          <w:iCs/>
        </w:rPr>
        <w:t xml:space="preserve">garantía secundaria de acceso a </w:t>
      </w:r>
      <w:r w:rsidR="00D17C8B">
        <w:rPr>
          <w:rFonts w:ascii="Palatino Linotype" w:hAnsi="Palatino Linotype" w:cs="Tahoma"/>
          <w:bCs/>
          <w:i/>
          <w:iCs/>
        </w:rPr>
        <w:t>la información.</w:t>
      </w:r>
    </w:p>
    <w:p w14:paraId="2D830F0C" w14:textId="77777777" w:rsidR="00D17C8B" w:rsidRPr="00051C45" w:rsidRDefault="00D17C8B" w:rsidP="00051C45">
      <w:pPr>
        <w:spacing w:line="360" w:lineRule="auto"/>
        <w:ind w:left="567" w:right="567"/>
        <w:jc w:val="both"/>
        <w:rPr>
          <w:rFonts w:ascii="Palatino Linotype" w:hAnsi="Palatino Linotype" w:cs="Tahoma"/>
          <w:bCs/>
          <w:i/>
          <w:iCs/>
        </w:rPr>
      </w:pPr>
    </w:p>
    <w:p w14:paraId="43B39C12" w14:textId="47FDFE6E" w:rsidR="00051C45" w:rsidRDefault="00051C45" w:rsidP="00051C45">
      <w:pPr>
        <w:spacing w:line="360" w:lineRule="auto"/>
        <w:ind w:left="567" w:right="567"/>
        <w:jc w:val="both"/>
        <w:rPr>
          <w:rFonts w:ascii="Palatino Linotype" w:hAnsi="Palatino Linotype" w:cs="Tahoma"/>
          <w:bCs/>
          <w:i/>
          <w:iCs/>
        </w:rPr>
      </w:pPr>
      <w:r w:rsidRPr="00051C45">
        <w:rPr>
          <w:rFonts w:ascii="Palatino Linotype" w:hAnsi="Palatino Linotype" w:cs="Tahoma"/>
          <w:bCs/>
          <w:i/>
          <w:iCs/>
        </w:rPr>
        <w:t xml:space="preserve">Por lo tanto, </w:t>
      </w:r>
      <w:r w:rsidR="00D17C8B">
        <w:rPr>
          <w:rFonts w:ascii="Palatino Linotype" w:hAnsi="Palatino Linotype" w:cs="Tahoma"/>
          <w:bCs/>
          <w:i/>
          <w:iCs/>
        </w:rPr>
        <w:t xml:space="preserve">se satisfizo </w:t>
      </w:r>
      <w:r w:rsidRPr="00051C45">
        <w:rPr>
          <w:rFonts w:ascii="Palatino Linotype" w:hAnsi="Palatino Linotype" w:cs="Tahoma"/>
          <w:bCs/>
          <w:i/>
          <w:iCs/>
        </w:rPr>
        <w:t>el derecho de acceso a la información del particular ya que dicha</w:t>
      </w:r>
      <w:r w:rsidR="00D17C8B">
        <w:rPr>
          <w:rFonts w:ascii="Palatino Linotype" w:hAnsi="Palatino Linotype" w:cs="Tahoma"/>
          <w:bCs/>
          <w:i/>
          <w:iCs/>
        </w:rPr>
        <w:t xml:space="preserve"> </w:t>
      </w:r>
      <w:r w:rsidRPr="00051C45">
        <w:rPr>
          <w:rFonts w:ascii="Palatino Linotype" w:hAnsi="Palatino Linotype" w:cs="Tahoma"/>
          <w:bCs/>
          <w:i/>
          <w:iCs/>
        </w:rPr>
        <w:t>información</w:t>
      </w:r>
      <w:r w:rsidR="00D17C8B">
        <w:rPr>
          <w:rFonts w:ascii="Palatino Linotype" w:hAnsi="Palatino Linotype" w:cs="Tahoma"/>
          <w:bCs/>
          <w:i/>
          <w:iCs/>
        </w:rPr>
        <w:t>,</w:t>
      </w:r>
      <w:r w:rsidRPr="00051C45">
        <w:rPr>
          <w:rFonts w:ascii="Palatino Linotype" w:hAnsi="Palatino Linotype" w:cs="Tahoma"/>
          <w:bCs/>
          <w:i/>
          <w:iCs/>
        </w:rPr>
        <w:t xml:space="preserve"> es </w:t>
      </w:r>
      <w:r w:rsidR="00D17C8B" w:rsidRPr="00051C45">
        <w:rPr>
          <w:rFonts w:ascii="Palatino Linotype" w:hAnsi="Palatino Linotype" w:cs="Tahoma"/>
          <w:bCs/>
          <w:i/>
          <w:iCs/>
        </w:rPr>
        <w:t>pública</w:t>
      </w:r>
      <w:r w:rsidRPr="00051C45">
        <w:rPr>
          <w:rFonts w:ascii="Palatino Linotype" w:hAnsi="Palatino Linotype" w:cs="Tahoma"/>
          <w:bCs/>
          <w:i/>
          <w:iCs/>
        </w:rPr>
        <w:t xml:space="preserve"> </w:t>
      </w:r>
      <w:r w:rsidR="00D17C8B">
        <w:rPr>
          <w:rFonts w:ascii="Palatino Linotype" w:hAnsi="Palatino Linotype" w:cs="Tahoma"/>
          <w:bCs/>
          <w:i/>
          <w:iCs/>
        </w:rPr>
        <w:t>y es el</w:t>
      </w:r>
      <w:r w:rsidRPr="00051C45">
        <w:rPr>
          <w:rFonts w:ascii="Palatino Linotype" w:hAnsi="Palatino Linotype" w:cs="Tahoma"/>
          <w:bCs/>
          <w:i/>
          <w:iCs/>
        </w:rPr>
        <w:t xml:space="preserve"> medio oficial por el cual se da a conocer la información</w:t>
      </w:r>
      <w:r w:rsidR="00D17C8B">
        <w:rPr>
          <w:rFonts w:ascii="Palatino Linotype" w:hAnsi="Palatino Linotype" w:cs="Tahoma"/>
          <w:bCs/>
          <w:i/>
          <w:iCs/>
        </w:rPr>
        <w:t xml:space="preserve"> </w:t>
      </w:r>
      <w:r w:rsidRPr="00051C45">
        <w:rPr>
          <w:rFonts w:ascii="Palatino Linotype" w:hAnsi="Palatino Linotype" w:cs="Tahoma"/>
          <w:bCs/>
          <w:i/>
          <w:iCs/>
        </w:rPr>
        <w:t>que el particular requiere</w:t>
      </w:r>
      <w:r w:rsidR="00D17C8B">
        <w:rPr>
          <w:rFonts w:ascii="Palatino Linotype" w:hAnsi="Palatino Linotype" w:cs="Tahoma"/>
          <w:bCs/>
          <w:i/>
          <w:iCs/>
        </w:rPr>
        <w:t>.</w:t>
      </w:r>
    </w:p>
    <w:p w14:paraId="48ED05A2" w14:textId="77777777" w:rsidR="00D17C8B" w:rsidRDefault="00D17C8B" w:rsidP="00051C45">
      <w:pPr>
        <w:spacing w:line="360" w:lineRule="auto"/>
        <w:ind w:left="567" w:right="567"/>
        <w:jc w:val="both"/>
        <w:rPr>
          <w:rFonts w:ascii="Palatino Linotype" w:hAnsi="Palatino Linotype" w:cs="Tahoma"/>
          <w:bCs/>
          <w:i/>
          <w:iCs/>
        </w:rPr>
      </w:pPr>
    </w:p>
    <w:p w14:paraId="18D23D27" w14:textId="6B1E4E22" w:rsidR="00D17C8B" w:rsidRDefault="00D17C8B" w:rsidP="00D17C8B">
      <w:pPr>
        <w:spacing w:line="360" w:lineRule="auto"/>
        <w:ind w:left="567" w:right="567"/>
        <w:jc w:val="both"/>
        <w:rPr>
          <w:rFonts w:ascii="Palatino Linotype" w:hAnsi="Palatino Linotype" w:cs="Tahoma"/>
          <w:bCs/>
          <w:i/>
          <w:iCs/>
        </w:rPr>
      </w:pPr>
      <w:r w:rsidRPr="00D17C8B">
        <w:rPr>
          <w:rFonts w:ascii="Palatino Linotype" w:hAnsi="Palatino Linotype" w:cs="Tahoma"/>
          <w:bCs/>
          <w:i/>
          <w:iCs/>
        </w:rPr>
        <w:t>Por lo anteriormente expuesto Comisionado Ponte Mtro. Luis Gustavo Parra Noriega</w:t>
      </w:r>
      <w:r>
        <w:rPr>
          <w:rFonts w:ascii="Palatino Linotype" w:hAnsi="Palatino Linotype" w:cs="Tahoma"/>
          <w:bCs/>
          <w:i/>
          <w:iCs/>
        </w:rPr>
        <w:t xml:space="preserve"> </w:t>
      </w:r>
      <w:r w:rsidRPr="00D17C8B">
        <w:rPr>
          <w:rFonts w:ascii="Palatino Linotype" w:hAnsi="Palatino Linotype" w:cs="Tahoma"/>
          <w:bCs/>
          <w:i/>
          <w:iCs/>
        </w:rPr>
        <w:t xml:space="preserve">se solicita a usted: </w:t>
      </w:r>
    </w:p>
    <w:p w14:paraId="04A85CE0" w14:textId="77777777" w:rsidR="00D17C8B" w:rsidRPr="00D17C8B" w:rsidRDefault="00D17C8B" w:rsidP="00D17C8B">
      <w:pPr>
        <w:spacing w:line="360" w:lineRule="auto"/>
        <w:ind w:left="567" w:right="567"/>
        <w:jc w:val="both"/>
        <w:rPr>
          <w:rFonts w:ascii="Palatino Linotype" w:hAnsi="Palatino Linotype" w:cs="Tahoma"/>
          <w:bCs/>
          <w:i/>
          <w:iCs/>
        </w:rPr>
      </w:pPr>
    </w:p>
    <w:p w14:paraId="5480B192" w14:textId="77777777" w:rsidR="00D17C8B" w:rsidRDefault="00D17C8B" w:rsidP="00D17C8B">
      <w:pPr>
        <w:spacing w:line="360" w:lineRule="auto"/>
        <w:ind w:left="567" w:right="567"/>
        <w:jc w:val="both"/>
        <w:rPr>
          <w:rFonts w:ascii="Palatino Linotype" w:hAnsi="Palatino Linotype" w:cs="Tahoma"/>
          <w:bCs/>
          <w:i/>
          <w:iCs/>
        </w:rPr>
      </w:pPr>
      <w:r w:rsidRPr="00D17C8B">
        <w:rPr>
          <w:rFonts w:ascii="Palatino Linotype" w:hAnsi="Palatino Linotype" w:cs="Tahoma"/>
          <w:bCs/>
          <w:i/>
          <w:iCs/>
        </w:rPr>
        <w:t>PRIMERO: Tener por presentado el informe justificado en términos del artículo 185.</w:t>
      </w:r>
    </w:p>
    <w:p w14:paraId="49FFADDA" w14:textId="77777777" w:rsidR="00D17C8B" w:rsidRPr="00D17C8B" w:rsidRDefault="00D17C8B" w:rsidP="00D17C8B">
      <w:pPr>
        <w:spacing w:line="360" w:lineRule="auto"/>
        <w:ind w:left="567" w:right="567"/>
        <w:jc w:val="both"/>
        <w:rPr>
          <w:rFonts w:ascii="Palatino Linotype" w:hAnsi="Palatino Linotype" w:cs="Tahoma"/>
          <w:bCs/>
          <w:i/>
          <w:iCs/>
        </w:rPr>
      </w:pPr>
    </w:p>
    <w:p w14:paraId="76168EFC" w14:textId="2ECCCE6A" w:rsidR="00D17C8B" w:rsidRPr="00CB20C5" w:rsidRDefault="00D17C8B" w:rsidP="00D17C8B">
      <w:pPr>
        <w:spacing w:line="360" w:lineRule="auto"/>
        <w:ind w:left="567" w:right="567"/>
        <w:jc w:val="both"/>
        <w:rPr>
          <w:rFonts w:ascii="Palatino Linotype" w:hAnsi="Palatino Linotype" w:cs="Tahoma"/>
          <w:bCs/>
          <w:i/>
          <w:iCs/>
        </w:rPr>
      </w:pPr>
      <w:r w:rsidRPr="00D17C8B">
        <w:rPr>
          <w:rFonts w:ascii="Palatino Linotype" w:hAnsi="Palatino Linotype" w:cs="Tahoma"/>
          <w:bCs/>
          <w:i/>
          <w:iCs/>
        </w:rPr>
        <w:t>SEGUNDO: Sobreseer el recurso de revisión en cita por no encontrarse en ninguno de</w:t>
      </w:r>
      <w:r>
        <w:rPr>
          <w:rFonts w:ascii="Palatino Linotype" w:hAnsi="Palatino Linotype" w:cs="Tahoma"/>
          <w:bCs/>
          <w:i/>
          <w:iCs/>
        </w:rPr>
        <w:t xml:space="preserve"> </w:t>
      </w:r>
      <w:r w:rsidRPr="00D17C8B">
        <w:rPr>
          <w:rFonts w:ascii="Palatino Linotype" w:hAnsi="Palatino Linotype" w:cs="Tahoma"/>
          <w:bCs/>
          <w:i/>
          <w:iCs/>
        </w:rPr>
        <w:t>los supuestos marcados en el artículo 179.</w:t>
      </w:r>
    </w:p>
    <w:p w14:paraId="68F97BC3" w14:textId="5E02CD60" w:rsidR="00CB20C5" w:rsidRPr="00CB20C5" w:rsidRDefault="00CB20C5" w:rsidP="00CB20C5">
      <w:pPr>
        <w:spacing w:line="360" w:lineRule="auto"/>
        <w:ind w:left="567" w:right="567"/>
        <w:jc w:val="both"/>
        <w:rPr>
          <w:rFonts w:ascii="Palatino Linotype" w:hAnsi="Palatino Linotype" w:cs="Tahoma"/>
          <w:i/>
        </w:rPr>
      </w:pPr>
      <w:r w:rsidRPr="00CB20C5">
        <w:rPr>
          <w:rFonts w:ascii="Palatino Linotype" w:hAnsi="Palatino Linotype" w:cs="Tahoma"/>
          <w:bCs/>
          <w:i/>
          <w:iCs/>
        </w:rPr>
        <w:t>…”</w:t>
      </w:r>
    </w:p>
    <w:p w14:paraId="6CD8B722" w14:textId="77777777" w:rsidR="00AF663F" w:rsidRPr="00EC2AFA" w:rsidRDefault="00AF663F" w:rsidP="00AF663F">
      <w:pPr>
        <w:spacing w:line="360" w:lineRule="auto"/>
        <w:jc w:val="both"/>
        <w:rPr>
          <w:rFonts w:ascii="Palatino Linotype" w:hAnsi="Palatino Linotype" w:cs="Tahoma"/>
          <w:b/>
          <w:sz w:val="22"/>
          <w:szCs w:val="22"/>
        </w:rPr>
      </w:pPr>
    </w:p>
    <w:p w14:paraId="50F692A7" w14:textId="77777777" w:rsidR="00AF663F" w:rsidRDefault="00AF663F" w:rsidP="00AF663F">
      <w:pPr>
        <w:spacing w:line="360" w:lineRule="auto"/>
        <w:jc w:val="both"/>
        <w:rPr>
          <w:rFonts w:ascii="Palatino Linotype" w:hAnsi="Palatino Linotype" w:cs="Tahoma"/>
          <w:b/>
          <w:bCs/>
          <w:sz w:val="22"/>
          <w:szCs w:val="22"/>
          <w:lang w:val="es-ES"/>
        </w:rPr>
      </w:pPr>
      <w:r w:rsidRPr="002130E8">
        <w:rPr>
          <w:rFonts w:ascii="Palatino Linotype" w:hAnsi="Palatino Linotype" w:cs="Tahoma"/>
          <w:b/>
          <w:bCs/>
          <w:sz w:val="22"/>
          <w:szCs w:val="22"/>
          <w:lang w:val="es-ES"/>
        </w:rPr>
        <w:t xml:space="preserve">d) </w:t>
      </w:r>
      <w:r w:rsidRPr="00A2107E">
        <w:rPr>
          <w:rFonts w:ascii="Palatino Linotype" w:hAnsi="Palatino Linotype" w:cs="Tahoma"/>
          <w:b/>
          <w:sz w:val="22"/>
          <w:szCs w:val="22"/>
        </w:rPr>
        <w:t>Vista del Informe Justificado</w:t>
      </w:r>
      <w:r>
        <w:rPr>
          <w:rFonts w:ascii="Palatino Linotype" w:hAnsi="Palatino Linotype" w:cs="Tahoma"/>
          <w:b/>
          <w:sz w:val="22"/>
          <w:szCs w:val="22"/>
        </w:rPr>
        <w:t>.</w:t>
      </w:r>
      <w:r w:rsidRPr="00A2107E">
        <w:rPr>
          <w:rFonts w:ascii="Palatino Linotype" w:hAnsi="Palatino Linotype" w:cs="Tahoma"/>
          <w:b/>
          <w:sz w:val="22"/>
          <w:szCs w:val="22"/>
        </w:rPr>
        <w:t xml:space="preserve"> </w:t>
      </w:r>
      <w:r w:rsidRPr="00A2107E">
        <w:rPr>
          <w:rFonts w:ascii="Palatino Linotype" w:hAnsi="Palatino Linotype" w:cs="Tahoma"/>
          <w:sz w:val="22"/>
          <w:szCs w:val="22"/>
        </w:rPr>
        <w:t xml:space="preserve">El </w:t>
      </w:r>
      <w:r>
        <w:rPr>
          <w:rFonts w:ascii="Palatino Linotype" w:hAnsi="Palatino Linotype" w:cs="Tahoma"/>
          <w:sz w:val="22"/>
          <w:szCs w:val="22"/>
        </w:rPr>
        <w:t>veintiocho de octubre</w:t>
      </w:r>
      <w:r w:rsidRPr="00A2107E">
        <w:rPr>
          <w:rFonts w:ascii="Palatino Linotype" w:hAnsi="Palatino Linotype" w:cs="Tahoma"/>
          <w:sz w:val="22"/>
          <w:szCs w:val="22"/>
        </w:rPr>
        <w:t xml:space="preserve"> de dos mil diecinueve, se dictó acuerdo mediante el cual se pusieron a la vista </w:t>
      </w:r>
      <w:r>
        <w:rPr>
          <w:rFonts w:ascii="Palatino Linotype" w:hAnsi="Palatino Linotype" w:cs="Tahoma"/>
          <w:sz w:val="22"/>
          <w:szCs w:val="22"/>
        </w:rPr>
        <w:t>del</w:t>
      </w:r>
      <w:r w:rsidRPr="00A2107E">
        <w:rPr>
          <w:rFonts w:ascii="Palatino Linotype" w:hAnsi="Palatino Linotype" w:cs="Tahoma"/>
          <w:sz w:val="22"/>
          <w:szCs w:val="22"/>
        </w:rPr>
        <w:t xml:space="preserve"> Particular el Informe Justificado entregado por el Sujeto Obligado, por haber ratificado su respuesta inicial, el cual fue notificado a las partes el mismo día, a través del Sistema de Acceso a la Información Mexiquense (SAIMEX). </w:t>
      </w:r>
      <w:r w:rsidRPr="000D6AC3">
        <w:rPr>
          <w:rFonts w:ascii="Palatino Linotype" w:hAnsi="Palatino Linotype" w:cs="Tahoma"/>
          <w:b/>
          <w:sz w:val="22"/>
          <w:szCs w:val="22"/>
        </w:rPr>
        <w:t>No obstante</w:t>
      </w:r>
      <w:r>
        <w:rPr>
          <w:rFonts w:ascii="Palatino Linotype" w:hAnsi="Palatino Linotype" w:cs="Tahoma"/>
          <w:b/>
          <w:bCs/>
          <w:iCs/>
          <w:sz w:val="22"/>
          <w:szCs w:val="22"/>
        </w:rPr>
        <w:t>, el</w:t>
      </w:r>
      <w:r w:rsidRPr="000D6AC3">
        <w:rPr>
          <w:rFonts w:ascii="Palatino Linotype" w:hAnsi="Palatino Linotype" w:cs="Tahoma"/>
          <w:b/>
          <w:bCs/>
          <w:iCs/>
          <w:sz w:val="22"/>
          <w:szCs w:val="22"/>
        </w:rPr>
        <w:t xml:space="preserve"> Recurrente omitió realizar manifestación alguna que a su derecho conviniera y asistiera.</w:t>
      </w:r>
    </w:p>
    <w:p w14:paraId="54CAA8E1" w14:textId="77777777" w:rsidR="00AF663F" w:rsidRDefault="00AF663F" w:rsidP="00447875">
      <w:pPr>
        <w:spacing w:line="360" w:lineRule="auto"/>
        <w:jc w:val="both"/>
        <w:rPr>
          <w:rFonts w:ascii="Palatino Linotype" w:hAnsi="Palatino Linotype" w:cs="Tahoma"/>
          <w:b/>
          <w:color w:val="000000" w:themeColor="text1"/>
          <w:sz w:val="22"/>
          <w:szCs w:val="22"/>
        </w:rPr>
      </w:pPr>
    </w:p>
    <w:p w14:paraId="65C03E20" w14:textId="539EDC68" w:rsidR="00AF663F" w:rsidRDefault="00AF663F" w:rsidP="00AF663F">
      <w:pPr>
        <w:spacing w:line="360" w:lineRule="auto"/>
        <w:jc w:val="both"/>
        <w:rPr>
          <w:rFonts w:ascii="Palatino Linotype" w:hAnsi="Palatino Linotype" w:cs="Tahoma"/>
          <w:b/>
          <w:sz w:val="22"/>
          <w:szCs w:val="22"/>
        </w:rPr>
      </w:pPr>
      <w:r>
        <w:rPr>
          <w:rFonts w:ascii="Palatino Linotype" w:hAnsi="Palatino Linotype" w:cs="Tahoma"/>
          <w:b/>
          <w:color w:val="000000" w:themeColor="text1"/>
          <w:sz w:val="22"/>
          <w:szCs w:val="22"/>
        </w:rPr>
        <w:t>e)</w:t>
      </w:r>
      <w:r w:rsidRPr="00AF663F">
        <w:rPr>
          <w:rFonts w:ascii="Palatino Linotype" w:hAnsi="Palatino Linotype" w:cs="Tahoma"/>
          <w:b/>
          <w:sz w:val="22"/>
          <w:szCs w:val="22"/>
        </w:rPr>
        <w:t xml:space="preserve"> </w:t>
      </w:r>
      <w:r>
        <w:rPr>
          <w:rFonts w:ascii="Palatino Linotype" w:hAnsi="Palatino Linotype" w:cs="Tahoma"/>
          <w:b/>
          <w:sz w:val="22"/>
          <w:szCs w:val="22"/>
        </w:rPr>
        <w:t>Ampliación del plazo para resolver.</w:t>
      </w:r>
      <w:r>
        <w:rPr>
          <w:rFonts w:ascii="Palatino Linotype" w:hAnsi="Palatino Linotype" w:cs="Tahoma"/>
          <w:sz w:val="22"/>
          <w:szCs w:val="22"/>
        </w:rPr>
        <w:t xml:space="preserve"> El siete de noviembre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754BABBE" w14:textId="77777777" w:rsidR="00AF663F" w:rsidRDefault="00AF663F" w:rsidP="00447875">
      <w:pPr>
        <w:spacing w:line="360" w:lineRule="auto"/>
        <w:jc w:val="both"/>
        <w:rPr>
          <w:rFonts w:ascii="Palatino Linotype" w:hAnsi="Palatino Linotype" w:cs="Tahoma"/>
          <w:b/>
          <w:color w:val="000000" w:themeColor="text1"/>
          <w:sz w:val="22"/>
          <w:szCs w:val="22"/>
        </w:rPr>
      </w:pPr>
    </w:p>
    <w:p w14:paraId="1B1D44BB" w14:textId="330DC2D0" w:rsidR="00B31222" w:rsidRPr="00AF663F" w:rsidRDefault="00AF663F" w:rsidP="00447875">
      <w:pPr>
        <w:spacing w:line="360" w:lineRule="auto"/>
        <w:jc w:val="both"/>
        <w:rPr>
          <w:rFonts w:ascii="Palatino Linotype" w:hAnsi="Palatino Linotype" w:cs="Tahoma"/>
          <w:b/>
          <w:color w:val="000000" w:themeColor="text1"/>
          <w:sz w:val="22"/>
          <w:szCs w:val="22"/>
        </w:rPr>
      </w:pPr>
      <w:r>
        <w:rPr>
          <w:rFonts w:ascii="Palatino Linotype" w:hAnsi="Palatino Linotype" w:cs="Tahoma"/>
          <w:b/>
          <w:color w:val="000000" w:themeColor="text1"/>
          <w:sz w:val="22"/>
          <w:szCs w:val="22"/>
        </w:rPr>
        <w:t xml:space="preserve">f) </w:t>
      </w:r>
      <w:r w:rsidR="00B31222" w:rsidRPr="00302243">
        <w:rPr>
          <w:rFonts w:ascii="Palatino Linotype" w:hAnsi="Palatino Linotype" w:cs="Tahoma"/>
          <w:b/>
          <w:color w:val="000000" w:themeColor="text1"/>
          <w:sz w:val="22"/>
          <w:szCs w:val="22"/>
        </w:rPr>
        <w:t>Cierre de instrucción</w:t>
      </w:r>
      <w:r w:rsidR="008E5077" w:rsidRPr="00302243">
        <w:rPr>
          <w:rFonts w:ascii="Palatino Linotype" w:hAnsi="Palatino Linotype" w:cs="Tahoma"/>
          <w:b/>
          <w:color w:val="000000" w:themeColor="text1"/>
          <w:sz w:val="22"/>
          <w:szCs w:val="22"/>
        </w:rPr>
        <w:t>.</w:t>
      </w:r>
      <w:r w:rsidR="00B31222" w:rsidRPr="00302243">
        <w:rPr>
          <w:rFonts w:ascii="Palatino Linotype" w:hAnsi="Palatino Linotype" w:cs="Tahoma"/>
          <w:color w:val="000000" w:themeColor="text1"/>
          <w:sz w:val="22"/>
          <w:szCs w:val="22"/>
        </w:rPr>
        <w:t xml:space="preserve"> El </w:t>
      </w:r>
      <w:r w:rsidR="00115937">
        <w:rPr>
          <w:rFonts w:ascii="Palatino Linotype" w:hAnsi="Palatino Linotype" w:cs="Tahoma"/>
          <w:color w:val="000000" w:themeColor="text1"/>
          <w:sz w:val="22"/>
          <w:szCs w:val="22"/>
        </w:rPr>
        <w:t>doce</w:t>
      </w:r>
      <w:r w:rsidR="009504FE" w:rsidRPr="00302243">
        <w:rPr>
          <w:rFonts w:ascii="Palatino Linotype" w:hAnsi="Palatino Linotype" w:cs="Tahoma"/>
          <w:color w:val="000000" w:themeColor="text1"/>
          <w:sz w:val="22"/>
          <w:szCs w:val="22"/>
        </w:rPr>
        <w:t xml:space="preserve"> de noviembre</w:t>
      </w:r>
      <w:r w:rsidR="00AF4C29" w:rsidRPr="00302243">
        <w:rPr>
          <w:rFonts w:ascii="Palatino Linotype" w:hAnsi="Palatino Linotype" w:cs="Tahoma"/>
          <w:color w:val="000000" w:themeColor="text1"/>
          <w:sz w:val="22"/>
          <w:szCs w:val="22"/>
        </w:rPr>
        <w:t xml:space="preserve"> de dos mil diecinueve</w:t>
      </w:r>
      <w:r w:rsidR="00B31222" w:rsidRPr="00302243">
        <w:rPr>
          <w:rFonts w:ascii="Palatino Linotype" w:hAnsi="Palatino Linotype" w:cs="Tahoma"/>
          <w:color w:val="000000" w:themeColor="text1"/>
          <w:sz w:val="22"/>
          <w:szCs w:val="22"/>
        </w:rPr>
        <w:t>, al no existir diligencias pendientes por desahogar, se emitió el acuerdo por medio del cual se declaró cerrada la instrucción</w:t>
      </w:r>
      <w:r w:rsidR="008839DA" w:rsidRPr="00302243">
        <w:rPr>
          <w:rFonts w:ascii="Palatino Linotype" w:hAnsi="Palatino Linotype" w:cs="Tahoma"/>
          <w:color w:val="000000" w:themeColor="text1"/>
          <w:sz w:val="22"/>
          <w:szCs w:val="22"/>
        </w:rPr>
        <w:t xml:space="preserve"> y se determinó</w:t>
      </w:r>
      <w:r w:rsidR="00CF43D5" w:rsidRPr="00302243">
        <w:rPr>
          <w:rFonts w:ascii="Palatino Linotype" w:hAnsi="Palatino Linotype" w:cs="Tahoma"/>
          <w:color w:val="000000" w:themeColor="text1"/>
          <w:sz w:val="22"/>
          <w:szCs w:val="22"/>
        </w:rPr>
        <w:t xml:space="preserve"> </w:t>
      </w:r>
      <w:r w:rsidR="008839DA" w:rsidRPr="00302243">
        <w:rPr>
          <w:rFonts w:ascii="Palatino Linotype" w:hAnsi="Palatino Linotype" w:cs="Tahoma"/>
          <w:color w:val="000000" w:themeColor="text1"/>
          <w:sz w:val="22"/>
          <w:szCs w:val="22"/>
        </w:rPr>
        <w:t xml:space="preserve">pasar </w:t>
      </w:r>
      <w:r w:rsidR="00B31222" w:rsidRPr="00302243">
        <w:rPr>
          <w:rFonts w:ascii="Palatino Linotype" w:hAnsi="Palatino Linotype" w:cs="Tahoma"/>
          <w:color w:val="000000" w:themeColor="text1"/>
          <w:sz w:val="22"/>
          <w:szCs w:val="22"/>
        </w:rPr>
        <w:t>el expediente a resolución, en términos de lo dispuesto en los artículos 1</w:t>
      </w:r>
      <w:r w:rsidR="0048519E" w:rsidRPr="00302243">
        <w:rPr>
          <w:rFonts w:ascii="Palatino Linotype" w:hAnsi="Palatino Linotype" w:cs="Tahoma"/>
          <w:color w:val="000000" w:themeColor="text1"/>
          <w:sz w:val="22"/>
          <w:szCs w:val="22"/>
        </w:rPr>
        <w:t>85</w:t>
      </w:r>
      <w:r w:rsidR="00B31222" w:rsidRPr="00302243">
        <w:rPr>
          <w:rFonts w:ascii="Palatino Linotype" w:hAnsi="Palatino Linotype" w:cs="Tahoma"/>
          <w:color w:val="000000" w:themeColor="text1"/>
          <w:sz w:val="22"/>
          <w:szCs w:val="22"/>
        </w:rPr>
        <w:t xml:space="preserve">, fracciones VI y VIII de la Ley </w:t>
      </w:r>
      <w:r w:rsidR="0048519E" w:rsidRPr="00302243">
        <w:rPr>
          <w:rFonts w:ascii="Palatino Linotype" w:hAnsi="Palatino Linotype" w:cs="Tahoma"/>
          <w:color w:val="000000" w:themeColor="text1"/>
          <w:sz w:val="22"/>
          <w:szCs w:val="22"/>
        </w:rPr>
        <w:t>de Transparencia y Acceso a la Información Pública del Estado de México y Municipios</w:t>
      </w:r>
      <w:r w:rsidR="00B31222" w:rsidRPr="00302243">
        <w:rPr>
          <w:rFonts w:ascii="Palatino Linotype" w:hAnsi="Palatino Linotype" w:cs="Tahoma"/>
          <w:color w:val="000000" w:themeColor="text1"/>
          <w:sz w:val="22"/>
          <w:szCs w:val="22"/>
        </w:rPr>
        <w:t xml:space="preserve">, mismo que fue notificado a las partes </w:t>
      </w:r>
      <w:r w:rsidR="0048519E" w:rsidRPr="00302243">
        <w:rPr>
          <w:rFonts w:ascii="Palatino Linotype" w:hAnsi="Palatino Linotype" w:cs="Tahoma"/>
          <w:color w:val="000000" w:themeColor="text1"/>
          <w:sz w:val="22"/>
          <w:szCs w:val="22"/>
        </w:rPr>
        <w:t xml:space="preserve">el mismo día, a través del </w:t>
      </w:r>
      <w:r w:rsidR="000313A7" w:rsidRPr="00302243">
        <w:rPr>
          <w:rFonts w:ascii="Palatino Linotype" w:hAnsi="Palatino Linotype" w:cs="Tahoma"/>
          <w:color w:val="000000" w:themeColor="text1"/>
          <w:sz w:val="22"/>
          <w:szCs w:val="22"/>
          <w:lang w:val="es-ES"/>
        </w:rPr>
        <w:t>Sistema de Acceso a la Información Mexiquense (SAIMEX)</w:t>
      </w:r>
      <w:r w:rsidR="006A026A" w:rsidRPr="00302243">
        <w:rPr>
          <w:rFonts w:ascii="Palatino Linotype" w:hAnsi="Palatino Linotype" w:cs="Tahoma"/>
          <w:color w:val="000000" w:themeColor="text1"/>
          <w:sz w:val="22"/>
          <w:szCs w:val="22"/>
        </w:rPr>
        <w:t>.</w:t>
      </w:r>
      <w:r w:rsidR="009504FE" w:rsidRPr="00302243">
        <w:rPr>
          <w:rFonts w:ascii="Palatino Linotype" w:hAnsi="Palatino Linotype" w:cs="Tahoma"/>
          <w:color w:val="000000" w:themeColor="text1"/>
          <w:sz w:val="22"/>
          <w:szCs w:val="22"/>
        </w:rPr>
        <w:t xml:space="preserve"> </w:t>
      </w:r>
    </w:p>
    <w:p w14:paraId="4CE28BA4" w14:textId="77777777" w:rsidR="00B31222" w:rsidRPr="00302243" w:rsidRDefault="00B31222" w:rsidP="00447875">
      <w:pPr>
        <w:spacing w:line="360" w:lineRule="auto"/>
        <w:jc w:val="both"/>
        <w:rPr>
          <w:rFonts w:ascii="Palatino Linotype" w:hAnsi="Palatino Linotype" w:cs="Tahoma"/>
          <w:b/>
          <w:color w:val="000000" w:themeColor="text1"/>
          <w:sz w:val="22"/>
          <w:szCs w:val="22"/>
        </w:rPr>
      </w:pPr>
    </w:p>
    <w:p w14:paraId="054A6A7B" w14:textId="0329FBBF" w:rsidR="007F26BE" w:rsidRDefault="007F26BE" w:rsidP="007F26B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g) Returno de Recurso de Revisión.</w:t>
      </w:r>
    </w:p>
    <w:p w14:paraId="12E3B180" w14:textId="77777777" w:rsidR="007F26BE" w:rsidRDefault="007F26BE" w:rsidP="007F26BE">
      <w:pPr>
        <w:autoSpaceDE w:val="0"/>
        <w:autoSpaceDN w:val="0"/>
        <w:adjustRightInd w:val="0"/>
        <w:spacing w:line="360" w:lineRule="auto"/>
        <w:jc w:val="both"/>
        <w:rPr>
          <w:rFonts w:ascii="Palatino Linotype" w:hAnsi="Palatino Linotype" w:cs="Tahoma"/>
          <w:b/>
          <w:sz w:val="22"/>
          <w:szCs w:val="22"/>
        </w:rPr>
      </w:pPr>
    </w:p>
    <w:p w14:paraId="441D338C" w14:textId="77777777" w:rsidR="007F26BE" w:rsidRDefault="007F26BE" w:rsidP="007F26B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Con fecha veintisiete de noviembre de dos mil diecinueve, el Pleno de este Instituto de Transparencia, Acceso a la Información Pública y Protección de Datos Personales del Estado de México y Municipios, en la Cuadragésima Cuarta Sesión Ordinaria, aprobó el returno del Recurso de Revisión que nos ocupa, a la Comisionada Presidenta Zulema Martínez Sánchez.</w:t>
      </w:r>
    </w:p>
    <w:p w14:paraId="2F4F569B" w14:textId="77777777" w:rsidR="007F26BE" w:rsidRPr="00FD61A8" w:rsidRDefault="007F26BE" w:rsidP="007F26BE">
      <w:pPr>
        <w:spacing w:line="360" w:lineRule="auto"/>
        <w:jc w:val="both"/>
        <w:rPr>
          <w:rFonts w:ascii="Palatino Linotype" w:hAnsi="Palatino Linotype" w:cs="Tahoma"/>
          <w:sz w:val="22"/>
          <w:szCs w:val="24"/>
        </w:rPr>
      </w:pPr>
    </w:p>
    <w:p w14:paraId="11BA3C7F" w14:textId="77777777" w:rsidR="007F26BE" w:rsidRDefault="007F26BE" w:rsidP="007F26BE">
      <w:pPr>
        <w:spacing w:line="360" w:lineRule="auto"/>
        <w:jc w:val="both"/>
        <w:rPr>
          <w:rFonts w:ascii="Palatino Linotype" w:hAnsi="Palatino Linotype" w:cs="Tahoma"/>
          <w:color w:val="000000"/>
          <w:sz w:val="22"/>
          <w:szCs w:val="24"/>
        </w:rPr>
      </w:pPr>
      <w:r w:rsidRPr="00FD61A8">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5CB5E029" w14:textId="77777777" w:rsidR="00A56F39" w:rsidRPr="00302243" w:rsidRDefault="00A56F39" w:rsidP="00447875">
      <w:pPr>
        <w:spacing w:line="360" w:lineRule="auto"/>
        <w:jc w:val="center"/>
        <w:rPr>
          <w:rFonts w:ascii="Palatino Linotype" w:hAnsi="Palatino Linotype" w:cs="Tahoma"/>
          <w:b/>
          <w:color w:val="000000" w:themeColor="text1"/>
          <w:sz w:val="22"/>
          <w:szCs w:val="22"/>
        </w:rPr>
      </w:pPr>
    </w:p>
    <w:p w14:paraId="48656088" w14:textId="77777777" w:rsidR="004F2D88" w:rsidRPr="00302243" w:rsidRDefault="009A620E" w:rsidP="00447875">
      <w:pPr>
        <w:spacing w:line="360" w:lineRule="auto"/>
        <w:jc w:val="center"/>
        <w:rPr>
          <w:rFonts w:ascii="Palatino Linotype" w:hAnsi="Palatino Linotype" w:cs="Tahoma"/>
          <w:b/>
          <w:color w:val="000000" w:themeColor="text1"/>
          <w:sz w:val="22"/>
          <w:szCs w:val="22"/>
          <w:lang w:val="es-ES"/>
        </w:rPr>
      </w:pPr>
      <w:r w:rsidRPr="00302243">
        <w:rPr>
          <w:rFonts w:ascii="Palatino Linotype" w:hAnsi="Palatino Linotype" w:cs="Tahoma"/>
          <w:b/>
          <w:color w:val="000000" w:themeColor="text1"/>
          <w:sz w:val="22"/>
          <w:szCs w:val="22"/>
          <w:lang w:val="es-ES"/>
        </w:rPr>
        <w:lastRenderedPageBreak/>
        <w:t>CONSIDERANDOS</w:t>
      </w:r>
      <w:r w:rsidR="004F2D88" w:rsidRPr="00302243">
        <w:rPr>
          <w:rFonts w:ascii="Palatino Linotype" w:hAnsi="Palatino Linotype" w:cs="Tahoma"/>
          <w:b/>
          <w:color w:val="000000" w:themeColor="text1"/>
          <w:sz w:val="22"/>
          <w:szCs w:val="22"/>
          <w:lang w:val="es-ES"/>
        </w:rPr>
        <w:t>:</w:t>
      </w:r>
    </w:p>
    <w:p w14:paraId="743520DD" w14:textId="77777777" w:rsidR="004F2D88" w:rsidRPr="00302243" w:rsidRDefault="004F2D88" w:rsidP="00447875">
      <w:pPr>
        <w:spacing w:line="360" w:lineRule="auto"/>
        <w:rPr>
          <w:rFonts w:ascii="Palatino Linotype" w:hAnsi="Palatino Linotype" w:cs="Tahoma"/>
          <w:b/>
          <w:color w:val="000000" w:themeColor="text1"/>
          <w:sz w:val="22"/>
          <w:szCs w:val="22"/>
          <w:lang w:val="es-ES"/>
        </w:rPr>
      </w:pPr>
    </w:p>
    <w:p w14:paraId="353AA7DC" w14:textId="77777777" w:rsidR="00B64641" w:rsidRPr="00302243" w:rsidRDefault="00B64641" w:rsidP="00447875">
      <w:pPr>
        <w:autoSpaceDE w:val="0"/>
        <w:autoSpaceDN w:val="0"/>
        <w:adjustRightInd w:val="0"/>
        <w:spacing w:line="360" w:lineRule="auto"/>
        <w:jc w:val="both"/>
        <w:rPr>
          <w:rFonts w:ascii="Palatino Linotype" w:hAnsi="Palatino Linotype" w:cs="Tahoma"/>
          <w:b/>
          <w:color w:val="000000" w:themeColor="text1"/>
          <w:sz w:val="22"/>
          <w:szCs w:val="22"/>
          <w:lang w:val="es-ES"/>
        </w:rPr>
      </w:pPr>
      <w:r w:rsidRPr="00302243">
        <w:rPr>
          <w:rFonts w:ascii="Palatino Linotype" w:eastAsia="Calibri" w:hAnsi="Palatino Linotype" w:cs="Tahoma"/>
          <w:b/>
          <w:color w:val="000000" w:themeColor="text1"/>
          <w:sz w:val="22"/>
          <w:szCs w:val="22"/>
          <w:lang w:val="es-ES" w:eastAsia="es-MX"/>
        </w:rPr>
        <w:t>PRIMER</w:t>
      </w:r>
      <w:r w:rsidR="002241A6" w:rsidRPr="00302243">
        <w:rPr>
          <w:rFonts w:ascii="Palatino Linotype" w:eastAsia="Calibri" w:hAnsi="Palatino Linotype" w:cs="Tahoma"/>
          <w:b/>
          <w:color w:val="000000" w:themeColor="text1"/>
          <w:sz w:val="22"/>
          <w:szCs w:val="22"/>
          <w:lang w:val="es-ES" w:eastAsia="es-MX"/>
        </w:rPr>
        <w:t>O</w:t>
      </w:r>
      <w:r w:rsidRPr="00302243">
        <w:rPr>
          <w:rFonts w:ascii="Palatino Linotype" w:eastAsia="Calibri" w:hAnsi="Palatino Linotype" w:cs="Tahoma"/>
          <w:color w:val="000000" w:themeColor="text1"/>
          <w:sz w:val="22"/>
          <w:szCs w:val="22"/>
          <w:lang w:val="es-ES" w:eastAsia="es-MX"/>
        </w:rPr>
        <w:t xml:space="preserve">. </w:t>
      </w:r>
      <w:r w:rsidRPr="00302243">
        <w:rPr>
          <w:rFonts w:ascii="Palatino Linotype" w:hAnsi="Palatino Linotype" w:cs="Tahoma"/>
          <w:b/>
          <w:color w:val="000000" w:themeColor="text1"/>
          <w:sz w:val="22"/>
          <w:szCs w:val="22"/>
          <w:lang w:val="es-ES"/>
        </w:rPr>
        <w:t>Competencia.</w:t>
      </w:r>
    </w:p>
    <w:p w14:paraId="26467A37" w14:textId="77777777" w:rsidR="00B727C5" w:rsidRPr="00302243" w:rsidRDefault="00B727C5" w:rsidP="00447875">
      <w:pPr>
        <w:autoSpaceDE w:val="0"/>
        <w:autoSpaceDN w:val="0"/>
        <w:adjustRightInd w:val="0"/>
        <w:spacing w:line="360" w:lineRule="auto"/>
        <w:jc w:val="both"/>
        <w:rPr>
          <w:rFonts w:ascii="Palatino Linotype" w:hAnsi="Palatino Linotype" w:cs="Tahoma"/>
          <w:color w:val="000000" w:themeColor="text1"/>
          <w:sz w:val="22"/>
          <w:szCs w:val="22"/>
          <w:lang w:val="es-ES"/>
        </w:rPr>
      </w:pPr>
    </w:p>
    <w:p w14:paraId="78CB5AE8" w14:textId="0ED9A775" w:rsidR="00CD1770" w:rsidRPr="00302243" w:rsidRDefault="00CD1770" w:rsidP="00447875">
      <w:pPr>
        <w:spacing w:line="360" w:lineRule="auto"/>
        <w:jc w:val="both"/>
        <w:rPr>
          <w:rFonts w:ascii="Palatino Linotype" w:hAnsi="Palatino Linotype" w:cs="Tahoma"/>
          <w:color w:val="000000" w:themeColor="text1"/>
          <w:sz w:val="22"/>
          <w:szCs w:val="22"/>
          <w:shd w:val="clear" w:color="auto" w:fill="FFFFFF"/>
        </w:rPr>
      </w:pPr>
      <w:r w:rsidRPr="00302243">
        <w:rPr>
          <w:rFonts w:ascii="Palatino Linotype" w:hAnsi="Palatino Linotype" w:cs="Tahoma"/>
          <w:color w:val="000000" w:themeColor="text1"/>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9504FE" w:rsidRPr="00302243">
        <w:rPr>
          <w:rFonts w:ascii="Palatino Linotype" w:hAnsi="Palatino Linotype" w:cs="Tahoma"/>
          <w:color w:val="000000" w:themeColor="text1"/>
          <w:sz w:val="22"/>
          <w:szCs w:val="22"/>
          <w:shd w:val="clear" w:color="auto" w:fill="FFFFFF"/>
        </w:rPr>
        <w:t xml:space="preserve"> segundo, vigésimo tercero</w:t>
      </w:r>
      <w:r w:rsidRPr="00302243">
        <w:rPr>
          <w:rFonts w:ascii="Palatino Linotype" w:hAnsi="Palatino Linotype" w:cs="Tahoma"/>
          <w:color w:val="000000" w:themeColor="text1"/>
          <w:sz w:val="22"/>
          <w:szCs w:val="22"/>
          <w:shd w:val="clear" w:color="auto" w:fill="FFFFFF"/>
        </w:rPr>
        <w:t xml:space="preserve"> y vigésimo </w:t>
      </w:r>
      <w:r w:rsidR="009504FE" w:rsidRPr="00302243">
        <w:rPr>
          <w:rFonts w:ascii="Palatino Linotype" w:hAnsi="Palatino Linotype" w:cs="Tahoma"/>
          <w:color w:val="000000" w:themeColor="text1"/>
          <w:sz w:val="22"/>
          <w:szCs w:val="22"/>
          <w:shd w:val="clear" w:color="auto" w:fill="FFFFFF"/>
        </w:rPr>
        <w:t>cuarto</w:t>
      </w:r>
      <w:r w:rsidRPr="00302243">
        <w:rPr>
          <w:rFonts w:ascii="Palatino Linotype" w:hAnsi="Palatino Linotype" w:cs="Tahoma"/>
          <w:color w:val="000000" w:themeColor="text1"/>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02243">
        <w:rPr>
          <w:rStyle w:val="apple-converted-space"/>
          <w:rFonts w:ascii="Palatino Linotype" w:hAnsi="Palatino Linotype" w:cs="Tahoma"/>
          <w:color w:val="000000" w:themeColor="text1"/>
          <w:sz w:val="22"/>
          <w:szCs w:val="22"/>
          <w:shd w:val="clear" w:color="auto" w:fill="FFFFFF"/>
        </w:rPr>
        <w:t xml:space="preserve"> 7°, </w:t>
      </w:r>
      <w:r w:rsidRPr="00302243">
        <w:rPr>
          <w:rFonts w:ascii="Palatino Linotype" w:hAnsi="Palatino Linotype" w:cs="Tahoma"/>
          <w:color w:val="000000" w:themeColor="text1"/>
          <w:sz w:val="22"/>
          <w:szCs w:val="22"/>
        </w:rPr>
        <w:t xml:space="preserve">9°, fracciones I y XXIV y 11 </w:t>
      </w:r>
      <w:r w:rsidRPr="00302243">
        <w:rPr>
          <w:rFonts w:ascii="Palatino Linotype" w:hAnsi="Palatino Linotype" w:cs="Tahoma"/>
          <w:color w:val="000000" w:themeColor="text1"/>
          <w:sz w:val="22"/>
          <w:szCs w:val="22"/>
          <w:shd w:val="clear" w:color="auto" w:fill="FFFFFF"/>
        </w:rPr>
        <w:t>del Reglamento Interior del Instituto de Transparencia, Acceso a la Información Pública y Protección de Datos Personales del Estado de México y Municipios.</w:t>
      </w:r>
    </w:p>
    <w:p w14:paraId="2C6B68B3" w14:textId="77777777" w:rsidR="00B727C5" w:rsidRPr="00302243" w:rsidRDefault="00B727C5" w:rsidP="00447875">
      <w:pPr>
        <w:spacing w:line="360" w:lineRule="auto"/>
        <w:jc w:val="both"/>
        <w:rPr>
          <w:rFonts w:ascii="Palatino Linotype" w:eastAsia="Calibri" w:hAnsi="Palatino Linotype" w:cs="Tahoma"/>
          <w:bCs/>
          <w:color w:val="000000" w:themeColor="text1"/>
          <w:sz w:val="22"/>
          <w:szCs w:val="22"/>
          <w:lang w:val="es-ES" w:eastAsia="es-ES_tradnl"/>
        </w:rPr>
      </w:pPr>
    </w:p>
    <w:p w14:paraId="2F9C5C97" w14:textId="76C36BD5" w:rsidR="00436FD3" w:rsidRPr="00302243" w:rsidRDefault="004F2D88" w:rsidP="00447875">
      <w:pPr>
        <w:autoSpaceDE w:val="0"/>
        <w:autoSpaceDN w:val="0"/>
        <w:adjustRightInd w:val="0"/>
        <w:spacing w:line="360" w:lineRule="auto"/>
        <w:jc w:val="both"/>
        <w:rPr>
          <w:rFonts w:ascii="Palatino Linotype" w:hAnsi="Palatino Linotype" w:cs="Tahoma"/>
          <w:color w:val="000000" w:themeColor="text1"/>
          <w:sz w:val="22"/>
          <w:szCs w:val="22"/>
          <w:lang w:val="es-ES"/>
        </w:rPr>
      </w:pPr>
      <w:r w:rsidRPr="00302243">
        <w:rPr>
          <w:rFonts w:ascii="Palatino Linotype" w:eastAsia="Calibri" w:hAnsi="Palatino Linotype" w:cs="Tahoma"/>
          <w:b/>
          <w:color w:val="000000" w:themeColor="text1"/>
          <w:sz w:val="22"/>
          <w:szCs w:val="22"/>
          <w:lang w:val="es-ES" w:eastAsia="es-MX"/>
        </w:rPr>
        <w:t>SEGUND</w:t>
      </w:r>
      <w:r w:rsidR="002241A6" w:rsidRPr="00302243">
        <w:rPr>
          <w:rFonts w:ascii="Palatino Linotype" w:eastAsia="Calibri" w:hAnsi="Palatino Linotype" w:cs="Tahoma"/>
          <w:b/>
          <w:color w:val="000000" w:themeColor="text1"/>
          <w:sz w:val="22"/>
          <w:szCs w:val="22"/>
          <w:lang w:val="es-ES" w:eastAsia="es-MX"/>
        </w:rPr>
        <w:t>O</w:t>
      </w:r>
      <w:r w:rsidRPr="00302243">
        <w:rPr>
          <w:rFonts w:ascii="Palatino Linotype" w:eastAsia="Calibri" w:hAnsi="Palatino Linotype" w:cs="Tahoma"/>
          <w:color w:val="000000" w:themeColor="text1"/>
          <w:sz w:val="22"/>
          <w:szCs w:val="22"/>
          <w:lang w:val="es-ES" w:eastAsia="es-MX"/>
        </w:rPr>
        <w:t xml:space="preserve">. </w:t>
      </w:r>
      <w:r w:rsidR="003D0E54">
        <w:rPr>
          <w:rFonts w:ascii="Palatino Linotype" w:hAnsi="Palatino Linotype" w:cs="Tahoma"/>
          <w:b/>
          <w:color w:val="000000" w:themeColor="text1"/>
          <w:sz w:val="22"/>
          <w:szCs w:val="22"/>
          <w:lang w:val="es-ES"/>
        </w:rPr>
        <w:t>Causales de procedencia y sobreseimiento</w:t>
      </w:r>
      <w:r w:rsidRPr="00302243">
        <w:rPr>
          <w:rFonts w:ascii="Palatino Linotype" w:hAnsi="Palatino Linotype" w:cs="Tahoma"/>
          <w:b/>
          <w:color w:val="000000" w:themeColor="text1"/>
          <w:sz w:val="22"/>
          <w:szCs w:val="22"/>
          <w:lang w:val="es-ES"/>
        </w:rPr>
        <w:t>.</w:t>
      </w:r>
    </w:p>
    <w:p w14:paraId="1C98E439" w14:textId="1B144D06" w:rsidR="00303CAD" w:rsidRDefault="00303CAD" w:rsidP="00447875">
      <w:pPr>
        <w:autoSpaceDE w:val="0"/>
        <w:autoSpaceDN w:val="0"/>
        <w:adjustRightInd w:val="0"/>
        <w:spacing w:line="360" w:lineRule="auto"/>
        <w:jc w:val="both"/>
        <w:rPr>
          <w:rFonts w:ascii="Palatino Linotype" w:hAnsi="Palatino Linotype" w:cs="Tahoma"/>
          <w:color w:val="000000" w:themeColor="text1"/>
          <w:sz w:val="22"/>
          <w:szCs w:val="22"/>
          <w:lang w:val="es-ES"/>
        </w:rPr>
      </w:pPr>
    </w:p>
    <w:p w14:paraId="4EF4055F" w14:textId="77777777" w:rsidR="003D0E54" w:rsidRPr="00912331" w:rsidRDefault="003D0E54" w:rsidP="003D0E54">
      <w:pPr>
        <w:autoSpaceDE w:val="0"/>
        <w:autoSpaceDN w:val="0"/>
        <w:adjustRightInd w:val="0"/>
        <w:spacing w:line="360" w:lineRule="auto"/>
        <w:jc w:val="both"/>
        <w:rPr>
          <w:rFonts w:ascii="Palatino Linotype" w:hAnsi="Palatino Linotype" w:cs="Tahoma"/>
          <w:sz w:val="22"/>
          <w:szCs w:val="22"/>
        </w:rPr>
      </w:pPr>
      <w:r w:rsidRPr="00912331">
        <w:rPr>
          <w:rFonts w:ascii="Palatino Linotype" w:hAnsi="Palatino Linotype" w:cs="Tahoma"/>
          <w:sz w:val="22"/>
          <w:szCs w:val="22"/>
        </w:rPr>
        <w:t xml:space="preserve">De las constancias que forma parte del Recurso de Revisión que se analiza, se advierte que previo al estudio del fondo de la </w:t>
      </w:r>
      <w:r w:rsidRPr="00912331">
        <w:rPr>
          <w:rFonts w:ascii="Palatino Linotype" w:hAnsi="Palatino Linotype" w:cs="Tahoma"/>
          <w:i/>
          <w:sz w:val="22"/>
          <w:szCs w:val="22"/>
        </w:rPr>
        <w:t>litis</w:t>
      </w:r>
      <w:r w:rsidRPr="00912331">
        <w:rPr>
          <w:rFonts w:ascii="Palatino Linotype" w:hAnsi="Palatino Linotype" w:cs="Tahoma"/>
          <w:sz w:val="22"/>
          <w:szCs w:val="22"/>
        </w:rPr>
        <w:t>, es necesario estudiar las causales de improcedencia y sobreseimiento que se adviertan, para determinar lo que en Derecho proceda.</w:t>
      </w:r>
    </w:p>
    <w:p w14:paraId="027EF1C5" w14:textId="77777777" w:rsidR="003D0E54" w:rsidRPr="00912331" w:rsidRDefault="003D0E54" w:rsidP="003D0E54">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B0DC764" w14:textId="77777777" w:rsidR="003D0E54" w:rsidRPr="00912331" w:rsidRDefault="003D0E54" w:rsidP="003D0E54">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12331">
        <w:rPr>
          <w:rFonts w:ascii="Palatino Linotype" w:eastAsia="Calibri" w:hAnsi="Palatino Linotype" w:cs="Tahoma"/>
          <w:b/>
          <w:color w:val="000000"/>
          <w:sz w:val="22"/>
          <w:szCs w:val="22"/>
          <w:lang w:eastAsia="es-MX"/>
        </w:rPr>
        <w:t>Causales de improcedencia.</w:t>
      </w:r>
      <w:r w:rsidRPr="00912331">
        <w:rPr>
          <w:rFonts w:ascii="Palatino Linotype" w:eastAsia="Calibri" w:hAnsi="Palatino Linotype" w:cs="Tahoma"/>
          <w:color w:val="000000"/>
          <w:sz w:val="22"/>
          <w:szCs w:val="22"/>
          <w:lang w:eastAsia="es-MX"/>
        </w:rPr>
        <w:t xml:space="preserve"> </w:t>
      </w:r>
    </w:p>
    <w:p w14:paraId="27FA78AB" w14:textId="77777777" w:rsidR="003D0E54" w:rsidRPr="00302243" w:rsidRDefault="003D0E54" w:rsidP="00447875">
      <w:pPr>
        <w:autoSpaceDE w:val="0"/>
        <w:autoSpaceDN w:val="0"/>
        <w:adjustRightInd w:val="0"/>
        <w:spacing w:line="360" w:lineRule="auto"/>
        <w:jc w:val="both"/>
        <w:rPr>
          <w:rFonts w:ascii="Palatino Linotype" w:hAnsi="Palatino Linotype" w:cs="Tahoma"/>
          <w:color w:val="000000" w:themeColor="text1"/>
          <w:sz w:val="22"/>
          <w:szCs w:val="22"/>
          <w:lang w:val="es-ES"/>
        </w:rPr>
      </w:pPr>
    </w:p>
    <w:p w14:paraId="3078309B" w14:textId="77777777" w:rsidR="00A56F39" w:rsidRPr="00302243" w:rsidRDefault="00A56F39"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ED723E" w14:textId="77777777" w:rsidR="00A56F39" w:rsidRPr="00302243" w:rsidRDefault="00A56F39"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lang w:val="es-ES"/>
        </w:rPr>
        <w:t> </w:t>
      </w:r>
    </w:p>
    <w:p w14:paraId="69447662" w14:textId="34364CDA" w:rsidR="00A56F39" w:rsidRPr="00302243" w:rsidRDefault="00A56F39"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En el presente caso, </w:t>
      </w:r>
      <w:r w:rsidRPr="00302243">
        <w:rPr>
          <w:rFonts w:ascii="Palatino Linotype" w:hAnsi="Palatino Linotype" w:cs="Tahoma"/>
          <w:b/>
          <w:bCs/>
          <w:color w:val="000000" w:themeColor="text1"/>
          <w:sz w:val="22"/>
          <w:szCs w:val="22"/>
        </w:rPr>
        <w:t>no se actualiza las causales de improcedencia</w:t>
      </w:r>
      <w:r w:rsidRPr="00302243">
        <w:rPr>
          <w:rFonts w:ascii="Palatino Linotype" w:hAnsi="Palatino Linotype" w:cs="Tahoma"/>
          <w:color w:val="000000" w:themeColor="text1"/>
          <w:sz w:val="22"/>
          <w:szCs w:val="22"/>
        </w:rPr>
        <w:t> establecidas en el ordenamiento jurídico previamente señalado</w:t>
      </w:r>
      <w:r w:rsidR="00297A78">
        <w:rPr>
          <w:rFonts w:ascii="Palatino Linotype" w:hAnsi="Palatino Linotype" w:cs="Tahoma"/>
          <w:color w:val="000000" w:themeColor="text1"/>
          <w:sz w:val="22"/>
          <w:szCs w:val="22"/>
        </w:rPr>
        <w:t>, fracciones I a VI</w:t>
      </w:r>
      <w:r w:rsidRPr="00302243">
        <w:rPr>
          <w:rFonts w:ascii="Palatino Linotype" w:hAnsi="Palatino Linotype" w:cs="Tahoma"/>
          <w:color w:val="000000" w:themeColor="text1"/>
          <w:sz w:val="22"/>
          <w:szCs w:val="22"/>
        </w:rPr>
        <w:t xml:space="preserve">, toda vez que: el recurso fue presentado dentro del plazo establecido en el artículo 178 de la Ley la materia; además, que este Instituto no tiene conocimiento de que se encuentre en trámite algún medio de defensa presentado por </w:t>
      </w:r>
      <w:r w:rsidR="000E7602" w:rsidRPr="00302243">
        <w:rPr>
          <w:rFonts w:ascii="Palatino Linotype" w:hAnsi="Palatino Linotype" w:cs="Tahoma"/>
          <w:color w:val="000000" w:themeColor="text1"/>
          <w:sz w:val="22"/>
          <w:szCs w:val="22"/>
        </w:rPr>
        <w:t>el</w:t>
      </w:r>
      <w:r w:rsidRPr="00302243">
        <w:rPr>
          <w:rFonts w:ascii="Palatino Linotype" w:hAnsi="Palatino Linotype" w:cs="Tahoma"/>
          <w:color w:val="000000" w:themeColor="text1"/>
          <w:sz w:val="22"/>
          <w:szCs w:val="22"/>
        </w:rPr>
        <w:t xml:space="preserve"> recurrente ante otra instancia; no existió prevención alguna; la veracidad de la respuesta no formó parte del agravio; ni se realizó una consulta.</w:t>
      </w:r>
      <w:r w:rsidR="00297A78">
        <w:rPr>
          <w:rFonts w:ascii="Palatino Linotype" w:hAnsi="Palatino Linotype" w:cs="Tahoma"/>
          <w:color w:val="000000" w:themeColor="text1"/>
          <w:sz w:val="22"/>
          <w:szCs w:val="22"/>
        </w:rPr>
        <w:t xml:space="preserve"> Por lo que, hace a la fracción VII, del artículo 191 previamente referido, será motivo de análisis en el siguiente apartado.</w:t>
      </w:r>
    </w:p>
    <w:p w14:paraId="027E80D8" w14:textId="77777777" w:rsidR="00A56F39" w:rsidRPr="00302243" w:rsidRDefault="00A56F39" w:rsidP="00447875">
      <w:pPr>
        <w:spacing w:line="360" w:lineRule="auto"/>
        <w:jc w:val="both"/>
        <w:rPr>
          <w:rFonts w:ascii="Palatino Linotype" w:hAnsi="Palatino Linotype" w:cs="Tahoma"/>
          <w:color w:val="000000" w:themeColor="text1"/>
          <w:sz w:val="22"/>
          <w:szCs w:val="22"/>
        </w:rPr>
      </w:pPr>
    </w:p>
    <w:p w14:paraId="4A219FE1" w14:textId="6EF5815E" w:rsidR="00B32661" w:rsidRPr="00302243" w:rsidRDefault="00B32661" w:rsidP="00447875">
      <w:pPr>
        <w:spacing w:line="360" w:lineRule="auto"/>
        <w:jc w:val="both"/>
        <w:rPr>
          <w:rFonts w:ascii="Palatino Linotype" w:hAnsi="Palatino Linotype" w:cs="Tahoma"/>
          <w:color w:val="000000" w:themeColor="text1"/>
          <w:sz w:val="22"/>
          <w:szCs w:val="22"/>
          <w:lang w:val="es-ES"/>
        </w:rPr>
      </w:pPr>
      <w:r w:rsidRPr="00302243">
        <w:rPr>
          <w:rFonts w:ascii="Palatino Linotype" w:hAnsi="Palatino Linotype" w:cs="Tahoma"/>
          <w:color w:val="000000" w:themeColor="text1"/>
          <w:sz w:val="22"/>
          <w:szCs w:val="22"/>
        </w:rPr>
        <w:t xml:space="preserve">Asimismo, se actualizan las causales de procedencia del recurso de revisión señalada en el artículo 179, </w:t>
      </w:r>
      <w:r w:rsidR="009504FE" w:rsidRPr="00302243">
        <w:rPr>
          <w:rFonts w:ascii="Palatino Linotype" w:hAnsi="Palatino Linotype" w:cs="Tahoma"/>
          <w:color w:val="000000" w:themeColor="text1"/>
          <w:sz w:val="22"/>
          <w:szCs w:val="22"/>
        </w:rPr>
        <w:t xml:space="preserve">fracción </w:t>
      </w:r>
      <w:r w:rsidR="00BD7F62">
        <w:rPr>
          <w:rFonts w:ascii="Palatino Linotype" w:hAnsi="Palatino Linotype" w:cs="Tahoma"/>
          <w:color w:val="000000" w:themeColor="text1"/>
          <w:sz w:val="22"/>
          <w:szCs w:val="22"/>
        </w:rPr>
        <w:t>II,</w:t>
      </w:r>
      <w:r w:rsidR="005E217A">
        <w:rPr>
          <w:rFonts w:ascii="Palatino Linotype" w:hAnsi="Palatino Linotype" w:cs="Tahoma"/>
          <w:color w:val="000000" w:themeColor="text1"/>
          <w:sz w:val="22"/>
          <w:szCs w:val="22"/>
        </w:rPr>
        <w:t xml:space="preserve"> V</w:t>
      </w:r>
      <w:r w:rsidR="00BD7F62">
        <w:rPr>
          <w:rFonts w:ascii="Palatino Linotype" w:hAnsi="Palatino Linotype" w:cs="Tahoma"/>
          <w:color w:val="000000" w:themeColor="text1"/>
          <w:sz w:val="22"/>
          <w:szCs w:val="22"/>
        </w:rPr>
        <w:t xml:space="preserve"> y VI</w:t>
      </w:r>
      <w:r w:rsidRPr="00302243">
        <w:rPr>
          <w:rFonts w:ascii="Palatino Linotype" w:hAnsi="Palatino Linotype" w:cs="Tahoma"/>
          <w:color w:val="000000" w:themeColor="text1"/>
          <w:sz w:val="22"/>
          <w:szCs w:val="22"/>
        </w:rPr>
        <w:t xml:space="preserve">, de la Ley en cita, pues la parte Recurrente se inconformó </w:t>
      </w:r>
      <w:r w:rsidRPr="00302243">
        <w:rPr>
          <w:rFonts w:ascii="Palatino Linotype" w:hAnsi="Palatino Linotype" w:cs="Tahoma"/>
          <w:color w:val="000000" w:themeColor="text1"/>
          <w:sz w:val="22"/>
          <w:szCs w:val="22"/>
          <w:lang w:val="es-ES"/>
        </w:rPr>
        <w:t xml:space="preserve">con </w:t>
      </w:r>
      <w:r w:rsidR="002D5F0D" w:rsidRPr="00302243">
        <w:rPr>
          <w:rFonts w:ascii="Palatino Linotype" w:hAnsi="Palatino Linotype" w:cs="Tahoma"/>
          <w:color w:val="000000" w:themeColor="text1"/>
          <w:sz w:val="22"/>
          <w:szCs w:val="22"/>
          <w:lang w:val="es-ES"/>
        </w:rPr>
        <w:t xml:space="preserve">la </w:t>
      </w:r>
      <w:r w:rsidR="006933FB" w:rsidRPr="00302243">
        <w:rPr>
          <w:rFonts w:ascii="Palatino Linotype" w:hAnsi="Palatino Linotype" w:cs="Tahoma"/>
          <w:color w:val="000000" w:themeColor="text1"/>
          <w:sz w:val="22"/>
          <w:szCs w:val="22"/>
          <w:lang w:val="es-ES"/>
        </w:rPr>
        <w:t>clasificación de la información</w:t>
      </w:r>
      <w:r w:rsidR="005E217A">
        <w:rPr>
          <w:rFonts w:ascii="Palatino Linotype" w:hAnsi="Palatino Linotype" w:cs="Tahoma"/>
          <w:color w:val="000000" w:themeColor="text1"/>
          <w:sz w:val="22"/>
          <w:szCs w:val="22"/>
          <w:lang w:val="es-ES"/>
        </w:rPr>
        <w:t xml:space="preserve"> y entrega de diversa de manera incompleta</w:t>
      </w:r>
      <w:r w:rsidR="00BD7F62">
        <w:rPr>
          <w:rFonts w:ascii="Palatino Linotype" w:hAnsi="Palatino Linotype" w:cs="Tahoma"/>
          <w:color w:val="000000" w:themeColor="text1"/>
          <w:sz w:val="22"/>
          <w:szCs w:val="22"/>
          <w:lang w:val="es-ES"/>
        </w:rPr>
        <w:t xml:space="preserve"> y otra que no corresponde con lo solicitado</w:t>
      </w:r>
      <w:r w:rsidRPr="00302243">
        <w:rPr>
          <w:rFonts w:ascii="Palatino Linotype" w:hAnsi="Palatino Linotype" w:cs="Tahoma"/>
          <w:color w:val="000000" w:themeColor="text1"/>
          <w:sz w:val="22"/>
          <w:szCs w:val="22"/>
          <w:lang w:val="es-ES"/>
        </w:rPr>
        <w:t>.</w:t>
      </w:r>
    </w:p>
    <w:p w14:paraId="06FF6A8A" w14:textId="77777777" w:rsidR="00A56F39" w:rsidRPr="00302243" w:rsidRDefault="00A56F39" w:rsidP="00447875">
      <w:pPr>
        <w:spacing w:line="360" w:lineRule="auto"/>
        <w:jc w:val="both"/>
        <w:rPr>
          <w:rFonts w:ascii="Palatino Linotype" w:hAnsi="Palatino Linotype" w:cs="Tahoma"/>
          <w:color w:val="000000" w:themeColor="text1"/>
          <w:sz w:val="22"/>
          <w:szCs w:val="22"/>
          <w:lang w:val="es-ES"/>
        </w:rPr>
      </w:pPr>
      <w:r w:rsidRPr="00302243">
        <w:rPr>
          <w:rFonts w:ascii="Palatino Linotype" w:hAnsi="Palatino Linotype" w:cs="Tahoma"/>
          <w:color w:val="000000" w:themeColor="text1"/>
          <w:sz w:val="22"/>
          <w:szCs w:val="22"/>
          <w:lang w:val="es-ES"/>
        </w:rPr>
        <w:t> </w:t>
      </w:r>
    </w:p>
    <w:p w14:paraId="0FA6D48D" w14:textId="77777777" w:rsidR="00A56F39" w:rsidRPr="00302243" w:rsidRDefault="00A56F39"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b/>
          <w:bCs/>
          <w:color w:val="000000" w:themeColor="text1"/>
          <w:sz w:val="22"/>
          <w:szCs w:val="22"/>
        </w:rPr>
        <w:t>Causales de sobreseimiento.</w:t>
      </w:r>
    </w:p>
    <w:p w14:paraId="0E34E357" w14:textId="77777777" w:rsidR="00A56F39" w:rsidRPr="00302243" w:rsidRDefault="00A56F39"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 </w:t>
      </w:r>
    </w:p>
    <w:p w14:paraId="1E024A56" w14:textId="77777777" w:rsidR="00A56F39" w:rsidRPr="00302243" w:rsidRDefault="00A56F39"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Por ser de previo y especial pronunciamiento, este Instituto analiza si se actualiza alguna causal de sobreseimiento.</w:t>
      </w:r>
    </w:p>
    <w:p w14:paraId="05E18BC2" w14:textId="2A5A040A" w:rsidR="003D0E54" w:rsidRDefault="003D0E54" w:rsidP="003D0E54">
      <w:pPr>
        <w:widowControl w:val="0"/>
        <w:spacing w:line="360" w:lineRule="auto"/>
        <w:jc w:val="both"/>
        <w:rPr>
          <w:rFonts w:ascii="Palatino Linotype" w:eastAsia="Calibri" w:hAnsi="Palatino Linotype" w:cs="Tahoma"/>
          <w:sz w:val="22"/>
          <w:szCs w:val="22"/>
          <w:lang w:eastAsia="es-ES_tradnl"/>
        </w:rPr>
      </w:pPr>
      <w:r>
        <w:rPr>
          <w:rFonts w:ascii="Palatino Linotype" w:hAnsi="Palatino Linotype" w:cs="Tahoma"/>
          <w:sz w:val="22"/>
          <w:szCs w:val="22"/>
        </w:rPr>
        <w:lastRenderedPageBreak/>
        <w:t xml:space="preserve">El artículo 192 de la </w:t>
      </w:r>
      <w:r>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Pr>
          <w:rFonts w:ascii="Palatino Linotype" w:eastAsia="Calibri" w:hAnsi="Palatino Linotype" w:cs="Tahoma"/>
          <w:sz w:val="22"/>
          <w:szCs w:val="22"/>
          <w:lang w:eastAsia="es-ES_tradnl"/>
        </w:rPr>
        <w:t>del análisis realizado por este Instituto, se advierte que</w:t>
      </w:r>
      <w:r>
        <w:rPr>
          <w:rFonts w:ascii="Palatino Linotype" w:eastAsia="Calibri" w:hAnsi="Palatino Linotype" w:cs="Tahoma"/>
          <w:b/>
          <w:sz w:val="22"/>
          <w:szCs w:val="22"/>
          <w:lang w:eastAsia="es-ES_tradnl"/>
        </w:rPr>
        <w:t xml:space="preserve"> no se configuran las causales estab</w:t>
      </w:r>
      <w:r w:rsidR="00791F08">
        <w:rPr>
          <w:rFonts w:ascii="Palatino Linotype" w:eastAsia="Calibri" w:hAnsi="Palatino Linotype" w:cs="Tahoma"/>
          <w:b/>
          <w:sz w:val="22"/>
          <w:szCs w:val="22"/>
          <w:lang w:eastAsia="es-ES_tradnl"/>
        </w:rPr>
        <w:t>lecidas en las fracciones I, II</w:t>
      </w:r>
      <w:r>
        <w:rPr>
          <w:rFonts w:ascii="Palatino Linotype" w:eastAsia="Calibri" w:hAnsi="Palatino Linotype" w:cs="Tahoma"/>
          <w:b/>
          <w:sz w:val="22"/>
          <w:szCs w:val="22"/>
          <w:lang w:eastAsia="es-ES_tradnl"/>
        </w:rPr>
        <w:t xml:space="preserve"> y V, </w:t>
      </w:r>
      <w:r>
        <w:rPr>
          <w:rFonts w:ascii="Palatino Linotype" w:eastAsia="Calibri" w:hAnsi="Palatino Linotype" w:cs="Tahoma"/>
          <w:sz w:val="22"/>
          <w:szCs w:val="22"/>
          <w:lang w:eastAsia="es-ES_tradnl"/>
        </w:rPr>
        <w:t xml:space="preserve">toda vez que no hay constancias en el expediente en que se actúa, de que </w:t>
      </w:r>
      <w:r w:rsidR="000007F7">
        <w:rPr>
          <w:rFonts w:ascii="Palatino Linotype" w:eastAsia="Calibri" w:hAnsi="Palatino Linotype" w:cs="Tahoma"/>
          <w:sz w:val="22"/>
          <w:szCs w:val="22"/>
          <w:lang w:eastAsia="es-ES_tradnl"/>
        </w:rPr>
        <w:t>el</w:t>
      </w:r>
      <w:r>
        <w:rPr>
          <w:rFonts w:ascii="Palatino Linotype" w:eastAsia="Calibri" w:hAnsi="Palatino Linotype" w:cs="Tahoma"/>
          <w:sz w:val="22"/>
          <w:szCs w:val="22"/>
          <w:lang w:eastAsia="es-ES_tradnl"/>
        </w:rPr>
        <w:t xml:space="preserve"> Recurrente se haya desistido, fallecido, o bien, haya quedado sin materia</w:t>
      </w:r>
      <w:r w:rsidR="00791F08">
        <w:rPr>
          <w:rFonts w:ascii="Palatino Linotype" w:eastAsia="Calibri" w:hAnsi="Palatino Linotype" w:cs="Tahoma"/>
          <w:sz w:val="22"/>
          <w:szCs w:val="22"/>
          <w:lang w:eastAsia="es-ES_tradnl"/>
        </w:rPr>
        <w:t xml:space="preserve"> el Medio de Impugnación</w:t>
      </w:r>
      <w:r>
        <w:rPr>
          <w:rFonts w:ascii="Palatino Linotype" w:eastAsia="Calibri" w:hAnsi="Palatino Linotype" w:cs="Tahoma"/>
          <w:sz w:val="22"/>
          <w:szCs w:val="22"/>
          <w:lang w:eastAsia="es-ES_tradnl"/>
        </w:rPr>
        <w:t>.</w:t>
      </w:r>
    </w:p>
    <w:p w14:paraId="3903B38C" w14:textId="77777777" w:rsidR="003D0E54" w:rsidRDefault="003D0E54" w:rsidP="00447875">
      <w:pPr>
        <w:spacing w:line="360" w:lineRule="auto"/>
        <w:jc w:val="both"/>
        <w:rPr>
          <w:rFonts w:ascii="Palatino Linotype" w:hAnsi="Palatino Linotype" w:cs="Tahoma"/>
          <w:color w:val="000000" w:themeColor="text1"/>
          <w:sz w:val="22"/>
          <w:szCs w:val="22"/>
        </w:rPr>
      </w:pPr>
    </w:p>
    <w:p w14:paraId="438C7B25" w14:textId="301D3310" w:rsidR="00E8768F" w:rsidRPr="00864981" w:rsidRDefault="00E8768F" w:rsidP="00E8768F">
      <w:pPr>
        <w:spacing w:line="360" w:lineRule="auto"/>
        <w:jc w:val="both"/>
        <w:rPr>
          <w:rFonts w:ascii="Palatino Linotype" w:hAnsi="Palatino Linotype" w:cs="Tahoma"/>
          <w:sz w:val="22"/>
          <w:szCs w:val="22"/>
        </w:rPr>
      </w:pPr>
      <w:r>
        <w:rPr>
          <w:rFonts w:ascii="Palatino Linotype" w:hAnsi="Palatino Linotype" w:cs="Tahoma"/>
          <w:sz w:val="22"/>
          <w:szCs w:val="22"/>
        </w:rPr>
        <w:t>Ahora bien</w:t>
      </w:r>
      <w:r w:rsidRPr="00864981">
        <w:rPr>
          <w:rFonts w:ascii="Palatino Linotype" w:hAnsi="Palatino Linotype" w:cs="Tahoma"/>
          <w:sz w:val="22"/>
          <w:szCs w:val="22"/>
        </w:rPr>
        <w:t xml:space="preserve">, toda vez que durante la sustanciación del Recurso de Revisión </w:t>
      </w:r>
      <w:r w:rsidRPr="00E8768F">
        <w:rPr>
          <w:rFonts w:ascii="Palatino Linotype" w:hAnsi="Palatino Linotype" w:cs="Tahoma"/>
          <w:b/>
          <w:bCs/>
          <w:iCs/>
          <w:sz w:val="22"/>
          <w:szCs w:val="22"/>
        </w:rPr>
        <w:t>07516/INFOEM/IP/RR/2019</w:t>
      </w:r>
      <w:r w:rsidRPr="00864981">
        <w:rPr>
          <w:rFonts w:ascii="Palatino Linotype" w:hAnsi="Palatino Linotype" w:cs="Tahoma"/>
          <w:sz w:val="22"/>
          <w:szCs w:val="22"/>
        </w:rPr>
        <w:t xml:space="preserve">, </w:t>
      </w:r>
      <w:r>
        <w:rPr>
          <w:rFonts w:ascii="Palatino Linotype" w:hAnsi="Palatino Linotype" w:cs="Tahoma"/>
          <w:sz w:val="22"/>
          <w:szCs w:val="22"/>
        </w:rPr>
        <w:t>el Ayuntamiento de Nicolás Romero</w:t>
      </w:r>
      <w:r w:rsidRPr="00864981">
        <w:rPr>
          <w:rFonts w:ascii="Palatino Linotype" w:hAnsi="Palatino Linotype" w:cs="Tahoma"/>
          <w:sz w:val="22"/>
          <w:szCs w:val="22"/>
        </w:rPr>
        <w:t xml:space="preserve"> modificó su respuesta, a través de su Informe Justificado, se estima procedente entrar al estudio de la causal de sobreseimiento prevista en la </w:t>
      </w:r>
      <w:r w:rsidRPr="00864981">
        <w:rPr>
          <w:rFonts w:ascii="Palatino Linotype" w:hAnsi="Palatino Linotype" w:cs="Tahoma"/>
          <w:b/>
          <w:sz w:val="22"/>
          <w:szCs w:val="22"/>
        </w:rPr>
        <w:t>fracción III</w:t>
      </w:r>
      <w:r w:rsidRPr="00864981">
        <w:rPr>
          <w:rFonts w:ascii="Palatino Linotype" w:hAnsi="Palatino Linotype" w:cs="Tahoma"/>
          <w:sz w:val="22"/>
          <w:szCs w:val="22"/>
        </w:rPr>
        <w:t xml:space="preserve"> del precepto legal previamente señalado.</w:t>
      </w:r>
    </w:p>
    <w:p w14:paraId="7F5D2104" w14:textId="77777777" w:rsidR="00E8768F" w:rsidRPr="00864981" w:rsidRDefault="00E8768F" w:rsidP="00E8768F">
      <w:pPr>
        <w:spacing w:line="360" w:lineRule="auto"/>
        <w:jc w:val="both"/>
        <w:rPr>
          <w:rFonts w:ascii="Palatino Linotype" w:hAnsi="Palatino Linotype" w:cs="Tahoma"/>
          <w:sz w:val="22"/>
          <w:szCs w:val="22"/>
        </w:rPr>
      </w:pPr>
    </w:p>
    <w:p w14:paraId="62D2AB09" w14:textId="69BFB2FB" w:rsidR="009A3D70" w:rsidRPr="009A3D70" w:rsidRDefault="00E8768F" w:rsidP="009A3D70">
      <w:pPr>
        <w:spacing w:line="360" w:lineRule="auto"/>
        <w:jc w:val="both"/>
        <w:rPr>
          <w:rFonts w:ascii="Palatino Linotype" w:hAnsi="Palatino Linotype" w:cs="Tahoma"/>
          <w:iCs/>
          <w:sz w:val="22"/>
          <w:szCs w:val="22"/>
          <w:lang w:val="es-ES"/>
        </w:rPr>
      </w:pPr>
      <w:r w:rsidRPr="00864981">
        <w:rPr>
          <w:rFonts w:ascii="Palatino Linotype" w:hAnsi="Palatino Linotype" w:cs="Tahoma"/>
          <w:iCs/>
          <w:sz w:val="22"/>
          <w:szCs w:val="22"/>
        </w:rPr>
        <w:t xml:space="preserve">Al respecto, a efecto de verificar si se actualiza la causal de sobreseimiento, es </w:t>
      </w:r>
      <w:r w:rsidR="009A3D70" w:rsidRPr="009A3D70">
        <w:rPr>
          <w:rFonts w:ascii="Palatino Linotype" w:hAnsi="Palatino Linotype" w:cs="Tahoma"/>
          <w:iCs/>
          <w:sz w:val="22"/>
          <w:szCs w:val="22"/>
          <w:lang w:val="es-ES"/>
        </w:rPr>
        <w:t>tener claridad en lo solicitado, la respuesta del Sujeto Obligado y los agravios hechos valer por el Particular</w:t>
      </w:r>
      <w:r w:rsidR="009A3D70">
        <w:rPr>
          <w:rFonts w:ascii="Palatino Linotype" w:hAnsi="Palatino Linotype" w:cs="Tahoma"/>
          <w:iCs/>
          <w:sz w:val="22"/>
          <w:szCs w:val="22"/>
          <w:lang w:val="es-ES"/>
        </w:rPr>
        <w:t xml:space="preserve"> y los alegatos del Sujeto Obligado; por lo que</w:t>
      </w:r>
      <w:r w:rsidR="009A3D70" w:rsidRPr="009A3D70">
        <w:rPr>
          <w:rFonts w:ascii="Palatino Linotype" w:hAnsi="Palatino Linotype" w:cs="Tahoma"/>
          <w:iCs/>
          <w:sz w:val="22"/>
          <w:szCs w:val="22"/>
          <w:lang w:val="es-ES"/>
        </w:rPr>
        <w:t xml:space="preserve"> se desarrolla el siguiente cuadro:</w:t>
      </w:r>
    </w:p>
    <w:p w14:paraId="46F850E9" w14:textId="77777777" w:rsidR="009A3D70" w:rsidRPr="009A3D70" w:rsidRDefault="009A3D70" w:rsidP="009A3D70">
      <w:pPr>
        <w:spacing w:line="360" w:lineRule="auto"/>
        <w:jc w:val="both"/>
        <w:rPr>
          <w:rFonts w:ascii="Palatino Linotype" w:hAnsi="Palatino Linotype" w:cs="Tahoma"/>
          <w:iCs/>
          <w:sz w:val="22"/>
          <w:szCs w:val="22"/>
          <w:lang w:val="es-ES"/>
        </w:rPr>
      </w:pPr>
    </w:p>
    <w:tbl>
      <w:tblPr>
        <w:tblStyle w:val="Tablaconcuadrcula"/>
        <w:tblW w:w="0" w:type="auto"/>
        <w:tblLayout w:type="fixed"/>
        <w:tblLook w:val="04A0" w:firstRow="1" w:lastRow="0" w:firstColumn="1" w:lastColumn="0" w:noHBand="0" w:noVBand="1"/>
      </w:tblPr>
      <w:tblGrid>
        <w:gridCol w:w="1980"/>
        <w:gridCol w:w="2835"/>
        <w:gridCol w:w="1701"/>
        <w:gridCol w:w="2518"/>
      </w:tblGrid>
      <w:tr w:rsidR="009A3D70" w:rsidRPr="00E37C74" w14:paraId="52305A6D" w14:textId="77777777" w:rsidTr="00E37C74">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3F44CFEA" w14:textId="77777777" w:rsidR="009A3D70" w:rsidRPr="00E37C74" w:rsidRDefault="009A3D70" w:rsidP="009A3D70">
            <w:pPr>
              <w:spacing w:line="360" w:lineRule="auto"/>
              <w:jc w:val="both"/>
              <w:rPr>
                <w:rFonts w:ascii="Palatino Linotype" w:hAnsi="Palatino Linotype" w:cs="Tahoma"/>
                <w:b/>
                <w:iCs/>
                <w:sz w:val="18"/>
                <w:szCs w:val="18"/>
              </w:rPr>
            </w:pPr>
            <w:r w:rsidRPr="00E37C74">
              <w:rPr>
                <w:rFonts w:ascii="Palatino Linotype" w:hAnsi="Palatino Linotype" w:cs="Tahoma"/>
                <w:b/>
                <w:iCs/>
                <w:sz w:val="18"/>
                <w:szCs w:val="18"/>
              </w:rPr>
              <w:t xml:space="preserve">Solicitud </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4DE9129B" w14:textId="77777777" w:rsidR="009A3D70" w:rsidRPr="00E37C74" w:rsidRDefault="009A3D70" w:rsidP="009A3D70">
            <w:pPr>
              <w:spacing w:line="360" w:lineRule="auto"/>
              <w:jc w:val="both"/>
              <w:rPr>
                <w:rFonts w:ascii="Palatino Linotype" w:hAnsi="Palatino Linotype" w:cs="Tahoma"/>
                <w:b/>
                <w:iCs/>
                <w:sz w:val="18"/>
                <w:szCs w:val="18"/>
              </w:rPr>
            </w:pPr>
            <w:r w:rsidRPr="00E37C74">
              <w:rPr>
                <w:rFonts w:ascii="Palatino Linotype" w:hAnsi="Palatino Linotype" w:cs="Tahoma"/>
                <w:b/>
                <w:iCs/>
                <w:sz w:val="18"/>
                <w:szCs w:val="18"/>
              </w:rPr>
              <w:t>Respuesta</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017BB2E8" w14:textId="77777777" w:rsidR="009A3D70" w:rsidRPr="00E37C74" w:rsidRDefault="009A3D70" w:rsidP="009A3D70">
            <w:pPr>
              <w:spacing w:line="360" w:lineRule="auto"/>
              <w:jc w:val="both"/>
              <w:rPr>
                <w:rFonts w:ascii="Palatino Linotype" w:hAnsi="Palatino Linotype" w:cs="Tahoma"/>
                <w:b/>
                <w:iCs/>
                <w:sz w:val="18"/>
                <w:szCs w:val="18"/>
              </w:rPr>
            </w:pPr>
            <w:r w:rsidRPr="00E37C74">
              <w:rPr>
                <w:rFonts w:ascii="Palatino Linotype" w:hAnsi="Palatino Linotype" w:cs="Tahoma"/>
                <w:b/>
                <w:iCs/>
                <w:sz w:val="18"/>
                <w:szCs w:val="18"/>
              </w:rPr>
              <w:t>Agravios manifestados por el Recurrente</w:t>
            </w:r>
          </w:p>
        </w:tc>
        <w:tc>
          <w:tcPr>
            <w:tcW w:w="2518" w:type="dxa"/>
            <w:tcBorders>
              <w:top w:val="single" w:sz="4" w:space="0" w:color="auto"/>
              <w:left w:val="single" w:sz="4" w:space="0" w:color="auto"/>
              <w:bottom w:val="single" w:sz="4" w:space="0" w:color="auto"/>
              <w:right w:val="single" w:sz="4" w:space="0" w:color="auto"/>
            </w:tcBorders>
            <w:shd w:val="clear" w:color="auto" w:fill="D9D9D9"/>
          </w:tcPr>
          <w:p w14:paraId="018B25A8" w14:textId="397F5F20" w:rsidR="009A3D70" w:rsidRPr="00E37C74" w:rsidRDefault="009A3D70" w:rsidP="009A3D70">
            <w:pPr>
              <w:spacing w:line="360" w:lineRule="auto"/>
              <w:jc w:val="both"/>
              <w:rPr>
                <w:rFonts w:ascii="Palatino Linotype" w:hAnsi="Palatino Linotype" w:cs="Tahoma"/>
                <w:b/>
                <w:iCs/>
                <w:sz w:val="18"/>
                <w:szCs w:val="18"/>
              </w:rPr>
            </w:pPr>
            <w:r w:rsidRPr="00E37C74">
              <w:rPr>
                <w:rFonts w:ascii="Palatino Linotype" w:hAnsi="Palatino Linotype" w:cs="Tahoma"/>
                <w:b/>
                <w:iCs/>
                <w:sz w:val="18"/>
                <w:szCs w:val="18"/>
              </w:rPr>
              <w:t>Alegatos del Sujeto Obligado</w:t>
            </w:r>
            <w:r w:rsidR="00E37C74" w:rsidRPr="00E37C74">
              <w:rPr>
                <w:rFonts w:ascii="Palatino Linotype" w:hAnsi="Palatino Linotype" w:cs="Tahoma"/>
                <w:b/>
                <w:iCs/>
                <w:sz w:val="18"/>
                <w:szCs w:val="18"/>
              </w:rPr>
              <w:t>, puestos a la vista del Recurrente</w:t>
            </w:r>
            <w:r w:rsidR="00E37C74">
              <w:rPr>
                <w:rFonts w:ascii="Palatino Linotype" w:hAnsi="Palatino Linotype" w:cs="Tahoma"/>
                <w:b/>
                <w:iCs/>
                <w:sz w:val="18"/>
                <w:szCs w:val="18"/>
              </w:rPr>
              <w:t>.</w:t>
            </w:r>
          </w:p>
        </w:tc>
      </w:tr>
      <w:tr w:rsidR="002A50FC" w:rsidRPr="00E37C74" w14:paraId="3CCC9EC3" w14:textId="77777777" w:rsidTr="00C21910">
        <w:tc>
          <w:tcPr>
            <w:tcW w:w="1980" w:type="dxa"/>
            <w:tcBorders>
              <w:top w:val="single" w:sz="4" w:space="0" w:color="auto"/>
              <w:left w:val="single" w:sz="4" w:space="0" w:color="auto"/>
              <w:bottom w:val="single" w:sz="4" w:space="0" w:color="auto"/>
              <w:right w:val="single" w:sz="4" w:space="0" w:color="auto"/>
            </w:tcBorders>
            <w:vAlign w:val="center"/>
          </w:tcPr>
          <w:p w14:paraId="2409D603" w14:textId="43CC2FB3" w:rsidR="002A50FC" w:rsidRPr="00E37C74" w:rsidRDefault="002A50FC" w:rsidP="0035558B">
            <w:pPr>
              <w:spacing w:line="360" w:lineRule="auto"/>
              <w:jc w:val="both"/>
              <w:rPr>
                <w:rFonts w:ascii="Palatino Linotype" w:hAnsi="Palatino Linotype" w:cs="Tahoma"/>
                <w:iCs/>
                <w:sz w:val="18"/>
                <w:szCs w:val="18"/>
              </w:rPr>
            </w:pPr>
            <w:r w:rsidRPr="00E37C74">
              <w:rPr>
                <w:rFonts w:ascii="Palatino Linotype" w:hAnsi="Palatino Linotype" w:cs="Tahoma"/>
                <w:iCs/>
                <w:sz w:val="18"/>
                <w:szCs w:val="18"/>
              </w:rPr>
              <w:t>1. La Gaceta Municipal donde se haya aprobado el Reglamento Orgánico Municipal del Ayuntamiento de Nicolás Romero.</w:t>
            </w:r>
          </w:p>
        </w:tc>
        <w:tc>
          <w:tcPr>
            <w:tcW w:w="2835" w:type="dxa"/>
            <w:tcBorders>
              <w:top w:val="single" w:sz="4" w:space="0" w:color="auto"/>
              <w:left w:val="single" w:sz="4" w:space="0" w:color="auto"/>
              <w:bottom w:val="single" w:sz="4" w:space="0" w:color="auto"/>
              <w:right w:val="single" w:sz="4" w:space="0" w:color="auto"/>
            </w:tcBorders>
            <w:vAlign w:val="center"/>
          </w:tcPr>
          <w:p w14:paraId="138A9461" w14:textId="4A0BF6E1" w:rsidR="002A50FC" w:rsidRPr="00E37C74" w:rsidRDefault="002A50FC" w:rsidP="009A3D70">
            <w:pPr>
              <w:spacing w:line="360" w:lineRule="auto"/>
              <w:jc w:val="both"/>
              <w:rPr>
                <w:rFonts w:ascii="Palatino Linotype" w:hAnsi="Palatino Linotype" w:cs="Tahoma"/>
                <w:iCs/>
                <w:sz w:val="18"/>
                <w:szCs w:val="18"/>
              </w:rPr>
            </w:pPr>
            <w:r w:rsidRPr="00E37C74">
              <w:rPr>
                <w:rFonts w:ascii="Palatino Linotype" w:hAnsi="Palatino Linotype" w:cs="Tahoma"/>
                <w:iCs/>
                <w:sz w:val="18"/>
                <w:szCs w:val="18"/>
              </w:rPr>
              <w:t xml:space="preserve">Precisó que la información se localizaba en el Portal de Información Pública de Oficio Mexiquense, en el rubro, contenido de las gacetas municipales, en la liga </w:t>
            </w:r>
            <w:hyperlink r:id="rId21" w:history="1">
              <w:r w:rsidRPr="00E37C74">
                <w:rPr>
                  <w:rStyle w:val="Hipervnculo"/>
                  <w:rFonts w:ascii="Palatino Linotype" w:hAnsi="Palatino Linotype" w:cs="Tahoma"/>
                  <w:iCs/>
                  <w:sz w:val="18"/>
                  <w:szCs w:val="18"/>
                </w:rPr>
                <w:t>https://www.ipomex.org.mx/ipo3/lgt/indice/NICOLASROMERO/art_94_ii_a2.web</w:t>
              </w:r>
            </w:hyperlink>
            <w:r w:rsidRPr="00E37C74">
              <w:rPr>
                <w:rFonts w:ascii="Palatino Linotype" w:hAnsi="Palatino Linotype" w:cs="Tahoma"/>
                <w:iCs/>
                <w:sz w:val="18"/>
                <w:szCs w:val="18"/>
              </w:rPr>
              <w:t xml:space="preserve">. </w:t>
            </w:r>
          </w:p>
        </w:tc>
        <w:tc>
          <w:tcPr>
            <w:tcW w:w="1701" w:type="dxa"/>
            <w:vMerge w:val="restart"/>
            <w:tcBorders>
              <w:top w:val="single" w:sz="4" w:space="0" w:color="auto"/>
              <w:left w:val="single" w:sz="4" w:space="0" w:color="auto"/>
              <w:right w:val="single" w:sz="4" w:space="0" w:color="auto"/>
            </w:tcBorders>
            <w:vAlign w:val="center"/>
          </w:tcPr>
          <w:p w14:paraId="466B1937" w14:textId="77777777" w:rsidR="002A50FC" w:rsidRPr="00E37C74" w:rsidRDefault="002A50FC" w:rsidP="009A3D70">
            <w:pPr>
              <w:spacing w:line="360" w:lineRule="auto"/>
              <w:jc w:val="both"/>
              <w:rPr>
                <w:rFonts w:ascii="Palatino Linotype" w:hAnsi="Palatino Linotype" w:cs="Tahoma"/>
                <w:iCs/>
                <w:sz w:val="18"/>
                <w:szCs w:val="18"/>
              </w:rPr>
            </w:pPr>
          </w:p>
          <w:p w14:paraId="15B333DE" w14:textId="06ED23A8" w:rsidR="002A50FC" w:rsidRPr="00E37C74" w:rsidRDefault="002A50FC" w:rsidP="009A3D70">
            <w:pPr>
              <w:spacing w:line="360" w:lineRule="auto"/>
              <w:jc w:val="both"/>
              <w:rPr>
                <w:rFonts w:ascii="Palatino Linotype" w:hAnsi="Palatino Linotype" w:cs="Tahoma"/>
                <w:b/>
                <w:iCs/>
                <w:sz w:val="18"/>
                <w:szCs w:val="18"/>
              </w:rPr>
            </w:pPr>
            <w:r w:rsidRPr="00E37C74">
              <w:rPr>
                <w:rFonts w:ascii="Palatino Linotype" w:hAnsi="Palatino Linotype" w:cs="Tahoma"/>
                <w:iCs/>
                <w:sz w:val="18"/>
                <w:szCs w:val="18"/>
              </w:rPr>
              <w:t>La información no corresponde con lo solicitado.</w:t>
            </w:r>
          </w:p>
          <w:p w14:paraId="16D979CF" w14:textId="77777777" w:rsidR="002A50FC" w:rsidRPr="00E37C74" w:rsidRDefault="002A50FC" w:rsidP="009A3D70">
            <w:pPr>
              <w:spacing w:line="360" w:lineRule="auto"/>
              <w:jc w:val="both"/>
              <w:rPr>
                <w:rFonts w:ascii="Palatino Linotype" w:hAnsi="Palatino Linotype" w:cs="Tahoma"/>
                <w:b/>
                <w:iCs/>
                <w:sz w:val="18"/>
                <w:szCs w:val="18"/>
              </w:rPr>
            </w:pPr>
          </w:p>
        </w:tc>
        <w:tc>
          <w:tcPr>
            <w:tcW w:w="2518" w:type="dxa"/>
            <w:tcBorders>
              <w:top w:val="single" w:sz="4" w:space="0" w:color="auto"/>
              <w:left w:val="single" w:sz="4" w:space="0" w:color="auto"/>
              <w:bottom w:val="single" w:sz="4" w:space="0" w:color="auto"/>
            </w:tcBorders>
            <w:vAlign w:val="center"/>
          </w:tcPr>
          <w:p w14:paraId="3022A97B" w14:textId="45D42DC9" w:rsidR="002A50FC" w:rsidRPr="00E37C74" w:rsidRDefault="002A50FC" w:rsidP="009A3D70">
            <w:pPr>
              <w:spacing w:line="360" w:lineRule="auto"/>
              <w:jc w:val="both"/>
              <w:rPr>
                <w:rFonts w:ascii="Palatino Linotype" w:hAnsi="Palatino Linotype" w:cs="Tahoma"/>
                <w:iCs/>
                <w:sz w:val="18"/>
                <w:szCs w:val="18"/>
              </w:rPr>
            </w:pPr>
            <w:r w:rsidRPr="00E37C74">
              <w:rPr>
                <w:rFonts w:ascii="Palatino Linotype" w:hAnsi="Palatino Linotype" w:cs="Tahoma"/>
                <w:iCs/>
                <w:sz w:val="18"/>
                <w:szCs w:val="18"/>
              </w:rPr>
              <w:t>Aclaró que el Reglamento requerido, se localizaba en la Fracción I Normatividad aplicable, del ejercicio dos mil diecinueve, en el apartado de Reglamentos, del Portal de Información Mexiquense del Estado de México (IPOMEX)</w:t>
            </w:r>
          </w:p>
        </w:tc>
      </w:tr>
      <w:tr w:rsidR="002A50FC" w:rsidRPr="00E37C74" w14:paraId="6A53E32A" w14:textId="77777777" w:rsidTr="00C21910">
        <w:tc>
          <w:tcPr>
            <w:tcW w:w="1980" w:type="dxa"/>
            <w:tcBorders>
              <w:top w:val="single" w:sz="4" w:space="0" w:color="auto"/>
              <w:left w:val="single" w:sz="4" w:space="0" w:color="auto"/>
              <w:bottom w:val="single" w:sz="4" w:space="0" w:color="auto"/>
              <w:right w:val="single" w:sz="4" w:space="0" w:color="auto"/>
            </w:tcBorders>
            <w:vAlign w:val="center"/>
          </w:tcPr>
          <w:p w14:paraId="2B9F4C0A" w14:textId="3C8BDCAF" w:rsidR="002A50FC" w:rsidRPr="00E37C74" w:rsidRDefault="002A50FC" w:rsidP="0035558B">
            <w:pPr>
              <w:spacing w:line="360" w:lineRule="auto"/>
              <w:jc w:val="both"/>
              <w:rPr>
                <w:rFonts w:ascii="Palatino Linotype" w:hAnsi="Palatino Linotype" w:cs="Tahoma"/>
                <w:iCs/>
                <w:sz w:val="18"/>
                <w:szCs w:val="18"/>
              </w:rPr>
            </w:pPr>
            <w:r w:rsidRPr="00E37C74">
              <w:rPr>
                <w:rFonts w:ascii="Palatino Linotype" w:hAnsi="Palatino Linotype" w:cs="Tahoma"/>
                <w:iCs/>
                <w:sz w:val="18"/>
                <w:szCs w:val="18"/>
              </w:rPr>
              <w:lastRenderedPageBreak/>
              <w:t>2. El listado del personal que labora en la Dirección de Obras Públicas, a la fecha de la solicitud (Diecinueve de agosto de dos mil diecinueve), que contenga el nombre, cargo y el sueldo neto mensual.</w:t>
            </w:r>
          </w:p>
        </w:tc>
        <w:tc>
          <w:tcPr>
            <w:tcW w:w="2835" w:type="dxa"/>
            <w:tcBorders>
              <w:top w:val="single" w:sz="4" w:space="0" w:color="auto"/>
              <w:left w:val="single" w:sz="4" w:space="0" w:color="auto"/>
              <w:right w:val="single" w:sz="4" w:space="0" w:color="auto"/>
            </w:tcBorders>
            <w:vAlign w:val="center"/>
          </w:tcPr>
          <w:p w14:paraId="1934E54A" w14:textId="35C9678B" w:rsidR="002A50FC" w:rsidRPr="00E37C74" w:rsidRDefault="002A50FC" w:rsidP="009A3D70">
            <w:pPr>
              <w:spacing w:line="360" w:lineRule="auto"/>
              <w:jc w:val="both"/>
              <w:rPr>
                <w:rFonts w:ascii="Palatino Linotype" w:hAnsi="Palatino Linotype" w:cs="Tahoma"/>
                <w:bCs/>
                <w:iCs/>
                <w:sz w:val="18"/>
                <w:szCs w:val="18"/>
              </w:rPr>
            </w:pPr>
            <w:r w:rsidRPr="00E37C74">
              <w:rPr>
                <w:rFonts w:ascii="Palatino Linotype" w:hAnsi="Palatino Linotype" w:cs="Tahoma"/>
                <w:bCs/>
                <w:iCs/>
                <w:sz w:val="18"/>
                <w:szCs w:val="18"/>
              </w:rPr>
              <w:t xml:space="preserve">Señaló que la información se localizaba dentro de las obligaciones de transparencia del Sujeto Obligado, localizadas en la liga electrónica: </w:t>
            </w:r>
            <w:hyperlink r:id="rId22" w:history="1">
              <w:r w:rsidRPr="00E37C74">
                <w:rPr>
                  <w:rStyle w:val="Hipervnculo"/>
                  <w:rFonts w:ascii="Palatino Linotype" w:hAnsi="Palatino Linotype" w:cs="Tahoma"/>
                  <w:bCs/>
                  <w:iCs/>
                  <w:sz w:val="18"/>
                  <w:szCs w:val="18"/>
                </w:rPr>
                <w:t>https://www.ipomex.org.mx/ipo3/lgt/indice/NICOLASROMERO.web;jsessionid=A32AF14BAAF7BD41663AC7734D16ADA9?q=2019</w:t>
              </w:r>
            </w:hyperlink>
            <w:r>
              <w:rPr>
                <w:rFonts w:ascii="Palatino Linotype" w:hAnsi="Palatino Linotype" w:cs="Tahoma"/>
                <w:bCs/>
                <w:iCs/>
                <w:sz w:val="18"/>
                <w:szCs w:val="18"/>
              </w:rPr>
              <w:t>.</w:t>
            </w:r>
          </w:p>
        </w:tc>
        <w:tc>
          <w:tcPr>
            <w:tcW w:w="1701" w:type="dxa"/>
            <w:vMerge/>
            <w:tcBorders>
              <w:left w:val="single" w:sz="4" w:space="0" w:color="auto"/>
              <w:right w:val="single" w:sz="4" w:space="0" w:color="auto"/>
            </w:tcBorders>
            <w:vAlign w:val="center"/>
          </w:tcPr>
          <w:p w14:paraId="1D4D1091" w14:textId="5786C86F" w:rsidR="002A50FC" w:rsidRPr="00E37C74" w:rsidRDefault="002A50FC" w:rsidP="009A3D70">
            <w:pPr>
              <w:spacing w:line="360" w:lineRule="auto"/>
              <w:jc w:val="both"/>
              <w:rPr>
                <w:rFonts w:ascii="Palatino Linotype" w:hAnsi="Palatino Linotype" w:cs="Tahoma"/>
                <w:iCs/>
                <w:sz w:val="18"/>
                <w:szCs w:val="18"/>
              </w:rPr>
            </w:pPr>
          </w:p>
        </w:tc>
        <w:tc>
          <w:tcPr>
            <w:tcW w:w="2518" w:type="dxa"/>
            <w:tcBorders>
              <w:top w:val="single" w:sz="4" w:space="0" w:color="auto"/>
              <w:left w:val="single" w:sz="4" w:space="0" w:color="auto"/>
            </w:tcBorders>
            <w:vAlign w:val="center"/>
          </w:tcPr>
          <w:p w14:paraId="3081457F" w14:textId="2E286703" w:rsidR="002A50FC" w:rsidRPr="00E37C74" w:rsidRDefault="002A50FC" w:rsidP="009A3D70">
            <w:pPr>
              <w:spacing w:line="360" w:lineRule="auto"/>
              <w:jc w:val="both"/>
              <w:rPr>
                <w:rFonts w:ascii="Palatino Linotype" w:hAnsi="Palatino Linotype" w:cs="Tahoma"/>
                <w:iCs/>
                <w:sz w:val="18"/>
                <w:szCs w:val="18"/>
              </w:rPr>
            </w:pPr>
            <w:r w:rsidRPr="00E37C74">
              <w:rPr>
                <w:rFonts w:ascii="Palatino Linotype" w:hAnsi="Palatino Linotype" w:cs="Tahoma"/>
                <w:iCs/>
                <w:sz w:val="18"/>
                <w:szCs w:val="18"/>
              </w:rPr>
              <w:t>Manifestó que la información se localizaba en el Portal previamente señalado, en las Fracciones VII y VIII El directorio de todos los servidores públicos y Remuneraciones, del ejercicio dos mil diecinueve, en el aparatado Área: Dirección de Obras Públicas.</w:t>
            </w:r>
          </w:p>
        </w:tc>
      </w:tr>
    </w:tbl>
    <w:p w14:paraId="6B3CAC46" w14:textId="77777777" w:rsidR="00E8768F" w:rsidRPr="000A6E3B" w:rsidRDefault="00E8768F" w:rsidP="00E8768F">
      <w:pPr>
        <w:spacing w:line="360" w:lineRule="auto"/>
        <w:jc w:val="both"/>
        <w:rPr>
          <w:rFonts w:ascii="Palatino Linotype" w:hAnsi="Palatino Linotype" w:cs="Tahoma"/>
          <w:iCs/>
        </w:rPr>
      </w:pPr>
    </w:p>
    <w:p w14:paraId="66711954" w14:textId="0A6B4BDF" w:rsidR="00E37C74" w:rsidRDefault="00E8768F"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Una vez establecido lo anterior</w:t>
      </w:r>
      <w:r w:rsidR="00C10D18">
        <w:rPr>
          <w:rFonts w:ascii="Palatino Linotype" w:hAnsi="Palatino Linotype" w:cs="Tahoma"/>
          <w:sz w:val="22"/>
          <w:szCs w:val="22"/>
          <w:lang w:val="es-ES"/>
        </w:rPr>
        <w:t>, se procede analizar cada uno de los agravios hechos valer por el ahora Recurrente, conforme a lo siguiente:</w:t>
      </w:r>
    </w:p>
    <w:p w14:paraId="514A5F36" w14:textId="77777777" w:rsidR="00C10D18" w:rsidRDefault="00C10D18" w:rsidP="00E8768F">
      <w:pPr>
        <w:spacing w:line="360" w:lineRule="auto"/>
        <w:jc w:val="both"/>
        <w:rPr>
          <w:rFonts w:ascii="Palatino Linotype" w:hAnsi="Palatino Linotype" w:cs="Tahoma"/>
          <w:sz w:val="22"/>
          <w:szCs w:val="22"/>
          <w:lang w:val="es-ES"/>
        </w:rPr>
      </w:pPr>
    </w:p>
    <w:p w14:paraId="2D33731C" w14:textId="562678DC" w:rsidR="00C10D18" w:rsidRPr="00C10D18" w:rsidRDefault="00C10D18" w:rsidP="00E8768F">
      <w:pPr>
        <w:spacing w:line="360" w:lineRule="auto"/>
        <w:jc w:val="both"/>
        <w:rPr>
          <w:rFonts w:ascii="Palatino Linotype" w:hAnsi="Palatino Linotype" w:cs="Tahoma"/>
          <w:b/>
          <w:sz w:val="22"/>
          <w:szCs w:val="22"/>
          <w:lang w:val="es-ES"/>
        </w:rPr>
      </w:pPr>
      <w:r w:rsidRPr="00C10D18">
        <w:rPr>
          <w:rFonts w:ascii="Palatino Linotype" w:hAnsi="Palatino Linotype" w:cs="Tahoma"/>
          <w:b/>
          <w:sz w:val="22"/>
          <w:szCs w:val="22"/>
          <w:lang w:val="es-ES"/>
        </w:rPr>
        <w:t>La Gaceta Municipal donde se haya aprobado el Reglamento Orgánico Municipal del Ayuntamiento de Nicolás Romero.</w:t>
      </w:r>
    </w:p>
    <w:p w14:paraId="4FC69F65" w14:textId="77777777" w:rsidR="00E37C74" w:rsidRDefault="00E37C74" w:rsidP="00E8768F">
      <w:pPr>
        <w:spacing w:line="360" w:lineRule="auto"/>
        <w:jc w:val="both"/>
        <w:rPr>
          <w:rFonts w:ascii="Palatino Linotype" w:hAnsi="Palatino Linotype" w:cs="Tahoma"/>
          <w:sz w:val="22"/>
          <w:szCs w:val="22"/>
          <w:lang w:val="es-ES"/>
        </w:rPr>
      </w:pPr>
    </w:p>
    <w:p w14:paraId="11DDB4F8" w14:textId="0C0CB18B" w:rsidR="00E37C74" w:rsidRDefault="006C1C6F"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principio, es de señalar que de la revisión de la solicitud de información, se logra desprender que la pretensión del Particular, es obtener información de la presente administración, esto es, la correspondiente al periodo 2019-2021; por lo que, en el presente caso, se solicita el Reglamento Orgánico Municipal del Sujeto Obligado, aprobado y publicado, </w:t>
      </w:r>
      <w:r w:rsidR="009E42C7">
        <w:rPr>
          <w:rFonts w:ascii="Palatino Linotype" w:hAnsi="Palatino Linotype" w:cs="Tahoma"/>
          <w:sz w:val="22"/>
          <w:szCs w:val="22"/>
          <w:lang w:val="es-ES"/>
        </w:rPr>
        <w:t>del primero de enero al diecinueve de agosto de la presente anualidad.</w:t>
      </w:r>
    </w:p>
    <w:p w14:paraId="04B76E3C" w14:textId="77777777" w:rsidR="009E42C7" w:rsidRDefault="009E42C7" w:rsidP="00E8768F">
      <w:pPr>
        <w:spacing w:line="360" w:lineRule="auto"/>
        <w:jc w:val="both"/>
        <w:rPr>
          <w:rFonts w:ascii="Palatino Linotype" w:hAnsi="Palatino Linotype" w:cs="Tahoma"/>
          <w:sz w:val="22"/>
          <w:szCs w:val="22"/>
          <w:lang w:val="es-ES"/>
        </w:rPr>
      </w:pPr>
    </w:p>
    <w:p w14:paraId="5E03C862" w14:textId="7661A50B" w:rsidR="009E42C7" w:rsidRDefault="002A4079"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ese contexto, el Sujeto Obligado, a través de la Dirección de Obras Públicas, precisó que la información de las gacetas municipales, se localizaba en la siguiente liga electrónica </w:t>
      </w:r>
      <w:hyperlink r:id="rId23" w:history="1">
        <w:r w:rsidRPr="0080775B">
          <w:rPr>
            <w:rStyle w:val="Hipervnculo"/>
            <w:rFonts w:ascii="Palatino Linotype" w:hAnsi="Palatino Linotype" w:cs="Tahoma"/>
            <w:sz w:val="22"/>
            <w:szCs w:val="22"/>
            <w:lang w:val="es-ES"/>
          </w:rPr>
          <w:t>https://www.ipomex.org.mx/ipo3/lgt/indice/NICOLASROMERO/art_94_ii_a2.web</w:t>
        </w:r>
      </w:hyperlink>
      <w:r>
        <w:rPr>
          <w:rFonts w:ascii="Palatino Linotype" w:hAnsi="Palatino Linotype" w:cs="Tahoma"/>
          <w:sz w:val="22"/>
          <w:szCs w:val="22"/>
          <w:lang w:val="es-ES"/>
        </w:rPr>
        <w:t>, de la cual se desprende lo siguiente:</w:t>
      </w:r>
    </w:p>
    <w:p w14:paraId="01744851" w14:textId="77777777" w:rsidR="00E37C74" w:rsidRDefault="00E37C74" w:rsidP="00E8768F">
      <w:pPr>
        <w:spacing w:line="360" w:lineRule="auto"/>
        <w:jc w:val="both"/>
        <w:rPr>
          <w:rFonts w:ascii="Palatino Linotype" w:hAnsi="Palatino Linotype" w:cs="Tahoma"/>
          <w:sz w:val="22"/>
          <w:szCs w:val="22"/>
          <w:lang w:val="es-ES"/>
        </w:rPr>
      </w:pPr>
    </w:p>
    <w:p w14:paraId="3A7BEA0F" w14:textId="762E9BE8" w:rsidR="00BB64D5" w:rsidRDefault="00BB64D5" w:rsidP="00BB64D5">
      <w:pPr>
        <w:spacing w:line="360" w:lineRule="auto"/>
        <w:jc w:val="center"/>
        <w:rPr>
          <w:rFonts w:ascii="Palatino Linotype" w:hAnsi="Palatino Linotype" w:cs="Tahoma"/>
          <w:sz w:val="22"/>
          <w:szCs w:val="22"/>
          <w:lang w:val="es-ES"/>
        </w:rPr>
      </w:pPr>
      <w:r>
        <w:rPr>
          <w:noProof/>
          <w:lang w:eastAsia="es-MX"/>
        </w:rPr>
        <w:lastRenderedPageBreak/>
        <w:drawing>
          <wp:inline distT="0" distB="0" distL="0" distR="0" wp14:anchorId="751FF7AF" wp14:editId="666DDDB2">
            <wp:extent cx="3429000" cy="184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9000" cy="1847850"/>
                    </a:xfrm>
                    <a:prstGeom prst="rect">
                      <a:avLst/>
                    </a:prstGeom>
                  </pic:spPr>
                </pic:pic>
              </a:graphicData>
            </a:graphic>
          </wp:inline>
        </w:drawing>
      </w:r>
    </w:p>
    <w:p w14:paraId="65070412" w14:textId="77777777" w:rsidR="00E37C74" w:rsidRDefault="00E37C74" w:rsidP="00E8768F">
      <w:pPr>
        <w:spacing w:line="360" w:lineRule="auto"/>
        <w:jc w:val="both"/>
        <w:rPr>
          <w:rFonts w:ascii="Palatino Linotype" w:hAnsi="Palatino Linotype" w:cs="Tahoma"/>
          <w:sz w:val="22"/>
          <w:szCs w:val="22"/>
          <w:lang w:val="es-ES"/>
        </w:rPr>
      </w:pPr>
    </w:p>
    <w:p w14:paraId="59340CAB" w14:textId="529E637B" w:rsidR="00E37C74" w:rsidRDefault="00FB50F9"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contexto, se procedió acceder a los cuarenta y cinco registros, tal como se muestra a continuación:</w:t>
      </w:r>
    </w:p>
    <w:p w14:paraId="4411C7C4" w14:textId="44FDF5E9" w:rsidR="00FB50F9" w:rsidRDefault="00FB50F9" w:rsidP="00FB50F9">
      <w:pPr>
        <w:spacing w:line="360" w:lineRule="auto"/>
        <w:jc w:val="center"/>
        <w:rPr>
          <w:rFonts w:ascii="Palatino Linotype" w:hAnsi="Palatino Linotype" w:cs="Tahoma"/>
          <w:sz w:val="22"/>
          <w:szCs w:val="22"/>
          <w:lang w:val="es-ES"/>
        </w:rPr>
      </w:pPr>
      <w:r>
        <w:rPr>
          <w:noProof/>
          <w:lang w:eastAsia="es-MX"/>
        </w:rPr>
        <w:drawing>
          <wp:inline distT="0" distB="0" distL="0" distR="0" wp14:anchorId="5DCFCBC7" wp14:editId="7409BA61">
            <wp:extent cx="4149178" cy="4678325"/>
            <wp:effectExtent l="0" t="0" r="381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5878" cy="4708430"/>
                    </a:xfrm>
                    <a:prstGeom prst="rect">
                      <a:avLst/>
                    </a:prstGeom>
                  </pic:spPr>
                </pic:pic>
              </a:graphicData>
            </a:graphic>
          </wp:inline>
        </w:drawing>
      </w:r>
    </w:p>
    <w:p w14:paraId="18231852" w14:textId="2FB9C81C" w:rsidR="00E37C74" w:rsidRDefault="00FB50F9"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Como se logra observar, el Sujeto Obligado señaló el lugar donde se encuentra el contenido de las Gacetas M</w:t>
      </w:r>
      <w:r w:rsidR="00325315">
        <w:rPr>
          <w:rFonts w:ascii="Palatino Linotype" w:hAnsi="Palatino Linotype" w:cs="Tahoma"/>
          <w:sz w:val="22"/>
          <w:szCs w:val="22"/>
          <w:lang w:val="es-ES"/>
        </w:rPr>
        <w:t>unicipales; sin embargo</w:t>
      </w:r>
      <w:r w:rsidR="00D366C7">
        <w:rPr>
          <w:rFonts w:ascii="Palatino Linotype" w:hAnsi="Palatino Linotype" w:cs="Tahoma"/>
          <w:sz w:val="22"/>
          <w:szCs w:val="22"/>
          <w:lang w:val="es-ES"/>
        </w:rPr>
        <w:t>,</w:t>
      </w:r>
      <w:r w:rsidR="00325315">
        <w:rPr>
          <w:rFonts w:ascii="Palatino Linotype" w:hAnsi="Palatino Linotype" w:cs="Tahoma"/>
          <w:sz w:val="22"/>
          <w:szCs w:val="22"/>
          <w:lang w:val="es-ES"/>
        </w:rPr>
        <w:t xml:space="preserve"> este Instituto no tuvo manera de verificar en cuál de todos los registros </w:t>
      </w:r>
      <w:r w:rsidR="00716623">
        <w:rPr>
          <w:rFonts w:ascii="Palatino Linotype" w:hAnsi="Palatino Linotype" w:cs="Tahoma"/>
          <w:sz w:val="22"/>
          <w:szCs w:val="22"/>
          <w:lang w:val="es-ES"/>
        </w:rPr>
        <w:t>localizados</w:t>
      </w:r>
      <w:r w:rsidR="00325315">
        <w:rPr>
          <w:rFonts w:ascii="Palatino Linotype" w:hAnsi="Palatino Linotype" w:cs="Tahoma"/>
          <w:sz w:val="22"/>
          <w:szCs w:val="22"/>
          <w:lang w:val="es-ES"/>
        </w:rPr>
        <w:t xml:space="preserve">, se encontraba </w:t>
      </w:r>
      <w:r w:rsidR="00716623">
        <w:rPr>
          <w:rFonts w:ascii="Palatino Linotype" w:hAnsi="Palatino Linotype" w:cs="Tahoma"/>
          <w:sz w:val="22"/>
          <w:szCs w:val="22"/>
          <w:lang w:val="es-ES"/>
        </w:rPr>
        <w:t>lo re</w:t>
      </w:r>
      <w:r w:rsidR="00337D53">
        <w:rPr>
          <w:rFonts w:ascii="Palatino Linotype" w:hAnsi="Palatino Linotype" w:cs="Tahoma"/>
          <w:sz w:val="22"/>
          <w:szCs w:val="22"/>
          <w:lang w:val="es-ES"/>
        </w:rPr>
        <w:t>querido por la parte Recurrente. E</w:t>
      </w:r>
      <w:r w:rsidR="00716623">
        <w:rPr>
          <w:rFonts w:ascii="Palatino Linotype" w:hAnsi="Palatino Linotype" w:cs="Tahoma"/>
          <w:sz w:val="22"/>
          <w:szCs w:val="22"/>
          <w:lang w:val="es-ES"/>
        </w:rPr>
        <w:t>n ese sentido,</w:t>
      </w:r>
      <w:r w:rsidR="00325315">
        <w:rPr>
          <w:rFonts w:ascii="Palatino Linotype" w:hAnsi="Palatino Linotype" w:cs="Tahoma"/>
          <w:sz w:val="22"/>
          <w:szCs w:val="22"/>
          <w:lang w:val="es-ES"/>
        </w:rPr>
        <w:t xml:space="preserve"> </w:t>
      </w:r>
      <w:r w:rsidR="00716623">
        <w:rPr>
          <w:rFonts w:ascii="Palatino Linotype" w:hAnsi="Palatino Linotype" w:cs="Tahoma"/>
          <w:sz w:val="22"/>
          <w:szCs w:val="22"/>
          <w:lang w:val="es-ES"/>
        </w:rPr>
        <w:t>el artículo 161 de la Ley de Transparencia y Acceso a la Información Pública del Estado de México y Municipios, establece que cuando la documentación peticionada ya se encuentra disponible al público, entre otros, en formatos electrónicos disponibles en internet</w:t>
      </w:r>
      <w:r w:rsidR="00031292">
        <w:rPr>
          <w:rFonts w:ascii="Palatino Linotype" w:hAnsi="Palatino Linotype" w:cs="Tahoma"/>
          <w:sz w:val="22"/>
          <w:szCs w:val="22"/>
          <w:lang w:val="es-ES"/>
        </w:rPr>
        <w:t xml:space="preserve">, los sujetos obligados cumplirán el derecho de acceso a la información, cuando le hagan saber de manera precisa a los solicitantes, </w:t>
      </w:r>
      <w:r w:rsidR="00031292" w:rsidRPr="00031292">
        <w:rPr>
          <w:rFonts w:ascii="Palatino Linotype" w:hAnsi="Palatino Linotype" w:cs="Tahoma"/>
          <w:b/>
          <w:sz w:val="22"/>
          <w:szCs w:val="22"/>
          <w:lang w:val="es-ES"/>
        </w:rPr>
        <w:t>la fuente, lugar y la forma</w:t>
      </w:r>
      <w:r w:rsidR="00031292">
        <w:rPr>
          <w:rFonts w:ascii="Palatino Linotype" w:hAnsi="Palatino Linotype" w:cs="Tahoma"/>
          <w:sz w:val="22"/>
          <w:szCs w:val="22"/>
          <w:lang w:val="es-ES"/>
        </w:rPr>
        <w:t xml:space="preserve"> en que se puede obtener la información</w:t>
      </w:r>
      <w:r w:rsidR="00737EF1">
        <w:rPr>
          <w:rFonts w:ascii="Palatino Linotype" w:hAnsi="Palatino Linotype" w:cs="Tahoma"/>
          <w:sz w:val="22"/>
          <w:szCs w:val="22"/>
          <w:lang w:val="es-ES"/>
        </w:rPr>
        <w:t>.</w:t>
      </w:r>
    </w:p>
    <w:p w14:paraId="386D3230" w14:textId="77777777" w:rsidR="00737EF1" w:rsidRDefault="00737EF1" w:rsidP="00E8768F">
      <w:pPr>
        <w:spacing w:line="360" w:lineRule="auto"/>
        <w:jc w:val="both"/>
        <w:rPr>
          <w:rFonts w:ascii="Palatino Linotype" w:hAnsi="Palatino Linotype" w:cs="Tahoma"/>
          <w:sz w:val="22"/>
          <w:szCs w:val="22"/>
          <w:lang w:val="es-ES"/>
        </w:rPr>
      </w:pPr>
    </w:p>
    <w:p w14:paraId="21211F13" w14:textId="409DC6D1" w:rsidR="00737EF1" w:rsidRDefault="00737EF1"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Como se logra observar, el Ayuntamiento de Nicolás Romero, incumplió con dicho artículo, toda vez que el Recurrente tendría que hacer una búsqueda en los cuarenta y cinco registros que obran en el Portal de Información Pública de Oficio Mexiquense</w:t>
      </w:r>
      <w:r w:rsidR="001179E4">
        <w:rPr>
          <w:rFonts w:ascii="Palatino Linotype" w:hAnsi="Palatino Linotype" w:cs="Tahoma"/>
          <w:sz w:val="22"/>
          <w:szCs w:val="22"/>
          <w:lang w:val="es-ES"/>
        </w:rPr>
        <w:t xml:space="preserve"> (IPOMEX)</w:t>
      </w:r>
      <w:r>
        <w:rPr>
          <w:rFonts w:ascii="Palatino Linotype" w:hAnsi="Palatino Linotype" w:cs="Tahoma"/>
          <w:sz w:val="22"/>
          <w:szCs w:val="22"/>
          <w:lang w:val="es-ES"/>
        </w:rPr>
        <w:t xml:space="preserve">, para en su caso obtener, la gaceta que contiene la publicación del </w:t>
      </w:r>
      <w:r w:rsidRPr="00737EF1">
        <w:rPr>
          <w:rFonts w:ascii="Palatino Linotype" w:hAnsi="Palatino Linotype" w:cs="Tahoma"/>
          <w:sz w:val="22"/>
          <w:szCs w:val="22"/>
          <w:lang w:val="es-ES"/>
        </w:rPr>
        <w:t>Reglamento Orgánico Municipal del Ayuntamiento de Nicolás Romero</w:t>
      </w:r>
      <w:r w:rsidR="001179E4">
        <w:rPr>
          <w:rFonts w:ascii="Palatino Linotype" w:hAnsi="Palatino Linotype" w:cs="Tahoma"/>
          <w:sz w:val="22"/>
          <w:szCs w:val="22"/>
          <w:lang w:val="es-ES"/>
        </w:rPr>
        <w:t>, de la cual, este Instituto no tiene certeza que obre en dicha página electrónica.</w:t>
      </w:r>
    </w:p>
    <w:p w14:paraId="2B06352B" w14:textId="77777777" w:rsidR="001179E4" w:rsidRDefault="001179E4" w:rsidP="00E8768F">
      <w:pPr>
        <w:spacing w:line="360" w:lineRule="auto"/>
        <w:jc w:val="both"/>
        <w:rPr>
          <w:rFonts w:ascii="Palatino Linotype" w:hAnsi="Palatino Linotype" w:cs="Tahoma"/>
          <w:sz w:val="22"/>
          <w:szCs w:val="22"/>
          <w:lang w:val="es-ES"/>
        </w:rPr>
      </w:pPr>
    </w:p>
    <w:p w14:paraId="35913B90" w14:textId="06A27462" w:rsidR="001179E4" w:rsidRDefault="001179E4"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No obstante, lo anterior durante la substanciación del Medio de Impugnación, el Sujeto Obligado, precisó que las obligaciones de transparencia, para el ejercicio dos mil diecinueve, se localizaban, en la siguiente liga electrónica </w:t>
      </w:r>
      <w:hyperlink r:id="rId26" w:history="1">
        <w:r w:rsidRPr="001179E4">
          <w:rPr>
            <w:rStyle w:val="Hipervnculo"/>
            <w:rFonts w:ascii="Palatino Linotype" w:hAnsi="Palatino Linotype" w:cs="Tahoma"/>
            <w:bCs/>
            <w:iCs/>
            <w:sz w:val="22"/>
            <w:szCs w:val="22"/>
          </w:rPr>
          <w:t>https://www.ipomex.org.mx/ipo3/lgt/indice/NICOLASROMERO.web;jsessionid=A32AF14BAAF7BD41663AC7734D16ADA9?q=2019</w:t>
        </w:r>
      </w:hyperlink>
      <w:r>
        <w:rPr>
          <w:rFonts w:ascii="Palatino Linotype" w:hAnsi="Palatino Linotype" w:cs="Tahoma"/>
          <w:sz w:val="22"/>
          <w:szCs w:val="22"/>
          <w:lang w:val="es-ES"/>
        </w:rPr>
        <w:t>, se muestra un extracto:</w:t>
      </w:r>
    </w:p>
    <w:p w14:paraId="7F1C6603" w14:textId="77777777" w:rsidR="001179E4" w:rsidRDefault="001179E4" w:rsidP="00E8768F">
      <w:pPr>
        <w:spacing w:line="360" w:lineRule="auto"/>
        <w:jc w:val="both"/>
        <w:rPr>
          <w:rFonts w:ascii="Palatino Linotype" w:hAnsi="Palatino Linotype" w:cs="Tahoma"/>
          <w:sz w:val="22"/>
          <w:szCs w:val="22"/>
          <w:lang w:val="es-ES"/>
        </w:rPr>
      </w:pPr>
    </w:p>
    <w:p w14:paraId="7F826B8F" w14:textId="3989CBE9" w:rsidR="001179E4" w:rsidRDefault="001179E4" w:rsidP="00E8768F">
      <w:pPr>
        <w:spacing w:line="360" w:lineRule="auto"/>
        <w:jc w:val="both"/>
        <w:rPr>
          <w:rFonts w:ascii="Palatino Linotype" w:hAnsi="Palatino Linotype" w:cs="Tahoma"/>
          <w:sz w:val="22"/>
          <w:szCs w:val="22"/>
          <w:lang w:val="es-ES"/>
        </w:rPr>
      </w:pPr>
      <w:r>
        <w:rPr>
          <w:noProof/>
          <w:lang w:eastAsia="es-MX"/>
        </w:rPr>
        <w:lastRenderedPageBreak/>
        <w:drawing>
          <wp:inline distT="0" distB="0" distL="0" distR="0" wp14:anchorId="76608222" wp14:editId="703A4629">
            <wp:extent cx="5742940" cy="274193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2940" cy="2741930"/>
                    </a:xfrm>
                    <a:prstGeom prst="rect">
                      <a:avLst/>
                    </a:prstGeom>
                  </pic:spPr>
                </pic:pic>
              </a:graphicData>
            </a:graphic>
          </wp:inline>
        </w:drawing>
      </w:r>
    </w:p>
    <w:p w14:paraId="1568B006" w14:textId="77777777" w:rsidR="00E37C74" w:rsidRDefault="00E37C74" w:rsidP="00E8768F">
      <w:pPr>
        <w:spacing w:line="360" w:lineRule="auto"/>
        <w:jc w:val="both"/>
        <w:rPr>
          <w:rFonts w:ascii="Palatino Linotype" w:hAnsi="Palatino Linotype" w:cs="Tahoma"/>
          <w:sz w:val="22"/>
          <w:szCs w:val="22"/>
          <w:lang w:val="es-ES"/>
        </w:rPr>
      </w:pPr>
    </w:p>
    <w:p w14:paraId="6C358C6D" w14:textId="6FFD310F" w:rsidR="00E37C74" w:rsidRDefault="00EB1282"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orden de ideas, a través de una imagen, precisó que el documento requerido, se localizaba, de la siguiente manera:</w:t>
      </w:r>
    </w:p>
    <w:p w14:paraId="5F4FF3EC" w14:textId="77777777" w:rsidR="00EB1282" w:rsidRDefault="00EB1282" w:rsidP="00E8768F">
      <w:pPr>
        <w:spacing w:line="360" w:lineRule="auto"/>
        <w:jc w:val="both"/>
        <w:rPr>
          <w:rFonts w:ascii="Palatino Linotype" w:hAnsi="Palatino Linotype" w:cs="Tahoma"/>
          <w:sz w:val="22"/>
          <w:szCs w:val="22"/>
          <w:lang w:val="es-ES"/>
        </w:rPr>
      </w:pPr>
    </w:p>
    <w:p w14:paraId="3C1A99DC" w14:textId="42477D0A" w:rsidR="00560E71" w:rsidRDefault="00EB1282" w:rsidP="005A4C65">
      <w:pPr>
        <w:pStyle w:val="Prrafodelista"/>
        <w:numPr>
          <w:ilvl w:val="0"/>
          <w:numId w:val="19"/>
        </w:numPr>
        <w:spacing w:line="360" w:lineRule="auto"/>
        <w:jc w:val="both"/>
        <w:rPr>
          <w:rFonts w:ascii="Palatino Linotype" w:hAnsi="Palatino Linotype" w:cs="Tahoma"/>
          <w:szCs w:val="22"/>
          <w:lang w:val="es-ES"/>
        </w:rPr>
      </w:pPr>
      <w:r>
        <w:rPr>
          <w:rFonts w:ascii="Palatino Linotype" w:hAnsi="Palatino Linotype" w:cs="Tahoma"/>
          <w:szCs w:val="22"/>
          <w:lang w:val="es-ES"/>
        </w:rPr>
        <w:t>Fracción I Normatividad aplicable</w:t>
      </w:r>
      <w:r w:rsidR="00560E71">
        <w:rPr>
          <w:rFonts w:ascii="Palatino Linotype" w:hAnsi="Palatino Linotype" w:cs="Tahoma"/>
          <w:szCs w:val="22"/>
          <w:lang w:val="es-ES"/>
        </w:rPr>
        <w:t>;</w:t>
      </w:r>
    </w:p>
    <w:p w14:paraId="5D72B4CA" w14:textId="23829E50" w:rsidR="00EB1282" w:rsidRDefault="00560E71" w:rsidP="005A4C65">
      <w:pPr>
        <w:pStyle w:val="Prrafodelista"/>
        <w:numPr>
          <w:ilvl w:val="0"/>
          <w:numId w:val="19"/>
        </w:numPr>
        <w:spacing w:line="360" w:lineRule="auto"/>
        <w:jc w:val="both"/>
        <w:rPr>
          <w:rFonts w:ascii="Palatino Linotype" w:hAnsi="Palatino Linotype" w:cs="Tahoma"/>
          <w:szCs w:val="22"/>
          <w:lang w:val="es-ES"/>
        </w:rPr>
      </w:pPr>
      <w:r>
        <w:rPr>
          <w:rFonts w:ascii="Palatino Linotype" w:hAnsi="Palatino Linotype" w:cs="Tahoma"/>
          <w:szCs w:val="22"/>
          <w:lang w:val="es-ES"/>
        </w:rPr>
        <w:t>Ejercicio dos mil diecinueve</w:t>
      </w:r>
      <w:r w:rsidR="00EB1282">
        <w:rPr>
          <w:rFonts w:ascii="Palatino Linotype" w:hAnsi="Palatino Linotype" w:cs="Tahoma"/>
          <w:szCs w:val="22"/>
          <w:lang w:val="es-ES"/>
        </w:rPr>
        <w:t xml:space="preserve">, y </w:t>
      </w:r>
    </w:p>
    <w:p w14:paraId="39FFD86D" w14:textId="78AE3CE5" w:rsidR="00EB1282" w:rsidRDefault="00EB1282" w:rsidP="005A4C65">
      <w:pPr>
        <w:pStyle w:val="Prrafodelista"/>
        <w:numPr>
          <w:ilvl w:val="0"/>
          <w:numId w:val="19"/>
        </w:numPr>
        <w:spacing w:line="360" w:lineRule="auto"/>
        <w:jc w:val="both"/>
        <w:rPr>
          <w:rFonts w:ascii="Palatino Linotype" w:hAnsi="Palatino Linotype" w:cs="Tahoma"/>
          <w:szCs w:val="22"/>
          <w:lang w:val="es-ES"/>
        </w:rPr>
      </w:pPr>
      <w:r>
        <w:rPr>
          <w:rFonts w:ascii="Palatino Linotype" w:hAnsi="Palatino Linotype" w:cs="Tahoma"/>
          <w:szCs w:val="22"/>
          <w:lang w:val="es-ES"/>
        </w:rPr>
        <w:t>Apartado de Reglamentos.</w:t>
      </w:r>
    </w:p>
    <w:p w14:paraId="2D1C4DBC" w14:textId="77777777" w:rsidR="00EB1282" w:rsidRDefault="00EB1282" w:rsidP="00EB1282">
      <w:pPr>
        <w:spacing w:line="360" w:lineRule="auto"/>
        <w:jc w:val="both"/>
        <w:rPr>
          <w:rFonts w:ascii="Palatino Linotype" w:hAnsi="Palatino Linotype" w:cs="Tahoma"/>
          <w:szCs w:val="22"/>
          <w:lang w:val="es-ES"/>
        </w:rPr>
      </w:pPr>
    </w:p>
    <w:p w14:paraId="5AA92507" w14:textId="3C764AF0" w:rsidR="00EB1282" w:rsidRDefault="00560E71" w:rsidP="00EB1282">
      <w:pPr>
        <w:spacing w:line="360" w:lineRule="auto"/>
        <w:jc w:val="both"/>
        <w:rPr>
          <w:rFonts w:ascii="Palatino Linotype" w:hAnsi="Palatino Linotype" w:cs="Tahoma"/>
          <w:szCs w:val="22"/>
          <w:lang w:val="es-ES"/>
        </w:rPr>
      </w:pPr>
      <w:r>
        <w:rPr>
          <w:rFonts w:ascii="Palatino Linotype" w:hAnsi="Palatino Linotype" w:cs="Tahoma"/>
          <w:szCs w:val="22"/>
          <w:lang w:val="es-ES"/>
        </w:rPr>
        <w:t xml:space="preserve">En ese sentido, este Instituto realizó dicho procedimiento y </w:t>
      </w:r>
      <w:r w:rsidR="000B3510">
        <w:rPr>
          <w:rFonts w:ascii="Palatino Linotype" w:hAnsi="Palatino Linotype" w:cs="Tahoma"/>
          <w:szCs w:val="22"/>
          <w:lang w:val="es-ES"/>
        </w:rPr>
        <w:t>se obtuvo el registro del Reglamento Orgánico de la Administración Pública Municipal de Nicolás Romero, tal como se muestra a continuación</w:t>
      </w:r>
      <w:r>
        <w:rPr>
          <w:rFonts w:ascii="Palatino Linotype" w:hAnsi="Palatino Linotype" w:cs="Tahoma"/>
          <w:szCs w:val="22"/>
          <w:lang w:val="es-ES"/>
        </w:rPr>
        <w:t>:</w:t>
      </w:r>
    </w:p>
    <w:p w14:paraId="0788ACBA" w14:textId="1ACF9B3F" w:rsidR="00560E71" w:rsidRDefault="007F26BE" w:rsidP="00EB1282">
      <w:pPr>
        <w:spacing w:line="360" w:lineRule="auto"/>
        <w:jc w:val="both"/>
        <w:rPr>
          <w:rFonts w:ascii="Palatino Linotype" w:hAnsi="Palatino Linotype" w:cs="Tahoma"/>
          <w:szCs w:val="22"/>
          <w:lang w:val="es-ES"/>
        </w:rPr>
      </w:pPr>
      <w:r>
        <w:rPr>
          <w:rFonts w:ascii="Palatino Linotype" w:hAnsi="Palatino Linotype" w:cs="Tahoma"/>
          <w:noProof/>
          <w:szCs w:val="22"/>
          <w:lang w:eastAsia="es-MX"/>
        </w:rPr>
        <mc:AlternateContent>
          <mc:Choice Requires="wps">
            <w:drawing>
              <wp:anchor distT="0" distB="0" distL="114300" distR="114300" simplePos="0" relativeHeight="251676672" behindDoc="0" locked="0" layoutInCell="1" allowOverlap="1" wp14:anchorId="29838486" wp14:editId="28109021">
                <wp:simplePos x="0" y="0"/>
                <wp:positionH relativeFrom="column">
                  <wp:posOffset>54875</wp:posOffset>
                </wp:positionH>
                <wp:positionV relativeFrom="paragraph">
                  <wp:posOffset>102471</wp:posOffset>
                </wp:positionV>
                <wp:extent cx="5592725" cy="1488558"/>
                <wp:effectExtent l="0" t="0" r="27305" b="35560"/>
                <wp:wrapNone/>
                <wp:docPr id="19" name="Conector recto 19"/>
                <wp:cNvGraphicFramePr/>
                <a:graphic xmlns:a="http://schemas.openxmlformats.org/drawingml/2006/main">
                  <a:graphicData uri="http://schemas.microsoft.com/office/word/2010/wordprocessingShape">
                    <wps:wsp>
                      <wps:cNvCnPr/>
                      <wps:spPr>
                        <a:xfrm>
                          <a:off x="0" y="0"/>
                          <a:ext cx="5592725" cy="14885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8AF2B" id="Conector recto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3pt,8.05pt" to="444.6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" strokecolor="#4472c4 [3204]" strokeweight=".5pt">
                <v:stroke joinstyle="miter"/>
              </v:line>
            </w:pict>
          </mc:Fallback>
        </mc:AlternateContent>
      </w:r>
    </w:p>
    <w:p w14:paraId="215701F0" w14:textId="3042FA79" w:rsidR="00560E71" w:rsidRPr="00EB1282" w:rsidRDefault="003B40B0" w:rsidP="00560E71">
      <w:pPr>
        <w:spacing w:line="360" w:lineRule="auto"/>
        <w:jc w:val="center"/>
        <w:rPr>
          <w:rFonts w:ascii="Palatino Linotype" w:hAnsi="Palatino Linotype" w:cs="Tahoma"/>
          <w:szCs w:val="22"/>
          <w:lang w:val="es-ES"/>
        </w:rPr>
      </w:pPr>
      <w:r>
        <w:rPr>
          <w:noProof/>
          <w:lang w:eastAsia="es-MX"/>
        </w:rPr>
        <w:lastRenderedPageBreak/>
        <mc:AlternateContent>
          <mc:Choice Requires="wps">
            <w:drawing>
              <wp:anchor distT="0" distB="0" distL="114300" distR="114300" simplePos="0" relativeHeight="251661312" behindDoc="0" locked="0" layoutInCell="1" allowOverlap="1" wp14:anchorId="148FC3E9" wp14:editId="6EB60A82">
                <wp:simplePos x="0" y="0"/>
                <wp:positionH relativeFrom="column">
                  <wp:posOffset>664106</wp:posOffset>
                </wp:positionH>
                <wp:positionV relativeFrom="paragraph">
                  <wp:posOffset>402634</wp:posOffset>
                </wp:positionV>
                <wp:extent cx="4401820" cy="499228"/>
                <wp:effectExtent l="19050" t="19050" r="17780" b="15240"/>
                <wp:wrapNone/>
                <wp:docPr id="33" name="Rectángulo 33"/>
                <wp:cNvGraphicFramePr/>
                <a:graphic xmlns:a="http://schemas.openxmlformats.org/drawingml/2006/main">
                  <a:graphicData uri="http://schemas.microsoft.com/office/word/2010/wordprocessingShape">
                    <wps:wsp>
                      <wps:cNvSpPr/>
                      <wps:spPr>
                        <a:xfrm>
                          <a:off x="0" y="0"/>
                          <a:ext cx="4401820" cy="4992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40905" id="Rectángulo 33" o:spid="_x0000_s1026" style="position:absolute;margin-left:52.3pt;margin-top:31.7pt;width:346.6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" filled="f" strokecolor="black [3213]" strokeweight="3pt"/>
            </w:pict>
          </mc:Fallback>
        </mc:AlternateContent>
      </w:r>
      <w:r w:rsidR="00560E71">
        <w:rPr>
          <w:noProof/>
          <w:lang w:eastAsia="es-MX"/>
        </w:rPr>
        <mc:AlternateContent>
          <mc:Choice Requires="wps">
            <w:drawing>
              <wp:anchor distT="0" distB="0" distL="114300" distR="114300" simplePos="0" relativeHeight="251659264" behindDoc="0" locked="0" layoutInCell="1" allowOverlap="1" wp14:anchorId="73776B30" wp14:editId="61CF1048">
                <wp:simplePos x="0" y="0"/>
                <wp:positionH relativeFrom="column">
                  <wp:posOffset>671565</wp:posOffset>
                </wp:positionH>
                <wp:positionV relativeFrom="paragraph">
                  <wp:posOffset>4035794</wp:posOffset>
                </wp:positionV>
                <wp:extent cx="4401820" cy="499228"/>
                <wp:effectExtent l="19050" t="19050" r="17780" b="15240"/>
                <wp:wrapNone/>
                <wp:docPr id="30" name="Rectángulo 30"/>
                <wp:cNvGraphicFramePr/>
                <a:graphic xmlns:a="http://schemas.openxmlformats.org/drawingml/2006/main">
                  <a:graphicData uri="http://schemas.microsoft.com/office/word/2010/wordprocessingShape">
                    <wps:wsp>
                      <wps:cNvSpPr/>
                      <wps:spPr>
                        <a:xfrm>
                          <a:off x="0" y="0"/>
                          <a:ext cx="4401820" cy="49922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89DDF" id="Rectángulo 30" o:spid="_x0000_s1026" style="position:absolute;margin-left:52.9pt;margin-top:317.8pt;width:346.6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" filled="f" strokecolor="black [3213]" strokeweight="3pt"/>
            </w:pict>
          </mc:Fallback>
        </mc:AlternateContent>
      </w:r>
      <w:r>
        <w:rPr>
          <w:noProof/>
          <w:lang w:eastAsia="es-MX"/>
        </w:rPr>
        <w:drawing>
          <wp:inline distT="0" distB="0" distL="0" distR="0" wp14:anchorId="1BDFF88F" wp14:editId="17FD441A">
            <wp:extent cx="4401880" cy="4525876"/>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0356" cy="4555154"/>
                    </a:xfrm>
                    <a:prstGeom prst="rect">
                      <a:avLst/>
                    </a:prstGeom>
                  </pic:spPr>
                </pic:pic>
              </a:graphicData>
            </a:graphic>
          </wp:inline>
        </w:drawing>
      </w:r>
    </w:p>
    <w:p w14:paraId="5D591EEB" w14:textId="77777777" w:rsidR="00E37C74" w:rsidRDefault="00E37C74" w:rsidP="00E8768F">
      <w:pPr>
        <w:spacing w:line="360" w:lineRule="auto"/>
        <w:jc w:val="both"/>
        <w:rPr>
          <w:rFonts w:ascii="Palatino Linotype" w:hAnsi="Palatino Linotype" w:cs="Tahoma"/>
          <w:sz w:val="22"/>
          <w:szCs w:val="22"/>
          <w:lang w:val="es-ES"/>
        </w:rPr>
      </w:pPr>
    </w:p>
    <w:p w14:paraId="3F03F7CF" w14:textId="51B39FCD" w:rsidR="00E37C74" w:rsidRDefault="000B3510"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orden de ideas, al acceder al vínculo electrónico localizado en dicho registro (</w:t>
      </w:r>
      <w:hyperlink r:id="rId29" w:history="1">
        <w:r w:rsidR="003B40B0" w:rsidRPr="003B40B0">
          <w:rPr>
            <w:rStyle w:val="Hipervnculo"/>
            <w:rFonts w:ascii="Palatino Linotype" w:hAnsi="Palatino Linotype" w:cs="Tahoma"/>
            <w:sz w:val="22"/>
            <w:szCs w:val="22"/>
          </w:rPr>
          <w:t>https://www.ipomex.org.mx/recursos/ipo/files_ipo3/2019/42897/7/eb91da35a08a4ed8173fe2b623ae28c9.pdf</w:t>
        </w:r>
      </w:hyperlink>
      <w:r>
        <w:rPr>
          <w:rFonts w:ascii="Palatino Linotype" w:hAnsi="Palatino Linotype" w:cs="Tahoma"/>
          <w:sz w:val="22"/>
          <w:szCs w:val="22"/>
          <w:lang w:val="es-ES"/>
        </w:rPr>
        <w:t>)</w:t>
      </w:r>
      <w:r w:rsidR="003B40B0">
        <w:rPr>
          <w:rFonts w:ascii="Palatino Linotype" w:hAnsi="Palatino Linotype" w:cs="Tahoma"/>
          <w:sz w:val="22"/>
          <w:szCs w:val="22"/>
          <w:lang w:val="es-ES"/>
        </w:rPr>
        <w:t>, se logra acceder a la Gaceta Municipal del H. Ayuntamiento de Nicolás Romero 2019-2021</w:t>
      </w:r>
      <w:r w:rsidR="000753CA">
        <w:rPr>
          <w:rFonts w:ascii="Palatino Linotype" w:hAnsi="Palatino Linotype" w:cs="Tahoma"/>
          <w:sz w:val="22"/>
          <w:szCs w:val="22"/>
          <w:lang w:val="es-ES"/>
        </w:rPr>
        <w:t>, del siete de enero de dos mil diecinueve, que contiene la Primera Sesión Solemne de Cabildo, del primero de enero de dos mil diecinueve, tal como se muestra a continuación:</w:t>
      </w:r>
    </w:p>
    <w:p w14:paraId="7306499F" w14:textId="77777777" w:rsidR="000753CA" w:rsidRDefault="000753CA" w:rsidP="00E8768F">
      <w:pPr>
        <w:spacing w:line="360" w:lineRule="auto"/>
        <w:jc w:val="both"/>
        <w:rPr>
          <w:rFonts w:ascii="Palatino Linotype" w:hAnsi="Palatino Linotype" w:cs="Tahoma"/>
          <w:sz w:val="22"/>
          <w:szCs w:val="22"/>
          <w:lang w:val="es-ES"/>
        </w:rPr>
      </w:pPr>
    </w:p>
    <w:p w14:paraId="534343E9" w14:textId="4D7C3C6C" w:rsidR="000753CA" w:rsidRDefault="000753CA" w:rsidP="000753CA">
      <w:pPr>
        <w:spacing w:line="360" w:lineRule="auto"/>
        <w:jc w:val="center"/>
        <w:rPr>
          <w:rFonts w:ascii="Palatino Linotype" w:hAnsi="Palatino Linotype" w:cs="Tahoma"/>
          <w:sz w:val="22"/>
          <w:szCs w:val="22"/>
          <w:lang w:val="es-ES"/>
        </w:rPr>
      </w:pPr>
      <w:r>
        <w:rPr>
          <w:noProof/>
          <w:lang w:eastAsia="es-MX"/>
        </w:rPr>
        <w:lastRenderedPageBreak/>
        <w:drawing>
          <wp:inline distT="0" distB="0" distL="0" distR="0" wp14:anchorId="3226C74A" wp14:editId="454B0760">
            <wp:extent cx="5492838" cy="495477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405" b="5563"/>
                    <a:stretch/>
                  </pic:blipFill>
                  <pic:spPr bwMode="auto">
                    <a:xfrm>
                      <a:off x="0" y="0"/>
                      <a:ext cx="5517479" cy="4976999"/>
                    </a:xfrm>
                    <a:prstGeom prst="rect">
                      <a:avLst/>
                    </a:prstGeom>
                    <a:ln>
                      <a:noFill/>
                    </a:ln>
                    <a:extLst>
                      <a:ext uri="{53640926-AAD7-44D8-BBD7-CCE9431645EC}">
                        <a14:shadowObscured xmlns:a14="http://schemas.microsoft.com/office/drawing/2010/main"/>
                      </a:ext>
                    </a:extLst>
                  </pic:spPr>
                </pic:pic>
              </a:graphicData>
            </a:graphic>
          </wp:inline>
        </w:drawing>
      </w:r>
    </w:p>
    <w:p w14:paraId="2125A039" w14:textId="77777777" w:rsidR="000B3510" w:rsidRDefault="000B3510" w:rsidP="00E8768F">
      <w:pPr>
        <w:spacing w:line="360" w:lineRule="auto"/>
        <w:jc w:val="both"/>
        <w:rPr>
          <w:rFonts w:ascii="Palatino Linotype" w:hAnsi="Palatino Linotype" w:cs="Tahoma"/>
          <w:sz w:val="22"/>
          <w:szCs w:val="22"/>
          <w:lang w:val="es-ES"/>
        </w:rPr>
      </w:pPr>
    </w:p>
    <w:p w14:paraId="3B807124" w14:textId="6BB64776" w:rsidR="000B3510" w:rsidRDefault="000753CA"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De la revisión de dicha Gaceta, se logró verificar que contiene los acuerdos aprobados por el Cabildo, el primero de enero de dos mil diecinueve, entre los cuales se encuentra el </w:t>
      </w:r>
      <w:r w:rsidR="002345DD">
        <w:rPr>
          <w:rFonts w:ascii="Palatino Linotype" w:hAnsi="Palatino Linotype" w:cs="Tahoma"/>
          <w:sz w:val="22"/>
          <w:szCs w:val="22"/>
          <w:lang w:val="es-ES"/>
        </w:rPr>
        <w:t>número 003/01/SO/2019, en el cual se aprueba del Reglamento Orgánico de la Administración Pública Municipal de Nicolás Romero; además que incluye el propio ordenamiento referido, tal como se muestra a continuación:</w:t>
      </w:r>
    </w:p>
    <w:p w14:paraId="4AE0755A" w14:textId="77777777" w:rsidR="002345DD" w:rsidRDefault="002345DD" w:rsidP="00E8768F">
      <w:pPr>
        <w:spacing w:line="360" w:lineRule="auto"/>
        <w:jc w:val="both"/>
        <w:rPr>
          <w:rFonts w:ascii="Palatino Linotype" w:hAnsi="Palatino Linotype" w:cs="Tahoma"/>
          <w:sz w:val="22"/>
          <w:szCs w:val="22"/>
          <w:lang w:val="es-ES"/>
        </w:rPr>
      </w:pPr>
    </w:p>
    <w:p w14:paraId="41B00EDF" w14:textId="65B6F140" w:rsidR="006F7856" w:rsidRDefault="006F7856" w:rsidP="00E8768F">
      <w:pPr>
        <w:spacing w:line="360" w:lineRule="auto"/>
        <w:jc w:val="both"/>
        <w:rPr>
          <w:rFonts w:ascii="Palatino Linotype" w:hAnsi="Palatino Linotype" w:cs="Tahoma"/>
          <w:sz w:val="22"/>
          <w:szCs w:val="22"/>
          <w:lang w:val="es-ES"/>
        </w:rPr>
      </w:pPr>
      <w:r>
        <w:rPr>
          <w:noProof/>
          <w:lang w:eastAsia="es-MX"/>
        </w:rPr>
        <w:lastRenderedPageBreak/>
        <w:drawing>
          <wp:inline distT="0" distB="0" distL="0" distR="0" wp14:anchorId="36521338" wp14:editId="5461E21E">
            <wp:extent cx="5742940" cy="1858837"/>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896"/>
                    <a:stretch/>
                  </pic:blipFill>
                  <pic:spPr bwMode="auto">
                    <a:xfrm>
                      <a:off x="0" y="0"/>
                      <a:ext cx="5742940" cy="1858837"/>
                    </a:xfrm>
                    <a:prstGeom prst="rect">
                      <a:avLst/>
                    </a:prstGeom>
                    <a:ln>
                      <a:noFill/>
                    </a:ln>
                    <a:extLst>
                      <a:ext uri="{53640926-AAD7-44D8-BBD7-CCE9431645EC}">
                        <a14:shadowObscured xmlns:a14="http://schemas.microsoft.com/office/drawing/2010/main"/>
                      </a:ext>
                    </a:extLst>
                  </pic:spPr>
                </pic:pic>
              </a:graphicData>
            </a:graphic>
          </wp:inline>
        </w:drawing>
      </w:r>
    </w:p>
    <w:p w14:paraId="1A374E44" w14:textId="11D1281D" w:rsidR="006F7856" w:rsidRDefault="00FB780E" w:rsidP="00FB780E">
      <w:pPr>
        <w:spacing w:line="360" w:lineRule="auto"/>
        <w:jc w:val="center"/>
        <w:rPr>
          <w:rFonts w:ascii="Palatino Linotype" w:hAnsi="Palatino Linotype" w:cs="Tahoma"/>
          <w:sz w:val="22"/>
          <w:szCs w:val="22"/>
          <w:lang w:val="es-ES"/>
        </w:rPr>
      </w:pPr>
      <w:r>
        <w:rPr>
          <w:rFonts w:ascii="Palatino Linotype" w:hAnsi="Palatino Linotype" w:cs="Tahoma"/>
          <w:sz w:val="22"/>
          <w:szCs w:val="22"/>
          <w:lang w:val="es-ES"/>
        </w:rPr>
        <w:t>…</w:t>
      </w:r>
    </w:p>
    <w:p w14:paraId="2002C9E6" w14:textId="29458A62" w:rsidR="002345DD" w:rsidRDefault="002345DD" w:rsidP="00E8768F">
      <w:pPr>
        <w:spacing w:line="360" w:lineRule="auto"/>
        <w:jc w:val="both"/>
        <w:rPr>
          <w:rFonts w:ascii="Palatino Linotype" w:hAnsi="Palatino Linotype" w:cs="Tahoma"/>
          <w:sz w:val="22"/>
          <w:szCs w:val="22"/>
          <w:lang w:val="es-ES"/>
        </w:rPr>
      </w:pPr>
      <w:r>
        <w:rPr>
          <w:noProof/>
          <w:lang w:eastAsia="es-MX"/>
        </w:rPr>
        <w:drawing>
          <wp:inline distT="0" distB="0" distL="0" distR="0" wp14:anchorId="6BDA8C0B" wp14:editId="20339E9C">
            <wp:extent cx="5742940" cy="754912"/>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2068"/>
                    <a:stretch/>
                  </pic:blipFill>
                  <pic:spPr bwMode="auto">
                    <a:xfrm>
                      <a:off x="0" y="0"/>
                      <a:ext cx="5742940" cy="754912"/>
                    </a:xfrm>
                    <a:prstGeom prst="rect">
                      <a:avLst/>
                    </a:prstGeom>
                    <a:ln>
                      <a:noFill/>
                    </a:ln>
                    <a:extLst>
                      <a:ext uri="{53640926-AAD7-44D8-BBD7-CCE9431645EC}">
                        <a14:shadowObscured xmlns:a14="http://schemas.microsoft.com/office/drawing/2010/main"/>
                      </a:ext>
                    </a:extLst>
                  </pic:spPr>
                </pic:pic>
              </a:graphicData>
            </a:graphic>
          </wp:inline>
        </w:drawing>
      </w:r>
    </w:p>
    <w:p w14:paraId="086E771A" w14:textId="77777777" w:rsidR="002345DD" w:rsidRDefault="002345DD" w:rsidP="00E8768F">
      <w:pPr>
        <w:spacing w:line="360" w:lineRule="auto"/>
        <w:jc w:val="both"/>
        <w:rPr>
          <w:rFonts w:ascii="Palatino Linotype" w:hAnsi="Palatino Linotype" w:cs="Tahoma"/>
          <w:sz w:val="22"/>
          <w:szCs w:val="22"/>
          <w:lang w:val="es-ES"/>
        </w:rPr>
      </w:pPr>
    </w:p>
    <w:p w14:paraId="1FFCA386" w14:textId="682C7749" w:rsidR="00FB780E" w:rsidRDefault="00B14E1B" w:rsidP="001473B3">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Como se logra observar, </w:t>
      </w:r>
      <w:r w:rsidR="00BD666B">
        <w:rPr>
          <w:rFonts w:ascii="Palatino Linotype" w:hAnsi="Palatino Linotype" w:cs="Tahoma"/>
          <w:sz w:val="22"/>
          <w:szCs w:val="22"/>
          <w:lang w:val="es-ES"/>
        </w:rPr>
        <w:t xml:space="preserve">la Gaceta </w:t>
      </w:r>
      <w:r w:rsidR="0060043E">
        <w:rPr>
          <w:rFonts w:ascii="Palatino Linotype" w:hAnsi="Palatino Linotype" w:cs="Tahoma"/>
          <w:sz w:val="22"/>
          <w:szCs w:val="22"/>
          <w:lang w:val="es-ES"/>
        </w:rPr>
        <w:t xml:space="preserve">Municipal, del siete de enero de dos mil diecinueve, contiene </w:t>
      </w:r>
      <w:r w:rsidR="001473B3">
        <w:rPr>
          <w:rFonts w:ascii="Palatino Linotype" w:hAnsi="Palatino Linotype" w:cs="Tahoma"/>
          <w:sz w:val="22"/>
          <w:szCs w:val="22"/>
          <w:lang w:val="es-ES"/>
        </w:rPr>
        <w:t xml:space="preserve">la Primera Sesión Solemne de Cabildo, mediante el cual se emitió el acuerdo del </w:t>
      </w:r>
      <w:r w:rsidR="001473B3" w:rsidRPr="001473B3">
        <w:rPr>
          <w:rFonts w:ascii="Palatino Linotype" w:hAnsi="Palatino Linotype" w:cs="Tahoma"/>
          <w:sz w:val="22"/>
          <w:szCs w:val="22"/>
          <w:lang w:val="es-ES"/>
        </w:rPr>
        <w:t>acuerdo 003/01/SO</w:t>
      </w:r>
      <w:r w:rsidR="001473B3">
        <w:rPr>
          <w:rFonts w:ascii="Palatino Linotype" w:hAnsi="Palatino Linotype" w:cs="Tahoma"/>
          <w:sz w:val="22"/>
          <w:szCs w:val="22"/>
          <w:lang w:val="es-ES"/>
        </w:rPr>
        <w:t xml:space="preserve">/2019, donde se aprobó el Reglamento Orgánico de la Administración Pública Municipal </w:t>
      </w:r>
      <w:r w:rsidR="00600AE7">
        <w:rPr>
          <w:rFonts w:ascii="Palatino Linotype" w:hAnsi="Palatino Linotype" w:cs="Tahoma"/>
          <w:sz w:val="22"/>
          <w:szCs w:val="22"/>
          <w:lang w:val="es-ES"/>
        </w:rPr>
        <w:t>de Nicolás Romero, de la administración 2019-2021</w:t>
      </w:r>
      <w:r w:rsidR="00677C03">
        <w:rPr>
          <w:rFonts w:ascii="Palatino Linotype" w:hAnsi="Palatino Linotype" w:cs="Tahoma"/>
          <w:sz w:val="22"/>
          <w:szCs w:val="22"/>
          <w:lang w:val="es-ES"/>
        </w:rPr>
        <w:t>; lo cual corresponde a la información requerida por el ahora Recurrente, como obran en sus archivos, en términos del artículo 160 de la Ley de Transparencia y Acceso a la Información Pública del Estado de México y Municipios.</w:t>
      </w:r>
    </w:p>
    <w:p w14:paraId="70248C00" w14:textId="77777777" w:rsidR="00BD666B" w:rsidRDefault="00BD666B" w:rsidP="00E8768F">
      <w:pPr>
        <w:spacing w:line="360" w:lineRule="auto"/>
        <w:jc w:val="both"/>
        <w:rPr>
          <w:rFonts w:ascii="Palatino Linotype" w:hAnsi="Palatino Linotype" w:cs="Tahoma"/>
          <w:sz w:val="22"/>
          <w:szCs w:val="22"/>
          <w:lang w:val="es-ES"/>
        </w:rPr>
      </w:pPr>
    </w:p>
    <w:p w14:paraId="0CE92AD3" w14:textId="5E87BF8D" w:rsidR="00677C03" w:rsidRDefault="00677C03"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orden de ideas, se considera que el Sujeto Obligado, dio la forma, el lugar y la fuente, de cómo obtener el documento requerido, en términos del artículo 161 de la Ley de Transparencia y Acceso a la Información Pública del Estado de México y Municipios</w:t>
      </w:r>
      <w:r w:rsidR="0065610C">
        <w:rPr>
          <w:rFonts w:ascii="Palatino Linotype" w:hAnsi="Palatino Linotype" w:cs="Tahoma"/>
          <w:sz w:val="22"/>
          <w:szCs w:val="22"/>
          <w:lang w:val="es-ES"/>
        </w:rPr>
        <w:t>, pues precisó los pasos a seguir en el Portal de Información Pública de Oficio Mexiquense, para obtener la Gaceta que contiene la aprobación del ordenamiento jurídico solicitado</w:t>
      </w:r>
      <w:r w:rsidR="0065610C">
        <w:rPr>
          <w:rFonts w:ascii="Palatino Linotype" w:hAnsi="Palatino Linotype" w:cs="Tahoma"/>
          <w:b/>
          <w:sz w:val="22"/>
          <w:szCs w:val="22"/>
          <w:lang w:val="es-ES"/>
        </w:rPr>
        <w:t>, lo cual atiende lo solicitado y deja sin materia a dicho requerimiento.</w:t>
      </w:r>
    </w:p>
    <w:p w14:paraId="681CAB6E" w14:textId="77777777" w:rsidR="00677C03" w:rsidRDefault="00677C03" w:rsidP="00E8768F">
      <w:pPr>
        <w:spacing w:line="360" w:lineRule="auto"/>
        <w:jc w:val="both"/>
        <w:rPr>
          <w:rFonts w:ascii="Palatino Linotype" w:hAnsi="Palatino Linotype" w:cs="Tahoma"/>
          <w:sz w:val="22"/>
          <w:szCs w:val="22"/>
          <w:lang w:val="es-ES"/>
        </w:rPr>
      </w:pPr>
    </w:p>
    <w:p w14:paraId="451BE15F" w14:textId="0175B81B" w:rsidR="00BD666B" w:rsidRPr="00402D49" w:rsidRDefault="00402D49" w:rsidP="00E8768F">
      <w:pPr>
        <w:spacing w:line="360" w:lineRule="auto"/>
        <w:jc w:val="both"/>
        <w:rPr>
          <w:rFonts w:ascii="Palatino Linotype" w:hAnsi="Palatino Linotype" w:cs="Tahoma"/>
          <w:b/>
          <w:sz w:val="22"/>
          <w:szCs w:val="22"/>
          <w:lang w:val="es-ES"/>
        </w:rPr>
      </w:pPr>
      <w:r w:rsidRPr="00402D49">
        <w:rPr>
          <w:rFonts w:ascii="Palatino Linotype" w:hAnsi="Palatino Linotype" w:cs="Tahoma"/>
          <w:b/>
          <w:iCs/>
          <w:sz w:val="22"/>
          <w:szCs w:val="22"/>
        </w:rPr>
        <w:lastRenderedPageBreak/>
        <w:t>El listado del personal que labora en la Dirección de Obras Públicas, que contenga el nombre, cargo y el sueldo neto mensual.</w:t>
      </w:r>
    </w:p>
    <w:p w14:paraId="753AEB79" w14:textId="77777777" w:rsidR="000753CA" w:rsidRDefault="000753CA" w:rsidP="00E8768F">
      <w:pPr>
        <w:spacing w:line="360" w:lineRule="auto"/>
        <w:jc w:val="both"/>
        <w:rPr>
          <w:rFonts w:ascii="Palatino Linotype" w:hAnsi="Palatino Linotype" w:cs="Tahoma"/>
          <w:sz w:val="22"/>
          <w:szCs w:val="22"/>
          <w:lang w:val="es-ES"/>
        </w:rPr>
      </w:pPr>
    </w:p>
    <w:p w14:paraId="1C249185" w14:textId="6F87FD1B" w:rsidR="00402D49" w:rsidRDefault="00402D49"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Antes de proceder analizar la respuesta proporcionada por el Ayuntamiento de Nicolás Romero, es necesario precisar, que la pretensión del Particular, es obtener </w:t>
      </w:r>
      <w:r w:rsidR="005A7E78">
        <w:rPr>
          <w:rFonts w:ascii="Palatino Linotype" w:hAnsi="Palatino Linotype" w:cs="Tahoma"/>
          <w:sz w:val="22"/>
          <w:szCs w:val="22"/>
          <w:lang w:val="es-ES"/>
        </w:rPr>
        <w:t>la información actualizada, es decir, una lista de todos los servidores públicos adscritos a la Dirección de Obras Públicas, al diecinueve de agosto de dos mil diecinueve.</w:t>
      </w:r>
    </w:p>
    <w:p w14:paraId="033A52D2" w14:textId="77777777" w:rsidR="005A7E78" w:rsidRDefault="005A7E78" w:rsidP="00E8768F">
      <w:pPr>
        <w:spacing w:line="360" w:lineRule="auto"/>
        <w:jc w:val="both"/>
        <w:rPr>
          <w:rFonts w:ascii="Palatino Linotype" w:hAnsi="Palatino Linotype" w:cs="Tahoma"/>
          <w:sz w:val="22"/>
          <w:szCs w:val="22"/>
          <w:lang w:val="es-ES"/>
        </w:rPr>
      </w:pPr>
    </w:p>
    <w:p w14:paraId="4F05E534" w14:textId="63FEB958" w:rsidR="005A7E78" w:rsidRDefault="005A7E78"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ese contexto, en respuesta el Sujeto Obligado </w:t>
      </w:r>
      <w:r w:rsidR="002A50FC" w:rsidRPr="00297A78">
        <w:rPr>
          <w:rFonts w:ascii="Palatino Linotype" w:hAnsi="Palatino Linotype" w:cs="Tahoma"/>
          <w:bCs/>
          <w:iCs/>
          <w:sz w:val="22"/>
          <w:szCs w:val="22"/>
        </w:rPr>
        <w:t>señaló</w:t>
      </w:r>
      <w:r w:rsidR="00297A78" w:rsidRPr="00297A78">
        <w:rPr>
          <w:rFonts w:ascii="Palatino Linotype" w:hAnsi="Palatino Linotype" w:cs="Tahoma"/>
          <w:bCs/>
          <w:iCs/>
          <w:sz w:val="22"/>
          <w:szCs w:val="22"/>
        </w:rPr>
        <w:t xml:space="preserve"> que la información se localizaba dentro de las obligaciones de transparencia del Sujeto Obligado, localizadas en la liga </w:t>
      </w:r>
      <w:hyperlink r:id="rId33" w:history="1">
        <w:r w:rsidR="002A50FC" w:rsidRPr="0080775B">
          <w:rPr>
            <w:rStyle w:val="Hipervnculo"/>
            <w:rFonts w:ascii="Palatino Linotype" w:hAnsi="Palatino Linotype" w:cs="Tahoma"/>
            <w:bCs/>
            <w:iCs/>
            <w:sz w:val="22"/>
            <w:szCs w:val="22"/>
          </w:rPr>
          <w:t>https://www.ipomex.org.mx/ipo3/lgt/indice/NICOLASROMERO.web;jsessionid=A32AF14BAAF7BD41663AC7734D16ADA9?q=2019</w:t>
        </w:r>
      </w:hyperlink>
      <w:r w:rsidR="002A50FC">
        <w:rPr>
          <w:rFonts w:ascii="Palatino Linotype" w:hAnsi="Palatino Linotype" w:cs="Tahoma"/>
          <w:sz w:val="22"/>
          <w:szCs w:val="22"/>
          <w:lang w:val="es-ES"/>
        </w:rPr>
        <w:t>, de la cual, se obtiene lo siguiente:</w:t>
      </w:r>
    </w:p>
    <w:p w14:paraId="41EF52A6" w14:textId="77777777" w:rsidR="00402D49" w:rsidRDefault="00402D49" w:rsidP="00E8768F">
      <w:pPr>
        <w:spacing w:line="360" w:lineRule="auto"/>
        <w:jc w:val="both"/>
        <w:rPr>
          <w:rFonts w:ascii="Palatino Linotype" w:hAnsi="Palatino Linotype" w:cs="Tahoma"/>
          <w:sz w:val="22"/>
          <w:szCs w:val="22"/>
          <w:lang w:val="es-ES"/>
        </w:rPr>
      </w:pPr>
    </w:p>
    <w:p w14:paraId="4434F7C7" w14:textId="58C6510E" w:rsidR="002A50FC" w:rsidRDefault="002A50FC" w:rsidP="00E8768F">
      <w:pPr>
        <w:spacing w:line="360" w:lineRule="auto"/>
        <w:jc w:val="both"/>
        <w:rPr>
          <w:rFonts w:ascii="Palatino Linotype" w:hAnsi="Palatino Linotype" w:cs="Tahoma"/>
          <w:sz w:val="22"/>
          <w:szCs w:val="22"/>
          <w:lang w:val="es-ES"/>
        </w:rPr>
      </w:pPr>
      <w:r>
        <w:rPr>
          <w:noProof/>
          <w:lang w:eastAsia="es-MX"/>
        </w:rPr>
        <w:drawing>
          <wp:inline distT="0" distB="0" distL="0" distR="0" wp14:anchorId="4B205BE1" wp14:editId="1763B501">
            <wp:extent cx="5742940" cy="83997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9366"/>
                    <a:stretch/>
                  </pic:blipFill>
                  <pic:spPr bwMode="auto">
                    <a:xfrm>
                      <a:off x="0" y="0"/>
                      <a:ext cx="5742940" cy="839972"/>
                    </a:xfrm>
                    <a:prstGeom prst="rect">
                      <a:avLst/>
                    </a:prstGeom>
                    <a:ln>
                      <a:noFill/>
                    </a:ln>
                    <a:extLst>
                      <a:ext uri="{53640926-AAD7-44D8-BBD7-CCE9431645EC}">
                        <a14:shadowObscured xmlns:a14="http://schemas.microsoft.com/office/drawing/2010/main"/>
                      </a:ext>
                    </a:extLst>
                  </pic:spPr>
                </pic:pic>
              </a:graphicData>
            </a:graphic>
          </wp:inline>
        </w:drawing>
      </w:r>
    </w:p>
    <w:p w14:paraId="49814207" w14:textId="77777777" w:rsidR="000B3510" w:rsidRDefault="000B3510" w:rsidP="00E8768F">
      <w:pPr>
        <w:spacing w:line="360" w:lineRule="auto"/>
        <w:jc w:val="both"/>
        <w:rPr>
          <w:rFonts w:ascii="Palatino Linotype" w:hAnsi="Palatino Linotype" w:cs="Tahoma"/>
          <w:sz w:val="22"/>
          <w:szCs w:val="22"/>
          <w:lang w:val="es-ES"/>
        </w:rPr>
      </w:pPr>
    </w:p>
    <w:p w14:paraId="67239764" w14:textId="1EE2075E" w:rsidR="002A50FC" w:rsidRDefault="002A50FC" w:rsidP="00E8768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Como se logra observar, el Sujeto Obligado, no señaló de manera clara y precisa, la fuente, forma y lugar para obtener la información requerida, pues </w:t>
      </w:r>
      <w:r w:rsidR="002F6A9F">
        <w:rPr>
          <w:rFonts w:ascii="Palatino Linotype" w:hAnsi="Palatino Linotype" w:cs="Tahoma"/>
          <w:sz w:val="22"/>
          <w:szCs w:val="22"/>
          <w:lang w:val="es-ES"/>
        </w:rPr>
        <w:t>únicamente remitió al Portal de Información Mexiquense del Ayuntamiento de Nicolás Romero, respecto a la información, del ejercicio dos mil diecinueve; no obstante, lo anterior, no precisó en qué fracción y apartado se localizaba lo peticionado.</w:t>
      </w:r>
    </w:p>
    <w:p w14:paraId="61D2076C" w14:textId="77777777" w:rsidR="002F6A9F" w:rsidRDefault="002F6A9F" w:rsidP="00E8768F">
      <w:pPr>
        <w:spacing w:line="360" w:lineRule="auto"/>
        <w:jc w:val="both"/>
        <w:rPr>
          <w:rFonts w:ascii="Palatino Linotype" w:hAnsi="Palatino Linotype" w:cs="Tahoma"/>
          <w:sz w:val="22"/>
          <w:szCs w:val="22"/>
          <w:lang w:val="es-ES"/>
        </w:rPr>
      </w:pPr>
    </w:p>
    <w:p w14:paraId="3B1139C8" w14:textId="77777777" w:rsidR="00D1452B" w:rsidRDefault="00D1452B" w:rsidP="00E8768F">
      <w:pPr>
        <w:spacing w:line="360" w:lineRule="auto"/>
        <w:jc w:val="both"/>
        <w:rPr>
          <w:rFonts w:ascii="Palatino Linotype" w:hAnsi="Palatino Linotype" w:cs="Tahoma"/>
          <w:sz w:val="22"/>
          <w:szCs w:val="22"/>
          <w:lang w:val="es-ES"/>
        </w:rPr>
      </w:pPr>
    </w:p>
    <w:p w14:paraId="1EE27AE9" w14:textId="77777777" w:rsidR="00D1452B" w:rsidRDefault="00D1452B" w:rsidP="00E8768F">
      <w:pPr>
        <w:spacing w:line="360" w:lineRule="auto"/>
        <w:jc w:val="both"/>
        <w:rPr>
          <w:rFonts w:ascii="Palatino Linotype" w:hAnsi="Palatino Linotype" w:cs="Tahoma"/>
          <w:sz w:val="22"/>
          <w:szCs w:val="22"/>
          <w:lang w:val="es-ES"/>
        </w:rPr>
      </w:pPr>
    </w:p>
    <w:p w14:paraId="657B530B" w14:textId="5CF56B6C" w:rsidR="00D86789" w:rsidRDefault="002F6A9F" w:rsidP="00D86789">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 xml:space="preserve">No obstante lo anterior, durante la substanciación del Medio de Impugnación, el Ente Recurrido subsanó dicha situación, y a través de una imagen, </w:t>
      </w:r>
      <w:r w:rsidR="00D86789">
        <w:rPr>
          <w:rFonts w:ascii="Palatino Linotype" w:hAnsi="Palatino Linotype" w:cs="Tahoma"/>
          <w:sz w:val="22"/>
          <w:szCs w:val="22"/>
          <w:lang w:val="es-ES"/>
        </w:rPr>
        <w:t>indicó que la información requerida, se localizaba, de la siguiente manera:</w:t>
      </w:r>
    </w:p>
    <w:p w14:paraId="472DBC44" w14:textId="77777777" w:rsidR="00D86789" w:rsidRDefault="00D86789" w:rsidP="00D86789">
      <w:pPr>
        <w:spacing w:line="360" w:lineRule="auto"/>
        <w:jc w:val="both"/>
        <w:rPr>
          <w:rFonts w:ascii="Palatino Linotype" w:hAnsi="Palatino Linotype" w:cs="Tahoma"/>
          <w:sz w:val="22"/>
          <w:szCs w:val="22"/>
          <w:lang w:val="es-ES"/>
        </w:rPr>
      </w:pPr>
    </w:p>
    <w:p w14:paraId="409C4C6D" w14:textId="6FE2FC57" w:rsidR="00D86789" w:rsidRDefault="00D86789" w:rsidP="005A4C65">
      <w:pPr>
        <w:pStyle w:val="Prrafodelista"/>
        <w:numPr>
          <w:ilvl w:val="0"/>
          <w:numId w:val="20"/>
        </w:numPr>
        <w:spacing w:line="360" w:lineRule="auto"/>
        <w:jc w:val="both"/>
        <w:rPr>
          <w:rFonts w:ascii="Palatino Linotype" w:hAnsi="Palatino Linotype" w:cs="Tahoma"/>
          <w:szCs w:val="22"/>
          <w:lang w:val="es-ES"/>
        </w:rPr>
      </w:pPr>
      <w:r>
        <w:rPr>
          <w:rFonts w:ascii="Palatino Linotype" w:hAnsi="Palatino Linotype" w:cs="Tahoma"/>
          <w:szCs w:val="22"/>
          <w:lang w:val="es-ES"/>
        </w:rPr>
        <w:t>Fracciones VII “El directorio de todos los servidores públicos” y VIII “</w:t>
      </w:r>
      <w:r w:rsidR="00FA6478">
        <w:rPr>
          <w:rFonts w:ascii="Palatino Linotype" w:hAnsi="Palatino Linotype" w:cs="Tahoma"/>
          <w:szCs w:val="22"/>
          <w:lang w:val="es-ES"/>
        </w:rPr>
        <w:t>Remuneraciones</w:t>
      </w:r>
      <w:r>
        <w:rPr>
          <w:rFonts w:ascii="Palatino Linotype" w:hAnsi="Palatino Linotype" w:cs="Tahoma"/>
          <w:szCs w:val="22"/>
          <w:lang w:val="es-ES"/>
        </w:rPr>
        <w:t>”;</w:t>
      </w:r>
    </w:p>
    <w:p w14:paraId="472CD5A0" w14:textId="77777777" w:rsidR="00D86789" w:rsidRDefault="00D86789" w:rsidP="005A4C65">
      <w:pPr>
        <w:pStyle w:val="Prrafodelista"/>
        <w:numPr>
          <w:ilvl w:val="0"/>
          <w:numId w:val="20"/>
        </w:numPr>
        <w:spacing w:line="360" w:lineRule="auto"/>
        <w:jc w:val="both"/>
        <w:rPr>
          <w:rFonts w:ascii="Palatino Linotype" w:hAnsi="Palatino Linotype" w:cs="Tahoma"/>
          <w:szCs w:val="22"/>
          <w:lang w:val="es-ES"/>
        </w:rPr>
      </w:pPr>
      <w:r>
        <w:rPr>
          <w:rFonts w:ascii="Palatino Linotype" w:hAnsi="Palatino Linotype" w:cs="Tahoma"/>
          <w:szCs w:val="22"/>
          <w:lang w:val="es-ES"/>
        </w:rPr>
        <w:t xml:space="preserve">Ejercicio dos mil diecinueve, y </w:t>
      </w:r>
    </w:p>
    <w:p w14:paraId="1E0C47C6" w14:textId="755EB4A4" w:rsidR="00D86789" w:rsidRDefault="00D86789" w:rsidP="005A4C65">
      <w:pPr>
        <w:pStyle w:val="Prrafodelista"/>
        <w:numPr>
          <w:ilvl w:val="0"/>
          <w:numId w:val="20"/>
        </w:numPr>
        <w:spacing w:line="360" w:lineRule="auto"/>
        <w:jc w:val="both"/>
        <w:rPr>
          <w:rFonts w:ascii="Palatino Linotype" w:hAnsi="Palatino Linotype" w:cs="Tahoma"/>
          <w:szCs w:val="22"/>
          <w:lang w:val="es-ES"/>
        </w:rPr>
      </w:pPr>
      <w:r>
        <w:rPr>
          <w:rFonts w:ascii="Palatino Linotype" w:hAnsi="Palatino Linotype" w:cs="Tahoma"/>
          <w:szCs w:val="22"/>
          <w:lang w:val="es-ES"/>
        </w:rPr>
        <w:t>Área</w:t>
      </w:r>
      <w:r w:rsidR="00FA6478">
        <w:rPr>
          <w:rFonts w:ascii="Palatino Linotype" w:hAnsi="Palatino Linotype" w:cs="Tahoma"/>
          <w:szCs w:val="22"/>
          <w:lang w:val="es-ES"/>
        </w:rPr>
        <w:t>: Dirección de Obras Públicas</w:t>
      </w:r>
      <w:r>
        <w:rPr>
          <w:rFonts w:ascii="Palatino Linotype" w:hAnsi="Palatino Linotype" w:cs="Tahoma"/>
          <w:szCs w:val="22"/>
          <w:lang w:val="es-ES"/>
        </w:rPr>
        <w:t>.</w:t>
      </w:r>
    </w:p>
    <w:p w14:paraId="6041511A" w14:textId="3EC6A381" w:rsidR="002F6A9F" w:rsidRDefault="002F6A9F" w:rsidP="00E8768F">
      <w:pPr>
        <w:spacing w:line="360" w:lineRule="auto"/>
        <w:jc w:val="both"/>
        <w:rPr>
          <w:rFonts w:ascii="Palatino Linotype" w:hAnsi="Palatino Linotype" w:cs="Tahoma"/>
          <w:sz w:val="22"/>
          <w:szCs w:val="22"/>
          <w:lang w:val="es-ES"/>
        </w:rPr>
      </w:pPr>
    </w:p>
    <w:p w14:paraId="48C175CD" w14:textId="1AAAE258" w:rsidR="00282D10" w:rsidRDefault="00282D10" w:rsidP="00282D10">
      <w:pPr>
        <w:spacing w:line="360" w:lineRule="auto"/>
        <w:jc w:val="both"/>
        <w:rPr>
          <w:rFonts w:ascii="Palatino Linotype" w:hAnsi="Palatino Linotype" w:cs="Tahoma"/>
          <w:sz w:val="22"/>
          <w:szCs w:val="22"/>
          <w:lang w:val="es-ES"/>
        </w:rPr>
      </w:pPr>
      <w:r w:rsidRPr="00282D10">
        <w:rPr>
          <w:rFonts w:ascii="Palatino Linotype" w:hAnsi="Palatino Linotype" w:cs="Tahoma"/>
          <w:sz w:val="22"/>
          <w:szCs w:val="22"/>
          <w:lang w:val="es-ES"/>
        </w:rPr>
        <w:t xml:space="preserve">En ese </w:t>
      </w:r>
      <w:r>
        <w:rPr>
          <w:rFonts w:ascii="Palatino Linotype" w:hAnsi="Palatino Linotype" w:cs="Tahoma"/>
          <w:sz w:val="22"/>
          <w:szCs w:val="22"/>
          <w:lang w:val="es-ES"/>
        </w:rPr>
        <w:t>orden de ideas</w:t>
      </w:r>
      <w:r w:rsidRPr="00282D10">
        <w:rPr>
          <w:rFonts w:ascii="Palatino Linotype" w:hAnsi="Palatino Linotype" w:cs="Tahoma"/>
          <w:sz w:val="22"/>
          <w:szCs w:val="22"/>
          <w:lang w:val="es-ES"/>
        </w:rPr>
        <w:t>, este Instit</w:t>
      </w:r>
      <w:r w:rsidR="00D1452B">
        <w:rPr>
          <w:rFonts w:ascii="Palatino Linotype" w:hAnsi="Palatino Linotype" w:cs="Tahoma"/>
          <w:sz w:val="22"/>
          <w:szCs w:val="22"/>
          <w:lang w:val="es-ES"/>
        </w:rPr>
        <w:t>uto realizó dicho procedimiento, tal como se muestra a continuación:</w:t>
      </w:r>
    </w:p>
    <w:p w14:paraId="28BA0D55" w14:textId="77777777" w:rsidR="00D1452B" w:rsidRDefault="00D1452B" w:rsidP="00282D10">
      <w:pPr>
        <w:spacing w:line="360" w:lineRule="auto"/>
        <w:jc w:val="both"/>
        <w:rPr>
          <w:rFonts w:ascii="Palatino Linotype" w:hAnsi="Palatino Linotype" w:cs="Tahoma"/>
          <w:sz w:val="22"/>
          <w:szCs w:val="22"/>
          <w:lang w:val="es-ES"/>
        </w:rPr>
      </w:pPr>
    </w:p>
    <w:p w14:paraId="049E34AC" w14:textId="3A635975" w:rsidR="00D1452B" w:rsidRDefault="00D1452B" w:rsidP="00D1452B">
      <w:pPr>
        <w:spacing w:line="360" w:lineRule="auto"/>
        <w:jc w:val="center"/>
        <w:rPr>
          <w:rFonts w:ascii="Palatino Linotype" w:hAnsi="Palatino Linotype" w:cs="Tahoma"/>
          <w:sz w:val="22"/>
          <w:szCs w:val="22"/>
          <w:lang w:val="es-ES"/>
        </w:rPr>
      </w:pPr>
      <w:r>
        <w:rPr>
          <w:noProof/>
          <w:lang w:eastAsia="es-MX"/>
        </w:rPr>
        <w:drawing>
          <wp:inline distT="0" distB="0" distL="0" distR="0" wp14:anchorId="106BA643" wp14:editId="0CD61A21">
            <wp:extent cx="4724400" cy="15049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4400" cy="1504950"/>
                    </a:xfrm>
                    <a:prstGeom prst="rect">
                      <a:avLst/>
                    </a:prstGeom>
                  </pic:spPr>
                </pic:pic>
              </a:graphicData>
            </a:graphic>
          </wp:inline>
        </w:drawing>
      </w:r>
    </w:p>
    <w:p w14:paraId="0CB529E6" w14:textId="60A57F77" w:rsidR="00D1452B" w:rsidRDefault="00F1609D" w:rsidP="00D1452B">
      <w:pPr>
        <w:spacing w:line="360" w:lineRule="auto"/>
        <w:jc w:val="center"/>
        <w:rPr>
          <w:rFonts w:ascii="Palatino Linotype" w:hAnsi="Palatino Linotype" w:cs="Tahoma"/>
          <w:sz w:val="22"/>
          <w:szCs w:val="22"/>
          <w:lang w:val="es-ES"/>
        </w:rPr>
      </w:pPr>
      <w:r>
        <w:rPr>
          <w:rFonts w:ascii="Palatino Linotype"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189E9CEE" wp14:editId="58D0E0F2">
                <wp:simplePos x="0" y="0"/>
                <wp:positionH relativeFrom="column">
                  <wp:posOffset>959568</wp:posOffset>
                </wp:positionH>
                <wp:positionV relativeFrom="paragraph">
                  <wp:posOffset>282603</wp:posOffset>
                </wp:positionV>
                <wp:extent cx="2862469" cy="377687"/>
                <wp:effectExtent l="19050" t="19050" r="14605" b="22860"/>
                <wp:wrapNone/>
                <wp:docPr id="42" name="Rectángulo 42"/>
                <wp:cNvGraphicFramePr/>
                <a:graphic xmlns:a="http://schemas.openxmlformats.org/drawingml/2006/main">
                  <a:graphicData uri="http://schemas.microsoft.com/office/word/2010/wordprocessingShape">
                    <wps:wsp>
                      <wps:cNvSpPr/>
                      <wps:spPr>
                        <a:xfrm>
                          <a:off x="0" y="0"/>
                          <a:ext cx="2862469" cy="37768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A6FFC" id="Rectángulo 42" o:spid="_x0000_s1026" style="position:absolute;margin-left:75.55pt;margin-top:22.25pt;width:225.4pt;height:2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" filled="f" strokecolor="black [3213]" strokeweight="3pt"/>
            </w:pict>
          </mc:Fallback>
        </mc:AlternateContent>
      </w:r>
      <w:r w:rsidR="00D1452B">
        <w:rPr>
          <w:rFonts w:ascii="Palatino Linotype" w:hAnsi="Palatino Linotype" w:cs="Tahoma"/>
          <w:sz w:val="22"/>
          <w:szCs w:val="22"/>
          <w:lang w:val="es-ES"/>
        </w:rPr>
        <w:t>…</w:t>
      </w:r>
    </w:p>
    <w:p w14:paraId="3298FE41" w14:textId="416A5861" w:rsidR="00D1452B" w:rsidRDefault="00D1452B" w:rsidP="00D1452B">
      <w:pPr>
        <w:spacing w:line="360" w:lineRule="auto"/>
        <w:jc w:val="center"/>
        <w:rPr>
          <w:rFonts w:ascii="Palatino Linotype" w:hAnsi="Palatino Linotype" w:cs="Tahoma"/>
          <w:sz w:val="22"/>
          <w:szCs w:val="22"/>
          <w:lang w:val="es-ES"/>
        </w:rPr>
      </w:pPr>
      <w:r>
        <w:rPr>
          <w:noProof/>
          <w:lang w:eastAsia="es-MX"/>
        </w:rPr>
        <w:drawing>
          <wp:inline distT="0" distB="0" distL="0" distR="0" wp14:anchorId="42CE4FBA" wp14:editId="0A6B741E">
            <wp:extent cx="4638675" cy="15144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8675" cy="1514475"/>
                    </a:xfrm>
                    <a:prstGeom prst="rect">
                      <a:avLst/>
                    </a:prstGeom>
                  </pic:spPr>
                </pic:pic>
              </a:graphicData>
            </a:graphic>
          </wp:inline>
        </w:drawing>
      </w:r>
    </w:p>
    <w:p w14:paraId="45F81684" w14:textId="46F688A2" w:rsidR="005A4C65" w:rsidRDefault="005A4C65" w:rsidP="00282D10">
      <w:pPr>
        <w:spacing w:line="360" w:lineRule="auto"/>
        <w:jc w:val="both"/>
        <w:rPr>
          <w:rFonts w:ascii="Palatino Linotype" w:hAnsi="Palatino Linotype" w:cs="Tahoma"/>
          <w:sz w:val="22"/>
          <w:szCs w:val="22"/>
          <w:lang w:val="es-ES"/>
        </w:rPr>
      </w:pPr>
    </w:p>
    <w:p w14:paraId="59848F4F" w14:textId="18A79F6B" w:rsidR="005A4C65" w:rsidRDefault="005A4C65" w:rsidP="00D1452B">
      <w:pPr>
        <w:spacing w:line="360" w:lineRule="auto"/>
        <w:jc w:val="center"/>
        <w:rPr>
          <w:rFonts w:ascii="Palatino Linotype" w:hAnsi="Palatino Linotype" w:cs="Tahoma"/>
          <w:sz w:val="22"/>
          <w:szCs w:val="22"/>
          <w:lang w:val="es-ES"/>
        </w:rPr>
      </w:pPr>
    </w:p>
    <w:p w14:paraId="0A43EA56" w14:textId="42EF751D" w:rsidR="00BC07C6" w:rsidRPr="00282D10" w:rsidRDefault="00BC07C6" w:rsidP="00D1452B">
      <w:pPr>
        <w:spacing w:line="360" w:lineRule="auto"/>
        <w:jc w:val="center"/>
        <w:rPr>
          <w:rFonts w:ascii="Palatino Linotype" w:hAnsi="Palatino Linotype" w:cs="Tahoma"/>
          <w:sz w:val="22"/>
          <w:szCs w:val="22"/>
          <w:lang w:val="es-ES"/>
        </w:rPr>
      </w:pPr>
    </w:p>
    <w:p w14:paraId="59FBCEF6" w14:textId="19E91E8F" w:rsidR="002F6A9F" w:rsidRDefault="00BC07C6" w:rsidP="00BC07C6">
      <w:pPr>
        <w:spacing w:line="360" w:lineRule="auto"/>
        <w:jc w:val="center"/>
        <w:rPr>
          <w:rFonts w:ascii="Palatino Linotype" w:hAnsi="Palatino Linotype" w:cs="Tahoma"/>
          <w:sz w:val="22"/>
          <w:szCs w:val="22"/>
          <w:lang w:val="es-ES"/>
        </w:rPr>
      </w:pPr>
      <w:r>
        <w:rPr>
          <w:noProof/>
          <w:lang w:eastAsia="es-MX"/>
        </w:rPr>
        <w:drawing>
          <wp:inline distT="0" distB="0" distL="0" distR="0" wp14:anchorId="3056615E" wp14:editId="60B3C2EF">
            <wp:extent cx="4676775" cy="14287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76775" cy="1428750"/>
                    </a:xfrm>
                    <a:prstGeom prst="rect">
                      <a:avLst/>
                    </a:prstGeom>
                  </pic:spPr>
                </pic:pic>
              </a:graphicData>
            </a:graphic>
          </wp:inline>
        </w:drawing>
      </w:r>
    </w:p>
    <w:p w14:paraId="4DFC3C02" w14:textId="1F4622DA" w:rsidR="008C7C60" w:rsidRDefault="00F1609D" w:rsidP="00BC07C6">
      <w:pPr>
        <w:spacing w:line="360" w:lineRule="auto"/>
        <w:jc w:val="center"/>
        <w:rPr>
          <w:rFonts w:ascii="Palatino Linotype" w:hAnsi="Palatino Linotype" w:cs="Tahoma"/>
          <w:sz w:val="22"/>
          <w:szCs w:val="22"/>
          <w:lang w:val="es-ES"/>
        </w:rPr>
      </w:pPr>
      <w:r>
        <w:rPr>
          <w:rFonts w:ascii="Palatino Linotype" w:hAnsi="Palatino Linotype" w:cs="Tahoma"/>
          <w:noProof/>
          <w:sz w:val="22"/>
          <w:szCs w:val="22"/>
          <w:lang w:eastAsia="es-MX"/>
        </w:rPr>
        <mc:AlternateContent>
          <mc:Choice Requires="wps">
            <w:drawing>
              <wp:anchor distT="0" distB="0" distL="114300" distR="114300" simplePos="0" relativeHeight="251664384" behindDoc="0" locked="0" layoutInCell="1" allowOverlap="1" wp14:anchorId="16DBF29B" wp14:editId="415CDDE5">
                <wp:simplePos x="0" y="0"/>
                <wp:positionH relativeFrom="column">
                  <wp:posOffset>958988</wp:posOffset>
                </wp:positionH>
                <wp:positionV relativeFrom="paragraph">
                  <wp:posOffset>252095</wp:posOffset>
                </wp:positionV>
                <wp:extent cx="2861945" cy="357808"/>
                <wp:effectExtent l="19050" t="19050" r="14605" b="23495"/>
                <wp:wrapNone/>
                <wp:docPr id="43" name="Rectángulo 43"/>
                <wp:cNvGraphicFramePr/>
                <a:graphic xmlns:a="http://schemas.openxmlformats.org/drawingml/2006/main">
                  <a:graphicData uri="http://schemas.microsoft.com/office/word/2010/wordprocessingShape">
                    <wps:wsp>
                      <wps:cNvSpPr/>
                      <wps:spPr>
                        <a:xfrm>
                          <a:off x="0" y="0"/>
                          <a:ext cx="2861945" cy="35780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9086D" id="Rectángulo 43" o:spid="_x0000_s1026" style="position:absolute;margin-left:75.5pt;margin-top:19.85pt;width:225.35pt;height:28.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" filled="f" strokecolor="black [3213]" strokeweight="3pt"/>
            </w:pict>
          </mc:Fallback>
        </mc:AlternateContent>
      </w:r>
      <w:r w:rsidR="00BC07C6">
        <w:rPr>
          <w:rFonts w:ascii="Palatino Linotype" w:hAnsi="Palatino Linotype" w:cs="Tahoma"/>
          <w:sz w:val="22"/>
          <w:szCs w:val="22"/>
          <w:lang w:val="es-ES"/>
        </w:rPr>
        <w:t>…</w:t>
      </w:r>
    </w:p>
    <w:p w14:paraId="661FD1FF" w14:textId="0A3515D9" w:rsidR="00BC07C6" w:rsidRDefault="00BC07C6" w:rsidP="00BC07C6">
      <w:pPr>
        <w:spacing w:line="360" w:lineRule="auto"/>
        <w:jc w:val="center"/>
        <w:rPr>
          <w:rFonts w:ascii="Palatino Linotype" w:hAnsi="Palatino Linotype" w:cs="Tahoma"/>
          <w:sz w:val="22"/>
          <w:szCs w:val="22"/>
          <w:lang w:val="es-ES"/>
        </w:rPr>
      </w:pPr>
      <w:r>
        <w:rPr>
          <w:noProof/>
          <w:lang w:eastAsia="es-MX"/>
        </w:rPr>
        <w:drawing>
          <wp:inline distT="0" distB="0" distL="0" distR="0" wp14:anchorId="3193D124" wp14:editId="0ECB2B79">
            <wp:extent cx="4676775" cy="14097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6775" cy="1409700"/>
                    </a:xfrm>
                    <a:prstGeom prst="rect">
                      <a:avLst/>
                    </a:prstGeom>
                  </pic:spPr>
                </pic:pic>
              </a:graphicData>
            </a:graphic>
          </wp:inline>
        </w:drawing>
      </w:r>
    </w:p>
    <w:p w14:paraId="6096F137" w14:textId="77777777" w:rsidR="008C7C60" w:rsidRDefault="008C7C60" w:rsidP="00E8768F">
      <w:pPr>
        <w:spacing w:line="360" w:lineRule="auto"/>
        <w:jc w:val="both"/>
        <w:rPr>
          <w:rFonts w:ascii="Palatino Linotype" w:hAnsi="Palatino Linotype" w:cs="Tahoma"/>
          <w:sz w:val="22"/>
          <w:szCs w:val="22"/>
          <w:lang w:val="es-ES"/>
        </w:rPr>
      </w:pPr>
    </w:p>
    <w:p w14:paraId="12C0528F" w14:textId="2DB2092A" w:rsidR="009A0AB9" w:rsidRPr="007F0BDF" w:rsidRDefault="00D176F6" w:rsidP="009A0AB9">
      <w:pPr>
        <w:spacing w:line="360" w:lineRule="auto"/>
        <w:ind w:right="-93"/>
        <w:jc w:val="both"/>
        <w:rPr>
          <w:rFonts w:ascii="Palatino Linotype" w:hAnsi="Palatino Linotype" w:cs="Tahoma"/>
          <w:sz w:val="22"/>
          <w:szCs w:val="22"/>
        </w:rPr>
      </w:pPr>
      <w:r>
        <w:rPr>
          <w:rFonts w:ascii="Palatino Linotype" w:hAnsi="Palatino Linotype" w:cs="Tahoma"/>
          <w:sz w:val="22"/>
          <w:szCs w:val="22"/>
          <w:lang w:val="es-ES"/>
        </w:rPr>
        <w:t xml:space="preserve">Como se logra observar, en ambas fracciones se advierte que la Dirección de Obras Públicas se conforma de setenta y tres servidores públicos. </w:t>
      </w:r>
      <w:r w:rsidR="009A0AB9">
        <w:rPr>
          <w:rFonts w:ascii="Palatino Linotype" w:eastAsia="Calibri" w:hAnsi="Palatino Linotype" w:cs="Tahoma"/>
          <w:bCs/>
          <w:sz w:val="22"/>
          <w:szCs w:val="22"/>
          <w:lang w:eastAsia="en-US"/>
        </w:rPr>
        <w:t xml:space="preserve">Al respecto, cabe señalar que </w:t>
      </w:r>
      <w:r w:rsidR="009A0AB9" w:rsidRPr="007F0BDF">
        <w:rPr>
          <w:rFonts w:ascii="Palatino Linotype" w:hAnsi="Palatino Linotype" w:cs="Tahoma"/>
          <w:sz w:val="22"/>
          <w:szCs w:val="22"/>
        </w:rPr>
        <w:t>este Instituto</w:t>
      </w:r>
      <w:r w:rsidR="009A0AB9">
        <w:rPr>
          <w:rFonts w:ascii="Palatino Linotype" w:hAnsi="Palatino Linotype" w:cs="Tahoma"/>
          <w:sz w:val="22"/>
          <w:szCs w:val="22"/>
        </w:rPr>
        <w:t>,</w:t>
      </w:r>
      <w:r w:rsidR="009A0AB9" w:rsidRPr="007F0BDF">
        <w:rPr>
          <w:rFonts w:ascii="Palatino Linotype" w:hAnsi="Palatino Linotype" w:cs="Tahoma"/>
          <w:sz w:val="22"/>
          <w:szCs w:val="22"/>
        </w:rPr>
        <w:t xml:space="preserve"> no tiene atribuciones para pronunciarse sobre la veracidad de la informa</w:t>
      </w:r>
      <w:r w:rsidR="009A0AB9">
        <w:rPr>
          <w:rFonts w:ascii="Palatino Linotype" w:hAnsi="Palatino Linotype" w:cs="Tahoma"/>
          <w:sz w:val="22"/>
          <w:szCs w:val="22"/>
        </w:rPr>
        <w:t>ción, inclusive de la proporcionada en el Portal de Información Pública de Oficio Mexiquense; a</w:t>
      </w:r>
      <w:r w:rsidR="009A0AB9" w:rsidRPr="007F0BDF">
        <w:rPr>
          <w:rFonts w:ascii="Palatino Linotype" w:hAnsi="Palatino Linotype" w:cs="Tahoma"/>
          <w:sz w:val="22"/>
          <w:szCs w:val="22"/>
        </w:rPr>
        <w:t>poya lo anterior, el Criterio histórico 31/10</w:t>
      </w:r>
      <w:r w:rsidR="009A0AB9">
        <w:rPr>
          <w:rFonts w:ascii="Palatino Linotype" w:hAnsi="Palatino Linotype" w:cs="Tahoma"/>
          <w:sz w:val="22"/>
          <w:szCs w:val="22"/>
        </w:rPr>
        <w:t xml:space="preserve">, emitido por el Pleno del entonces </w:t>
      </w:r>
      <w:r w:rsidR="009A0AB9" w:rsidRPr="007218D9">
        <w:rPr>
          <w:rFonts w:ascii="Palatino Linotype" w:hAnsi="Palatino Linotype" w:cs="Tahoma"/>
          <w:sz w:val="22"/>
          <w:szCs w:val="22"/>
        </w:rPr>
        <w:t>Instituto Federal de Acceso a la Información y Protección de Datos</w:t>
      </w:r>
      <w:r w:rsidR="009A0AB9" w:rsidRPr="007F0BDF">
        <w:rPr>
          <w:rFonts w:ascii="Palatino Linotype" w:hAnsi="Palatino Linotype" w:cs="Tahoma"/>
          <w:sz w:val="22"/>
          <w:szCs w:val="22"/>
        </w:rPr>
        <w:t>, que a continuación se cita:</w:t>
      </w:r>
    </w:p>
    <w:p w14:paraId="772BE581" w14:textId="77777777" w:rsidR="009A0AB9" w:rsidRPr="007F0BDF" w:rsidRDefault="009A0AB9" w:rsidP="009A0AB9">
      <w:pPr>
        <w:spacing w:line="360" w:lineRule="auto"/>
        <w:jc w:val="both"/>
        <w:rPr>
          <w:rFonts w:ascii="Palatino Linotype" w:hAnsi="Palatino Linotype" w:cs="Tahoma"/>
          <w:sz w:val="22"/>
          <w:szCs w:val="22"/>
        </w:rPr>
      </w:pPr>
    </w:p>
    <w:p w14:paraId="6A10707C" w14:textId="77777777" w:rsidR="009A0AB9" w:rsidRPr="007F0BDF" w:rsidRDefault="009A0AB9" w:rsidP="009A0AB9">
      <w:pPr>
        <w:spacing w:line="360" w:lineRule="auto"/>
        <w:ind w:left="567" w:right="567"/>
        <w:jc w:val="both"/>
        <w:rPr>
          <w:rFonts w:ascii="Palatino Linotype" w:hAnsi="Palatino Linotype" w:cs="Tahoma"/>
          <w:i/>
        </w:rPr>
      </w:pPr>
      <w:r w:rsidRPr="007F0BDF">
        <w:rPr>
          <w:rFonts w:ascii="Palatino Linotype" w:hAnsi="Palatino Linotype" w:cs="Tahoma"/>
          <w:b/>
          <w:i/>
        </w:rPr>
        <w:t xml:space="preserve">“El Instituto Federal de Acceso a la Información y Protección de Datos </w:t>
      </w:r>
      <w:r w:rsidRPr="007F0BDF">
        <w:rPr>
          <w:rFonts w:ascii="Palatino Linotype" w:hAnsi="Palatino Linotype" w:cs="Tahoma"/>
          <w:b/>
          <w:i/>
          <w:u w:val="single"/>
        </w:rPr>
        <w:t xml:space="preserve">no cuenta con facultades para pronunciarse respecto de la veracidad de los documentos proporcionados por los sujetos obligados. </w:t>
      </w:r>
      <w:r w:rsidRPr="007F0BDF">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w:t>
      </w:r>
      <w:r w:rsidRPr="007F0BDF">
        <w:rPr>
          <w:rFonts w:ascii="Palatino Linotype" w:hAnsi="Palatino Linotype" w:cs="Tahoma"/>
          <w:i/>
        </w:rPr>
        <w:lastRenderedPageBreak/>
        <w:t>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B8312C" w14:textId="77777777" w:rsidR="009A0AB9" w:rsidRDefault="009A0AB9" w:rsidP="009A0AB9">
      <w:pPr>
        <w:spacing w:line="360" w:lineRule="auto"/>
        <w:jc w:val="both"/>
        <w:rPr>
          <w:rFonts w:ascii="Palatino Linotype" w:hAnsi="Palatino Linotype" w:cs="Tahoma"/>
          <w:sz w:val="22"/>
          <w:szCs w:val="22"/>
          <w:lang w:val="es-ES"/>
        </w:rPr>
      </w:pPr>
    </w:p>
    <w:p w14:paraId="17CC9049" w14:textId="0008BC74" w:rsidR="00BA59C0" w:rsidRDefault="009A0AB9" w:rsidP="00BA59C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lang w:val="es-ES"/>
        </w:rPr>
        <w:t xml:space="preserve">Conforme a lo anterior, </w:t>
      </w:r>
      <w:r w:rsidR="00720EAB">
        <w:rPr>
          <w:rFonts w:ascii="Palatino Linotype" w:hAnsi="Palatino Linotype" w:cs="Tahoma"/>
          <w:sz w:val="22"/>
          <w:szCs w:val="22"/>
          <w:lang w:val="es-ES"/>
        </w:rPr>
        <w:t xml:space="preserve">se colige que la Dirección de Obras Públicas, </w:t>
      </w:r>
      <w:r w:rsidR="00720EAB" w:rsidRPr="00D6311A">
        <w:rPr>
          <w:rFonts w:ascii="Palatino Linotype" w:hAnsi="Palatino Linotype" w:cs="Tahoma"/>
          <w:b/>
          <w:sz w:val="22"/>
          <w:szCs w:val="22"/>
          <w:lang w:val="es-ES"/>
        </w:rPr>
        <w:t xml:space="preserve">se conforma únicamente de setenta y tres servidores públicos, </w:t>
      </w:r>
      <w:r w:rsidR="00720EAB">
        <w:rPr>
          <w:rFonts w:ascii="Palatino Linotype" w:hAnsi="Palatino Linotype" w:cs="Tahoma"/>
          <w:sz w:val="22"/>
          <w:szCs w:val="22"/>
          <w:lang w:val="es-ES"/>
        </w:rPr>
        <w:t xml:space="preserve">a la fecha de la solicitud, pues la información localizada en el Portal de Información Pública de Oficio Mexiquense </w:t>
      </w:r>
      <w:r w:rsidR="00D6311A">
        <w:rPr>
          <w:rFonts w:ascii="Palatino Linotype" w:hAnsi="Palatino Linotype" w:cs="Tahoma"/>
          <w:sz w:val="22"/>
          <w:szCs w:val="22"/>
          <w:lang w:val="es-ES"/>
        </w:rPr>
        <w:t>(IPOMEX), se encuentra actualizada al veinticinco de septiembre de dos mil diecinueve, fecha posterior a la presentación de esta.</w:t>
      </w:r>
      <w:r w:rsidR="00BA59C0">
        <w:rPr>
          <w:rFonts w:ascii="Palatino Linotype" w:hAnsi="Palatino Linotype" w:cs="Tahoma"/>
          <w:sz w:val="22"/>
          <w:szCs w:val="22"/>
          <w:lang w:val="es-ES"/>
        </w:rPr>
        <w:t xml:space="preserve"> Además, que </w:t>
      </w:r>
      <w:r w:rsidR="00BA59C0">
        <w:rPr>
          <w:rFonts w:ascii="Palatino Linotype" w:eastAsia="Calibri" w:hAnsi="Palatino Linotype" w:cs="Tahoma"/>
          <w:bCs/>
          <w:sz w:val="22"/>
          <w:szCs w:val="22"/>
          <w:lang w:eastAsia="en-US"/>
        </w:rPr>
        <w:t xml:space="preserve">tanto el artículo 70, fracción VIII de la Ley General de Transparencia y Acceso a la Información Pública y el diverso 92, fracción VIII, de la Ley de Transparencia y Acceso a la Información Pública del Estado de México y Municipios, establece que es información pública de oficio, </w:t>
      </w:r>
      <w:r w:rsidR="00BA59C0">
        <w:rPr>
          <w:rFonts w:ascii="Palatino Linotype" w:eastAsia="Calibri" w:hAnsi="Palatino Linotype" w:cs="Tahoma"/>
          <w:b/>
          <w:bCs/>
          <w:sz w:val="22"/>
          <w:szCs w:val="22"/>
          <w:lang w:eastAsia="en-US"/>
        </w:rPr>
        <w:t>la remuneración bruta y neta de todos los servidores públicos</w:t>
      </w:r>
      <w:r w:rsidR="00BA59C0">
        <w:rPr>
          <w:rFonts w:ascii="Palatino Linotype" w:eastAsia="Calibri" w:hAnsi="Palatino Linotype" w:cs="Tahoma"/>
          <w:bCs/>
          <w:sz w:val="22"/>
          <w:szCs w:val="22"/>
          <w:lang w:eastAsia="en-US"/>
        </w:rPr>
        <w:t xml:space="preserve"> de base o de confianza.</w:t>
      </w:r>
    </w:p>
    <w:p w14:paraId="1DC7F5CC" w14:textId="77777777" w:rsidR="00BA59C0" w:rsidRDefault="00BA59C0" w:rsidP="00BA59C0">
      <w:pPr>
        <w:shd w:val="clear" w:color="auto" w:fill="FFFFFF" w:themeFill="background1"/>
        <w:spacing w:line="360" w:lineRule="auto"/>
        <w:jc w:val="both"/>
        <w:rPr>
          <w:rFonts w:ascii="Palatino Linotype" w:eastAsia="Calibri" w:hAnsi="Palatino Linotype" w:cs="Tahoma"/>
          <w:bCs/>
          <w:sz w:val="22"/>
          <w:szCs w:val="22"/>
          <w:lang w:eastAsia="en-US"/>
        </w:rPr>
      </w:pPr>
    </w:p>
    <w:p w14:paraId="33D15077" w14:textId="038BF82E" w:rsidR="00BA59C0" w:rsidRDefault="00BA59C0" w:rsidP="00BA59C0">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Conforme a lo anterior, se puede observar que las Leyes de Transparencia citadas, refieren que las remuneraciones de los trabajadores de base y confianza son las únicas obligadas a proporcionar; asimismo, resulta necesario traer a colación los </w:t>
      </w:r>
      <w:r w:rsidRPr="005D6C1F">
        <w:rPr>
          <w:rFonts w:ascii="Palatino Linotype" w:eastAsia="Calibri" w:hAnsi="Palatino Linotype" w:cs="Tahoma"/>
          <w:bCs/>
          <w:sz w:val="22"/>
          <w:szCs w:val="22"/>
          <w:lang w:eastAsia="en-US"/>
        </w:rPr>
        <w:t>Lineamientos técnicos generales para la publicación, homologación y</w:t>
      </w:r>
      <w:r>
        <w:rPr>
          <w:rFonts w:ascii="Palatino Linotype" w:eastAsia="Calibri" w:hAnsi="Palatino Linotype" w:cs="Tahoma"/>
          <w:bCs/>
          <w:sz w:val="22"/>
          <w:szCs w:val="22"/>
          <w:lang w:eastAsia="en-US"/>
        </w:rPr>
        <w:t xml:space="preserve"> </w:t>
      </w:r>
      <w:r w:rsidRPr="005D6C1F">
        <w:rPr>
          <w:rFonts w:ascii="Palatino Linotype" w:eastAsia="Calibri" w:hAnsi="Palatino Linotype" w:cs="Tahoma"/>
          <w:bCs/>
          <w:sz w:val="22"/>
          <w:szCs w:val="22"/>
          <w:lang w:eastAsia="en-US"/>
        </w:rPr>
        <w:t>estandarización de la información de las obligaciones establecidas en</w:t>
      </w:r>
      <w:r>
        <w:rPr>
          <w:rFonts w:ascii="Palatino Linotype" w:eastAsia="Calibri" w:hAnsi="Palatino Linotype" w:cs="Tahoma"/>
          <w:bCs/>
          <w:sz w:val="22"/>
          <w:szCs w:val="22"/>
          <w:lang w:eastAsia="en-US"/>
        </w:rPr>
        <w:t xml:space="preserve"> </w:t>
      </w:r>
      <w:r w:rsidRPr="005D6C1F">
        <w:rPr>
          <w:rFonts w:ascii="Palatino Linotype" w:eastAsia="Calibri" w:hAnsi="Palatino Linotype" w:cs="Tahoma"/>
          <w:bCs/>
          <w:sz w:val="22"/>
          <w:szCs w:val="22"/>
          <w:lang w:eastAsia="en-US"/>
        </w:rPr>
        <w:t>el título quinto y en la fracción IV del artículo 31 de la Ley General</w:t>
      </w:r>
      <w:r w:rsidR="00F91F26">
        <w:rPr>
          <w:rFonts w:ascii="Palatino Linotype" w:eastAsia="Calibri" w:hAnsi="Palatino Linotype" w:cs="Tahoma"/>
          <w:bCs/>
          <w:sz w:val="22"/>
          <w:szCs w:val="22"/>
          <w:lang w:eastAsia="en-US"/>
        </w:rPr>
        <w:t xml:space="preserve"> </w:t>
      </w:r>
      <w:r w:rsidRPr="005D6C1F">
        <w:rPr>
          <w:rFonts w:ascii="Palatino Linotype" w:eastAsia="Calibri" w:hAnsi="Palatino Linotype" w:cs="Tahoma"/>
          <w:bCs/>
          <w:sz w:val="22"/>
          <w:szCs w:val="22"/>
          <w:lang w:eastAsia="en-US"/>
        </w:rPr>
        <w:t>de Transparencia y Acceso a la Información Pública, que deben de</w:t>
      </w:r>
      <w:r>
        <w:rPr>
          <w:rFonts w:ascii="Palatino Linotype" w:eastAsia="Calibri" w:hAnsi="Palatino Linotype" w:cs="Tahoma"/>
          <w:bCs/>
          <w:sz w:val="22"/>
          <w:szCs w:val="22"/>
          <w:lang w:eastAsia="en-US"/>
        </w:rPr>
        <w:t xml:space="preserve"> </w:t>
      </w:r>
      <w:r w:rsidRPr="005D6C1F">
        <w:rPr>
          <w:rFonts w:ascii="Palatino Linotype" w:eastAsia="Calibri" w:hAnsi="Palatino Linotype" w:cs="Tahoma"/>
          <w:bCs/>
          <w:sz w:val="22"/>
          <w:szCs w:val="22"/>
          <w:lang w:eastAsia="en-US"/>
        </w:rPr>
        <w:t>difundir los sujetos obligados en los portales de Internet y en la</w:t>
      </w:r>
      <w:r>
        <w:rPr>
          <w:rFonts w:ascii="Palatino Linotype" w:eastAsia="Calibri" w:hAnsi="Palatino Linotype" w:cs="Tahoma"/>
          <w:bCs/>
          <w:sz w:val="22"/>
          <w:szCs w:val="22"/>
          <w:lang w:eastAsia="en-US"/>
        </w:rPr>
        <w:t xml:space="preserve"> </w:t>
      </w:r>
      <w:r w:rsidRPr="005D6C1F">
        <w:rPr>
          <w:rFonts w:ascii="Palatino Linotype" w:eastAsia="Calibri" w:hAnsi="Palatino Linotype" w:cs="Tahoma"/>
          <w:bCs/>
          <w:sz w:val="22"/>
          <w:szCs w:val="22"/>
          <w:lang w:eastAsia="en-US"/>
        </w:rPr>
        <w:t>Plataforma Nacional de Transparencia</w:t>
      </w:r>
      <w:r>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los cuales son de observancia obligatoria para el Instituto Nacional de Transparencia, Acceso a la Información y Protección de Datos Personales, los Órganos Garantes Locales y los sujetos obligados de todo el país en sus diferentes ámbitos (federal, estatal y municipal)</w:t>
      </w:r>
      <w:r>
        <w:rPr>
          <w:rFonts w:ascii="Palatino Linotype" w:eastAsia="Calibri" w:hAnsi="Palatino Linotype" w:cs="Tahoma"/>
          <w:bCs/>
          <w:sz w:val="22"/>
          <w:szCs w:val="22"/>
          <w:lang w:eastAsia="en-US"/>
        </w:rPr>
        <w:t xml:space="preserve">, que establecen que los entes constreñidos a cumplir con las Leyes de Transparencia,  deben de </w:t>
      </w:r>
      <w:r>
        <w:rPr>
          <w:rFonts w:ascii="Palatino Linotype" w:eastAsia="Calibri" w:hAnsi="Palatino Linotype" w:cs="Tahoma"/>
          <w:bCs/>
          <w:sz w:val="22"/>
          <w:szCs w:val="22"/>
          <w:lang w:eastAsia="en-US"/>
        </w:rPr>
        <w:lastRenderedPageBreak/>
        <w:t xml:space="preserve">proporcionar las remuneraciones brutas y netas, </w:t>
      </w:r>
      <w:r>
        <w:rPr>
          <w:rFonts w:ascii="Palatino Linotype" w:eastAsia="Calibri" w:hAnsi="Palatino Linotype" w:cs="Tahoma"/>
          <w:b/>
          <w:bCs/>
          <w:sz w:val="22"/>
          <w:szCs w:val="22"/>
          <w:lang w:eastAsia="en-US"/>
        </w:rPr>
        <w:t>de todos los servidores públicos de base, de confianza, integrantes, miembros del Sujeto Obligado y toda persona que desempeñe  un empleo, cargo o comisión.</w:t>
      </w:r>
    </w:p>
    <w:p w14:paraId="1C431C95" w14:textId="6B32B159" w:rsidR="009A0AB9" w:rsidRDefault="009A0AB9" w:rsidP="009A0AB9">
      <w:pPr>
        <w:spacing w:line="360" w:lineRule="auto"/>
        <w:jc w:val="both"/>
        <w:rPr>
          <w:rFonts w:ascii="Palatino Linotype" w:hAnsi="Palatino Linotype" w:cs="Tahoma"/>
          <w:sz w:val="22"/>
          <w:szCs w:val="22"/>
          <w:lang w:val="es-ES"/>
        </w:rPr>
      </w:pPr>
    </w:p>
    <w:p w14:paraId="344A37FB" w14:textId="3C8DFDB0" w:rsidR="00D6311A" w:rsidRDefault="00F91F26" w:rsidP="009A0AB9">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Así, se considera que los setenta y tres trabajadores de la Dirección de Obras Públicas, son con los únicos con los que cuenta el Ente Recurrido en dicha área; en </w:t>
      </w:r>
      <w:r w:rsidR="00D6311A">
        <w:rPr>
          <w:rFonts w:ascii="Palatino Linotype" w:hAnsi="Palatino Linotype" w:cs="Tahoma"/>
          <w:sz w:val="22"/>
          <w:szCs w:val="22"/>
          <w:lang w:val="es-ES"/>
        </w:rPr>
        <w:t>ese orden de ideas, se procedió a descargar el registro de dichos servidores públicos, de las dos fracciones analizadas y se obtuvo lo siguiente:</w:t>
      </w:r>
    </w:p>
    <w:p w14:paraId="170D04FA" w14:textId="77777777" w:rsidR="00D6311A" w:rsidRDefault="00D6311A" w:rsidP="009A0AB9">
      <w:pPr>
        <w:spacing w:line="360" w:lineRule="auto"/>
        <w:jc w:val="both"/>
        <w:rPr>
          <w:rFonts w:ascii="Palatino Linotype" w:hAnsi="Palatino Linotype" w:cs="Tahoma"/>
          <w:sz w:val="22"/>
          <w:szCs w:val="22"/>
          <w:lang w:val="es-ES"/>
        </w:rPr>
      </w:pPr>
    </w:p>
    <w:p w14:paraId="03AE7ABA" w14:textId="754B6774" w:rsidR="00D6311A" w:rsidRPr="00D6311A" w:rsidRDefault="00D6311A" w:rsidP="009A0AB9">
      <w:pPr>
        <w:spacing w:line="360" w:lineRule="auto"/>
        <w:jc w:val="both"/>
        <w:rPr>
          <w:rFonts w:ascii="Palatino Linotype" w:hAnsi="Palatino Linotype" w:cs="Tahoma"/>
          <w:b/>
          <w:sz w:val="22"/>
          <w:szCs w:val="22"/>
          <w:lang w:val="es-ES"/>
        </w:rPr>
      </w:pPr>
      <w:r w:rsidRPr="00D6311A">
        <w:rPr>
          <w:rFonts w:ascii="Palatino Linotype" w:hAnsi="Palatino Linotype" w:cs="Tahoma"/>
          <w:b/>
          <w:sz w:val="22"/>
          <w:szCs w:val="22"/>
          <w:lang w:val="es-ES"/>
        </w:rPr>
        <w:t>Fracción VII “El directorio de todos los servidores públicos”:</w:t>
      </w:r>
    </w:p>
    <w:p w14:paraId="369A06F5" w14:textId="77777777" w:rsidR="00D6311A" w:rsidRDefault="00D6311A" w:rsidP="009A0AB9">
      <w:pPr>
        <w:spacing w:line="360" w:lineRule="auto"/>
        <w:jc w:val="both"/>
        <w:rPr>
          <w:rFonts w:ascii="Palatino Linotype" w:hAnsi="Palatino Linotype" w:cs="Tahoma"/>
          <w:b/>
          <w:sz w:val="22"/>
          <w:szCs w:val="22"/>
          <w:lang w:val="es-ES"/>
        </w:rPr>
      </w:pPr>
    </w:p>
    <w:p w14:paraId="10CF5EAC" w14:textId="35896DA7" w:rsidR="00D6311A" w:rsidRDefault="00F91F26" w:rsidP="00F91F26">
      <w:pPr>
        <w:spacing w:line="360" w:lineRule="auto"/>
        <w:rPr>
          <w:rFonts w:ascii="Palatino Linotype" w:hAnsi="Palatino Linotype" w:cs="Tahoma"/>
          <w:b/>
          <w:sz w:val="22"/>
          <w:szCs w:val="22"/>
          <w:lang w:val="es-ES"/>
        </w:rPr>
      </w:pPr>
      <w:r>
        <w:rPr>
          <w:noProof/>
          <w:lang w:eastAsia="es-MX"/>
        </w:rPr>
        <w:drawing>
          <wp:inline distT="0" distB="0" distL="0" distR="0" wp14:anchorId="74406D24" wp14:editId="43B669D6">
            <wp:extent cx="5742940" cy="1538605"/>
            <wp:effectExtent l="0" t="0" r="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2940" cy="1538605"/>
                    </a:xfrm>
                    <a:prstGeom prst="rect">
                      <a:avLst/>
                    </a:prstGeom>
                  </pic:spPr>
                </pic:pic>
              </a:graphicData>
            </a:graphic>
          </wp:inline>
        </w:drawing>
      </w:r>
    </w:p>
    <w:p w14:paraId="7E6FA13B" w14:textId="77777777" w:rsidR="00D6311A" w:rsidRPr="00D6311A" w:rsidRDefault="00D6311A" w:rsidP="009A0AB9">
      <w:pPr>
        <w:spacing w:line="360" w:lineRule="auto"/>
        <w:jc w:val="both"/>
        <w:rPr>
          <w:rFonts w:ascii="Palatino Linotype" w:hAnsi="Palatino Linotype" w:cs="Tahoma"/>
          <w:b/>
          <w:sz w:val="22"/>
          <w:szCs w:val="22"/>
          <w:lang w:val="es-ES"/>
        </w:rPr>
      </w:pPr>
    </w:p>
    <w:p w14:paraId="6984A02B" w14:textId="68CCB883" w:rsidR="00D6311A" w:rsidRPr="00D6311A" w:rsidRDefault="00D6311A" w:rsidP="009A0AB9">
      <w:pPr>
        <w:spacing w:line="360" w:lineRule="auto"/>
        <w:jc w:val="both"/>
        <w:rPr>
          <w:rFonts w:ascii="Palatino Linotype" w:hAnsi="Palatino Linotype" w:cs="Tahoma"/>
          <w:b/>
          <w:sz w:val="22"/>
          <w:szCs w:val="22"/>
          <w:lang w:val="es-ES"/>
        </w:rPr>
      </w:pPr>
      <w:r w:rsidRPr="00D6311A">
        <w:rPr>
          <w:rFonts w:ascii="Palatino Linotype" w:hAnsi="Palatino Linotype" w:cs="Tahoma"/>
          <w:b/>
          <w:sz w:val="22"/>
          <w:szCs w:val="22"/>
          <w:lang w:val="es-ES"/>
        </w:rPr>
        <w:t>Fracción VIII “Remuneraciones”:</w:t>
      </w:r>
    </w:p>
    <w:p w14:paraId="5B73C1BA" w14:textId="052138DA" w:rsidR="002A50FC" w:rsidRDefault="002A50FC" w:rsidP="00E8768F">
      <w:pPr>
        <w:spacing w:line="360" w:lineRule="auto"/>
        <w:jc w:val="both"/>
        <w:rPr>
          <w:rFonts w:ascii="Palatino Linotype" w:hAnsi="Palatino Linotype" w:cs="Tahoma"/>
          <w:sz w:val="22"/>
          <w:szCs w:val="22"/>
          <w:lang w:val="es-ES"/>
        </w:rPr>
      </w:pPr>
    </w:p>
    <w:p w14:paraId="02DBD3B7" w14:textId="3ECEFEDC" w:rsidR="002A50FC" w:rsidRDefault="00E3579A" w:rsidP="00F91F26">
      <w:pPr>
        <w:spacing w:line="360" w:lineRule="auto"/>
        <w:rPr>
          <w:rFonts w:ascii="Palatino Linotype" w:hAnsi="Palatino Linotype" w:cs="Tahoma"/>
          <w:sz w:val="22"/>
          <w:szCs w:val="22"/>
          <w:lang w:val="es-ES"/>
        </w:rPr>
      </w:pPr>
      <w:r>
        <w:rPr>
          <w:noProof/>
          <w:lang w:eastAsia="es-MX"/>
        </w:rPr>
        <w:drawing>
          <wp:inline distT="0" distB="0" distL="0" distR="0" wp14:anchorId="26140A33" wp14:editId="3E72E41C">
            <wp:extent cx="5742940" cy="1410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2940" cy="1410335"/>
                    </a:xfrm>
                    <a:prstGeom prst="rect">
                      <a:avLst/>
                    </a:prstGeom>
                  </pic:spPr>
                </pic:pic>
              </a:graphicData>
            </a:graphic>
          </wp:inline>
        </w:drawing>
      </w:r>
    </w:p>
    <w:p w14:paraId="4655D079" w14:textId="77777777" w:rsidR="002A50FC" w:rsidRDefault="002A50FC" w:rsidP="00E8768F">
      <w:pPr>
        <w:spacing w:line="360" w:lineRule="auto"/>
        <w:jc w:val="both"/>
        <w:rPr>
          <w:rFonts w:ascii="Palatino Linotype" w:hAnsi="Palatino Linotype" w:cs="Tahoma"/>
          <w:sz w:val="22"/>
          <w:szCs w:val="22"/>
          <w:lang w:val="es-ES"/>
        </w:rPr>
      </w:pPr>
    </w:p>
    <w:p w14:paraId="590C8087" w14:textId="77777777" w:rsidR="00E8768F" w:rsidRDefault="00E8768F" w:rsidP="00E8768F">
      <w:pPr>
        <w:spacing w:line="360" w:lineRule="auto"/>
        <w:jc w:val="both"/>
        <w:rPr>
          <w:rFonts w:ascii="Palatino Linotype" w:hAnsi="Palatino Linotype" w:cs="Tahoma"/>
          <w:sz w:val="22"/>
          <w:szCs w:val="22"/>
          <w:lang w:val="es-ES"/>
        </w:rPr>
      </w:pPr>
    </w:p>
    <w:p w14:paraId="48071AFF" w14:textId="5D71B17D" w:rsidR="00F91F26" w:rsidRPr="00334E0E" w:rsidRDefault="00F91F26" w:rsidP="00E8768F">
      <w:pPr>
        <w:spacing w:line="360" w:lineRule="auto"/>
        <w:jc w:val="both"/>
        <w:rPr>
          <w:rFonts w:ascii="Palatino Linotype" w:hAnsi="Palatino Linotype" w:cs="Tahoma"/>
          <w:b/>
          <w:sz w:val="22"/>
          <w:szCs w:val="22"/>
          <w:lang w:val="es-ES"/>
        </w:rPr>
      </w:pPr>
      <w:r>
        <w:rPr>
          <w:rFonts w:ascii="Palatino Linotype" w:hAnsi="Palatino Linotype" w:cs="Tahoma"/>
          <w:sz w:val="22"/>
          <w:szCs w:val="22"/>
          <w:lang w:val="es-ES"/>
        </w:rPr>
        <w:lastRenderedPageBreak/>
        <w:t>Conforme a lo anterior, se advierte que los registros contienen la información requerida por el Particular, concerniente en un listado de todos los servidores públicos que laboraban</w:t>
      </w:r>
      <w:r w:rsidR="00CF46F7">
        <w:rPr>
          <w:rFonts w:ascii="Palatino Linotype" w:hAnsi="Palatino Linotype" w:cs="Tahoma"/>
          <w:sz w:val="22"/>
          <w:szCs w:val="22"/>
          <w:lang w:val="es-ES"/>
        </w:rPr>
        <w:t>,</w:t>
      </w:r>
      <w:r>
        <w:rPr>
          <w:rFonts w:ascii="Palatino Linotype" w:hAnsi="Palatino Linotype" w:cs="Tahoma"/>
          <w:sz w:val="22"/>
          <w:szCs w:val="22"/>
          <w:lang w:val="es-ES"/>
        </w:rPr>
        <w:t xml:space="preserve"> al diecinueve de agosto de dos mil diecinueve, </w:t>
      </w:r>
      <w:r w:rsidR="00CF46F7">
        <w:rPr>
          <w:rFonts w:ascii="Palatino Linotype" w:hAnsi="Palatino Linotype" w:cs="Tahoma"/>
          <w:sz w:val="22"/>
          <w:szCs w:val="22"/>
          <w:lang w:val="es-ES"/>
        </w:rPr>
        <w:t xml:space="preserve">en la Dirección de Obras Públicas, que incluye el nombre, cargo y remuneración de los setenta y tres trabajadores; lo cual, da por atendido el presente requerimiento de información, pues </w:t>
      </w:r>
      <w:r w:rsidR="00CF46F7" w:rsidRPr="00334E0E">
        <w:rPr>
          <w:rFonts w:ascii="Palatino Linotype" w:hAnsi="Palatino Linotype" w:cs="Tahoma"/>
          <w:b/>
          <w:sz w:val="22"/>
          <w:szCs w:val="22"/>
          <w:lang w:val="es-ES"/>
        </w:rPr>
        <w:t>proporcionó la fuente, el lugar y la forma de obtener dicha información</w:t>
      </w:r>
      <w:r w:rsidR="00334E0E" w:rsidRPr="00334E0E">
        <w:rPr>
          <w:rFonts w:ascii="Palatino Linotype" w:hAnsi="Palatino Linotype" w:cs="Tahoma"/>
          <w:b/>
          <w:sz w:val="22"/>
          <w:szCs w:val="22"/>
          <w:lang w:val="es-ES"/>
        </w:rPr>
        <w:t>, en términos del artículo 161 de la Ley de Transparencia y Acceso a la Información Pública del Estado de México y Municipios.</w:t>
      </w:r>
    </w:p>
    <w:p w14:paraId="53A383D3" w14:textId="77777777" w:rsidR="00F91F26" w:rsidRDefault="00F91F26" w:rsidP="00E8768F">
      <w:pPr>
        <w:spacing w:line="360" w:lineRule="auto"/>
        <w:jc w:val="both"/>
        <w:rPr>
          <w:rFonts w:ascii="Palatino Linotype" w:hAnsi="Palatino Linotype" w:cs="Tahoma"/>
          <w:sz w:val="22"/>
          <w:szCs w:val="22"/>
          <w:lang w:val="es-ES"/>
        </w:rPr>
      </w:pPr>
    </w:p>
    <w:p w14:paraId="5ABC4F90" w14:textId="6D043B51" w:rsidR="00E8768F" w:rsidRPr="00C85E24" w:rsidRDefault="00E8768F" w:rsidP="00334E0E">
      <w:pPr>
        <w:spacing w:line="360" w:lineRule="auto"/>
        <w:jc w:val="both"/>
        <w:rPr>
          <w:rFonts w:ascii="Palatino Linotype" w:hAnsi="Palatino Linotype" w:cs="Tahoma"/>
          <w:szCs w:val="22"/>
          <w:lang w:val="es-ES"/>
        </w:rPr>
      </w:pPr>
      <w:r>
        <w:rPr>
          <w:rFonts w:ascii="Palatino Linotype" w:hAnsi="Palatino Linotype" w:cs="Tahoma"/>
          <w:sz w:val="22"/>
          <w:szCs w:val="22"/>
          <w:lang w:val="es-ES"/>
        </w:rPr>
        <w:t xml:space="preserve">De tal situación, se concluye que el Sujeto Obligado durante la substanciación del medio de impugnación </w:t>
      </w:r>
      <w:r w:rsidRPr="00DE53C2">
        <w:rPr>
          <w:rFonts w:ascii="Palatino Linotype" w:hAnsi="Palatino Linotype" w:cs="Tahoma"/>
          <w:b/>
          <w:sz w:val="22"/>
          <w:szCs w:val="22"/>
          <w:lang w:val="es-ES"/>
        </w:rPr>
        <w:t>modificó su actuar y lo dejo sin materia</w:t>
      </w:r>
      <w:r>
        <w:rPr>
          <w:rFonts w:ascii="Palatino Linotype" w:hAnsi="Palatino Linotype" w:cs="Tahoma"/>
          <w:sz w:val="22"/>
          <w:szCs w:val="22"/>
          <w:lang w:val="es-ES"/>
        </w:rPr>
        <w:t xml:space="preserve">, </w:t>
      </w:r>
      <w:r w:rsidR="00334E0E">
        <w:rPr>
          <w:rFonts w:ascii="Palatino Linotype" w:hAnsi="Palatino Linotype" w:cs="Tahoma"/>
          <w:sz w:val="22"/>
          <w:szCs w:val="22"/>
          <w:lang w:val="es-ES"/>
        </w:rPr>
        <w:t xml:space="preserve">al proporcionar de manera clara y precisa, la fuente de acceso a público, que contiene el </w:t>
      </w:r>
      <w:r w:rsidR="00334E0E" w:rsidRPr="00334E0E">
        <w:rPr>
          <w:rFonts w:ascii="Palatino Linotype" w:hAnsi="Palatino Linotype" w:cs="Tahoma"/>
          <w:sz w:val="22"/>
          <w:szCs w:val="22"/>
          <w:lang w:val="es-ES"/>
        </w:rPr>
        <w:t>listado del personal que labora en la Dirección de Obras Públicas, que contenga el nombre, cargo y el sueldo neto mensual</w:t>
      </w:r>
      <w:r w:rsidR="00BA6ED9">
        <w:rPr>
          <w:rFonts w:ascii="Palatino Linotype" w:hAnsi="Palatino Linotype" w:cs="Tahoma"/>
          <w:sz w:val="22"/>
          <w:szCs w:val="22"/>
          <w:lang w:val="es-ES"/>
        </w:rPr>
        <w:t xml:space="preserve">, al diecinueve de agosto de dos mil diecinueve y </w:t>
      </w:r>
      <w:r w:rsidR="00BA6ED9" w:rsidRPr="00BA6ED9">
        <w:rPr>
          <w:rFonts w:ascii="Palatino Linotype" w:hAnsi="Palatino Linotype" w:cs="Tahoma"/>
          <w:sz w:val="22"/>
          <w:szCs w:val="22"/>
          <w:lang w:val="es-ES"/>
        </w:rPr>
        <w:t>la Gaceta Municipal, del siete de enero de dos mil diecinueve, contiene la Primera Sesión Solemne de Cabildo, mediante el cual se emitió el acuerdo del acuerdo 003/01/SO/2019, donde se aprobó el Reglamento Orgánico de la Administración Pública Municipal de Nicolás Romero, de la administración 2019-2021</w:t>
      </w:r>
      <w:r w:rsidR="00BA6ED9">
        <w:rPr>
          <w:rFonts w:ascii="Palatino Linotype" w:hAnsi="Palatino Linotype" w:cs="Tahoma"/>
          <w:sz w:val="22"/>
          <w:szCs w:val="22"/>
          <w:lang w:val="es-ES"/>
        </w:rPr>
        <w:t>.</w:t>
      </w:r>
    </w:p>
    <w:p w14:paraId="05452E31" w14:textId="77777777" w:rsidR="00E8768F" w:rsidRDefault="00E8768F" w:rsidP="00E8768F">
      <w:pPr>
        <w:spacing w:line="360" w:lineRule="auto"/>
        <w:jc w:val="both"/>
        <w:rPr>
          <w:rFonts w:ascii="Palatino Linotype" w:hAnsi="Palatino Linotype" w:cs="Tahoma"/>
          <w:sz w:val="22"/>
          <w:szCs w:val="22"/>
          <w:lang w:val="es-ES"/>
        </w:rPr>
      </w:pPr>
    </w:p>
    <w:p w14:paraId="4A09D056" w14:textId="384FB9E3" w:rsidR="00E8768F" w:rsidRDefault="00E8768F" w:rsidP="00E8768F">
      <w:pPr>
        <w:spacing w:line="360" w:lineRule="auto"/>
        <w:jc w:val="both"/>
        <w:rPr>
          <w:rFonts w:ascii="Palatino Linotype" w:hAnsi="Palatino Linotype" w:cs="Tahoma"/>
          <w:bCs/>
          <w:iCs/>
          <w:sz w:val="22"/>
          <w:szCs w:val="22"/>
          <w:lang w:val="es-ES_tradnl"/>
        </w:rPr>
      </w:pPr>
      <w:r w:rsidRPr="00C85E24">
        <w:rPr>
          <w:rFonts w:ascii="Palatino Linotype" w:hAnsi="Palatino Linotype" w:cs="Tahoma"/>
          <w:sz w:val="22"/>
          <w:szCs w:val="22"/>
          <w:lang w:val="es-ES"/>
        </w:rPr>
        <w:t>De tal situación, se concluye que se actualiza la causal de sobreseimiento prevista en el artículo 192, fracción III, de la Ley de Transparencia y Acceso a la Información Pública del Estado de México</w:t>
      </w:r>
      <w:r w:rsidR="00BA6ED9">
        <w:rPr>
          <w:rFonts w:ascii="Palatino Linotype" w:hAnsi="Palatino Linotype" w:cs="Tahoma"/>
          <w:sz w:val="22"/>
          <w:szCs w:val="22"/>
          <w:lang w:val="es-ES"/>
        </w:rPr>
        <w:t xml:space="preserve"> y Municipios, toda vez, que el Ayuntamiento de Nicolás Romero</w:t>
      </w:r>
      <w:r>
        <w:rPr>
          <w:rFonts w:ascii="Palatino Linotype" w:hAnsi="Palatino Linotype" w:cs="Tahoma"/>
          <w:sz w:val="22"/>
          <w:szCs w:val="22"/>
          <w:lang w:val="es-ES"/>
        </w:rPr>
        <w:t xml:space="preserve">, </w:t>
      </w:r>
      <w:r w:rsidR="00BA6ED9">
        <w:rPr>
          <w:rFonts w:ascii="Palatino Linotype" w:hAnsi="Palatino Linotype" w:cs="Tahoma"/>
          <w:sz w:val="22"/>
          <w:szCs w:val="22"/>
          <w:lang w:val="es-ES"/>
        </w:rPr>
        <w:t>indicó la fuente, forma y lugar para obtener la información requerida, en términos del artículo 161 de la Ley de la materia</w:t>
      </w:r>
      <w:r w:rsidRPr="00C85E24">
        <w:rPr>
          <w:rFonts w:ascii="Palatino Linotype" w:hAnsi="Palatino Linotype" w:cs="Tahoma"/>
          <w:sz w:val="22"/>
          <w:szCs w:val="22"/>
          <w:lang w:val="es-ES"/>
        </w:rPr>
        <w:t xml:space="preserve">, por lo que resulta procedente </w:t>
      </w:r>
      <w:r w:rsidRPr="00C85E24">
        <w:rPr>
          <w:rFonts w:ascii="Palatino Linotype" w:hAnsi="Palatino Linotype" w:cs="Tahoma"/>
          <w:b/>
          <w:bCs/>
          <w:iCs/>
          <w:sz w:val="22"/>
          <w:szCs w:val="22"/>
          <w:lang w:val="es-ES_tradnl"/>
        </w:rPr>
        <w:t xml:space="preserve">SOBRESEER PARCIALMENTE </w:t>
      </w:r>
      <w:r w:rsidRPr="00C85E24">
        <w:rPr>
          <w:rFonts w:ascii="Palatino Linotype" w:hAnsi="Palatino Linotype" w:cs="Tahoma"/>
          <w:bCs/>
          <w:iCs/>
          <w:sz w:val="22"/>
          <w:szCs w:val="22"/>
          <w:lang w:val="es-ES_tradnl"/>
        </w:rPr>
        <w:t>el recurso de revisión</w:t>
      </w:r>
      <w:r>
        <w:rPr>
          <w:rFonts w:ascii="Palatino Linotype" w:hAnsi="Palatino Linotype" w:cs="Tahoma"/>
          <w:bCs/>
          <w:iCs/>
          <w:sz w:val="22"/>
          <w:szCs w:val="22"/>
          <w:lang w:val="es-ES_tradnl"/>
        </w:rPr>
        <w:t xml:space="preserve"> </w:t>
      </w:r>
      <w:r w:rsidRPr="00C85E24">
        <w:rPr>
          <w:rFonts w:ascii="Palatino Linotype" w:hAnsi="Palatino Linotype" w:cs="Tahoma"/>
          <w:bCs/>
          <w:iCs/>
          <w:sz w:val="22"/>
          <w:szCs w:val="22"/>
        </w:rPr>
        <w:t>0</w:t>
      </w:r>
      <w:r w:rsidR="00BA6ED9">
        <w:rPr>
          <w:rFonts w:ascii="Palatino Linotype" w:hAnsi="Palatino Linotype" w:cs="Tahoma"/>
          <w:bCs/>
          <w:iCs/>
          <w:sz w:val="22"/>
          <w:szCs w:val="22"/>
        </w:rPr>
        <w:t>7516</w:t>
      </w:r>
      <w:r w:rsidRPr="00C85E24">
        <w:rPr>
          <w:rFonts w:ascii="Palatino Linotype" w:hAnsi="Palatino Linotype" w:cs="Tahoma"/>
          <w:bCs/>
          <w:iCs/>
          <w:sz w:val="22"/>
          <w:szCs w:val="22"/>
        </w:rPr>
        <w:t>/INFOEM/IP/RR/2019</w:t>
      </w:r>
      <w:r>
        <w:rPr>
          <w:rFonts w:ascii="Palatino Linotype" w:hAnsi="Palatino Linotype" w:cs="Tahoma"/>
          <w:bCs/>
          <w:iCs/>
          <w:sz w:val="22"/>
          <w:szCs w:val="22"/>
        </w:rPr>
        <w:t>.</w:t>
      </w:r>
    </w:p>
    <w:p w14:paraId="6299B051" w14:textId="77777777" w:rsidR="00791F08" w:rsidRDefault="00791F08" w:rsidP="00447875">
      <w:pPr>
        <w:spacing w:line="360" w:lineRule="auto"/>
        <w:jc w:val="both"/>
        <w:rPr>
          <w:rFonts w:ascii="Palatino Linotype" w:hAnsi="Palatino Linotype" w:cs="Tahoma"/>
          <w:color w:val="000000" w:themeColor="text1"/>
          <w:sz w:val="22"/>
          <w:szCs w:val="22"/>
        </w:rPr>
      </w:pPr>
    </w:p>
    <w:p w14:paraId="71479764" w14:textId="37FBD1B8" w:rsidR="003D0E54" w:rsidRPr="00633431" w:rsidRDefault="00E8768F" w:rsidP="003D0E54">
      <w:pPr>
        <w:spacing w:line="360" w:lineRule="auto"/>
        <w:jc w:val="both"/>
        <w:rPr>
          <w:rFonts w:ascii="Palatino Linotype" w:eastAsia="Calibri" w:hAnsi="Palatino Linotype" w:cs="Tahoma"/>
          <w:bCs/>
          <w:sz w:val="22"/>
          <w:szCs w:val="22"/>
          <w:lang w:val="es-ES" w:eastAsia="es-ES_tradnl"/>
        </w:rPr>
      </w:pPr>
      <w:r>
        <w:rPr>
          <w:rFonts w:ascii="Palatino Linotype" w:eastAsia="Calibri" w:hAnsi="Palatino Linotype" w:cs="Tahoma"/>
          <w:sz w:val="22"/>
          <w:szCs w:val="22"/>
          <w:lang w:eastAsia="es-ES_tradnl"/>
        </w:rPr>
        <w:t>Ahora bien</w:t>
      </w:r>
      <w:r w:rsidR="003D0E54" w:rsidRPr="00AE1E34">
        <w:rPr>
          <w:rFonts w:ascii="Palatino Linotype" w:eastAsia="Calibri" w:hAnsi="Palatino Linotype" w:cs="Tahoma"/>
          <w:sz w:val="22"/>
          <w:szCs w:val="22"/>
          <w:lang w:eastAsia="es-ES_tradnl"/>
        </w:rPr>
        <w:t xml:space="preserve">, por lo que hace a la hipótesis prevista en la </w:t>
      </w:r>
      <w:r w:rsidR="003D0E54" w:rsidRPr="00AE1E34">
        <w:rPr>
          <w:rFonts w:ascii="Palatino Linotype" w:eastAsia="Calibri" w:hAnsi="Palatino Linotype" w:cs="Tahoma"/>
          <w:b/>
          <w:sz w:val="22"/>
          <w:szCs w:val="22"/>
          <w:lang w:eastAsia="es-ES_tradnl"/>
        </w:rPr>
        <w:t>fracción IV</w:t>
      </w:r>
      <w:r w:rsidR="003D0E54" w:rsidRPr="00AE1E34">
        <w:rPr>
          <w:rFonts w:ascii="Palatino Linotype" w:eastAsia="Calibri" w:hAnsi="Palatino Linotype" w:cs="Tahoma"/>
          <w:sz w:val="22"/>
          <w:szCs w:val="22"/>
          <w:lang w:eastAsia="es-ES_tradnl"/>
        </w:rPr>
        <w:t xml:space="preserve">, a saber, que admitido una vez admitido el Recurso de Revisión, aparezca alguna causal de improcedencia en términos </w:t>
      </w:r>
      <w:r w:rsidR="003D0E54" w:rsidRPr="00AE1E34">
        <w:rPr>
          <w:rFonts w:ascii="Palatino Linotype" w:eastAsia="Calibri" w:hAnsi="Palatino Linotype" w:cs="Tahoma"/>
          <w:sz w:val="22"/>
          <w:szCs w:val="22"/>
          <w:lang w:eastAsia="es-ES_tradnl"/>
        </w:rPr>
        <w:lastRenderedPageBreak/>
        <w:t xml:space="preserve">de la presente Ley, </w:t>
      </w:r>
      <w:r w:rsidR="003D0E54" w:rsidRPr="00AE1E34">
        <w:rPr>
          <w:rFonts w:ascii="Palatino Linotype" w:eastAsia="Calibri" w:hAnsi="Palatino Linotype" w:cs="Tahoma"/>
          <w:bCs/>
          <w:sz w:val="22"/>
          <w:szCs w:val="22"/>
          <w:lang w:eastAsia="es-ES_tradnl"/>
        </w:rPr>
        <w:t>resulta necesario traer a colación</w:t>
      </w:r>
      <w:r w:rsidR="003D0E54" w:rsidRPr="00AE1E34">
        <w:rPr>
          <w:rFonts w:ascii="Palatino Linotype" w:eastAsia="Calibri" w:hAnsi="Palatino Linotype" w:cs="Tahoma"/>
          <w:bCs/>
          <w:sz w:val="22"/>
          <w:szCs w:val="22"/>
          <w:lang w:val="es-ES" w:eastAsia="es-ES_tradnl"/>
        </w:rPr>
        <w:t xml:space="preserve"> el artículo 191, fracción V</w:t>
      </w:r>
      <w:r w:rsidR="003D0E54">
        <w:rPr>
          <w:rFonts w:ascii="Palatino Linotype" w:eastAsia="Calibri" w:hAnsi="Palatino Linotype" w:cs="Tahoma"/>
          <w:bCs/>
          <w:sz w:val="22"/>
          <w:szCs w:val="22"/>
          <w:lang w:val="es-ES" w:eastAsia="es-ES_tradnl"/>
        </w:rPr>
        <w:t>I</w:t>
      </w:r>
      <w:r w:rsidR="003D0E54" w:rsidRPr="00AE1E34">
        <w:rPr>
          <w:rFonts w:ascii="Palatino Linotype" w:eastAsia="Calibri" w:hAnsi="Palatino Linotype" w:cs="Tahoma"/>
          <w:bCs/>
          <w:sz w:val="22"/>
          <w:szCs w:val="22"/>
          <w:lang w:val="es-ES" w:eastAsia="es-ES_tradnl"/>
        </w:rPr>
        <w:t xml:space="preserve">I, de </w:t>
      </w:r>
      <w:r w:rsidR="003D0E54" w:rsidRPr="00633431">
        <w:rPr>
          <w:rFonts w:ascii="Palatino Linotype" w:eastAsia="Calibri" w:hAnsi="Palatino Linotype" w:cs="Tahoma"/>
          <w:bCs/>
          <w:sz w:val="22"/>
          <w:szCs w:val="22"/>
          <w:lang w:val="es-ES" w:eastAsia="es-ES_tradnl"/>
        </w:rPr>
        <w:t xml:space="preserve">la Ley de la materia, que establece que el Recurso de Revisión será desechado por improcedente, cuando </w:t>
      </w:r>
      <w:r w:rsidR="00B06AB8" w:rsidRPr="00633431">
        <w:rPr>
          <w:rFonts w:ascii="Palatino Linotype" w:eastAsia="Calibri" w:hAnsi="Palatino Linotype" w:cs="Tahoma"/>
          <w:bCs/>
          <w:sz w:val="22"/>
          <w:szCs w:val="22"/>
          <w:lang w:val="es-ES" w:eastAsia="es-ES_tradnl"/>
        </w:rPr>
        <w:t>a través de este, se amplíe la solicitud de información.</w:t>
      </w:r>
    </w:p>
    <w:p w14:paraId="5E0BCDC3" w14:textId="77777777" w:rsidR="003D0E54" w:rsidRPr="00633431" w:rsidRDefault="003D0E54" w:rsidP="00447875">
      <w:pPr>
        <w:spacing w:line="360" w:lineRule="auto"/>
        <w:jc w:val="both"/>
        <w:rPr>
          <w:rFonts w:ascii="Palatino Linotype" w:hAnsi="Palatino Linotype" w:cs="Tahoma"/>
          <w:color w:val="000000" w:themeColor="text1"/>
          <w:sz w:val="22"/>
          <w:szCs w:val="22"/>
        </w:rPr>
      </w:pPr>
    </w:p>
    <w:p w14:paraId="3C619157" w14:textId="6C75C72F" w:rsidR="00B06AB8" w:rsidRPr="00633431" w:rsidRDefault="00B06AB8" w:rsidP="00B06AB8">
      <w:pPr>
        <w:spacing w:line="360" w:lineRule="auto"/>
        <w:jc w:val="both"/>
        <w:rPr>
          <w:rFonts w:ascii="Palatino Linotype" w:hAnsi="Palatino Linotype" w:cs="Arial"/>
          <w:bCs/>
          <w:color w:val="000000" w:themeColor="text1"/>
          <w:sz w:val="22"/>
          <w:szCs w:val="22"/>
        </w:rPr>
      </w:pPr>
      <w:r w:rsidRPr="00633431">
        <w:rPr>
          <w:rFonts w:ascii="Palatino Linotype" w:hAnsi="Palatino Linotype" w:cs="Arial"/>
          <w:bCs/>
          <w:color w:val="000000" w:themeColor="text1"/>
          <w:sz w:val="22"/>
          <w:szCs w:val="22"/>
        </w:rPr>
        <w:t xml:space="preserve">En ese contexto, de las constancias que obran en el expediente respectivo, se desprende que el Particular requirió, </w:t>
      </w:r>
      <w:r w:rsidR="0086741A" w:rsidRPr="00633431">
        <w:rPr>
          <w:rFonts w:ascii="Palatino Linotype" w:hAnsi="Palatino Linotype" w:cs="Arial"/>
          <w:bCs/>
          <w:color w:val="000000" w:themeColor="text1"/>
          <w:sz w:val="22"/>
          <w:szCs w:val="22"/>
        </w:rPr>
        <w:t>entre otras cosas, el</w:t>
      </w:r>
      <w:r w:rsidR="00115937" w:rsidRPr="00633431">
        <w:rPr>
          <w:rFonts w:ascii="Palatino Linotype" w:hAnsi="Palatino Linotype" w:cs="Arial"/>
          <w:bCs/>
          <w:color w:val="000000" w:themeColor="text1"/>
          <w:sz w:val="22"/>
          <w:szCs w:val="22"/>
        </w:rPr>
        <w:t xml:space="preserve"> listado de obras públicas contratadas durante el dos mil diecinueve; así como la documentación que justifique las mismas; es decir,  los documentos que conforman el procedimiento de contrataci</w:t>
      </w:r>
      <w:r w:rsidR="00487F91" w:rsidRPr="00633431">
        <w:rPr>
          <w:rFonts w:ascii="Palatino Linotype" w:hAnsi="Palatino Linotype" w:cs="Arial"/>
          <w:bCs/>
          <w:color w:val="000000" w:themeColor="text1"/>
          <w:sz w:val="22"/>
          <w:szCs w:val="22"/>
        </w:rPr>
        <w:t xml:space="preserve">ón (desde la convocatoria o invitación, hasta la suscripción del contrato); así como, los documentos que los contratistas hayan entregado, sobre las finanzas, fianzas y las constancias de entrega del lugar de trabajo, bitácora de obra, designación y aceptación de </w:t>
      </w:r>
      <w:r w:rsidR="00633431" w:rsidRPr="00633431">
        <w:rPr>
          <w:rFonts w:ascii="Palatino Linotype" w:hAnsi="Palatino Linotype" w:cs="Arial"/>
          <w:bCs/>
          <w:color w:val="000000" w:themeColor="text1"/>
          <w:sz w:val="22"/>
          <w:szCs w:val="22"/>
        </w:rPr>
        <w:t>residencia</w:t>
      </w:r>
      <w:r w:rsidR="00487F91" w:rsidRPr="00633431">
        <w:rPr>
          <w:rFonts w:ascii="Palatino Linotype" w:hAnsi="Palatino Linotype" w:cs="Arial"/>
          <w:bCs/>
          <w:color w:val="000000" w:themeColor="text1"/>
          <w:sz w:val="22"/>
          <w:szCs w:val="22"/>
        </w:rPr>
        <w:t>.</w:t>
      </w:r>
    </w:p>
    <w:p w14:paraId="06119864" w14:textId="77777777" w:rsidR="00B06AB8" w:rsidRPr="00633431" w:rsidRDefault="00B06AB8" w:rsidP="00B06AB8">
      <w:pPr>
        <w:spacing w:line="360" w:lineRule="auto"/>
        <w:jc w:val="both"/>
        <w:rPr>
          <w:rFonts w:ascii="Palatino Linotype" w:hAnsi="Palatino Linotype" w:cs="Arial"/>
          <w:bCs/>
          <w:color w:val="000000" w:themeColor="text1"/>
          <w:sz w:val="22"/>
          <w:szCs w:val="22"/>
        </w:rPr>
      </w:pPr>
    </w:p>
    <w:p w14:paraId="6C0FE960" w14:textId="433B0514" w:rsidR="00B06AB8" w:rsidRPr="00633431" w:rsidRDefault="00B06AB8" w:rsidP="00B06AB8">
      <w:pPr>
        <w:spacing w:line="360" w:lineRule="auto"/>
        <w:jc w:val="both"/>
        <w:rPr>
          <w:rFonts w:ascii="Palatino Linotype" w:hAnsi="Palatino Linotype" w:cs="Arial"/>
          <w:bCs/>
          <w:color w:val="000000" w:themeColor="text1"/>
          <w:sz w:val="22"/>
          <w:szCs w:val="22"/>
        </w:rPr>
      </w:pPr>
      <w:r w:rsidRPr="00633431">
        <w:rPr>
          <w:rFonts w:ascii="Palatino Linotype" w:hAnsi="Palatino Linotype" w:cs="Arial"/>
          <w:bCs/>
          <w:color w:val="000000" w:themeColor="text1"/>
          <w:sz w:val="22"/>
          <w:szCs w:val="22"/>
        </w:rPr>
        <w:t xml:space="preserve">En respuesta, el Sujeto Obligado, </w:t>
      </w:r>
      <w:r w:rsidR="00562BBD" w:rsidRPr="00633431">
        <w:rPr>
          <w:rFonts w:ascii="Palatino Linotype" w:hAnsi="Palatino Linotype" w:cs="Arial"/>
          <w:bCs/>
          <w:color w:val="000000" w:themeColor="text1"/>
          <w:sz w:val="22"/>
          <w:szCs w:val="22"/>
        </w:rPr>
        <w:t>proporcionó el listado de obras públicas que se estaban llevando a cabo durante el dos mil diecinueve; además proporcionó diversa información sobre la documentación requerida y señaló que otra, estaba en el Portal de Información Pública de Oficio Mexiquense (IPOMEX)</w:t>
      </w:r>
      <w:r w:rsidRPr="00633431">
        <w:rPr>
          <w:rFonts w:ascii="Palatino Linotype" w:hAnsi="Palatino Linotype" w:cs="Arial"/>
          <w:bCs/>
          <w:color w:val="000000" w:themeColor="text1"/>
          <w:sz w:val="22"/>
          <w:szCs w:val="22"/>
        </w:rPr>
        <w:t>. Ante tal circunstancia, el Solicitante interpuso Recurso de Revisión e indicó como razones y motivos de la inconformidad</w:t>
      </w:r>
      <w:r w:rsidR="00633431" w:rsidRPr="00633431">
        <w:rPr>
          <w:rFonts w:ascii="Palatino Linotype" w:hAnsi="Palatino Linotype" w:cs="Arial"/>
          <w:bCs/>
          <w:color w:val="000000" w:themeColor="text1"/>
          <w:sz w:val="22"/>
          <w:szCs w:val="22"/>
        </w:rPr>
        <w:t>, entre otras inconformidades,</w:t>
      </w:r>
      <w:r w:rsidRPr="00633431">
        <w:rPr>
          <w:rFonts w:ascii="Palatino Linotype" w:hAnsi="Palatino Linotype" w:cs="Arial"/>
          <w:bCs/>
          <w:color w:val="000000" w:themeColor="text1"/>
          <w:sz w:val="22"/>
          <w:szCs w:val="22"/>
        </w:rPr>
        <w:t xml:space="preserve"> lo siguiente: </w:t>
      </w:r>
      <w:r w:rsidRPr="00633431">
        <w:rPr>
          <w:rFonts w:ascii="Palatino Linotype" w:hAnsi="Palatino Linotype" w:cs="Arial"/>
          <w:bCs/>
          <w:i/>
          <w:color w:val="000000" w:themeColor="text1"/>
          <w:sz w:val="22"/>
          <w:szCs w:val="22"/>
        </w:rPr>
        <w:t>“</w:t>
      </w:r>
      <w:r w:rsidR="00633431" w:rsidRPr="00633431">
        <w:rPr>
          <w:rFonts w:ascii="Palatino Linotype" w:hAnsi="Palatino Linotype" w:cs="Arial"/>
          <w:bCs/>
          <w:i/>
          <w:color w:val="000000" w:themeColor="text1"/>
          <w:sz w:val="22"/>
          <w:szCs w:val="22"/>
        </w:rPr>
        <w:t xml:space="preserve">NO OBSTANTE, LA AUTORIDAD MUNICIPAL DOLOSAMENTE OMITE ADJUNTAR LOS DOCUMENTOS QUE ACREDITEN SU DICHO, PUESTO QUE, DE SER CIERTO QUE LAS OBRAS SE ENCUENTRAN EJECUTADAS EN SU TOTALIDAD, DEBE EXISTIR YA EN LOS ARCHIVOS DE LA DEPENDENCIA, LAS DOCUMENTALES CORRESPONDIENTES </w:t>
      </w:r>
      <w:r w:rsidR="00633431" w:rsidRPr="00633431">
        <w:rPr>
          <w:rFonts w:ascii="Palatino Linotype" w:hAnsi="Palatino Linotype" w:cs="Arial"/>
          <w:b/>
          <w:bCs/>
          <w:i/>
          <w:color w:val="000000" w:themeColor="text1"/>
          <w:sz w:val="22"/>
          <w:szCs w:val="22"/>
        </w:rPr>
        <w:t>A: ACTA ENTREGA-RECEPCIÓN</w:t>
      </w:r>
      <w:r w:rsidR="00633431" w:rsidRPr="00633431">
        <w:rPr>
          <w:rFonts w:ascii="Palatino Linotype" w:hAnsi="Palatino Linotype" w:cs="Arial"/>
          <w:bCs/>
          <w:i/>
          <w:color w:val="000000" w:themeColor="text1"/>
          <w:sz w:val="22"/>
          <w:szCs w:val="22"/>
        </w:rPr>
        <w:t xml:space="preserve"> (QUE NO SE ADJUNTA), </w:t>
      </w:r>
      <w:r w:rsidR="00633431" w:rsidRPr="00633431">
        <w:rPr>
          <w:rFonts w:ascii="Palatino Linotype" w:hAnsi="Palatino Linotype" w:cs="Arial"/>
          <w:b/>
          <w:bCs/>
          <w:i/>
          <w:color w:val="000000" w:themeColor="text1"/>
          <w:sz w:val="22"/>
          <w:szCs w:val="22"/>
        </w:rPr>
        <w:t>ACTA FINIQUITO</w:t>
      </w:r>
      <w:r w:rsidR="00633431" w:rsidRPr="00633431">
        <w:rPr>
          <w:rFonts w:ascii="Palatino Linotype" w:hAnsi="Palatino Linotype" w:cs="Arial"/>
          <w:bCs/>
          <w:i/>
          <w:color w:val="000000" w:themeColor="text1"/>
          <w:sz w:val="22"/>
          <w:szCs w:val="22"/>
        </w:rPr>
        <w:t xml:space="preserve"> EN LA QUE SE EXPRESE CON CLARIDAD LOS SALDOS A FAVOR O EN CONTRA DE CADA UNA DE LAS PARTES EN LA QUE SE DEBERÁ REFLEJAR ESPECÍFICAMENTE EN QUE ETAPA DEL CIERRE ADMINISTRATIVO SE ENCUENTRA LA OBRA (QUE NO SE ADJUNTA).</w:t>
      </w:r>
      <w:r w:rsidRPr="00633431">
        <w:rPr>
          <w:rFonts w:ascii="Palatino Linotype" w:hAnsi="Palatino Linotype" w:cs="Arial"/>
          <w:bCs/>
          <w:i/>
          <w:color w:val="000000" w:themeColor="text1"/>
          <w:sz w:val="22"/>
          <w:szCs w:val="22"/>
        </w:rPr>
        <w:t>”</w:t>
      </w:r>
    </w:p>
    <w:p w14:paraId="70ED5364" w14:textId="2C3532D3" w:rsidR="00B06AB8" w:rsidRPr="00633431" w:rsidRDefault="00B06AB8" w:rsidP="00B06AB8">
      <w:pPr>
        <w:spacing w:line="360" w:lineRule="auto"/>
        <w:jc w:val="both"/>
        <w:rPr>
          <w:rFonts w:ascii="Palatino Linotype" w:hAnsi="Palatino Linotype" w:cs="Arial"/>
          <w:bCs/>
          <w:color w:val="000000" w:themeColor="text1"/>
          <w:sz w:val="22"/>
          <w:szCs w:val="22"/>
        </w:rPr>
      </w:pPr>
      <w:r w:rsidRPr="00633431">
        <w:rPr>
          <w:rFonts w:ascii="Palatino Linotype" w:hAnsi="Palatino Linotype" w:cs="Arial"/>
          <w:bCs/>
          <w:color w:val="000000" w:themeColor="text1"/>
          <w:sz w:val="22"/>
          <w:szCs w:val="22"/>
        </w:rPr>
        <w:lastRenderedPageBreak/>
        <w:t xml:space="preserve">En ese sentido, del contraste entre el planteamiento formulado en la solicitud de información y de las manifestaciones vertidas por el ahora Recurrente, a través de su escrito recursal, se colige que a través de este último pretende obtener información diversa a la inicialmente requerida, al solicitar </w:t>
      </w:r>
      <w:r w:rsidR="00354A3E">
        <w:rPr>
          <w:rFonts w:ascii="Palatino Linotype" w:hAnsi="Palatino Linotype" w:cs="Arial"/>
          <w:bCs/>
          <w:color w:val="000000" w:themeColor="text1"/>
          <w:sz w:val="22"/>
          <w:szCs w:val="22"/>
        </w:rPr>
        <w:t>la Actas de Entrega- Recepción y el Acta de Finiquito, de las obras públicas que se encuentran en cierra administrativo</w:t>
      </w:r>
      <w:r w:rsidRPr="00633431">
        <w:rPr>
          <w:rFonts w:ascii="Palatino Linotype" w:hAnsi="Palatino Linotype" w:cs="Arial"/>
          <w:bCs/>
          <w:color w:val="000000" w:themeColor="text1"/>
          <w:sz w:val="22"/>
          <w:szCs w:val="22"/>
        </w:rPr>
        <w:t xml:space="preserve">, cuando en un principio, </w:t>
      </w:r>
      <w:r w:rsidR="00354A3E">
        <w:rPr>
          <w:rFonts w:ascii="Palatino Linotype" w:hAnsi="Palatino Linotype" w:cs="Arial"/>
          <w:bCs/>
          <w:color w:val="000000" w:themeColor="text1"/>
          <w:sz w:val="22"/>
          <w:szCs w:val="22"/>
        </w:rPr>
        <w:t>únicamente solicitó determinados documentos sobre el procedimiento de contratación, concernientes a los situados entre la convocatoria o invitación hasta el Contrato, así como diversos documentos emitidos por el Contratista</w:t>
      </w:r>
      <w:r w:rsidRPr="00633431">
        <w:rPr>
          <w:rFonts w:ascii="Palatino Linotype" w:hAnsi="Palatino Linotype" w:cs="Arial"/>
          <w:bCs/>
          <w:color w:val="000000" w:themeColor="text1"/>
          <w:sz w:val="22"/>
          <w:szCs w:val="22"/>
        </w:rPr>
        <w:t xml:space="preserve">. Al respecto, cabe precisar que conforme a la Ley de Transparencia y Acceso a la Información Pública del Estado de México y Municipios, este Instituto no tiene facultad de suplir la queja, en una solicitud de información, sino únicamente de los agravios hechos valer en el medio de impugnación, de conformidad con el artículo 181 de dicho ordenamiento jurídico. </w:t>
      </w:r>
    </w:p>
    <w:p w14:paraId="5BA526C0" w14:textId="77777777" w:rsidR="00B06AB8" w:rsidRPr="00633431" w:rsidRDefault="00B06AB8" w:rsidP="00B06AB8">
      <w:pPr>
        <w:shd w:val="clear" w:color="auto" w:fill="FFFFFF"/>
        <w:spacing w:line="360" w:lineRule="auto"/>
        <w:jc w:val="both"/>
        <w:rPr>
          <w:rFonts w:ascii="Palatino Linotype" w:hAnsi="Palatino Linotype"/>
          <w:b/>
          <w:bCs/>
          <w:color w:val="222222"/>
          <w:sz w:val="22"/>
          <w:szCs w:val="22"/>
          <w:lang w:eastAsia="es-MX"/>
        </w:rPr>
      </w:pPr>
    </w:p>
    <w:p w14:paraId="69CC84AA" w14:textId="7D22D954" w:rsidR="00B06AB8" w:rsidRPr="00633431" w:rsidRDefault="00B06AB8" w:rsidP="00B06AB8">
      <w:pPr>
        <w:shd w:val="clear" w:color="auto" w:fill="FFFFFF"/>
        <w:spacing w:line="360" w:lineRule="auto"/>
        <w:jc w:val="both"/>
        <w:rPr>
          <w:rFonts w:ascii="Palatino Linotype" w:hAnsi="Palatino Linotype"/>
          <w:b/>
          <w:bCs/>
          <w:color w:val="222222"/>
          <w:sz w:val="22"/>
          <w:szCs w:val="22"/>
          <w:lang w:eastAsia="es-MX"/>
        </w:rPr>
      </w:pPr>
      <w:r w:rsidRPr="00633431">
        <w:rPr>
          <w:rFonts w:ascii="Palatino Linotype" w:hAnsi="Palatino Linotype"/>
          <w:bCs/>
          <w:color w:val="222222"/>
          <w:sz w:val="22"/>
          <w:szCs w:val="22"/>
          <w:lang w:eastAsia="es-MX"/>
        </w:rPr>
        <w:t xml:space="preserve">En ese orden de ideas, la ampliación </w:t>
      </w:r>
      <w:r w:rsidR="004A41BE">
        <w:rPr>
          <w:rFonts w:ascii="Palatino Linotype" w:hAnsi="Palatino Linotype"/>
          <w:bCs/>
          <w:color w:val="222222"/>
          <w:sz w:val="22"/>
          <w:szCs w:val="22"/>
          <w:lang w:eastAsia="es-MX"/>
        </w:rPr>
        <w:t>al requerimiento informativo</w:t>
      </w:r>
      <w:r w:rsidRPr="00633431">
        <w:rPr>
          <w:rFonts w:ascii="Palatino Linotype" w:hAnsi="Palatino Linotype"/>
          <w:bCs/>
          <w:color w:val="222222"/>
          <w:sz w:val="22"/>
          <w:szCs w:val="22"/>
          <w:lang w:eastAsia="es-MX"/>
        </w:rPr>
        <w:t xml:space="preserve"> no puede constituir materia de estudio del presente Recurso de Revisión, debido a que la solicitud debe ser apreciada en los términos en que fue planteada originalmente ante el Sujeto Obligado, </w:t>
      </w:r>
      <w:r w:rsidRPr="00633431">
        <w:rPr>
          <w:rFonts w:ascii="Palatino Linotype" w:hAnsi="Palatino Linotype"/>
          <w:b/>
          <w:bCs/>
          <w:color w:val="222222"/>
          <w:sz w:val="22"/>
          <w:szCs w:val="22"/>
          <w:lang w:eastAsia="es-MX"/>
        </w:rPr>
        <w:t xml:space="preserve">sin variar en el fondo la controversia, ni constituir </w:t>
      </w:r>
      <w:r w:rsidR="004A41BE" w:rsidRPr="00633431">
        <w:rPr>
          <w:rFonts w:ascii="Palatino Linotype" w:hAnsi="Palatino Linotype"/>
          <w:b/>
          <w:bCs/>
          <w:color w:val="222222"/>
          <w:sz w:val="22"/>
          <w:szCs w:val="22"/>
          <w:lang w:eastAsia="es-MX"/>
        </w:rPr>
        <w:t xml:space="preserve">un nuevo </w:t>
      </w:r>
      <w:r w:rsidR="004A41BE">
        <w:rPr>
          <w:rFonts w:ascii="Palatino Linotype" w:hAnsi="Palatino Linotype"/>
          <w:b/>
          <w:bCs/>
          <w:color w:val="222222"/>
          <w:sz w:val="22"/>
          <w:szCs w:val="22"/>
          <w:lang w:eastAsia="es-MX"/>
        </w:rPr>
        <w:t>pedimento de información</w:t>
      </w:r>
      <w:r w:rsidRPr="00633431">
        <w:rPr>
          <w:rFonts w:ascii="Palatino Linotype" w:hAnsi="Palatino Linotype"/>
          <w:b/>
          <w:bCs/>
          <w:color w:val="222222"/>
          <w:sz w:val="22"/>
          <w:szCs w:val="22"/>
          <w:lang w:eastAsia="es-MX"/>
        </w:rPr>
        <w:t>.</w:t>
      </w:r>
    </w:p>
    <w:p w14:paraId="660A63B1" w14:textId="77777777" w:rsidR="00B06AB8" w:rsidRPr="00633431" w:rsidRDefault="00B06AB8" w:rsidP="00B06AB8">
      <w:pPr>
        <w:shd w:val="clear" w:color="auto" w:fill="FFFFFF"/>
        <w:spacing w:line="360" w:lineRule="auto"/>
        <w:jc w:val="both"/>
        <w:rPr>
          <w:rFonts w:ascii="Palatino Linotype" w:hAnsi="Palatino Linotype"/>
          <w:color w:val="222222"/>
          <w:sz w:val="22"/>
          <w:szCs w:val="22"/>
          <w:lang w:eastAsia="es-MX"/>
        </w:rPr>
      </w:pPr>
    </w:p>
    <w:p w14:paraId="379F79C2" w14:textId="3CF859BC" w:rsidR="00B06AB8" w:rsidRPr="00633431" w:rsidRDefault="00B06AB8" w:rsidP="00B06AB8">
      <w:pPr>
        <w:shd w:val="clear" w:color="auto" w:fill="FFFFFF"/>
        <w:spacing w:line="360" w:lineRule="auto"/>
        <w:jc w:val="both"/>
        <w:rPr>
          <w:rFonts w:ascii="Palatino Linotype" w:hAnsi="Palatino Linotype"/>
          <w:color w:val="222222"/>
          <w:sz w:val="22"/>
          <w:szCs w:val="22"/>
          <w:lang w:eastAsia="es-MX"/>
        </w:rPr>
      </w:pPr>
      <w:r w:rsidRPr="00633431">
        <w:rPr>
          <w:rFonts w:ascii="Palatino Linotype" w:hAnsi="Palatino Linotype"/>
          <w:color w:val="222222"/>
          <w:sz w:val="22"/>
          <w:szCs w:val="22"/>
          <w:lang w:eastAsia="es-MX"/>
        </w:rPr>
        <w:t>Al respecto, resulta pertinente citar, por analogía, el Criterio 01/17</w:t>
      </w:r>
      <w:r w:rsidR="004A41BE">
        <w:rPr>
          <w:rFonts w:ascii="Palatino Linotype" w:hAnsi="Palatino Linotype"/>
          <w:color w:val="222222"/>
          <w:sz w:val="22"/>
          <w:szCs w:val="22"/>
          <w:lang w:eastAsia="es-MX"/>
        </w:rPr>
        <w:t>,</w:t>
      </w:r>
      <w:r w:rsidRPr="00633431">
        <w:rPr>
          <w:rFonts w:ascii="Palatino Linotype" w:hAnsi="Palatino Linotype"/>
          <w:color w:val="222222"/>
          <w:sz w:val="22"/>
          <w:szCs w:val="22"/>
          <w:lang w:eastAsia="es-MX"/>
        </w:rPr>
        <w:t xml:space="preserve"> emitido por el Instituto Nacional de Transparencia, Acceso a la Información y Protección de Datos Personales, el cual indica que no resulta procedente ampliar vía recurso de revisión, las solicitudes de información:</w:t>
      </w:r>
    </w:p>
    <w:p w14:paraId="7C0ED600" w14:textId="77777777" w:rsidR="00B06AB8" w:rsidRPr="00C63E23" w:rsidRDefault="00B06AB8" w:rsidP="00B06AB8">
      <w:pPr>
        <w:shd w:val="clear" w:color="auto" w:fill="FFFFFF"/>
        <w:spacing w:line="360" w:lineRule="auto"/>
        <w:jc w:val="both"/>
        <w:rPr>
          <w:rFonts w:ascii="Palatino Linotype" w:hAnsi="Palatino Linotype"/>
          <w:color w:val="222222"/>
          <w:lang w:eastAsia="es-MX"/>
        </w:rPr>
      </w:pPr>
    </w:p>
    <w:p w14:paraId="6034A5A0" w14:textId="77777777" w:rsidR="00B06AB8" w:rsidRPr="00633431" w:rsidRDefault="00B06AB8" w:rsidP="00633431">
      <w:pPr>
        <w:shd w:val="clear" w:color="auto" w:fill="FFFFFF"/>
        <w:spacing w:line="360" w:lineRule="auto"/>
        <w:ind w:left="567" w:right="567"/>
        <w:jc w:val="both"/>
        <w:rPr>
          <w:rFonts w:ascii="Palatino Linotype" w:hAnsi="Palatino Linotype"/>
          <w:i/>
          <w:color w:val="222222"/>
          <w:lang w:eastAsia="es-MX"/>
        </w:rPr>
      </w:pPr>
      <w:r w:rsidRPr="00633431">
        <w:rPr>
          <w:rFonts w:ascii="Palatino Linotype" w:hAnsi="Palatino Linotype"/>
          <w:i/>
          <w:color w:val="222222"/>
          <w:lang w:eastAsia="es-MX"/>
        </w:rPr>
        <w:t>“</w:t>
      </w:r>
      <w:r w:rsidRPr="00633431">
        <w:rPr>
          <w:rFonts w:ascii="Palatino Linotype" w:hAnsi="Palatino Linotype"/>
          <w:b/>
          <w:i/>
          <w:color w:val="222222"/>
          <w:lang w:eastAsia="es-MX"/>
        </w:rPr>
        <w:t>Es improcedente ampliar las solicitudes de acceso a información, a través de la interposición del recurso de revisión.</w:t>
      </w:r>
      <w:r w:rsidRPr="00633431">
        <w:rPr>
          <w:rFonts w:ascii="Palatino Linotype" w:hAnsi="Palatino Linotype"/>
          <w:i/>
          <w:color w:val="222222"/>
          <w:lang w:eastAsia="es-MX"/>
        </w:rPr>
        <w:t xml:space="preserve"> En términos de los artículos 155, fracción VII de la Ley General de Transparencia y Acceso a la Información Pública, y 161, fracción VII de la Ley Federal de Transparencia y Acceso a la Información Pública, en aquellos casos en que los recurrentes, </w:t>
      </w:r>
      <w:r w:rsidRPr="00633431">
        <w:rPr>
          <w:rFonts w:ascii="Palatino Linotype" w:hAnsi="Palatino Linotype"/>
          <w:i/>
          <w:color w:val="222222"/>
          <w:lang w:eastAsia="es-MX"/>
        </w:rPr>
        <w:lastRenderedPageBreak/>
        <w:t>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EC2CD0E" w14:textId="77777777" w:rsidR="00B06AB8" w:rsidRDefault="00B06AB8" w:rsidP="00B06AB8">
      <w:pPr>
        <w:shd w:val="clear" w:color="auto" w:fill="FFFFFF"/>
        <w:spacing w:line="360" w:lineRule="auto"/>
        <w:ind w:left="567" w:right="567"/>
        <w:jc w:val="both"/>
        <w:rPr>
          <w:rFonts w:ascii="Palatino Linotype" w:hAnsi="Palatino Linotype"/>
          <w:color w:val="222222"/>
          <w:lang w:eastAsia="es-MX"/>
        </w:rPr>
      </w:pPr>
    </w:p>
    <w:p w14:paraId="72417B6F" w14:textId="77777777" w:rsidR="00B06AB8" w:rsidRPr="00D07F6E" w:rsidRDefault="00B06AB8" w:rsidP="00B06AB8">
      <w:pPr>
        <w:shd w:val="clear" w:color="auto" w:fill="FFFFFF"/>
        <w:spacing w:line="360" w:lineRule="auto"/>
        <w:jc w:val="both"/>
        <w:rPr>
          <w:rFonts w:ascii="Palatino Linotype" w:hAnsi="Palatino Linotype"/>
          <w:color w:val="222222"/>
          <w:sz w:val="22"/>
          <w:szCs w:val="22"/>
          <w:lang w:eastAsia="es-MX"/>
        </w:rPr>
      </w:pPr>
      <w:r w:rsidRPr="00D07F6E">
        <w:rPr>
          <w:rFonts w:ascii="Palatino Linotype" w:hAnsi="Palatino Linotype"/>
          <w:color w:val="222222"/>
          <w:sz w:val="22"/>
          <w:szCs w:val="22"/>
          <w:lang w:eastAsia="es-MX"/>
        </w:rPr>
        <w:t>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w:t>
      </w:r>
    </w:p>
    <w:p w14:paraId="55293A00" w14:textId="77777777" w:rsidR="00B06AB8" w:rsidRPr="00D07F6E" w:rsidRDefault="00B06AB8" w:rsidP="00B06AB8">
      <w:pPr>
        <w:shd w:val="clear" w:color="auto" w:fill="FFFFFF"/>
        <w:spacing w:line="360" w:lineRule="auto"/>
        <w:jc w:val="both"/>
        <w:rPr>
          <w:rFonts w:ascii="Palatino Linotype" w:hAnsi="Palatino Linotype"/>
          <w:color w:val="222222"/>
          <w:sz w:val="22"/>
          <w:szCs w:val="22"/>
          <w:lang w:eastAsia="es-MX"/>
        </w:rPr>
      </w:pPr>
    </w:p>
    <w:p w14:paraId="114C5E76" w14:textId="5B50719E" w:rsidR="00D07F6E" w:rsidRPr="00AE1E34" w:rsidRDefault="00B06AB8" w:rsidP="00D07F6E">
      <w:pPr>
        <w:spacing w:line="360" w:lineRule="auto"/>
        <w:jc w:val="both"/>
        <w:rPr>
          <w:rFonts w:ascii="Palatino Linotype" w:eastAsia="Calibri" w:hAnsi="Palatino Linotype" w:cs="Tahoma"/>
          <w:sz w:val="22"/>
          <w:szCs w:val="22"/>
          <w:lang w:val="es-ES" w:eastAsia="es-ES_tradnl"/>
        </w:rPr>
      </w:pPr>
      <w:r w:rsidRPr="00D07F6E">
        <w:rPr>
          <w:rFonts w:ascii="Palatino Linotype" w:hAnsi="Palatino Linotype" w:cs="Arial"/>
          <w:color w:val="000000" w:themeColor="text1"/>
          <w:sz w:val="22"/>
          <w:szCs w:val="22"/>
        </w:rPr>
        <w:t xml:space="preserve">Por lo tanto, dado que en el medio de impugnación, la parte Recurrente al plantear su inconformidad, </w:t>
      </w:r>
      <w:r w:rsidRPr="00D07F6E">
        <w:rPr>
          <w:rFonts w:ascii="Palatino Linotype" w:hAnsi="Palatino Linotype"/>
          <w:color w:val="222222"/>
          <w:sz w:val="22"/>
          <w:szCs w:val="22"/>
          <w:lang w:eastAsia="es-MX"/>
        </w:rPr>
        <w:t xml:space="preserve">amplió su solicitud, al requerir </w:t>
      </w:r>
      <w:r w:rsidR="004A41BE" w:rsidRPr="00D07F6E">
        <w:rPr>
          <w:rFonts w:ascii="Palatino Linotype" w:hAnsi="Palatino Linotype"/>
          <w:color w:val="222222"/>
          <w:sz w:val="22"/>
          <w:szCs w:val="22"/>
          <w:lang w:eastAsia="es-MX"/>
        </w:rPr>
        <w:t xml:space="preserve">las Actas de Entrega-Recepción y </w:t>
      </w:r>
      <w:r w:rsidR="00D07F6E" w:rsidRPr="00D07F6E">
        <w:rPr>
          <w:rFonts w:ascii="Palatino Linotype" w:hAnsi="Palatino Linotype"/>
          <w:color w:val="222222"/>
          <w:sz w:val="22"/>
          <w:szCs w:val="22"/>
          <w:lang w:eastAsia="es-MX"/>
        </w:rPr>
        <w:t>las Actas de Finiquito  de las Obras Públicas que se encuentran en cierre administrativo,</w:t>
      </w:r>
      <w:r w:rsidRPr="00D07F6E">
        <w:rPr>
          <w:rFonts w:ascii="Palatino Linotype" w:hAnsi="Palatino Linotype"/>
          <w:color w:val="222222"/>
          <w:sz w:val="22"/>
          <w:szCs w:val="22"/>
          <w:lang w:eastAsia="es-MX"/>
        </w:rPr>
        <w:t xml:space="preserve"> </w:t>
      </w:r>
      <w:r w:rsidRPr="00D07F6E">
        <w:rPr>
          <w:rFonts w:ascii="Palatino Linotype" w:hAnsi="Palatino Linotype" w:cs="Arial"/>
          <w:color w:val="000000" w:themeColor="text1"/>
          <w:sz w:val="22"/>
          <w:szCs w:val="22"/>
        </w:rPr>
        <w:t xml:space="preserve">el Recurso de Revisión </w:t>
      </w:r>
      <w:r w:rsidRPr="00D07F6E">
        <w:rPr>
          <w:rFonts w:ascii="Palatino Linotype" w:hAnsi="Palatino Linotype" w:cs="Arial"/>
          <w:b/>
          <w:color w:val="000000" w:themeColor="text1"/>
          <w:sz w:val="22"/>
          <w:szCs w:val="22"/>
        </w:rPr>
        <w:t>actualiza la causal de desechamiento establecida en el artículo 191, fracción VII, de la Ley de Transparencia y Acceso a la Información Pública de</w:t>
      </w:r>
      <w:r w:rsidR="00D07F6E" w:rsidRPr="00D07F6E">
        <w:rPr>
          <w:rFonts w:ascii="Palatino Linotype" w:hAnsi="Palatino Linotype" w:cs="Arial"/>
          <w:b/>
          <w:color w:val="000000" w:themeColor="text1"/>
          <w:sz w:val="22"/>
          <w:szCs w:val="22"/>
        </w:rPr>
        <w:t>l Estado de México y Municipios</w:t>
      </w:r>
      <w:r w:rsidR="00B26BB0">
        <w:rPr>
          <w:rFonts w:ascii="Palatino Linotype" w:hAnsi="Palatino Linotype" w:cs="Arial"/>
          <w:b/>
          <w:color w:val="000000" w:themeColor="text1"/>
          <w:sz w:val="22"/>
          <w:szCs w:val="22"/>
        </w:rPr>
        <w:t>, solamente por lo hace a dichos contenidos</w:t>
      </w:r>
      <w:r w:rsidR="00D07F6E" w:rsidRPr="00D07F6E">
        <w:rPr>
          <w:rFonts w:ascii="Palatino Linotype" w:hAnsi="Palatino Linotype" w:cs="Arial"/>
          <w:b/>
          <w:color w:val="000000" w:themeColor="text1"/>
          <w:sz w:val="22"/>
          <w:szCs w:val="22"/>
        </w:rPr>
        <w:t xml:space="preserve">; </w:t>
      </w:r>
      <w:r w:rsidR="00D07F6E" w:rsidRPr="00D07F6E">
        <w:rPr>
          <w:rFonts w:ascii="Palatino Linotype" w:hAnsi="Palatino Linotype" w:cs="Arial"/>
          <w:color w:val="000000" w:themeColor="text1"/>
          <w:sz w:val="22"/>
          <w:szCs w:val="22"/>
        </w:rPr>
        <w:t>no o</w:t>
      </w:r>
      <w:r w:rsidR="00D07F6E">
        <w:rPr>
          <w:rFonts w:ascii="Palatino Linotype" w:hAnsi="Palatino Linotype" w:cs="Arial"/>
          <w:color w:val="000000" w:themeColor="text1"/>
          <w:sz w:val="22"/>
          <w:szCs w:val="22"/>
        </w:rPr>
        <w:t xml:space="preserve">bstante, </w:t>
      </w:r>
      <w:r w:rsidR="00D07F6E" w:rsidRPr="00AE1E34">
        <w:rPr>
          <w:rFonts w:ascii="Palatino Linotype" w:eastAsia="Calibri" w:hAnsi="Palatino Linotype" w:cs="Tahoma"/>
          <w:sz w:val="22"/>
          <w:szCs w:val="22"/>
          <w:lang w:val="es-ES" w:eastAsia="es-ES_tradnl"/>
        </w:rPr>
        <w:t>toda vez que, fue necesario admitir el medio de</w:t>
      </w:r>
      <w:r w:rsidR="00D07F6E">
        <w:rPr>
          <w:rFonts w:ascii="Palatino Linotype" w:eastAsia="Calibri" w:hAnsi="Palatino Linotype" w:cs="Tahoma"/>
          <w:sz w:val="22"/>
          <w:szCs w:val="22"/>
          <w:lang w:val="es-ES" w:eastAsia="es-ES_tradnl"/>
        </w:rPr>
        <w:t xml:space="preserve"> impugnación, en virtud de que el</w:t>
      </w:r>
      <w:r w:rsidR="00D07F6E" w:rsidRPr="00AE1E34">
        <w:rPr>
          <w:rFonts w:ascii="Palatino Linotype" w:eastAsia="Calibri" w:hAnsi="Palatino Linotype" w:cs="Tahoma"/>
          <w:sz w:val="22"/>
          <w:szCs w:val="22"/>
          <w:lang w:val="es-ES" w:eastAsia="es-ES_tradnl"/>
        </w:rPr>
        <w:t xml:space="preserve"> ahora Recurrente se inconformó con la </w:t>
      </w:r>
      <w:r w:rsidR="00D07F6E">
        <w:rPr>
          <w:rFonts w:ascii="Palatino Linotype" w:eastAsia="Calibri" w:hAnsi="Palatino Linotype" w:cs="Tahoma"/>
          <w:sz w:val="22"/>
          <w:szCs w:val="22"/>
          <w:lang w:val="es-ES" w:eastAsia="es-ES_tradnl"/>
        </w:rPr>
        <w:t>clasificación y entrega de información incompleta</w:t>
      </w:r>
      <w:r w:rsidR="00D07F6E" w:rsidRPr="00AE1E34">
        <w:rPr>
          <w:rFonts w:ascii="Palatino Linotype" w:eastAsia="Calibri" w:hAnsi="Palatino Linotype" w:cs="Tahoma"/>
          <w:sz w:val="22"/>
          <w:szCs w:val="22"/>
          <w:lang w:val="es-ES" w:eastAsia="es-ES_tradnl"/>
        </w:rPr>
        <w:t xml:space="preserve">, lo procedente es </w:t>
      </w:r>
      <w:r w:rsidR="00D07F6E" w:rsidRPr="00AE1E34">
        <w:rPr>
          <w:rFonts w:ascii="Palatino Linotype" w:eastAsia="Calibri" w:hAnsi="Palatino Linotype" w:cs="Tahoma"/>
          <w:b/>
          <w:sz w:val="22"/>
          <w:szCs w:val="22"/>
          <w:lang w:val="es-ES" w:eastAsia="es-ES_tradnl"/>
        </w:rPr>
        <w:t xml:space="preserve">SOBRESEER PARCIALMENTE </w:t>
      </w:r>
      <w:r w:rsidR="00D07F6E" w:rsidRPr="00AE1E34">
        <w:rPr>
          <w:rFonts w:ascii="Palatino Linotype" w:eastAsia="Calibri" w:hAnsi="Palatino Linotype" w:cs="Tahoma"/>
          <w:sz w:val="22"/>
          <w:szCs w:val="22"/>
          <w:lang w:val="es-ES" w:eastAsia="es-ES_tradnl"/>
        </w:rPr>
        <w:t>el presente Recurso de Revisión, al actualizarse el supuesto previsto en el artículo 192, fracción IV, en relación con el diverso 186, fracción I, de ese ordenamiento legal.</w:t>
      </w:r>
    </w:p>
    <w:p w14:paraId="22844253" w14:textId="77777777" w:rsidR="00364CED" w:rsidRPr="00D07F6E" w:rsidRDefault="00364CED" w:rsidP="00B06AB8">
      <w:pPr>
        <w:shd w:val="clear" w:color="auto" w:fill="FFFFFF"/>
        <w:spacing w:line="360" w:lineRule="auto"/>
        <w:jc w:val="both"/>
        <w:rPr>
          <w:rFonts w:ascii="Palatino Linotype" w:hAnsi="Palatino Linotype"/>
          <w:color w:val="222222"/>
          <w:sz w:val="22"/>
          <w:szCs w:val="22"/>
          <w:lang w:eastAsia="es-MX"/>
        </w:rPr>
      </w:pPr>
    </w:p>
    <w:p w14:paraId="7C0E8EE5" w14:textId="2EC36B84" w:rsidR="00D07F6E" w:rsidRPr="00AE1E34" w:rsidRDefault="00364CED" w:rsidP="00D07F6E">
      <w:pPr>
        <w:spacing w:line="360" w:lineRule="auto"/>
        <w:jc w:val="both"/>
        <w:rPr>
          <w:rFonts w:ascii="Palatino Linotype" w:eastAsia="Calibri" w:hAnsi="Palatino Linotype" w:cs="Tahoma"/>
          <w:b/>
          <w:sz w:val="22"/>
          <w:szCs w:val="22"/>
          <w:lang w:val="es-ES" w:eastAsia="es-ES_tradnl"/>
        </w:rPr>
      </w:pPr>
      <w:r>
        <w:rPr>
          <w:rFonts w:ascii="Palatino Linotype" w:eastAsia="Calibri" w:hAnsi="Palatino Linotype" w:cs="Tahoma"/>
          <w:sz w:val="22"/>
          <w:szCs w:val="22"/>
          <w:lang w:eastAsia="es-ES_tradnl"/>
        </w:rPr>
        <w:t>No obstante lo analizado</w:t>
      </w:r>
      <w:r w:rsidR="00D07F6E" w:rsidRPr="00AE1E34">
        <w:rPr>
          <w:rFonts w:ascii="Palatino Linotype" w:eastAsia="Calibri" w:hAnsi="Palatino Linotype" w:cs="Tahoma"/>
          <w:sz w:val="22"/>
          <w:szCs w:val="22"/>
          <w:lang w:eastAsia="es-ES_tradnl"/>
        </w:rPr>
        <w:t>, toda vez que no ha quedado por completo sin materia el Recurso de Revisión, se considera procedente entrar al fondo del presente asunto</w:t>
      </w:r>
      <w:r w:rsidR="00D07F6E">
        <w:rPr>
          <w:rFonts w:ascii="Palatino Linotype" w:eastAsia="Calibri" w:hAnsi="Palatino Linotype" w:cs="Tahoma"/>
          <w:sz w:val="22"/>
          <w:szCs w:val="22"/>
          <w:lang w:eastAsia="es-ES_tradnl"/>
        </w:rPr>
        <w:t xml:space="preserve">, </w:t>
      </w:r>
      <w:r>
        <w:rPr>
          <w:rFonts w:ascii="Palatino Linotype" w:eastAsia="Calibri" w:hAnsi="Palatino Linotype" w:cs="Tahoma"/>
          <w:sz w:val="22"/>
          <w:szCs w:val="22"/>
          <w:lang w:eastAsia="es-ES_tradnl"/>
        </w:rPr>
        <w:t xml:space="preserve">pues subsiste el agravió de la clasificación de la información y entrega de diversa que no corresponde con lo </w:t>
      </w:r>
      <w:r w:rsidR="00026DA0">
        <w:rPr>
          <w:rFonts w:ascii="Palatino Linotype" w:eastAsia="Calibri" w:hAnsi="Palatino Linotype" w:cs="Tahoma"/>
          <w:sz w:val="22"/>
          <w:szCs w:val="22"/>
          <w:lang w:eastAsia="es-ES_tradnl"/>
        </w:rPr>
        <w:t>requerido</w:t>
      </w:r>
      <w:r>
        <w:rPr>
          <w:rFonts w:ascii="Palatino Linotype" w:eastAsia="Calibri" w:hAnsi="Palatino Linotype" w:cs="Tahoma"/>
          <w:sz w:val="22"/>
          <w:szCs w:val="22"/>
          <w:lang w:eastAsia="es-ES_tradnl"/>
        </w:rPr>
        <w:t>.</w:t>
      </w:r>
    </w:p>
    <w:p w14:paraId="746B3633" w14:textId="77777777" w:rsidR="003D0E54" w:rsidRDefault="003D0E54" w:rsidP="00447875">
      <w:pPr>
        <w:tabs>
          <w:tab w:val="left" w:pos="4962"/>
        </w:tabs>
        <w:spacing w:line="360" w:lineRule="auto"/>
        <w:jc w:val="both"/>
        <w:rPr>
          <w:rFonts w:ascii="Palatino Linotype" w:eastAsia="Calibri" w:hAnsi="Palatino Linotype" w:cs="Tahoma"/>
          <w:b/>
          <w:iCs/>
          <w:color w:val="000000" w:themeColor="text1"/>
          <w:sz w:val="22"/>
          <w:szCs w:val="22"/>
          <w:lang w:val="es-ES" w:eastAsia="es-ES_tradnl"/>
        </w:rPr>
      </w:pPr>
    </w:p>
    <w:p w14:paraId="7A571C2B" w14:textId="77777777" w:rsidR="0025469C" w:rsidRPr="00302243" w:rsidRDefault="00F02171" w:rsidP="00447875">
      <w:pPr>
        <w:tabs>
          <w:tab w:val="left" w:pos="4962"/>
        </w:tabs>
        <w:spacing w:line="360" w:lineRule="auto"/>
        <w:jc w:val="both"/>
        <w:rPr>
          <w:rFonts w:ascii="Palatino Linotype" w:eastAsia="Calibri" w:hAnsi="Palatino Linotype" w:cs="Tahoma"/>
          <w:b/>
          <w:iCs/>
          <w:color w:val="000000" w:themeColor="text1"/>
          <w:sz w:val="22"/>
          <w:szCs w:val="22"/>
          <w:lang w:val="es-ES" w:eastAsia="es-ES_tradnl"/>
        </w:rPr>
      </w:pPr>
      <w:r w:rsidRPr="00302243">
        <w:rPr>
          <w:rFonts w:ascii="Palatino Linotype" w:eastAsia="Calibri" w:hAnsi="Palatino Linotype" w:cs="Tahoma"/>
          <w:b/>
          <w:iCs/>
          <w:color w:val="000000" w:themeColor="text1"/>
          <w:sz w:val="22"/>
          <w:szCs w:val="22"/>
          <w:lang w:val="es-ES" w:eastAsia="es-ES_tradnl"/>
        </w:rPr>
        <w:lastRenderedPageBreak/>
        <w:t>TERCER</w:t>
      </w:r>
      <w:r w:rsidR="002241A6" w:rsidRPr="00302243">
        <w:rPr>
          <w:rFonts w:ascii="Palatino Linotype" w:eastAsia="Calibri" w:hAnsi="Palatino Linotype" w:cs="Tahoma"/>
          <w:b/>
          <w:iCs/>
          <w:color w:val="000000" w:themeColor="text1"/>
          <w:sz w:val="22"/>
          <w:szCs w:val="22"/>
          <w:lang w:val="es-ES" w:eastAsia="es-ES_tradnl"/>
        </w:rPr>
        <w:t>O</w:t>
      </w:r>
      <w:r w:rsidRPr="00302243">
        <w:rPr>
          <w:rFonts w:ascii="Palatino Linotype" w:eastAsia="Calibri" w:hAnsi="Palatino Linotype" w:cs="Tahoma"/>
          <w:b/>
          <w:iCs/>
          <w:color w:val="000000" w:themeColor="text1"/>
          <w:sz w:val="22"/>
          <w:szCs w:val="22"/>
          <w:lang w:val="es-ES" w:eastAsia="es-ES_tradnl"/>
        </w:rPr>
        <w:t xml:space="preserve">. </w:t>
      </w:r>
      <w:r w:rsidR="0025469C" w:rsidRPr="00302243">
        <w:rPr>
          <w:rFonts w:ascii="Palatino Linotype" w:eastAsia="Calibri" w:hAnsi="Palatino Linotype" w:cs="Tahoma"/>
          <w:b/>
          <w:iCs/>
          <w:color w:val="000000" w:themeColor="text1"/>
          <w:sz w:val="22"/>
          <w:szCs w:val="22"/>
          <w:lang w:val="es-ES" w:eastAsia="es-ES_tradnl"/>
        </w:rPr>
        <w:t xml:space="preserve">Determinación </w:t>
      </w:r>
      <w:r w:rsidR="009617D3" w:rsidRPr="00302243">
        <w:rPr>
          <w:rFonts w:ascii="Palatino Linotype" w:eastAsia="Calibri" w:hAnsi="Palatino Linotype" w:cs="Tahoma"/>
          <w:b/>
          <w:iCs/>
          <w:color w:val="000000" w:themeColor="text1"/>
          <w:sz w:val="22"/>
          <w:szCs w:val="22"/>
          <w:lang w:val="es-ES" w:eastAsia="es-ES_tradnl"/>
        </w:rPr>
        <w:t xml:space="preserve">de la </w:t>
      </w:r>
      <w:r w:rsidR="00CF4012" w:rsidRPr="00302243">
        <w:rPr>
          <w:rFonts w:ascii="Palatino Linotype" w:eastAsia="Calibri" w:hAnsi="Palatino Linotype" w:cs="Tahoma"/>
          <w:b/>
          <w:iCs/>
          <w:color w:val="000000" w:themeColor="text1"/>
          <w:sz w:val="22"/>
          <w:szCs w:val="22"/>
          <w:lang w:val="es-ES" w:eastAsia="es-ES_tradnl"/>
        </w:rPr>
        <w:t>Controversia</w:t>
      </w:r>
      <w:r w:rsidRPr="00302243">
        <w:rPr>
          <w:rFonts w:ascii="Palatino Linotype" w:eastAsia="Calibri" w:hAnsi="Palatino Linotype" w:cs="Tahoma"/>
          <w:b/>
          <w:iCs/>
          <w:color w:val="000000" w:themeColor="text1"/>
          <w:sz w:val="22"/>
          <w:szCs w:val="22"/>
          <w:lang w:val="es-ES" w:eastAsia="es-ES_tradnl"/>
        </w:rPr>
        <w:t xml:space="preserve">. </w:t>
      </w:r>
    </w:p>
    <w:p w14:paraId="7AE08C70" w14:textId="77777777" w:rsidR="0025469C" w:rsidRPr="00302243" w:rsidRDefault="0025469C" w:rsidP="00447875">
      <w:pPr>
        <w:tabs>
          <w:tab w:val="left" w:pos="4962"/>
        </w:tabs>
        <w:spacing w:line="360" w:lineRule="auto"/>
        <w:jc w:val="both"/>
        <w:rPr>
          <w:rFonts w:ascii="Palatino Linotype" w:eastAsia="Calibri" w:hAnsi="Palatino Linotype" w:cs="Tahoma"/>
          <w:b/>
          <w:iCs/>
          <w:color w:val="000000" w:themeColor="text1"/>
          <w:sz w:val="22"/>
          <w:szCs w:val="22"/>
          <w:lang w:val="es-ES" w:eastAsia="es-ES_tradnl"/>
        </w:rPr>
      </w:pPr>
    </w:p>
    <w:p w14:paraId="6C54100B" w14:textId="77777777" w:rsidR="003F7AED" w:rsidRPr="003F7AED" w:rsidRDefault="003F7AED" w:rsidP="003F7AED">
      <w:pPr>
        <w:tabs>
          <w:tab w:val="left" w:pos="4962"/>
        </w:tabs>
        <w:spacing w:line="360" w:lineRule="auto"/>
        <w:jc w:val="both"/>
        <w:rPr>
          <w:rFonts w:ascii="Palatino Linotype" w:eastAsia="Calibri" w:hAnsi="Palatino Linotype" w:cs="Tahoma"/>
          <w:iCs/>
          <w:color w:val="000000" w:themeColor="text1"/>
          <w:sz w:val="22"/>
          <w:szCs w:val="22"/>
          <w:lang w:val="es-ES" w:eastAsia="es-ES_tradnl"/>
        </w:rPr>
      </w:pPr>
      <w:r w:rsidRPr="003F7AED">
        <w:rPr>
          <w:rFonts w:ascii="Palatino Linotype" w:eastAsia="Calibri" w:hAnsi="Palatino Linotype" w:cs="Tahoma"/>
          <w:iCs/>
          <w:color w:val="000000" w:themeColor="text1"/>
          <w:sz w:val="22"/>
          <w:szCs w:val="22"/>
          <w:lang w:val="es-ES" w:eastAsia="es-ES_tradnl"/>
        </w:rPr>
        <w:t>Una vez realizado el estudio de las constancias que integran el expediente en que se actúa y con finalidad de tener claridad en lo solicitado, la respuesta del Sujeto Obligado y los agravios hechos valer por el Particular, se desarrolla el siguiente cuadro:</w:t>
      </w:r>
    </w:p>
    <w:p w14:paraId="6FF8767F" w14:textId="77777777" w:rsidR="003F7AED" w:rsidRPr="003F7AED" w:rsidRDefault="003F7AED" w:rsidP="003F7AED">
      <w:pPr>
        <w:tabs>
          <w:tab w:val="left" w:pos="4962"/>
        </w:tabs>
        <w:spacing w:line="360" w:lineRule="auto"/>
        <w:jc w:val="both"/>
        <w:rPr>
          <w:rFonts w:ascii="Palatino Linotype" w:eastAsia="Calibri" w:hAnsi="Palatino Linotype" w:cs="Tahoma"/>
          <w:iCs/>
          <w:color w:val="000000" w:themeColor="text1"/>
          <w:sz w:val="22"/>
          <w:szCs w:val="22"/>
          <w:lang w:val="es-ES" w:eastAsia="es-ES_tradnl"/>
        </w:rPr>
      </w:pPr>
    </w:p>
    <w:tbl>
      <w:tblPr>
        <w:tblStyle w:val="Tablaconcuadrcula"/>
        <w:tblW w:w="0" w:type="auto"/>
        <w:tblLayout w:type="fixed"/>
        <w:tblLook w:val="04A0" w:firstRow="1" w:lastRow="0" w:firstColumn="1" w:lastColumn="0" w:noHBand="0" w:noVBand="1"/>
      </w:tblPr>
      <w:tblGrid>
        <w:gridCol w:w="2405"/>
        <w:gridCol w:w="2977"/>
        <w:gridCol w:w="1984"/>
        <w:gridCol w:w="1668"/>
      </w:tblGrid>
      <w:tr w:rsidR="003F7AED" w:rsidRPr="0090131E" w14:paraId="584BBD3B" w14:textId="77777777" w:rsidTr="00133E00">
        <w:tc>
          <w:tcPr>
            <w:tcW w:w="24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2ED2B" w14:textId="77777777" w:rsidR="003F7AED" w:rsidRPr="0090131E" w:rsidRDefault="003F7AED" w:rsidP="003F7AED">
            <w:pPr>
              <w:tabs>
                <w:tab w:val="left" w:pos="4962"/>
              </w:tabs>
              <w:spacing w:line="360" w:lineRule="auto"/>
              <w:jc w:val="both"/>
              <w:rPr>
                <w:rFonts w:ascii="Palatino Linotype" w:eastAsia="Calibri" w:hAnsi="Palatino Linotype" w:cs="Tahoma"/>
                <w:b/>
                <w:iCs/>
                <w:color w:val="000000" w:themeColor="text1"/>
                <w:sz w:val="18"/>
                <w:szCs w:val="18"/>
                <w:lang w:eastAsia="es-ES_tradnl"/>
              </w:rPr>
            </w:pPr>
            <w:r w:rsidRPr="0090131E">
              <w:rPr>
                <w:rFonts w:ascii="Palatino Linotype" w:eastAsia="Calibri" w:hAnsi="Palatino Linotype" w:cs="Tahoma"/>
                <w:b/>
                <w:iCs/>
                <w:color w:val="000000" w:themeColor="text1"/>
                <w:sz w:val="18"/>
                <w:szCs w:val="18"/>
                <w:lang w:eastAsia="es-ES_tradnl"/>
              </w:rPr>
              <w:t xml:space="preserve">Solicitud </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B16AE8" w14:textId="7D495CDA" w:rsidR="003F7AED" w:rsidRPr="0090131E" w:rsidRDefault="003F7AED" w:rsidP="003F7AED">
            <w:pPr>
              <w:tabs>
                <w:tab w:val="left" w:pos="4962"/>
              </w:tabs>
              <w:spacing w:line="360" w:lineRule="auto"/>
              <w:jc w:val="both"/>
              <w:rPr>
                <w:rFonts w:ascii="Palatino Linotype" w:eastAsia="Calibri" w:hAnsi="Palatino Linotype" w:cs="Tahoma"/>
                <w:b/>
                <w:iCs/>
                <w:color w:val="000000" w:themeColor="text1"/>
                <w:sz w:val="18"/>
                <w:szCs w:val="18"/>
                <w:lang w:eastAsia="es-ES_tradnl"/>
              </w:rPr>
            </w:pPr>
            <w:r w:rsidRPr="0090131E">
              <w:rPr>
                <w:rFonts w:ascii="Palatino Linotype" w:eastAsia="Calibri" w:hAnsi="Palatino Linotype" w:cs="Tahoma"/>
                <w:b/>
                <w:iCs/>
                <w:color w:val="000000" w:themeColor="text1"/>
                <w:sz w:val="18"/>
                <w:szCs w:val="18"/>
                <w:lang w:eastAsia="es-ES_tradnl"/>
              </w:rPr>
              <w:t>Respuesta</w:t>
            </w:r>
            <w:r w:rsidR="00C21910">
              <w:rPr>
                <w:rFonts w:ascii="Palatino Linotype" w:eastAsia="Calibri" w:hAnsi="Palatino Linotype" w:cs="Tahoma"/>
                <w:b/>
                <w:iCs/>
                <w:color w:val="000000" w:themeColor="text1"/>
                <w:sz w:val="18"/>
                <w:szCs w:val="18"/>
                <w:lang w:eastAsia="es-ES_tradnl"/>
              </w:rPr>
              <w:t xml:space="preserve"> de la Dirección de Obras Públicas</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F097D" w14:textId="77777777" w:rsidR="003F7AED" w:rsidRPr="0090131E" w:rsidRDefault="003F7AED" w:rsidP="003F7AED">
            <w:pPr>
              <w:tabs>
                <w:tab w:val="left" w:pos="4962"/>
              </w:tabs>
              <w:spacing w:line="360" w:lineRule="auto"/>
              <w:jc w:val="both"/>
              <w:rPr>
                <w:rFonts w:ascii="Palatino Linotype" w:eastAsia="Calibri" w:hAnsi="Palatino Linotype" w:cs="Tahoma"/>
                <w:b/>
                <w:iCs/>
                <w:color w:val="000000" w:themeColor="text1"/>
                <w:sz w:val="18"/>
                <w:szCs w:val="18"/>
                <w:lang w:eastAsia="es-ES_tradnl"/>
              </w:rPr>
            </w:pPr>
            <w:r w:rsidRPr="0090131E">
              <w:rPr>
                <w:rFonts w:ascii="Palatino Linotype" w:eastAsia="Calibri" w:hAnsi="Palatino Linotype" w:cs="Tahoma"/>
                <w:b/>
                <w:iCs/>
                <w:color w:val="000000" w:themeColor="text1"/>
                <w:sz w:val="18"/>
                <w:szCs w:val="18"/>
                <w:lang w:eastAsia="es-ES_tradnl"/>
              </w:rPr>
              <w:t>Agravios manifestados por el Recurrente</w:t>
            </w:r>
          </w:p>
        </w:tc>
        <w:tc>
          <w:tcPr>
            <w:tcW w:w="1668" w:type="dxa"/>
            <w:tcBorders>
              <w:top w:val="single" w:sz="4" w:space="0" w:color="auto"/>
              <w:left w:val="single" w:sz="4" w:space="0" w:color="auto"/>
              <w:bottom w:val="single" w:sz="4" w:space="0" w:color="auto"/>
              <w:right w:val="single" w:sz="4" w:space="0" w:color="auto"/>
            </w:tcBorders>
            <w:shd w:val="clear" w:color="auto" w:fill="D9D9D9"/>
            <w:vAlign w:val="center"/>
          </w:tcPr>
          <w:p w14:paraId="42FBFDFD" w14:textId="77777777" w:rsidR="003F7AED" w:rsidRPr="0090131E" w:rsidRDefault="003F7AED" w:rsidP="003F7AED">
            <w:pPr>
              <w:tabs>
                <w:tab w:val="left" w:pos="4962"/>
              </w:tabs>
              <w:spacing w:line="360" w:lineRule="auto"/>
              <w:jc w:val="both"/>
              <w:rPr>
                <w:rFonts w:ascii="Palatino Linotype" w:eastAsia="Calibri" w:hAnsi="Palatino Linotype" w:cs="Tahoma"/>
                <w:b/>
                <w:iCs/>
                <w:color w:val="000000" w:themeColor="text1"/>
                <w:sz w:val="18"/>
                <w:szCs w:val="18"/>
                <w:lang w:eastAsia="es-ES_tradnl"/>
              </w:rPr>
            </w:pPr>
            <w:r w:rsidRPr="0090131E">
              <w:rPr>
                <w:rFonts w:ascii="Palatino Linotype" w:eastAsia="Calibri" w:hAnsi="Palatino Linotype" w:cs="Tahoma"/>
                <w:b/>
                <w:iCs/>
                <w:color w:val="000000" w:themeColor="text1"/>
                <w:sz w:val="18"/>
                <w:szCs w:val="18"/>
                <w:lang w:eastAsia="es-ES_tradnl"/>
              </w:rPr>
              <w:t>Alegatos del Sujeto Obligado</w:t>
            </w:r>
          </w:p>
        </w:tc>
      </w:tr>
      <w:tr w:rsidR="009520F1" w:rsidRPr="0090131E" w14:paraId="7888D3F7"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661F5E26" w14:textId="40848226" w:rsidR="009520F1" w:rsidRDefault="009520F1" w:rsidP="0090131E">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sidRPr="0090131E">
              <w:rPr>
                <w:rFonts w:ascii="Palatino Linotype" w:eastAsia="Calibri" w:hAnsi="Palatino Linotype" w:cs="Tahoma"/>
                <w:iCs/>
                <w:color w:val="000000" w:themeColor="text1"/>
                <w:sz w:val="18"/>
                <w:szCs w:val="18"/>
                <w:lang w:eastAsia="es-ES_tradnl"/>
              </w:rPr>
              <w:t>1. Las Gacetas Municipales, donde se haya publicado</w:t>
            </w:r>
            <w:r>
              <w:rPr>
                <w:rFonts w:ascii="Palatino Linotype" w:eastAsia="Calibri" w:hAnsi="Palatino Linotype" w:cs="Tahoma"/>
                <w:iCs/>
                <w:color w:val="000000" w:themeColor="text1"/>
                <w:sz w:val="18"/>
                <w:szCs w:val="18"/>
                <w:lang w:eastAsia="es-ES_tradnl"/>
              </w:rPr>
              <w:t xml:space="preserve"> lo siguiente:</w:t>
            </w:r>
          </w:p>
          <w:p w14:paraId="225649BD" w14:textId="77777777" w:rsidR="009520F1" w:rsidRDefault="009520F1" w:rsidP="0090131E">
            <w:pPr>
              <w:tabs>
                <w:tab w:val="left" w:pos="4962"/>
              </w:tabs>
              <w:spacing w:line="360" w:lineRule="auto"/>
              <w:jc w:val="both"/>
              <w:rPr>
                <w:rFonts w:ascii="Palatino Linotype" w:eastAsia="Calibri" w:hAnsi="Palatino Linotype" w:cs="Tahoma"/>
                <w:iCs/>
                <w:color w:val="000000" w:themeColor="text1"/>
                <w:sz w:val="18"/>
                <w:szCs w:val="18"/>
                <w:lang w:eastAsia="es-ES_tradnl"/>
              </w:rPr>
            </w:pPr>
          </w:p>
          <w:p w14:paraId="79EE2814" w14:textId="77777777" w:rsidR="009520F1" w:rsidRDefault="009520F1" w:rsidP="0090131E">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a) L</w:t>
            </w:r>
            <w:r w:rsidRPr="0090131E">
              <w:rPr>
                <w:rFonts w:ascii="Palatino Linotype" w:eastAsia="Calibri" w:hAnsi="Palatino Linotype" w:cs="Tahoma"/>
                <w:iCs/>
                <w:color w:val="000000" w:themeColor="text1"/>
                <w:sz w:val="18"/>
                <w:szCs w:val="18"/>
                <w:lang w:eastAsia="es-ES_tradnl"/>
              </w:rPr>
              <w:t>a aprobación y modificación al Programa Operativo Anual o el que contenga el presupuesto total a ejercer en materia de obras públicas</w:t>
            </w:r>
            <w:r>
              <w:rPr>
                <w:rFonts w:ascii="Palatino Linotype" w:eastAsia="Calibri" w:hAnsi="Palatino Linotype" w:cs="Tahoma"/>
                <w:iCs/>
                <w:color w:val="000000" w:themeColor="text1"/>
                <w:sz w:val="18"/>
                <w:szCs w:val="18"/>
                <w:lang w:eastAsia="es-ES_tradnl"/>
              </w:rPr>
              <w:t>.</w:t>
            </w:r>
          </w:p>
          <w:p w14:paraId="3681C173" w14:textId="77777777" w:rsidR="009520F1" w:rsidRDefault="009520F1" w:rsidP="0090131E">
            <w:pPr>
              <w:tabs>
                <w:tab w:val="left" w:pos="4962"/>
              </w:tabs>
              <w:spacing w:line="360" w:lineRule="auto"/>
              <w:jc w:val="both"/>
              <w:rPr>
                <w:rFonts w:ascii="Palatino Linotype" w:eastAsia="Calibri" w:hAnsi="Palatino Linotype" w:cs="Tahoma"/>
                <w:iCs/>
                <w:color w:val="000000" w:themeColor="text1"/>
                <w:sz w:val="18"/>
                <w:szCs w:val="18"/>
                <w:lang w:eastAsia="es-ES_tradnl"/>
              </w:rPr>
            </w:pPr>
          </w:p>
          <w:p w14:paraId="6CA776F8" w14:textId="7ECC2DE4" w:rsidR="009520F1" w:rsidRPr="0090131E" w:rsidRDefault="009520F1" w:rsidP="0090131E">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b) Obras de alto impacto proyectadas a ejecutar por la presente administración.</w:t>
            </w:r>
          </w:p>
        </w:tc>
        <w:tc>
          <w:tcPr>
            <w:tcW w:w="2977" w:type="dxa"/>
            <w:tcBorders>
              <w:top w:val="single" w:sz="4" w:space="0" w:color="auto"/>
              <w:left w:val="single" w:sz="4" w:space="0" w:color="auto"/>
              <w:right w:val="single" w:sz="4" w:space="0" w:color="auto"/>
            </w:tcBorders>
            <w:vAlign w:val="center"/>
          </w:tcPr>
          <w:p w14:paraId="555403B9" w14:textId="40A34AB0" w:rsidR="009520F1" w:rsidRDefault="009520F1" w:rsidP="00D50779">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 xml:space="preserve">Precisó que las modificaciones al programa anual de obra pública, se </w:t>
            </w:r>
            <w:r w:rsidR="00BC779F">
              <w:rPr>
                <w:rFonts w:ascii="Palatino Linotype" w:eastAsia="Calibri" w:hAnsi="Palatino Linotype" w:cs="Tahoma"/>
                <w:iCs/>
                <w:color w:val="000000" w:themeColor="text1"/>
                <w:sz w:val="18"/>
                <w:szCs w:val="18"/>
                <w:lang w:eastAsia="es-ES_tradnl"/>
              </w:rPr>
              <w:t xml:space="preserve">encontraban </w:t>
            </w:r>
            <w:r>
              <w:rPr>
                <w:rFonts w:ascii="Palatino Linotype" w:eastAsia="Calibri" w:hAnsi="Palatino Linotype" w:cs="Tahoma"/>
                <w:iCs/>
                <w:color w:val="000000" w:themeColor="text1"/>
                <w:sz w:val="18"/>
                <w:szCs w:val="18"/>
                <w:lang w:eastAsia="es-ES_tradnl"/>
              </w:rPr>
              <w:t xml:space="preserve">disponibles, en los primeros dos registros de la siguiente liga </w:t>
            </w:r>
            <w:hyperlink r:id="rId40" w:history="1">
              <w:r w:rsidRPr="0080775B">
                <w:rPr>
                  <w:rStyle w:val="Hipervnculo"/>
                  <w:rFonts w:ascii="Palatino Linotype" w:eastAsia="Calibri" w:hAnsi="Palatino Linotype" w:cs="Tahoma"/>
                  <w:iCs/>
                  <w:sz w:val="18"/>
                  <w:szCs w:val="18"/>
                  <w:lang w:eastAsia="es-ES_tradnl"/>
                </w:rPr>
                <w:t>https://www.ipomex.org.mx/ipo3/lgt/indice/NICOLASROMERO/art_92_Lii_a/1.web</w:t>
              </w:r>
            </w:hyperlink>
            <w:r>
              <w:rPr>
                <w:rFonts w:ascii="Palatino Linotype" w:eastAsia="Calibri" w:hAnsi="Palatino Linotype" w:cs="Tahoma"/>
                <w:iCs/>
                <w:color w:val="000000" w:themeColor="text1"/>
                <w:sz w:val="18"/>
                <w:szCs w:val="18"/>
                <w:lang w:eastAsia="es-ES_tradnl"/>
              </w:rPr>
              <w:t>.</w:t>
            </w:r>
          </w:p>
          <w:p w14:paraId="360B6CBB" w14:textId="77777777" w:rsidR="009520F1" w:rsidRDefault="009520F1" w:rsidP="00D50779">
            <w:pPr>
              <w:tabs>
                <w:tab w:val="left" w:pos="4962"/>
              </w:tabs>
              <w:spacing w:line="360" w:lineRule="auto"/>
              <w:jc w:val="both"/>
              <w:rPr>
                <w:rFonts w:ascii="Palatino Linotype" w:eastAsia="Calibri" w:hAnsi="Palatino Linotype" w:cs="Tahoma"/>
                <w:iCs/>
                <w:color w:val="000000" w:themeColor="text1"/>
                <w:sz w:val="18"/>
                <w:szCs w:val="18"/>
                <w:lang w:eastAsia="es-ES_tradnl"/>
              </w:rPr>
            </w:pPr>
          </w:p>
          <w:p w14:paraId="52D98C92" w14:textId="1101369A" w:rsidR="009520F1" w:rsidRPr="0090131E" w:rsidRDefault="009520F1" w:rsidP="00D50779">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sidRPr="00D50779">
              <w:rPr>
                <w:rFonts w:ascii="Palatino Linotype" w:eastAsia="Calibri" w:hAnsi="Palatino Linotype" w:cs="Tahoma"/>
                <w:iCs/>
                <w:color w:val="000000" w:themeColor="text1"/>
                <w:sz w:val="18"/>
                <w:szCs w:val="18"/>
                <w:lang w:val="es-MX" w:eastAsia="es-ES_tradnl"/>
              </w:rPr>
              <w:t xml:space="preserve">Precisó que la información se localizaba en el Portal de Información Pública de Oficio Mexiquense, en el rubro, contenido de las gacetas municipales, en la liga </w:t>
            </w:r>
            <w:hyperlink r:id="rId41" w:history="1">
              <w:r w:rsidRPr="00D50779">
                <w:rPr>
                  <w:rStyle w:val="Hipervnculo"/>
                  <w:rFonts w:ascii="Palatino Linotype" w:eastAsia="Calibri" w:hAnsi="Palatino Linotype" w:cs="Tahoma"/>
                  <w:iCs/>
                  <w:sz w:val="18"/>
                  <w:szCs w:val="18"/>
                  <w:lang w:val="es-MX" w:eastAsia="es-ES_tradnl"/>
                </w:rPr>
                <w:t>https://www.ipomex.org.mx/ipo3/lgt/indice/NICOLASROMERO/art_94_ii_a2.web</w:t>
              </w:r>
            </w:hyperlink>
            <w:r w:rsidRPr="00D50779">
              <w:rPr>
                <w:rFonts w:ascii="Palatino Linotype" w:eastAsia="Calibri" w:hAnsi="Palatino Linotype" w:cs="Tahoma"/>
                <w:iCs/>
                <w:color w:val="000000" w:themeColor="text1"/>
                <w:sz w:val="18"/>
                <w:szCs w:val="18"/>
                <w:lang w:val="es-MX" w:eastAsia="es-ES_tradnl"/>
              </w:rPr>
              <w:t>.</w:t>
            </w:r>
          </w:p>
        </w:tc>
        <w:tc>
          <w:tcPr>
            <w:tcW w:w="1984" w:type="dxa"/>
            <w:vMerge w:val="restart"/>
            <w:tcBorders>
              <w:top w:val="single" w:sz="4" w:space="0" w:color="auto"/>
              <w:left w:val="single" w:sz="4" w:space="0" w:color="auto"/>
              <w:right w:val="single" w:sz="4" w:space="0" w:color="auto"/>
            </w:tcBorders>
            <w:vAlign w:val="center"/>
          </w:tcPr>
          <w:p w14:paraId="7EF2ABEE" w14:textId="77777777" w:rsidR="009520F1" w:rsidRPr="0090131E" w:rsidRDefault="009520F1"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p w14:paraId="3EBAC312" w14:textId="62532FE2" w:rsidR="009520F1" w:rsidRPr="0090131E" w:rsidRDefault="009520F1" w:rsidP="009520F1">
            <w:pPr>
              <w:tabs>
                <w:tab w:val="left" w:pos="4962"/>
              </w:tabs>
              <w:spacing w:line="360" w:lineRule="auto"/>
              <w:jc w:val="center"/>
              <w:rPr>
                <w:rFonts w:ascii="Palatino Linotype" w:eastAsia="Calibri" w:hAnsi="Palatino Linotype" w:cs="Tahoma"/>
                <w:b/>
                <w:iCs/>
                <w:color w:val="000000" w:themeColor="text1"/>
                <w:sz w:val="18"/>
                <w:szCs w:val="18"/>
                <w:lang w:eastAsia="es-ES_tradnl"/>
              </w:rPr>
            </w:pPr>
            <w:r w:rsidRPr="0090131E">
              <w:rPr>
                <w:rFonts w:ascii="Palatino Linotype" w:eastAsia="Calibri" w:hAnsi="Palatino Linotype" w:cs="Tahoma"/>
                <w:iCs/>
                <w:color w:val="000000" w:themeColor="text1"/>
                <w:sz w:val="18"/>
                <w:szCs w:val="18"/>
                <w:lang w:eastAsia="es-ES_tradnl"/>
              </w:rPr>
              <w:t>La información se encuentra incompleta</w:t>
            </w:r>
            <w:r>
              <w:rPr>
                <w:rFonts w:ascii="Palatino Linotype" w:eastAsia="Calibri" w:hAnsi="Palatino Linotype" w:cs="Tahoma"/>
                <w:iCs/>
                <w:color w:val="000000" w:themeColor="text1"/>
                <w:sz w:val="18"/>
                <w:szCs w:val="18"/>
                <w:lang w:eastAsia="es-ES_tradnl"/>
              </w:rPr>
              <w:t xml:space="preserve"> y que no corresponde con lo solicitado</w:t>
            </w:r>
            <w:r w:rsidRPr="0090131E">
              <w:rPr>
                <w:rFonts w:ascii="Palatino Linotype" w:eastAsia="Calibri" w:hAnsi="Palatino Linotype" w:cs="Tahoma"/>
                <w:iCs/>
                <w:color w:val="000000" w:themeColor="text1"/>
                <w:sz w:val="18"/>
                <w:szCs w:val="18"/>
                <w:lang w:eastAsia="es-ES_tradnl"/>
              </w:rPr>
              <w:t>.</w:t>
            </w:r>
          </w:p>
          <w:p w14:paraId="1DDA5BE3" w14:textId="77777777" w:rsidR="009520F1" w:rsidRPr="0090131E" w:rsidRDefault="009520F1" w:rsidP="003F7AED">
            <w:pPr>
              <w:tabs>
                <w:tab w:val="left" w:pos="4962"/>
              </w:tabs>
              <w:spacing w:line="360" w:lineRule="auto"/>
              <w:jc w:val="both"/>
              <w:rPr>
                <w:rFonts w:ascii="Palatino Linotype" w:eastAsia="Calibri" w:hAnsi="Palatino Linotype" w:cs="Tahoma"/>
                <w:b/>
                <w:iCs/>
                <w:color w:val="000000" w:themeColor="text1"/>
                <w:sz w:val="18"/>
                <w:szCs w:val="18"/>
                <w:lang w:eastAsia="es-ES_tradnl"/>
              </w:rPr>
            </w:pPr>
          </w:p>
        </w:tc>
        <w:tc>
          <w:tcPr>
            <w:tcW w:w="1668" w:type="dxa"/>
            <w:vMerge w:val="restart"/>
            <w:tcBorders>
              <w:top w:val="single" w:sz="4" w:space="0" w:color="auto"/>
              <w:left w:val="single" w:sz="4" w:space="0" w:color="auto"/>
            </w:tcBorders>
            <w:vAlign w:val="center"/>
          </w:tcPr>
          <w:p w14:paraId="5D03DED7" w14:textId="77777777" w:rsidR="009520F1" w:rsidRPr="0090131E" w:rsidRDefault="009520F1" w:rsidP="00E658F9">
            <w:pPr>
              <w:tabs>
                <w:tab w:val="left" w:pos="4962"/>
              </w:tabs>
              <w:spacing w:line="360" w:lineRule="auto"/>
              <w:jc w:val="center"/>
              <w:rPr>
                <w:rFonts w:ascii="Palatino Linotype" w:eastAsia="Calibri" w:hAnsi="Palatino Linotype" w:cs="Tahoma"/>
                <w:iCs/>
                <w:color w:val="000000" w:themeColor="text1"/>
                <w:sz w:val="18"/>
                <w:szCs w:val="18"/>
                <w:lang w:eastAsia="es-ES_tradnl"/>
              </w:rPr>
            </w:pPr>
            <w:r w:rsidRPr="0090131E">
              <w:rPr>
                <w:rFonts w:ascii="Palatino Linotype" w:eastAsia="Calibri" w:hAnsi="Palatino Linotype" w:cs="Tahoma"/>
                <w:iCs/>
                <w:color w:val="000000" w:themeColor="text1"/>
                <w:sz w:val="18"/>
                <w:szCs w:val="18"/>
                <w:lang w:eastAsia="es-ES_tradnl"/>
              </w:rPr>
              <w:t>Ratificó la respuesta proporcionada inicialmente.</w:t>
            </w:r>
          </w:p>
        </w:tc>
      </w:tr>
      <w:tr w:rsidR="009520F1" w:rsidRPr="0090131E" w14:paraId="18EB76CC"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3438A038" w14:textId="131FACD2" w:rsidR="009520F1" w:rsidRPr="0090131E" w:rsidRDefault="009520F1"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sidRPr="0090131E">
              <w:rPr>
                <w:rFonts w:ascii="Palatino Linotype" w:eastAsia="Calibri" w:hAnsi="Palatino Linotype" w:cs="Tahoma"/>
                <w:iCs/>
                <w:color w:val="000000" w:themeColor="text1"/>
                <w:sz w:val="18"/>
                <w:szCs w:val="18"/>
                <w:lang w:eastAsia="es-ES_tradnl"/>
              </w:rPr>
              <w:t xml:space="preserve">2. </w:t>
            </w:r>
            <w:r>
              <w:rPr>
                <w:rFonts w:ascii="Palatino Linotype" w:eastAsia="Calibri" w:hAnsi="Palatino Linotype" w:cs="Tahoma"/>
                <w:iCs/>
                <w:color w:val="000000" w:themeColor="text1"/>
                <w:sz w:val="18"/>
                <w:szCs w:val="18"/>
                <w:lang w:eastAsia="es-ES_tradnl"/>
              </w:rPr>
              <w:t xml:space="preserve">Listado de obras públicas contratadas en el periodo que comprende, del primero de enero al </w:t>
            </w:r>
            <w:r>
              <w:rPr>
                <w:rFonts w:ascii="Palatino Linotype" w:eastAsia="Calibri" w:hAnsi="Palatino Linotype" w:cs="Tahoma"/>
                <w:iCs/>
                <w:color w:val="000000" w:themeColor="text1"/>
                <w:sz w:val="18"/>
                <w:szCs w:val="18"/>
                <w:lang w:eastAsia="es-ES_tradnl"/>
              </w:rPr>
              <w:lastRenderedPageBreak/>
              <w:t>diecisiete de agosto de dos mil diecinueve.</w:t>
            </w:r>
          </w:p>
        </w:tc>
        <w:tc>
          <w:tcPr>
            <w:tcW w:w="2977" w:type="dxa"/>
            <w:tcBorders>
              <w:left w:val="single" w:sz="4" w:space="0" w:color="auto"/>
              <w:bottom w:val="single" w:sz="4" w:space="0" w:color="auto"/>
              <w:right w:val="single" w:sz="4" w:space="0" w:color="auto"/>
            </w:tcBorders>
            <w:vAlign w:val="center"/>
          </w:tcPr>
          <w:p w14:paraId="7B6756FD" w14:textId="05F9620F" w:rsidR="009520F1" w:rsidRPr="0090131E" w:rsidRDefault="009520F1"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Pr>
                <w:rFonts w:ascii="Palatino Linotype" w:eastAsia="Calibri" w:hAnsi="Palatino Linotype" w:cs="Tahoma"/>
                <w:bCs/>
                <w:iCs/>
                <w:color w:val="000000" w:themeColor="text1"/>
                <w:sz w:val="18"/>
                <w:szCs w:val="18"/>
                <w:lang w:eastAsia="es-ES_tradnl"/>
              </w:rPr>
              <w:lastRenderedPageBreak/>
              <w:t xml:space="preserve">Entregó la </w:t>
            </w:r>
            <w:r>
              <w:rPr>
                <w:rFonts w:ascii="Palatino Linotype" w:eastAsia="Calibri" w:hAnsi="Palatino Linotype" w:cs="Tahoma"/>
                <w:bCs/>
                <w:iCs/>
                <w:color w:val="000000" w:themeColor="text1"/>
                <w:sz w:val="18"/>
                <w:szCs w:val="18"/>
                <w:lang w:val="es-MX" w:eastAsia="es-ES_tradnl"/>
              </w:rPr>
              <w:t>t</w:t>
            </w:r>
            <w:r w:rsidRPr="00D50779">
              <w:rPr>
                <w:rFonts w:ascii="Palatino Linotype" w:eastAsia="Calibri" w:hAnsi="Palatino Linotype" w:cs="Tahoma"/>
                <w:bCs/>
                <w:iCs/>
                <w:color w:val="000000" w:themeColor="text1"/>
                <w:sz w:val="18"/>
                <w:szCs w:val="18"/>
                <w:lang w:val="es-MX" w:eastAsia="es-ES_tradnl"/>
              </w:rPr>
              <w:t xml:space="preserve">abla denominada “Relación de Obras por Contrato 2019”, cuyos rubros son los siguientes: “NO.”, “CONTRATO”, </w:t>
            </w:r>
            <w:r w:rsidRPr="00D50779">
              <w:rPr>
                <w:rFonts w:ascii="Palatino Linotype" w:eastAsia="Calibri" w:hAnsi="Palatino Linotype" w:cs="Tahoma"/>
                <w:bCs/>
                <w:iCs/>
                <w:color w:val="000000" w:themeColor="text1"/>
                <w:sz w:val="18"/>
                <w:szCs w:val="18"/>
                <w:lang w:val="es-MX" w:eastAsia="es-ES_tradnl"/>
              </w:rPr>
              <w:lastRenderedPageBreak/>
              <w:t>“NOMBRE”, “UBICACIÓN”, “COLONIA”, “INICIO”, “TERMINO”, “PORCENTAJE DE EJECUCIÓN” y “OBSERVACIÓN”</w:t>
            </w:r>
            <w:r w:rsidR="00026DA0">
              <w:rPr>
                <w:rFonts w:ascii="Palatino Linotype" w:eastAsia="Calibri" w:hAnsi="Palatino Linotype" w:cs="Tahoma"/>
                <w:bCs/>
                <w:iCs/>
                <w:color w:val="000000" w:themeColor="text1"/>
                <w:sz w:val="18"/>
                <w:szCs w:val="18"/>
                <w:lang w:val="es-MX" w:eastAsia="es-ES_tradnl"/>
              </w:rPr>
              <w:t>.</w:t>
            </w:r>
          </w:p>
        </w:tc>
        <w:tc>
          <w:tcPr>
            <w:tcW w:w="1984" w:type="dxa"/>
            <w:vMerge/>
            <w:tcBorders>
              <w:left w:val="single" w:sz="4" w:space="0" w:color="auto"/>
              <w:right w:val="single" w:sz="4" w:space="0" w:color="auto"/>
            </w:tcBorders>
            <w:vAlign w:val="center"/>
          </w:tcPr>
          <w:p w14:paraId="46810F29" w14:textId="77777777" w:rsidR="009520F1" w:rsidRPr="0090131E" w:rsidRDefault="009520F1"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c>
          <w:tcPr>
            <w:tcW w:w="1668" w:type="dxa"/>
            <w:vMerge/>
            <w:tcBorders>
              <w:left w:val="single" w:sz="4" w:space="0" w:color="auto"/>
            </w:tcBorders>
            <w:vAlign w:val="center"/>
          </w:tcPr>
          <w:p w14:paraId="602F7D6C" w14:textId="77777777" w:rsidR="009520F1" w:rsidRPr="0090131E" w:rsidRDefault="009520F1"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r>
      <w:tr w:rsidR="009520F1" w:rsidRPr="0090131E" w14:paraId="042EFBDB"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1C392C6E" w14:textId="2AE40B0F" w:rsidR="009520F1" w:rsidRPr="0090131E" w:rsidRDefault="009520F1" w:rsidP="00B8640E">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sidRPr="0090131E">
              <w:rPr>
                <w:rFonts w:ascii="Palatino Linotype" w:eastAsia="Calibri" w:hAnsi="Palatino Linotype" w:cs="Tahoma"/>
                <w:iCs/>
                <w:color w:val="000000" w:themeColor="text1"/>
                <w:sz w:val="18"/>
                <w:szCs w:val="18"/>
                <w:lang w:eastAsia="es-ES_tradnl"/>
              </w:rPr>
              <w:t xml:space="preserve">3. </w:t>
            </w:r>
            <w:r>
              <w:rPr>
                <w:rFonts w:ascii="Palatino Linotype" w:eastAsia="Calibri" w:hAnsi="Palatino Linotype" w:cs="Tahoma"/>
                <w:iCs/>
                <w:color w:val="000000" w:themeColor="text1"/>
                <w:sz w:val="18"/>
                <w:szCs w:val="18"/>
                <w:lang w:eastAsia="es-ES_tradnl"/>
              </w:rPr>
              <w:t xml:space="preserve">Toda la documentación comprobatoria, </w:t>
            </w:r>
            <w:r w:rsidR="00B8640E">
              <w:rPr>
                <w:rFonts w:ascii="Palatino Linotype" w:eastAsia="Calibri" w:hAnsi="Palatino Linotype" w:cs="Tahoma"/>
                <w:iCs/>
                <w:color w:val="000000" w:themeColor="text1"/>
                <w:sz w:val="18"/>
                <w:szCs w:val="18"/>
                <w:lang w:eastAsia="es-ES_tradnl"/>
              </w:rPr>
              <w:t>donde</w:t>
            </w:r>
            <w:r>
              <w:rPr>
                <w:rFonts w:ascii="Palatino Linotype" w:eastAsia="Calibri" w:hAnsi="Palatino Linotype" w:cs="Tahoma"/>
                <w:iCs/>
                <w:color w:val="000000" w:themeColor="text1"/>
                <w:sz w:val="18"/>
                <w:szCs w:val="18"/>
                <w:lang w:eastAsia="es-ES_tradnl"/>
              </w:rPr>
              <w:t xml:space="preserve"> se justifique las contrataciones de obras públicas, desde la convocatoria o invitación hasta la suscripción el contrato.</w:t>
            </w:r>
          </w:p>
        </w:tc>
        <w:tc>
          <w:tcPr>
            <w:tcW w:w="2977" w:type="dxa"/>
            <w:tcBorders>
              <w:top w:val="single" w:sz="4" w:space="0" w:color="auto"/>
              <w:left w:val="single" w:sz="4" w:space="0" w:color="auto"/>
              <w:bottom w:val="single" w:sz="4" w:space="0" w:color="auto"/>
              <w:right w:val="single" w:sz="4" w:space="0" w:color="auto"/>
            </w:tcBorders>
            <w:vAlign w:val="center"/>
          </w:tcPr>
          <w:p w14:paraId="586A33E7" w14:textId="2A624F5F" w:rsidR="009520F1" w:rsidRPr="0090131E" w:rsidRDefault="009520F1"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Pr>
                <w:rFonts w:ascii="Palatino Linotype" w:eastAsia="Calibri" w:hAnsi="Palatino Linotype" w:cs="Tahoma"/>
                <w:bCs/>
                <w:iCs/>
                <w:color w:val="000000" w:themeColor="text1"/>
                <w:sz w:val="18"/>
                <w:szCs w:val="18"/>
                <w:lang w:eastAsia="es-ES_tradnl"/>
              </w:rPr>
              <w:t xml:space="preserve">Precisó que la información se localizaba en el Portal de Información Pública de Oficio Mexiquense (IPOMEX), en la siguiente liga </w:t>
            </w:r>
            <w:hyperlink r:id="rId42" w:history="1">
              <w:r w:rsidRPr="0080775B">
                <w:rPr>
                  <w:rStyle w:val="Hipervnculo"/>
                  <w:rFonts w:ascii="Palatino Linotype" w:eastAsia="Calibri" w:hAnsi="Palatino Linotype" w:cs="Tahoma"/>
                  <w:bCs/>
                  <w:iCs/>
                  <w:sz w:val="18"/>
                  <w:szCs w:val="18"/>
                  <w:lang w:eastAsia="es-ES_tradnl"/>
                </w:rPr>
                <w:t>https://www.ipomex.org.mx/ipo3/lgt/indice/NICOLASROMERO/art_92_xxix_a.web</w:t>
              </w:r>
            </w:hyperlink>
            <w:r>
              <w:rPr>
                <w:rFonts w:ascii="Palatino Linotype" w:eastAsia="Calibri" w:hAnsi="Palatino Linotype" w:cs="Tahoma"/>
                <w:bCs/>
                <w:iCs/>
                <w:color w:val="000000" w:themeColor="text1"/>
                <w:sz w:val="18"/>
                <w:szCs w:val="18"/>
                <w:lang w:eastAsia="es-ES_tradnl"/>
              </w:rPr>
              <w:t xml:space="preserve">. </w:t>
            </w:r>
          </w:p>
        </w:tc>
        <w:tc>
          <w:tcPr>
            <w:tcW w:w="1984" w:type="dxa"/>
            <w:vMerge/>
            <w:tcBorders>
              <w:left w:val="single" w:sz="4" w:space="0" w:color="auto"/>
              <w:right w:val="single" w:sz="4" w:space="0" w:color="auto"/>
            </w:tcBorders>
            <w:vAlign w:val="center"/>
          </w:tcPr>
          <w:p w14:paraId="7D560ABE" w14:textId="77777777" w:rsidR="009520F1" w:rsidRPr="0090131E" w:rsidRDefault="009520F1"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c>
          <w:tcPr>
            <w:tcW w:w="1668" w:type="dxa"/>
            <w:vMerge/>
            <w:tcBorders>
              <w:left w:val="single" w:sz="4" w:space="0" w:color="auto"/>
            </w:tcBorders>
            <w:vAlign w:val="center"/>
          </w:tcPr>
          <w:p w14:paraId="68E71574" w14:textId="77777777" w:rsidR="009520F1" w:rsidRPr="0090131E" w:rsidRDefault="009520F1"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r>
      <w:tr w:rsidR="000E65FF" w:rsidRPr="0090131E" w14:paraId="3F523097"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29D9AE76" w14:textId="77777777" w:rsidR="000E65FF" w:rsidRDefault="002A018D"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4. De cada expediente de obra pública, lo siguiente:</w:t>
            </w:r>
          </w:p>
          <w:p w14:paraId="5F8FC01C" w14:textId="7BF9E66F" w:rsidR="002A018D" w:rsidRDefault="002A018D"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i) Constancia de que los contratistas hayan entregado l</w:t>
            </w:r>
            <w:r w:rsidR="00B64825">
              <w:rPr>
                <w:rFonts w:ascii="Palatino Linotype" w:eastAsia="Calibri" w:hAnsi="Palatino Linotype" w:cs="Tahoma"/>
                <w:iCs/>
                <w:color w:val="000000" w:themeColor="text1"/>
                <w:sz w:val="18"/>
                <w:szCs w:val="18"/>
                <w:lang w:eastAsia="es-ES_tradnl"/>
              </w:rPr>
              <w:t>as finanzas correspondientes;</w:t>
            </w:r>
          </w:p>
          <w:p w14:paraId="484ECBCF" w14:textId="4B227AB8" w:rsidR="002A018D" w:rsidRDefault="002A018D"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 xml:space="preserve">ii) </w:t>
            </w:r>
            <w:r w:rsidR="00B64825">
              <w:rPr>
                <w:rFonts w:ascii="Palatino Linotype" w:eastAsia="Calibri" w:hAnsi="Palatino Linotype" w:cs="Tahoma"/>
                <w:iCs/>
                <w:color w:val="000000" w:themeColor="text1"/>
                <w:sz w:val="18"/>
                <w:szCs w:val="18"/>
                <w:lang w:eastAsia="es-ES_tradnl"/>
              </w:rPr>
              <w:t>Fianzas;</w:t>
            </w:r>
          </w:p>
          <w:p w14:paraId="04173070" w14:textId="305A2C47" w:rsidR="002A018D" w:rsidRDefault="002A018D"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iii)</w:t>
            </w:r>
            <w:r w:rsidR="00B64825">
              <w:rPr>
                <w:rFonts w:ascii="Palatino Linotype" w:eastAsia="Calibri" w:hAnsi="Palatino Linotype" w:cs="Tahoma"/>
                <w:iCs/>
                <w:color w:val="000000" w:themeColor="text1"/>
                <w:sz w:val="18"/>
                <w:szCs w:val="18"/>
                <w:lang w:eastAsia="es-ES_tradnl"/>
              </w:rPr>
              <w:t xml:space="preserve"> Constancia de haber entregado a la Contratista el lugar de trabajo</w:t>
            </w:r>
            <w:r w:rsidR="00F526FB">
              <w:rPr>
                <w:rFonts w:ascii="Palatino Linotype" w:eastAsia="Calibri" w:hAnsi="Palatino Linotype" w:cs="Tahoma"/>
                <w:iCs/>
                <w:color w:val="000000" w:themeColor="text1"/>
                <w:sz w:val="18"/>
                <w:szCs w:val="18"/>
                <w:lang w:eastAsia="es-ES_tradnl"/>
              </w:rPr>
              <w:t>;</w:t>
            </w:r>
          </w:p>
          <w:p w14:paraId="746F3A68" w14:textId="3E201815" w:rsidR="002A018D" w:rsidRDefault="002A018D"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 xml:space="preserve">iv) </w:t>
            </w:r>
            <w:r w:rsidR="00477F0C">
              <w:rPr>
                <w:rFonts w:ascii="Palatino Linotype" w:eastAsia="Calibri" w:hAnsi="Palatino Linotype" w:cs="Tahoma"/>
                <w:iCs/>
                <w:color w:val="000000" w:themeColor="text1"/>
                <w:sz w:val="18"/>
                <w:szCs w:val="18"/>
                <w:lang w:eastAsia="es-ES_tradnl"/>
              </w:rPr>
              <w:t>Documento donde conste la designación y acep</w:t>
            </w:r>
            <w:r w:rsidR="00F526FB">
              <w:rPr>
                <w:rFonts w:ascii="Palatino Linotype" w:eastAsia="Calibri" w:hAnsi="Palatino Linotype" w:cs="Tahoma"/>
                <w:iCs/>
                <w:color w:val="000000" w:themeColor="text1"/>
                <w:sz w:val="18"/>
                <w:szCs w:val="18"/>
                <w:lang w:eastAsia="es-ES_tradnl"/>
              </w:rPr>
              <w:t>tación del residente de la obra, y</w:t>
            </w:r>
          </w:p>
          <w:p w14:paraId="6EE16F20" w14:textId="489BBA87" w:rsidR="00F526FB" w:rsidRPr="0090131E" w:rsidRDefault="00F526FB" w:rsidP="00F526FB">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v) Bitácora de Obra.</w:t>
            </w:r>
          </w:p>
        </w:tc>
        <w:tc>
          <w:tcPr>
            <w:tcW w:w="2977" w:type="dxa"/>
            <w:tcBorders>
              <w:top w:val="single" w:sz="4" w:space="0" w:color="auto"/>
              <w:left w:val="single" w:sz="4" w:space="0" w:color="auto"/>
              <w:bottom w:val="single" w:sz="4" w:space="0" w:color="auto"/>
              <w:right w:val="single" w:sz="4" w:space="0" w:color="auto"/>
            </w:tcBorders>
            <w:vAlign w:val="center"/>
          </w:tcPr>
          <w:p w14:paraId="376AAC26" w14:textId="77777777" w:rsidR="000E65FF" w:rsidRDefault="001F0CD9"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Pr>
                <w:rFonts w:ascii="Palatino Linotype" w:eastAsia="Calibri" w:hAnsi="Palatino Linotype" w:cs="Tahoma"/>
                <w:bCs/>
                <w:iCs/>
                <w:color w:val="000000" w:themeColor="text1"/>
                <w:sz w:val="18"/>
                <w:szCs w:val="18"/>
                <w:lang w:eastAsia="es-ES_tradnl"/>
              </w:rPr>
              <w:t>Respecto al punto i) y ii), entregó</w:t>
            </w:r>
            <w:r w:rsidR="0022200D">
              <w:rPr>
                <w:rFonts w:ascii="Palatino Linotype" w:eastAsia="Calibri" w:hAnsi="Palatino Linotype" w:cs="Tahoma"/>
                <w:bCs/>
                <w:iCs/>
                <w:color w:val="000000" w:themeColor="text1"/>
                <w:sz w:val="18"/>
                <w:szCs w:val="18"/>
                <w:lang w:eastAsia="es-ES_tradnl"/>
              </w:rPr>
              <w:t xml:space="preserve"> la versión pública de</w:t>
            </w:r>
            <w:r>
              <w:rPr>
                <w:rFonts w:ascii="Palatino Linotype" w:eastAsia="Calibri" w:hAnsi="Palatino Linotype" w:cs="Tahoma"/>
                <w:bCs/>
                <w:iCs/>
                <w:color w:val="000000" w:themeColor="text1"/>
                <w:sz w:val="18"/>
                <w:szCs w:val="18"/>
                <w:lang w:eastAsia="es-ES_tradnl"/>
              </w:rPr>
              <w:t xml:space="preserve"> las fianzas otorgadas por los contratistas, para garantizar el cumplimiento del contrato de obliga pública, así como la correcta inversión del anticipo otorgado para la ejecución de los trabajos.</w:t>
            </w:r>
          </w:p>
          <w:p w14:paraId="125B09F8" w14:textId="77777777" w:rsidR="0022200D" w:rsidRDefault="0022200D"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p>
          <w:p w14:paraId="194FB51F" w14:textId="77777777" w:rsidR="0022200D" w:rsidRDefault="0022200D" w:rsidP="0022200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Pr>
                <w:rFonts w:ascii="Palatino Linotype" w:eastAsia="Calibri" w:hAnsi="Palatino Linotype" w:cs="Tahoma"/>
                <w:bCs/>
                <w:iCs/>
                <w:color w:val="000000" w:themeColor="text1"/>
                <w:sz w:val="18"/>
                <w:szCs w:val="18"/>
                <w:lang w:eastAsia="es-ES_tradnl"/>
              </w:rPr>
              <w:t xml:space="preserve">Además, proporcionó la versión pública de las </w:t>
            </w:r>
            <w:r w:rsidRPr="0022200D">
              <w:rPr>
                <w:rFonts w:ascii="Palatino Linotype" w:eastAsia="Calibri" w:hAnsi="Palatino Linotype" w:cs="Tahoma"/>
                <w:bCs/>
                <w:iCs/>
                <w:color w:val="000000" w:themeColor="text1"/>
                <w:sz w:val="18"/>
                <w:szCs w:val="18"/>
                <w:lang w:eastAsia="es-ES_tradnl"/>
              </w:rPr>
              <w:t>constancias de haber entregado e</w:t>
            </w:r>
            <w:r>
              <w:rPr>
                <w:rFonts w:ascii="Palatino Linotype" w:eastAsia="Calibri" w:hAnsi="Palatino Linotype" w:cs="Tahoma"/>
                <w:bCs/>
                <w:iCs/>
                <w:color w:val="000000" w:themeColor="text1"/>
                <w:sz w:val="18"/>
                <w:szCs w:val="18"/>
                <w:lang w:eastAsia="es-ES_tradnl"/>
              </w:rPr>
              <w:t xml:space="preserve">l sitio de los trabajos de obra; así como </w:t>
            </w:r>
            <w:r w:rsidR="00B75BE4">
              <w:rPr>
                <w:rFonts w:ascii="Palatino Linotype" w:eastAsia="Calibri" w:hAnsi="Palatino Linotype" w:cs="Tahoma"/>
                <w:bCs/>
                <w:iCs/>
                <w:color w:val="000000" w:themeColor="text1"/>
                <w:sz w:val="18"/>
                <w:szCs w:val="18"/>
                <w:lang w:eastAsia="es-ES_tradnl"/>
              </w:rPr>
              <w:t>el acuse de recibo con firma de aceptación de los residentes de las obras públicas.</w:t>
            </w:r>
          </w:p>
          <w:p w14:paraId="21E42534" w14:textId="77777777" w:rsidR="00F526FB" w:rsidRDefault="00F526FB" w:rsidP="0022200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p>
          <w:p w14:paraId="59710D71" w14:textId="74574F46" w:rsidR="00F526FB" w:rsidRPr="0090131E" w:rsidRDefault="00F526FB" w:rsidP="0022200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Pr>
                <w:rFonts w:ascii="Palatino Linotype" w:eastAsia="Calibri" w:hAnsi="Palatino Linotype" w:cs="Tahoma"/>
                <w:bCs/>
                <w:iCs/>
                <w:color w:val="000000" w:themeColor="text1"/>
                <w:sz w:val="18"/>
                <w:szCs w:val="18"/>
                <w:lang w:eastAsia="es-ES_tradnl"/>
              </w:rPr>
              <w:t xml:space="preserve">Por lo que, hace a la Bitácora de Obra, </w:t>
            </w:r>
            <w:r w:rsidR="00604F5D">
              <w:rPr>
                <w:rFonts w:ascii="Palatino Linotype" w:eastAsia="Calibri" w:hAnsi="Palatino Linotype" w:cs="Tahoma"/>
                <w:bCs/>
                <w:iCs/>
                <w:color w:val="000000" w:themeColor="text1"/>
                <w:sz w:val="18"/>
                <w:szCs w:val="18"/>
                <w:lang w:eastAsia="es-ES_tradnl"/>
              </w:rPr>
              <w:t>precisó que era información reservada, en t</w:t>
            </w:r>
            <w:r w:rsidR="004F3E53">
              <w:rPr>
                <w:rFonts w:ascii="Palatino Linotype" w:eastAsia="Calibri" w:hAnsi="Palatino Linotype" w:cs="Tahoma"/>
                <w:bCs/>
                <w:iCs/>
                <w:color w:val="000000" w:themeColor="text1"/>
                <w:sz w:val="18"/>
                <w:szCs w:val="18"/>
                <w:lang w:eastAsia="es-ES_tradnl"/>
              </w:rPr>
              <w:t xml:space="preserve">érminos del </w:t>
            </w:r>
            <w:r w:rsidR="004F3E53">
              <w:rPr>
                <w:rFonts w:ascii="Palatino Linotype" w:eastAsia="Calibri" w:hAnsi="Palatino Linotype" w:cs="Tahoma"/>
                <w:bCs/>
                <w:iCs/>
                <w:color w:val="000000" w:themeColor="text1"/>
                <w:sz w:val="18"/>
                <w:szCs w:val="18"/>
                <w:lang w:eastAsia="es-ES_tradnl"/>
              </w:rPr>
              <w:lastRenderedPageBreak/>
              <w:t>Acuerdo 86, de la Décima Segunda Sesión Extraordinaria, del Comité de Transparencia del Ayuntamiento de Nicolás Romero.</w:t>
            </w:r>
          </w:p>
        </w:tc>
        <w:tc>
          <w:tcPr>
            <w:tcW w:w="1984" w:type="dxa"/>
            <w:tcBorders>
              <w:left w:val="single" w:sz="4" w:space="0" w:color="auto"/>
              <w:right w:val="single" w:sz="4" w:space="0" w:color="auto"/>
            </w:tcBorders>
            <w:vAlign w:val="center"/>
          </w:tcPr>
          <w:p w14:paraId="611D9AC4" w14:textId="6F97E0B4" w:rsidR="000E65FF" w:rsidRPr="0090131E" w:rsidRDefault="009520F1" w:rsidP="009520F1">
            <w:pPr>
              <w:tabs>
                <w:tab w:val="left" w:pos="4962"/>
              </w:tabs>
              <w:spacing w:line="360" w:lineRule="auto"/>
              <w:jc w:val="center"/>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lastRenderedPageBreak/>
              <w:t>La entrega de información incompleta y la clasificación de la misma.</w:t>
            </w:r>
          </w:p>
        </w:tc>
        <w:tc>
          <w:tcPr>
            <w:tcW w:w="1668" w:type="dxa"/>
            <w:tcBorders>
              <w:left w:val="single" w:sz="4" w:space="0" w:color="auto"/>
            </w:tcBorders>
            <w:vAlign w:val="center"/>
          </w:tcPr>
          <w:p w14:paraId="47C72E90" w14:textId="7CF8A0C6" w:rsidR="000E65FF" w:rsidRPr="0090131E" w:rsidRDefault="00E658F9" w:rsidP="00E658F9">
            <w:pPr>
              <w:tabs>
                <w:tab w:val="left" w:pos="4962"/>
              </w:tabs>
              <w:spacing w:line="360" w:lineRule="auto"/>
              <w:jc w:val="center"/>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Ratificó la respuesta inicial.</w:t>
            </w:r>
          </w:p>
        </w:tc>
      </w:tr>
      <w:tr w:rsidR="00E6419A" w:rsidRPr="0090131E" w14:paraId="59E8FD9C"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45794914" w14:textId="3EEAAFAC" w:rsidR="00E6419A" w:rsidRDefault="00E6419A"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5. Porcentaje de ejecución de cada una de las obras públicas.</w:t>
            </w:r>
          </w:p>
        </w:tc>
        <w:tc>
          <w:tcPr>
            <w:tcW w:w="2977" w:type="dxa"/>
            <w:tcBorders>
              <w:top w:val="single" w:sz="4" w:space="0" w:color="auto"/>
              <w:left w:val="single" w:sz="4" w:space="0" w:color="auto"/>
              <w:bottom w:val="single" w:sz="4" w:space="0" w:color="auto"/>
              <w:right w:val="single" w:sz="4" w:space="0" w:color="auto"/>
            </w:tcBorders>
            <w:vAlign w:val="center"/>
          </w:tcPr>
          <w:p w14:paraId="58F56B37" w14:textId="1A0072EF" w:rsidR="00E6419A" w:rsidRPr="0090131E" w:rsidRDefault="00E6419A"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sidRPr="00E4703B">
              <w:rPr>
                <w:rFonts w:ascii="Palatino Linotype" w:eastAsia="Calibri" w:hAnsi="Palatino Linotype" w:cs="Tahoma"/>
                <w:bCs/>
                <w:iCs/>
                <w:color w:val="000000" w:themeColor="text1"/>
                <w:sz w:val="18"/>
                <w:szCs w:val="18"/>
                <w:lang w:val="es-MX" w:eastAsia="es-ES_tradnl"/>
              </w:rPr>
              <w:t>Entregó la tabla denominada “Relación de Obras por Contrato 2019”, cuyos rubros son los siguientes: “NO.”, “CONTRATO”, “NOMBRE”, “UBICACIÓN”, “COLONIA”, “INICIO”, “TERMINO”, “PORCENTAJE DE EJECUCIÓN” y “OBSERVACIÓN”</w:t>
            </w:r>
            <w:r w:rsidR="00026DA0">
              <w:rPr>
                <w:rFonts w:ascii="Palatino Linotype" w:eastAsia="Calibri" w:hAnsi="Palatino Linotype" w:cs="Tahoma"/>
                <w:bCs/>
                <w:iCs/>
                <w:color w:val="000000" w:themeColor="text1"/>
                <w:sz w:val="18"/>
                <w:szCs w:val="18"/>
                <w:lang w:val="es-MX" w:eastAsia="es-ES_tradnl"/>
              </w:rPr>
              <w:t>.</w:t>
            </w:r>
          </w:p>
        </w:tc>
        <w:tc>
          <w:tcPr>
            <w:tcW w:w="1984" w:type="dxa"/>
            <w:vMerge w:val="restart"/>
            <w:tcBorders>
              <w:left w:val="single" w:sz="4" w:space="0" w:color="auto"/>
              <w:right w:val="single" w:sz="4" w:space="0" w:color="auto"/>
            </w:tcBorders>
            <w:vAlign w:val="center"/>
          </w:tcPr>
          <w:p w14:paraId="5A1F0CD9" w14:textId="60CAE229" w:rsidR="00E6419A" w:rsidRPr="0090131E" w:rsidRDefault="00E6419A" w:rsidP="009520F1">
            <w:pPr>
              <w:tabs>
                <w:tab w:val="left" w:pos="4962"/>
              </w:tabs>
              <w:spacing w:line="360" w:lineRule="auto"/>
              <w:jc w:val="center"/>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La entrega de información incompleta y que no corresponde con lo solicitado.</w:t>
            </w:r>
          </w:p>
        </w:tc>
        <w:tc>
          <w:tcPr>
            <w:tcW w:w="1668" w:type="dxa"/>
            <w:vMerge w:val="restart"/>
            <w:tcBorders>
              <w:left w:val="single" w:sz="4" w:space="0" w:color="auto"/>
            </w:tcBorders>
            <w:vAlign w:val="center"/>
          </w:tcPr>
          <w:p w14:paraId="743CC1F0" w14:textId="08490151" w:rsidR="00E6419A" w:rsidRPr="0090131E" w:rsidRDefault="00E6419A" w:rsidP="00E658F9">
            <w:pPr>
              <w:tabs>
                <w:tab w:val="left" w:pos="4962"/>
              </w:tabs>
              <w:spacing w:line="360" w:lineRule="auto"/>
              <w:jc w:val="center"/>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Ratificó la respuesta inicial.</w:t>
            </w:r>
          </w:p>
        </w:tc>
      </w:tr>
      <w:tr w:rsidR="00E6419A" w:rsidRPr="0090131E" w14:paraId="61D40518"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6D653E3A" w14:textId="17912F36" w:rsidR="00E6419A" w:rsidRDefault="00E6419A"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6. En caso, de atraso, las acciones implementadas por autoridad competente.</w:t>
            </w:r>
          </w:p>
        </w:tc>
        <w:tc>
          <w:tcPr>
            <w:tcW w:w="2977" w:type="dxa"/>
            <w:tcBorders>
              <w:top w:val="single" w:sz="4" w:space="0" w:color="auto"/>
              <w:left w:val="single" w:sz="4" w:space="0" w:color="auto"/>
              <w:bottom w:val="single" w:sz="4" w:space="0" w:color="auto"/>
              <w:right w:val="single" w:sz="4" w:space="0" w:color="auto"/>
            </w:tcBorders>
            <w:vAlign w:val="center"/>
          </w:tcPr>
          <w:p w14:paraId="6011201E" w14:textId="591596C6" w:rsidR="00E6419A" w:rsidRPr="0090131E" w:rsidRDefault="00E6419A" w:rsidP="00E4703B">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Pr>
                <w:rFonts w:ascii="Palatino Linotype" w:eastAsia="Calibri" w:hAnsi="Palatino Linotype" w:cs="Tahoma"/>
                <w:bCs/>
                <w:iCs/>
                <w:color w:val="000000" w:themeColor="text1"/>
                <w:sz w:val="18"/>
                <w:szCs w:val="18"/>
                <w:lang w:eastAsia="es-ES_tradnl"/>
              </w:rPr>
              <w:t>Que al veintiocho de agosto</w:t>
            </w:r>
            <w:r w:rsidRPr="00E4703B">
              <w:rPr>
                <w:rFonts w:ascii="Palatino Linotype" w:eastAsia="Calibri" w:hAnsi="Palatino Linotype" w:cs="Tahoma"/>
                <w:bCs/>
                <w:iCs/>
                <w:color w:val="000000" w:themeColor="text1"/>
                <w:sz w:val="18"/>
                <w:szCs w:val="18"/>
                <w:lang w:eastAsia="es-ES_tradnl"/>
              </w:rPr>
              <w:t xml:space="preserve"> las</w:t>
            </w:r>
            <w:r>
              <w:rPr>
                <w:rFonts w:ascii="Palatino Linotype" w:eastAsia="Calibri" w:hAnsi="Palatino Linotype" w:cs="Tahoma"/>
                <w:bCs/>
                <w:iCs/>
                <w:color w:val="000000" w:themeColor="text1"/>
                <w:sz w:val="18"/>
                <w:szCs w:val="18"/>
                <w:lang w:eastAsia="es-ES_tradnl"/>
              </w:rPr>
              <w:t xml:space="preserve"> obras públicas contratadas se encontraban</w:t>
            </w:r>
            <w:r w:rsidRPr="00E4703B">
              <w:rPr>
                <w:rFonts w:ascii="Palatino Linotype" w:eastAsia="Calibri" w:hAnsi="Palatino Linotype" w:cs="Tahoma"/>
                <w:bCs/>
                <w:iCs/>
                <w:color w:val="000000" w:themeColor="text1"/>
                <w:sz w:val="18"/>
                <w:szCs w:val="18"/>
                <w:lang w:eastAsia="es-ES_tradnl"/>
              </w:rPr>
              <w:t xml:space="preserve"> dentro de los periodos de ejecución las </w:t>
            </w:r>
            <w:r>
              <w:rPr>
                <w:rFonts w:ascii="Palatino Linotype" w:eastAsia="Calibri" w:hAnsi="Palatino Linotype" w:cs="Tahoma"/>
                <w:bCs/>
                <w:iCs/>
                <w:color w:val="000000" w:themeColor="text1"/>
                <w:sz w:val="18"/>
                <w:szCs w:val="18"/>
                <w:lang w:eastAsia="es-ES_tradnl"/>
              </w:rPr>
              <w:t>terminadas</w:t>
            </w:r>
            <w:r w:rsidRPr="00E4703B">
              <w:rPr>
                <w:rFonts w:ascii="Palatino Linotype" w:eastAsia="Calibri" w:hAnsi="Palatino Linotype" w:cs="Tahoma"/>
                <w:bCs/>
                <w:iCs/>
                <w:color w:val="000000" w:themeColor="text1"/>
                <w:sz w:val="18"/>
                <w:szCs w:val="18"/>
                <w:lang w:eastAsia="es-ES_tradnl"/>
              </w:rPr>
              <w:t xml:space="preserve"> culminaron los trabajos dentro </w:t>
            </w:r>
            <w:r>
              <w:rPr>
                <w:rFonts w:ascii="Palatino Linotype" w:eastAsia="Calibri" w:hAnsi="Palatino Linotype" w:cs="Tahoma"/>
                <w:bCs/>
                <w:iCs/>
                <w:color w:val="000000" w:themeColor="text1"/>
                <w:sz w:val="18"/>
                <w:szCs w:val="18"/>
                <w:lang w:eastAsia="es-ES_tradnl"/>
              </w:rPr>
              <w:t>del plazo establecido</w:t>
            </w:r>
            <w:r w:rsidRPr="00E4703B">
              <w:rPr>
                <w:rFonts w:ascii="Palatino Linotype" w:eastAsia="Calibri" w:hAnsi="Palatino Linotype" w:cs="Tahoma"/>
                <w:bCs/>
                <w:iCs/>
                <w:color w:val="000000" w:themeColor="text1"/>
                <w:sz w:val="18"/>
                <w:szCs w:val="18"/>
                <w:lang w:eastAsia="es-ES_tradnl"/>
              </w:rPr>
              <w:t>.</w:t>
            </w:r>
          </w:p>
        </w:tc>
        <w:tc>
          <w:tcPr>
            <w:tcW w:w="1984" w:type="dxa"/>
            <w:vMerge/>
            <w:tcBorders>
              <w:left w:val="single" w:sz="4" w:space="0" w:color="auto"/>
              <w:right w:val="single" w:sz="4" w:space="0" w:color="auto"/>
            </w:tcBorders>
            <w:vAlign w:val="center"/>
          </w:tcPr>
          <w:p w14:paraId="0C0A1237" w14:textId="77777777" w:rsidR="00E6419A"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c>
          <w:tcPr>
            <w:tcW w:w="1668" w:type="dxa"/>
            <w:vMerge/>
            <w:tcBorders>
              <w:left w:val="single" w:sz="4" w:space="0" w:color="auto"/>
            </w:tcBorders>
            <w:vAlign w:val="center"/>
          </w:tcPr>
          <w:p w14:paraId="7969905C" w14:textId="77777777" w:rsidR="00E6419A"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r>
      <w:tr w:rsidR="00E6419A" w:rsidRPr="0090131E" w14:paraId="431A63C9"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6A594B36" w14:textId="6C1AA335" w:rsidR="00E6419A" w:rsidRDefault="00E6419A" w:rsidP="00FB7F7A">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7. Periodos de ejecución de cada obra pública</w:t>
            </w:r>
          </w:p>
        </w:tc>
        <w:tc>
          <w:tcPr>
            <w:tcW w:w="2977" w:type="dxa"/>
            <w:vMerge w:val="restart"/>
            <w:tcBorders>
              <w:top w:val="single" w:sz="4" w:space="0" w:color="auto"/>
              <w:left w:val="single" w:sz="4" w:space="0" w:color="auto"/>
              <w:right w:val="single" w:sz="4" w:space="0" w:color="auto"/>
            </w:tcBorders>
            <w:vAlign w:val="center"/>
          </w:tcPr>
          <w:p w14:paraId="7EA74163" w14:textId="1E45F558" w:rsidR="00E6419A" w:rsidRPr="0090131E" w:rsidRDefault="00E6419A"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sidRPr="00E4703B">
              <w:rPr>
                <w:rFonts w:ascii="Palatino Linotype" w:eastAsia="Calibri" w:hAnsi="Palatino Linotype" w:cs="Tahoma"/>
                <w:bCs/>
                <w:iCs/>
                <w:color w:val="000000" w:themeColor="text1"/>
                <w:sz w:val="18"/>
                <w:szCs w:val="18"/>
                <w:lang w:val="es-MX" w:eastAsia="es-ES_tradnl"/>
              </w:rPr>
              <w:t>Entregó la tabla denominada “Relación de Obras por Contrato 2019”, cuyos rubros son los siguientes: “NO.”, “CONTRATO”, “NOMBRE”, “UBICACIÓN”, “COLONIA”, “INICIO”, “TERMINO”, “PORCENTAJE DE EJECUCIÓN” y “OBSERVACIÓN”</w:t>
            </w:r>
            <w:r w:rsidR="00026DA0">
              <w:rPr>
                <w:rFonts w:ascii="Palatino Linotype" w:eastAsia="Calibri" w:hAnsi="Palatino Linotype" w:cs="Tahoma"/>
                <w:bCs/>
                <w:iCs/>
                <w:color w:val="000000" w:themeColor="text1"/>
                <w:sz w:val="18"/>
                <w:szCs w:val="18"/>
                <w:lang w:val="es-MX" w:eastAsia="es-ES_tradnl"/>
              </w:rPr>
              <w:t>.</w:t>
            </w:r>
          </w:p>
        </w:tc>
        <w:tc>
          <w:tcPr>
            <w:tcW w:w="1984" w:type="dxa"/>
            <w:vMerge/>
            <w:tcBorders>
              <w:left w:val="single" w:sz="4" w:space="0" w:color="auto"/>
              <w:right w:val="single" w:sz="4" w:space="0" w:color="auto"/>
            </w:tcBorders>
            <w:vAlign w:val="center"/>
          </w:tcPr>
          <w:p w14:paraId="71846CF2" w14:textId="77777777" w:rsidR="00E6419A"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c>
          <w:tcPr>
            <w:tcW w:w="1668" w:type="dxa"/>
            <w:vMerge/>
            <w:tcBorders>
              <w:left w:val="single" w:sz="4" w:space="0" w:color="auto"/>
            </w:tcBorders>
            <w:vAlign w:val="center"/>
          </w:tcPr>
          <w:p w14:paraId="00547508" w14:textId="77777777" w:rsidR="00E6419A"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r>
      <w:tr w:rsidR="00E6419A" w:rsidRPr="0090131E" w14:paraId="097507A5"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45CB465A" w14:textId="4D5D6E2D" w:rsidR="00E6419A" w:rsidRDefault="00E6419A"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8. Obras a ejecutar con Recursos “FEFOM” y “FISM”, durante el dos mil diecinueve.</w:t>
            </w:r>
          </w:p>
        </w:tc>
        <w:tc>
          <w:tcPr>
            <w:tcW w:w="2977" w:type="dxa"/>
            <w:vMerge/>
            <w:tcBorders>
              <w:left w:val="single" w:sz="4" w:space="0" w:color="auto"/>
              <w:bottom w:val="single" w:sz="4" w:space="0" w:color="auto"/>
              <w:right w:val="single" w:sz="4" w:space="0" w:color="auto"/>
            </w:tcBorders>
            <w:vAlign w:val="center"/>
          </w:tcPr>
          <w:p w14:paraId="2256C390" w14:textId="77777777" w:rsidR="00E6419A" w:rsidRPr="0090131E" w:rsidRDefault="00E6419A"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p>
        </w:tc>
        <w:tc>
          <w:tcPr>
            <w:tcW w:w="1984" w:type="dxa"/>
            <w:vMerge/>
            <w:tcBorders>
              <w:left w:val="single" w:sz="4" w:space="0" w:color="auto"/>
              <w:right w:val="single" w:sz="4" w:space="0" w:color="auto"/>
            </w:tcBorders>
            <w:vAlign w:val="center"/>
          </w:tcPr>
          <w:p w14:paraId="75992F1F" w14:textId="77777777" w:rsidR="00E6419A"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c>
          <w:tcPr>
            <w:tcW w:w="1668" w:type="dxa"/>
            <w:vMerge/>
            <w:tcBorders>
              <w:left w:val="single" w:sz="4" w:space="0" w:color="auto"/>
            </w:tcBorders>
            <w:vAlign w:val="center"/>
          </w:tcPr>
          <w:p w14:paraId="10B1A0DD" w14:textId="77777777" w:rsidR="00E6419A"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r>
      <w:tr w:rsidR="009520F1" w:rsidRPr="0090131E" w14:paraId="206100EE" w14:textId="77777777" w:rsidTr="00133E00">
        <w:tc>
          <w:tcPr>
            <w:tcW w:w="2405" w:type="dxa"/>
            <w:tcBorders>
              <w:top w:val="single" w:sz="4" w:space="0" w:color="auto"/>
              <w:left w:val="single" w:sz="4" w:space="0" w:color="auto"/>
              <w:bottom w:val="single" w:sz="4" w:space="0" w:color="auto"/>
              <w:right w:val="single" w:sz="4" w:space="0" w:color="auto"/>
            </w:tcBorders>
            <w:vAlign w:val="center"/>
          </w:tcPr>
          <w:p w14:paraId="79BA7EB9" w14:textId="6E8B4010" w:rsidR="009520F1" w:rsidRDefault="009520F1" w:rsidP="007E0851">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 xml:space="preserve">9. Funciones, actividades y atribuciones, de cada uno de los trabajadores de la </w:t>
            </w:r>
            <w:r>
              <w:rPr>
                <w:rFonts w:ascii="Palatino Linotype" w:eastAsia="Calibri" w:hAnsi="Palatino Linotype" w:cs="Tahoma"/>
                <w:iCs/>
                <w:color w:val="000000" w:themeColor="text1"/>
                <w:sz w:val="18"/>
                <w:szCs w:val="18"/>
                <w:lang w:eastAsia="es-ES_tradnl"/>
              </w:rPr>
              <w:lastRenderedPageBreak/>
              <w:t>Dirección de Obras Públicas.</w:t>
            </w:r>
          </w:p>
        </w:tc>
        <w:tc>
          <w:tcPr>
            <w:tcW w:w="2977" w:type="dxa"/>
            <w:tcBorders>
              <w:top w:val="single" w:sz="4" w:space="0" w:color="auto"/>
              <w:left w:val="single" w:sz="4" w:space="0" w:color="auto"/>
              <w:bottom w:val="single" w:sz="4" w:space="0" w:color="auto"/>
              <w:right w:val="single" w:sz="4" w:space="0" w:color="auto"/>
            </w:tcBorders>
            <w:vAlign w:val="center"/>
          </w:tcPr>
          <w:p w14:paraId="029C711A" w14:textId="04A3AE7B" w:rsidR="009520F1" w:rsidRPr="0090131E" w:rsidRDefault="009520F1" w:rsidP="003F7AED">
            <w:pPr>
              <w:tabs>
                <w:tab w:val="left" w:pos="4962"/>
              </w:tabs>
              <w:spacing w:line="360" w:lineRule="auto"/>
              <w:jc w:val="both"/>
              <w:rPr>
                <w:rFonts w:ascii="Palatino Linotype" w:eastAsia="Calibri" w:hAnsi="Palatino Linotype" w:cs="Tahoma"/>
                <w:bCs/>
                <w:iCs/>
                <w:color w:val="000000" w:themeColor="text1"/>
                <w:sz w:val="18"/>
                <w:szCs w:val="18"/>
                <w:lang w:eastAsia="es-ES_tradnl"/>
              </w:rPr>
            </w:pPr>
            <w:r w:rsidRPr="00133E00">
              <w:rPr>
                <w:rFonts w:ascii="Palatino Linotype" w:eastAsia="Calibri" w:hAnsi="Palatino Linotype" w:cs="Tahoma"/>
                <w:bCs/>
                <w:iCs/>
                <w:color w:val="000000" w:themeColor="text1"/>
                <w:sz w:val="18"/>
                <w:szCs w:val="18"/>
                <w:lang w:val="es-MX" w:eastAsia="es-ES_tradnl"/>
              </w:rPr>
              <w:lastRenderedPageBreak/>
              <w:t xml:space="preserve">Señaló que la información se localizaba dentro de las obligaciones de transparencia del </w:t>
            </w:r>
            <w:r w:rsidRPr="00133E00">
              <w:rPr>
                <w:rFonts w:ascii="Palatino Linotype" w:eastAsia="Calibri" w:hAnsi="Palatino Linotype" w:cs="Tahoma"/>
                <w:bCs/>
                <w:iCs/>
                <w:color w:val="000000" w:themeColor="text1"/>
                <w:sz w:val="18"/>
                <w:szCs w:val="18"/>
                <w:lang w:val="es-MX" w:eastAsia="es-ES_tradnl"/>
              </w:rPr>
              <w:lastRenderedPageBreak/>
              <w:t xml:space="preserve">Sujeto Obligado, localizadas en la liga electrónica: </w:t>
            </w:r>
            <w:hyperlink r:id="rId43" w:history="1">
              <w:r w:rsidRPr="00133E00">
                <w:rPr>
                  <w:rStyle w:val="Hipervnculo"/>
                  <w:rFonts w:ascii="Palatino Linotype" w:eastAsia="Calibri" w:hAnsi="Palatino Linotype" w:cs="Tahoma"/>
                  <w:bCs/>
                  <w:iCs/>
                  <w:sz w:val="18"/>
                  <w:szCs w:val="18"/>
                  <w:lang w:val="es-MX" w:eastAsia="es-ES_tradnl"/>
                </w:rPr>
                <w:t>https://www.ipomex.org.mx/ipo3/lgt/indice/NICOLASROMERO.web;jsessionid=A32AF14BAAF7BD41663AC7734D16ADA9?q=2019</w:t>
              </w:r>
            </w:hyperlink>
            <w:r w:rsidRPr="00133E00">
              <w:rPr>
                <w:rFonts w:ascii="Palatino Linotype" w:eastAsia="Calibri" w:hAnsi="Palatino Linotype" w:cs="Tahoma"/>
                <w:bCs/>
                <w:iCs/>
                <w:color w:val="000000" w:themeColor="text1"/>
                <w:sz w:val="18"/>
                <w:szCs w:val="18"/>
                <w:lang w:val="es-MX" w:eastAsia="es-ES_tradnl"/>
              </w:rPr>
              <w:t>.</w:t>
            </w:r>
          </w:p>
        </w:tc>
        <w:tc>
          <w:tcPr>
            <w:tcW w:w="1984" w:type="dxa"/>
            <w:vMerge/>
            <w:tcBorders>
              <w:left w:val="single" w:sz="4" w:space="0" w:color="auto"/>
              <w:right w:val="single" w:sz="4" w:space="0" w:color="auto"/>
            </w:tcBorders>
            <w:vAlign w:val="center"/>
          </w:tcPr>
          <w:p w14:paraId="46ABA984" w14:textId="77777777" w:rsidR="009520F1" w:rsidRPr="0090131E" w:rsidRDefault="009520F1"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p>
        </w:tc>
        <w:tc>
          <w:tcPr>
            <w:tcW w:w="1668" w:type="dxa"/>
            <w:tcBorders>
              <w:left w:val="single" w:sz="4" w:space="0" w:color="auto"/>
            </w:tcBorders>
            <w:vAlign w:val="center"/>
          </w:tcPr>
          <w:p w14:paraId="42931A33" w14:textId="7CE2057C" w:rsidR="009520F1" w:rsidRPr="0090131E" w:rsidRDefault="00E6419A" w:rsidP="003F7AED">
            <w:pPr>
              <w:tabs>
                <w:tab w:val="left" w:pos="4962"/>
              </w:tabs>
              <w:spacing w:line="360" w:lineRule="auto"/>
              <w:jc w:val="both"/>
              <w:rPr>
                <w:rFonts w:ascii="Palatino Linotype" w:eastAsia="Calibri" w:hAnsi="Palatino Linotype" w:cs="Tahoma"/>
                <w:iCs/>
                <w:color w:val="000000" w:themeColor="text1"/>
                <w:sz w:val="18"/>
                <w:szCs w:val="18"/>
                <w:lang w:eastAsia="es-ES_tradnl"/>
              </w:rPr>
            </w:pPr>
            <w:r>
              <w:rPr>
                <w:rFonts w:ascii="Palatino Linotype" w:eastAsia="Calibri" w:hAnsi="Palatino Linotype" w:cs="Tahoma"/>
                <w:iCs/>
                <w:color w:val="000000" w:themeColor="text1"/>
                <w:sz w:val="18"/>
                <w:szCs w:val="18"/>
                <w:lang w:eastAsia="es-ES_tradnl"/>
              </w:rPr>
              <w:t xml:space="preserve">Precisó que la información que daba cuenta, era </w:t>
            </w:r>
            <w:r>
              <w:rPr>
                <w:rFonts w:ascii="Palatino Linotype" w:eastAsia="Calibri" w:hAnsi="Palatino Linotype" w:cs="Tahoma"/>
                <w:iCs/>
                <w:color w:val="000000" w:themeColor="text1"/>
                <w:sz w:val="18"/>
                <w:szCs w:val="18"/>
                <w:lang w:eastAsia="es-ES_tradnl"/>
              </w:rPr>
              <w:lastRenderedPageBreak/>
              <w:t>la normatividad aplicable, conformada del Manual de Procedimientos de la Dirección de Obras Públicas, Reglamento Orgánico Municipal</w:t>
            </w:r>
            <w:r w:rsidR="004F5AD1">
              <w:rPr>
                <w:rFonts w:ascii="Palatino Linotype" w:eastAsia="Calibri" w:hAnsi="Palatino Linotype" w:cs="Tahoma"/>
                <w:iCs/>
                <w:color w:val="000000" w:themeColor="text1"/>
                <w:sz w:val="18"/>
                <w:szCs w:val="18"/>
                <w:lang w:eastAsia="es-ES_tradnl"/>
              </w:rPr>
              <w:t xml:space="preserve"> y el Bando Municipal</w:t>
            </w:r>
            <w:r w:rsidR="00026DA0">
              <w:rPr>
                <w:rFonts w:ascii="Palatino Linotype" w:eastAsia="Calibri" w:hAnsi="Palatino Linotype" w:cs="Tahoma"/>
                <w:iCs/>
                <w:color w:val="000000" w:themeColor="text1"/>
                <w:sz w:val="18"/>
                <w:szCs w:val="18"/>
                <w:lang w:eastAsia="es-ES_tradnl"/>
              </w:rPr>
              <w:t>.</w:t>
            </w:r>
          </w:p>
        </w:tc>
      </w:tr>
    </w:tbl>
    <w:p w14:paraId="145527DB" w14:textId="77777777" w:rsidR="0091055D" w:rsidRDefault="0091055D" w:rsidP="00447875">
      <w:pPr>
        <w:tabs>
          <w:tab w:val="left" w:pos="4962"/>
        </w:tabs>
        <w:spacing w:line="360" w:lineRule="auto"/>
        <w:jc w:val="both"/>
        <w:rPr>
          <w:rFonts w:ascii="Palatino Linotype" w:eastAsia="Calibri" w:hAnsi="Palatino Linotype" w:cs="Tahoma"/>
          <w:iCs/>
          <w:color w:val="000000" w:themeColor="text1"/>
          <w:sz w:val="22"/>
          <w:szCs w:val="22"/>
          <w:lang w:val="es-ES" w:eastAsia="es-ES_tradnl"/>
        </w:rPr>
      </w:pPr>
    </w:p>
    <w:p w14:paraId="54C48FB9" w14:textId="6E025CB9" w:rsidR="001A674F" w:rsidRPr="00302243" w:rsidRDefault="001A674F" w:rsidP="00447875">
      <w:pPr>
        <w:spacing w:line="360" w:lineRule="auto"/>
        <w:jc w:val="both"/>
        <w:rPr>
          <w:rFonts w:ascii="Palatino Linotype" w:eastAsia="Calibri" w:hAnsi="Palatino Linotype" w:cs="Tahoma"/>
          <w:bCs/>
          <w:color w:val="000000" w:themeColor="text1"/>
          <w:sz w:val="22"/>
          <w:szCs w:val="22"/>
          <w:lang w:eastAsia="en-US"/>
        </w:rPr>
      </w:pPr>
      <w:r w:rsidRPr="00302243">
        <w:rPr>
          <w:rFonts w:ascii="Palatino Linotype" w:hAnsi="Palatino Linotype" w:cs="Tahoma"/>
          <w:color w:val="000000" w:themeColor="text1"/>
          <w:sz w:val="22"/>
          <w:szCs w:val="22"/>
          <w:lang w:val="es-ES"/>
        </w:rPr>
        <w:t xml:space="preserve">Lo anterior, se desprende de las documentales que obran en el expediente de referencia, materia de la presente resolución, consistentes en: la solicitud de acceso a la información con número de folio </w:t>
      </w:r>
      <w:r w:rsidR="003A4A76">
        <w:rPr>
          <w:rFonts w:ascii="Palatino Linotype" w:eastAsia="Calibri" w:hAnsi="Palatino Linotype" w:cs="Tahoma"/>
          <w:bCs/>
          <w:color w:val="000000" w:themeColor="text1"/>
          <w:sz w:val="22"/>
          <w:szCs w:val="22"/>
          <w:lang w:eastAsia="en-US"/>
        </w:rPr>
        <w:t>00635/NICOROM/IP/2019</w:t>
      </w:r>
      <w:r w:rsidRPr="00302243">
        <w:rPr>
          <w:rFonts w:ascii="Palatino Linotype" w:eastAsia="Calibri" w:hAnsi="Palatino Linotype" w:cs="Tahoma"/>
          <w:bCs/>
          <w:color w:val="000000" w:themeColor="text1"/>
          <w:sz w:val="22"/>
          <w:szCs w:val="22"/>
          <w:lang w:eastAsia="en-US"/>
        </w:rPr>
        <w:t xml:space="preserve">; la respuesta proporcionada por el </w:t>
      </w:r>
      <w:r w:rsidR="007B76E4" w:rsidRPr="00302243">
        <w:rPr>
          <w:rFonts w:ascii="Palatino Linotype" w:eastAsia="Calibri" w:hAnsi="Palatino Linotype" w:cs="Tahoma"/>
          <w:bCs/>
          <w:color w:val="000000" w:themeColor="text1"/>
          <w:sz w:val="22"/>
          <w:szCs w:val="22"/>
          <w:lang w:eastAsia="en-US"/>
        </w:rPr>
        <w:t xml:space="preserve">Ayuntamiento de </w:t>
      </w:r>
      <w:r w:rsidR="003A4A76">
        <w:rPr>
          <w:rFonts w:ascii="Palatino Linotype" w:eastAsia="Calibri" w:hAnsi="Palatino Linotype" w:cs="Tahoma"/>
          <w:bCs/>
          <w:color w:val="000000" w:themeColor="text1"/>
          <w:sz w:val="22"/>
          <w:szCs w:val="22"/>
          <w:lang w:eastAsia="en-US"/>
        </w:rPr>
        <w:t>Nicolás Romero;</w:t>
      </w:r>
      <w:r w:rsidRPr="00302243">
        <w:rPr>
          <w:rFonts w:ascii="Palatino Linotype" w:eastAsia="Calibri" w:hAnsi="Palatino Linotype" w:cs="Tahoma"/>
          <w:bCs/>
          <w:color w:val="000000" w:themeColor="text1"/>
          <w:sz w:val="22"/>
          <w:szCs w:val="22"/>
          <w:lang w:eastAsia="en-US"/>
        </w:rPr>
        <w:t xml:space="preserve"> el escrito recursal</w:t>
      </w:r>
      <w:r w:rsidR="003A4A76">
        <w:rPr>
          <w:rFonts w:ascii="Palatino Linotype" w:eastAsia="Calibri" w:hAnsi="Palatino Linotype" w:cs="Tahoma"/>
          <w:bCs/>
          <w:color w:val="000000" w:themeColor="text1"/>
          <w:sz w:val="22"/>
          <w:szCs w:val="22"/>
          <w:lang w:eastAsia="en-US"/>
        </w:rPr>
        <w:t xml:space="preserve"> y el Informe Justificado, proporcionado por el Sujeto Obligado</w:t>
      </w:r>
      <w:r w:rsidRPr="00302243">
        <w:rPr>
          <w:rFonts w:ascii="Palatino Linotype" w:eastAsia="Calibri" w:hAnsi="Palatino Linotype" w:cs="Tahoma"/>
          <w:bCs/>
          <w:color w:val="000000" w:themeColor="text1"/>
          <w:sz w:val="22"/>
          <w:szCs w:val="22"/>
          <w:lang w:eastAsia="en-US"/>
        </w:rPr>
        <w:t>; instrumentales que se toman en cuenta a efecto de resolver el presente medio de impugnación, conforme a lo dispuesto por el artículo 185, fracción IV, de la Ley de Transparencia y Acceso a la Información Pública del Estado de México y Municipios.</w:t>
      </w:r>
    </w:p>
    <w:p w14:paraId="13CA8034" w14:textId="77777777" w:rsidR="00FF05B9" w:rsidRPr="00302243" w:rsidRDefault="00FF05B9" w:rsidP="00447875">
      <w:pPr>
        <w:spacing w:line="360" w:lineRule="auto"/>
        <w:jc w:val="both"/>
        <w:rPr>
          <w:rFonts w:ascii="Palatino Linotype" w:eastAsia="Calibri" w:hAnsi="Palatino Linotype" w:cs="Tahoma"/>
          <w:bCs/>
          <w:color w:val="000000" w:themeColor="text1"/>
          <w:sz w:val="22"/>
          <w:szCs w:val="22"/>
          <w:lang w:eastAsia="en-US"/>
        </w:rPr>
      </w:pPr>
    </w:p>
    <w:p w14:paraId="5AA5161E" w14:textId="77777777" w:rsidR="00D200AB" w:rsidRPr="00302243" w:rsidRDefault="009617D3" w:rsidP="00447875">
      <w:pPr>
        <w:spacing w:line="360" w:lineRule="auto"/>
        <w:jc w:val="both"/>
        <w:rPr>
          <w:rFonts w:ascii="Palatino Linotype" w:hAnsi="Palatino Linotype" w:cs="Tahoma"/>
          <w:b/>
          <w:color w:val="000000" w:themeColor="text1"/>
          <w:sz w:val="22"/>
          <w:szCs w:val="22"/>
        </w:rPr>
      </w:pPr>
      <w:r w:rsidRPr="00302243">
        <w:rPr>
          <w:rFonts w:ascii="Palatino Linotype" w:hAnsi="Palatino Linotype" w:cs="Tahoma"/>
          <w:b/>
          <w:color w:val="000000" w:themeColor="text1"/>
          <w:sz w:val="22"/>
          <w:szCs w:val="22"/>
          <w:lang w:val="es-ES"/>
        </w:rPr>
        <w:t>CUART</w:t>
      </w:r>
      <w:r w:rsidR="002241A6" w:rsidRPr="00302243">
        <w:rPr>
          <w:rFonts w:ascii="Palatino Linotype" w:hAnsi="Palatino Linotype" w:cs="Tahoma"/>
          <w:b/>
          <w:color w:val="000000" w:themeColor="text1"/>
          <w:sz w:val="22"/>
          <w:szCs w:val="22"/>
          <w:lang w:val="es-ES"/>
        </w:rPr>
        <w:t>O</w:t>
      </w:r>
      <w:r w:rsidRPr="00302243">
        <w:rPr>
          <w:rFonts w:ascii="Palatino Linotype" w:hAnsi="Palatino Linotype" w:cs="Tahoma"/>
          <w:b/>
          <w:color w:val="000000" w:themeColor="text1"/>
          <w:sz w:val="22"/>
          <w:szCs w:val="22"/>
          <w:lang w:val="es-ES"/>
        </w:rPr>
        <w:t xml:space="preserve">. </w:t>
      </w:r>
      <w:r w:rsidR="00D200AB" w:rsidRPr="00302243">
        <w:rPr>
          <w:rFonts w:ascii="Palatino Linotype" w:hAnsi="Palatino Linotype" w:cs="Tahoma"/>
          <w:b/>
          <w:color w:val="000000" w:themeColor="text1"/>
          <w:sz w:val="22"/>
          <w:szCs w:val="22"/>
        </w:rPr>
        <w:t>Marco normativo aplicable en materia de transparencia y acceso a la información pública.</w:t>
      </w:r>
    </w:p>
    <w:p w14:paraId="0A4E64D4" w14:textId="77777777" w:rsidR="008A4356" w:rsidRPr="00302243" w:rsidRDefault="008A4356" w:rsidP="00447875">
      <w:pPr>
        <w:spacing w:line="360" w:lineRule="auto"/>
        <w:contextualSpacing/>
        <w:jc w:val="both"/>
        <w:rPr>
          <w:rFonts w:ascii="Palatino Linotype" w:hAnsi="Palatino Linotype" w:cs="Tahoma"/>
          <w:color w:val="000000" w:themeColor="text1"/>
          <w:sz w:val="22"/>
          <w:szCs w:val="22"/>
        </w:rPr>
      </w:pPr>
    </w:p>
    <w:p w14:paraId="7C7ECA04" w14:textId="77777777" w:rsidR="00D200AB" w:rsidRPr="00302243" w:rsidRDefault="00D200AB" w:rsidP="00447875">
      <w:pPr>
        <w:widowControl w:val="0"/>
        <w:spacing w:line="360" w:lineRule="auto"/>
        <w:contextualSpacing/>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718F3B7" w14:textId="77777777" w:rsidR="00D200AB" w:rsidRPr="00302243" w:rsidRDefault="00D200AB" w:rsidP="00447875">
      <w:pPr>
        <w:spacing w:line="360" w:lineRule="auto"/>
        <w:contextualSpacing/>
        <w:jc w:val="both"/>
        <w:rPr>
          <w:rFonts w:ascii="Palatino Linotype" w:hAnsi="Palatino Linotype" w:cs="Tahoma"/>
          <w:color w:val="000000" w:themeColor="text1"/>
          <w:sz w:val="22"/>
          <w:szCs w:val="22"/>
        </w:rPr>
      </w:pPr>
    </w:p>
    <w:p w14:paraId="034A7B7E" w14:textId="133E5890"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lastRenderedPageBreak/>
        <w:t>La Ley General de Transparencia y Acceso a la Información Pública, publicada en el Diario Oficial de la Federación</w:t>
      </w:r>
      <w:r w:rsidR="003A4A76">
        <w:rPr>
          <w:rFonts w:ascii="Palatino Linotype" w:hAnsi="Palatino Linotype" w:cs="Tahoma"/>
          <w:color w:val="000000" w:themeColor="text1"/>
          <w:sz w:val="22"/>
          <w:szCs w:val="22"/>
        </w:rPr>
        <w:t>,</w:t>
      </w:r>
      <w:r w:rsidRPr="00302243">
        <w:rPr>
          <w:rFonts w:ascii="Palatino Linotype" w:hAnsi="Palatino Linotype" w:cs="Tahoma"/>
          <w:color w:val="000000" w:themeColor="text1"/>
          <w:sz w:val="22"/>
          <w:szCs w:val="22"/>
        </w:rPr>
        <w:t xml:space="preserve"> el </w:t>
      </w:r>
      <w:r w:rsidR="003A4A76">
        <w:rPr>
          <w:rFonts w:ascii="Palatino Linotype" w:hAnsi="Palatino Linotype" w:cs="Tahoma"/>
          <w:color w:val="000000" w:themeColor="text1"/>
          <w:sz w:val="22"/>
          <w:szCs w:val="22"/>
        </w:rPr>
        <w:t>cuatro de mayo de dos mil quince</w:t>
      </w:r>
      <w:r w:rsidRPr="00302243">
        <w:rPr>
          <w:rFonts w:ascii="Palatino Linotype" w:hAnsi="Palatino Linotype" w:cs="Tahoma"/>
          <w:color w:val="000000" w:themeColor="text1"/>
          <w:sz w:val="22"/>
          <w:szCs w:val="22"/>
        </w:rPr>
        <w:t>, dispone en su artículo 70, la información que se considera corresponde a las Obligaciones de Transparencia, la cual debe estar disponible para cualquier persona de manera permanente y actualizada.</w:t>
      </w:r>
    </w:p>
    <w:p w14:paraId="5B70333D" w14:textId="77777777" w:rsidR="00D200AB" w:rsidRPr="00302243" w:rsidRDefault="00D200AB" w:rsidP="00447875">
      <w:pPr>
        <w:spacing w:line="360" w:lineRule="auto"/>
        <w:jc w:val="both"/>
        <w:rPr>
          <w:rFonts w:ascii="Palatino Linotype" w:hAnsi="Palatino Linotype" w:cs="Tahoma"/>
          <w:color w:val="000000" w:themeColor="text1"/>
          <w:sz w:val="22"/>
          <w:szCs w:val="22"/>
        </w:rPr>
      </w:pPr>
    </w:p>
    <w:p w14:paraId="7A6A9A47" w14:textId="77777777"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6AD94F2" w14:textId="77777777" w:rsidR="00D200AB" w:rsidRPr="00302243" w:rsidRDefault="00D200AB" w:rsidP="00447875">
      <w:pPr>
        <w:spacing w:line="360" w:lineRule="auto"/>
        <w:jc w:val="both"/>
        <w:rPr>
          <w:rFonts w:ascii="Palatino Linotype" w:hAnsi="Palatino Linotype" w:cs="Tahoma"/>
          <w:color w:val="000000" w:themeColor="text1"/>
          <w:sz w:val="22"/>
          <w:szCs w:val="22"/>
        </w:rPr>
      </w:pPr>
    </w:p>
    <w:p w14:paraId="2C37EB32" w14:textId="77777777"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846AA7D" w14:textId="77777777" w:rsidR="00D200AB" w:rsidRPr="00302243" w:rsidRDefault="00D200AB" w:rsidP="00447875">
      <w:pPr>
        <w:spacing w:line="360" w:lineRule="auto"/>
        <w:jc w:val="both"/>
        <w:rPr>
          <w:rFonts w:ascii="Palatino Linotype" w:hAnsi="Palatino Linotype" w:cs="Tahoma"/>
          <w:color w:val="000000" w:themeColor="text1"/>
          <w:sz w:val="22"/>
          <w:szCs w:val="22"/>
        </w:rPr>
      </w:pPr>
    </w:p>
    <w:p w14:paraId="4A0768A2" w14:textId="77777777"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Por su parte, la Ley de Transparencia y Acceso a la Información Pública del Estado de México y Municipios (Reglamentaria del artículo 5° de la Constitución Local), establece lo siguiente:</w:t>
      </w:r>
    </w:p>
    <w:p w14:paraId="1945E5FF" w14:textId="77777777" w:rsidR="00D200AB" w:rsidRPr="00302243" w:rsidRDefault="00D200AB" w:rsidP="00447875">
      <w:pPr>
        <w:spacing w:line="360" w:lineRule="auto"/>
        <w:jc w:val="both"/>
        <w:rPr>
          <w:rFonts w:ascii="Palatino Linotype" w:hAnsi="Palatino Linotype" w:cs="Tahoma"/>
          <w:color w:val="000000" w:themeColor="text1"/>
          <w:sz w:val="22"/>
          <w:szCs w:val="22"/>
        </w:rPr>
      </w:pPr>
    </w:p>
    <w:p w14:paraId="299524A1" w14:textId="77777777"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El artículo 12, que, quienes generen, recopilen, administren, manejen, procesen, archiven o conserven información pública serán responsables de la misma.</w:t>
      </w:r>
    </w:p>
    <w:p w14:paraId="59AB08C8" w14:textId="77777777" w:rsidR="00D200AB" w:rsidRPr="00302243" w:rsidRDefault="00D200AB" w:rsidP="00447875">
      <w:pPr>
        <w:spacing w:line="360" w:lineRule="auto"/>
        <w:jc w:val="both"/>
        <w:rPr>
          <w:rFonts w:ascii="Palatino Linotype" w:hAnsi="Palatino Linotype" w:cs="Tahoma"/>
          <w:color w:val="000000" w:themeColor="text1"/>
          <w:sz w:val="22"/>
          <w:szCs w:val="22"/>
        </w:rPr>
      </w:pPr>
    </w:p>
    <w:p w14:paraId="117CC7C3" w14:textId="77777777"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04E2F43D" w14:textId="77777777" w:rsidR="00D200AB" w:rsidRPr="00302243" w:rsidRDefault="00D200AB" w:rsidP="0044787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color w:val="000000" w:themeColor="text1"/>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C08C20" w14:textId="77777777" w:rsidR="00D200AB" w:rsidRDefault="00D200AB" w:rsidP="00447875">
      <w:pPr>
        <w:spacing w:line="360" w:lineRule="auto"/>
        <w:jc w:val="both"/>
        <w:rPr>
          <w:rFonts w:ascii="Palatino Linotype" w:hAnsi="Palatino Linotype" w:cs="Tahoma"/>
          <w:color w:val="000000" w:themeColor="text1"/>
          <w:sz w:val="22"/>
          <w:szCs w:val="22"/>
        </w:rPr>
      </w:pPr>
    </w:p>
    <w:p w14:paraId="5AEBA8E8" w14:textId="493443ED" w:rsidR="003A4A76" w:rsidRPr="000A0583" w:rsidRDefault="003A4A76" w:rsidP="003A4A76">
      <w:pPr>
        <w:spacing w:line="360" w:lineRule="auto"/>
        <w:jc w:val="both"/>
        <w:rPr>
          <w:rFonts w:ascii="Palatino Linotype" w:hAnsi="Palatino Linotype" w:cs="Tahoma"/>
          <w:sz w:val="22"/>
          <w:szCs w:val="22"/>
        </w:rPr>
      </w:pPr>
      <w:r w:rsidRPr="000A0583">
        <w:rPr>
          <w:rFonts w:ascii="Palatino Linotype" w:hAnsi="Palatino Linotype" w:cs="Tahoma"/>
          <w:sz w:val="22"/>
          <w:szCs w:val="22"/>
        </w:rPr>
        <w:t>El artículo 92, enlista la información que corresponde a las Obligaciones de Transparencia Comunes de las que destaca la</w:t>
      </w:r>
      <w:r w:rsidR="001E7168">
        <w:rPr>
          <w:rFonts w:ascii="Palatino Linotype" w:hAnsi="Palatino Linotype" w:cs="Tahoma"/>
          <w:sz w:val="22"/>
          <w:szCs w:val="22"/>
        </w:rPr>
        <w:t>s</w:t>
      </w:r>
      <w:r w:rsidRPr="000A0583">
        <w:rPr>
          <w:rFonts w:ascii="Palatino Linotype" w:hAnsi="Palatino Linotype" w:cs="Tahoma"/>
          <w:sz w:val="22"/>
          <w:szCs w:val="22"/>
        </w:rPr>
        <w:t xml:space="preserve"> contenida</w:t>
      </w:r>
      <w:r w:rsidR="001E7168">
        <w:rPr>
          <w:rFonts w:ascii="Palatino Linotype" w:hAnsi="Palatino Linotype" w:cs="Tahoma"/>
          <w:sz w:val="22"/>
          <w:szCs w:val="22"/>
        </w:rPr>
        <w:t>s</w:t>
      </w:r>
      <w:r w:rsidRPr="000A0583">
        <w:rPr>
          <w:rFonts w:ascii="Palatino Linotype" w:hAnsi="Palatino Linotype" w:cs="Tahoma"/>
          <w:sz w:val="22"/>
          <w:szCs w:val="22"/>
        </w:rPr>
        <w:t xml:space="preserve"> en la</w:t>
      </w:r>
      <w:r w:rsidR="001E7168">
        <w:rPr>
          <w:rFonts w:ascii="Palatino Linotype" w:hAnsi="Palatino Linotype" w:cs="Tahoma"/>
          <w:sz w:val="22"/>
          <w:szCs w:val="22"/>
        </w:rPr>
        <w:t>s fraccio</w:t>
      </w:r>
      <w:r w:rsidRPr="000A0583">
        <w:rPr>
          <w:rFonts w:ascii="Palatino Linotype" w:hAnsi="Palatino Linotype" w:cs="Tahoma"/>
          <w:sz w:val="22"/>
          <w:szCs w:val="22"/>
        </w:rPr>
        <w:t>n</w:t>
      </w:r>
      <w:r w:rsidR="001E7168">
        <w:rPr>
          <w:rFonts w:ascii="Palatino Linotype" w:hAnsi="Palatino Linotype" w:cs="Tahoma"/>
          <w:sz w:val="22"/>
          <w:szCs w:val="22"/>
        </w:rPr>
        <w:t>es</w:t>
      </w:r>
      <w:r w:rsidRPr="000A0583">
        <w:rPr>
          <w:rFonts w:ascii="Palatino Linotype" w:hAnsi="Palatino Linotype" w:cs="Tahoma"/>
          <w:sz w:val="22"/>
          <w:szCs w:val="22"/>
        </w:rPr>
        <w:t xml:space="preserve"> </w:t>
      </w:r>
      <w:r w:rsidR="001E7168">
        <w:rPr>
          <w:rFonts w:ascii="Palatino Linotype" w:hAnsi="Palatino Linotype" w:cs="Tahoma"/>
          <w:sz w:val="22"/>
          <w:szCs w:val="22"/>
        </w:rPr>
        <w:t xml:space="preserve">XII y </w:t>
      </w:r>
      <w:r w:rsidRPr="000A0583">
        <w:rPr>
          <w:rFonts w:ascii="Palatino Linotype" w:hAnsi="Palatino Linotype" w:cs="Tahoma"/>
          <w:sz w:val="22"/>
          <w:szCs w:val="22"/>
        </w:rPr>
        <w:t>XXIX, concerniente</w:t>
      </w:r>
      <w:r w:rsidR="001E7168">
        <w:rPr>
          <w:rFonts w:ascii="Palatino Linotype" w:hAnsi="Palatino Linotype" w:cs="Tahoma"/>
          <w:sz w:val="22"/>
          <w:szCs w:val="22"/>
        </w:rPr>
        <w:t xml:space="preserve"> al perfil de puestos de los servidores públicos y</w:t>
      </w:r>
      <w:r w:rsidRPr="000A0583">
        <w:rPr>
          <w:rFonts w:ascii="Palatino Linotype" w:hAnsi="Palatino Linotype" w:cs="Tahoma"/>
          <w:sz w:val="22"/>
          <w:szCs w:val="22"/>
        </w:rPr>
        <w:t xml:space="preserve"> la información sobre los procesos y resultados sobre procedimientos de licitación, que incluya la versión pública del expediente respectivo y de los contratos celebrados.</w:t>
      </w:r>
    </w:p>
    <w:p w14:paraId="59392CDD" w14:textId="017AF554" w:rsidR="003A4A76" w:rsidRPr="00302243" w:rsidRDefault="003A4A76" w:rsidP="00447875">
      <w:pPr>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 xml:space="preserve"> </w:t>
      </w:r>
    </w:p>
    <w:p w14:paraId="22CC5170" w14:textId="77777777" w:rsidR="007876CF" w:rsidRPr="00302243" w:rsidRDefault="00D200AB" w:rsidP="00447875">
      <w:pPr>
        <w:spacing w:line="360" w:lineRule="auto"/>
        <w:jc w:val="both"/>
        <w:rPr>
          <w:rFonts w:ascii="Palatino Linotype" w:hAnsi="Palatino Linotype" w:cs="Tahoma"/>
          <w:b/>
          <w:color w:val="000000" w:themeColor="text1"/>
          <w:sz w:val="22"/>
          <w:szCs w:val="22"/>
          <w:lang w:val="es-ES"/>
        </w:rPr>
      </w:pPr>
      <w:r w:rsidRPr="00302243">
        <w:rPr>
          <w:rFonts w:ascii="Palatino Linotype" w:hAnsi="Palatino Linotype" w:cs="Tahoma"/>
          <w:b/>
          <w:color w:val="000000" w:themeColor="text1"/>
          <w:sz w:val="22"/>
          <w:szCs w:val="22"/>
          <w:lang w:val="es-ES"/>
        </w:rPr>
        <w:t xml:space="preserve">QUINTO. </w:t>
      </w:r>
      <w:r w:rsidR="009617D3" w:rsidRPr="00302243">
        <w:rPr>
          <w:rFonts w:ascii="Palatino Linotype" w:hAnsi="Palatino Linotype" w:cs="Tahoma"/>
          <w:b/>
          <w:color w:val="000000" w:themeColor="text1"/>
          <w:sz w:val="22"/>
          <w:szCs w:val="22"/>
          <w:lang w:val="es-ES"/>
        </w:rPr>
        <w:t>Estudio de Fondo.</w:t>
      </w:r>
    </w:p>
    <w:p w14:paraId="48F40663" w14:textId="77777777" w:rsidR="003A7128" w:rsidRDefault="003A7128" w:rsidP="00447875">
      <w:pPr>
        <w:spacing w:line="360" w:lineRule="auto"/>
        <w:jc w:val="both"/>
        <w:rPr>
          <w:rFonts w:ascii="Palatino Linotype" w:hAnsi="Palatino Linotype" w:cs="Tahoma"/>
          <w:b/>
          <w:color w:val="000000" w:themeColor="text1"/>
          <w:sz w:val="22"/>
          <w:szCs w:val="22"/>
          <w:lang w:val="es-ES"/>
        </w:rPr>
      </w:pPr>
    </w:p>
    <w:p w14:paraId="751EB7C8" w14:textId="638BB3AA" w:rsidR="001E7168" w:rsidRDefault="001E7168"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Expuestas las posturas de las partes</w:t>
      </w:r>
      <w:r w:rsidR="00914380">
        <w:rPr>
          <w:rFonts w:ascii="Palatino Linotype" w:hAnsi="Palatino Linotype" w:cs="Tahoma"/>
          <w:color w:val="000000" w:themeColor="text1"/>
          <w:sz w:val="22"/>
          <w:szCs w:val="22"/>
          <w:lang w:val="es-ES"/>
        </w:rPr>
        <w:t>, se procede analizar cada uno de los puntos requeridos por el Particular, a efecto de verificar si el Sujeto Obligado atendió de manera correcta la solicitud de informaci</w:t>
      </w:r>
      <w:r w:rsidR="00481217">
        <w:rPr>
          <w:rFonts w:ascii="Palatino Linotype" w:hAnsi="Palatino Linotype" w:cs="Tahoma"/>
          <w:color w:val="000000" w:themeColor="text1"/>
          <w:sz w:val="22"/>
          <w:szCs w:val="22"/>
          <w:lang w:val="es-ES"/>
        </w:rPr>
        <w:t>ón, conforme a lo siguiente:</w:t>
      </w:r>
    </w:p>
    <w:p w14:paraId="01785F52" w14:textId="77777777" w:rsidR="00481217" w:rsidRDefault="00481217" w:rsidP="00447875">
      <w:pPr>
        <w:spacing w:line="360" w:lineRule="auto"/>
        <w:jc w:val="both"/>
        <w:rPr>
          <w:rFonts w:ascii="Palatino Linotype" w:hAnsi="Palatino Linotype" w:cs="Tahoma"/>
          <w:color w:val="000000" w:themeColor="text1"/>
          <w:sz w:val="22"/>
          <w:szCs w:val="22"/>
          <w:lang w:val="es-ES"/>
        </w:rPr>
      </w:pPr>
    </w:p>
    <w:p w14:paraId="01ED891C" w14:textId="76A630BB" w:rsidR="00481217" w:rsidRPr="00A3170F" w:rsidRDefault="00481217" w:rsidP="00481217">
      <w:pPr>
        <w:spacing w:line="360" w:lineRule="auto"/>
        <w:jc w:val="both"/>
        <w:rPr>
          <w:rFonts w:ascii="Palatino Linotype" w:hAnsi="Palatino Linotype" w:cs="Tahoma"/>
          <w:b/>
          <w:color w:val="000000" w:themeColor="text1"/>
          <w:sz w:val="22"/>
          <w:szCs w:val="22"/>
          <w:lang w:val="es-ES"/>
        </w:rPr>
      </w:pPr>
      <w:r w:rsidRPr="00A3170F">
        <w:rPr>
          <w:rFonts w:ascii="Palatino Linotype" w:hAnsi="Palatino Linotype" w:cs="Tahoma"/>
          <w:b/>
          <w:iCs/>
          <w:color w:val="000000" w:themeColor="text1"/>
          <w:sz w:val="22"/>
          <w:szCs w:val="22"/>
        </w:rPr>
        <w:t>Las Gacetas Municipales, donde se haya publicado la aprobación y modificación al Programa Operativo Anual o el que documento que contenga el presupuesto total a ejercer en materia de obras públicas; así como, las obras de alto impacto proyectadas a ejecutar por la presente administración.</w:t>
      </w:r>
    </w:p>
    <w:p w14:paraId="367D67F2" w14:textId="77777777" w:rsidR="001E7168" w:rsidRDefault="001E7168" w:rsidP="00447875">
      <w:pPr>
        <w:spacing w:line="360" w:lineRule="auto"/>
        <w:jc w:val="both"/>
        <w:rPr>
          <w:rFonts w:ascii="Palatino Linotype" w:hAnsi="Palatino Linotype" w:cs="Tahoma"/>
          <w:b/>
          <w:color w:val="000000" w:themeColor="text1"/>
          <w:sz w:val="22"/>
          <w:szCs w:val="22"/>
          <w:lang w:val="es-ES"/>
        </w:rPr>
      </w:pPr>
    </w:p>
    <w:p w14:paraId="21915BBC" w14:textId="4CC554C4" w:rsidR="00E55C06" w:rsidRPr="00A827BF" w:rsidRDefault="00A3170F" w:rsidP="00E55C06">
      <w:pPr>
        <w:spacing w:line="360" w:lineRule="auto"/>
        <w:jc w:val="both"/>
        <w:rPr>
          <w:rFonts w:ascii="Palatino Linotype" w:hAnsi="Palatino Linotype" w:cs="Tahoma"/>
          <w:bCs/>
          <w:sz w:val="22"/>
          <w:szCs w:val="22"/>
        </w:rPr>
      </w:pPr>
      <w:r>
        <w:rPr>
          <w:rFonts w:ascii="Palatino Linotype" w:hAnsi="Palatino Linotype" w:cs="Tahoma"/>
          <w:color w:val="000000" w:themeColor="text1"/>
          <w:sz w:val="22"/>
          <w:szCs w:val="22"/>
          <w:lang w:val="es-ES"/>
        </w:rPr>
        <w:lastRenderedPageBreak/>
        <w:t>Al respecto, de las constancias que obran en el expediente se advierte que el Sujeto Obligado turnó la solicitud de informaci</w:t>
      </w:r>
      <w:r w:rsidR="002F1E6D">
        <w:rPr>
          <w:rFonts w:ascii="Palatino Linotype" w:hAnsi="Palatino Linotype" w:cs="Tahoma"/>
          <w:color w:val="000000" w:themeColor="text1"/>
          <w:sz w:val="22"/>
          <w:szCs w:val="22"/>
          <w:lang w:val="es-ES"/>
        </w:rPr>
        <w:t xml:space="preserve">ón únicamente a la Dirección de Obras Públicas, </w:t>
      </w:r>
      <w:r w:rsidR="00E55C06">
        <w:rPr>
          <w:rFonts w:ascii="Palatino Linotype" w:hAnsi="Palatino Linotype" w:cs="Tahoma"/>
          <w:color w:val="000000" w:themeColor="text1"/>
          <w:sz w:val="22"/>
          <w:szCs w:val="22"/>
          <w:lang w:val="es-ES"/>
        </w:rPr>
        <w:t xml:space="preserve">por lo que, </w:t>
      </w:r>
      <w:r w:rsidR="00E55C06" w:rsidRPr="00A827BF">
        <w:rPr>
          <w:rFonts w:ascii="Palatino Linotype" w:hAnsi="Palatino Linotype" w:cs="Tahoma"/>
          <w:sz w:val="22"/>
          <w:szCs w:val="22"/>
        </w:rPr>
        <w:t xml:space="preserve">es </w:t>
      </w:r>
      <w:r w:rsidR="00E55C06" w:rsidRPr="00A827BF">
        <w:rPr>
          <w:rFonts w:ascii="Palatino Linotype" w:hAnsi="Palatino Linotype" w:cs="Tahoma"/>
          <w:bCs/>
          <w:sz w:val="22"/>
          <w:szCs w:val="22"/>
        </w:rPr>
        <w:t xml:space="preserve">necesario hacer referencia </w:t>
      </w:r>
      <w:r w:rsidR="00E55C06" w:rsidRPr="00A827BF">
        <w:rPr>
          <w:rFonts w:ascii="Palatino Linotype" w:hAnsi="Palatino Linotype" w:cs="Tahoma"/>
          <w:sz w:val="22"/>
          <w:szCs w:val="22"/>
        </w:rPr>
        <w:t xml:space="preserve">al </w:t>
      </w:r>
      <w:r w:rsidR="00E55C06" w:rsidRPr="00A827BF">
        <w:rPr>
          <w:rFonts w:ascii="Palatino Linotype" w:hAnsi="Palatino Linotype" w:cs="Tahoma"/>
          <w:b/>
          <w:sz w:val="22"/>
          <w:szCs w:val="22"/>
        </w:rPr>
        <w:t>procedimiento de búsqueda que deben de seguir los Sujetos Obligados para localizar la información</w:t>
      </w:r>
      <w:r w:rsidR="00E55C06" w:rsidRPr="00A827BF">
        <w:rPr>
          <w:rFonts w:ascii="Palatino Linotype" w:hAnsi="Palatino Linotype" w:cs="Tahoma"/>
          <w:sz w:val="22"/>
          <w:szCs w:val="22"/>
        </w:rPr>
        <w:t>, el cual se encuentra previsto en los artículos</w:t>
      </w:r>
      <w:r w:rsidR="00E55C06" w:rsidRPr="00A827BF">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6078FBF5" w14:textId="77777777" w:rsidR="00E55C06" w:rsidRPr="00A827BF" w:rsidRDefault="00E55C06" w:rsidP="00E55C06">
      <w:pPr>
        <w:spacing w:line="360" w:lineRule="auto"/>
        <w:jc w:val="both"/>
        <w:rPr>
          <w:rFonts w:ascii="Palatino Linotype" w:hAnsi="Palatino Linotype" w:cs="Tahoma"/>
          <w:sz w:val="22"/>
          <w:szCs w:val="22"/>
          <w:lang w:val="es-ES"/>
        </w:rPr>
      </w:pPr>
    </w:p>
    <w:p w14:paraId="1C66DCD8" w14:textId="77777777" w:rsidR="00E55C06" w:rsidRPr="00A827BF" w:rsidRDefault="00E55C06" w:rsidP="00E55C06">
      <w:pPr>
        <w:numPr>
          <w:ilvl w:val="0"/>
          <w:numId w:val="21"/>
        </w:numPr>
        <w:spacing w:line="360" w:lineRule="auto"/>
        <w:jc w:val="both"/>
        <w:rPr>
          <w:rFonts w:ascii="Palatino Linotype" w:hAnsi="Palatino Linotype" w:cs="Tahoma"/>
          <w:bCs/>
          <w:sz w:val="22"/>
          <w:szCs w:val="22"/>
          <w:lang w:val="es-ES"/>
        </w:rPr>
      </w:pPr>
      <w:r w:rsidRPr="00A827BF">
        <w:rPr>
          <w:rFonts w:ascii="Palatino Linotype" w:hAnsi="Palatino Linotype" w:cs="Tahoma"/>
          <w:b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1330118" w14:textId="77777777" w:rsidR="00E55C06" w:rsidRPr="00A827BF" w:rsidRDefault="00E55C06" w:rsidP="00E55C06">
      <w:pPr>
        <w:spacing w:line="360" w:lineRule="auto"/>
        <w:jc w:val="both"/>
        <w:rPr>
          <w:rFonts w:ascii="Palatino Linotype" w:hAnsi="Palatino Linotype" w:cs="Tahoma"/>
          <w:bCs/>
          <w:sz w:val="22"/>
          <w:szCs w:val="22"/>
          <w:lang w:val="es-ES"/>
        </w:rPr>
      </w:pPr>
    </w:p>
    <w:p w14:paraId="0CBDB928" w14:textId="77777777" w:rsidR="00E55C06" w:rsidRPr="00A827BF" w:rsidRDefault="00E55C06" w:rsidP="00E55C06">
      <w:pPr>
        <w:numPr>
          <w:ilvl w:val="0"/>
          <w:numId w:val="21"/>
        </w:numPr>
        <w:spacing w:line="360" w:lineRule="auto"/>
        <w:jc w:val="both"/>
        <w:rPr>
          <w:rFonts w:ascii="Palatino Linotype" w:hAnsi="Palatino Linotype" w:cs="Tahoma"/>
          <w:bCs/>
          <w:sz w:val="22"/>
          <w:szCs w:val="22"/>
          <w:lang w:val="es-ES"/>
        </w:rPr>
      </w:pPr>
      <w:r w:rsidRPr="00A827BF">
        <w:rPr>
          <w:rFonts w:ascii="Palatino Linotype" w:hAnsi="Palatino Linotype" w:cs="Tahoma"/>
          <w:b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574F94A" w14:textId="77777777" w:rsidR="00E55C06" w:rsidRPr="00A827BF" w:rsidRDefault="00E55C06" w:rsidP="00E55C06">
      <w:pPr>
        <w:spacing w:line="360" w:lineRule="auto"/>
        <w:jc w:val="both"/>
        <w:rPr>
          <w:rFonts w:ascii="Palatino Linotype" w:hAnsi="Palatino Linotype" w:cs="Tahoma"/>
          <w:b/>
          <w:bCs/>
          <w:sz w:val="22"/>
          <w:szCs w:val="22"/>
        </w:rPr>
      </w:pPr>
    </w:p>
    <w:p w14:paraId="04098529" w14:textId="74AE2E2A" w:rsidR="001E7168" w:rsidRDefault="00E55C06" w:rsidP="00E55C06">
      <w:pPr>
        <w:spacing w:line="360" w:lineRule="auto"/>
        <w:jc w:val="both"/>
        <w:rPr>
          <w:rFonts w:ascii="Palatino Linotype" w:hAnsi="Palatino Linotype" w:cs="Tahoma"/>
          <w:bCs/>
          <w:sz w:val="22"/>
          <w:szCs w:val="22"/>
        </w:rPr>
      </w:pPr>
      <w:r w:rsidRPr="00A827BF">
        <w:rPr>
          <w:rFonts w:ascii="Palatino Linotype" w:hAnsi="Palatino Linotype" w:cs="Tahoma"/>
          <w:bCs/>
          <w:sz w:val="22"/>
          <w:szCs w:val="22"/>
        </w:rPr>
        <w:t>Atendiendo a lo dispuesto en los preceptos legales de referencia, a efecto de verificar sí se cumplió el procedimiento de búsqueda realizado por</w:t>
      </w:r>
      <w:r>
        <w:rPr>
          <w:rFonts w:ascii="Palatino Linotype" w:hAnsi="Palatino Linotype" w:cs="Tahoma"/>
          <w:bCs/>
          <w:sz w:val="22"/>
          <w:szCs w:val="22"/>
        </w:rPr>
        <w:t xml:space="preserve"> el Sujeto Obligado, se trae a colación </w:t>
      </w:r>
      <w:r w:rsidR="00D201AE">
        <w:rPr>
          <w:rFonts w:ascii="Palatino Linotype" w:hAnsi="Palatino Linotype" w:cs="Tahoma"/>
          <w:bCs/>
          <w:sz w:val="22"/>
          <w:szCs w:val="22"/>
        </w:rPr>
        <w:t>el Reglamento Orgánico de la Administración Pública Municipal de Nicolás Romero, que establece, que el Sujeto Obligado cuenta con diversas unidades administrativas, entre las cuales, se encuentran las siguientes:</w:t>
      </w:r>
    </w:p>
    <w:p w14:paraId="3C4E1129" w14:textId="77777777" w:rsidR="00D201AE" w:rsidRDefault="00D201AE" w:rsidP="00E55C06">
      <w:pPr>
        <w:spacing w:line="360" w:lineRule="auto"/>
        <w:jc w:val="both"/>
        <w:rPr>
          <w:rFonts w:ascii="Palatino Linotype" w:hAnsi="Palatino Linotype" w:cs="Tahoma"/>
          <w:bCs/>
          <w:sz w:val="22"/>
          <w:szCs w:val="22"/>
        </w:rPr>
      </w:pPr>
    </w:p>
    <w:p w14:paraId="19F51C3A" w14:textId="0D9C7009" w:rsidR="00D201AE" w:rsidRDefault="00D201AE" w:rsidP="00D201AE">
      <w:pPr>
        <w:pStyle w:val="Prrafodelista"/>
        <w:numPr>
          <w:ilvl w:val="0"/>
          <w:numId w:val="22"/>
        </w:numPr>
        <w:spacing w:line="360" w:lineRule="auto"/>
        <w:jc w:val="both"/>
        <w:rPr>
          <w:rFonts w:ascii="Palatino Linotype" w:hAnsi="Palatino Linotype" w:cs="Tahoma"/>
          <w:b/>
          <w:color w:val="000000" w:themeColor="text1"/>
          <w:szCs w:val="22"/>
          <w:lang w:val="es-ES"/>
        </w:rPr>
      </w:pPr>
      <w:r>
        <w:rPr>
          <w:rFonts w:ascii="Palatino Linotype" w:hAnsi="Palatino Linotype" w:cs="Tahoma"/>
          <w:b/>
          <w:color w:val="000000" w:themeColor="text1"/>
          <w:szCs w:val="22"/>
          <w:lang w:val="es-ES"/>
        </w:rPr>
        <w:t xml:space="preserve">Secretaría del Ayuntamiento </w:t>
      </w:r>
      <w:r w:rsidRPr="00D201AE">
        <w:rPr>
          <w:rFonts w:ascii="Palatino Linotype" w:hAnsi="Palatino Linotype" w:cs="Tahoma"/>
          <w:b/>
          <w:color w:val="000000" w:themeColor="text1"/>
          <w:szCs w:val="22"/>
          <w:lang w:val="es-ES"/>
        </w:rPr>
        <w:t>(Artículo 44</w:t>
      </w:r>
      <w:r>
        <w:rPr>
          <w:rFonts w:ascii="Palatino Linotype" w:hAnsi="Palatino Linotype" w:cs="Tahoma"/>
          <w:b/>
          <w:color w:val="000000" w:themeColor="text1"/>
          <w:szCs w:val="22"/>
          <w:lang w:val="es-ES"/>
        </w:rPr>
        <w:t>, fracci</w:t>
      </w:r>
      <w:r w:rsidR="00DD7787">
        <w:rPr>
          <w:rFonts w:ascii="Palatino Linotype" w:hAnsi="Palatino Linotype" w:cs="Tahoma"/>
          <w:b/>
          <w:color w:val="000000" w:themeColor="text1"/>
          <w:szCs w:val="22"/>
          <w:lang w:val="es-ES"/>
        </w:rPr>
        <w:t xml:space="preserve">ones IV y XIV): </w:t>
      </w:r>
      <w:r w:rsidR="00DD7787">
        <w:rPr>
          <w:rFonts w:ascii="Palatino Linotype" w:hAnsi="Palatino Linotype" w:cs="Tahoma"/>
          <w:color w:val="000000" w:themeColor="text1"/>
          <w:szCs w:val="22"/>
          <w:lang w:val="es-ES"/>
        </w:rPr>
        <w:t xml:space="preserve">Encargada de llevar y conservar los libros y actas de Cabildo; así como, </w:t>
      </w:r>
      <w:r w:rsidR="00DD7787">
        <w:rPr>
          <w:rFonts w:ascii="Palatino Linotype" w:hAnsi="Palatino Linotype" w:cs="Tahoma"/>
          <w:b/>
          <w:color w:val="000000" w:themeColor="text1"/>
          <w:szCs w:val="22"/>
          <w:lang w:val="es-ES"/>
        </w:rPr>
        <w:t>publicar la Gaceta Municipal.</w:t>
      </w:r>
    </w:p>
    <w:p w14:paraId="4582D459" w14:textId="796CC100" w:rsidR="00DD7787" w:rsidRPr="00D201AE" w:rsidRDefault="00DD0718" w:rsidP="00D201AE">
      <w:pPr>
        <w:pStyle w:val="Prrafodelista"/>
        <w:numPr>
          <w:ilvl w:val="0"/>
          <w:numId w:val="22"/>
        </w:numPr>
        <w:spacing w:line="360" w:lineRule="auto"/>
        <w:jc w:val="both"/>
        <w:rPr>
          <w:rFonts w:ascii="Palatino Linotype" w:hAnsi="Palatino Linotype" w:cs="Tahoma"/>
          <w:b/>
          <w:color w:val="000000" w:themeColor="text1"/>
          <w:szCs w:val="22"/>
          <w:lang w:val="es-ES"/>
        </w:rPr>
      </w:pPr>
      <w:r>
        <w:rPr>
          <w:rFonts w:ascii="Palatino Linotype" w:hAnsi="Palatino Linotype" w:cs="Tahoma"/>
          <w:b/>
          <w:color w:val="000000" w:themeColor="text1"/>
          <w:szCs w:val="22"/>
          <w:lang w:val="es-ES"/>
        </w:rPr>
        <w:lastRenderedPageBreak/>
        <w:t xml:space="preserve">Dirección de Obras Públicas (Artículo 103): </w:t>
      </w:r>
      <w:r>
        <w:rPr>
          <w:rFonts w:ascii="Palatino Linotype" w:hAnsi="Palatino Linotype" w:cs="Tahoma"/>
          <w:color w:val="000000" w:themeColor="text1"/>
          <w:szCs w:val="22"/>
          <w:lang w:val="es-ES"/>
        </w:rPr>
        <w:t xml:space="preserve">Que planea, programa, presupuesta, adjudica, ejecuta y coordina las obras públicas y servicios relacionados, de acuerdo a los procesos administrativos y procedimientos de adjudicación. </w:t>
      </w:r>
    </w:p>
    <w:p w14:paraId="7C462BFD" w14:textId="77777777" w:rsidR="001E7168" w:rsidRDefault="001E7168" w:rsidP="00447875">
      <w:pPr>
        <w:spacing w:line="360" w:lineRule="auto"/>
        <w:jc w:val="both"/>
        <w:rPr>
          <w:rFonts w:ascii="Palatino Linotype" w:hAnsi="Palatino Linotype" w:cs="Tahoma"/>
          <w:b/>
          <w:color w:val="000000" w:themeColor="text1"/>
          <w:sz w:val="22"/>
          <w:szCs w:val="22"/>
          <w:lang w:val="es-ES"/>
        </w:rPr>
      </w:pPr>
    </w:p>
    <w:p w14:paraId="2B128EA9" w14:textId="0C020BD9" w:rsidR="001E7168" w:rsidRDefault="00DD0718"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Conforme a lo anterior, se </w:t>
      </w:r>
      <w:r w:rsidR="00B55269">
        <w:rPr>
          <w:rFonts w:ascii="Palatino Linotype" w:hAnsi="Palatino Linotype" w:cs="Tahoma"/>
          <w:color w:val="000000" w:themeColor="text1"/>
          <w:sz w:val="22"/>
          <w:szCs w:val="22"/>
          <w:lang w:val="es-ES"/>
        </w:rPr>
        <w:t>advierte que el Sujeto Obligado turnó la solicitud de información solamente a una unidad administrativa competente para conocer de la solicitud de información, a saber, a la Dirección de Obras Públicas, sin embargo omitió turnarla al área idónea para conocer de la informaci</w:t>
      </w:r>
      <w:r w:rsidR="00EA2F92">
        <w:rPr>
          <w:rFonts w:ascii="Palatino Linotype" w:hAnsi="Palatino Linotype" w:cs="Tahoma"/>
          <w:color w:val="000000" w:themeColor="text1"/>
          <w:sz w:val="22"/>
          <w:szCs w:val="22"/>
          <w:lang w:val="es-ES"/>
        </w:rPr>
        <w:t xml:space="preserve">ón, es decir, a la Secretaría del Ayuntamiento al ser la encargada de ver las cuestiones de la gaceta municipal; por lo que, se colige que el Ayuntamiento de Nicolás Romero, incumplió con el procedimiento de búsqueda establecido </w:t>
      </w:r>
      <w:r w:rsidR="00076B1D">
        <w:rPr>
          <w:rFonts w:ascii="Palatino Linotype" w:hAnsi="Palatino Linotype" w:cs="Tahoma"/>
          <w:color w:val="000000" w:themeColor="text1"/>
          <w:sz w:val="22"/>
          <w:szCs w:val="22"/>
          <w:lang w:val="es-ES"/>
        </w:rPr>
        <w:t>en el artículo 162 de</w:t>
      </w:r>
      <w:r w:rsidR="00EA2F92">
        <w:rPr>
          <w:rFonts w:ascii="Palatino Linotype" w:hAnsi="Palatino Linotype" w:cs="Tahoma"/>
          <w:color w:val="000000" w:themeColor="text1"/>
          <w:sz w:val="22"/>
          <w:szCs w:val="22"/>
          <w:lang w:val="es-ES"/>
        </w:rPr>
        <w:t xml:space="preserve"> la Ley de Transparencia y Acceso a la Información Pública del Estado de México y M</w:t>
      </w:r>
      <w:r w:rsidR="00076B1D">
        <w:rPr>
          <w:rFonts w:ascii="Palatino Linotype" w:hAnsi="Palatino Linotype" w:cs="Tahoma"/>
          <w:color w:val="000000" w:themeColor="text1"/>
          <w:sz w:val="22"/>
          <w:szCs w:val="22"/>
          <w:lang w:val="es-ES"/>
        </w:rPr>
        <w:t>unicipi</w:t>
      </w:r>
      <w:r w:rsidR="00EA2F92">
        <w:rPr>
          <w:rFonts w:ascii="Palatino Linotype" w:hAnsi="Palatino Linotype" w:cs="Tahoma"/>
          <w:color w:val="000000" w:themeColor="text1"/>
          <w:sz w:val="22"/>
          <w:szCs w:val="22"/>
          <w:lang w:val="es-ES"/>
        </w:rPr>
        <w:t xml:space="preserve">os. </w:t>
      </w:r>
    </w:p>
    <w:p w14:paraId="11B52170" w14:textId="77777777" w:rsidR="00026DA0" w:rsidRPr="00DD0718" w:rsidRDefault="00026DA0" w:rsidP="00447875">
      <w:pPr>
        <w:spacing w:line="360" w:lineRule="auto"/>
        <w:jc w:val="both"/>
        <w:rPr>
          <w:rFonts w:ascii="Palatino Linotype" w:hAnsi="Palatino Linotype" w:cs="Tahoma"/>
          <w:color w:val="000000" w:themeColor="text1"/>
          <w:sz w:val="22"/>
          <w:szCs w:val="22"/>
          <w:lang w:val="es-ES"/>
        </w:rPr>
      </w:pPr>
    </w:p>
    <w:p w14:paraId="01F7A5B7" w14:textId="63340DA3" w:rsidR="001E7168" w:rsidRDefault="00076B1D"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Sin menoscabar lo anterior, se procede analizar la respuesta entregada por el Sujeto Obligado; por lo que, en principio resulta necesario contextualizar el requerimiento informativo del Particular, en el cual, requirió </w:t>
      </w:r>
      <w:r w:rsidRPr="00076B1D">
        <w:rPr>
          <w:rFonts w:ascii="Palatino Linotype" w:hAnsi="Palatino Linotype" w:cs="Tahoma"/>
          <w:color w:val="000000" w:themeColor="text1"/>
          <w:sz w:val="22"/>
          <w:szCs w:val="22"/>
          <w:lang w:val="es-ES"/>
        </w:rPr>
        <w:t>la aprobación y modificación al Programa Operativo Anual o el que documento que contenga el presupuesto total a ejercer en materia de obras públicas</w:t>
      </w:r>
      <w:r>
        <w:rPr>
          <w:rFonts w:ascii="Palatino Linotype" w:hAnsi="Palatino Linotype" w:cs="Tahoma"/>
          <w:color w:val="000000" w:themeColor="text1"/>
          <w:sz w:val="22"/>
          <w:szCs w:val="22"/>
          <w:lang w:val="es-ES"/>
        </w:rPr>
        <w:t>.</w:t>
      </w:r>
    </w:p>
    <w:p w14:paraId="161FF62E" w14:textId="77777777" w:rsidR="00076B1D" w:rsidRDefault="00076B1D" w:rsidP="00447875">
      <w:pPr>
        <w:spacing w:line="360" w:lineRule="auto"/>
        <w:jc w:val="both"/>
        <w:rPr>
          <w:rFonts w:ascii="Palatino Linotype" w:hAnsi="Palatino Linotype" w:cs="Tahoma"/>
          <w:color w:val="000000" w:themeColor="text1"/>
          <w:sz w:val="22"/>
          <w:szCs w:val="22"/>
          <w:lang w:val="es-ES"/>
        </w:rPr>
      </w:pPr>
    </w:p>
    <w:p w14:paraId="4B49DF2D" w14:textId="77777777" w:rsidR="001763E1" w:rsidRDefault="001763E1" w:rsidP="001763E1">
      <w:pPr>
        <w:spacing w:line="360" w:lineRule="auto"/>
        <w:jc w:val="both"/>
        <w:rPr>
          <w:rFonts w:ascii="Palatino Linotype" w:hAnsi="Palatino Linotype" w:cs="Tahoma"/>
          <w:sz w:val="22"/>
          <w:szCs w:val="22"/>
        </w:rPr>
      </w:pPr>
      <w:r>
        <w:rPr>
          <w:rFonts w:ascii="Palatino Linotype" w:hAnsi="Palatino Linotype" w:cs="Tahoma"/>
          <w:sz w:val="22"/>
          <w:szCs w:val="22"/>
        </w:rPr>
        <w:t xml:space="preserve">Al respecto, el artículo 114 de la Ley Orgánica Municipal del Estado de México, establece que los Ayuntamientos elaborarán su plan de desarrollo municipal y </w:t>
      </w:r>
      <w:r w:rsidRPr="00755AF9">
        <w:rPr>
          <w:rFonts w:ascii="Palatino Linotype" w:hAnsi="Palatino Linotype" w:cs="Tahoma"/>
          <w:b/>
          <w:sz w:val="22"/>
          <w:szCs w:val="22"/>
        </w:rPr>
        <w:t>los programas de trabajo</w:t>
      </w:r>
      <w:r>
        <w:rPr>
          <w:rFonts w:ascii="Palatino Linotype" w:hAnsi="Palatino Linotype" w:cs="Tahoma"/>
          <w:sz w:val="22"/>
          <w:szCs w:val="22"/>
        </w:rPr>
        <w:t xml:space="preserve"> </w:t>
      </w:r>
      <w:r w:rsidRPr="00755AF9">
        <w:rPr>
          <w:rFonts w:ascii="Palatino Linotype" w:hAnsi="Palatino Linotype" w:cs="Tahoma"/>
          <w:b/>
          <w:sz w:val="22"/>
          <w:szCs w:val="22"/>
        </w:rPr>
        <w:t>n</w:t>
      </w:r>
      <w:r>
        <w:rPr>
          <w:rFonts w:ascii="Palatino Linotype" w:hAnsi="Palatino Linotype" w:cs="Tahoma"/>
          <w:b/>
          <w:sz w:val="22"/>
          <w:szCs w:val="22"/>
        </w:rPr>
        <w:t>ecesarios para su ejecución.</w:t>
      </w:r>
    </w:p>
    <w:p w14:paraId="6C039B8F" w14:textId="77777777" w:rsidR="001763E1" w:rsidRDefault="001763E1" w:rsidP="001763E1">
      <w:pPr>
        <w:spacing w:line="360" w:lineRule="auto"/>
        <w:jc w:val="both"/>
        <w:rPr>
          <w:rFonts w:ascii="Palatino Linotype" w:hAnsi="Palatino Linotype" w:cs="Tahoma"/>
          <w:sz w:val="22"/>
          <w:szCs w:val="22"/>
        </w:rPr>
      </w:pPr>
    </w:p>
    <w:p w14:paraId="20C284B6" w14:textId="77777777" w:rsidR="001763E1" w:rsidRDefault="001763E1" w:rsidP="001763E1">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ese orden de ideas, el Manual para la Planeación, Programación y Presupuesto de Egresos Municipal para el Ejercicio Fiscal dos mil diecinueve, establece en su apartado III.2.1 Lineamientos para la integración del Programa Anual, que el </w:t>
      </w:r>
      <w:r w:rsidRPr="003D5FDE">
        <w:rPr>
          <w:rFonts w:ascii="Palatino Linotype" w:hAnsi="Palatino Linotype" w:cs="Tahoma"/>
          <w:b/>
          <w:sz w:val="22"/>
          <w:szCs w:val="22"/>
        </w:rPr>
        <w:t>Programa Operativo Anual,</w:t>
      </w:r>
      <w:r>
        <w:rPr>
          <w:rFonts w:ascii="Palatino Linotype" w:hAnsi="Palatino Linotype" w:cs="Tahoma"/>
          <w:sz w:val="22"/>
          <w:szCs w:val="22"/>
        </w:rPr>
        <w:t xml:space="preserve"> constituye un componente del Presupuesto basado en Resultados, en el cual, </w:t>
      </w:r>
      <w:r>
        <w:rPr>
          <w:rFonts w:ascii="Palatino Linotype" w:hAnsi="Palatino Linotype" w:cs="Tahoma"/>
          <w:b/>
          <w:sz w:val="22"/>
          <w:szCs w:val="22"/>
        </w:rPr>
        <w:t xml:space="preserve">se plasman los </w:t>
      </w:r>
      <w:r>
        <w:rPr>
          <w:rFonts w:ascii="Palatino Linotype" w:hAnsi="Palatino Linotype" w:cs="Tahoma"/>
          <w:b/>
          <w:sz w:val="22"/>
          <w:szCs w:val="22"/>
        </w:rPr>
        <w:lastRenderedPageBreak/>
        <w:t xml:space="preserve">objetivos, estrategias, metas de actividad, indicadores y proyectos, </w:t>
      </w:r>
      <w:r>
        <w:rPr>
          <w:rFonts w:ascii="Palatino Linotype" w:hAnsi="Palatino Linotype" w:cs="Tahoma"/>
          <w:sz w:val="22"/>
          <w:szCs w:val="22"/>
        </w:rPr>
        <w:t xml:space="preserve">de acuerdo a las prioridades del Plan de Desarrollo Municipal y demandas ciudadanas, para ser traducidas en resultados concretos a </w:t>
      </w:r>
      <w:r>
        <w:rPr>
          <w:rFonts w:ascii="Palatino Linotype" w:hAnsi="Palatino Linotype" w:cs="Tahoma"/>
          <w:b/>
          <w:sz w:val="22"/>
          <w:szCs w:val="22"/>
        </w:rPr>
        <w:t xml:space="preserve">visualizarse en el período presupuestal determinado, </w:t>
      </w:r>
      <w:r>
        <w:rPr>
          <w:rFonts w:ascii="Palatino Linotype" w:hAnsi="Palatino Linotype" w:cs="Tahoma"/>
          <w:sz w:val="22"/>
          <w:szCs w:val="22"/>
        </w:rPr>
        <w:t xml:space="preserve">lo cual permite conocer con certeza lo que se va hacer con el presupuesto, que se busca lograr, así como, en que tiempo y la forma en que se realizará. </w:t>
      </w:r>
    </w:p>
    <w:p w14:paraId="37FAAFD2" w14:textId="77777777" w:rsidR="001763E1" w:rsidRDefault="001763E1" w:rsidP="001763E1">
      <w:pPr>
        <w:spacing w:line="360" w:lineRule="auto"/>
        <w:jc w:val="both"/>
        <w:rPr>
          <w:rFonts w:ascii="Palatino Linotype" w:hAnsi="Palatino Linotype" w:cs="Tahoma"/>
          <w:sz w:val="22"/>
          <w:szCs w:val="22"/>
        </w:rPr>
      </w:pPr>
    </w:p>
    <w:p w14:paraId="2E6BE717" w14:textId="76E228C1" w:rsidR="001763E1" w:rsidRDefault="00026DA0" w:rsidP="001763E1">
      <w:pPr>
        <w:spacing w:line="360" w:lineRule="auto"/>
        <w:jc w:val="both"/>
        <w:rPr>
          <w:rFonts w:ascii="Palatino Linotype" w:hAnsi="Palatino Linotype" w:cs="Tahoma"/>
          <w:sz w:val="22"/>
          <w:szCs w:val="22"/>
        </w:rPr>
      </w:pPr>
      <w:r>
        <w:rPr>
          <w:rFonts w:ascii="Palatino Linotype" w:hAnsi="Palatino Linotype" w:cs="Tahoma"/>
          <w:sz w:val="22"/>
          <w:szCs w:val="22"/>
        </w:rPr>
        <w:t>Por lo cual</w:t>
      </w:r>
      <w:r w:rsidR="001763E1">
        <w:rPr>
          <w:rFonts w:ascii="Palatino Linotype" w:hAnsi="Palatino Linotype" w:cs="Tahoma"/>
          <w:sz w:val="22"/>
          <w:szCs w:val="22"/>
        </w:rPr>
        <w:t>, el Programa Anual, deberá permitir la evaluación programática y presupuestal del ejercicio del gasto, en términos de resultados cualitativos, como cuantitativos.</w:t>
      </w:r>
    </w:p>
    <w:p w14:paraId="2737EF78" w14:textId="77777777" w:rsidR="001763E1" w:rsidRDefault="001763E1" w:rsidP="001763E1">
      <w:pPr>
        <w:spacing w:line="360" w:lineRule="auto"/>
        <w:jc w:val="both"/>
        <w:rPr>
          <w:rFonts w:ascii="Palatino Linotype" w:hAnsi="Palatino Linotype" w:cs="Tahoma"/>
          <w:sz w:val="22"/>
          <w:szCs w:val="22"/>
        </w:rPr>
      </w:pPr>
    </w:p>
    <w:p w14:paraId="27EAA2D1" w14:textId="463DA9CF" w:rsidR="001763E1" w:rsidRDefault="001763E1" w:rsidP="001763E1">
      <w:pPr>
        <w:spacing w:line="360" w:lineRule="auto"/>
        <w:jc w:val="both"/>
        <w:rPr>
          <w:rFonts w:ascii="Palatino Linotype" w:hAnsi="Palatino Linotype" w:cs="Tahoma"/>
          <w:sz w:val="22"/>
          <w:szCs w:val="22"/>
        </w:rPr>
      </w:pPr>
      <w:r>
        <w:rPr>
          <w:rFonts w:ascii="Palatino Linotype" w:hAnsi="Palatino Linotype" w:cs="Tahoma"/>
          <w:sz w:val="22"/>
          <w:szCs w:val="22"/>
        </w:rPr>
        <w:t>Por otra parte, dicho Manual establece que los Municipios, deberán elaborar un Programa Anual de Obras, a través del formato PbRM 07</w:t>
      </w:r>
      <w:r w:rsidR="00722381">
        <w:rPr>
          <w:rFonts w:ascii="Palatino Linotype" w:hAnsi="Palatino Linotype" w:cs="Tahoma"/>
          <w:sz w:val="22"/>
          <w:szCs w:val="22"/>
        </w:rPr>
        <w:t>a, en el cual contiene las obras públicas que se llevaran a cabo en determinado tiempo y el recurso anual autorizado para la ejecución de cada una.</w:t>
      </w:r>
    </w:p>
    <w:p w14:paraId="1894E8B7" w14:textId="77777777" w:rsidR="000828DE" w:rsidRDefault="000828DE" w:rsidP="001763E1">
      <w:pPr>
        <w:spacing w:line="360" w:lineRule="auto"/>
        <w:jc w:val="both"/>
        <w:rPr>
          <w:rFonts w:ascii="Palatino Linotype" w:hAnsi="Palatino Linotype" w:cs="Tahoma"/>
          <w:sz w:val="22"/>
          <w:szCs w:val="22"/>
        </w:rPr>
      </w:pPr>
    </w:p>
    <w:p w14:paraId="491AC5C1" w14:textId="5A95C8FD" w:rsidR="001763E1" w:rsidRDefault="00026DA0" w:rsidP="001763E1">
      <w:pPr>
        <w:spacing w:line="360" w:lineRule="auto"/>
        <w:jc w:val="both"/>
        <w:rPr>
          <w:rFonts w:ascii="Palatino Linotype" w:hAnsi="Palatino Linotype" w:cs="Tahoma"/>
          <w:sz w:val="22"/>
          <w:szCs w:val="22"/>
        </w:rPr>
      </w:pPr>
      <w:r>
        <w:rPr>
          <w:rFonts w:ascii="Palatino Linotype" w:hAnsi="Palatino Linotype" w:cs="Tahoma"/>
          <w:sz w:val="22"/>
          <w:szCs w:val="22"/>
        </w:rPr>
        <w:t>Así, se considera</w:t>
      </w:r>
      <w:r w:rsidR="001763E1">
        <w:rPr>
          <w:rFonts w:ascii="Palatino Linotype" w:hAnsi="Palatino Linotype" w:cs="Tahoma"/>
          <w:sz w:val="22"/>
          <w:szCs w:val="22"/>
        </w:rPr>
        <w:t xml:space="preserve">, que el </w:t>
      </w:r>
      <w:r w:rsidR="001763E1" w:rsidRPr="00950710">
        <w:rPr>
          <w:rFonts w:ascii="Palatino Linotype" w:hAnsi="Palatino Linotype" w:cs="Tahoma"/>
          <w:b/>
          <w:sz w:val="22"/>
          <w:szCs w:val="22"/>
        </w:rPr>
        <w:t>Programa Operativo Anual</w:t>
      </w:r>
      <w:r w:rsidR="001763E1">
        <w:rPr>
          <w:rFonts w:ascii="Palatino Linotype" w:hAnsi="Palatino Linotype" w:cs="Tahoma"/>
          <w:sz w:val="22"/>
          <w:szCs w:val="22"/>
        </w:rPr>
        <w:t xml:space="preserve"> es aquel documento en donde se plasman los objetivos, estrategias, metas, indicadores y proyectos que se buscan cumplir en un ejercicio fiscal determinado y que va acorde al Plan de Desarrollo Municipal, principalmente, además que es un componente esencial del Presupues</w:t>
      </w:r>
      <w:r w:rsidR="00722381">
        <w:rPr>
          <w:rFonts w:ascii="Palatino Linotype" w:hAnsi="Palatino Linotype" w:cs="Tahoma"/>
          <w:sz w:val="22"/>
          <w:szCs w:val="22"/>
        </w:rPr>
        <w:t xml:space="preserve">to de Egresos de los Municipios; mientras, que el </w:t>
      </w:r>
      <w:r w:rsidR="000007F7" w:rsidRPr="000007F7">
        <w:rPr>
          <w:rFonts w:ascii="Palatino Linotype" w:hAnsi="Palatino Linotype" w:cs="Tahoma"/>
          <w:b/>
          <w:sz w:val="22"/>
          <w:szCs w:val="22"/>
        </w:rPr>
        <w:t>p</w:t>
      </w:r>
      <w:r w:rsidR="00722381" w:rsidRPr="00950710">
        <w:rPr>
          <w:rFonts w:ascii="Palatino Linotype" w:hAnsi="Palatino Linotype" w:cs="Tahoma"/>
          <w:b/>
          <w:sz w:val="22"/>
          <w:szCs w:val="22"/>
        </w:rPr>
        <w:t xml:space="preserve">rograma </w:t>
      </w:r>
      <w:r w:rsidR="000007F7">
        <w:rPr>
          <w:rFonts w:ascii="Palatino Linotype" w:hAnsi="Palatino Linotype" w:cs="Tahoma"/>
          <w:b/>
          <w:sz w:val="22"/>
          <w:szCs w:val="22"/>
        </w:rPr>
        <w:t>anual de o</w:t>
      </w:r>
      <w:r w:rsidR="00722381" w:rsidRPr="00950710">
        <w:rPr>
          <w:rFonts w:ascii="Palatino Linotype" w:hAnsi="Palatino Linotype" w:cs="Tahoma"/>
          <w:b/>
          <w:sz w:val="22"/>
          <w:szCs w:val="22"/>
        </w:rPr>
        <w:t>bra</w:t>
      </w:r>
      <w:r w:rsidR="00722381">
        <w:rPr>
          <w:rFonts w:ascii="Palatino Linotype" w:hAnsi="Palatino Linotype" w:cs="Tahoma"/>
          <w:sz w:val="22"/>
          <w:szCs w:val="22"/>
        </w:rPr>
        <w:t>, es el listado de obras públicas que se desarrollaran en determinado ejercicio fiscal, en el cual, se plasma el monto autorizado para su ejecución</w:t>
      </w:r>
      <w:r w:rsidR="00950710">
        <w:rPr>
          <w:rFonts w:ascii="Palatino Linotype" w:hAnsi="Palatino Linotype" w:cs="Tahoma"/>
          <w:sz w:val="22"/>
          <w:szCs w:val="22"/>
        </w:rPr>
        <w:t>.</w:t>
      </w:r>
    </w:p>
    <w:p w14:paraId="186AA1FB" w14:textId="77777777" w:rsidR="00950710" w:rsidRDefault="00950710" w:rsidP="001763E1">
      <w:pPr>
        <w:spacing w:line="360" w:lineRule="auto"/>
        <w:jc w:val="both"/>
        <w:rPr>
          <w:rFonts w:ascii="Palatino Linotype" w:hAnsi="Palatino Linotype" w:cs="Tahoma"/>
          <w:sz w:val="22"/>
          <w:szCs w:val="22"/>
        </w:rPr>
      </w:pPr>
    </w:p>
    <w:p w14:paraId="303FFFEF" w14:textId="1A6792B7" w:rsidR="009E2DF6" w:rsidRPr="009E2DF6" w:rsidRDefault="009E2DF6" w:rsidP="009E2DF6">
      <w:pPr>
        <w:autoSpaceDE w:val="0"/>
        <w:autoSpaceDN w:val="0"/>
        <w:adjustRightInd w:val="0"/>
        <w:spacing w:line="360" w:lineRule="auto"/>
        <w:jc w:val="both"/>
        <w:rPr>
          <w:rFonts w:ascii="Palatino Linotype" w:eastAsia="Calibri" w:hAnsi="Palatino Linotype" w:cs="Tahoma"/>
          <w:bCs/>
          <w:sz w:val="22"/>
          <w:szCs w:val="22"/>
          <w:lang w:eastAsia="en-US"/>
        </w:rPr>
      </w:pPr>
      <w:r w:rsidRPr="009E2DF6">
        <w:rPr>
          <w:rFonts w:ascii="Palatino Linotype" w:hAnsi="Palatino Linotype" w:cs="Tahoma"/>
          <w:bCs/>
          <w:sz w:val="22"/>
          <w:szCs w:val="22"/>
        </w:rPr>
        <w:t xml:space="preserve">En ese contexto, si bien el Particular </w:t>
      </w:r>
      <w:r>
        <w:rPr>
          <w:rFonts w:ascii="Palatino Linotype" w:hAnsi="Palatino Linotype" w:cs="Tahoma"/>
          <w:bCs/>
          <w:sz w:val="22"/>
          <w:szCs w:val="22"/>
        </w:rPr>
        <w:t xml:space="preserve">requirió el documento que </w:t>
      </w:r>
      <w:r w:rsidRPr="009E2DF6">
        <w:rPr>
          <w:rFonts w:ascii="Palatino Linotype" w:hAnsi="Palatino Linotype" w:cs="Tahoma"/>
          <w:bCs/>
          <w:sz w:val="22"/>
          <w:szCs w:val="22"/>
          <w:lang w:val="es-ES"/>
        </w:rPr>
        <w:t>contenga el presupuesto total a ejercer en materia de obras públicas</w:t>
      </w:r>
      <w:r>
        <w:rPr>
          <w:rFonts w:ascii="Palatino Linotype" w:hAnsi="Palatino Linotype" w:cs="Tahoma"/>
          <w:bCs/>
          <w:sz w:val="22"/>
          <w:szCs w:val="22"/>
          <w:lang w:val="es-ES"/>
        </w:rPr>
        <w:t>, para el ejercicio fiscal dos mil diecinueve</w:t>
      </w:r>
      <w:r w:rsidRPr="009E2DF6">
        <w:rPr>
          <w:rFonts w:ascii="Palatino Linotype" w:hAnsi="Palatino Linotype" w:cs="Tahoma"/>
          <w:b/>
          <w:bCs/>
          <w:sz w:val="22"/>
          <w:szCs w:val="22"/>
        </w:rPr>
        <w:t>,</w:t>
      </w:r>
      <w:r w:rsidRPr="009E2DF6">
        <w:rPr>
          <w:rFonts w:ascii="Palatino Linotype" w:hAnsi="Palatino Linotype" w:cs="Tahoma"/>
          <w:bCs/>
          <w:sz w:val="22"/>
          <w:szCs w:val="22"/>
        </w:rPr>
        <w:t xml:space="preserve"> también lo es que los solicitantes </w:t>
      </w:r>
      <w:r w:rsidRPr="009E2DF6">
        <w:rPr>
          <w:rFonts w:ascii="Palatino Linotype" w:hAnsi="Palatino Linotype" w:cs="Tahoma"/>
          <w:b/>
          <w:bCs/>
          <w:sz w:val="22"/>
          <w:szCs w:val="22"/>
        </w:rPr>
        <w:t>no se encuentran obligados a conocer con exactitud los nombres de los documentos a los cuales quieren tener acceso, pues no son peritos en la materia;</w:t>
      </w:r>
      <w:r w:rsidRPr="009E2DF6">
        <w:rPr>
          <w:rFonts w:ascii="Palatino Linotype" w:hAnsi="Palatino Linotype" w:cs="Tahoma"/>
          <w:bCs/>
          <w:sz w:val="22"/>
          <w:szCs w:val="22"/>
        </w:rPr>
        <w:t xml:space="preserve"> por lo que, en el presente caso se considera que el Particular quiere tener acceso </w:t>
      </w:r>
      <w:r>
        <w:rPr>
          <w:rFonts w:ascii="Palatino Linotype" w:hAnsi="Palatino Linotype" w:cs="Tahoma"/>
          <w:b/>
          <w:bCs/>
          <w:sz w:val="22"/>
          <w:szCs w:val="22"/>
        </w:rPr>
        <w:t xml:space="preserve">a las Gacetas </w:t>
      </w:r>
      <w:r>
        <w:rPr>
          <w:rFonts w:ascii="Palatino Linotype" w:hAnsi="Palatino Linotype" w:cs="Tahoma"/>
          <w:b/>
          <w:bCs/>
          <w:sz w:val="22"/>
          <w:szCs w:val="22"/>
        </w:rPr>
        <w:lastRenderedPageBreak/>
        <w:t>Municipales</w:t>
      </w:r>
      <w:r w:rsidR="000007F7">
        <w:rPr>
          <w:rFonts w:ascii="Palatino Linotype" w:hAnsi="Palatino Linotype" w:cs="Tahoma"/>
          <w:b/>
          <w:bCs/>
          <w:sz w:val="22"/>
          <w:szCs w:val="22"/>
        </w:rPr>
        <w:t xml:space="preserve"> en donde se haya publicado el programa anual de o</w:t>
      </w:r>
      <w:r w:rsidR="00475537">
        <w:rPr>
          <w:rFonts w:ascii="Palatino Linotype" w:hAnsi="Palatino Linotype" w:cs="Tahoma"/>
          <w:b/>
          <w:bCs/>
          <w:sz w:val="22"/>
          <w:szCs w:val="22"/>
        </w:rPr>
        <w:t>bras de la presente anualidad, así como, las modificaciones realizadas a este, del primero de enero al diecinueve de agosto del presente año</w:t>
      </w:r>
      <w:r w:rsidRPr="009E2DF6">
        <w:rPr>
          <w:rFonts w:ascii="Palatino Linotype" w:hAnsi="Palatino Linotype" w:cs="Tahoma"/>
          <w:b/>
          <w:bCs/>
          <w:sz w:val="22"/>
          <w:szCs w:val="22"/>
        </w:rPr>
        <w:t>.</w:t>
      </w:r>
      <w:r w:rsidRPr="009E2DF6">
        <w:rPr>
          <w:rFonts w:ascii="Palatino Linotype" w:hAnsi="Palatino Linotype" w:cs="Tahoma"/>
          <w:bCs/>
          <w:sz w:val="22"/>
          <w:szCs w:val="22"/>
        </w:rPr>
        <w:t xml:space="preserve"> </w:t>
      </w:r>
      <w:r w:rsidRPr="009E2DF6">
        <w:rPr>
          <w:rFonts w:ascii="Palatino Linotype" w:eastAsia="Calibri" w:hAnsi="Palatino Linotype" w:cs="Tahoma"/>
          <w:bCs/>
          <w:sz w:val="22"/>
          <w:szCs w:val="22"/>
          <w:lang w:eastAsia="en-US"/>
        </w:rPr>
        <w:t>Lo anterior, toma sustento en el Criterio 16/17, emitido por el Instituto Nacional de Transparencia, Acceso a la Información y Protección de Datos Personales, que establece lo siguiente:</w:t>
      </w:r>
    </w:p>
    <w:p w14:paraId="224A4F04" w14:textId="77777777" w:rsidR="009E2DF6" w:rsidRPr="009E2DF6" w:rsidRDefault="009E2DF6" w:rsidP="009E2DF6">
      <w:pPr>
        <w:autoSpaceDE w:val="0"/>
        <w:autoSpaceDN w:val="0"/>
        <w:adjustRightInd w:val="0"/>
        <w:spacing w:line="360" w:lineRule="auto"/>
        <w:jc w:val="both"/>
        <w:rPr>
          <w:rFonts w:ascii="Palatino Linotype" w:eastAsia="Calibri" w:hAnsi="Palatino Linotype" w:cs="Tahoma"/>
          <w:bCs/>
          <w:sz w:val="22"/>
          <w:szCs w:val="22"/>
          <w:lang w:eastAsia="en-US"/>
        </w:rPr>
      </w:pPr>
    </w:p>
    <w:p w14:paraId="17C6021B" w14:textId="77777777" w:rsidR="009E2DF6" w:rsidRPr="009E2DF6" w:rsidRDefault="009E2DF6" w:rsidP="009E2DF6">
      <w:pPr>
        <w:autoSpaceDE w:val="0"/>
        <w:autoSpaceDN w:val="0"/>
        <w:adjustRightInd w:val="0"/>
        <w:spacing w:line="360" w:lineRule="auto"/>
        <w:ind w:left="567" w:right="567"/>
        <w:jc w:val="both"/>
        <w:rPr>
          <w:rFonts w:ascii="Palatino Linotype" w:eastAsia="Calibri" w:hAnsi="Palatino Linotype" w:cs="Tahoma"/>
          <w:bCs/>
          <w:i/>
          <w:lang w:eastAsia="en-US"/>
        </w:rPr>
      </w:pPr>
      <w:r w:rsidRPr="009E2DF6">
        <w:rPr>
          <w:rFonts w:ascii="Palatino Linotype" w:eastAsia="Calibri" w:hAnsi="Palatino Linotype" w:cs="Tahoma"/>
          <w:b/>
          <w:bCs/>
          <w:i/>
          <w:lang w:eastAsia="en-US"/>
        </w:rPr>
        <w:t>“Expresión documental.</w:t>
      </w:r>
      <w:r w:rsidRPr="009E2DF6">
        <w:rPr>
          <w:rFonts w:ascii="Palatino Linotype" w:eastAsia="Calibri" w:hAnsi="Palatino Linotype" w:cs="Tahoma"/>
          <w:bCs/>
          <w:i/>
          <w:lang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417FB474" w14:textId="77777777" w:rsidR="000828DE" w:rsidRPr="009E2DF6" w:rsidRDefault="000828DE" w:rsidP="009E2DF6">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4C93392" w14:textId="33C7560A" w:rsidR="009E2DF6" w:rsidRDefault="009E2DF6" w:rsidP="009E2DF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9E2DF6">
        <w:rPr>
          <w:rFonts w:ascii="Palatino Linotype" w:eastAsia="Calibri" w:hAnsi="Palatino Linotype" w:cs="Tahoma"/>
          <w:color w:val="000000"/>
          <w:sz w:val="22"/>
          <w:szCs w:val="22"/>
          <w:lang w:eastAsia="es-MX"/>
        </w:rPr>
        <w:t>Del citado Criterio, se desprende que los sujetos obligados se encuentran constreñidos a darles a las solicitudes de información una interpretación que les otorgue una expresión documental a los particulares, cuando estos no identifiquen de manera precisa tal documentación</w:t>
      </w:r>
      <w:r w:rsidR="00475537">
        <w:rPr>
          <w:rFonts w:ascii="Palatino Linotype" w:eastAsia="Calibri" w:hAnsi="Palatino Linotype" w:cs="Tahoma"/>
          <w:color w:val="000000"/>
          <w:sz w:val="22"/>
          <w:szCs w:val="22"/>
          <w:lang w:eastAsia="es-MX"/>
        </w:rPr>
        <w:t xml:space="preserve">; por lo que, se considera que el ahora Recurrente, requiere tener acceso a información relacionada con el </w:t>
      </w:r>
      <w:r w:rsidR="00BC779F">
        <w:rPr>
          <w:rFonts w:ascii="Palatino Linotype" w:eastAsia="Calibri" w:hAnsi="Palatino Linotype" w:cs="Tahoma"/>
          <w:color w:val="000000"/>
          <w:sz w:val="22"/>
          <w:szCs w:val="22"/>
          <w:lang w:eastAsia="es-MX"/>
        </w:rPr>
        <w:t>p</w:t>
      </w:r>
      <w:r w:rsidR="00475537">
        <w:rPr>
          <w:rFonts w:ascii="Palatino Linotype" w:eastAsia="Calibri" w:hAnsi="Palatino Linotype" w:cs="Tahoma"/>
          <w:color w:val="000000"/>
          <w:sz w:val="22"/>
          <w:szCs w:val="22"/>
          <w:lang w:eastAsia="es-MX"/>
        </w:rPr>
        <w:t xml:space="preserve">rograma </w:t>
      </w:r>
      <w:r w:rsidR="00BC779F">
        <w:rPr>
          <w:rFonts w:ascii="Palatino Linotype" w:eastAsia="Calibri" w:hAnsi="Palatino Linotype" w:cs="Tahoma"/>
          <w:color w:val="000000"/>
          <w:sz w:val="22"/>
          <w:szCs w:val="22"/>
          <w:lang w:eastAsia="es-MX"/>
        </w:rPr>
        <w:t>a</w:t>
      </w:r>
      <w:r w:rsidR="00475537">
        <w:rPr>
          <w:rFonts w:ascii="Palatino Linotype" w:eastAsia="Calibri" w:hAnsi="Palatino Linotype" w:cs="Tahoma"/>
          <w:color w:val="000000"/>
          <w:sz w:val="22"/>
          <w:szCs w:val="22"/>
          <w:lang w:eastAsia="es-MX"/>
        </w:rPr>
        <w:t xml:space="preserve">nual de </w:t>
      </w:r>
      <w:r w:rsidR="00BC779F">
        <w:rPr>
          <w:rFonts w:ascii="Palatino Linotype" w:eastAsia="Calibri" w:hAnsi="Palatino Linotype" w:cs="Tahoma"/>
          <w:color w:val="000000"/>
          <w:sz w:val="22"/>
          <w:szCs w:val="22"/>
          <w:lang w:eastAsia="es-MX"/>
        </w:rPr>
        <w:t>o</w:t>
      </w:r>
      <w:r w:rsidR="00475537">
        <w:rPr>
          <w:rFonts w:ascii="Palatino Linotype" w:eastAsia="Calibri" w:hAnsi="Palatino Linotype" w:cs="Tahoma"/>
          <w:color w:val="000000"/>
          <w:sz w:val="22"/>
          <w:szCs w:val="22"/>
          <w:lang w:eastAsia="es-MX"/>
        </w:rPr>
        <w:t xml:space="preserve">bras </w:t>
      </w:r>
      <w:r w:rsidR="00BC779F">
        <w:rPr>
          <w:rFonts w:ascii="Palatino Linotype" w:eastAsia="Calibri" w:hAnsi="Palatino Linotype" w:cs="Tahoma"/>
          <w:color w:val="000000"/>
          <w:sz w:val="22"/>
          <w:szCs w:val="22"/>
          <w:lang w:eastAsia="es-MX"/>
        </w:rPr>
        <w:t>p</w:t>
      </w:r>
      <w:r w:rsidR="00475537">
        <w:rPr>
          <w:rFonts w:ascii="Palatino Linotype" w:eastAsia="Calibri" w:hAnsi="Palatino Linotype" w:cs="Tahoma"/>
          <w:color w:val="000000"/>
          <w:sz w:val="22"/>
          <w:szCs w:val="22"/>
          <w:lang w:eastAsia="es-MX"/>
        </w:rPr>
        <w:t>úblicas.</w:t>
      </w:r>
    </w:p>
    <w:p w14:paraId="7680977B" w14:textId="77777777" w:rsidR="00475537" w:rsidRDefault="00475537" w:rsidP="009E2DF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15712B2" w14:textId="06ED72A2" w:rsidR="00475537" w:rsidRDefault="00475537" w:rsidP="009E2DF6">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t xml:space="preserve">Una vez precisado dicha situación, cabe recordar que el Sujeto Obligado indicó </w:t>
      </w:r>
      <w:r w:rsidR="00BC779F">
        <w:rPr>
          <w:rFonts w:ascii="Palatino Linotype" w:eastAsia="Calibri" w:hAnsi="Palatino Linotype" w:cs="Tahoma"/>
          <w:color w:val="000000"/>
          <w:sz w:val="22"/>
          <w:szCs w:val="22"/>
          <w:lang w:eastAsia="es-MX"/>
        </w:rPr>
        <w:t>lo siguiente:</w:t>
      </w:r>
    </w:p>
    <w:p w14:paraId="5E53629A" w14:textId="77777777" w:rsidR="00BC779F" w:rsidRDefault="00BC779F" w:rsidP="009E2DF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3751256" w14:textId="132FD4AE" w:rsidR="00BC779F" w:rsidRDefault="00BC779F" w:rsidP="00BC779F">
      <w:pPr>
        <w:pStyle w:val="Prrafodelista"/>
        <w:numPr>
          <w:ilvl w:val="0"/>
          <w:numId w:val="23"/>
        </w:numPr>
        <w:tabs>
          <w:tab w:val="left" w:pos="4962"/>
        </w:tabs>
        <w:spacing w:line="360" w:lineRule="auto"/>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Q</w:t>
      </w:r>
      <w:r w:rsidR="00337D53">
        <w:rPr>
          <w:rFonts w:ascii="Palatino Linotype" w:eastAsia="Calibri" w:hAnsi="Palatino Linotype" w:cs="Tahoma"/>
          <w:iCs/>
          <w:color w:val="000000" w:themeColor="text1"/>
          <w:szCs w:val="22"/>
          <w:lang w:eastAsia="es-ES_tradnl"/>
        </w:rPr>
        <w:t>ue el contenido de las G</w:t>
      </w:r>
      <w:r>
        <w:rPr>
          <w:rFonts w:ascii="Palatino Linotype" w:eastAsia="Calibri" w:hAnsi="Palatino Linotype" w:cs="Tahoma"/>
          <w:iCs/>
          <w:color w:val="000000" w:themeColor="text1"/>
          <w:szCs w:val="22"/>
          <w:lang w:eastAsia="es-ES_tradnl"/>
        </w:rPr>
        <w:t xml:space="preserve">acetas </w:t>
      </w:r>
      <w:r w:rsidR="00337D53">
        <w:rPr>
          <w:rFonts w:ascii="Palatino Linotype" w:eastAsia="Calibri" w:hAnsi="Palatino Linotype" w:cs="Tahoma"/>
          <w:iCs/>
          <w:color w:val="000000" w:themeColor="text1"/>
          <w:szCs w:val="22"/>
          <w:lang w:eastAsia="es-ES_tradnl"/>
        </w:rPr>
        <w:t>M</w:t>
      </w:r>
      <w:r>
        <w:rPr>
          <w:rFonts w:ascii="Palatino Linotype" w:eastAsia="Calibri" w:hAnsi="Palatino Linotype" w:cs="Tahoma"/>
          <w:iCs/>
          <w:color w:val="000000" w:themeColor="text1"/>
          <w:szCs w:val="22"/>
          <w:lang w:eastAsia="es-ES_tradnl"/>
        </w:rPr>
        <w:t xml:space="preserve">unicipales se localizaban en la liga electrónica </w:t>
      </w:r>
      <w:hyperlink r:id="rId44" w:history="1">
        <w:r w:rsidRPr="00BC779F">
          <w:rPr>
            <w:rStyle w:val="Hipervnculo"/>
            <w:rFonts w:ascii="Palatino Linotype" w:eastAsia="Calibri" w:hAnsi="Palatino Linotype" w:cs="Tahoma"/>
            <w:iCs/>
            <w:szCs w:val="22"/>
            <w:lang w:eastAsia="es-ES_tradnl"/>
          </w:rPr>
          <w:t>https://www.ipomex.org.mx/ipo3/lgt/indice/NICOLASROMERO/art_94_ii_a2.web</w:t>
        </w:r>
      </w:hyperlink>
      <w:r w:rsidRPr="00BC779F">
        <w:rPr>
          <w:rFonts w:ascii="Palatino Linotype" w:eastAsia="Calibri" w:hAnsi="Palatino Linotype" w:cs="Tahoma"/>
          <w:iCs/>
          <w:color w:val="000000" w:themeColor="text1"/>
          <w:szCs w:val="22"/>
          <w:lang w:eastAsia="es-ES_tradnl"/>
        </w:rPr>
        <w:t>.</w:t>
      </w:r>
    </w:p>
    <w:p w14:paraId="26E6C16C" w14:textId="77777777" w:rsidR="00BC779F" w:rsidRDefault="00BC779F" w:rsidP="00BC779F">
      <w:pPr>
        <w:pStyle w:val="Prrafodelista"/>
        <w:tabs>
          <w:tab w:val="left" w:pos="4962"/>
        </w:tabs>
        <w:spacing w:line="360" w:lineRule="auto"/>
        <w:jc w:val="both"/>
        <w:rPr>
          <w:rFonts w:ascii="Palatino Linotype" w:eastAsia="Calibri" w:hAnsi="Palatino Linotype" w:cs="Tahoma"/>
          <w:iCs/>
          <w:color w:val="000000" w:themeColor="text1"/>
          <w:szCs w:val="22"/>
          <w:lang w:eastAsia="es-ES_tradnl"/>
        </w:rPr>
      </w:pPr>
    </w:p>
    <w:p w14:paraId="5B25D917" w14:textId="78CFB60A" w:rsidR="00BC779F" w:rsidRPr="00BC779F" w:rsidRDefault="00BC779F" w:rsidP="00BC779F">
      <w:pPr>
        <w:pStyle w:val="Prrafodelista"/>
        <w:numPr>
          <w:ilvl w:val="0"/>
          <w:numId w:val="23"/>
        </w:numPr>
        <w:tabs>
          <w:tab w:val="left" w:pos="4962"/>
        </w:tabs>
        <w:spacing w:line="360" w:lineRule="auto"/>
        <w:jc w:val="both"/>
        <w:rPr>
          <w:rFonts w:ascii="Palatino Linotype" w:eastAsia="Calibri" w:hAnsi="Palatino Linotype" w:cs="Tahoma"/>
          <w:iCs/>
          <w:color w:val="000000" w:themeColor="text1"/>
          <w:szCs w:val="22"/>
          <w:lang w:eastAsia="es-ES_tradnl"/>
        </w:rPr>
      </w:pPr>
      <w:r w:rsidRPr="00BC779F">
        <w:rPr>
          <w:rFonts w:ascii="Palatino Linotype" w:eastAsia="Calibri" w:hAnsi="Palatino Linotype" w:cs="Tahoma"/>
          <w:iCs/>
          <w:color w:val="000000" w:themeColor="text1"/>
          <w:szCs w:val="22"/>
          <w:lang w:eastAsia="es-ES_tradnl"/>
        </w:rPr>
        <w:t xml:space="preserve">Que las modificaciones al programa anual de obra pública, </w:t>
      </w:r>
      <w:r>
        <w:rPr>
          <w:rFonts w:ascii="Palatino Linotype" w:eastAsia="Calibri" w:hAnsi="Palatino Linotype" w:cs="Tahoma"/>
          <w:iCs/>
          <w:color w:val="000000" w:themeColor="text1"/>
          <w:szCs w:val="22"/>
          <w:lang w:eastAsia="es-ES_tradnl"/>
        </w:rPr>
        <w:t xml:space="preserve">se </w:t>
      </w:r>
      <w:r w:rsidR="00337D53">
        <w:rPr>
          <w:rFonts w:ascii="Palatino Linotype" w:eastAsia="Calibri" w:hAnsi="Palatino Linotype" w:cs="Tahoma"/>
          <w:iCs/>
          <w:color w:val="000000" w:themeColor="text1"/>
          <w:szCs w:val="22"/>
          <w:lang w:eastAsia="es-ES_tradnl"/>
        </w:rPr>
        <w:t>encontraban</w:t>
      </w:r>
      <w:r w:rsidRPr="00BC779F">
        <w:rPr>
          <w:rFonts w:ascii="Palatino Linotype" w:eastAsia="Calibri" w:hAnsi="Palatino Linotype" w:cs="Tahoma"/>
          <w:iCs/>
          <w:color w:val="000000" w:themeColor="text1"/>
          <w:szCs w:val="22"/>
          <w:lang w:eastAsia="es-ES_tradnl"/>
        </w:rPr>
        <w:t xml:space="preserve"> disponibles, en los primeros dos registros de la siguiente liga </w:t>
      </w:r>
      <w:hyperlink r:id="rId45" w:history="1">
        <w:r w:rsidRPr="00BC779F">
          <w:rPr>
            <w:rStyle w:val="Hipervnculo"/>
            <w:rFonts w:ascii="Palatino Linotype" w:eastAsia="Calibri" w:hAnsi="Palatino Linotype" w:cs="Tahoma"/>
            <w:iCs/>
            <w:szCs w:val="22"/>
            <w:lang w:eastAsia="es-ES_tradnl"/>
          </w:rPr>
          <w:t>https://www.ipomex.org.mx/ipo3/lgt/indice/NICOLASROMERO/art_92_Lii_a/1.web</w:t>
        </w:r>
      </w:hyperlink>
      <w:r w:rsidRPr="00BC779F">
        <w:rPr>
          <w:rFonts w:ascii="Palatino Linotype" w:eastAsia="Calibri" w:hAnsi="Palatino Linotype" w:cs="Tahoma"/>
          <w:iCs/>
          <w:color w:val="000000" w:themeColor="text1"/>
          <w:szCs w:val="22"/>
          <w:lang w:eastAsia="es-ES_tradnl"/>
        </w:rPr>
        <w:t>.</w:t>
      </w:r>
    </w:p>
    <w:p w14:paraId="3FFA9F2A" w14:textId="77777777" w:rsidR="00BC779F" w:rsidRPr="00BC779F" w:rsidRDefault="00BC779F" w:rsidP="00BC779F">
      <w:pPr>
        <w:pStyle w:val="Prrafodelista"/>
        <w:autoSpaceDE w:val="0"/>
        <w:autoSpaceDN w:val="0"/>
        <w:adjustRightInd w:val="0"/>
        <w:spacing w:line="360" w:lineRule="auto"/>
        <w:jc w:val="both"/>
        <w:rPr>
          <w:rFonts w:ascii="Palatino Linotype" w:eastAsia="Calibri" w:hAnsi="Palatino Linotype" w:cs="Tahoma"/>
          <w:color w:val="000000"/>
          <w:szCs w:val="22"/>
          <w:lang w:eastAsia="es-MX"/>
        </w:rPr>
      </w:pPr>
    </w:p>
    <w:p w14:paraId="5CE18CEC" w14:textId="6FABB411" w:rsidR="00475537" w:rsidRDefault="00026DA0" w:rsidP="009E2DF6">
      <w:pPr>
        <w:autoSpaceDE w:val="0"/>
        <w:autoSpaceDN w:val="0"/>
        <w:adjustRightInd w:val="0"/>
        <w:spacing w:line="360" w:lineRule="auto"/>
        <w:jc w:val="both"/>
        <w:rPr>
          <w:rFonts w:ascii="Palatino Linotype" w:eastAsia="Calibri" w:hAnsi="Palatino Linotype" w:cs="Tahoma"/>
          <w:color w:val="000000"/>
          <w:sz w:val="22"/>
          <w:szCs w:val="22"/>
          <w:lang w:eastAsia="es-MX"/>
        </w:rPr>
      </w:pPr>
      <w:r>
        <w:rPr>
          <w:rFonts w:ascii="Palatino Linotype" w:eastAsia="Calibri" w:hAnsi="Palatino Linotype" w:cs="Tahoma"/>
          <w:color w:val="000000"/>
          <w:sz w:val="22"/>
          <w:szCs w:val="22"/>
          <w:lang w:eastAsia="es-MX"/>
        </w:rPr>
        <w:lastRenderedPageBreak/>
        <w:t xml:space="preserve">En relación </w:t>
      </w:r>
      <w:r w:rsidR="00337D53">
        <w:rPr>
          <w:rFonts w:ascii="Palatino Linotype" w:eastAsia="Calibri" w:hAnsi="Palatino Linotype" w:cs="Tahoma"/>
          <w:color w:val="000000"/>
          <w:sz w:val="22"/>
          <w:szCs w:val="22"/>
          <w:lang w:eastAsia="es-MX"/>
        </w:rPr>
        <w:t xml:space="preserve">al primer pronunciamiento, tal como se precisó en párrafos anteriores, </w:t>
      </w:r>
      <w:r w:rsidR="00337D53" w:rsidRPr="00337D53">
        <w:rPr>
          <w:rFonts w:ascii="Palatino Linotype" w:eastAsia="Calibri" w:hAnsi="Palatino Linotype" w:cs="Tahoma"/>
          <w:color w:val="000000"/>
          <w:sz w:val="22"/>
          <w:szCs w:val="22"/>
          <w:lang w:val="es-ES" w:eastAsia="es-MX"/>
        </w:rPr>
        <w:t xml:space="preserve">el Sujeto Obligado señaló el lugar donde se encuentra el contenido de las Gacetas Municipales; </w:t>
      </w:r>
      <w:r w:rsidR="00972644">
        <w:rPr>
          <w:rFonts w:ascii="Palatino Linotype" w:eastAsia="Calibri" w:hAnsi="Palatino Linotype" w:cs="Tahoma"/>
          <w:color w:val="000000"/>
          <w:sz w:val="22"/>
          <w:szCs w:val="22"/>
          <w:lang w:val="es-ES" w:eastAsia="es-MX"/>
        </w:rPr>
        <w:t>no obstante,</w:t>
      </w:r>
      <w:r w:rsidR="00337D53" w:rsidRPr="00337D53">
        <w:rPr>
          <w:rFonts w:ascii="Palatino Linotype" w:eastAsia="Calibri" w:hAnsi="Palatino Linotype" w:cs="Tahoma"/>
          <w:color w:val="000000"/>
          <w:sz w:val="22"/>
          <w:szCs w:val="22"/>
          <w:lang w:val="es-ES" w:eastAsia="es-MX"/>
        </w:rPr>
        <w:t xml:space="preserve"> este Instituto no tuvo manera de verificar en cuál de todos los registros localizados, se encontraba lo requerido por la parte Recurrente</w:t>
      </w:r>
      <w:r w:rsidR="00337D53">
        <w:rPr>
          <w:rFonts w:ascii="Palatino Linotype" w:eastAsia="Calibri" w:hAnsi="Palatino Linotype" w:cs="Tahoma"/>
          <w:color w:val="000000"/>
          <w:sz w:val="22"/>
          <w:szCs w:val="22"/>
          <w:lang w:eastAsia="es-MX"/>
        </w:rPr>
        <w:t xml:space="preserve"> </w:t>
      </w:r>
      <w:r w:rsidR="00972644">
        <w:rPr>
          <w:rFonts w:ascii="Palatino Linotype" w:eastAsia="Calibri" w:hAnsi="Palatino Linotype" w:cs="Tahoma"/>
          <w:color w:val="000000"/>
          <w:sz w:val="22"/>
          <w:szCs w:val="22"/>
          <w:lang w:eastAsia="es-MX"/>
        </w:rPr>
        <w:t>y por lo tanto, incumplió con el artículo 161 de la Ley de Transparencia y Acceso a la Información Pública del Estado de México y Municipios.</w:t>
      </w:r>
    </w:p>
    <w:p w14:paraId="6EAE663F" w14:textId="61C3E945" w:rsidR="00950710" w:rsidRDefault="00972644" w:rsidP="001763E1">
      <w:pPr>
        <w:spacing w:line="360" w:lineRule="auto"/>
        <w:jc w:val="both"/>
        <w:rPr>
          <w:rFonts w:ascii="Palatino Linotype" w:hAnsi="Palatino Linotype" w:cs="Tahoma"/>
          <w:sz w:val="22"/>
          <w:szCs w:val="22"/>
        </w:rPr>
      </w:pPr>
      <w:r>
        <w:rPr>
          <w:rFonts w:ascii="Palatino Linotype" w:hAnsi="Palatino Linotype" w:cs="Tahoma"/>
          <w:sz w:val="22"/>
          <w:szCs w:val="22"/>
        </w:rPr>
        <w:t xml:space="preserve">Ahora bien, por lo que hace al segundo pronunciamiento, este Instituto procedió analizar la liga </w:t>
      </w:r>
      <w:hyperlink r:id="rId46" w:history="1">
        <w:r w:rsidR="00BC779F" w:rsidRPr="00972644">
          <w:rPr>
            <w:rStyle w:val="Hipervnculo"/>
            <w:rFonts w:ascii="Palatino Linotype" w:hAnsi="Palatino Linotype" w:cs="Tahoma"/>
            <w:iCs/>
            <w:sz w:val="22"/>
            <w:szCs w:val="22"/>
          </w:rPr>
          <w:t>https://www.ipomex.org.mx/ipo3/lgt/indice/NICOLASROMERO/art_92_Lii_a/1.web</w:t>
        </w:r>
      </w:hyperlink>
      <w:r>
        <w:rPr>
          <w:rFonts w:ascii="Palatino Linotype" w:hAnsi="Palatino Linotype" w:cs="Tahoma"/>
          <w:sz w:val="22"/>
          <w:szCs w:val="22"/>
        </w:rPr>
        <w:t>, de la cual se obtiene la siguiente información:</w:t>
      </w:r>
    </w:p>
    <w:p w14:paraId="54893953" w14:textId="77777777" w:rsidR="004F3E53" w:rsidRDefault="004F3E53" w:rsidP="001763E1">
      <w:pPr>
        <w:spacing w:line="360" w:lineRule="auto"/>
        <w:jc w:val="both"/>
        <w:rPr>
          <w:rFonts w:ascii="Palatino Linotype" w:hAnsi="Palatino Linotype" w:cs="Tahoma"/>
          <w:sz w:val="22"/>
          <w:szCs w:val="22"/>
        </w:rPr>
      </w:pPr>
    </w:p>
    <w:p w14:paraId="33D8F4B4" w14:textId="42DF89AF" w:rsidR="00972644" w:rsidRDefault="000828DE" w:rsidP="000828DE">
      <w:pPr>
        <w:spacing w:line="360" w:lineRule="auto"/>
        <w:jc w:val="center"/>
        <w:rPr>
          <w:rFonts w:ascii="Palatino Linotype" w:hAnsi="Palatino Linotype" w:cs="Tahoma"/>
          <w:sz w:val="22"/>
          <w:szCs w:val="22"/>
        </w:rPr>
      </w:pPr>
      <w:r>
        <w:rPr>
          <w:noProof/>
          <w:lang w:eastAsia="es-MX"/>
        </w:rPr>
        <mc:AlternateContent>
          <mc:Choice Requires="wps">
            <w:drawing>
              <wp:anchor distT="0" distB="0" distL="114300" distR="114300" simplePos="0" relativeHeight="251667456" behindDoc="0" locked="0" layoutInCell="1" allowOverlap="1" wp14:anchorId="14B1C66F" wp14:editId="054D39D2">
                <wp:simplePos x="0" y="0"/>
                <wp:positionH relativeFrom="column">
                  <wp:posOffset>553720</wp:posOffset>
                </wp:positionH>
                <wp:positionV relativeFrom="paragraph">
                  <wp:posOffset>3098800</wp:posOffset>
                </wp:positionV>
                <wp:extent cx="4448175" cy="514350"/>
                <wp:effectExtent l="19050" t="19050" r="28575" b="19050"/>
                <wp:wrapNone/>
                <wp:docPr id="49" name="Rectángulo 49"/>
                <wp:cNvGraphicFramePr/>
                <a:graphic xmlns:a="http://schemas.openxmlformats.org/drawingml/2006/main">
                  <a:graphicData uri="http://schemas.microsoft.com/office/word/2010/wordprocessingShape">
                    <wps:wsp>
                      <wps:cNvSpPr/>
                      <wps:spPr>
                        <a:xfrm>
                          <a:off x="0" y="0"/>
                          <a:ext cx="4448175" cy="514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BD3C73" id="Rectángulo 49" o:spid="_x0000_s1026" style="position:absolute;margin-left:43.6pt;margin-top:244pt;width:350.2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" filled="f" strokecolor="black [3213]" strokeweight="2.25pt"/>
            </w:pict>
          </mc:Fallback>
        </mc:AlternateContent>
      </w:r>
      <w:r>
        <w:rPr>
          <w:noProof/>
          <w:lang w:eastAsia="es-MX"/>
        </w:rPr>
        <mc:AlternateContent>
          <mc:Choice Requires="wps">
            <w:drawing>
              <wp:anchor distT="0" distB="0" distL="114300" distR="114300" simplePos="0" relativeHeight="251665408" behindDoc="0" locked="0" layoutInCell="1" allowOverlap="1" wp14:anchorId="0687B482" wp14:editId="064C6210">
                <wp:simplePos x="0" y="0"/>
                <wp:positionH relativeFrom="column">
                  <wp:posOffset>553720</wp:posOffset>
                </wp:positionH>
                <wp:positionV relativeFrom="paragraph">
                  <wp:posOffset>708025</wp:posOffset>
                </wp:positionV>
                <wp:extent cx="4448175" cy="514350"/>
                <wp:effectExtent l="19050" t="19050" r="28575" b="19050"/>
                <wp:wrapNone/>
                <wp:docPr id="48" name="Rectángulo 48"/>
                <wp:cNvGraphicFramePr/>
                <a:graphic xmlns:a="http://schemas.openxmlformats.org/drawingml/2006/main">
                  <a:graphicData uri="http://schemas.microsoft.com/office/word/2010/wordprocessingShape">
                    <wps:wsp>
                      <wps:cNvSpPr/>
                      <wps:spPr>
                        <a:xfrm>
                          <a:off x="0" y="0"/>
                          <a:ext cx="4448175" cy="514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A9D87" id="Rectángulo 48" o:spid="_x0000_s1026" style="position:absolute;margin-left:43.6pt;margin-top:55.75pt;width:350.2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" filled="f" strokecolor="black [3213]" strokeweight="2.25pt"/>
            </w:pict>
          </mc:Fallback>
        </mc:AlternateContent>
      </w:r>
      <w:r w:rsidR="00026DA0">
        <w:rPr>
          <w:noProof/>
          <w:lang w:eastAsia="es-MX"/>
        </w:rPr>
        <w:drawing>
          <wp:inline distT="0" distB="0" distL="0" distR="0" wp14:anchorId="36111622" wp14:editId="488AD90A">
            <wp:extent cx="4714875" cy="46958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14875" cy="4695825"/>
                    </a:xfrm>
                    <a:prstGeom prst="rect">
                      <a:avLst/>
                    </a:prstGeom>
                  </pic:spPr>
                </pic:pic>
              </a:graphicData>
            </a:graphic>
          </wp:inline>
        </w:drawing>
      </w:r>
    </w:p>
    <w:p w14:paraId="7B83144A" w14:textId="03C88A90" w:rsidR="00950710" w:rsidRDefault="000828DE" w:rsidP="001763E1">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De lo anterior, se advierte que </w:t>
      </w:r>
      <w:r w:rsidR="00562C31">
        <w:rPr>
          <w:rFonts w:ascii="Palatino Linotype" w:hAnsi="Palatino Linotype" w:cs="Tahoma"/>
          <w:sz w:val="22"/>
          <w:szCs w:val="22"/>
        </w:rPr>
        <w:t>en los registros señalados por el Sujeto Obligado, contiene la primera y segunda modificación al programa anual de obra pública, denominados de la siguiente manera:</w:t>
      </w:r>
    </w:p>
    <w:p w14:paraId="3F78643E" w14:textId="77777777" w:rsidR="00562C31" w:rsidRDefault="00562C31" w:rsidP="001763E1">
      <w:pPr>
        <w:spacing w:line="360" w:lineRule="auto"/>
        <w:jc w:val="both"/>
        <w:rPr>
          <w:rFonts w:ascii="Palatino Linotype" w:hAnsi="Palatino Linotype" w:cs="Tahoma"/>
          <w:sz w:val="22"/>
          <w:szCs w:val="22"/>
        </w:rPr>
      </w:pPr>
    </w:p>
    <w:p w14:paraId="17DCE20D" w14:textId="77777777" w:rsidR="00562C31" w:rsidRDefault="00562C31" w:rsidP="00562C31">
      <w:pPr>
        <w:pStyle w:val="Prrafodelista"/>
        <w:numPr>
          <w:ilvl w:val="0"/>
          <w:numId w:val="25"/>
        </w:numPr>
        <w:spacing w:line="360" w:lineRule="auto"/>
        <w:jc w:val="both"/>
        <w:rPr>
          <w:rFonts w:ascii="Palatino Linotype" w:hAnsi="Palatino Linotype" w:cs="Tahoma"/>
          <w:szCs w:val="22"/>
        </w:rPr>
      </w:pPr>
      <w:r>
        <w:rPr>
          <w:rFonts w:ascii="Palatino Linotype" w:hAnsi="Palatino Linotype" w:cs="Tahoma"/>
          <w:szCs w:val="22"/>
        </w:rPr>
        <w:t xml:space="preserve">Modificación al Programa Anual de Obra Pública Autorizada el día veintiséis de julio de dos mil diecinueve, mediante la décima primera sesión extraordinaria de Cabildo, Acuerdo 002/11/EX/2019. </w:t>
      </w:r>
    </w:p>
    <w:p w14:paraId="2C004443" w14:textId="094C7676" w:rsidR="00562C31" w:rsidRDefault="00562C31" w:rsidP="00562C31">
      <w:pPr>
        <w:pStyle w:val="Prrafodelista"/>
        <w:spacing w:line="360" w:lineRule="auto"/>
        <w:jc w:val="both"/>
        <w:rPr>
          <w:rFonts w:ascii="Palatino Linotype" w:hAnsi="Palatino Linotype" w:cs="Tahoma"/>
          <w:szCs w:val="22"/>
        </w:rPr>
      </w:pPr>
      <w:r>
        <w:rPr>
          <w:rFonts w:ascii="Palatino Linotype" w:hAnsi="Palatino Linotype" w:cs="Tahoma"/>
          <w:szCs w:val="22"/>
        </w:rPr>
        <w:t>(</w:t>
      </w:r>
      <w:hyperlink r:id="rId48" w:history="1">
        <w:r w:rsidRPr="00562C31">
          <w:rPr>
            <w:rStyle w:val="Hipervnculo"/>
            <w:rFonts w:ascii="Palatino Linotype" w:hAnsi="Palatino Linotype" w:cs="Tahoma"/>
            <w:szCs w:val="22"/>
          </w:rPr>
          <w:t>https://www.ipomex.org.mx/recursos/ipo/files_ipo3/2019/42959/8/a3bd81d81c1de7d14b8127e499d71b6b.pdf</w:t>
        </w:r>
      </w:hyperlink>
      <w:r>
        <w:rPr>
          <w:rFonts w:ascii="Palatino Linotype" w:hAnsi="Palatino Linotype" w:cs="Tahoma"/>
          <w:szCs w:val="22"/>
        </w:rPr>
        <w:t>)</w:t>
      </w:r>
    </w:p>
    <w:p w14:paraId="6D88569D" w14:textId="66550109" w:rsidR="00383451" w:rsidRDefault="00562C31" w:rsidP="00383451">
      <w:pPr>
        <w:pStyle w:val="Prrafodelista"/>
        <w:numPr>
          <w:ilvl w:val="0"/>
          <w:numId w:val="25"/>
        </w:numPr>
        <w:spacing w:line="360" w:lineRule="auto"/>
        <w:jc w:val="both"/>
        <w:rPr>
          <w:rFonts w:ascii="Palatino Linotype" w:hAnsi="Palatino Linotype" w:cs="Tahoma"/>
          <w:szCs w:val="22"/>
        </w:rPr>
      </w:pPr>
      <w:r>
        <w:rPr>
          <w:rFonts w:ascii="Palatino Linotype" w:hAnsi="Palatino Linotype" w:cs="Tahoma"/>
          <w:szCs w:val="22"/>
        </w:rPr>
        <w:t xml:space="preserve"> </w:t>
      </w:r>
      <w:r w:rsidR="00383451" w:rsidRPr="00383451">
        <w:rPr>
          <w:rFonts w:ascii="Palatino Linotype" w:hAnsi="Palatino Linotype" w:cs="Tahoma"/>
          <w:szCs w:val="22"/>
        </w:rPr>
        <w:t xml:space="preserve">Modificación al Programa Anual de Obra Pública Autorizada el día </w:t>
      </w:r>
      <w:r w:rsidR="00383451">
        <w:rPr>
          <w:rFonts w:ascii="Palatino Linotype" w:hAnsi="Palatino Linotype" w:cs="Tahoma"/>
          <w:szCs w:val="22"/>
        </w:rPr>
        <w:t>nueve de agosto</w:t>
      </w:r>
      <w:r w:rsidR="00383451" w:rsidRPr="00383451">
        <w:rPr>
          <w:rFonts w:ascii="Palatino Linotype" w:hAnsi="Palatino Linotype" w:cs="Tahoma"/>
          <w:szCs w:val="22"/>
        </w:rPr>
        <w:t xml:space="preserve"> de dos mil diecinueve, mediante la décima </w:t>
      </w:r>
      <w:r w:rsidR="00383451">
        <w:rPr>
          <w:rFonts w:ascii="Palatino Linotype" w:hAnsi="Palatino Linotype" w:cs="Tahoma"/>
          <w:szCs w:val="22"/>
        </w:rPr>
        <w:t>tercera</w:t>
      </w:r>
      <w:r w:rsidR="00383451" w:rsidRPr="00383451">
        <w:rPr>
          <w:rFonts w:ascii="Palatino Linotype" w:hAnsi="Palatino Linotype" w:cs="Tahoma"/>
          <w:szCs w:val="22"/>
        </w:rPr>
        <w:t xml:space="preserve"> sesión extraordinaria de Cabildo, Acuerdo</w:t>
      </w:r>
      <w:r w:rsidR="00383451">
        <w:rPr>
          <w:rFonts w:ascii="Palatino Linotype" w:hAnsi="Palatino Linotype" w:cs="Tahoma"/>
          <w:szCs w:val="22"/>
        </w:rPr>
        <w:t xml:space="preserve"> 005/13</w:t>
      </w:r>
      <w:r w:rsidR="00383451" w:rsidRPr="00383451">
        <w:rPr>
          <w:rFonts w:ascii="Palatino Linotype" w:hAnsi="Palatino Linotype" w:cs="Tahoma"/>
          <w:szCs w:val="22"/>
        </w:rPr>
        <w:t xml:space="preserve">/EX/2019. </w:t>
      </w:r>
    </w:p>
    <w:p w14:paraId="6615926E" w14:textId="75567F09" w:rsidR="00383451" w:rsidRPr="00383451" w:rsidRDefault="00383451" w:rsidP="00383451">
      <w:pPr>
        <w:pStyle w:val="Prrafodelista"/>
        <w:spacing w:line="360" w:lineRule="auto"/>
        <w:jc w:val="both"/>
        <w:rPr>
          <w:rFonts w:ascii="Palatino Linotype" w:hAnsi="Palatino Linotype" w:cs="Tahoma"/>
          <w:szCs w:val="22"/>
        </w:rPr>
      </w:pPr>
      <w:r>
        <w:rPr>
          <w:rFonts w:ascii="Palatino Linotype" w:hAnsi="Palatino Linotype" w:cs="Tahoma"/>
          <w:szCs w:val="22"/>
        </w:rPr>
        <w:t>(</w:t>
      </w:r>
      <w:hyperlink r:id="rId49" w:history="1">
        <w:r w:rsidRPr="00383451">
          <w:rPr>
            <w:rStyle w:val="Hipervnculo"/>
            <w:rFonts w:ascii="Palatino Linotype" w:hAnsi="Palatino Linotype" w:cs="Tahoma"/>
            <w:szCs w:val="22"/>
          </w:rPr>
          <w:t>https://www.ipomex.org.mx/recursos/ipo/files_ipo3/2019/42959/8/a3bd81d81c1de7d14b8127e499d71b6b.pdf</w:t>
        </w:r>
      </w:hyperlink>
      <w:r>
        <w:rPr>
          <w:rFonts w:ascii="Palatino Linotype" w:hAnsi="Palatino Linotype" w:cs="Tahoma"/>
          <w:szCs w:val="22"/>
        </w:rPr>
        <w:t>)</w:t>
      </w:r>
    </w:p>
    <w:p w14:paraId="08AA85A1" w14:textId="2147847A" w:rsidR="00562C31" w:rsidRPr="00562C31" w:rsidRDefault="00562C31" w:rsidP="00383451">
      <w:pPr>
        <w:pStyle w:val="Prrafodelista"/>
        <w:spacing w:line="360" w:lineRule="auto"/>
        <w:jc w:val="both"/>
        <w:rPr>
          <w:rFonts w:ascii="Palatino Linotype" w:hAnsi="Palatino Linotype" w:cs="Tahoma"/>
          <w:szCs w:val="22"/>
        </w:rPr>
      </w:pPr>
    </w:p>
    <w:p w14:paraId="5EFC18A1" w14:textId="23B79E2E" w:rsidR="00076B1D" w:rsidRDefault="00383451"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Al respecto, se muestra un extracto de la primera modificación de manera de ejemplo:</w:t>
      </w:r>
    </w:p>
    <w:p w14:paraId="563C1F74" w14:textId="77777777" w:rsidR="00383451" w:rsidRDefault="00383451" w:rsidP="00447875">
      <w:pPr>
        <w:spacing w:line="360" w:lineRule="auto"/>
        <w:jc w:val="both"/>
        <w:rPr>
          <w:rFonts w:ascii="Palatino Linotype" w:hAnsi="Palatino Linotype" w:cs="Tahoma"/>
          <w:color w:val="000000" w:themeColor="text1"/>
          <w:sz w:val="22"/>
          <w:szCs w:val="22"/>
          <w:lang w:val="es-ES"/>
        </w:rPr>
      </w:pPr>
    </w:p>
    <w:p w14:paraId="5B8F8FB0" w14:textId="599C9532" w:rsidR="00383451" w:rsidRPr="00076B1D" w:rsidRDefault="00383451" w:rsidP="00447875">
      <w:pPr>
        <w:spacing w:line="360" w:lineRule="auto"/>
        <w:jc w:val="both"/>
        <w:rPr>
          <w:rFonts w:ascii="Palatino Linotype" w:hAnsi="Palatino Linotype" w:cs="Tahoma"/>
          <w:color w:val="000000" w:themeColor="text1"/>
          <w:sz w:val="22"/>
          <w:szCs w:val="22"/>
          <w:lang w:val="es-ES"/>
        </w:rPr>
      </w:pPr>
      <w:r>
        <w:rPr>
          <w:noProof/>
          <w:lang w:eastAsia="es-MX"/>
        </w:rPr>
        <w:drawing>
          <wp:inline distT="0" distB="0" distL="0" distR="0" wp14:anchorId="67147B40" wp14:editId="0433BC97">
            <wp:extent cx="5742940" cy="217297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42940" cy="2172970"/>
                    </a:xfrm>
                    <a:prstGeom prst="rect">
                      <a:avLst/>
                    </a:prstGeom>
                  </pic:spPr>
                </pic:pic>
              </a:graphicData>
            </a:graphic>
          </wp:inline>
        </w:drawing>
      </w:r>
    </w:p>
    <w:p w14:paraId="453A802D" w14:textId="77777777" w:rsidR="004F3E53" w:rsidRDefault="004F3E53" w:rsidP="00447875">
      <w:pPr>
        <w:spacing w:line="360" w:lineRule="auto"/>
        <w:jc w:val="both"/>
        <w:rPr>
          <w:rFonts w:ascii="Palatino Linotype" w:hAnsi="Palatino Linotype" w:cs="Tahoma"/>
          <w:color w:val="000000" w:themeColor="text1"/>
          <w:sz w:val="22"/>
          <w:szCs w:val="22"/>
          <w:lang w:val="es-ES"/>
        </w:rPr>
      </w:pPr>
    </w:p>
    <w:p w14:paraId="178B92E3" w14:textId="2EC66757" w:rsidR="001E7168" w:rsidRDefault="0045767F"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lastRenderedPageBreak/>
        <w:t>En ese orden de ideas, cabe recordar que este Instituto no tiene atribuciones para analizar la veracidad de la información; por lo que, se considera que el Sujeto Obligado proporcionó las únicas dos modificaciones que se realizaron</w:t>
      </w:r>
      <w:r w:rsidR="00780DA0">
        <w:rPr>
          <w:rFonts w:ascii="Palatino Linotype" w:hAnsi="Palatino Linotype" w:cs="Tahoma"/>
          <w:color w:val="000000" w:themeColor="text1"/>
          <w:sz w:val="22"/>
          <w:szCs w:val="22"/>
          <w:lang w:val="es-ES"/>
        </w:rPr>
        <w:t xml:space="preserve"> al programa anual de obra pública,</w:t>
      </w:r>
      <w:r>
        <w:rPr>
          <w:rFonts w:ascii="Palatino Linotype" w:hAnsi="Palatino Linotype" w:cs="Tahoma"/>
          <w:color w:val="000000" w:themeColor="text1"/>
          <w:sz w:val="22"/>
          <w:szCs w:val="22"/>
          <w:lang w:val="es-ES"/>
        </w:rPr>
        <w:t xml:space="preserve"> durante el periodo del primero de enero al diecinueve </w:t>
      </w:r>
      <w:r w:rsidR="007F75E4">
        <w:rPr>
          <w:rFonts w:ascii="Palatino Linotype" w:hAnsi="Palatino Linotype" w:cs="Tahoma"/>
          <w:color w:val="000000" w:themeColor="text1"/>
          <w:sz w:val="22"/>
          <w:szCs w:val="22"/>
          <w:lang w:val="es-ES"/>
        </w:rPr>
        <w:t>de agosto de dos mil diecinueve, que si bien está relacionado con lo peticionado, no corresponde, pues el Particular requirió las gacetas municipales, donde se publicó dicha información. Aunado al hecho, a que no entregó el programa en cuestión.</w:t>
      </w:r>
    </w:p>
    <w:p w14:paraId="0D5920EB" w14:textId="77777777" w:rsidR="007F75E4" w:rsidRDefault="007F75E4" w:rsidP="00447875">
      <w:pPr>
        <w:spacing w:line="360" w:lineRule="auto"/>
        <w:jc w:val="both"/>
        <w:rPr>
          <w:rFonts w:ascii="Palatino Linotype" w:hAnsi="Palatino Linotype" w:cs="Tahoma"/>
          <w:color w:val="000000" w:themeColor="text1"/>
          <w:sz w:val="22"/>
          <w:szCs w:val="22"/>
          <w:lang w:val="es-ES"/>
        </w:rPr>
      </w:pPr>
    </w:p>
    <w:p w14:paraId="729D823D" w14:textId="67B81254" w:rsidR="002743B8" w:rsidRPr="002743B8" w:rsidRDefault="007F75E4" w:rsidP="002743B8">
      <w:pPr>
        <w:spacing w:line="360" w:lineRule="auto"/>
        <w:jc w:val="both"/>
        <w:rPr>
          <w:rFonts w:ascii="Palatino Linotype" w:hAnsi="Palatino Linotype" w:cs="Tahoma"/>
          <w:sz w:val="22"/>
          <w:szCs w:val="22"/>
        </w:rPr>
      </w:pPr>
      <w:r w:rsidRPr="002743B8">
        <w:rPr>
          <w:rFonts w:ascii="Palatino Linotype" w:hAnsi="Palatino Linotype" w:cs="Tahoma"/>
          <w:color w:val="000000" w:themeColor="text1"/>
          <w:sz w:val="22"/>
          <w:szCs w:val="22"/>
          <w:lang w:val="es-ES"/>
        </w:rPr>
        <w:t>En ese sentido, este Instituto realizó una búsqueda de información pública y localizó el programa anual de obra p</w:t>
      </w:r>
      <w:r w:rsidR="00780DA0" w:rsidRPr="002743B8">
        <w:rPr>
          <w:rFonts w:ascii="Palatino Linotype" w:hAnsi="Palatino Linotype" w:cs="Tahoma"/>
          <w:color w:val="000000" w:themeColor="text1"/>
          <w:sz w:val="22"/>
          <w:szCs w:val="22"/>
          <w:lang w:val="es-ES"/>
        </w:rPr>
        <w:t xml:space="preserve">ública dos mil diecinueve (consultado a las diez horas, en la página </w:t>
      </w:r>
      <w:hyperlink r:id="rId51" w:history="1">
        <w:r w:rsidR="00780DA0" w:rsidRPr="002743B8">
          <w:rPr>
            <w:rStyle w:val="Hipervnculo"/>
            <w:rFonts w:ascii="Palatino Linotype" w:hAnsi="Palatino Linotype" w:cs="Tahoma"/>
            <w:sz w:val="22"/>
            <w:szCs w:val="22"/>
          </w:rPr>
          <w:t>https://www.ipomex.org.mx/recursos/ipo/files_ipo3/2019/42959/4/1243b1bed77e195ae84d0a3f2ff6b42c.pdf</w:t>
        </w:r>
      </w:hyperlink>
      <w:r w:rsidR="00780DA0" w:rsidRPr="002743B8">
        <w:rPr>
          <w:rFonts w:ascii="Palatino Linotype" w:hAnsi="Palatino Linotype" w:cs="Tahoma"/>
          <w:color w:val="000000" w:themeColor="text1"/>
          <w:sz w:val="22"/>
          <w:szCs w:val="22"/>
          <w:lang w:val="es-ES"/>
        </w:rPr>
        <w:t xml:space="preserve">, el doce de noviembre de dos mil diecinueve), el cual contiene el número de obras que se realizaran con el Fondo de Infraestructura Social y Demarcaciones Territoriales del Distrito Federal (FISMDF), el Fondo Estatal para el Fortalecimiento Municipal (FEFOM) y </w:t>
      </w:r>
      <w:r w:rsidR="002743B8" w:rsidRPr="002743B8">
        <w:rPr>
          <w:rFonts w:ascii="Palatino Linotype" w:hAnsi="Palatino Linotype" w:cs="Tahoma"/>
          <w:color w:val="000000" w:themeColor="text1"/>
          <w:sz w:val="22"/>
          <w:szCs w:val="22"/>
          <w:lang w:val="es-ES"/>
        </w:rPr>
        <w:t xml:space="preserve">recursos propios municipales, así como el monto total presupuestado; además, precisa que el programa fue autorizado por el Cabildo, el veintiuno de febrero de dos mil diecinueve, </w:t>
      </w:r>
      <w:r w:rsidR="002743B8" w:rsidRPr="002743B8">
        <w:rPr>
          <w:rFonts w:ascii="Palatino Linotype" w:hAnsi="Palatino Linotype" w:cs="Tahoma"/>
          <w:sz w:val="22"/>
          <w:szCs w:val="22"/>
        </w:rPr>
        <w:t xml:space="preserve">mediante la </w:t>
      </w:r>
      <w:r w:rsidR="002743B8">
        <w:rPr>
          <w:rFonts w:ascii="Palatino Linotype" w:hAnsi="Palatino Linotype" w:cs="Tahoma"/>
          <w:sz w:val="22"/>
          <w:szCs w:val="22"/>
        </w:rPr>
        <w:t>segunda</w:t>
      </w:r>
      <w:r w:rsidR="002743B8" w:rsidRPr="002743B8">
        <w:rPr>
          <w:rFonts w:ascii="Palatino Linotype" w:hAnsi="Palatino Linotype" w:cs="Tahoma"/>
          <w:sz w:val="22"/>
          <w:szCs w:val="22"/>
        </w:rPr>
        <w:t xml:space="preserve"> sesión extraordinaria de Cabildo, </w:t>
      </w:r>
      <w:r w:rsidR="002743B8">
        <w:rPr>
          <w:rFonts w:ascii="Palatino Linotype" w:hAnsi="Palatino Linotype" w:cs="Tahoma"/>
          <w:sz w:val="22"/>
          <w:szCs w:val="22"/>
        </w:rPr>
        <w:t>a través del Acuerdo 002/02/EX/2019</w:t>
      </w:r>
      <w:r w:rsidR="002743B8" w:rsidRPr="002743B8">
        <w:rPr>
          <w:rFonts w:ascii="Palatino Linotype" w:hAnsi="Palatino Linotype" w:cs="Tahoma"/>
          <w:sz w:val="22"/>
          <w:szCs w:val="22"/>
        </w:rPr>
        <w:t xml:space="preserve">. </w:t>
      </w:r>
    </w:p>
    <w:p w14:paraId="42BCF80B" w14:textId="755A3783" w:rsidR="007F75E4" w:rsidRPr="002743B8" w:rsidRDefault="007F75E4" w:rsidP="00447875">
      <w:pPr>
        <w:spacing w:line="360" w:lineRule="auto"/>
        <w:jc w:val="both"/>
        <w:rPr>
          <w:rFonts w:ascii="Palatino Linotype" w:hAnsi="Palatino Linotype" w:cs="Tahoma"/>
          <w:b/>
          <w:color w:val="000000" w:themeColor="text1"/>
          <w:sz w:val="22"/>
          <w:szCs w:val="22"/>
          <w:lang w:val="es-ES"/>
        </w:rPr>
      </w:pPr>
    </w:p>
    <w:p w14:paraId="62F1C6D8" w14:textId="1D01B57D" w:rsidR="001E7168" w:rsidRDefault="00575C78"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Como se logra observar, tanto el programa anual de obra pública, como sus dos modificaciones, fueron autorizados por el Cabildo, en diversas sesiones extraordinarias; en ese contexto, resulta necesario traer a colación el</w:t>
      </w:r>
      <w:r w:rsidR="00FA7D22">
        <w:rPr>
          <w:rFonts w:ascii="Palatino Linotype" w:hAnsi="Palatino Linotype" w:cs="Tahoma"/>
          <w:color w:val="000000" w:themeColor="text1"/>
          <w:sz w:val="22"/>
          <w:szCs w:val="22"/>
          <w:lang w:val="es-ES"/>
        </w:rPr>
        <w:t xml:space="preserve"> artículo 41 del</w:t>
      </w:r>
      <w:r>
        <w:rPr>
          <w:rFonts w:ascii="Palatino Linotype" w:hAnsi="Palatino Linotype" w:cs="Tahoma"/>
          <w:color w:val="000000" w:themeColor="text1"/>
          <w:sz w:val="22"/>
          <w:szCs w:val="22"/>
          <w:lang w:val="es-ES"/>
        </w:rPr>
        <w:t xml:space="preserve"> Reglamento del Cabildo de Nicolás Romero, 2019-2021, </w:t>
      </w:r>
      <w:r w:rsidR="00FA7D22">
        <w:rPr>
          <w:rFonts w:ascii="Palatino Linotype" w:hAnsi="Palatino Linotype" w:cs="Tahoma"/>
          <w:color w:val="000000" w:themeColor="text1"/>
          <w:sz w:val="22"/>
          <w:szCs w:val="22"/>
          <w:lang w:val="es-ES"/>
        </w:rPr>
        <w:t>que precisa que todos los acuerdos de las sesiones de Cabildo y el resultado de su votación, serán difundidos cada mes, en la Gaceta Municipal y en los estrados de la Secretaría del Ayuntamiento.</w:t>
      </w:r>
    </w:p>
    <w:p w14:paraId="2FAD0E13" w14:textId="77777777" w:rsidR="00FA7D22" w:rsidRDefault="00FA7D22" w:rsidP="00447875">
      <w:pPr>
        <w:spacing w:line="360" w:lineRule="auto"/>
        <w:jc w:val="both"/>
        <w:rPr>
          <w:rFonts w:ascii="Palatino Linotype" w:hAnsi="Palatino Linotype" w:cs="Tahoma"/>
          <w:color w:val="000000" w:themeColor="text1"/>
          <w:sz w:val="22"/>
          <w:szCs w:val="22"/>
          <w:lang w:val="es-ES"/>
        </w:rPr>
      </w:pPr>
    </w:p>
    <w:p w14:paraId="7D7BEC7F" w14:textId="3C17EC7C" w:rsidR="00AD3315" w:rsidRPr="00CB2B85" w:rsidRDefault="00FA7D22" w:rsidP="00FF055B">
      <w:pPr>
        <w:spacing w:line="360" w:lineRule="auto"/>
        <w:jc w:val="both"/>
        <w:rPr>
          <w:rFonts w:ascii="Palatino Linotype" w:hAnsi="Palatino Linotype" w:cs="Tahoma"/>
          <w:b/>
          <w:color w:val="000000" w:themeColor="text1"/>
          <w:sz w:val="22"/>
          <w:szCs w:val="22"/>
          <w:lang w:val="es-ES"/>
        </w:rPr>
      </w:pPr>
      <w:r>
        <w:rPr>
          <w:rFonts w:ascii="Palatino Linotype" w:hAnsi="Palatino Linotype" w:cs="Tahoma"/>
          <w:color w:val="000000" w:themeColor="text1"/>
          <w:sz w:val="22"/>
          <w:szCs w:val="22"/>
          <w:lang w:val="es-ES"/>
        </w:rPr>
        <w:lastRenderedPageBreak/>
        <w:t xml:space="preserve">Conforme a lo anterior, se considera que los acuerdos </w:t>
      </w:r>
      <w:r w:rsidRPr="00FA7D22">
        <w:rPr>
          <w:rFonts w:ascii="Palatino Linotype" w:hAnsi="Palatino Linotype" w:cs="Tahoma"/>
          <w:color w:val="000000" w:themeColor="text1"/>
          <w:sz w:val="22"/>
          <w:szCs w:val="22"/>
        </w:rPr>
        <w:t>002/02/EX/2019</w:t>
      </w:r>
      <w:r>
        <w:rPr>
          <w:rFonts w:ascii="Palatino Linotype" w:hAnsi="Palatino Linotype" w:cs="Tahoma"/>
          <w:color w:val="000000" w:themeColor="text1"/>
          <w:sz w:val="22"/>
          <w:szCs w:val="22"/>
        </w:rPr>
        <w:t xml:space="preserve">, </w:t>
      </w:r>
      <w:r w:rsidRPr="00FA7D22">
        <w:rPr>
          <w:rFonts w:ascii="Palatino Linotype" w:hAnsi="Palatino Linotype" w:cs="Tahoma"/>
          <w:color w:val="000000" w:themeColor="text1"/>
          <w:sz w:val="22"/>
          <w:szCs w:val="22"/>
        </w:rPr>
        <w:t>00</w:t>
      </w:r>
      <w:r>
        <w:rPr>
          <w:rFonts w:ascii="Palatino Linotype" w:hAnsi="Palatino Linotype" w:cs="Tahoma"/>
          <w:color w:val="000000" w:themeColor="text1"/>
          <w:sz w:val="22"/>
          <w:szCs w:val="22"/>
        </w:rPr>
        <w:t>2</w:t>
      </w:r>
      <w:r w:rsidRPr="00FA7D22">
        <w:rPr>
          <w:rFonts w:ascii="Palatino Linotype" w:hAnsi="Palatino Linotype" w:cs="Tahoma"/>
          <w:color w:val="000000" w:themeColor="text1"/>
          <w:sz w:val="22"/>
          <w:szCs w:val="22"/>
        </w:rPr>
        <w:t>/</w:t>
      </w:r>
      <w:r>
        <w:rPr>
          <w:rFonts w:ascii="Palatino Linotype" w:hAnsi="Palatino Linotype" w:cs="Tahoma"/>
          <w:color w:val="000000" w:themeColor="text1"/>
          <w:sz w:val="22"/>
          <w:szCs w:val="22"/>
        </w:rPr>
        <w:t>11</w:t>
      </w:r>
      <w:r w:rsidRPr="00FA7D22">
        <w:rPr>
          <w:rFonts w:ascii="Palatino Linotype" w:hAnsi="Palatino Linotype" w:cs="Tahoma"/>
          <w:color w:val="000000" w:themeColor="text1"/>
          <w:sz w:val="22"/>
          <w:szCs w:val="22"/>
        </w:rPr>
        <w:t>/EX/2019</w:t>
      </w:r>
      <w:r>
        <w:rPr>
          <w:rFonts w:ascii="Palatino Linotype" w:hAnsi="Palatino Linotype" w:cs="Tahoma"/>
          <w:color w:val="000000" w:themeColor="text1"/>
          <w:sz w:val="22"/>
          <w:szCs w:val="22"/>
        </w:rPr>
        <w:t xml:space="preserve"> y </w:t>
      </w:r>
      <w:r w:rsidRPr="00FA7D22">
        <w:rPr>
          <w:rFonts w:ascii="Palatino Linotype" w:hAnsi="Palatino Linotype" w:cs="Tahoma"/>
          <w:color w:val="000000" w:themeColor="text1"/>
          <w:sz w:val="22"/>
          <w:szCs w:val="22"/>
        </w:rPr>
        <w:t>005/13/EX/2019</w:t>
      </w:r>
      <w:r>
        <w:rPr>
          <w:rFonts w:ascii="Palatino Linotype" w:hAnsi="Palatino Linotype" w:cs="Tahoma"/>
          <w:color w:val="000000" w:themeColor="text1"/>
          <w:sz w:val="22"/>
          <w:szCs w:val="22"/>
        </w:rPr>
        <w:t>, debieron ser publicados en la Gaceta Municipal del Ayuntamiento de Nicolás R</w:t>
      </w:r>
      <w:r w:rsidR="00401F4D">
        <w:rPr>
          <w:rFonts w:ascii="Palatino Linotype" w:hAnsi="Palatino Linotype" w:cs="Tahoma"/>
          <w:color w:val="000000" w:themeColor="text1"/>
          <w:sz w:val="22"/>
          <w:szCs w:val="22"/>
        </w:rPr>
        <w:t>omero</w:t>
      </w:r>
      <w:r w:rsidR="00FF055B">
        <w:rPr>
          <w:rFonts w:ascii="Palatino Linotype" w:hAnsi="Palatino Linotype" w:cs="Tahoma"/>
          <w:color w:val="000000" w:themeColor="text1"/>
          <w:sz w:val="22"/>
          <w:szCs w:val="22"/>
        </w:rPr>
        <w:t xml:space="preserve"> y por lo tanto, el Sujeto Obligado, s</w:t>
      </w:r>
      <w:r w:rsidR="000D3D60">
        <w:rPr>
          <w:rFonts w:ascii="Palatino Linotype" w:hAnsi="Palatino Linotype" w:cs="Tahoma"/>
          <w:color w:val="000000" w:themeColor="text1"/>
          <w:sz w:val="22"/>
          <w:szCs w:val="22"/>
        </w:rPr>
        <w:t>í</w:t>
      </w:r>
      <w:r w:rsidR="00FF055B">
        <w:rPr>
          <w:rFonts w:ascii="Palatino Linotype" w:hAnsi="Palatino Linotype" w:cs="Tahoma"/>
          <w:color w:val="000000" w:themeColor="text1"/>
          <w:sz w:val="22"/>
          <w:szCs w:val="22"/>
        </w:rPr>
        <w:t xml:space="preserve"> cuenta en sus archivos con la información solicitada.</w:t>
      </w:r>
    </w:p>
    <w:p w14:paraId="70664A7F" w14:textId="77777777" w:rsidR="001E7168" w:rsidRDefault="001E7168" w:rsidP="00447875">
      <w:pPr>
        <w:spacing w:line="360" w:lineRule="auto"/>
        <w:jc w:val="both"/>
        <w:rPr>
          <w:rFonts w:ascii="Palatino Linotype" w:hAnsi="Palatino Linotype" w:cs="Tahoma"/>
          <w:b/>
          <w:color w:val="000000" w:themeColor="text1"/>
          <w:sz w:val="22"/>
          <w:szCs w:val="22"/>
          <w:lang w:val="es-ES"/>
        </w:rPr>
      </w:pPr>
    </w:p>
    <w:p w14:paraId="1F44D7E9" w14:textId="641D0BD3" w:rsidR="001E7168" w:rsidRDefault="00895F66" w:rsidP="00447875">
      <w:pPr>
        <w:spacing w:line="360" w:lineRule="auto"/>
        <w:jc w:val="both"/>
        <w:rPr>
          <w:rFonts w:ascii="Palatino Linotype" w:hAnsi="Palatino Linotype" w:cs="Tahoma"/>
          <w:iCs/>
          <w:color w:val="000000" w:themeColor="text1"/>
          <w:sz w:val="22"/>
          <w:szCs w:val="22"/>
        </w:rPr>
      </w:pPr>
      <w:r>
        <w:rPr>
          <w:rFonts w:ascii="Palatino Linotype" w:hAnsi="Palatino Linotype" w:cs="Tahoma"/>
          <w:iCs/>
          <w:color w:val="000000" w:themeColor="text1"/>
          <w:sz w:val="22"/>
          <w:szCs w:val="22"/>
        </w:rPr>
        <w:t>Ahora bien,</w:t>
      </w:r>
      <w:r w:rsidR="00E61266">
        <w:rPr>
          <w:rFonts w:ascii="Palatino Linotype" w:hAnsi="Palatino Linotype" w:cs="Tahoma"/>
          <w:iCs/>
          <w:color w:val="000000" w:themeColor="text1"/>
          <w:sz w:val="22"/>
          <w:szCs w:val="22"/>
        </w:rPr>
        <w:t xml:space="preserve"> por lo que hace a las </w:t>
      </w:r>
      <w:r w:rsidRPr="00E61266">
        <w:rPr>
          <w:rFonts w:ascii="Palatino Linotype" w:hAnsi="Palatino Linotype" w:cs="Tahoma"/>
          <w:iCs/>
          <w:color w:val="000000" w:themeColor="text1"/>
          <w:sz w:val="22"/>
          <w:szCs w:val="22"/>
        </w:rPr>
        <w:t>obras de alto impacto proyectadas a ejecutar</w:t>
      </w:r>
      <w:r w:rsidR="00E61266">
        <w:rPr>
          <w:rFonts w:ascii="Palatino Linotype" w:hAnsi="Palatino Linotype" w:cs="Tahoma"/>
          <w:iCs/>
          <w:color w:val="000000" w:themeColor="text1"/>
          <w:sz w:val="22"/>
          <w:szCs w:val="22"/>
        </w:rPr>
        <w:t>, durante la administración 2019-2021, el Sujeto Obligado tanto en respuesta, como en Informe Justificado precisó que no contaba con las mismas</w:t>
      </w:r>
      <w:r w:rsidR="000860F8">
        <w:rPr>
          <w:rFonts w:ascii="Palatino Linotype" w:hAnsi="Palatino Linotype" w:cs="Tahoma"/>
          <w:iCs/>
          <w:color w:val="000000" w:themeColor="text1"/>
          <w:sz w:val="22"/>
          <w:szCs w:val="22"/>
        </w:rPr>
        <w:t>.</w:t>
      </w:r>
    </w:p>
    <w:p w14:paraId="55E24279" w14:textId="77777777" w:rsidR="000860F8" w:rsidRDefault="000860F8" w:rsidP="00447875">
      <w:pPr>
        <w:spacing w:line="360" w:lineRule="auto"/>
        <w:jc w:val="both"/>
        <w:rPr>
          <w:rFonts w:ascii="Palatino Linotype" w:hAnsi="Palatino Linotype" w:cs="Tahoma"/>
          <w:iCs/>
          <w:color w:val="000000" w:themeColor="text1"/>
          <w:sz w:val="22"/>
          <w:szCs w:val="22"/>
        </w:rPr>
      </w:pPr>
    </w:p>
    <w:p w14:paraId="495B7EC2" w14:textId="0BBFBACF" w:rsidR="000860F8" w:rsidRDefault="000860F8" w:rsidP="00447875">
      <w:pPr>
        <w:spacing w:line="360" w:lineRule="auto"/>
        <w:jc w:val="both"/>
        <w:rPr>
          <w:rFonts w:ascii="Palatino Linotype" w:hAnsi="Palatino Linotype" w:cs="Tahoma"/>
          <w:iCs/>
          <w:color w:val="000000" w:themeColor="text1"/>
          <w:sz w:val="22"/>
          <w:szCs w:val="22"/>
        </w:rPr>
      </w:pPr>
      <w:r>
        <w:rPr>
          <w:rFonts w:ascii="Palatino Linotype" w:hAnsi="Palatino Linotype" w:cs="Tahoma"/>
          <w:iCs/>
          <w:color w:val="000000" w:themeColor="text1"/>
          <w:sz w:val="22"/>
          <w:szCs w:val="22"/>
        </w:rPr>
        <w:t xml:space="preserve">En ese contexto, este Instituto realizó una búsqueda de información pública y se localizó el Plan de Desarrollo </w:t>
      </w:r>
      <w:r w:rsidR="00384695">
        <w:rPr>
          <w:rFonts w:ascii="Palatino Linotype" w:hAnsi="Palatino Linotype" w:cs="Tahoma"/>
          <w:iCs/>
          <w:color w:val="000000" w:themeColor="text1"/>
          <w:sz w:val="22"/>
          <w:szCs w:val="22"/>
        </w:rPr>
        <w:t xml:space="preserve">Municipal 2019-2021 (consultado a las once horas, en la página electrónica  </w:t>
      </w:r>
      <w:hyperlink r:id="rId52" w:history="1">
        <w:r w:rsidR="00384695" w:rsidRPr="00384695">
          <w:rPr>
            <w:rStyle w:val="Hipervnculo"/>
            <w:rFonts w:ascii="Palatino Linotype" w:hAnsi="Palatino Linotype" w:cs="Tahoma"/>
            <w:iCs/>
            <w:sz w:val="22"/>
            <w:szCs w:val="22"/>
          </w:rPr>
          <w:t>https://www.ipomex.org.mx/recursos/ipo/files_ipo3/2019/42987/4/a1a38aa324c7b8abc89a6a2e2213a3bb.pdf</w:t>
        </w:r>
      </w:hyperlink>
      <w:r w:rsidR="00384695">
        <w:rPr>
          <w:rFonts w:ascii="Palatino Linotype" w:hAnsi="Palatino Linotype" w:cs="Tahoma"/>
          <w:iCs/>
          <w:color w:val="000000" w:themeColor="text1"/>
          <w:sz w:val="22"/>
          <w:szCs w:val="22"/>
        </w:rPr>
        <w:t xml:space="preserve">, del doce de noviembre de dos mil diecinueve), que contiene entre otras cosas, </w:t>
      </w:r>
      <w:r w:rsidR="008F63BE">
        <w:rPr>
          <w:rFonts w:ascii="Palatino Linotype" w:hAnsi="Palatino Linotype" w:cs="Tahoma"/>
          <w:iCs/>
          <w:color w:val="000000" w:themeColor="text1"/>
          <w:sz w:val="22"/>
          <w:szCs w:val="22"/>
        </w:rPr>
        <w:t>las obras y acciones de alto impacto para los pilares y ejes transversales, tal como se muestra en el siguiente extracto:</w:t>
      </w:r>
    </w:p>
    <w:p w14:paraId="0BED4429" w14:textId="77777777" w:rsidR="008F63BE" w:rsidRDefault="008F63BE" w:rsidP="00447875">
      <w:pPr>
        <w:spacing w:line="360" w:lineRule="auto"/>
        <w:jc w:val="both"/>
        <w:rPr>
          <w:rFonts w:ascii="Palatino Linotype" w:hAnsi="Palatino Linotype" w:cs="Tahoma"/>
          <w:iCs/>
          <w:color w:val="000000" w:themeColor="text1"/>
          <w:sz w:val="22"/>
          <w:szCs w:val="22"/>
        </w:rPr>
      </w:pPr>
    </w:p>
    <w:p w14:paraId="285C89C0" w14:textId="3EB1B89A" w:rsidR="008F63BE" w:rsidRDefault="008F63BE" w:rsidP="008F63BE">
      <w:pPr>
        <w:spacing w:line="360" w:lineRule="auto"/>
        <w:jc w:val="center"/>
        <w:rPr>
          <w:rFonts w:ascii="Palatino Linotype" w:hAnsi="Palatino Linotype" w:cs="Tahoma"/>
          <w:b/>
          <w:color w:val="000000" w:themeColor="text1"/>
          <w:sz w:val="22"/>
          <w:szCs w:val="22"/>
          <w:lang w:val="es-ES"/>
        </w:rPr>
      </w:pPr>
      <w:r>
        <w:rPr>
          <w:noProof/>
          <w:lang w:eastAsia="es-MX"/>
        </w:rPr>
        <w:drawing>
          <wp:inline distT="0" distB="0" distL="0" distR="0" wp14:anchorId="4303B992" wp14:editId="543C81C1">
            <wp:extent cx="5153843" cy="2892055"/>
            <wp:effectExtent l="0" t="0" r="889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4360" cy="2926014"/>
                    </a:xfrm>
                    <a:prstGeom prst="rect">
                      <a:avLst/>
                    </a:prstGeom>
                  </pic:spPr>
                </pic:pic>
              </a:graphicData>
            </a:graphic>
          </wp:inline>
        </w:drawing>
      </w:r>
    </w:p>
    <w:p w14:paraId="2F1BBD2B" w14:textId="1669826D" w:rsidR="001E7168" w:rsidRDefault="00FF055B"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lastRenderedPageBreak/>
        <w:t>Como se logra observar, el Sujeto Obligado s</w:t>
      </w:r>
      <w:r w:rsidR="004268D9">
        <w:rPr>
          <w:rFonts w:ascii="Palatino Linotype" w:hAnsi="Palatino Linotype" w:cs="Tahoma"/>
          <w:color w:val="000000" w:themeColor="text1"/>
          <w:sz w:val="22"/>
          <w:szCs w:val="22"/>
          <w:lang w:val="es-ES"/>
        </w:rPr>
        <w:t>í</w:t>
      </w:r>
      <w:r>
        <w:rPr>
          <w:rFonts w:ascii="Palatino Linotype" w:hAnsi="Palatino Linotype" w:cs="Tahoma"/>
          <w:color w:val="000000" w:themeColor="text1"/>
          <w:sz w:val="22"/>
          <w:szCs w:val="22"/>
          <w:lang w:val="es-ES"/>
        </w:rPr>
        <w:t xml:space="preserve"> </w:t>
      </w:r>
      <w:r w:rsidR="004268D9">
        <w:rPr>
          <w:rFonts w:ascii="Palatino Linotype" w:hAnsi="Palatino Linotype" w:cs="Tahoma"/>
          <w:color w:val="000000" w:themeColor="text1"/>
          <w:sz w:val="22"/>
          <w:szCs w:val="22"/>
          <w:lang w:val="es-ES"/>
        </w:rPr>
        <w:t>tiene</w:t>
      </w:r>
      <w:r>
        <w:rPr>
          <w:rFonts w:ascii="Palatino Linotype" w:hAnsi="Palatino Linotype" w:cs="Tahoma"/>
          <w:color w:val="000000" w:themeColor="text1"/>
          <w:sz w:val="22"/>
          <w:szCs w:val="22"/>
          <w:lang w:val="es-ES"/>
        </w:rPr>
        <w:t xml:space="preserve"> un documento que da cuenta de las obras públicas de alto impacto a ejecutar durante </w:t>
      </w:r>
      <w:r w:rsidR="00B71D5C">
        <w:rPr>
          <w:rFonts w:ascii="Palatino Linotype" w:hAnsi="Palatino Linotype" w:cs="Tahoma"/>
          <w:color w:val="000000" w:themeColor="text1"/>
          <w:sz w:val="22"/>
          <w:szCs w:val="22"/>
          <w:lang w:val="es-ES"/>
        </w:rPr>
        <w:t>el 2019-2021, a saber, el Plan de Desarrollo Municipal de dicha administración, pues es aquel qu</w:t>
      </w:r>
      <w:r w:rsidR="00896EDF">
        <w:rPr>
          <w:rFonts w:ascii="Palatino Linotype" w:hAnsi="Palatino Linotype" w:cs="Tahoma"/>
          <w:color w:val="000000" w:themeColor="text1"/>
          <w:sz w:val="22"/>
          <w:szCs w:val="22"/>
          <w:lang w:val="es-ES"/>
        </w:rPr>
        <w:t>e obra en sus archivos.</w:t>
      </w:r>
    </w:p>
    <w:p w14:paraId="16181E5A" w14:textId="77777777" w:rsidR="00896EDF" w:rsidRDefault="00896EDF" w:rsidP="00447875">
      <w:pPr>
        <w:spacing w:line="360" w:lineRule="auto"/>
        <w:jc w:val="both"/>
        <w:rPr>
          <w:rFonts w:ascii="Palatino Linotype" w:hAnsi="Palatino Linotype" w:cs="Tahoma"/>
          <w:color w:val="000000" w:themeColor="text1"/>
          <w:sz w:val="22"/>
          <w:szCs w:val="22"/>
          <w:lang w:val="es-ES"/>
        </w:rPr>
      </w:pPr>
    </w:p>
    <w:p w14:paraId="6116F8C8" w14:textId="349EA6B5" w:rsidR="00896EDF" w:rsidRDefault="00896EDF"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En ese orden de ideas, resulta necesario traer a colación el artículo 121 de la Ley Orgánica Municipal del Estado de México, que establece que los Ayuntamiento, publicarán su Plan de Desarrollo Municipal, a través de la Gaceta Municipal.</w:t>
      </w:r>
    </w:p>
    <w:p w14:paraId="456E3BE7" w14:textId="2C32AE71" w:rsidR="00896EDF" w:rsidRPr="00FF055B" w:rsidRDefault="00896EDF"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Conforme a lo anterior, se considera que el documento, en términos del artículo 12 y 160 de la Ley de Transparencia y Acceso a la Información Pública del Estado de México y Munic</w:t>
      </w:r>
      <w:r w:rsidR="00FE15E5">
        <w:rPr>
          <w:rFonts w:ascii="Palatino Linotype" w:hAnsi="Palatino Linotype" w:cs="Tahoma"/>
          <w:color w:val="000000" w:themeColor="text1"/>
          <w:sz w:val="22"/>
          <w:szCs w:val="22"/>
          <w:lang w:val="es-ES"/>
        </w:rPr>
        <w:t>ipios, que obra en los archivos y da cuenta de lo solicitado, es la Gaceta Municipal, en donde se haya publicado el Plan de Desarrollo Municipal 2019-2021, por lo que, el Sujeto Obligado deberá realizar la indagación en sus archivos.</w:t>
      </w:r>
    </w:p>
    <w:p w14:paraId="5634E4F3" w14:textId="77777777" w:rsidR="001E7168" w:rsidRDefault="001E7168" w:rsidP="00447875">
      <w:pPr>
        <w:spacing w:line="360" w:lineRule="auto"/>
        <w:jc w:val="both"/>
        <w:rPr>
          <w:rFonts w:ascii="Palatino Linotype" w:hAnsi="Palatino Linotype" w:cs="Tahoma"/>
          <w:b/>
          <w:color w:val="000000" w:themeColor="text1"/>
          <w:sz w:val="22"/>
          <w:szCs w:val="22"/>
          <w:lang w:val="es-ES"/>
        </w:rPr>
      </w:pPr>
    </w:p>
    <w:p w14:paraId="2C03573A" w14:textId="007B4A7D" w:rsidR="00FF055B" w:rsidRPr="00AD3315" w:rsidRDefault="00FE15E5" w:rsidP="00FF055B">
      <w:pPr>
        <w:spacing w:line="360" w:lineRule="auto"/>
        <w:jc w:val="both"/>
        <w:rPr>
          <w:rFonts w:ascii="Palatino Linotype" w:hAnsi="Palatino Linotype" w:cs="Tahoma"/>
          <w:b/>
          <w:color w:val="000000" w:themeColor="text1"/>
          <w:sz w:val="22"/>
          <w:szCs w:val="22"/>
        </w:rPr>
      </w:pPr>
      <w:r>
        <w:rPr>
          <w:rFonts w:ascii="Palatino Linotype" w:hAnsi="Palatino Linotype" w:cs="Tahoma"/>
          <w:color w:val="000000" w:themeColor="text1"/>
          <w:sz w:val="22"/>
          <w:szCs w:val="22"/>
        </w:rPr>
        <w:t>Por lo expuesto,</w:t>
      </w:r>
      <w:r w:rsidR="00FF055B">
        <w:rPr>
          <w:rFonts w:ascii="Palatino Linotype" w:hAnsi="Palatino Linotype" w:cs="Tahoma"/>
          <w:color w:val="000000" w:themeColor="text1"/>
          <w:sz w:val="22"/>
          <w:szCs w:val="22"/>
        </w:rPr>
        <w:t xml:space="preserve"> </w:t>
      </w:r>
      <w:r w:rsidR="00630228">
        <w:rPr>
          <w:rFonts w:ascii="Palatino Linotype" w:hAnsi="Palatino Linotype" w:cs="Tahoma"/>
          <w:color w:val="000000" w:themeColor="text1"/>
          <w:sz w:val="22"/>
          <w:szCs w:val="22"/>
        </w:rPr>
        <w:t xml:space="preserve">se advierte que el agravio hecho valer por el Particular es </w:t>
      </w:r>
      <w:r w:rsidR="00210A88">
        <w:rPr>
          <w:rFonts w:ascii="Palatino Linotype" w:hAnsi="Palatino Linotype" w:cs="Tahoma"/>
          <w:b/>
          <w:color w:val="000000" w:themeColor="text1"/>
          <w:sz w:val="22"/>
          <w:szCs w:val="22"/>
        </w:rPr>
        <w:t xml:space="preserve">FUNDADO; </w:t>
      </w:r>
      <w:r w:rsidR="00210A88">
        <w:rPr>
          <w:rFonts w:ascii="Palatino Linotype" w:hAnsi="Palatino Linotype" w:cs="Tahoma"/>
          <w:color w:val="000000" w:themeColor="text1"/>
          <w:sz w:val="22"/>
          <w:szCs w:val="22"/>
        </w:rPr>
        <w:t xml:space="preserve">por lo cual, se </w:t>
      </w:r>
      <w:r w:rsidR="00FF055B">
        <w:rPr>
          <w:rFonts w:ascii="Palatino Linotype" w:hAnsi="Palatino Linotype" w:cs="Tahoma"/>
          <w:color w:val="000000" w:themeColor="text1"/>
          <w:sz w:val="22"/>
          <w:szCs w:val="22"/>
        </w:rPr>
        <w:t xml:space="preserve"> considera que para dar atención al requerimiento de información, deberá realizar una búsqueda exhaustiva y razonable, en todos los archivos de las áreas competentes para conocer de la información requerida, entre las cuales no podrá omitir a la Dirección de Obras Públicas y principalmente a la Secretaría del Ayuntamiento, a efecto que proporcione la información que obre en sus archivos, en términos del artículo 12 y 160 de la Ley de Transparencia y Acceso a la Información Pública, concerniente a </w:t>
      </w:r>
      <w:r w:rsidR="00FF055B" w:rsidRPr="00AD3315">
        <w:rPr>
          <w:rFonts w:ascii="Palatino Linotype" w:hAnsi="Palatino Linotype" w:cs="Tahoma"/>
          <w:b/>
          <w:color w:val="000000" w:themeColor="text1"/>
          <w:sz w:val="22"/>
          <w:szCs w:val="22"/>
        </w:rPr>
        <w:t>las gacetas municipales que contengan lo siguiente:</w:t>
      </w:r>
    </w:p>
    <w:p w14:paraId="17360578" w14:textId="77777777" w:rsidR="00FF055B" w:rsidRDefault="00FF055B" w:rsidP="00FF055B">
      <w:pPr>
        <w:spacing w:line="360" w:lineRule="auto"/>
        <w:jc w:val="both"/>
        <w:rPr>
          <w:rFonts w:ascii="Palatino Linotype" w:hAnsi="Palatino Linotype" w:cs="Tahoma"/>
          <w:color w:val="000000" w:themeColor="text1"/>
          <w:sz w:val="22"/>
          <w:szCs w:val="22"/>
        </w:rPr>
      </w:pPr>
    </w:p>
    <w:p w14:paraId="0E7C8551" w14:textId="77777777" w:rsidR="00FF055B" w:rsidRDefault="00FF055B" w:rsidP="00FF055B">
      <w:pPr>
        <w:pStyle w:val="Prrafodelista"/>
        <w:numPr>
          <w:ilvl w:val="0"/>
          <w:numId w:val="25"/>
        </w:numPr>
        <w:spacing w:line="360" w:lineRule="auto"/>
        <w:jc w:val="both"/>
        <w:rPr>
          <w:rFonts w:ascii="Palatino Linotype" w:hAnsi="Palatino Linotype" w:cs="Tahoma"/>
          <w:color w:val="000000" w:themeColor="text1"/>
          <w:szCs w:val="22"/>
          <w:lang w:val="es-ES"/>
        </w:rPr>
      </w:pPr>
      <w:r w:rsidRPr="00AD3315">
        <w:rPr>
          <w:rFonts w:ascii="Palatino Linotype" w:hAnsi="Palatino Linotype" w:cs="Tahoma"/>
          <w:color w:val="000000" w:themeColor="text1"/>
          <w:szCs w:val="22"/>
          <w:lang w:val="es-ES"/>
        </w:rPr>
        <w:t xml:space="preserve">Programa anual de obra pública, </w:t>
      </w:r>
      <w:r>
        <w:rPr>
          <w:rFonts w:ascii="Palatino Linotype" w:hAnsi="Palatino Linotype" w:cs="Tahoma"/>
          <w:color w:val="000000" w:themeColor="text1"/>
          <w:szCs w:val="22"/>
          <w:lang w:val="es-ES"/>
        </w:rPr>
        <w:t>aprobado</w:t>
      </w:r>
      <w:r w:rsidRPr="00AD3315">
        <w:rPr>
          <w:rFonts w:ascii="Palatino Linotype" w:hAnsi="Palatino Linotype" w:cs="Tahoma"/>
          <w:color w:val="000000" w:themeColor="text1"/>
          <w:szCs w:val="22"/>
          <w:lang w:val="es-ES"/>
        </w:rPr>
        <w:t xml:space="preserve"> el veintiuno de febrero de dos mil diecinueve;</w:t>
      </w:r>
    </w:p>
    <w:p w14:paraId="5A133B28" w14:textId="7697019A" w:rsidR="00FF055B" w:rsidRDefault="00FF055B" w:rsidP="00FF055B">
      <w:pPr>
        <w:pStyle w:val="Prrafodelista"/>
        <w:numPr>
          <w:ilvl w:val="0"/>
          <w:numId w:val="25"/>
        </w:numPr>
        <w:spacing w:line="360" w:lineRule="auto"/>
        <w:jc w:val="both"/>
        <w:rPr>
          <w:rFonts w:ascii="Palatino Linotype" w:hAnsi="Palatino Linotype" w:cs="Tahoma"/>
          <w:szCs w:val="22"/>
        </w:rPr>
      </w:pPr>
      <w:r>
        <w:rPr>
          <w:rFonts w:ascii="Palatino Linotype" w:hAnsi="Palatino Linotype" w:cs="Tahoma"/>
          <w:szCs w:val="22"/>
        </w:rPr>
        <w:t xml:space="preserve">Modificación al programa anual de obra pública, </w:t>
      </w:r>
      <w:r w:rsidR="00F84058">
        <w:rPr>
          <w:rFonts w:ascii="Palatino Linotype" w:hAnsi="Palatino Linotype" w:cs="Tahoma"/>
          <w:szCs w:val="22"/>
        </w:rPr>
        <w:t>d</w:t>
      </w:r>
      <w:r>
        <w:rPr>
          <w:rFonts w:ascii="Palatino Linotype" w:hAnsi="Palatino Linotype" w:cs="Tahoma"/>
          <w:szCs w:val="22"/>
        </w:rPr>
        <w:t>el veintiséis de julio d</w:t>
      </w:r>
      <w:r w:rsidR="00FE15E5">
        <w:rPr>
          <w:rFonts w:ascii="Palatino Linotype" w:hAnsi="Palatino Linotype" w:cs="Tahoma"/>
          <w:szCs w:val="22"/>
        </w:rPr>
        <w:t>el presente año;</w:t>
      </w:r>
    </w:p>
    <w:p w14:paraId="305DBA26" w14:textId="6055184F" w:rsidR="00FF055B" w:rsidRPr="004F3E53" w:rsidRDefault="00FF055B" w:rsidP="00FF055B">
      <w:pPr>
        <w:pStyle w:val="Prrafodelista"/>
        <w:numPr>
          <w:ilvl w:val="0"/>
          <w:numId w:val="25"/>
        </w:numPr>
        <w:spacing w:line="360" w:lineRule="auto"/>
        <w:jc w:val="both"/>
        <w:rPr>
          <w:rFonts w:ascii="Palatino Linotype" w:hAnsi="Palatino Linotype" w:cs="Tahoma"/>
          <w:b/>
          <w:color w:val="000000" w:themeColor="text1"/>
          <w:szCs w:val="22"/>
          <w:lang w:val="es-ES"/>
        </w:rPr>
      </w:pPr>
      <w:r w:rsidRPr="00CB2B85">
        <w:rPr>
          <w:rFonts w:ascii="Palatino Linotype" w:hAnsi="Palatino Linotype" w:cs="Tahoma"/>
          <w:szCs w:val="22"/>
        </w:rPr>
        <w:lastRenderedPageBreak/>
        <w:t>Modificación al programa anual de obra pública, emitida el nueve de agosto de dos mil diecinueve</w:t>
      </w:r>
      <w:r w:rsidR="00FE15E5">
        <w:rPr>
          <w:rFonts w:ascii="Palatino Linotype" w:hAnsi="Palatino Linotype" w:cs="Tahoma"/>
          <w:szCs w:val="22"/>
        </w:rPr>
        <w:t>, y</w:t>
      </w:r>
    </w:p>
    <w:p w14:paraId="04DC2384" w14:textId="292D4E93" w:rsidR="00FE15E5" w:rsidRPr="00CB2B85" w:rsidRDefault="00FE15E5" w:rsidP="00FF055B">
      <w:pPr>
        <w:pStyle w:val="Prrafodelista"/>
        <w:numPr>
          <w:ilvl w:val="0"/>
          <w:numId w:val="25"/>
        </w:numPr>
        <w:spacing w:line="360" w:lineRule="auto"/>
        <w:jc w:val="both"/>
        <w:rPr>
          <w:rFonts w:ascii="Palatino Linotype" w:hAnsi="Palatino Linotype" w:cs="Tahoma"/>
          <w:b/>
          <w:color w:val="000000" w:themeColor="text1"/>
          <w:szCs w:val="22"/>
          <w:lang w:val="es-ES"/>
        </w:rPr>
      </w:pPr>
      <w:r>
        <w:rPr>
          <w:rFonts w:ascii="Palatino Linotype" w:hAnsi="Palatino Linotype" w:cs="Tahoma"/>
          <w:szCs w:val="22"/>
        </w:rPr>
        <w:t>Plan de Desarrollo Municipal de Nicolás Romero, 2019-2021.</w:t>
      </w:r>
    </w:p>
    <w:p w14:paraId="3EBF57EF" w14:textId="77777777" w:rsidR="001E7168" w:rsidRDefault="001E7168" w:rsidP="00447875">
      <w:pPr>
        <w:spacing w:line="360" w:lineRule="auto"/>
        <w:jc w:val="both"/>
        <w:rPr>
          <w:rFonts w:ascii="Palatino Linotype" w:hAnsi="Palatino Linotype" w:cs="Tahoma"/>
          <w:b/>
          <w:color w:val="000000" w:themeColor="text1"/>
          <w:sz w:val="22"/>
          <w:szCs w:val="22"/>
          <w:lang w:val="es-ES"/>
        </w:rPr>
      </w:pPr>
    </w:p>
    <w:p w14:paraId="4D9D37A7" w14:textId="15747877" w:rsidR="001E7168" w:rsidRDefault="00655F90" w:rsidP="00447875">
      <w:pPr>
        <w:spacing w:line="360" w:lineRule="auto"/>
        <w:jc w:val="both"/>
        <w:rPr>
          <w:rFonts w:ascii="Palatino Linotype" w:hAnsi="Palatino Linotype" w:cs="Tahoma"/>
          <w:b/>
          <w:color w:val="000000" w:themeColor="text1"/>
          <w:sz w:val="22"/>
          <w:szCs w:val="22"/>
          <w:lang w:val="es-ES"/>
        </w:rPr>
      </w:pPr>
      <w:r>
        <w:rPr>
          <w:rFonts w:ascii="Palatino Linotype" w:hAnsi="Palatino Linotype" w:cs="Tahoma"/>
          <w:b/>
          <w:color w:val="000000" w:themeColor="text1"/>
          <w:sz w:val="22"/>
          <w:szCs w:val="22"/>
          <w:lang w:val="es-ES"/>
        </w:rPr>
        <w:t xml:space="preserve">Requerimientos 2, 3, 4, 5, </w:t>
      </w:r>
      <w:r w:rsidR="00831F64">
        <w:rPr>
          <w:rFonts w:ascii="Palatino Linotype" w:hAnsi="Palatino Linotype" w:cs="Tahoma"/>
          <w:b/>
          <w:color w:val="000000" w:themeColor="text1"/>
          <w:sz w:val="22"/>
          <w:szCs w:val="22"/>
          <w:lang w:val="es-ES"/>
        </w:rPr>
        <w:t>6 y</w:t>
      </w:r>
      <w:r>
        <w:rPr>
          <w:rFonts w:ascii="Palatino Linotype" w:hAnsi="Palatino Linotype" w:cs="Tahoma"/>
          <w:b/>
          <w:color w:val="000000" w:themeColor="text1"/>
          <w:sz w:val="22"/>
          <w:szCs w:val="22"/>
          <w:lang w:val="es-ES"/>
        </w:rPr>
        <w:t xml:space="preserve"> 7</w:t>
      </w:r>
      <w:r w:rsidR="00831F64">
        <w:rPr>
          <w:rFonts w:ascii="Palatino Linotype" w:hAnsi="Palatino Linotype" w:cs="Tahoma"/>
          <w:b/>
          <w:color w:val="000000" w:themeColor="text1"/>
          <w:sz w:val="22"/>
          <w:szCs w:val="22"/>
          <w:lang w:val="es-ES"/>
        </w:rPr>
        <w:t>, concernientes en lo siguiente:</w:t>
      </w:r>
    </w:p>
    <w:p w14:paraId="303E2EB8" w14:textId="77777777" w:rsidR="00831F64" w:rsidRDefault="00831F64" w:rsidP="00447875">
      <w:pPr>
        <w:spacing w:line="360" w:lineRule="auto"/>
        <w:jc w:val="both"/>
        <w:rPr>
          <w:rFonts w:ascii="Palatino Linotype" w:hAnsi="Palatino Linotype" w:cs="Tahoma"/>
          <w:b/>
          <w:color w:val="000000" w:themeColor="text1"/>
          <w:sz w:val="22"/>
          <w:szCs w:val="22"/>
          <w:lang w:val="es-ES"/>
        </w:rPr>
      </w:pPr>
    </w:p>
    <w:p w14:paraId="5C93193E" w14:textId="631CE12C" w:rsidR="00831F64" w:rsidRPr="006C5EF0" w:rsidRDefault="00831F64" w:rsidP="006C5EF0">
      <w:pPr>
        <w:pStyle w:val="Prrafodelista"/>
        <w:numPr>
          <w:ilvl w:val="0"/>
          <w:numId w:val="26"/>
        </w:numPr>
        <w:spacing w:line="360" w:lineRule="auto"/>
        <w:jc w:val="both"/>
        <w:rPr>
          <w:rFonts w:ascii="Palatino Linotype" w:hAnsi="Palatino Linotype" w:cs="Tahoma"/>
          <w:b/>
          <w:color w:val="000000" w:themeColor="text1"/>
          <w:szCs w:val="22"/>
          <w:lang w:val="es-ES"/>
        </w:rPr>
      </w:pPr>
      <w:r w:rsidRPr="006C5EF0">
        <w:rPr>
          <w:rFonts w:ascii="Palatino Linotype" w:eastAsia="Calibri" w:hAnsi="Palatino Linotype" w:cs="Tahoma"/>
          <w:iCs/>
          <w:color w:val="000000" w:themeColor="text1"/>
          <w:szCs w:val="22"/>
          <w:lang w:eastAsia="es-ES_tradnl"/>
        </w:rPr>
        <w:t>Listado de obras públicas contratadas en el periodo que comprende, del primero de enero al diecisiete de agosto de dos mil diecinueve.</w:t>
      </w:r>
    </w:p>
    <w:p w14:paraId="654829D2" w14:textId="50A63785" w:rsidR="00655F90" w:rsidRPr="006C5EF0" w:rsidRDefault="00831F64" w:rsidP="006C5EF0">
      <w:pPr>
        <w:pStyle w:val="Prrafodelista"/>
        <w:numPr>
          <w:ilvl w:val="0"/>
          <w:numId w:val="26"/>
        </w:numPr>
        <w:spacing w:line="360" w:lineRule="auto"/>
        <w:jc w:val="both"/>
        <w:rPr>
          <w:rFonts w:ascii="Palatino Linotype" w:eastAsia="Calibri" w:hAnsi="Palatino Linotype" w:cs="Tahoma"/>
          <w:iCs/>
          <w:color w:val="000000" w:themeColor="text1"/>
          <w:szCs w:val="22"/>
          <w:lang w:eastAsia="es-ES_tradnl"/>
        </w:rPr>
      </w:pPr>
      <w:r w:rsidRPr="006C5EF0">
        <w:rPr>
          <w:rFonts w:ascii="Palatino Linotype" w:eastAsia="Calibri" w:hAnsi="Palatino Linotype" w:cs="Tahoma"/>
          <w:iCs/>
          <w:color w:val="000000" w:themeColor="text1"/>
          <w:szCs w:val="22"/>
          <w:lang w:eastAsia="es-ES_tradnl"/>
        </w:rPr>
        <w:t>Toda la documentación comprobatoria, conque se justifique las contrataciones de obras públicas, desde la convocatoria o invitación hasta la suscripción el contrato.</w:t>
      </w:r>
    </w:p>
    <w:p w14:paraId="08878CA7" w14:textId="2515E901" w:rsidR="00831F64" w:rsidRPr="006C5EF0" w:rsidRDefault="00831F64" w:rsidP="006C5EF0">
      <w:pPr>
        <w:pStyle w:val="Prrafodelista"/>
        <w:numPr>
          <w:ilvl w:val="0"/>
          <w:numId w:val="26"/>
        </w:numPr>
        <w:tabs>
          <w:tab w:val="left" w:pos="4962"/>
        </w:tabs>
        <w:spacing w:line="360" w:lineRule="auto"/>
        <w:jc w:val="both"/>
        <w:rPr>
          <w:rFonts w:ascii="Palatino Linotype" w:hAnsi="Palatino Linotype" w:cs="Tahoma"/>
          <w:b/>
          <w:color w:val="000000" w:themeColor="text1"/>
          <w:szCs w:val="22"/>
          <w:lang w:val="es-ES"/>
        </w:rPr>
      </w:pPr>
      <w:r w:rsidRPr="006C5EF0">
        <w:rPr>
          <w:rFonts w:ascii="Palatino Linotype" w:eastAsia="Calibri" w:hAnsi="Palatino Linotype" w:cs="Tahoma"/>
          <w:iCs/>
          <w:color w:val="000000" w:themeColor="text1"/>
          <w:szCs w:val="22"/>
          <w:lang w:eastAsia="es-ES_tradnl"/>
        </w:rPr>
        <w:t xml:space="preserve">De cada expediente de obra pública, lo siguiente: Constancia de que los contratistas hayan entregado las finanzas correspondientes; </w:t>
      </w:r>
      <w:r w:rsidR="00924409">
        <w:rPr>
          <w:rFonts w:ascii="Palatino Linotype" w:eastAsia="Calibri" w:hAnsi="Palatino Linotype" w:cs="Tahoma"/>
          <w:iCs/>
          <w:color w:val="000000" w:themeColor="text1"/>
          <w:szCs w:val="22"/>
          <w:lang w:eastAsia="es-ES_tradnl"/>
        </w:rPr>
        <w:t>f</w:t>
      </w:r>
      <w:r w:rsidRPr="006C5EF0">
        <w:rPr>
          <w:rFonts w:ascii="Palatino Linotype" w:eastAsia="Calibri" w:hAnsi="Palatino Linotype" w:cs="Tahoma"/>
          <w:iCs/>
          <w:color w:val="000000" w:themeColor="text1"/>
          <w:szCs w:val="22"/>
          <w:lang w:eastAsia="es-ES_tradnl"/>
        </w:rPr>
        <w:t xml:space="preserve">ianzas; </w:t>
      </w:r>
      <w:r w:rsidR="00924409">
        <w:rPr>
          <w:rFonts w:ascii="Palatino Linotype" w:eastAsia="Calibri" w:hAnsi="Palatino Linotype" w:cs="Tahoma"/>
          <w:iCs/>
          <w:color w:val="000000" w:themeColor="text1"/>
          <w:szCs w:val="22"/>
          <w:lang w:eastAsia="es-ES_tradnl"/>
        </w:rPr>
        <w:t>c</w:t>
      </w:r>
      <w:r w:rsidRPr="006C5EF0">
        <w:rPr>
          <w:rFonts w:ascii="Palatino Linotype" w:eastAsia="Calibri" w:hAnsi="Palatino Linotype" w:cs="Tahoma"/>
          <w:iCs/>
          <w:color w:val="000000" w:themeColor="text1"/>
          <w:szCs w:val="22"/>
          <w:lang w:eastAsia="es-ES_tradnl"/>
        </w:rPr>
        <w:t>onstancia de haber entregado a la Co</w:t>
      </w:r>
      <w:r w:rsidR="00924409">
        <w:rPr>
          <w:rFonts w:ascii="Palatino Linotype" w:eastAsia="Calibri" w:hAnsi="Palatino Linotype" w:cs="Tahoma"/>
          <w:iCs/>
          <w:color w:val="000000" w:themeColor="text1"/>
          <w:szCs w:val="22"/>
          <w:lang w:eastAsia="es-ES_tradnl"/>
        </w:rPr>
        <w:t>ntratista el lugar de trabajo; d</w:t>
      </w:r>
      <w:r w:rsidRPr="006C5EF0">
        <w:rPr>
          <w:rFonts w:ascii="Palatino Linotype" w:eastAsia="Calibri" w:hAnsi="Palatino Linotype" w:cs="Tahoma"/>
          <w:iCs/>
          <w:color w:val="000000" w:themeColor="text1"/>
          <w:szCs w:val="22"/>
          <w:lang w:eastAsia="es-ES_tradnl"/>
        </w:rPr>
        <w:t>ocumento donde conste la designación y acep</w:t>
      </w:r>
      <w:r w:rsidR="00924409">
        <w:rPr>
          <w:rFonts w:ascii="Palatino Linotype" w:eastAsia="Calibri" w:hAnsi="Palatino Linotype" w:cs="Tahoma"/>
          <w:iCs/>
          <w:color w:val="000000" w:themeColor="text1"/>
          <w:szCs w:val="22"/>
          <w:lang w:eastAsia="es-ES_tradnl"/>
        </w:rPr>
        <w:t>tación del residente de la obra y la bitácora respectiva.</w:t>
      </w:r>
    </w:p>
    <w:p w14:paraId="1C795B65" w14:textId="358079BB" w:rsidR="00655F90" w:rsidRPr="006C5EF0" w:rsidRDefault="00831F64" w:rsidP="006C5EF0">
      <w:pPr>
        <w:pStyle w:val="Prrafodelista"/>
        <w:numPr>
          <w:ilvl w:val="0"/>
          <w:numId w:val="26"/>
        </w:numPr>
        <w:spacing w:line="360" w:lineRule="auto"/>
        <w:jc w:val="both"/>
        <w:rPr>
          <w:rFonts w:ascii="Palatino Linotype" w:hAnsi="Palatino Linotype" w:cs="Tahoma"/>
          <w:b/>
          <w:color w:val="000000" w:themeColor="text1"/>
          <w:szCs w:val="22"/>
          <w:lang w:val="es-ES"/>
        </w:rPr>
      </w:pPr>
      <w:r w:rsidRPr="006C5EF0">
        <w:rPr>
          <w:rFonts w:ascii="Palatino Linotype" w:eastAsia="Calibri" w:hAnsi="Palatino Linotype" w:cs="Tahoma"/>
          <w:iCs/>
          <w:color w:val="000000" w:themeColor="text1"/>
          <w:szCs w:val="22"/>
          <w:lang w:eastAsia="es-ES_tradnl"/>
        </w:rPr>
        <w:t>Porcentaje de ejecución de cada una de las obras públicas.</w:t>
      </w:r>
    </w:p>
    <w:p w14:paraId="76B40010" w14:textId="15AB98D9" w:rsidR="00655F90" w:rsidRPr="006C5EF0" w:rsidRDefault="00831F64" w:rsidP="006C5EF0">
      <w:pPr>
        <w:pStyle w:val="Prrafodelista"/>
        <w:numPr>
          <w:ilvl w:val="0"/>
          <w:numId w:val="26"/>
        </w:numPr>
        <w:spacing w:line="360" w:lineRule="auto"/>
        <w:jc w:val="both"/>
        <w:rPr>
          <w:rFonts w:ascii="Palatino Linotype" w:eastAsia="Calibri" w:hAnsi="Palatino Linotype" w:cs="Tahoma"/>
          <w:iCs/>
          <w:color w:val="000000" w:themeColor="text1"/>
          <w:szCs w:val="22"/>
          <w:lang w:eastAsia="es-ES_tradnl"/>
        </w:rPr>
      </w:pPr>
      <w:r w:rsidRPr="006C5EF0">
        <w:rPr>
          <w:rFonts w:ascii="Palatino Linotype" w:eastAsia="Calibri" w:hAnsi="Palatino Linotype" w:cs="Tahoma"/>
          <w:iCs/>
          <w:color w:val="000000" w:themeColor="text1"/>
          <w:szCs w:val="22"/>
          <w:lang w:eastAsia="es-ES_tradnl"/>
        </w:rPr>
        <w:t>En caso, de atraso, las acciones implementadas por autoridad competente.</w:t>
      </w:r>
    </w:p>
    <w:p w14:paraId="69566530" w14:textId="521594A1" w:rsidR="00831F64" w:rsidRPr="006C5EF0" w:rsidRDefault="00831F64" w:rsidP="006C5EF0">
      <w:pPr>
        <w:pStyle w:val="Prrafodelista"/>
        <w:numPr>
          <w:ilvl w:val="0"/>
          <w:numId w:val="26"/>
        </w:numPr>
        <w:spacing w:line="360" w:lineRule="auto"/>
        <w:jc w:val="both"/>
        <w:rPr>
          <w:rFonts w:ascii="Palatino Linotype" w:hAnsi="Palatino Linotype" w:cs="Tahoma"/>
          <w:b/>
          <w:color w:val="000000" w:themeColor="text1"/>
          <w:szCs w:val="22"/>
          <w:lang w:val="es-ES"/>
        </w:rPr>
      </w:pPr>
      <w:r w:rsidRPr="006C5EF0">
        <w:rPr>
          <w:rFonts w:ascii="Palatino Linotype" w:eastAsia="Calibri" w:hAnsi="Palatino Linotype" w:cs="Tahoma"/>
          <w:iCs/>
          <w:color w:val="000000" w:themeColor="text1"/>
          <w:szCs w:val="22"/>
          <w:lang w:eastAsia="es-ES_tradnl"/>
        </w:rPr>
        <w:t>Periodos de ejecución de cada obra pública.</w:t>
      </w:r>
    </w:p>
    <w:p w14:paraId="727365DD"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296FF1B5" w14:textId="15A62BEA" w:rsidR="006C5EF0" w:rsidRDefault="006C5EF0" w:rsidP="006C5EF0">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Previo análisis de las constancias que obran en el expediente, se considera necesario traer a colación el programa anual de obra pública de Nicolás Romero, dos mil diecinueve, el cual contiene todas las obras que se ejecutaran en dicha anualidad, del cual se desprende lo siguiente:</w:t>
      </w:r>
    </w:p>
    <w:p w14:paraId="22EF6309" w14:textId="77777777" w:rsidR="006C5EF0" w:rsidRDefault="006C5EF0" w:rsidP="006C5EF0">
      <w:pPr>
        <w:spacing w:line="360" w:lineRule="auto"/>
        <w:jc w:val="both"/>
        <w:rPr>
          <w:rFonts w:ascii="Palatino Linotype" w:hAnsi="Palatino Linotype" w:cs="Tahoma"/>
          <w:color w:val="000000" w:themeColor="text1"/>
          <w:sz w:val="22"/>
          <w:szCs w:val="22"/>
          <w:lang w:val="es-ES"/>
        </w:rPr>
      </w:pPr>
    </w:p>
    <w:p w14:paraId="304AB1F0" w14:textId="77777777" w:rsidR="007F26BE" w:rsidRDefault="007F26BE" w:rsidP="006C5EF0">
      <w:pPr>
        <w:spacing w:line="360" w:lineRule="auto"/>
        <w:jc w:val="both"/>
        <w:rPr>
          <w:rFonts w:ascii="Palatino Linotype" w:hAnsi="Palatino Linotype" w:cs="Tahoma"/>
          <w:color w:val="000000" w:themeColor="text1"/>
          <w:sz w:val="22"/>
          <w:szCs w:val="22"/>
          <w:lang w:val="es-ES"/>
        </w:rPr>
      </w:pPr>
    </w:p>
    <w:p w14:paraId="3C992273" w14:textId="77777777" w:rsidR="007F26BE" w:rsidRDefault="007F26BE" w:rsidP="006C5EF0">
      <w:pPr>
        <w:spacing w:line="360" w:lineRule="auto"/>
        <w:jc w:val="both"/>
        <w:rPr>
          <w:rFonts w:ascii="Palatino Linotype" w:hAnsi="Palatino Linotype" w:cs="Tahoma"/>
          <w:color w:val="000000" w:themeColor="text1"/>
          <w:sz w:val="22"/>
          <w:szCs w:val="22"/>
          <w:lang w:val="es-ES"/>
        </w:rPr>
      </w:pPr>
    </w:p>
    <w:p w14:paraId="59CB5C95" w14:textId="77777777" w:rsidR="007F26BE" w:rsidRDefault="007F26BE" w:rsidP="006C5EF0">
      <w:pPr>
        <w:spacing w:line="360" w:lineRule="auto"/>
        <w:jc w:val="both"/>
        <w:rPr>
          <w:rFonts w:ascii="Palatino Linotype" w:hAnsi="Palatino Linotype" w:cs="Tahoma"/>
          <w:color w:val="000000" w:themeColor="text1"/>
          <w:sz w:val="22"/>
          <w:szCs w:val="22"/>
          <w:lang w:val="es-ES"/>
        </w:rPr>
      </w:pPr>
    </w:p>
    <w:tbl>
      <w:tblPr>
        <w:tblStyle w:val="Tablaconcuadrcula"/>
        <w:tblW w:w="0" w:type="auto"/>
        <w:tblLook w:val="04A0" w:firstRow="1" w:lastRow="0" w:firstColumn="1" w:lastColumn="0" w:noHBand="0" w:noVBand="1"/>
      </w:tblPr>
      <w:tblGrid>
        <w:gridCol w:w="4517"/>
        <w:gridCol w:w="4517"/>
      </w:tblGrid>
      <w:tr w:rsidR="00BC274F" w:rsidRPr="00707621" w14:paraId="50B5C983" w14:textId="77777777" w:rsidTr="00E36BF6">
        <w:tc>
          <w:tcPr>
            <w:tcW w:w="9034" w:type="dxa"/>
            <w:gridSpan w:val="2"/>
            <w:shd w:val="clear" w:color="auto" w:fill="BFBFBF" w:themeFill="background1" w:themeFillShade="BF"/>
            <w:vAlign w:val="center"/>
          </w:tcPr>
          <w:p w14:paraId="0C34628F" w14:textId="65DF5293" w:rsidR="00BC274F" w:rsidRPr="00707621" w:rsidRDefault="00BC274F" w:rsidP="00BC274F">
            <w:pPr>
              <w:spacing w:line="360" w:lineRule="auto"/>
              <w:jc w:val="center"/>
              <w:rPr>
                <w:rFonts w:ascii="Palatino Linotype" w:hAnsi="Palatino Linotype" w:cs="Tahoma"/>
                <w:b/>
                <w:color w:val="000000" w:themeColor="text1"/>
              </w:rPr>
            </w:pPr>
            <w:r w:rsidRPr="00707621">
              <w:rPr>
                <w:rFonts w:ascii="Palatino Linotype" w:hAnsi="Palatino Linotype" w:cs="Tahoma"/>
                <w:b/>
                <w:color w:val="000000" w:themeColor="text1"/>
              </w:rPr>
              <w:lastRenderedPageBreak/>
              <w:t>Programa anual de obra pública, dos mil diecinueve</w:t>
            </w:r>
          </w:p>
        </w:tc>
      </w:tr>
      <w:tr w:rsidR="00BC274F" w:rsidRPr="00707621" w14:paraId="6708F2D9" w14:textId="77777777" w:rsidTr="00E36BF6">
        <w:tc>
          <w:tcPr>
            <w:tcW w:w="4517" w:type="dxa"/>
            <w:shd w:val="clear" w:color="auto" w:fill="BFBFBF" w:themeFill="background1" w:themeFillShade="BF"/>
            <w:vAlign w:val="center"/>
          </w:tcPr>
          <w:p w14:paraId="69007DF4" w14:textId="39BB5AD1" w:rsidR="00BC274F" w:rsidRPr="00707621" w:rsidRDefault="00BC274F" w:rsidP="00BC274F">
            <w:pPr>
              <w:spacing w:line="360" w:lineRule="auto"/>
              <w:jc w:val="center"/>
              <w:rPr>
                <w:rFonts w:ascii="Palatino Linotype" w:hAnsi="Palatino Linotype" w:cs="Tahoma"/>
                <w:b/>
                <w:color w:val="000000" w:themeColor="text1"/>
              </w:rPr>
            </w:pPr>
            <w:r w:rsidRPr="00707621">
              <w:rPr>
                <w:rFonts w:ascii="Palatino Linotype" w:hAnsi="Palatino Linotype" w:cs="Tahoma"/>
                <w:b/>
                <w:color w:val="000000" w:themeColor="text1"/>
              </w:rPr>
              <w:t>Tipo de Recurso</w:t>
            </w:r>
          </w:p>
        </w:tc>
        <w:tc>
          <w:tcPr>
            <w:tcW w:w="4517" w:type="dxa"/>
            <w:shd w:val="clear" w:color="auto" w:fill="BFBFBF" w:themeFill="background1" w:themeFillShade="BF"/>
            <w:vAlign w:val="center"/>
          </w:tcPr>
          <w:p w14:paraId="52ECF1E6" w14:textId="3313A769" w:rsidR="00BC274F" w:rsidRPr="00707621" w:rsidRDefault="00BC274F" w:rsidP="00BC274F">
            <w:pPr>
              <w:spacing w:line="360" w:lineRule="auto"/>
              <w:jc w:val="center"/>
              <w:rPr>
                <w:rFonts w:ascii="Palatino Linotype" w:hAnsi="Palatino Linotype" w:cs="Tahoma"/>
                <w:b/>
                <w:color w:val="000000" w:themeColor="text1"/>
              </w:rPr>
            </w:pPr>
            <w:r w:rsidRPr="00707621">
              <w:rPr>
                <w:rFonts w:ascii="Palatino Linotype" w:hAnsi="Palatino Linotype" w:cs="Tahoma"/>
                <w:b/>
                <w:color w:val="000000" w:themeColor="text1"/>
              </w:rPr>
              <w:t>Número de obras públicas</w:t>
            </w:r>
          </w:p>
        </w:tc>
      </w:tr>
      <w:tr w:rsidR="00BC274F" w:rsidRPr="00707621" w14:paraId="54B902ED" w14:textId="77777777" w:rsidTr="00E36BF6">
        <w:tc>
          <w:tcPr>
            <w:tcW w:w="4517" w:type="dxa"/>
            <w:vAlign w:val="center"/>
          </w:tcPr>
          <w:p w14:paraId="5D59570E" w14:textId="21D2D681" w:rsidR="00BC274F" w:rsidRPr="00707621" w:rsidRDefault="00E36BF6" w:rsidP="00BC274F">
            <w:pPr>
              <w:spacing w:line="360" w:lineRule="auto"/>
              <w:jc w:val="center"/>
              <w:rPr>
                <w:rFonts w:ascii="Palatino Linotype" w:hAnsi="Palatino Linotype" w:cs="Tahoma"/>
                <w:color w:val="000000" w:themeColor="text1"/>
              </w:rPr>
            </w:pPr>
            <w:r w:rsidRPr="00707621">
              <w:rPr>
                <w:rFonts w:ascii="Palatino Linotype" w:hAnsi="Palatino Linotype" w:cs="Tahoma"/>
                <w:color w:val="000000" w:themeColor="text1"/>
              </w:rPr>
              <w:t>Fondo de Infraestructura Social Municipal y Demarcaciones Territoriales del Distrito Federal (FISMDF)</w:t>
            </w:r>
          </w:p>
        </w:tc>
        <w:tc>
          <w:tcPr>
            <w:tcW w:w="4517" w:type="dxa"/>
            <w:vAlign w:val="center"/>
          </w:tcPr>
          <w:p w14:paraId="476DA753" w14:textId="1D913B78" w:rsidR="00BC274F" w:rsidRPr="00707621" w:rsidRDefault="00E36BF6" w:rsidP="00BC274F">
            <w:pPr>
              <w:spacing w:line="360" w:lineRule="auto"/>
              <w:jc w:val="center"/>
              <w:rPr>
                <w:rFonts w:ascii="Palatino Linotype" w:hAnsi="Palatino Linotype" w:cs="Tahoma"/>
                <w:color w:val="000000" w:themeColor="text1"/>
              </w:rPr>
            </w:pPr>
            <w:r w:rsidRPr="00707621">
              <w:rPr>
                <w:rFonts w:ascii="Palatino Linotype" w:hAnsi="Palatino Linotype" w:cs="Tahoma"/>
                <w:color w:val="000000" w:themeColor="text1"/>
              </w:rPr>
              <w:t>26</w:t>
            </w:r>
          </w:p>
        </w:tc>
      </w:tr>
      <w:tr w:rsidR="00BC274F" w:rsidRPr="00707621" w14:paraId="37FCBA47" w14:textId="77777777" w:rsidTr="00E36BF6">
        <w:tc>
          <w:tcPr>
            <w:tcW w:w="4517" w:type="dxa"/>
            <w:vAlign w:val="center"/>
          </w:tcPr>
          <w:p w14:paraId="58B22DE4" w14:textId="46D20103" w:rsidR="00BC274F" w:rsidRPr="00707621" w:rsidRDefault="00E36BF6" w:rsidP="00BC274F">
            <w:pPr>
              <w:spacing w:line="360" w:lineRule="auto"/>
              <w:jc w:val="center"/>
              <w:rPr>
                <w:rFonts w:ascii="Palatino Linotype" w:hAnsi="Palatino Linotype" w:cs="Tahoma"/>
                <w:color w:val="000000" w:themeColor="text1"/>
              </w:rPr>
            </w:pPr>
            <w:r w:rsidRPr="00707621">
              <w:rPr>
                <w:rFonts w:ascii="Palatino Linotype" w:hAnsi="Palatino Linotype" w:cs="Tahoma"/>
                <w:color w:val="000000" w:themeColor="text1"/>
              </w:rPr>
              <w:t>Fondo Estatal para el Fortalecimiento Municipal (FEFOM)</w:t>
            </w:r>
          </w:p>
        </w:tc>
        <w:tc>
          <w:tcPr>
            <w:tcW w:w="4517" w:type="dxa"/>
            <w:vAlign w:val="center"/>
          </w:tcPr>
          <w:p w14:paraId="46975DF7" w14:textId="327A6C15" w:rsidR="00BC274F" w:rsidRPr="00707621" w:rsidRDefault="00E36BF6" w:rsidP="00BC274F">
            <w:pPr>
              <w:spacing w:line="360" w:lineRule="auto"/>
              <w:jc w:val="center"/>
              <w:rPr>
                <w:rFonts w:ascii="Palatino Linotype" w:hAnsi="Palatino Linotype" w:cs="Tahoma"/>
                <w:color w:val="000000" w:themeColor="text1"/>
              </w:rPr>
            </w:pPr>
            <w:r w:rsidRPr="00707621">
              <w:rPr>
                <w:rFonts w:ascii="Palatino Linotype" w:hAnsi="Palatino Linotype" w:cs="Tahoma"/>
                <w:color w:val="000000" w:themeColor="text1"/>
              </w:rPr>
              <w:t>7</w:t>
            </w:r>
          </w:p>
        </w:tc>
      </w:tr>
      <w:tr w:rsidR="00BC274F" w:rsidRPr="00707621" w14:paraId="55FAF1C7" w14:textId="77777777" w:rsidTr="00E36BF6">
        <w:tc>
          <w:tcPr>
            <w:tcW w:w="4517" w:type="dxa"/>
            <w:vAlign w:val="center"/>
          </w:tcPr>
          <w:p w14:paraId="7582FEB2" w14:textId="781C934E" w:rsidR="00BC274F" w:rsidRPr="00707621" w:rsidRDefault="00E36BF6" w:rsidP="00BC274F">
            <w:pPr>
              <w:spacing w:line="360" w:lineRule="auto"/>
              <w:jc w:val="center"/>
              <w:rPr>
                <w:rFonts w:ascii="Palatino Linotype" w:hAnsi="Palatino Linotype" w:cs="Tahoma"/>
                <w:color w:val="000000" w:themeColor="text1"/>
              </w:rPr>
            </w:pPr>
            <w:r w:rsidRPr="00707621">
              <w:rPr>
                <w:rFonts w:ascii="Palatino Linotype" w:hAnsi="Palatino Linotype" w:cs="Tahoma"/>
                <w:color w:val="000000" w:themeColor="text1"/>
              </w:rPr>
              <w:t>Recurso propio municipal (RPM)</w:t>
            </w:r>
          </w:p>
        </w:tc>
        <w:tc>
          <w:tcPr>
            <w:tcW w:w="4517" w:type="dxa"/>
            <w:vAlign w:val="center"/>
          </w:tcPr>
          <w:p w14:paraId="3D71E8C0" w14:textId="7B4C2027" w:rsidR="00BC274F" w:rsidRPr="00707621" w:rsidRDefault="00E36BF6" w:rsidP="00BC274F">
            <w:pPr>
              <w:spacing w:line="360" w:lineRule="auto"/>
              <w:jc w:val="center"/>
              <w:rPr>
                <w:rFonts w:ascii="Palatino Linotype" w:hAnsi="Palatino Linotype" w:cs="Tahoma"/>
                <w:color w:val="000000" w:themeColor="text1"/>
              </w:rPr>
            </w:pPr>
            <w:r w:rsidRPr="00707621">
              <w:rPr>
                <w:rFonts w:ascii="Palatino Linotype" w:hAnsi="Palatino Linotype" w:cs="Tahoma"/>
                <w:color w:val="000000" w:themeColor="text1"/>
              </w:rPr>
              <w:t>2</w:t>
            </w:r>
          </w:p>
        </w:tc>
      </w:tr>
    </w:tbl>
    <w:p w14:paraId="54B71E7E" w14:textId="77777777" w:rsidR="006C5EF0" w:rsidRPr="006C5EF0" w:rsidRDefault="006C5EF0" w:rsidP="006C5EF0">
      <w:pPr>
        <w:spacing w:line="360" w:lineRule="auto"/>
        <w:jc w:val="both"/>
        <w:rPr>
          <w:rFonts w:ascii="Palatino Linotype" w:hAnsi="Palatino Linotype" w:cs="Tahoma"/>
          <w:color w:val="000000" w:themeColor="text1"/>
          <w:sz w:val="22"/>
          <w:szCs w:val="22"/>
          <w:lang w:val="es-ES"/>
        </w:rPr>
      </w:pPr>
    </w:p>
    <w:p w14:paraId="3932A62E" w14:textId="5FC8EEE5" w:rsidR="00655F90" w:rsidRDefault="005E1411" w:rsidP="00447875">
      <w:pPr>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lang w:val="es-ES"/>
        </w:rPr>
        <w:t xml:space="preserve">Conforme a lo anterior, se considera que pare realizar el estudio correspondiente, a los requerimientos informativos, se debe hacer, respecto a la información de cada tipo de recurso público, pues el Sujeto Obligado, en respuesta e informe justificado, se pronunció respecto a los primeros dos, es decir, del </w:t>
      </w:r>
      <w:r w:rsidRPr="005E1411">
        <w:rPr>
          <w:rFonts w:ascii="Palatino Linotype" w:hAnsi="Palatino Linotype" w:cs="Tahoma"/>
          <w:color w:val="000000" w:themeColor="text1"/>
          <w:sz w:val="22"/>
          <w:szCs w:val="22"/>
        </w:rPr>
        <w:t>Fondo de Infraestructura Social Municipal y Demarcaciones Territoriales del Distrito Federal</w:t>
      </w:r>
      <w:r>
        <w:rPr>
          <w:rFonts w:ascii="Palatino Linotype" w:hAnsi="Palatino Linotype" w:cs="Tahoma"/>
          <w:color w:val="000000" w:themeColor="text1"/>
          <w:sz w:val="22"/>
          <w:szCs w:val="22"/>
        </w:rPr>
        <w:t xml:space="preserve"> y </w:t>
      </w:r>
      <w:r w:rsidRPr="005E1411">
        <w:rPr>
          <w:rFonts w:ascii="Palatino Linotype" w:hAnsi="Palatino Linotype" w:cs="Tahoma"/>
          <w:color w:val="000000" w:themeColor="text1"/>
          <w:sz w:val="22"/>
          <w:szCs w:val="22"/>
        </w:rPr>
        <w:t>Fondo Estatal para el Fortalecimiento Municipal</w:t>
      </w:r>
      <w:r>
        <w:rPr>
          <w:rFonts w:ascii="Palatino Linotype" w:hAnsi="Palatino Linotype" w:cs="Tahoma"/>
          <w:color w:val="000000" w:themeColor="text1"/>
          <w:sz w:val="22"/>
          <w:szCs w:val="22"/>
        </w:rPr>
        <w:t>.</w:t>
      </w:r>
    </w:p>
    <w:p w14:paraId="311368EC" w14:textId="77777777" w:rsidR="006F614F" w:rsidRPr="005E1411" w:rsidRDefault="006F614F" w:rsidP="00447875">
      <w:pPr>
        <w:spacing w:line="360" w:lineRule="auto"/>
        <w:jc w:val="both"/>
        <w:rPr>
          <w:rFonts w:ascii="Palatino Linotype" w:hAnsi="Palatino Linotype" w:cs="Tahoma"/>
          <w:color w:val="000000" w:themeColor="text1"/>
          <w:sz w:val="22"/>
          <w:szCs w:val="22"/>
          <w:lang w:val="es-ES"/>
        </w:rPr>
      </w:pPr>
    </w:p>
    <w:p w14:paraId="671E0308" w14:textId="260A0948" w:rsidR="00655F90" w:rsidRPr="00563C45" w:rsidRDefault="005E1411" w:rsidP="00563C45">
      <w:pPr>
        <w:pStyle w:val="Prrafodelista"/>
        <w:numPr>
          <w:ilvl w:val="0"/>
          <w:numId w:val="28"/>
        </w:numPr>
        <w:spacing w:line="360" w:lineRule="auto"/>
        <w:jc w:val="both"/>
        <w:rPr>
          <w:rFonts w:ascii="Palatino Linotype" w:hAnsi="Palatino Linotype" w:cs="Tahoma"/>
          <w:b/>
          <w:color w:val="000000" w:themeColor="text1"/>
          <w:szCs w:val="22"/>
          <w:lang w:val="es-ES"/>
        </w:rPr>
      </w:pPr>
      <w:r w:rsidRPr="00563C45">
        <w:rPr>
          <w:rFonts w:ascii="Palatino Linotype" w:hAnsi="Palatino Linotype" w:cs="Tahoma"/>
          <w:b/>
          <w:color w:val="000000" w:themeColor="text1"/>
          <w:szCs w:val="22"/>
        </w:rPr>
        <w:t>Fondo de Infraestructura Social Municipal y Demarcaciones Territoriales del Distrito Federal</w:t>
      </w:r>
      <w:r w:rsidR="007D0AE9" w:rsidRPr="00563C45">
        <w:rPr>
          <w:rFonts w:ascii="Palatino Linotype" w:hAnsi="Palatino Linotype" w:cs="Tahoma"/>
          <w:b/>
          <w:color w:val="000000" w:themeColor="text1"/>
          <w:szCs w:val="22"/>
        </w:rPr>
        <w:t>.</w:t>
      </w:r>
    </w:p>
    <w:p w14:paraId="05673F53" w14:textId="77777777" w:rsidR="00655F90" w:rsidRPr="007D0AE9" w:rsidRDefault="00655F90" w:rsidP="00447875">
      <w:pPr>
        <w:spacing w:line="360" w:lineRule="auto"/>
        <w:jc w:val="both"/>
        <w:rPr>
          <w:rFonts w:ascii="Palatino Linotype" w:hAnsi="Palatino Linotype" w:cs="Tahoma"/>
          <w:color w:val="000000" w:themeColor="text1"/>
          <w:sz w:val="22"/>
          <w:szCs w:val="22"/>
          <w:lang w:val="es-ES"/>
        </w:rPr>
      </w:pPr>
    </w:p>
    <w:p w14:paraId="24ECD89B" w14:textId="6F3BB067" w:rsidR="00655F90" w:rsidRDefault="007D0AE9" w:rsidP="00447875">
      <w:pPr>
        <w:spacing w:line="360" w:lineRule="auto"/>
        <w:jc w:val="both"/>
        <w:rPr>
          <w:rFonts w:ascii="Palatino Linotype" w:hAnsi="Palatino Linotype" w:cs="Tahoma"/>
          <w:bCs/>
          <w:color w:val="000000" w:themeColor="text1"/>
          <w:sz w:val="22"/>
          <w:szCs w:val="22"/>
        </w:rPr>
      </w:pPr>
      <w:r>
        <w:rPr>
          <w:rFonts w:ascii="Palatino Linotype" w:hAnsi="Palatino Linotype" w:cs="Tahoma"/>
          <w:color w:val="000000" w:themeColor="text1"/>
          <w:sz w:val="22"/>
          <w:szCs w:val="22"/>
          <w:lang w:val="es-ES"/>
        </w:rPr>
        <w:t xml:space="preserve">En ese sentido, la Dirección de Obras Públicas, área idónea para conocer de la información requerida, de conformidad con el artículo 103 del </w:t>
      </w:r>
      <w:r w:rsidRPr="007D0AE9">
        <w:rPr>
          <w:rFonts w:ascii="Palatino Linotype" w:hAnsi="Palatino Linotype" w:cs="Tahoma"/>
          <w:bCs/>
          <w:color w:val="000000" w:themeColor="text1"/>
          <w:sz w:val="22"/>
          <w:szCs w:val="22"/>
        </w:rPr>
        <w:t>Reglamento Orgánico de la Administración Pública Municipal de Nicolás Romero</w:t>
      </w:r>
      <w:r>
        <w:rPr>
          <w:rFonts w:ascii="Palatino Linotype" w:hAnsi="Palatino Linotype" w:cs="Tahoma"/>
          <w:bCs/>
          <w:color w:val="000000" w:themeColor="text1"/>
          <w:sz w:val="22"/>
          <w:szCs w:val="22"/>
        </w:rPr>
        <w:t xml:space="preserve">, previamente referido, señaló que proporcionaba la </w:t>
      </w:r>
      <w:r w:rsidRPr="007D0AE9">
        <w:rPr>
          <w:rFonts w:ascii="Palatino Linotype" w:hAnsi="Palatino Linotype" w:cs="Tahoma"/>
          <w:bCs/>
          <w:color w:val="000000" w:themeColor="text1"/>
          <w:sz w:val="22"/>
          <w:szCs w:val="22"/>
        </w:rPr>
        <w:t>Relación de Obras por Contrato 2019</w:t>
      </w:r>
      <w:r w:rsidR="00ED719D">
        <w:rPr>
          <w:rFonts w:ascii="Palatino Linotype" w:hAnsi="Palatino Linotype" w:cs="Tahoma"/>
          <w:bCs/>
          <w:color w:val="000000" w:themeColor="text1"/>
          <w:sz w:val="22"/>
          <w:szCs w:val="22"/>
        </w:rPr>
        <w:t>, tal como se muestra a continuación:</w:t>
      </w:r>
    </w:p>
    <w:p w14:paraId="055D154C" w14:textId="087AEF46" w:rsidR="00924409" w:rsidRDefault="00924409" w:rsidP="00447875">
      <w:pPr>
        <w:spacing w:line="360" w:lineRule="auto"/>
        <w:jc w:val="both"/>
        <w:rPr>
          <w:rFonts w:ascii="Palatino Linotype" w:hAnsi="Palatino Linotype" w:cs="Tahoma"/>
          <w:bCs/>
          <w:color w:val="000000" w:themeColor="text1"/>
          <w:sz w:val="22"/>
          <w:szCs w:val="22"/>
        </w:rPr>
      </w:pPr>
    </w:p>
    <w:p w14:paraId="2563BB14" w14:textId="6F3A15F6" w:rsidR="0046716B" w:rsidRDefault="007F26BE" w:rsidP="00B841CA">
      <w:pPr>
        <w:spacing w:line="360" w:lineRule="auto"/>
        <w:jc w:val="center"/>
        <w:rPr>
          <w:rFonts w:ascii="Palatino Linotype" w:hAnsi="Palatino Linotype" w:cs="Tahoma"/>
          <w:bCs/>
          <w:color w:val="000000" w:themeColor="text1"/>
          <w:sz w:val="22"/>
          <w:szCs w:val="22"/>
        </w:rPr>
      </w:pPr>
      <w:r>
        <w:rPr>
          <w:noProof/>
          <w:lang w:eastAsia="es-MX"/>
        </w:rPr>
        <w:lastRenderedPageBreak/>
        <mc:AlternateContent>
          <mc:Choice Requires="wps">
            <w:drawing>
              <wp:anchor distT="0" distB="0" distL="114300" distR="114300" simplePos="0" relativeHeight="251668480" behindDoc="0" locked="0" layoutInCell="1" allowOverlap="1" wp14:anchorId="424E2535" wp14:editId="05A6C15C">
                <wp:simplePos x="0" y="0"/>
                <wp:positionH relativeFrom="column">
                  <wp:posOffset>161201</wp:posOffset>
                </wp:positionH>
                <wp:positionV relativeFrom="paragraph">
                  <wp:posOffset>3721</wp:posOffset>
                </wp:positionV>
                <wp:extent cx="1244010" cy="5273675"/>
                <wp:effectExtent l="19050" t="19050" r="13335" b="22225"/>
                <wp:wrapNone/>
                <wp:docPr id="55" name="Rectángulo 55"/>
                <wp:cNvGraphicFramePr/>
                <a:graphic xmlns:a="http://schemas.openxmlformats.org/drawingml/2006/main">
                  <a:graphicData uri="http://schemas.microsoft.com/office/word/2010/wordprocessingShape">
                    <wps:wsp>
                      <wps:cNvSpPr/>
                      <wps:spPr>
                        <a:xfrm>
                          <a:off x="0" y="0"/>
                          <a:ext cx="1244010" cy="52736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F8C9" id="Rectángulo 55" o:spid="_x0000_s1026" style="position:absolute;margin-left:12.7pt;margin-top:.3pt;width:97.95pt;height:41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" filled="f" strokecolor="black [3213]" strokeweight="3pt"/>
            </w:pict>
          </mc:Fallback>
        </mc:AlternateContent>
      </w:r>
      <w:r w:rsidR="00B841CA">
        <w:rPr>
          <w:noProof/>
          <w:lang w:eastAsia="es-MX"/>
        </w:rPr>
        <w:drawing>
          <wp:inline distT="0" distB="0" distL="0" distR="0" wp14:anchorId="5F414FDE" wp14:editId="4FB3D4B3">
            <wp:extent cx="5391792" cy="5273749"/>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5414" cy="5287073"/>
                    </a:xfrm>
                    <a:prstGeom prst="rect">
                      <a:avLst/>
                    </a:prstGeom>
                  </pic:spPr>
                </pic:pic>
              </a:graphicData>
            </a:graphic>
          </wp:inline>
        </w:drawing>
      </w:r>
    </w:p>
    <w:p w14:paraId="5FEB4E4F" w14:textId="77777777" w:rsidR="00ED719D" w:rsidRDefault="00ED719D" w:rsidP="00447875">
      <w:pPr>
        <w:spacing w:line="360" w:lineRule="auto"/>
        <w:jc w:val="both"/>
        <w:rPr>
          <w:rFonts w:ascii="Palatino Linotype" w:hAnsi="Palatino Linotype" w:cs="Tahoma"/>
          <w:bCs/>
          <w:color w:val="000000" w:themeColor="text1"/>
          <w:sz w:val="22"/>
          <w:szCs w:val="22"/>
        </w:rPr>
      </w:pPr>
    </w:p>
    <w:p w14:paraId="6128264E" w14:textId="79778C60" w:rsidR="00ED719D" w:rsidRDefault="00B841CA" w:rsidP="00B841CA">
      <w:pPr>
        <w:spacing w:line="360" w:lineRule="auto"/>
        <w:jc w:val="center"/>
        <w:rPr>
          <w:rFonts w:ascii="Palatino Linotype" w:hAnsi="Palatino Linotype" w:cs="Tahoma"/>
          <w:b/>
          <w:color w:val="000000" w:themeColor="text1"/>
          <w:sz w:val="22"/>
          <w:szCs w:val="22"/>
          <w:lang w:val="es-ES"/>
        </w:rPr>
      </w:pPr>
      <w:r>
        <w:rPr>
          <w:noProof/>
          <w:lang w:eastAsia="es-MX"/>
        </w:rPr>
        <w:lastRenderedPageBreak/>
        <w:drawing>
          <wp:inline distT="0" distB="0" distL="0" distR="0" wp14:anchorId="7A513BC7" wp14:editId="1A997512">
            <wp:extent cx="3300443" cy="4446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0443" cy="4446000"/>
                    </a:xfrm>
                    <a:prstGeom prst="rect">
                      <a:avLst/>
                    </a:prstGeom>
                  </pic:spPr>
                </pic:pic>
              </a:graphicData>
            </a:graphic>
          </wp:inline>
        </w:drawing>
      </w:r>
    </w:p>
    <w:p w14:paraId="2D3E70F3"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4F7FEE6C" w14:textId="3AA0F0AF" w:rsidR="00655F90" w:rsidRDefault="00744AD6"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Como se logra observar, la Dirección de Obras Públicas proporcionó un listado con las obras públicas que ha contratado, del primero de enero al diecinueve de agosto de dos mil diecinueve, </w:t>
      </w:r>
      <w:r w:rsidR="00E558F0">
        <w:rPr>
          <w:rFonts w:ascii="Palatino Linotype" w:hAnsi="Palatino Linotype" w:cs="Tahoma"/>
          <w:color w:val="000000" w:themeColor="text1"/>
          <w:sz w:val="22"/>
          <w:szCs w:val="22"/>
          <w:lang w:val="es-ES"/>
        </w:rPr>
        <w:t xml:space="preserve">el cual contiene el número de contrato, nombre del proveedor, ubicación, periodo de inicio y término y el porcentaje de ejecución. </w:t>
      </w:r>
    </w:p>
    <w:p w14:paraId="374760E7" w14:textId="77777777" w:rsidR="00E558F0" w:rsidRDefault="00E558F0" w:rsidP="00447875">
      <w:pPr>
        <w:spacing w:line="360" w:lineRule="auto"/>
        <w:jc w:val="both"/>
        <w:rPr>
          <w:rFonts w:ascii="Palatino Linotype" w:hAnsi="Palatino Linotype" w:cs="Tahoma"/>
          <w:color w:val="000000" w:themeColor="text1"/>
          <w:sz w:val="22"/>
          <w:szCs w:val="22"/>
          <w:lang w:val="es-ES"/>
        </w:rPr>
      </w:pPr>
    </w:p>
    <w:p w14:paraId="67305CB3" w14:textId="5702B390" w:rsidR="00475EF5" w:rsidRPr="00840817" w:rsidRDefault="00E558F0" w:rsidP="00475EF5">
      <w:pPr>
        <w:spacing w:line="360" w:lineRule="auto"/>
        <w:jc w:val="both"/>
        <w:rPr>
          <w:rFonts w:ascii="Palatino Linotype" w:hAnsi="Palatino Linotype" w:cs="Tahoma"/>
          <w:sz w:val="22"/>
          <w:szCs w:val="22"/>
        </w:rPr>
      </w:pPr>
      <w:r>
        <w:rPr>
          <w:rFonts w:ascii="Palatino Linotype" w:hAnsi="Palatino Linotype" w:cs="Tahoma"/>
          <w:color w:val="000000" w:themeColor="text1"/>
          <w:sz w:val="22"/>
          <w:szCs w:val="22"/>
          <w:lang w:val="es-ES"/>
        </w:rPr>
        <w:t>Así, se logra desprender que, a través de dicha relación</w:t>
      </w:r>
      <w:r w:rsidRPr="00475EF5">
        <w:rPr>
          <w:rFonts w:ascii="Palatino Linotype" w:hAnsi="Palatino Linotype" w:cs="Tahoma"/>
          <w:b/>
          <w:color w:val="000000" w:themeColor="text1"/>
          <w:sz w:val="22"/>
          <w:szCs w:val="22"/>
          <w:lang w:val="es-ES"/>
        </w:rPr>
        <w:t xml:space="preserve">, atendió los requerimientos con número </w:t>
      </w:r>
      <w:r w:rsidR="000D5240" w:rsidRPr="00475EF5">
        <w:rPr>
          <w:rFonts w:ascii="Palatino Linotype" w:hAnsi="Palatino Linotype" w:cs="Tahoma"/>
          <w:b/>
          <w:color w:val="000000" w:themeColor="text1"/>
          <w:sz w:val="22"/>
          <w:szCs w:val="22"/>
          <w:lang w:val="es-ES"/>
        </w:rPr>
        <w:t xml:space="preserve">2, 5 y 7, </w:t>
      </w:r>
      <w:r w:rsidR="00475EF5">
        <w:rPr>
          <w:rFonts w:ascii="Palatino Linotype" w:hAnsi="Palatino Linotype" w:cs="Tahoma"/>
          <w:color w:val="000000" w:themeColor="text1"/>
          <w:sz w:val="22"/>
          <w:szCs w:val="22"/>
          <w:lang w:val="es-ES"/>
        </w:rPr>
        <w:t>al entregar el documento</w:t>
      </w:r>
      <w:r w:rsidR="000D5240">
        <w:rPr>
          <w:rFonts w:ascii="Palatino Linotype" w:hAnsi="Palatino Linotype" w:cs="Tahoma"/>
          <w:color w:val="000000" w:themeColor="text1"/>
          <w:sz w:val="22"/>
          <w:szCs w:val="22"/>
          <w:lang w:val="es-ES"/>
        </w:rPr>
        <w:t xml:space="preserve"> que obra en sus archivos y que contiene el listado de obras públicas contratadas, durante la temporalidad requerida, así como, los periodos y porcentaje de ejecución</w:t>
      </w:r>
      <w:r w:rsidR="00011346">
        <w:rPr>
          <w:rFonts w:ascii="Palatino Linotype" w:hAnsi="Palatino Linotype" w:cs="Tahoma"/>
          <w:color w:val="000000" w:themeColor="text1"/>
          <w:sz w:val="22"/>
          <w:szCs w:val="22"/>
          <w:lang w:val="es-ES"/>
        </w:rPr>
        <w:t xml:space="preserve">; </w:t>
      </w:r>
      <w:r w:rsidR="00475EF5">
        <w:rPr>
          <w:rFonts w:ascii="Palatino Linotype" w:hAnsi="Palatino Linotype" w:cs="Tahoma"/>
          <w:sz w:val="22"/>
          <w:szCs w:val="22"/>
          <w:lang w:val="es-ES"/>
        </w:rPr>
        <w:t>d</w:t>
      </w:r>
      <w:r w:rsidR="00475EF5" w:rsidRPr="00840817">
        <w:rPr>
          <w:rFonts w:ascii="Palatino Linotype" w:hAnsi="Palatino Linotype" w:cs="Tahoma"/>
          <w:sz w:val="22"/>
          <w:szCs w:val="22"/>
          <w:lang w:val="es-ES"/>
        </w:rPr>
        <w:t xml:space="preserve">icha situación, toma sustento </w:t>
      </w:r>
      <w:r w:rsidR="00475EF5" w:rsidRPr="00840817">
        <w:rPr>
          <w:rFonts w:ascii="Palatino Linotype" w:eastAsia="Calibri" w:hAnsi="Palatino Linotype" w:cs="Tahoma"/>
          <w:bCs/>
          <w:sz w:val="22"/>
          <w:szCs w:val="22"/>
          <w:lang w:eastAsia="en-US"/>
        </w:rPr>
        <w:t>en el</w:t>
      </w:r>
      <w:r w:rsidR="00475EF5" w:rsidRPr="00840817">
        <w:rPr>
          <w:rFonts w:ascii="Palatino Linotype" w:hAnsi="Palatino Linotype" w:cs="Tahoma"/>
          <w:sz w:val="22"/>
          <w:szCs w:val="22"/>
        </w:rPr>
        <w:t xml:space="preserve"> artículo 12 de la Ley de Transparencia y Acceso a la Información Pública del Estado de México y Municipios, que </w:t>
      </w:r>
      <w:r w:rsidR="00475EF5" w:rsidRPr="00840817">
        <w:rPr>
          <w:rFonts w:ascii="Palatino Linotype" w:hAnsi="Palatino Linotype" w:cs="Tahoma"/>
          <w:sz w:val="22"/>
          <w:szCs w:val="22"/>
        </w:rPr>
        <w:lastRenderedPageBreak/>
        <w:t xml:space="preserve">establece que los sujetos obligados sólo están constreñidos a proporcionar la información pública que obre en sus archivos, en el estado en que esta se encuentre; por lo que, la entrega no comprende el procesamiento de la misma, ni presentarla conforme al interés </w:t>
      </w:r>
      <w:r w:rsidR="000007F7">
        <w:rPr>
          <w:rFonts w:ascii="Palatino Linotype" w:hAnsi="Palatino Linotype" w:cs="Tahoma"/>
          <w:sz w:val="22"/>
          <w:szCs w:val="22"/>
        </w:rPr>
        <w:t>del</w:t>
      </w:r>
      <w:r w:rsidR="00475EF5" w:rsidRPr="00840817">
        <w:rPr>
          <w:rFonts w:ascii="Palatino Linotype" w:hAnsi="Palatino Linotype" w:cs="Tahoma"/>
          <w:sz w:val="22"/>
          <w:szCs w:val="22"/>
        </w:rPr>
        <w:t xml:space="preserve"> Solicitante, además, que tampoco deberá generarla, resumirla, efectuar cálculos o practicar investigaciones.</w:t>
      </w:r>
    </w:p>
    <w:p w14:paraId="45614021" w14:textId="77777777" w:rsidR="00475EF5" w:rsidRPr="00840817" w:rsidRDefault="00475EF5" w:rsidP="00475EF5">
      <w:pPr>
        <w:tabs>
          <w:tab w:val="left" w:pos="4962"/>
        </w:tabs>
        <w:spacing w:line="360" w:lineRule="auto"/>
        <w:jc w:val="both"/>
        <w:rPr>
          <w:rFonts w:ascii="Palatino Linotype" w:hAnsi="Palatino Linotype" w:cs="Tahoma"/>
          <w:sz w:val="22"/>
          <w:szCs w:val="22"/>
        </w:rPr>
      </w:pPr>
    </w:p>
    <w:p w14:paraId="3EE60A8E" w14:textId="77777777" w:rsidR="00475EF5" w:rsidRPr="00840817" w:rsidRDefault="00475EF5" w:rsidP="00475EF5">
      <w:pPr>
        <w:tabs>
          <w:tab w:val="left" w:pos="4962"/>
        </w:tabs>
        <w:spacing w:line="360" w:lineRule="auto"/>
        <w:jc w:val="both"/>
        <w:rPr>
          <w:rFonts w:ascii="Palatino Linotype" w:eastAsia="Calibri" w:hAnsi="Palatino Linotype" w:cs="Tahoma"/>
          <w:iCs/>
          <w:sz w:val="22"/>
          <w:szCs w:val="22"/>
          <w:lang w:val="es-ES" w:eastAsia="es-ES_tradnl"/>
        </w:rPr>
      </w:pPr>
      <w:r w:rsidRPr="00840817">
        <w:rPr>
          <w:rFonts w:ascii="Palatino Linotype" w:hAnsi="Palatino Linotype" w:cs="Tahoma"/>
          <w:sz w:val="22"/>
          <w:szCs w:val="22"/>
        </w:rPr>
        <w:t xml:space="preserve">De esta manera, </w:t>
      </w:r>
      <w:r w:rsidRPr="00840817">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840817">
        <w:rPr>
          <w:rFonts w:ascii="Palatino Linotype" w:hAnsi="Palatino Linotype" w:cs="Tahoma"/>
          <w:i/>
          <w:sz w:val="22"/>
          <w:szCs w:val="22"/>
        </w:rPr>
        <w:t>ad hoc</w:t>
      </w:r>
      <w:r w:rsidRPr="00840817">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840817">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1A2FB7E3" w14:textId="77777777" w:rsidR="00475EF5" w:rsidRPr="00840817" w:rsidRDefault="00475EF5" w:rsidP="00475EF5">
      <w:pPr>
        <w:spacing w:line="360" w:lineRule="auto"/>
        <w:ind w:left="567" w:right="567"/>
        <w:jc w:val="both"/>
        <w:rPr>
          <w:rFonts w:ascii="Palatino Linotype" w:eastAsia="Arial" w:hAnsi="Palatino Linotype" w:cs="Arial"/>
          <w:b/>
          <w:sz w:val="22"/>
        </w:rPr>
      </w:pPr>
    </w:p>
    <w:p w14:paraId="33AE5230" w14:textId="77777777" w:rsidR="00475EF5" w:rsidRPr="00840817" w:rsidRDefault="00475EF5" w:rsidP="00475EF5">
      <w:pPr>
        <w:spacing w:line="360" w:lineRule="auto"/>
        <w:ind w:left="567" w:right="567"/>
        <w:jc w:val="both"/>
        <w:rPr>
          <w:rFonts w:ascii="Palatino Linotype" w:eastAsia="Arial" w:hAnsi="Palatino Linotype" w:cs="Arial"/>
          <w:i/>
        </w:rPr>
      </w:pPr>
      <w:r w:rsidRPr="00840817">
        <w:rPr>
          <w:rFonts w:ascii="Palatino Linotype" w:eastAsia="Arial" w:hAnsi="Palatino Linotype" w:cs="Arial"/>
          <w:b/>
          <w:i/>
        </w:rPr>
        <w:t xml:space="preserve">“No existe obligación de elaborar </w:t>
      </w:r>
      <w:r w:rsidRPr="00840817">
        <w:rPr>
          <w:rFonts w:ascii="Palatino Linotype" w:eastAsia="Arial" w:hAnsi="Palatino Linotype" w:cs="Arial"/>
          <w:b/>
          <w:i/>
          <w:spacing w:val="-3"/>
        </w:rPr>
        <w:t>d</w:t>
      </w:r>
      <w:r w:rsidRPr="00840817">
        <w:rPr>
          <w:rFonts w:ascii="Palatino Linotype" w:eastAsia="Arial" w:hAnsi="Palatino Linotype" w:cs="Arial"/>
          <w:b/>
          <w:i/>
        </w:rPr>
        <w:t>ocum</w:t>
      </w:r>
      <w:r w:rsidRPr="00840817">
        <w:rPr>
          <w:rFonts w:ascii="Palatino Linotype" w:eastAsia="Arial" w:hAnsi="Palatino Linotype" w:cs="Arial"/>
          <w:b/>
          <w:i/>
          <w:spacing w:val="1"/>
        </w:rPr>
        <w:t>e</w:t>
      </w:r>
      <w:r w:rsidRPr="00840817">
        <w:rPr>
          <w:rFonts w:ascii="Palatino Linotype" w:eastAsia="Arial" w:hAnsi="Palatino Linotype" w:cs="Arial"/>
          <w:b/>
          <w:i/>
        </w:rPr>
        <w:t>n</w:t>
      </w:r>
      <w:r w:rsidRPr="00840817">
        <w:rPr>
          <w:rFonts w:ascii="Palatino Linotype" w:eastAsia="Arial" w:hAnsi="Palatino Linotype" w:cs="Arial"/>
          <w:b/>
          <w:i/>
          <w:spacing w:val="-1"/>
        </w:rPr>
        <w:t>t</w:t>
      </w:r>
      <w:r w:rsidRPr="00840817">
        <w:rPr>
          <w:rFonts w:ascii="Palatino Linotype" w:eastAsia="Arial" w:hAnsi="Palatino Linotype" w:cs="Arial"/>
          <w:b/>
          <w:i/>
        </w:rPr>
        <w:t xml:space="preserve">os </w:t>
      </w:r>
      <w:r w:rsidRPr="00840817">
        <w:rPr>
          <w:rFonts w:ascii="Palatino Linotype" w:eastAsia="Arial" w:hAnsi="Palatino Linotype" w:cs="Arial"/>
          <w:b/>
          <w:i/>
          <w:spacing w:val="-1"/>
        </w:rPr>
        <w:t xml:space="preserve">ad </w:t>
      </w:r>
      <w:r w:rsidRPr="00840817">
        <w:rPr>
          <w:rFonts w:ascii="Palatino Linotype" w:eastAsia="Arial" w:hAnsi="Palatino Linotype" w:cs="Arial"/>
          <w:b/>
          <w:i/>
        </w:rPr>
        <w:t>hoc para atender las sol</w:t>
      </w:r>
      <w:r w:rsidRPr="00840817">
        <w:rPr>
          <w:rFonts w:ascii="Palatino Linotype" w:eastAsia="Arial" w:hAnsi="Palatino Linotype" w:cs="Arial"/>
          <w:b/>
          <w:i/>
          <w:spacing w:val="-2"/>
        </w:rPr>
        <w:t>i</w:t>
      </w:r>
      <w:r w:rsidRPr="00840817">
        <w:rPr>
          <w:rFonts w:ascii="Palatino Linotype" w:eastAsia="Arial" w:hAnsi="Palatino Linotype" w:cs="Arial"/>
          <w:b/>
          <w:i/>
          <w:spacing w:val="1"/>
        </w:rPr>
        <w:t>c</w:t>
      </w:r>
      <w:r w:rsidRPr="00840817">
        <w:rPr>
          <w:rFonts w:ascii="Palatino Linotype" w:eastAsia="Arial" w:hAnsi="Palatino Linotype" w:cs="Arial"/>
          <w:b/>
          <w:i/>
        </w:rPr>
        <w:t xml:space="preserve">itudes de </w:t>
      </w:r>
      <w:r w:rsidRPr="00840817">
        <w:rPr>
          <w:rFonts w:ascii="Palatino Linotype" w:eastAsia="Arial" w:hAnsi="Palatino Linotype" w:cs="Arial"/>
          <w:b/>
          <w:i/>
          <w:spacing w:val="1"/>
        </w:rPr>
        <w:t>ac</w:t>
      </w:r>
      <w:r w:rsidRPr="00840817">
        <w:rPr>
          <w:rFonts w:ascii="Palatino Linotype" w:eastAsia="Arial" w:hAnsi="Palatino Linotype" w:cs="Arial"/>
          <w:b/>
          <w:i/>
          <w:spacing w:val="-1"/>
        </w:rPr>
        <w:t>c</w:t>
      </w:r>
      <w:r w:rsidRPr="00840817">
        <w:rPr>
          <w:rFonts w:ascii="Palatino Linotype" w:eastAsia="Arial" w:hAnsi="Palatino Linotype" w:cs="Arial"/>
          <w:b/>
          <w:i/>
          <w:spacing w:val="1"/>
        </w:rPr>
        <w:t>es</w:t>
      </w:r>
      <w:r w:rsidRPr="00840817">
        <w:rPr>
          <w:rFonts w:ascii="Palatino Linotype" w:eastAsia="Arial" w:hAnsi="Palatino Linotype" w:cs="Arial"/>
          <w:b/>
          <w:i/>
        </w:rPr>
        <w:t>o a la informa</w:t>
      </w:r>
      <w:r w:rsidRPr="00840817">
        <w:rPr>
          <w:rFonts w:ascii="Palatino Linotype" w:eastAsia="Arial" w:hAnsi="Palatino Linotype" w:cs="Arial"/>
          <w:b/>
          <w:i/>
          <w:spacing w:val="1"/>
        </w:rPr>
        <w:t>c</w:t>
      </w:r>
      <w:r w:rsidRPr="00840817">
        <w:rPr>
          <w:rFonts w:ascii="Palatino Linotype" w:eastAsia="Arial" w:hAnsi="Palatino Linotype" w:cs="Arial"/>
          <w:b/>
          <w:i/>
        </w:rPr>
        <w:t>ió</w:t>
      </w:r>
      <w:r w:rsidRPr="00840817">
        <w:rPr>
          <w:rFonts w:ascii="Palatino Linotype" w:eastAsia="Arial" w:hAnsi="Palatino Linotype" w:cs="Arial"/>
          <w:b/>
          <w:i/>
          <w:spacing w:val="-2"/>
        </w:rPr>
        <w:t>n</w:t>
      </w:r>
      <w:r w:rsidRPr="00840817">
        <w:rPr>
          <w:rFonts w:ascii="Palatino Linotype" w:eastAsia="Arial" w:hAnsi="Palatino Linotype" w:cs="Arial"/>
          <w:b/>
          <w:i/>
        </w:rPr>
        <w:t xml:space="preserve">. </w:t>
      </w:r>
      <w:r w:rsidRPr="00840817">
        <w:rPr>
          <w:rFonts w:ascii="Palatino Linotype" w:eastAsia="Arial" w:hAnsi="Palatino Linotype" w:cs="Arial"/>
          <w:i/>
          <w:spacing w:val="18"/>
        </w:rPr>
        <w:t>L</w:t>
      </w:r>
      <w:r w:rsidRPr="00840817">
        <w:rPr>
          <w:rFonts w:ascii="Palatino Linotype" w:eastAsia="Arial" w:hAnsi="Palatino Linotype" w:cs="Arial"/>
          <w:i/>
          <w:spacing w:val="-1"/>
        </w:rPr>
        <w:t xml:space="preserve">os </w:t>
      </w:r>
      <w:r w:rsidRPr="00840817">
        <w:rPr>
          <w:rFonts w:ascii="Palatino Linotype" w:eastAsia="Arial" w:hAnsi="Palatino Linotype" w:cs="Arial"/>
          <w:i/>
          <w:spacing w:val="1"/>
        </w:rPr>
        <w:t>a</w:t>
      </w:r>
      <w:r w:rsidRPr="00840817">
        <w:rPr>
          <w:rFonts w:ascii="Palatino Linotype" w:eastAsia="Arial" w:hAnsi="Palatino Linotype" w:cs="Arial"/>
          <w:i/>
        </w:rPr>
        <w:t>rt</w:t>
      </w:r>
      <w:r w:rsidRPr="00840817">
        <w:rPr>
          <w:rFonts w:ascii="Palatino Linotype" w:eastAsia="Arial" w:hAnsi="Palatino Linotype" w:cs="Arial"/>
          <w:i/>
          <w:spacing w:val="-2"/>
        </w:rPr>
        <w:t>í</w:t>
      </w:r>
      <w:r w:rsidRPr="00840817">
        <w:rPr>
          <w:rFonts w:ascii="Palatino Linotype" w:eastAsia="Arial" w:hAnsi="Palatino Linotype" w:cs="Arial"/>
          <w:i/>
        </w:rPr>
        <w:t>c</w:t>
      </w:r>
      <w:r w:rsidRPr="00840817">
        <w:rPr>
          <w:rFonts w:ascii="Palatino Linotype" w:eastAsia="Arial" w:hAnsi="Palatino Linotype" w:cs="Arial"/>
          <w:i/>
          <w:spacing w:val="1"/>
        </w:rPr>
        <w:t>u</w:t>
      </w:r>
      <w:r w:rsidRPr="00840817">
        <w:rPr>
          <w:rFonts w:ascii="Palatino Linotype" w:eastAsia="Arial" w:hAnsi="Palatino Linotype" w:cs="Arial"/>
          <w:i/>
        </w:rPr>
        <w:t>los</w:t>
      </w:r>
      <w:r w:rsidRPr="00840817">
        <w:rPr>
          <w:rFonts w:ascii="Palatino Linotype" w:eastAsia="Arial" w:hAnsi="Palatino Linotype" w:cs="Arial"/>
          <w:i/>
          <w:spacing w:val="8"/>
        </w:rPr>
        <w:t xml:space="preserve"> 129 </w:t>
      </w:r>
      <w:r w:rsidRPr="00840817">
        <w:rPr>
          <w:rFonts w:ascii="Palatino Linotype" w:eastAsia="Arial" w:hAnsi="Palatino Linotype" w:cs="Arial"/>
          <w:i/>
          <w:spacing w:val="1"/>
        </w:rPr>
        <w:t>d</w:t>
      </w:r>
      <w:r w:rsidRPr="00840817">
        <w:rPr>
          <w:rFonts w:ascii="Palatino Linotype" w:eastAsia="Arial" w:hAnsi="Palatino Linotype" w:cs="Arial"/>
          <w:i/>
        </w:rPr>
        <w:t xml:space="preserve">e la </w:t>
      </w:r>
      <w:r w:rsidRPr="00840817">
        <w:rPr>
          <w:rFonts w:ascii="Palatino Linotype" w:eastAsia="Arial" w:hAnsi="Palatino Linotype" w:cs="Arial"/>
          <w:i/>
          <w:spacing w:val="-1"/>
        </w:rPr>
        <w:t>L</w:t>
      </w:r>
      <w:r w:rsidRPr="00840817">
        <w:rPr>
          <w:rFonts w:ascii="Palatino Linotype" w:eastAsia="Arial" w:hAnsi="Palatino Linotype" w:cs="Arial"/>
          <w:i/>
          <w:spacing w:val="1"/>
        </w:rPr>
        <w:t>e</w:t>
      </w:r>
      <w:r w:rsidRPr="00840817">
        <w:rPr>
          <w:rFonts w:ascii="Palatino Linotype" w:eastAsia="Arial" w:hAnsi="Palatino Linotype" w:cs="Arial"/>
          <w:i/>
        </w:rPr>
        <w:t xml:space="preserve">y General </w:t>
      </w:r>
      <w:r w:rsidRPr="00840817">
        <w:rPr>
          <w:rFonts w:ascii="Palatino Linotype" w:eastAsia="Arial" w:hAnsi="Palatino Linotype" w:cs="Arial"/>
          <w:i/>
          <w:spacing w:val="-1"/>
        </w:rPr>
        <w:t>d</w:t>
      </w:r>
      <w:r w:rsidRPr="00840817">
        <w:rPr>
          <w:rFonts w:ascii="Palatino Linotype" w:eastAsia="Arial" w:hAnsi="Palatino Linotype" w:cs="Arial"/>
          <w:i/>
        </w:rPr>
        <w:t xml:space="preserve">e </w:t>
      </w:r>
      <w:r w:rsidRPr="00840817">
        <w:rPr>
          <w:rFonts w:ascii="Palatino Linotype" w:eastAsia="Arial" w:hAnsi="Palatino Linotype" w:cs="Arial"/>
          <w:i/>
          <w:spacing w:val="2"/>
        </w:rPr>
        <w:t>T</w:t>
      </w:r>
      <w:r w:rsidRPr="00840817">
        <w:rPr>
          <w:rFonts w:ascii="Palatino Linotype" w:eastAsia="Arial" w:hAnsi="Palatino Linotype" w:cs="Arial"/>
          <w:i/>
        </w:rPr>
        <w:t>r</w:t>
      </w:r>
      <w:r w:rsidRPr="00840817">
        <w:rPr>
          <w:rFonts w:ascii="Palatino Linotype" w:eastAsia="Arial" w:hAnsi="Palatino Linotype" w:cs="Arial"/>
          <w:i/>
          <w:spacing w:val="-2"/>
        </w:rPr>
        <w:t>a</w:t>
      </w:r>
      <w:r w:rsidRPr="00840817">
        <w:rPr>
          <w:rFonts w:ascii="Palatino Linotype" w:eastAsia="Arial" w:hAnsi="Palatino Linotype" w:cs="Arial"/>
          <w:i/>
          <w:spacing w:val="1"/>
        </w:rPr>
        <w:t>n</w:t>
      </w:r>
      <w:r w:rsidRPr="00840817">
        <w:rPr>
          <w:rFonts w:ascii="Palatino Linotype" w:eastAsia="Arial" w:hAnsi="Palatino Linotype" w:cs="Arial"/>
          <w:i/>
        </w:rPr>
        <w:t>s</w:t>
      </w:r>
      <w:r w:rsidRPr="00840817">
        <w:rPr>
          <w:rFonts w:ascii="Palatino Linotype" w:eastAsia="Arial" w:hAnsi="Palatino Linotype" w:cs="Arial"/>
          <w:i/>
          <w:spacing w:val="1"/>
        </w:rPr>
        <w:t>pa</w:t>
      </w:r>
      <w:r w:rsidRPr="00840817">
        <w:rPr>
          <w:rFonts w:ascii="Palatino Linotype" w:eastAsia="Arial" w:hAnsi="Palatino Linotype" w:cs="Arial"/>
          <w:i/>
        </w:rPr>
        <w:t>r</w:t>
      </w:r>
      <w:r w:rsidRPr="00840817">
        <w:rPr>
          <w:rFonts w:ascii="Palatino Linotype" w:eastAsia="Arial" w:hAnsi="Palatino Linotype" w:cs="Arial"/>
          <w:i/>
          <w:spacing w:val="-2"/>
        </w:rPr>
        <w:t>e</w:t>
      </w:r>
      <w:r w:rsidRPr="00840817">
        <w:rPr>
          <w:rFonts w:ascii="Palatino Linotype" w:eastAsia="Arial" w:hAnsi="Palatino Linotype" w:cs="Arial"/>
          <w:i/>
          <w:spacing w:val="1"/>
        </w:rPr>
        <w:t>n</w:t>
      </w:r>
      <w:r w:rsidRPr="00840817">
        <w:rPr>
          <w:rFonts w:ascii="Palatino Linotype" w:eastAsia="Arial" w:hAnsi="Palatino Linotype" w:cs="Arial"/>
          <w:i/>
        </w:rPr>
        <w:t>cia y Acc</w:t>
      </w:r>
      <w:r w:rsidRPr="00840817">
        <w:rPr>
          <w:rFonts w:ascii="Palatino Linotype" w:eastAsia="Arial" w:hAnsi="Palatino Linotype" w:cs="Arial"/>
          <w:i/>
          <w:spacing w:val="1"/>
        </w:rPr>
        <w:t>e</w:t>
      </w:r>
      <w:r w:rsidRPr="00840817">
        <w:rPr>
          <w:rFonts w:ascii="Palatino Linotype" w:eastAsia="Arial" w:hAnsi="Palatino Linotype" w:cs="Arial"/>
          <w:i/>
        </w:rPr>
        <w:t>so a la I</w:t>
      </w:r>
      <w:r w:rsidRPr="00840817">
        <w:rPr>
          <w:rFonts w:ascii="Palatino Linotype" w:eastAsia="Arial" w:hAnsi="Palatino Linotype" w:cs="Arial"/>
          <w:i/>
          <w:spacing w:val="-1"/>
        </w:rPr>
        <w:t>n</w:t>
      </w:r>
      <w:r w:rsidRPr="00840817">
        <w:rPr>
          <w:rFonts w:ascii="Palatino Linotype" w:eastAsia="Arial" w:hAnsi="Palatino Linotype" w:cs="Arial"/>
          <w:i/>
        </w:rPr>
        <w:t>f</w:t>
      </w:r>
      <w:r w:rsidRPr="00840817">
        <w:rPr>
          <w:rFonts w:ascii="Palatino Linotype" w:eastAsia="Arial" w:hAnsi="Palatino Linotype" w:cs="Arial"/>
          <w:i/>
          <w:spacing w:val="1"/>
        </w:rPr>
        <w:t>o</w:t>
      </w:r>
      <w:r w:rsidRPr="00840817">
        <w:rPr>
          <w:rFonts w:ascii="Palatino Linotype" w:eastAsia="Arial" w:hAnsi="Palatino Linotype" w:cs="Arial"/>
          <w:i/>
          <w:spacing w:val="-3"/>
        </w:rPr>
        <w:t>r</w:t>
      </w:r>
      <w:r w:rsidRPr="00840817">
        <w:rPr>
          <w:rFonts w:ascii="Palatino Linotype" w:eastAsia="Arial" w:hAnsi="Palatino Linotype" w:cs="Arial"/>
          <w:i/>
          <w:spacing w:val="1"/>
        </w:rPr>
        <w:t>ma</w:t>
      </w:r>
      <w:r w:rsidRPr="00840817">
        <w:rPr>
          <w:rFonts w:ascii="Palatino Linotype" w:eastAsia="Arial" w:hAnsi="Palatino Linotype" w:cs="Arial"/>
          <w:i/>
        </w:rPr>
        <w:t>ci</w:t>
      </w:r>
      <w:r w:rsidRPr="00840817">
        <w:rPr>
          <w:rFonts w:ascii="Palatino Linotype" w:eastAsia="Arial" w:hAnsi="Palatino Linotype" w:cs="Arial"/>
          <w:i/>
          <w:spacing w:val="-2"/>
        </w:rPr>
        <w:t>ó</w:t>
      </w:r>
      <w:r w:rsidRPr="00840817">
        <w:rPr>
          <w:rFonts w:ascii="Palatino Linotype" w:eastAsia="Arial" w:hAnsi="Palatino Linotype" w:cs="Arial"/>
          <w:i/>
        </w:rPr>
        <w:t xml:space="preserve">n </w:t>
      </w:r>
      <w:r w:rsidRPr="00840817">
        <w:rPr>
          <w:rFonts w:ascii="Palatino Linotype" w:eastAsia="Arial" w:hAnsi="Palatino Linotype" w:cs="Arial"/>
          <w:i/>
          <w:spacing w:val="-2"/>
        </w:rPr>
        <w:t>P</w:t>
      </w:r>
      <w:r w:rsidRPr="00840817">
        <w:rPr>
          <w:rFonts w:ascii="Palatino Linotype" w:eastAsia="Arial" w:hAnsi="Palatino Linotype" w:cs="Arial"/>
          <w:i/>
          <w:spacing w:val="1"/>
        </w:rPr>
        <w:t>úb</w:t>
      </w:r>
      <w:r w:rsidRPr="00840817">
        <w:rPr>
          <w:rFonts w:ascii="Palatino Linotype" w:eastAsia="Arial" w:hAnsi="Palatino Linotype" w:cs="Arial"/>
          <w:i/>
        </w:rPr>
        <w:t>l</w:t>
      </w:r>
      <w:r w:rsidRPr="00840817">
        <w:rPr>
          <w:rFonts w:ascii="Palatino Linotype" w:eastAsia="Arial" w:hAnsi="Palatino Linotype" w:cs="Arial"/>
          <w:i/>
          <w:spacing w:val="-1"/>
        </w:rPr>
        <w:t>i</w:t>
      </w:r>
      <w:r w:rsidRPr="00840817">
        <w:rPr>
          <w:rFonts w:ascii="Palatino Linotype" w:eastAsia="Arial" w:hAnsi="Palatino Linotype" w:cs="Arial"/>
          <w:i/>
        </w:rPr>
        <w:t xml:space="preserve">ca y </w:t>
      </w:r>
      <w:r w:rsidRPr="00840817">
        <w:rPr>
          <w:rFonts w:ascii="Palatino Linotype" w:eastAsia="Arial" w:hAnsi="Palatino Linotype" w:cs="Arial"/>
          <w:i/>
          <w:spacing w:val="8"/>
        </w:rPr>
        <w:t xml:space="preserve">130, párrafo cuarto, </w:t>
      </w:r>
      <w:r w:rsidRPr="00840817">
        <w:rPr>
          <w:rFonts w:ascii="Palatino Linotype" w:eastAsia="Arial" w:hAnsi="Palatino Linotype" w:cs="Arial"/>
          <w:i/>
          <w:spacing w:val="1"/>
        </w:rPr>
        <w:t>d</w:t>
      </w:r>
      <w:r w:rsidRPr="00840817">
        <w:rPr>
          <w:rFonts w:ascii="Palatino Linotype" w:eastAsia="Arial" w:hAnsi="Palatino Linotype" w:cs="Arial"/>
          <w:i/>
        </w:rPr>
        <w:t xml:space="preserve">e la </w:t>
      </w:r>
      <w:r w:rsidRPr="00840817">
        <w:rPr>
          <w:rFonts w:ascii="Palatino Linotype" w:eastAsia="Arial" w:hAnsi="Palatino Linotype" w:cs="Arial"/>
          <w:i/>
          <w:spacing w:val="-1"/>
        </w:rPr>
        <w:t>L</w:t>
      </w:r>
      <w:r w:rsidRPr="00840817">
        <w:rPr>
          <w:rFonts w:ascii="Palatino Linotype" w:eastAsia="Arial" w:hAnsi="Palatino Linotype" w:cs="Arial"/>
          <w:i/>
          <w:spacing w:val="1"/>
        </w:rPr>
        <w:t>e</w:t>
      </w:r>
      <w:r w:rsidRPr="00840817">
        <w:rPr>
          <w:rFonts w:ascii="Palatino Linotype" w:eastAsia="Arial" w:hAnsi="Palatino Linotype" w:cs="Arial"/>
          <w:i/>
        </w:rPr>
        <w:t>y Fe</w:t>
      </w:r>
      <w:r w:rsidRPr="00840817">
        <w:rPr>
          <w:rFonts w:ascii="Palatino Linotype" w:eastAsia="Arial" w:hAnsi="Palatino Linotype" w:cs="Arial"/>
          <w:i/>
          <w:spacing w:val="1"/>
        </w:rPr>
        <w:t>de</w:t>
      </w:r>
      <w:r w:rsidRPr="00840817">
        <w:rPr>
          <w:rFonts w:ascii="Palatino Linotype" w:eastAsia="Arial" w:hAnsi="Palatino Linotype" w:cs="Arial"/>
          <w:i/>
        </w:rPr>
        <w:t xml:space="preserve">ral </w:t>
      </w:r>
      <w:r w:rsidRPr="00840817">
        <w:rPr>
          <w:rFonts w:ascii="Palatino Linotype" w:eastAsia="Arial" w:hAnsi="Palatino Linotype" w:cs="Arial"/>
          <w:i/>
          <w:spacing w:val="-1"/>
        </w:rPr>
        <w:t>d</w:t>
      </w:r>
      <w:r w:rsidRPr="00840817">
        <w:rPr>
          <w:rFonts w:ascii="Palatino Linotype" w:eastAsia="Arial" w:hAnsi="Palatino Linotype" w:cs="Arial"/>
          <w:i/>
        </w:rPr>
        <w:t xml:space="preserve">e </w:t>
      </w:r>
      <w:r w:rsidRPr="00840817">
        <w:rPr>
          <w:rFonts w:ascii="Palatino Linotype" w:eastAsia="Arial" w:hAnsi="Palatino Linotype" w:cs="Arial"/>
          <w:i/>
          <w:spacing w:val="2"/>
        </w:rPr>
        <w:t>T</w:t>
      </w:r>
      <w:r w:rsidRPr="00840817">
        <w:rPr>
          <w:rFonts w:ascii="Palatino Linotype" w:eastAsia="Arial" w:hAnsi="Palatino Linotype" w:cs="Arial"/>
          <w:i/>
        </w:rPr>
        <w:t>r</w:t>
      </w:r>
      <w:r w:rsidRPr="00840817">
        <w:rPr>
          <w:rFonts w:ascii="Palatino Linotype" w:eastAsia="Arial" w:hAnsi="Palatino Linotype" w:cs="Arial"/>
          <w:i/>
          <w:spacing w:val="-2"/>
        </w:rPr>
        <w:t>a</w:t>
      </w:r>
      <w:r w:rsidRPr="00840817">
        <w:rPr>
          <w:rFonts w:ascii="Palatino Linotype" w:eastAsia="Arial" w:hAnsi="Palatino Linotype" w:cs="Arial"/>
          <w:i/>
          <w:spacing w:val="1"/>
        </w:rPr>
        <w:t>n</w:t>
      </w:r>
      <w:r w:rsidRPr="00840817">
        <w:rPr>
          <w:rFonts w:ascii="Palatino Linotype" w:eastAsia="Arial" w:hAnsi="Palatino Linotype" w:cs="Arial"/>
          <w:i/>
        </w:rPr>
        <w:t>s</w:t>
      </w:r>
      <w:r w:rsidRPr="00840817">
        <w:rPr>
          <w:rFonts w:ascii="Palatino Linotype" w:eastAsia="Arial" w:hAnsi="Palatino Linotype" w:cs="Arial"/>
          <w:i/>
          <w:spacing w:val="1"/>
        </w:rPr>
        <w:t>pa</w:t>
      </w:r>
      <w:r w:rsidRPr="00840817">
        <w:rPr>
          <w:rFonts w:ascii="Palatino Linotype" w:eastAsia="Arial" w:hAnsi="Palatino Linotype" w:cs="Arial"/>
          <w:i/>
        </w:rPr>
        <w:t>r</w:t>
      </w:r>
      <w:r w:rsidRPr="00840817">
        <w:rPr>
          <w:rFonts w:ascii="Palatino Linotype" w:eastAsia="Arial" w:hAnsi="Palatino Linotype" w:cs="Arial"/>
          <w:i/>
          <w:spacing w:val="-2"/>
        </w:rPr>
        <w:t>e</w:t>
      </w:r>
      <w:r w:rsidRPr="00840817">
        <w:rPr>
          <w:rFonts w:ascii="Palatino Linotype" w:eastAsia="Arial" w:hAnsi="Palatino Linotype" w:cs="Arial"/>
          <w:i/>
          <w:spacing w:val="1"/>
        </w:rPr>
        <w:t>n</w:t>
      </w:r>
      <w:r w:rsidRPr="00840817">
        <w:rPr>
          <w:rFonts w:ascii="Palatino Linotype" w:eastAsia="Arial" w:hAnsi="Palatino Linotype" w:cs="Arial"/>
          <w:i/>
        </w:rPr>
        <w:t>cia y Acc</w:t>
      </w:r>
      <w:r w:rsidRPr="00840817">
        <w:rPr>
          <w:rFonts w:ascii="Palatino Linotype" w:eastAsia="Arial" w:hAnsi="Palatino Linotype" w:cs="Arial"/>
          <w:i/>
          <w:spacing w:val="1"/>
        </w:rPr>
        <w:t>e</w:t>
      </w:r>
      <w:r w:rsidRPr="00840817">
        <w:rPr>
          <w:rFonts w:ascii="Palatino Linotype" w:eastAsia="Arial" w:hAnsi="Palatino Linotype" w:cs="Arial"/>
          <w:i/>
        </w:rPr>
        <w:t>so a la I</w:t>
      </w:r>
      <w:r w:rsidRPr="00840817">
        <w:rPr>
          <w:rFonts w:ascii="Palatino Linotype" w:eastAsia="Arial" w:hAnsi="Palatino Linotype" w:cs="Arial"/>
          <w:i/>
          <w:spacing w:val="-1"/>
        </w:rPr>
        <w:t>n</w:t>
      </w:r>
      <w:r w:rsidRPr="00840817">
        <w:rPr>
          <w:rFonts w:ascii="Palatino Linotype" w:eastAsia="Arial" w:hAnsi="Palatino Linotype" w:cs="Arial"/>
          <w:i/>
        </w:rPr>
        <w:t>f</w:t>
      </w:r>
      <w:r w:rsidRPr="00840817">
        <w:rPr>
          <w:rFonts w:ascii="Palatino Linotype" w:eastAsia="Arial" w:hAnsi="Palatino Linotype" w:cs="Arial"/>
          <w:i/>
          <w:spacing w:val="1"/>
        </w:rPr>
        <w:t>o</w:t>
      </w:r>
      <w:r w:rsidRPr="00840817">
        <w:rPr>
          <w:rFonts w:ascii="Palatino Linotype" w:eastAsia="Arial" w:hAnsi="Palatino Linotype" w:cs="Arial"/>
          <w:i/>
          <w:spacing w:val="-3"/>
        </w:rPr>
        <w:t>r</w:t>
      </w:r>
      <w:r w:rsidRPr="00840817">
        <w:rPr>
          <w:rFonts w:ascii="Palatino Linotype" w:eastAsia="Arial" w:hAnsi="Palatino Linotype" w:cs="Arial"/>
          <w:i/>
          <w:spacing w:val="1"/>
        </w:rPr>
        <w:t>ma</w:t>
      </w:r>
      <w:r w:rsidRPr="00840817">
        <w:rPr>
          <w:rFonts w:ascii="Palatino Linotype" w:eastAsia="Arial" w:hAnsi="Palatino Linotype" w:cs="Arial"/>
          <w:i/>
        </w:rPr>
        <w:t>ci</w:t>
      </w:r>
      <w:r w:rsidRPr="00840817">
        <w:rPr>
          <w:rFonts w:ascii="Palatino Linotype" w:eastAsia="Arial" w:hAnsi="Palatino Linotype" w:cs="Arial"/>
          <w:i/>
          <w:spacing w:val="-2"/>
        </w:rPr>
        <w:t>ó</w:t>
      </w:r>
      <w:r w:rsidRPr="00840817">
        <w:rPr>
          <w:rFonts w:ascii="Palatino Linotype" w:eastAsia="Arial" w:hAnsi="Palatino Linotype" w:cs="Arial"/>
          <w:i/>
        </w:rPr>
        <w:t xml:space="preserve">n </w:t>
      </w:r>
      <w:r w:rsidRPr="00840817">
        <w:rPr>
          <w:rFonts w:ascii="Palatino Linotype" w:eastAsia="Arial" w:hAnsi="Palatino Linotype" w:cs="Arial"/>
          <w:i/>
          <w:spacing w:val="-2"/>
        </w:rPr>
        <w:t>P</w:t>
      </w:r>
      <w:r w:rsidRPr="00840817">
        <w:rPr>
          <w:rFonts w:ascii="Palatino Linotype" w:eastAsia="Arial" w:hAnsi="Palatino Linotype" w:cs="Arial"/>
          <w:i/>
          <w:spacing w:val="1"/>
        </w:rPr>
        <w:t>úb</w:t>
      </w:r>
      <w:r w:rsidRPr="00840817">
        <w:rPr>
          <w:rFonts w:ascii="Palatino Linotype" w:eastAsia="Arial" w:hAnsi="Palatino Linotype" w:cs="Arial"/>
          <w:i/>
        </w:rPr>
        <w:t>l</w:t>
      </w:r>
      <w:r w:rsidRPr="00840817">
        <w:rPr>
          <w:rFonts w:ascii="Palatino Linotype" w:eastAsia="Arial" w:hAnsi="Palatino Linotype" w:cs="Arial"/>
          <w:i/>
          <w:spacing w:val="-1"/>
        </w:rPr>
        <w:t>i</w:t>
      </w:r>
      <w:r w:rsidRPr="00840817">
        <w:rPr>
          <w:rFonts w:ascii="Palatino Linotype" w:eastAsia="Arial" w:hAnsi="Palatino Linotype" w:cs="Arial"/>
          <w:i/>
        </w:rPr>
        <w:t xml:space="preserve">ca, </w:t>
      </w:r>
      <w:r w:rsidRPr="00840817">
        <w:rPr>
          <w:rFonts w:ascii="Palatino Linotype" w:eastAsia="Arial" w:hAnsi="Palatino Linotype" w:cs="Arial"/>
          <w:i/>
          <w:spacing w:val="-1"/>
        </w:rPr>
        <w:t>señalan q</w:t>
      </w:r>
      <w:r w:rsidRPr="00840817">
        <w:rPr>
          <w:rFonts w:ascii="Palatino Linotype" w:eastAsia="Arial" w:hAnsi="Palatino Linotype" w:cs="Arial"/>
          <w:i/>
          <w:spacing w:val="1"/>
        </w:rPr>
        <w:t>u</w:t>
      </w:r>
      <w:r w:rsidRPr="00840817">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40817">
        <w:rPr>
          <w:rFonts w:ascii="Palatino Linotype" w:eastAsia="Arial" w:hAnsi="Palatino Linotype" w:cs="Arial"/>
          <w:i/>
          <w:spacing w:val="-1"/>
        </w:rPr>
        <w:t xml:space="preserve"> sin necesidad de</w:t>
      </w:r>
      <w:r w:rsidRPr="00840817">
        <w:rPr>
          <w:rFonts w:ascii="Palatino Linotype" w:eastAsia="Arial" w:hAnsi="Palatino Linotype" w:cs="Arial"/>
          <w:i/>
          <w:spacing w:val="1"/>
        </w:rPr>
        <w:t xml:space="preserve"> e</w:t>
      </w:r>
      <w:r w:rsidRPr="00840817">
        <w:rPr>
          <w:rFonts w:ascii="Palatino Linotype" w:eastAsia="Arial" w:hAnsi="Palatino Linotype" w:cs="Arial"/>
          <w:i/>
        </w:rPr>
        <w:t>la</w:t>
      </w:r>
      <w:r w:rsidRPr="00840817">
        <w:rPr>
          <w:rFonts w:ascii="Palatino Linotype" w:eastAsia="Arial" w:hAnsi="Palatino Linotype" w:cs="Arial"/>
          <w:i/>
          <w:spacing w:val="1"/>
        </w:rPr>
        <w:t>bo</w:t>
      </w:r>
      <w:r w:rsidRPr="00840817">
        <w:rPr>
          <w:rFonts w:ascii="Palatino Linotype" w:eastAsia="Arial" w:hAnsi="Palatino Linotype" w:cs="Arial"/>
          <w:i/>
        </w:rPr>
        <w:t xml:space="preserve">rar </w:t>
      </w:r>
      <w:r w:rsidRPr="00840817">
        <w:rPr>
          <w:rFonts w:ascii="Palatino Linotype" w:eastAsia="Arial" w:hAnsi="Palatino Linotype" w:cs="Arial"/>
          <w:i/>
          <w:spacing w:val="1"/>
        </w:rPr>
        <w:t>do</w:t>
      </w:r>
      <w:r w:rsidRPr="00840817">
        <w:rPr>
          <w:rFonts w:ascii="Palatino Linotype" w:eastAsia="Arial" w:hAnsi="Palatino Linotype" w:cs="Arial"/>
          <w:i/>
          <w:spacing w:val="-2"/>
        </w:rPr>
        <w:t>c</w:t>
      </w:r>
      <w:r w:rsidRPr="00840817">
        <w:rPr>
          <w:rFonts w:ascii="Palatino Linotype" w:eastAsia="Arial" w:hAnsi="Palatino Linotype" w:cs="Arial"/>
          <w:i/>
          <w:spacing w:val="1"/>
        </w:rPr>
        <w:t>u</w:t>
      </w:r>
      <w:r w:rsidRPr="00840817">
        <w:rPr>
          <w:rFonts w:ascii="Palatino Linotype" w:eastAsia="Arial" w:hAnsi="Palatino Linotype" w:cs="Arial"/>
          <w:i/>
          <w:spacing w:val="-1"/>
        </w:rPr>
        <w:t>m</w:t>
      </w:r>
      <w:r w:rsidRPr="00840817">
        <w:rPr>
          <w:rFonts w:ascii="Palatino Linotype" w:eastAsia="Arial" w:hAnsi="Palatino Linotype" w:cs="Arial"/>
          <w:i/>
          <w:spacing w:val="1"/>
        </w:rPr>
        <w:t>en</w:t>
      </w:r>
      <w:r w:rsidRPr="00840817">
        <w:rPr>
          <w:rFonts w:ascii="Palatino Linotype" w:eastAsia="Arial" w:hAnsi="Palatino Linotype" w:cs="Arial"/>
          <w:i/>
          <w:spacing w:val="-2"/>
        </w:rPr>
        <w:t>t</w:t>
      </w:r>
      <w:r w:rsidRPr="00840817">
        <w:rPr>
          <w:rFonts w:ascii="Palatino Linotype" w:eastAsia="Arial" w:hAnsi="Palatino Linotype" w:cs="Arial"/>
          <w:i/>
          <w:spacing w:val="1"/>
        </w:rPr>
        <w:t>o</w:t>
      </w:r>
      <w:r w:rsidRPr="00840817">
        <w:rPr>
          <w:rFonts w:ascii="Palatino Linotype" w:eastAsia="Arial" w:hAnsi="Palatino Linotype" w:cs="Arial"/>
          <w:i/>
        </w:rPr>
        <w:t xml:space="preserve">s </w:t>
      </w:r>
      <w:r w:rsidRPr="00840817">
        <w:rPr>
          <w:rFonts w:ascii="Palatino Linotype" w:eastAsia="Arial" w:hAnsi="Palatino Linotype" w:cs="Arial"/>
          <w:i/>
          <w:spacing w:val="1"/>
        </w:rPr>
        <w:t>a</w:t>
      </w:r>
      <w:r w:rsidRPr="00840817">
        <w:rPr>
          <w:rFonts w:ascii="Palatino Linotype" w:eastAsia="Arial" w:hAnsi="Palatino Linotype" w:cs="Arial"/>
          <w:i/>
        </w:rPr>
        <w:t>d</w:t>
      </w:r>
      <w:r w:rsidRPr="00840817">
        <w:rPr>
          <w:rFonts w:ascii="Palatino Linotype" w:eastAsia="Arial" w:hAnsi="Palatino Linotype" w:cs="Arial"/>
          <w:i/>
          <w:spacing w:val="1"/>
        </w:rPr>
        <w:t xml:space="preserve"> ho</w:t>
      </w:r>
      <w:r w:rsidRPr="00840817">
        <w:rPr>
          <w:rFonts w:ascii="Palatino Linotype" w:eastAsia="Arial" w:hAnsi="Palatino Linotype" w:cs="Arial"/>
          <w:i/>
        </w:rPr>
        <w:t xml:space="preserve">c </w:t>
      </w:r>
      <w:r w:rsidRPr="00840817">
        <w:rPr>
          <w:rFonts w:ascii="Palatino Linotype" w:eastAsia="Arial" w:hAnsi="Palatino Linotype" w:cs="Arial"/>
          <w:i/>
          <w:spacing w:val="1"/>
        </w:rPr>
        <w:t>pa</w:t>
      </w:r>
      <w:r w:rsidRPr="00840817">
        <w:rPr>
          <w:rFonts w:ascii="Palatino Linotype" w:eastAsia="Arial" w:hAnsi="Palatino Linotype" w:cs="Arial"/>
          <w:i/>
        </w:rPr>
        <w:t xml:space="preserve">ra </w:t>
      </w:r>
      <w:r w:rsidRPr="00840817">
        <w:rPr>
          <w:rFonts w:ascii="Palatino Linotype" w:eastAsia="Arial" w:hAnsi="Palatino Linotype" w:cs="Arial"/>
          <w:i/>
          <w:spacing w:val="1"/>
        </w:rPr>
        <w:t>a</w:t>
      </w:r>
      <w:r w:rsidRPr="00840817">
        <w:rPr>
          <w:rFonts w:ascii="Palatino Linotype" w:eastAsia="Arial" w:hAnsi="Palatino Linotype" w:cs="Arial"/>
          <w:i/>
        </w:rPr>
        <w:t>t</w:t>
      </w:r>
      <w:r w:rsidRPr="00840817">
        <w:rPr>
          <w:rFonts w:ascii="Palatino Linotype" w:eastAsia="Arial" w:hAnsi="Palatino Linotype" w:cs="Arial"/>
          <w:i/>
          <w:spacing w:val="-1"/>
        </w:rPr>
        <w:t>e</w:t>
      </w:r>
      <w:r w:rsidRPr="00840817">
        <w:rPr>
          <w:rFonts w:ascii="Palatino Linotype" w:eastAsia="Arial" w:hAnsi="Palatino Linotype" w:cs="Arial"/>
          <w:i/>
          <w:spacing w:val="1"/>
        </w:rPr>
        <w:t>n</w:t>
      </w:r>
      <w:r w:rsidRPr="00840817">
        <w:rPr>
          <w:rFonts w:ascii="Palatino Linotype" w:eastAsia="Arial" w:hAnsi="Palatino Linotype" w:cs="Arial"/>
          <w:i/>
          <w:spacing w:val="-1"/>
        </w:rPr>
        <w:t>d</w:t>
      </w:r>
      <w:r w:rsidRPr="00840817">
        <w:rPr>
          <w:rFonts w:ascii="Palatino Linotype" w:eastAsia="Arial" w:hAnsi="Palatino Linotype" w:cs="Arial"/>
          <w:i/>
          <w:spacing w:val="1"/>
        </w:rPr>
        <w:t>e</w:t>
      </w:r>
      <w:r w:rsidRPr="00840817">
        <w:rPr>
          <w:rFonts w:ascii="Palatino Linotype" w:eastAsia="Arial" w:hAnsi="Palatino Linotype" w:cs="Arial"/>
          <w:i/>
        </w:rPr>
        <w:t>r l</w:t>
      </w:r>
      <w:r w:rsidRPr="00840817">
        <w:rPr>
          <w:rFonts w:ascii="Palatino Linotype" w:eastAsia="Arial" w:hAnsi="Palatino Linotype" w:cs="Arial"/>
          <w:i/>
          <w:spacing w:val="-2"/>
        </w:rPr>
        <w:t>a</w:t>
      </w:r>
      <w:r w:rsidRPr="00840817">
        <w:rPr>
          <w:rFonts w:ascii="Palatino Linotype" w:eastAsia="Arial" w:hAnsi="Palatino Linotype" w:cs="Arial"/>
          <w:i/>
        </w:rPr>
        <w:t>s s</w:t>
      </w:r>
      <w:r w:rsidRPr="00840817">
        <w:rPr>
          <w:rFonts w:ascii="Palatino Linotype" w:eastAsia="Arial" w:hAnsi="Palatino Linotype" w:cs="Arial"/>
          <w:i/>
          <w:spacing w:val="1"/>
        </w:rPr>
        <w:t>o</w:t>
      </w:r>
      <w:r w:rsidRPr="00840817">
        <w:rPr>
          <w:rFonts w:ascii="Palatino Linotype" w:eastAsia="Arial" w:hAnsi="Palatino Linotype" w:cs="Arial"/>
          <w:i/>
        </w:rPr>
        <w:t>l</w:t>
      </w:r>
      <w:r w:rsidRPr="00840817">
        <w:rPr>
          <w:rFonts w:ascii="Palatino Linotype" w:eastAsia="Arial" w:hAnsi="Palatino Linotype" w:cs="Arial"/>
          <w:i/>
          <w:spacing w:val="-1"/>
        </w:rPr>
        <w:t>i</w:t>
      </w:r>
      <w:r w:rsidRPr="00840817">
        <w:rPr>
          <w:rFonts w:ascii="Palatino Linotype" w:eastAsia="Arial" w:hAnsi="Palatino Linotype" w:cs="Arial"/>
          <w:i/>
        </w:rPr>
        <w:t>cit</w:t>
      </w:r>
      <w:r w:rsidRPr="00840817">
        <w:rPr>
          <w:rFonts w:ascii="Palatino Linotype" w:eastAsia="Arial" w:hAnsi="Palatino Linotype" w:cs="Arial"/>
          <w:i/>
          <w:spacing w:val="1"/>
        </w:rPr>
        <w:t>ude</w:t>
      </w:r>
      <w:r w:rsidRPr="00840817">
        <w:rPr>
          <w:rFonts w:ascii="Palatino Linotype" w:eastAsia="Arial" w:hAnsi="Palatino Linotype" w:cs="Arial"/>
          <w:i/>
        </w:rPr>
        <w:t xml:space="preserve">s </w:t>
      </w:r>
      <w:r w:rsidRPr="00840817">
        <w:rPr>
          <w:rFonts w:ascii="Palatino Linotype" w:eastAsia="Arial" w:hAnsi="Palatino Linotype" w:cs="Arial"/>
          <w:i/>
          <w:spacing w:val="-1"/>
        </w:rPr>
        <w:t>d</w:t>
      </w:r>
      <w:r w:rsidRPr="00840817">
        <w:rPr>
          <w:rFonts w:ascii="Palatino Linotype" w:eastAsia="Arial" w:hAnsi="Palatino Linotype" w:cs="Arial"/>
          <w:i/>
        </w:rPr>
        <w:t>e i</w:t>
      </w:r>
      <w:r w:rsidRPr="00840817">
        <w:rPr>
          <w:rFonts w:ascii="Palatino Linotype" w:eastAsia="Arial" w:hAnsi="Palatino Linotype" w:cs="Arial"/>
          <w:i/>
          <w:spacing w:val="-2"/>
        </w:rPr>
        <w:t>n</w:t>
      </w:r>
      <w:r w:rsidRPr="00840817">
        <w:rPr>
          <w:rFonts w:ascii="Palatino Linotype" w:eastAsia="Arial" w:hAnsi="Palatino Linotype" w:cs="Arial"/>
          <w:i/>
        </w:rPr>
        <w:t>f</w:t>
      </w:r>
      <w:r w:rsidRPr="00840817">
        <w:rPr>
          <w:rFonts w:ascii="Palatino Linotype" w:eastAsia="Arial" w:hAnsi="Palatino Linotype" w:cs="Arial"/>
          <w:i/>
          <w:spacing w:val="1"/>
        </w:rPr>
        <w:t>o</w:t>
      </w:r>
      <w:r w:rsidRPr="00840817">
        <w:rPr>
          <w:rFonts w:ascii="Palatino Linotype" w:eastAsia="Arial" w:hAnsi="Palatino Linotype" w:cs="Arial"/>
          <w:i/>
        </w:rPr>
        <w:t>r</w:t>
      </w:r>
      <w:r w:rsidRPr="00840817">
        <w:rPr>
          <w:rFonts w:ascii="Palatino Linotype" w:eastAsia="Arial" w:hAnsi="Palatino Linotype" w:cs="Arial"/>
          <w:i/>
          <w:spacing w:val="-1"/>
        </w:rPr>
        <w:t>m</w:t>
      </w:r>
      <w:r w:rsidRPr="00840817">
        <w:rPr>
          <w:rFonts w:ascii="Palatino Linotype" w:eastAsia="Arial" w:hAnsi="Palatino Linotype" w:cs="Arial"/>
          <w:i/>
          <w:spacing w:val="1"/>
        </w:rPr>
        <w:t>a</w:t>
      </w:r>
      <w:r w:rsidRPr="00840817">
        <w:rPr>
          <w:rFonts w:ascii="Palatino Linotype" w:eastAsia="Arial" w:hAnsi="Palatino Linotype" w:cs="Arial"/>
          <w:i/>
        </w:rPr>
        <w:t>ció</w:t>
      </w:r>
      <w:r w:rsidRPr="00840817">
        <w:rPr>
          <w:rFonts w:ascii="Palatino Linotype" w:eastAsia="Arial" w:hAnsi="Palatino Linotype" w:cs="Arial"/>
          <w:i/>
          <w:spacing w:val="1"/>
        </w:rPr>
        <w:t>n</w:t>
      </w:r>
      <w:r w:rsidRPr="00840817">
        <w:rPr>
          <w:rFonts w:ascii="Palatino Linotype" w:eastAsia="Arial" w:hAnsi="Palatino Linotype" w:cs="Arial"/>
          <w:i/>
        </w:rPr>
        <w:t>.”</w:t>
      </w:r>
    </w:p>
    <w:p w14:paraId="4193C34B" w14:textId="77777777" w:rsidR="00475EF5" w:rsidRPr="00840817" w:rsidRDefault="00475EF5" w:rsidP="00475EF5">
      <w:pPr>
        <w:spacing w:line="360" w:lineRule="auto"/>
        <w:jc w:val="both"/>
        <w:rPr>
          <w:rFonts w:ascii="Palatino Linotype" w:hAnsi="Palatino Linotype" w:cs="Tahoma"/>
          <w:sz w:val="22"/>
          <w:szCs w:val="24"/>
          <w:lang w:val="es-ES"/>
        </w:rPr>
      </w:pPr>
    </w:p>
    <w:p w14:paraId="5CB7F580" w14:textId="3C43B9F6" w:rsidR="00475EF5" w:rsidRDefault="00475EF5" w:rsidP="00475EF5">
      <w:pPr>
        <w:spacing w:line="360" w:lineRule="auto"/>
        <w:jc w:val="both"/>
        <w:rPr>
          <w:rFonts w:ascii="Palatino Linotype" w:hAnsi="Palatino Linotype" w:cs="Tahoma"/>
          <w:sz w:val="22"/>
          <w:szCs w:val="22"/>
          <w:lang w:val="es-ES"/>
        </w:rPr>
      </w:pPr>
      <w:r w:rsidRPr="00840817">
        <w:rPr>
          <w:rFonts w:ascii="Palatino Linotype" w:hAnsi="Palatino Linotype" w:cs="Tahoma"/>
          <w:sz w:val="22"/>
          <w:szCs w:val="22"/>
          <w:lang w:val="es-ES"/>
        </w:rPr>
        <w:t xml:space="preserve">De tales circunstancias, se concluye que los sujetos obligados únicamente se encuentran constreñidos a proporcionar los documentos que den cuenta de la información solicitada, </w:t>
      </w:r>
      <w:r w:rsidRPr="00840817">
        <w:rPr>
          <w:rFonts w:ascii="Palatino Linotype" w:hAnsi="Palatino Linotype" w:cs="Tahoma"/>
          <w:sz w:val="22"/>
          <w:szCs w:val="22"/>
          <w:lang w:val="es-ES"/>
        </w:rPr>
        <w:lastRenderedPageBreak/>
        <w:t xml:space="preserve">como obren en sus archivos, sin tener que elaborarlos a las necesidades </w:t>
      </w:r>
      <w:r w:rsidR="000007F7">
        <w:rPr>
          <w:rFonts w:ascii="Palatino Linotype" w:hAnsi="Palatino Linotype" w:cs="Tahoma"/>
          <w:sz w:val="22"/>
          <w:szCs w:val="22"/>
          <w:lang w:val="es-ES"/>
        </w:rPr>
        <w:t>del</w:t>
      </w:r>
      <w:r w:rsidRPr="00840817">
        <w:rPr>
          <w:rFonts w:ascii="Palatino Linotype" w:hAnsi="Palatino Linotype" w:cs="Tahoma"/>
          <w:sz w:val="22"/>
          <w:szCs w:val="22"/>
          <w:lang w:val="es-ES"/>
        </w:rPr>
        <w:t xml:space="preserve"> Recurrente</w:t>
      </w:r>
      <w:r>
        <w:rPr>
          <w:rFonts w:ascii="Palatino Linotype" w:hAnsi="Palatino Linotype" w:cs="Tahoma"/>
          <w:sz w:val="22"/>
          <w:szCs w:val="22"/>
          <w:lang w:val="es-ES"/>
        </w:rPr>
        <w:t xml:space="preserve">; lo cual aconteció en el presente supuesto, pues entregó la expresión documental que da cuenta de la información solicitada, </w:t>
      </w:r>
      <w:r w:rsidRPr="000D24D3">
        <w:rPr>
          <w:rFonts w:ascii="Palatino Linotype" w:hAnsi="Palatino Linotype" w:cs="Tahoma"/>
          <w:b/>
          <w:sz w:val="22"/>
          <w:szCs w:val="22"/>
          <w:lang w:val="es-ES"/>
        </w:rPr>
        <w:t>en los puntos 2, 5 y 7,</w:t>
      </w:r>
      <w:r>
        <w:rPr>
          <w:rFonts w:ascii="Palatino Linotype" w:hAnsi="Palatino Linotype" w:cs="Tahoma"/>
          <w:sz w:val="22"/>
          <w:szCs w:val="22"/>
          <w:lang w:val="es-ES"/>
        </w:rPr>
        <w:t xml:space="preserve"> </w:t>
      </w:r>
      <w:r w:rsidR="007877A9">
        <w:rPr>
          <w:rFonts w:ascii="Palatino Linotype" w:hAnsi="Palatino Linotype" w:cs="Tahoma"/>
          <w:sz w:val="22"/>
          <w:szCs w:val="22"/>
          <w:lang w:val="es-ES"/>
        </w:rPr>
        <w:t xml:space="preserve">respecto al </w:t>
      </w:r>
      <w:r w:rsidR="007877A9" w:rsidRPr="007877A9">
        <w:rPr>
          <w:rFonts w:ascii="Palatino Linotype" w:hAnsi="Palatino Linotype" w:cs="Tahoma"/>
          <w:sz w:val="22"/>
          <w:szCs w:val="22"/>
        </w:rPr>
        <w:t>Fondo de Infraestructura Social Municipal y Demarcaciones Territoriales del Distrito Federal</w:t>
      </w:r>
      <w:r w:rsidR="007877A9">
        <w:rPr>
          <w:rFonts w:ascii="Palatino Linotype" w:hAnsi="Palatino Linotype" w:cs="Tahoma"/>
          <w:sz w:val="22"/>
          <w:szCs w:val="22"/>
        </w:rPr>
        <w:t>.</w:t>
      </w:r>
    </w:p>
    <w:p w14:paraId="3CDA833B" w14:textId="5004E775" w:rsidR="00E558F0" w:rsidRPr="00744AD6" w:rsidRDefault="00E558F0" w:rsidP="00447875">
      <w:pPr>
        <w:spacing w:line="360" w:lineRule="auto"/>
        <w:jc w:val="both"/>
        <w:rPr>
          <w:rFonts w:ascii="Palatino Linotype" w:hAnsi="Palatino Linotype" w:cs="Tahoma"/>
          <w:color w:val="000000" w:themeColor="text1"/>
          <w:sz w:val="22"/>
          <w:szCs w:val="22"/>
          <w:lang w:val="es-ES"/>
        </w:rPr>
      </w:pPr>
    </w:p>
    <w:p w14:paraId="72D5E6C1" w14:textId="0FF5B7CD" w:rsidR="007877A9" w:rsidRDefault="007877A9" w:rsidP="007877A9">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Por lo que, </w:t>
      </w:r>
      <w:r w:rsidRPr="000D24D3">
        <w:rPr>
          <w:rFonts w:ascii="Palatino Linotype" w:hAnsi="Palatino Linotype" w:cs="Tahoma"/>
          <w:b/>
          <w:color w:val="000000" w:themeColor="text1"/>
          <w:sz w:val="22"/>
          <w:szCs w:val="22"/>
          <w:lang w:val="es-ES"/>
        </w:rPr>
        <w:t>hace al requerimiento 6</w:t>
      </w:r>
      <w:r>
        <w:rPr>
          <w:rFonts w:ascii="Palatino Linotype" w:hAnsi="Palatino Linotype" w:cs="Tahoma"/>
          <w:color w:val="000000" w:themeColor="text1"/>
          <w:sz w:val="22"/>
          <w:szCs w:val="22"/>
          <w:lang w:val="es-ES"/>
        </w:rPr>
        <w:t>, la Dirección de Obras Públicas precisó que las obras públicas terminadas, culminaron dentro del periodo de ejecución establecido, mientras que las que seguían, en proceso, se encontraban dentro del plazo; dicha situación se r</w:t>
      </w:r>
      <w:r w:rsidR="006D6ED9">
        <w:rPr>
          <w:rFonts w:ascii="Palatino Linotype" w:hAnsi="Palatino Linotype" w:cs="Tahoma"/>
          <w:color w:val="000000" w:themeColor="text1"/>
          <w:sz w:val="22"/>
          <w:szCs w:val="22"/>
          <w:lang w:val="es-ES"/>
        </w:rPr>
        <w:t>obustece con la tabla entregada e respuesta, pues de esta, se puede acreditar su dicho, pues contiene los periodos de ejecuci</w:t>
      </w:r>
      <w:r w:rsidR="00945B1E">
        <w:rPr>
          <w:rFonts w:ascii="Palatino Linotype" w:hAnsi="Palatino Linotype" w:cs="Tahoma"/>
          <w:color w:val="000000" w:themeColor="text1"/>
          <w:sz w:val="22"/>
          <w:szCs w:val="22"/>
          <w:lang w:val="es-ES"/>
        </w:rPr>
        <w:t>ón de cada una de las obras, tanto de las que están en trámite, como concluidas.</w:t>
      </w:r>
    </w:p>
    <w:p w14:paraId="29E9F8AC" w14:textId="77777777" w:rsidR="00945B1E" w:rsidRDefault="00945B1E" w:rsidP="007877A9">
      <w:pPr>
        <w:spacing w:line="360" w:lineRule="auto"/>
        <w:jc w:val="both"/>
        <w:rPr>
          <w:rFonts w:ascii="Palatino Linotype" w:hAnsi="Palatino Linotype" w:cs="Tahoma"/>
          <w:color w:val="000000" w:themeColor="text1"/>
          <w:sz w:val="22"/>
          <w:szCs w:val="22"/>
          <w:lang w:val="es-ES"/>
        </w:rPr>
      </w:pPr>
    </w:p>
    <w:p w14:paraId="50309521" w14:textId="0AC73DB8" w:rsidR="007877A9" w:rsidRDefault="00945B1E" w:rsidP="007877A9">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w:t>
      </w:r>
      <w:r w:rsidR="00742F4A">
        <w:rPr>
          <w:rFonts w:ascii="Palatino Linotype" w:hAnsi="Palatino Linotype" w:cs="Tahoma"/>
          <w:color w:val="000000" w:themeColor="text1"/>
          <w:sz w:val="22"/>
          <w:szCs w:val="22"/>
          <w:lang w:val="es-ES"/>
        </w:rPr>
        <w:t>n ese orden de ideas, el Ente Recurrido</w:t>
      </w:r>
      <w:r>
        <w:rPr>
          <w:rFonts w:ascii="Palatino Linotype" w:hAnsi="Palatino Linotype" w:cs="Tahoma"/>
          <w:color w:val="000000" w:themeColor="text1"/>
          <w:sz w:val="22"/>
          <w:szCs w:val="22"/>
          <w:lang w:val="es-ES"/>
        </w:rPr>
        <w:t xml:space="preserve">, </w:t>
      </w:r>
      <w:r w:rsidR="00742F4A">
        <w:rPr>
          <w:rFonts w:ascii="Palatino Linotype" w:hAnsi="Palatino Linotype" w:cs="Tahoma"/>
          <w:color w:val="000000" w:themeColor="text1"/>
          <w:sz w:val="22"/>
          <w:szCs w:val="22"/>
          <w:lang w:val="es-ES"/>
        </w:rPr>
        <w:t xml:space="preserve">aludió a que las obras públicas contratadas, con recursos del </w:t>
      </w:r>
      <w:r w:rsidR="00742F4A" w:rsidRPr="00742F4A">
        <w:rPr>
          <w:rFonts w:ascii="Palatino Linotype" w:hAnsi="Palatino Linotype" w:cs="Tahoma"/>
          <w:color w:val="000000" w:themeColor="text1"/>
          <w:sz w:val="22"/>
          <w:szCs w:val="22"/>
        </w:rPr>
        <w:t>Fondo de Infraestructura Social Municipal y Demarcaciones Territoriales del Distrito Federal</w:t>
      </w:r>
      <w:r w:rsidR="00742F4A">
        <w:rPr>
          <w:rFonts w:ascii="Palatino Linotype" w:hAnsi="Palatino Linotype" w:cs="Tahoma"/>
          <w:color w:val="000000" w:themeColor="text1"/>
          <w:sz w:val="22"/>
          <w:szCs w:val="22"/>
        </w:rPr>
        <w:t>, no tuvieron atrasos y, por lo tanto, no se habían implementado acciones; Al respecto</w:t>
      </w:r>
      <w:r w:rsidR="007877A9">
        <w:rPr>
          <w:rFonts w:ascii="Palatino Linotype" w:hAnsi="Palatino Linotype" w:cs="Tahoma"/>
          <w:color w:val="000000" w:themeColor="text1"/>
          <w:sz w:val="22"/>
          <w:szCs w:val="22"/>
          <w:lang w:val="es-ES"/>
        </w:rPr>
        <w:t>, tal como se precisó en párrafos anteriores, este Instituto no cuenta con facultades para pronunciarse de la veracidad de la información.</w:t>
      </w:r>
    </w:p>
    <w:p w14:paraId="79EA7E65"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33FFEEBD" w14:textId="7BB0DF4F" w:rsidR="00655F90" w:rsidRDefault="00C73B4A"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Como se logra observar, el área idónea para conocer de la información,</w:t>
      </w:r>
      <w:r w:rsidRPr="00C73B4A">
        <w:rPr>
          <w:rFonts w:ascii="Palatino Linotype" w:hAnsi="Palatino Linotype" w:cs="Tahoma"/>
          <w:b/>
          <w:color w:val="000000" w:themeColor="text1"/>
          <w:sz w:val="22"/>
          <w:szCs w:val="22"/>
          <w:lang w:val="es-ES"/>
        </w:rPr>
        <w:t xml:space="preserve"> atendió de manera clara y precisa el punto de la solicitud</w:t>
      </w:r>
      <w:r w:rsidRPr="00C73B4A">
        <w:rPr>
          <w:rFonts w:ascii="Palatino Linotype" w:hAnsi="Palatino Linotype" w:cs="Tahoma"/>
          <w:color w:val="000000" w:themeColor="text1"/>
          <w:sz w:val="22"/>
          <w:szCs w:val="22"/>
          <w:lang w:val="es-ES"/>
        </w:rPr>
        <w:t>,</w:t>
      </w:r>
      <w:r>
        <w:rPr>
          <w:rFonts w:ascii="Palatino Linotype" w:hAnsi="Palatino Linotype" w:cs="Tahoma"/>
          <w:color w:val="000000" w:themeColor="text1"/>
          <w:sz w:val="22"/>
          <w:szCs w:val="22"/>
          <w:lang w:val="es-ES"/>
        </w:rPr>
        <w:t xml:space="preserve"> pues señaló que las obras en proceso y terminadas, no presentaron retra</w:t>
      </w:r>
      <w:r w:rsidR="000D24D3">
        <w:rPr>
          <w:rFonts w:ascii="Palatino Linotype" w:hAnsi="Palatino Linotype" w:cs="Tahoma"/>
          <w:color w:val="000000" w:themeColor="text1"/>
          <w:sz w:val="22"/>
          <w:szCs w:val="22"/>
          <w:lang w:val="es-ES"/>
        </w:rPr>
        <w:t>sos y por lo cual, no tuvo necesidad de realizar acciones en contra de los contratistas, en términos del artículo 19, segundo párrafo de la Ley de Transparencia y Acceso a la Información Pública del Estado de México y Municipios.</w:t>
      </w:r>
    </w:p>
    <w:p w14:paraId="7C9BAFB6" w14:textId="77777777" w:rsidR="000D24D3" w:rsidRDefault="000D24D3" w:rsidP="00447875">
      <w:pPr>
        <w:spacing w:line="360" w:lineRule="auto"/>
        <w:jc w:val="both"/>
        <w:rPr>
          <w:rFonts w:ascii="Palatino Linotype" w:hAnsi="Palatino Linotype" w:cs="Tahoma"/>
          <w:color w:val="000000" w:themeColor="text1"/>
          <w:sz w:val="22"/>
          <w:szCs w:val="22"/>
          <w:lang w:val="es-ES"/>
        </w:rPr>
      </w:pPr>
    </w:p>
    <w:p w14:paraId="4E51BDD8" w14:textId="6332EF4A" w:rsidR="00655F90" w:rsidRDefault="008F6485" w:rsidP="008F6485">
      <w:pPr>
        <w:spacing w:line="360" w:lineRule="auto"/>
        <w:jc w:val="both"/>
        <w:rPr>
          <w:rFonts w:ascii="Palatino Linotype" w:hAnsi="Palatino Linotype" w:cs="Tahoma"/>
          <w:bCs/>
          <w:iCs/>
          <w:color w:val="000000" w:themeColor="text1"/>
          <w:sz w:val="22"/>
          <w:szCs w:val="22"/>
        </w:rPr>
      </w:pPr>
      <w:r>
        <w:rPr>
          <w:rFonts w:ascii="Palatino Linotype" w:hAnsi="Palatino Linotype" w:cs="Tahoma"/>
          <w:iCs/>
          <w:color w:val="000000" w:themeColor="text1"/>
          <w:sz w:val="22"/>
          <w:szCs w:val="22"/>
        </w:rPr>
        <w:t xml:space="preserve">Ahora bien, por lo que hace a los documentos de los once procedimientos de contratación de obras públicas, correspondientes </w:t>
      </w:r>
      <w:r w:rsidR="00831F64" w:rsidRPr="000D24D3">
        <w:rPr>
          <w:rFonts w:ascii="Palatino Linotype" w:hAnsi="Palatino Linotype" w:cs="Tahoma"/>
          <w:iCs/>
          <w:color w:val="000000" w:themeColor="text1"/>
          <w:sz w:val="22"/>
          <w:szCs w:val="22"/>
        </w:rPr>
        <w:t>desde la convocatoria o invitación</w:t>
      </w:r>
      <w:r>
        <w:rPr>
          <w:rFonts w:ascii="Palatino Linotype" w:hAnsi="Palatino Linotype" w:cs="Tahoma"/>
          <w:iCs/>
          <w:color w:val="000000" w:themeColor="text1"/>
          <w:sz w:val="22"/>
          <w:szCs w:val="22"/>
        </w:rPr>
        <w:t>,</w:t>
      </w:r>
      <w:r w:rsidR="00831F64" w:rsidRPr="000D24D3">
        <w:rPr>
          <w:rFonts w:ascii="Palatino Linotype" w:hAnsi="Palatino Linotype" w:cs="Tahoma"/>
          <w:iCs/>
          <w:color w:val="000000" w:themeColor="text1"/>
          <w:sz w:val="22"/>
          <w:szCs w:val="22"/>
        </w:rPr>
        <w:t xml:space="preserve"> h</w:t>
      </w:r>
      <w:r>
        <w:rPr>
          <w:rFonts w:ascii="Palatino Linotype" w:hAnsi="Palatino Linotype" w:cs="Tahoma"/>
          <w:iCs/>
          <w:color w:val="000000" w:themeColor="text1"/>
          <w:sz w:val="22"/>
          <w:szCs w:val="22"/>
        </w:rPr>
        <w:t xml:space="preserve">asta la suscripción el </w:t>
      </w:r>
      <w:r>
        <w:rPr>
          <w:rFonts w:ascii="Palatino Linotype" w:hAnsi="Palatino Linotype" w:cs="Tahoma"/>
          <w:iCs/>
          <w:color w:val="000000" w:themeColor="text1"/>
          <w:sz w:val="22"/>
          <w:szCs w:val="22"/>
        </w:rPr>
        <w:lastRenderedPageBreak/>
        <w:t>contrato</w:t>
      </w:r>
      <w:r w:rsidR="00167C31">
        <w:rPr>
          <w:rFonts w:ascii="Palatino Linotype" w:hAnsi="Palatino Linotype" w:cs="Tahoma"/>
          <w:iCs/>
          <w:color w:val="000000" w:themeColor="text1"/>
          <w:sz w:val="22"/>
          <w:szCs w:val="22"/>
        </w:rPr>
        <w:t xml:space="preserve">, requerimiento 3, cabe recordar que el Sujeto Obligado tanto en respuesta, como en Informe Justificado, indicó que dicha información se </w:t>
      </w:r>
      <w:r w:rsidR="00167C31" w:rsidRPr="00167C31">
        <w:rPr>
          <w:rFonts w:ascii="Palatino Linotype" w:hAnsi="Palatino Linotype" w:cs="Tahoma"/>
          <w:bCs/>
          <w:iCs/>
          <w:color w:val="000000" w:themeColor="text1"/>
          <w:sz w:val="22"/>
          <w:szCs w:val="22"/>
        </w:rPr>
        <w:t xml:space="preserve">localizaba en la siguiente liga </w:t>
      </w:r>
      <w:hyperlink r:id="rId56" w:history="1">
        <w:r w:rsidR="00167C31" w:rsidRPr="00167C31">
          <w:rPr>
            <w:rStyle w:val="Hipervnculo"/>
            <w:rFonts w:ascii="Palatino Linotype" w:hAnsi="Palatino Linotype" w:cs="Tahoma"/>
            <w:bCs/>
            <w:iCs/>
            <w:sz w:val="22"/>
            <w:szCs w:val="22"/>
          </w:rPr>
          <w:t>https://www.ipomex.org.mx/ipo3/lgt/indice/NICOLASROMERO/art_92_xxix_a.web</w:t>
        </w:r>
      </w:hyperlink>
      <w:r w:rsidR="00583D5F">
        <w:rPr>
          <w:rFonts w:ascii="Palatino Linotype" w:hAnsi="Palatino Linotype" w:cs="Tahoma"/>
          <w:bCs/>
          <w:iCs/>
          <w:color w:val="000000" w:themeColor="text1"/>
          <w:sz w:val="22"/>
          <w:szCs w:val="22"/>
        </w:rPr>
        <w:t>, la cual contiene la Fracción XXIX A Resultados de procedimientos de licitación pública e invitación a cuando menos tres personas realiza, del Portal de Información Pública Mexiquense (IPOMEX), del Ayuntamiento de Nicolás Romero, de la cual se desprende lo siguiente:</w:t>
      </w:r>
    </w:p>
    <w:p w14:paraId="3412E31E" w14:textId="77777777" w:rsidR="00583D5F" w:rsidRDefault="00583D5F" w:rsidP="008F6485">
      <w:pPr>
        <w:spacing w:line="360" w:lineRule="auto"/>
        <w:jc w:val="both"/>
        <w:rPr>
          <w:rFonts w:ascii="Palatino Linotype" w:hAnsi="Palatino Linotype" w:cs="Tahoma"/>
          <w:bCs/>
          <w:iCs/>
          <w:color w:val="000000" w:themeColor="text1"/>
          <w:sz w:val="22"/>
          <w:szCs w:val="22"/>
        </w:rPr>
      </w:pPr>
    </w:p>
    <w:p w14:paraId="539FCBB1" w14:textId="54F06934" w:rsidR="00583D5F" w:rsidRPr="000D24D3" w:rsidRDefault="00583D5F" w:rsidP="00583D5F">
      <w:pPr>
        <w:spacing w:line="360" w:lineRule="auto"/>
        <w:jc w:val="center"/>
        <w:rPr>
          <w:rFonts w:ascii="Palatino Linotype" w:hAnsi="Palatino Linotype" w:cs="Tahoma"/>
          <w:iCs/>
          <w:color w:val="000000" w:themeColor="text1"/>
          <w:sz w:val="22"/>
          <w:szCs w:val="22"/>
        </w:rPr>
      </w:pPr>
      <w:r>
        <w:rPr>
          <w:noProof/>
          <w:lang w:eastAsia="es-MX"/>
        </w:rPr>
        <w:drawing>
          <wp:inline distT="0" distB="0" distL="0" distR="0" wp14:anchorId="2600DA4A" wp14:editId="09C32007">
            <wp:extent cx="4381500" cy="21240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81500" cy="2124075"/>
                    </a:xfrm>
                    <a:prstGeom prst="rect">
                      <a:avLst/>
                    </a:prstGeom>
                  </pic:spPr>
                </pic:pic>
              </a:graphicData>
            </a:graphic>
          </wp:inline>
        </w:drawing>
      </w:r>
    </w:p>
    <w:p w14:paraId="4B73E630" w14:textId="77777777" w:rsidR="000D24D3" w:rsidRPr="00C73B4A" w:rsidRDefault="000D24D3" w:rsidP="00447875">
      <w:pPr>
        <w:spacing w:line="360" w:lineRule="auto"/>
        <w:jc w:val="both"/>
        <w:rPr>
          <w:rFonts w:ascii="Palatino Linotype" w:hAnsi="Palatino Linotype" w:cs="Tahoma"/>
          <w:color w:val="000000" w:themeColor="text1"/>
          <w:sz w:val="22"/>
          <w:szCs w:val="22"/>
          <w:lang w:val="es-ES"/>
        </w:rPr>
      </w:pPr>
    </w:p>
    <w:p w14:paraId="7C76A0D9" w14:textId="5A4E9BF7" w:rsidR="00655F90" w:rsidRDefault="00AA5F1C" w:rsidP="00447875">
      <w:pPr>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lang w:val="es-ES"/>
        </w:rPr>
        <w:t xml:space="preserve">Como se logra observar, el Sujeto Obligado solamente contiene dos registros, para el dos mil diecinueve, de procedimientos de licitación e invitación de cuando menos tres personas, por lo cual, se puede afirmar que no contiene la información solicitada de los once procedimientos de contratación realizados por la Dirección de Obras Públicas, relacionados con los recursos del </w:t>
      </w:r>
      <w:r w:rsidRPr="00AA5F1C">
        <w:rPr>
          <w:rFonts w:ascii="Palatino Linotype" w:hAnsi="Palatino Linotype" w:cs="Tahoma"/>
          <w:color w:val="000000" w:themeColor="text1"/>
          <w:sz w:val="22"/>
          <w:szCs w:val="22"/>
        </w:rPr>
        <w:t>Fondo de Infraestructura Social Municipal y Demarcaciones Territoriales del Distrito Federal</w:t>
      </w:r>
      <w:r w:rsidR="00630228">
        <w:rPr>
          <w:rFonts w:ascii="Palatino Linotype" w:hAnsi="Palatino Linotype" w:cs="Tahoma"/>
          <w:color w:val="000000" w:themeColor="text1"/>
          <w:sz w:val="22"/>
          <w:szCs w:val="22"/>
        </w:rPr>
        <w:t>.</w:t>
      </w:r>
    </w:p>
    <w:p w14:paraId="6E44A3D9" w14:textId="77777777" w:rsidR="00630228" w:rsidRDefault="00630228" w:rsidP="00447875">
      <w:pPr>
        <w:spacing w:line="360" w:lineRule="auto"/>
        <w:jc w:val="both"/>
        <w:rPr>
          <w:rFonts w:ascii="Palatino Linotype" w:hAnsi="Palatino Linotype" w:cs="Tahoma"/>
          <w:color w:val="000000" w:themeColor="text1"/>
          <w:sz w:val="22"/>
          <w:szCs w:val="22"/>
        </w:rPr>
      </w:pPr>
    </w:p>
    <w:p w14:paraId="14C2454C" w14:textId="3F3527A1" w:rsidR="00630228" w:rsidRDefault="00630228" w:rsidP="00447875">
      <w:pPr>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t>De tal situación, se considera que el Sujeto Obligado no atendió de manera correcta el presente requerimiento, pues si bien proporcion</w:t>
      </w:r>
      <w:r w:rsidR="00210A88">
        <w:rPr>
          <w:rFonts w:ascii="Palatino Linotype" w:hAnsi="Palatino Linotype" w:cs="Tahoma"/>
          <w:color w:val="000000" w:themeColor="text1"/>
          <w:sz w:val="22"/>
          <w:szCs w:val="22"/>
        </w:rPr>
        <w:t>ó un vínculo electrónico del Portal de Información Pública de Oficio Mexiquense de Nicolás Romero, este no contiene la información solicitada.</w:t>
      </w:r>
    </w:p>
    <w:p w14:paraId="5017E190" w14:textId="77777777" w:rsidR="00210A88" w:rsidRDefault="00210A88" w:rsidP="00447875">
      <w:pPr>
        <w:spacing w:line="360" w:lineRule="auto"/>
        <w:jc w:val="both"/>
        <w:rPr>
          <w:rFonts w:ascii="Palatino Linotype" w:hAnsi="Palatino Linotype" w:cs="Tahoma"/>
          <w:color w:val="000000" w:themeColor="text1"/>
          <w:sz w:val="22"/>
          <w:szCs w:val="22"/>
        </w:rPr>
      </w:pPr>
    </w:p>
    <w:p w14:paraId="45139B2E" w14:textId="7FAB81E6" w:rsidR="00B85EF7" w:rsidRPr="00C22598" w:rsidRDefault="00B85EF7" w:rsidP="00B85EF7">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Ahora bien, cabe traer a colación el artículo 92, fracción XXIX, de la Ley de Transparencia y Acceso a la Información Pública del Estado de México y Municipios, que establece lo siguiente:</w:t>
      </w:r>
    </w:p>
    <w:p w14:paraId="1C351DE3" w14:textId="77777777" w:rsidR="00B85EF7" w:rsidRPr="00612748" w:rsidRDefault="00B85EF7" w:rsidP="00B85EF7">
      <w:pPr>
        <w:spacing w:line="360" w:lineRule="auto"/>
        <w:ind w:right="-93"/>
        <w:jc w:val="both"/>
        <w:rPr>
          <w:rFonts w:ascii="Palatino Linotype" w:hAnsi="Palatino Linotype" w:cs="Tahoma"/>
          <w:sz w:val="22"/>
          <w:szCs w:val="22"/>
        </w:rPr>
      </w:pPr>
    </w:p>
    <w:p w14:paraId="3CC84FB4" w14:textId="3B58024B"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b/>
          <w:i/>
        </w:rPr>
        <w:t>“Artículo 92.</w:t>
      </w:r>
      <w:r w:rsidRPr="00B85EF7">
        <w:rPr>
          <w:rFonts w:ascii="Palatino Linotype" w:hAnsi="Palatino Linotype" w:cs="Tahoma"/>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A675BE"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w:t>
      </w:r>
    </w:p>
    <w:p w14:paraId="6BFFF38E"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b/>
          <w:i/>
        </w:rPr>
        <w:t>XXIX.</w:t>
      </w:r>
      <w:r w:rsidRPr="00B85EF7">
        <w:rPr>
          <w:rFonts w:ascii="Palatino Linotype" w:hAnsi="Palatino Linotype" w:cs="Tahoma"/>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52F8067" w14:textId="77777777" w:rsidR="00B85EF7" w:rsidRPr="00B85EF7" w:rsidRDefault="00B85EF7" w:rsidP="00B85EF7">
      <w:pPr>
        <w:spacing w:line="360" w:lineRule="auto"/>
        <w:ind w:left="567" w:right="567"/>
        <w:jc w:val="both"/>
        <w:rPr>
          <w:rFonts w:ascii="Palatino Linotype" w:hAnsi="Palatino Linotype" w:cs="Tahoma"/>
          <w:i/>
        </w:rPr>
      </w:pPr>
    </w:p>
    <w:p w14:paraId="1A5DC5F6" w14:textId="77777777" w:rsidR="00B85EF7" w:rsidRPr="00B85EF7" w:rsidRDefault="00B85EF7" w:rsidP="00B85EF7">
      <w:pPr>
        <w:spacing w:line="360" w:lineRule="auto"/>
        <w:ind w:left="567" w:right="567"/>
        <w:jc w:val="both"/>
        <w:rPr>
          <w:rFonts w:ascii="Palatino Linotype" w:hAnsi="Palatino Linotype" w:cs="Tahoma"/>
          <w:b/>
          <w:i/>
        </w:rPr>
      </w:pPr>
      <w:r w:rsidRPr="00B85EF7">
        <w:rPr>
          <w:rFonts w:ascii="Palatino Linotype" w:hAnsi="Palatino Linotype" w:cs="Tahoma"/>
          <w:b/>
          <w:i/>
        </w:rPr>
        <w:t>a) De licitaciones públicas o procedimientos de invitación restringida:</w:t>
      </w:r>
    </w:p>
    <w:p w14:paraId="1A804057" w14:textId="77777777" w:rsidR="00B85EF7" w:rsidRPr="00B85EF7" w:rsidRDefault="00B85EF7" w:rsidP="00B85EF7">
      <w:pPr>
        <w:spacing w:line="360" w:lineRule="auto"/>
        <w:ind w:left="567" w:right="567"/>
        <w:jc w:val="both"/>
        <w:rPr>
          <w:rFonts w:ascii="Palatino Linotype" w:hAnsi="Palatino Linotype" w:cs="Tahoma"/>
          <w:i/>
        </w:rPr>
      </w:pPr>
    </w:p>
    <w:p w14:paraId="45311881"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1) La convocatoria o invitación emitida, así como los fundamentos legales aplicados para llevarla a cabo;</w:t>
      </w:r>
    </w:p>
    <w:p w14:paraId="0785F0F9"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2) Los nombres de los participantes o invitados;</w:t>
      </w:r>
    </w:p>
    <w:p w14:paraId="387A2758"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3) El nombre del ganador y las razones que lo justifican;</w:t>
      </w:r>
    </w:p>
    <w:p w14:paraId="41443F39"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4) El área solicitante y la responsable de su ejecución;</w:t>
      </w:r>
    </w:p>
    <w:p w14:paraId="723A48E4"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5) Las convocatorias e invitaciones emitidas;</w:t>
      </w:r>
    </w:p>
    <w:p w14:paraId="410B5534"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6) Los dictámenes y fallo de adjudicación;</w:t>
      </w:r>
    </w:p>
    <w:p w14:paraId="6AD087D3"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7) El contrato y, en su caso, sus anexos;</w:t>
      </w:r>
    </w:p>
    <w:p w14:paraId="5CF7A4FC"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8) Los mecanismos de vigilancia y supervisión, incluyendo en su caso, los estudios de impacto urbano y ambiental, según corresponda;</w:t>
      </w:r>
    </w:p>
    <w:p w14:paraId="238130CA"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9) La partida presupuestal, de conformidad con el clasificador por objeto del gasto, en el caso de ser aplicable;</w:t>
      </w:r>
    </w:p>
    <w:p w14:paraId="2E3975AC"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10) Origen de los recursos especificando si son federales, estatales o municipales, así como el tipo de fondo de participación o aportación respectiva;</w:t>
      </w:r>
    </w:p>
    <w:p w14:paraId="6D641B7A"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lastRenderedPageBreak/>
        <w:t>11) Los convenios modificatorios que, en su caso, sean firmados, precisando el objeto y la fecha de celebración;</w:t>
      </w:r>
    </w:p>
    <w:p w14:paraId="347F08EA"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12) Los informes de avance físico y financiero sobre las obras o servicios contratados;</w:t>
      </w:r>
    </w:p>
    <w:p w14:paraId="0885BA93"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13) El convenio de terminación;</w:t>
      </w:r>
    </w:p>
    <w:p w14:paraId="0D534A69"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14) El finiquito. </w:t>
      </w:r>
    </w:p>
    <w:p w14:paraId="4F5A49AD" w14:textId="77777777" w:rsidR="00B85EF7" w:rsidRPr="00B85EF7" w:rsidRDefault="00B85EF7" w:rsidP="00B85EF7">
      <w:pPr>
        <w:spacing w:line="360" w:lineRule="auto"/>
        <w:ind w:left="567" w:right="567"/>
        <w:jc w:val="both"/>
        <w:rPr>
          <w:rFonts w:ascii="Palatino Linotype" w:hAnsi="Palatino Linotype" w:cs="Tahoma"/>
          <w:i/>
        </w:rPr>
      </w:pPr>
    </w:p>
    <w:p w14:paraId="55C96024" w14:textId="77777777" w:rsidR="00B85EF7" w:rsidRPr="00B85EF7" w:rsidRDefault="00B85EF7" w:rsidP="00B85EF7">
      <w:pPr>
        <w:spacing w:line="360" w:lineRule="auto"/>
        <w:ind w:left="567" w:right="567"/>
        <w:jc w:val="both"/>
        <w:rPr>
          <w:rFonts w:ascii="Palatino Linotype" w:hAnsi="Palatino Linotype" w:cs="Tahoma"/>
          <w:b/>
          <w:i/>
        </w:rPr>
      </w:pPr>
      <w:r w:rsidRPr="00B85EF7">
        <w:rPr>
          <w:rFonts w:ascii="Palatino Linotype" w:hAnsi="Palatino Linotype" w:cs="Tahoma"/>
          <w:b/>
          <w:i/>
        </w:rPr>
        <w:t xml:space="preserve">b) De las adjudicaciones directas: </w:t>
      </w:r>
    </w:p>
    <w:p w14:paraId="297A2D4E" w14:textId="77777777" w:rsidR="00B85EF7" w:rsidRPr="00B85EF7" w:rsidRDefault="00B85EF7" w:rsidP="00B85EF7">
      <w:pPr>
        <w:spacing w:line="360" w:lineRule="auto"/>
        <w:ind w:left="567" w:right="567"/>
        <w:jc w:val="both"/>
        <w:rPr>
          <w:rFonts w:ascii="Palatino Linotype" w:hAnsi="Palatino Linotype" w:cs="Tahoma"/>
          <w:i/>
        </w:rPr>
      </w:pPr>
    </w:p>
    <w:p w14:paraId="4F28D636"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1) La propuesta enviada por el participante; </w:t>
      </w:r>
    </w:p>
    <w:p w14:paraId="6CAEBD64"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2) Los motivos y fundamentos legales aplicados para llevarla a cabo; </w:t>
      </w:r>
    </w:p>
    <w:p w14:paraId="06A49520"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3) La autorización del ejercicio de la opción; </w:t>
      </w:r>
    </w:p>
    <w:p w14:paraId="72F9A066"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4) En su caso, las cotizaciones consideradas, especificando los nombres de los proveedores y sus montos; </w:t>
      </w:r>
    </w:p>
    <w:p w14:paraId="6D8B5699"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5) El nombre de la persona física o jurídica colectiva adjudicada; </w:t>
      </w:r>
    </w:p>
    <w:p w14:paraId="15861B01"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6) La unidad administrativa solicitante y la responsable de su ejecución; </w:t>
      </w:r>
    </w:p>
    <w:p w14:paraId="54C6ACBC"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7) El número, fecha, el monto del contrato y el plazo de entrega o de ejecución de los servicios u obra; </w:t>
      </w:r>
    </w:p>
    <w:p w14:paraId="64DD8B0D"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8) Los mecanismos de vigilancia y supervisión, incluyendo, en su caso, los estudios de impacto urbano y ambiental, según corresponda; </w:t>
      </w:r>
    </w:p>
    <w:p w14:paraId="222C5B00"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9) Los informes de avance sobre las obras o servicios contratados; </w:t>
      </w:r>
    </w:p>
    <w:p w14:paraId="1AABCA59" w14:textId="77777777"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 xml:space="preserve">10) El convenio de terminación; y </w:t>
      </w:r>
    </w:p>
    <w:p w14:paraId="4B7E666A" w14:textId="12DA63B9" w:rsidR="00B85EF7" w:rsidRPr="00B85EF7" w:rsidRDefault="00B85EF7" w:rsidP="00B85EF7">
      <w:pPr>
        <w:spacing w:line="360" w:lineRule="auto"/>
        <w:ind w:left="567" w:right="567"/>
        <w:jc w:val="both"/>
        <w:rPr>
          <w:rFonts w:ascii="Palatino Linotype" w:hAnsi="Palatino Linotype" w:cs="Tahoma"/>
          <w:i/>
        </w:rPr>
      </w:pPr>
      <w:r w:rsidRPr="00B85EF7">
        <w:rPr>
          <w:rFonts w:ascii="Palatino Linotype" w:hAnsi="Palatino Linotype" w:cs="Tahoma"/>
          <w:i/>
        </w:rPr>
        <w:t>11) El finiquito.”</w:t>
      </w:r>
    </w:p>
    <w:p w14:paraId="4B2BBF2F" w14:textId="77777777" w:rsidR="00B85EF7" w:rsidRPr="00612748" w:rsidRDefault="00B85EF7" w:rsidP="00B85EF7">
      <w:pPr>
        <w:spacing w:line="360" w:lineRule="auto"/>
        <w:ind w:right="-93"/>
        <w:jc w:val="both"/>
        <w:rPr>
          <w:rFonts w:ascii="Palatino Linotype" w:hAnsi="Palatino Linotype" w:cs="Tahoma"/>
          <w:sz w:val="22"/>
          <w:szCs w:val="22"/>
        </w:rPr>
      </w:pPr>
    </w:p>
    <w:p w14:paraId="2D2201D9" w14:textId="0CADBED2" w:rsidR="00E26EC7" w:rsidRDefault="00B85EF7" w:rsidP="00E26EC7">
      <w:pPr>
        <w:spacing w:line="360" w:lineRule="auto"/>
        <w:jc w:val="both"/>
        <w:rPr>
          <w:rFonts w:ascii="Palatino Linotype" w:hAnsi="Palatino Linotype" w:cs="Tahoma"/>
          <w:b/>
          <w:sz w:val="22"/>
          <w:szCs w:val="22"/>
        </w:rPr>
      </w:pPr>
      <w:r w:rsidRPr="00E26EC7">
        <w:rPr>
          <w:rFonts w:ascii="Palatino Linotype" w:eastAsia="Calibri" w:hAnsi="Palatino Linotype" w:cs="Tahoma"/>
          <w:iCs/>
          <w:sz w:val="22"/>
          <w:szCs w:val="22"/>
          <w:lang w:eastAsia="es-ES_tradnl"/>
        </w:rPr>
        <w:t xml:space="preserve">Conforme a lo anterior, se advierte </w:t>
      </w:r>
      <w:r w:rsidR="00E26EC7" w:rsidRPr="00E26EC7">
        <w:rPr>
          <w:rFonts w:ascii="Palatino Linotype" w:hAnsi="Palatino Linotype" w:cs="Tahoma"/>
          <w:sz w:val="22"/>
          <w:szCs w:val="22"/>
          <w:lang w:val="es-ES"/>
        </w:rPr>
        <w:t xml:space="preserve">que es información pública de oficio, la concerniente a los </w:t>
      </w:r>
      <w:r w:rsidR="00E26EC7" w:rsidRPr="00E26EC7">
        <w:rPr>
          <w:rFonts w:ascii="Palatino Linotype" w:hAnsi="Palatino Linotype" w:cs="Tahoma"/>
          <w:sz w:val="22"/>
          <w:szCs w:val="22"/>
        </w:rPr>
        <w:t xml:space="preserve">procesos y resultados sobre procedimientos de contratación, que incluya </w:t>
      </w:r>
      <w:r w:rsidR="00E26EC7" w:rsidRPr="00E26EC7">
        <w:rPr>
          <w:rFonts w:ascii="Palatino Linotype" w:hAnsi="Palatino Linotype" w:cs="Tahoma"/>
          <w:b/>
          <w:sz w:val="22"/>
          <w:szCs w:val="22"/>
        </w:rPr>
        <w:t>la versión pública del expediente respectivo y de los contratos celebrados.</w:t>
      </w:r>
    </w:p>
    <w:p w14:paraId="1BE858E9" w14:textId="77777777" w:rsidR="0097257B" w:rsidRPr="00E26EC7" w:rsidRDefault="0097257B" w:rsidP="00E26EC7">
      <w:pPr>
        <w:spacing w:line="360" w:lineRule="auto"/>
        <w:jc w:val="both"/>
        <w:rPr>
          <w:rFonts w:ascii="Palatino Linotype" w:hAnsi="Palatino Linotype" w:cs="Tahoma"/>
          <w:b/>
          <w:sz w:val="22"/>
          <w:szCs w:val="22"/>
        </w:rPr>
      </w:pPr>
    </w:p>
    <w:p w14:paraId="3605800B" w14:textId="08B79A17" w:rsidR="00B85EF7" w:rsidRDefault="00E26EC7" w:rsidP="00B85EF7">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ese orden de ideas y tal como, se estableció en párrafos anteriores, las obras públicas contratadas, hasta la fecha de la solicitud de información, ya concluyeron o están en proceso </w:t>
      </w:r>
      <w:r>
        <w:rPr>
          <w:rFonts w:ascii="Palatino Linotype" w:eastAsia="Calibri" w:hAnsi="Palatino Linotype" w:cs="Tahoma"/>
          <w:iCs/>
          <w:sz w:val="22"/>
          <w:szCs w:val="22"/>
          <w:lang w:eastAsia="es-ES_tradnl"/>
        </w:rPr>
        <w:lastRenderedPageBreak/>
        <w:t xml:space="preserve">de ejecución, por lo que, en todas ya se realizó el contrato respectivo; tan es así, que la Dirección de Obras Públicas, </w:t>
      </w:r>
      <w:r w:rsidR="00380101">
        <w:rPr>
          <w:rFonts w:ascii="Palatino Linotype" w:eastAsia="Calibri" w:hAnsi="Palatino Linotype" w:cs="Tahoma"/>
          <w:iCs/>
          <w:sz w:val="22"/>
          <w:szCs w:val="22"/>
          <w:lang w:eastAsia="es-ES_tradnl"/>
        </w:rPr>
        <w:t>otorgó los números de cada acto jurídico y por lo tanto, debe de obras en sus archivos la información requerida por el Particular.</w:t>
      </w:r>
    </w:p>
    <w:p w14:paraId="069F2B51" w14:textId="77777777" w:rsidR="00380101" w:rsidRDefault="00380101" w:rsidP="00B85EF7">
      <w:pPr>
        <w:spacing w:line="360" w:lineRule="auto"/>
        <w:ind w:right="-93"/>
        <w:jc w:val="both"/>
        <w:rPr>
          <w:rFonts w:ascii="Palatino Linotype" w:eastAsia="Calibri" w:hAnsi="Palatino Linotype" w:cs="Tahoma"/>
          <w:iCs/>
          <w:sz w:val="22"/>
          <w:szCs w:val="22"/>
          <w:lang w:eastAsia="es-ES_tradnl"/>
        </w:rPr>
      </w:pPr>
    </w:p>
    <w:p w14:paraId="6FEDEBF3" w14:textId="3D53CD37" w:rsidR="000649D8" w:rsidRDefault="00CA170F" w:rsidP="000649D8">
      <w:pPr>
        <w:spacing w:line="360" w:lineRule="auto"/>
        <w:ind w:right="-93"/>
        <w:jc w:val="both"/>
        <w:rPr>
          <w:rFonts w:ascii="Palatino Linotype" w:eastAsia="Calibri" w:hAnsi="Palatino Linotype" w:cs="Tahoma"/>
          <w:b/>
          <w:bCs/>
          <w:iCs/>
          <w:sz w:val="22"/>
          <w:szCs w:val="22"/>
          <w:lang w:eastAsia="es-ES_tradnl"/>
        </w:rPr>
      </w:pPr>
      <w:r>
        <w:rPr>
          <w:rFonts w:ascii="Palatino Linotype" w:eastAsia="Calibri" w:hAnsi="Palatino Linotype" w:cs="Tahoma"/>
          <w:iCs/>
          <w:sz w:val="22"/>
          <w:szCs w:val="22"/>
          <w:lang w:eastAsia="es-ES_tradnl"/>
        </w:rPr>
        <w:t>De tales circunstancias, se considera que para atender el presente requerimiento de información, el Sujeto Obligado deberá realizar una búsqueda exhaustiva y razonable, en todos los archivos de la Dirección de Obras Públicas</w:t>
      </w:r>
      <w:r w:rsidR="006F614F">
        <w:rPr>
          <w:rFonts w:ascii="Palatino Linotype" w:eastAsia="Calibri" w:hAnsi="Palatino Linotype" w:cs="Tahoma"/>
          <w:iCs/>
          <w:sz w:val="22"/>
          <w:szCs w:val="22"/>
          <w:lang w:eastAsia="es-ES_tradnl"/>
        </w:rPr>
        <w:t>, de conformidad con el artículo 162 de la Ley de Transparencia y Acceso a la Información Pública del Estado de México y Municipios</w:t>
      </w:r>
      <w:r>
        <w:rPr>
          <w:rFonts w:ascii="Palatino Linotype" w:eastAsia="Calibri" w:hAnsi="Palatino Linotype" w:cs="Tahoma"/>
          <w:iCs/>
          <w:sz w:val="22"/>
          <w:szCs w:val="22"/>
          <w:lang w:eastAsia="es-ES_tradnl"/>
        </w:rPr>
        <w:t>, con el fin de propor</w:t>
      </w:r>
      <w:r w:rsidR="000649D8">
        <w:rPr>
          <w:rFonts w:ascii="Palatino Linotype" w:eastAsia="Calibri" w:hAnsi="Palatino Linotype" w:cs="Tahoma"/>
          <w:iCs/>
          <w:sz w:val="22"/>
          <w:szCs w:val="22"/>
          <w:lang w:eastAsia="es-ES_tradnl"/>
        </w:rPr>
        <w:t xml:space="preserve">cionar respecto a las obras públicas contratadas con recursos del </w:t>
      </w:r>
      <w:r w:rsidR="000649D8" w:rsidRPr="000649D8">
        <w:rPr>
          <w:rFonts w:ascii="Palatino Linotype" w:eastAsia="Calibri" w:hAnsi="Palatino Linotype" w:cs="Tahoma"/>
          <w:iCs/>
          <w:sz w:val="22"/>
          <w:szCs w:val="22"/>
          <w:lang w:eastAsia="es-ES_tradnl"/>
        </w:rPr>
        <w:t>Fondo de Infraestructura Social Municipal y Demarcaciones Territoriales del Distrito Federal</w:t>
      </w:r>
      <w:r w:rsidR="000649D8">
        <w:rPr>
          <w:rFonts w:ascii="Palatino Linotype" w:eastAsia="Calibri" w:hAnsi="Palatino Linotype" w:cs="Tahoma"/>
          <w:iCs/>
          <w:sz w:val="22"/>
          <w:szCs w:val="22"/>
          <w:lang w:eastAsia="es-ES_tradnl"/>
        </w:rPr>
        <w:t xml:space="preserve">, los documentos donde conste </w:t>
      </w:r>
      <w:r w:rsidR="00A23AE3">
        <w:rPr>
          <w:rFonts w:ascii="Palatino Linotype" w:eastAsia="Calibri" w:hAnsi="Palatino Linotype" w:cs="Tahoma"/>
          <w:iCs/>
          <w:sz w:val="22"/>
          <w:szCs w:val="22"/>
          <w:lang w:eastAsia="es-ES_tradnl"/>
        </w:rPr>
        <w:t>el proceso realizado, desde la convocatoria o invitación hasta la suscripción del contrato, de los siguientes actos jurídicos:</w:t>
      </w:r>
      <w:r w:rsidR="00A23AE3" w:rsidRPr="00A23AE3">
        <w:rPr>
          <w:rFonts w:ascii="Palatino Linotype" w:hAnsi="Palatino Linotype" w:cs="Tahoma"/>
          <w:bCs/>
          <w:color w:val="000000" w:themeColor="text1"/>
          <w:sz w:val="22"/>
          <w:szCs w:val="22"/>
        </w:rPr>
        <w:t xml:space="preserve"> </w:t>
      </w:r>
      <w:r w:rsidR="00A23AE3" w:rsidRPr="00A23AE3">
        <w:rPr>
          <w:rFonts w:ascii="Palatino Linotype" w:eastAsia="Calibri" w:hAnsi="Palatino Linotype" w:cs="Tahoma"/>
          <w:b/>
          <w:bCs/>
          <w:iCs/>
          <w:sz w:val="22"/>
          <w:szCs w:val="22"/>
          <w:lang w:eastAsia="es-ES_tradnl"/>
        </w:rPr>
        <w:t>NR-DOP-FISMDF-LP-001-19, NR-DOP-FISMDF-LP-002-19, NR-DOP-FISMDF-LP-003-19, NR-DOP-FISMDF-IR-004-19, NR-DOP-FISMDF-IR-005-19, NR-DOP-FISMDF-IR-006-19, NR-DOP-FISMDF-IR-007-19, NR-DOP-FISMDF-IR-008-19, NR-DOP-FISMDF-LP-009-19, NR-DOP-FISMDF-LP-010-19 y NR-DOP-FISMDF-LP-0</w:t>
      </w:r>
      <w:r w:rsidR="00A23AE3">
        <w:rPr>
          <w:rFonts w:ascii="Palatino Linotype" w:eastAsia="Calibri" w:hAnsi="Palatino Linotype" w:cs="Tahoma"/>
          <w:b/>
          <w:bCs/>
          <w:iCs/>
          <w:sz w:val="22"/>
          <w:szCs w:val="22"/>
          <w:lang w:eastAsia="es-ES_tradnl"/>
        </w:rPr>
        <w:t>1</w:t>
      </w:r>
      <w:r w:rsidR="00A23AE3" w:rsidRPr="00A23AE3">
        <w:rPr>
          <w:rFonts w:ascii="Palatino Linotype" w:eastAsia="Calibri" w:hAnsi="Palatino Linotype" w:cs="Tahoma"/>
          <w:b/>
          <w:bCs/>
          <w:iCs/>
          <w:sz w:val="22"/>
          <w:szCs w:val="22"/>
          <w:lang w:eastAsia="es-ES_tradnl"/>
        </w:rPr>
        <w:t>1-19</w:t>
      </w:r>
      <w:r w:rsidR="00563C45">
        <w:rPr>
          <w:rFonts w:ascii="Palatino Linotype" w:eastAsia="Calibri" w:hAnsi="Palatino Linotype" w:cs="Tahoma"/>
          <w:b/>
          <w:bCs/>
          <w:iCs/>
          <w:sz w:val="22"/>
          <w:szCs w:val="22"/>
          <w:lang w:eastAsia="es-ES_tradnl"/>
        </w:rPr>
        <w:t>.</w:t>
      </w:r>
    </w:p>
    <w:p w14:paraId="795B4430" w14:textId="77777777" w:rsidR="00563C45" w:rsidRDefault="00563C45" w:rsidP="000649D8">
      <w:pPr>
        <w:spacing w:line="360" w:lineRule="auto"/>
        <w:ind w:right="-93"/>
        <w:jc w:val="both"/>
        <w:rPr>
          <w:rFonts w:ascii="Palatino Linotype" w:eastAsia="Calibri" w:hAnsi="Palatino Linotype" w:cs="Tahoma"/>
          <w:b/>
          <w:bCs/>
          <w:iCs/>
          <w:sz w:val="22"/>
          <w:szCs w:val="22"/>
          <w:lang w:eastAsia="es-ES_tradnl"/>
        </w:rPr>
      </w:pPr>
    </w:p>
    <w:p w14:paraId="0B7CD703" w14:textId="1A79A190" w:rsidR="003E3988" w:rsidRDefault="00563C45" w:rsidP="000649D8">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Ahora bien se procede analizar </w:t>
      </w:r>
      <w:r w:rsidRPr="003E3988">
        <w:rPr>
          <w:rFonts w:ascii="Palatino Linotype" w:eastAsia="Calibri" w:hAnsi="Palatino Linotype" w:cs="Tahoma"/>
          <w:b/>
          <w:iCs/>
          <w:sz w:val="22"/>
          <w:szCs w:val="22"/>
          <w:lang w:eastAsia="es-ES_tradnl"/>
        </w:rPr>
        <w:t xml:space="preserve">el requerimiento </w:t>
      </w:r>
      <w:r w:rsidR="003E3988" w:rsidRPr="003E3988">
        <w:rPr>
          <w:rFonts w:ascii="Palatino Linotype" w:eastAsia="Calibri" w:hAnsi="Palatino Linotype" w:cs="Tahoma"/>
          <w:b/>
          <w:iCs/>
          <w:sz w:val="22"/>
          <w:szCs w:val="22"/>
          <w:lang w:eastAsia="es-ES_tradnl"/>
        </w:rPr>
        <w:t>4</w:t>
      </w:r>
      <w:r w:rsidRPr="003E3988">
        <w:rPr>
          <w:rFonts w:ascii="Palatino Linotype" w:eastAsia="Calibri" w:hAnsi="Palatino Linotype" w:cs="Tahoma"/>
          <w:b/>
          <w:iCs/>
          <w:sz w:val="22"/>
          <w:szCs w:val="22"/>
          <w:lang w:eastAsia="es-ES_tradnl"/>
        </w:rPr>
        <w:t>), inciso i),</w:t>
      </w:r>
      <w:r>
        <w:rPr>
          <w:rFonts w:ascii="Palatino Linotype" w:eastAsia="Calibri" w:hAnsi="Palatino Linotype" w:cs="Tahoma"/>
          <w:iCs/>
          <w:sz w:val="22"/>
          <w:szCs w:val="22"/>
          <w:lang w:eastAsia="es-ES_tradnl"/>
        </w:rPr>
        <w:t xml:space="preserve"> referente </w:t>
      </w:r>
      <w:r w:rsidR="003E3988">
        <w:rPr>
          <w:rFonts w:ascii="Palatino Linotype" w:eastAsia="Calibri" w:hAnsi="Palatino Linotype" w:cs="Tahoma"/>
          <w:iCs/>
          <w:sz w:val="22"/>
          <w:szCs w:val="22"/>
          <w:lang w:eastAsia="es-ES_tradnl"/>
        </w:rPr>
        <w:t>a las c</w:t>
      </w:r>
      <w:r w:rsidR="003E3988" w:rsidRPr="003E3988">
        <w:rPr>
          <w:rFonts w:ascii="Palatino Linotype" w:eastAsia="Calibri" w:hAnsi="Palatino Linotype" w:cs="Tahoma"/>
          <w:iCs/>
          <w:sz w:val="22"/>
          <w:szCs w:val="22"/>
          <w:lang w:eastAsia="es-ES_tradnl"/>
        </w:rPr>
        <w:t>onstancia</w:t>
      </w:r>
      <w:r w:rsidR="003E3988">
        <w:rPr>
          <w:rFonts w:ascii="Palatino Linotype" w:eastAsia="Calibri" w:hAnsi="Palatino Linotype" w:cs="Tahoma"/>
          <w:iCs/>
          <w:sz w:val="22"/>
          <w:szCs w:val="22"/>
          <w:lang w:eastAsia="es-ES_tradnl"/>
        </w:rPr>
        <w:t>s</w:t>
      </w:r>
      <w:r w:rsidR="003E3988" w:rsidRPr="003E3988">
        <w:rPr>
          <w:rFonts w:ascii="Palatino Linotype" w:eastAsia="Calibri" w:hAnsi="Palatino Linotype" w:cs="Tahoma"/>
          <w:iCs/>
          <w:sz w:val="22"/>
          <w:szCs w:val="22"/>
          <w:lang w:eastAsia="es-ES_tradnl"/>
        </w:rPr>
        <w:t xml:space="preserve"> de que los contratistas </w:t>
      </w:r>
      <w:r w:rsidR="003E3988">
        <w:rPr>
          <w:rFonts w:ascii="Palatino Linotype" w:eastAsia="Calibri" w:hAnsi="Palatino Linotype" w:cs="Tahoma"/>
          <w:iCs/>
          <w:sz w:val="22"/>
          <w:szCs w:val="22"/>
          <w:lang w:eastAsia="es-ES_tradnl"/>
        </w:rPr>
        <w:t>entregaron</w:t>
      </w:r>
      <w:r w:rsidR="003E3988" w:rsidRPr="003E3988">
        <w:rPr>
          <w:rFonts w:ascii="Palatino Linotype" w:eastAsia="Calibri" w:hAnsi="Palatino Linotype" w:cs="Tahoma"/>
          <w:iCs/>
          <w:sz w:val="22"/>
          <w:szCs w:val="22"/>
          <w:lang w:eastAsia="es-ES_tradnl"/>
        </w:rPr>
        <w:t xml:space="preserve"> las finanzas correspondientes</w:t>
      </w:r>
      <w:r w:rsidR="003E3988">
        <w:rPr>
          <w:rFonts w:ascii="Palatino Linotype" w:eastAsia="Calibri" w:hAnsi="Palatino Linotype" w:cs="Tahoma"/>
          <w:iCs/>
          <w:sz w:val="22"/>
          <w:szCs w:val="22"/>
          <w:lang w:eastAsia="es-ES_tradnl"/>
        </w:rPr>
        <w:t>, respecto a los once procedimientos de contratación multicitados; por lo que, en principio es necesario contextualizar la solicitud de información.</w:t>
      </w:r>
    </w:p>
    <w:p w14:paraId="4CDECD5F" w14:textId="77777777" w:rsidR="003E3988" w:rsidRDefault="003E3988" w:rsidP="000649D8">
      <w:pPr>
        <w:spacing w:line="360" w:lineRule="auto"/>
        <w:ind w:right="-93"/>
        <w:jc w:val="both"/>
        <w:rPr>
          <w:rFonts w:ascii="Palatino Linotype" w:eastAsia="Calibri" w:hAnsi="Palatino Linotype" w:cs="Tahoma"/>
          <w:iCs/>
          <w:sz w:val="22"/>
          <w:szCs w:val="22"/>
          <w:lang w:eastAsia="es-ES_tradnl"/>
        </w:rPr>
      </w:pPr>
    </w:p>
    <w:p w14:paraId="4737C1F1" w14:textId="53F210F8" w:rsidR="003E3988" w:rsidRDefault="00213C33" w:rsidP="000649D8">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ese sentido, el artículo </w:t>
      </w:r>
      <w:r w:rsidR="00860727">
        <w:rPr>
          <w:rFonts w:ascii="Palatino Linotype" w:eastAsia="Calibri" w:hAnsi="Palatino Linotype" w:cs="Tahoma"/>
          <w:iCs/>
          <w:sz w:val="22"/>
          <w:szCs w:val="22"/>
          <w:lang w:eastAsia="es-ES_tradnl"/>
        </w:rPr>
        <w:t xml:space="preserve">3, fracción XVI, del Reglamento del Libro Décimo Segundo del Código Administrativo del Estado de México, indica que las estimaciones, son las cuantificaciones y valuaciones de los trabajos ejecutados en un periodo determinado, mediante </w:t>
      </w:r>
      <w:r w:rsidR="00860727">
        <w:rPr>
          <w:rFonts w:ascii="Palatino Linotype" w:eastAsia="Calibri" w:hAnsi="Palatino Linotype" w:cs="Tahoma"/>
          <w:iCs/>
          <w:sz w:val="22"/>
          <w:szCs w:val="22"/>
          <w:lang w:eastAsia="es-ES_tradnl"/>
        </w:rPr>
        <w:lastRenderedPageBreak/>
        <w:t xml:space="preserve">la aplicación de los precios unitarios, a las cantidades </w:t>
      </w:r>
      <w:r w:rsidR="00E1267A">
        <w:rPr>
          <w:rFonts w:ascii="Palatino Linotype" w:eastAsia="Calibri" w:hAnsi="Palatino Linotype" w:cs="Tahoma"/>
          <w:iCs/>
          <w:sz w:val="22"/>
          <w:szCs w:val="22"/>
          <w:lang w:eastAsia="es-ES_tradnl"/>
        </w:rPr>
        <w:t>de los conceptos de trabajos realizados; corresponde a los documentos en donde se consignan los importes para su pago.</w:t>
      </w:r>
    </w:p>
    <w:p w14:paraId="0881EC23" w14:textId="77777777" w:rsidR="00E1267A" w:rsidRDefault="00E1267A" w:rsidP="000649D8">
      <w:pPr>
        <w:spacing w:line="360" w:lineRule="auto"/>
        <w:ind w:right="-93"/>
        <w:jc w:val="both"/>
        <w:rPr>
          <w:rFonts w:ascii="Palatino Linotype" w:eastAsia="Calibri" w:hAnsi="Palatino Linotype" w:cs="Tahoma"/>
          <w:iCs/>
          <w:sz w:val="22"/>
          <w:szCs w:val="22"/>
          <w:lang w:eastAsia="es-ES_tradnl"/>
        </w:rPr>
      </w:pPr>
    </w:p>
    <w:p w14:paraId="7B4CBFB8" w14:textId="0E5DA797" w:rsidR="00E1267A" w:rsidRPr="007430E0" w:rsidRDefault="00E1267A" w:rsidP="000649D8">
      <w:pPr>
        <w:spacing w:line="360" w:lineRule="auto"/>
        <w:ind w:right="-93"/>
        <w:jc w:val="both"/>
        <w:rPr>
          <w:rFonts w:ascii="Palatino Linotype" w:eastAsia="Calibri" w:hAnsi="Palatino Linotype" w:cs="Tahoma"/>
          <w:iCs/>
          <w:sz w:val="22"/>
          <w:szCs w:val="22"/>
          <w:lang w:eastAsia="es-ES_tradnl"/>
        </w:rPr>
      </w:pPr>
      <w:r w:rsidRPr="007430E0">
        <w:rPr>
          <w:rFonts w:ascii="Palatino Linotype" w:eastAsia="Calibri" w:hAnsi="Palatino Linotype" w:cs="Tahoma"/>
          <w:iCs/>
          <w:sz w:val="22"/>
          <w:szCs w:val="22"/>
          <w:lang w:eastAsia="es-ES_tradnl"/>
        </w:rPr>
        <w:t xml:space="preserve">En ese contexto, el artículo 162 de dicho ordenamiento jurídico, establece </w:t>
      </w:r>
      <w:r w:rsidR="009F76DF" w:rsidRPr="007430E0">
        <w:rPr>
          <w:rFonts w:ascii="Palatino Linotype" w:eastAsia="Calibri" w:hAnsi="Palatino Linotype" w:cs="Tahoma"/>
          <w:iCs/>
          <w:sz w:val="22"/>
          <w:szCs w:val="22"/>
          <w:lang w:eastAsia="es-ES_tradnl"/>
        </w:rPr>
        <w:t xml:space="preserve">que durante la ejecución de los trabajos, el Contratista, entregará junto con las estimaciones correspondientes, </w:t>
      </w:r>
      <w:r w:rsidR="00AF54E4" w:rsidRPr="007430E0">
        <w:rPr>
          <w:rFonts w:ascii="Palatino Linotype" w:eastAsia="Calibri" w:hAnsi="Palatino Linotype" w:cs="Tahoma"/>
          <w:iCs/>
          <w:sz w:val="22"/>
          <w:szCs w:val="22"/>
          <w:lang w:eastAsia="es-ES_tradnl"/>
        </w:rPr>
        <w:t xml:space="preserve">los documentos de </w:t>
      </w:r>
      <w:r w:rsidR="009F76DF" w:rsidRPr="007430E0">
        <w:rPr>
          <w:rFonts w:ascii="Palatino Linotype" w:eastAsia="Calibri" w:hAnsi="Palatino Linotype" w:cs="Tahoma"/>
          <w:iCs/>
          <w:sz w:val="22"/>
          <w:szCs w:val="22"/>
          <w:lang w:eastAsia="es-ES_tradnl"/>
        </w:rPr>
        <w:t xml:space="preserve">los insumos y consumos empleados en el </w:t>
      </w:r>
      <w:r w:rsidR="00AF54E4" w:rsidRPr="007430E0">
        <w:rPr>
          <w:rFonts w:ascii="Palatino Linotype" w:eastAsia="Calibri" w:hAnsi="Palatino Linotype" w:cs="Tahoma"/>
          <w:iCs/>
          <w:sz w:val="22"/>
          <w:szCs w:val="22"/>
          <w:lang w:eastAsia="es-ES_tradnl"/>
        </w:rPr>
        <w:t xml:space="preserve">periodo. </w:t>
      </w:r>
    </w:p>
    <w:p w14:paraId="33355A97" w14:textId="77777777" w:rsidR="003E3988" w:rsidRPr="007430E0" w:rsidRDefault="003E3988" w:rsidP="000649D8">
      <w:pPr>
        <w:spacing w:line="360" w:lineRule="auto"/>
        <w:ind w:right="-93"/>
        <w:jc w:val="both"/>
        <w:rPr>
          <w:rFonts w:ascii="Palatino Linotype" w:eastAsia="Calibri" w:hAnsi="Palatino Linotype" w:cs="Tahoma"/>
          <w:iCs/>
          <w:sz w:val="22"/>
          <w:szCs w:val="22"/>
          <w:lang w:eastAsia="es-ES_tradnl"/>
        </w:rPr>
      </w:pPr>
    </w:p>
    <w:p w14:paraId="47ED93D5" w14:textId="4CF04F04" w:rsidR="001F663C" w:rsidRPr="007430E0" w:rsidRDefault="001F663C" w:rsidP="000649D8">
      <w:pPr>
        <w:spacing w:line="360" w:lineRule="auto"/>
        <w:ind w:right="-93"/>
        <w:jc w:val="both"/>
        <w:rPr>
          <w:rFonts w:ascii="Palatino Linotype" w:eastAsia="Calibri" w:hAnsi="Palatino Linotype" w:cs="Tahoma"/>
          <w:iCs/>
          <w:sz w:val="22"/>
          <w:szCs w:val="22"/>
          <w:lang w:eastAsia="es-ES_tradnl"/>
        </w:rPr>
      </w:pPr>
      <w:r w:rsidRPr="007430E0">
        <w:rPr>
          <w:rFonts w:ascii="Palatino Linotype" w:eastAsia="Calibri" w:hAnsi="Palatino Linotype" w:cs="Tahoma"/>
          <w:iCs/>
          <w:sz w:val="22"/>
          <w:szCs w:val="22"/>
          <w:lang w:eastAsia="es-ES_tradnl"/>
        </w:rPr>
        <w:t xml:space="preserve">Conforme a lo anterior, se advierte que los Contratistas, por ejecutar trabajos de la obra, en determinado tiempo, </w:t>
      </w:r>
      <w:r w:rsidR="0024188D" w:rsidRPr="007430E0">
        <w:rPr>
          <w:rFonts w:ascii="Palatino Linotype" w:eastAsia="Calibri" w:hAnsi="Palatino Linotype" w:cs="Tahoma"/>
          <w:iCs/>
          <w:sz w:val="22"/>
          <w:szCs w:val="22"/>
          <w:lang w:eastAsia="es-ES_tradnl"/>
        </w:rPr>
        <w:t>tienen</w:t>
      </w:r>
      <w:r w:rsidRPr="007430E0">
        <w:rPr>
          <w:rFonts w:ascii="Palatino Linotype" w:eastAsia="Calibri" w:hAnsi="Palatino Linotype" w:cs="Tahoma"/>
          <w:iCs/>
          <w:sz w:val="22"/>
          <w:szCs w:val="22"/>
          <w:lang w:eastAsia="es-ES_tradnl"/>
        </w:rPr>
        <w:t xml:space="preserve"> que emitir las estimaciones, con su documentación comprobatoria, </w:t>
      </w:r>
      <w:r w:rsidR="0024188D" w:rsidRPr="007430E0">
        <w:rPr>
          <w:rFonts w:ascii="Palatino Linotype" w:eastAsia="Calibri" w:hAnsi="Palatino Linotype" w:cs="Tahoma"/>
          <w:iCs/>
          <w:sz w:val="22"/>
          <w:szCs w:val="22"/>
          <w:lang w:eastAsia="es-ES_tradnl"/>
        </w:rPr>
        <w:t>para solicitar el pago de estas.</w:t>
      </w:r>
    </w:p>
    <w:p w14:paraId="004D234E" w14:textId="77777777" w:rsidR="001F663C" w:rsidRPr="007430E0" w:rsidRDefault="001F663C" w:rsidP="000649D8">
      <w:pPr>
        <w:spacing w:line="360" w:lineRule="auto"/>
        <w:ind w:right="-93"/>
        <w:jc w:val="both"/>
        <w:rPr>
          <w:rFonts w:ascii="Palatino Linotype" w:eastAsia="Calibri" w:hAnsi="Palatino Linotype" w:cs="Tahoma"/>
          <w:iCs/>
          <w:sz w:val="22"/>
          <w:szCs w:val="22"/>
          <w:lang w:eastAsia="es-ES_tradnl"/>
        </w:rPr>
      </w:pPr>
    </w:p>
    <w:p w14:paraId="1B3098BC" w14:textId="7745FF2E" w:rsidR="00A23AE3" w:rsidRPr="007430E0" w:rsidRDefault="00AF54E4" w:rsidP="000649D8">
      <w:pPr>
        <w:spacing w:line="360" w:lineRule="auto"/>
        <w:ind w:right="-93"/>
        <w:jc w:val="both"/>
        <w:rPr>
          <w:rFonts w:ascii="Palatino Linotype" w:eastAsia="Calibri" w:hAnsi="Palatino Linotype" w:cs="Tahoma"/>
          <w:iCs/>
          <w:sz w:val="22"/>
          <w:szCs w:val="22"/>
          <w:lang w:eastAsia="es-ES_tradnl"/>
        </w:rPr>
      </w:pPr>
      <w:r w:rsidRPr="007430E0">
        <w:rPr>
          <w:rFonts w:ascii="Palatino Linotype" w:eastAsia="Calibri" w:hAnsi="Palatino Linotype" w:cs="Tahoma"/>
          <w:iCs/>
          <w:sz w:val="22"/>
          <w:szCs w:val="22"/>
          <w:lang w:eastAsia="es-ES_tradnl"/>
        </w:rPr>
        <w:t>De tales circunstancias, en términos del criterio 16/17, emitido por el Instituto Nacional de T</w:t>
      </w:r>
      <w:r w:rsidR="007E5B94" w:rsidRPr="007430E0">
        <w:rPr>
          <w:rFonts w:ascii="Palatino Linotype" w:eastAsia="Calibri" w:hAnsi="Palatino Linotype" w:cs="Tahoma"/>
          <w:iCs/>
          <w:sz w:val="22"/>
          <w:szCs w:val="22"/>
          <w:lang w:eastAsia="es-ES_tradnl"/>
        </w:rPr>
        <w:t>ransparencia, Acceso a la Información y Protección de Datos P</w:t>
      </w:r>
      <w:r w:rsidR="0024188D" w:rsidRPr="007430E0">
        <w:rPr>
          <w:rFonts w:ascii="Palatino Linotype" w:eastAsia="Calibri" w:hAnsi="Palatino Linotype" w:cs="Tahoma"/>
          <w:iCs/>
          <w:sz w:val="22"/>
          <w:szCs w:val="22"/>
          <w:lang w:eastAsia="es-ES_tradnl"/>
        </w:rPr>
        <w:t xml:space="preserve">ersonales, y toda vez que el </w:t>
      </w:r>
      <w:r w:rsidR="007E5B94" w:rsidRPr="007430E0">
        <w:rPr>
          <w:rFonts w:ascii="Palatino Linotype" w:eastAsia="Calibri" w:hAnsi="Palatino Linotype" w:cs="Tahoma"/>
          <w:iCs/>
          <w:sz w:val="22"/>
          <w:szCs w:val="22"/>
          <w:lang w:eastAsia="es-ES_tradnl"/>
        </w:rPr>
        <w:t xml:space="preserve"> Particular, no se encuentra</w:t>
      </w:r>
      <w:r w:rsidR="001C70EA" w:rsidRPr="007430E0">
        <w:rPr>
          <w:rFonts w:ascii="Palatino Linotype" w:eastAsia="Calibri" w:hAnsi="Palatino Linotype" w:cs="Tahoma"/>
          <w:iCs/>
          <w:sz w:val="22"/>
          <w:szCs w:val="22"/>
          <w:lang w:eastAsia="es-ES_tradnl"/>
        </w:rPr>
        <w:t xml:space="preserve"> constreñido a conocer el nombre de los</w:t>
      </w:r>
      <w:r w:rsidR="0024188D" w:rsidRPr="007430E0">
        <w:rPr>
          <w:rFonts w:ascii="Palatino Linotype" w:eastAsia="Calibri" w:hAnsi="Palatino Linotype" w:cs="Tahoma"/>
          <w:iCs/>
          <w:sz w:val="22"/>
          <w:szCs w:val="22"/>
          <w:lang w:eastAsia="es-ES_tradnl"/>
        </w:rPr>
        <w:t xml:space="preserve"> documentos a los cuales requiere</w:t>
      </w:r>
      <w:r w:rsidR="001C70EA" w:rsidRPr="007430E0">
        <w:rPr>
          <w:rFonts w:ascii="Palatino Linotype" w:eastAsia="Calibri" w:hAnsi="Palatino Linotype" w:cs="Tahoma"/>
          <w:iCs/>
          <w:sz w:val="22"/>
          <w:szCs w:val="22"/>
          <w:lang w:eastAsia="es-ES_tradnl"/>
        </w:rPr>
        <w:t xml:space="preserve"> tener acceso, se considera que, en el presente caso, es obtener las estimaciones, con su documentación comprobatoria, entregadas por los contratistas, del primero de enero de dos mil diecinueve al diecinueve de agosto de la presente anualidad</w:t>
      </w:r>
      <w:r w:rsidR="00501D92" w:rsidRPr="007430E0">
        <w:rPr>
          <w:rFonts w:ascii="Palatino Linotype" w:eastAsia="Calibri" w:hAnsi="Palatino Linotype" w:cs="Tahoma"/>
          <w:iCs/>
          <w:sz w:val="22"/>
          <w:szCs w:val="22"/>
          <w:lang w:eastAsia="es-ES_tradnl"/>
        </w:rPr>
        <w:t>, respecto a las once obras públicas señaladas en respuesta.</w:t>
      </w:r>
    </w:p>
    <w:p w14:paraId="06293E41" w14:textId="77777777" w:rsidR="00501D92" w:rsidRPr="007430E0" w:rsidRDefault="00501D92" w:rsidP="000649D8">
      <w:pPr>
        <w:spacing w:line="360" w:lineRule="auto"/>
        <w:ind w:right="-93"/>
        <w:jc w:val="both"/>
        <w:rPr>
          <w:rFonts w:ascii="Palatino Linotype" w:eastAsia="Calibri" w:hAnsi="Palatino Linotype" w:cs="Tahoma"/>
          <w:iCs/>
          <w:sz w:val="22"/>
          <w:szCs w:val="22"/>
          <w:lang w:eastAsia="es-ES_tradnl"/>
        </w:rPr>
      </w:pPr>
    </w:p>
    <w:p w14:paraId="535B710F" w14:textId="3E23AC48" w:rsidR="00501D92" w:rsidRPr="007430E0" w:rsidRDefault="00501D92" w:rsidP="000649D8">
      <w:pPr>
        <w:spacing w:line="360" w:lineRule="auto"/>
        <w:ind w:right="-93"/>
        <w:jc w:val="both"/>
        <w:rPr>
          <w:rFonts w:ascii="Palatino Linotype" w:eastAsia="Calibri" w:hAnsi="Palatino Linotype" w:cs="Tahoma"/>
          <w:iCs/>
          <w:sz w:val="22"/>
          <w:szCs w:val="22"/>
          <w:lang w:eastAsia="es-ES_tradnl"/>
        </w:rPr>
      </w:pPr>
      <w:r w:rsidRPr="007430E0">
        <w:rPr>
          <w:rFonts w:ascii="Palatino Linotype" w:eastAsia="Calibri" w:hAnsi="Palatino Linotype" w:cs="Tahoma"/>
          <w:iCs/>
          <w:sz w:val="22"/>
          <w:szCs w:val="22"/>
          <w:lang w:eastAsia="es-ES_tradnl"/>
        </w:rPr>
        <w:t xml:space="preserve">Una vez establecido lo anterior, el Sujeto Obligado precisó que las fianzas eran los documentos que daban cuenta del presente requerimiento, lo cual ratificó en respuesta; por lo que, se puede desprender que este </w:t>
      </w:r>
      <w:r w:rsidRPr="007430E0">
        <w:rPr>
          <w:rFonts w:ascii="Palatino Linotype" w:eastAsia="Calibri" w:hAnsi="Palatino Linotype" w:cs="Tahoma"/>
          <w:b/>
          <w:iCs/>
          <w:sz w:val="22"/>
          <w:szCs w:val="22"/>
          <w:lang w:eastAsia="es-ES_tradnl"/>
        </w:rPr>
        <w:t>entregó información que no corresponde con lo solicitado</w:t>
      </w:r>
      <w:r w:rsidRPr="007430E0">
        <w:rPr>
          <w:rFonts w:ascii="Palatino Linotype" w:eastAsia="Calibri" w:hAnsi="Palatino Linotype" w:cs="Tahoma"/>
          <w:iCs/>
          <w:sz w:val="22"/>
          <w:szCs w:val="22"/>
          <w:lang w:eastAsia="es-ES_tradnl"/>
        </w:rPr>
        <w:t xml:space="preserve"> y por lo tanto, no se puede dar por atendido el punto en análisis, pues como se estableció, el requerimiento va tendiente a solicitar las estimaciones, con su información comprobatoria.</w:t>
      </w:r>
    </w:p>
    <w:p w14:paraId="4883EA4D" w14:textId="77777777" w:rsidR="00501D92" w:rsidRPr="007430E0" w:rsidRDefault="00501D92" w:rsidP="000649D8">
      <w:pPr>
        <w:spacing w:line="360" w:lineRule="auto"/>
        <w:ind w:right="-93"/>
        <w:jc w:val="both"/>
        <w:rPr>
          <w:rFonts w:ascii="Palatino Linotype" w:eastAsia="Calibri" w:hAnsi="Palatino Linotype" w:cs="Tahoma"/>
          <w:iCs/>
          <w:sz w:val="22"/>
          <w:szCs w:val="22"/>
          <w:lang w:eastAsia="es-ES_tradnl"/>
        </w:rPr>
      </w:pPr>
    </w:p>
    <w:p w14:paraId="7A22F8D6" w14:textId="71C93728" w:rsidR="00501D92" w:rsidRPr="007430E0" w:rsidRDefault="00501D92" w:rsidP="000649D8">
      <w:pPr>
        <w:spacing w:line="360" w:lineRule="auto"/>
        <w:ind w:right="-93"/>
        <w:jc w:val="both"/>
        <w:rPr>
          <w:rFonts w:ascii="Palatino Linotype" w:eastAsia="Calibri" w:hAnsi="Palatino Linotype" w:cs="Tahoma"/>
          <w:iCs/>
          <w:sz w:val="22"/>
          <w:szCs w:val="22"/>
          <w:lang w:eastAsia="es-ES_tradnl"/>
        </w:rPr>
      </w:pPr>
      <w:r w:rsidRPr="007430E0">
        <w:rPr>
          <w:rFonts w:ascii="Palatino Linotype" w:eastAsia="Calibri" w:hAnsi="Palatino Linotype" w:cs="Tahoma"/>
          <w:iCs/>
          <w:sz w:val="22"/>
          <w:szCs w:val="22"/>
          <w:lang w:eastAsia="es-ES_tradnl"/>
        </w:rPr>
        <w:lastRenderedPageBreak/>
        <w:t xml:space="preserve">De tales </w:t>
      </w:r>
      <w:r w:rsidR="00AF4F9D" w:rsidRPr="007430E0">
        <w:rPr>
          <w:rFonts w:ascii="Palatino Linotype" w:eastAsia="Calibri" w:hAnsi="Palatino Linotype" w:cs="Tahoma"/>
          <w:iCs/>
          <w:sz w:val="22"/>
          <w:szCs w:val="22"/>
          <w:lang w:eastAsia="es-ES_tradnl"/>
        </w:rPr>
        <w:t xml:space="preserve">circunstancias, se considera que el Ente Recurrido, de conformidad con los artículos 12, 160 y 162 de la Ley de Transparencia y Acceso a la Información Pública del Estado de México y Municipios, deberá realizar una búsqueda exhaustiva y razonable en todos </w:t>
      </w:r>
      <w:r w:rsidR="008C33FC" w:rsidRPr="007430E0">
        <w:rPr>
          <w:rFonts w:ascii="Palatino Linotype" w:eastAsia="Calibri" w:hAnsi="Palatino Linotype" w:cs="Tahoma"/>
          <w:iCs/>
          <w:sz w:val="22"/>
          <w:szCs w:val="22"/>
          <w:lang w:eastAsia="es-ES_tradnl"/>
        </w:rPr>
        <w:t>los</w:t>
      </w:r>
      <w:r w:rsidR="00AF4F9D" w:rsidRPr="007430E0">
        <w:rPr>
          <w:rFonts w:ascii="Palatino Linotype" w:eastAsia="Calibri" w:hAnsi="Palatino Linotype" w:cs="Tahoma"/>
          <w:iCs/>
          <w:sz w:val="22"/>
          <w:szCs w:val="22"/>
          <w:lang w:eastAsia="es-ES_tradnl"/>
        </w:rPr>
        <w:t xml:space="preserve"> archivos</w:t>
      </w:r>
      <w:r w:rsidR="008C33FC" w:rsidRPr="007430E0">
        <w:rPr>
          <w:rFonts w:ascii="Palatino Linotype" w:eastAsia="Calibri" w:hAnsi="Palatino Linotype" w:cs="Tahoma"/>
          <w:iCs/>
          <w:sz w:val="22"/>
          <w:szCs w:val="22"/>
          <w:lang w:eastAsia="es-ES_tradnl"/>
        </w:rPr>
        <w:t xml:space="preserve"> de la Dirección de Obras Públicas</w:t>
      </w:r>
      <w:r w:rsidR="00AF4F9D" w:rsidRPr="007430E0">
        <w:rPr>
          <w:rFonts w:ascii="Palatino Linotype" w:eastAsia="Calibri" w:hAnsi="Palatino Linotype" w:cs="Tahoma"/>
          <w:iCs/>
          <w:sz w:val="22"/>
          <w:szCs w:val="22"/>
          <w:lang w:eastAsia="es-ES_tradnl"/>
        </w:rPr>
        <w:t xml:space="preserve">, a efecto de proporcionar </w:t>
      </w:r>
      <w:r w:rsidR="008C33FC" w:rsidRPr="007430E0">
        <w:rPr>
          <w:rFonts w:ascii="Palatino Linotype" w:eastAsia="Calibri" w:hAnsi="Palatino Linotype" w:cs="Tahoma"/>
          <w:iCs/>
          <w:sz w:val="22"/>
          <w:szCs w:val="22"/>
          <w:lang w:eastAsia="es-ES_tradnl"/>
        </w:rPr>
        <w:t xml:space="preserve">los documentos donde consten las estimaciones realizadas por los contratistas y su respectiva información comprobatoria, de los contratos con número </w:t>
      </w:r>
      <w:r w:rsidR="008C33FC" w:rsidRPr="007430E0">
        <w:rPr>
          <w:rFonts w:ascii="Palatino Linotype" w:eastAsia="Calibri" w:hAnsi="Palatino Linotype" w:cs="Tahoma"/>
          <w:b/>
          <w:bCs/>
          <w:iCs/>
          <w:sz w:val="22"/>
          <w:szCs w:val="22"/>
          <w:lang w:eastAsia="es-ES_tradnl"/>
        </w:rPr>
        <w:t>NR-DOP-FISMDF-LP-001-19, NR-DOP-FISMDF-LP-002-19, NR-DOP-FISMDF-LP-003-19, NR-DOP-FISMDF-IR-004-19, NR-DOP-FISMDF-IR-005-19, NR-DOP-FISMDF-IR-006-19, NR-DOP-FISMDF-IR-007-19, NR-DOP-FISMDF-IR-008-19, NR-DOP-FISMDF-LP-009-19, NR-DOP-FISMDF-LP-010-19 y NR-DOP-FISMDF-LP-011-19.</w:t>
      </w:r>
    </w:p>
    <w:p w14:paraId="326014B4" w14:textId="77777777" w:rsidR="00A23AE3" w:rsidRPr="007430E0" w:rsidRDefault="00A23AE3" w:rsidP="000649D8">
      <w:pPr>
        <w:spacing w:line="360" w:lineRule="auto"/>
        <w:ind w:right="-93"/>
        <w:jc w:val="both"/>
        <w:rPr>
          <w:rFonts w:ascii="Palatino Linotype" w:eastAsia="Calibri" w:hAnsi="Palatino Linotype" w:cs="Tahoma"/>
          <w:iCs/>
          <w:sz w:val="22"/>
          <w:szCs w:val="22"/>
          <w:lang w:eastAsia="es-ES_tradnl"/>
        </w:rPr>
      </w:pPr>
    </w:p>
    <w:p w14:paraId="234D766E" w14:textId="3CE7BD78" w:rsidR="00380101" w:rsidRPr="007430E0" w:rsidRDefault="0039198A" w:rsidP="00B85EF7">
      <w:pPr>
        <w:spacing w:line="360" w:lineRule="auto"/>
        <w:ind w:right="-93"/>
        <w:jc w:val="both"/>
        <w:rPr>
          <w:rFonts w:ascii="Palatino Linotype" w:eastAsia="Calibri" w:hAnsi="Palatino Linotype" w:cs="Tahoma"/>
          <w:iCs/>
          <w:sz w:val="22"/>
          <w:szCs w:val="22"/>
          <w:lang w:eastAsia="es-ES_tradnl"/>
        </w:rPr>
      </w:pPr>
      <w:r w:rsidRPr="007430E0">
        <w:rPr>
          <w:rFonts w:ascii="Palatino Linotype" w:eastAsia="Calibri" w:hAnsi="Palatino Linotype" w:cs="Tahoma"/>
          <w:iCs/>
          <w:sz w:val="22"/>
          <w:szCs w:val="22"/>
          <w:lang w:eastAsia="es-ES_tradnl"/>
        </w:rPr>
        <w:t xml:space="preserve">Ahora bien, por lo que hace a </w:t>
      </w:r>
      <w:r w:rsidRPr="007430E0">
        <w:rPr>
          <w:rFonts w:ascii="Palatino Linotype" w:eastAsia="Calibri" w:hAnsi="Palatino Linotype" w:cs="Tahoma"/>
          <w:b/>
          <w:iCs/>
          <w:sz w:val="22"/>
          <w:szCs w:val="22"/>
          <w:lang w:eastAsia="es-ES_tradnl"/>
        </w:rPr>
        <w:t>los incisos ii)</w:t>
      </w:r>
      <w:r w:rsidR="0097257B" w:rsidRPr="007430E0">
        <w:rPr>
          <w:rFonts w:ascii="Palatino Linotype" w:eastAsia="Calibri" w:hAnsi="Palatino Linotype" w:cs="Tahoma"/>
          <w:b/>
          <w:iCs/>
          <w:sz w:val="22"/>
          <w:szCs w:val="22"/>
          <w:lang w:eastAsia="es-ES_tradnl"/>
        </w:rPr>
        <w:t xml:space="preserve">, iii) </w:t>
      </w:r>
      <w:r w:rsidRPr="007430E0">
        <w:rPr>
          <w:rFonts w:ascii="Palatino Linotype" w:eastAsia="Calibri" w:hAnsi="Palatino Linotype" w:cs="Tahoma"/>
          <w:b/>
          <w:iCs/>
          <w:sz w:val="22"/>
          <w:szCs w:val="22"/>
          <w:lang w:eastAsia="es-ES_tradnl"/>
        </w:rPr>
        <w:t xml:space="preserve">y </w:t>
      </w:r>
      <w:r w:rsidR="00F526FB" w:rsidRPr="007430E0">
        <w:rPr>
          <w:rFonts w:ascii="Palatino Linotype" w:eastAsia="Calibri" w:hAnsi="Palatino Linotype" w:cs="Tahoma"/>
          <w:b/>
          <w:iCs/>
          <w:sz w:val="22"/>
          <w:szCs w:val="22"/>
          <w:lang w:eastAsia="es-ES_tradnl"/>
        </w:rPr>
        <w:t>iv), del requerimiento 4)</w:t>
      </w:r>
      <w:r w:rsidR="0097257B" w:rsidRPr="007430E0">
        <w:rPr>
          <w:rFonts w:ascii="Palatino Linotype" w:eastAsia="Calibri" w:hAnsi="Palatino Linotype" w:cs="Tahoma"/>
          <w:b/>
          <w:iCs/>
          <w:sz w:val="22"/>
          <w:szCs w:val="22"/>
          <w:lang w:eastAsia="es-ES_tradnl"/>
        </w:rPr>
        <w:t>,</w:t>
      </w:r>
      <w:r w:rsidR="0097257B" w:rsidRPr="007430E0">
        <w:rPr>
          <w:rFonts w:ascii="Palatino Linotype" w:eastAsia="Calibri" w:hAnsi="Palatino Linotype" w:cs="Tahoma"/>
          <w:iCs/>
          <w:sz w:val="22"/>
          <w:szCs w:val="22"/>
          <w:lang w:eastAsia="es-ES_tradnl"/>
        </w:rPr>
        <w:t xml:space="preserve"> respecto a los once procedimientos de contratación de obra pública, la Dirección de Obra Pública proporcionó </w:t>
      </w:r>
      <w:r w:rsidR="00040EBE" w:rsidRPr="007430E0">
        <w:rPr>
          <w:rFonts w:ascii="Palatino Linotype" w:eastAsia="Calibri" w:hAnsi="Palatino Linotype" w:cs="Tahoma"/>
          <w:iCs/>
          <w:sz w:val="22"/>
          <w:szCs w:val="22"/>
          <w:lang w:eastAsia="es-ES_tradnl"/>
        </w:rPr>
        <w:t>lo siguiente:</w:t>
      </w:r>
    </w:p>
    <w:p w14:paraId="753E2EEA" w14:textId="77777777" w:rsidR="00210A88" w:rsidRPr="007430E0" w:rsidRDefault="00210A88" w:rsidP="00447875">
      <w:pPr>
        <w:spacing w:line="360" w:lineRule="auto"/>
        <w:jc w:val="both"/>
        <w:rPr>
          <w:rFonts w:ascii="Palatino Linotype" w:hAnsi="Palatino Linotype" w:cs="Tahoma"/>
          <w:color w:val="000000" w:themeColor="text1"/>
          <w:sz w:val="22"/>
          <w:szCs w:val="22"/>
          <w:lang w:val="es-ES"/>
        </w:rPr>
      </w:pPr>
    </w:p>
    <w:p w14:paraId="43D63EDC" w14:textId="44F78BEA" w:rsidR="00873C87" w:rsidRPr="007430E0" w:rsidRDefault="00873C87" w:rsidP="00873C87">
      <w:pPr>
        <w:pStyle w:val="Prrafodelista"/>
        <w:numPr>
          <w:ilvl w:val="0"/>
          <w:numId w:val="28"/>
        </w:numPr>
        <w:spacing w:line="360" w:lineRule="auto"/>
        <w:jc w:val="both"/>
        <w:rPr>
          <w:rFonts w:ascii="Palatino Linotype" w:hAnsi="Palatino Linotype" w:cs="Tahoma"/>
          <w:color w:val="000000" w:themeColor="text1"/>
          <w:szCs w:val="22"/>
          <w:lang w:val="es-ES"/>
        </w:rPr>
      </w:pPr>
      <w:r w:rsidRPr="007430E0">
        <w:rPr>
          <w:rFonts w:ascii="Palatino Linotype" w:hAnsi="Palatino Linotype" w:cs="Tahoma"/>
          <w:color w:val="000000" w:themeColor="text1"/>
          <w:szCs w:val="22"/>
          <w:lang w:val="es-ES"/>
        </w:rPr>
        <w:t xml:space="preserve">Los </w:t>
      </w:r>
      <w:r w:rsidR="00F22467" w:rsidRPr="007430E0">
        <w:rPr>
          <w:rFonts w:ascii="Palatino Linotype" w:hAnsi="Palatino Linotype" w:cs="Tahoma"/>
          <w:color w:val="000000" w:themeColor="text1"/>
          <w:szCs w:val="22"/>
          <w:lang w:val="es-ES"/>
        </w:rPr>
        <w:t xml:space="preserve">acuses de recibo de los </w:t>
      </w:r>
      <w:r w:rsidRPr="007430E0">
        <w:rPr>
          <w:rFonts w:ascii="Palatino Linotype" w:hAnsi="Palatino Linotype" w:cs="Tahoma"/>
          <w:color w:val="000000" w:themeColor="text1"/>
          <w:szCs w:val="22"/>
          <w:lang w:val="es-ES"/>
        </w:rPr>
        <w:t>oficios de designación de residente de las obras p</w:t>
      </w:r>
      <w:r w:rsidR="002101BF" w:rsidRPr="007430E0">
        <w:rPr>
          <w:rFonts w:ascii="Palatino Linotype" w:hAnsi="Palatino Linotype" w:cs="Tahoma"/>
          <w:color w:val="000000" w:themeColor="text1"/>
          <w:szCs w:val="22"/>
          <w:lang w:val="es-ES"/>
        </w:rPr>
        <w:t>úblicas;</w:t>
      </w:r>
    </w:p>
    <w:p w14:paraId="3368AF6D" w14:textId="4BC25DA4" w:rsidR="002101BF" w:rsidRPr="007430E0" w:rsidRDefault="00F22467" w:rsidP="00873C87">
      <w:pPr>
        <w:pStyle w:val="Prrafodelista"/>
        <w:numPr>
          <w:ilvl w:val="0"/>
          <w:numId w:val="28"/>
        </w:numPr>
        <w:spacing w:line="360" w:lineRule="auto"/>
        <w:jc w:val="both"/>
        <w:rPr>
          <w:rFonts w:ascii="Palatino Linotype" w:hAnsi="Palatino Linotype" w:cs="Tahoma"/>
          <w:color w:val="000000" w:themeColor="text1"/>
          <w:szCs w:val="22"/>
          <w:lang w:val="es-ES"/>
        </w:rPr>
      </w:pPr>
      <w:r w:rsidRPr="007430E0">
        <w:rPr>
          <w:rFonts w:ascii="Palatino Linotype" w:hAnsi="Palatino Linotype" w:cs="Tahoma"/>
          <w:color w:val="000000" w:themeColor="text1"/>
          <w:szCs w:val="22"/>
          <w:lang w:val="es-ES"/>
        </w:rPr>
        <w:t xml:space="preserve">Los oficios </w:t>
      </w:r>
      <w:r w:rsidRPr="007430E0">
        <w:rPr>
          <w:rFonts w:ascii="Palatino Linotype" w:hAnsi="Palatino Linotype" w:cs="Tahoma"/>
          <w:color w:val="000000" w:themeColor="text1"/>
          <w:szCs w:val="22"/>
        </w:rPr>
        <w:t>por medio de los cuales se libera y pone a disposición el sitio de los trabajos para iniciar las obras públicas;</w:t>
      </w:r>
    </w:p>
    <w:p w14:paraId="7A8F3DC2" w14:textId="0BC93DE8" w:rsidR="00F22467" w:rsidRPr="007430E0" w:rsidRDefault="00F22467" w:rsidP="00873C87">
      <w:pPr>
        <w:pStyle w:val="Prrafodelista"/>
        <w:numPr>
          <w:ilvl w:val="0"/>
          <w:numId w:val="28"/>
        </w:numPr>
        <w:spacing w:line="360" w:lineRule="auto"/>
        <w:jc w:val="both"/>
        <w:rPr>
          <w:rFonts w:ascii="Palatino Linotype" w:hAnsi="Palatino Linotype" w:cs="Tahoma"/>
          <w:color w:val="000000" w:themeColor="text1"/>
          <w:szCs w:val="22"/>
          <w:lang w:val="es-ES"/>
        </w:rPr>
      </w:pPr>
      <w:r w:rsidRPr="007430E0">
        <w:rPr>
          <w:rFonts w:ascii="Palatino Linotype" w:hAnsi="Palatino Linotype" w:cs="Tahoma"/>
          <w:color w:val="000000" w:themeColor="text1"/>
          <w:szCs w:val="22"/>
        </w:rPr>
        <w:t>Las fianzas emitidas respecto a las obras contratadas.</w:t>
      </w:r>
    </w:p>
    <w:p w14:paraId="2DFADBA6" w14:textId="77777777" w:rsidR="00F22467" w:rsidRPr="007430E0" w:rsidRDefault="00F22467" w:rsidP="00F22467">
      <w:pPr>
        <w:spacing w:line="360" w:lineRule="auto"/>
        <w:jc w:val="both"/>
        <w:rPr>
          <w:rFonts w:ascii="Palatino Linotype" w:hAnsi="Palatino Linotype" w:cs="Tahoma"/>
          <w:color w:val="000000" w:themeColor="text1"/>
          <w:sz w:val="22"/>
          <w:szCs w:val="22"/>
          <w:lang w:val="es-ES"/>
        </w:rPr>
      </w:pPr>
    </w:p>
    <w:p w14:paraId="3BF9A5B1" w14:textId="09611F46" w:rsidR="00F22467" w:rsidRPr="007430E0" w:rsidRDefault="00F22467" w:rsidP="00F22467">
      <w:pPr>
        <w:spacing w:line="360" w:lineRule="auto"/>
        <w:jc w:val="both"/>
        <w:rPr>
          <w:rFonts w:ascii="Palatino Linotype" w:hAnsi="Palatino Linotype" w:cs="Tahoma"/>
          <w:bCs/>
          <w:color w:val="000000" w:themeColor="text1"/>
          <w:sz w:val="22"/>
          <w:szCs w:val="22"/>
        </w:rPr>
      </w:pPr>
      <w:r w:rsidRPr="007430E0">
        <w:rPr>
          <w:rFonts w:ascii="Palatino Linotype" w:hAnsi="Palatino Linotype" w:cs="Tahoma"/>
          <w:color w:val="000000" w:themeColor="text1"/>
          <w:sz w:val="22"/>
          <w:szCs w:val="22"/>
          <w:lang w:val="es-ES"/>
        </w:rPr>
        <w:t xml:space="preserve">De la revisión de dichos documentos, se advierte </w:t>
      </w:r>
      <w:r w:rsidR="00D55922" w:rsidRPr="007430E0">
        <w:rPr>
          <w:rFonts w:ascii="Palatino Linotype" w:hAnsi="Palatino Linotype" w:cs="Tahoma"/>
          <w:color w:val="000000" w:themeColor="text1"/>
          <w:sz w:val="22"/>
          <w:szCs w:val="22"/>
          <w:lang w:val="es-ES"/>
        </w:rPr>
        <w:t xml:space="preserve">que corresponden a documentos de las obras públicas, correspondientes a los contratos </w:t>
      </w:r>
      <w:r w:rsidR="00D55922" w:rsidRPr="007430E0">
        <w:rPr>
          <w:rFonts w:ascii="Palatino Linotype" w:hAnsi="Palatino Linotype" w:cs="Tahoma"/>
          <w:bCs/>
          <w:color w:val="000000" w:themeColor="text1"/>
          <w:sz w:val="22"/>
          <w:szCs w:val="22"/>
        </w:rPr>
        <w:t>NR-DOP-FISMDF-LP-001-19, NR-DOP-FISMDF-LP-002-19, NR-DOP-FISMDF-LP-003-19, NR-DOP-FISMDF-IR-004-19, NR-DOP-FISMDF-IR-005-19, NR-DOP-FISMDF-IR-006-19, NR-DOP-FISMDF-IR-007-19, NR-DOP-FISMDF-IR-008-19, NR-DOP-FISMDF-LP-009-19, NR-DOP-FISMDF-LP-010-19 y NR-DOP-FISMDF-LP-011-19.</w:t>
      </w:r>
    </w:p>
    <w:p w14:paraId="14364362" w14:textId="5AC7A5CF" w:rsidR="00D55922" w:rsidRPr="007430E0" w:rsidRDefault="00D55922" w:rsidP="00F22467">
      <w:pPr>
        <w:spacing w:line="360" w:lineRule="auto"/>
        <w:jc w:val="both"/>
        <w:rPr>
          <w:rFonts w:ascii="Palatino Linotype" w:hAnsi="Palatino Linotype" w:cs="Tahoma"/>
          <w:bCs/>
          <w:color w:val="000000" w:themeColor="text1"/>
          <w:sz w:val="22"/>
          <w:szCs w:val="22"/>
        </w:rPr>
      </w:pPr>
    </w:p>
    <w:p w14:paraId="28B18619" w14:textId="2EAE879A" w:rsidR="00926E7E" w:rsidRDefault="007430E0" w:rsidP="00F22467">
      <w:pPr>
        <w:spacing w:line="360" w:lineRule="auto"/>
        <w:jc w:val="both"/>
        <w:rPr>
          <w:rFonts w:ascii="Palatino Linotype" w:hAnsi="Palatino Linotype" w:cs="Tahoma"/>
          <w:b/>
          <w:bCs/>
          <w:color w:val="000000" w:themeColor="text1"/>
          <w:sz w:val="22"/>
          <w:szCs w:val="22"/>
        </w:rPr>
      </w:pPr>
      <w:r w:rsidRPr="007430E0">
        <w:rPr>
          <w:rFonts w:ascii="Palatino Linotype" w:hAnsi="Palatino Linotype" w:cs="Tahoma"/>
          <w:bCs/>
          <w:color w:val="000000" w:themeColor="text1"/>
          <w:sz w:val="22"/>
          <w:szCs w:val="22"/>
        </w:rPr>
        <w:lastRenderedPageBreak/>
        <w:t>En ese orden de ideas</w:t>
      </w:r>
      <w:r>
        <w:rPr>
          <w:rFonts w:ascii="Palatino Linotype" w:hAnsi="Palatino Linotype" w:cs="Tahoma"/>
          <w:bCs/>
          <w:color w:val="000000" w:themeColor="text1"/>
          <w:sz w:val="22"/>
          <w:szCs w:val="22"/>
        </w:rPr>
        <w:t xml:space="preserve">, de la revisión de dichos documentos, se advierte que son aquellos </w:t>
      </w:r>
      <w:r w:rsidR="00744D12">
        <w:rPr>
          <w:rFonts w:ascii="Palatino Linotype" w:hAnsi="Palatino Linotype" w:cs="Tahoma"/>
          <w:bCs/>
          <w:color w:val="000000" w:themeColor="text1"/>
          <w:sz w:val="22"/>
          <w:szCs w:val="22"/>
        </w:rPr>
        <w:t>donde const</w:t>
      </w:r>
      <w:r w:rsidR="00AE1DB8">
        <w:rPr>
          <w:rFonts w:ascii="Palatino Linotype" w:hAnsi="Palatino Linotype" w:cs="Tahoma"/>
          <w:bCs/>
          <w:color w:val="000000" w:themeColor="text1"/>
          <w:sz w:val="22"/>
          <w:szCs w:val="22"/>
        </w:rPr>
        <w:t xml:space="preserve">a la información requerida por el Particular, a saber, </w:t>
      </w:r>
      <w:r w:rsidR="00AE1DB8" w:rsidRPr="000C3CF1">
        <w:rPr>
          <w:rFonts w:ascii="Palatino Linotype" w:hAnsi="Palatino Linotype" w:cs="Tahoma"/>
          <w:b/>
          <w:bCs/>
          <w:color w:val="000000" w:themeColor="text1"/>
          <w:sz w:val="22"/>
          <w:szCs w:val="22"/>
        </w:rPr>
        <w:t xml:space="preserve">las fianzas a favor del Sujeto Obligado, la entrega </w:t>
      </w:r>
      <w:r w:rsidR="00926E7E" w:rsidRPr="000C3CF1">
        <w:rPr>
          <w:rFonts w:ascii="Palatino Linotype" w:hAnsi="Palatino Linotype" w:cs="Tahoma"/>
          <w:b/>
          <w:bCs/>
          <w:color w:val="000000" w:themeColor="text1"/>
          <w:sz w:val="22"/>
          <w:szCs w:val="22"/>
        </w:rPr>
        <w:t>del lugar de trabajo al Contratista y la designación y aceptación del residente de obra, tal como obran en sus archivos.</w:t>
      </w:r>
    </w:p>
    <w:p w14:paraId="7894DF4E" w14:textId="77777777" w:rsidR="000C3CF1" w:rsidRPr="000C3CF1" w:rsidRDefault="000C3CF1" w:rsidP="00F22467">
      <w:pPr>
        <w:spacing w:line="360" w:lineRule="auto"/>
        <w:jc w:val="both"/>
        <w:rPr>
          <w:rFonts w:ascii="Palatino Linotype" w:hAnsi="Palatino Linotype" w:cs="Tahoma"/>
          <w:b/>
          <w:bCs/>
          <w:color w:val="000000" w:themeColor="text1"/>
          <w:sz w:val="22"/>
          <w:szCs w:val="22"/>
        </w:rPr>
      </w:pPr>
    </w:p>
    <w:p w14:paraId="188B23AA" w14:textId="00F81A58" w:rsidR="000C3CF1" w:rsidRDefault="000C3CF1" w:rsidP="00F22467">
      <w:pPr>
        <w:spacing w:line="360" w:lineRule="auto"/>
        <w:jc w:val="both"/>
        <w:rPr>
          <w:rFonts w:ascii="Palatino Linotype" w:hAnsi="Palatino Linotype" w:cs="Tahoma"/>
          <w:bCs/>
          <w:color w:val="000000" w:themeColor="text1"/>
          <w:sz w:val="22"/>
          <w:szCs w:val="22"/>
        </w:rPr>
      </w:pPr>
      <w:r>
        <w:rPr>
          <w:rFonts w:ascii="Palatino Linotype" w:hAnsi="Palatino Linotype" w:cs="Tahoma"/>
          <w:bCs/>
          <w:color w:val="000000" w:themeColor="text1"/>
          <w:sz w:val="22"/>
          <w:szCs w:val="22"/>
        </w:rPr>
        <w:t>Conforme a lo anterior, se desprende que en cumplimiento a los artículos 12 y 160 de la Ley de Transparencia y Acceso a la Información Pública del Estado de México y Municipios</w:t>
      </w:r>
      <w:r w:rsidR="008A5BAB">
        <w:rPr>
          <w:rFonts w:ascii="Palatino Linotype" w:hAnsi="Palatino Linotype" w:cs="Tahoma"/>
          <w:bCs/>
          <w:color w:val="000000" w:themeColor="text1"/>
          <w:sz w:val="22"/>
          <w:szCs w:val="22"/>
        </w:rPr>
        <w:t>, la Dirección de Obras Públicas, proporcionó las expresiones documentales</w:t>
      </w:r>
      <w:r w:rsidR="005A0975">
        <w:rPr>
          <w:rFonts w:ascii="Palatino Linotype" w:hAnsi="Palatino Linotype" w:cs="Tahoma"/>
          <w:bCs/>
          <w:color w:val="000000" w:themeColor="text1"/>
          <w:sz w:val="22"/>
          <w:szCs w:val="22"/>
        </w:rPr>
        <w:t xml:space="preserve"> tal como obran en sus archivos y</w:t>
      </w:r>
      <w:r w:rsidR="008A5BAB">
        <w:rPr>
          <w:rFonts w:ascii="Palatino Linotype" w:hAnsi="Palatino Linotype" w:cs="Tahoma"/>
          <w:bCs/>
          <w:color w:val="000000" w:themeColor="text1"/>
          <w:sz w:val="22"/>
          <w:szCs w:val="22"/>
        </w:rPr>
        <w:t xml:space="preserve">, que dan cuenta de la información </w:t>
      </w:r>
      <w:r w:rsidR="00D4326E">
        <w:rPr>
          <w:rFonts w:ascii="Palatino Linotype" w:hAnsi="Palatino Linotype" w:cs="Tahoma"/>
          <w:bCs/>
          <w:color w:val="000000" w:themeColor="text1"/>
          <w:sz w:val="22"/>
          <w:szCs w:val="22"/>
        </w:rPr>
        <w:t>solicitada, en los requerimientos en análisis.</w:t>
      </w:r>
    </w:p>
    <w:p w14:paraId="63EF5F37" w14:textId="77777777" w:rsidR="00926E7E" w:rsidRPr="007430E0" w:rsidRDefault="00926E7E" w:rsidP="00F22467">
      <w:pPr>
        <w:spacing w:line="360" w:lineRule="auto"/>
        <w:jc w:val="both"/>
        <w:rPr>
          <w:rFonts w:ascii="Palatino Linotype" w:hAnsi="Palatino Linotype" w:cs="Tahoma"/>
          <w:bCs/>
          <w:color w:val="000000" w:themeColor="text1"/>
          <w:sz w:val="22"/>
          <w:szCs w:val="22"/>
        </w:rPr>
      </w:pPr>
    </w:p>
    <w:p w14:paraId="44BDD4E4" w14:textId="6ECE9DBF" w:rsidR="007430E0" w:rsidRPr="00393ADD" w:rsidRDefault="005A0975" w:rsidP="00F22467">
      <w:pPr>
        <w:spacing w:line="360" w:lineRule="auto"/>
        <w:jc w:val="both"/>
        <w:rPr>
          <w:rFonts w:ascii="Palatino Linotype" w:hAnsi="Palatino Linotype" w:cs="Tahoma"/>
          <w:bCs/>
          <w:iCs/>
          <w:color w:val="000000" w:themeColor="text1"/>
          <w:sz w:val="22"/>
          <w:szCs w:val="22"/>
        </w:rPr>
      </w:pPr>
      <w:r w:rsidRPr="00393ADD">
        <w:rPr>
          <w:rFonts w:ascii="Palatino Linotype" w:hAnsi="Palatino Linotype" w:cs="Tahoma"/>
          <w:color w:val="000000" w:themeColor="text1"/>
          <w:sz w:val="22"/>
          <w:szCs w:val="22"/>
          <w:lang w:val="es-ES"/>
        </w:rPr>
        <w:t>En ese sentido, se tiene por atendido el requerimiento correspondiente a los oficios donde se haya designado al residente de obra, así como, su aceptación</w:t>
      </w:r>
      <w:r w:rsidR="00FE6759" w:rsidRPr="00393ADD">
        <w:rPr>
          <w:rFonts w:ascii="Palatino Linotype" w:hAnsi="Palatino Linotype" w:cs="Tahoma"/>
          <w:color w:val="000000" w:themeColor="text1"/>
          <w:sz w:val="22"/>
          <w:szCs w:val="22"/>
          <w:lang w:val="es-ES"/>
        </w:rPr>
        <w:t xml:space="preserve"> (punto 4, inciso iv); sin embargo, por lo que, hace a las Fianzas y los oficios de entrega del lugar de trabajo, fueron entregados en versión pública, en donde, a través de los acuerdos 87 y 88, </w:t>
      </w:r>
      <w:r w:rsidR="00FE6759" w:rsidRPr="00393ADD">
        <w:rPr>
          <w:rFonts w:ascii="Palatino Linotype" w:hAnsi="Palatino Linotype" w:cs="Tahoma"/>
          <w:bCs/>
          <w:iCs/>
          <w:color w:val="000000" w:themeColor="text1"/>
          <w:sz w:val="22"/>
          <w:szCs w:val="22"/>
        </w:rPr>
        <w:t>de la Décima Segunda Sesión Extraordinaria, del Comité de Transparencia del Ayuntamiento de Nicolás Romero</w:t>
      </w:r>
      <w:r w:rsidR="004A460F" w:rsidRPr="00393ADD">
        <w:rPr>
          <w:rFonts w:ascii="Palatino Linotype" w:hAnsi="Palatino Linotype" w:cs="Tahoma"/>
          <w:bCs/>
          <w:iCs/>
          <w:color w:val="000000" w:themeColor="text1"/>
          <w:sz w:val="22"/>
          <w:szCs w:val="22"/>
        </w:rPr>
        <w:t>, clasificó</w:t>
      </w:r>
      <w:r w:rsidR="00903F92" w:rsidRPr="00393ADD">
        <w:rPr>
          <w:rFonts w:ascii="Palatino Linotype" w:hAnsi="Palatino Linotype" w:cs="Tahoma"/>
          <w:bCs/>
          <w:iCs/>
          <w:color w:val="000000" w:themeColor="text1"/>
          <w:sz w:val="22"/>
          <w:szCs w:val="22"/>
        </w:rPr>
        <w:t>,</w:t>
      </w:r>
      <w:r w:rsidR="004A460F" w:rsidRPr="00393ADD">
        <w:rPr>
          <w:rFonts w:ascii="Palatino Linotype" w:hAnsi="Palatino Linotype" w:cs="Tahoma"/>
          <w:bCs/>
          <w:iCs/>
          <w:color w:val="000000" w:themeColor="text1"/>
          <w:sz w:val="22"/>
          <w:szCs w:val="22"/>
        </w:rPr>
        <w:t xml:space="preserve"> </w:t>
      </w:r>
      <w:r w:rsidR="00903F92" w:rsidRPr="00393ADD">
        <w:rPr>
          <w:rFonts w:ascii="Palatino Linotype" w:hAnsi="Palatino Linotype" w:cs="Tahoma"/>
          <w:bCs/>
          <w:iCs/>
          <w:color w:val="000000" w:themeColor="text1"/>
          <w:sz w:val="22"/>
          <w:szCs w:val="22"/>
        </w:rPr>
        <w:t>en términos del artículo 143, fracción I</w:t>
      </w:r>
      <w:r w:rsidR="00717986">
        <w:rPr>
          <w:rFonts w:ascii="Palatino Linotype" w:hAnsi="Palatino Linotype" w:cs="Tahoma"/>
          <w:bCs/>
          <w:iCs/>
          <w:color w:val="000000" w:themeColor="text1"/>
          <w:sz w:val="22"/>
          <w:szCs w:val="22"/>
        </w:rPr>
        <w:t>,</w:t>
      </w:r>
      <w:r w:rsidR="00903F92" w:rsidRPr="00393ADD">
        <w:rPr>
          <w:rFonts w:ascii="Palatino Linotype" w:hAnsi="Palatino Linotype" w:cs="Tahoma"/>
          <w:bCs/>
          <w:iCs/>
          <w:color w:val="000000" w:themeColor="text1"/>
          <w:sz w:val="22"/>
          <w:szCs w:val="22"/>
        </w:rPr>
        <w:t xml:space="preserve"> de la Ley de Transparencia y Acceso a la Información Pública del Estado de México y Municipios, </w:t>
      </w:r>
      <w:r w:rsidR="004A460F" w:rsidRPr="00393ADD">
        <w:rPr>
          <w:rFonts w:ascii="Palatino Linotype" w:hAnsi="Palatino Linotype" w:cs="Tahoma"/>
          <w:bCs/>
          <w:iCs/>
          <w:color w:val="000000" w:themeColor="text1"/>
          <w:sz w:val="22"/>
          <w:szCs w:val="22"/>
        </w:rPr>
        <w:t>los siguientes datos:</w:t>
      </w:r>
    </w:p>
    <w:p w14:paraId="0B6DD46E" w14:textId="77777777" w:rsidR="004A460F" w:rsidRDefault="004A460F" w:rsidP="00F22467">
      <w:pPr>
        <w:spacing w:line="360" w:lineRule="auto"/>
        <w:jc w:val="both"/>
        <w:rPr>
          <w:rFonts w:ascii="Palatino Linotype" w:hAnsi="Palatino Linotype" w:cs="Tahoma"/>
          <w:bCs/>
          <w:iCs/>
          <w:color w:val="000000" w:themeColor="text1"/>
          <w:szCs w:val="22"/>
        </w:rPr>
      </w:pPr>
    </w:p>
    <w:p w14:paraId="0F7B3085" w14:textId="70DDF95D" w:rsidR="004A460F" w:rsidRDefault="004A460F"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Firma del representante legal del contratista;</w:t>
      </w:r>
    </w:p>
    <w:p w14:paraId="0EB464B1" w14:textId="595A5CB1" w:rsidR="004A460F" w:rsidRDefault="00903F92"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Código de Seguridad</w:t>
      </w:r>
      <w:r w:rsidR="006966A6">
        <w:rPr>
          <w:rFonts w:ascii="Palatino Linotype" w:hAnsi="Palatino Linotype" w:cs="Tahoma"/>
          <w:color w:val="000000" w:themeColor="text1"/>
          <w:szCs w:val="22"/>
          <w:lang w:val="es-ES"/>
        </w:rPr>
        <w:t xml:space="preserve"> y línea de validación</w:t>
      </w:r>
      <w:r>
        <w:rPr>
          <w:rFonts w:ascii="Palatino Linotype" w:hAnsi="Palatino Linotype" w:cs="Tahoma"/>
          <w:color w:val="000000" w:themeColor="text1"/>
          <w:szCs w:val="22"/>
          <w:lang w:val="es-ES"/>
        </w:rPr>
        <w:t>;</w:t>
      </w:r>
    </w:p>
    <w:p w14:paraId="4F2F3281" w14:textId="1676B735" w:rsidR="00903F92" w:rsidRDefault="00903F92"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Firma o sello digital;</w:t>
      </w:r>
    </w:p>
    <w:p w14:paraId="635F20C7" w14:textId="089773EA" w:rsidR="00903F92" w:rsidRDefault="00903F92"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Registro Federal de Contribuyentes</w:t>
      </w:r>
      <w:r w:rsidR="004B7CEB">
        <w:rPr>
          <w:rFonts w:ascii="Palatino Linotype" w:hAnsi="Palatino Linotype" w:cs="Tahoma"/>
          <w:color w:val="000000" w:themeColor="text1"/>
          <w:szCs w:val="22"/>
          <w:lang w:val="es-ES"/>
        </w:rPr>
        <w:t xml:space="preserve"> de persona moral</w:t>
      </w:r>
      <w:r>
        <w:rPr>
          <w:rFonts w:ascii="Palatino Linotype" w:hAnsi="Palatino Linotype" w:cs="Tahoma"/>
          <w:color w:val="000000" w:themeColor="text1"/>
          <w:szCs w:val="22"/>
          <w:lang w:val="es-ES"/>
        </w:rPr>
        <w:t>;</w:t>
      </w:r>
    </w:p>
    <w:p w14:paraId="3EFCC0F0" w14:textId="35469646" w:rsidR="00903F92" w:rsidRDefault="00903F92"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Domicilio</w:t>
      </w:r>
      <w:r w:rsidR="004B7CEB">
        <w:rPr>
          <w:rFonts w:ascii="Palatino Linotype" w:hAnsi="Palatino Linotype" w:cs="Tahoma"/>
          <w:color w:val="000000" w:themeColor="text1"/>
          <w:szCs w:val="22"/>
          <w:lang w:val="es-ES"/>
        </w:rPr>
        <w:t xml:space="preserve"> de persona moral</w:t>
      </w:r>
      <w:r>
        <w:rPr>
          <w:rFonts w:ascii="Palatino Linotype" w:hAnsi="Palatino Linotype" w:cs="Tahoma"/>
          <w:color w:val="000000" w:themeColor="text1"/>
          <w:szCs w:val="22"/>
          <w:lang w:val="es-ES"/>
        </w:rPr>
        <w:t>;</w:t>
      </w:r>
    </w:p>
    <w:p w14:paraId="7DEFD77C" w14:textId="7CB990CF" w:rsidR="00913F84" w:rsidRDefault="00913F84"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Número de Fianza, y</w:t>
      </w:r>
    </w:p>
    <w:p w14:paraId="630E0D3B" w14:textId="75F54451" w:rsidR="00913F84" w:rsidRPr="004A460F" w:rsidRDefault="00913F84" w:rsidP="004A460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Folio.</w:t>
      </w:r>
    </w:p>
    <w:p w14:paraId="6E059D04"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17921D3B"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5B781256" w14:textId="77777777" w:rsidR="00986F84" w:rsidRPr="00AC4497"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28644609"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9DF841D"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7EDC12E4"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BCDA42C"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7B2002D3"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6194680"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62B25B10"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6F5C6859"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471C21FB"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D507992" w14:textId="77777777" w:rsidR="00986F84" w:rsidRPr="007431AD" w:rsidRDefault="00986F84" w:rsidP="00986F84">
      <w:pPr>
        <w:shd w:val="clear" w:color="auto" w:fill="FFFFFF" w:themeFill="background1"/>
        <w:spacing w:line="360" w:lineRule="auto"/>
        <w:jc w:val="both"/>
        <w:rPr>
          <w:rFonts w:ascii="Palatino Linotype" w:eastAsia="Calibri" w:hAnsi="Palatino Linotype" w:cs="Tahoma"/>
          <w:bCs/>
          <w:sz w:val="14"/>
          <w:szCs w:val="22"/>
          <w:lang w:eastAsia="en-US"/>
        </w:rPr>
      </w:pPr>
    </w:p>
    <w:p w14:paraId="33549248"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14:paraId="4E7CAF7E"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20655EB9" w14:textId="77777777" w:rsidR="00986F84" w:rsidRPr="00D00D35" w:rsidRDefault="00986F84" w:rsidP="00986F84">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14:paraId="6BEFB2E6"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65AF1DA2" w14:textId="77777777" w:rsidR="00986F84" w:rsidRPr="00D00D35" w:rsidRDefault="00986F84" w:rsidP="00986F84">
      <w:pPr>
        <w:pStyle w:val="Prrafodelista"/>
        <w:numPr>
          <w:ilvl w:val="0"/>
          <w:numId w:val="30"/>
        </w:numPr>
        <w:shd w:val="clear" w:color="auto" w:fill="FFFFFF" w:themeFill="background1"/>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 xml:space="preserve">Para la difusión de los datos, se requiera el consentimiento del titular. </w:t>
      </w:r>
    </w:p>
    <w:p w14:paraId="0A10C844"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40DF8835"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D00D35">
        <w:rPr>
          <w:rFonts w:ascii="Palatino Linotype" w:eastAsia="Calibri" w:hAnsi="Palatino Linotype" w:cs="Tahoma"/>
          <w:bCs/>
          <w:sz w:val="22"/>
          <w:szCs w:val="22"/>
          <w:lang w:eastAsia="en-US"/>
        </w:rPr>
        <w:lastRenderedPageBreak/>
        <w:t xml:space="preserve">cualquier documento informativo físico o electrónico), establecida en cualquier formato o modalidad. </w:t>
      </w:r>
    </w:p>
    <w:p w14:paraId="5A79393C"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7795A6C8"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14:paraId="432C4DC1"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15AFABC6"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F5D896C"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126DBA72"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6966276"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224C0171"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D00D35">
        <w:rPr>
          <w:rFonts w:ascii="Palatino Linotype" w:eastAsia="Calibri" w:hAnsi="Palatino Linotype" w:cs="Tahoma"/>
          <w:bCs/>
          <w:sz w:val="22"/>
          <w:szCs w:val="22"/>
          <w:lang w:eastAsia="en-US"/>
        </w:rPr>
        <w:lastRenderedPageBreak/>
        <w:t>instituciones y es a partir de ahí, en donde las instituciones públicas deben determinar la publicidad de su información.</w:t>
      </w:r>
    </w:p>
    <w:p w14:paraId="58E004D8"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2526C689"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14:paraId="5B9B371B" w14:textId="77777777" w:rsidR="00986F84" w:rsidRPr="001D1AEC"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6C9DEFA2"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1FEF81E"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2D81377E"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13AB723"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p>
    <w:p w14:paraId="5490ACCE" w14:textId="77777777" w:rsidR="00986F84" w:rsidRPr="00D00D35" w:rsidRDefault="00986F84" w:rsidP="00986F84">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D4234AD" w14:textId="77777777" w:rsidR="00986F84" w:rsidRPr="00D00D35" w:rsidRDefault="00986F84" w:rsidP="00986F84">
      <w:pPr>
        <w:spacing w:line="360" w:lineRule="auto"/>
        <w:ind w:right="-93"/>
        <w:jc w:val="both"/>
        <w:rPr>
          <w:rFonts w:ascii="Palatino Linotype" w:hAnsi="Palatino Linotype" w:cs="Tahoma"/>
          <w:sz w:val="22"/>
          <w:szCs w:val="22"/>
        </w:rPr>
      </w:pPr>
    </w:p>
    <w:p w14:paraId="7FEBA284" w14:textId="243B8808" w:rsidR="00986F84" w:rsidRDefault="00986F84" w:rsidP="00986F84">
      <w:pPr>
        <w:spacing w:line="360" w:lineRule="auto"/>
        <w:jc w:val="both"/>
        <w:rPr>
          <w:rFonts w:ascii="Palatino Linotype" w:hAnsi="Palatino Linotype" w:cs="Tahoma"/>
          <w:sz w:val="22"/>
          <w:szCs w:val="22"/>
        </w:rPr>
      </w:pPr>
      <w:r w:rsidRPr="00D00D35">
        <w:rPr>
          <w:rFonts w:ascii="Palatino Linotype" w:hAnsi="Palatino Linotype" w:cs="Tahoma"/>
          <w:sz w:val="22"/>
          <w:szCs w:val="22"/>
        </w:rPr>
        <w:t>Bajo ese contexto, se analizarán si los datos contenidos</w:t>
      </w:r>
      <w:r>
        <w:rPr>
          <w:rFonts w:ascii="Palatino Linotype" w:hAnsi="Palatino Linotype" w:cs="Tahoma"/>
          <w:sz w:val="22"/>
          <w:szCs w:val="22"/>
        </w:rPr>
        <w:t xml:space="preserve"> en los documentos entregados durante la substanciación del medio de impugnación, deben ser considerados confidenciales o públicos.</w:t>
      </w:r>
    </w:p>
    <w:p w14:paraId="1ADE640A" w14:textId="77777777" w:rsidR="0098696F" w:rsidRDefault="0098696F" w:rsidP="00986F84">
      <w:pPr>
        <w:spacing w:line="360" w:lineRule="auto"/>
        <w:jc w:val="both"/>
        <w:rPr>
          <w:rFonts w:ascii="Palatino Linotype" w:eastAsia="Calibri" w:hAnsi="Palatino Linotype" w:cs="Tahoma"/>
          <w:bCs/>
          <w:sz w:val="22"/>
          <w:szCs w:val="22"/>
          <w:lang w:eastAsia="en-US"/>
        </w:rPr>
      </w:pPr>
    </w:p>
    <w:p w14:paraId="5BFD2CF4" w14:textId="7630A234" w:rsidR="00146B51" w:rsidRDefault="00986F84" w:rsidP="00146B51">
      <w:pPr>
        <w:numPr>
          <w:ilvl w:val="0"/>
          <w:numId w:val="29"/>
        </w:numPr>
        <w:spacing w:line="360" w:lineRule="auto"/>
        <w:jc w:val="both"/>
        <w:rPr>
          <w:rFonts w:ascii="Palatino Linotype" w:hAnsi="Palatino Linotype" w:cs="Tahoma"/>
          <w:b/>
          <w:color w:val="000000" w:themeColor="text1"/>
          <w:sz w:val="22"/>
          <w:szCs w:val="22"/>
          <w:lang w:val="es-ES"/>
        </w:rPr>
      </w:pPr>
      <w:r w:rsidRPr="00986F84">
        <w:rPr>
          <w:rFonts w:ascii="Palatino Linotype" w:hAnsi="Palatino Linotype" w:cs="Tahoma"/>
          <w:b/>
          <w:color w:val="000000" w:themeColor="text1"/>
          <w:sz w:val="22"/>
          <w:szCs w:val="22"/>
          <w:lang w:val="es-ES"/>
        </w:rPr>
        <w:t>Firma del representante legal del contratista</w:t>
      </w:r>
      <w:r w:rsidR="00146B51">
        <w:rPr>
          <w:rFonts w:ascii="Palatino Linotype" w:hAnsi="Palatino Linotype" w:cs="Tahoma"/>
          <w:b/>
          <w:color w:val="000000" w:themeColor="text1"/>
          <w:sz w:val="22"/>
          <w:szCs w:val="22"/>
          <w:lang w:val="es-ES"/>
        </w:rPr>
        <w:t>.</w:t>
      </w:r>
    </w:p>
    <w:p w14:paraId="42CB9030" w14:textId="77777777" w:rsidR="00146B51" w:rsidRDefault="00146B51" w:rsidP="00146B51">
      <w:pPr>
        <w:spacing w:line="360" w:lineRule="auto"/>
        <w:jc w:val="both"/>
        <w:rPr>
          <w:rFonts w:ascii="Palatino Linotype" w:hAnsi="Palatino Linotype" w:cs="Tahoma"/>
          <w:b/>
          <w:color w:val="000000" w:themeColor="text1"/>
          <w:sz w:val="22"/>
          <w:szCs w:val="22"/>
          <w:lang w:val="es-ES"/>
        </w:rPr>
      </w:pPr>
    </w:p>
    <w:p w14:paraId="16C67D3A" w14:textId="2E1BE171" w:rsidR="00146B51" w:rsidRDefault="00542770" w:rsidP="00146B51">
      <w:pPr>
        <w:spacing w:line="360" w:lineRule="auto"/>
        <w:jc w:val="both"/>
        <w:rPr>
          <w:rFonts w:ascii="Palatino Linotype" w:hAnsi="Palatino Linotype" w:cs="Tahoma"/>
          <w:color w:val="000000" w:themeColor="text1"/>
          <w:sz w:val="22"/>
          <w:szCs w:val="22"/>
          <w:lang w:val="es-ES"/>
        </w:rPr>
      </w:pPr>
      <w:r w:rsidRPr="00542770">
        <w:rPr>
          <w:rFonts w:ascii="Palatino Linotype" w:eastAsia="Calibri" w:hAnsi="Palatino Linotype" w:cs="Tahoma"/>
          <w:bCs/>
          <w:sz w:val="22"/>
          <w:szCs w:val="22"/>
          <w:lang w:eastAsia="en-US"/>
        </w:rPr>
        <w:t>Al respecto, la firma es considerada un dato personal, al tratarse de información gráfica a través de la cual su titular exterioriza su voluntad en actos públicos y privados;</w:t>
      </w:r>
      <w:r>
        <w:rPr>
          <w:rFonts w:ascii="Palatino Linotype" w:eastAsia="Calibri" w:hAnsi="Palatino Linotype" w:cs="Tahoma"/>
          <w:bCs/>
          <w:sz w:val="22"/>
          <w:szCs w:val="22"/>
          <w:lang w:eastAsia="en-US"/>
        </w:rPr>
        <w:t xml:space="preserve"> no obstante, lo anterior, resulta necesario aclarar que en el presente caso, corresponde al representante legal</w:t>
      </w:r>
      <w:r>
        <w:rPr>
          <w:rFonts w:ascii="Palatino Linotype" w:hAnsi="Palatino Linotype" w:cs="Tahoma"/>
          <w:b/>
          <w:color w:val="000000" w:themeColor="text1"/>
          <w:sz w:val="22"/>
          <w:szCs w:val="22"/>
          <w:lang w:val="es-ES"/>
        </w:rPr>
        <w:t xml:space="preserve"> </w:t>
      </w:r>
      <w:r>
        <w:rPr>
          <w:rFonts w:ascii="Palatino Linotype" w:hAnsi="Palatino Linotype" w:cs="Tahoma"/>
          <w:color w:val="000000" w:themeColor="text1"/>
          <w:sz w:val="22"/>
          <w:szCs w:val="22"/>
          <w:lang w:val="es-ES"/>
        </w:rPr>
        <w:t>de un contratista.</w:t>
      </w:r>
    </w:p>
    <w:p w14:paraId="0461919D" w14:textId="77777777" w:rsidR="00542770" w:rsidRDefault="00542770" w:rsidP="00146B51">
      <w:pPr>
        <w:spacing w:line="360" w:lineRule="auto"/>
        <w:jc w:val="both"/>
        <w:rPr>
          <w:rFonts w:ascii="Palatino Linotype" w:hAnsi="Palatino Linotype" w:cs="Tahoma"/>
          <w:color w:val="000000" w:themeColor="text1"/>
          <w:sz w:val="22"/>
          <w:szCs w:val="22"/>
          <w:lang w:val="es-ES"/>
        </w:rPr>
      </w:pPr>
    </w:p>
    <w:p w14:paraId="27E02B0D" w14:textId="27C07E9B" w:rsidR="00542770" w:rsidRPr="00542770" w:rsidRDefault="00542770" w:rsidP="00542770">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Conforme a lo anterior</w:t>
      </w:r>
      <w:r w:rsidRPr="00542770">
        <w:rPr>
          <w:rFonts w:ascii="Palatino Linotype" w:hAnsi="Palatino Linotype" w:cs="Tahoma"/>
          <w:color w:val="000000" w:themeColor="text1"/>
          <w:sz w:val="22"/>
          <w:szCs w:val="22"/>
          <w:lang w:val="es-ES"/>
        </w:rPr>
        <w:t>, resulta necesario señalar que las personas morales son representadas mediante personas físicas, debidamente acreditadas para realizar determinados actos a nombre de la jurídico colectiva, por lo que, el nombre</w:t>
      </w:r>
      <w:r w:rsidR="00CF6E0D">
        <w:rPr>
          <w:rFonts w:ascii="Palatino Linotype" w:hAnsi="Palatino Linotype" w:cs="Tahoma"/>
          <w:color w:val="000000" w:themeColor="text1"/>
          <w:sz w:val="22"/>
          <w:szCs w:val="22"/>
          <w:lang w:val="es-ES"/>
        </w:rPr>
        <w:t xml:space="preserve"> y la firma</w:t>
      </w:r>
      <w:r w:rsidRPr="00542770">
        <w:rPr>
          <w:rFonts w:ascii="Palatino Linotype" w:hAnsi="Palatino Linotype" w:cs="Tahoma"/>
          <w:color w:val="000000" w:themeColor="text1"/>
          <w:sz w:val="22"/>
          <w:szCs w:val="22"/>
          <w:lang w:val="es-ES"/>
        </w:rPr>
        <w:t xml:space="preserve"> de dichos individuos no puede ser objeto de clasificación, en virtud de que la representación persigue la finalidad de dar certeza jurídica a los actos que realiza, en el presente caso, </w:t>
      </w:r>
      <w:r w:rsidR="00CF6E0D">
        <w:rPr>
          <w:rFonts w:ascii="Palatino Linotype" w:hAnsi="Palatino Linotype" w:cs="Tahoma"/>
          <w:color w:val="000000" w:themeColor="text1"/>
          <w:sz w:val="22"/>
          <w:szCs w:val="22"/>
          <w:lang w:val="es-ES"/>
        </w:rPr>
        <w:t xml:space="preserve">recibir el lugar de trabajo de las obras públicas a </w:t>
      </w:r>
      <w:r w:rsidR="00B0775A">
        <w:rPr>
          <w:rFonts w:ascii="Palatino Linotype" w:hAnsi="Palatino Linotype" w:cs="Tahoma"/>
          <w:color w:val="000000" w:themeColor="text1"/>
          <w:sz w:val="22"/>
          <w:szCs w:val="22"/>
          <w:lang w:val="es-ES"/>
        </w:rPr>
        <w:t>realizar</w:t>
      </w:r>
      <w:r w:rsidR="00CF6E0D">
        <w:rPr>
          <w:rFonts w:ascii="Palatino Linotype" w:hAnsi="Palatino Linotype" w:cs="Tahoma"/>
          <w:color w:val="000000" w:themeColor="text1"/>
          <w:sz w:val="22"/>
          <w:szCs w:val="22"/>
          <w:lang w:val="es-ES"/>
        </w:rPr>
        <w:t>.</w:t>
      </w:r>
    </w:p>
    <w:p w14:paraId="5DE05E86"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p>
    <w:p w14:paraId="03971B7E"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r w:rsidRPr="00542770">
        <w:rPr>
          <w:rFonts w:ascii="Palatino Linotype" w:hAnsi="Palatino Linotype" w:cs="Tahoma"/>
          <w:color w:val="000000" w:themeColor="text1"/>
          <w:sz w:val="22"/>
          <w:szCs w:val="22"/>
          <w:lang w:val="es-ES"/>
        </w:rPr>
        <w:lastRenderedPageBreak/>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570657F6"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p>
    <w:p w14:paraId="29695222"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r w:rsidRPr="00542770">
        <w:rPr>
          <w:rFonts w:ascii="Palatino Linotype" w:hAnsi="Palatino Linotype" w:cs="Tahoma"/>
          <w:color w:val="000000" w:themeColor="text1"/>
          <w:sz w:val="22"/>
          <w:szCs w:val="22"/>
          <w:lang w:val="es-ES"/>
        </w:rPr>
        <w:t>En esa tesitura, la representación de las personas morales se realizará por medio de representantes o apoderados, y en el caso específico de las sociedades mercantiles, dicha representación se otorgará mediante instrumento público.</w:t>
      </w:r>
    </w:p>
    <w:p w14:paraId="4880AD0E"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p>
    <w:p w14:paraId="0B7BCF9A"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r w:rsidRPr="00542770">
        <w:rPr>
          <w:rFonts w:ascii="Palatino Linotype" w:hAnsi="Palatino Linotype" w:cs="Tahoma"/>
          <w:color w:val="000000" w:themeColor="text1"/>
          <w:sz w:val="22"/>
          <w:szCs w:val="22"/>
          <w:lang w:val="es-ES"/>
        </w:rPr>
        <w:t>Lo previo, toda vez que la representación legal debe ser conocida para surtir efectos ante terceros; es decir, la publicidad de la misma tiene por objeto dar certeza a quienes se relacionan con la persona moral representada, que las actuaciones de su representante están previamente autorizadas y que surtirán efectos legales a que constriñe cada acto.</w:t>
      </w:r>
    </w:p>
    <w:p w14:paraId="27D7EE6F" w14:textId="77777777" w:rsidR="00542770" w:rsidRPr="00542770" w:rsidRDefault="00542770" w:rsidP="00542770">
      <w:pPr>
        <w:spacing w:line="360" w:lineRule="auto"/>
        <w:jc w:val="both"/>
        <w:rPr>
          <w:rFonts w:ascii="Palatino Linotype" w:hAnsi="Palatino Linotype" w:cs="Tahoma"/>
          <w:color w:val="000000" w:themeColor="text1"/>
          <w:sz w:val="22"/>
          <w:szCs w:val="22"/>
          <w:lang w:val="es-ES"/>
        </w:rPr>
      </w:pPr>
    </w:p>
    <w:p w14:paraId="74F84BD1" w14:textId="2A032142" w:rsidR="00CF6E0D" w:rsidRDefault="00542770" w:rsidP="00542770">
      <w:pPr>
        <w:spacing w:line="360" w:lineRule="auto"/>
        <w:jc w:val="both"/>
        <w:rPr>
          <w:rFonts w:ascii="Palatino Linotype" w:hAnsi="Palatino Linotype" w:cs="Tahoma"/>
          <w:color w:val="000000" w:themeColor="text1"/>
          <w:sz w:val="22"/>
          <w:szCs w:val="22"/>
          <w:lang w:val="es-ES"/>
        </w:rPr>
      </w:pPr>
      <w:r w:rsidRPr="00542770">
        <w:rPr>
          <w:rFonts w:ascii="Palatino Linotype" w:hAnsi="Palatino Linotype" w:cs="Tahoma"/>
          <w:color w:val="000000" w:themeColor="text1"/>
          <w:sz w:val="22"/>
          <w:szCs w:val="22"/>
          <w:lang w:val="es-ES"/>
        </w:rPr>
        <w:t xml:space="preserve">En ese orden de ideas, se estima que si bien, </w:t>
      </w:r>
      <w:r w:rsidR="00CF6E0D">
        <w:rPr>
          <w:rFonts w:ascii="Palatino Linotype" w:hAnsi="Palatino Linotype" w:cs="Tahoma"/>
          <w:color w:val="000000" w:themeColor="text1"/>
          <w:sz w:val="22"/>
          <w:szCs w:val="22"/>
          <w:lang w:val="es-ES"/>
        </w:rPr>
        <w:t>la firma es un dato que exterioriza la voluntad en un acto público y</w:t>
      </w:r>
      <w:r w:rsidRPr="00542770">
        <w:rPr>
          <w:rFonts w:ascii="Palatino Linotype" w:hAnsi="Palatino Linotype" w:cs="Tahoma"/>
          <w:color w:val="000000" w:themeColor="text1"/>
          <w:sz w:val="22"/>
          <w:szCs w:val="22"/>
          <w:lang w:val="es-ES"/>
        </w:rPr>
        <w:t xml:space="preserve"> que hace una persona física identificada o identificable</w:t>
      </w:r>
      <w:r w:rsidR="00CF6E0D">
        <w:rPr>
          <w:rFonts w:ascii="Palatino Linotype" w:hAnsi="Palatino Linotype" w:cs="Tahoma"/>
          <w:color w:val="000000" w:themeColor="text1"/>
          <w:sz w:val="22"/>
          <w:szCs w:val="22"/>
          <w:lang w:val="es-ES"/>
        </w:rPr>
        <w:t>,</w:t>
      </w:r>
      <w:r w:rsidRPr="00542770">
        <w:rPr>
          <w:rFonts w:ascii="Palatino Linotype" w:hAnsi="Palatino Linotype" w:cs="Tahoma"/>
          <w:color w:val="000000" w:themeColor="text1"/>
          <w:sz w:val="22"/>
          <w:szCs w:val="22"/>
          <w:lang w:val="es-ES"/>
        </w:rPr>
        <w:t xml:space="preserve"> </w:t>
      </w:r>
      <w:r w:rsidR="00CF6E0D">
        <w:rPr>
          <w:rFonts w:ascii="Palatino Linotype" w:hAnsi="Palatino Linotype" w:cs="Tahoma"/>
          <w:color w:val="000000" w:themeColor="text1"/>
          <w:sz w:val="22"/>
          <w:szCs w:val="22"/>
          <w:lang w:val="es-ES"/>
        </w:rPr>
        <w:t xml:space="preserve">también lo es, que </w:t>
      </w:r>
      <w:r w:rsidR="00171CE0">
        <w:rPr>
          <w:rFonts w:ascii="Palatino Linotype" w:hAnsi="Palatino Linotype" w:cs="Tahoma"/>
          <w:color w:val="000000" w:themeColor="text1"/>
          <w:sz w:val="22"/>
          <w:szCs w:val="22"/>
          <w:lang w:val="es-ES"/>
        </w:rPr>
        <w:t xml:space="preserve">a través de dicho dato el representante legal, expresa el consentimiento del contratista para realizar o recibir ciertas obligaciones; además, que le otorga validez al instrumento jurídico, en el presente caso, el documento mediante el cual se entrega el espacio de trabajo para realizar una obra pública. Lo anterior, se robustece con el criterio 01/19, emitido por el Instituto Nacional de Transparencia, Acceso a la Información Pública y </w:t>
      </w:r>
      <w:r w:rsidR="00CF5249">
        <w:rPr>
          <w:rFonts w:ascii="Palatino Linotype" w:hAnsi="Palatino Linotype" w:cs="Tahoma"/>
          <w:color w:val="000000" w:themeColor="text1"/>
          <w:sz w:val="22"/>
          <w:szCs w:val="22"/>
          <w:lang w:val="es-ES"/>
        </w:rPr>
        <w:t>Protección de Datos Personales, que establece lo siguiente:</w:t>
      </w:r>
    </w:p>
    <w:p w14:paraId="551FB3EC" w14:textId="77777777" w:rsidR="00CF5249" w:rsidRDefault="00CF5249" w:rsidP="00542770">
      <w:pPr>
        <w:spacing w:line="360" w:lineRule="auto"/>
        <w:jc w:val="both"/>
        <w:rPr>
          <w:rFonts w:ascii="Palatino Linotype" w:hAnsi="Palatino Linotype" w:cs="Tahoma"/>
          <w:color w:val="000000" w:themeColor="text1"/>
          <w:sz w:val="22"/>
          <w:szCs w:val="22"/>
          <w:lang w:val="es-ES"/>
        </w:rPr>
      </w:pPr>
    </w:p>
    <w:p w14:paraId="3C46417F" w14:textId="6779B677" w:rsidR="00CF5249" w:rsidRPr="00B0775A" w:rsidRDefault="00B0775A" w:rsidP="00B0775A">
      <w:pPr>
        <w:spacing w:line="360" w:lineRule="auto"/>
        <w:ind w:left="567" w:right="567"/>
        <w:jc w:val="both"/>
        <w:rPr>
          <w:rFonts w:ascii="Palatino Linotype" w:hAnsi="Palatino Linotype" w:cs="Tahoma"/>
          <w:i/>
          <w:color w:val="000000" w:themeColor="text1"/>
          <w:lang w:val="es-ES"/>
        </w:rPr>
      </w:pPr>
      <w:r>
        <w:rPr>
          <w:rFonts w:ascii="Palatino Linotype" w:hAnsi="Palatino Linotype" w:cs="Tahoma"/>
          <w:b/>
          <w:i/>
          <w:color w:val="000000" w:themeColor="text1"/>
        </w:rPr>
        <w:t>“</w:t>
      </w:r>
      <w:r w:rsidRPr="00B0775A">
        <w:rPr>
          <w:rFonts w:ascii="Palatino Linotype" w:hAnsi="Palatino Linotype" w:cs="Tahoma"/>
          <w:b/>
          <w:i/>
          <w:color w:val="000000" w:themeColor="text1"/>
        </w:rPr>
        <w:t>Datos de identificación del representante o apoderado legal.</w:t>
      </w:r>
      <w:r w:rsidRPr="00B0775A">
        <w:rPr>
          <w:rFonts w:ascii="Palatino Linotype" w:hAnsi="Palatino Linotype" w:cs="Tahoma"/>
          <w:i/>
          <w:color w:val="000000" w:themeColor="text1"/>
        </w:rPr>
        <w:t xml:space="preserve"> </w:t>
      </w:r>
      <w:r w:rsidRPr="00B0775A">
        <w:rPr>
          <w:rFonts w:ascii="Palatino Linotype" w:hAnsi="Palatino Linotype" w:cs="Tahoma"/>
          <w:b/>
          <w:i/>
          <w:color w:val="000000" w:themeColor="text1"/>
        </w:rPr>
        <w:t xml:space="preserve">Naturaleza jurídica. </w:t>
      </w:r>
      <w:r w:rsidRPr="00B0775A">
        <w:rPr>
          <w:rFonts w:ascii="Palatino Linotype" w:hAnsi="Palatino Linotype" w:cs="Tahoma"/>
          <w:i/>
          <w:color w:val="000000" w:themeColor="text1"/>
        </w:rPr>
        <w:t xml:space="preserve">El nombre, la firma y la rúbrica de una persona física, que actúe como representante o apoderado legal de un tercero que haya celebrado un acto jurídico, con algún sujeto obligado, es información pública, </w:t>
      </w:r>
      <w:r w:rsidRPr="00B0775A">
        <w:rPr>
          <w:rFonts w:ascii="Palatino Linotype" w:hAnsi="Palatino Linotype" w:cs="Tahoma"/>
          <w:i/>
          <w:color w:val="000000" w:themeColor="text1"/>
        </w:rPr>
        <w:lastRenderedPageBreak/>
        <w:t>en razón de que tales datos fueron proporcionados con el objeto de expresar el consentimiento obligacional del tercero y otorgar validez a dicho instrumento jurídico.</w:t>
      </w:r>
      <w:r>
        <w:rPr>
          <w:rFonts w:ascii="Palatino Linotype" w:hAnsi="Palatino Linotype" w:cs="Tahoma"/>
          <w:i/>
          <w:color w:val="000000" w:themeColor="text1"/>
        </w:rPr>
        <w:t>”</w:t>
      </w:r>
    </w:p>
    <w:p w14:paraId="4359D4A3" w14:textId="77777777" w:rsidR="00B0775A" w:rsidRDefault="00B0775A" w:rsidP="00542770">
      <w:pPr>
        <w:spacing w:line="360" w:lineRule="auto"/>
        <w:jc w:val="both"/>
        <w:rPr>
          <w:rFonts w:ascii="Palatino Linotype" w:hAnsi="Palatino Linotype" w:cs="Tahoma"/>
          <w:color w:val="000000" w:themeColor="text1"/>
          <w:sz w:val="22"/>
          <w:szCs w:val="22"/>
          <w:lang w:val="es-ES"/>
        </w:rPr>
      </w:pPr>
    </w:p>
    <w:p w14:paraId="683F5026" w14:textId="46404DB4" w:rsidR="00B0775A" w:rsidRPr="00542770" w:rsidRDefault="00B0775A" w:rsidP="00542770">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Conforme a lo anterior, no procede la clasificación de la firma</w:t>
      </w:r>
      <w:r w:rsidR="00957D19">
        <w:rPr>
          <w:rFonts w:ascii="Palatino Linotype" w:hAnsi="Palatino Linotype" w:cs="Tahoma"/>
          <w:color w:val="000000" w:themeColor="text1"/>
          <w:sz w:val="22"/>
          <w:szCs w:val="22"/>
          <w:lang w:val="es-ES"/>
        </w:rPr>
        <w:t xml:space="preserve"> de los representantes legales,</w:t>
      </w:r>
      <w:r>
        <w:rPr>
          <w:rFonts w:ascii="Palatino Linotype" w:hAnsi="Palatino Linotype" w:cs="Tahoma"/>
          <w:color w:val="000000" w:themeColor="text1"/>
          <w:sz w:val="22"/>
          <w:szCs w:val="22"/>
          <w:lang w:val="es-ES"/>
        </w:rPr>
        <w:t xml:space="preserve"> localizad</w:t>
      </w:r>
      <w:r w:rsidR="00957D19">
        <w:rPr>
          <w:rFonts w:ascii="Palatino Linotype" w:hAnsi="Palatino Linotype" w:cs="Tahoma"/>
          <w:color w:val="000000" w:themeColor="text1"/>
          <w:sz w:val="22"/>
          <w:szCs w:val="22"/>
          <w:lang w:val="es-ES"/>
        </w:rPr>
        <w:t>a</w:t>
      </w:r>
      <w:r>
        <w:rPr>
          <w:rFonts w:ascii="Palatino Linotype" w:hAnsi="Palatino Linotype" w:cs="Tahoma"/>
          <w:color w:val="000000" w:themeColor="text1"/>
          <w:sz w:val="22"/>
          <w:szCs w:val="22"/>
          <w:lang w:val="es-ES"/>
        </w:rPr>
        <w:t xml:space="preserve"> </w:t>
      </w:r>
      <w:r w:rsidR="00957D19">
        <w:rPr>
          <w:rFonts w:ascii="Palatino Linotype" w:hAnsi="Palatino Linotype" w:cs="Tahoma"/>
          <w:color w:val="000000" w:themeColor="text1"/>
          <w:sz w:val="22"/>
          <w:szCs w:val="22"/>
          <w:lang w:val="es-ES"/>
        </w:rPr>
        <w:t xml:space="preserve">en </w:t>
      </w:r>
      <w:r w:rsidR="00957D19" w:rsidRPr="00957D19">
        <w:rPr>
          <w:rFonts w:ascii="Palatino Linotype" w:hAnsi="Palatino Linotype" w:cs="Tahoma"/>
          <w:color w:val="000000" w:themeColor="text1"/>
          <w:sz w:val="22"/>
          <w:szCs w:val="22"/>
          <w:lang w:val="es-ES"/>
        </w:rPr>
        <w:t>los oficios de entrega del lugar de trabajo</w:t>
      </w:r>
      <w:r w:rsidR="00957D19">
        <w:rPr>
          <w:rFonts w:ascii="Palatino Linotype" w:hAnsi="Palatino Linotype" w:cs="Tahoma"/>
          <w:color w:val="000000" w:themeColor="text1"/>
          <w:sz w:val="22"/>
          <w:szCs w:val="22"/>
          <w:lang w:val="es-ES"/>
        </w:rPr>
        <w:t xml:space="preserve"> proporcionados en respuesta, en términos del artículo 143, fracción I de la Ley de Transparencia y Acceso a la Información Pública del Estado de México y Municipios.</w:t>
      </w:r>
    </w:p>
    <w:p w14:paraId="5E692D08" w14:textId="60B091E6" w:rsidR="008D4245" w:rsidRDefault="008D4245" w:rsidP="00146B51">
      <w:pPr>
        <w:spacing w:line="360" w:lineRule="auto"/>
        <w:jc w:val="both"/>
        <w:rPr>
          <w:rFonts w:ascii="Palatino Linotype" w:hAnsi="Palatino Linotype" w:cs="Tahoma"/>
          <w:b/>
          <w:color w:val="000000" w:themeColor="text1"/>
          <w:sz w:val="22"/>
          <w:szCs w:val="22"/>
          <w:lang w:val="es-ES"/>
        </w:rPr>
      </w:pPr>
    </w:p>
    <w:p w14:paraId="70D9FC38" w14:textId="77777777" w:rsidR="0098696F" w:rsidRPr="00146B51" w:rsidRDefault="0098696F" w:rsidP="00146B51">
      <w:pPr>
        <w:spacing w:line="360" w:lineRule="auto"/>
        <w:jc w:val="both"/>
        <w:rPr>
          <w:rFonts w:ascii="Palatino Linotype" w:hAnsi="Palatino Linotype" w:cs="Tahoma"/>
          <w:b/>
          <w:color w:val="000000" w:themeColor="text1"/>
          <w:sz w:val="22"/>
          <w:szCs w:val="22"/>
          <w:lang w:val="es-ES"/>
        </w:rPr>
      </w:pPr>
    </w:p>
    <w:p w14:paraId="68756770" w14:textId="7A134716" w:rsidR="00986F84" w:rsidRDefault="00986F84" w:rsidP="00986F84">
      <w:pPr>
        <w:numPr>
          <w:ilvl w:val="0"/>
          <w:numId w:val="29"/>
        </w:numPr>
        <w:spacing w:line="360" w:lineRule="auto"/>
        <w:jc w:val="both"/>
        <w:rPr>
          <w:rFonts w:ascii="Palatino Linotype" w:hAnsi="Palatino Linotype" w:cs="Tahoma"/>
          <w:b/>
          <w:color w:val="000000" w:themeColor="text1"/>
          <w:sz w:val="22"/>
          <w:szCs w:val="22"/>
          <w:lang w:val="es-ES"/>
        </w:rPr>
      </w:pPr>
      <w:r w:rsidRPr="00986F84">
        <w:rPr>
          <w:rFonts w:ascii="Palatino Linotype" w:hAnsi="Palatino Linotype" w:cs="Tahoma"/>
          <w:b/>
          <w:color w:val="000000" w:themeColor="text1"/>
          <w:sz w:val="22"/>
          <w:szCs w:val="22"/>
          <w:lang w:val="es-ES"/>
        </w:rPr>
        <w:t>Código de Seguridad</w:t>
      </w:r>
      <w:r w:rsidR="00317C68">
        <w:rPr>
          <w:rFonts w:ascii="Palatino Linotype" w:hAnsi="Palatino Linotype" w:cs="Tahoma"/>
          <w:b/>
          <w:color w:val="000000" w:themeColor="text1"/>
          <w:sz w:val="22"/>
          <w:szCs w:val="22"/>
          <w:lang w:val="es-ES"/>
        </w:rPr>
        <w:t xml:space="preserve"> y línea de validación</w:t>
      </w:r>
      <w:r w:rsidR="00146B51">
        <w:rPr>
          <w:rFonts w:ascii="Palatino Linotype" w:hAnsi="Palatino Linotype" w:cs="Tahoma"/>
          <w:b/>
          <w:color w:val="000000" w:themeColor="text1"/>
          <w:sz w:val="22"/>
          <w:szCs w:val="22"/>
          <w:lang w:val="es-ES"/>
        </w:rPr>
        <w:t>.</w:t>
      </w:r>
    </w:p>
    <w:p w14:paraId="18A1C178" w14:textId="77777777" w:rsidR="00233275" w:rsidRDefault="00233275" w:rsidP="00233275">
      <w:pPr>
        <w:spacing w:line="360" w:lineRule="auto"/>
        <w:jc w:val="both"/>
        <w:rPr>
          <w:rFonts w:ascii="Palatino Linotype" w:hAnsi="Palatino Linotype" w:cs="Tahoma"/>
          <w:b/>
          <w:color w:val="000000" w:themeColor="text1"/>
          <w:sz w:val="22"/>
          <w:szCs w:val="22"/>
          <w:lang w:val="es-ES"/>
        </w:rPr>
      </w:pPr>
    </w:p>
    <w:p w14:paraId="1087C51B" w14:textId="00B8E6DD" w:rsidR="00233275" w:rsidRDefault="00233275" w:rsidP="002332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Al respecto, </w:t>
      </w:r>
      <w:r w:rsidR="00317C68">
        <w:rPr>
          <w:rFonts w:ascii="Palatino Linotype" w:hAnsi="Palatino Linotype" w:cs="Tahoma"/>
          <w:color w:val="000000" w:themeColor="text1"/>
          <w:sz w:val="22"/>
          <w:szCs w:val="22"/>
          <w:lang w:val="es-ES"/>
        </w:rPr>
        <w:t>cabe señalar el dichos datos son</w:t>
      </w:r>
      <w:r w:rsidR="00F81CE4">
        <w:rPr>
          <w:rFonts w:ascii="Palatino Linotype" w:hAnsi="Palatino Linotype" w:cs="Tahoma"/>
          <w:color w:val="000000" w:themeColor="text1"/>
          <w:sz w:val="22"/>
          <w:szCs w:val="22"/>
          <w:lang w:val="es-ES"/>
        </w:rPr>
        <w:t xml:space="preserve"> una serie de números y letras</w:t>
      </w:r>
      <w:r w:rsidR="00317C68">
        <w:rPr>
          <w:rFonts w:ascii="Palatino Linotype" w:hAnsi="Palatino Linotype" w:cs="Tahoma"/>
          <w:color w:val="000000" w:themeColor="text1"/>
          <w:sz w:val="22"/>
          <w:szCs w:val="22"/>
          <w:lang w:val="es-ES"/>
        </w:rPr>
        <w:t>, que sirve</w:t>
      </w:r>
      <w:r w:rsidR="00F81CE4">
        <w:rPr>
          <w:rFonts w:ascii="Palatino Linotype" w:hAnsi="Palatino Linotype" w:cs="Tahoma"/>
          <w:color w:val="000000" w:themeColor="text1"/>
          <w:sz w:val="22"/>
          <w:szCs w:val="22"/>
          <w:lang w:val="es-ES"/>
        </w:rPr>
        <w:t>n</w:t>
      </w:r>
      <w:r w:rsidR="00317C68">
        <w:rPr>
          <w:rFonts w:ascii="Palatino Linotype" w:hAnsi="Palatino Linotype" w:cs="Tahoma"/>
          <w:color w:val="000000" w:themeColor="text1"/>
          <w:sz w:val="22"/>
          <w:szCs w:val="22"/>
          <w:lang w:val="es-ES"/>
        </w:rPr>
        <w:t xml:space="preserve"> para verificar </w:t>
      </w:r>
      <w:r w:rsidR="00F81CE4">
        <w:rPr>
          <w:rFonts w:ascii="Palatino Linotype" w:hAnsi="Palatino Linotype" w:cs="Tahoma"/>
          <w:color w:val="000000" w:themeColor="text1"/>
          <w:sz w:val="22"/>
          <w:szCs w:val="22"/>
          <w:lang w:val="es-ES"/>
        </w:rPr>
        <w:t xml:space="preserve">la validez de una fianza, de los cuales no se desprende, que pueda hacer identificable o identificada a una persona; pues como se precisó </w:t>
      </w:r>
      <w:r w:rsidR="00C2043D">
        <w:rPr>
          <w:rFonts w:ascii="Palatino Linotype" w:hAnsi="Palatino Linotype" w:cs="Tahoma"/>
          <w:color w:val="000000" w:themeColor="text1"/>
          <w:sz w:val="22"/>
          <w:szCs w:val="22"/>
          <w:lang w:val="es-ES"/>
        </w:rPr>
        <w:t xml:space="preserve">permiten identificar si la póliza es falsa o no. </w:t>
      </w:r>
    </w:p>
    <w:p w14:paraId="17BB1F9F" w14:textId="77777777" w:rsidR="00C2043D" w:rsidRDefault="00C2043D" w:rsidP="00233275">
      <w:pPr>
        <w:spacing w:line="360" w:lineRule="auto"/>
        <w:jc w:val="both"/>
        <w:rPr>
          <w:rFonts w:ascii="Palatino Linotype" w:hAnsi="Palatino Linotype" w:cs="Tahoma"/>
          <w:color w:val="000000" w:themeColor="text1"/>
          <w:sz w:val="22"/>
          <w:szCs w:val="22"/>
          <w:lang w:val="es-ES"/>
        </w:rPr>
      </w:pPr>
    </w:p>
    <w:p w14:paraId="53B16C6C" w14:textId="34060188" w:rsidR="006966A6" w:rsidRPr="006966A6" w:rsidRDefault="00C2043D" w:rsidP="006966A6">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En ese sentido, dichos datos corresponde</w:t>
      </w:r>
      <w:r w:rsidR="0098696F">
        <w:rPr>
          <w:rFonts w:ascii="Palatino Linotype" w:hAnsi="Palatino Linotype" w:cs="Tahoma"/>
          <w:color w:val="000000" w:themeColor="text1"/>
          <w:sz w:val="22"/>
          <w:szCs w:val="22"/>
          <w:lang w:val="es-ES"/>
        </w:rPr>
        <w:t>n</w:t>
      </w:r>
      <w:r>
        <w:rPr>
          <w:rFonts w:ascii="Palatino Linotype" w:hAnsi="Palatino Linotype" w:cs="Tahoma"/>
          <w:color w:val="000000" w:themeColor="text1"/>
          <w:sz w:val="22"/>
          <w:szCs w:val="22"/>
          <w:lang w:val="es-ES"/>
        </w:rPr>
        <w:t xml:space="preserve"> a los mecanismos reconocidos por la Comisión Nacional de Seguros y Fianzas, para la validación de las pólizas de fianzas, a través de los correspondientes portales de </w:t>
      </w:r>
      <w:r w:rsidR="005E07C2">
        <w:rPr>
          <w:rFonts w:ascii="Palatino Linotype" w:hAnsi="Palatino Linotype" w:cs="Tahoma"/>
          <w:color w:val="000000" w:themeColor="text1"/>
          <w:sz w:val="22"/>
          <w:szCs w:val="22"/>
          <w:lang w:val="es-ES"/>
        </w:rPr>
        <w:t>I</w:t>
      </w:r>
      <w:r>
        <w:rPr>
          <w:rFonts w:ascii="Palatino Linotype" w:hAnsi="Palatino Linotype" w:cs="Tahoma"/>
          <w:color w:val="000000" w:themeColor="text1"/>
          <w:sz w:val="22"/>
          <w:szCs w:val="22"/>
          <w:lang w:val="es-ES"/>
        </w:rPr>
        <w:t>nternet de la propia entid</w:t>
      </w:r>
      <w:r w:rsidR="006966A6">
        <w:rPr>
          <w:rFonts w:ascii="Palatino Linotype" w:hAnsi="Palatino Linotype" w:cs="Tahoma"/>
          <w:color w:val="000000" w:themeColor="text1"/>
          <w:sz w:val="22"/>
          <w:szCs w:val="22"/>
          <w:lang w:val="es-ES"/>
        </w:rPr>
        <w:t xml:space="preserve">ad y las instituciones emisoras, </w:t>
      </w:r>
      <w:r w:rsidR="006966A6" w:rsidRPr="006966A6">
        <w:rPr>
          <w:rFonts w:ascii="Palatino Linotype" w:hAnsi="Palatino Linotype" w:cs="Tahoma"/>
          <w:color w:val="000000" w:themeColor="text1"/>
          <w:sz w:val="22"/>
          <w:szCs w:val="22"/>
          <w:lang w:val="es-ES"/>
        </w:rPr>
        <w:t>, de conformidad con el Proyecto Disposiciones de Carácter General el Seguro y la Fianza Electrónica, emitido por la Comisión Nacional de Seguros y Fianzas.</w:t>
      </w:r>
    </w:p>
    <w:p w14:paraId="2A8128AA" w14:textId="77777777" w:rsidR="00C2043D" w:rsidRDefault="00C2043D" w:rsidP="00233275">
      <w:pPr>
        <w:spacing w:line="360" w:lineRule="auto"/>
        <w:jc w:val="both"/>
        <w:rPr>
          <w:rFonts w:ascii="Palatino Linotype" w:hAnsi="Palatino Linotype" w:cs="Tahoma"/>
          <w:color w:val="000000" w:themeColor="text1"/>
          <w:sz w:val="22"/>
          <w:szCs w:val="22"/>
          <w:lang w:val="es-ES"/>
        </w:rPr>
      </w:pPr>
    </w:p>
    <w:p w14:paraId="39A01646" w14:textId="02AB545F" w:rsidR="00C2043D" w:rsidRDefault="00C2043D" w:rsidP="002332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Por lo tanto, al ser información que únicamente ayuda a verificar la autenticidad de la póliza en cuestión, aunado que no contienen datos que hagan identificables a alguna persona, se considera que dichos datos no actualizan </w:t>
      </w:r>
      <w:r w:rsidR="006966A6">
        <w:rPr>
          <w:rFonts w:ascii="Palatino Linotype" w:hAnsi="Palatino Linotype" w:cs="Tahoma"/>
          <w:color w:val="000000" w:themeColor="text1"/>
          <w:sz w:val="22"/>
          <w:szCs w:val="22"/>
          <w:lang w:val="es-ES"/>
        </w:rPr>
        <w:t>la causal de clasificación, en términos del artículo 143, fracción I de la Ley de Transparencia y Acceso a la Información Pública.</w:t>
      </w:r>
    </w:p>
    <w:p w14:paraId="2BD0B19D" w14:textId="77777777" w:rsidR="00C2043D" w:rsidRDefault="00C2043D" w:rsidP="00233275">
      <w:pPr>
        <w:spacing w:line="360" w:lineRule="auto"/>
        <w:jc w:val="both"/>
        <w:rPr>
          <w:rFonts w:ascii="Palatino Linotype" w:hAnsi="Palatino Linotype" w:cs="Tahoma"/>
          <w:color w:val="000000" w:themeColor="text1"/>
          <w:sz w:val="22"/>
          <w:szCs w:val="22"/>
          <w:lang w:val="es-ES"/>
        </w:rPr>
      </w:pPr>
    </w:p>
    <w:p w14:paraId="7B0E2DF8" w14:textId="28AEDBE4" w:rsidR="00986F84" w:rsidRDefault="00986F84" w:rsidP="00986F84">
      <w:pPr>
        <w:numPr>
          <w:ilvl w:val="0"/>
          <w:numId w:val="29"/>
        </w:numPr>
        <w:spacing w:line="360" w:lineRule="auto"/>
        <w:jc w:val="both"/>
        <w:rPr>
          <w:rFonts w:ascii="Palatino Linotype" w:hAnsi="Palatino Linotype" w:cs="Tahoma"/>
          <w:b/>
          <w:color w:val="000000" w:themeColor="text1"/>
          <w:sz w:val="22"/>
          <w:szCs w:val="22"/>
          <w:lang w:val="es-ES"/>
        </w:rPr>
      </w:pPr>
      <w:r w:rsidRPr="00986F84">
        <w:rPr>
          <w:rFonts w:ascii="Palatino Linotype" w:hAnsi="Palatino Linotype" w:cs="Tahoma"/>
          <w:b/>
          <w:color w:val="000000" w:themeColor="text1"/>
          <w:sz w:val="22"/>
          <w:szCs w:val="22"/>
          <w:lang w:val="es-ES"/>
        </w:rPr>
        <w:lastRenderedPageBreak/>
        <w:t>Firma o sello digital</w:t>
      </w:r>
      <w:r w:rsidR="00146B51">
        <w:rPr>
          <w:rFonts w:ascii="Palatino Linotype" w:hAnsi="Palatino Linotype" w:cs="Tahoma"/>
          <w:b/>
          <w:color w:val="000000" w:themeColor="text1"/>
          <w:sz w:val="22"/>
          <w:szCs w:val="22"/>
          <w:lang w:val="es-ES"/>
        </w:rPr>
        <w:t>.</w:t>
      </w:r>
    </w:p>
    <w:p w14:paraId="7AA2D295" w14:textId="77777777" w:rsidR="006966A6" w:rsidRDefault="006966A6" w:rsidP="006966A6">
      <w:pPr>
        <w:spacing w:line="360" w:lineRule="auto"/>
        <w:jc w:val="both"/>
        <w:rPr>
          <w:rFonts w:ascii="Palatino Linotype" w:hAnsi="Palatino Linotype" w:cs="Tahoma"/>
          <w:b/>
          <w:color w:val="000000" w:themeColor="text1"/>
          <w:sz w:val="22"/>
          <w:szCs w:val="22"/>
          <w:lang w:val="es-ES"/>
        </w:rPr>
      </w:pPr>
    </w:p>
    <w:p w14:paraId="6253741B" w14:textId="755CA15D" w:rsidR="006966A6" w:rsidRDefault="0065511B" w:rsidP="006966A6">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Al respecto, la firma o sello digital, consiste en una cadena de caracteres, generada por la autoridad, que pe</w:t>
      </w:r>
      <w:r w:rsidR="008F10BB">
        <w:rPr>
          <w:rFonts w:ascii="Palatino Linotype" w:hAnsi="Palatino Linotype" w:cs="Tahoma"/>
          <w:color w:val="000000" w:themeColor="text1"/>
          <w:sz w:val="22"/>
          <w:szCs w:val="22"/>
          <w:lang w:val="es-ES"/>
        </w:rPr>
        <w:t>rmite autentificar su contenido; de las cuales no se logra desprender algún dato que haga identificada o identificable a una persona, se muestra el siguiente ejemplo:</w:t>
      </w:r>
    </w:p>
    <w:p w14:paraId="7DA766D7" w14:textId="77777777" w:rsidR="008F10BB" w:rsidRDefault="008F10BB" w:rsidP="006966A6">
      <w:pPr>
        <w:spacing w:line="360" w:lineRule="auto"/>
        <w:jc w:val="both"/>
        <w:rPr>
          <w:rFonts w:ascii="Palatino Linotype" w:hAnsi="Palatino Linotype" w:cs="Tahoma"/>
          <w:color w:val="000000" w:themeColor="text1"/>
          <w:sz w:val="22"/>
          <w:szCs w:val="22"/>
          <w:lang w:val="es-ES"/>
        </w:rPr>
      </w:pPr>
    </w:p>
    <w:p w14:paraId="1A214244" w14:textId="1A38D7F3" w:rsidR="008F10BB" w:rsidRPr="0065511B" w:rsidRDefault="008F10BB" w:rsidP="006966A6">
      <w:pPr>
        <w:spacing w:line="360" w:lineRule="auto"/>
        <w:jc w:val="both"/>
        <w:rPr>
          <w:rFonts w:ascii="Palatino Linotype" w:hAnsi="Palatino Linotype" w:cs="Tahoma"/>
          <w:color w:val="000000" w:themeColor="text1"/>
          <w:sz w:val="22"/>
          <w:szCs w:val="22"/>
          <w:lang w:val="es-ES"/>
        </w:rPr>
      </w:pPr>
      <w:r>
        <w:rPr>
          <w:noProof/>
          <w:lang w:eastAsia="es-MX"/>
        </w:rPr>
        <w:drawing>
          <wp:inline distT="0" distB="0" distL="0" distR="0" wp14:anchorId="11C15561" wp14:editId="518AAA38">
            <wp:extent cx="5742940" cy="2882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2940" cy="288290"/>
                    </a:xfrm>
                    <a:prstGeom prst="rect">
                      <a:avLst/>
                    </a:prstGeom>
                  </pic:spPr>
                </pic:pic>
              </a:graphicData>
            </a:graphic>
          </wp:inline>
        </w:drawing>
      </w:r>
    </w:p>
    <w:p w14:paraId="53759EA1" w14:textId="77777777" w:rsidR="006966A6" w:rsidRDefault="006966A6" w:rsidP="006966A6">
      <w:pPr>
        <w:spacing w:line="360" w:lineRule="auto"/>
        <w:jc w:val="both"/>
        <w:rPr>
          <w:rFonts w:ascii="Palatino Linotype" w:hAnsi="Palatino Linotype" w:cs="Tahoma"/>
          <w:b/>
          <w:color w:val="000000" w:themeColor="text1"/>
          <w:sz w:val="22"/>
          <w:szCs w:val="22"/>
          <w:lang w:val="es-ES"/>
        </w:rPr>
      </w:pPr>
    </w:p>
    <w:p w14:paraId="4FB111F1" w14:textId="059A34F8" w:rsidR="008F10BB" w:rsidRPr="00F95114" w:rsidRDefault="008F10BB" w:rsidP="006966A6">
      <w:pPr>
        <w:spacing w:line="360" w:lineRule="auto"/>
        <w:jc w:val="both"/>
        <w:rPr>
          <w:rFonts w:ascii="Palatino Linotype" w:hAnsi="Palatino Linotype" w:cs="Tahoma"/>
          <w:color w:val="000000" w:themeColor="text1"/>
          <w:sz w:val="22"/>
          <w:szCs w:val="22"/>
          <w:lang w:val="es-ES"/>
        </w:rPr>
      </w:pPr>
      <w:r w:rsidRPr="00F95114">
        <w:rPr>
          <w:rFonts w:ascii="Palatino Linotype" w:hAnsi="Palatino Linotype" w:cs="Tahoma"/>
          <w:color w:val="000000" w:themeColor="text1"/>
          <w:sz w:val="22"/>
          <w:szCs w:val="22"/>
          <w:lang w:val="es-ES"/>
        </w:rPr>
        <w:t>Conforme a lo anterior</w:t>
      </w:r>
      <w:r w:rsidR="00F95114">
        <w:rPr>
          <w:rFonts w:ascii="Palatino Linotype" w:hAnsi="Palatino Linotype" w:cs="Tahoma"/>
          <w:color w:val="000000" w:themeColor="text1"/>
          <w:sz w:val="22"/>
          <w:szCs w:val="22"/>
          <w:lang w:val="es-ES"/>
        </w:rPr>
        <w:t xml:space="preserve">, se considera que la firma o sello digital, como se precisó corresponde a una serie de elementos alfanuméricos, emitidos por la autoridad correspondiente, la cual permite </w:t>
      </w:r>
      <w:r w:rsidR="00A25860">
        <w:rPr>
          <w:rFonts w:ascii="Palatino Linotype" w:hAnsi="Palatino Linotype" w:cs="Tahoma"/>
          <w:color w:val="000000" w:themeColor="text1"/>
          <w:sz w:val="22"/>
          <w:szCs w:val="22"/>
          <w:lang w:val="es-ES"/>
        </w:rPr>
        <w:t>verificar la autenticidad de la póliza de fianza, por lo que, no se considera un dato confidencial, en términos del artículo 143, fracción I, de la Ley de Transparencia y Acceso a la Información Pública del Estado de México y Municipios.</w:t>
      </w:r>
    </w:p>
    <w:p w14:paraId="570A1E18" w14:textId="77777777" w:rsidR="008F10BB" w:rsidRPr="00986F84" w:rsidRDefault="008F10BB" w:rsidP="006966A6">
      <w:pPr>
        <w:spacing w:line="360" w:lineRule="auto"/>
        <w:jc w:val="both"/>
        <w:rPr>
          <w:rFonts w:ascii="Palatino Linotype" w:hAnsi="Palatino Linotype" w:cs="Tahoma"/>
          <w:b/>
          <w:color w:val="000000" w:themeColor="text1"/>
          <w:sz w:val="22"/>
          <w:szCs w:val="22"/>
          <w:lang w:val="es-ES"/>
        </w:rPr>
      </w:pPr>
    </w:p>
    <w:p w14:paraId="6A066DB7" w14:textId="62226BEE" w:rsidR="00986F84" w:rsidRDefault="00986F84" w:rsidP="00986F84">
      <w:pPr>
        <w:numPr>
          <w:ilvl w:val="0"/>
          <w:numId w:val="29"/>
        </w:numPr>
        <w:spacing w:line="360" w:lineRule="auto"/>
        <w:jc w:val="both"/>
        <w:rPr>
          <w:rFonts w:ascii="Palatino Linotype" w:hAnsi="Palatino Linotype" w:cs="Tahoma"/>
          <w:b/>
          <w:color w:val="000000" w:themeColor="text1"/>
          <w:sz w:val="22"/>
          <w:szCs w:val="22"/>
          <w:lang w:val="es-ES"/>
        </w:rPr>
      </w:pPr>
      <w:r w:rsidRPr="00986F84">
        <w:rPr>
          <w:rFonts w:ascii="Palatino Linotype" w:hAnsi="Palatino Linotype" w:cs="Tahoma"/>
          <w:b/>
          <w:color w:val="000000" w:themeColor="text1"/>
          <w:sz w:val="22"/>
          <w:szCs w:val="22"/>
          <w:lang w:val="es-ES"/>
        </w:rPr>
        <w:t>Registro Federal de Contribuyentes de persona moral</w:t>
      </w:r>
      <w:r w:rsidR="00146B51">
        <w:rPr>
          <w:rFonts w:ascii="Palatino Linotype" w:hAnsi="Palatino Linotype" w:cs="Tahoma"/>
          <w:b/>
          <w:color w:val="000000" w:themeColor="text1"/>
          <w:sz w:val="22"/>
          <w:szCs w:val="22"/>
          <w:lang w:val="es-ES"/>
        </w:rPr>
        <w:t>.</w:t>
      </w:r>
    </w:p>
    <w:p w14:paraId="16793513" w14:textId="77777777" w:rsidR="0073785B" w:rsidRDefault="0073785B" w:rsidP="0073785B">
      <w:pPr>
        <w:spacing w:line="360" w:lineRule="auto"/>
        <w:jc w:val="both"/>
        <w:rPr>
          <w:rFonts w:ascii="Palatino Linotype" w:hAnsi="Palatino Linotype" w:cs="Tahoma"/>
          <w:b/>
          <w:color w:val="000000" w:themeColor="text1"/>
          <w:sz w:val="22"/>
          <w:szCs w:val="22"/>
          <w:lang w:val="es-ES"/>
        </w:rPr>
      </w:pPr>
    </w:p>
    <w:p w14:paraId="4E4E528E" w14:textId="77777777" w:rsidR="0073785B" w:rsidRPr="00EC5512" w:rsidRDefault="0073785B" w:rsidP="0073785B">
      <w:pPr>
        <w:widowControl w:val="0"/>
        <w:shd w:val="clear" w:color="auto" w:fill="FFFFFF" w:themeFill="background1"/>
        <w:spacing w:line="360" w:lineRule="auto"/>
        <w:jc w:val="both"/>
        <w:rPr>
          <w:rFonts w:ascii="Palatino Linotype" w:eastAsia="Calibri" w:hAnsi="Palatino Linotype" w:cs="Tahoma"/>
          <w:b/>
          <w:bCs/>
          <w:sz w:val="22"/>
          <w:szCs w:val="22"/>
          <w:lang w:val="es-ES_tradnl" w:eastAsia="en-US"/>
        </w:rPr>
      </w:pPr>
      <w:r>
        <w:rPr>
          <w:rFonts w:ascii="Palatino Linotype" w:eastAsia="Calibri" w:hAnsi="Palatino Linotype" w:cs="Tahoma"/>
          <w:bCs/>
          <w:sz w:val="22"/>
          <w:szCs w:val="22"/>
          <w:lang w:val="es-ES_tradnl" w:eastAsia="en-US"/>
        </w:rPr>
        <w:t>Al respecto</w:t>
      </w:r>
      <w:r w:rsidRPr="00EC5512">
        <w:rPr>
          <w:rFonts w:ascii="Palatino Linotype" w:eastAsia="Calibri" w:hAnsi="Palatino Linotype" w:cs="Tahoma"/>
          <w:bCs/>
          <w:sz w:val="22"/>
          <w:szCs w:val="22"/>
          <w:lang w:val="es-ES_tradnl" w:eastAsia="en-US"/>
        </w:rPr>
        <w:t>, el Registro Federal de Contribuyente</w:t>
      </w:r>
      <w:r>
        <w:rPr>
          <w:rFonts w:ascii="Palatino Linotype" w:eastAsia="Calibri" w:hAnsi="Palatino Linotype" w:cs="Tahoma"/>
          <w:bCs/>
          <w:sz w:val="22"/>
          <w:szCs w:val="22"/>
          <w:lang w:val="es-ES_tradnl" w:eastAsia="en-US"/>
        </w:rPr>
        <w:t>s,</w:t>
      </w:r>
      <w:r w:rsidRPr="00EC5512">
        <w:rPr>
          <w:rFonts w:ascii="Palatino Linotype" w:eastAsia="Calibri" w:hAnsi="Palatino Linotype" w:cs="Tahoma"/>
          <w:bCs/>
          <w:sz w:val="22"/>
          <w:szCs w:val="22"/>
          <w:lang w:val="es-ES_tradnl" w:eastAsia="en-US"/>
        </w:rPr>
        <w:t xml:space="preserve"> inicia con un preinscripción por </w:t>
      </w:r>
      <w:r>
        <w:rPr>
          <w:rFonts w:ascii="Palatino Linotype" w:eastAsia="Calibri" w:hAnsi="Palatino Linotype" w:cs="Tahoma"/>
          <w:bCs/>
          <w:sz w:val="22"/>
          <w:szCs w:val="22"/>
          <w:lang w:val="es-ES_tradnl" w:eastAsia="en-US"/>
        </w:rPr>
        <w:t>I</w:t>
      </w:r>
      <w:r w:rsidRPr="00EC5512">
        <w:rPr>
          <w:rFonts w:ascii="Palatino Linotype" w:eastAsia="Calibri" w:hAnsi="Palatino Linotype" w:cs="Tahoma"/>
          <w:bCs/>
          <w:sz w:val="22"/>
          <w:szCs w:val="22"/>
          <w:lang w:val="es-ES_tradnl" w:eastAsia="en-US"/>
        </w:rPr>
        <w:t>nternet y se concluye en cualquier Administración Desconcentrada de Servicios al Contribuyente, en donde aquellas personas que realicen el trámite tendrán que en</w:t>
      </w:r>
      <w:r>
        <w:rPr>
          <w:rFonts w:ascii="Palatino Linotype" w:eastAsia="Calibri" w:hAnsi="Palatino Linotype" w:cs="Tahoma"/>
          <w:bCs/>
          <w:sz w:val="22"/>
          <w:szCs w:val="22"/>
          <w:lang w:val="es-ES_tradnl" w:eastAsia="en-US"/>
        </w:rPr>
        <w:t xml:space="preserve">tregar ciertos documentos, que para las </w:t>
      </w:r>
      <w:r w:rsidRPr="00EC5512">
        <w:rPr>
          <w:rFonts w:ascii="Palatino Linotype" w:eastAsia="Calibri" w:hAnsi="Palatino Linotype" w:cs="Tahoma"/>
          <w:bCs/>
          <w:sz w:val="22"/>
          <w:szCs w:val="22"/>
          <w:lang w:val="es-ES_tradnl" w:eastAsia="en-US"/>
        </w:rPr>
        <w:t xml:space="preserve">personas </w:t>
      </w:r>
      <w:r>
        <w:rPr>
          <w:rFonts w:ascii="Palatino Linotype" w:eastAsia="Calibri" w:hAnsi="Palatino Linotype" w:cs="Tahoma"/>
          <w:bCs/>
          <w:sz w:val="22"/>
          <w:szCs w:val="22"/>
          <w:lang w:val="es-ES_tradnl" w:eastAsia="en-US"/>
        </w:rPr>
        <w:t>jurídico colectivas,</w:t>
      </w:r>
      <w:r w:rsidRPr="00EC5512">
        <w:rPr>
          <w:rFonts w:ascii="Palatino Linotype" w:eastAsia="Calibri" w:hAnsi="Palatino Linotype" w:cs="Tahoma"/>
          <w:bCs/>
          <w:sz w:val="22"/>
          <w:szCs w:val="22"/>
          <w:lang w:val="es-ES_tradnl" w:eastAsia="en-US"/>
        </w:rPr>
        <w:t xml:space="preserve"> serán</w:t>
      </w:r>
      <w:r>
        <w:rPr>
          <w:rFonts w:ascii="Palatino Linotype" w:eastAsia="Calibri" w:hAnsi="Palatino Linotype" w:cs="Tahoma"/>
          <w:bCs/>
          <w:sz w:val="22"/>
          <w:szCs w:val="22"/>
          <w:lang w:val="es-ES_tradnl" w:eastAsia="en-US"/>
        </w:rPr>
        <w:t xml:space="preserve">, entre otros, </w:t>
      </w:r>
      <w:r w:rsidRPr="00EC5512">
        <w:rPr>
          <w:rFonts w:ascii="Palatino Linotype" w:eastAsia="Calibri" w:hAnsi="Palatino Linotype" w:cs="Tahoma"/>
          <w:bCs/>
          <w:sz w:val="22"/>
          <w:szCs w:val="22"/>
          <w:lang w:val="es-ES_tradnl" w:eastAsia="en-US"/>
        </w:rPr>
        <w:t>la copia certificada del documento constitutivo debidamente protocolizado</w:t>
      </w:r>
      <w:r>
        <w:rPr>
          <w:rFonts w:ascii="Palatino Linotype" w:eastAsia="Calibri" w:hAnsi="Palatino Linotype" w:cs="Tahoma"/>
          <w:bCs/>
          <w:sz w:val="22"/>
          <w:szCs w:val="22"/>
          <w:lang w:val="es-ES_tradnl" w:eastAsia="en-US"/>
        </w:rPr>
        <w:t>,</w:t>
      </w:r>
      <w:r w:rsidRPr="00EC5512">
        <w:rPr>
          <w:rFonts w:ascii="Palatino Linotype" w:eastAsia="Calibri" w:hAnsi="Palatino Linotype" w:cs="Tahoma"/>
          <w:bCs/>
          <w:sz w:val="22"/>
          <w:szCs w:val="22"/>
          <w:lang w:val="es-ES_tradnl" w:eastAsia="en-US"/>
        </w:rPr>
        <w:t xml:space="preserve"> comprobante de domicili</w:t>
      </w:r>
      <w:r>
        <w:rPr>
          <w:rFonts w:ascii="Palatino Linotype" w:eastAsia="Calibri" w:hAnsi="Palatino Linotype" w:cs="Tahoma"/>
          <w:bCs/>
          <w:sz w:val="22"/>
          <w:szCs w:val="22"/>
          <w:lang w:val="es-ES_tradnl" w:eastAsia="en-US"/>
        </w:rPr>
        <w:t>o, identificación personal,</w:t>
      </w:r>
      <w:r w:rsidRPr="00EC5512">
        <w:rPr>
          <w:rFonts w:ascii="Palatino Linotype" w:eastAsia="Calibri" w:hAnsi="Palatino Linotype" w:cs="Tahoma"/>
          <w:bCs/>
          <w:sz w:val="22"/>
          <w:szCs w:val="22"/>
          <w:lang w:val="es-ES_tradnl" w:eastAsia="en-US"/>
        </w:rPr>
        <w:t xml:space="preserve">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w:t>
      </w:r>
      <w:r>
        <w:rPr>
          <w:rFonts w:ascii="Palatino Linotype" w:eastAsia="Calibri" w:hAnsi="Palatino Linotype" w:cs="Tahoma"/>
          <w:bCs/>
          <w:sz w:val="22"/>
          <w:szCs w:val="22"/>
          <w:lang w:val="es-ES_tradnl" w:eastAsia="en-US"/>
        </w:rPr>
        <w:t xml:space="preserve"> </w:t>
      </w:r>
      <w:r w:rsidRPr="00EC5512">
        <w:rPr>
          <w:rFonts w:ascii="Palatino Linotype" w:eastAsia="Calibri" w:hAnsi="Palatino Linotype" w:cs="Tahoma"/>
          <w:bCs/>
          <w:sz w:val="22"/>
          <w:szCs w:val="22"/>
          <w:lang w:val="es-ES_tradnl" w:eastAsia="en-US"/>
        </w:rPr>
        <w:t xml:space="preserve">Derivado del trámite se obtiene, entre otros, la </w:t>
      </w:r>
      <w:r w:rsidRPr="00EC5512">
        <w:rPr>
          <w:rFonts w:ascii="Palatino Linotype" w:eastAsia="Calibri" w:hAnsi="Palatino Linotype" w:cs="Tahoma"/>
          <w:b/>
          <w:bCs/>
          <w:sz w:val="22"/>
          <w:szCs w:val="22"/>
          <w:lang w:val="es-ES_tradnl" w:eastAsia="en-US"/>
        </w:rPr>
        <w:t>cédula de identificación fiscal o constancia de registro.</w:t>
      </w:r>
    </w:p>
    <w:p w14:paraId="0576EEFF" w14:textId="77777777" w:rsidR="0073785B" w:rsidRDefault="0073785B" w:rsidP="0073785B">
      <w:pPr>
        <w:shd w:val="clear" w:color="auto" w:fill="FFFFFF" w:themeFill="background1"/>
        <w:spacing w:line="360" w:lineRule="auto"/>
        <w:jc w:val="both"/>
        <w:rPr>
          <w:rFonts w:ascii="Palatino Linotype" w:eastAsia="Calibri" w:hAnsi="Palatino Linotype" w:cs="Tahoma"/>
          <w:bCs/>
          <w:sz w:val="22"/>
          <w:szCs w:val="22"/>
          <w:lang w:val="es-ES_tradnl" w:eastAsia="en-US"/>
        </w:rPr>
      </w:pPr>
      <w:r w:rsidRPr="00EC5512">
        <w:rPr>
          <w:rFonts w:ascii="Palatino Linotype" w:eastAsia="Calibri" w:hAnsi="Palatino Linotype" w:cs="Tahoma"/>
          <w:bCs/>
          <w:sz w:val="22"/>
          <w:szCs w:val="22"/>
          <w:lang w:val="es-ES_tradnl" w:eastAsia="en-US"/>
        </w:rPr>
        <w:lastRenderedPageBreak/>
        <w:t xml:space="preserve">Por ende, la información correspondiente al Registro Federal de Contribuyentes de una persona moral </w:t>
      </w:r>
      <w:r w:rsidRPr="00EC5512">
        <w:rPr>
          <w:rFonts w:ascii="Palatino Linotype" w:eastAsia="Calibri" w:hAnsi="Palatino Linotype" w:cs="Tahoma"/>
          <w:b/>
          <w:bCs/>
          <w:sz w:val="22"/>
          <w:szCs w:val="22"/>
          <w:lang w:val="es-ES_tradnl" w:eastAsia="en-US"/>
        </w:rPr>
        <w:t>da cuenta del cumplimiento o no en sus obligaciones fiscales</w:t>
      </w:r>
      <w:r w:rsidRPr="00EC5512">
        <w:rPr>
          <w:rFonts w:ascii="Palatino Linotype" w:eastAsia="Calibri" w:hAnsi="Palatino Linotype" w:cs="Tahoma"/>
          <w:bCs/>
          <w:sz w:val="22"/>
          <w:szCs w:val="22"/>
          <w:lang w:val="es-ES_tradnl" w:eastAsia="en-US"/>
        </w:rPr>
        <w:t>; por tanto, se actualiza su clasificación como confidencial.</w:t>
      </w:r>
    </w:p>
    <w:p w14:paraId="3EBB52C7" w14:textId="77777777" w:rsidR="0073785B" w:rsidRDefault="0073785B" w:rsidP="0073785B">
      <w:pPr>
        <w:shd w:val="clear" w:color="auto" w:fill="FFFFFF" w:themeFill="background1"/>
        <w:spacing w:line="360" w:lineRule="auto"/>
        <w:jc w:val="both"/>
        <w:rPr>
          <w:rFonts w:ascii="Palatino Linotype" w:eastAsia="Calibri" w:hAnsi="Palatino Linotype" w:cs="Tahoma"/>
          <w:bCs/>
          <w:sz w:val="22"/>
          <w:szCs w:val="22"/>
          <w:lang w:val="es-ES_tradnl" w:eastAsia="en-US"/>
        </w:rPr>
      </w:pPr>
    </w:p>
    <w:p w14:paraId="3363613A" w14:textId="77777777" w:rsidR="0073785B" w:rsidRDefault="0073785B" w:rsidP="0073785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_tradnl" w:eastAsia="en-US"/>
        </w:rPr>
        <w:t xml:space="preserve">Además, resulta aplicable por analogía el Criterio 01/14 emitido por el Pleno del entonces </w:t>
      </w:r>
      <w:r w:rsidRPr="00EC5512">
        <w:rPr>
          <w:rFonts w:ascii="Palatino Linotype" w:eastAsia="Calibri" w:hAnsi="Palatino Linotype" w:cs="Tahoma"/>
          <w:bCs/>
          <w:sz w:val="22"/>
          <w:szCs w:val="22"/>
          <w:lang w:eastAsia="en-US"/>
        </w:rPr>
        <w:t>Instituto Federal de Acceso a la Información y Protección de Datos</w:t>
      </w:r>
      <w:r>
        <w:rPr>
          <w:rFonts w:ascii="Palatino Linotype" w:eastAsia="Calibri" w:hAnsi="Palatino Linotype" w:cs="Tahoma"/>
          <w:bCs/>
          <w:sz w:val="22"/>
          <w:szCs w:val="22"/>
          <w:lang w:eastAsia="en-US"/>
        </w:rPr>
        <w:t>, que se trajo a colación en párrafos anteriores, que precisa que el Registro Federal de Contribuyentes de personas morales, es público, al no referir a hechos o actos de carácter económico, contable, jurídico o administrativo que sean útiles o representen una ventaja a sus competidores.</w:t>
      </w:r>
    </w:p>
    <w:p w14:paraId="07EEC505" w14:textId="0DB6D3A2" w:rsidR="00A25860" w:rsidRDefault="00A25860" w:rsidP="0073785B">
      <w:pPr>
        <w:shd w:val="clear" w:color="auto" w:fill="FFFFFF" w:themeFill="background1"/>
        <w:spacing w:line="360" w:lineRule="auto"/>
        <w:jc w:val="both"/>
        <w:rPr>
          <w:rFonts w:ascii="Palatino Linotype" w:eastAsia="Calibri" w:hAnsi="Palatino Linotype" w:cs="Tahoma"/>
          <w:bCs/>
          <w:sz w:val="22"/>
          <w:szCs w:val="22"/>
          <w:lang w:eastAsia="en-US"/>
        </w:rPr>
      </w:pPr>
    </w:p>
    <w:p w14:paraId="6673F148" w14:textId="77777777" w:rsidR="00F965B1" w:rsidRDefault="00F965B1" w:rsidP="0073785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misma manera, cabe traer a colación el Criterio 08/19 emitido por el Instituto Nacional de Transparencia, Acceso a la Información y Protección de Datos Personales, que establece lo siguiente:</w:t>
      </w:r>
    </w:p>
    <w:p w14:paraId="53A7967B" w14:textId="77777777" w:rsidR="00F965B1" w:rsidRDefault="00F965B1" w:rsidP="0073785B">
      <w:pPr>
        <w:shd w:val="clear" w:color="auto" w:fill="FFFFFF" w:themeFill="background1"/>
        <w:spacing w:line="360" w:lineRule="auto"/>
        <w:jc w:val="both"/>
        <w:rPr>
          <w:rFonts w:ascii="Palatino Linotype" w:eastAsia="Calibri" w:hAnsi="Palatino Linotype" w:cs="Tahoma"/>
          <w:bCs/>
          <w:sz w:val="22"/>
          <w:szCs w:val="22"/>
          <w:lang w:eastAsia="en-US"/>
        </w:rPr>
      </w:pPr>
    </w:p>
    <w:p w14:paraId="2D88582A" w14:textId="33926508" w:rsidR="00F965B1" w:rsidRPr="00F965B1" w:rsidRDefault="00F965B1" w:rsidP="00F965B1">
      <w:pPr>
        <w:shd w:val="clear" w:color="auto" w:fill="FFFFFF" w:themeFill="background1"/>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t>“</w:t>
      </w:r>
      <w:r w:rsidRPr="00F965B1">
        <w:rPr>
          <w:rFonts w:ascii="Palatino Linotype" w:eastAsia="Calibri" w:hAnsi="Palatino Linotype" w:cs="Tahoma"/>
          <w:b/>
          <w:bCs/>
          <w:i/>
          <w:lang w:eastAsia="en-US"/>
        </w:rPr>
        <w:t xml:space="preserve">Razón social y RFC de personas morales. </w:t>
      </w:r>
      <w:r w:rsidRPr="00F965B1">
        <w:rPr>
          <w:rFonts w:ascii="Palatino Linotype" w:eastAsia="Calibri" w:hAnsi="Palatino Linotype" w:cs="Tahoma"/>
          <w:bCs/>
          <w:i/>
          <w:lang w:eastAsia="en-U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r>
        <w:rPr>
          <w:rFonts w:ascii="Palatino Linotype" w:eastAsia="Calibri" w:hAnsi="Palatino Linotype" w:cs="Tahoma"/>
          <w:bCs/>
          <w:i/>
          <w:lang w:eastAsia="en-US"/>
        </w:rPr>
        <w:t>”</w:t>
      </w:r>
    </w:p>
    <w:p w14:paraId="6E0909C2" w14:textId="5D30248B" w:rsidR="00A25860" w:rsidRDefault="00F965B1" w:rsidP="0073785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3BC40013" w14:textId="77777777" w:rsidR="0073785B" w:rsidRPr="00FC7C73" w:rsidRDefault="0073785B" w:rsidP="0073785B">
      <w:pPr>
        <w:shd w:val="clear" w:color="auto" w:fill="FFFFFF" w:themeFill="background1"/>
        <w:spacing w:line="360" w:lineRule="auto"/>
        <w:ind w:right="11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CBA9E0D" w14:textId="77777777" w:rsidR="0073785B" w:rsidRPr="00986F84" w:rsidRDefault="0073785B" w:rsidP="0073785B">
      <w:pPr>
        <w:spacing w:line="360" w:lineRule="auto"/>
        <w:jc w:val="both"/>
        <w:rPr>
          <w:rFonts w:ascii="Palatino Linotype" w:hAnsi="Palatino Linotype" w:cs="Tahoma"/>
          <w:b/>
          <w:color w:val="000000" w:themeColor="text1"/>
          <w:sz w:val="22"/>
          <w:szCs w:val="22"/>
          <w:lang w:val="es-ES"/>
        </w:rPr>
      </w:pPr>
    </w:p>
    <w:p w14:paraId="13ABF19B" w14:textId="7F6E57ED" w:rsidR="00986F84" w:rsidRDefault="00986F84" w:rsidP="00986F84">
      <w:pPr>
        <w:numPr>
          <w:ilvl w:val="0"/>
          <w:numId w:val="29"/>
        </w:numPr>
        <w:spacing w:line="360" w:lineRule="auto"/>
        <w:jc w:val="both"/>
        <w:rPr>
          <w:rFonts w:ascii="Palatino Linotype" w:hAnsi="Palatino Linotype" w:cs="Tahoma"/>
          <w:b/>
          <w:color w:val="000000" w:themeColor="text1"/>
          <w:sz w:val="22"/>
          <w:szCs w:val="22"/>
          <w:lang w:val="es-ES"/>
        </w:rPr>
      </w:pPr>
      <w:r w:rsidRPr="00986F84">
        <w:rPr>
          <w:rFonts w:ascii="Palatino Linotype" w:hAnsi="Palatino Linotype" w:cs="Tahoma"/>
          <w:b/>
          <w:color w:val="000000" w:themeColor="text1"/>
          <w:sz w:val="22"/>
          <w:szCs w:val="22"/>
          <w:lang w:val="es-ES"/>
        </w:rPr>
        <w:t>Domicilio de persona moral</w:t>
      </w:r>
      <w:r w:rsidR="00146B51">
        <w:rPr>
          <w:rFonts w:ascii="Palatino Linotype" w:hAnsi="Palatino Linotype" w:cs="Tahoma"/>
          <w:b/>
          <w:color w:val="000000" w:themeColor="text1"/>
          <w:sz w:val="22"/>
          <w:szCs w:val="22"/>
          <w:lang w:val="es-ES"/>
        </w:rPr>
        <w:t>.</w:t>
      </w:r>
    </w:p>
    <w:p w14:paraId="1AF6D7C4" w14:textId="77777777" w:rsidR="00F8092E" w:rsidRDefault="00F8092E" w:rsidP="00F8092E">
      <w:pPr>
        <w:spacing w:line="360" w:lineRule="auto"/>
        <w:jc w:val="both"/>
        <w:rPr>
          <w:rFonts w:ascii="Palatino Linotype" w:hAnsi="Palatino Linotype" w:cs="Tahoma"/>
          <w:b/>
          <w:color w:val="000000" w:themeColor="text1"/>
          <w:sz w:val="22"/>
          <w:szCs w:val="22"/>
          <w:lang w:val="es-ES"/>
        </w:rPr>
      </w:pPr>
    </w:p>
    <w:p w14:paraId="777158BC" w14:textId="44A13F5F" w:rsidR="00CE7274" w:rsidRPr="00D00D35" w:rsidRDefault="007D4E2C" w:rsidP="00CE7274">
      <w:pPr>
        <w:spacing w:line="360" w:lineRule="auto"/>
        <w:ind w:right="-93"/>
        <w:jc w:val="both"/>
        <w:rPr>
          <w:rFonts w:ascii="Palatino Linotype" w:hAnsi="Palatino Linotype" w:cs="Tahoma"/>
          <w:b/>
          <w:sz w:val="22"/>
          <w:szCs w:val="22"/>
          <w:lang w:val="es-ES"/>
        </w:rPr>
      </w:pPr>
      <w:r>
        <w:rPr>
          <w:rFonts w:ascii="Palatino Linotype" w:hAnsi="Palatino Linotype" w:cs="Tahoma"/>
          <w:sz w:val="22"/>
          <w:szCs w:val="22"/>
          <w:lang w:val="es-ES"/>
        </w:rPr>
        <w:lastRenderedPageBreak/>
        <w:t>De conformidad, con el artículo 10, del Código Fiscal de la Federaci</w:t>
      </w:r>
      <w:r w:rsidR="00451DB8">
        <w:rPr>
          <w:rFonts w:ascii="Palatino Linotype" w:hAnsi="Palatino Linotype" w:cs="Tahoma"/>
          <w:sz w:val="22"/>
          <w:szCs w:val="22"/>
          <w:lang w:val="es-ES"/>
        </w:rPr>
        <w:t>ón, el do</w:t>
      </w:r>
      <w:r>
        <w:rPr>
          <w:rFonts w:ascii="Palatino Linotype" w:hAnsi="Palatino Linotype" w:cs="Tahoma"/>
          <w:sz w:val="22"/>
          <w:szCs w:val="22"/>
          <w:lang w:val="es-ES"/>
        </w:rPr>
        <w:t>mi</w:t>
      </w:r>
      <w:r w:rsidR="00451DB8">
        <w:rPr>
          <w:rFonts w:ascii="Palatino Linotype" w:hAnsi="Palatino Linotype" w:cs="Tahoma"/>
          <w:sz w:val="22"/>
          <w:szCs w:val="22"/>
          <w:lang w:val="es-ES"/>
        </w:rPr>
        <w:t>ci</w:t>
      </w:r>
      <w:r>
        <w:rPr>
          <w:rFonts w:ascii="Palatino Linotype" w:hAnsi="Palatino Linotype" w:cs="Tahoma"/>
          <w:sz w:val="22"/>
          <w:szCs w:val="22"/>
          <w:lang w:val="es-ES"/>
        </w:rPr>
        <w:t xml:space="preserve">lio de las personas morales, corresponde al local en donde se encuentra la administración principal del negocio. </w:t>
      </w:r>
      <w:r w:rsidR="00EB6216">
        <w:rPr>
          <w:rFonts w:ascii="Palatino Linotype" w:hAnsi="Palatino Linotype" w:cs="Tahoma"/>
          <w:sz w:val="22"/>
          <w:szCs w:val="22"/>
          <w:lang w:val="es-ES"/>
        </w:rPr>
        <w:t>Además, el artículo 33, del Código Civil Federal, establece que el domicilio es el lugar donde se halle establecida su administración.</w:t>
      </w:r>
    </w:p>
    <w:p w14:paraId="0AC049EE" w14:textId="77777777" w:rsidR="00F8092E" w:rsidRDefault="00F8092E" w:rsidP="00F8092E">
      <w:pPr>
        <w:spacing w:line="360" w:lineRule="auto"/>
        <w:jc w:val="both"/>
        <w:rPr>
          <w:rFonts w:ascii="Palatino Linotype" w:hAnsi="Palatino Linotype" w:cs="Tahoma"/>
          <w:b/>
          <w:color w:val="000000" w:themeColor="text1"/>
          <w:sz w:val="22"/>
          <w:szCs w:val="22"/>
          <w:lang w:val="es-ES"/>
        </w:rPr>
      </w:pPr>
    </w:p>
    <w:p w14:paraId="0DE0ED21" w14:textId="003BD6F2" w:rsidR="00F8092E" w:rsidRPr="001D7E4B" w:rsidRDefault="001D7E4B" w:rsidP="00F8092E">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Conforme a lo anterior, se puede advertir que dicho dato da cuenta del lugar donde está asentado el negocio de dicha persona jurídico colectiva; además, que para cumplir a sus fines, lo proporciona a terceros; lo anterior, se robustece con el hecho de que no se trata de aspectos económicos, contables, jurídicos o administrativos; sino que únicamente da cuenta de la ubicación de sus oficinas, por lo que, no se considera </w:t>
      </w:r>
      <w:r w:rsidR="00E66FAD">
        <w:rPr>
          <w:rFonts w:ascii="Palatino Linotype" w:hAnsi="Palatino Linotype" w:cs="Tahoma"/>
          <w:color w:val="000000" w:themeColor="text1"/>
          <w:sz w:val="22"/>
          <w:szCs w:val="22"/>
          <w:lang w:val="es-ES"/>
        </w:rPr>
        <w:t>que dicho dato sea clasificado en términos del artículo 143, fracción I de la Ley de Transparencia y Acceso a la Información Pública</w:t>
      </w:r>
    </w:p>
    <w:p w14:paraId="7908FFCB" w14:textId="77777777" w:rsidR="00EB6216" w:rsidRPr="00986F84" w:rsidRDefault="00EB6216" w:rsidP="00F8092E">
      <w:pPr>
        <w:spacing w:line="360" w:lineRule="auto"/>
        <w:jc w:val="both"/>
        <w:rPr>
          <w:rFonts w:ascii="Palatino Linotype" w:hAnsi="Palatino Linotype" w:cs="Tahoma"/>
          <w:b/>
          <w:color w:val="000000" w:themeColor="text1"/>
          <w:sz w:val="22"/>
          <w:szCs w:val="22"/>
          <w:lang w:val="es-ES"/>
        </w:rPr>
      </w:pPr>
    </w:p>
    <w:p w14:paraId="46607EE8" w14:textId="35C3AEC2" w:rsidR="00986F84" w:rsidRDefault="00986F84" w:rsidP="00986F84">
      <w:pPr>
        <w:numPr>
          <w:ilvl w:val="0"/>
          <w:numId w:val="29"/>
        </w:numPr>
        <w:spacing w:line="360" w:lineRule="auto"/>
        <w:jc w:val="both"/>
        <w:rPr>
          <w:rFonts w:ascii="Palatino Linotype" w:hAnsi="Palatino Linotype" w:cs="Tahoma"/>
          <w:b/>
          <w:color w:val="000000" w:themeColor="text1"/>
          <w:sz w:val="22"/>
          <w:szCs w:val="22"/>
          <w:lang w:val="es-ES"/>
        </w:rPr>
      </w:pPr>
      <w:r w:rsidRPr="00986F84">
        <w:rPr>
          <w:rFonts w:ascii="Palatino Linotype" w:hAnsi="Palatino Linotype" w:cs="Tahoma"/>
          <w:b/>
          <w:color w:val="000000" w:themeColor="text1"/>
          <w:sz w:val="22"/>
          <w:szCs w:val="22"/>
          <w:lang w:val="es-ES"/>
        </w:rPr>
        <w:t>Número de Fianza</w:t>
      </w:r>
      <w:r w:rsidR="00F759F4">
        <w:rPr>
          <w:rFonts w:ascii="Palatino Linotype" w:hAnsi="Palatino Linotype" w:cs="Tahoma"/>
          <w:b/>
          <w:color w:val="000000" w:themeColor="text1"/>
          <w:sz w:val="22"/>
          <w:szCs w:val="22"/>
          <w:lang w:val="es-ES"/>
        </w:rPr>
        <w:t xml:space="preserve"> y el Folio.</w:t>
      </w:r>
    </w:p>
    <w:p w14:paraId="2D1866FF" w14:textId="77777777" w:rsidR="00F759F4" w:rsidRDefault="00F759F4" w:rsidP="00F759F4">
      <w:pPr>
        <w:spacing w:line="360" w:lineRule="auto"/>
        <w:jc w:val="both"/>
        <w:rPr>
          <w:rFonts w:ascii="Palatino Linotype" w:hAnsi="Palatino Linotype" w:cs="Tahoma"/>
          <w:b/>
          <w:color w:val="000000" w:themeColor="text1"/>
          <w:sz w:val="22"/>
          <w:szCs w:val="22"/>
          <w:lang w:val="es-ES"/>
        </w:rPr>
      </w:pPr>
    </w:p>
    <w:p w14:paraId="0B8A0B74" w14:textId="505799B2" w:rsidR="00F72EA5" w:rsidRDefault="00F759F4"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En ambos casos, tal como lo señaló el Sujeto Obligado, es un</w:t>
      </w:r>
      <w:r w:rsidR="00F72EA5">
        <w:rPr>
          <w:rFonts w:ascii="Palatino Linotype" w:hAnsi="Palatino Linotype" w:cs="Tahoma"/>
          <w:color w:val="000000" w:themeColor="text1"/>
          <w:sz w:val="22"/>
          <w:szCs w:val="22"/>
          <w:lang w:val="es-ES"/>
        </w:rPr>
        <w:t>a clave o d</w:t>
      </w:r>
      <w:r w:rsidR="001F5007">
        <w:rPr>
          <w:rFonts w:ascii="Palatino Linotype" w:hAnsi="Palatino Linotype" w:cs="Tahoma"/>
          <w:color w:val="000000" w:themeColor="text1"/>
          <w:sz w:val="22"/>
          <w:szCs w:val="22"/>
          <w:lang w:val="es-ES"/>
        </w:rPr>
        <w:t>í</w:t>
      </w:r>
      <w:r w:rsidR="00F72EA5">
        <w:rPr>
          <w:rFonts w:ascii="Palatino Linotype" w:hAnsi="Palatino Linotype" w:cs="Tahoma"/>
          <w:color w:val="000000" w:themeColor="text1"/>
          <w:sz w:val="22"/>
          <w:szCs w:val="22"/>
          <w:lang w:val="es-ES"/>
        </w:rPr>
        <w:t>gito</w:t>
      </w:r>
      <w:r>
        <w:rPr>
          <w:rFonts w:ascii="Palatino Linotype" w:hAnsi="Palatino Linotype" w:cs="Tahoma"/>
          <w:color w:val="000000" w:themeColor="text1"/>
          <w:sz w:val="22"/>
          <w:szCs w:val="22"/>
          <w:lang w:val="es-ES"/>
        </w:rPr>
        <w:t>, pa</w:t>
      </w:r>
      <w:r w:rsidR="00F72EA5">
        <w:rPr>
          <w:rFonts w:ascii="Palatino Linotype" w:hAnsi="Palatino Linotype" w:cs="Tahoma"/>
          <w:color w:val="000000" w:themeColor="text1"/>
          <w:sz w:val="22"/>
          <w:szCs w:val="22"/>
          <w:lang w:val="es-ES"/>
        </w:rPr>
        <w:t>ra identificar a la fianza, compuesto de una serie de números, y algunos casos, letras o separaciones por guiones, tal como se muestra en el siguiente ejemplo:</w:t>
      </w:r>
    </w:p>
    <w:p w14:paraId="1B38DCFF" w14:textId="77777777" w:rsidR="00F72EA5" w:rsidRDefault="00F72EA5" w:rsidP="00447875">
      <w:pPr>
        <w:spacing w:line="360" w:lineRule="auto"/>
        <w:jc w:val="both"/>
        <w:rPr>
          <w:rFonts w:ascii="Palatino Linotype" w:hAnsi="Palatino Linotype" w:cs="Tahoma"/>
          <w:color w:val="000000" w:themeColor="text1"/>
          <w:sz w:val="22"/>
          <w:szCs w:val="22"/>
          <w:lang w:val="es-ES"/>
        </w:rPr>
      </w:pPr>
    </w:p>
    <w:p w14:paraId="686589C7" w14:textId="0352F164" w:rsidR="00655F90" w:rsidRPr="00F759F4" w:rsidRDefault="00F72EA5" w:rsidP="00F72EA5">
      <w:pPr>
        <w:spacing w:line="360" w:lineRule="auto"/>
        <w:jc w:val="center"/>
        <w:rPr>
          <w:rFonts w:ascii="Palatino Linotype" w:hAnsi="Palatino Linotype" w:cs="Tahoma"/>
          <w:color w:val="000000" w:themeColor="text1"/>
          <w:sz w:val="22"/>
          <w:szCs w:val="22"/>
          <w:lang w:val="es-ES"/>
        </w:rPr>
      </w:pPr>
      <w:r>
        <w:rPr>
          <w:noProof/>
          <w:lang w:eastAsia="es-MX"/>
        </w:rPr>
        <w:drawing>
          <wp:inline distT="0" distB="0" distL="0" distR="0" wp14:anchorId="58B4539A" wp14:editId="18F8293E">
            <wp:extent cx="3848100" cy="4857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48100" cy="485775"/>
                    </a:xfrm>
                    <a:prstGeom prst="rect">
                      <a:avLst/>
                    </a:prstGeom>
                  </pic:spPr>
                </pic:pic>
              </a:graphicData>
            </a:graphic>
          </wp:inline>
        </w:drawing>
      </w:r>
    </w:p>
    <w:p w14:paraId="1A6383B8"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76C0D6F3" w14:textId="3E0259FA" w:rsidR="00655F90" w:rsidRDefault="00F72EA5" w:rsidP="00447875">
      <w:pPr>
        <w:spacing w:line="360" w:lineRule="auto"/>
        <w:jc w:val="both"/>
        <w:rPr>
          <w:rFonts w:ascii="Palatino Linotype" w:hAnsi="Palatino Linotype" w:cs="Tahoma"/>
          <w:color w:val="000000" w:themeColor="text1"/>
          <w:sz w:val="22"/>
          <w:szCs w:val="22"/>
          <w:lang w:val="es-ES"/>
        </w:rPr>
      </w:pPr>
      <w:r w:rsidRPr="00F72EA5">
        <w:rPr>
          <w:rFonts w:ascii="Palatino Linotype" w:hAnsi="Palatino Linotype" w:cs="Tahoma"/>
          <w:color w:val="000000" w:themeColor="text1"/>
          <w:sz w:val="22"/>
          <w:szCs w:val="22"/>
          <w:lang w:val="es-ES"/>
        </w:rPr>
        <w:t xml:space="preserve">Como se logra </w:t>
      </w:r>
      <w:r>
        <w:rPr>
          <w:rFonts w:ascii="Palatino Linotype" w:hAnsi="Palatino Linotype" w:cs="Tahoma"/>
          <w:color w:val="000000" w:themeColor="text1"/>
          <w:sz w:val="22"/>
          <w:szCs w:val="22"/>
          <w:lang w:val="es-ES"/>
        </w:rPr>
        <w:t xml:space="preserve">observar, dichos datos, lo único que hacen identificable a la póliza de fianza de que se trate, pues son datos meramente de control e identificación, por lo que, no se consideran datos clasificados en términos del artículo 143, fracción I de la Ley de Transparencia y acceso a la Información Pública del Estado de México y Municipios, pues no </w:t>
      </w:r>
      <w:r w:rsidR="007A01CD">
        <w:rPr>
          <w:rFonts w:ascii="Palatino Linotype" w:hAnsi="Palatino Linotype" w:cs="Tahoma"/>
          <w:color w:val="000000" w:themeColor="text1"/>
          <w:sz w:val="22"/>
          <w:szCs w:val="22"/>
          <w:lang w:val="es-ES"/>
        </w:rPr>
        <w:t xml:space="preserve">datos confidenciales; lo </w:t>
      </w:r>
      <w:r w:rsidR="007A01CD">
        <w:rPr>
          <w:rFonts w:ascii="Palatino Linotype" w:hAnsi="Palatino Linotype" w:cs="Tahoma"/>
          <w:color w:val="000000" w:themeColor="text1"/>
          <w:sz w:val="22"/>
          <w:szCs w:val="22"/>
          <w:lang w:val="es-ES"/>
        </w:rPr>
        <w:lastRenderedPageBreak/>
        <w:t>anterior toma sustento, en que los nombres de las partes, en las pólizas de fianzas, en el presente caso son de naturaleza pública.</w:t>
      </w:r>
    </w:p>
    <w:p w14:paraId="742B1C25" w14:textId="77777777" w:rsidR="007A01CD" w:rsidRDefault="007A01CD" w:rsidP="00447875">
      <w:pPr>
        <w:spacing w:line="360" w:lineRule="auto"/>
        <w:jc w:val="both"/>
        <w:rPr>
          <w:rFonts w:ascii="Palatino Linotype" w:hAnsi="Palatino Linotype" w:cs="Tahoma"/>
          <w:color w:val="000000" w:themeColor="text1"/>
          <w:sz w:val="22"/>
          <w:szCs w:val="22"/>
          <w:lang w:val="es-ES"/>
        </w:rPr>
      </w:pPr>
    </w:p>
    <w:p w14:paraId="1E9057A9" w14:textId="73586D8F" w:rsidR="007A01CD" w:rsidRPr="00175981" w:rsidRDefault="007A01CD" w:rsidP="00447875">
      <w:pPr>
        <w:spacing w:line="360" w:lineRule="auto"/>
        <w:jc w:val="both"/>
        <w:rPr>
          <w:rFonts w:ascii="Palatino Linotype" w:hAnsi="Palatino Linotype" w:cs="Tahoma"/>
          <w:b/>
          <w:color w:val="000000" w:themeColor="text1"/>
          <w:sz w:val="22"/>
          <w:szCs w:val="22"/>
          <w:lang w:val="es-ES"/>
        </w:rPr>
      </w:pPr>
      <w:r>
        <w:rPr>
          <w:rFonts w:ascii="Palatino Linotype" w:hAnsi="Palatino Linotype" w:cs="Tahoma"/>
          <w:color w:val="000000" w:themeColor="text1"/>
          <w:sz w:val="22"/>
          <w:szCs w:val="22"/>
          <w:lang w:val="es-ES"/>
        </w:rPr>
        <w:t xml:space="preserve">Conforme a lo anterior, no </w:t>
      </w:r>
      <w:r w:rsidR="000E4141">
        <w:rPr>
          <w:rFonts w:ascii="Palatino Linotype" w:hAnsi="Palatino Linotype" w:cs="Tahoma"/>
          <w:color w:val="000000" w:themeColor="text1"/>
          <w:sz w:val="22"/>
          <w:szCs w:val="22"/>
          <w:lang w:val="es-ES"/>
        </w:rPr>
        <w:t>procede</w:t>
      </w:r>
      <w:r>
        <w:rPr>
          <w:rFonts w:ascii="Palatino Linotype" w:hAnsi="Palatino Linotype" w:cs="Tahoma"/>
          <w:color w:val="000000" w:themeColor="text1"/>
          <w:sz w:val="22"/>
          <w:szCs w:val="22"/>
          <w:lang w:val="es-ES"/>
        </w:rPr>
        <w:t xml:space="preserve"> la clasificación de los datos señalados por el Sujeto Obligado, a saber, la firma del representante legal del contratista, el código de seguridad, la línea de validación, firma o sello digital, Registro Federal de Contribuyentes y domicilio de persona jurídico colectiva, </w:t>
      </w:r>
      <w:r w:rsidR="00175981">
        <w:rPr>
          <w:rFonts w:ascii="Palatino Linotype" w:hAnsi="Palatino Linotype" w:cs="Tahoma"/>
          <w:color w:val="000000" w:themeColor="text1"/>
          <w:sz w:val="22"/>
          <w:szCs w:val="22"/>
          <w:lang w:val="es-ES"/>
        </w:rPr>
        <w:t xml:space="preserve">el folio y número de fianza, </w:t>
      </w:r>
      <w:r w:rsidR="00175981" w:rsidRPr="00175981">
        <w:rPr>
          <w:rFonts w:ascii="Palatino Linotype" w:hAnsi="Palatino Linotype" w:cs="Tahoma"/>
          <w:b/>
          <w:color w:val="000000" w:themeColor="text1"/>
          <w:sz w:val="22"/>
          <w:szCs w:val="22"/>
          <w:lang w:val="es-ES"/>
        </w:rPr>
        <w:t>por lo que, procede ordenar la entrega de las Fianzas y los oficios de entrega del lugar de trabajo, proporcionad</w:t>
      </w:r>
      <w:r w:rsidR="00911E2D">
        <w:rPr>
          <w:rFonts w:ascii="Palatino Linotype" w:hAnsi="Palatino Linotype" w:cs="Tahoma"/>
          <w:b/>
          <w:color w:val="000000" w:themeColor="text1"/>
          <w:sz w:val="22"/>
          <w:szCs w:val="22"/>
          <w:lang w:val="es-ES"/>
        </w:rPr>
        <w:t>o</w:t>
      </w:r>
      <w:r w:rsidR="00175981" w:rsidRPr="00175981">
        <w:rPr>
          <w:rFonts w:ascii="Palatino Linotype" w:hAnsi="Palatino Linotype" w:cs="Tahoma"/>
          <w:b/>
          <w:color w:val="000000" w:themeColor="text1"/>
          <w:sz w:val="22"/>
          <w:szCs w:val="22"/>
          <w:lang w:val="es-ES"/>
        </w:rPr>
        <w:t>s en respuesta, en versión íntegra, ya que no contienen ningún dato considerado clasificable.</w:t>
      </w:r>
    </w:p>
    <w:p w14:paraId="5F030F74"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1374B3A1" w14:textId="77E106D6" w:rsidR="00655F90" w:rsidRDefault="000F56C9" w:rsidP="00447875">
      <w:pPr>
        <w:spacing w:line="360" w:lineRule="auto"/>
        <w:jc w:val="both"/>
        <w:rPr>
          <w:rFonts w:ascii="Palatino Linotype" w:hAnsi="Palatino Linotype" w:cs="Tahoma"/>
          <w:bCs/>
          <w:iCs/>
          <w:color w:val="000000" w:themeColor="text1"/>
          <w:sz w:val="22"/>
          <w:szCs w:val="22"/>
        </w:rPr>
      </w:pPr>
      <w:r>
        <w:rPr>
          <w:rFonts w:ascii="Palatino Linotype" w:hAnsi="Palatino Linotype" w:cs="Tahoma"/>
          <w:color w:val="000000" w:themeColor="text1"/>
          <w:sz w:val="22"/>
          <w:szCs w:val="22"/>
          <w:lang w:val="es-ES"/>
        </w:rPr>
        <w:t xml:space="preserve">Finalmente, por lo que hace el requerimiento 4, inciso v), correspondiente a las bitácoras de las once obras </w:t>
      </w:r>
      <w:r w:rsidR="00906136">
        <w:rPr>
          <w:rFonts w:ascii="Palatino Linotype" w:hAnsi="Palatino Linotype" w:cs="Tahoma"/>
          <w:color w:val="000000" w:themeColor="text1"/>
          <w:sz w:val="22"/>
          <w:szCs w:val="22"/>
          <w:lang w:val="es-ES"/>
        </w:rPr>
        <w:t>públicas</w:t>
      </w:r>
      <w:r>
        <w:rPr>
          <w:rFonts w:ascii="Palatino Linotype" w:hAnsi="Palatino Linotype" w:cs="Tahoma"/>
          <w:color w:val="000000" w:themeColor="text1"/>
          <w:sz w:val="22"/>
          <w:szCs w:val="22"/>
          <w:lang w:val="es-ES"/>
        </w:rPr>
        <w:t xml:space="preserve"> desarrolladas con recursos del </w:t>
      </w:r>
      <w:r w:rsidR="00906136" w:rsidRPr="00906136">
        <w:rPr>
          <w:rFonts w:ascii="Palatino Linotype" w:hAnsi="Palatino Linotype" w:cs="Tahoma"/>
          <w:color w:val="000000" w:themeColor="text1"/>
          <w:sz w:val="22"/>
          <w:szCs w:val="22"/>
        </w:rPr>
        <w:t>Fondo de Infraestructura Social Municipal y Demarcaciones Territoriales del Distrito Federal</w:t>
      </w:r>
      <w:r w:rsidR="00906136">
        <w:rPr>
          <w:rFonts w:ascii="Palatino Linotype" w:hAnsi="Palatino Linotype" w:cs="Tahoma"/>
          <w:color w:val="000000" w:themeColor="text1"/>
          <w:sz w:val="22"/>
          <w:szCs w:val="22"/>
        </w:rPr>
        <w:t xml:space="preserve">, el Sujeto Obligado entregó el </w:t>
      </w:r>
      <w:r w:rsidR="00906136" w:rsidRPr="00906136">
        <w:rPr>
          <w:rFonts w:ascii="Palatino Linotype" w:hAnsi="Palatino Linotype" w:cs="Tahoma"/>
          <w:bCs/>
          <w:iCs/>
          <w:color w:val="000000" w:themeColor="text1"/>
          <w:sz w:val="22"/>
          <w:szCs w:val="22"/>
        </w:rPr>
        <w:t>Acuerdo 86, de la Décima Segunda Sesión Extraordinaria, del Comité de Transparencia del</w:t>
      </w:r>
      <w:r w:rsidR="00906136">
        <w:rPr>
          <w:rFonts w:ascii="Palatino Linotype" w:hAnsi="Palatino Linotype" w:cs="Tahoma"/>
          <w:bCs/>
          <w:iCs/>
          <w:color w:val="000000" w:themeColor="text1"/>
          <w:sz w:val="22"/>
          <w:szCs w:val="22"/>
        </w:rPr>
        <w:t xml:space="preserve"> Ayuntamiento de Nicolás Romero, el cual precisa que la información requerida es reservada, en términos del artículo 140, fracción V, numeral 1 de la Ley de Transparencia y Acceso a la Información Pública del Estado de México y Municipios, que establece lo siguiente: </w:t>
      </w:r>
    </w:p>
    <w:p w14:paraId="37955B6C" w14:textId="77777777" w:rsidR="00906136" w:rsidRDefault="00906136" w:rsidP="00447875">
      <w:pPr>
        <w:spacing w:line="360" w:lineRule="auto"/>
        <w:jc w:val="both"/>
        <w:rPr>
          <w:rFonts w:ascii="Palatino Linotype" w:hAnsi="Palatino Linotype" w:cs="Tahoma"/>
          <w:bCs/>
          <w:iCs/>
          <w:color w:val="000000" w:themeColor="text1"/>
          <w:sz w:val="22"/>
          <w:szCs w:val="22"/>
        </w:rPr>
      </w:pPr>
    </w:p>
    <w:p w14:paraId="798231F0" w14:textId="77777777" w:rsidR="00906136" w:rsidRPr="00906136" w:rsidRDefault="00906136" w:rsidP="00906136">
      <w:pPr>
        <w:tabs>
          <w:tab w:val="left" w:pos="4962"/>
        </w:tabs>
        <w:spacing w:line="360" w:lineRule="auto"/>
        <w:ind w:left="567" w:right="567"/>
        <w:jc w:val="both"/>
        <w:rPr>
          <w:rFonts w:ascii="Palatino Linotype" w:eastAsia="Calibri" w:hAnsi="Palatino Linotype" w:cs="Tahoma"/>
          <w:i/>
          <w:iCs/>
          <w:lang w:val="es-ES" w:eastAsia="es-ES_tradnl"/>
        </w:rPr>
      </w:pPr>
      <w:r w:rsidRPr="00906136">
        <w:rPr>
          <w:rFonts w:ascii="Palatino Linotype" w:eastAsia="Calibri" w:hAnsi="Palatino Linotype" w:cs="Tahoma"/>
          <w:i/>
          <w:iCs/>
          <w:lang w:val="es-ES" w:eastAsia="es-ES_tradnl"/>
        </w:rPr>
        <w:t>“</w:t>
      </w:r>
      <w:r w:rsidRPr="00906136">
        <w:rPr>
          <w:rFonts w:ascii="Palatino Linotype" w:eastAsia="Calibri" w:hAnsi="Palatino Linotype" w:cs="Tahoma"/>
          <w:b/>
          <w:i/>
          <w:iCs/>
          <w:lang w:val="es-ES" w:eastAsia="es-ES_tradnl"/>
        </w:rPr>
        <w:t>Artículo 140.</w:t>
      </w:r>
      <w:r w:rsidRPr="00906136">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12C2BB54" w14:textId="77777777" w:rsidR="00906136" w:rsidRPr="00906136" w:rsidRDefault="00906136" w:rsidP="00906136">
      <w:pPr>
        <w:tabs>
          <w:tab w:val="left" w:pos="4962"/>
        </w:tabs>
        <w:spacing w:line="360" w:lineRule="auto"/>
        <w:ind w:left="567" w:right="567"/>
        <w:jc w:val="both"/>
        <w:rPr>
          <w:rFonts w:ascii="Palatino Linotype" w:eastAsia="Calibri" w:hAnsi="Palatino Linotype" w:cs="Tahoma"/>
          <w:i/>
          <w:iCs/>
          <w:lang w:val="es-ES" w:eastAsia="es-ES_tradnl"/>
        </w:rPr>
      </w:pPr>
      <w:r w:rsidRPr="00906136">
        <w:rPr>
          <w:rFonts w:ascii="Palatino Linotype" w:eastAsia="Calibri" w:hAnsi="Palatino Linotype" w:cs="Tahoma"/>
          <w:i/>
          <w:iCs/>
          <w:lang w:val="es-ES" w:eastAsia="es-ES_tradnl"/>
        </w:rPr>
        <w:t>…</w:t>
      </w:r>
    </w:p>
    <w:p w14:paraId="539931CC" w14:textId="77777777" w:rsidR="00906136" w:rsidRPr="00906136" w:rsidRDefault="00906136" w:rsidP="00906136">
      <w:pPr>
        <w:tabs>
          <w:tab w:val="left" w:pos="4962"/>
        </w:tabs>
        <w:spacing w:line="360" w:lineRule="auto"/>
        <w:ind w:left="567" w:right="567"/>
        <w:jc w:val="both"/>
        <w:rPr>
          <w:rFonts w:ascii="Palatino Linotype" w:eastAsia="Calibri" w:hAnsi="Palatino Linotype" w:cs="Tahoma"/>
          <w:i/>
          <w:iCs/>
          <w:lang w:val="es-ES_tradnl" w:eastAsia="es-ES_tradnl"/>
        </w:rPr>
      </w:pPr>
      <w:r w:rsidRPr="00906136">
        <w:rPr>
          <w:rFonts w:ascii="Palatino Linotype" w:eastAsia="Calibri" w:hAnsi="Palatino Linotype" w:cs="Tahoma"/>
          <w:i/>
          <w:iCs/>
          <w:lang w:val="es-ES_tradnl" w:eastAsia="es-ES_tradnl"/>
        </w:rPr>
        <w:t>V. Aquella cuya divulgación obstruya o pueda causar un serio perjuicio a:</w:t>
      </w:r>
    </w:p>
    <w:p w14:paraId="3718465D" w14:textId="77777777" w:rsidR="00906136" w:rsidRPr="00906136" w:rsidRDefault="00906136" w:rsidP="00906136">
      <w:pPr>
        <w:tabs>
          <w:tab w:val="left" w:pos="4962"/>
        </w:tabs>
        <w:spacing w:line="360" w:lineRule="auto"/>
        <w:ind w:left="567" w:right="567"/>
        <w:jc w:val="both"/>
        <w:rPr>
          <w:rFonts w:ascii="Palatino Linotype" w:eastAsia="Calibri" w:hAnsi="Palatino Linotype" w:cs="Tahoma"/>
          <w:i/>
          <w:iCs/>
          <w:lang w:val="es-ES_tradnl" w:eastAsia="es-ES_tradnl"/>
        </w:rPr>
      </w:pPr>
    </w:p>
    <w:p w14:paraId="39501CCD" w14:textId="77777777" w:rsidR="00906136" w:rsidRPr="00906136" w:rsidRDefault="00906136" w:rsidP="00906136">
      <w:pPr>
        <w:tabs>
          <w:tab w:val="left" w:pos="4962"/>
        </w:tabs>
        <w:spacing w:line="360" w:lineRule="auto"/>
        <w:ind w:left="567" w:right="567"/>
        <w:jc w:val="both"/>
        <w:rPr>
          <w:rFonts w:ascii="Palatino Linotype" w:eastAsia="Calibri" w:hAnsi="Palatino Linotype" w:cs="Tahoma"/>
          <w:i/>
          <w:iCs/>
          <w:lang w:val="es-ES_tradnl" w:eastAsia="es-ES_tradnl"/>
        </w:rPr>
      </w:pPr>
      <w:r w:rsidRPr="00906136">
        <w:rPr>
          <w:rFonts w:ascii="Palatino Linotype" w:eastAsia="Calibri" w:hAnsi="Palatino Linotype" w:cs="Tahoma"/>
          <w:i/>
          <w:iCs/>
          <w:lang w:val="es-ES_tradnl" w:eastAsia="es-ES_tradnl"/>
        </w:rPr>
        <w:t>1. Las actividades de fiscalización, verificación, inspección, comprobación y auditoría sobre el cumplimiento de las Leyes; o</w:t>
      </w:r>
    </w:p>
    <w:p w14:paraId="516DB518" w14:textId="77777777" w:rsidR="00906136" w:rsidRPr="00906136" w:rsidRDefault="00906136" w:rsidP="00906136">
      <w:pPr>
        <w:tabs>
          <w:tab w:val="left" w:pos="4962"/>
        </w:tabs>
        <w:spacing w:line="360" w:lineRule="auto"/>
        <w:ind w:left="567" w:right="567"/>
        <w:jc w:val="both"/>
        <w:rPr>
          <w:rFonts w:ascii="Palatino Linotype" w:eastAsia="Calibri" w:hAnsi="Palatino Linotype" w:cs="Tahoma"/>
          <w:i/>
          <w:iCs/>
          <w:lang w:val="es-ES" w:eastAsia="es-ES_tradnl"/>
        </w:rPr>
      </w:pPr>
      <w:r w:rsidRPr="00906136">
        <w:rPr>
          <w:rFonts w:ascii="Palatino Linotype" w:eastAsia="Calibri" w:hAnsi="Palatino Linotype" w:cs="Tahoma"/>
          <w:i/>
          <w:iCs/>
          <w:lang w:val="es-ES" w:eastAsia="es-ES_tradnl"/>
        </w:rPr>
        <w:t>…”</w:t>
      </w:r>
    </w:p>
    <w:p w14:paraId="78C944A3"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_tradnl" w:eastAsia="en-US"/>
        </w:rPr>
      </w:pPr>
    </w:p>
    <w:p w14:paraId="5C5B2922"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_tradnl" w:eastAsia="en-US"/>
        </w:rPr>
      </w:pPr>
      <w:r w:rsidRPr="00906136">
        <w:rPr>
          <w:rFonts w:ascii="Palatino Linotype" w:eastAsia="Calibri" w:hAnsi="Palatino Linotype" w:cs="Tahoma"/>
          <w:bCs/>
          <w:sz w:val="22"/>
          <w:szCs w:val="22"/>
          <w:lang w:val="es-ES_tradnl" w:eastAsia="en-US"/>
        </w:rPr>
        <w:lastRenderedPageBreak/>
        <w:t>De dicho precepto normativo se desprende que podrá clasificarse como información reservada aquella cuya publicación obstruya o cause perjuicio en las actividades de fiscalización, verificación, inspección, comprobación y auditoría sobre el cumplimiento de leyes.</w:t>
      </w:r>
    </w:p>
    <w:p w14:paraId="3045EA60"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_tradnl" w:eastAsia="en-US"/>
        </w:rPr>
      </w:pPr>
    </w:p>
    <w:p w14:paraId="053D235E" w14:textId="77777777" w:rsidR="00906136" w:rsidRPr="00906136" w:rsidRDefault="00906136" w:rsidP="00906136">
      <w:pPr>
        <w:tabs>
          <w:tab w:val="left" w:pos="4962"/>
        </w:tabs>
        <w:spacing w:line="360" w:lineRule="auto"/>
        <w:jc w:val="both"/>
        <w:rPr>
          <w:rFonts w:ascii="Palatino Linotype" w:eastAsia="Calibri" w:hAnsi="Palatino Linotype" w:cs="Tahoma"/>
          <w:bCs/>
          <w:iCs/>
          <w:sz w:val="22"/>
          <w:szCs w:val="22"/>
          <w:lang w:val="es-ES_tradnl" w:eastAsia="es-ES_tradnl"/>
        </w:rPr>
      </w:pPr>
      <w:r w:rsidRPr="00906136">
        <w:rPr>
          <w:rFonts w:ascii="Palatino Linotype" w:eastAsia="Calibri" w:hAnsi="Palatino Linotype" w:cs="Tahoma"/>
          <w:iCs/>
          <w:sz w:val="22"/>
          <w:szCs w:val="22"/>
          <w:lang w:val="es-ES_tradnl" w:eastAsia="es-ES_tradnl"/>
        </w:rPr>
        <w:t xml:space="preserve">Por su parte, los </w:t>
      </w:r>
      <w:r w:rsidRPr="00906136">
        <w:rPr>
          <w:rFonts w:ascii="Palatino Linotype" w:eastAsia="Calibri" w:hAnsi="Palatino Linotype" w:cs="Tahoma"/>
          <w:bCs/>
          <w:iCs/>
          <w:sz w:val="22"/>
          <w:szCs w:val="22"/>
          <w:lang w:val="es-ES_tradnl" w:eastAsia="es-ES_tradnl"/>
        </w:rPr>
        <w:t>Lineamientos Generales en Materia de Clasificación y Desclasificación de la Información, así como para la Elaboración de Versiones Públicas -en adelante Lineamientos Generales- disponen:</w:t>
      </w:r>
    </w:p>
    <w:p w14:paraId="1582935C"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_tradnl" w:eastAsia="en-US"/>
        </w:rPr>
      </w:pPr>
    </w:p>
    <w:p w14:paraId="4D5BEB77" w14:textId="77777777" w:rsidR="00906136" w:rsidRPr="00906136" w:rsidRDefault="00906136" w:rsidP="00906136">
      <w:pPr>
        <w:spacing w:line="360" w:lineRule="auto"/>
        <w:ind w:left="567" w:right="567"/>
        <w:jc w:val="both"/>
        <w:rPr>
          <w:rFonts w:ascii="Palatino Linotype" w:eastAsia="Calibri" w:hAnsi="Palatino Linotype" w:cs="Tahoma"/>
          <w:bCs/>
          <w:i/>
          <w:lang w:val="es-ES" w:eastAsia="en-US"/>
        </w:rPr>
      </w:pPr>
      <w:r w:rsidRPr="00906136">
        <w:rPr>
          <w:rFonts w:ascii="Palatino Linotype" w:eastAsia="Calibri" w:hAnsi="Palatino Linotype" w:cs="Tahoma"/>
          <w:b/>
          <w:bCs/>
          <w:i/>
          <w:lang w:val="es-ES" w:eastAsia="en-US"/>
        </w:rPr>
        <w:t>“Vigésimo cuarto. </w:t>
      </w:r>
      <w:r w:rsidRPr="00906136">
        <w:rPr>
          <w:rFonts w:ascii="Palatino Linotype" w:eastAsia="Calibri" w:hAnsi="Palatino Linotype" w:cs="Tahoma"/>
          <w:bCs/>
          <w:i/>
          <w:lang w:val="es-ES" w:eastAsia="en-US"/>
        </w:rPr>
        <w:t xml:space="preserve">De conformidad con el artículo 113, fracción VI de la Ley General, podrá considerarse como </w:t>
      </w:r>
      <w:r w:rsidRPr="00906136">
        <w:rPr>
          <w:rFonts w:ascii="Palatino Linotype" w:eastAsia="Calibri" w:hAnsi="Palatino Linotype" w:cs="Tahoma"/>
          <w:b/>
          <w:bCs/>
          <w:i/>
          <w:lang w:val="es-ES" w:eastAsia="en-US"/>
        </w:rPr>
        <w:t>reservada, aquella información que obstruya las actividades de verificación, inspección y auditoría relativas al cumplimiento de las leyes</w:t>
      </w:r>
      <w:r w:rsidRPr="00906136">
        <w:rPr>
          <w:rFonts w:ascii="Palatino Linotype" w:eastAsia="Calibri" w:hAnsi="Palatino Linotype" w:cs="Tahoma"/>
          <w:bCs/>
          <w:i/>
          <w:lang w:val="es-ES" w:eastAsia="en-US"/>
        </w:rPr>
        <w:t>, cuando se actualicen los siguientes elementos:</w:t>
      </w:r>
    </w:p>
    <w:p w14:paraId="5A65132A" w14:textId="77777777" w:rsidR="00906136" w:rsidRPr="00906136" w:rsidRDefault="00906136" w:rsidP="00906136">
      <w:pPr>
        <w:spacing w:line="360" w:lineRule="auto"/>
        <w:ind w:left="567" w:right="567"/>
        <w:jc w:val="both"/>
        <w:rPr>
          <w:rFonts w:ascii="Palatino Linotype" w:eastAsia="Calibri" w:hAnsi="Palatino Linotype" w:cs="Tahoma"/>
          <w:bCs/>
          <w:i/>
          <w:lang w:val="es-ES" w:eastAsia="en-US"/>
        </w:rPr>
      </w:pPr>
    </w:p>
    <w:p w14:paraId="729D116A" w14:textId="77777777" w:rsidR="00906136" w:rsidRPr="00906136" w:rsidRDefault="00906136" w:rsidP="00906136">
      <w:pPr>
        <w:spacing w:line="360" w:lineRule="auto"/>
        <w:ind w:left="567" w:right="567"/>
        <w:jc w:val="both"/>
        <w:rPr>
          <w:rFonts w:ascii="Palatino Linotype" w:eastAsia="Calibri" w:hAnsi="Palatino Linotype" w:cs="Tahoma"/>
          <w:bCs/>
          <w:i/>
          <w:lang w:val="es-ES" w:eastAsia="en-US"/>
        </w:rPr>
      </w:pPr>
      <w:r w:rsidRPr="00906136">
        <w:rPr>
          <w:rFonts w:ascii="Palatino Linotype" w:eastAsia="Calibri" w:hAnsi="Palatino Linotype" w:cs="Tahoma"/>
          <w:b/>
          <w:bCs/>
          <w:i/>
          <w:lang w:val="es-ES" w:eastAsia="en-US"/>
        </w:rPr>
        <w:t>I.</w:t>
      </w:r>
      <w:r w:rsidRPr="00906136">
        <w:rPr>
          <w:rFonts w:ascii="Palatino Linotype" w:eastAsia="Calibri" w:hAnsi="Palatino Linotype" w:cs="Tahoma"/>
          <w:bCs/>
          <w:i/>
          <w:lang w:val="es-ES" w:eastAsia="en-US"/>
        </w:rPr>
        <w:t> La existencia de un procedimiento de verificación del cumplimiento de las leyes;</w:t>
      </w:r>
    </w:p>
    <w:p w14:paraId="5E3FDFD0" w14:textId="77777777" w:rsidR="00906136" w:rsidRPr="00906136" w:rsidRDefault="00906136" w:rsidP="00906136">
      <w:pPr>
        <w:spacing w:line="360" w:lineRule="auto"/>
        <w:ind w:left="567" w:right="567"/>
        <w:jc w:val="both"/>
        <w:rPr>
          <w:rFonts w:ascii="Palatino Linotype" w:eastAsia="Calibri" w:hAnsi="Palatino Linotype" w:cs="Tahoma"/>
          <w:bCs/>
          <w:i/>
          <w:lang w:val="es-ES" w:eastAsia="en-US"/>
        </w:rPr>
      </w:pPr>
      <w:r w:rsidRPr="00906136">
        <w:rPr>
          <w:rFonts w:ascii="Palatino Linotype" w:eastAsia="Calibri" w:hAnsi="Palatino Linotype" w:cs="Tahoma"/>
          <w:b/>
          <w:bCs/>
          <w:i/>
          <w:lang w:val="es-ES" w:eastAsia="en-US"/>
        </w:rPr>
        <w:t>II</w:t>
      </w:r>
      <w:r w:rsidRPr="00906136">
        <w:rPr>
          <w:rFonts w:ascii="Palatino Linotype" w:eastAsia="Calibri" w:hAnsi="Palatino Linotype" w:cs="Tahoma"/>
          <w:bCs/>
          <w:i/>
          <w:lang w:val="es-ES" w:eastAsia="en-US"/>
        </w:rPr>
        <w:t>. Que el procedimiento se encuentre en trámite;</w:t>
      </w:r>
    </w:p>
    <w:p w14:paraId="0EEB6333" w14:textId="77777777" w:rsidR="00906136" w:rsidRPr="00906136" w:rsidRDefault="00906136" w:rsidP="00906136">
      <w:pPr>
        <w:spacing w:line="360" w:lineRule="auto"/>
        <w:ind w:left="567" w:right="567"/>
        <w:jc w:val="both"/>
        <w:rPr>
          <w:rFonts w:ascii="Palatino Linotype" w:eastAsia="Calibri" w:hAnsi="Palatino Linotype" w:cs="Tahoma"/>
          <w:bCs/>
          <w:i/>
          <w:lang w:val="es-ES" w:eastAsia="en-US"/>
        </w:rPr>
      </w:pPr>
      <w:r w:rsidRPr="00906136">
        <w:rPr>
          <w:rFonts w:ascii="Palatino Linotype" w:eastAsia="Calibri" w:hAnsi="Palatino Linotype" w:cs="Tahoma"/>
          <w:b/>
          <w:bCs/>
          <w:i/>
          <w:lang w:val="es-ES" w:eastAsia="en-US"/>
        </w:rPr>
        <w:t>III.</w:t>
      </w:r>
      <w:r w:rsidRPr="00906136">
        <w:rPr>
          <w:rFonts w:ascii="Palatino Linotype" w:eastAsia="Calibri" w:hAnsi="Palatino Linotype" w:cs="Tahoma"/>
          <w:bCs/>
          <w:i/>
          <w:lang w:val="es-ES" w:eastAsia="en-US"/>
        </w:rPr>
        <w:t> La vinculación directa con las actividades que realiza la autoridad en el procedimiento de verificación del cumplimiento de las leyes, y</w:t>
      </w:r>
    </w:p>
    <w:p w14:paraId="555CA905" w14:textId="77777777" w:rsidR="00906136" w:rsidRPr="00906136" w:rsidRDefault="00906136" w:rsidP="00906136">
      <w:pPr>
        <w:spacing w:line="360" w:lineRule="auto"/>
        <w:ind w:left="567" w:right="567"/>
        <w:jc w:val="both"/>
        <w:rPr>
          <w:rFonts w:ascii="Palatino Linotype" w:eastAsia="Calibri" w:hAnsi="Palatino Linotype" w:cs="Tahoma"/>
          <w:bCs/>
          <w:i/>
          <w:lang w:val="es-ES" w:eastAsia="en-US"/>
        </w:rPr>
      </w:pPr>
      <w:r w:rsidRPr="00906136">
        <w:rPr>
          <w:rFonts w:ascii="Palatino Linotype" w:eastAsia="Calibri" w:hAnsi="Palatino Linotype" w:cs="Tahoma"/>
          <w:b/>
          <w:bCs/>
          <w:i/>
          <w:lang w:val="es-ES" w:eastAsia="en-US"/>
        </w:rPr>
        <w:t>IV.</w:t>
      </w:r>
      <w:r w:rsidRPr="00906136">
        <w:rPr>
          <w:rFonts w:ascii="Palatino Linotype" w:eastAsia="Calibri" w:hAnsi="Palatino Linotype" w:cs="Tahoma"/>
          <w:bCs/>
          <w:i/>
          <w:lang w:val="es-ES" w:eastAsia="en-US"/>
        </w:rPr>
        <w:t> Que la difusión de la información impida u obstaculice las actividades de inspección, supervisión o vigilancia que realicen las autoridades en el procedimiento de verificación del cumplimiento de las leyes.”</w:t>
      </w:r>
    </w:p>
    <w:p w14:paraId="5ECD1AFA" w14:textId="77777777" w:rsidR="00906136" w:rsidRPr="00906136" w:rsidRDefault="00906136" w:rsidP="00906136">
      <w:pPr>
        <w:spacing w:line="360" w:lineRule="auto"/>
        <w:ind w:right="-93"/>
        <w:jc w:val="both"/>
        <w:rPr>
          <w:rFonts w:ascii="Palatino Linotype" w:eastAsia="Calibri" w:hAnsi="Palatino Linotype" w:cs="Tahoma"/>
          <w:b/>
          <w:bCs/>
          <w:sz w:val="22"/>
          <w:szCs w:val="22"/>
          <w:lang w:val="es-ES" w:eastAsia="en-US"/>
        </w:rPr>
      </w:pPr>
    </w:p>
    <w:p w14:paraId="7D90D3D1"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t xml:space="preserve">Del lineamiento en cita, se colige que se trata de información reservada aquella que </w:t>
      </w:r>
      <w:r w:rsidRPr="00906136">
        <w:rPr>
          <w:rFonts w:ascii="Palatino Linotype" w:eastAsia="Calibri" w:hAnsi="Palatino Linotype" w:cs="Tahoma"/>
          <w:b/>
          <w:bCs/>
          <w:sz w:val="22"/>
          <w:szCs w:val="22"/>
          <w:lang w:val="es-ES" w:eastAsia="en-US"/>
        </w:rPr>
        <w:t xml:space="preserve">obstruya las actividades de </w:t>
      </w:r>
      <w:r w:rsidRPr="00906136">
        <w:rPr>
          <w:rFonts w:ascii="Palatino Linotype" w:eastAsia="Calibri" w:hAnsi="Palatino Linotype" w:cs="Tahoma"/>
          <w:bCs/>
          <w:sz w:val="22"/>
          <w:szCs w:val="22"/>
          <w:lang w:val="es-ES" w:eastAsia="en-US"/>
        </w:rPr>
        <w:t xml:space="preserve">verificación, inspección y </w:t>
      </w:r>
      <w:r w:rsidRPr="00906136">
        <w:rPr>
          <w:rFonts w:ascii="Palatino Linotype" w:eastAsia="Calibri" w:hAnsi="Palatino Linotype" w:cs="Tahoma"/>
          <w:b/>
          <w:bCs/>
          <w:sz w:val="22"/>
          <w:szCs w:val="22"/>
          <w:lang w:val="es-ES" w:eastAsia="en-US"/>
        </w:rPr>
        <w:t xml:space="preserve">auditoría relativas al cumplimiento de las leyes, </w:t>
      </w:r>
      <w:r w:rsidRPr="00906136">
        <w:rPr>
          <w:rFonts w:ascii="Palatino Linotype" w:eastAsia="Calibri" w:hAnsi="Palatino Linotype" w:cs="Tahoma"/>
          <w:bCs/>
          <w:sz w:val="22"/>
          <w:szCs w:val="22"/>
          <w:lang w:val="es-ES" w:eastAsia="en-US"/>
        </w:rPr>
        <w:t xml:space="preserve">cuando se actualicen los siguientes elementos: </w:t>
      </w:r>
    </w:p>
    <w:p w14:paraId="381AE174"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 w:eastAsia="en-US"/>
        </w:rPr>
      </w:pPr>
    </w:p>
    <w:p w14:paraId="7A47E199" w14:textId="77777777" w:rsidR="00906136" w:rsidRPr="00906136" w:rsidRDefault="00906136" w:rsidP="00906136">
      <w:pPr>
        <w:numPr>
          <w:ilvl w:val="0"/>
          <w:numId w:val="31"/>
        </w:num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t xml:space="preserve">La existencia de un procedimiento de verificación del cumplimiento de las leyes. </w:t>
      </w:r>
    </w:p>
    <w:p w14:paraId="32A6AF35" w14:textId="77777777" w:rsidR="00906136" w:rsidRPr="00906136" w:rsidRDefault="00906136" w:rsidP="00906136">
      <w:pPr>
        <w:numPr>
          <w:ilvl w:val="0"/>
          <w:numId w:val="31"/>
        </w:num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t xml:space="preserve">Que ese procedimiento se encuentre en trámite. </w:t>
      </w:r>
    </w:p>
    <w:p w14:paraId="3F9C4B36" w14:textId="77777777" w:rsidR="00906136" w:rsidRPr="00906136" w:rsidRDefault="00906136" w:rsidP="00906136">
      <w:pPr>
        <w:numPr>
          <w:ilvl w:val="0"/>
          <w:numId w:val="31"/>
        </w:num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lastRenderedPageBreak/>
        <w:t xml:space="preserve">La vinculación directa con las actividades que realiza la autoridad en el procedimiento de verificación del cumplimiento de las leyes. </w:t>
      </w:r>
    </w:p>
    <w:p w14:paraId="69FE30FA" w14:textId="77777777" w:rsidR="00906136" w:rsidRPr="00906136" w:rsidRDefault="00906136" w:rsidP="00906136">
      <w:pPr>
        <w:numPr>
          <w:ilvl w:val="0"/>
          <w:numId w:val="31"/>
        </w:num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t xml:space="preserve">Que la difusión de la información impida u obstaculice las actividades de inspección, supervisión o vigilancia que realicen las autoridades en el proceso de verificación del cumplimiento de las leyes. </w:t>
      </w:r>
    </w:p>
    <w:p w14:paraId="57A9E945"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 w:eastAsia="en-US"/>
        </w:rPr>
      </w:pPr>
    </w:p>
    <w:p w14:paraId="2C66DEF9"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t xml:space="preserve">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w:t>
      </w:r>
    </w:p>
    <w:p w14:paraId="0184C74F"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 w:eastAsia="en-US"/>
        </w:rPr>
      </w:pPr>
    </w:p>
    <w:p w14:paraId="5DDED4CC" w14:textId="77777777" w:rsidR="00906136" w:rsidRPr="00906136" w:rsidRDefault="00906136" w:rsidP="00906136">
      <w:pPr>
        <w:spacing w:line="360" w:lineRule="auto"/>
        <w:ind w:right="-93"/>
        <w:jc w:val="both"/>
        <w:rPr>
          <w:rFonts w:ascii="Palatino Linotype" w:eastAsia="Calibri" w:hAnsi="Palatino Linotype" w:cs="Tahoma"/>
          <w:bCs/>
          <w:sz w:val="22"/>
          <w:szCs w:val="22"/>
          <w:lang w:val="es-ES" w:eastAsia="en-US"/>
        </w:rPr>
      </w:pPr>
      <w:r w:rsidRPr="00906136">
        <w:rPr>
          <w:rFonts w:ascii="Palatino Linotype" w:eastAsia="Calibri" w:hAnsi="Palatino Linotype" w:cs="Tahoma"/>
          <w:bCs/>
          <w:sz w:val="22"/>
          <w:szCs w:val="22"/>
          <w:lang w:val="es-ES" w:eastAsia="en-US"/>
        </w:rPr>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0ED04053" w14:textId="7DBD7CB8" w:rsidR="00906136" w:rsidRDefault="00906136" w:rsidP="00447875">
      <w:pPr>
        <w:spacing w:line="360" w:lineRule="auto"/>
        <w:jc w:val="both"/>
        <w:rPr>
          <w:rFonts w:ascii="Palatino Linotype" w:hAnsi="Palatino Linotype" w:cs="Tahoma"/>
          <w:color w:val="000000" w:themeColor="text1"/>
          <w:sz w:val="22"/>
          <w:szCs w:val="22"/>
          <w:lang w:val="es-ES"/>
        </w:rPr>
      </w:pPr>
    </w:p>
    <w:p w14:paraId="03762CAD" w14:textId="52EC3C8B" w:rsidR="00CE2B79" w:rsidRPr="000F56C9" w:rsidRDefault="00CE2B79"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En ese contexto, cabe señalar que el Particular requiere tener acceso a la bitácora de obra, por lo que, resulta traer a colación </w:t>
      </w:r>
      <w:r w:rsidR="00C27D74">
        <w:rPr>
          <w:rFonts w:ascii="Palatino Linotype" w:hAnsi="Palatino Linotype" w:cs="Tahoma"/>
          <w:color w:val="000000" w:themeColor="text1"/>
          <w:sz w:val="22"/>
          <w:szCs w:val="22"/>
          <w:lang w:val="es-ES"/>
        </w:rPr>
        <w:t>el artículo 3, fracción IV del Reglamento del Libro Décimo Segundo del Código Administrativo del Estado de México, que precisa que dicho documento es el instrumento legal para el registro y control de la ejecución de la obra pública, vigente durante el periodo del contrato; además, que funciona como medio de comunicación y acuerdo entre contratante y contratista e inscripción de asuntos relevantes.</w:t>
      </w:r>
    </w:p>
    <w:p w14:paraId="7F1BDCD5"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6AF3E42B" w14:textId="59E7455F" w:rsidR="00655F90" w:rsidRPr="00C27D74" w:rsidRDefault="00C27D74"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Asimismo, el artículo 163</w:t>
      </w:r>
      <w:r w:rsidR="005C575E">
        <w:rPr>
          <w:rFonts w:ascii="Palatino Linotype" w:hAnsi="Palatino Linotype" w:cs="Tahoma"/>
          <w:color w:val="000000" w:themeColor="text1"/>
          <w:sz w:val="22"/>
          <w:szCs w:val="22"/>
          <w:lang w:val="es-ES"/>
        </w:rPr>
        <w:t xml:space="preserve"> de dicho ordenamiento jurídico, fracción segunda, establece que en la bitácora de obra, se llevará el control, del consumo del material, cantidad y categoría del </w:t>
      </w:r>
      <w:r w:rsidR="005C575E">
        <w:rPr>
          <w:rFonts w:ascii="Palatino Linotype" w:hAnsi="Palatino Linotype" w:cs="Tahoma"/>
          <w:color w:val="000000" w:themeColor="text1"/>
          <w:sz w:val="22"/>
          <w:szCs w:val="22"/>
          <w:lang w:val="es-ES"/>
        </w:rPr>
        <w:lastRenderedPageBreak/>
        <w:t>personal que realizó los trabajos, horas efectivas de la maquinaria o equipo de construcción y cantidad o volumen de la obra realizada.</w:t>
      </w:r>
    </w:p>
    <w:p w14:paraId="29852B27"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74D52F70" w14:textId="33F23E31" w:rsidR="00655F90" w:rsidRPr="005C575E" w:rsidRDefault="005C575E"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Además, que conforme al artículo 223 del Reglamento referido, se debe contar con el original de la bitácora para el contratante (Sujeto Obligado), y dos copias, una para el contratista y otra para el residente de obra.</w:t>
      </w:r>
    </w:p>
    <w:p w14:paraId="3189C556" w14:textId="77777777" w:rsidR="00655F90" w:rsidRDefault="00655F90" w:rsidP="00447875">
      <w:pPr>
        <w:spacing w:line="360" w:lineRule="auto"/>
        <w:jc w:val="both"/>
        <w:rPr>
          <w:rFonts w:ascii="Palatino Linotype" w:hAnsi="Palatino Linotype" w:cs="Tahoma"/>
          <w:b/>
          <w:color w:val="000000" w:themeColor="text1"/>
          <w:sz w:val="22"/>
          <w:szCs w:val="22"/>
          <w:lang w:val="es-ES"/>
        </w:rPr>
      </w:pPr>
    </w:p>
    <w:p w14:paraId="0D645295" w14:textId="65C2D2C8" w:rsidR="00655F90" w:rsidRDefault="008B7859"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Conforme a lo expuesto, la Bitácora de obra, es el documento que contiene el registro y control de la ejecución de la obra, es decir, todo lo se hace día a día para terminar la obra en cuestión; por lo que, en principio se considera que dicho documento es de naturaleza pública, pues ayuda a rendir cuentas, de la forma en que se realiza una obra pública, si tuvo desperfectos, o </w:t>
      </w:r>
      <w:r w:rsidR="00C1680B">
        <w:rPr>
          <w:rFonts w:ascii="Palatino Linotype" w:hAnsi="Palatino Linotype" w:cs="Tahoma"/>
          <w:color w:val="000000" w:themeColor="text1"/>
          <w:sz w:val="22"/>
          <w:szCs w:val="22"/>
          <w:lang w:val="es-ES"/>
        </w:rPr>
        <w:t xml:space="preserve">bien, </w:t>
      </w:r>
      <w:r>
        <w:rPr>
          <w:rFonts w:ascii="Palatino Linotype" w:hAnsi="Palatino Linotype" w:cs="Tahoma"/>
          <w:color w:val="000000" w:themeColor="text1"/>
          <w:sz w:val="22"/>
          <w:szCs w:val="22"/>
          <w:lang w:val="es-ES"/>
        </w:rPr>
        <w:t xml:space="preserve">fue realizada </w:t>
      </w:r>
      <w:r w:rsidR="00C1680B">
        <w:rPr>
          <w:rFonts w:ascii="Palatino Linotype" w:hAnsi="Palatino Linotype" w:cs="Tahoma"/>
          <w:color w:val="000000" w:themeColor="text1"/>
          <w:sz w:val="22"/>
          <w:szCs w:val="22"/>
          <w:lang w:val="es-ES"/>
        </w:rPr>
        <w:t>de manera correcta; aunado al hecho de que es financiada con recursos públicos, por lo que, la ciudadanía tiene derecho a conocer, como se ha ido desarrollando la misma.</w:t>
      </w:r>
    </w:p>
    <w:p w14:paraId="6B924736" w14:textId="77777777" w:rsidR="00C1680B" w:rsidRDefault="00C1680B" w:rsidP="00447875">
      <w:pPr>
        <w:spacing w:line="360" w:lineRule="auto"/>
        <w:jc w:val="both"/>
        <w:rPr>
          <w:rFonts w:ascii="Palatino Linotype" w:hAnsi="Palatino Linotype" w:cs="Tahoma"/>
          <w:color w:val="000000" w:themeColor="text1"/>
          <w:sz w:val="22"/>
          <w:szCs w:val="22"/>
          <w:lang w:val="es-ES"/>
        </w:rPr>
      </w:pPr>
    </w:p>
    <w:p w14:paraId="3E637456" w14:textId="2BDF1A35" w:rsidR="009A1481" w:rsidRPr="00867DCB" w:rsidRDefault="009A1481" w:rsidP="009A1481">
      <w:pPr>
        <w:spacing w:line="360" w:lineRule="auto"/>
        <w:ind w:right="-93"/>
        <w:jc w:val="both"/>
        <w:rPr>
          <w:rFonts w:ascii="Palatino Linotype" w:eastAsia="Calibri" w:hAnsi="Palatino Linotype" w:cs="Tahoma"/>
          <w:bCs/>
          <w:sz w:val="22"/>
          <w:szCs w:val="22"/>
          <w:lang w:val="es-ES" w:eastAsia="en-US"/>
        </w:rPr>
      </w:pPr>
      <w:r w:rsidRPr="00867DCB">
        <w:rPr>
          <w:rFonts w:ascii="Palatino Linotype" w:eastAsia="Calibri" w:hAnsi="Palatino Linotype" w:cs="Tahoma"/>
          <w:bCs/>
          <w:sz w:val="22"/>
          <w:szCs w:val="22"/>
          <w:lang w:val="es-ES" w:eastAsia="en-US"/>
        </w:rPr>
        <w:t xml:space="preserve">Así las cosas, a continuación, se analizarán cada uno de los requisitos señalados anteriormente, con la finalidad de verificar si </w:t>
      </w:r>
      <w:r>
        <w:rPr>
          <w:rFonts w:ascii="Palatino Linotype" w:eastAsia="Calibri" w:hAnsi="Palatino Linotype" w:cs="Tahoma"/>
          <w:bCs/>
          <w:sz w:val="22"/>
          <w:szCs w:val="22"/>
          <w:lang w:val="es-ES" w:eastAsia="en-US"/>
        </w:rPr>
        <w:t xml:space="preserve"> el documento solicitado,</w:t>
      </w:r>
      <w:r w:rsidRPr="00867DCB">
        <w:rPr>
          <w:rFonts w:ascii="Palatino Linotype" w:eastAsia="Calibri" w:hAnsi="Palatino Linotype" w:cs="Tahoma"/>
          <w:bCs/>
          <w:sz w:val="22"/>
          <w:szCs w:val="22"/>
          <w:lang w:val="es-ES" w:eastAsia="en-US"/>
        </w:rPr>
        <w:t xml:space="preserve"> configura la hipótesis de reserva en estudio:</w:t>
      </w:r>
    </w:p>
    <w:p w14:paraId="0872DE16" w14:textId="77777777" w:rsidR="009A1481" w:rsidRPr="00867DCB" w:rsidRDefault="009A1481" w:rsidP="009A1481">
      <w:pPr>
        <w:spacing w:line="360" w:lineRule="auto"/>
        <w:ind w:right="-93"/>
        <w:jc w:val="both"/>
        <w:rPr>
          <w:rFonts w:ascii="Palatino Linotype" w:eastAsia="Calibri" w:hAnsi="Palatino Linotype" w:cs="Tahoma"/>
          <w:bCs/>
          <w:sz w:val="22"/>
          <w:szCs w:val="22"/>
          <w:lang w:eastAsia="en-US"/>
        </w:rPr>
      </w:pPr>
    </w:p>
    <w:p w14:paraId="39BEB979" w14:textId="77777777" w:rsidR="009A1481" w:rsidRPr="00867DCB" w:rsidRDefault="009A1481" w:rsidP="009A1481">
      <w:pPr>
        <w:numPr>
          <w:ilvl w:val="0"/>
          <w:numId w:val="32"/>
        </w:numPr>
        <w:spacing w:line="360" w:lineRule="auto"/>
        <w:ind w:right="-93"/>
        <w:jc w:val="both"/>
        <w:rPr>
          <w:rFonts w:ascii="Palatino Linotype" w:hAnsi="Palatino Linotype" w:cs="Tahoma"/>
          <w:b/>
          <w:sz w:val="22"/>
          <w:szCs w:val="22"/>
          <w:lang w:val="es-ES"/>
        </w:rPr>
      </w:pPr>
      <w:r w:rsidRPr="00867DCB">
        <w:rPr>
          <w:rFonts w:ascii="Palatino Linotype" w:hAnsi="Palatino Linotype" w:cs="Tahoma"/>
          <w:b/>
          <w:bCs/>
          <w:sz w:val="22"/>
          <w:szCs w:val="22"/>
          <w:lang w:val="es-ES"/>
        </w:rPr>
        <w:t>La existencia de un procedimiento de verificación del cumplimiento de las leyes.</w:t>
      </w:r>
    </w:p>
    <w:p w14:paraId="2087DE38" w14:textId="77777777" w:rsidR="00F02890" w:rsidRDefault="00F02890" w:rsidP="00447875">
      <w:pPr>
        <w:spacing w:line="360" w:lineRule="auto"/>
        <w:jc w:val="both"/>
        <w:rPr>
          <w:rFonts w:ascii="Palatino Linotype" w:hAnsi="Palatino Linotype" w:cs="Tahoma"/>
          <w:color w:val="000000" w:themeColor="text1"/>
          <w:sz w:val="22"/>
          <w:szCs w:val="22"/>
          <w:lang w:val="es-ES"/>
        </w:rPr>
      </w:pPr>
    </w:p>
    <w:p w14:paraId="7E1D3FB5" w14:textId="460D0F26" w:rsidR="00C1680B" w:rsidRDefault="009A1481"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Al respecto, el Sujeto Obligado precisó lo siguiente:</w:t>
      </w:r>
    </w:p>
    <w:p w14:paraId="7E0B120C" w14:textId="77777777" w:rsidR="009A1481" w:rsidRDefault="009A1481" w:rsidP="00447875">
      <w:pPr>
        <w:spacing w:line="360" w:lineRule="auto"/>
        <w:jc w:val="both"/>
        <w:rPr>
          <w:rFonts w:ascii="Palatino Linotype" w:hAnsi="Palatino Linotype" w:cs="Tahoma"/>
          <w:color w:val="000000" w:themeColor="text1"/>
          <w:sz w:val="22"/>
          <w:szCs w:val="22"/>
          <w:lang w:val="es-ES"/>
        </w:rPr>
      </w:pPr>
    </w:p>
    <w:p w14:paraId="57FAFADA" w14:textId="2F63CCB5" w:rsidR="00BD6398" w:rsidRDefault="009A1481" w:rsidP="00D5234F">
      <w:pPr>
        <w:pStyle w:val="Prrafodelista"/>
        <w:numPr>
          <w:ilvl w:val="0"/>
          <w:numId w:val="29"/>
        </w:numPr>
        <w:spacing w:line="360" w:lineRule="auto"/>
        <w:jc w:val="both"/>
        <w:rPr>
          <w:rFonts w:ascii="Palatino Linotype" w:hAnsi="Palatino Linotype" w:cs="Tahoma"/>
          <w:color w:val="000000" w:themeColor="text1"/>
          <w:szCs w:val="22"/>
          <w:lang w:val="es-ES"/>
        </w:rPr>
      </w:pPr>
      <w:r w:rsidRPr="009A1481">
        <w:rPr>
          <w:rFonts w:ascii="Palatino Linotype" w:hAnsi="Palatino Linotype" w:cs="Tahoma"/>
          <w:color w:val="000000" w:themeColor="text1"/>
          <w:szCs w:val="22"/>
          <w:lang w:val="es-ES"/>
        </w:rPr>
        <w:t>Que de conformidad con el artículo 276 del Reglamento del Libro Décimo Segundo del Código Administrativo del Estado de México</w:t>
      </w:r>
      <w:r w:rsidR="003C3821">
        <w:rPr>
          <w:rFonts w:ascii="Palatino Linotype" w:hAnsi="Palatino Linotype" w:cs="Tahoma"/>
          <w:color w:val="000000" w:themeColor="text1"/>
          <w:szCs w:val="22"/>
          <w:lang w:val="es-ES"/>
        </w:rPr>
        <w:t xml:space="preserve">, la Contraloría podía realizar, durante el </w:t>
      </w:r>
      <w:r w:rsidR="003C3821">
        <w:rPr>
          <w:rFonts w:ascii="Palatino Linotype" w:hAnsi="Palatino Linotype" w:cs="Tahoma"/>
          <w:color w:val="000000" w:themeColor="text1"/>
          <w:szCs w:val="22"/>
          <w:lang w:val="es-ES"/>
        </w:rPr>
        <w:lastRenderedPageBreak/>
        <w:t xml:space="preserve">procedimiento de obra pública, vistas, inspecciones, auditorias y supervisiones que considere necesarias; </w:t>
      </w:r>
    </w:p>
    <w:p w14:paraId="22B0FF91" w14:textId="77777777" w:rsidR="003C3821" w:rsidRDefault="003C3821" w:rsidP="003C3821">
      <w:pPr>
        <w:pStyle w:val="Prrafodelista"/>
        <w:spacing w:line="360" w:lineRule="auto"/>
        <w:jc w:val="both"/>
        <w:rPr>
          <w:rFonts w:ascii="Palatino Linotype" w:hAnsi="Palatino Linotype" w:cs="Tahoma"/>
          <w:color w:val="000000" w:themeColor="text1"/>
          <w:szCs w:val="22"/>
          <w:lang w:val="es-ES"/>
        </w:rPr>
      </w:pPr>
    </w:p>
    <w:p w14:paraId="0CAEF7C4" w14:textId="267942BD" w:rsidR="003C3821" w:rsidRDefault="00571A0F" w:rsidP="00D5234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Que las bitácoras eran parte de los procedimientos de visitas, inspecciones, auditorias y supervisiones, dentro de una obra que no ha quedado concluida;</w:t>
      </w:r>
    </w:p>
    <w:p w14:paraId="0902ADEF" w14:textId="77777777" w:rsidR="00571A0F" w:rsidRPr="00571A0F" w:rsidRDefault="00571A0F" w:rsidP="00571A0F">
      <w:pPr>
        <w:pStyle w:val="Prrafodelista"/>
        <w:rPr>
          <w:rFonts w:ascii="Palatino Linotype" w:hAnsi="Palatino Linotype" w:cs="Tahoma"/>
          <w:color w:val="000000" w:themeColor="text1"/>
          <w:szCs w:val="22"/>
          <w:lang w:val="es-ES"/>
        </w:rPr>
      </w:pPr>
    </w:p>
    <w:p w14:paraId="15020190" w14:textId="2364D4C7" w:rsidR="00571A0F" w:rsidRDefault="00571A0F" w:rsidP="00D5234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 xml:space="preserve">Que entregar dichos documentos, se estaría violentando </w:t>
      </w:r>
      <w:r w:rsidR="00074135">
        <w:rPr>
          <w:rFonts w:ascii="Palatino Linotype" w:hAnsi="Palatino Linotype" w:cs="Tahoma"/>
          <w:color w:val="000000" w:themeColor="text1"/>
          <w:szCs w:val="22"/>
          <w:lang w:val="es-ES"/>
        </w:rPr>
        <w:t>los procesos de visitas, inspecciones, auditorías y supervisiones que forman parte de un procedimiento de control de obra pública, en cuanto a la recepción y finiquito de las autoridades competentes;</w:t>
      </w:r>
    </w:p>
    <w:p w14:paraId="3205E559" w14:textId="77777777" w:rsidR="00074135" w:rsidRPr="00074135" w:rsidRDefault="00074135" w:rsidP="00074135">
      <w:pPr>
        <w:pStyle w:val="Prrafodelista"/>
        <w:rPr>
          <w:rFonts w:ascii="Palatino Linotype" w:hAnsi="Palatino Linotype" w:cs="Tahoma"/>
          <w:color w:val="000000" w:themeColor="text1"/>
          <w:szCs w:val="22"/>
          <w:lang w:val="es-ES"/>
        </w:rPr>
      </w:pPr>
    </w:p>
    <w:p w14:paraId="6E439707" w14:textId="2F983427" w:rsidR="00074135" w:rsidRDefault="00074135" w:rsidP="00D5234F">
      <w:pPr>
        <w:pStyle w:val="Prrafodelista"/>
        <w:numPr>
          <w:ilvl w:val="0"/>
          <w:numId w:val="29"/>
        </w:numPr>
        <w:spacing w:line="360" w:lineRule="auto"/>
        <w:jc w:val="both"/>
        <w:rPr>
          <w:rFonts w:ascii="Palatino Linotype" w:hAnsi="Palatino Linotype" w:cs="Tahoma"/>
          <w:color w:val="000000" w:themeColor="text1"/>
          <w:szCs w:val="22"/>
          <w:lang w:val="es-ES"/>
        </w:rPr>
      </w:pPr>
      <w:r>
        <w:rPr>
          <w:rFonts w:ascii="Palatino Linotype" w:hAnsi="Palatino Linotype" w:cs="Tahoma"/>
          <w:color w:val="000000" w:themeColor="text1"/>
          <w:szCs w:val="22"/>
          <w:lang w:val="es-ES"/>
        </w:rPr>
        <w:t>Que entregar las bitácoras, influiría en la debida sustanciación del procedimiento o vulneración de los procedimientos establecidos, en el artículo 276 del Re</w:t>
      </w:r>
      <w:r w:rsidR="007C6103">
        <w:rPr>
          <w:rFonts w:ascii="Palatino Linotype" w:hAnsi="Palatino Linotype" w:cs="Tahoma"/>
          <w:color w:val="000000" w:themeColor="text1"/>
          <w:szCs w:val="22"/>
          <w:lang w:val="es-ES"/>
        </w:rPr>
        <w:t>glamento, obstaculizando los procedimientos de recepción de obra en materia administrativa;</w:t>
      </w:r>
    </w:p>
    <w:p w14:paraId="7D1577BC" w14:textId="77777777" w:rsidR="007C6103" w:rsidRDefault="007C6103" w:rsidP="007C6103">
      <w:pPr>
        <w:spacing w:line="360" w:lineRule="auto"/>
        <w:jc w:val="both"/>
        <w:rPr>
          <w:rFonts w:ascii="Palatino Linotype" w:hAnsi="Palatino Linotype" w:cs="Tahoma"/>
          <w:color w:val="000000" w:themeColor="text1"/>
          <w:sz w:val="22"/>
          <w:szCs w:val="22"/>
          <w:lang w:val="es-ES"/>
        </w:rPr>
      </w:pPr>
    </w:p>
    <w:p w14:paraId="1D2AB90B" w14:textId="5C33234A" w:rsidR="007C6103" w:rsidRDefault="007C6103" w:rsidP="007C6103">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Como se logra observar, el Sujeto Obligado señaló que no podía entregar l</w:t>
      </w:r>
      <w:r w:rsidR="00702584">
        <w:rPr>
          <w:rFonts w:ascii="Palatino Linotype" w:hAnsi="Palatino Linotype" w:cs="Tahoma"/>
          <w:color w:val="000000" w:themeColor="text1"/>
          <w:sz w:val="22"/>
          <w:szCs w:val="22"/>
          <w:lang w:val="es-ES"/>
        </w:rPr>
        <w:t>as bitácoras, pues no había concluido ninguno de los procedimientos, esto es, que ninguno de los once procedimientos señalados en respuesta</w:t>
      </w:r>
      <w:r w:rsidR="00A22FEB">
        <w:rPr>
          <w:rFonts w:ascii="Palatino Linotype" w:hAnsi="Palatino Linotype" w:cs="Tahoma"/>
          <w:color w:val="000000" w:themeColor="text1"/>
          <w:sz w:val="22"/>
          <w:szCs w:val="22"/>
          <w:lang w:val="es-ES"/>
        </w:rPr>
        <w:t xml:space="preserve">, </w:t>
      </w:r>
      <w:r w:rsidR="00702584">
        <w:rPr>
          <w:rFonts w:ascii="Palatino Linotype" w:hAnsi="Palatino Linotype" w:cs="Tahoma"/>
          <w:color w:val="000000" w:themeColor="text1"/>
          <w:sz w:val="22"/>
          <w:szCs w:val="22"/>
          <w:lang w:val="es-ES"/>
        </w:rPr>
        <w:t xml:space="preserve">se </w:t>
      </w:r>
      <w:r w:rsidR="00A22FEB">
        <w:rPr>
          <w:rFonts w:ascii="Palatino Linotype" w:hAnsi="Palatino Linotype" w:cs="Tahoma"/>
          <w:color w:val="000000" w:themeColor="text1"/>
          <w:sz w:val="22"/>
          <w:szCs w:val="22"/>
          <w:lang w:val="es-ES"/>
        </w:rPr>
        <w:t>habían</w:t>
      </w:r>
      <w:r w:rsidR="00702584">
        <w:rPr>
          <w:rFonts w:ascii="Palatino Linotype" w:hAnsi="Palatino Linotype" w:cs="Tahoma"/>
          <w:color w:val="000000" w:themeColor="text1"/>
          <w:sz w:val="22"/>
          <w:szCs w:val="22"/>
          <w:lang w:val="es-ES"/>
        </w:rPr>
        <w:t xml:space="preserve"> finiquitado; además, que la </w:t>
      </w:r>
      <w:r w:rsidR="00586925">
        <w:rPr>
          <w:rFonts w:ascii="Palatino Linotype" w:hAnsi="Palatino Linotype" w:cs="Tahoma"/>
          <w:color w:val="000000" w:themeColor="text1"/>
          <w:sz w:val="22"/>
          <w:szCs w:val="22"/>
          <w:lang w:val="es-ES"/>
        </w:rPr>
        <w:t>C</w:t>
      </w:r>
      <w:r w:rsidR="00702584">
        <w:rPr>
          <w:rFonts w:ascii="Palatino Linotype" w:hAnsi="Palatino Linotype" w:cs="Tahoma"/>
          <w:color w:val="000000" w:themeColor="text1"/>
          <w:sz w:val="22"/>
          <w:szCs w:val="22"/>
          <w:lang w:val="es-ES"/>
        </w:rPr>
        <w:t>ontraloría</w:t>
      </w:r>
      <w:r w:rsidR="00586925">
        <w:rPr>
          <w:rFonts w:ascii="Palatino Linotype" w:hAnsi="Palatino Linotype" w:cs="Tahoma"/>
          <w:color w:val="000000" w:themeColor="text1"/>
          <w:sz w:val="22"/>
          <w:szCs w:val="22"/>
          <w:lang w:val="es-ES"/>
        </w:rPr>
        <w:t xml:space="preserve"> Municipal</w:t>
      </w:r>
      <w:r w:rsidR="00702584">
        <w:rPr>
          <w:rFonts w:ascii="Palatino Linotype" w:hAnsi="Palatino Linotype" w:cs="Tahoma"/>
          <w:color w:val="000000" w:themeColor="text1"/>
          <w:sz w:val="22"/>
          <w:szCs w:val="22"/>
          <w:lang w:val="es-ES"/>
        </w:rPr>
        <w:t>, podía realizar</w:t>
      </w:r>
      <w:r w:rsidR="00A22FEB" w:rsidRPr="00A22FEB">
        <w:rPr>
          <w:rFonts w:ascii="Palatino Linotype" w:hAnsi="Palatino Linotype" w:cs="Tahoma"/>
          <w:color w:val="000000" w:themeColor="text1"/>
          <w:sz w:val="22"/>
          <w:szCs w:val="22"/>
          <w:lang w:val="es-ES"/>
        </w:rPr>
        <w:t>, durante el procedimiento de obra pública, vistas, inspecciones, auditorias y supervi</w:t>
      </w:r>
      <w:r w:rsidR="00586925">
        <w:rPr>
          <w:rFonts w:ascii="Palatino Linotype" w:hAnsi="Palatino Linotype" w:cs="Tahoma"/>
          <w:color w:val="000000" w:themeColor="text1"/>
          <w:sz w:val="22"/>
          <w:szCs w:val="22"/>
          <w:lang w:val="es-ES"/>
        </w:rPr>
        <w:t>siones que considerará necesarias.</w:t>
      </w:r>
    </w:p>
    <w:p w14:paraId="7757EF25" w14:textId="77777777" w:rsidR="00586925" w:rsidRDefault="00586925" w:rsidP="007C6103">
      <w:pPr>
        <w:spacing w:line="360" w:lineRule="auto"/>
        <w:jc w:val="both"/>
        <w:rPr>
          <w:rFonts w:ascii="Palatino Linotype" w:hAnsi="Palatino Linotype" w:cs="Tahoma"/>
          <w:color w:val="000000" w:themeColor="text1"/>
          <w:sz w:val="22"/>
          <w:szCs w:val="22"/>
          <w:lang w:val="es-ES"/>
        </w:rPr>
      </w:pPr>
    </w:p>
    <w:p w14:paraId="219D1624" w14:textId="45F90D87" w:rsidR="00586925" w:rsidRDefault="00586925" w:rsidP="007C6103">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En ese contexto, si bien el Sujeto Obligado señaló que la Contraloría podía realizar diversas actividades durante la ejecución de obra pública, también lo es, que no acredit</w:t>
      </w:r>
      <w:r w:rsidR="00AA62F6">
        <w:rPr>
          <w:rFonts w:ascii="Palatino Linotype" w:hAnsi="Palatino Linotype" w:cs="Tahoma"/>
          <w:color w:val="000000" w:themeColor="text1"/>
          <w:sz w:val="22"/>
          <w:szCs w:val="22"/>
          <w:lang w:val="es-ES"/>
        </w:rPr>
        <w:t>ó</w:t>
      </w:r>
      <w:r>
        <w:rPr>
          <w:rFonts w:ascii="Palatino Linotype" w:hAnsi="Palatino Linotype" w:cs="Tahoma"/>
          <w:color w:val="000000" w:themeColor="text1"/>
          <w:sz w:val="22"/>
          <w:szCs w:val="22"/>
          <w:lang w:val="es-ES"/>
        </w:rPr>
        <w:t xml:space="preserve"> que a la fecha de presentación de la solicitud de información e inclusive a la fecha de elaboración del Acuerdo del Comité de T</w:t>
      </w:r>
      <w:r w:rsidR="00D5234F">
        <w:rPr>
          <w:rFonts w:ascii="Palatino Linotype" w:hAnsi="Palatino Linotype" w:cs="Tahoma"/>
          <w:color w:val="000000" w:themeColor="text1"/>
          <w:sz w:val="22"/>
          <w:szCs w:val="22"/>
          <w:lang w:val="es-ES"/>
        </w:rPr>
        <w:t>ransparencia, dicha autoridad se encontrará realizando alguna auditoría, supervisión, inspección u algún otro procedimiento.</w:t>
      </w:r>
    </w:p>
    <w:p w14:paraId="4A0D6BEB" w14:textId="77777777" w:rsidR="00D5234F" w:rsidRDefault="00D5234F" w:rsidP="007C6103">
      <w:pPr>
        <w:spacing w:line="360" w:lineRule="auto"/>
        <w:jc w:val="both"/>
        <w:rPr>
          <w:rFonts w:ascii="Palatino Linotype" w:hAnsi="Palatino Linotype" w:cs="Tahoma"/>
          <w:color w:val="000000" w:themeColor="text1"/>
          <w:sz w:val="22"/>
          <w:szCs w:val="22"/>
          <w:lang w:val="es-ES"/>
        </w:rPr>
      </w:pPr>
    </w:p>
    <w:p w14:paraId="2C9373FE" w14:textId="3126F7AB" w:rsidR="00C474FE" w:rsidRPr="00AD0E84" w:rsidRDefault="00D5234F" w:rsidP="00C474FE">
      <w:pPr>
        <w:spacing w:line="360" w:lineRule="auto"/>
        <w:ind w:right="-93"/>
        <w:jc w:val="both"/>
        <w:rPr>
          <w:rFonts w:ascii="Palatino Linotype" w:hAnsi="Palatino Linotype" w:cs="Tahoma"/>
          <w:sz w:val="22"/>
          <w:szCs w:val="22"/>
        </w:rPr>
      </w:pPr>
      <w:r>
        <w:rPr>
          <w:rFonts w:ascii="Palatino Linotype" w:hAnsi="Palatino Linotype" w:cs="Tahoma"/>
          <w:color w:val="000000" w:themeColor="text1"/>
          <w:sz w:val="22"/>
          <w:szCs w:val="22"/>
          <w:lang w:val="es-ES"/>
        </w:rPr>
        <w:lastRenderedPageBreak/>
        <w:t>Lo anterior, toma sustento con el hecho de que de manera general hizo alusión a dichos procedimientos realizados por la Contraloría Municipal, sin indicar si en alguno de las once obras públicas que se encuentran llevando a ca</w:t>
      </w:r>
      <w:r w:rsidR="00C474FE">
        <w:rPr>
          <w:rFonts w:ascii="Palatino Linotype" w:hAnsi="Palatino Linotype" w:cs="Tahoma"/>
          <w:color w:val="000000" w:themeColor="text1"/>
          <w:sz w:val="22"/>
          <w:szCs w:val="22"/>
          <w:lang w:val="es-ES"/>
        </w:rPr>
        <w:t xml:space="preserve">bo, existía algún procedimiento, conforme a lo establecido en el artículo </w:t>
      </w:r>
      <w:r w:rsidR="00C474FE" w:rsidRPr="00C474FE">
        <w:rPr>
          <w:rFonts w:ascii="Palatino Linotype" w:hAnsi="Palatino Linotype" w:cs="Tahoma"/>
          <w:color w:val="000000" w:themeColor="text1"/>
          <w:sz w:val="22"/>
          <w:szCs w:val="22"/>
          <w:lang w:val="es-ES"/>
        </w:rPr>
        <w:t>276 del Reglamento del Libro Décimo Segundo del Código Administrativo del Estado de México</w:t>
      </w:r>
      <w:r w:rsidR="00C474FE">
        <w:rPr>
          <w:rFonts w:ascii="Palatino Linotype" w:hAnsi="Palatino Linotype" w:cs="Tahoma"/>
          <w:color w:val="000000" w:themeColor="text1"/>
          <w:sz w:val="22"/>
          <w:szCs w:val="22"/>
          <w:lang w:val="es-ES"/>
        </w:rPr>
        <w:t>; por lo cual, no se acredita el primer elemento de los Lineamientos Generales.</w:t>
      </w:r>
      <w:r w:rsidR="00C474FE">
        <w:rPr>
          <w:rFonts w:ascii="Palatino Linotype" w:hAnsi="Palatino Linotype" w:cs="Tahoma"/>
          <w:bCs/>
          <w:sz w:val="22"/>
          <w:szCs w:val="22"/>
        </w:rPr>
        <w:t xml:space="preserve"> </w:t>
      </w:r>
      <w:r w:rsidR="00C474FE">
        <w:rPr>
          <w:rFonts w:ascii="Palatino Linotype" w:hAnsi="Palatino Linotype" w:cs="Tahoma"/>
          <w:sz w:val="22"/>
          <w:szCs w:val="22"/>
        </w:rPr>
        <w:t>Dicha determinación, toma relevancia, pues la no actualización de uno de los elementos, trae como consecuencia la improcedencia de la reserva, en términos del inciso 1, de la fracción V, del artículo 140 de la Ley de Transparencia y Acceso a la Información Pública del Estado de México y Municipios.</w:t>
      </w:r>
    </w:p>
    <w:p w14:paraId="0128A751" w14:textId="18E88DC5" w:rsidR="00D5234F" w:rsidRDefault="00D5234F" w:rsidP="007C6103">
      <w:pPr>
        <w:spacing w:line="360" w:lineRule="auto"/>
        <w:jc w:val="both"/>
        <w:rPr>
          <w:rFonts w:ascii="Palatino Linotype" w:hAnsi="Palatino Linotype" w:cs="Tahoma"/>
          <w:color w:val="000000" w:themeColor="text1"/>
          <w:szCs w:val="22"/>
          <w:lang w:val="es-ES"/>
        </w:rPr>
      </w:pPr>
    </w:p>
    <w:p w14:paraId="56B49F56" w14:textId="68AA152A" w:rsidR="00C474FE" w:rsidRDefault="00C474FE" w:rsidP="00321BB5">
      <w:pPr>
        <w:spacing w:line="360" w:lineRule="auto"/>
        <w:ind w:right="-93"/>
        <w:jc w:val="both"/>
        <w:rPr>
          <w:rFonts w:ascii="Palatino Linotype" w:hAnsi="Palatino Linotype" w:cs="Tahoma"/>
          <w:sz w:val="22"/>
          <w:szCs w:val="22"/>
        </w:rPr>
      </w:pPr>
      <w:r>
        <w:rPr>
          <w:rFonts w:ascii="Palatino Linotype" w:hAnsi="Palatino Linotype" w:cs="Tahoma"/>
          <w:sz w:val="22"/>
          <w:szCs w:val="22"/>
        </w:rPr>
        <w:t>Lo anterior, toma relevancia pues al no haber</w:t>
      </w:r>
      <w:r w:rsidR="00837724">
        <w:rPr>
          <w:rFonts w:ascii="Palatino Linotype" w:hAnsi="Palatino Linotype" w:cs="Tahoma"/>
          <w:sz w:val="22"/>
          <w:szCs w:val="22"/>
        </w:rPr>
        <w:t xml:space="preserve"> acreditado el</w:t>
      </w:r>
      <w:r>
        <w:rPr>
          <w:rFonts w:ascii="Palatino Linotype" w:hAnsi="Palatino Linotype" w:cs="Tahoma"/>
          <w:sz w:val="22"/>
          <w:szCs w:val="22"/>
        </w:rPr>
        <w:t xml:space="preserve"> </w:t>
      </w:r>
      <w:r w:rsidR="00837724">
        <w:rPr>
          <w:rFonts w:ascii="Palatino Linotype" w:hAnsi="Palatino Linotype" w:cs="Tahoma"/>
          <w:sz w:val="22"/>
          <w:szCs w:val="22"/>
        </w:rPr>
        <w:t>inicio por parte de la Contraloría Municipal, algún de los procedimientos de los previamente señalados y por lo tanto</w:t>
      </w:r>
      <w:r>
        <w:rPr>
          <w:rFonts w:ascii="Palatino Linotype" w:hAnsi="Palatino Linotype" w:cs="Tahoma"/>
          <w:sz w:val="22"/>
          <w:szCs w:val="22"/>
        </w:rPr>
        <w:t xml:space="preserve">, al no </w:t>
      </w:r>
      <w:r w:rsidR="00837724">
        <w:rPr>
          <w:rFonts w:ascii="Palatino Linotype" w:hAnsi="Palatino Linotype" w:cs="Tahoma"/>
          <w:sz w:val="22"/>
          <w:szCs w:val="22"/>
        </w:rPr>
        <w:t>llevarse</w:t>
      </w:r>
      <w:r>
        <w:rPr>
          <w:rFonts w:ascii="Palatino Linotype" w:hAnsi="Palatino Linotype" w:cs="Tahoma"/>
          <w:sz w:val="22"/>
          <w:szCs w:val="22"/>
        </w:rPr>
        <w:t xml:space="preserve"> a cabo, ninguna de las etapas que conforman </w:t>
      </w:r>
      <w:r w:rsidR="00837724">
        <w:rPr>
          <w:rFonts w:ascii="Palatino Linotype" w:hAnsi="Palatino Linotype" w:cs="Tahoma"/>
          <w:sz w:val="22"/>
          <w:szCs w:val="22"/>
        </w:rPr>
        <w:t>a los mismos</w:t>
      </w:r>
      <w:r>
        <w:rPr>
          <w:rFonts w:ascii="Palatino Linotype" w:hAnsi="Palatino Linotype" w:cs="Tahoma"/>
          <w:sz w:val="22"/>
          <w:szCs w:val="22"/>
        </w:rPr>
        <w:t>, no existe una vinculación con las actividades que realiza la autoridad en el procedimiento de verificación</w:t>
      </w:r>
      <w:r w:rsidR="00837724">
        <w:rPr>
          <w:rFonts w:ascii="Palatino Linotype" w:hAnsi="Palatino Linotype" w:cs="Tahoma"/>
          <w:sz w:val="22"/>
          <w:szCs w:val="22"/>
        </w:rPr>
        <w:t>; además, que este Instituto considera que de ninguna manera, en su caso, entregar las bitácoras,</w:t>
      </w:r>
      <w:r w:rsidR="00321BB5">
        <w:rPr>
          <w:rFonts w:ascii="Palatino Linotype" w:hAnsi="Palatino Linotype" w:cs="Tahoma"/>
          <w:sz w:val="22"/>
          <w:szCs w:val="22"/>
        </w:rPr>
        <w:t xml:space="preserve"> impediría</w:t>
      </w:r>
      <w:r>
        <w:rPr>
          <w:rFonts w:ascii="Palatino Linotype" w:hAnsi="Palatino Linotype" w:cs="Tahoma"/>
          <w:sz w:val="22"/>
          <w:szCs w:val="22"/>
        </w:rPr>
        <w:t xml:space="preserve"> u obstaculiza</w:t>
      </w:r>
      <w:r w:rsidR="00321BB5">
        <w:rPr>
          <w:rFonts w:ascii="Palatino Linotype" w:hAnsi="Palatino Linotype" w:cs="Tahoma"/>
          <w:sz w:val="22"/>
          <w:szCs w:val="22"/>
        </w:rPr>
        <w:t>ría</w:t>
      </w:r>
      <w:r>
        <w:rPr>
          <w:rFonts w:ascii="Palatino Linotype" w:hAnsi="Palatino Linotype" w:cs="Tahoma"/>
          <w:sz w:val="22"/>
          <w:szCs w:val="22"/>
        </w:rPr>
        <w:t xml:space="preserve"> las actividades de inspección, supervisión o vigilancia </w:t>
      </w:r>
      <w:r w:rsidR="00321BB5">
        <w:rPr>
          <w:rFonts w:ascii="Palatino Linotype" w:hAnsi="Palatino Linotype" w:cs="Tahoma"/>
          <w:sz w:val="22"/>
          <w:szCs w:val="22"/>
        </w:rPr>
        <w:t>que podría realizar dicha área, durante la ejecución de la obra pública, pues dicho documento no puede ser modificado y alterado, además, que la información contenida en estos, es la que ya sucedió a la fecha de la solicitud, es decir, contiene la información de la ejecución de</w:t>
      </w:r>
      <w:r w:rsidR="00A37078">
        <w:rPr>
          <w:rFonts w:ascii="Palatino Linotype" w:hAnsi="Palatino Linotype" w:cs="Tahoma"/>
          <w:sz w:val="22"/>
          <w:szCs w:val="22"/>
        </w:rPr>
        <w:t xml:space="preserve"> las obras que ya se realizaron.</w:t>
      </w:r>
    </w:p>
    <w:p w14:paraId="102EA62F" w14:textId="77777777" w:rsidR="00A37078" w:rsidRDefault="00A37078" w:rsidP="00321BB5">
      <w:pPr>
        <w:spacing w:line="360" w:lineRule="auto"/>
        <w:ind w:right="-93"/>
        <w:jc w:val="both"/>
        <w:rPr>
          <w:rFonts w:ascii="Palatino Linotype" w:hAnsi="Palatino Linotype" w:cs="Tahoma"/>
          <w:sz w:val="22"/>
          <w:szCs w:val="22"/>
        </w:rPr>
      </w:pPr>
    </w:p>
    <w:p w14:paraId="5FFAE005" w14:textId="40C3E20C" w:rsidR="00A37078" w:rsidRDefault="00A37078" w:rsidP="00321BB5">
      <w:pPr>
        <w:spacing w:line="360" w:lineRule="auto"/>
        <w:ind w:right="-93"/>
        <w:jc w:val="both"/>
        <w:rPr>
          <w:rFonts w:ascii="Palatino Linotype" w:hAnsi="Palatino Linotype" w:cs="Tahoma"/>
          <w:sz w:val="22"/>
          <w:szCs w:val="22"/>
        </w:rPr>
      </w:pPr>
      <w:r>
        <w:rPr>
          <w:rFonts w:ascii="Palatino Linotype" w:hAnsi="Palatino Linotype" w:cs="Tahoma"/>
          <w:sz w:val="22"/>
          <w:szCs w:val="22"/>
        </w:rPr>
        <w:t>Asimismo, en el presente caso, contrario a lo señalado por el Sujeto Obligado, existe un interés jurídico por parte de la ciudadanía, de dar a conocer, de qué manera se están desarrollando las obras públicas, pues se están realizando en beneficio para estos; por otra parte, permite transparentar la correcta utilización de recursos públicos, pues con la evolución de la obra pública, el contratista va recibiendo diversos montos, para continuar y concluir la misma.</w:t>
      </w:r>
    </w:p>
    <w:p w14:paraId="5728514D" w14:textId="77777777" w:rsidR="00A37078" w:rsidRDefault="00A37078" w:rsidP="00321BB5">
      <w:pPr>
        <w:spacing w:line="360" w:lineRule="auto"/>
        <w:ind w:right="-93"/>
        <w:jc w:val="both"/>
        <w:rPr>
          <w:rFonts w:ascii="Palatino Linotype" w:hAnsi="Palatino Linotype" w:cs="Tahoma"/>
          <w:sz w:val="22"/>
          <w:szCs w:val="22"/>
        </w:rPr>
      </w:pPr>
    </w:p>
    <w:p w14:paraId="35C3AF7E" w14:textId="283AA0F8" w:rsidR="00A37078" w:rsidRPr="003769DA" w:rsidRDefault="00A37078" w:rsidP="00321BB5">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 xml:space="preserve">En ese orden de ideas, </w:t>
      </w:r>
      <w:r w:rsidR="00AD49C8">
        <w:rPr>
          <w:rFonts w:ascii="Palatino Linotype" w:hAnsi="Palatino Linotype" w:cs="Tahoma"/>
          <w:sz w:val="22"/>
          <w:szCs w:val="22"/>
        </w:rPr>
        <w:t>permite la rendición de cuentas y el control de la ciudadanía, al poder verificar con las bitácoras, que los materiales señalados en el contrato, son de la misma calidad y cantidad, que los utilizados por el Contratista, información que se detalla en el documento requerido.</w:t>
      </w:r>
    </w:p>
    <w:p w14:paraId="52CCB645" w14:textId="77777777" w:rsidR="00C474FE" w:rsidRPr="007C6103" w:rsidRDefault="00C474FE" w:rsidP="007C6103">
      <w:pPr>
        <w:spacing w:line="360" w:lineRule="auto"/>
        <w:jc w:val="both"/>
        <w:rPr>
          <w:rFonts w:ascii="Palatino Linotype" w:hAnsi="Palatino Linotype" w:cs="Tahoma"/>
          <w:color w:val="000000" w:themeColor="text1"/>
          <w:szCs w:val="22"/>
          <w:lang w:val="es-ES"/>
        </w:rPr>
      </w:pPr>
    </w:p>
    <w:p w14:paraId="69E7892C" w14:textId="77777777" w:rsidR="00AD49C8" w:rsidRPr="00010783" w:rsidRDefault="00AD49C8" w:rsidP="00AD49C8">
      <w:pPr>
        <w:spacing w:line="360" w:lineRule="auto"/>
        <w:ind w:right="-93"/>
        <w:jc w:val="both"/>
        <w:rPr>
          <w:rFonts w:ascii="Palatino Linotype" w:hAnsi="Palatino Linotype" w:cs="Tahoma"/>
          <w:b/>
          <w:sz w:val="22"/>
          <w:szCs w:val="22"/>
        </w:rPr>
      </w:pPr>
      <w:r>
        <w:rPr>
          <w:rFonts w:ascii="Palatino Linotype" w:hAnsi="Palatino Linotype" w:cs="Tahoma"/>
          <w:sz w:val="22"/>
          <w:szCs w:val="22"/>
        </w:rPr>
        <w:t xml:space="preserve">Por tales consideraciones, </w:t>
      </w:r>
      <w:r w:rsidRPr="00010783">
        <w:rPr>
          <w:rFonts w:ascii="Palatino Linotype" w:hAnsi="Palatino Linotype" w:cs="Tahoma"/>
          <w:b/>
          <w:sz w:val="22"/>
          <w:szCs w:val="22"/>
        </w:rPr>
        <w:t>no  se actualiza la causal de reserva, establecida en el artículo 140, fracción V, inciso 1, de la Ley de Transparencia y Acceso a la Información Pública del Estado de México y Municipios</w:t>
      </w:r>
      <w:r>
        <w:rPr>
          <w:rFonts w:ascii="Palatino Linotype" w:hAnsi="Palatino Linotype" w:cs="Tahoma"/>
          <w:b/>
          <w:sz w:val="22"/>
          <w:szCs w:val="22"/>
        </w:rPr>
        <w:t xml:space="preserve"> y por lo cual, resulta procedente ordenar la entrega de la información requerida.</w:t>
      </w:r>
    </w:p>
    <w:p w14:paraId="38F7777D" w14:textId="77777777" w:rsidR="00F02890" w:rsidRDefault="00F02890" w:rsidP="00447875">
      <w:pPr>
        <w:spacing w:line="360" w:lineRule="auto"/>
        <w:jc w:val="both"/>
        <w:rPr>
          <w:rFonts w:ascii="Palatino Linotype" w:hAnsi="Palatino Linotype" w:cs="Tahoma"/>
          <w:color w:val="000000" w:themeColor="text1"/>
          <w:sz w:val="22"/>
          <w:szCs w:val="22"/>
          <w:lang w:val="es-ES"/>
        </w:rPr>
      </w:pPr>
    </w:p>
    <w:p w14:paraId="4A40DC52" w14:textId="01675AF1" w:rsidR="00A90749" w:rsidRDefault="00AD49C8" w:rsidP="00AD49C8">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Ahora bien, cabe señalar que el Sujeto Obligado señaló que las bitácoras de obra, las tenía el Residente de Obra, en específico, en el lugar de trabajo; sin embargo, conforme al artículo</w:t>
      </w:r>
      <w:r w:rsidR="00A90749">
        <w:rPr>
          <w:rFonts w:ascii="Palatino Linotype" w:hAnsi="Palatino Linotype" w:cs="Tahoma"/>
          <w:color w:val="000000" w:themeColor="text1"/>
          <w:sz w:val="22"/>
          <w:szCs w:val="22"/>
          <w:lang w:val="es-ES"/>
        </w:rPr>
        <w:t xml:space="preserve"> 223 del</w:t>
      </w:r>
      <w:r>
        <w:rPr>
          <w:rFonts w:ascii="Palatino Linotype" w:hAnsi="Palatino Linotype" w:cs="Tahoma"/>
          <w:color w:val="000000" w:themeColor="text1"/>
          <w:sz w:val="22"/>
          <w:szCs w:val="22"/>
          <w:lang w:val="es-ES"/>
        </w:rPr>
        <w:t xml:space="preserve"> </w:t>
      </w:r>
      <w:r w:rsidR="00A90749" w:rsidRPr="00A90749">
        <w:rPr>
          <w:rFonts w:ascii="Palatino Linotype" w:hAnsi="Palatino Linotype" w:cs="Tahoma"/>
          <w:color w:val="000000" w:themeColor="text1"/>
          <w:sz w:val="22"/>
          <w:szCs w:val="22"/>
          <w:lang w:val="es-ES"/>
        </w:rPr>
        <w:t>Reglamento del Libro Décimo Segundo del Código Administrativo del Estado de México</w:t>
      </w:r>
      <w:r w:rsidR="00A90749">
        <w:rPr>
          <w:rFonts w:ascii="Palatino Linotype" w:hAnsi="Palatino Linotype" w:cs="Tahoma"/>
          <w:color w:val="000000" w:themeColor="text1"/>
          <w:sz w:val="22"/>
          <w:szCs w:val="22"/>
          <w:lang w:val="es-ES"/>
        </w:rPr>
        <w:t>, el Sujeto Obligado debe contar con los mismos; lo anterior, toma sustento con el hecho de que el Residente de Obra, es servidor público del Dirección de Obras Públicas, del Ente Recurrido.</w:t>
      </w:r>
    </w:p>
    <w:p w14:paraId="02EDF85C" w14:textId="77777777" w:rsidR="00A90749" w:rsidRDefault="00A90749" w:rsidP="00AD49C8">
      <w:pPr>
        <w:spacing w:line="360" w:lineRule="auto"/>
        <w:jc w:val="both"/>
        <w:rPr>
          <w:rFonts w:ascii="Palatino Linotype" w:hAnsi="Palatino Linotype" w:cs="Tahoma"/>
          <w:color w:val="000000" w:themeColor="text1"/>
          <w:sz w:val="22"/>
          <w:szCs w:val="22"/>
          <w:lang w:val="es-ES"/>
        </w:rPr>
      </w:pPr>
    </w:p>
    <w:p w14:paraId="0D831659" w14:textId="189BC9C7" w:rsidR="00AD49C8" w:rsidRPr="00AD49C8" w:rsidRDefault="00A90749" w:rsidP="00AD49C8">
      <w:pPr>
        <w:spacing w:line="360" w:lineRule="auto"/>
        <w:jc w:val="both"/>
        <w:rPr>
          <w:rFonts w:ascii="Palatino Linotype" w:hAnsi="Palatino Linotype" w:cs="Tahoma"/>
          <w:bCs/>
          <w:color w:val="000000" w:themeColor="text1"/>
          <w:sz w:val="22"/>
          <w:szCs w:val="22"/>
        </w:rPr>
      </w:pPr>
      <w:r>
        <w:rPr>
          <w:rFonts w:ascii="Palatino Linotype" w:hAnsi="Palatino Linotype" w:cs="Tahoma"/>
          <w:color w:val="000000" w:themeColor="text1"/>
          <w:sz w:val="22"/>
          <w:szCs w:val="22"/>
          <w:lang w:val="es-ES"/>
        </w:rPr>
        <w:t xml:space="preserve">De tales circunstancias, se considera procedente ordenar la entrega de las bitácoras de obra, de los </w:t>
      </w:r>
      <w:r w:rsidR="00AD49C8" w:rsidRPr="00AD49C8">
        <w:rPr>
          <w:rFonts w:ascii="Palatino Linotype" w:hAnsi="Palatino Linotype" w:cs="Tahoma"/>
          <w:color w:val="000000" w:themeColor="text1"/>
          <w:sz w:val="22"/>
          <w:szCs w:val="22"/>
          <w:lang w:val="es-ES"/>
        </w:rPr>
        <w:t xml:space="preserve">contratos </w:t>
      </w:r>
      <w:r w:rsidR="00AD49C8" w:rsidRPr="00AD49C8">
        <w:rPr>
          <w:rFonts w:ascii="Palatino Linotype" w:hAnsi="Palatino Linotype" w:cs="Tahoma"/>
          <w:bCs/>
          <w:color w:val="000000" w:themeColor="text1"/>
          <w:sz w:val="22"/>
          <w:szCs w:val="22"/>
        </w:rPr>
        <w:t>NR-DOP-FISMDF-LP-001-19, NR-DOP-FISMDF-LP-002-19, NR-DOP-FISMDF-LP-003-19, NR-DOP-FISMDF-IR-004-19, NR-DOP-FISMDF-IR-005-19, NR-DOP-FISMDF-IR-006-19, NR-DOP-FISMDF-IR-007-19, NR-DOP-FISMDF-IR-008-19, NR-DOP-FISMDF-LP-009-19, NR-DOP-FISMDF-LP-0</w:t>
      </w:r>
      <w:r>
        <w:rPr>
          <w:rFonts w:ascii="Palatino Linotype" w:hAnsi="Palatino Linotype" w:cs="Tahoma"/>
          <w:bCs/>
          <w:color w:val="000000" w:themeColor="text1"/>
          <w:sz w:val="22"/>
          <w:szCs w:val="22"/>
        </w:rPr>
        <w:t>10-19 y NR-DOP-FISMDF-LP-011-19, para dar cumplimiento a los artículos 12 y 160 de la Ley de Transparencia y Acceso a la Información Pública del Estado de México y Municipios.</w:t>
      </w:r>
    </w:p>
    <w:p w14:paraId="4198E86D" w14:textId="77777777" w:rsidR="00F02890" w:rsidRDefault="00F02890" w:rsidP="00447875">
      <w:pPr>
        <w:spacing w:line="360" w:lineRule="auto"/>
        <w:jc w:val="both"/>
        <w:rPr>
          <w:rFonts w:ascii="Palatino Linotype" w:hAnsi="Palatino Linotype" w:cs="Tahoma"/>
          <w:color w:val="000000" w:themeColor="text1"/>
          <w:sz w:val="22"/>
          <w:szCs w:val="22"/>
          <w:lang w:val="es-ES"/>
        </w:rPr>
      </w:pPr>
    </w:p>
    <w:p w14:paraId="75610AB9" w14:textId="22F9B369" w:rsidR="006162C8" w:rsidRDefault="006162C8" w:rsidP="006162C8">
      <w:pPr>
        <w:pStyle w:val="Prrafodelista"/>
        <w:numPr>
          <w:ilvl w:val="0"/>
          <w:numId w:val="28"/>
        </w:numPr>
        <w:spacing w:line="360" w:lineRule="auto"/>
        <w:jc w:val="both"/>
        <w:rPr>
          <w:rFonts w:ascii="Palatino Linotype" w:hAnsi="Palatino Linotype" w:cs="Tahoma"/>
          <w:b/>
          <w:color w:val="000000" w:themeColor="text1"/>
          <w:szCs w:val="22"/>
        </w:rPr>
      </w:pPr>
      <w:r w:rsidRPr="006162C8">
        <w:rPr>
          <w:rFonts w:ascii="Palatino Linotype" w:hAnsi="Palatino Linotype" w:cs="Tahoma"/>
          <w:b/>
          <w:color w:val="000000" w:themeColor="text1"/>
          <w:szCs w:val="22"/>
        </w:rPr>
        <w:t>Fondo Estatal para el Fortalecimiento Municipal (FEFOM)</w:t>
      </w:r>
      <w:r>
        <w:rPr>
          <w:rFonts w:ascii="Palatino Linotype" w:hAnsi="Palatino Linotype" w:cs="Tahoma"/>
          <w:b/>
          <w:color w:val="000000" w:themeColor="text1"/>
          <w:szCs w:val="22"/>
        </w:rPr>
        <w:t>.</w:t>
      </w:r>
    </w:p>
    <w:p w14:paraId="59706E6C" w14:textId="4E5CF19B" w:rsidR="006162C8" w:rsidRPr="003B18A6" w:rsidRDefault="006162C8" w:rsidP="006162C8">
      <w:pPr>
        <w:spacing w:line="360" w:lineRule="auto"/>
        <w:jc w:val="both"/>
        <w:rPr>
          <w:rFonts w:ascii="Palatino Linotype" w:hAnsi="Palatino Linotype" w:cs="Tahoma"/>
          <w:b/>
          <w:color w:val="000000" w:themeColor="text1"/>
          <w:sz w:val="22"/>
          <w:szCs w:val="22"/>
        </w:rPr>
      </w:pPr>
    </w:p>
    <w:p w14:paraId="5EADAA36" w14:textId="5ECBC17A" w:rsidR="003B18A6" w:rsidRDefault="003B18A6" w:rsidP="006162C8">
      <w:pPr>
        <w:spacing w:line="360" w:lineRule="auto"/>
        <w:jc w:val="both"/>
        <w:rPr>
          <w:rFonts w:ascii="Palatino Linotype" w:hAnsi="Palatino Linotype" w:cs="Tahoma"/>
          <w:color w:val="000000" w:themeColor="text1"/>
          <w:sz w:val="22"/>
          <w:szCs w:val="22"/>
        </w:rPr>
      </w:pPr>
      <w:r>
        <w:rPr>
          <w:rFonts w:ascii="Palatino Linotype" w:hAnsi="Palatino Linotype" w:cs="Tahoma"/>
          <w:color w:val="000000" w:themeColor="text1"/>
          <w:sz w:val="22"/>
          <w:szCs w:val="22"/>
        </w:rPr>
        <w:lastRenderedPageBreak/>
        <w:t>Ahora bien, respecto a las obras públicas contratas, con recursos del Fondo Estatal para el Fortalecimiento Municipal,</w:t>
      </w:r>
      <w:r w:rsidR="00C32F0C">
        <w:rPr>
          <w:rFonts w:ascii="Palatino Linotype" w:hAnsi="Palatino Linotype" w:cs="Tahoma"/>
          <w:color w:val="000000" w:themeColor="text1"/>
          <w:sz w:val="22"/>
          <w:szCs w:val="22"/>
        </w:rPr>
        <w:t xml:space="preserve"> la Dirección de Obras Públicas,</w:t>
      </w:r>
      <w:r>
        <w:rPr>
          <w:rFonts w:ascii="Palatino Linotype" w:hAnsi="Palatino Linotype" w:cs="Tahoma"/>
          <w:color w:val="000000" w:themeColor="text1"/>
          <w:sz w:val="22"/>
          <w:szCs w:val="22"/>
        </w:rPr>
        <w:t xml:space="preserve"> precisó que al veintiocho de agosto de dos mil diecinueve, fecha posterior a la solicitud de información, no habían procedimientos en concurso (licitación pública, invitación restringida o adjudicación directa) o por ejecutarse. Lo cual fue ratificado, en el Informe Justificado.</w:t>
      </w:r>
      <w:r w:rsidR="00403D14">
        <w:rPr>
          <w:rFonts w:ascii="Palatino Linotype" w:hAnsi="Palatino Linotype" w:cs="Tahoma"/>
          <w:color w:val="000000" w:themeColor="text1"/>
          <w:sz w:val="22"/>
          <w:szCs w:val="22"/>
        </w:rPr>
        <w:t xml:space="preserve"> Cabe recordar, que este Instituto no tiene facultades para pronunciarse de la veracidad de la información proporcionada por el Ente Recurrido.</w:t>
      </w:r>
    </w:p>
    <w:p w14:paraId="404CEBEF" w14:textId="77777777" w:rsidR="003B18A6" w:rsidRDefault="003B18A6" w:rsidP="006162C8">
      <w:pPr>
        <w:spacing w:line="360" w:lineRule="auto"/>
        <w:jc w:val="both"/>
        <w:rPr>
          <w:rFonts w:ascii="Palatino Linotype" w:hAnsi="Palatino Linotype" w:cs="Tahoma"/>
          <w:color w:val="000000" w:themeColor="text1"/>
          <w:sz w:val="22"/>
          <w:szCs w:val="22"/>
        </w:rPr>
      </w:pPr>
    </w:p>
    <w:p w14:paraId="511CEFB7" w14:textId="600D0971" w:rsidR="00C32F0C" w:rsidRPr="00DF36BD" w:rsidRDefault="00C32F0C" w:rsidP="00C32F0C">
      <w:pPr>
        <w:spacing w:line="360" w:lineRule="auto"/>
        <w:jc w:val="both"/>
        <w:rPr>
          <w:rFonts w:ascii="Palatino Linotype" w:hAnsi="Palatino Linotype" w:cs="Tahoma"/>
          <w:sz w:val="22"/>
          <w:szCs w:val="22"/>
        </w:rPr>
      </w:pPr>
      <w:r>
        <w:rPr>
          <w:rFonts w:ascii="Palatino Linotype" w:hAnsi="Palatino Linotype" w:cs="Tahoma"/>
          <w:color w:val="000000" w:themeColor="text1"/>
          <w:sz w:val="22"/>
          <w:szCs w:val="22"/>
        </w:rPr>
        <w:t xml:space="preserve">En ese sentido, se colige que el Sujeto Obligado aludió a que la información requerida respecto al fondo en análisis era inexistente; </w:t>
      </w:r>
      <w:r>
        <w:rPr>
          <w:rFonts w:ascii="Palatino Linotype" w:hAnsi="Palatino Linotype" w:cs="Tahoma"/>
          <w:sz w:val="22"/>
          <w:szCs w:val="22"/>
        </w:rPr>
        <w:t>al respecto, e</w:t>
      </w:r>
      <w:r w:rsidRPr="00DF36BD">
        <w:rPr>
          <w:rFonts w:ascii="Palatino Linotype" w:hAnsi="Palatino Linotype" w:cs="Tahoma"/>
          <w:sz w:val="22"/>
          <w:szCs w:val="22"/>
        </w:rPr>
        <w:t xml:space="preserve">l Criterio 14/17, emitido por </w:t>
      </w:r>
      <w:r>
        <w:rPr>
          <w:rFonts w:ascii="Palatino Linotype" w:hAnsi="Palatino Linotype" w:cs="Tahoma"/>
          <w:sz w:val="22"/>
          <w:szCs w:val="22"/>
        </w:rPr>
        <w:t>el Instituto Nacional de Transparencia, Acceso a la Información Pública y Protección de Datos Personales en el Estado de México y Municipios</w:t>
      </w:r>
      <w:r w:rsidRPr="00DF36BD">
        <w:rPr>
          <w:rFonts w:ascii="Palatino Linotype" w:hAnsi="Palatino Linotype" w:cs="Tahoma"/>
          <w:sz w:val="22"/>
          <w:szCs w:val="22"/>
        </w:rPr>
        <w:t>,</w:t>
      </w:r>
      <w:r>
        <w:rPr>
          <w:rFonts w:ascii="Palatino Linotype" w:hAnsi="Palatino Linotype" w:cs="Tahoma"/>
          <w:sz w:val="22"/>
          <w:szCs w:val="22"/>
        </w:rPr>
        <w:t xml:space="preserve"> </w:t>
      </w:r>
      <w:r w:rsidRPr="00DF36BD">
        <w:rPr>
          <w:rFonts w:ascii="Palatino Linotype" w:hAnsi="Palatino Linotype" w:cs="Tahoma"/>
          <w:sz w:val="22"/>
          <w:szCs w:val="22"/>
        </w:rPr>
        <w:t>señala lo siguiente:</w:t>
      </w:r>
    </w:p>
    <w:p w14:paraId="5E2529A7" w14:textId="77777777" w:rsidR="00C32F0C" w:rsidRPr="00DF36BD" w:rsidRDefault="00C32F0C" w:rsidP="00C32F0C">
      <w:pPr>
        <w:spacing w:line="360" w:lineRule="auto"/>
        <w:jc w:val="both"/>
        <w:rPr>
          <w:rFonts w:ascii="Palatino Linotype" w:hAnsi="Palatino Linotype" w:cs="Tahoma"/>
          <w:sz w:val="22"/>
          <w:szCs w:val="22"/>
        </w:rPr>
      </w:pPr>
    </w:p>
    <w:p w14:paraId="52BBD444" w14:textId="77777777" w:rsidR="00C32F0C" w:rsidRPr="00352425" w:rsidRDefault="00C32F0C" w:rsidP="00C32F0C">
      <w:pPr>
        <w:spacing w:line="360" w:lineRule="auto"/>
        <w:ind w:left="567" w:right="567"/>
        <w:jc w:val="both"/>
        <w:rPr>
          <w:rFonts w:ascii="Palatino Linotype" w:hAnsi="Palatino Linotype" w:cs="Tahoma"/>
          <w:bCs/>
          <w:i/>
          <w:lang w:val="es-ES"/>
        </w:rPr>
      </w:pPr>
      <w:r w:rsidRPr="00352425">
        <w:rPr>
          <w:rFonts w:ascii="Palatino Linotype" w:hAnsi="Palatino Linotype" w:cs="Tahoma"/>
          <w:bCs/>
          <w:i/>
          <w:lang w:val="es-ES"/>
        </w:rPr>
        <w:t>“</w:t>
      </w:r>
      <w:r w:rsidRPr="00352425">
        <w:rPr>
          <w:rFonts w:ascii="Palatino Linotype" w:hAnsi="Palatino Linotype" w:cs="Tahoma"/>
          <w:b/>
          <w:bCs/>
          <w:i/>
          <w:lang w:val="es-ES"/>
        </w:rPr>
        <w:t xml:space="preserve">Inexistencia. </w:t>
      </w:r>
      <w:r w:rsidRPr="00352425">
        <w:rPr>
          <w:rFonts w:ascii="Palatino Linotype" w:hAnsi="Palatino Linotype" w:cs="Tahoma"/>
          <w:bCs/>
          <w:i/>
          <w:lang w:val="es-ES"/>
        </w:rPr>
        <w:t>La inexistencia es una cuestión de hecho que se atribuye a la información solicitada e implica que ésta no se encuentra en los archivos del sujeto obligado, no obstante que cuenta con facultades para poseerla.”</w:t>
      </w:r>
    </w:p>
    <w:p w14:paraId="0ACB246D" w14:textId="77777777" w:rsidR="00C32F0C" w:rsidRPr="00DF36BD" w:rsidRDefault="00C32F0C" w:rsidP="00C32F0C">
      <w:pPr>
        <w:spacing w:line="360" w:lineRule="auto"/>
        <w:jc w:val="both"/>
        <w:rPr>
          <w:rFonts w:ascii="Palatino Linotype" w:hAnsi="Palatino Linotype" w:cs="Tahoma"/>
          <w:sz w:val="22"/>
          <w:szCs w:val="22"/>
        </w:rPr>
      </w:pPr>
    </w:p>
    <w:p w14:paraId="2E411668" w14:textId="77777777" w:rsidR="00C32F0C" w:rsidRPr="00DF36BD" w:rsidRDefault="00C32F0C" w:rsidP="00C32F0C">
      <w:pPr>
        <w:spacing w:line="360" w:lineRule="auto"/>
        <w:jc w:val="both"/>
        <w:rPr>
          <w:rFonts w:ascii="Palatino Linotype" w:hAnsi="Palatino Linotype" w:cs="Tahoma"/>
          <w:sz w:val="22"/>
          <w:szCs w:val="22"/>
        </w:rPr>
      </w:pPr>
      <w:r w:rsidRPr="00DF36BD">
        <w:rPr>
          <w:rFonts w:ascii="Palatino Linotype" w:hAnsi="Palatino Linotype" w:cs="Tahoma"/>
          <w:sz w:val="22"/>
          <w:szCs w:val="22"/>
        </w:rPr>
        <w:t>Del citado criterio, se desprende que la inexistencia de la información, es una cuestión de hecho que se le atribuye a la misma, cuando ésta no se encuentra en los archivos del sujeto obligado.</w:t>
      </w:r>
    </w:p>
    <w:p w14:paraId="12055F16" w14:textId="77777777" w:rsidR="00C32F0C" w:rsidRPr="00DF36BD" w:rsidRDefault="00C32F0C" w:rsidP="00C32F0C">
      <w:pPr>
        <w:spacing w:line="360" w:lineRule="auto"/>
        <w:jc w:val="both"/>
        <w:rPr>
          <w:rFonts w:ascii="Palatino Linotype" w:hAnsi="Palatino Linotype" w:cs="Tahoma"/>
          <w:sz w:val="22"/>
          <w:szCs w:val="22"/>
          <w:lang w:val="es-ES"/>
        </w:rPr>
      </w:pPr>
    </w:p>
    <w:p w14:paraId="731D9785" w14:textId="77777777" w:rsidR="00C32F0C" w:rsidRPr="00DF36BD" w:rsidRDefault="00C32F0C" w:rsidP="00C32F0C">
      <w:pPr>
        <w:spacing w:line="360" w:lineRule="auto"/>
        <w:jc w:val="both"/>
        <w:rPr>
          <w:rFonts w:ascii="Palatino Linotype" w:hAnsi="Palatino Linotype" w:cs="Tahoma"/>
          <w:sz w:val="22"/>
          <w:szCs w:val="22"/>
        </w:rPr>
      </w:pPr>
      <w:r w:rsidRPr="00DF36BD">
        <w:rPr>
          <w:rFonts w:ascii="Palatino Linotype" w:hAnsi="Palatino Linotype" w:cs="Tahoma"/>
          <w:sz w:val="22"/>
          <w:szCs w:val="22"/>
          <w:lang w:val="es-ES"/>
        </w:rPr>
        <w:t>Conforme a lo anterior</w:t>
      </w:r>
      <w:r w:rsidRPr="00DF36BD">
        <w:rPr>
          <w:rFonts w:ascii="Palatino Linotype" w:hAnsi="Palatino Linotype" w:cs="Tahoma"/>
          <w:sz w:val="22"/>
          <w:szCs w:val="22"/>
        </w:rPr>
        <w:t xml:space="preserve">, es posible concluir que la </w:t>
      </w:r>
      <w:r w:rsidRPr="00DF36BD">
        <w:rPr>
          <w:rFonts w:ascii="Palatino Linotype" w:hAnsi="Palatino Linotype" w:cs="Tahoma"/>
          <w:b/>
          <w:sz w:val="22"/>
          <w:szCs w:val="22"/>
        </w:rPr>
        <w:t>inexistencia</w:t>
      </w:r>
      <w:r w:rsidRPr="00DF36BD">
        <w:rPr>
          <w:rFonts w:ascii="Palatino Linotype" w:hAnsi="Palatino Linotype" w:cs="Tahoma"/>
          <w:sz w:val="22"/>
          <w:szCs w:val="22"/>
        </w:rPr>
        <w:t xml:space="preserve"> presupone la competencia del sujeto obligado para conocer de la información, pero por alguna circunstancia, la documentación solicitada no obra en sus archivos.</w:t>
      </w:r>
    </w:p>
    <w:p w14:paraId="5854E56B" w14:textId="63643F04" w:rsidR="003B18A6" w:rsidRDefault="003B18A6" w:rsidP="006162C8">
      <w:pPr>
        <w:spacing w:line="360" w:lineRule="auto"/>
        <w:jc w:val="both"/>
        <w:rPr>
          <w:rFonts w:ascii="Palatino Linotype" w:hAnsi="Palatino Linotype" w:cs="Tahoma"/>
          <w:color w:val="000000" w:themeColor="text1"/>
          <w:sz w:val="22"/>
          <w:szCs w:val="22"/>
        </w:rPr>
      </w:pPr>
    </w:p>
    <w:p w14:paraId="599AEA73" w14:textId="1B08DA0C" w:rsidR="00DD2D75" w:rsidRDefault="00DD2D75" w:rsidP="00DD2D75">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Por otra parte, este Instituto realizó una búsqueda de información pública, en la página oficial del Ayuntamiento de Nicolás Romero y en su Portal de Información Pública de Oficio </w:t>
      </w:r>
      <w:r>
        <w:rPr>
          <w:rFonts w:ascii="Palatino Linotype" w:eastAsia="Calibri" w:hAnsi="Palatino Linotype" w:cs="Tahoma"/>
          <w:iCs/>
          <w:sz w:val="22"/>
          <w:szCs w:val="22"/>
          <w:lang w:val="es-ES" w:eastAsia="es-ES_tradnl"/>
        </w:rPr>
        <w:lastRenderedPageBreak/>
        <w:t xml:space="preserve">Mexiquense (consultadas el trece de noviembre de dos mil diecinueve, a las doce horas con treinta minutos, en las ligas </w:t>
      </w:r>
      <w:hyperlink r:id="rId60" w:history="1">
        <w:r w:rsidRPr="00DD2D75">
          <w:rPr>
            <w:rStyle w:val="Hipervnculo"/>
            <w:rFonts w:ascii="Palatino Linotype" w:eastAsia="Calibri" w:hAnsi="Palatino Linotype" w:cs="Tahoma"/>
            <w:iCs/>
            <w:sz w:val="22"/>
            <w:szCs w:val="22"/>
            <w:lang w:eastAsia="es-ES_tradnl"/>
          </w:rPr>
          <w:t>https://www.ipomex.org.mx/ipo3/lgt/indice/nicolasromero.web</w:t>
        </w:r>
      </w:hyperlink>
      <w:r>
        <w:rPr>
          <w:rFonts w:ascii="Palatino Linotype" w:eastAsia="Calibri" w:hAnsi="Palatino Linotype" w:cs="Tahoma"/>
          <w:iCs/>
          <w:sz w:val="22"/>
          <w:szCs w:val="22"/>
          <w:lang w:val="es-ES" w:eastAsia="es-ES_tradnl"/>
        </w:rPr>
        <w:t xml:space="preserve"> y </w:t>
      </w:r>
      <w:r w:rsidRPr="00DD2D75">
        <w:rPr>
          <w:rStyle w:val="Hipervnculo"/>
          <w:rFonts w:ascii="Palatino Linotype" w:eastAsia="Calibri" w:hAnsi="Palatino Linotype" w:cs="Tahoma"/>
          <w:iCs/>
          <w:sz w:val="22"/>
          <w:szCs w:val="22"/>
          <w:lang w:eastAsia="es-ES_tradnl"/>
        </w:rPr>
        <w:t>http://www.nicolasromero.gob.mx/inicio</w:t>
      </w:r>
      <w:r>
        <w:rPr>
          <w:rFonts w:ascii="Palatino Linotype" w:eastAsia="Calibri" w:hAnsi="Palatino Linotype" w:cs="Tahoma"/>
          <w:iCs/>
          <w:sz w:val="22"/>
          <w:szCs w:val="22"/>
          <w:lang w:val="es-ES" w:eastAsia="es-ES_tradnl"/>
        </w:rPr>
        <w:t xml:space="preserve">), y no se localizó algún indicio referente que se esté realizando un procedimiento de contratación de obra pública, con los recursos del </w:t>
      </w:r>
      <w:r w:rsidRPr="00DD2D75">
        <w:rPr>
          <w:rFonts w:ascii="Palatino Linotype" w:eastAsia="Calibri" w:hAnsi="Palatino Linotype" w:cs="Tahoma"/>
          <w:iCs/>
          <w:sz w:val="22"/>
          <w:szCs w:val="22"/>
          <w:lang w:val="es-ES" w:eastAsia="es-ES_tradnl"/>
        </w:rPr>
        <w:t>Fondo Estatal para el Fortalecimiento Municipal</w:t>
      </w:r>
    </w:p>
    <w:p w14:paraId="2530BBA2" w14:textId="77777777" w:rsidR="00DD2D75" w:rsidRPr="003B18A6" w:rsidRDefault="00DD2D75" w:rsidP="006162C8">
      <w:pPr>
        <w:spacing w:line="360" w:lineRule="auto"/>
        <w:jc w:val="both"/>
        <w:rPr>
          <w:rFonts w:ascii="Palatino Linotype" w:hAnsi="Palatino Linotype" w:cs="Tahoma"/>
          <w:color w:val="000000" w:themeColor="text1"/>
          <w:sz w:val="22"/>
          <w:szCs w:val="22"/>
        </w:rPr>
      </w:pPr>
    </w:p>
    <w:p w14:paraId="0443B6F9" w14:textId="739FBEA6" w:rsidR="00DD2D75" w:rsidRDefault="00DD2D75" w:rsidP="00403D14">
      <w:pPr>
        <w:spacing w:line="360" w:lineRule="auto"/>
        <w:jc w:val="both"/>
        <w:rPr>
          <w:rFonts w:ascii="Palatino Linotype" w:hAnsi="Palatino Linotype" w:cs="Tahoma"/>
          <w:sz w:val="22"/>
          <w:szCs w:val="22"/>
          <w:lang w:val="es-ES"/>
        </w:rPr>
      </w:pPr>
      <w:r w:rsidRPr="000F6FA2">
        <w:rPr>
          <w:rFonts w:ascii="Palatino Linotype" w:hAnsi="Palatino Linotype" w:cs="Tahoma"/>
          <w:sz w:val="22"/>
          <w:szCs w:val="22"/>
          <w:lang w:val="es-ES"/>
        </w:rPr>
        <w:t>En ese contexto, este Instituto considera que el Sujeto Obligado, señaló las razones por las cuales no contaba con la información requerida, a saber, que en sus archivos</w:t>
      </w:r>
      <w:r>
        <w:rPr>
          <w:rFonts w:ascii="Palatino Linotype" w:hAnsi="Palatino Linotype" w:cs="Tahoma"/>
          <w:sz w:val="22"/>
          <w:szCs w:val="22"/>
          <w:lang w:val="es-ES"/>
        </w:rPr>
        <w:t xml:space="preserve"> no obraba algún documento que advierta </w:t>
      </w:r>
      <w:r w:rsidR="00403D14">
        <w:rPr>
          <w:rFonts w:ascii="Palatino Linotype" w:hAnsi="Palatino Linotype" w:cs="Tahoma"/>
          <w:sz w:val="22"/>
          <w:szCs w:val="22"/>
          <w:lang w:val="es-ES"/>
        </w:rPr>
        <w:t>que se esté realizando algún procedimiento de contratación de obra pública o esté ejecutando alguna obra.</w:t>
      </w:r>
    </w:p>
    <w:p w14:paraId="5261E109" w14:textId="77777777" w:rsidR="00403D14" w:rsidRDefault="00403D14" w:rsidP="00403D14">
      <w:pPr>
        <w:spacing w:line="360" w:lineRule="auto"/>
        <w:jc w:val="both"/>
        <w:rPr>
          <w:rFonts w:ascii="Palatino Linotype" w:hAnsi="Palatino Linotype" w:cs="Tahoma"/>
          <w:sz w:val="22"/>
          <w:szCs w:val="22"/>
          <w:lang w:val="es-ES"/>
        </w:rPr>
      </w:pPr>
    </w:p>
    <w:p w14:paraId="34CF0EAD" w14:textId="77777777" w:rsidR="00DD2D75" w:rsidRPr="000F6FA2" w:rsidRDefault="00DD2D75" w:rsidP="00DD2D75">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En ese sentido</w:t>
      </w:r>
      <w:r w:rsidRPr="000F6FA2">
        <w:rPr>
          <w:rFonts w:ascii="Palatino Linotype" w:hAnsi="Palatino Linotype" w:cs="Tahoma"/>
          <w:sz w:val="22"/>
          <w:szCs w:val="22"/>
          <w:lang w:val="es-ES"/>
        </w:rPr>
        <w:t xml:space="preserve">, el artículo 19, segundo párrafo, de la Ley de Transparencia y Acceso a la Información Pública del Estado de México y Municipios, establece que en el caso de que ciertas facultades, competencias o funciones no se hayan ejercido, se debe motivar la respuesta en función de las causas que motiven tal circunstancia. </w:t>
      </w:r>
    </w:p>
    <w:p w14:paraId="0672E0BD" w14:textId="77777777" w:rsidR="00DD2D75" w:rsidRDefault="00DD2D75" w:rsidP="00DD2D75">
      <w:pPr>
        <w:spacing w:line="360" w:lineRule="auto"/>
        <w:jc w:val="both"/>
        <w:rPr>
          <w:rFonts w:ascii="Palatino Linotype" w:hAnsi="Palatino Linotype" w:cs="Tahoma"/>
          <w:sz w:val="22"/>
          <w:szCs w:val="22"/>
          <w:lang w:val="es-ES"/>
        </w:rPr>
      </w:pPr>
    </w:p>
    <w:p w14:paraId="002456A1" w14:textId="77777777" w:rsidR="00DD2D75" w:rsidRPr="005F5CCA" w:rsidRDefault="00DD2D75" w:rsidP="00DD2D75">
      <w:pPr>
        <w:spacing w:line="360" w:lineRule="auto"/>
        <w:jc w:val="both"/>
        <w:rPr>
          <w:rFonts w:ascii="Palatino Linotype" w:hAnsi="Palatino Linotype" w:cs="Tahoma"/>
          <w:bCs/>
          <w:sz w:val="22"/>
          <w:szCs w:val="22"/>
        </w:rPr>
      </w:pPr>
      <w:r w:rsidRPr="005F5CCA">
        <w:rPr>
          <w:rFonts w:ascii="Palatino Linotype" w:hAnsi="Palatino Linotype" w:cs="Tahoma"/>
          <w:sz w:val="22"/>
          <w:szCs w:val="22"/>
          <w:lang w:val="es-ES"/>
        </w:rPr>
        <w:t xml:space="preserve">De la misma manera, </w:t>
      </w:r>
      <w:r w:rsidRPr="005F5CCA">
        <w:rPr>
          <w:rFonts w:ascii="Palatino Linotype" w:hAnsi="Palatino Linotype" w:cs="Tahoma"/>
          <w:bCs/>
          <w:sz w:val="22"/>
          <w:szCs w:val="22"/>
        </w:rPr>
        <w:t>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0D1C1929" w14:textId="77777777" w:rsidR="00DD2D75" w:rsidRDefault="00DD2D75" w:rsidP="00DD2D75">
      <w:pPr>
        <w:spacing w:line="360" w:lineRule="auto"/>
        <w:jc w:val="both"/>
        <w:rPr>
          <w:rFonts w:ascii="Palatino Linotype" w:hAnsi="Palatino Linotype" w:cs="Tahoma"/>
          <w:sz w:val="22"/>
          <w:szCs w:val="22"/>
          <w:lang w:val="es-ES"/>
        </w:rPr>
      </w:pPr>
    </w:p>
    <w:p w14:paraId="09FDF5FE" w14:textId="53D3CBD9" w:rsidR="00DD2D75" w:rsidRDefault="00DD2D75" w:rsidP="00DD2D75">
      <w:pPr>
        <w:spacing w:line="360" w:lineRule="auto"/>
        <w:jc w:val="both"/>
        <w:rPr>
          <w:rFonts w:ascii="Palatino Linotype" w:hAnsi="Palatino Linotype" w:cs="Tahoma"/>
          <w:bCs/>
          <w:sz w:val="22"/>
          <w:szCs w:val="22"/>
        </w:rPr>
      </w:pPr>
      <w:r>
        <w:rPr>
          <w:rFonts w:ascii="Palatino Linotype" w:hAnsi="Palatino Linotype" w:cs="Tahoma"/>
          <w:sz w:val="22"/>
          <w:szCs w:val="22"/>
          <w:lang w:val="es-ES"/>
        </w:rPr>
        <w:t xml:space="preserve">Dicho criterio aplica al caso en concreto, ya que, </w:t>
      </w:r>
      <w:r w:rsidRPr="00457BD6">
        <w:rPr>
          <w:rFonts w:ascii="Palatino Linotype" w:hAnsi="Palatino Linotype" w:cs="Tahoma"/>
          <w:sz w:val="22"/>
          <w:szCs w:val="22"/>
        </w:rPr>
        <w:t xml:space="preserve">al analizar la normatividad aplicable a la materia de la solicitud, así como de la búsqueda de información pública, no se localizó algún indicio </w:t>
      </w:r>
      <w:r>
        <w:rPr>
          <w:rFonts w:ascii="Palatino Linotype" w:hAnsi="Palatino Linotype" w:cs="Tahoma"/>
          <w:sz w:val="22"/>
          <w:szCs w:val="22"/>
        </w:rPr>
        <w:t xml:space="preserve">de que la </w:t>
      </w:r>
      <w:r w:rsidR="00403D14">
        <w:rPr>
          <w:rFonts w:ascii="Palatino Linotype" w:hAnsi="Palatino Linotype" w:cs="Tahoma"/>
          <w:sz w:val="22"/>
          <w:szCs w:val="22"/>
        </w:rPr>
        <w:t xml:space="preserve">se esté desarrollando algún procedimiento de contratación de obra pública, con recursos del </w:t>
      </w:r>
      <w:r w:rsidR="00403D14" w:rsidRPr="00403D14">
        <w:rPr>
          <w:rFonts w:ascii="Palatino Linotype" w:hAnsi="Palatino Linotype" w:cs="Tahoma"/>
          <w:sz w:val="22"/>
          <w:szCs w:val="22"/>
        </w:rPr>
        <w:t>Fondo Estatal para el Fortalecimiento Municipal</w:t>
      </w:r>
      <w:r>
        <w:rPr>
          <w:rFonts w:ascii="Palatino Linotype" w:hAnsi="Palatino Linotype" w:cs="Tahoma"/>
          <w:sz w:val="22"/>
          <w:szCs w:val="22"/>
        </w:rPr>
        <w:t xml:space="preserve">; </w:t>
      </w:r>
      <w:r>
        <w:rPr>
          <w:rFonts w:ascii="Palatino Linotype" w:hAnsi="Palatino Linotype" w:cs="Tahoma"/>
          <w:bCs/>
          <w:sz w:val="22"/>
          <w:szCs w:val="22"/>
        </w:rPr>
        <w:t xml:space="preserve">por lo cual, </w:t>
      </w:r>
      <w:r w:rsidRPr="005C4E8B">
        <w:rPr>
          <w:rFonts w:ascii="Palatino Linotype" w:hAnsi="Palatino Linotype" w:cs="Tahoma"/>
          <w:b/>
          <w:bCs/>
          <w:sz w:val="22"/>
          <w:szCs w:val="22"/>
        </w:rPr>
        <w:t xml:space="preserve">se considera </w:t>
      </w:r>
      <w:r w:rsidRPr="005C4E8B">
        <w:rPr>
          <w:rFonts w:ascii="Palatino Linotype" w:hAnsi="Palatino Linotype" w:cs="Tahoma"/>
          <w:b/>
          <w:bCs/>
          <w:sz w:val="22"/>
          <w:szCs w:val="22"/>
        </w:rPr>
        <w:lastRenderedPageBreak/>
        <w:t>que el Sujeto Obligado señaló las razones por las cuales no contaba con la informaci</w:t>
      </w:r>
      <w:r>
        <w:rPr>
          <w:rFonts w:ascii="Palatino Linotype" w:hAnsi="Palatino Linotype" w:cs="Tahoma"/>
          <w:b/>
          <w:bCs/>
          <w:sz w:val="22"/>
          <w:szCs w:val="22"/>
        </w:rPr>
        <w:t>ón solicitada y cumplió con el segundo párrafo del artículo 19 de la Ley de Transparencia y Acceso a la Información Pública del</w:t>
      </w:r>
      <w:r w:rsidR="00403D14">
        <w:rPr>
          <w:rFonts w:ascii="Palatino Linotype" w:hAnsi="Palatino Linotype" w:cs="Tahoma"/>
          <w:b/>
          <w:bCs/>
          <w:sz w:val="22"/>
          <w:szCs w:val="22"/>
        </w:rPr>
        <w:t xml:space="preserve"> Estado de México y Municipios.</w:t>
      </w:r>
    </w:p>
    <w:p w14:paraId="57289526" w14:textId="77777777" w:rsidR="006162C8" w:rsidRPr="003B18A6" w:rsidRDefault="006162C8" w:rsidP="006162C8">
      <w:pPr>
        <w:spacing w:line="360" w:lineRule="auto"/>
        <w:jc w:val="both"/>
        <w:rPr>
          <w:rFonts w:ascii="Palatino Linotype" w:hAnsi="Palatino Linotype" w:cs="Tahoma"/>
          <w:b/>
          <w:color w:val="000000" w:themeColor="text1"/>
          <w:sz w:val="22"/>
          <w:szCs w:val="22"/>
        </w:rPr>
      </w:pPr>
    </w:p>
    <w:p w14:paraId="22197D22" w14:textId="60648528" w:rsidR="00F02890" w:rsidRPr="006162C8" w:rsidRDefault="006162C8" w:rsidP="006162C8">
      <w:pPr>
        <w:pStyle w:val="Prrafodelista"/>
        <w:numPr>
          <w:ilvl w:val="0"/>
          <w:numId w:val="28"/>
        </w:numPr>
        <w:spacing w:line="360" w:lineRule="auto"/>
        <w:jc w:val="both"/>
        <w:rPr>
          <w:rFonts w:ascii="Palatino Linotype" w:hAnsi="Palatino Linotype" w:cs="Tahoma"/>
          <w:b/>
          <w:color w:val="000000" w:themeColor="text1"/>
          <w:szCs w:val="22"/>
        </w:rPr>
      </w:pPr>
      <w:r w:rsidRPr="006162C8">
        <w:rPr>
          <w:rFonts w:ascii="Palatino Linotype" w:hAnsi="Palatino Linotype" w:cs="Tahoma"/>
          <w:b/>
          <w:color w:val="000000" w:themeColor="text1"/>
          <w:szCs w:val="22"/>
        </w:rPr>
        <w:t>Recurso propio municipal (RPM)</w:t>
      </w:r>
      <w:r>
        <w:rPr>
          <w:rFonts w:ascii="Palatino Linotype" w:hAnsi="Palatino Linotype" w:cs="Tahoma"/>
          <w:b/>
          <w:color w:val="000000" w:themeColor="text1"/>
          <w:szCs w:val="22"/>
        </w:rPr>
        <w:t>.</w:t>
      </w:r>
    </w:p>
    <w:p w14:paraId="46E24B88" w14:textId="77777777" w:rsidR="00F02890" w:rsidRDefault="00F02890" w:rsidP="00447875">
      <w:pPr>
        <w:spacing w:line="360" w:lineRule="auto"/>
        <w:jc w:val="both"/>
        <w:rPr>
          <w:rFonts w:ascii="Palatino Linotype" w:hAnsi="Palatino Linotype" w:cs="Tahoma"/>
          <w:color w:val="000000" w:themeColor="text1"/>
          <w:sz w:val="22"/>
          <w:szCs w:val="22"/>
          <w:lang w:val="es-ES"/>
        </w:rPr>
      </w:pPr>
    </w:p>
    <w:p w14:paraId="7D268564" w14:textId="1D6F8900" w:rsidR="00D62216" w:rsidRPr="001E049E" w:rsidRDefault="00382071" w:rsidP="00D62216">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hAnsi="Palatino Linotype" w:cs="Tahoma"/>
          <w:color w:val="000000" w:themeColor="text1"/>
          <w:sz w:val="22"/>
          <w:szCs w:val="22"/>
          <w:lang w:val="es-ES"/>
        </w:rPr>
        <w:t>Al respecto, cabe señalar que la Dirección de Obras Públicas no realizó un pronunciamiento expreso sobre si se había contratado alguna obra pública con recursos propios del municipio, del primero de enero al diecinueve de agosto de dos mil diecinueve;</w:t>
      </w:r>
      <w:r w:rsidR="00D62216">
        <w:rPr>
          <w:rFonts w:ascii="Palatino Linotype" w:eastAsia="Calibri" w:hAnsi="Palatino Linotype" w:cs="Tahoma"/>
          <w:bCs/>
          <w:sz w:val="22"/>
          <w:szCs w:val="22"/>
          <w:lang w:eastAsia="en-US"/>
        </w:rPr>
        <w:t xml:space="preserve"> aunado a que se turnó la solicitud al área idónea para conocer de la misma</w:t>
      </w:r>
      <w:r w:rsidR="00D62216">
        <w:rPr>
          <w:rFonts w:ascii="Palatino Linotype" w:hAnsi="Palatino Linotype" w:cs="Tahoma"/>
          <w:sz w:val="22"/>
          <w:szCs w:val="24"/>
          <w:lang w:eastAsia="es-MX"/>
        </w:rPr>
        <w:t>; por lo que,</w:t>
      </w:r>
      <w:r w:rsidR="00D62216" w:rsidRPr="001E049E">
        <w:rPr>
          <w:rFonts w:ascii="Palatino Linotype" w:hAnsi="Palatino Linotype" w:cs="Tahoma"/>
          <w:sz w:val="22"/>
          <w:szCs w:val="24"/>
          <w:lang w:eastAsia="es-MX"/>
        </w:rPr>
        <w:t xml:space="preserve"> resulta necesario traer</w:t>
      </w:r>
      <w:r w:rsidR="00D62216" w:rsidRPr="001E049E">
        <w:rPr>
          <w:rFonts w:ascii="Palatino Linotype" w:eastAsia="Calibri" w:hAnsi="Palatino Linotype" w:cs="Tahoma"/>
          <w:bCs/>
          <w:sz w:val="22"/>
          <w:szCs w:val="22"/>
          <w:lang w:val="es-ES" w:eastAsia="en-US"/>
        </w:rPr>
        <w:t xml:space="preserve"> por analogía, el Criterio </w:t>
      </w:r>
      <w:r w:rsidR="00D62216">
        <w:rPr>
          <w:rFonts w:ascii="Palatino Linotype" w:eastAsia="Calibri" w:hAnsi="Palatino Linotype" w:cs="Tahoma"/>
          <w:bCs/>
          <w:sz w:val="22"/>
          <w:szCs w:val="22"/>
          <w:lang w:val="es-ES" w:eastAsia="en-US"/>
        </w:rPr>
        <w:t>0</w:t>
      </w:r>
      <w:r w:rsidR="00D62216" w:rsidRPr="001E049E">
        <w:rPr>
          <w:rFonts w:ascii="Palatino Linotype" w:eastAsia="Calibri" w:hAnsi="Palatino Linotype" w:cs="Tahoma"/>
          <w:bCs/>
          <w:sz w:val="22"/>
          <w:szCs w:val="22"/>
          <w:lang w:val="es-ES" w:eastAsia="en-US"/>
        </w:rPr>
        <w:t>2/17, emitido por el Instituto Nacional de Transparencia, Acceso a la Información y Protección de Datos Personales, señala lo siguiente:</w:t>
      </w:r>
    </w:p>
    <w:p w14:paraId="49D83B79" w14:textId="77777777" w:rsidR="00D62216" w:rsidRPr="001E049E" w:rsidRDefault="00D62216" w:rsidP="00D62216">
      <w:pPr>
        <w:spacing w:line="360" w:lineRule="auto"/>
        <w:ind w:right="-93"/>
        <w:jc w:val="both"/>
        <w:rPr>
          <w:rFonts w:ascii="Palatino Linotype" w:eastAsia="Calibri" w:hAnsi="Palatino Linotype" w:cs="Tahoma"/>
          <w:bCs/>
          <w:sz w:val="22"/>
          <w:szCs w:val="22"/>
          <w:lang w:val="es-ES" w:eastAsia="en-US"/>
        </w:rPr>
      </w:pPr>
    </w:p>
    <w:p w14:paraId="076E6B66" w14:textId="77777777" w:rsidR="00D62216" w:rsidRPr="001E049E" w:rsidRDefault="00D62216" w:rsidP="00D62216">
      <w:pPr>
        <w:spacing w:line="360" w:lineRule="auto"/>
        <w:ind w:left="567" w:right="567"/>
        <w:jc w:val="both"/>
        <w:rPr>
          <w:rFonts w:ascii="Palatino Linotype" w:eastAsia="Calibri" w:hAnsi="Palatino Linotype" w:cs="Tahoma"/>
          <w:bCs/>
          <w:i/>
          <w:lang w:eastAsia="en-US"/>
        </w:rPr>
      </w:pPr>
      <w:r w:rsidRPr="001E049E">
        <w:rPr>
          <w:rFonts w:ascii="Palatino Linotype" w:eastAsia="Calibri" w:hAnsi="Palatino Linotype" w:cs="Tahoma"/>
          <w:b/>
          <w:bCs/>
          <w:i/>
          <w:lang w:eastAsia="en-US"/>
        </w:rPr>
        <w:t xml:space="preserve">“Congruencia y exhaustividad. Sus alcances para garantizar el derecho de acceso a la información. </w:t>
      </w:r>
      <w:r w:rsidRPr="001E049E">
        <w:rPr>
          <w:rFonts w:ascii="Palatino Linotype" w:eastAsia="Calibri" w:hAnsi="Palatino Linotype" w:cs="Tahoma"/>
          <w:bCs/>
          <w:i/>
          <w:lang w:eastAsia="en-US"/>
        </w:rPr>
        <w:t xml:space="preserve">De conformidad con el artículo </w:t>
      </w:r>
      <w:r w:rsidRPr="001E049E">
        <w:rPr>
          <w:rFonts w:ascii="Palatino Linotype" w:eastAsia="Calibri" w:hAnsi="Palatino Linotype" w:cs="Tahoma"/>
          <w:bCs/>
          <w:i/>
          <w:lang w:val="es-ES_tradnl" w:eastAsia="en-US"/>
        </w:rPr>
        <w:t>3 de la Ley Federal de Procedimiento Administrativo</w:t>
      </w:r>
      <w:r w:rsidRPr="001E049E">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049E">
        <w:rPr>
          <w:rFonts w:ascii="Palatino Linotype" w:eastAsia="Calibri" w:hAnsi="Palatino Linotype" w:cs="Tahoma"/>
          <w:b/>
          <w:bCs/>
          <w:i/>
          <w:lang w:eastAsia="en-US"/>
        </w:rPr>
        <w:t>la exhaustividad significa que dicha respuesta se refiera expresamente a cada uno de los puntos solicitados</w:t>
      </w:r>
      <w:r w:rsidRPr="001E049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E049E">
        <w:rPr>
          <w:rFonts w:ascii="Palatino Linotype" w:eastAsia="Calibri" w:hAnsi="Palatino Linotype" w:cs="Tahoma"/>
          <w:b/>
          <w:bCs/>
          <w:i/>
          <w:lang w:eastAsia="en-US"/>
        </w:rPr>
        <w:t>atiendan de manera puntual y expresa, cada uno de los contenidos de información.”</w:t>
      </w:r>
    </w:p>
    <w:p w14:paraId="321AE4BF" w14:textId="77777777" w:rsidR="00D62216" w:rsidRPr="001E049E" w:rsidRDefault="00D62216" w:rsidP="00D62216">
      <w:pPr>
        <w:spacing w:line="360" w:lineRule="auto"/>
        <w:jc w:val="both"/>
        <w:rPr>
          <w:rFonts w:ascii="Palatino Linotype" w:hAnsi="Palatino Linotype" w:cs="Tahoma"/>
          <w:sz w:val="22"/>
          <w:szCs w:val="24"/>
          <w:lang w:eastAsia="es-MX"/>
        </w:rPr>
      </w:pPr>
    </w:p>
    <w:p w14:paraId="4CC6522C" w14:textId="77777777" w:rsidR="00D62216" w:rsidRPr="001E049E" w:rsidRDefault="00D62216" w:rsidP="00D62216">
      <w:pPr>
        <w:spacing w:line="360" w:lineRule="auto"/>
        <w:jc w:val="both"/>
        <w:rPr>
          <w:rFonts w:ascii="Palatino Linotype" w:hAnsi="Palatino Linotype" w:cs="Tahoma"/>
          <w:bCs/>
          <w:sz w:val="22"/>
          <w:szCs w:val="24"/>
          <w:lang w:val="es-ES_tradnl" w:eastAsia="es-MX"/>
        </w:rPr>
      </w:pPr>
      <w:r w:rsidRPr="001E049E">
        <w:rPr>
          <w:rFonts w:ascii="Palatino Linotype" w:hAnsi="Palatino Linotype" w:cs="Tahoma"/>
          <w:sz w:val="22"/>
          <w:szCs w:val="24"/>
          <w:lang w:eastAsia="es-MX"/>
        </w:rPr>
        <w:t xml:space="preserve">Del citado criterio, se desprende que </w:t>
      </w:r>
      <w:r w:rsidRPr="001E049E">
        <w:rPr>
          <w:rFonts w:ascii="Palatino Linotype" w:hAnsi="Palatino Linotype" w:cs="Tahoma"/>
          <w:bCs/>
          <w:sz w:val="22"/>
          <w:szCs w:val="24"/>
          <w:lang w:eastAsia="es-MX"/>
        </w:rPr>
        <w:t xml:space="preserve">todo acto administrativo debe apegarse al </w:t>
      </w:r>
      <w:r w:rsidRPr="001E049E">
        <w:rPr>
          <w:rFonts w:ascii="Palatino Linotype" w:hAnsi="Palatino Linotype" w:cs="Tahoma"/>
          <w:b/>
          <w:bCs/>
          <w:sz w:val="22"/>
          <w:szCs w:val="24"/>
          <w:lang w:eastAsia="es-MX"/>
        </w:rPr>
        <w:t>principio de exhaustividad</w:t>
      </w:r>
      <w:r w:rsidRPr="001E049E">
        <w:rPr>
          <w:rFonts w:ascii="Palatino Linotype" w:hAnsi="Palatino Linotype" w:cs="Tahoma"/>
          <w:bCs/>
          <w:sz w:val="22"/>
          <w:szCs w:val="24"/>
          <w:lang w:eastAsia="es-MX"/>
        </w:rPr>
        <w:t xml:space="preserve">, </w:t>
      </w:r>
      <w:r w:rsidRPr="001E049E">
        <w:rPr>
          <w:rFonts w:ascii="Palatino Linotype" w:hAnsi="Palatino Linotype" w:cs="Tahoma"/>
          <w:bCs/>
          <w:sz w:val="22"/>
          <w:szCs w:val="24"/>
          <w:lang w:val="es-ES_tradnl" w:eastAsia="es-MX"/>
        </w:rPr>
        <w:t xml:space="preserve">entendiendo por éste que se pronuncie expresamente sobre cada uno de los </w:t>
      </w:r>
      <w:r w:rsidRPr="001E049E">
        <w:rPr>
          <w:rFonts w:ascii="Palatino Linotype" w:hAnsi="Palatino Linotype" w:cs="Tahoma"/>
          <w:bCs/>
          <w:sz w:val="22"/>
          <w:szCs w:val="24"/>
          <w:lang w:val="es-ES_tradnl" w:eastAsia="es-MX"/>
        </w:rPr>
        <w:lastRenderedPageBreak/>
        <w:t>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6F4B3334" w14:textId="77777777" w:rsidR="00D62216" w:rsidRDefault="00D62216" w:rsidP="00D62216">
      <w:pPr>
        <w:shd w:val="clear" w:color="auto" w:fill="FFFFFF" w:themeFill="background1"/>
        <w:spacing w:line="360" w:lineRule="auto"/>
        <w:jc w:val="both"/>
        <w:rPr>
          <w:rFonts w:ascii="Palatino Linotype" w:eastAsia="Calibri" w:hAnsi="Palatino Linotype" w:cs="Tahoma"/>
          <w:bCs/>
          <w:sz w:val="22"/>
          <w:szCs w:val="22"/>
          <w:lang w:eastAsia="en-US"/>
        </w:rPr>
      </w:pPr>
    </w:p>
    <w:p w14:paraId="32F84E33" w14:textId="5EF09DB4" w:rsidR="00D62216" w:rsidRDefault="00D62216" w:rsidP="00D62216">
      <w:pPr>
        <w:spacing w:line="360" w:lineRule="auto"/>
        <w:jc w:val="both"/>
        <w:rPr>
          <w:rFonts w:ascii="Palatino Linotype" w:eastAsia="Calibri" w:hAnsi="Palatino Linotype" w:cs="Tahoma"/>
          <w:b/>
          <w:bCs/>
          <w:sz w:val="22"/>
          <w:szCs w:val="22"/>
          <w:lang w:eastAsia="en-US"/>
        </w:rPr>
      </w:pPr>
      <w:r w:rsidRPr="001E049E">
        <w:rPr>
          <w:rFonts w:ascii="Palatino Linotype" w:hAnsi="Palatino Linotype" w:cs="Tahoma"/>
          <w:sz w:val="22"/>
          <w:szCs w:val="24"/>
          <w:lang w:eastAsia="es-MX"/>
        </w:rPr>
        <w:t xml:space="preserve">En esa tesitura, se concluye que el Sujeto Obligado no satisfizo el derecho de acceso </w:t>
      </w:r>
      <w:r w:rsidRPr="001E049E">
        <w:rPr>
          <w:rFonts w:ascii="Palatino Linotype" w:eastAsia="Calibri" w:hAnsi="Palatino Linotype" w:cs="Tahoma"/>
          <w:bCs/>
          <w:sz w:val="22"/>
          <w:szCs w:val="22"/>
          <w:lang w:eastAsia="en-US"/>
        </w:rPr>
        <w:t xml:space="preserve">a la información </w:t>
      </w:r>
      <w:r>
        <w:rPr>
          <w:rFonts w:ascii="Palatino Linotype" w:eastAsia="Calibri" w:hAnsi="Palatino Linotype" w:cs="Tahoma"/>
          <w:bCs/>
          <w:sz w:val="22"/>
          <w:szCs w:val="22"/>
          <w:lang w:eastAsia="en-US"/>
        </w:rPr>
        <w:t>del</w:t>
      </w:r>
      <w:r w:rsidRPr="001E049E">
        <w:rPr>
          <w:rFonts w:ascii="Palatino Linotype" w:eastAsia="Calibri" w:hAnsi="Palatino Linotype" w:cs="Tahoma"/>
          <w:bCs/>
          <w:sz w:val="22"/>
          <w:szCs w:val="22"/>
          <w:lang w:eastAsia="en-US"/>
        </w:rPr>
        <w:t xml:space="preserve"> ahora Recurrente, </w:t>
      </w:r>
      <w:r w:rsidRPr="001E049E">
        <w:rPr>
          <w:rFonts w:ascii="Palatino Linotype" w:eastAsia="Calibri" w:hAnsi="Palatino Linotype" w:cs="Tahoma"/>
          <w:b/>
          <w:bCs/>
          <w:sz w:val="22"/>
          <w:szCs w:val="22"/>
          <w:lang w:eastAsia="en-US"/>
        </w:rPr>
        <w:t>al incumplir el principio de exhaustividad</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pues no se pronunció si contaba con algún alguna obra contrata con recursos propios municipales; por lo que, para atender el presente requerimiento, deberá realizar una búsqueda exhaustiva y razonable, en todos sus archivos, a fin de proporcionar los documento</w:t>
      </w:r>
      <w:r w:rsidR="00504E4A">
        <w:rPr>
          <w:rFonts w:ascii="Palatino Linotype" w:eastAsia="Calibri" w:hAnsi="Palatino Linotype" w:cs="Tahoma"/>
          <w:bCs/>
          <w:sz w:val="22"/>
          <w:szCs w:val="22"/>
          <w:lang w:eastAsia="en-US"/>
        </w:rPr>
        <w:t xml:space="preserve">s que den cuenta de los </w:t>
      </w:r>
      <w:r w:rsidR="00504E4A" w:rsidRPr="00504E4A">
        <w:rPr>
          <w:rFonts w:ascii="Palatino Linotype" w:eastAsia="Calibri" w:hAnsi="Palatino Linotype" w:cs="Tahoma"/>
          <w:b/>
          <w:bCs/>
          <w:sz w:val="22"/>
          <w:szCs w:val="22"/>
          <w:lang w:eastAsia="en-US"/>
        </w:rPr>
        <w:t>puntos del 2 al 8 de la solicitud de informaci</w:t>
      </w:r>
      <w:r w:rsidR="00504E4A">
        <w:rPr>
          <w:rFonts w:ascii="Palatino Linotype" w:eastAsia="Calibri" w:hAnsi="Palatino Linotype" w:cs="Tahoma"/>
          <w:b/>
          <w:bCs/>
          <w:sz w:val="22"/>
          <w:szCs w:val="22"/>
          <w:lang w:eastAsia="en-US"/>
        </w:rPr>
        <w:t>ón</w:t>
      </w:r>
      <w:r w:rsidR="00025195">
        <w:rPr>
          <w:rFonts w:ascii="Palatino Linotype" w:eastAsia="Calibri" w:hAnsi="Palatino Linotype" w:cs="Tahoma"/>
          <w:bCs/>
          <w:sz w:val="22"/>
          <w:szCs w:val="22"/>
          <w:lang w:eastAsia="en-US"/>
        </w:rPr>
        <w:t xml:space="preserve">, conforme a lo analizado en párrafos anteriores, en el apartado del </w:t>
      </w:r>
      <w:r w:rsidR="00025195" w:rsidRPr="00025195">
        <w:rPr>
          <w:rFonts w:ascii="Palatino Linotype" w:eastAsia="Calibri" w:hAnsi="Palatino Linotype" w:cs="Tahoma"/>
          <w:bCs/>
          <w:sz w:val="22"/>
          <w:szCs w:val="22"/>
          <w:lang w:eastAsia="en-US"/>
        </w:rPr>
        <w:t>Fondo de Infraestructura Social Municipal y Demarcaciones Territoriales del Distrito Federal</w:t>
      </w:r>
      <w:r w:rsidR="00504E4A">
        <w:rPr>
          <w:rFonts w:ascii="Palatino Linotype" w:eastAsia="Calibri" w:hAnsi="Palatino Linotype" w:cs="Tahoma"/>
          <w:b/>
          <w:bCs/>
          <w:sz w:val="22"/>
          <w:szCs w:val="22"/>
          <w:lang w:eastAsia="en-US"/>
        </w:rPr>
        <w:t>.</w:t>
      </w:r>
    </w:p>
    <w:p w14:paraId="664EFB78" w14:textId="77777777" w:rsidR="00504E4A" w:rsidRDefault="00504E4A" w:rsidP="00D62216">
      <w:pPr>
        <w:spacing w:line="360" w:lineRule="auto"/>
        <w:jc w:val="both"/>
        <w:rPr>
          <w:rFonts w:ascii="Palatino Linotype" w:eastAsia="Calibri" w:hAnsi="Palatino Linotype" w:cs="Tahoma"/>
          <w:b/>
          <w:bCs/>
          <w:sz w:val="22"/>
          <w:szCs w:val="22"/>
          <w:lang w:eastAsia="en-US"/>
        </w:rPr>
      </w:pPr>
    </w:p>
    <w:p w14:paraId="7404082E" w14:textId="67597419" w:rsidR="00504E4A" w:rsidRPr="00504E4A" w:rsidRDefault="00504E4A" w:rsidP="00D622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Sin embargo, en el caso, que al diecinueve de agosto de dos mil diecinueve, no se haya llevado a cabo algún procedimiento de contratación de obra pública, con los recursos del propio Ayuntamiento, deberá hacerlo del conocimiento del ahora Recurrente, en términos del artículo 19, párrafo segundo de la Ley de Transparencia y Acceso a la Información Pública del Estado de México y Municipios.</w:t>
      </w:r>
    </w:p>
    <w:p w14:paraId="7F402FCD" w14:textId="3EBE1091" w:rsidR="00403D14" w:rsidRDefault="00403D14" w:rsidP="00447875">
      <w:pPr>
        <w:spacing w:line="360" w:lineRule="auto"/>
        <w:jc w:val="both"/>
        <w:rPr>
          <w:rFonts w:ascii="Palatino Linotype" w:hAnsi="Palatino Linotype" w:cs="Tahoma"/>
          <w:color w:val="000000" w:themeColor="text1"/>
          <w:sz w:val="22"/>
          <w:szCs w:val="22"/>
          <w:lang w:val="es-ES"/>
        </w:rPr>
      </w:pPr>
    </w:p>
    <w:p w14:paraId="1F064CE1" w14:textId="4F4221E8" w:rsidR="00504E4A" w:rsidRPr="00504E4A" w:rsidRDefault="00504E4A" w:rsidP="00447875">
      <w:pPr>
        <w:spacing w:line="360" w:lineRule="auto"/>
        <w:jc w:val="both"/>
      </w:pPr>
      <w:r>
        <w:rPr>
          <w:rFonts w:ascii="Palatino Linotype" w:hAnsi="Palatino Linotype" w:cs="Tahoma"/>
          <w:color w:val="000000" w:themeColor="text1"/>
          <w:sz w:val="22"/>
          <w:szCs w:val="22"/>
          <w:lang w:val="es-ES"/>
        </w:rPr>
        <w:t xml:space="preserve">Conforme a lo analizado, se desprende que los agravios hechos valer por el Recurrente, son </w:t>
      </w:r>
      <w:r>
        <w:rPr>
          <w:rFonts w:ascii="Palatino Linotype" w:hAnsi="Palatino Linotype" w:cs="Tahoma"/>
          <w:b/>
          <w:color w:val="000000" w:themeColor="text1"/>
          <w:sz w:val="22"/>
          <w:szCs w:val="22"/>
          <w:lang w:val="es-ES"/>
        </w:rPr>
        <w:t xml:space="preserve">PARCIALMENTE FUNDADOS, </w:t>
      </w:r>
      <w:r>
        <w:rPr>
          <w:rFonts w:ascii="Palatino Linotype" w:hAnsi="Palatino Linotype" w:cs="Tahoma"/>
          <w:color w:val="000000" w:themeColor="text1"/>
          <w:sz w:val="22"/>
          <w:szCs w:val="22"/>
          <w:lang w:val="es-ES"/>
        </w:rPr>
        <w:t>pues entregó la información de manera incompleta.</w:t>
      </w:r>
    </w:p>
    <w:p w14:paraId="4FC02123" w14:textId="77777777" w:rsidR="00504E4A" w:rsidRDefault="00504E4A" w:rsidP="00447875">
      <w:pPr>
        <w:spacing w:line="360" w:lineRule="auto"/>
        <w:jc w:val="both"/>
        <w:rPr>
          <w:rFonts w:ascii="Palatino Linotype" w:hAnsi="Palatino Linotype" w:cs="Tahoma"/>
          <w:color w:val="000000" w:themeColor="text1"/>
          <w:sz w:val="22"/>
          <w:szCs w:val="22"/>
          <w:lang w:val="es-ES"/>
        </w:rPr>
      </w:pPr>
    </w:p>
    <w:p w14:paraId="53218255" w14:textId="2EE8C2A2" w:rsidR="00504E4A" w:rsidRPr="008F6CCF" w:rsidRDefault="00504E4A" w:rsidP="00504E4A">
      <w:pPr>
        <w:spacing w:line="360" w:lineRule="auto"/>
        <w:jc w:val="both"/>
        <w:rPr>
          <w:rFonts w:ascii="Palatino Linotype" w:hAnsi="Palatino Linotype" w:cs="Tahoma"/>
          <w:color w:val="000000" w:themeColor="text1"/>
          <w:sz w:val="22"/>
          <w:szCs w:val="22"/>
          <w:lang w:val="es-ES"/>
        </w:rPr>
      </w:pPr>
      <w:r w:rsidRPr="00504E4A">
        <w:rPr>
          <w:rFonts w:ascii="Palatino Linotype" w:hAnsi="Palatino Linotype" w:cs="Tahoma"/>
          <w:b/>
          <w:color w:val="000000" w:themeColor="text1"/>
          <w:sz w:val="22"/>
          <w:szCs w:val="22"/>
          <w:lang w:val="es-ES"/>
        </w:rPr>
        <w:lastRenderedPageBreak/>
        <w:t>Requerimiento</w:t>
      </w:r>
      <w:r>
        <w:rPr>
          <w:rFonts w:ascii="Palatino Linotype" w:hAnsi="Palatino Linotype" w:cs="Tahoma"/>
          <w:b/>
          <w:color w:val="000000" w:themeColor="text1"/>
          <w:sz w:val="22"/>
          <w:szCs w:val="22"/>
          <w:lang w:val="es-ES"/>
        </w:rPr>
        <w:t xml:space="preserve"> 8, correspondiente a las obras que se ejecutaran con Recursos del  </w:t>
      </w:r>
      <w:r w:rsidR="00025195" w:rsidRPr="00025195">
        <w:rPr>
          <w:rFonts w:ascii="Palatino Linotype" w:hAnsi="Palatino Linotype" w:cs="Tahoma"/>
          <w:b/>
          <w:color w:val="000000" w:themeColor="text1"/>
          <w:sz w:val="22"/>
          <w:szCs w:val="22"/>
        </w:rPr>
        <w:t>Fondo de Infraestructura Social Municipal y Demarcaciones Territoriales del Distrito Federal</w:t>
      </w:r>
      <w:r w:rsidR="00025195">
        <w:rPr>
          <w:rFonts w:ascii="Palatino Linotype" w:hAnsi="Palatino Linotype" w:cs="Tahoma"/>
          <w:b/>
          <w:color w:val="000000" w:themeColor="text1"/>
          <w:sz w:val="22"/>
          <w:szCs w:val="22"/>
        </w:rPr>
        <w:t xml:space="preserve"> y </w:t>
      </w:r>
      <w:r w:rsidR="00025195" w:rsidRPr="00025195">
        <w:rPr>
          <w:rFonts w:ascii="Palatino Linotype" w:hAnsi="Palatino Linotype" w:cs="Tahoma"/>
          <w:b/>
          <w:color w:val="000000" w:themeColor="text1"/>
          <w:sz w:val="22"/>
          <w:szCs w:val="22"/>
        </w:rPr>
        <w:t>Fondo Estatal para el Fortalecimiento Municipal</w:t>
      </w:r>
      <w:r w:rsidR="008F6CCF">
        <w:rPr>
          <w:rFonts w:ascii="Palatino Linotype" w:hAnsi="Palatino Linotype" w:cs="Tahoma"/>
          <w:b/>
          <w:color w:val="000000" w:themeColor="text1"/>
          <w:sz w:val="22"/>
          <w:szCs w:val="22"/>
        </w:rPr>
        <w:t>, durante el dos mil diecinueve.</w:t>
      </w:r>
    </w:p>
    <w:p w14:paraId="4EBF1FC3" w14:textId="77777777" w:rsidR="00382071" w:rsidRDefault="00382071" w:rsidP="00447875">
      <w:pPr>
        <w:spacing w:line="360" w:lineRule="auto"/>
        <w:jc w:val="both"/>
        <w:rPr>
          <w:rFonts w:ascii="Palatino Linotype" w:hAnsi="Palatino Linotype" w:cs="Tahoma"/>
          <w:color w:val="000000" w:themeColor="text1"/>
          <w:sz w:val="22"/>
          <w:szCs w:val="22"/>
          <w:lang w:val="es-ES"/>
        </w:rPr>
      </w:pPr>
    </w:p>
    <w:p w14:paraId="15326B90" w14:textId="4050DEB3" w:rsidR="00382071" w:rsidRDefault="008F6CCF"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Al respecto, la Dirección de Obras Públicas, indicó que no se estaban ejecutando obras con el Fondo Estatal para el Fortalecimiento Municipal y proporcionó un listado, con aquellas contratadas con recursos del </w:t>
      </w:r>
      <w:r w:rsidRPr="008F6CCF">
        <w:rPr>
          <w:rFonts w:ascii="Palatino Linotype" w:hAnsi="Palatino Linotype" w:cs="Tahoma"/>
          <w:color w:val="000000" w:themeColor="text1"/>
          <w:sz w:val="22"/>
          <w:szCs w:val="22"/>
          <w:lang w:val="es-ES"/>
        </w:rPr>
        <w:t>Fondo de Infraestructura Social Municipal y Demarcaciones Territoriales del Distrito Federal</w:t>
      </w:r>
      <w:r w:rsidR="00387A05">
        <w:rPr>
          <w:rFonts w:ascii="Palatino Linotype" w:hAnsi="Palatino Linotype" w:cs="Tahoma"/>
          <w:color w:val="000000" w:themeColor="text1"/>
          <w:sz w:val="22"/>
          <w:szCs w:val="22"/>
          <w:lang w:val="es-ES"/>
        </w:rPr>
        <w:t>, que se estaban llevando a cabo, del primer de enero al diecinueve de agosto de la presente anualidad.</w:t>
      </w:r>
    </w:p>
    <w:p w14:paraId="5393C3EA" w14:textId="77777777" w:rsidR="00387A05" w:rsidRDefault="00387A05" w:rsidP="00447875">
      <w:pPr>
        <w:spacing w:line="360" w:lineRule="auto"/>
        <w:jc w:val="both"/>
        <w:rPr>
          <w:rFonts w:ascii="Palatino Linotype" w:hAnsi="Palatino Linotype" w:cs="Tahoma"/>
          <w:color w:val="000000" w:themeColor="text1"/>
          <w:sz w:val="22"/>
          <w:szCs w:val="22"/>
          <w:lang w:val="es-ES"/>
        </w:rPr>
      </w:pPr>
    </w:p>
    <w:p w14:paraId="4D2C7DE8" w14:textId="426462E1" w:rsidR="00387A05" w:rsidRDefault="00387A05"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En ese contexto, es de precisar que la pretensión del Particular, es conocer todas las obras que se desarrollaran durante el dos mil diecinueve</w:t>
      </w:r>
      <w:r w:rsidR="00F267FA">
        <w:rPr>
          <w:rFonts w:ascii="Palatino Linotype" w:hAnsi="Palatino Linotype" w:cs="Tahoma"/>
          <w:color w:val="000000" w:themeColor="text1"/>
          <w:sz w:val="22"/>
          <w:szCs w:val="22"/>
          <w:lang w:val="es-ES"/>
        </w:rPr>
        <w:t>;</w:t>
      </w:r>
      <w:r>
        <w:rPr>
          <w:rFonts w:ascii="Palatino Linotype" w:hAnsi="Palatino Linotype" w:cs="Tahoma"/>
          <w:color w:val="000000" w:themeColor="text1"/>
          <w:sz w:val="22"/>
          <w:szCs w:val="22"/>
          <w:lang w:val="es-ES"/>
        </w:rPr>
        <w:t xml:space="preserve"> </w:t>
      </w:r>
      <w:r w:rsidR="004F4CBA">
        <w:rPr>
          <w:rFonts w:ascii="Palatino Linotype" w:hAnsi="Palatino Linotype" w:cs="Tahoma"/>
          <w:color w:val="000000" w:themeColor="text1"/>
          <w:sz w:val="22"/>
          <w:szCs w:val="22"/>
          <w:lang w:val="es-ES"/>
        </w:rPr>
        <w:t>es decir, quiere conocer el documento donde consten</w:t>
      </w:r>
      <w:r w:rsidR="009848BA">
        <w:rPr>
          <w:rFonts w:ascii="Palatino Linotype" w:hAnsi="Palatino Linotype" w:cs="Tahoma"/>
          <w:color w:val="000000" w:themeColor="text1"/>
          <w:sz w:val="22"/>
          <w:szCs w:val="22"/>
          <w:lang w:val="es-ES"/>
        </w:rPr>
        <w:t>,</w:t>
      </w:r>
      <w:r w:rsidR="004F4CBA">
        <w:rPr>
          <w:rFonts w:ascii="Palatino Linotype" w:hAnsi="Palatino Linotype" w:cs="Tahoma"/>
          <w:color w:val="000000" w:themeColor="text1"/>
          <w:sz w:val="22"/>
          <w:szCs w:val="22"/>
          <w:lang w:val="es-ES"/>
        </w:rPr>
        <w:t xml:space="preserve"> </w:t>
      </w:r>
      <w:r w:rsidR="009848BA">
        <w:rPr>
          <w:rFonts w:ascii="Palatino Linotype" w:hAnsi="Palatino Linotype" w:cs="Tahoma"/>
          <w:color w:val="000000" w:themeColor="text1"/>
          <w:sz w:val="22"/>
          <w:szCs w:val="22"/>
          <w:lang w:val="es-ES"/>
        </w:rPr>
        <w:t>aquellas planeadas, a realizar durante la presente anualidad.</w:t>
      </w:r>
    </w:p>
    <w:p w14:paraId="48DF4039" w14:textId="77777777" w:rsidR="009848BA" w:rsidRDefault="009848BA" w:rsidP="00447875">
      <w:pPr>
        <w:spacing w:line="360" w:lineRule="auto"/>
        <w:jc w:val="both"/>
        <w:rPr>
          <w:rFonts w:ascii="Palatino Linotype" w:hAnsi="Palatino Linotype" w:cs="Tahoma"/>
          <w:color w:val="000000" w:themeColor="text1"/>
          <w:sz w:val="22"/>
          <w:szCs w:val="22"/>
          <w:lang w:val="es-ES"/>
        </w:rPr>
      </w:pPr>
    </w:p>
    <w:p w14:paraId="66FAEF88" w14:textId="33BBFF3D" w:rsidR="009848BA" w:rsidRDefault="009848BA"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 xml:space="preserve">En ese orden de ideas, se considera que el Sujeto Obligado dio información relacionada con lo peticionado, pero que no atiende la solicitud, pues no contiene todos los procedimientos a realizar; por lo que, el agravio es </w:t>
      </w:r>
      <w:r w:rsidRPr="009848BA">
        <w:rPr>
          <w:rFonts w:ascii="Palatino Linotype" w:hAnsi="Palatino Linotype" w:cs="Tahoma"/>
          <w:b/>
          <w:color w:val="000000" w:themeColor="text1"/>
          <w:sz w:val="22"/>
          <w:szCs w:val="22"/>
          <w:lang w:val="es-ES"/>
        </w:rPr>
        <w:t>FUNDADO.</w:t>
      </w:r>
      <w:r>
        <w:rPr>
          <w:rFonts w:ascii="Palatino Linotype" w:hAnsi="Palatino Linotype" w:cs="Tahoma"/>
          <w:color w:val="000000" w:themeColor="text1"/>
          <w:sz w:val="22"/>
          <w:szCs w:val="22"/>
          <w:lang w:val="es-ES"/>
        </w:rPr>
        <w:t xml:space="preserve"> </w:t>
      </w:r>
    </w:p>
    <w:p w14:paraId="643E3AE8" w14:textId="77777777" w:rsidR="00EA097B" w:rsidRDefault="00EA097B" w:rsidP="00447875">
      <w:pPr>
        <w:spacing w:line="360" w:lineRule="auto"/>
        <w:jc w:val="both"/>
        <w:rPr>
          <w:rFonts w:ascii="Palatino Linotype" w:hAnsi="Palatino Linotype" w:cs="Tahoma"/>
          <w:color w:val="000000" w:themeColor="text1"/>
          <w:sz w:val="22"/>
          <w:szCs w:val="22"/>
          <w:lang w:val="es-ES"/>
        </w:rPr>
      </w:pPr>
    </w:p>
    <w:p w14:paraId="6DC4EC8C" w14:textId="7710C583" w:rsidR="00EA097B" w:rsidRPr="00EA097B" w:rsidRDefault="00EA097B" w:rsidP="00447875">
      <w:pPr>
        <w:spacing w:line="360" w:lineRule="auto"/>
        <w:jc w:val="both"/>
        <w:rPr>
          <w:rFonts w:ascii="Palatino Linotype" w:hAnsi="Palatino Linotype" w:cs="Tahoma"/>
          <w:b/>
          <w:color w:val="000000" w:themeColor="text1"/>
          <w:sz w:val="22"/>
          <w:szCs w:val="22"/>
          <w:lang w:val="es-ES"/>
        </w:rPr>
      </w:pPr>
      <w:r>
        <w:rPr>
          <w:rFonts w:ascii="Palatino Linotype" w:hAnsi="Palatino Linotype" w:cs="Tahoma"/>
          <w:color w:val="000000" w:themeColor="text1"/>
          <w:sz w:val="22"/>
          <w:szCs w:val="22"/>
          <w:lang w:val="es-ES"/>
        </w:rPr>
        <w:t xml:space="preserve">Ahora bien, tal como se estableció en párrafos anteriores, el Sujeto Obligado realizó el </w:t>
      </w:r>
      <w:r w:rsidRPr="00EA097B">
        <w:rPr>
          <w:rFonts w:ascii="Palatino Linotype" w:hAnsi="Palatino Linotype" w:cs="Tahoma"/>
          <w:b/>
          <w:color w:val="000000" w:themeColor="text1"/>
          <w:sz w:val="22"/>
          <w:szCs w:val="22"/>
          <w:lang w:val="es-ES"/>
        </w:rPr>
        <w:t>programa anual de obra pública dos mil diecinueve</w:t>
      </w:r>
      <w:r>
        <w:rPr>
          <w:rFonts w:ascii="Palatino Linotype" w:hAnsi="Palatino Linotype" w:cs="Tahoma"/>
          <w:color w:val="000000" w:themeColor="text1"/>
          <w:sz w:val="22"/>
          <w:szCs w:val="22"/>
          <w:lang w:val="es-ES"/>
        </w:rPr>
        <w:t xml:space="preserve">, que </w:t>
      </w:r>
      <w:r w:rsidRPr="00EA097B">
        <w:rPr>
          <w:rFonts w:ascii="Palatino Linotype" w:hAnsi="Palatino Linotype" w:cs="Tahoma"/>
          <w:color w:val="000000" w:themeColor="text1"/>
          <w:sz w:val="22"/>
          <w:szCs w:val="22"/>
          <w:lang w:val="es-ES"/>
        </w:rPr>
        <w:t>contiene el número de obras que se realizaran con el Fondo de Infraestructura Social y Demarcaciones Territoriales del Distrito Federal (FISMDF), el Fondo Estatal para el Fortalecimiento Municipal (FEFOM) y recursos propios municipales, así como el monto total presupuestado</w:t>
      </w:r>
      <w:r>
        <w:rPr>
          <w:rFonts w:ascii="Palatino Linotype" w:hAnsi="Palatino Linotype" w:cs="Tahoma"/>
          <w:color w:val="000000" w:themeColor="text1"/>
          <w:sz w:val="22"/>
          <w:szCs w:val="22"/>
          <w:lang w:val="es-ES"/>
        </w:rPr>
        <w:t xml:space="preserve">, por lo que, es el documento que da cuenta de lo solicitado y por lo tanto, </w:t>
      </w:r>
      <w:r w:rsidRPr="00EA097B">
        <w:rPr>
          <w:rFonts w:ascii="Palatino Linotype" w:hAnsi="Palatino Linotype" w:cs="Tahoma"/>
          <w:b/>
          <w:color w:val="000000" w:themeColor="text1"/>
          <w:sz w:val="22"/>
          <w:szCs w:val="22"/>
          <w:lang w:val="es-ES"/>
        </w:rPr>
        <w:t>se procede ordenar su entrega, tal como se indic</w:t>
      </w:r>
      <w:r>
        <w:rPr>
          <w:rFonts w:ascii="Palatino Linotype" w:hAnsi="Palatino Linotype" w:cs="Tahoma"/>
          <w:b/>
          <w:color w:val="000000" w:themeColor="text1"/>
          <w:sz w:val="22"/>
          <w:szCs w:val="22"/>
          <w:lang w:val="es-ES"/>
        </w:rPr>
        <w:t>ó en el</w:t>
      </w:r>
      <w:r w:rsidRPr="00EA097B">
        <w:rPr>
          <w:rFonts w:ascii="Palatino Linotype" w:hAnsi="Palatino Linotype" w:cs="Tahoma"/>
          <w:b/>
          <w:color w:val="000000" w:themeColor="text1"/>
          <w:sz w:val="22"/>
          <w:szCs w:val="22"/>
          <w:lang w:val="es-ES"/>
        </w:rPr>
        <w:t xml:space="preserve"> análisis del primer requerimiento.</w:t>
      </w:r>
    </w:p>
    <w:p w14:paraId="26C7DB0B" w14:textId="77777777" w:rsidR="00EA097B" w:rsidRPr="00EA097B" w:rsidRDefault="00EA097B" w:rsidP="00447875">
      <w:pPr>
        <w:spacing w:line="360" w:lineRule="auto"/>
        <w:jc w:val="both"/>
        <w:rPr>
          <w:rFonts w:ascii="Palatino Linotype" w:hAnsi="Palatino Linotype" w:cs="Tahoma"/>
          <w:b/>
          <w:color w:val="000000" w:themeColor="text1"/>
          <w:sz w:val="22"/>
          <w:szCs w:val="22"/>
          <w:lang w:val="es-ES"/>
        </w:rPr>
      </w:pPr>
    </w:p>
    <w:p w14:paraId="4745420E" w14:textId="19429D9F" w:rsidR="00EA097B" w:rsidRDefault="000746EC" w:rsidP="00447875">
      <w:pPr>
        <w:spacing w:line="360" w:lineRule="auto"/>
        <w:jc w:val="both"/>
        <w:rPr>
          <w:rFonts w:ascii="Palatino Linotype" w:hAnsi="Palatino Linotype" w:cs="Tahoma"/>
          <w:b/>
          <w:iCs/>
          <w:color w:val="000000" w:themeColor="text1"/>
          <w:sz w:val="22"/>
          <w:szCs w:val="22"/>
        </w:rPr>
      </w:pPr>
      <w:r w:rsidRPr="000746EC">
        <w:rPr>
          <w:rFonts w:ascii="Palatino Linotype" w:hAnsi="Palatino Linotype" w:cs="Tahoma"/>
          <w:b/>
          <w:iCs/>
          <w:color w:val="000000" w:themeColor="text1"/>
          <w:sz w:val="22"/>
          <w:szCs w:val="22"/>
        </w:rPr>
        <w:lastRenderedPageBreak/>
        <w:t>Funciones, actividades y atribuciones, de cada uno de los trabajadores de</w:t>
      </w:r>
      <w:r>
        <w:rPr>
          <w:rFonts w:ascii="Palatino Linotype" w:hAnsi="Palatino Linotype" w:cs="Tahoma"/>
          <w:b/>
          <w:iCs/>
          <w:color w:val="000000" w:themeColor="text1"/>
          <w:sz w:val="22"/>
          <w:szCs w:val="22"/>
        </w:rPr>
        <w:t xml:space="preserve"> la Dirección de Obras Públicas, al diecinueve de agosto de dos mil diecinueve.</w:t>
      </w:r>
    </w:p>
    <w:p w14:paraId="3CBCE8A2" w14:textId="77777777" w:rsidR="000746EC" w:rsidRDefault="000746EC" w:rsidP="00447875">
      <w:pPr>
        <w:spacing w:line="360" w:lineRule="auto"/>
        <w:jc w:val="both"/>
        <w:rPr>
          <w:rFonts w:ascii="Palatino Linotype" w:hAnsi="Palatino Linotype" w:cs="Tahoma"/>
          <w:b/>
          <w:iCs/>
          <w:color w:val="000000" w:themeColor="text1"/>
          <w:sz w:val="22"/>
          <w:szCs w:val="22"/>
        </w:rPr>
      </w:pPr>
    </w:p>
    <w:p w14:paraId="28B095D8" w14:textId="551593CF" w:rsidR="00F728C6" w:rsidRPr="00F728C6" w:rsidRDefault="00F728C6" w:rsidP="00F728C6">
      <w:pPr>
        <w:spacing w:line="360" w:lineRule="auto"/>
        <w:jc w:val="both"/>
        <w:rPr>
          <w:rFonts w:ascii="Palatino Linotype" w:hAnsi="Palatino Linotype" w:cs="Tahoma"/>
          <w:color w:val="000000" w:themeColor="text1"/>
          <w:sz w:val="22"/>
          <w:szCs w:val="22"/>
          <w:lang w:val="es-ES"/>
        </w:rPr>
      </w:pPr>
      <w:r w:rsidRPr="00F728C6">
        <w:rPr>
          <w:rFonts w:ascii="Palatino Linotype" w:hAnsi="Palatino Linotype" w:cs="Tahoma"/>
          <w:color w:val="000000" w:themeColor="text1"/>
          <w:sz w:val="22"/>
          <w:szCs w:val="22"/>
          <w:lang w:val="es-ES"/>
        </w:rPr>
        <w:t xml:space="preserve">En ese contexto, en respuesta el Sujeto Obligado </w:t>
      </w:r>
      <w:r w:rsidRPr="00F728C6">
        <w:rPr>
          <w:rFonts w:ascii="Palatino Linotype" w:hAnsi="Palatino Linotype" w:cs="Tahoma"/>
          <w:bCs/>
          <w:iCs/>
          <w:color w:val="000000" w:themeColor="text1"/>
          <w:sz w:val="22"/>
          <w:szCs w:val="22"/>
        </w:rPr>
        <w:t xml:space="preserve">señaló que la información se localizaba dentro de las obligaciones de transparencia del Sujeto Obligado, localizadas en la liga </w:t>
      </w:r>
      <w:hyperlink r:id="rId61" w:history="1">
        <w:r w:rsidRPr="00F728C6">
          <w:rPr>
            <w:rStyle w:val="Hipervnculo"/>
            <w:rFonts w:ascii="Palatino Linotype" w:hAnsi="Palatino Linotype" w:cs="Tahoma"/>
            <w:bCs/>
            <w:iCs/>
            <w:sz w:val="22"/>
            <w:szCs w:val="22"/>
          </w:rPr>
          <w:t>https://www.ipomex.org.mx/ipo3/lgt/indice/NICOLASROMERO.web;jsessionid=A32AF14BAAF7BD41663AC7734D16ADA9?q=2019</w:t>
        </w:r>
      </w:hyperlink>
      <w:r>
        <w:rPr>
          <w:rFonts w:ascii="Palatino Linotype" w:hAnsi="Palatino Linotype" w:cs="Tahoma"/>
          <w:color w:val="000000" w:themeColor="text1"/>
          <w:sz w:val="22"/>
          <w:szCs w:val="22"/>
          <w:lang w:val="es-ES"/>
        </w:rPr>
        <w:t xml:space="preserve">; no obstante, como se precisó en el Considerando Segundo, la Dirección de Obras Públicas </w:t>
      </w:r>
      <w:r w:rsidRPr="00F728C6">
        <w:rPr>
          <w:rFonts w:ascii="Palatino Linotype" w:hAnsi="Palatino Linotype" w:cs="Tahoma"/>
          <w:color w:val="000000" w:themeColor="text1"/>
          <w:sz w:val="22"/>
          <w:szCs w:val="22"/>
          <w:lang w:val="es-ES"/>
        </w:rPr>
        <w:t>no señaló de manera clara y precisa, la fuente, forma y lugar para obtener la información requerida, pues únicamente remitió al Portal de Información Mexiquense del Ayuntamiento de Nicolás Romero, respecto a la información, del ejercicio dos mil diecinueve</w:t>
      </w:r>
      <w:r w:rsidR="00763C43">
        <w:rPr>
          <w:rFonts w:ascii="Palatino Linotype" w:hAnsi="Palatino Linotype" w:cs="Tahoma"/>
          <w:color w:val="000000" w:themeColor="text1"/>
          <w:sz w:val="22"/>
          <w:szCs w:val="22"/>
          <w:lang w:val="es-ES"/>
        </w:rPr>
        <w:t>, sin precisar</w:t>
      </w:r>
      <w:r w:rsidRPr="00F728C6">
        <w:rPr>
          <w:rFonts w:ascii="Palatino Linotype" w:hAnsi="Palatino Linotype" w:cs="Tahoma"/>
          <w:color w:val="000000" w:themeColor="text1"/>
          <w:sz w:val="22"/>
          <w:szCs w:val="22"/>
          <w:lang w:val="es-ES"/>
        </w:rPr>
        <w:t xml:space="preserve"> en qué fracción y apartado se localizaba lo peticionado.</w:t>
      </w:r>
    </w:p>
    <w:p w14:paraId="3906EB18" w14:textId="77777777" w:rsidR="000746EC" w:rsidRPr="000746EC" w:rsidRDefault="000746EC" w:rsidP="00447875">
      <w:pPr>
        <w:spacing w:line="360" w:lineRule="auto"/>
        <w:jc w:val="both"/>
        <w:rPr>
          <w:rFonts w:ascii="Palatino Linotype" w:hAnsi="Palatino Linotype" w:cs="Tahoma"/>
          <w:b/>
          <w:color w:val="000000" w:themeColor="text1"/>
          <w:sz w:val="22"/>
          <w:szCs w:val="22"/>
          <w:lang w:val="es-ES"/>
        </w:rPr>
      </w:pPr>
    </w:p>
    <w:p w14:paraId="72787380" w14:textId="3C7B3849" w:rsidR="00F02890" w:rsidRDefault="00763C43" w:rsidP="00447875">
      <w:pPr>
        <w:spacing w:line="360" w:lineRule="auto"/>
        <w:jc w:val="both"/>
        <w:rPr>
          <w:rFonts w:ascii="Palatino Linotype" w:hAnsi="Palatino Linotype" w:cs="Tahoma"/>
          <w:b/>
          <w:color w:val="000000" w:themeColor="text1"/>
          <w:sz w:val="22"/>
          <w:szCs w:val="22"/>
          <w:lang w:val="es-ES"/>
        </w:rPr>
      </w:pPr>
      <w:r>
        <w:rPr>
          <w:rFonts w:ascii="Palatino Linotype" w:hAnsi="Palatino Linotype" w:cs="Tahoma"/>
          <w:color w:val="000000" w:themeColor="text1"/>
          <w:sz w:val="22"/>
          <w:szCs w:val="22"/>
          <w:lang w:val="es-ES"/>
        </w:rPr>
        <w:t xml:space="preserve">Por otra parte, en Informe Justificado modificó su respuesta y señaló que el documento que daba respuesta era el Manual de Procedimientos de la Dirección de Obras Públicas, </w:t>
      </w:r>
      <w:r w:rsidR="002A1938">
        <w:rPr>
          <w:rFonts w:ascii="Palatino Linotype" w:hAnsi="Palatino Linotype" w:cs="Tahoma"/>
          <w:color w:val="000000" w:themeColor="text1"/>
          <w:sz w:val="22"/>
          <w:szCs w:val="22"/>
          <w:lang w:val="es-ES"/>
        </w:rPr>
        <w:t xml:space="preserve">el Bando Municipal de Nicolás Romero y el </w:t>
      </w:r>
      <w:r w:rsidR="002E3A7F" w:rsidRPr="002E3A7F">
        <w:rPr>
          <w:rFonts w:ascii="Palatino Linotype" w:hAnsi="Palatino Linotype" w:cs="Tahoma"/>
          <w:color w:val="000000" w:themeColor="text1"/>
          <w:sz w:val="22"/>
          <w:szCs w:val="22"/>
          <w:lang w:val="es-ES"/>
        </w:rPr>
        <w:t>Reglamento Orgánico Municipal del</w:t>
      </w:r>
      <w:r w:rsidR="002E3A7F">
        <w:rPr>
          <w:rFonts w:ascii="Palatino Linotype" w:hAnsi="Palatino Linotype" w:cs="Tahoma"/>
          <w:color w:val="000000" w:themeColor="text1"/>
          <w:sz w:val="22"/>
          <w:szCs w:val="22"/>
          <w:lang w:val="es-ES"/>
        </w:rPr>
        <w:t xml:space="preserve"> Ayuntamiento de Nicolás Romero, sin embargo no proporcionó los mismos, por lo cual, no se puede dar por atendido el requerimiento de informaci</w:t>
      </w:r>
      <w:r w:rsidR="00842290">
        <w:rPr>
          <w:rFonts w:ascii="Palatino Linotype" w:hAnsi="Palatino Linotype" w:cs="Tahoma"/>
          <w:color w:val="000000" w:themeColor="text1"/>
          <w:sz w:val="22"/>
          <w:szCs w:val="22"/>
          <w:lang w:val="es-ES"/>
        </w:rPr>
        <w:t xml:space="preserve">ón y por lo tanto, el agravio es </w:t>
      </w:r>
      <w:r w:rsidR="00842290">
        <w:rPr>
          <w:rFonts w:ascii="Palatino Linotype" w:hAnsi="Palatino Linotype" w:cs="Tahoma"/>
          <w:b/>
          <w:color w:val="000000" w:themeColor="text1"/>
          <w:sz w:val="22"/>
          <w:szCs w:val="22"/>
          <w:lang w:val="es-ES"/>
        </w:rPr>
        <w:t>FUNDADO.</w:t>
      </w:r>
    </w:p>
    <w:p w14:paraId="42CE6F6A" w14:textId="77777777" w:rsidR="005A0D1D" w:rsidRDefault="005A0D1D" w:rsidP="00447875">
      <w:pPr>
        <w:spacing w:line="360" w:lineRule="auto"/>
        <w:jc w:val="both"/>
        <w:rPr>
          <w:rFonts w:ascii="Palatino Linotype" w:hAnsi="Palatino Linotype" w:cs="Tahoma"/>
          <w:b/>
          <w:color w:val="000000" w:themeColor="text1"/>
          <w:sz w:val="22"/>
          <w:szCs w:val="22"/>
          <w:lang w:val="es-ES"/>
        </w:rPr>
      </w:pPr>
    </w:p>
    <w:p w14:paraId="04950682" w14:textId="2DE95F3F" w:rsidR="005A0D1D" w:rsidRDefault="005A0D1D"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En ese contexto, el artículo 92, fracción XII, de la Ley de Transparencia y Acceso a la Información Pública del Estado de México y Municipios, precisa que es información pública de oficio el perfil de puestos de los servidores públicos;</w:t>
      </w:r>
      <w:r w:rsidR="009F484A">
        <w:rPr>
          <w:rFonts w:ascii="Palatino Linotype" w:hAnsi="Palatino Linotype" w:cs="Tahoma"/>
          <w:color w:val="000000" w:themeColor="text1"/>
          <w:sz w:val="22"/>
          <w:szCs w:val="22"/>
          <w:lang w:val="es-ES"/>
        </w:rPr>
        <w:t xml:space="preserve"> al respecto, se procedió a verificar el Portal de Información Pública de Oficio Mexiquense del Sujeto Obligado, en la fracción XI Perfil de los puestos de los servidores públicos (consultado el trece de noviembre en la liga </w:t>
      </w:r>
      <w:hyperlink r:id="rId62" w:history="1">
        <w:r w:rsidR="00EA1F25" w:rsidRPr="0080775B">
          <w:rPr>
            <w:rStyle w:val="Hipervnculo"/>
            <w:rFonts w:ascii="Palatino Linotype" w:hAnsi="Palatino Linotype"/>
            <w:sz w:val="22"/>
            <w:szCs w:val="22"/>
          </w:rPr>
          <w:t>https://www.ipomex.org.mx/ipo3/lgt/indice/NICOLASROMERO/art_92_xii/1.web</w:t>
        </w:r>
      </w:hyperlink>
      <w:r w:rsidR="00EA1F25">
        <w:rPr>
          <w:rFonts w:ascii="Palatino Linotype" w:hAnsi="Palatino Linotype"/>
          <w:sz w:val="22"/>
          <w:szCs w:val="22"/>
        </w:rPr>
        <w:t xml:space="preserve">, </w:t>
      </w:r>
      <w:r w:rsidR="00EA1F25" w:rsidRPr="00EA1F25">
        <w:rPr>
          <w:rFonts w:ascii="Palatino Linotype" w:hAnsi="Palatino Linotype"/>
          <w:sz w:val="22"/>
          <w:szCs w:val="22"/>
          <w:lang w:val="es-ES"/>
        </w:rPr>
        <w:t xml:space="preserve">a las </w:t>
      </w:r>
      <w:r w:rsidR="00EA1F25" w:rsidRPr="00EA1F25">
        <w:rPr>
          <w:rFonts w:ascii="Palatino Linotype" w:hAnsi="Palatino Linotype"/>
          <w:sz w:val="22"/>
          <w:szCs w:val="22"/>
          <w:lang w:val="es-ES"/>
        </w:rPr>
        <w:lastRenderedPageBreak/>
        <w:t>catorce horas con treinta minutos</w:t>
      </w:r>
      <w:r w:rsidR="009F484A" w:rsidRPr="009F484A">
        <w:rPr>
          <w:rFonts w:ascii="Palatino Linotype" w:hAnsi="Palatino Linotype" w:cs="Tahoma"/>
          <w:color w:val="000000" w:themeColor="text1"/>
          <w:sz w:val="22"/>
          <w:szCs w:val="22"/>
          <w:lang w:val="es-ES"/>
        </w:rPr>
        <w:t>)</w:t>
      </w:r>
      <w:r w:rsidR="00EA1F25">
        <w:rPr>
          <w:rFonts w:ascii="Palatino Linotype" w:hAnsi="Palatino Linotype" w:cs="Tahoma"/>
          <w:color w:val="000000" w:themeColor="text1"/>
          <w:sz w:val="22"/>
          <w:szCs w:val="22"/>
          <w:lang w:val="es-ES"/>
        </w:rPr>
        <w:t>, del cual se puede obtener el registro de las funciones por puesto, tal como se muestra a continuación:</w:t>
      </w:r>
    </w:p>
    <w:p w14:paraId="6CF7C57B" w14:textId="77777777" w:rsidR="00EA1F25" w:rsidRDefault="00EA1F25" w:rsidP="00447875">
      <w:pPr>
        <w:spacing w:line="360" w:lineRule="auto"/>
        <w:jc w:val="both"/>
        <w:rPr>
          <w:rFonts w:ascii="Palatino Linotype" w:hAnsi="Palatino Linotype" w:cs="Tahoma"/>
          <w:color w:val="000000" w:themeColor="text1"/>
          <w:sz w:val="22"/>
          <w:szCs w:val="22"/>
          <w:lang w:val="es-ES"/>
        </w:rPr>
      </w:pPr>
    </w:p>
    <w:p w14:paraId="785FF877" w14:textId="34F31B4C" w:rsidR="00EA1F25" w:rsidRPr="005A0D1D" w:rsidRDefault="00EA1F25" w:rsidP="00447875">
      <w:pPr>
        <w:spacing w:line="360" w:lineRule="auto"/>
        <w:jc w:val="both"/>
        <w:rPr>
          <w:rFonts w:ascii="Palatino Linotype" w:hAnsi="Palatino Linotype" w:cs="Tahoma"/>
          <w:color w:val="000000" w:themeColor="text1"/>
          <w:sz w:val="22"/>
          <w:szCs w:val="22"/>
          <w:lang w:val="es-ES"/>
        </w:rPr>
      </w:pPr>
      <w:r>
        <w:rPr>
          <w:noProof/>
          <w:lang w:eastAsia="es-MX"/>
        </w:rPr>
        <w:drawing>
          <wp:inline distT="0" distB="0" distL="0" distR="0" wp14:anchorId="6D6B058D" wp14:editId="47CDACAE">
            <wp:extent cx="5742940" cy="221932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4055"/>
                    <a:stretch/>
                  </pic:blipFill>
                  <pic:spPr bwMode="auto">
                    <a:xfrm>
                      <a:off x="0" y="0"/>
                      <a:ext cx="5742940" cy="2219325"/>
                    </a:xfrm>
                    <a:prstGeom prst="rect">
                      <a:avLst/>
                    </a:prstGeom>
                    <a:ln>
                      <a:noFill/>
                    </a:ln>
                    <a:extLst>
                      <a:ext uri="{53640926-AAD7-44D8-BBD7-CCE9431645EC}">
                        <a14:shadowObscured xmlns:a14="http://schemas.microsoft.com/office/drawing/2010/main"/>
                      </a:ext>
                    </a:extLst>
                  </pic:spPr>
                </pic:pic>
              </a:graphicData>
            </a:graphic>
          </wp:inline>
        </w:drawing>
      </w:r>
    </w:p>
    <w:p w14:paraId="11F3E033" w14:textId="77777777" w:rsidR="00F02890" w:rsidRDefault="00F02890" w:rsidP="00447875">
      <w:pPr>
        <w:spacing w:line="360" w:lineRule="auto"/>
        <w:jc w:val="both"/>
        <w:rPr>
          <w:rFonts w:ascii="Palatino Linotype" w:hAnsi="Palatino Linotype" w:cs="Tahoma"/>
          <w:color w:val="000000" w:themeColor="text1"/>
          <w:sz w:val="22"/>
          <w:szCs w:val="22"/>
          <w:lang w:val="es-ES"/>
        </w:rPr>
      </w:pPr>
    </w:p>
    <w:p w14:paraId="53ECD12E" w14:textId="761E52E0" w:rsidR="00F02890" w:rsidRDefault="00EA1F25"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Además, incluye los vínculos electrónicos, que contienen los perfiles de puestos de los cargos que existen en la Dirección de Obras Públicas, se muestra un extracto del primero a continuación:</w:t>
      </w:r>
    </w:p>
    <w:p w14:paraId="2F7D4B66" w14:textId="77777777" w:rsidR="00EA1F25" w:rsidRDefault="00EA1F25" w:rsidP="00447875">
      <w:pPr>
        <w:spacing w:line="360" w:lineRule="auto"/>
        <w:jc w:val="both"/>
        <w:rPr>
          <w:rFonts w:ascii="Palatino Linotype" w:hAnsi="Palatino Linotype" w:cs="Tahoma"/>
          <w:color w:val="000000" w:themeColor="text1"/>
          <w:sz w:val="22"/>
          <w:szCs w:val="22"/>
          <w:lang w:val="es-ES"/>
        </w:rPr>
      </w:pPr>
    </w:p>
    <w:p w14:paraId="74C2498A" w14:textId="6759A90F" w:rsidR="00EA1F25" w:rsidRDefault="004D6D3F" w:rsidP="004D6D3F">
      <w:pPr>
        <w:spacing w:line="360" w:lineRule="auto"/>
        <w:jc w:val="center"/>
        <w:rPr>
          <w:rFonts w:ascii="Palatino Linotype" w:hAnsi="Palatino Linotype" w:cs="Tahoma"/>
          <w:color w:val="000000" w:themeColor="text1"/>
          <w:sz w:val="22"/>
          <w:szCs w:val="22"/>
          <w:lang w:val="es-ES"/>
        </w:rPr>
      </w:pPr>
      <w:r>
        <w:rPr>
          <w:noProof/>
          <w:lang w:eastAsia="es-MX"/>
        </w:rPr>
        <w:drawing>
          <wp:inline distT="0" distB="0" distL="0" distR="0" wp14:anchorId="75B78A93" wp14:editId="4B9605D3">
            <wp:extent cx="5742940" cy="15811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69338"/>
                    <a:stretch/>
                  </pic:blipFill>
                  <pic:spPr bwMode="auto">
                    <a:xfrm>
                      <a:off x="0" y="0"/>
                      <a:ext cx="5742940" cy="1581150"/>
                    </a:xfrm>
                    <a:prstGeom prst="rect">
                      <a:avLst/>
                    </a:prstGeom>
                    <a:ln>
                      <a:noFill/>
                    </a:ln>
                    <a:extLst>
                      <a:ext uri="{53640926-AAD7-44D8-BBD7-CCE9431645EC}">
                        <a14:shadowObscured xmlns:a14="http://schemas.microsoft.com/office/drawing/2010/main"/>
                      </a:ext>
                    </a:extLst>
                  </pic:spPr>
                </pic:pic>
              </a:graphicData>
            </a:graphic>
          </wp:inline>
        </w:drawing>
      </w:r>
    </w:p>
    <w:p w14:paraId="5E33DE50" w14:textId="06E48C0A" w:rsidR="004D6D3F" w:rsidRDefault="004D6D3F" w:rsidP="004D6D3F">
      <w:pPr>
        <w:spacing w:line="360" w:lineRule="auto"/>
        <w:jc w:val="center"/>
        <w:rPr>
          <w:rFonts w:ascii="Palatino Linotype" w:hAnsi="Palatino Linotype" w:cs="Tahoma"/>
          <w:color w:val="000000" w:themeColor="text1"/>
          <w:sz w:val="22"/>
          <w:szCs w:val="22"/>
          <w:lang w:val="es-ES"/>
        </w:rPr>
      </w:pPr>
      <w:r>
        <w:rPr>
          <w:noProof/>
          <w:lang w:eastAsia="es-MX"/>
        </w:rPr>
        <w:lastRenderedPageBreak/>
        <w:drawing>
          <wp:inline distT="0" distB="0" distL="0" distR="0" wp14:anchorId="08DD2178" wp14:editId="065754CD">
            <wp:extent cx="5742940" cy="354711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1216"/>
                    <a:stretch/>
                  </pic:blipFill>
                  <pic:spPr bwMode="auto">
                    <a:xfrm>
                      <a:off x="0" y="0"/>
                      <a:ext cx="5742940" cy="3547110"/>
                    </a:xfrm>
                    <a:prstGeom prst="rect">
                      <a:avLst/>
                    </a:prstGeom>
                    <a:ln>
                      <a:noFill/>
                    </a:ln>
                    <a:extLst>
                      <a:ext uri="{53640926-AAD7-44D8-BBD7-CCE9431645EC}">
                        <a14:shadowObscured xmlns:a14="http://schemas.microsoft.com/office/drawing/2010/main"/>
                      </a:ext>
                    </a:extLst>
                  </pic:spPr>
                </pic:pic>
              </a:graphicData>
            </a:graphic>
          </wp:inline>
        </w:drawing>
      </w:r>
    </w:p>
    <w:p w14:paraId="3F21A495" w14:textId="77777777" w:rsidR="00F02890" w:rsidRDefault="00F02890" w:rsidP="00447875">
      <w:pPr>
        <w:spacing w:line="360" w:lineRule="auto"/>
        <w:jc w:val="both"/>
        <w:rPr>
          <w:rFonts w:ascii="Palatino Linotype" w:hAnsi="Palatino Linotype" w:cs="Tahoma"/>
          <w:color w:val="000000" w:themeColor="text1"/>
          <w:sz w:val="22"/>
          <w:szCs w:val="22"/>
          <w:lang w:val="es-ES"/>
        </w:rPr>
      </w:pPr>
    </w:p>
    <w:p w14:paraId="55890399" w14:textId="018C9871" w:rsidR="00EA5CAE" w:rsidRDefault="004D6D3F" w:rsidP="00447875">
      <w:pPr>
        <w:spacing w:line="360" w:lineRule="auto"/>
        <w:jc w:val="both"/>
        <w:rPr>
          <w:rFonts w:ascii="Palatino Linotype" w:hAnsi="Palatino Linotype" w:cs="Tahoma"/>
          <w:color w:val="000000" w:themeColor="text1"/>
          <w:sz w:val="22"/>
          <w:szCs w:val="22"/>
          <w:lang w:val="es-ES"/>
        </w:rPr>
      </w:pPr>
      <w:r>
        <w:rPr>
          <w:rFonts w:ascii="Palatino Linotype" w:hAnsi="Palatino Linotype" w:cs="Tahoma"/>
          <w:color w:val="000000" w:themeColor="text1"/>
          <w:sz w:val="22"/>
          <w:szCs w:val="22"/>
          <w:lang w:val="es-ES"/>
        </w:rPr>
        <w:t>Como se logra observar, el Sujeto Obligado s</w:t>
      </w:r>
      <w:r w:rsidR="00056DB9">
        <w:rPr>
          <w:rFonts w:ascii="Palatino Linotype" w:hAnsi="Palatino Linotype" w:cs="Tahoma"/>
          <w:color w:val="000000" w:themeColor="text1"/>
          <w:sz w:val="22"/>
          <w:szCs w:val="22"/>
          <w:lang w:val="es-ES"/>
        </w:rPr>
        <w:t>í</w:t>
      </w:r>
      <w:r>
        <w:rPr>
          <w:rFonts w:ascii="Palatino Linotype" w:hAnsi="Palatino Linotype" w:cs="Tahoma"/>
          <w:color w:val="000000" w:themeColor="text1"/>
          <w:sz w:val="22"/>
          <w:szCs w:val="22"/>
          <w:lang w:val="es-ES"/>
        </w:rPr>
        <w:t xml:space="preserve"> </w:t>
      </w:r>
      <w:r w:rsidR="00056DB9">
        <w:rPr>
          <w:rFonts w:ascii="Palatino Linotype" w:hAnsi="Palatino Linotype" w:cs="Tahoma"/>
          <w:color w:val="000000" w:themeColor="text1"/>
          <w:sz w:val="22"/>
          <w:szCs w:val="22"/>
          <w:lang w:val="es-ES"/>
        </w:rPr>
        <w:t>tiene</w:t>
      </w:r>
      <w:r>
        <w:rPr>
          <w:rFonts w:ascii="Palatino Linotype" w:hAnsi="Palatino Linotype" w:cs="Tahoma"/>
          <w:color w:val="000000" w:themeColor="text1"/>
          <w:sz w:val="22"/>
          <w:szCs w:val="22"/>
          <w:lang w:val="es-ES"/>
        </w:rPr>
        <w:t xml:space="preserve"> los documentos que dan cuenta de lo solicitado</w:t>
      </w:r>
      <w:r w:rsidR="00056DB9">
        <w:rPr>
          <w:rFonts w:ascii="Palatino Linotype" w:hAnsi="Palatino Linotype" w:cs="Tahoma"/>
          <w:color w:val="000000" w:themeColor="text1"/>
          <w:sz w:val="22"/>
          <w:szCs w:val="22"/>
          <w:lang w:val="es-ES"/>
        </w:rPr>
        <w:t>;</w:t>
      </w:r>
      <w:r>
        <w:rPr>
          <w:rFonts w:ascii="Palatino Linotype" w:hAnsi="Palatino Linotype" w:cs="Tahoma"/>
          <w:color w:val="000000" w:themeColor="text1"/>
          <w:sz w:val="22"/>
          <w:szCs w:val="22"/>
          <w:lang w:val="es-ES"/>
        </w:rPr>
        <w:t xml:space="preserve"> </w:t>
      </w:r>
      <w:r w:rsidR="00EA5CAE">
        <w:rPr>
          <w:rFonts w:ascii="Palatino Linotype" w:hAnsi="Palatino Linotype" w:cs="Tahoma"/>
          <w:color w:val="000000" w:themeColor="text1"/>
          <w:sz w:val="22"/>
          <w:szCs w:val="22"/>
          <w:lang w:val="es-ES"/>
        </w:rPr>
        <w:t>es decir</w:t>
      </w:r>
      <w:r w:rsidR="00056DB9">
        <w:rPr>
          <w:rFonts w:ascii="Palatino Linotype" w:hAnsi="Palatino Linotype" w:cs="Tahoma"/>
          <w:color w:val="000000" w:themeColor="text1"/>
          <w:sz w:val="22"/>
          <w:szCs w:val="22"/>
          <w:lang w:val="es-ES"/>
        </w:rPr>
        <w:t>,</w:t>
      </w:r>
      <w:r w:rsidR="00EA5CAE">
        <w:rPr>
          <w:rFonts w:ascii="Palatino Linotype" w:hAnsi="Palatino Linotype" w:cs="Tahoma"/>
          <w:color w:val="000000" w:themeColor="text1"/>
          <w:sz w:val="22"/>
          <w:szCs w:val="22"/>
          <w:lang w:val="es-ES"/>
        </w:rPr>
        <w:t xml:space="preserve"> aquellos que contienen las funciones por cargo, del área de la Dirección de Obras Públicas, por lo que, se considera que para atender el presente requerimiento de información, el Sujeto Obligado deberá realizar una búsqueda exhaustiva y razonable en la Dirección de Administración</w:t>
      </w:r>
      <w:r w:rsidR="00775C16">
        <w:rPr>
          <w:rFonts w:ascii="Palatino Linotype" w:hAnsi="Palatino Linotype" w:cs="Tahoma"/>
          <w:color w:val="000000" w:themeColor="text1"/>
          <w:sz w:val="22"/>
          <w:szCs w:val="22"/>
          <w:lang w:val="es-ES"/>
        </w:rPr>
        <w:t xml:space="preserve">, encarga de ver todas las cuestiones del personal adscrito al Ayuntamiento, de conformidad con el artículo 129, del Reglamento de Orgánico de la Administración </w:t>
      </w:r>
      <w:r w:rsidR="00085406">
        <w:rPr>
          <w:rFonts w:ascii="Palatino Linotype" w:hAnsi="Palatino Linotype" w:cs="Tahoma"/>
          <w:color w:val="000000" w:themeColor="text1"/>
          <w:sz w:val="22"/>
          <w:szCs w:val="22"/>
          <w:lang w:val="es-ES"/>
        </w:rPr>
        <w:t>Pública Municipal de Nicolás R</w:t>
      </w:r>
      <w:r w:rsidR="007F6D88">
        <w:rPr>
          <w:rFonts w:ascii="Palatino Linotype" w:hAnsi="Palatino Linotype" w:cs="Tahoma"/>
          <w:color w:val="000000" w:themeColor="text1"/>
          <w:sz w:val="22"/>
          <w:szCs w:val="22"/>
          <w:lang w:val="es-ES"/>
        </w:rPr>
        <w:t>omero; a efecto de que entregue los documentos que contengan las funciones de los puestos que conforman</w:t>
      </w:r>
      <w:r w:rsidR="00066988">
        <w:rPr>
          <w:rFonts w:ascii="Palatino Linotype" w:hAnsi="Palatino Linotype" w:cs="Tahoma"/>
          <w:color w:val="000000" w:themeColor="text1"/>
          <w:sz w:val="22"/>
          <w:szCs w:val="22"/>
          <w:lang w:val="es-ES"/>
        </w:rPr>
        <w:t xml:space="preserve"> a la Dirección de Obras Públicas, del dos mil diecinueve, entre los cuales se encuentran los perfiles de puestos respectivos, mismos que se indican, de manera enunciativa más no limitativa.</w:t>
      </w:r>
    </w:p>
    <w:p w14:paraId="2F39CEC2" w14:textId="77777777" w:rsidR="00066988" w:rsidRDefault="00066988" w:rsidP="00447875">
      <w:pPr>
        <w:spacing w:line="360" w:lineRule="auto"/>
        <w:jc w:val="both"/>
        <w:rPr>
          <w:rFonts w:ascii="Palatino Linotype" w:hAnsi="Palatino Linotype" w:cs="Tahoma"/>
          <w:color w:val="000000" w:themeColor="text1"/>
          <w:sz w:val="22"/>
          <w:szCs w:val="22"/>
          <w:lang w:val="es-ES"/>
        </w:rPr>
      </w:pPr>
    </w:p>
    <w:p w14:paraId="70E34F9A" w14:textId="38846AEA" w:rsidR="009C4872" w:rsidRDefault="009C4872" w:rsidP="006C4515">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w:t>
      </w:r>
      <w:r w:rsidRPr="005818A1">
        <w:rPr>
          <w:rFonts w:ascii="Palatino Linotype" w:eastAsia="Calibri" w:hAnsi="Palatino Linotype" w:cs="Tahoma"/>
          <w:bCs/>
          <w:sz w:val="22"/>
          <w:szCs w:val="22"/>
          <w:lang w:eastAsia="en-US"/>
        </w:rPr>
        <w:t xml:space="preserv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de lo solicitado,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w:t>
      </w:r>
      <w:r w:rsidRPr="005818A1">
        <w:rPr>
          <w:rFonts w:ascii="Palatino Linotype" w:eastAsia="Calibri" w:hAnsi="Palatino Linotype" w:cs="Tahoma"/>
          <w:bCs/>
          <w:sz w:val="22"/>
          <w:szCs w:val="22"/>
          <w:lang w:eastAsia="en-US"/>
        </w:rPr>
        <w:lastRenderedPageBreak/>
        <w:t xml:space="preserve">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de Transparencia, en el que</w:t>
      </w:r>
      <w:r w:rsidRPr="005818A1">
        <w:rPr>
          <w:rFonts w:ascii="Palatino Linotype" w:eastAsia="Calibri" w:hAnsi="Palatino Linotype" w:cs="Tahoma"/>
          <w:bCs/>
          <w:sz w:val="22"/>
          <w:szCs w:val="22"/>
          <w:lang w:eastAsia="en-US"/>
        </w:rPr>
        <w:t xml:space="preserve"> funde 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2E599A80" w14:textId="77777777" w:rsidR="00F02890" w:rsidRDefault="00F02890" w:rsidP="006C4515">
      <w:pPr>
        <w:spacing w:line="360" w:lineRule="auto"/>
        <w:jc w:val="both"/>
        <w:rPr>
          <w:rFonts w:ascii="Palatino Linotype" w:hAnsi="Palatino Linotype" w:cs="Tahoma"/>
          <w:color w:val="000000" w:themeColor="text1"/>
          <w:sz w:val="22"/>
          <w:szCs w:val="22"/>
          <w:lang w:val="es-ES"/>
        </w:rPr>
      </w:pPr>
    </w:p>
    <w:p w14:paraId="619D5CB0" w14:textId="0C0C7939" w:rsidR="00AE5C8E" w:rsidRPr="00302243" w:rsidRDefault="00863025" w:rsidP="006C4515">
      <w:pPr>
        <w:spacing w:line="360" w:lineRule="auto"/>
        <w:ind w:right="-93"/>
        <w:jc w:val="both"/>
        <w:rPr>
          <w:rFonts w:ascii="Palatino Linotype" w:hAnsi="Palatino Linotype" w:cs="Tahoma"/>
          <w:b/>
          <w:color w:val="000000" w:themeColor="text1"/>
          <w:sz w:val="22"/>
          <w:szCs w:val="22"/>
        </w:rPr>
      </w:pPr>
      <w:r w:rsidRPr="00302243">
        <w:rPr>
          <w:rFonts w:ascii="Palatino Linotype" w:hAnsi="Palatino Linotype" w:cs="Tahoma"/>
          <w:b/>
          <w:color w:val="000000" w:themeColor="text1"/>
          <w:sz w:val="22"/>
          <w:szCs w:val="22"/>
        </w:rPr>
        <w:t>S</w:t>
      </w:r>
      <w:r w:rsidR="00134409" w:rsidRPr="00302243">
        <w:rPr>
          <w:rFonts w:ascii="Palatino Linotype" w:hAnsi="Palatino Linotype" w:cs="Tahoma"/>
          <w:b/>
          <w:color w:val="000000" w:themeColor="text1"/>
          <w:sz w:val="22"/>
          <w:szCs w:val="22"/>
        </w:rPr>
        <w:t xml:space="preserve">EXTO. Decisión. </w:t>
      </w:r>
    </w:p>
    <w:p w14:paraId="6CF9AACB" w14:textId="77777777" w:rsidR="00AE5C8E" w:rsidRPr="00302243" w:rsidRDefault="00AE5C8E" w:rsidP="006C4515">
      <w:pPr>
        <w:spacing w:line="360" w:lineRule="auto"/>
        <w:ind w:right="-93"/>
        <w:jc w:val="both"/>
        <w:rPr>
          <w:rFonts w:ascii="Palatino Linotype" w:hAnsi="Palatino Linotype" w:cs="Tahoma"/>
          <w:b/>
          <w:color w:val="000000" w:themeColor="text1"/>
          <w:sz w:val="22"/>
          <w:szCs w:val="22"/>
        </w:rPr>
      </w:pPr>
    </w:p>
    <w:p w14:paraId="64EBC4E5" w14:textId="5468C38E" w:rsidR="00186602" w:rsidRPr="00302243" w:rsidRDefault="00134409" w:rsidP="006C4515">
      <w:pPr>
        <w:spacing w:line="360" w:lineRule="auto"/>
        <w:ind w:right="-93"/>
        <w:jc w:val="both"/>
        <w:rPr>
          <w:rFonts w:ascii="Palatino Linotype" w:eastAsia="Calibri" w:hAnsi="Palatino Linotype" w:cs="Tahoma"/>
          <w:iCs/>
          <w:color w:val="000000" w:themeColor="text1"/>
          <w:sz w:val="22"/>
          <w:szCs w:val="22"/>
          <w:lang w:val="es-ES" w:eastAsia="es-ES_tradnl"/>
        </w:rPr>
      </w:pPr>
      <w:r w:rsidRPr="00302243">
        <w:rPr>
          <w:rFonts w:ascii="Palatino Linotype" w:hAnsi="Palatino Linotype" w:cs="Tahoma"/>
          <w:color w:val="000000" w:themeColor="text1"/>
          <w:sz w:val="22"/>
          <w:szCs w:val="22"/>
        </w:rPr>
        <w:t xml:space="preserve">Con fundamento en el artículo 186, fracción III, de la Ley de Transparencia y Acceso a la Información Pública del Estado de México y Municipios, este Instituto considera procedente </w:t>
      </w:r>
      <w:r w:rsidR="009C4872">
        <w:rPr>
          <w:rFonts w:ascii="Palatino Linotype" w:hAnsi="Palatino Linotype" w:cs="Tahoma"/>
          <w:b/>
          <w:color w:val="000000" w:themeColor="text1"/>
          <w:sz w:val="22"/>
          <w:szCs w:val="22"/>
        </w:rPr>
        <w:t xml:space="preserve">MODIFICAR </w:t>
      </w:r>
      <w:r w:rsidRPr="00302243">
        <w:rPr>
          <w:rFonts w:ascii="Palatino Linotype" w:hAnsi="Palatino Linotype" w:cs="Tahoma"/>
          <w:color w:val="000000" w:themeColor="text1"/>
          <w:sz w:val="22"/>
          <w:szCs w:val="22"/>
        </w:rPr>
        <w:t xml:space="preserve">la respuesta otorgada por el </w:t>
      </w:r>
      <w:r w:rsidR="0074079C" w:rsidRPr="00302243">
        <w:rPr>
          <w:rFonts w:ascii="Palatino Linotype" w:hAnsi="Palatino Linotype" w:cs="Tahoma"/>
          <w:color w:val="000000" w:themeColor="text1"/>
          <w:sz w:val="22"/>
          <w:szCs w:val="22"/>
        </w:rPr>
        <w:t xml:space="preserve">Ayuntamiento de </w:t>
      </w:r>
      <w:r w:rsidR="000457BC" w:rsidRPr="00302243">
        <w:rPr>
          <w:rFonts w:ascii="Palatino Linotype" w:hAnsi="Palatino Linotype" w:cs="Tahoma"/>
          <w:color w:val="000000" w:themeColor="text1"/>
          <w:sz w:val="22"/>
          <w:szCs w:val="22"/>
        </w:rPr>
        <w:t>Nicolás Romero</w:t>
      </w:r>
      <w:r w:rsidRPr="00302243">
        <w:rPr>
          <w:rFonts w:ascii="Palatino Linotype" w:hAnsi="Palatino Linotype" w:cs="Tahoma"/>
          <w:color w:val="000000" w:themeColor="text1"/>
          <w:sz w:val="22"/>
          <w:szCs w:val="22"/>
        </w:rPr>
        <w:t>,</w:t>
      </w:r>
      <w:r w:rsidRPr="00302243">
        <w:rPr>
          <w:rFonts w:ascii="Palatino Linotype" w:eastAsia="Calibri" w:hAnsi="Palatino Linotype" w:cs="Tahoma"/>
          <w:color w:val="000000" w:themeColor="text1"/>
          <w:sz w:val="22"/>
          <w:szCs w:val="22"/>
          <w:lang w:eastAsia="en-US"/>
        </w:rPr>
        <w:t xml:space="preserve"> e</w:t>
      </w:r>
      <w:r w:rsidRPr="00302243">
        <w:rPr>
          <w:rFonts w:ascii="Palatino Linotype" w:hAnsi="Palatino Linotype" w:cs="Tahoma"/>
          <w:color w:val="000000" w:themeColor="text1"/>
          <w:sz w:val="22"/>
          <w:szCs w:val="22"/>
        </w:rPr>
        <w:t xml:space="preserve"> ins</w:t>
      </w:r>
      <w:r w:rsidR="00801575" w:rsidRPr="00302243">
        <w:rPr>
          <w:rFonts w:ascii="Palatino Linotype" w:hAnsi="Palatino Linotype" w:cs="Tahoma"/>
          <w:color w:val="000000" w:themeColor="text1"/>
          <w:sz w:val="22"/>
          <w:szCs w:val="22"/>
        </w:rPr>
        <w:t>truir a efecto de que entregue,</w:t>
      </w:r>
      <w:r w:rsidRPr="00302243">
        <w:rPr>
          <w:rFonts w:ascii="Palatino Linotype" w:hAnsi="Palatino Linotype" w:cs="Tahoma"/>
          <w:color w:val="000000" w:themeColor="text1"/>
          <w:sz w:val="22"/>
          <w:szCs w:val="22"/>
        </w:rPr>
        <w:t xml:space="preserve"> </w:t>
      </w:r>
      <w:r w:rsidRPr="00302243">
        <w:rPr>
          <w:rFonts w:ascii="Palatino Linotype" w:eastAsia="Calibri" w:hAnsi="Palatino Linotype" w:cs="Tahoma"/>
          <w:iCs/>
          <w:color w:val="000000" w:themeColor="text1"/>
          <w:sz w:val="22"/>
          <w:szCs w:val="22"/>
          <w:lang w:eastAsia="es-ES_tradnl"/>
        </w:rPr>
        <w:t>a través del Sistema de Acceso a la Información Mexiquense (SAIMEX),</w:t>
      </w:r>
      <w:r w:rsidR="00186602" w:rsidRPr="00302243">
        <w:rPr>
          <w:rFonts w:ascii="Palatino Linotype" w:eastAsia="Calibri" w:hAnsi="Palatino Linotype" w:cs="Tahoma"/>
          <w:iCs/>
          <w:color w:val="000000" w:themeColor="text1"/>
          <w:sz w:val="22"/>
          <w:szCs w:val="22"/>
          <w:lang w:eastAsia="es-ES_tradnl"/>
        </w:rPr>
        <w:t xml:space="preserve"> previa búsqueda exhaustiva y razonable, en todas las unidades administrativas competentes, entre las cuales no podrá omitir a la </w:t>
      </w:r>
      <w:r w:rsidR="009C4872">
        <w:rPr>
          <w:rFonts w:ascii="Palatino Linotype" w:eastAsia="Calibri" w:hAnsi="Palatino Linotype" w:cs="Tahoma"/>
          <w:iCs/>
          <w:color w:val="000000" w:themeColor="text1"/>
          <w:sz w:val="22"/>
          <w:szCs w:val="22"/>
          <w:lang w:eastAsia="es-ES_tradnl"/>
        </w:rPr>
        <w:t>Secretaría del Ayuntamiento, la Dirección de Obras Públicas y de Administración</w:t>
      </w:r>
      <w:r w:rsidR="00186602" w:rsidRPr="00302243">
        <w:rPr>
          <w:rFonts w:ascii="Palatino Linotype" w:eastAsia="Calibri" w:hAnsi="Palatino Linotype" w:cs="Tahoma"/>
          <w:iCs/>
          <w:color w:val="000000" w:themeColor="text1"/>
          <w:sz w:val="22"/>
          <w:szCs w:val="22"/>
          <w:lang w:eastAsia="es-ES_tradnl"/>
        </w:rPr>
        <w:t xml:space="preserve">, </w:t>
      </w:r>
      <w:r w:rsidR="009C4872">
        <w:rPr>
          <w:rFonts w:ascii="Palatino Linotype" w:eastAsia="Calibri" w:hAnsi="Palatino Linotype" w:cs="Tahoma"/>
          <w:iCs/>
          <w:color w:val="000000" w:themeColor="text1"/>
          <w:sz w:val="22"/>
          <w:szCs w:val="22"/>
          <w:lang w:eastAsia="es-ES_tradnl"/>
        </w:rPr>
        <w:t xml:space="preserve">del primero de enero al diecinueve de agosto de dos mil diecinueve, </w:t>
      </w:r>
      <w:r w:rsidR="00AF7D78" w:rsidRPr="00302243">
        <w:rPr>
          <w:rFonts w:ascii="Palatino Linotype" w:eastAsia="Calibri" w:hAnsi="Palatino Linotype" w:cs="Tahoma"/>
          <w:iCs/>
          <w:color w:val="000000" w:themeColor="text1"/>
          <w:sz w:val="22"/>
          <w:szCs w:val="22"/>
          <w:lang w:val="es-ES" w:eastAsia="es-ES_tradnl"/>
        </w:rPr>
        <w:t>lo siguiente:</w:t>
      </w:r>
    </w:p>
    <w:p w14:paraId="242257DF" w14:textId="77777777" w:rsidR="00801575" w:rsidRPr="00302243" w:rsidRDefault="00801575" w:rsidP="006C4515">
      <w:pPr>
        <w:spacing w:line="360" w:lineRule="auto"/>
        <w:ind w:right="-93"/>
        <w:jc w:val="both"/>
        <w:rPr>
          <w:rFonts w:ascii="Palatino Linotype" w:eastAsia="Calibri" w:hAnsi="Palatino Linotype" w:cs="Tahoma"/>
          <w:iCs/>
          <w:color w:val="000000" w:themeColor="text1"/>
          <w:sz w:val="22"/>
          <w:szCs w:val="22"/>
          <w:lang w:eastAsia="es-ES_tradnl"/>
        </w:rPr>
      </w:pPr>
    </w:p>
    <w:p w14:paraId="14F8F8A3" w14:textId="7222F7D1" w:rsidR="00AF7D78" w:rsidRDefault="00FD6B24" w:rsidP="006C4515">
      <w:pPr>
        <w:pStyle w:val="Prrafodelista"/>
        <w:numPr>
          <w:ilvl w:val="0"/>
          <w:numId w:val="15"/>
        </w:numPr>
        <w:spacing w:line="360" w:lineRule="auto"/>
        <w:ind w:right="-93"/>
        <w:jc w:val="both"/>
        <w:rPr>
          <w:rFonts w:ascii="Palatino Linotype" w:eastAsia="Calibri" w:hAnsi="Palatino Linotype" w:cs="Tahoma"/>
          <w:iCs/>
          <w:color w:val="000000" w:themeColor="text1"/>
          <w:szCs w:val="22"/>
          <w:lang w:eastAsia="es-ES_tradnl"/>
        </w:rPr>
      </w:pPr>
      <w:r w:rsidRPr="00FD6B24">
        <w:rPr>
          <w:rFonts w:ascii="Palatino Linotype" w:eastAsia="Calibri" w:hAnsi="Palatino Linotype" w:cs="Tahoma"/>
          <w:iCs/>
          <w:color w:val="000000" w:themeColor="text1"/>
          <w:szCs w:val="22"/>
          <w:lang w:eastAsia="es-ES_tradnl"/>
        </w:rPr>
        <w:t>Las gacetas municipal en donde se haya publicado:</w:t>
      </w:r>
    </w:p>
    <w:p w14:paraId="503B1C72" w14:textId="77777777" w:rsidR="00FD6B24" w:rsidRDefault="00FD6B24"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72AA42DE" w14:textId="67428D44" w:rsidR="00FD6B24" w:rsidRPr="00FD6B24" w:rsidRDefault="00776534" w:rsidP="006C4515">
      <w:pPr>
        <w:pStyle w:val="Prrafodelista"/>
        <w:numPr>
          <w:ilvl w:val="0"/>
          <w:numId w:val="33"/>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El </w:t>
      </w:r>
      <w:r w:rsidR="00FD6B24" w:rsidRPr="00FD6B24">
        <w:rPr>
          <w:rFonts w:ascii="Palatino Linotype" w:eastAsia="Calibri" w:hAnsi="Palatino Linotype" w:cs="Tahoma"/>
          <w:iCs/>
          <w:color w:val="000000" w:themeColor="text1"/>
          <w:szCs w:val="22"/>
          <w:lang w:eastAsia="es-ES_tradnl"/>
        </w:rPr>
        <w:t>Programa anual de obra pública, aprobado el veintiuno de febrero de dos mil diecinueve;</w:t>
      </w:r>
    </w:p>
    <w:p w14:paraId="08D4260E" w14:textId="0F5626C2" w:rsidR="00FD6B24" w:rsidRPr="00FD6B24" w:rsidRDefault="00776534" w:rsidP="006C4515">
      <w:pPr>
        <w:pStyle w:val="Prrafodelista"/>
        <w:numPr>
          <w:ilvl w:val="0"/>
          <w:numId w:val="33"/>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m</w:t>
      </w:r>
      <w:r w:rsidR="00FD6B24" w:rsidRPr="00FD6B24">
        <w:rPr>
          <w:rFonts w:ascii="Palatino Linotype" w:eastAsia="Calibri" w:hAnsi="Palatino Linotype" w:cs="Tahoma"/>
          <w:iCs/>
          <w:color w:val="000000" w:themeColor="text1"/>
          <w:szCs w:val="22"/>
          <w:lang w:eastAsia="es-ES_tradnl"/>
        </w:rPr>
        <w:t xml:space="preserve">odificación al programa anual de obra pública, </w:t>
      </w:r>
      <w:r w:rsidR="00F84058">
        <w:rPr>
          <w:rFonts w:ascii="Palatino Linotype" w:eastAsia="Calibri" w:hAnsi="Palatino Linotype" w:cs="Tahoma"/>
          <w:iCs/>
          <w:color w:val="000000" w:themeColor="text1"/>
          <w:szCs w:val="22"/>
          <w:lang w:eastAsia="es-ES_tradnl"/>
        </w:rPr>
        <w:t>d</w:t>
      </w:r>
      <w:r w:rsidR="00FD6B24" w:rsidRPr="00FD6B24">
        <w:rPr>
          <w:rFonts w:ascii="Palatino Linotype" w:eastAsia="Calibri" w:hAnsi="Palatino Linotype" w:cs="Tahoma"/>
          <w:iCs/>
          <w:color w:val="000000" w:themeColor="text1"/>
          <w:szCs w:val="22"/>
          <w:lang w:eastAsia="es-ES_tradnl"/>
        </w:rPr>
        <w:t xml:space="preserve">el veintiséis de julio </w:t>
      </w:r>
      <w:r w:rsidR="00F84058">
        <w:rPr>
          <w:rFonts w:ascii="Palatino Linotype" w:eastAsia="Calibri" w:hAnsi="Palatino Linotype" w:cs="Tahoma"/>
          <w:iCs/>
          <w:color w:val="000000" w:themeColor="text1"/>
          <w:szCs w:val="22"/>
          <w:lang w:eastAsia="es-ES_tradnl"/>
        </w:rPr>
        <w:t xml:space="preserve"> y del nueve de agosto, ambos de la presente a</w:t>
      </w:r>
      <w:r>
        <w:rPr>
          <w:rFonts w:ascii="Palatino Linotype" w:eastAsia="Calibri" w:hAnsi="Palatino Linotype" w:cs="Tahoma"/>
          <w:iCs/>
          <w:color w:val="000000" w:themeColor="text1"/>
          <w:szCs w:val="22"/>
          <w:lang w:eastAsia="es-ES_tradnl"/>
        </w:rPr>
        <w:t>nualidad, y</w:t>
      </w:r>
    </w:p>
    <w:p w14:paraId="087BEE3B" w14:textId="1DA1D694" w:rsidR="00FD6B24" w:rsidRPr="00FD6B24" w:rsidRDefault="00776534" w:rsidP="006C4515">
      <w:pPr>
        <w:pStyle w:val="Prrafodelista"/>
        <w:numPr>
          <w:ilvl w:val="0"/>
          <w:numId w:val="33"/>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El </w:t>
      </w:r>
      <w:r w:rsidR="00FD6B24" w:rsidRPr="00FD6B24">
        <w:rPr>
          <w:rFonts w:ascii="Palatino Linotype" w:eastAsia="Calibri" w:hAnsi="Palatino Linotype" w:cs="Tahoma"/>
          <w:iCs/>
          <w:color w:val="000000" w:themeColor="text1"/>
          <w:szCs w:val="22"/>
          <w:lang w:eastAsia="es-ES_tradnl"/>
        </w:rPr>
        <w:t>Plan de Desarrollo Municipal de Nicolás Romero, 2019-2021.</w:t>
      </w:r>
    </w:p>
    <w:p w14:paraId="22B1C003" w14:textId="77777777" w:rsidR="00FD6B24" w:rsidRPr="00302243" w:rsidRDefault="00FD6B24"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6DF94820" w14:textId="7A084382" w:rsidR="00AF7D78" w:rsidRDefault="00F84058" w:rsidP="006C4515">
      <w:pPr>
        <w:pStyle w:val="Prrafodelista"/>
        <w:numPr>
          <w:ilvl w:val="0"/>
          <w:numId w:val="15"/>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Los documentos, en su caso en versión pública, donde consten las funciones y actividades de cada uno de los puestos que conforman a la Dirección de Obras Públicas;</w:t>
      </w:r>
    </w:p>
    <w:p w14:paraId="5DC093E9" w14:textId="7054606A" w:rsidR="00AF7D78" w:rsidRPr="00DA66CF" w:rsidRDefault="00F84058" w:rsidP="006C4515">
      <w:pPr>
        <w:pStyle w:val="Prrafodelista"/>
        <w:numPr>
          <w:ilvl w:val="0"/>
          <w:numId w:val="15"/>
        </w:numPr>
        <w:spacing w:line="360" w:lineRule="auto"/>
        <w:ind w:right="-93"/>
        <w:jc w:val="both"/>
        <w:rPr>
          <w:rFonts w:ascii="Palatino Linotype" w:eastAsia="Calibri" w:hAnsi="Palatino Linotype" w:cs="Tahoma"/>
          <w:b/>
          <w:iCs/>
          <w:color w:val="000000" w:themeColor="text1"/>
          <w:szCs w:val="22"/>
          <w:lang w:eastAsia="es-ES_tradnl"/>
        </w:rPr>
      </w:pPr>
      <w:r w:rsidRPr="00DA66CF">
        <w:rPr>
          <w:rFonts w:ascii="Palatino Linotype" w:eastAsia="Calibri" w:hAnsi="Palatino Linotype" w:cs="Tahoma"/>
          <w:iCs/>
          <w:color w:val="000000" w:themeColor="text1"/>
          <w:szCs w:val="22"/>
          <w:lang w:eastAsia="es-ES_tradnl"/>
        </w:rPr>
        <w:lastRenderedPageBreak/>
        <w:t xml:space="preserve">Respecto </w:t>
      </w:r>
      <w:r w:rsidR="00957D8D" w:rsidRPr="00DA66CF">
        <w:rPr>
          <w:rFonts w:ascii="Palatino Linotype" w:eastAsia="Calibri" w:hAnsi="Palatino Linotype" w:cs="Tahoma"/>
          <w:iCs/>
          <w:color w:val="000000" w:themeColor="text1"/>
          <w:szCs w:val="22"/>
          <w:lang w:eastAsia="es-ES_tradnl"/>
        </w:rPr>
        <w:t>a las obras contratadas</w:t>
      </w:r>
      <w:r w:rsidR="00DA66CF" w:rsidRPr="00DA66CF">
        <w:rPr>
          <w:rFonts w:ascii="Palatino Linotype" w:eastAsia="Calibri" w:hAnsi="Palatino Linotype" w:cs="Tahoma"/>
          <w:iCs/>
          <w:color w:val="000000" w:themeColor="text1"/>
          <w:szCs w:val="22"/>
          <w:lang w:eastAsia="es-ES_tradnl"/>
        </w:rPr>
        <w:t xml:space="preserve"> con recursos del </w:t>
      </w:r>
      <w:r w:rsidR="00472A49" w:rsidRPr="00DA66CF">
        <w:rPr>
          <w:rFonts w:ascii="Palatino Linotype" w:eastAsia="Calibri" w:hAnsi="Palatino Linotype" w:cs="Tahoma"/>
          <w:iCs/>
          <w:color w:val="000000" w:themeColor="text1"/>
          <w:szCs w:val="22"/>
          <w:lang w:eastAsia="es-ES_tradnl"/>
        </w:rPr>
        <w:t xml:space="preserve">Fondo de Infraestructura Social Municipal y Demarcaciones Territoriales del Distrito Federal, </w:t>
      </w:r>
      <w:r w:rsidR="00DA66CF">
        <w:rPr>
          <w:rFonts w:ascii="Palatino Linotype" w:eastAsia="Calibri" w:hAnsi="Palatino Linotype" w:cs="Tahoma"/>
          <w:iCs/>
          <w:color w:val="000000" w:themeColor="text1"/>
          <w:szCs w:val="22"/>
          <w:lang w:eastAsia="es-ES_tradnl"/>
        </w:rPr>
        <w:t>en relación</w:t>
      </w:r>
      <w:r w:rsidR="00957D8D" w:rsidRPr="00DA66CF">
        <w:rPr>
          <w:rFonts w:ascii="Palatino Linotype" w:eastAsia="Calibri" w:hAnsi="Palatino Linotype" w:cs="Tahoma"/>
          <w:iCs/>
          <w:color w:val="000000" w:themeColor="text1"/>
          <w:szCs w:val="22"/>
          <w:lang w:eastAsia="es-ES_tradnl"/>
        </w:rPr>
        <w:t xml:space="preserve"> a los contratos con número </w:t>
      </w:r>
      <w:r w:rsidR="00957D8D" w:rsidRPr="00DA66CF">
        <w:rPr>
          <w:rFonts w:ascii="Palatino Linotype" w:eastAsia="Calibri" w:hAnsi="Palatino Linotype" w:cs="Tahoma"/>
          <w:bCs/>
          <w:iCs/>
          <w:color w:val="000000" w:themeColor="text1"/>
          <w:szCs w:val="22"/>
          <w:lang w:eastAsia="es-ES_tradnl"/>
        </w:rPr>
        <w:t xml:space="preserve">NR-DOP-FISMDF-LP-001-19, NR-DOP-FISMDF-LP-002-19, NR-DOP-FISMDF-LP-003-19, NR-DOP-FISMDF-IR-004-19, NR-DOP-FISMDF-IR-005-19, NR-DOP-FISMDF-IR-006-19, NR-DOP-FISMDF-IR-007-19, NR-DOP-FISMDF-IR-008-19, NR-DOP-FISMDF-LP-009-19, NR-DOP-FISMDF-LP-010-19 y NR-DOP-FISMDF-LP-011-19, </w:t>
      </w:r>
      <w:r w:rsidR="00DA66CF">
        <w:rPr>
          <w:rFonts w:ascii="Palatino Linotype" w:eastAsia="Calibri" w:hAnsi="Palatino Linotype" w:cs="Tahoma"/>
          <w:bCs/>
          <w:iCs/>
          <w:color w:val="000000" w:themeColor="text1"/>
          <w:szCs w:val="22"/>
          <w:lang w:eastAsia="es-ES_tradnl"/>
        </w:rPr>
        <w:t>los documentos, en su caso, en versión pública, donde conste lo siguiente</w:t>
      </w:r>
      <w:r w:rsidR="00472A49" w:rsidRPr="00DA66CF">
        <w:rPr>
          <w:rFonts w:ascii="Palatino Linotype" w:eastAsia="Calibri" w:hAnsi="Palatino Linotype" w:cs="Tahoma"/>
          <w:iCs/>
          <w:color w:val="000000" w:themeColor="text1"/>
          <w:szCs w:val="22"/>
          <w:lang w:eastAsia="es-ES_tradnl"/>
        </w:rPr>
        <w:t>:</w:t>
      </w:r>
    </w:p>
    <w:p w14:paraId="62AF5DDD" w14:textId="77777777" w:rsidR="00472A49" w:rsidRPr="00472A49" w:rsidRDefault="00472A49" w:rsidP="006C4515">
      <w:pPr>
        <w:pStyle w:val="Prrafodelista"/>
        <w:spacing w:line="360" w:lineRule="auto"/>
        <w:rPr>
          <w:rFonts w:ascii="Palatino Linotype" w:eastAsia="Calibri" w:hAnsi="Palatino Linotype" w:cs="Tahoma"/>
          <w:iCs/>
          <w:color w:val="000000" w:themeColor="text1"/>
          <w:szCs w:val="22"/>
          <w:lang w:eastAsia="es-ES_tradnl"/>
        </w:rPr>
      </w:pPr>
    </w:p>
    <w:p w14:paraId="1499932A" w14:textId="56976862" w:rsidR="00472A49" w:rsidRDefault="00DA66CF" w:rsidP="006C4515">
      <w:pPr>
        <w:pStyle w:val="Prrafodelista"/>
        <w:numPr>
          <w:ilvl w:val="0"/>
          <w:numId w:val="36"/>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E</w:t>
      </w:r>
      <w:r w:rsidR="00957D8D" w:rsidRPr="00957D8D">
        <w:rPr>
          <w:rFonts w:ascii="Palatino Linotype" w:eastAsia="Calibri" w:hAnsi="Palatino Linotype" w:cs="Tahoma"/>
          <w:iCs/>
          <w:color w:val="000000" w:themeColor="text1"/>
          <w:szCs w:val="22"/>
          <w:lang w:eastAsia="es-ES_tradnl"/>
        </w:rPr>
        <w:t xml:space="preserve">l proceso realizado, desde la convocatoria o invitación hasta la suscripción </w:t>
      </w:r>
      <w:r w:rsidR="00957D8D">
        <w:rPr>
          <w:rFonts w:ascii="Palatino Linotype" w:eastAsia="Calibri" w:hAnsi="Palatino Linotype" w:cs="Tahoma"/>
          <w:iCs/>
          <w:color w:val="000000" w:themeColor="text1"/>
          <w:szCs w:val="22"/>
          <w:lang w:eastAsia="es-ES_tradnl"/>
        </w:rPr>
        <w:t>de los contratos;</w:t>
      </w:r>
    </w:p>
    <w:p w14:paraId="5195F5EF" w14:textId="6A700771" w:rsidR="00957D8D" w:rsidRDefault="00DA66CF" w:rsidP="006C4515">
      <w:pPr>
        <w:pStyle w:val="Prrafodelista"/>
        <w:numPr>
          <w:ilvl w:val="0"/>
          <w:numId w:val="36"/>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w:t>
      </w:r>
      <w:r w:rsidR="00957D8D">
        <w:rPr>
          <w:rFonts w:ascii="Palatino Linotype" w:eastAsia="Calibri" w:hAnsi="Palatino Linotype" w:cs="Tahoma"/>
          <w:iCs/>
          <w:color w:val="000000" w:themeColor="text1"/>
          <w:szCs w:val="22"/>
          <w:lang w:eastAsia="es-ES_tradnl"/>
        </w:rPr>
        <w:t xml:space="preserve">as </w:t>
      </w:r>
      <w:r w:rsidR="00957D8D" w:rsidRPr="00957D8D">
        <w:rPr>
          <w:rFonts w:ascii="Palatino Linotype" w:eastAsia="Calibri" w:hAnsi="Palatino Linotype" w:cs="Tahoma"/>
          <w:iCs/>
          <w:color w:val="000000" w:themeColor="text1"/>
          <w:szCs w:val="22"/>
          <w:lang w:eastAsia="es-ES_tradnl"/>
        </w:rPr>
        <w:t>estimaciones realizadas por los contratistas y su respectiva información comprobatoria</w:t>
      </w:r>
      <w:r w:rsidR="00C812E3">
        <w:rPr>
          <w:rFonts w:ascii="Palatino Linotype" w:eastAsia="Calibri" w:hAnsi="Palatino Linotype" w:cs="Tahoma"/>
          <w:iCs/>
          <w:color w:val="000000" w:themeColor="text1"/>
          <w:szCs w:val="22"/>
          <w:lang w:eastAsia="es-ES_tradnl"/>
        </w:rPr>
        <w:t>;</w:t>
      </w:r>
    </w:p>
    <w:p w14:paraId="64CB79FD" w14:textId="0B34ABEB" w:rsidR="00C812E3" w:rsidRDefault="00DA66CF" w:rsidP="006C4515">
      <w:pPr>
        <w:pStyle w:val="Prrafodelista"/>
        <w:numPr>
          <w:ilvl w:val="0"/>
          <w:numId w:val="36"/>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bitácoras de obra, y</w:t>
      </w:r>
    </w:p>
    <w:p w14:paraId="132C7F56" w14:textId="6AD18379" w:rsidR="00472A49" w:rsidRDefault="00DA66CF" w:rsidP="006C4515">
      <w:pPr>
        <w:pStyle w:val="Prrafodelista"/>
        <w:numPr>
          <w:ilvl w:val="0"/>
          <w:numId w:val="36"/>
        </w:numPr>
        <w:spacing w:line="360" w:lineRule="auto"/>
        <w:ind w:right="-93"/>
        <w:jc w:val="both"/>
        <w:rPr>
          <w:rFonts w:ascii="Palatino Linotype" w:eastAsia="Calibri" w:hAnsi="Palatino Linotype" w:cs="Tahoma"/>
          <w:iCs/>
          <w:color w:val="000000" w:themeColor="text1"/>
          <w:szCs w:val="22"/>
          <w:lang w:eastAsia="es-ES_tradnl"/>
        </w:rPr>
      </w:pPr>
      <w:r w:rsidRPr="00911E2D">
        <w:rPr>
          <w:rFonts w:ascii="Palatino Linotype" w:eastAsia="Calibri" w:hAnsi="Palatino Linotype" w:cs="Tahoma"/>
          <w:iCs/>
          <w:color w:val="000000" w:themeColor="text1"/>
          <w:szCs w:val="22"/>
          <w:lang w:eastAsia="es-ES_tradnl"/>
        </w:rPr>
        <w:t xml:space="preserve">Versión íntegra de </w:t>
      </w:r>
      <w:r w:rsidR="00911E2D" w:rsidRPr="00911E2D">
        <w:rPr>
          <w:rFonts w:ascii="Palatino Linotype" w:eastAsia="Calibri" w:hAnsi="Palatino Linotype" w:cs="Tahoma"/>
          <w:iCs/>
          <w:color w:val="000000" w:themeColor="text1"/>
          <w:szCs w:val="22"/>
          <w:lang w:eastAsia="es-ES_tradnl"/>
        </w:rPr>
        <w:t>las Fianzas y los oficios de entrega del</w:t>
      </w:r>
      <w:r w:rsidR="00911E2D">
        <w:rPr>
          <w:rFonts w:ascii="Palatino Linotype" w:eastAsia="Calibri" w:hAnsi="Palatino Linotype" w:cs="Tahoma"/>
          <w:iCs/>
          <w:color w:val="000000" w:themeColor="text1"/>
          <w:szCs w:val="22"/>
          <w:lang w:eastAsia="es-ES_tradnl"/>
        </w:rPr>
        <w:t xml:space="preserve"> lugar de trabajo</w:t>
      </w:r>
      <w:r w:rsidR="00B8640E">
        <w:rPr>
          <w:rFonts w:ascii="Palatino Linotype" w:eastAsia="Calibri" w:hAnsi="Palatino Linotype" w:cs="Tahoma"/>
          <w:iCs/>
          <w:color w:val="000000" w:themeColor="text1"/>
          <w:szCs w:val="22"/>
          <w:lang w:eastAsia="es-ES_tradnl"/>
        </w:rPr>
        <w:t xml:space="preserve"> a los contratistas</w:t>
      </w:r>
      <w:r w:rsidR="00911E2D">
        <w:rPr>
          <w:rFonts w:ascii="Palatino Linotype" w:eastAsia="Calibri" w:hAnsi="Palatino Linotype" w:cs="Tahoma"/>
          <w:iCs/>
          <w:color w:val="000000" w:themeColor="text1"/>
          <w:szCs w:val="22"/>
          <w:lang w:eastAsia="es-ES_tradnl"/>
        </w:rPr>
        <w:t>, proporcionado</w:t>
      </w:r>
      <w:r w:rsidR="00911E2D" w:rsidRPr="00911E2D">
        <w:rPr>
          <w:rFonts w:ascii="Palatino Linotype" w:eastAsia="Calibri" w:hAnsi="Palatino Linotype" w:cs="Tahoma"/>
          <w:iCs/>
          <w:color w:val="000000" w:themeColor="text1"/>
          <w:szCs w:val="22"/>
          <w:lang w:eastAsia="es-ES_tradnl"/>
        </w:rPr>
        <w:t>s en respuesta</w:t>
      </w:r>
      <w:r w:rsidR="00911E2D">
        <w:rPr>
          <w:rFonts w:ascii="Palatino Linotype" w:eastAsia="Calibri" w:hAnsi="Palatino Linotype" w:cs="Tahoma"/>
          <w:iCs/>
          <w:color w:val="000000" w:themeColor="text1"/>
          <w:szCs w:val="22"/>
          <w:lang w:eastAsia="es-ES_tradnl"/>
        </w:rPr>
        <w:t>.</w:t>
      </w:r>
    </w:p>
    <w:p w14:paraId="7C10554D" w14:textId="77777777" w:rsidR="00911E2D" w:rsidRPr="00911E2D" w:rsidRDefault="00911E2D" w:rsidP="006C4515">
      <w:pPr>
        <w:pStyle w:val="Prrafodelista"/>
        <w:spacing w:line="360" w:lineRule="auto"/>
        <w:ind w:left="1440" w:right="-93"/>
        <w:jc w:val="both"/>
        <w:rPr>
          <w:rFonts w:ascii="Palatino Linotype" w:eastAsia="Calibri" w:hAnsi="Palatino Linotype" w:cs="Tahoma"/>
          <w:iCs/>
          <w:color w:val="000000" w:themeColor="text1"/>
          <w:szCs w:val="22"/>
          <w:lang w:eastAsia="es-ES_tradnl"/>
        </w:rPr>
      </w:pPr>
    </w:p>
    <w:p w14:paraId="6D20821D" w14:textId="7E36D716" w:rsidR="00472A49" w:rsidRDefault="00911E2D" w:rsidP="006C4515">
      <w:pPr>
        <w:pStyle w:val="Prrafodelista"/>
        <w:numPr>
          <w:ilvl w:val="0"/>
          <w:numId w:val="15"/>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Respecto a las obras contratadas con recursos propios municipales, los documentos donde conste</w:t>
      </w:r>
      <w:r w:rsidR="001701F4">
        <w:rPr>
          <w:rFonts w:ascii="Palatino Linotype" w:eastAsia="Calibri" w:hAnsi="Palatino Linotype" w:cs="Tahoma"/>
          <w:iCs/>
          <w:color w:val="000000" w:themeColor="text1"/>
          <w:szCs w:val="22"/>
          <w:lang w:eastAsia="es-ES_tradnl"/>
        </w:rPr>
        <w:t>, en su caso, en versión pública,</w:t>
      </w:r>
      <w:r>
        <w:rPr>
          <w:rFonts w:ascii="Palatino Linotype" w:eastAsia="Calibri" w:hAnsi="Palatino Linotype" w:cs="Tahoma"/>
          <w:iCs/>
          <w:color w:val="000000" w:themeColor="text1"/>
          <w:szCs w:val="22"/>
          <w:lang w:eastAsia="es-ES_tradnl"/>
        </w:rPr>
        <w:t xml:space="preserve"> lo siguiente:</w:t>
      </w:r>
    </w:p>
    <w:p w14:paraId="0988F8E6" w14:textId="77777777" w:rsidR="00B8640E" w:rsidRDefault="00B8640E"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755010B3" w14:textId="2E9AE888" w:rsidR="001701F4" w:rsidRDefault="001701F4"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Listado de aquellas contratadas, del primero de enero al diecisiete de agosto de dos mil diecinueve;</w:t>
      </w:r>
    </w:p>
    <w:p w14:paraId="520B21A2" w14:textId="77777777" w:rsidR="001701F4" w:rsidRDefault="001701F4"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E</w:t>
      </w:r>
      <w:r w:rsidRPr="00957D8D">
        <w:rPr>
          <w:rFonts w:ascii="Palatino Linotype" w:eastAsia="Calibri" w:hAnsi="Palatino Linotype" w:cs="Tahoma"/>
          <w:iCs/>
          <w:color w:val="000000" w:themeColor="text1"/>
          <w:szCs w:val="22"/>
          <w:lang w:eastAsia="es-ES_tradnl"/>
        </w:rPr>
        <w:t xml:space="preserve">l proceso realizado, desde la convocatoria o invitación hasta la suscripción </w:t>
      </w:r>
      <w:r>
        <w:rPr>
          <w:rFonts w:ascii="Palatino Linotype" w:eastAsia="Calibri" w:hAnsi="Palatino Linotype" w:cs="Tahoma"/>
          <w:iCs/>
          <w:color w:val="000000" w:themeColor="text1"/>
          <w:szCs w:val="22"/>
          <w:lang w:eastAsia="es-ES_tradnl"/>
        </w:rPr>
        <w:t>de los contratos;</w:t>
      </w:r>
    </w:p>
    <w:p w14:paraId="101621E4" w14:textId="77777777" w:rsidR="001701F4" w:rsidRDefault="001701F4"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Las </w:t>
      </w:r>
      <w:r w:rsidRPr="00957D8D">
        <w:rPr>
          <w:rFonts w:ascii="Palatino Linotype" w:eastAsia="Calibri" w:hAnsi="Palatino Linotype" w:cs="Tahoma"/>
          <w:iCs/>
          <w:color w:val="000000" w:themeColor="text1"/>
          <w:szCs w:val="22"/>
          <w:lang w:eastAsia="es-ES_tradnl"/>
        </w:rPr>
        <w:t>estimaciones realizadas por los contratistas y su respectiva información comprobatoria</w:t>
      </w:r>
      <w:r>
        <w:rPr>
          <w:rFonts w:ascii="Palatino Linotype" w:eastAsia="Calibri" w:hAnsi="Palatino Linotype" w:cs="Tahoma"/>
          <w:iCs/>
          <w:color w:val="000000" w:themeColor="text1"/>
          <w:szCs w:val="22"/>
          <w:lang w:eastAsia="es-ES_tradnl"/>
        </w:rPr>
        <w:t>;</w:t>
      </w:r>
    </w:p>
    <w:p w14:paraId="191EBA8F" w14:textId="5DD1DBF9" w:rsidR="00B8640E" w:rsidRDefault="00B8640E"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fianzas;</w:t>
      </w:r>
    </w:p>
    <w:p w14:paraId="66C136BD" w14:textId="5B384793" w:rsidR="00B8640E" w:rsidRDefault="00B8640E"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lastRenderedPageBreak/>
        <w:t>L</w:t>
      </w:r>
      <w:r w:rsidRPr="00B8640E">
        <w:rPr>
          <w:rFonts w:ascii="Palatino Linotype" w:eastAsia="Calibri" w:hAnsi="Palatino Linotype" w:cs="Tahoma"/>
          <w:iCs/>
          <w:color w:val="000000" w:themeColor="text1"/>
          <w:szCs w:val="22"/>
          <w:lang w:eastAsia="es-ES_tradnl"/>
        </w:rPr>
        <w:t>os oficios de entrega del lugar de trabajo</w:t>
      </w:r>
      <w:r>
        <w:rPr>
          <w:rFonts w:ascii="Palatino Linotype" w:eastAsia="Calibri" w:hAnsi="Palatino Linotype" w:cs="Tahoma"/>
          <w:iCs/>
          <w:color w:val="000000" w:themeColor="text1"/>
          <w:szCs w:val="22"/>
          <w:lang w:eastAsia="es-ES_tradnl"/>
        </w:rPr>
        <w:t xml:space="preserve"> a los contratistas;</w:t>
      </w:r>
    </w:p>
    <w:p w14:paraId="56F0BD0B" w14:textId="7232CB93" w:rsidR="00B8640E" w:rsidRDefault="00B8640E"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Los oficios donde conste la designación y aceptación del residente de la obra;</w:t>
      </w:r>
    </w:p>
    <w:p w14:paraId="61BE9204" w14:textId="6F6EFC7F" w:rsidR="00B8468D" w:rsidRDefault="001701F4"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bitácoras de obra</w:t>
      </w:r>
      <w:r w:rsidR="00B8468D">
        <w:rPr>
          <w:rFonts w:ascii="Palatino Linotype" w:eastAsia="Calibri" w:hAnsi="Palatino Linotype" w:cs="Tahoma"/>
          <w:iCs/>
          <w:color w:val="000000" w:themeColor="text1"/>
          <w:szCs w:val="22"/>
          <w:lang w:eastAsia="es-ES_tradnl"/>
        </w:rPr>
        <w:t>;</w:t>
      </w:r>
    </w:p>
    <w:p w14:paraId="2C77DD44" w14:textId="62B4DCAC" w:rsidR="00B8468D" w:rsidRDefault="00B8468D"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Porcentaje y periodos de ejecución, y</w:t>
      </w:r>
    </w:p>
    <w:p w14:paraId="3C1ED9BB" w14:textId="79E9FB0D" w:rsidR="001701F4" w:rsidRDefault="00B8468D" w:rsidP="006C4515">
      <w:pPr>
        <w:pStyle w:val="Prrafodelista"/>
        <w:numPr>
          <w:ilvl w:val="0"/>
          <w:numId w:val="37"/>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En caso de atraso, las acciones implementadas.</w:t>
      </w:r>
    </w:p>
    <w:p w14:paraId="18580A8D" w14:textId="77777777" w:rsidR="00801575" w:rsidRPr="00302243" w:rsidRDefault="00801575" w:rsidP="006C4515">
      <w:pPr>
        <w:spacing w:line="360" w:lineRule="auto"/>
        <w:ind w:right="-93"/>
        <w:jc w:val="both"/>
        <w:rPr>
          <w:rFonts w:ascii="Palatino Linotype" w:eastAsia="Calibri" w:hAnsi="Palatino Linotype" w:cs="Tahoma"/>
          <w:iCs/>
          <w:color w:val="000000" w:themeColor="text1"/>
          <w:sz w:val="22"/>
          <w:szCs w:val="22"/>
          <w:lang w:eastAsia="es-ES_tradnl"/>
        </w:rPr>
      </w:pPr>
    </w:p>
    <w:p w14:paraId="0F9AB3BB" w14:textId="046EB6BC" w:rsidR="006B06DE" w:rsidRDefault="006B06DE" w:rsidP="006C4515">
      <w:pPr>
        <w:pStyle w:val="Prrafodelista"/>
        <w:spacing w:line="360" w:lineRule="auto"/>
        <w:ind w:right="-93"/>
        <w:jc w:val="both"/>
        <w:rPr>
          <w:rFonts w:ascii="Palatino Linotype" w:eastAsia="Calibri" w:hAnsi="Palatino Linotype" w:cs="Tahoma"/>
          <w:bCs/>
          <w:iCs/>
          <w:color w:val="000000" w:themeColor="text1"/>
          <w:szCs w:val="22"/>
          <w:lang w:val="es-ES" w:eastAsia="es-ES_tradnl"/>
        </w:rPr>
      </w:pPr>
      <w:r>
        <w:rPr>
          <w:rFonts w:ascii="Palatino Linotype" w:eastAsia="Calibri" w:hAnsi="Palatino Linotype" w:cs="Tahoma"/>
          <w:bCs/>
          <w:iCs/>
          <w:color w:val="000000" w:themeColor="text1"/>
          <w:szCs w:val="22"/>
          <w:lang w:val="es-ES" w:eastAsia="es-ES_tradnl"/>
        </w:rPr>
        <w:t>En el caso, de que del primero de enero al diecinueve de agosto de dos mil diecinueve no se haya contratado alguna obra pública, con recursos municipales propios, deberá hacérselo del conocimiento, del ahora Recurrente, en términos del artículo 19, párrafo segundo de la Ley de Transparencia y Acceso a la Información Pública del Estado de México y Municipios.</w:t>
      </w:r>
    </w:p>
    <w:p w14:paraId="7DCB5D2A" w14:textId="77777777" w:rsidR="006B06DE" w:rsidRDefault="006B06DE" w:rsidP="006C4515">
      <w:pPr>
        <w:spacing w:line="360" w:lineRule="auto"/>
        <w:ind w:right="-93"/>
        <w:jc w:val="both"/>
        <w:rPr>
          <w:rFonts w:ascii="Palatino Linotype" w:eastAsia="Calibri" w:hAnsi="Palatino Linotype" w:cs="Tahoma"/>
          <w:bCs/>
          <w:iCs/>
          <w:color w:val="000000" w:themeColor="text1"/>
          <w:sz w:val="22"/>
          <w:szCs w:val="22"/>
          <w:lang w:val="es-ES" w:eastAsia="es-ES_tradnl"/>
        </w:rPr>
      </w:pPr>
    </w:p>
    <w:p w14:paraId="03957238" w14:textId="11223900" w:rsidR="006B06DE" w:rsidRPr="00C57C74" w:rsidRDefault="00370CFC" w:rsidP="006C4515">
      <w:pPr>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Para el supuesto,</w:t>
      </w:r>
      <w:r w:rsidR="006B06DE" w:rsidRPr="00C57C74">
        <w:rPr>
          <w:rFonts w:ascii="Palatino Linotype" w:eastAsia="Calibri" w:hAnsi="Palatino Linotype" w:cs="Tahoma"/>
          <w:bCs/>
          <w:iCs/>
          <w:sz w:val="22"/>
          <w:szCs w:val="22"/>
          <w:lang w:eastAsia="es-ES_tradnl"/>
        </w:rPr>
        <w:t xml:space="preserve"> de que los documentos localizados, contengan datos o información clasificada, en términos del artículo 143 de la Ley de la materia, el Sujeto Obligado deberá elaborar las versiones públicas respectivas. En ese tenor, deberá emitir y entregar el acuerdo de su Comité de Transparencia, en donde, de manera fundada y motivada, confirme dicha clasificación.</w:t>
      </w:r>
    </w:p>
    <w:p w14:paraId="728C8E31" w14:textId="77777777" w:rsidR="00757AAD" w:rsidRPr="00302243" w:rsidRDefault="00757AAD" w:rsidP="006C4515">
      <w:pPr>
        <w:spacing w:line="360" w:lineRule="auto"/>
        <w:ind w:right="-93"/>
        <w:jc w:val="both"/>
        <w:rPr>
          <w:rFonts w:ascii="Palatino Linotype" w:eastAsia="Calibri" w:hAnsi="Palatino Linotype" w:cs="Tahoma"/>
          <w:iCs/>
          <w:color w:val="000000" w:themeColor="text1"/>
          <w:sz w:val="22"/>
          <w:szCs w:val="22"/>
          <w:lang w:eastAsia="es-ES_tradnl"/>
        </w:rPr>
      </w:pPr>
    </w:p>
    <w:p w14:paraId="0499743B" w14:textId="77777777" w:rsidR="00536006" w:rsidRPr="00302243" w:rsidRDefault="00536006" w:rsidP="006C4515">
      <w:pPr>
        <w:spacing w:line="360" w:lineRule="auto"/>
        <w:jc w:val="both"/>
        <w:rPr>
          <w:rFonts w:ascii="Palatino Linotype" w:eastAsia="Calibri" w:hAnsi="Palatino Linotype" w:cs="Tahoma"/>
          <w:bCs/>
          <w:color w:val="000000" w:themeColor="text1"/>
          <w:sz w:val="22"/>
          <w:szCs w:val="22"/>
          <w:lang w:eastAsia="en-US"/>
        </w:rPr>
      </w:pPr>
      <w:r w:rsidRPr="00302243">
        <w:rPr>
          <w:rFonts w:ascii="Palatino Linotype" w:eastAsia="Calibri" w:hAnsi="Palatino Linotype" w:cs="Tahoma"/>
          <w:bCs/>
          <w:color w:val="000000" w:themeColor="text1"/>
          <w:sz w:val="22"/>
          <w:szCs w:val="22"/>
          <w:lang w:eastAsia="en-US"/>
        </w:rPr>
        <w:t>Por lo expuesto y fundado, este Pleno:</w:t>
      </w:r>
    </w:p>
    <w:p w14:paraId="0E0CA6F8" w14:textId="77777777" w:rsidR="00536006" w:rsidRPr="00302243" w:rsidRDefault="00536006" w:rsidP="006C4515">
      <w:pPr>
        <w:spacing w:line="360" w:lineRule="auto"/>
        <w:jc w:val="both"/>
        <w:rPr>
          <w:rFonts w:ascii="Palatino Linotype" w:eastAsia="Calibri" w:hAnsi="Palatino Linotype" w:cs="Tahoma"/>
          <w:bCs/>
          <w:color w:val="000000" w:themeColor="text1"/>
          <w:sz w:val="22"/>
          <w:szCs w:val="22"/>
          <w:lang w:eastAsia="en-US"/>
        </w:rPr>
      </w:pPr>
    </w:p>
    <w:p w14:paraId="166E4007" w14:textId="62614877" w:rsidR="00536006" w:rsidRPr="00302243" w:rsidRDefault="00536006" w:rsidP="006C4515">
      <w:pPr>
        <w:spacing w:line="360" w:lineRule="auto"/>
        <w:ind w:right="-91"/>
        <w:jc w:val="center"/>
        <w:rPr>
          <w:rFonts w:ascii="Palatino Linotype" w:eastAsia="Calibri" w:hAnsi="Palatino Linotype" w:cs="Tahoma"/>
          <w:b/>
          <w:bCs/>
          <w:color w:val="000000" w:themeColor="text1"/>
          <w:sz w:val="22"/>
          <w:szCs w:val="22"/>
          <w:lang w:eastAsia="en-US"/>
        </w:rPr>
      </w:pPr>
      <w:r w:rsidRPr="00302243">
        <w:rPr>
          <w:rFonts w:ascii="Palatino Linotype" w:eastAsia="Calibri" w:hAnsi="Palatino Linotype" w:cs="Tahoma"/>
          <w:b/>
          <w:bCs/>
          <w:color w:val="000000" w:themeColor="text1"/>
          <w:sz w:val="22"/>
          <w:szCs w:val="22"/>
          <w:lang w:eastAsia="en-US"/>
        </w:rPr>
        <w:t>RESUELVE:</w:t>
      </w:r>
    </w:p>
    <w:p w14:paraId="1E9B0E68" w14:textId="77777777" w:rsidR="0038168C" w:rsidRPr="00302243" w:rsidRDefault="0038168C" w:rsidP="006C4515">
      <w:pPr>
        <w:spacing w:line="360" w:lineRule="auto"/>
        <w:jc w:val="center"/>
        <w:rPr>
          <w:rFonts w:ascii="Palatino Linotype" w:hAnsi="Palatino Linotype" w:cs="Tahoma"/>
          <w:b/>
          <w:bCs/>
          <w:color w:val="000000" w:themeColor="text1"/>
          <w:sz w:val="22"/>
          <w:szCs w:val="22"/>
        </w:rPr>
      </w:pPr>
    </w:p>
    <w:p w14:paraId="3D8478A8" w14:textId="6BA6B97D" w:rsidR="00536006" w:rsidRPr="00302243" w:rsidRDefault="00536006" w:rsidP="006C4515">
      <w:pPr>
        <w:spacing w:line="360" w:lineRule="auto"/>
        <w:jc w:val="both"/>
        <w:rPr>
          <w:rFonts w:ascii="Palatino Linotype" w:hAnsi="Palatino Linotype" w:cs="Tahoma"/>
          <w:color w:val="000000" w:themeColor="text1"/>
          <w:sz w:val="22"/>
          <w:szCs w:val="22"/>
        </w:rPr>
      </w:pPr>
      <w:r w:rsidRPr="00302243">
        <w:rPr>
          <w:rFonts w:ascii="Palatino Linotype" w:hAnsi="Palatino Linotype" w:cs="Tahoma"/>
          <w:b/>
          <w:bCs/>
          <w:color w:val="000000" w:themeColor="text1"/>
          <w:sz w:val="22"/>
          <w:szCs w:val="22"/>
        </w:rPr>
        <w:t xml:space="preserve">PRIMERO. </w:t>
      </w:r>
      <w:r w:rsidRPr="00302243">
        <w:rPr>
          <w:rFonts w:ascii="Palatino Linotype" w:hAnsi="Palatino Linotype" w:cs="Tahoma"/>
          <w:color w:val="000000" w:themeColor="text1"/>
          <w:sz w:val="22"/>
          <w:szCs w:val="22"/>
        </w:rPr>
        <w:t xml:space="preserve">Se </w:t>
      </w:r>
      <w:r w:rsidR="006C4515">
        <w:rPr>
          <w:rFonts w:ascii="Palatino Linotype" w:hAnsi="Palatino Linotype" w:cs="Tahoma"/>
          <w:b/>
          <w:color w:val="000000" w:themeColor="text1"/>
          <w:sz w:val="22"/>
          <w:szCs w:val="22"/>
        </w:rPr>
        <w:t>MODIFICA</w:t>
      </w:r>
      <w:r w:rsidRPr="00302243">
        <w:rPr>
          <w:rFonts w:ascii="Palatino Linotype" w:hAnsi="Palatino Linotype" w:cs="Tahoma"/>
          <w:b/>
          <w:color w:val="000000" w:themeColor="text1"/>
          <w:sz w:val="22"/>
          <w:szCs w:val="22"/>
        </w:rPr>
        <w:t xml:space="preserve"> </w:t>
      </w:r>
      <w:r w:rsidRPr="00302243">
        <w:rPr>
          <w:rFonts w:ascii="Palatino Linotype" w:hAnsi="Palatino Linotype" w:cs="Tahoma"/>
          <w:color w:val="000000" w:themeColor="text1"/>
          <w:sz w:val="22"/>
          <w:szCs w:val="22"/>
        </w:rPr>
        <w:t xml:space="preserve">la respuesta entregada por el Sujeto Obligado a la solicitud de información con número </w:t>
      </w:r>
      <w:r w:rsidR="003A4A76">
        <w:rPr>
          <w:rFonts w:ascii="Palatino Linotype" w:hAnsi="Palatino Linotype" w:cs="Tahoma"/>
          <w:bCs/>
          <w:iCs/>
          <w:color w:val="000000" w:themeColor="text1"/>
          <w:sz w:val="22"/>
          <w:szCs w:val="22"/>
        </w:rPr>
        <w:t>00635/NICOROM/IP/2019</w:t>
      </w:r>
      <w:r w:rsidRPr="00302243">
        <w:rPr>
          <w:rFonts w:ascii="Palatino Linotype" w:hAnsi="Palatino Linotype" w:cs="Tahoma"/>
          <w:color w:val="000000" w:themeColor="text1"/>
          <w:sz w:val="22"/>
          <w:szCs w:val="22"/>
        </w:rPr>
        <w:t>, por resultar</w:t>
      </w:r>
      <w:r w:rsidR="006C4515">
        <w:rPr>
          <w:rFonts w:ascii="Palatino Linotype" w:hAnsi="Palatino Linotype" w:cs="Tahoma"/>
          <w:color w:val="000000" w:themeColor="text1"/>
          <w:sz w:val="22"/>
          <w:szCs w:val="22"/>
        </w:rPr>
        <w:t xml:space="preserve"> </w:t>
      </w:r>
      <w:r w:rsidR="006C4515">
        <w:rPr>
          <w:rFonts w:ascii="Palatino Linotype" w:hAnsi="Palatino Linotype" w:cs="Tahoma"/>
          <w:b/>
          <w:color w:val="000000" w:themeColor="text1"/>
          <w:sz w:val="22"/>
          <w:szCs w:val="22"/>
        </w:rPr>
        <w:t>PARCIALMENTE</w:t>
      </w:r>
      <w:r w:rsidR="0036164E" w:rsidRPr="00302243">
        <w:rPr>
          <w:rFonts w:ascii="Palatino Linotype" w:hAnsi="Palatino Linotype" w:cs="Tahoma"/>
          <w:color w:val="000000" w:themeColor="text1"/>
          <w:sz w:val="22"/>
          <w:szCs w:val="22"/>
        </w:rPr>
        <w:t xml:space="preserve"> </w:t>
      </w:r>
      <w:r w:rsidR="00835538" w:rsidRPr="00302243">
        <w:rPr>
          <w:rFonts w:ascii="Palatino Linotype" w:hAnsi="Palatino Linotype" w:cs="Tahoma"/>
          <w:b/>
          <w:color w:val="000000" w:themeColor="text1"/>
          <w:sz w:val="22"/>
          <w:szCs w:val="22"/>
        </w:rPr>
        <w:t>FUNDADO</w:t>
      </w:r>
      <w:r w:rsidR="006C4515">
        <w:rPr>
          <w:rFonts w:ascii="Palatino Linotype" w:hAnsi="Palatino Linotype" w:cs="Tahoma"/>
          <w:b/>
          <w:color w:val="000000" w:themeColor="text1"/>
          <w:sz w:val="22"/>
          <w:szCs w:val="22"/>
        </w:rPr>
        <w:t>S</w:t>
      </w:r>
      <w:r w:rsidR="00835538" w:rsidRPr="00302243">
        <w:rPr>
          <w:rFonts w:ascii="Palatino Linotype" w:hAnsi="Palatino Linotype" w:cs="Tahoma"/>
          <w:b/>
          <w:color w:val="000000" w:themeColor="text1"/>
          <w:sz w:val="22"/>
          <w:szCs w:val="22"/>
        </w:rPr>
        <w:t xml:space="preserve"> </w:t>
      </w:r>
      <w:r w:rsidR="006C4515">
        <w:rPr>
          <w:rFonts w:ascii="Palatino Linotype" w:hAnsi="Palatino Linotype" w:cs="Tahoma"/>
          <w:color w:val="000000" w:themeColor="text1"/>
          <w:sz w:val="22"/>
          <w:szCs w:val="22"/>
        </w:rPr>
        <w:t>los motivos</w:t>
      </w:r>
      <w:r w:rsidRPr="00302243">
        <w:rPr>
          <w:rFonts w:ascii="Palatino Linotype" w:hAnsi="Palatino Linotype" w:cs="Tahoma"/>
          <w:color w:val="000000" w:themeColor="text1"/>
          <w:sz w:val="22"/>
          <w:szCs w:val="22"/>
        </w:rPr>
        <w:t xml:space="preserve"> de inconformidad vertido</w:t>
      </w:r>
      <w:r w:rsidR="006C4515">
        <w:rPr>
          <w:rFonts w:ascii="Palatino Linotype" w:hAnsi="Palatino Linotype" w:cs="Tahoma"/>
          <w:color w:val="000000" w:themeColor="text1"/>
          <w:sz w:val="22"/>
          <w:szCs w:val="22"/>
        </w:rPr>
        <w:t>s</w:t>
      </w:r>
      <w:r w:rsidRPr="00302243">
        <w:rPr>
          <w:rFonts w:ascii="Palatino Linotype" w:hAnsi="Palatino Linotype" w:cs="Tahoma"/>
          <w:color w:val="000000" w:themeColor="text1"/>
          <w:sz w:val="22"/>
          <w:szCs w:val="22"/>
        </w:rPr>
        <w:t xml:space="preserve"> por </w:t>
      </w:r>
      <w:r w:rsidR="0052281B" w:rsidRPr="00302243">
        <w:rPr>
          <w:rFonts w:ascii="Palatino Linotype" w:hAnsi="Palatino Linotype" w:cs="Tahoma"/>
          <w:color w:val="000000" w:themeColor="text1"/>
          <w:sz w:val="22"/>
          <w:szCs w:val="22"/>
        </w:rPr>
        <w:t>el</w:t>
      </w:r>
      <w:r w:rsidRPr="00302243">
        <w:rPr>
          <w:rFonts w:ascii="Palatino Linotype" w:hAnsi="Palatino Linotype" w:cs="Tahoma"/>
          <w:color w:val="000000" w:themeColor="text1"/>
          <w:sz w:val="22"/>
          <w:szCs w:val="22"/>
        </w:rPr>
        <w:t xml:space="preserve"> Recurrente, en términos de los Considerandos </w:t>
      </w:r>
      <w:r w:rsidRPr="00302243">
        <w:rPr>
          <w:rFonts w:ascii="Palatino Linotype" w:hAnsi="Palatino Linotype" w:cs="Tahoma"/>
          <w:b/>
          <w:color w:val="000000" w:themeColor="text1"/>
          <w:sz w:val="22"/>
          <w:szCs w:val="22"/>
        </w:rPr>
        <w:t>QUINTO</w:t>
      </w:r>
      <w:r w:rsidRPr="00302243">
        <w:rPr>
          <w:rFonts w:ascii="Palatino Linotype" w:hAnsi="Palatino Linotype" w:cs="Tahoma"/>
          <w:color w:val="000000" w:themeColor="text1"/>
          <w:sz w:val="22"/>
          <w:szCs w:val="22"/>
        </w:rPr>
        <w:t xml:space="preserve"> y </w:t>
      </w:r>
      <w:r w:rsidRPr="00302243">
        <w:rPr>
          <w:rFonts w:ascii="Palatino Linotype" w:hAnsi="Palatino Linotype" w:cs="Tahoma"/>
          <w:b/>
          <w:color w:val="000000" w:themeColor="text1"/>
          <w:sz w:val="22"/>
          <w:szCs w:val="22"/>
        </w:rPr>
        <w:t>SEXTO</w:t>
      </w:r>
      <w:r w:rsidRPr="00302243">
        <w:rPr>
          <w:rFonts w:ascii="Palatino Linotype" w:hAnsi="Palatino Linotype" w:cs="Tahoma"/>
          <w:color w:val="000000" w:themeColor="text1"/>
          <w:sz w:val="22"/>
          <w:szCs w:val="22"/>
        </w:rPr>
        <w:t xml:space="preserve"> de la presente Resolución.</w:t>
      </w:r>
    </w:p>
    <w:p w14:paraId="4839AAA1" w14:textId="0D3DC573" w:rsidR="006C4515" w:rsidRPr="00302243" w:rsidRDefault="00536006" w:rsidP="006C4515">
      <w:pPr>
        <w:spacing w:line="360" w:lineRule="auto"/>
        <w:ind w:right="-93"/>
        <w:jc w:val="both"/>
        <w:rPr>
          <w:rFonts w:ascii="Palatino Linotype" w:eastAsia="Calibri" w:hAnsi="Palatino Linotype" w:cs="Tahoma"/>
          <w:iCs/>
          <w:color w:val="000000" w:themeColor="text1"/>
          <w:sz w:val="22"/>
          <w:szCs w:val="22"/>
          <w:lang w:val="es-ES" w:eastAsia="es-ES_tradnl"/>
        </w:rPr>
      </w:pPr>
      <w:r w:rsidRPr="00302243">
        <w:rPr>
          <w:rFonts w:ascii="Palatino Linotype" w:eastAsia="Calibri" w:hAnsi="Palatino Linotype" w:cs="Tahoma"/>
          <w:b/>
          <w:bCs/>
          <w:color w:val="000000" w:themeColor="text1"/>
          <w:sz w:val="22"/>
          <w:szCs w:val="22"/>
          <w:lang w:eastAsia="en-US"/>
        </w:rPr>
        <w:lastRenderedPageBreak/>
        <w:t xml:space="preserve">SEGUNDO. </w:t>
      </w:r>
      <w:r w:rsidR="0036164E" w:rsidRPr="00302243">
        <w:rPr>
          <w:rFonts w:ascii="Palatino Linotype" w:eastAsia="Calibri" w:hAnsi="Palatino Linotype" w:cs="Tahoma"/>
          <w:bCs/>
          <w:color w:val="000000" w:themeColor="text1"/>
          <w:sz w:val="22"/>
          <w:szCs w:val="22"/>
          <w:lang w:eastAsia="en-US"/>
        </w:rPr>
        <w:t xml:space="preserve">Se </w:t>
      </w:r>
      <w:r w:rsidR="0036164E" w:rsidRPr="00302243">
        <w:rPr>
          <w:rFonts w:ascii="Palatino Linotype" w:eastAsia="Calibri" w:hAnsi="Palatino Linotype" w:cs="Tahoma"/>
          <w:b/>
          <w:bCs/>
          <w:color w:val="000000" w:themeColor="text1"/>
          <w:sz w:val="22"/>
          <w:szCs w:val="22"/>
          <w:lang w:eastAsia="en-US"/>
        </w:rPr>
        <w:t>ORDENA</w:t>
      </w:r>
      <w:r w:rsidR="0036164E" w:rsidRPr="00302243">
        <w:rPr>
          <w:rFonts w:ascii="Palatino Linotype" w:eastAsia="Calibri" w:hAnsi="Palatino Linotype" w:cs="Tahoma"/>
          <w:bCs/>
          <w:color w:val="000000" w:themeColor="text1"/>
          <w:sz w:val="22"/>
          <w:szCs w:val="22"/>
          <w:lang w:eastAsia="en-US"/>
        </w:rPr>
        <w:t xml:space="preserve"> </w:t>
      </w:r>
      <w:r w:rsidR="0036164E" w:rsidRPr="00302243">
        <w:rPr>
          <w:rFonts w:ascii="Palatino Linotype" w:eastAsia="Calibri" w:hAnsi="Palatino Linotype" w:cs="Tahoma"/>
          <w:bCs/>
          <w:color w:val="000000" w:themeColor="text1"/>
          <w:sz w:val="22"/>
          <w:szCs w:val="22"/>
          <w:lang w:val="es-ES_tradnl" w:eastAsia="en-US"/>
        </w:rPr>
        <w:t xml:space="preserve">al Sujeto Obligado </w:t>
      </w:r>
      <w:r w:rsidR="0036164E" w:rsidRPr="00302243">
        <w:rPr>
          <w:rFonts w:ascii="Palatino Linotype" w:eastAsia="Calibri" w:hAnsi="Palatino Linotype" w:cs="Tahoma"/>
          <w:bCs/>
          <w:color w:val="000000" w:themeColor="text1"/>
          <w:sz w:val="22"/>
          <w:szCs w:val="22"/>
          <w:lang w:eastAsia="en-US"/>
        </w:rPr>
        <w:t xml:space="preserve">a efecto de que entregue, a través del Sistema de Acceso a la Información Mexiquense (SAIMEX), </w:t>
      </w:r>
      <w:r w:rsidR="00E01217" w:rsidRPr="00302243">
        <w:rPr>
          <w:rFonts w:ascii="Palatino Linotype" w:eastAsia="Calibri" w:hAnsi="Palatino Linotype" w:cs="Tahoma"/>
          <w:bCs/>
          <w:iCs/>
          <w:color w:val="000000" w:themeColor="text1"/>
          <w:sz w:val="22"/>
          <w:szCs w:val="22"/>
          <w:lang w:eastAsia="en-US"/>
        </w:rPr>
        <w:t xml:space="preserve">previa búsqueda exhaustiva y razonable, en todas las unidades administrativas competentes, </w:t>
      </w:r>
      <w:r w:rsidR="006C4515">
        <w:rPr>
          <w:rFonts w:ascii="Palatino Linotype" w:eastAsia="Calibri" w:hAnsi="Palatino Linotype" w:cs="Tahoma"/>
          <w:iCs/>
          <w:color w:val="000000" w:themeColor="text1"/>
          <w:sz w:val="22"/>
          <w:szCs w:val="22"/>
          <w:lang w:eastAsia="es-ES_tradnl"/>
        </w:rPr>
        <w:t>del primero de enero al diecinueve de agosto de dos mil diecinueve,</w:t>
      </w:r>
      <w:r w:rsidR="00776534">
        <w:rPr>
          <w:rFonts w:ascii="Palatino Linotype" w:eastAsia="Calibri" w:hAnsi="Palatino Linotype" w:cs="Tahoma"/>
          <w:iCs/>
          <w:color w:val="000000" w:themeColor="text1"/>
          <w:sz w:val="22"/>
          <w:szCs w:val="22"/>
          <w:lang w:eastAsia="es-ES_tradnl"/>
        </w:rPr>
        <w:t xml:space="preserve"> en su caso, en versión pública, los documentos donde conste</w:t>
      </w:r>
      <w:r w:rsidR="006C4515">
        <w:rPr>
          <w:rFonts w:ascii="Palatino Linotype" w:eastAsia="Calibri" w:hAnsi="Palatino Linotype" w:cs="Tahoma"/>
          <w:iCs/>
          <w:color w:val="000000" w:themeColor="text1"/>
          <w:sz w:val="22"/>
          <w:szCs w:val="22"/>
          <w:lang w:eastAsia="es-ES_tradnl"/>
        </w:rPr>
        <w:t xml:space="preserve"> </w:t>
      </w:r>
      <w:r w:rsidR="006C4515" w:rsidRPr="00302243">
        <w:rPr>
          <w:rFonts w:ascii="Palatino Linotype" w:eastAsia="Calibri" w:hAnsi="Palatino Linotype" w:cs="Tahoma"/>
          <w:iCs/>
          <w:color w:val="000000" w:themeColor="text1"/>
          <w:sz w:val="22"/>
          <w:szCs w:val="22"/>
          <w:lang w:val="es-ES" w:eastAsia="es-ES_tradnl"/>
        </w:rPr>
        <w:t>lo siguiente:</w:t>
      </w:r>
    </w:p>
    <w:p w14:paraId="6753C5EB" w14:textId="77777777" w:rsidR="006C4515" w:rsidRPr="00302243" w:rsidRDefault="006C4515" w:rsidP="006C4515">
      <w:pPr>
        <w:spacing w:line="360" w:lineRule="auto"/>
        <w:ind w:right="-93"/>
        <w:jc w:val="both"/>
        <w:rPr>
          <w:rFonts w:ascii="Palatino Linotype" w:eastAsia="Calibri" w:hAnsi="Palatino Linotype" w:cs="Tahoma"/>
          <w:iCs/>
          <w:color w:val="000000" w:themeColor="text1"/>
          <w:sz w:val="22"/>
          <w:szCs w:val="22"/>
          <w:lang w:eastAsia="es-ES_tradnl"/>
        </w:rPr>
      </w:pPr>
    </w:p>
    <w:p w14:paraId="13DCA3A3" w14:textId="77777777" w:rsidR="006C4515" w:rsidRDefault="006C4515" w:rsidP="00040F91">
      <w:pPr>
        <w:pStyle w:val="Prrafodelista"/>
        <w:numPr>
          <w:ilvl w:val="0"/>
          <w:numId w:val="39"/>
        </w:numPr>
        <w:spacing w:line="360" w:lineRule="auto"/>
        <w:ind w:right="-93"/>
        <w:jc w:val="both"/>
        <w:rPr>
          <w:rFonts w:ascii="Palatino Linotype" w:eastAsia="Calibri" w:hAnsi="Palatino Linotype" w:cs="Tahoma"/>
          <w:iCs/>
          <w:color w:val="000000" w:themeColor="text1"/>
          <w:szCs w:val="22"/>
          <w:lang w:eastAsia="es-ES_tradnl"/>
        </w:rPr>
      </w:pPr>
      <w:r w:rsidRPr="00FD6B24">
        <w:rPr>
          <w:rFonts w:ascii="Palatino Linotype" w:eastAsia="Calibri" w:hAnsi="Palatino Linotype" w:cs="Tahoma"/>
          <w:iCs/>
          <w:color w:val="000000" w:themeColor="text1"/>
          <w:szCs w:val="22"/>
          <w:lang w:eastAsia="es-ES_tradnl"/>
        </w:rPr>
        <w:t>Las gacetas municipal en donde se haya publicado:</w:t>
      </w:r>
    </w:p>
    <w:p w14:paraId="127E60D6" w14:textId="77777777" w:rsidR="006C4515" w:rsidRDefault="006C4515"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1555A333" w14:textId="07F1E787" w:rsidR="006C4515" w:rsidRPr="00FD6B24" w:rsidRDefault="00776534" w:rsidP="00776534">
      <w:pPr>
        <w:pStyle w:val="Prrafodelista"/>
        <w:numPr>
          <w:ilvl w:val="0"/>
          <w:numId w:val="38"/>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El </w:t>
      </w:r>
      <w:r w:rsidR="006C4515" w:rsidRPr="00FD6B24">
        <w:rPr>
          <w:rFonts w:ascii="Palatino Linotype" w:eastAsia="Calibri" w:hAnsi="Palatino Linotype" w:cs="Tahoma"/>
          <w:iCs/>
          <w:color w:val="000000" w:themeColor="text1"/>
          <w:szCs w:val="22"/>
          <w:lang w:eastAsia="es-ES_tradnl"/>
        </w:rPr>
        <w:t>Programa anual de obra pública</w:t>
      </w:r>
      <w:r w:rsidR="008E0D7F">
        <w:rPr>
          <w:rFonts w:ascii="Palatino Linotype" w:eastAsia="Calibri" w:hAnsi="Palatino Linotype" w:cs="Tahoma"/>
          <w:iCs/>
          <w:color w:val="000000" w:themeColor="text1"/>
          <w:szCs w:val="22"/>
          <w:lang w:eastAsia="es-ES_tradnl"/>
        </w:rPr>
        <w:t xml:space="preserve"> </w:t>
      </w:r>
      <w:r w:rsidR="006C4515" w:rsidRPr="00FD6B24">
        <w:rPr>
          <w:rFonts w:ascii="Palatino Linotype" w:eastAsia="Calibri" w:hAnsi="Palatino Linotype" w:cs="Tahoma"/>
          <w:iCs/>
          <w:color w:val="000000" w:themeColor="text1"/>
          <w:szCs w:val="22"/>
          <w:lang w:eastAsia="es-ES_tradnl"/>
        </w:rPr>
        <w:t>aprobado el veintiuno de febrero de dos mil diecinueve;</w:t>
      </w:r>
    </w:p>
    <w:p w14:paraId="11628A83" w14:textId="07E84322" w:rsidR="006C4515" w:rsidRPr="00FD6B24" w:rsidRDefault="00776534" w:rsidP="00776534">
      <w:pPr>
        <w:pStyle w:val="Prrafodelista"/>
        <w:numPr>
          <w:ilvl w:val="0"/>
          <w:numId w:val="38"/>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modificaciones</w:t>
      </w:r>
      <w:r w:rsidR="006C4515" w:rsidRPr="00FD6B24">
        <w:rPr>
          <w:rFonts w:ascii="Palatino Linotype" w:eastAsia="Calibri" w:hAnsi="Palatino Linotype" w:cs="Tahoma"/>
          <w:iCs/>
          <w:color w:val="000000" w:themeColor="text1"/>
          <w:szCs w:val="22"/>
          <w:lang w:eastAsia="es-ES_tradnl"/>
        </w:rPr>
        <w:t xml:space="preserve"> al programa anual de obra pública, </w:t>
      </w:r>
      <w:r w:rsidR="006C4515">
        <w:rPr>
          <w:rFonts w:ascii="Palatino Linotype" w:eastAsia="Calibri" w:hAnsi="Palatino Linotype" w:cs="Tahoma"/>
          <w:iCs/>
          <w:color w:val="000000" w:themeColor="text1"/>
          <w:szCs w:val="22"/>
          <w:lang w:eastAsia="es-ES_tradnl"/>
        </w:rPr>
        <w:t>d</w:t>
      </w:r>
      <w:r w:rsidR="006C4515" w:rsidRPr="00FD6B24">
        <w:rPr>
          <w:rFonts w:ascii="Palatino Linotype" w:eastAsia="Calibri" w:hAnsi="Palatino Linotype" w:cs="Tahoma"/>
          <w:iCs/>
          <w:color w:val="000000" w:themeColor="text1"/>
          <w:szCs w:val="22"/>
          <w:lang w:eastAsia="es-ES_tradnl"/>
        </w:rPr>
        <w:t xml:space="preserve">el veintiséis de julio </w:t>
      </w:r>
      <w:r w:rsidR="006C4515">
        <w:rPr>
          <w:rFonts w:ascii="Palatino Linotype" w:eastAsia="Calibri" w:hAnsi="Palatino Linotype" w:cs="Tahoma"/>
          <w:iCs/>
          <w:color w:val="000000" w:themeColor="text1"/>
          <w:szCs w:val="22"/>
          <w:lang w:eastAsia="es-ES_tradnl"/>
        </w:rPr>
        <w:t xml:space="preserve"> y del nueve de agosto, ambos de la presente a</w:t>
      </w:r>
      <w:r>
        <w:rPr>
          <w:rFonts w:ascii="Palatino Linotype" w:eastAsia="Calibri" w:hAnsi="Palatino Linotype" w:cs="Tahoma"/>
          <w:iCs/>
          <w:color w:val="000000" w:themeColor="text1"/>
          <w:szCs w:val="22"/>
          <w:lang w:eastAsia="es-ES_tradnl"/>
        </w:rPr>
        <w:t>nualidad, y</w:t>
      </w:r>
    </w:p>
    <w:p w14:paraId="0C6872CC" w14:textId="37017D70" w:rsidR="006C4515" w:rsidRPr="00FD6B24" w:rsidRDefault="00776534" w:rsidP="00776534">
      <w:pPr>
        <w:pStyle w:val="Prrafodelista"/>
        <w:numPr>
          <w:ilvl w:val="0"/>
          <w:numId w:val="38"/>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El </w:t>
      </w:r>
      <w:r w:rsidR="006C4515" w:rsidRPr="00FD6B24">
        <w:rPr>
          <w:rFonts w:ascii="Palatino Linotype" w:eastAsia="Calibri" w:hAnsi="Palatino Linotype" w:cs="Tahoma"/>
          <w:iCs/>
          <w:color w:val="000000" w:themeColor="text1"/>
          <w:szCs w:val="22"/>
          <w:lang w:eastAsia="es-ES_tradnl"/>
        </w:rPr>
        <w:t>Plan de Desarrollo Municipal de Nicolás Romero, 2019-2021.</w:t>
      </w:r>
    </w:p>
    <w:p w14:paraId="1E08C039" w14:textId="77777777" w:rsidR="006C4515" w:rsidRPr="00302243" w:rsidRDefault="006C4515"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50C30274" w14:textId="425C3C62" w:rsidR="006C4515" w:rsidRDefault="00776534" w:rsidP="00040F91">
      <w:pPr>
        <w:pStyle w:val="Prrafodelista"/>
        <w:numPr>
          <w:ilvl w:val="0"/>
          <w:numId w:val="39"/>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w:t>
      </w:r>
      <w:r w:rsidR="006C4515">
        <w:rPr>
          <w:rFonts w:ascii="Palatino Linotype" w:eastAsia="Calibri" w:hAnsi="Palatino Linotype" w:cs="Tahoma"/>
          <w:iCs/>
          <w:color w:val="000000" w:themeColor="text1"/>
          <w:szCs w:val="22"/>
          <w:lang w:eastAsia="es-ES_tradnl"/>
        </w:rPr>
        <w:t>as funciones y actividades de cada uno de los puestos que conforman a la Dirección de Obras Públicas;</w:t>
      </w:r>
    </w:p>
    <w:p w14:paraId="6441FB5F" w14:textId="77777777" w:rsidR="006C4515" w:rsidRPr="00302243" w:rsidRDefault="006C4515"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5255668B" w14:textId="65A38722" w:rsidR="006C4515" w:rsidRPr="00DA66CF" w:rsidRDefault="006C4515" w:rsidP="00040F91">
      <w:pPr>
        <w:pStyle w:val="Prrafodelista"/>
        <w:numPr>
          <w:ilvl w:val="0"/>
          <w:numId w:val="39"/>
        </w:numPr>
        <w:spacing w:line="360" w:lineRule="auto"/>
        <w:ind w:right="-93"/>
        <w:jc w:val="both"/>
        <w:rPr>
          <w:rFonts w:ascii="Palatino Linotype" w:eastAsia="Calibri" w:hAnsi="Palatino Linotype" w:cs="Tahoma"/>
          <w:b/>
          <w:iCs/>
          <w:color w:val="000000" w:themeColor="text1"/>
          <w:szCs w:val="22"/>
          <w:lang w:eastAsia="es-ES_tradnl"/>
        </w:rPr>
      </w:pPr>
      <w:r w:rsidRPr="00DA66CF">
        <w:rPr>
          <w:rFonts w:ascii="Palatino Linotype" w:eastAsia="Calibri" w:hAnsi="Palatino Linotype" w:cs="Tahoma"/>
          <w:iCs/>
          <w:color w:val="000000" w:themeColor="text1"/>
          <w:szCs w:val="22"/>
          <w:lang w:eastAsia="es-ES_tradnl"/>
        </w:rPr>
        <w:t xml:space="preserve">Respecto a las obras contratadas con recursos del Fondo de Infraestructura Social Municipal y Demarcaciones Territoriales del Distrito Federal, </w:t>
      </w:r>
      <w:r>
        <w:rPr>
          <w:rFonts w:ascii="Palatino Linotype" w:eastAsia="Calibri" w:hAnsi="Palatino Linotype" w:cs="Tahoma"/>
          <w:iCs/>
          <w:color w:val="000000" w:themeColor="text1"/>
          <w:szCs w:val="22"/>
          <w:lang w:eastAsia="es-ES_tradnl"/>
        </w:rPr>
        <w:t>en relación</w:t>
      </w:r>
      <w:r w:rsidRPr="00DA66CF">
        <w:rPr>
          <w:rFonts w:ascii="Palatino Linotype" w:eastAsia="Calibri" w:hAnsi="Palatino Linotype" w:cs="Tahoma"/>
          <w:iCs/>
          <w:color w:val="000000" w:themeColor="text1"/>
          <w:szCs w:val="22"/>
          <w:lang w:eastAsia="es-ES_tradnl"/>
        </w:rPr>
        <w:t xml:space="preserve"> a los contratos </w:t>
      </w:r>
      <w:r w:rsidR="00040F91">
        <w:rPr>
          <w:rFonts w:ascii="Palatino Linotype" w:eastAsia="Calibri" w:hAnsi="Palatino Linotype" w:cs="Tahoma"/>
          <w:iCs/>
          <w:color w:val="000000" w:themeColor="text1"/>
          <w:szCs w:val="22"/>
          <w:lang w:eastAsia="es-ES_tradnl"/>
        </w:rPr>
        <w:t>indicados en respuesta</w:t>
      </w:r>
      <w:r w:rsidRPr="00DA66CF">
        <w:rPr>
          <w:rFonts w:ascii="Palatino Linotype" w:eastAsia="Calibri" w:hAnsi="Palatino Linotype" w:cs="Tahoma"/>
          <w:bCs/>
          <w:iCs/>
          <w:color w:val="000000" w:themeColor="text1"/>
          <w:szCs w:val="22"/>
          <w:lang w:eastAsia="es-ES_tradnl"/>
        </w:rPr>
        <w:t xml:space="preserve">, </w:t>
      </w:r>
      <w:r>
        <w:rPr>
          <w:rFonts w:ascii="Palatino Linotype" w:eastAsia="Calibri" w:hAnsi="Palatino Linotype" w:cs="Tahoma"/>
          <w:bCs/>
          <w:iCs/>
          <w:color w:val="000000" w:themeColor="text1"/>
          <w:szCs w:val="22"/>
          <w:lang w:eastAsia="es-ES_tradnl"/>
        </w:rPr>
        <w:t>lo siguiente</w:t>
      </w:r>
      <w:r w:rsidRPr="00DA66CF">
        <w:rPr>
          <w:rFonts w:ascii="Palatino Linotype" w:eastAsia="Calibri" w:hAnsi="Palatino Linotype" w:cs="Tahoma"/>
          <w:iCs/>
          <w:color w:val="000000" w:themeColor="text1"/>
          <w:szCs w:val="22"/>
          <w:lang w:eastAsia="es-ES_tradnl"/>
        </w:rPr>
        <w:t>:</w:t>
      </w:r>
      <w:r w:rsidR="00040F91">
        <w:rPr>
          <w:rFonts w:ascii="Palatino Linotype" w:eastAsia="Calibri" w:hAnsi="Palatino Linotype" w:cs="Tahoma"/>
          <w:iCs/>
          <w:color w:val="000000" w:themeColor="text1"/>
          <w:szCs w:val="22"/>
          <w:lang w:eastAsia="es-ES_tradnl"/>
        </w:rPr>
        <w:t xml:space="preserve">  </w:t>
      </w:r>
    </w:p>
    <w:p w14:paraId="314BC614" w14:textId="77777777" w:rsidR="006C4515" w:rsidRPr="00472A49" w:rsidRDefault="006C4515" w:rsidP="006C4515">
      <w:pPr>
        <w:pStyle w:val="Prrafodelista"/>
        <w:spacing w:line="360" w:lineRule="auto"/>
        <w:rPr>
          <w:rFonts w:ascii="Palatino Linotype" w:eastAsia="Calibri" w:hAnsi="Palatino Linotype" w:cs="Tahoma"/>
          <w:iCs/>
          <w:color w:val="000000" w:themeColor="text1"/>
          <w:szCs w:val="22"/>
          <w:lang w:eastAsia="es-ES_tradnl"/>
        </w:rPr>
      </w:pPr>
    </w:p>
    <w:p w14:paraId="42FAB01A" w14:textId="77777777" w:rsidR="006C4515" w:rsidRDefault="006C4515" w:rsidP="00040F91">
      <w:pPr>
        <w:pStyle w:val="Prrafodelista"/>
        <w:numPr>
          <w:ilvl w:val="0"/>
          <w:numId w:val="40"/>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E</w:t>
      </w:r>
      <w:r w:rsidRPr="00957D8D">
        <w:rPr>
          <w:rFonts w:ascii="Palatino Linotype" w:eastAsia="Calibri" w:hAnsi="Palatino Linotype" w:cs="Tahoma"/>
          <w:iCs/>
          <w:color w:val="000000" w:themeColor="text1"/>
          <w:szCs w:val="22"/>
          <w:lang w:eastAsia="es-ES_tradnl"/>
        </w:rPr>
        <w:t xml:space="preserve">l proceso realizado, desde la convocatoria o invitación hasta la suscripción </w:t>
      </w:r>
      <w:r>
        <w:rPr>
          <w:rFonts w:ascii="Palatino Linotype" w:eastAsia="Calibri" w:hAnsi="Palatino Linotype" w:cs="Tahoma"/>
          <w:iCs/>
          <w:color w:val="000000" w:themeColor="text1"/>
          <w:szCs w:val="22"/>
          <w:lang w:eastAsia="es-ES_tradnl"/>
        </w:rPr>
        <w:t>de los contratos;</w:t>
      </w:r>
    </w:p>
    <w:p w14:paraId="2642B02F" w14:textId="77777777" w:rsidR="006C4515" w:rsidRDefault="006C4515" w:rsidP="00040F91">
      <w:pPr>
        <w:pStyle w:val="Prrafodelista"/>
        <w:numPr>
          <w:ilvl w:val="0"/>
          <w:numId w:val="40"/>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Las </w:t>
      </w:r>
      <w:r w:rsidRPr="00957D8D">
        <w:rPr>
          <w:rFonts w:ascii="Palatino Linotype" w:eastAsia="Calibri" w:hAnsi="Palatino Linotype" w:cs="Tahoma"/>
          <w:iCs/>
          <w:color w:val="000000" w:themeColor="text1"/>
          <w:szCs w:val="22"/>
          <w:lang w:eastAsia="es-ES_tradnl"/>
        </w:rPr>
        <w:t>estimaciones realizadas por los contratistas y su respectiva información comprobatoria</w:t>
      </w:r>
      <w:r>
        <w:rPr>
          <w:rFonts w:ascii="Palatino Linotype" w:eastAsia="Calibri" w:hAnsi="Palatino Linotype" w:cs="Tahoma"/>
          <w:iCs/>
          <w:color w:val="000000" w:themeColor="text1"/>
          <w:szCs w:val="22"/>
          <w:lang w:eastAsia="es-ES_tradnl"/>
        </w:rPr>
        <w:t>;</w:t>
      </w:r>
    </w:p>
    <w:p w14:paraId="676DD3A3" w14:textId="77777777" w:rsidR="006C4515" w:rsidRDefault="006C4515" w:rsidP="00040F91">
      <w:pPr>
        <w:pStyle w:val="Prrafodelista"/>
        <w:numPr>
          <w:ilvl w:val="0"/>
          <w:numId w:val="40"/>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bitácoras de obra, y</w:t>
      </w:r>
    </w:p>
    <w:p w14:paraId="68F17B21" w14:textId="77777777" w:rsidR="00370CFC" w:rsidRDefault="00370CFC" w:rsidP="00370CFC">
      <w:pPr>
        <w:spacing w:line="360" w:lineRule="auto"/>
        <w:ind w:right="-93"/>
        <w:jc w:val="both"/>
        <w:rPr>
          <w:rFonts w:ascii="Palatino Linotype" w:eastAsia="Calibri" w:hAnsi="Palatino Linotype" w:cs="Tahoma"/>
          <w:iCs/>
          <w:color w:val="000000" w:themeColor="text1"/>
          <w:szCs w:val="22"/>
          <w:lang w:eastAsia="es-ES_tradnl"/>
        </w:rPr>
      </w:pPr>
    </w:p>
    <w:p w14:paraId="7B5D08E0" w14:textId="77777777" w:rsidR="006C4515" w:rsidRDefault="006C4515" w:rsidP="00040F91">
      <w:pPr>
        <w:pStyle w:val="Prrafodelista"/>
        <w:numPr>
          <w:ilvl w:val="0"/>
          <w:numId w:val="40"/>
        </w:numPr>
        <w:spacing w:line="360" w:lineRule="auto"/>
        <w:ind w:right="-93"/>
        <w:jc w:val="both"/>
        <w:rPr>
          <w:rFonts w:ascii="Palatino Linotype" w:eastAsia="Calibri" w:hAnsi="Palatino Linotype" w:cs="Tahoma"/>
          <w:iCs/>
          <w:color w:val="000000" w:themeColor="text1"/>
          <w:szCs w:val="22"/>
          <w:lang w:eastAsia="es-ES_tradnl"/>
        </w:rPr>
      </w:pPr>
      <w:r w:rsidRPr="00911E2D">
        <w:rPr>
          <w:rFonts w:ascii="Palatino Linotype" w:eastAsia="Calibri" w:hAnsi="Palatino Linotype" w:cs="Tahoma"/>
          <w:iCs/>
          <w:color w:val="000000" w:themeColor="text1"/>
          <w:szCs w:val="22"/>
          <w:lang w:eastAsia="es-ES_tradnl"/>
        </w:rPr>
        <w:lastRenderedPageBreak/>
        <w:t>Versión íntegra de las Fianzas y los oficios de entrega del</w:t>
      </w:r>
      <w:r>
        <w:rPr>
          <w:rFonts w:ascii="Palatino Linotype" w:eastAsia="Calibri" w:hAnsi="Palatino Linotype" w:cs="Tahoma"/>
          <w:iCs/>
          <w:color w:val="000000" w:themeColor="text1"/>
          <w:szCs w:val="22"/>
          <w:lang w:eastAsia="es-ES_tradnl"/>
        </w:rPr>
        <w:t xml:space="preserve"> lugar de trabajo a los contratistas, proporcionado</w:t>
      </w:r>
      <w:r w:rsidRPr="00911E2D">
        <w:rPr>
          <w:rFonts w:ascii="Palatino Linotype" w:eastAsia="Calibri" w:hAnsi="Palatino Linotype" w:cs="Tahoma"/>
          <w:iCs/>
          <w:color w:val="000000" w:themeColor="text1"/>
          <w:szCs w:val="22"/>
          <w:lang w:eastAsia="es-ES_tradnl"/>
        </w:rPr>
        <w:t>s en respuesta</w:t>
      </w:r>
      <w:r>
        <w:rPr>
          <w:rFonts w:ascii="Palatino Linotype" w:eastAsia="Calibri" w:hAnsi="Palatino Linotype" w:cs="Tahoma"/>
          <w:iCs/>
          <w:color w:val="000000" w:themeColor="text1"/>
          <w:szCs w:val="22"/>
          <w:lang w:eastAsia="es-ES_tradnl"/>
        </w:rPr>
        <w:t>.</w:t>
      </w:r>
    </w:p>
    <w:p w14:paraId="3B2A7276" w14:textId="77777777" w:rsidR="006C4515" w:rsidRPr="00911E2D" w:rsidRDefault="006C4515" w:rsidP="006C4515">
      <w:pPr>
        <w:pStyle w:val="Prrafodelista"/>
        <w:spacing w:line="360" w:lineRule="auto"/>
        <w:ind w:left="1440" w:right="-93"/>
        <w:jc w:val="both"/>
        <w:rPr>
          <w:rFonts w:ascii="Palatino Linotype" w:eastAsia="Calibri" w:hAnsi="Palatino Linotype" w:cs="Tahoma"/>
          <w:iCs/>
          <w:color w:val="000000" w:themeColor="text1"/>
          <w:szCs w:val="22"/>
          <w:lang w:eastAsia="es-ES_tradnl"/>
        </w:rPr>
      </w:pPr>
    </w:p>
    <w:p w14:paraId="6675E0B9" w14:textId="1F81E8CE" w:rsidR="006C4515" w:rsidRDefault="006C4515" w:rsidP="00040F91">
      <w:pPr>
        <w:pStyle w:val="Prrafodelista"/>
        <w:numPr>
          <w:ilvl w:val="0"/>
          <w:numId w:val="39"/>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Respecto a las obras contratadas con recursos propios municipales, lo siguiente:</w:t>
      </w:r>
    </w:p>
    <w:p w14:paraId="533AFA77" w14:textId="77777777" w:rsidR="006C4515" w:rsidRDefault="006C4515" w:rsidP="006C4515">
      <w:pPr>
        <w:pStyle w:val="Prrafodelista"/>
        <w:spacing w:line="360" w:lineRule="auto"/>
        <w:ind w:right="-93"/>
        <w:jc w:val="both"/>
        <w:rPr>
          <w:rFonts w:ascii="Palatino Linotype" w:eastAsia="Calibri" w:hAnsi="Palatino Linotype" w:cs="Tahoma"/>
          <w:iCs/>
          <w:color w:val="000000" w:themeColor="text1"/>
          <w:szCs w:val="22"/>
          <w:lang w:eastAsia="es-ES_tradnl"/>
        </w:rPr>
      </w:pPr>
    </w:p>
    <w:p w14:paraId="18A7783B"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Listado de aquellas contratadas, del primero de enero al diecisiete de agosto de dos mil diecinueve;</w:t>
      </w:r>
    </w:p>
    <w:p w14:paraId="6BBC3078"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E</w:t>
      </w:r>
      <w:r w:rsidRPr="00957D8D">
        <w:rPr>
          <w:rFonts w:ascii="Palatino Linotype" w:eastAsia="Calibri" w:hAnsi="Palatino Linotype" w:cs="Tahoma"/>
          <w:iCs/>
          <w:color w:val="000000" w:themeColor="text1"/>
          <w:szCs w:val="22"/>
          <w:lang w:eastAsia="es-ES_tradnl"/>
        </w:rPr>
        <w:t xml:space="preserve">l proceso realizado, desde la convocatoria o invitación hasta la suscripción </w:t>
      </w:r>
      <w:r>
        <w:rPr>
          <w:rFonts w:ascii="Palatino Linotype" w:eastAsia="Calibri" w:hAnsi="Palatino Linotype" w:cs="Tahoma"/>
          <w:iCs/>
          <w:color w:val="000000" w:themeColor="text1"/>
          <w:szCs w:val="22"/>
          <w:lang w:eastAsia="es-ES_tradnl"/>
        </w:rPr>
        <w:t>de los contratos;</w:t>
      </w:r>
    </w:p>
    <w:p w14:paraId="2D9C5EE9"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 xml:space="preserve">Las </w:t>
      </w:r>
      <w:r w:rsidRPr="00957D8D">
        <w:rPr>
          <w:rFonts w:ascii="Palatino Linotype" w:eastAsia="Calibri" w:hAnsi="Palatino Linotype" w:cs="Tahoma"/>
          <w:iCs/>
          <w:color w:val="000000" w:themeColor="text1"/>
          <w:szCs w:val="22"/>
          <w:lang w:eastAsia="es-ES_tradnl"/>
        </w:rPr>
        <w:t>estimaciones realizadas por los contratistas y su respectiva información comprobatoria</w:t>
      </w:r>
      <w:r>
        <w:rPr>
          <w:rFonts w:ascii="Palatino Linotype" w:eastAsia="Calibri" w:hAnsi="Palatino Linotype" w:cs="Tahoma"/>
          <w:iCs/>
          <w:color w:val="000000" w:themeColor="text1"/>
          <w:szCs w:val="22"/>
          <w:lang w:eastAsia="es-ES_tradnl"/>
        </w:rPr>
        <w:t>;</w:t>
      </w:r>
    </w:p>
    <w:p w14:paraId="62F1D919"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fianzas;</w:t>
      </w:r>
    </w:p>
    <w:p w14:paraId="732286B8"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w:t>
      </w:r>
      <w:r w:rsidRPr="00B8640E">
        <w:rPr>
          <w:rFonts w:ascii="Palatino Linotype" w:eastAsia="Calibri" w:hAnsi="Palatino Linotype" w:cs="Tahoma"/>
          <w:iCs/>
          <w:color w:val="000000" w:themeColor="text1"/>
          <w:szCs w:val="22"/>
          <w:lang w:eastAsia="es-ES_tradnl"/>
        </w:rPr>
        <w:t>os oficios de entrega del lugar de trabajo</w:t>
      </w:r>
      <w:r>
        <w:rPr>
          <w:rFonts w:ascii="Palatino Linotype" w:eastAsia="Calibri" w:hAnsi="Palatino Linotype" w:cs="Tahoma"/>
          <w:iCs/>
          <w:color w:val="000000" w:themeColor="text1"/>
          <w:szCs w:val="22"/>
          <w:lang w:eastAsia="es-ES_tradnl"/>
        </w:rPr>
        <w:t xml:space="preserve"> a los contratistas;</w:t>
      </w:r>
    </w:p>
    <w:p w14:paraId="0E973D9A"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Los oficios donde conste la designación y aceptación del residente de la obra;</w:t>
      </w:r>
    </w:p>
    <w:p w14:paraId="5B23010E"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Las bitácoras de obra;</w:t>
      </w:r>
    </w:p>
    <w:p w14:paraId="68EC5432"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Porcentaje y periodos de ejecución, y</w:t>
      </w:r>
    </w:p>
    <w:p w14:paraId="4D66E166" w14:textId="77777777" w:rsidR="006C4515" w:rsidRDefault="006C4515" w:rsidP="00040F91">
      <w:pPr>
        <w:pStyle w:val="Prrafodelista"/>
        <w:numPr>
          <w:ilvl w:val="0"/>
          <w:numId w:val="41"/>
        </w:numPr>
        <w:spacing w:line="360" w:lineRule="auto"/>
        <w:ind w:right="-93"/>
        <w:jc w:val="both"/>
        <w:rPr>
          <w:rFonts w:ascii="Palatino Linotype" w:eastAsia="Calibri" w:hAnsi="Palatino Linotype" w:cs="Tahoma"/>
          <w:iCs/>
          <w:color w:val="000000" w:themeColor="text1"/>
          <w:szCs w:val="22"/>
          <w:lang w:eastAsia="es-ES_tradnl"/>
        </w:rPr>
      </w:pPr>
      <w:r>
        <w:rPr>
          <w:rFonts w:ascii="Palatino Linotype" w:eastAsia="Calibri" w:hAnsi="Palatino Linotype" w:cs="Tahoma"/>
          <w:iCs/>
          <w:color w:val="000000" w:themeColor="text1"/>
          <w:szCs w:val="22"/>
          <w:lang w:eastAsia="es-ES_tradnl"/>
        </w:rPr>
        <w:t>En caso de atraso, las acciones implementadas.</w:t>
      </w:r>
    </w:p>
    <w:p w14:paraId="7EE1DAB8" w14:textId="77777777" w:rsidR="006C4515" w:rsidRPr="00302243" w:rsidRDefault="006C4515" w:rsidP="006C4515">
      <w:pPr>
        <w:spacing w:line="360" w:lineRule="auto"/>
        <w:ind w:right="-93"/>
        <w:jc w:val="both"/>
        <w:rPr>
          <w:rFonts w:ascii="Palatino Linotype" w:eastAsia="Calibri" w:hAnsi="Palatino Linotype" w:cs="Tahoma"/>
          <w:iCs/>
          <w:color w:val="000000" w:themeColor="text1"/>
          <w:sz w:val="22"/>
          <w:szCs w:val="22"/>
          <w:lang w:eastAsia="es-ES_tradnl"/>
        </w:rPr>
      </w:pPr>
    </w:p>
    <w:p w14:paraId="3990CECA" w14:textId="57BD28CB" w:rsidR="006C4515" w:rsidRDefault="006C4515" w:rsidP="006C4515">
      <w:pPr>
        <w:pStyle w:val="Prrafodelista"/>
        <w:spacing w:line="360" w:lineRule="auto"/>
        <w:ind w:right="-93"/>
        <w:jc w:val="both"/>
        <w:rPr>
          <w:rFonts w:ascii="Palatino Linotype" w:eastAsia="Calibri" w:hAnsi="Palatino Linotype" w:cs="Tahoma"/>
          <w:bCs/>
          <w:iCs/>
          <w:color w:val="000000" w:themeColor="text1"/>
          <w:szCs w:val="22"/>
          <w:lang w:val="es-ES" w:eastAsia="es-ES_tradnl"/>
        </w:rPr>
      </w:pPr>
      <w:r>
        <w:rPr>
          <w:rFonts w:ascii="Palatino Linotype" w:eastAsia="Calibri" w:hAnsi="Palatino Linotype" w:cs="Tahoma"/>
          <w:bCs/>
          <w:iCs/>
          <w:color w:val="000000" w:themeColor="text1"/>
          <w:szCs w:val="22"/>
          <w:lang w:val="es-ES" w:eastAsia="es-ES_tradnl"/>
        </w:rPr>
        <w:t>En el caso, de que del primero de enero al diecinueve de agosto de dos mil diecinueve no se haya contratado alguna obra pública, con recursos municipales propios, deberá hac</w:t>
      </w:r>
      <w:r w:rsidR="007D4795">
        <w:rPr>
          <w:rFonts w:ascii="Palatino Linotype" w:eastAsia="Calibri" w:hAnsi="Palatino Linotype" w:cs="Tahoma"/>
          <w:bCs/>
          <w:iCs/>
          <w:color w:val="000000" w:themeColor="text1"/>
          <w:szCs w:val="22"/>
          <w:lang w:val="es-ES" w:eastAsia="es-ES_tradnl"/>
        </w:rPr>
        <w:t>e</w:t>
      </w:r>
      <w:r>
        <w:rPr>
          <w:rFonts w:ascii="Palatino Linotype" w:eastAsia="Calibri" w:hAnsi="Palatino Linotype" w:cs="Tahoma"/>
          <w:bCs/>
          <w:iCs/>
          <w:color w:val="000000" w:themeColor="text1"/>
          <w:szCs w:val="22"/>
          <w:lang w:val="es-ES" w:eastAsia="es-ES_tradnl"/>
        </w:rPr>
        <w:t>rlo del conocimiento del ahora Recurrente, en términos del artículo 19, párrafo segundo</w:t>
      </w:r>
      <w:r w:rsidR="007D4795">
        <w:rPr>
          <w:rFonts w:ascii="Palatino Linotype" w:eastAsia="Calibri" w:hAnsi="Palatino Linotype" w:cs="Tahoma"/>
          <w:bCs/>
          <w:iCs/>
          <w:color w:val="000000" w:themeColor="text1"/>
          <w:szCs w:val="22"/>
          <w:lang w:val="es-ES" w:eastAsia="es-ES_tradnl"/>
        </w:rPr>
        <w:t>,</w:t>
      </w:r>
      <w:r>
        <w:rPr>
          <w:rFonts w:ascii="Palatino Linotype" w:eastAsia="Calibri" w:hAnsi="Palatino Linotype" w:cs="Tahoma"/>
          <w:bCs/>
          <w:iCs/>
          <w:color w:val="000000" w:themeColor="text1"/>
          <w:szCs w:val="22"/>
          <w:lang w:val="es-ES" w:eastAsia="es-ES_tradnl"/>
        </w:rPr>
        <w:t xml:space="preserve"> de la Ley de Transparencia y Acceso a la Información Pública del Estado de México y Municipios.</w:t>
      </w:r>
    </w:p>
    <w:p w14:paraId="0359DE4C" w14:textId="77777777" w:rsidR="006C4515" w:rsidRDefault="006C4515" w:rsidP="006C4515">
      <w:pPr>
        <w:spacing w:line="360" w:lineRule="auto"/>
        <w:ind w:right="-93"/>
        <w:jc w:val="both"/>
        <w:rPr>
          <w:rFonts w:ascii="Palatino Linotype" w:eastAsia="Calibri" w:hAnsi="Palatino Linotype" w:cs="Tahoma"/>
          <w:bCs/>
          <w:iCs/>
          <w:color w:val="000000" w:themeColor="text1"/>
          <w:sz w:val="22"/>
          <w:szCs w:val="22"/>
          <w:lang w:val="es-ES" w:eastAsia="es-ES_tradnl"/>
        </w:rPr>
      </w:pPr>
    </w:p>
    <w:p w14:paraId="29B1C4F4" w14:textId="62536059" w:rsidR="006C4515" w:rsidRPr="00C57C74" w:rsidRDefault="00370CFC" w:rsidP="006C4515">
      <w:pPr>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iCs/>
          <w:sz w:val="22"/>
          <w:szCs w:val="22"/>
          <w:lang w:eastAsia="es-ES_tradnl"/>
        </w:rPr>
        <w:t xml:space="preserve">Para el supuesto, </w:t>
      </w:r>
      <w:r w:rsidR="006C4515" w:rsidRPr="00C57C74">
        <w:rPr>
          <w:rFonts w:ascii="Palatino Linotype" w:eastAsia="Calibri" w:hAnsi="Palatino Linotype" w:cs="Tahoma"/>
          <w:bCs/>
          <w:iCs/>
          <w:sz w:val="22"/>
          <w:szCs w:val="22"/>
          <w:lang w:eastAsia="es-ES_tradnl"/>
        </w:rPr>
        <w:t xml:space="preserve">de que los documentos localizados, contengan datos o información clasificada, en términos del artículo 143 de la Ley de la materia, el Sujeto Obligado deberá </w:t>
      </w:r>
      <w:r w:rsidR="006C4515" w:rsidRPr="00C57C74">
        <w:rPr>
          <w:rFonts w:ascii="Palatino Linotype" w:eastAsia="Calibri" w:hAnsi="Palatino Linotype" w:cs="Tahoma"/>
          <w:bCs/>
          <w:iCs/>
          <w:sz w:val="22"/>
          <w:szCs w:val="22"/>
          <w:lang w:eastAsia="es-ES_tradnl"/>
        </w:rPr>
        <w:lastRenderedPageBreak/>
        <w:t>elaborar las versiones públicas respectivas. En ese tenor, deberá emitir y entregar el acuerdo de su Comité de Transparencia, en donde, de manera fundada y motivada, confirme dicha clasificación.</w:t>
      </w:r>
    </w:p>
    <w:p w14:paraId="23DD9916" w14:textId="77777777" w:rsidR="006C4515" w:rsidRPr="00302243" w:rsidRDefault="006C4515" w:rsidP="006C4515">
      <w:pPr>
        <w:spacing w:line="360" w:lineRule="auto"/>
        <w:ind w:right="-93"/>
        <w:jc w:val="both"/>
        <w:rPr>
          <w:rFonts w:ascii="Palatino Linotype" w:eastAsia="Calibri" w:hAnsi="Palatino Linotype" w:cs="Tahoma"/>
          <w:iCs/>
          <w:color w:val="000000" w:themeColor="text1"/>
          <w:sz w:val="22"/>
          <w:szCs w:val="22"/>
          <w:lang w:eastAsia="es-ES_tradnl"/>
        </w:rPr>
      </w:pPr>
    </w:p>
    <w:p w14:paraId="755565CC" w14:textId="77777777" w:rsidR="00536006" w:rsidRPr="00302243" w:rsidRDefault="00536006" w:rsidP="00447875">
      <w:pPr>
        <w:spacing w:line="360" w:lineRule="auto"/>
        <w:jc w:val="both"/>
        <w:rPr>
          <w:rFonts w:ascii="Palatino Linotype" w:hAnsi="Palatino Linotype" w:cs="Tahoma"/>
          <w:i/>
          <w:color w:val="000000" w:themeColor="text1"/>
          <w:sz w:val="22"/>
          <w:szCs w:val="22"/>
        </w:rPr>
      </w:pPr>
      <w:r w:rsidRPr="00302243">
        <w:rPr>
          <w:rFonts w:ascii="Palatino Linotype" w:hAnsi="Palatino Linotype" w:cs="Tahoma"/>
          <w:b/>
          <w:color w:val="000000" w:themeColor="text1"/>
          <w:sz w:val="22"/>
          <w:szCs w:val="22"/>
        </w:rPr>
        <w:t xml:space="preserve">TERCERO. NOTIFÍQUESE </w:t>
      </w:r>
      <w:r w:rsidRPr="00302243">
        <w:rPr>
          <w:rFonts w:ascii="Palatino Linotype" w:hAnsi="Palatino Linotype" w:cs="Tahoma"/>
          <w:color w:val="000000" w:themeColor="text1"/>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82F4CC0" w14:textId="77777777" w:rsidR="00536006" w:rsidRPr="00302243" w:rsidRDefault="00536006" w:rsidP="00447875">
      <w:pPr>
        <w:shd w:val="clear" w:color="auto" w:fill="FFFFFF" w:themeFill="background1"/>
        <w:spacing w:line="360" w:lineRule="auto"/>
        <w:jc w:val="both"/>
        <w:rPr>
          <w:rFonts w:ascii="Palatino Linotype" w:eastAsia="Calibri" w:hAnsi="Palatino Linotype" w:cs="Tahoma"/>
          <w:color w:val="000000" w:themeColor="text1"/>
          <w:sz w:val="22"/>
          <w:szCs w:val="22"/>
          <w:lang w:eastAsia="es-MX"/>
        </w:rPr>
      </w:pPr>
    </w:p>
    <w:p w14:paraId="79A05583" w14:textId="3A78D48A" w:rsidR="00536006" w:rsidRPr="00302243" w:rsidRDefault="00536006" w:rsidP="00447875">
      <w:pPr>
        <w:shd w:val="clear" w:color="auto" w:fill="FFFFFF" w:themeFill="background1"/>
        <w:spacing w:line="360" w:lineRule="auto"/>
        <w:jc w:val="both"/>
        <w:rPr>
          <w:rFonts w:ascii="Palatino Linotype" w:hAnsi="Palatino Linotype" w:cs="Tahoma"/>
          <w:color w:val="000000" w:themeColor="text1"/>
          <w:sz w:val="22"/>
          <w:szCs w:val="22"/>
        </w:rPr>
      </w:pPr>
      <w:r w:rsidRPr="00302243">
        <w:rPr>
          <w:rFonts w:ascii="Palatino Linotype" w:eastAsia="Calibri" w:hAnsi="Palatino Linotype" w:cs="Tahoma"/>
          <w:b/>
          <w:color w:val="000000" w:themeColor="text1"/>
          <w:sz w:val="22"/>
          <w:szCs w:val="22"/>
          <w:lang w:eastAsia="es-MX"/>
        </w:rPr>
        <w:t>CUARTO</w:t>
      </w:r>
      <w:r w:rsidRPr="00302243">
        <w:rPr>
          <w:rFonts w:ascii="Palatino Linotype" w:eastAsia="Calibri" w:hAnsi="Palatino Linotype" w:cs="Tahoma"/>
          <w:b/>
          <w:bCs/>
          <w:color w:val="000000" w:themeColor="text1"/>
          <w:sz w:val="22"/>
          <w:szCs w:val="22"/>
          <w:lang w:eastAsia="en-US"/>
        </w:rPr>
        <w:t xml:space="preserve">. </w:t>
      </w:r>
      <w:r w:rsidRPr="00302243">
        <w:rPr>
          <w:rFonts w:ascii="Palatino Linotype" w:hAnsi="Palatino Linotype" w:cs="Tahoma"/>
          <w:b/>
          <w:color w:val="000000" w:themeColor="text1"/>
          <w:sz w:val="22"/>
          <w:szCs w:val="22"/>
        </w:rPr>
        <w:t>NOTIFÍQUESE</w:t>
      </w:r>
      <w:r w:rsidRPr="00302243">
        <w:rPr>
          <w:rFonts w:ascii="Palatino Linotype" w:hAnsi="Palatino Linotype" w:cs="Tahoma"/>
          <w:color w:val="000000" w:themeColor="text1"/>
          <w:sz w:val="22"/>
          <w:szCs w:val="22"/>
        </w:rPr>
        <w:t xml:space="preserve"> </w:t>
      </w:r>
      <w:r w:rsidR="007F332F" w:rsidRPr="00302243">
        <w:rPr>
          <w:rFonts w:ascii="Palatino Linotype" w:hAnsi="Palatino Linotype" w:cs="Tahoma"/>
          <w:color w:val="000000" w:themeColor="text1"/>
          <w:sz w:val="22"/>
          <w:szCs w:val="22"/>
        </w:rPr>
        <w:t>al</w:t>
      </w:r>
      <w:r w:rsidRPr="00302243">
        <w:rPr>
          <w:rFonts w:ascii="Palatino Linotype" w:hAnsi="Palatino Linotype" w:cs="Tahoma"/>
          <w:color w:val="000000" w:themeColor="text1"/>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6FD74C9" w14:textId="77777777" w:rsidR="00536006" w:rsidRPr="00302243" w:rsidRDefault="00536006" w:rsidP="00447875">
      <w:pPr>
        <w:spacing w:line="360" w:lineRule="auto"/>
        <w:jc w:val="both"/>
        <w:rPr>
          <w:rFonts w:ascii="Palatino Linotype" w:hAnsi="Palatino Linotype" w:cs="Tahoma"/>
          <w:color w:val="000000" w:themeColor="text1"/>
          <w:sz w:val="22"/>
          <w:szCs w:val="22"/>
          <w:lang w:eastAsia="es-MX"/>
        </w:rPr>
      </w:pPr>
    </w:p>
    <w:p w14:paraId="3CE30947" w14:textId="77777777" w:rsidR="007F26BE" w:rsidRPr="00F012DF" w:rsidRDefault="007F26BE" w:rsidP="007F26BE">
      <w:pPr>
        <w:spacing w:line="360" w:lineRule="auto"/>
        <w:ind w:right="-93"/>
        <w:jc w:val="both"/>
        <w:rPr>
          <w:rFonts w:ascii="Palatino Linotype" w:eastAsia="Calibri" w:hAnsi="Palatino Linotype" w:cs="Tahoma"/>
          <w:bCs/>
          <w:sz w:val="22"/>
          <w:szCs w:val="22"/>
          <w:lang w:eastAsia="en-US"/>
        </w:rPr>
      </w:pPr>
      <w:r w:rsidRPr="001C70D6">
        <w:rPr>
          <w:rFonts w:ascii="Palatino Linotype" w:eastAsia="Calibri" w:hAnsi="Palatino Linotype" w:cs="Tahoma"/>
          <w:bCs/>
          <w:sz w:val="22"/>
          <w:szCs w:val="22"/>
          <w:lang w:val="es-ES_tradnl" w:eastAsia="en-US"/>
        </w:rPr>
        <w:t xml:space="preserve">ASÍ LO RESUELVEN POR </w:t>
      </w:r>
      <w:r w:rsidRPr="001C70D6">
        <w:rPr>
          <w:rFonts w:ascii="Palatino Linotype" w:eastAsia="Calibri" w:hAnsi="Palatino Linotype" w:cs="Tahoma"/>
          <w:b/>
          <w:bCs/>
          <w:sz w:val="22"/>
          <w:szCs w:val="22"/>
          <w:lang w:val="es-ES_tradnl" w:eastAsia="en-US"/>
        </w:rPr>
        <w:t>UNANIMIDAD</w:t>
      </w:r>
      <w:r w:rsidRPr="001C70D6">
        <w:rPr>
          <w:rFonts w:ascii="Palatino Linotype" w:eastAsia="Calibri" w:hAnsi="Palatino Linotype"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(AUSENCIA JUSTIFICADA), EN LA </w:t>
      </w:r>
      <w:r>
        <w:rPr>
          <w:rFonts w:ascii="Palatino Linotype" w:eastAsia="Calibri" w:hAnsi="Palatino Linotype" w:cs="Tahoma"/>
          <w:bCs/>
          <w:sz w:val="22"/>
          <w:szCs w:val="22"/>
          <w:lang w:val="es-ES_tradnl" w:eastAsia="en-US"/>
        </w:rPr>
        <w:t>CUADRAGÉSIMA CUARTA</w:t>
      </w:r>
      <w:r w:rsidRPr="001C70D6">
        <w:rPr>
          <w:rFonts w:ascii="Palatino Linotype" w:eastAsia="Calibri" w:hAnsi="Palatino Linotype" w:cs="Tahoma"/>
          <w:bCs/>
          <w:sz w:val="22"/>
          <w:szCs w:val="22"/>
          <w:lang w:val="es-ES_tradnl" w:eastAsia="en-US"/>
        </w:rPr>
        <w:t xml:space="preserve"> SESIÓN ORDINARIA, CELEBRADA EL VEINTI</w:t>
      </w:r>
      <w:r>
        <w:rPr>
          <w:rFonts w:ascii="Palatino Linotype" w:eastAsia="Calibri" w:hAnsi="Palatino Linotype" w:cs="Tahoma"/>
          <w:bCs/>
          <w:sz w:val="22"/>
          <w:szCs w:val="22"/>
          <w:lang w:val="es-ES_tradnl" w:eastAsia="en-US"/>
        </w:rPr>
        <w:t xml:space="preserve">SIETE </w:t>
      </w:r>
      <w:r w:rsidRPr="001C70D6">
        <w:rPr>
          <w:rFonts w:ascii="Palatino Linotype" w:eastAsia="Calibri" w:hAnsi="Palatino Linotype" w:cs="Tahoma"/>
          <w:bCs/>
          <w:sz w:val="22"/>
          <w:szCs w:val="22"/>
          <w:lang w:val="es-ES_tradnl" w:eastAsia="en-US"/>
        </w:rPr>
        <w:t xml:space="preserve">DE </w:t>
      </w:r>
      <w:r>
        <w:rPr>
          <w:rFonts w:ascii="Palatino Linotype" w:eastAsia="Calibri" w:hAnsi="Palatino Linotype" w:cs="Tahoma"/>
          <w:bCs/>
          <w:sz w:val="22"/>
          <w:szCs w:val="22"/>
          <w:lang w:val="es-ES_tradnl" w:eastAsia="en-US"/>
        </w:rPr>
        <w:t>NOVIEMBRE</w:t>
      </w:r>
      <w:r w:rsidRPr="001C70D6">
        <w:rPr>
          <w:rFonts w:ascii="Palatino Linotype" w:eastAsia="Calibri" w:hAnsi="Palatino Linotype" w:cs="Tahoma"/>
          <w:bCs/>
          <w:sz w:val="22"/>
          <w:szCs w:val="22"/>
          <w:lang w:val="es-ES_tradnl" w:eastAsia="en-US"/>
        </w:rPr>
        <w:t xml:space="preserve"> DE DOS MIL DIECINUEVE, ANTE EL SECRETARIO TÉCNICO DEL PLENO, ALEXIS TAPIA </w:t>
      </w:r>
      <w:r w:rsidRPr="00F012DF">
        <w:rPr>
          <w:rFonts w:ascii="Palatino Linotype" w:eastAsia="Calibri" w:hAnsi="Palatino Linotype" w:cs="Tahoma"/>
          <w:bCs/>
          <w:sz w:val="22"/>
          <w:szCs w:val="22"/>
          <w:lang w:val="es-ES_tradnl" w:eastAsia="en-US"/>
        </w:rPr>
        <w:t>RAMÍREZ.</w:t>
      </w:r>
    </w:p>
    <w:p w14:paraId="6CE7B3DE"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0FEC4C01"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772C7BAE"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0091C0B2"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8720" behindDoc="0" locked="0" layoutInCell="1" allowOverlap="1" wp14:anchorId="366C8D01" wp14:editId="7D6A360D">
                <wp:simplePos x="0" y="0"/>
                <wp:positionH relativeFrom="margin">
                  <wp:align>center</wp:align>
                </wp:positionH>
                <wp:positionV relativeFrom="paragraph">
                  <wp:posOffset>129540</wp:posOffset>
                </wp:positionV>
                <wp:extent cx="2551430" cy="809625"/>
                <wp:effectExtent l="0" t="0" r="20320" b="285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D2395E"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6EF98EC"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0CA8467"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54464832" w14:textId="77777777" w:rsidR="007F26BE" w:rsidRPr="00016AF3" w:rsidRDefault="007F26BE" w:rsidP="007F26BE">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8D01" id="_x0000_t202" coordsize="21600,21600" o:spt="202" path="m,l,21600r21600,l21600,xe">
                <v:stroke joinstyle="miter"/>
                <v:path gradientshapeok="t" o:connecttype="rect"/>
              </v:shapetype>
              <v:shape id="Cuadro de texto 31" o:spid="_x0000_s1026" type="#_x0000_t202" style="position:absolute;left:0;text-align:left;margin-left:0;margin-top:10.2pt;width:200.9pt;height:63.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q1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CdOOq1ngIAANQFAAAOAAAAAAAAAAAAAAAAAC4CAABkcnMvZTJv&#10;RG9jLnhtbFBLAQItABQABgAIAAAAIQCEvBj92gAAAAcBAAAPAAAAAAAAAAAAAAAAAPgEAABkcnMv&#10;ZG93bnJldi54bWxQSwUGAAAAAAQABADzAAAA/wUAAAAA&#10;" fillcolor="white [3201]" strokecolor="white [3212]" strokeweight=".5pt">
                <v:path arrowok="t"/>
                <v:textbox>
                  <w:txbxContent>
                    <w:p w14:paraId="17D2395E"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6EF98EC"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0CA8467"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54464832" w14:textId="77777777" w:rsidR="007F26BE" w:rsidRPr="00016AF3" w:rsidRDefault="007F26BE" w:rsidP="007F26BE">
                      <w:pPr>
                        <w:jc w:val="center"/>
                        <w:rPr>
                          <w:rFonts w:ascii="Palatino Linotype" w:hAnsi="Palatino Linotype"/>
                          <w:b/>
                          <w:sz w:val="24"/>
                          <w:szCs w:val="24"/>
                        </w:rPr>
                      </w:pPr>
                    </w:p>
                  </w:txbxContent>
                </v:textbox>
                <w10:wrap anchorx="margin"/>
              </v:shape>
            </w:pict>
          </mc:Fallback>
        </mc:AlternateContent>
      </w:r>
    </w:p>
    <w:p w14:paraId="729A1127"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1B90F09E"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226BAE8C"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1813FFD6"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524A7973"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0E222046" w14:textId="77777777" w:rsidR="007F26BE" w:rsidRPr="00F012DF" w:rsidRDefault="007F26BE" w:rsidP="007F26BE">
      <w:pPr>
        <w:spacing w:line="360" w:lineRule="auto"/>
        <w:ind w:right="-93"/>
        <w:jc w:val="both"/>
        <w:rPr>
          <w:rFonts w:ascii="Palatino Linotype" w:eastAsia="Calibri" w:hAnsi="Palatino Linotype" w:cs="Tahoma"/>
          <w:b/>
          <w:bCs/>
          <w:sz w:val="22"/>
          <w:szCs w:val="22"/>
          <w:lang w:eastAsia="en-US"/>
        </w:rPr>
      </w:pPr>
    </w:p>
    <w:p w14:paraId="4E3CDBB2" w14:textId="77777777" w:rsidR="007F26BE" w:rsidRPr="00F012DF" w:rsidRDefault="007F26BE" w:rsidP="007F26BE">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0768" behindDoc="0" locked="0" layoutInCell="1" allowOverlap="1" wp14:anchorId="6EA896FE" wp14:editId="54B57B4B">
                <wp:simplePos x="0" y="0"/>
                <wp:positionH relativeFrom="margin">
                  <wp:posOffset>3011805</wp:posOffset>
                </wp:positionH>
                <wp:positionV relativeFrom="paragraph">
                  <wp:posOffset>9525</wp:posOffset>
                </wp:positionV>
                <wp:extent cx="2800350" cy="776378"/>
                <wp:effectExtent l="0" t="0" r="19050" b="2413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4C8BC5"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E9AC3BB"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253BB7E"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714CB374" w14:textId="77777777" w:rsidR="007F26BE" w:rsidRPr="00DA1AD1" w:rsidRDefault="007F26BE" w:rsidP="007F26BE">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96FE" id="Cuadro de texto 44" o:spid="_x0000_s1027" type="#_x0000_t202" style="position:absolute;left:0;text-align:left;margin-left:237.15pt;margin-top:.75pt;width:220.5pt;height:61.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XqnQIAANsFAAAOAAAAZHJzL2Uyb0RvYy54bWysVNtOGzEQfa/Uf7D8XjYJgd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KR7F6p0CAADbBQAADgAAAAAAAAAAAAAAAAAuAgAAZHJzL2Uy&#10;b0RvYy54bWxQSwECLQAUAAYACAAAACEA2loMe9wAAAAJAQAADwAAAAAAAAAAAAAAAAD3BAAAZHJz&#10;L2Rvd25yZXYueG1sUEsFBgAAAAAEAAQA8wAAAAAGAAAAAA==&#10;" fillcolor="white [3201]" strokecolor="white [3212]" strokeweight=".5pt">
                <v:path arrowok="t"/>
                <v:textbox>
                  <w:txbxContent>
                    <w:p w14:paraId="274C8BC5"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E9AC3BB"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253BB7E"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714CB374" w14:textId="77777777" w:rsidR="007F26BE" w:rsidRPr="00DA1AD1" w:rsidRDefault="007F26BE" w:rsidP="007F26BE">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9744" behindDoc="0" locked="0" layoutInCell="1" allowOverlap="1" wp14:anchorId="5147D12C" wp14:editId="4B307886">
                <wp:simplePos x="0" y="0"/>
                <wp:positionH relativeFrom="margin">
                  <wp:align>left</wp:align>
                </wp:positionH>
                <wp:positionV relativeFrom="paragraph">
                  <wp:posOffset>12328</wp:posOffset>
                </wp:positionV>
                <wp:extent cx="1943100" cy="752475"/>
                <wp:effectExtent l="0" t="0" r="19050"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8D4B73" w14:textId="77777777" w:rsidR="007F26BE" w:rsidRPr="00DA1AD1" w:rsidRDefault="007F26BE" w:rsidP="007F26B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5943A3F"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28B3097"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60D4096A" w14:textId="77777777" w:rsidR="007F26BE" w:rsidRPr="00DA1AD1" w:rsidRDefault="007F26BE" w:rsidP="007F26B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D12C" id="Cuadro de texto 26" o:spid="_x0000_s1028" type="#_x0000_t202" style="position:absolute;left:0;text-align:left;margin-left:0;margin-top:.95pt;width:153pt;height:59.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iSjIloAIAANsFAAAOAAAAAAAAAAAAAAAAAC4CAABkcnMvZTJv&#10;RG9jLnhtbFBLAQItABQABgAIAAAAIQASUx6j2AAAAAYBAAAPAAAAAAAAAAAAAAAAAPoEAABkcnMv&#10;ZG93bnJldi54bWxQSwUGAAAAAAQABADzAAAA/wUAAAAA&#10;" fillcolor="white [3201]" strokecolor="white [3212]" strokeweight=".5pt">
                <v:path arrowok="t"/>
                <v:textbox>
                  <w:txbxContent>
                    <w:p w14:paraId="268D4B73" w14:textId="77777777" w:rsidR="007F26BE" w:rsidRPr="00DA1AD1" w:rsidRDefault="007F26BE" w:rsidP="007F26BE">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5943A3F"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28B3097"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60D4096A" w14:textId="77777777" w:rsidR="007F26BE" w:rsidRPr="00DA1AD1" w:rsidRDefault="007F26BE" w:rsidP="007F26BE">
                      <w:pPr>
                        <w:jc w:val="center"/>
                        <w:rPr>
                          <w:sz w:val="18"/>
                        </w:rPr>
                      </w:pPr>
                    </w:p>
                  </w:txbxContent>
                </v:textbox>
                <w10:wrap anchorx="margin"/>
              </v:shape>
            </w:pict>
          </mc:Fallback>
        </mc:AlternateContent>
      </w:r>
    </w:p>
    <w:p w14:paraId="0FC51355" w14:textId="77777777" w:rsidR="007F26BE" w:rsidRPr="00F012DF" w:rsidRDefault="007F26BE" w:rsidP="007F26BE">
      <w:pPr>
        <w:spacing w:line="360" w:lineRule="auto"/>
        <w:ind w:right="-93"/>
        <w:jc w:val="both"/>
        <w:rPr>
          <w:rFonts w:ascii="Palatino Linotype" w:eastAsia="Calibri" w:hAnsi="Palatino Linotype" w:cs="Tahoma"/>
          <w:b/>
          <w:bCs/>
          <w:sz w:val="22"/>
          <w:szCs w:val="22"/>
          <w:lang w:eastAsia="en-US"/>
        </w:rPr>
      </w:pPr>
    </w:p>
    <w:p w14:paraId="16836B4A" w14:textId="77777777" w:rsidR="007F26BE" w:rsidRPr="00F012DF" w:rsidRDefault="007F26BE" w:rsidP="007F26BE">
      <w:pPr>
        <w:spacing w:line="360" w:lineRule="auto"/>
        <w:ind w:right="-93"/>
        <w:jc w:val="both"/>
        <w:rPr>
          <w:rFonts w:ascii="Palatino Linotype" w:eastAsia="Calibri" w:hAnsi="Palatino Linotype" w:cs="Tahoma"/>
          <w:b/>
          <w:bCs/>
          <w:sz w:val="22"/>
          <w:szCs w:val="22"/>
          <w:lang w:eastAsia="en-US"/>
        </w:rPr>
      </w:pPr>
    </w:p>
    <w:p w14:paraId="4AB7AD54"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0381593E"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14495E51" w14:textId="77777777" w:rsidR="007F26BE" w:rsidRPr="00F012DF" w:rsidRDefault="007F26BE" w:rsidP="007F26BE">
      <w:pPr>
        <w:spacing w:line="360" w:lineRule="auto"/>
        <w:ind w:right="-93"/>
        <w:jc w:val="both"/>
        <w:rPr>
          <w:rFonts w:ascii="Palatino Linotype" w:eastAsia="Calibri" w:hAnsi="Palatino Linotype" w:cs="Tahoma"/>
          <w:b/>
          <w:bCs/>
          <w:sz w:val="22"/>
          <w:szCs w:val="22"/>
          <w:lang w:eastAsia="en-US"/>
        </w:rPr>
      </w:pPr>
    </w:p>
    <w:p w14:paraId="5DB40524" w14:textId="77777777" w:rsidR="007F26BE" w:rsidRDefault="007F26BE" w:rsidP="007F26BE">
      <w:pPr>
        <w:spacing w:line="360" w:lineRule="auto"/>
        <w:ind w:right="-93"/>
        <w:jc w:val="both"/>
        <w:rPr>
          <w:rFonts w:ascii="Palatino Linotype" w:eastAsia="Calibri" w:hAnsi="Palatino Linotype" w:cs="Tahoma"/>
          <w:b/>
          <w:bCs/>
          <w:sz w:val="22"/>
          <w:szCs w:val="22"/>
          <w:lang w:eastAsia="en-US"/>
        </w:rPr>
      </w:pPr>
    </w:p>
    <w:p w14:paraId="5E362D5D" w14:textId="77777777" w:rsidR="007F26BE" w:rsidRPr="00F012DF" w:rsidRDefault="007F26BE" w:rsidP="007F26BE">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3840" behindDoc="0" locked="0" layoutInCell="1" allowOverlap="1" wp14:anchorId="1D8C89F8" wp14:editId="3395A80A">
                <wp:simplePos x="0" y="0"/>
                <wp:positionH relativeFrom="margin">
                  <wp:align>right</wp:align>
                </wp:positionH>
                <wp:positionV relativeFrom="paragraph">
                  <wp:posOffset>5080</wp:posOffset>
                </wp:positionV>
                <wp:extent cx="2276475" cy="724618"/>
                <wp:effectExtent l="0" t="0" r="28575" b="18415"/>
                <wp:wrapNone/>
                <wp:docPr id="52"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7A0B63" w14:textId="77777777" w:rsidR="007F26BE" w:rsidRPr="00DA1AD1" w:rsidRDefault="007F26BE" w:rsidP="007F26B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213B3AE"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8E0BE1A"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70E9C582" w14:textId="77777777" w:rsidR="007F26BE" w:rsidRDefault="007F26BE" w:rsidP="007F2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C89F8" id="Cuadro de texto 9" o:spid="_x0000_s1029" type="#_x0000_t202" style="position:absolute;left:0;text-align:left;margin-left:128.05pt;margin-top:.4pt;width:179.25pt;height:57.0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u6Ak26ICAADaBQAADgAAAAAAAAAAAAAAAAAuAgAAZHJz&#10;L2Uyb0RvYy54bWxQSwECLQAUAAYACAAAACEASimbUtoAAAAFAQAADwAAAAAAAAAAAAAAAAD8BAAA&#10;ZHJzL2Rvd25yZXYueG1sUEsFBgAAAAAEAAQA8wAAAAMGAAAAAA==&#10;" fillcolor="white [3201]" strokecolor="white [3212]" strokeweight=".5pt">
                <v:path arrowok="t"/>
                <v:textbox>
                  <w:txbxContent>
                    <w:p w14:paraId="417A0B63" w14:textId="77777777" w:rsidR="007F26BE" w:rsidRPr="00DA1AD1" w:rsidRDefault="007F26BE" w:rsidP="007F26BE">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213B3AE"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8E0BE1A" w14:textId="77777777" w:rsidR="007F26BE" w:rsidRPr="00DA1AD1" w:rsidRDefault="007F26BE" w:rsidP="007F26BE">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70E9C582" w14:textId="77777777" w:rsidR="007F26BE" w:rsidRDefault="007F26BE" w:rsidP="007F26BE"/>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2816" behindDoc="0" locked="0" layoutInCell="1" allowOverlap="1" wp14:anchorId="0F5C6346" wp14:editId="66592D86">
                <wp:simplePos x="0" y="0"/>
                <wp:positionH relativeFrom="margin">
                  <wp:align>left</wp:align>
                </wp:positionH>
                <wp:positionV relativeFrom="paragraph">
                  <wp:posOffset>8890</wp:posOffset>
                </wp:positionV>
                <wp:extent cx="2133600" cy="681486"/>
                <wp:effectExtent l="0" t="0" r="19050" b="23495"/>
                <wp:wrapNone/>
                <wp:docPr id="5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4B09CE"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C40E2A"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600B10" w14:textId="77777777" w:rsidR="007F26BE" w:rsidRPr="00DA1AD1" w:rsidRDefault="007F26BE" w:rsidP="007F26B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6346" id="Cuadro de texto 8" o:spid="_x0000_s1030" type="#_x0000_t202" style="position:absolute;left:0;text-align:left;margin-left:0;margin-top:.7pt;width:168pt;height:53.6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" fillcolor="white [3201]" strokecolor="white [3212]" strokeweight=".5pt">
                <v:path arrowok="t"/>
                <v:textbox>
                  <w:txbxContent>
                    <w:p w14:paraId="534B09CE"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00C40E2A"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C600B10" w14:textId="77777777" w:rsidR="007F26BE" w:rsidRPr="00DA1AD1" w:rsidRDefault="007F26BE" w:rsidP="007F26BE">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F772937" w14:textId="77777777" w:rsidR="007F26BE" w:rsidRDefault="007F26BE" w:rsidP="007F26BE">
      <w:pPr>
        <w:spacing w:line="360" w:lineRule="auto"/>
        <w:ind w:right="-93"/>
        <w:jc w:val="both"/>
        <w:rPr>
          <w:rFonts w:ascii="Palatino Linotype" w:eastAsia="Calibri" w:hAnsi="Palatino Linotype" w:cs="Tahoma"/>
          <w:bCs/>
          <w:sz w:val="22"/>
          <w:szCs w:val="22"/>
          <w:lang w:eastAsia="en-US"/>
        </w:rPr>
      </w:pPr>
    </w:p>
    <w:p w14:paraId="79751A6A" w14:textId="77777777" w:rsidR="007F26BE" w:rsidRPr="00515A59" w:rsidRDefault="007F26BE" w:rsidP="007F26BE">
      <w:pPr>
        <w:spacing w:line="360" w:lineRule="auto"/>
        <w:ind w:right="-93"/>
        <w:jc w:val="both"/>
        <w:rPr>
          <w:rFonts w:ascii="Palatino Linotype" w:eastAsia="Calibri" w:hAnsi="Palatino Linotype" w:cs="Tahoma"/>
          <w:b/>
          <w:bCs/>
          <w:sz w:val="22"/>
          <w:szCs w:val="22"/>
          <w:lang w:eastAsia="en-US"/>
        </w:rPr>
      </w:pPr>
    </w:p>
    <w:p w14:paraId="1C8342E1" w14:textId="77777777" w:rsidR="007F26BE" w:rsidRPr="00515A59" w:rsidRDefault="007F26BE" w:rsidP="007F26BE">
      <w:pPr>
        <w:spacing w:line="360" w:lineRule="auto"/>
        <w:ind w:right="-93"/>
        <w:jc w:val="both"/>
        <w:rPr>
          <w:rFonts w:ascii="Palatino Linotype" w:eastAsia="Calibri" w:hAnsi="Palatino Linotype" w:cs="Tahoma"/>
          <w:b/>
          <w:bCs/>
          <w:sz w:val="22"/>
          <w:szCs w:val="22"/>
          <w:lang w:eastAsia="en-US"/>
        </w:rPr>
      </w:pPr>
    </w:p>
    <w:p w14:paraId="72A97AA4" w14:textId="77777777" w:rsidR="007F26BE" w:rsidRPr="00515A59" w:rsidRDefault="007F26BE" w:rsidP="007F26BE">
      <w:pPr>
        <w:spacing w:line="360" w:lineRule="auto"/>
        <w:ind w:right="-93"/>
        <w:jc w:val="both"/>
        <w:rPr>
          <w:rFonts w:ascii="Palatino Linotype" w:eastAsia="Calibri" w:hAnsi="Palatino Linotype" w:cs="Tahoma"/>
          <w:b/>
          <w:bCs/>
          <w:sz w:val="22"/>
          <w:szCs w:val="22"/>
          <w:lang w:eastAsia="en-US"/>
        </w:rPr>
      </w:pPr>
    </w:p>
    <w:p w14:paraId="6AD2DBAA" w14:textId="77777777" w:rsidR="007F26BE" w:rsidRPr="00515A59" w:rsidRDefault="007F26BE" w:rsidP="007F26BE">
      <w:pPr>
        <w:spacing w:line="360" w:lineRule="auto"/>
        <w:ind w:right="-93"/>
        <w:jc w:val="both"/>
        <w:rPr>
          <w:rFonts w:ascii="Palatino Linotype" w:eastAsia="Calibri" w:hAnsi="Palatino Linotype" w:cs="Tahoma"/>
          <w:b/>
          <w:bCs/>
          <w:sz w:val="22"/>
          <w:szCs w:val="22"/>
          <w:lang w:eastAsia="en-US"/>
        </w:rPr>
      </w:pPr>
    </w:p>
    <w:p w14:paraId="3641ECCA" w14:textId="77777777" w:rsidR="007F26BE" w:rsidRDefault="007F26BE" w:rsidP="007F26BE">
      <w:pPr>
        <w:spacing w:line="360" w:lineRule="auto"/>
        <w:ind w:right="-93"/>
        <w:jc w:val="both"/>
        <w:rPr>
          <w:rFonts w:ascii="Palatino Linotype" w:eastAsia="Calibri" w:hAnsi="Palatino Linotype" w:cs="Tahoma"/>
          <w:bCs/>
          <w:sz w:val="22"/>
          <w:szCs w:val="22"/>
          <w:highlight w:val="yellow"/>
          <w:lang w:val="es-ES_tradnl"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81792" behindDoc="0" locked="0" layoutInCell="1" allowOverlap="1" wp14:anchorId="06345742" wp14:editId="21042FD5">
                <wp:simplePos x="0" y="0"/>
                <wp:positionH relativeFrom="page">
                  <wp:posOffset>2294626</wp:posOffset>
                </wp:positionH>
                <wp:positionV relativeFrom="paragraph">
                  <wp:posOffset>10172</wp:posOffset>
                </wp:positionV>
                <wp:extent cx="3152775" cy="706671"/>
                <wp:effectExtent l="0" t="0" r="28575" b="1778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9572A8" w14:textId="77777777" w:rsidR="007F26BE" w:rsidRPr="00DA1AD1" w:rsidRDefault="007F26BE" w:rsidP="007F26B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F5C5033"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37DA513" w14:textId="77777777" w:rsidR="007F26BE"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563276C9" w14:textId="77777777" w:rsidR="007F26BE" w:rsidRDefault="007F26BE" w:rsidP="007F26BE">
                            <w:pPr>
                              <w:jc w:val="center"/>
                              <w:rPr>
                                <w:rFonts w:ascii="Palatino Linotype" w:hAnsi="Palatino Linotype"/>
                                <w:b/>
                                <w:sz w:val="22"/>
                                <w:szCs w:val="24"/>
                              </w:rPr>
                            </w:pPr>
                          </w:p>
                          <w:p w14:paraId="6903CF4A" w14:textId="77777777" w:rsidR="007F26BE" w:rsidRDefault="007F26BE" w:rsidP="007F26BE">
                            <w:pPr>
                              <w:jc w:val="center"/>
                              <w:rPr>
                                <w:rFonts w:ascii="Palatino Linotype" w:hAnsi="Palatino Linotype"/>
                                <w:b/>
                                <w:sz w:val="22"/>
                                <w:szCs w:val="24"/>
                              </w:rPr>
                            </w:pPr>
                          </w:p>
                          <w:p w14:paraId="523434A8" w14:textId="77777777" w:rsidR="007F26BE" w:rsidRPr="00DA1AD1" w:rsidRDefault="007F26BE" w:rsidP="007F26BE">
                            <w:pPr>
                              <w:jc w:val="center"/>
                              <w:rPr>
                                <w:rFonts w:ascii="Palatino Linotype" w:hAnsi="Palatino Linotype"/>
                                <w:b/>
                                <w:sz w:val="22"/>
                                <w:szCs w:val="24"/>
                              </w:rPr>
                            </w:pPr>
                          </w:p>
                          <w:p w14:paraId="37D4E4A7" w14:textId="77777777" w:rsidR="007F26BE" w:rsidRPr="00DA1AD1" w:rsidRDefault="007F26BE" w:rsidP="007F26BE">
                            <w:pPr>
                              <w:jc w:val="center"/>
                              <w:rPr>
                                <w:rFonts w:ascii="Palatino Linotype" w:hAnsi="Palatino Linotype"/>
                                <w:sz w:val="22"/>
                                <w:szCs w:val="24"/>
                              </w:rPr>
                            </w:pPr>
                          </w:p>
                          <w:p w14:paraId="7D54A96A" w14:textId="77777777" w:rsidR="007F26BE" w:rsidRPr="00EF2FC0" w:rsidRDefault="007F26BE" w:rsidP="007F26BE">
                            <w:pPr>
                              <w:jc w:val="center"/>
                              <w:rPr>
                                <w:rFonts w:ascii="Palatino Linotype" w:hAnsi="Palatino Linotype"/>
                                <w:sz w:val="24"/>
                                <w:szCs w:val="24"/>
                              </w:rPr>
                            </w:pPr>
                          </w:p>
                          <w:p w14:paraId="33F4440A" w14:textId="77777777" w:rsidR="007F26BE" w:rsidRDefault="007F26BE" w:rsidP="007F2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45742" id="Cuadro de texto 60" o:spid="_x0000_s1031" type="#_x0000_t202" style="position:absolute;left:0;text-align:left;margin-left:180.7pt;margin-top:.8pt;width:248.25pt;height:55.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mpeNrqACAADbBQAADgAAAAAAAAAAAAAAAAAuAgAAZHJz&#10;L2Uyb0RvYy54bWxQSwECLQAUAAYACAAAACEAVB8L89wAAAAJAQAADwAAAAAAAAAAAAAAAAD6BAAA&#10;ZHJzL2Rvd25yZXYueG1sUEsFBgAAAAAEAAQA8wAAAAMGAAAAAA==&#10;" fillcolor="white [3201]" strokecolor="white [3212]" strokeweight=".5pt">
                <v:path arrowok="t"/>
                <v:textbox>
                  <w:txbxContent>
                    <w:p w14:paraId="0B9572A8" w14:textId="77777777" w:rsidR="007F26BE" w:rsidRPr="00DA1AD1" w:rsidRDefault="007F26BE" w:rsidP="007F26BE">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F5C5033" w14:textId="77777777" w:rsidR="007F26BE" w:rsidRPr="00DA1AD1" w:rsidRDefault="007F26BE" w:rsidP="007F26BE">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37DA513" w14:textId="77777777" w:rsidR="007F26BE" w:rsidRDefault="007F26BE" w:rsidP="007F26BE">
                      <w:pPr>
                        <w:jc w:val="center"/>
                        <w:rPr>
                          <w:rFonts w:ascii="Palatino Linotype" w:hAnsi="Palatino Linotype"/>
                          <w:b/>
                          <w:sz w:val="22"/>
                          <w:szCs w:val="24"/>
                        </w:rPr>
                      </w:pPr>
                      <w:r w:rsidRPr="00DA1AD1">
                        <w:rPr>
                          <w:rFonts w:ascii="Palatino Linotype" w:hAnsi="Palatino Linotype"/>
                          <w:b/>
                          <w:sz w:val="22"/>
                          <w:szCs w:val="24"/>
                        </w:rPr>
                        <w:t>(Rúbrica)</w:t>
                      </w:r>
                    </w:p>
                    <w:p w14:paraId="563276C9" w14:textId="77777777" w:rsidR="007F26BE" w:rsidRDefault="007F26BE" w:rsidP="007F26BE">
                      <w:pPr>
                        <w:jc w:val="center"/>
                        <w:rPr>
                          <w:rFonts w:ascii="Palatino Linotype" w:hAnsi="Palatino Linotype"/>
                          <w:b/>
                          <w:sz w:val="22"/>
                          <w:szCs w:val="24"/>
                        </w:rPr>
                      </w:pPr>
                    </w:p>
                    <w:p w14:paraId="6903CF4A" w14:textId="77777777" w:rsidR="007F26BE" w:rsidRDefault="007F26BE" w:rsidP="007F26BE">
                      <w:pPr>
                        <w:jc w:val="center"/>
                        <w:rPr>
                          <w:rFonts w:ascii="Palatino Linotype" w:hAnsi="Palatino Linotype"/>
                          <w:b/>
                          <w:sz w:val="22"/>
                          <w:szCs w:val="24"/>
                        </w:rPr>
                      </w:pPr>
                    </w:p>
                    <w:p w14:paraId="523434A8" w14:textId="77777777" w:rsidR="007F26BE" w:rsidRPr="00DA1AD1" w:rsidRDefault="007F26BE" w:rsidP="007F26BE">
                      <w:pPr>
                        <w:jc w:val="center"/>
                        <w:rPr>
                          <w:rFonts w:ascii="Palatino Linotype" w:hAnsi="Palatino Linotype"/>
                          <w:b/>
                          <w:sz w:val="22"/>
                          <w:szCs w:val="24"/>
                        </w:rPr>
                      </w:pPr>
                    </w:p>
                    <w:p w14:paraId="37D4E4A7" w14:textId="77777777" w:rsidR="007F26BE" w:rsidRPr="00DA1AD1" w:rsidRDefault="007F26BE" w:rsidP="007F26BE">
                      <w:pPr>
                        <w:jc w:val="center"/>
                        <w:rPr>
                          <w:rFonts w:ascii="Palatino Linotype" w:hAnsi="Palatino Linotype"/>
                          <w:sz w:val="22"/>
                          <w:szCs w:val="24"/>
                        </w:rPr>
                      </w:pPr>
                    </w:p>
                    <w:p w14:paraId="7D54A96A" w14:textId="77777777" w:rsidR="007F26BE" w:rsidRPr="00EF2FC0" w:rsidRDefault="007F26BE" w:rsidP="007F26BE">
                      <w:pPr>
                        <w:jc w:val="center"/>
                        <w:rPr>
                          <w:rFonts w:ascii="Palatino Linotype" w:hAnsi="Palatino Linotype"/>
                          <w:sz w:val="24"/>
                          <w:szCs w:val="24"/>
                        </w:rPr>
                      </w:pPr>
                    </w:p>
                    <w:p w14:paraId="33F4440A" w14:textId="77777777" w:rsidR="007F26BE" w:rsidRDefault="007F26BE" w:rsidP="007F26BE"/>
                  </w:txbxContent>
                </v:textbox>
                <w10:wrap anchorx="page"/>
              </v:shape>
            </w:pict>
          </mc:Fallback>
        </mc:AlternateContent>
      </w:r>
    </w:p>
    <w:p w14:paraId="1A25C7BE" w14:textId="77777777" w:rsidR="007F26BE" w:rsidRDefault="007F26BE" w:rsidP="007F26BE">
      <w:pPr>
        <w:spacing w:line="360" w:lineRule="auto"/>
        <w:ind w:right="-93"/>
        <w:jc w:val="both"/>
        <w:rPr>
          <w:rFonts w:ascii="Palatino Linotype" w:eastAsia="Calibri" w:hAnsi="Palatino Linotype" w:cs="Tahoma"/>
          <w:bCs/>
          <w:sz w:val="22"/>
          <w:szCs w:val="22"/>
          <w:highlight w:val="yellow"/>
          <w:lang w:val="es-ES_tradnl" w:eastAsia="en-US"/>
        </w:rPr>
      </w:pPr>
    </w:p>
    <w:p w14:paraId="47EACA7F" w14:textId="77777777" w:rsidR="00A266B4" w:rsidRDefault="00A266B4" w:rsidP="00447875">
      <w:pPr>
        <w:tabs>
          <w:tab w:val="left" w:pos="8931"/>
        </w:tabs>
        <w:spacing w:line="360" w:lineRule="auto"/>
        <w:ind w:right="-93"/>
        <w:jc w:val="both"/>
        <w:rPr>
          <w:rFonts w:ascii="Palatino Linotype" w:eastAsia="Calibri" w:hAnsi="Palatino Linotype" w:cs="Tahoma"/>
          <w:color w:val="000000" w:themeColor="text1"/>
          <w:sz w:val="22"/>
          <w:szCs w:val="22"/>
          <w:lang w:eastAsia="en-US"/>
        </w:rPr>
      </w:pPr>
    </w:p>
    <w:p w14:paraId="6DA33220" w14:textId="0BBADF70" w:rsidR="00536006" w:rsidRPr="00302243" w:rsidRDefault="00536006" w:rsidP="00447875">
      <w:pPr>
        <w:tabs>
          <w:tab w:val="left" w:pos="8931"/>
        </w:tabs>
        <w:spacing w:line="360" w:lineRule="auto"/>
        <w:ind w:right="-93"/>
        <w:jc w:val="both"/>
        <w:rPr>
          <w:rFonts w:ascii="Palatino Linotype" w:eastAsia="Calibri" w:hAnsi="Palatino Linotype" w:cs="Tahoma"/>
          <w:bCs/>
          <w:color w:val="000000" w:themeColor="text1"/>
          <w:sz w:val="22"/>
          <w:szCs w:val="22"/>
          <w:lang w:eastAsia="en-US"/>
        </w:rPr>
      </w:pPr>
      <w:r w:rsidRPr="00302243">
        <w:rPr>
          <w:rFonts w:ascii="Palatino Linotype" w:eastAsia="Calibri" w:hAnsi="Palatino Linotype" w:cs="Tahoma"/>
          <w:color w:val="000000" w:themeColor="text1"/>
          <w:sz w:val="22"/>
          <w:szCs w:val="22"/>
          <w:lang w:eastAsia="en-US"/>
        </w:rPr>
        <w:t xml:space="preserve">Esta foja corresponde a la resolución de fecha </w:t>
      </w:r>
      <w:r w:rsidR="00A266B4">
        <w:rPr>
          <w:rFonts w:ascii="Palatino Linotype" w:eastAsia="Calibri" w:hAnsi="Palatino Linotype" w:cs="Tahoma"/>
          <w:color w:val="000000" w:themeColor="text1"/>
          <w:sz w:val="22"/>
          <w:szCs w:val="22"/>
          <w:lang w:eastAsia="en-US"/>
        </w:rPr>
        <w:t>veintisiete</w:t>
      </w:r>
      <w:r w:rsidR="00677BBD" w:rsidRPr="00302243">
        <w:rPr>
          <w:rFonts w:ascii="Palatino Linotype" w:eastAsia="Calibri" w:hAnsi="Palatino Linotype" w:cs="Tahoma"/>
          <w:color w:val="000000" w:themeColor="text1"/>
          <w:sz w:val="22"/>
          <w:szCs w:val="22"/>
          <w:lang w:eastAsia="en-US"/>
        </w:rPr>
        <w:t xml:space="preserve"> de noviembre</w:t>
      </w:r>
      <w:r w:rsidRPr="00302243">
        <w:rPr>
          <w:rFonts w:ascii="Palatino Linotype" w:eastAsia="Calibri" w:hAnsi="Palatino Linotype" w:cs="Tahoma"/>
          <w:color w:val="000000" w:themeColor="text1"/>
          <w:sz w:val="22"/>
          <w:szCs w:val="22"/>
          <w:lang w:eastAsia="en-US"/>
        </w:rPr>
        <w:t xml:space="preserve"> de dos mil diecinueve, emitida en el </w:t>
      </w:r>
      <w:r w:rsidR="00A266B4">
        <w:rPr>
          <w:rFonts w:ascii="Palatino Linotype" w:eastAsia="Calibri" w:hAnsi="Palatino Linotype" w:cs="Tahoma"/>
          <w:color w:val="000000" w:themeColor="text1"/>
          <w:sz w:val="22"/>
          <w:szCs w:val="22"/>
          <w:lang w:eastAsia="en-US"/>
        </w:rPr>
        <w:t>R</w:t>
      </w:r>
      <w:r w:rsidRPr="00302243">
        <w:rPr>
          <w:rFonts w:ascii="Palatino Linotype" w:eastAsia="Calibri" w:hAnsi="Palatino Linotype" w:cs="Tahoma"/>
          <w:color w:val="000000" w:themeColor="text1"/>
          <w:sz w:val="22"/>
          <w:szCs w:val="22"/>
          <w:lang w:eastAsia="en-US"/>
        </w:rPr>
        <w:t xml:space="preserve">ecurso de </w:t>
      </w:r>
      <w:r w:rsidR="00A266B4">
        <w:rPr>
          <w:rFonts w:ascii="Palatino Linotype" w:eastAsia="Calibri" w:hAnsi="Palatino Linotype" w:cs="Tahoma"/>
          <w:color w:val="000000" w:themeColor="text1"/>
          <w:sz w:val="22"/>
          <w:szCs w:val="22"/>
          <w:lang w:eastAsia="en-US"/>
        </w:rPr>
        <w:t>R</w:t>
      </w:r>
      <w:r w:rsidRPr="00302243">
        <w:rPr>
          <w:rFonts w:ascii="Palatino Linotype" w:eastAsia="Calibri" w:hAnsi="Palatino Linotype" w:cs="Tahoma"/>
          <w:color w:val="000000" w:themeColor="text1"/>
          <w:sz w:val="22"/>
          <w:szCs w:val="22"/>
          <w:lang w:eastAsia="en-US"/>
        </w:rPr>
        <w:t xml:space="preserve">evisión número </w:t>
      </w:r>
      <w:r w:rsidRPr="00302243">
        <w:rPr>
          <w:rFonts w:ascii="Palatino Linotype" w:eastAsia="Calibri" w:hAnsi="Palatino Linotype" w:cs="Tahoma"/>
          <w:b/>
          <w:bCs/>
          <w:color w:val="000000" w:themeColor="text1"/>
          <w:sz w:val="22"/>
          <w:szCs w:val="22"/>
          <w:lang w:eastAsia="en-US"/>
        </w:rPr>
        <w:t>0</w:t>
      </w:r>
      <w:r w:rsidR="000457BC" w:rsidRPr="00302243">
        <w:rPr>
          <w:rFonts w:ascii="Palatino Linotype" w:eastAsia="Calibri" w:hAnsi="Palatino Linotype" w:cs="Tahoma"/>
          <w:b/>
          <w:bCs/>
          <w:color w:val="000000" w:themeColor="text1"/>
          <w:sz w:val="22"/>
          <w:szCs w:val="22"/>
          <w:lang w:eastAsia="en-US"/>
        </w:rPr>
        <w:t>7516</w:t>
      </w:r>
      <w:r w:rsidRPr="00302243">
        <w:rPr>
          <w:rFonts w:ascii="Palatino Linotype" w:eastAsia="Calibri" w:hAnsi="Palatino Linotype" w:cs="Tahoma"/>
          <w:b/>
          <w:bCs/>
          <w:color w:val="000000" w:themeColor="text1"/>
          <w:sz w:val="22"/>
          <w:szCs w:val="22"/>
          <w:lang w:eastAsia="en-US"/>
        </w:rPr>
        <w:t>/INFOEM/IP/RR/2019</w:t>
      </w:r>
      <w:r w:rsidRPr="00302243">
        <w:rPr>
          <w:rFonts w:ascii="Palatino Linotype" w:eastAsia="Calibri" w:hAnsi="Palatino Linotype" w:cs="Tahoma"/>
          <w:bCs/>
          <w:color w:val="000000" w:themeColor="text1"/>
          <w:sz w:val="22"/>
          <w:szCs w:val="22"/>
          <w:lang w:eastAsia="en-US"/>
        </w:rPr>
        <w:t>.</w:t>
      </w:r>
    </w:p>
    <w:sectPr w:rsidR="00536006" w:rsidRPr="00302243" w:rsidSect="00DB7E5F">
      <w:headerReference w:type="default" r:id="rId65"/>
      <w:footerReference w:type="default" r:id="rId66"/>
      <w:headerReference w:type="first" r:id="rId67"/>
      <w:footerReference w:type="first" r:id="rId6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D7BE1" w14:textId="77777777" w:rsidR="002720A7" w:rsidRDefault="002720A7" w:rsidP="00B31222">
      <w:r>
        <w:separator/>
      </w:r>
    </w:p>
  </w:endnote>
  <w:endnote w:type="continuationSeparator" w:id="0">
    <w:p w14:paraId="7961C12D" w14:textId="77777777" w:rsidR="002720A7" w:rsidRDefault="002720A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E48208F" w14:textId="77777777" w:rsidR="00B8640E" w:rsidRDefault="00B86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63C35">
              <w:rPr>
                <w:b/>
                <w:bCs/>
                <w:noProof/>
              </w:rPr>
              <w:t>100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63C35">
              <w:rPr>
                <w:b/>
                <w:bCs/>
                <w:noProof/>
              </w:rPr>
              <w:t>100</w:t>
            </w:r>
            <w:r>
              <w:rPr>
                <w:b/>
                <w:bCs/>
                <w:sz w:val="24"/>
                <w:szCs w:val="24"/>
              </w:rPr>
              <w:fldChar w:fldCharType="end"/>
            </w:r>
          </w:p>
        </w:sdtContent>
      </w:sdt>
    </w:sdtContent>
  </w:sdt>
  <w:p w14:paraId="60160F59" w14:textId="77777777" w:rsidR="00B8640E" w:rsidRDefault="00B864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6A1846F0" w14:textId="77777777" w:rsidR="00B8640E" w:rsidRDefault="00B86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63C3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63C35">
              <w:rPr>
                <w:b/>
                <w:bCs/>
                <w:noProof/>
              </w:rPr>
              <w:t>100</w:t>
            </w:r>
            <w:r>
              <w:rPr>
                <w:b/>
                <w:bCs/>
                <w:sz w:val="24"/>
                <w:szCs w:val="24"/>
              </w:rPr>
              <w:fldChar w:fldCharType="end"/>
            </w:r>
          </w:p>
        </w:sdtContent>
      </w:sdt>
    </w:sdtContent>
  </w:sdt>
  <w:p w14:paraId="4066513C" w14:textId="77777777" w:rsidR="00B8640E" w:rsidRDefault="00B864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5789C" w14:textId="77777777" w:rsidR="002720A7" w:rsidRDefault="002720A7" w:rsidP="00B31222">
      <w:r>
        <w:separator/>
      </w:r>
    </w:p>
  </w:footnote>
  <w:footnote w:type="continuationSeparator" w:id="0">
    <w:p w14:paraId="3A0EE2AE" w14:textId="77777777" w:rsidR="002720A7" w:rsidRDefault="002720A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B8640E" w:rsidRPr="005C106F" w14:paraId="4B1FC485" w14:textId="77777777" w:rsidTr="00202DB8">
      <w:trPr>
        <w:trHeight w:val="1435"/>
      </w:trPr>
      <w:tc>
        <w:tcPr>
          <w:tcW w:w="2835" w:type="dxa"/>
          <w:shd w:val="clear" w:color="auto" w:fill="auto"/>
        </w:tcPr>
        <w:p w14:paraId="30617ACD" w14:textId="77777777" w:rsidR="00B8640E" w:rsidRPr="005C106F" w:rsidRDefault="00B8640E" w:rsidP="00EF4A64">
          <w:pPr>
            <w:tabs>
              <w:tab w:val="right" w:pos="4273"/>
            </w:tabs>
            <w:rPr>
              <w:rFonts w:ascii="Garamond" w:eastAsia="Calibri" w:hAnsi="Garamond"/>
              <w:sz w:val="16"/>
              <w:szCs w:val="16"/>
              <w:lang w:eastAsia="en-US"/>
            </w:rPr>
          </w:pPr>
        </w:p>
      </w:tc>
      <w:tc>
        <w:tcPr>
          <w:tcW w:w="6733" w:type="dxa"/>
          <w:shd w:val="clear" w:color="auto" w:fill="auto"/>
        </w:tcPr>
        <w:p w14:paraId="26B0D062" w14:textId="77777777" w:rsidR="00B8640E" w:rsidRDefault="00B8640E"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B8640E" w14:paraId="4AA4DB3A" w14:textId="77777777" w:rsidTr="00FF46FD">
            <w:trPr>
              <w:trHeight w:val="144"/>
            </w:trPr>
            <w:tc>
              <w:tcPr>
                <w:tcW w:w="2727" w:type="dxa"/>
              </w:tcPr>
              <w:p w14:paraId="68370522" w14:textId="77777777" w:rsidR="00B8640E" w:rsidRPr="00FF46FD" w:rsidRDefault="00B8640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21CCD8C6" w14:textId="3B29FA20" w:rsidR="00B8640E" w:rsidRPr="00FF46FD" w:rsidRDefault="00B8640E" w:rsidP="00E43A0F">
                <w:pPr>
                  <w:tabs>
                    <w:tab w:val="right" w:pos="8838"/>
                  </w:tabs>
                  <w:ind w:left="-28" w:right="17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07516/INFOEM/IP/RR/2019</w:t>
                </w:r>
              </w:p>
            </w:tc>
          </w:tr>
          <w:tr w:rsidR="00B8640E" w14:paraId="269AAAF9" w14:textId="77777777" w:rsidTr="00FF46FD">
            <w:trPr>
              <w:trHeight w:val="283"/>
            </w:trPr>
            <w:tc>
              <w:tcPr>
                <w:tcW w:w="2727" w:type="dxa"/>
              </w:tcPr>
              <w:p w14:paraId="317B1BDC" w14:textId="77777777" w:rsidR="00B8640E" w:rsidRPr="00FF46FD" w:rsidRDefault="00B8640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5AE88DF4" w14:textId="5C6D34B6" w:rsidR="00B8640E" w:rsidRPr="00FF46FD" w:rsidRDefault="00B8640E" w:rsidP="00E43A0F">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4"/>
                    <w:szCs w:val="24"/>
                    <w:lang w:val="es-MX" w:eastAsia="en-US"/>
                  </w:rPr>
                  <w:t>Ayuntamiento de Nicolás Romero</w:t>
                </w:r>
              </w:p>
            </w:tc>
          </w:tr>
          <w:tr w:rsidR="00B8640E" w14:paraId="331AD948" w14:textId="77777777" w:rsidTr="00FF46FD">
            <w:trPr>
              <w:trHeight w:val="283"/>
            </w:trPr>
            <w:tc>
              <w:tcPr>
                <w:tcW w:w="2727" w:type="dxa"/>
              </w:tcPr>
              <w:p w14:paraId="169DEA6D" w14:textId="114CA81D" w:rsidR="00B8640E" w:rsidRPr="00FF46FD" w:rsidRDefault="00B8640E" w:rsidP="007F26BE">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w:t>
                </w:r>
                <w:r w:rsidR="007F26BE">
                  <w:rPr>
                    <w:rFonts w:ascii="Palatino Linotype" w:eastAsia="Calibri" w:hAnsi="Palatino Linotype" w:cs="Tahoma"/>
                    <w:b/>
                    <w:sz w:val="24"/>
                    <w:szCs w:val="24"/>
                    <w:lang w:val="es-MX" w:eastAsia="en-US"/>
                  </w:rPr>
                  <w:t>a</w:t>
                </w:r>
                <w:r w:rsidRPr="00FF46FD">
                  <w:rPr>
                    <w:rFonts w:ascii="Palatino Linotype" w:eastAsia="Calibri" w:hAnsi="Palatino Linotype" w:cs="Tahoma"/>
                    <w:b/>
                    <w:sz w:val="24"/>
                    <w:szCs w:val="24"/>
                    <w:lang w:val="es-MX" w:eastAsia="en-US"/>
                  </w:rPr>
                  <w:t xml:space="preserve"> Ponente:</w:t>
                </w:r>
              </w:p>
            </w:tc>
            <w:tc>
              <w:tcPr>
                <w:tcW w:w="3509" w:type="dxa"/>
              </w:tcPr>
              <w:p w14:paraId="43371484" w14:textId="25BEDCCB" w:rsidR="00B8640E" w:rsidRPr="00FF46FD" w:rsidRDefault="007F26BE" w:rsidP="007F26BE">
                <w:pPr>
                  <w:tabs>
                    <w:tab w:val="right" w:pos="8838"/>
                  </w:tabs>
                  <w:ind w:right="171"/>
                  <w:jc w:val="both"/>
                  <w:rPr>
                    <w:rFonts w:ascii="Palatino Linotype" w:eastAsia="Calibri" w:hAnsi="Palatino Linotype" w:cs="Tahoma"/>
                    <w:b/>
                    <w:sz w:val="24"/>
                    <w:szCs w:val="24"/>
                    <w:lang w:val="es-MX" w:eastAsia="en-US"/>
                  </w:rPr>
                </w:pPr>
                <w:r w:rsidRPr="007F26BE">
                  <w:rPr>
                    <w:rFonts w:ascii="Palatino Linotype" w:eastAsia="Calibri" w:hAnsi="Palatino Linotype" w:cs="Tahoma"/>
                    <w:sz w:val="24"/>
                    <w:szCs w:val="24"/>
                    <w:lang w:val="es-MX" w:eastAsia="en-US"/>
                  </w:rPr>
                  <w:t>Zulema Martínez Sánchez</w:t>
                </w:r>
              </w:p>
            </w:tc>
          </w:tr>
        </w:tbl>
        <w:p w14:paraId="280E6404" w14:textId="77777777" w:rsidR="00B8640E" w:rsidRPr="005C106F" w:rsidRDefault="00B8640E" w:rsidP="005743D2">
          <w:pPr>
            <w:tabs>
              <w:tab w:val="right" w:pos="8838"/>
            </w:tabs>
            <w:ind w:left="-28"/>
            <w:jc w:val="both"/>
            <w:rPr>
              <w:rFonts w:ascii="Arial" w:eastAsia="Calibri" w:hAnsi="Arial" w:cs="Arial"/>
              <w:b/>
              <w:sz w:val="22"/>
              <w:szCs w:val="22"/>
              <w:lang w:eastAsia="en-US"/>
            </w:rPr>
          </w:pPr>
        </w:p>
      </w:tc>
    </w:tr>
  </w:tbl>
  <w:p w14:paraId="1CC2FEB5" w14:textId="77777777" w:rsidR="00B8640E" w:rsidRDefault="00B8640E" w:rsidP="00EF4A64">
    <w:pPr>
      <w:pStyle w:val="Encabezado"/>
      <w:rPr>
        <w:sz w:val="14"/>
      </w:rPr>
    </w:pPr>
  </w:p>
  <w:p w14:paraId="5407659C" w14:textId="77777777" w:rsidR="007F26BE" w:rsidRPr="00443C6B" w:rsidRDefault="007F26BE"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4" w:type="dxa"/>
      <w:tblLayout w:type="fixed"/>
      <w:tblLook w:val="04A0" w:firstRow="1" w:lastRow="0" w:firstColumn="1" w:lastColumn="0" w:noHBand="0" w:noVBand="1"/>
    </w:tblPr>
    <w:tblGrid>
      <w:gridCol w:w="3261"/>
      <w:gridCol w:w="6733"/>
    </w:tblGrid>
    <w:tr w:rsidR="00B8640E" w:rsidRPr="00330DA7" w14:paraId="03DE2E1D" w14:textId="77777777" w:rsidTr="003A2ED2">
      <w:trPr>
        <w:trHeight w:val="1435"/>
      </w:trPr>
      <w:tc>
        <w:tcPr>
          <w:tcW w:w="3261" w:type="dxa"/>
          <w:shd w:val="clear" w:color="auto" w:fill="auto"/>
        </w:tcPr>
        <w:p w14:paraId="461AF29E" w14:textId="77777777" w:rsidR="00B8640E" w:rsidRPr="00330DA7" w:rsidRDefault="00B8640E"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260"/>
          </w:tblGrid>
          <w:tr w:rsidR="00B8640E" w:rsidRPr="00330DA7" w14:paraId="16B2B8FC" w14:textId="77777777" w:rsidTr="00677BBD">
            <w:trPr>
              <w:trHeight w:val="144"/>
            </w:trPr>
            <w:tc>
              <w:tcPr>
                <w:tcW w:w="2443" w:type="dxa"/>
              </w:tcPr>
              <w:p w14:paraId="12DA6780" w14:textId="77777777" w:rsidR="00B8640E" w:rsidRPr="00330DA7" w:rsidRDefault="00B8640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260" w:type="dxa"/>
              </w:tcPr>
              <w:p w14:paraId="5FC153A5" w14:textId="043F9C6B" w:rsidR="00B8640E" w:rsidRPr="00330DA7" w:rsidRDefault="00B8640E" w:rsidP="00844CB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7516</w:t>
                </w:r>
                <w:r w:rsidRPr="00330DA7">
                  <w:rPr>
                    <w:rFonts w:ascii="Palatino Linotype" w:eastAsia="Calibri" w:hAnsi="Palatino Linotype" w:cs="Tahoma"/>
                    <w:bCs/>
                    <w:sz w:val="22"/>
                    <w:szCs w:val="22"/>
                    <w:lang w:eastAsia="en-US"/>
                  </w:rPr>
                  <w:t>/INFOEM/IP/RR/2019</w:t>
                </w:r>
              </w:p>
            </w:tc>
          </w:tr>
          <w:tr w:rsidR="00B8640E" w:rsidRPr="00330DA7" w14:paraId="6D479CA3" w14:textId="77777777" w:rsidTr="00677BBD">
            <w:trPr>
              <w:trHeight w:val="144"/>
            </w:trPr>
            <w:tc>
              <w:tcPr>
                <w:tcW w:w="2443" w:type="dxa"/>
              </w:tcPr>
              <w:p w14:paraId="616F5F6E" w14:textId="77777777" w:rsidR="00B8640E" w:rsidRPr="00330DA7" w:rsidRDefault="00B8640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Recurrente:</w:t>
                </w:r>
              </w:p>
            </w:tc>
            <w:tc>
              <w:tcPr>
                <w:tcW w:w="3260" w:type="dxa"/>
              </w:tcPr>
              <w:p w14:paraId="08ACEE88" w14:textId="69EC3305" w:rsidR="00B8640E" w:rsidRPr="00330DA7" w:rsidRDefault="00D63C35" w:rsidP="00844CB5">
                <w:pPr>
                  <w:tabs>
                    <w:tab w:val="left" w:pos="3122"/>
                    <w:tab w:val="right" w:pos="8838"/>
                  </w:tabs>
                  <w:ind w:left="-74" w:right="-105"/>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xxxxxxxxxxxxxxxxxxxxxxxxx</w:t>
                </w:r>
              </w:p>
            </w:tc>
          </w:tr>
          <w:tr w:rsidR="00B8640E" w:rsidRPr="00330DA7" w14:paraId="7B02A203" w14:textId="77777777" w:rsidTr="00677BBD">
            <w:trPr>
              <w:trHeight w:val="283"/>
            </w:trPr>
            <w:tc>
              <w:tcPr>
                <w:tcW w:w="2443" w:type="dxa"/>
              </w:tcPr>
              <w:p w14:paraId="6F51131F" w14:textId="77777777" w:rsidR="00B8640E" w:rsidRPr="00330DA7" w:rsidRDefault="00B8640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260" w:type="dxa"/>
              </w:tcPr>
              <w:p w14:paraId="14577A7C" w14:textId="6B669554" w:rsidR="00B8640E" w:rsidRPr="00330DA7" w:rsidRDefault="00B8640E" w:rsidP="00844CB5">
                <w:pPr>
                  <w:tabs>
                    <w:tab w:val="left" w:pos="2834"/>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Ayuntamiento de Nicolás Romero</w:t>
                </w:r>
              </w:p>
            </w:tc>
          </w:tr>
          <w:tr w:rsidR="00B8640E" w:rsidRPr="00330DA7" w14:paraId="343A043D" w14:textId="77777777" w:rsidTr="00677BBD">
            <w:trPr>
              <w:trHeight w:val="283"/>
            </w:trPr>
            <w:tc>
              <w:tcPr>
                <w:tcW w:w="2443" w:type="dxa"/>
              </w:tcPr>
              <w:p w14:paraId="2F0E4B6C" w14:textId="13646CA1" w:rsidR="00B8640E" w:rsidRPr="00330DA7" w:rsidRDefault="00B8640E" w:rsidP="007F26BE">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w:t>
                </w:r>
                <w:r w:rsidR="007F26BE">
                  <w:rPr>
                    <w:rFonts w:ascii="Palatino Linotype" w:eastAsia="Calibri" w:hAnsi="Palatino Linotype" w:cs="Tahoma"/>
                    <w:b/>
                    <w:sz w:val="22"/>
                    <w:szCs w:val="22"/>
                    <w:lang w:val="es-MX" w:eastAsia="en-US"/>
                  </w:rPr>
                  <w:t>a</w:t>
                </w:r>
                <w:r w:rsidRPr="00330DA7">
                  <w:rPr>
                    <w:rFonts w:ascii="Palatino Linotype" w:eastAsia="Calibri" w:hAnsi="Palatino Linotype" w:cs="Tahoma"/>
                    <w:b/>
                    <w:sz w:val="22"/>
                    <w:szCs w:val="22"/>
                    <w:lang w:val="es-MX" w:eastAsia="en-US"/>
                  </w:rPr>
                  <w:t xml:space="preserve"> Ponente:</w:t>
                </w:r>
              </w:p>
            </w:tc>
            <w:tc>
              <w:tcPr>
                <w:tcW w:w="3260" w:type="dxa"/>
              </w:tcPr>
              <w:p w14:paraId="52702B4D" w14:textId="57474576" w:rsidR="00B8640E" w:rsidRPr="00330DA7" w:rsidRDefault="007F26BE" w:rsidP="007F26BE">
                <w:pPr>
                  <w:tabs>
                    <w:tab w:val="right" w:pos="8838"/>
                  </w:tabs>
                  <w:ind w:left="-74" w:right="-105"/>
                  <w:jc w:val="both"/>
                  <w:rPr>
                    <w:rFonts w:ascii="Palatino Linotype" w:eastAsia="Calibri" w:hAnsi="Palatino Linotype" w:cs="Tahoma"/>
                    <w:b/>
                    <w:sz w:val="22"/>
                    <w:szCs w:val="22"/>
                    <w:lang w:val="es-MX" w:eastAsia="en-US"/>
                  </w:rPr>
                </w:pPr>
                <w:r w:rsidRPr="007F26BE">
                  <w:rPr>
                    <w:rFonts w:ascii="Palatino Linotype" w:eastAsia="Calibri" w:hAnsi="Palatino Linotype" w:cs="Tahoma"/>
                    <w:sz w:val="22"/>
                    <w:szCs w:val="22"/>
                    <w:lang w:val="es-MX" w:eastAsia="en-US"/>
                  </w:rPr>
                  <w:t>Zulema Martínez Sánchez</w:t>
                </w:r>
              </w:p>
            </w:tc>
          </w:tr>
        </w:tbl>
        <w:p w14:paraId="30C154C7" w14:textId="77777777" w:rsidR="00B8640E" w:rsidRPr="00330DA7" w:rsidRDefault="00B8640E" w:rsidP="00DB7E5F">
          <w:pPr>
            <w:tabs>
              <w:tab w:val="right" w:pos="8838"/>
            </w:tabs>
            <w:ind w:left="-28"/>
            <w:jc w:val="both"/>
            <w:rPr>
              <w:rFonts w:ascii="Arial" w:eastAsia="Calibri" w:hAnsi="Arial" w:cs="Arial"/>
              <w:b/>
              <w:sz w:val="22"/>
              <w:szCs w:val="22"/>
              <w:lang w:eastAsia="en-US"/>
            </w:rPr>
          </w:pPr>
        </w:p>
      </w:tc>
    </w:tr>
  </w:tbl>
  <w:p w14:paraId="7D9BBD83" w14:textId="77777777" w:rsidR="00B8640E" w:rsidRDefault="00B8640E" w:rsidP="00B727C5">
    <w:pPr>
      <w:pStyle w:val="Encabezado"/>
      <w:rPr>
        <w:sz w:val="22"/>
        <w:szCs w:val="22"/>
      </w:rPr>
    </w:pPr>
  </w:p>
  <w:p w14:paraId="3452B7A3" w14:textId="77777777" w:rsidR="007F26BE" w:rsidRPr="00330DA7" w:rsidRDefault="007F26BE" w:rsidP="00B727C5">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67BCA"/>
    <w:multiLevelType w:val="hybridMultilevel"/>
    <w:tmpl w:val="B2446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5434A"/>
    <w:multiLevelType w:val="hybridMultilevel"/>
    <w:tmpl w:val="40E2AA2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400365F"/>
    <w:multiLevelType w:val="hybridMultilevel"/>
    <w:tmpl w:val="F9E8C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344B2"/>
    <w:multiLevelType w:val="hybridMultilevel"/>
    <w:tmpl w:val="5D0888F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CB82990"/>
    <w:multiLevelType w:val="hybridMultilevel"/>
    <w:tmpl w:val="57A6E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D55B9B"/>
    <w:multiLevelType w:val="hybridMultilevel"/>
    <w:tmpl w:val="0FE8A284"/>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160B6F"/>
    <w:multiLevelType w:val="hybridMultilevel"/>
    <w:tmpl w:val="351014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5CC64CC"/>
    <w:multiLevelType w:val="hybridMultilevel"/>
    <w:tmpl w:val="351014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9834C1"/>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15:restartNumberingAfterBreak="0">
    <w:nsid w:val="1F606636"/>
    <w:multiLevelType w:val="hybridMultilevel"/>
    <w:tmpl w:val="0B6470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6D2B6E"/>
    <w:multiLevelType w:val="hybridMultilevel"/>
    <w:tmpl w:val="0B64707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1C1712"/>
    <w:multiLevelType w:val="hybridMultilevel"/>
    <w:tmpl w:val="96A855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664A68"/>
    <w:multiLevelType w:val="hybridMultilevel"/>
    <w:tmpl w:val="F032593C"/>
    <w:lvl w:ilvl="0" w:tplc="D3EA5D9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C13D38"/>
    <w:multiLevelType w:val="hybridMultilevel"/>
    <w:tmpl w:val="9940CDC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BEC03DF"/>
    <w:multiLevelType w:val="hybridMultilevel"/>
    <w:tmpl w:val="3CC00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B06D5B"/>
    <w:multiLevelType w:val="hybridMultilevel"/>
    <w:tmpl w:val="351014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6975F98"/>
    <w:multiLevelType w:val="hybridMultilevel"/>
    <w:tmpl w:val="339EC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863362"/>
    <w:multiLevelType w:val="hybridMultilevel"/>
    <w:tmpl w:val="30660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835F99"/>
    <w:multiLevelType w:val="hybridMultilevel"/>
    <w:tmpl w:val="F032593C"/>
    <w:lvl w:ilvl="0" w:tplc="D3EA5D9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5CC30E7"/>
    <w:multiLevelType w:val="hybridMultilevel"/>
    <w:tmpl w:val="351014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582966D6"/>
    <w:multiLevelType w:val="hybridMultilevel"/>
    <w:tmpl w:val="96A855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5112A0"/>
    <w:multiLevelType w:val="hybridMultilevel"/>
    <w:tmpl w:val="351014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CA58AA"/>
    <w:multiLevelType w:val="hybridMultilevel"/>
    <w:tmpl w:val="B1965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1D303B"/>
    <w:multiLevelType w:val="hybridMultilevel"/>
    <w:tmpl w:val="F81C0E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7B12BD4"/>
    <w:multiLevelType w:val="hybridMultilevel"/>
    <w:tmpl w:val="2E42E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475AF1"/>
    <w:multiLevelType w:val="hybridMultilevel"/>
    <w:tmpl w:val="26C0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614223"/>
    <w:multiLevelType w:val="hybridMultilevel"/>
    <w:tmpl w:val="351014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70984C4F"/>
    <w:multiLevelType w:val="hybridMultilevel"/>
    <w:tmpl w:val="75BE6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C252F9"/>
    <w:multiLevelType w:val="hybridMultilevel"/>
    <w:tmpl w:val="274040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65332C"/>
    <w:multiLevelType w:val="hybridMultilevel"/>
    <w:tmpl w:val="F7A03D70"/>
    <w:lvl w:ilvl="0" w:tplc="7A685F8A">
      <w:start w:val="1"/>
      <w:numFmt w:val="lowerLetter"/>
      <w:lvlText w:val="%1."/>
      <w:lvlJc w:val="left"/>
      <w:pPr>
        <w:ind w:left="1080" w:hanging="360"/>
      </w:pPr>
      <w:rPr>
        <w:rFonts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C657765"/>
    <w:multiLevelType w:val="hybridMultilevel"/>
    <w:tmpl w:val="0AA4A13A"/>
    <w:lvl w:ilvl="0" w:tplc="DE5C1972">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8635E4"/>
    <w:multiLevelType w:val="hybridMultilevel"/>
    <w:tmpl w:val="43C8C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36"/>
  </w:num>
  <w:num w:numId="4">
    <w:abstractNumId w:val="22"/>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9"/>
  </w:num>
  <w:num w:numId="8">
    <w:abstractNumId w:val="9"/>
  </w:num>
  <w:num w:numId="9">
    <w:abstractNumId w:val="20"/>
  </w:num>
  <w:num w:numId="10">
    <w:abstractNumId w:val="35"/>
  </w:num>
  <w:num w:numId="11">
    <w:abstractNumId w:val="29"/>
  </w:num>
  <w:num w:numId="12">
    <w:abstractNumId w:val="37"/>
  </w:num>
  <w:num w:numId="13">
    <w:abstractNumId w:val="16"/>
  </w:num>
  <w:num w:numId="14">
    <w:abstractNumId w:val="11"/>
  </w:num>
  <w:num w:numId="15">
    <w:abstractNumId w:val="14"/>
  </w:num>
  <w:num w:numId="16">
    <w:abstractNumId w:val="1"/>
  </w:num>
  <w:num w:numId="17">
    <w:abstractNumId w:val="30"/>
  </w:num>
  <w:num w:numId="18">
    <w:abstractNumId w:val="4"/>
  </w:num>
  <w:num w:numId="19">
    <w:abstractNumId w:val="13"/>
  </w:num>
  <w:num w:numId="20">
    <w:abstractNumId w:val="25"/>
  </w:num>
  <w:num w:numId="21">
    <w:abstractNumId w:val="10"/>
  </w:num>
  <w:num w:numId="22">
    <w:abstractNumId w:val="31"/>
  </w:num>
  <w:num w:numId="23">
    <w:abstractNumId w:val="5"/>
  </w:num>
  <w:num w:numId="24">
    <w:abstractNumId w:val="6"/>
  </w:num>
  <w:num w:numId="25">
    <w:abstractNumId w:val="19"/>
  </w:num>
  <w:num w:numId="26">
    <w:abstractNumId w:val="40"/>
  </w:num>
  <w:num w:numId="27">
    <w:abstractNumId w:val="18"/>
  </w:num>
  <w:num w:numId="28">
    <w:abstractNumId w:val="28"/>
  </w:num>
  <w:num w:numId="29">
    <w:abstractNumId w:val="3"/>
  </w:num>
  <w:num w:numId="30">
    <w:abstractNumId w:val="27"/>
  </w:num>
  <w:num w:numId="31">
    <w:abstractNumId w:val="23"/>
  </w:num>
  <w:num w:numId="32">
    <w:abstractNumId w:val="38"/>
  </w:num>
  <w:num w:numId="33">
    <w:abstractNumId w:val="17"/>
  </w:num>
  <w:num w:numId="34">
    <w:abstractNumId w:val="2"/>
  </w:num>
  <w:num w:numId="35">
    <w:abstractNumId w:val="15"/>
  </w:num>
  <w:num w:numId="36">
    <w:abstractNumId w:val="7"/>
  </w:num>
  <w:num w:numId="37">
    <w:abstractNumId w:val="32"/>
  </w:num>
  <w:num w:numId="38">
    <w:abstractNumId w:val="8"/>
  </w:num>
  <w:num w:numId="39">
    <w:abstractNumId w:val="21"/>
  </w:num>
  <w:num w:numId="40">
    <w:abstractNumId w:val="24"/>
  </w:num>
  <w:num w:numId="41">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F7"/>
    <w:rsid w:val="000016AD"/>
    <w:rsid w:val="000027EB"/>
    <w:rsid w:val="0000485A"/>
    <w:rsid w:val="00006543"/>
    <w:rsid w:val="00011346"/>
    <w:rsid w:val="0001182C"/>
    <w:rsid w:val="0001398B"/>
    <w:rsid w:val="00013A19"/>
    <w:rsid w:val="00014465"/>
    <w:rsid w:val="00017858"/>
    <w:rsid w:val="00017CBC"/>
    <w:rsid w:val="00017D26"/>
    <w:rsid w:val="00017F51"/>
    <w:rsid w:val="00020818"/>
    <w:rsid w:val="000212E5"/>
    <w:rsid w:val="00021C64"/>
    <w:rsid w:val="000241C5"/>
    <w:rsid w:val="00024D74"/>
    <w:rsid w:val="00025195"/>
    <w:rsid w:val="00025F5D"/>
    <w:rsid w:val="00026DA0"/>
    <w:rsid w:val="00027101"/>
    <w:rsid w:val="00030990"/>
    <w:rsid w:val="00031292"/>
    <w:rsid w:val="000313A7"/>
    <w:rsid w:val="00032F2A"/>
    <w:rsid w:val="00032F5B"/>
    <w:rsid w:val="000348B3"/>
    <w:rsid w:val="00034E9D"/>
    <w:rsid w:val="00035F9E"/>
    <w:rsid w:val="000373BC"/>
    <w:rsid w:val="000378BC"/>
    <w:rsid w:val="00037B34"/>
    <w:rsid w:val="00037E5B"/>
    <w:rsid w:val="00037F4B"/>
    <w:rsid w:val="00040EBE"/>
    <w:rsid w:val="00040F91"/>
    <w:rsid w:val="000415F1"/>
    <w:rsid w:val="0004229E"/>
    <w:rsid w:val="00043C4B"/>
    <w:rsid w:val="000457BC"/>
    <w:rsid w:val="0004646B"/>
    <w:rsid w:val="0005077E"/>
    <w:rsid w:val="00050A3C"/>
    <w:rsid w:val="00051C45"/>
    <w:rsid w:val="000528E6"/>
    <w:rsid w:val="00056DB9"/>
    <w:rsid w:val="00057250"/>
    <w:rsid w:val="0006017B"/>
    <w:rsid w:val="000620E1"/>
    <w:rsid w:val="00064855"/>
    <w:rsid w:val="000649D8"/>
    <w:rsid w:val="0006537A"/>
    <w:rsid w:val="00066988"/>
    <w:rsid w:val="000670F9"/>
    <w:rsid w:val="00071A4A"/>
    <w:rsid w:val="000724F8"/>
    <w:rsid w:val="00074010"/>
    <w:rsid w:val="00074135"/>
    <w:rsid w:val="000746EC"/>
    <w:rsid w:val="00074EEA"/>
    <w:rsid w:val="000753CA"/>
    <w:rsid w:val="000758B2"/>
    <w:rsid w:val="00075940"/>
    <w:rsid w:val="00075A62"/>
    <w:rsid w:val="0007663B"/>
    <w:rsid w:val="00076B1D"/>
    <w:rsid w:val="00077D2F"/>
    <w:rsid w:val="000813B0"/>
    <w:rsid w:val="0008148B"/>
    <w:rsid w:val="000828DE"/>
    <w:rsid w:val="00084B3D"/>
    <w:rsid w:val="00084CE9"/>
    <w:rsid w:val="00085406"/>
    <w:rsid w:val="000860F8"/>
    <w:rsid w:val="00092475"/>
    <w:rsid w:val="00094625"/>
    <w:rsid w:val="00096408"/>
    <w:rsid w:val="00097211"/>
    <w:rsid w:val="000A0518"/>
    <w:rsid w:val="000A0861"/>
    <w:rsid w:val="000A20A4"/>
    <w:rsid w:val="000A2D47"/>
    <w:rsid w:val="000A42E0"/>
    <w:rsid w:val="000A4DC8"/>
    <w:rsid w:val="000A5058"/>
    <w:rsid w:val="000A6E3B"/>
    <w:rsid w:val="000A7211"/>
    <w:rsid w:val="000B1D37"/>
    <w:rsid w:val="000B1DF1"/>
    <w:rsid w:val="000B2C93"/>
    <w:rsid w:val="000B3510"/>
    <w:rsid w:val="000B36DD"/>
    <w:rsid w:val="000B3953"/>
    <w:rsid w:val="000B4870"/>
    <w:rsid w:val="000B5711"/>
    <w:rsid w:val="000B6020"/>
    <w:rsid w:val="000C05A2"/>
    <w:rsid w:val="000C2283"/>
    <w:rsid w:val="000C27CA"/>
    <w:rsid w:val="000C2DB2"/>
    <w:rsid w:val="000C3CF1"/>
    <w:rsid w:val="000C563E"/>
    <w:rsid w:val="000C59CB"/>
    <w:rsid w:val="000D0B08"/>
    <w:rsid w:val="000D1DDF"/>
    <w:rsid w:val="000D24D3"/>
    <w:rsid w:val="000D2A27"/>
    <w:rsid w:val="000D3D60"/>
    <w:rsid w:val="000D5240"/>
    <w:rsid w:val="000D62EF"/>
    <w:rsid w:val="000D7EE0"/>
    <w:rsid w:val="000E0BEA"/>
    <w:rsid w:val="000E4141"/>
    <w:rsid w:val="000E49C6"/>
    <w:rsid w:val="000E65FF"/>
    <w:rsid w:val="000E6E8B"/>
    <w:rsid w:val="000E7602"/>
    <w:rsid w:val="000E7925"/>
    <w:rsid w:val="000F24C8"/>
    <w:rsid w:val="000F2EBF"/>
    <w:rsid w:val="000F3DA0"/>
    <w:rsid w:val="000F4183"/>
    <w:rsid w:val="000F4876"/>
    <w:rsid w:val="000F555D"/>
    <w:rsid w:val="000F56C9"/>
    <w:rsid w:val="000F5721"/>
    <w:rsid w:val="000F6834"/>
    <w:rsid w:val="000F6E9B"/>
    <w:rsid w:val="000F76AB"/>
    <w:rsid w:val="000F7A45"/>
    <w:rsid w:val="000F7FD8"/>
    <w:rsid w:val="00100BAC"/>
    <w:rsid w:val="00101327"/>
    <w:rsid w:val="001017B7"/>
    <w:rsid w:val="001034C6"/>
    <w:rsid w:val="001049B0"/>
    <w:rsid w:val="00104ADB"/>
    <w:rsid w:val="00105732"/>
    <w:rsid w:val="001057BC"/>
    <w:rsid w:val="00105B12"/>
    <w:rsid w:val="0010741C"/>
    <w:rsid w:val="00107D2F"/>
    <w:rsid w:val="001133D5"/>
    <w:rsid w:val="00114068"/>
    <w:rsid w:val="001150E9"/>
    <w:rsid w:val="00115937"/>
    <w:rsid w:val="00115D83"/>
    <w:rsid w:val="001160CC"/>
    <w:rsid w:val="001166C8"/>
    <w:rsid w:val="001171BD"/>
    <w:rsid w:val="001179E4"/>
    <w:rsid w:val="001220BB"/>
    <w:rsid w:val="001221B8"/>
    <w:rsid w:val="0012355E"/>
    <w:rsid w:val="00124091"/>
    <w:rsid w:val="00127757"/>
    <w:rsid w:val="001279BF"/>
    <w:rsid w:val="00127B7F"/>
    <w:rsid w:val="001310A7"/>
    <w:rsid w:val="00132A80"/>
    <w:rsid w:val="00132F95"/>
    <w:rsid w:val="00133E00"/>
    <w:rsid w:val="00134409"/>
    <w:rsid w:val="0013647C"/>
    <w:rsid w:val="0013791C"/>
    <w:rsid w:val="00137B8F"/>
    <w:rsid w:val="00141895"/>
    <w:rsid w:val="0014307A"/>
    <w:rsid w:val="00143B50"/>
    <w:rsid w:val="00144582"/>
    <w:rsid w:val="00144D0B"/>
    <w:rsid w:val="00146B51"/>
    <w:rsid w:val="001473B3"/>
    <w:rsid w:val="00147566"/>
    <w:rsid w:val="00147666"/>
    <w:rsid w:val="00147887"/>
    <w:rsid w:val="00147B28"/>
    <w:rsid w:val="00150E21"/>
    <w:rsid w:val="00151053"/>
    <w:rsid w:val="00151C63"/>
    <w:rsid w:val="00151FBB"/>
    <w:rsid w:val="00152326"/>
    <w:rsid w:val="0015381E"/>
    <w:rsid w:val="0015401E"/>
    <w:rsid w:val="00154FB9"/>
    <w:rsid w:val="00155F96"/>
    <w:rsid w:val="00156408"/>
    <w:rsid w:val="00156A6B"/>
    <w:rsid w:val="0016126C"/>
    <w:rsid w:val="00161509"/>
    <w:rsid w:val="00161DF9"/>
    <w:rsid w:val="00162383"/>
    <w:rsid w:val="00162CCE"/>
    <w:rsid w:val="00165891"/>
    <w:rsid w:val="0016639C"/>
    <w:rsid w:val="00167C31"/>
    <w:rsid w:val="00167D79"/>
    <w:rsid w:val="001701F4"/>
    <w:rsid w:val="00170545"/>
    <w:rsid w:val="00171ADD"/>
    <w:rsid w:val="00171CE0"/>
    <w:rsid w:val="0017459B"/>
    <w:rsid w:val="00175981"/>
    <w:rsid w:val="00175CEB"/>
    <w:rsid w:val="00176367"/>
    <w:rsid w:val="001763E1"/>
    <w:rsid w:val="00182D6C"/>
    <w:rsid w:val="00182DCE"/>
    <w:rsid w:val="00182F0F"/>
    <w:rsid w:val="00183D24"/>
    <w:rsid w:val="001851A6"/>
    <w:rsid w:val="00185C81"/>
    <w:rsid w:val="00186602"/>
    <w:rsid w:val="001875A7"/>
    <w:rsid w:val="001879E1"/>
    <w:rsid w:val="001903B6"/>
    <w:rsid w:val="0019389B"/>
    <w:rsid w:val="00195441"/>
    <w:rsid w:val="00196522"/>
    <w:rsid w:val="00196600"/>
    <w:rsid w:val="00196697"/>
    <w:rsid w:val="00197A52"/>
    <w:rsid w:val="001A0D0C"/>
    <w:rsid w:val="001A1B94"/>
    <w:rsid w:val="001A22F5"/>
    <w:rsid w:val="001A4B83"/>
    <w:rsid w:val="001A674F"/>
    <w:rsid w:val="001A7FD2"/>
    <w:rsid w:val="001B06A9"/>
    <w:rsid w:val="001B107D"/>
    <w:rsid w:val="001B15AE"/>
    <w:rsid w:val="001B15BD"/>
    <w:rsid w:val="001B1D04"/>
    <w:rsid w:val="001B2CD9"/>
    <w:rsid w:val="001B38FF"/>
    <w:rsid w:val="001B62A0"/>
    <w:rsid w:val="001C17B0"/>
    <w:rsid w:val="001C282F"/>
    <w:rsid w:val="001C6970"/>
    <w:rsid w:val="001C70EA"/>
    <w:rsid w:val="001D0086"/>
    <w:rsid w:val="001D0094"/>
    <w:rsid w:val="001D1AEC"/>
    <w:rsid w:val="001D3A79"/>
    <w:rsid w:val="001D4C83"/>
    <w:rsid w:val="001D67AC"/>
    <w:rsid w:val="001D7012"/>
    <w:rsid w:val="001D7BD2"/>
    <w:rsid w:val="001D7E4B"/>
    <w:rsid w:val="001E107F"/>
    <w:rsid w:val="001E2A4D"/>
    <w:rsid w:val="001E53C2"/>
    <w:rsid w:val="001E546A"/>
    <w:rsid w:val="001E6FC5"/>
    <w:rsid w:val="001E7168"/>
    <w:rsid w:val="001F0CD9"/>
    <w:rsid w:val="001F0E9C"/>
    <w:rsid w:val="001F0EB8"/>
    <w:rsid w:val="001F1540"/>
    <w:rsid w:val="001F1CDD"/>
    <w:rsid w:val="001F35D3"/>
    <w:rsid w:val="001F47C1"/>
    <w:rsid w:val="001F5007"/>
    <w:rsid w:val="001F5AEF"/>
    <w:rsid w:val="001F652C"/>
    <w:rsid w:val="001F663C"/>
    <w:rsid w:val="001F67A5"/>
    <w:rsid w:val="001F698C"/>
    <w:rsid w:val="001F6A0D"/>
    <w:rsid w:val="001F78D9"/>
    <w:rsid w:val="001F7D32"/>
    <w:rsid w:val="0020220A"/>
    <w:rsid w:val="002027B7"/>
    <w:rsid w:val="00202DB8"/>
    <w:rsid w:val="00204C9E"/>
    <w:rsid w:val="00205F7E"/>
    <w:rsid w:val="002060B4"/>
    <w:rsid w:val="00206332"/>
    <w:rsid w:val="00207736"/>
    <w:rsid w:val="002101BF"/>
    <w:rsid w:val="00210A50"/>
    <w:rsid w:val="00210A88"/>
    <w:rsid w:val="00212460"/>
    <w:rsid w:val="00213C33"/>
    <w:rsid w:val="00215D0D"/>
    <w:rsid w:val="002171D5"/>
    <w:rsid w:val="00217AA4"/>
    <w:rsid w:val="00217AEF"/>
    <w:rsid w:val="00221EC9"/>
    <w:rsid w:val="0022200D"/>
    <w:rsid w:val="00222731"/>
    <w:rsid w:val="00223A73"/>
    <w:rsid w:val="00223C6D"/>
    <w:rsid w:val="00223ECD"/>
    <w:rsid w:val="002241A6"/>
    <w:rsid w:val="002241E8"/>
    <w:rsid w:val="00224774"/>
    <w:rsid w:val="002247B0"/>
    <w:rsid w:val="00224F7A"/>
    <w:rsid w:val="00225152"/>
    <w:rsid w:val="00225CE6"/>
    <w:rsid w:val="002273FD"/>
    <w:rsid w:val="00230E81"/>
    <w:rsid w:val="00232673"/>
    <w:rsid w:val="00233275"/>
    <w:rsid w:val="002345DD"/>
    <w:rsid w:val="00235CCE"/>
    <w:rsid w:val="00236863"/>
    <w:rsid w:val="00237C1F"/>
    <w:rsid w:val="00237D0D"/>
    <w:rsid w:val="00241116"/>
    <w:rsid w:val="0024188D"/>
    <w:rsid w:val="00242807"/>
    <w:rsid w:val="002433A4"/>
    <w:rsid w:val="002435DC"/>
    <w:rsid w:val="002462FD"/>
    <w:rsid w:val="00246501"/>
    <w:rsid w:val="00247450"/>
    <w:rsid w:val="00247B17"/>
    <w:rsid w:val="00250389"/>
    <w:rsid w:val="00250CC6"/>
    <w:rsid w:val="00251FF7"/>
    <w:rsid w:val="00252669"/>
    <w:rsid w:val="00254209"/>
    <w:rsid w:val="00254288"/>
    <w:rsid w:val="0025469C"/>
    <w:rsid w:val="00255374"/>
    <w:rsid w:val="002563A7"/>
    <w:rsid w:val="002579CE"/>
    <w:rsid w:val="00257B96"/>
    <w:rsid w:val="00260944"/>
    <w:rsid w:val="00260FEC"/>
    <w:rsid w:val="00261DD6"/>
    <w:rsid w:val="002657E2"/>
    <w:rsid w:val="00266E96"/>
    <w:rsid w:val="002718FD"/>
    <w:rsid w:val="00271E0B"/>
    <w:rsid w:val="002720A7"/>
    <w:rsid w:val="002727CC"/>
    <w:rsid w:val="00273679"/>
    <w:rsid w:val="002743B8"/>
    <w:rsid w:val="00275CC4"/>
    <w:rsid w:val="0027609E"/>
    <w:rsid w:val="00281A35"/>
    <w:rsid w:val="00281AD9"/>
    <w:rsid w:val="00282D10"/>
    <w:rsid w:val="00284486"/>
    <w:rsid w:val="00285118"/>
    <w:rsid w:val="00285644"/>
    <w:rsid w:val="0028581E"/>
    <w:rsid w:val="00287034"/>
    <w:rsid w:val="00293227"/>
    <w:rsid w:val="00293491"/>
    <w:rsid w:val="00295A3A"/>
    <w:rsid w:val="00295F1E"/>
    <w:rsid w:val="00295F53"/>
    <w:rsid w:val="002966A5"/>
    <w:rsid w:val="00297A78"/>
    <w:rsid w:val="00297C7B"/>
    <w:rsid w:val="002A018D"/>
    <w:rsid w:val="002A0FB8"/>
    <w:rsid w:val="002A1938"/>
    <w:rsid w:val="002A1B97"/>
    <w:rsid w:val="002A309C"/>
    <w:rsid w:val="002A4079"/>
    <w:rsid w:val="002A50FC"/>
    <w:rsid w:val="002A57D2"/>
    <w:rsid w:val="002A6193"/>
    <w:rsid w:val="002A66CD"/>
    <w:rsid w:val="002A6F45"/>
    <w:rsid w:val="002A7BD4"/>
    <w:rsid w:val="002A7F32"/>
    <w:rsid w:val="002B0449"/>
    <w:rsid w:val="002B20A1"/>
    <w:rsid w:val="002B226E"/>
    <w:rsid w:val="002B44E1"/>
    <w:rsid w:val="002B46D4"/>
    <w:rsid w:val="002B5147"/>
    <w:rsid w:val="002B54CF"/>
    <w:rsid w:val="002C06E4"/>
    <w:rsid w:val="002C4046"/>
    <w:rsid w:val="002C458A"/>
    <w:rsid w:val="002C4AC8"/>
    <w:rsid w:val="002C57D7"/>
    <w:rsid w:val="002C6A07"/>
    <w:rsid w:val="002D1BE4"/>
    <w:rsid w:val="002D1D6C"/>
    <w:rsid w:val="002D3797"/>
    <w:rsid w:val="002D3B2E"/>
    <w:rsid w:val="002D5F0D"/>
    <w:rsid w:val="002D7D0B"/>
    <w:rsid w:val="002E0E9C"/>
    <w:rsid w:val="002E2418"/>
    <w:rsid w:val="002E3A7F"/>
    <w:rsid w:val="002E5015"/>
    <w:rsid w:val="002E7018"/>
    <w:rsid w:val="002E7ACF"/>
    <w:rsid w:val="002F0638"/>
    <w:rsid w:val="002F0C1A"/>
    <w:rsid w:val="002F0CE9"/>
    <w:rsid w:val="002F16C1"/>
    <w:rsid w:val="002F1E6D"/>
    <w:rsid w:val="002F3BD0"/>
    <w:rsid w:val="002F5373"/>
    <w:rsid w:val="002F58D8"/>
    <w:rsid w:val="002F6A9F"/>
    <w:rsid w:val="0030032A"/>
    <w:rsid w:val="00300A0B"/>
    <w:rsid w:val="00301F46"/>
    <w:rsid w:val="00302243"/>
    <w:rsid w:val="003034AB"/>
    <w:rsid w:val="00303CAD"/>
    <w:rsid w:val="00303E71"/>
    <w:rsid w:val="00304E7C"/>
    <w:rsid w:val="003058BE"/>
    <w:rsid w:val="00305B33"/>
    <w:rsid w:val="00306418"/>
    <w:rsid w:val="003100F3"/>
    <w:rsid w:val="00310C11"/>
    <w:rsid w:val="00311747"/>
    <w:rsid w:val="00311C33"/>
    <w:rsid w:val="00311D8B"/>
    <w:rsid w:val="00312042"/>
    <w:rsid w:val="00312456"/>
    <w:rsid w:val="00312B7D"/>
    <w:rsid w:val="0031312D"/>
    <w:rsid w:val="00316600"/>
    <w:rsid w:val="00316AB5"/>
    <w:rsid w:val="003172EC"/>
    <w:rsid w:val="00317C68"/>
    <w:rsid w:val="003204C7"/>
    <w:rsid w:val="00320921"/>
    <w:rsid w:val="003214A2"/>
    <w:rsid w:val="0032170B"/>
    <w:rsid w:val="00321BB5"/>
    <w:rsid w:val="00323325"/>
    <w:rsid w:val="003243B0"/>
    <w:rsid w:val="00325315"/>
    <w:rsid w:val="00325EC0"/>
    <w:rsid w:val="00327017"/>
    <w:rsid w:val="00330729"/>
    <w:rsid w:val="00330DA7"/>
    <w:rsid w:val="003320C5"/>
    <w:rsid w:val="003339CA"/>
    <w:rsid w:val="003340EC"/>
    <w:rsid w:val="00334E0E"/>
    <w:rsid w:val="003350FF"/>
    <w:rsid w:val="00337D53"/>
    <w:rsid w:val="0034057C"/>
    <w:rsid w:val="003452D2"/>
    <w:rsid w:val="00350142"/>
    <w:rsid w:val="00350D3D"/>
    <w:rsid w:val="00351183"/>
    <w:rsid w:val="00353B6D"/>
    <w:rsid w:val="00354920"/>
    <w:rsid w:val="00354A3E"/>
    <w:rsid w:val="0035558B"/>
    <w:rsid w:val="00355DC6"/>
    <w:rsid w:val="00357700"/>
    <w:rsid w:val="00357E00"/>
    <w:rsid w:val="003604D7"/>
    <w:rsid w:val="00361176"/>
    <w:rsid w:val="0036164E"/>
    <w:rsid w:val="00362247"/>
    <w:rsid w:val="0036351E"/>
    <w:rsid w:val="00363615"/>
    <w:rsid w:val="00364521"/>
    <w:rsid w:val="00364CED"/>
    <w:rsid w:val="00365026"/>
    <w:rsid w:val="00367F82"/>
    <w:rsid w:val="00370CB0"/>
    <w:rsid w:val="00370CFC"/>
    <w:rsid w:val="00372803"/>
    <w:rsid w:val="003729D5"/>
    <w:rsid w:val="00373387"/>
    <w:rsid w:val="003749EC"/>
    <w:rsid w:val="003756AF"/>
    <w:rsid w:val="00375815"/>
    <w:rsid w:val="00380101"/>
    <w:rsid w:val="00380441"/>
    <w:rsid w:val="00381447"/>
    <w:rsid w:val="0038168C"/>
    <w:rsid w:val="00382071"/>
    <w:rsid w:val="00382696"/>
    <w:rsid w:val="00383451"/>
    <w:rsid w:val="0038358D"/>
    <w:rsid w:val="0038438A"/>
    <w:rsid w:val="00384695"/>
    <w:rsid w:val="003864D2"/>
    <w:rsid w:val="00386602"/>
    <w:rsid w:val="00387A05"/>
    <w:rsid w:val="00390249"/>
    <w:rsid w:val="00390BF8"/>
    <w:rsid w:val="0039109D"/>
    <w:rsid w:val="0039198A"/>
    <w:rsid w:val="00392877"/>
    <w:rsid w:val="00392E12"/>
    <w:rsid w:val="00393890"/>
    <w:rsid w:val="00393ADD"/>
    <w:rsid w:val="00393C26"/>
    <w:rsid w:val="00394D7E"/>
    <w:rsid w:val="003956E9"/>
    <w:rsid w:val="0039613D"/>
    <w:rsid w:val="003965EC"/>
    <w:rsid w:val="00396BA0"/>
    <w:rsid w:val="003A0293"/>
    <w:rsid w:val="003A03D3"/>
    <w:rsid w:val="003A0E17"/>
    <w:rsid w:val="003A24F5"/>
    <w:rsid w:val="003A256B"/>
    <w:rsid w:val="003A2576"/>
    <w:rsid w:val="003A2ED2"/>
    <w:rsid w:val="003A3251"/>
    <w:rsid w:val="003A357E"/>
    <w:rsid w:val="003A4560"/>
    <w:rsid w:val="003A4A76"/>
    <w:rsid w:val="003A5D80"/>
    <w:rsid w:val="003A6E62"/>
    <w:rsid w:val="003A6F18"/>
    <w:rsid w:val="003A70AB"/>
    <w:rsid w:val="003A7128"/>
    <w:rsid w:val="003A78B5"/>
    <w:rsid w:val="003A7BE8"/>
    <w:rsid w:val="003A7C85"/>
    <w:rsid w:val="003A7FBE"/>
    <w:rsid w:val="003B087D"/>
    <w:rsid w:val="003B0D09"/>
    <w:rsid w:val="003B165A"/>
    <w:rsid w:val="003B18A6"/>
    <w:rsid w:val="003B1A7B"/>
    <w:rsid w:val="003B2140"/>
    <w:rsid w:val="003B40B0"/>
    <w:rsid w:val="003B5904"/>
    <w:rsid w:val="003B5AD4"/>
    <w:rsid w:val="003B5D41"/>
    <w:rsid w:val="003B6BEF"/>
    <w:rsid w:val="003C0AFA"/>
    <w:rsid w:val="003C1B21"/>
    <w:rsid w:val="003C24A6"/>
    <w:rsid w:val="003C28B8"/>
    <w:rsid w:val="003C3821"/>
    <w:rsid w:val="003C3FDB"/>
    <w:rsid w:val="003C5C01"/>
    <w:rsid w:val="003C6934"/>
    <w:rsid w:val="003C6CF2"/>
    <w:rsid w:val="003C7FD0"/>
    <w:rsid w:val="003D0268"/>
    <w:rsid w:val="003D0E54"/>
    <w:rsid w:val="003D11F1"/>
    <w:rsid w:val="003D1A43"/>
    <w:rsid w:val="003D1A64"/>
    <w:rsid w:val="003D2223"/>
    <w:rsid w:val="003D23BA"/>
    <w:rsid w:val="003D5D84"/>
    <w:rsid w:val="003D5FF4"/>
    <w:rsid w:val="003D624F"/>
    <w:rsid w:val="003D75E8"/>
    <w:rsid w:val="003E1C7A"/>
    <w:rsid w:val="003E2E12"/>
    <w:rsid w:val="003E31E5"/>
    <w:rsid w:val="003E32ED"/>
    <w:rsid w:val="003E3988"/>
    <w:rsid w:val="003E3A39"/>
    <w:rsid w:val="003E4023"/>
    <w:rsid w:val="003E58C9"/>
    <w:rsid w:val="003E68B5"/>
    <w:rsid w:val="003F0DFC"/>
    <w:rsid w:val="003F2343"/>
    <w:rsid w:val="003F650B"/>
    <w:rsid w:val="003F6B7B"/>
    <w:rsid w:val="003F6D45"/>
    <w:rsid w:val="003F7AED"/>
    <w:rsid w:val="004004E9"/>
    <w:rsid w:val="00401F4D"/>
    <w:rsid w:val="00402D49"/>
    <w:rsid w:val="00402FBE"/>
    <w:rsid w:val="00403D14"/>
    <w:rsid w:val="004052C5"/>
    <w:rsid w:val="004059FB"/>
    <w:rsid w:val="0040704A"/>
    <w:rsid w:val="004076CD"/>
    <w:rsid w:val="00407A93"/>
    <w:rsid w:val="004100AA"/>
    <w:rsid w:val="00410CD2"/>
    <w:rsid w:val="00412203"/>
    <w:rsid w:val="00414F9B"/>
    <w:rsid w:val="00417DE3"/>
    <w:rsid w:val="00420B07"/>
    <w:rsid w:val="00422869"/>
    <w:rsid w:val="00422E23"/>
    <w:rsid w:val="00422E63"/>
    <w:rsid w:val="00423D2F"/>
    <w:rsid w:val="00423F48"/>
    <w:rsid w:val="00426448"/>
    <w:rsid w:val="00426613"/>
    <w:rsid w:val="004267B1"/>
    <w:rsid w:val="004268D9"/>
    <w:rsid w:val="00426919"/>
    <w:rsid w:val="00427457"/>
    <w:rsid w:val="00430704"/>
    <w:rsid w:val="004321C5"/>
    <w:rsid w:val="0043257A"/>
    <w:rsid w:val="004339FC"/>
    <w:rsid w:val="00434202"/>
    <w:rsid w:val="00436FD3"/>
    <w:rsid w:val="004378C0"/>
    <w:rsid w:val="004406CF"/>
    <w:rsid w:val="00441804"/>
    <w:rsid w:val="00441894"/>
    <w:rsid w:val="004435B4"/>
    <w:rsid w:val="00444F45"/>
    <w:rsid w:val="0044550A"/>
    <w:rsid w:val="00446D1D"/>
    <w:rsid w:val="00447875"/>
    <w:rsid w:val="00447E1E"/>
    <w:rsid w:val="00447F7D"/>
    <w:rsid w:val="00451DB8"/>
    <w:rsid w:val="00451DD4"/>
    <w:rsid w:val="004526AF"/>
    <w:rsid w:val="0045767F"/>
    <w:rsid w:val="00460032"/>
    <w:rsid w:val="0046048A"/>
    <w:rsid w:val="0046083F"/>
    <w:rsid w:val="00462557"/>
    <w:rsid w:val="00466346"/>
    <w:rsid w:val="0046716B"/>
    <w:rsid w:val="004702B0"/>
    <w:rsid w:val="004722F9"/>
    <w:rsid w:val="00472A49"/>
    <w:rsid w:val="004751D6"/>
    <w:rsid w:val="00475537"/>
    <w:rsid w:val="00475E6B"/>
    <w:rsid w:val="00475EF5"/>
    <w:rsid w:val="00477DBA"/>
    <w:rsid w:val="00477E20"/>
    <w:rsid w:val="00477EFC"/>
    <w:rsid w:val="00477F0C"/>
    <w:rsid w:val="00480BB8"/>
    <w:rsid w:val="00481217"/>
    <w:rsid w:val="00481D51"/>
    <w:rsid w:val="00481F94"/>
    <w:rsid w:val="00483CB3"/>
    <w:rsid w:val="0048519E"/>
    <w:rsid w:val="00485EC7"/>
    <w:rsid w:val="004860BD"/>
    <w:rsid w:val="00487430"/>
    <w:rsid w:val="00487F91"/>
    <w:rsid w:val="004A0A7B"/>
    <w:rsid w:val="004A0BB0"/>
    <w:rsid w:val="004A260B"/>
    <w:rsid w:val="004A26CD"/>
    <w:rsid w:val="004A2C97"/>
    <w:rsid w:val="004A3584"/>
    <w:rsid w:val="004A41BE"/>
    <w:rsid w:val="004A460F"/>
    <w:rsid w:val="004A466C"/>
    <w:rsid w:val="004A5121"/>
    <w:rsid w:val="004A577A"/>
    <w:rsid w:val="004A5780"/>
    <w:rsid w:val="004A5890"/>
    <w:rsid w:val="004A6269"/>
    <w:rsid w:val="004A6ECB"/>
    <w:rsid w:val="004A727F"/>
    <w:rsid w:val="004A7990"/>
    <w:rsid w:val="004B1796"/>
    <w:rsid w:val="004B21BC"/>
    <w:rsid w:val="004B2D1D"/>
    <w:rsid w:val="004B3B4A"/>
    <w:rsid w:val="004B591D"/>
    <w:rsid w:val="004B7542"/>
    <w:rsid w:val="004B769A"/>
    <w:rsid w:val="004B7CEB"/>
    <w:rsid w:val="004B7DB2"/>
    <w:rsid w:val="004C14AC"/>
    <w:rsid w:val="004C1F7C"/>
    <w:rsid w:val="004C4ACC"/>
    <w:rsid w:val="004C5096"/>
    <w:rsid w:val="004C5B83"/>
    <w:rsid w:val="004C6F68"/>
    <w:rsid w:val="004C7E83"/>
    <w:rsid w:val="004D2B43"/>
    <w:rsid w:val="004D403A"/>
    <w:rsid w:val="004D4AED"/>
    <w:rsid w:val="004D5606"/>
    <w:rsid w:val="004D583C"/>
    <w:rsid w:val="004D5DB3"/>
    <w:rsid w:val="004D6D3F"/>
    <w:rsid w:val="004E0D6F"/>
    <w:rsid w:val="004E345F"/>
    <w:rsid w:val="004E3666"/>
    <w:rsid w:val="004E3BBA"/>
    <w:rsid w:val="004E401B"/>
    <w:rsid w:val="004E41C7"/>
    <w:rsid w:val="004E4A7B"/>
    <w:rsid w:val="004E7DB7"/>
    <w:rsid w:val="004F1390"/>
    <w:rsid w:val="004F2AC0"/>
    <w:rsid w:val="004F2D88"/>
    <w:rsid w:val="004F3D21"/>
    <w:rsid w:val="004F3E53"/>
    <w:rsid w:val="004F4CBA"/>
    <w:rsid w:val="004F4F1D"/>
    <w:rsid w:val="004F5AD1"/>
    <w:rsid w:val="004F60EF"/>
    <w:rsid w:val="00501D92"/>
    <w:rsid w:val="00501FDC"/>
    <w:rsid w:val="00502827"/>
    <w:rsid w:val="005034E5"/>
    <w:rsid w:val="00504E4A"/>
    <w:rsid w:val="005070C3"/>
    <w:rsid w:val="0051276F"/>
    <w:rsid w:val="005130AC"/>
    <w:rsid w:val="00514071"/>
    <w:rsid w:val="005220BE"/>
    <w:rsid w:val="0052281B"/>
    <w:rsid w:val="0052615C"/>
    <w:rsid w:val="00526575"/>
    <w:rsid w:val="00527863"/>
    <w:rsid w:val="00531292"/>
    <w:rsid w:val="00531D6E"/>
    <w:rsid w:val="00533B79"/>
    <w:rsid w:val="00533FD4"/>
    <w:rsid w:val="00534258"/>
    <w:rsid w:val="005355EF"/>
    <w:rsid w:val="00536006"/>
    <w:rsid w:val="00537118"/>
    <w:rsid w:val="0053723B"/>
    <w:rsid w:val="00537FDB"/>
    <w:rsid w:val="00542770"/>
    <w:rsid w:val="00542D5F"/>
    <w:rsid w:val="005435DE"/>
    <w:rsid w:val="00543AD3"/>
    <w:rsid w:val="005441AD"/>
    <w:rsid w:val="00544C28"/>
    <w:rsid w:val="00545297"/>
    <w:rsid w:val="00546769"/>
    <w:rsid w:val="00546BAE"/>
    <w:rsid w:val="00546C4E"/>
    <w:rsid w:val="00551B5D"/>
    <w:rsid w:val="00552EBD"/>
    <w:rsid w:val="00553827"/>
    <w:rsid w:val="00555F71"/>
    <w:rsid w:val="00560E71"/>
    <w:rsid w:val="00562BBD"/>
    <w:rsid w:val="00562C31"/>
    <w:rsid w:val="00563BEB"/>
    <w:rsid w:val="00563C45"/>
    <w:rsid w:val="00564CB5"/>
    <w:rsid w:val="00566849"/>
    <w:rsid w:val="00570981"/>
    <w:rsid w:val="00571A0F"/>
    <w:rsid w:val="005740F6"/>
    <w:rsid w:val="005743D2"/>
    <w:rsid w:val="00575905"/>
    <w:rsid w:val="00575C78"/>
    <w:rsid w:val="005802BD"/>
    <w:rsid w:val="00580BBC"/>
    <w:rsid w:val="00582DA3"/>
    <w:rsid w:val="00583D5F"/>
    <w:rsid w:val="00584916"/>
    <w:rsid w:val="00586925"/>
    <w:rsid w:val="00586FA8"/>
    <w:rsid w:val="00587F23"/>
    <w:rsid w:val="00587F39"/>
    <w:rsid w:val="00590218"/>
    <w:rsid w:val="00591E3A"/>
    <w:rsid w:val="00593CB4"/>
    <w:rsid w:val="00593E68"/>
    <w:rsid w:val="0059577F"/>
    <w:rsid w:val="005A0975"/>
    <w:rsid w:val="005A0D1D"/>
    <w:rsid w:val="005A30B4"/>
    <w:rsid w:val="005A4C65"/>
    <w:rsid w:val="005A52AC"/>
    <w:rsid w:val="005A62BE"/>
    <w:rsid w:val="005A7E78"/>
    <w:rsid w:val="005B08E6"/>
    <w:rsid w:val="005B0D7C"/>
    <w:rsid w:val="005B0E86"/>
    <w:rsid w:val="005B44E3"/>
    <w:rsid w:val="005B57C0"/>
    <w:rsid w:val="005B5CB1"/>
    <w:rsid w:val="005B6854"/>
    <w:rsid w:val="005C1943"/>
    <w:rsid w:val="005C1B17"/>
    <w:rsid w:val="005C2E64"/>
    <w:rsid w:val="005C37A0"/>
    <w:rsid w:val="005C4034"/>
    <w:rsid w:val="005C483A"/>
    <w:rsid w:val="005C575E"/>
    <w:rsid w:val="005C651C"/>
    <w:rsid w:val="005C656A"/>
    <w:rsid w:val="005D1427"/>
    <w:rsid w:val="005D22D3"/>
    <w:rsid w:val="005D4482"/>
    <w:rsid w:val="005D457F"/>
    <w:rsid w:val="005D49C8"/>
    <w:rsid w:val="005D5607"/>
    <w:rsid w:val="005D6A2B"/>
    <w:rsid w:val="005D6AD9"/>
    <w:rsid w:val="005E07C2"/>
    <w:rsid w:val="005E1411"/>
    <w:rsid w:val="005E1EE5"/>
    <w:rsid w:val="005E217A"/>
    <w:rsid w:val="005E37E9"/>
    <w:rsid w:val="005E4952"/>
    <w:rsid w:val="005F03DB"/>
    <w:rsid w:val="005F1CF0"/>
    <w:rsid w:val="005F48F1"/>
    <w:rsid w:val="005F5615"/>
    <w:rsid w:val="0060043E"/>
    <w:rsid w:val="00600AE7"/>
    <w:rsid w:val="00601E59"/>
    <w:rsid w:val="0060254E"/>
    <w:rsid w:val="00603A46"/>
    <w:rsid w:val="00604F5D"/>
    <w:rsid w:val="0060544B"/>
    <w:rsid w:val="00606194"/>
    <w:rsid w:val="0060662F"/>
    <w:rsid w:val="00610F7F"/>
    <w:rsid w:val="0061115C"/>
    <w:rsid w:val="00611A49"/>
    <w:rsid w:val="00613017"/>
    <w:rsid w:val="00613A54"/>
    <w:rsid w:val="00613C1F"/>
    <w:rsid w:val="0061403F"/>
    <w:rsid w:val="00616189"/>
    <w:rsid w:val="006162C8"/>
    <w:rsid w:val="0062078C"/>
    <w:rsid w:val="00620E8F"/>
    <w:rsid w:val="00621760"/>
    <w:rsid w:val="006217BB"/>
    <w:rsid w:val="00625BD5"/>
    <w:rsid w:val="00625DFB"/>
    <w:rsid w:val="006277B7"/>
    <w:rsid w:val="006277D9"/>
    <w:rsid w:val="00630228"/>
    <w:rsid w:val="0063294D"/>
    <w:rsid w:val="00633431"/>
    <w:rsid w:val="00634D1A"/>
    <w:rsid w:val="00635073"/>
    <w:rsid w:val="00637179"/>
    <w:rsid w:val="00640C8A"/>
    <w:rsid w:val="006418ED"/>
    <w:rsid w:val="00642B13"/>
    <w:rsid w:val="00642C1E"/>
    <w:rsid w:val="0064306E"/>
    <w:rsid w:val="006431FF"/>
    <w:rsid w:val="00643E69"/>
    <w:rsid w:val="00645F7D"/>
    <w:rsid w:val="00646100"/>
    <w:rsid w:val="006476CA"/>
    <w:rsid w:val="006501F6"/>
    <w:rsid w:val="00652029"/>
    <w:rsid w:val="006540F4"/>
    <w:rsid w:val="0065511B"/>
    <w:rsid w:val="006552AE"/>
    <w:rsid w:val="00655773"/>
    <w:rsid w:val="00655F90"/>
    <w:rsid w:val="0065610C"/>
    <w:rsid w:val="006563CA"/>
    <w:rsid w:val="006578FC"/>
    <w:rsid w:val="00657A24"/>
    <w:rsid w:val="006608AB"/>
    <w:rsid w:val="00660A7D"/>
    <w:rsid w:val="006620DA"/>
    <w:rsid w:val="00664068"/>
    <w:rsid w:val="00664587"/>
    <w:rsid w:val="0066619F"/>
    <w:rsid w:val="00666F25"/>
    <w:rsid w:val="0066702B"/>
    <w:rsid w:val="00667C1C"/>
    <w:rsid w:val="0067001F"/>
    <w:rsid w:val="00670A43"/>
    <w:rsid w:val="00673DD4"/>
    <w:rsid w:val="00674AEB"/>
    <w:rsid w:val="0067655A"/>
    <w:rsid w:val="00677BBD"/>
    <w:rsid w:val="00677C03"/>
    <w:rsid w:val="006814A6"/>
    <w:rsid w:val="006828D8"/>
    <w:rsid w:val="00683AB8"/>
    <w:rsid w:val="0068455C"/>
    <w:rsid w:val="00684887"/>
    <w:rsid w:val="006856DC"/>
    <w:rsid w:val="00685A81"/>
    <w:rsid w:val="006867FA"/>
    <w:rsid w:val="006875DA"/>
    <w:rsid w:val="00690171"/>
    <w:rsid w:val="00690A85"/>
    <w:rsid w:val="006933FB"/>
    <w:rsid w:val="00693C8E"/>
    <w:rsid w:val="00695165"/>
    <w:rsid w:val="006966A6"/>
    <w:rsid w:val="006969BA"/>
    <w:rsid w:val="00697FF1"/>
    <w:rsid w:val="006A026A"/>
    <w:rsid w:val="006A0425"/>
    <w:rsid w:val="006A1D62"/>
    <w:rsid w:val="006A4EAE"/>
    <w:rsid w:val="006A56C3"/>
    <w:rsid w:val="006A6B88"/>
    <w:rsid w:val="006A6D7F"/>
    <w:rsid w:val="006B0298"/>
    <w:rsid w:val="006B06DE"/>
    <w:rsid w:val="006B0E83"/>
    <w:rsid w:val="006B5493"/>
    <w:rsid w:val="006B647B"/>
    <w:rsid w:val="006B77E2"/>
    <w:rsid w:val="006B79B9"/>
    <w:rsid w:val="006C10C0"/>
    <w:rsid w:val="006C1B1D"/>
    <w:rsid w:val="006C1C6F"/>
    <w:rsid w:val="006C27E1"/>
    <w:rsid w:val="006C2D7E"/>
    <w:rsid w:val="006C32BB"/>
    <w:rsid w:val="006C3747"/>
    <w:rsid w:val="006C4515"/>
    <w:rsid w:val="006C5EF0"/>
    <w:rsid w:val="006C6502"/>
    <w:rsid w:val="006C7760"/>
    <w:rsid w:val="006C7EEA"/>
    <w:rsid w:val="006D0D11"/>
    <w:rsid w:val="006D233A"/>
    <w:rsid w:val="006D3A8A"/>
    <w:rsid w:val="006D522C"/>
    <w:rsid w:val="006D56AA"/>
    <w:rsid w:val="006D56C2"/>
    <w:rsid w:val="006D6ED9"/>
    <w:rsid w:val="006D7795"/>
    <w:rsid w:val="006D7ACB"/>
    <w:rsid w:val="006E00EF"/>
    <w:rsid w:val="006E06BB"/>
    <w:rsid w:val="006E1A7A"/>
    <w:rsid w:val="006E21D3"/>
    <w:rsid w:val="006E23E5"/>
    <w:rsid w:val="006E4723"/>
    <w:rsid w:val="006E716F"/>
    <w:rsid w:val="006E7DA9"/>
    <w:rsid w:val="006E7DEE"/>
    <w:rsid w:val="006F00E7"/>
    <w:rsid w:val="006F01E7"/>
    <w:rsid w:val="006F1F3A"/>
    <w:rsid w:val="006F614F"/>
    <w:rsid w:val="006F7856"/>
    <w:rsid w:val="006F7EB8"/>
    <w:rsid w:val="0070094A"/>
    <w:rsid w:val="00702584"/>
    <w:rsid w:val="00702DD7"/>
    <w:rsid w:val="007047D3"/>
    <w:rsid w:val="00705663"/>
    <w:rsid w:val="00705C40"/>
    <w:rsid w:val="007066E2"/>
    <w:rsid w:val="00707621"/>
    <w:rsid w:val="0071087E"/>
    <w:rsid w:val="007147C2"/>
    <w:rsid w:val="00716623"/>
    <w:rsid w:val="007169A8"/>
    <w:rsid w:val="00717986"/>
    <w:rsid w:val="00720EAB"/>
    <w:rsid w:val="00721648"/>
    <w:rsid w:val="00722381"/>
    <w:rsid w:val="007229A1"/>
    <w:rsid w:val="00722F18"/>
    <w:rsid w:val="007235AA"/>
    <w:rsid w:val="00723E1F"/>
    <w:rsid w:val="00725E35"/>
    <w:rsid w:val="00730D35"/>
    <w:rsid w:val="00732289"/>
    <w:rsid w:val="007343FD"/>
    <w:rsid w:val="0073482A"/>
    <w:rsid w:val="00735915"/>
    <w:rsid w:val="007359E2"/>
    <w:rsid w:val="00735C21"/>
    <w:rsid w:val="0073614A"/>
    <w:rsid w:val="00736FF2"/>
    <w:rsid w:val="0073785B"/>
    <w:rsid w:val="00737EF1"/>
    <w:rsid w:val="0074079C"/>
    <w:rsid w:val="00740C8C"/>
    <w:rsid w:val="00741AC4"/>
    <w:rsid w:val="00742CA5"/>
    <w:rsid w:val="00742F4A"/>
    <w:rsid w:val="007430E0"/>
    <w:rsid w:val="00744AD6"/>
    <w:rsid w:val="00744D12"/>
    <w:rsid w:val="007464BE"/>
    <w:rsid w:val="00747963"/>
    <w:rsid w:val="007513F0"/>
    <w:rsid w:val="007515BC"/>
    <w:rsid w:val="00752606"/>
    <w:rsid w:val="0075402E"/>
    <w:rsid w:val="00756D3D"/>
    <w:rsid w:val="007573B2"/>
    <w:rsid w:val="007574BB"/>
    <w:rsid w:val="0075764C"/>
    <w:rsid w:val="00757AAD"/>
    <w:rsid w:val="00762198"/>
    <w:rsid w:val="00763C43"/>
    <w:rsid w:val="00763CE8"/>
    <w:rsid w:val="007641C8"/>
    <w:rsid w:val="00765623"/>
    <w:rsid w:val="00770792"/>
    <w:rsid w:val="007737B5"/>
    <w:rsid w:val="00774FFE"/>
    <w:rsid w:val="00775638"/>
    <w:rsid w:val="00775677"/>
    <w:rsid w:val="0077599A"/>
    <w:rsid w:val="00775AB8"/>
    <w:rsid w:val="00775C16"/>
    <w:rsid w:val="00776534"/>
    <w:rsid w:val="00776811"/>
    <w:rsid w:val="0077724D"/>
    <w:rsid w:val="00777353"/>
    <w:rsid w:val="00780CD6"/>
    <w:rsid w:val="00780DA0"/>
    <w:rsid w:val="00781A64"/>
    <w:rsid w:val="00782EA4"/>
    <w:rsid w:val="0078444C"/>
    <w:rsid w:val="00785461"/>
    <w:rsid w:val="00786FF3"/>
    <w:rsid w:val="007876CF"/>
    <w:rsid w:val="007877A9"/>
    <w:rsid w:val="00787B77"/>
    <w:rsid w:val="00791F08"/>
    <w:rsid w:val="00792100"/>
    <w:rsid w:val="00793090"/>
    <w:rsid w:val="00796F0B"/>
    <w:rsid w:val="00796F2A"/>
    <w:rsid w:val="007A0176"/>
    <w:rsid w:val="007A01CD"/>
    <w:rsid w:val="007A0F2A"/>
    <w:rsid w:val="007A2F67"/>
    <w:rsid w:val="007A3918"/>
    <w:rsid w:val="007A5398"/>
    <w:rsid w:val="007B0E89"/>
    <w:rsid w:val="007B2C38"/>
    <w:rsid w:val="007B2E54"/>
    <w:rsid w:val="007B548F"/>
    <w:rsid w:val="007B56A8"/>
    <w:rsid w:val="007B6719"/>
    <w:rsid w:val="007B7498"/>
    <w:rsid w:val="007B76E4"/>
    <w:rsid w:val="007B7A1C"/>
    <w:rsid w:val="007B7AEE"/>
    <w:rsid w:val="007C0677"/>
    <w:rsid w:val="007C5C9B"/>
    <w:rsid w:val="007C6103"/>
    <w:rsid w:val="007C660E"/>
    <w:rsid w:val="007C6C24"/>
    <w:rsid w:val="007C7EB6"/>
    <w:rsid w:val="007D0AE9"/>
    <w:rsid w:val="007D1CD9"/>
    <w:rsid w:val="007D2F75"/>
    <w:rsid w:val="007D4795"/>
    <w:rsid w:val="007D4E2C"/>
    <w:rsid w:val="007D6F93"/>
    <w:rsid w:val="007D710E"/>
    <w:rsid w:val="007D7E3A"/>
    <w:rsid w:val="007E07FA"/>
    <w:rsid w:val="007E0851"/>
    <w:rsid w:val="007E1177"/>
    <w:rsid w:val="007E22E7"/>
    <w:rsid w:val="007E2893"/>
    <w:rsid w:val="007E4232"/>
    <w:rsid w:val="007E4797"/>
    <w:rsid w:val="007E4B24"/>
    <w:rsid w:val="007E5B94"/>
    <w:rsid w:val="007E5C74"/>
    <w:rsid w:val="007E6910"/>
    <w:rsid w:val="007E69BB"/>
    <w:rsid w:val="007E6AAC"/>
    <w:rsid w:val="007E6AB8"/>
    <w:rsid w:val="007E7E96"/>
    <w:rsid w:val="007F2109"/>
    <w:rsid w:val="007F21C5"/>
    <w:rsid w:val="007F26BE"/>
    <w:rsid w:val="007F26EE"/>
    <w:rsid w:val="007F332F"/>
    <w:rsid w:val="007F3EF1"/>
    <w:rsid w:val="007F44CE"/>
    <w:rsid w:val="007F5371"/>
    <w:rsid w:val="007F6966"/>
    <w:rsid w:val="007F6D88"/>
    <w:rsid w:val="007F75E4"/>
    <w:rsid w:val="0080056E"/>
    <w:rsid w:val="008012D4"/>
    <w:rsid w:val="00801457"/>
    <w:rsid w:val="00801575"/>
    <w:rsid w:val="00801BCE"/>
    <w:rsid w:val="00801E7D"/>
    <w:rsid w:val="00801FF3"/>
    <w:rsid w:val="00802515"/>
    <w:rsid w:val="00803C2E"/>
    <w:rsid w:val="00803C3F"/>
    <w:rsid w:val="00806405"/>
    <w:rsid w:val="00807232"/>
    <w:rsid w:val="008104F3"/>
    <w:rsid w:val="00811945"/>
    <w:rsid w:val="0081283F"/>
    <w:rsid w:val="00812C0C"/>
    <w:rsid w:val="0081480A"/>
    <w:rsid w:val="00820244"/>
    <w:rsid w:val="008202EB"/>
    <w:rsid w:val="00820863"/>
    <w:rsid w:val="00820F86"/>
    <w:rsid w:val="00821E8D"/>
    <w:rsid w:val="008242C5"/>
    <w:rsid w:val="0082621E"/>
    <w:rsid w:val="00827F88"/>
    <w:rsid w:val="008301F4"/>
    <w:rsid w:val="008315CE"/>
    <w:rsid w:val="00831F64"/>
    <w:rsid w:val="008336A5"/>
    <w:rsid w:val="00835474"/>
    <w:rsid w:val="00835538"/>
    <w:rsid w:val="008373C0"/>
    <w:rsid w:val="00837724"/>
    <w:rsid w:val="008405A7"/>
    <w:rsid w:val="0084105A"/>
    <w:rsid w:val="0084145F"/>
    <w:rsid w:val="00841DA2"/>
    <w:rsid w:val="00842290"/>
    <w:rsid w:val="00844AB8"/>
    <w:rsid w:val="00844CB5"/>
    <w:rsid w:val="008458F6"/>
    <w:rsid w:val="00845AED"/>
    <w:rsid w:val="00846A65"/>
    <w:rsid w:val="0084708E"/>
    <w:rsid w:val="00851AE4"/>
    <w:rsid w:val="00853C36"/>
    <w:rsid w:val="00855019"/>
    <w:rsid w:val="008554B6"/>
    <w:rsid w:val="0085598D"/>
    <w:rsid w:val="0085660C"/>
    <w:rsid w:val="00860727"/>
    <w:rsid w:val="00860A16"/>
    <w:rsid w:val="00860C8D"/>
    <w:rsid w:val="00860FC0"/>
    <w:rsid w:val="0086273E"/>
    <w:rsid w:val="00862771"/>
    <w:rsid w:val="00863025"/>
    <w:rsid w:val="008648E3"/>
    <w:rsid w:val="0086682F"/>
    <w:rsid w:val="0086741A"/>
    <w:rsid w:val="00867687"/>
    <w:rsid w:val="008704DF"/>
    <w:rsid w:val="00873C87"/>
    <w:rsid w:val="00874748"/>
    <w:rsid w:val="00874894"/>
    <w:rsid w:val="00874B6C"/>
    <w:rsid w:val="00875D33"/>
    <w:rsid w:val="00875E93"/>
    <w:rsid w:val="0087662D"/>
    <w:rsid w:val="00876F54"/>
    <w:rsid w:val="00877292"/>
    <w:rsid w:val="0087754A"/>
    <w:rsid w:val="0087766C"/>
    <w:rsid w:val="00880552"/>
    <w:rsid w:val="00881EAC"/>
    <w:rsid w:val="008839DA"/>
    <w:rsid w:val="00884679"/>
    <w:rsid w:val="00884727"/>
    <w:rsid w:val="00884EE8"/>
    <w:rsid w:val="00885168"/>
    <w:rsid w:val="00890287"/>
    <w:rsid w:val="0089173B"/>
    <w:rsid w:val="00891E76"/>
    <w:rsid w:val="0089220F"/>
    <w:rsid w:val="008935AA"/>
    <w:rsid w:val="00893DF9"/>
    <w:rsid w:val="00895F66"/>
    <w:rsid w:val="008963F0"/>
    <w:rsid w:val="00896EDF"/>
    <w:rsid w:val="00897444"/>
    <w:rsid w:val="008A03A5"/>
    <w:rsid w:val="008A0DF3"/>
    <w:rsid w:val="008A1B76"/>
    <w:rsid w:val="008A282C"/>
    <w:rsid w:val="008A4138"/>
    <w:rsid w:val="008A4356"/>
    <w:rsid w:val="008A5BAB"/>
    <w:rsid w:val="008A5D96"/>
    <w:rsid w:val="008A6C8F"/>
    <w:rsid w:val="008B4DF5"/>
    <w:rsid w:val="008B5AB3"/>
    <w:rsid w:val="008B6848"/>
    <w:rsid w:val="008B7859"/>
    <w:rsid w:val="008C2FA1"/>
    <w:rsid w:val="008C33FC"/>
    <w:rsid w:val="008C35B8"/>
    <w:rsid w:val="008C4D45"/>
    <w:rsid w:val="008C57A6"/>
    <w:rsid w:val="008C58DF"/>
    <w:rsid w:val="008C7C60"/>
    <w:rsid w:val="008D1369"/>
    <w:rsid w:val="008D2C4C"/>
    <w:rsid w:val="008D4245"/>
    <w:rsid w:val="008D74D0"/>
    <w:rsid w:val="008D7E0D"/>
    <w:rsid w:val="008D7EDB"/>
    <w:rsid w:val="008E0BC9"/>
    <w:rsid w:val="008E0D7F"/>
    <w:rsid w:val="008E1829"/>
    <w:rsid w:val="008E1A61"/>
    <w:rsid w:val="008E2327"/>
    <w:rsid w:val="008E2D66"/>
    <w:rsid w:val="008E3C6C"/>
    <w:rsid w:val="008E5077"/>
    <w:rsid w:val="008E64F0"/>
    <w:rsid w:val="008E6FF3"/>
    <w:rsid w:val="008E7B05"/>
    <w:rsid w:val="008F10BB"/>
    <w:rsid w:val="008F18ED"/>
    <w:rsid w:val="008F46C2"/>
    <w:rsid w:val="008F4916"/>
    <w:rsid w:val="008F544A"/>
    <w:rsid w:val="008F63BE"/>
    <w:rsid w:val="008F6485"/>
    <w:rsid w:val="008F656A"/>
    <w:rsid w:val="008F6CCF"/>
    <w:rsid w:val="008F7068"/>
    <w:rsid w:val="0090131E"/>
    <w:rsid w:val="00901B56"/>
    <w:rsid w:val="00901FCB"/>
    <w:rsid w:val="00902F6B"/>
    <w:rsid w:val="0090360E"/>
    <w:rsid w:val="00903D37"/>
    <w:rsid w:val="00903F92"/>
    <w:rsid w:val="00906136"/>
    <w:rsid w:val="009061B8"/>
    <w:rsid w:val="0091055D"/>
    <w:rsid w:val="009116EE"/>
    <w:rsid w:val="009117C6"/>
    <w:rsid w:val="00911E2D"/>
    <w:rsid w:val="00912272"/>
    <w:rsid w:val="00913F84"/>
    <w:rsid w:val="00914380"/>
    <w:rsid w:val="00914C61"/>
    <w:rsid w:val="00916195"/>
    <w:rsid w:val="00917D6F"/>
    <w:rsid w:val="0092073B"/>
    <w:rsid w:val="00921B1A"/>
    <w:rsid w:val="00921B7F"/>
    <w:rsid w:val="00921DDA"/>
    <w:rsid w:val="00922DE1"/>
    <w:rsid w:val="009233BF"/>
    <w:rsid w:val="00924409"/>
    <w:rsid w:val="0092526C"/>
    <w:rsid w:val="0092600D"/>
    <w:rsid w:val="00926E7E"/>
    <w:rsid w:val="009271D4"/>
    <w:rsid w:val="00930345"/>
    <w:rsid w:val="0093039D"/>
    <w:rsid w:val="00931E4F"/>
    <w:rsid w:val="0093364D"/>
    <w:rsid w:val="00936574"/>
    <w:rsid w:val="00937EE1"/>
    <w:rsid w:val="0094373A"/>
    <w:rsid w:val="00943BCE"/>
    <w:rsid w:val="00945B1E"/>
    <w:rsid w:val="009504FE"/>
    <w:rsid w:val="00950710"/>
    <w:rsid w:val="009508A0"/>
    <w:rsid w:val="009520F1"/>
    <w:rsid w:val="00952264"/>
    <w:rsid w:val="00953FF0"/>
    <w:rsid w:val="00956B99"/>
    <w:rsid w:val="00957D19"/>
    <w:rsid w:val="00957D8D"/>
    <w:rsid w:val="00960346"/>
    <w:rsid w:val="009612E4"/>
    <w:rsid w:val="009617D3"/>
    <w:rsid w:val="0096463B"/>
    <w:rsid w:val="00964CA4"/>
    <w:rsid w:val="0096610A"/>
    <w:rsid w:val="00967609"/>
    <w:rsid w:val="00967869"/>
    <w:rsid w:val="0096796E"/>
    <w:rsid w:val="00971F54"/>
    <w:rsid w:val="0097257B"/>
    <w:rsid w:val="009725C5"/>
    <w:rsid w:val="00972644"/>
    <w:rsid w:val="00972AEA"/>
    <w:rsid w:val="00972B4E"/>
    <w:rsid w:val="00973F40"/>
    <w:rsid w:val="0097479C"/>
    <w:rsid w:val="009779ED"/>
    <w:rsid w:val="00977F28"/>
    <w:rsid w:val="00980900"/>
    <w:rsid w:val="00981479"/>
    <w:rsid w:val="00983EDC"/>
    <w:rsid w:val="00983EED"/>
    <w:rsid w:val="009848BA"/>
    <w:rsid w:val="009849EF"/>
    <w:rsid w:val="0098696F"/>
    <w:rsid w:val="00986DB7"/>
    <w:rsid w:val="00986F84"/>
    <w:rsid w:val="009934CF"/>
    <w:rsid w:val="00994396"/>
    <w:rsid w:val="00994FB1"/>
    <w:rsid w:val="009964A3"/>
    <w:rsid w:val="009A0AB9"/>
    <w:rsid w:val="009A0D75"/>
    <w:rsid w:val="009A1481"/>
    <w:rsid w:val="009A1C71"/>
    <w:rsid w:val="009A1DA9"/>
    <w:rsid w:val="009A306D"/>
    <w:rsid w:val="009A347A"/>
    <w:rsid w:val="009A3D70"/>
    <w:rsid w:val="009A3ED8"/>
    <w:rsid w:val="009A620E"/>
    <w:rsid w:val="009A7E33"/>
    <w:rsid w:val="009B4E57"/>
    <w:rsid w:val="009B6452"/>
    <w:rsid w:val="009B6A6F"/>
    <w:rsid w:val="009C0EC8"/>
    <w:rsid w:val="009C1AFE"/>
    <w:rsid w:val="009C3E33"/>
    <w:rsid w:val="009C3E45"/>
    <w:rsid w:val="009C3EB2"/>
    <w:rsid w:val="009C4872"/>
    <w:rsid w:val="009C4AC3"/>
    <w:rsid w:val="009C5F24"/>
    <w:rsid w:val="009D048B"/>
    <w:rsid w:val="009D0F2C"/>
    <w:rsid w:val="009D1677"/>
    <w:rsid w:val="009D1B5D"/>
    <w:rsid w:val="009D4395"/>
    <w:rsid w:val="009D43FE"/>
    <w:rsid w:val="009D4A02"/>
    <w:rsid w:val="009D4D5A"/>
    <w:rsid w:val="009D69C6"/>
    <w:rsid w:val="009D6F70"/>
    <w:rsid w:val="009E10E1"/>
    <w:rsid w:val="009E2DF6"/>
    <w:rsid w:val="009E34A4"/>
    <w:rsid w:val="009E42C7"/>
    <w:rsid w:val="009E52D2"/>
    <w:rsid w:val="009E5419"/>
    <w:rsid w:val="009E5A6E"/>
    <w:rsid w:val="009E70E7"/>
    <w:rsid w:val="009F113B"/>
    <w:rsid w:val="009F25A8"/>
    <w:rsid w:val="009F274F"/>
    <w:rsid w:val="009F3C76"/>
    <w:rsid w:val="009F46DC"/>
    <w:rsid w:val="009F484A"/>
    <w:rsid w:val="009F65AF"/>
    <w:rsid w:val="009F76DF"/>
    <w:rsid w:val="00A017BC"/>
    <w:rsid w:val="00A01C00"/>
    <w:rsid w:val="00A02488"/>
    <w:rsid w:val="00A0365A"/>
    <w:rsid w:val="00A03A1B"/>
    <w:rsid w:val="00A06B31"/>
    <w:rsid w:val="00A06CC5"/>
    <w:rsid w:val="00A06CFA"/>
    <w:rsid w:val="00A11CAD"/>
    <w:rsid w:val="00A12F67"/>
    <w:rsid w:val="00A1620D"/>
    <w:rsid w:val="00A16AC0"/>
    <w:rsid w:val="00A16DC1"/>
    <w:rsid w:val="00A22FEB"/>
    <w:rsid w:val="00A232CE"/>
    <w:rsid w:val="00A23A6A"/>
    <w:rsid w:val="00A23AE3"/>
    <w:rsid w:val="00A23D31"/>
    <w:rsid w:val="00A24A3E"/>
    <w:rsid w:val="00A24C9B"/>
    <w:rsid w:val="00A2569A"/>
    <w:rsid w:val="00A25860"/>
    <w:rsid w:val="00A266B4"/>
    <w:rsid w:val="00A26ECD"/>
    <w:rsid w:val="00A2785B"/>
    <w:rsid w:val="00A27D2B"/>
    <w:rsid w:val="00A301A7"/>
    <w:rsid w:val="00A30C34"/>
    <w:rsid w:val="00A30FD3"/>
    <w:rsid w:val="00A3170F"/>
    <w:rsid w:val="00A34223"/>
    <w:rsid w:val="00A34F11"/>
    <w:rsid w:val="00A35E2F"/>
    <w:rsid w:val="00A35FF0"/>
    <w:rsid w:val="00A36013"/>
    <w:rsid w:val="00A37078"/>
    <w:rsid w:val="00A373E8"/>
    <w:rsid w:val="00A37891"/>
    <w:rsid w:val="00A40A51"/>
    <w:rsid w:val="00A40FEA"/>
    <w:rsid w:val="00A415BA"/>
    <w:rsid w:val="00A422AD"/>
    <w:rsid w:val="00A445A9"/>
    <w:rsid w:val="00A4594F"/>
    <w:rsid w:val="00A47916"/>
    <w:rsid w:val="00A51E24"/>
    <w:rsid w:val="00A536DA"/>
    <w:rsid w:val="00A5406C"/>
    <w:rsid w:val="00A54801"/>
    <w:rsid w:val="00A55626"/>
    <w:rsid w:val="00A5596D"/>
    <w:rsid w:val="00A56F39"/>
    <w:rsid w:val="00A571CD"/>
    <w:rsid w:val="00A57C3D"/>
    <w:rsid w:val="00A6697B"/>
    <w:rsid w:val="00A719AA"/>
    <w:rsid w:val="00A73DE3"/>
    <w:rsid w:val="00A74C2D"/>
    <w:rsid w:val="00A759BA"/>
    <w:rsid w:val="00A76B34"/>
    <w:rsid w:val="00A777FC"/>
    <w:rsid w:val="00A81678"/>
    <w:rsid w:val="00A816DC"/>
    <w:rsid w:val="00A83487"/>
    <w:rsid w:val="00A8434D"/>
    <w:rsid w:val="00A84A8E"/>
    <w:rsid w:val="00A854FF"/>
    <w:rsid w:val="00A86E30"/>
    <w:rsid w:val="00A87035"/>
    <w:rsid w:val="00A8745D"/>
    <w:rsid w:val="00A8785C"/>
    <w:rsid w:val="00A90749"/>
    <w:rsid w:val="00A908DA"/>
    <w:rsid w:val="00A90F9B"/>
    <w:rsid w:val="00A917D8"/>
    <w:rsid w:val="00A92694"/>
    <w:rsid w:val="00A93072"/>
    <w:rsid w:val="00A93F88"/>
    <w:rsid w:val="00A9603F"/>
    <w:rsid w:val="00A96260"/>
    <w:rsid w:val="00A9629C"/>
    <w:rsid w:val="00A96F42"/>
    <w:rsid w:val="00AA0AC9"/>
    <w:rsid w:val="00AA2289"/>
    <w:rsid w:val="00AA35D5"/>
    <w:rsid w:val="00AA417B"/>
    <w:rsid w:val="00AA533F"/>
    <w:rsid w:val="00AA5A86"/>
    <w:rsid w:val="00AA5F1C"/>
    <w:rsid w:val="00AA62F6"/>
    <w:rsid w:val="00AA7F48"/>
    <w:rsid w:val="00AA7F8E"/>
    <w:rsid w:val="00AB010D"/>
    <w:rsid w:val="00AB0749"/>
    <w:rsid w:val="00AB76D8"/>
    <w:rsid w:val="00AB7E6A"/>
    <w:rsid w:val="00AC0139"/>
    <w:rsid w:val="00AC017A"/>
    <w:rsid w:val="00AC1B50"/>
    <w:rsid w:val="00AC1B61"/>
    <w:rsid w:val="00AC2C6E"/>
    <w:rsid w:val="00AC5EE6"/>
    <w:rsid w:val="00AD0D24"/>
    <w:rsid w:val="00AD1923"/>
    <w:rsid w:val="00AD1A3D"/>
    <w:rsid w:val="00AD2611"/>
    <w:rsid w:val="00AD3315"/>
    <w:rsid w:val="00AD3AC5"/>
    <w:rsid w:val="00AD3D57"/>
    <w:rsid w:val="00AD497C"/>
    <w:rsid w:val="00AD49C8"/>
    <w:rsid w:val="00AD4B96"/>
    <w:rsid w:val="00AD50F9"/>
    <w:rsid w:val="00AE0B4B"/>
    <w:rsid w:val="00AE1DB8"/>
    <w:rsid w:val="00AE3BD8"/>
    <w:rsid w:val="00AE47BF"/>
    <w:rsid w:val="00AE489D"/>
    <w:rsid w:val="00AE52E5"/>
    <w:rsid w:val="00AE552E"/>
    <w:rsid w:val="00AE5C8E"/>
    <w:rsid w:val="00AF0A77"/>
    <w:rsid w:val="00AF0FA3"/>
    <w:rsid w:val="00AF4C29"/>
    <w:rsid w:val="00AF4ECA"/>
    <w:rsid w:val="00AF4F9D"/>
    <w:rsid w:val="00AF54E4"/>
    <w:rsid w:val="00AF6432"/>
    <w:rsid w:val="00AF663F"/>
    <w:rsid w:val="00AF6DED"/>
    <w:rsid w:val="00AF79BD"/>
    <w:rsid w:val="00AF7D78"/>
    <w:rsid w:val="00B01191"/>
    <w:rsid w:val="00B06AB8"/>
    <w:rsid w:val="00B0775A"/>
    <w:rsid w:val="00B07875"/>
    <w:rsid w:val="00B07B2E"/>
    <w:rsid w:val="00B07F12"/>
    <w:rsid w:val="00B07FE3"/>
    <w:rsid w:val="00B10BAE"/>
    <w:rsid w:val="00B11579"/>
    <w:rsid w:val="00B136B5"/>
    <w:rsid w:val="00B14154"/>
    <w:rsid w:val="00B1415B"/>
    <w:rsid w:val="00B14E1B"/>
    <w:rsid w:val="00B14ED1"/>
    <w:rsid w:val="00B15278"/>
    <w:rsid w:val="00B222A2"/>
    <w:rsid w:val="00B234EC"/>
    <w:rsid w:val="00B23C85"/>
    <w:rsid w:val="00B26BB0"/>
    <w:rsid w:val="00B274AE"/>
    <w:rsid w:val="00B274BF"/>
    <w:rsid w:val="00B31222"/>
    <w:rsid w:val="00B318C9"/>
    <w:rsid w:val="00B31954"/>
    <w:rsid w:val="00B31FDB"/>
    <w:rsid w:val="00B325F8"/>
    <w:rsid w:val="00B32661"/>
    <w:rsid w:val="00B34642"/>
    <w:rsid w:val="00B379E3"/>
    <w:rsid w:val="00B42C7F"/>
    <w:rsid w:val="00B42DF5"/>
    <w:rsid w:val="00B42E81"/>
    <w:rsid w:val="00B4329D"/>
    <w:rsid w:val="00B434FB"/>
    <w:rsid w:val="00B45BEE"/>
    <w:rsid w:val="00B5156B"/>
    <w:rsid w:val="00B520F9"/>
    <w:rsid w:val="00B52812"/>
    <w:rsid w:val="00B53104"/>
    <w:rsid w:val="00B53E8D"/>
    <w:rsid w:val="00B54848"/>
    <w:rsid w:val="00B5495A"/>
    <w:rsid w:val="00B55269"/>
    <w:rsid w:val="00B577A3"/>
    <w:rsid w:val="00B6144B"/>
    <w:rsid w:val="00B6170F"/>
    <w:rsid w:val="00B61B06"/>
    <w:rsid w:val="00B64641"/>
    <w:rsid w:val="00B64825"/>
    <w:rsid w:val="00B701A6"/>
    <w:rsid w:val="00B71D5C"/>
    <w:rsid w:val="00B7262F"/>
    <w:rsid w:val="00B727C5"/>
    <w:rsid w:val="00B73FD4"/>
    <w:rsid w:val="00B74FC5"/>
    <w:rsid w:val="00B75A6C"/>
    <w:rsid w:val="00B75BE4"/>
    <w:rsid w:val="00B76720"/>
    <w:rsid w:val="00B82642"/>
    <w:rsid w:val="00B82F2D"/>
    <w:rsid w:val="00B836F5"/>
    <w:rsid w:val="00B83E2A"/>
    <w:rsid w:val="00B83E38"/>
    <w:rsid w:val="00B841CA"/>
    <w:rsid w:val="00B8468D"/>
    <w:rsid w:val="00B85DF3"/>
    <w:rsid w:val="00B85EF7"/>
    <w:rsid w:val="00B8614C"/>
    <w:rsid w:val="00B8640E"/>
    <w:rsid w:val="00B86C19"/>
    <w:rsid w:val="00B9063A"/>
    <w:rsid w:val="00B92EDF"/>
    <w:rsid w:val="00B93510"/>
    <w:rsid w:val="00B93640"/>
    <w:rsid w:val="00B93E33"/>
    <w:rsid w:val="00B93FFB"/>
    <w:rsid w:val="00B94A19"/>
    <w:rsid w:val="00B954F3"/>
    <w:rsid w:val="00B95BCD"/>
    <w:rsid w:val="00B95CDC"/>
    <w:rsid w:val="00B95CE5"/>
    <w:rsid w:val="00B96107"/>
    <w:rsid w:val="00B9677D"/>
    <w:rsid w:val="00B96FEA"/>
    <w:rsid w:val="00BA0D0B"/>
    <w:rsid w:val="00BA0E8D"/>
    <w:rsid w:val="00BA3C8B"/>
    <w:rsid w:val="00BA41D9"/>
    <w:rsid w:val="00BA4CE5"/>
    <w:rsid w:val="00BA59C0"/>
    <w:rsid w:val="00BA6871"/>
    <w:rsid w:val="00BA6C0C"/>
    <w:rsid w:val="00BA6ED9"/>
    <w:rsid w:val="00BB0CC4"/>
    <w:rsid w:val="00BB1CE3"/>
    <w:rsid w:val="00BB375D"/>
    <w:rsid w:val="00BB40E6"/>
    <w:rsid w:val="00BB49A0"/>
    <w:rsid w:val="00BB5084"/>
    <w:rsid w:val="00BB515F"/>
    <w:rsid w:val="00BB5307"/>
    <w:rsid w:val="00BB532B"/>
    <w:rsid w:val="00BB64D5"/>
    <w:rsid w:val="00BC07C6"/>
    <w:rsid w:val="00BC0924"/>
    <w:rsid w:val="00BC18C8"/>
    <w:rsid w:val="00BC1FA5"/>
    <w:rsid w:val="00BC274F"/>
    <w:rsid w:val="00BC2C0C"/>
    <w:rsid w:val="00BC36D0"/>
    <w:rsid w:val="00BC3CFC"/>
    <w:rsid w:val="00BC732A"/>
    <w:rsid w:val="00BC758B"/>
    <w:rsid w:val="00BC779F"/>
    <w:rsid w:val="00BD2EAC"/>
    <w:rsid w:val="00BD4BB3"/>
    <w:rsid w:val="00BD6398"/>
    <w:rsid w:val="00BD666B"/>
    <w:rsid w:val="00BD7F62"/>
    <w:rsid w:val="00BE17C6"/>
    <w:rsid w:val="00BE2BD3"/>
    <w:rsid w:val="00BE42E7"/>
    <w:rsid w:val="00BE4843"/>
    <w:rsid w:val="00BE4865"/>
    <w:rsid w:val="00BE5595"/>
    <w:rsid w:val="00BE69BF"/>
    <w:rsid w:val="00BE725A"/>
    <w:rsid w:val="00BE73C1"/>
    <w:rsid w:val="00BE7430"/>
    <w:rsid w:val="00BE7B48"/>
    <w:rsid w:val="00BF155C"/>
    <w:rsid w:val="00BF3381"/>
    <w:rsid w:val="00BF667D"/>
    <w:rsid w:val="00C05912"/>
    <w:rsid w:val="00C07437"/>
    <w:rsid w:val="00C075EC"/>
    <w:rsid w:val="00C07B0B"/>
    <w:rsid w:val="00C10D18"/>
    <w:rsid w:val="00C10FCF"/>
    <w:rsid w:val="00C12810"/>
    <w:rsid w:val="00C138CA"/>
    <w:rsid w:val="00C1680B"/>
    <w:rsid w:val="00C16B4B"/>
    <w:rsid w:val="00C17427"/>
    <w:rsid w:val="00C20268"/>
    <w:rsid w:val="00C2043D"/>
    <w:rsid w:val="00C20C00"/>
    <w:rsid w:val="00C210FD"/>
    <w:rsid w:val="00C21910"/>
    <w:rsid w:val="00C22901"/>
    <w:rsid w:val="00C24D38"/>
    <w:rsid w:val="00C25238"/>
    <w:rsid w:val="00C27D74"/>
    <w:rsid w:val="00C305F2"/>
    <w:rsid w:val="00C308A6"/>
    <w:rsid w:val="00C32F0C"/>
    <w:rsid w:val="00C3345C"/>
    <w:rsid w:val="00C352C6"/>
    <w:rsid w:val="00C36DE7"/>
    <w:rsid w:val="00C407E5"/>
    <w:rsid w:val="00C42070"/>
    <w:rsid w:val="00C42B77"/>
    <w:rsid w:val="00C42DAC"/>
    <w:rsid w:val="00C4342B"/>
    <w:rsid w:val="00C459A9"/>
    <w:rsid w:val="00C474FE"/>
    <w:rsid w:val="00C477E7"/>
    <w:rsid w:val="00C502A5"/>
    <w:rsid w:val="00C510F7"/>
    <w:rsid w:val="00C521F7"/>
    <w:rsid w:val="00C53008"/>
    <w:rsid w:val="00C55151"/>
    <w:rsid w:val="00C5575D"/>
    <w:rsid w:val="00C558FF"/>
    <w:rsid w:val="00C560FA"/>
    <w:rsid w:val="00C56772"/>
    <w:rsid w:val="00C57FF9"/>
    <w:rsid w:val="00C61394"/>
    <w:rsid w:val="00C63B94"/>
    <w:rsid w:val="00C64434"/>
    <w:rsid w:val="00C64A51"/>
    <w:rsid w:val="00C64B27"/>
    <w:rsid w:val="00C65C4D"/>
    <w:rsid w:val="00C7063C"/>
    <w:rsid w:val="00C70ACA"/>
    <w:rsid w:val="00C73B4A"/>
    <w:rsid w:val="00C73C57"/>
    <w:rsid w:val="00C746D9"/>
    <w:rsid w:val="00C74D43"/>
    <w:rsid w:val="00C75CA7"/>
    <w:rsid w:val="00C7683D"/>
    <w:rsid w:val="00C80F09"/>
    <w:rsid w:val="00C812E3"/>
    <w:rsid w:val="00C81950"/>
    <w:rsid w:val="00C8327E"/>
    <w:rsid w:val="00C8545C"/>
    <w:rsid w:val="00C86432"/>
    <w:rsid w:val="00C869C0"/>
    <w:rsid w:val="00C86FC6"/>
    <w:rsid w:val="00C901BB"/>
    <w:rsid w:val="00C90CD3"/>
    <w:rsid w:val="00C92552"/>
    <w:rsid w:val="00C92716"/>
    <w:rsid w:val="00C92C27"/>
    <w:rsid w:val="00C93AED"/>
    <w:rsid w:val="00C93BB5"/>
    <w:rsid w:val="00C93F1B"/>
    <w:rsid w:val="00C94E14"/>
    <w:rsid w:val="00C96DFE"/>
    <w:rsid w:val="00C976D1"/>
    <w:rsid w:val="00C97C9F"/>
    <w:rsid w:val="00CA0361"/>
    <w:rsid w:val="00CA170F"/>
    <w:rsid w:val="00CA308F"/>
    <w:rsid w:val="00CA71D4"/>
    <w:rsid w:val="00CB02AC"/>
    <w:rsid w:val="00CB20C5"/>
    <w:rsid w:val="00CB24C4"/>
    <w:rsid w:val="00CB2B85"/>
    <w:rsid w:val="00CB5D29"/>
    <w:rsid w:val="00CB64F1"/>
    <w:rsid w:val="00CB675A"/>
    <w:rsid w:val="00CB6EC8"/>
    <w:rsid w:val="00CB782B"/>
    <w:rsid w:val="00CC082B"/>
    <w:rsid w:val="00CC0E77"/>
    <w:rsid w:val="00CC16D8"/>
    <w:rsid w:val="00CC18E3"/>
    <w:rsid w:val="00CC2092"/>
    <w:rsid w:val="00CC285C"/>
    <w:rsid w:val="00CC5595"/>
    <w:rsid w:val="00CC5E76"/>
    <w:rsid w:val="00CD1770"/>
    <w:rsid w:val="00CD3A5D"/>
    <w:rsid w:val="00CD3EB5"/>
    <w:rsid w:val="00CD5FD4"/>
    <w:rsid w:val="00CD6861"/>
    <w:rsid w:val="00CE0DCE"/>
    <w:rsid w:val="00CE1BC9"/>
    <w:rsid w:val="00CE2B79"/>
    <w:rsid w:val="00CE33C1"/>
    <w:rsid w:val="00CE4410"/>
    <w:rsid w:val="00CE4DD6"/>
    <w:rsid w:val="00CE7274"/>
    <w:rsid w:val="00CE76FF"/>
    <w:rsid w:val="00CF1CF7"/>
    <w:rsid w:val="00CF39D0"/>
    <w:rsid w:val="00CF4012"/>
    <w:rsid w:val="00CF42FA"/>
    <w:rsid w:val="00CF43D5"/>
    <w:rsid w:val="00CF46F7"/>
    <w:rsid w:val="00CF5249"/>
    <w:rsid w:val="00CF6E0D"/>
    <w:rsid w:val="00D01F75"/>
    <w:rsid w:val="00D02BC6"/>
    <w:rsid w:val="00D02E0D"/>
    <w:rsid w:val="00D0310D"/>
    <w:rsid w:val="00D05803"/>
    <w:rsid w:val="00D05C7C"/>
    <w:rsid w:val="00D06906"/>
    <w:rsid w:val="00D07742"/>
    <w:rsid w:val="00D07F6E"/>
    <w:rsid w:val="00D1276A"/>
    <w:rsid w:val="00D1452B"/>
    <w:rsid w:val="00D14DB7"/>
    <w:rsid w:val="00D15A9D"/>
    <w:rsid w:val="00D15ED5"/>
    <w:rsid w:val="00D16656"/>
    <w:rsid w:val="00D176F6"/>
    <w:rsid w:val="00D17C8B"/>
    <w:rsid w:val="00D200AB"/>
    <w:rsid w:val="00D201AE"/>
    <w:rsid w:val="00D22439"/>
    <w:rsid w:val="00D253C2"/>
    <w:rsid w:val="00D2730E"/>
    <w:rsid w:val="00D31CD5"/>
    <w:rsid w:val="00D34402"/>
    <w:rsid w:val="00D348F7"/>
    <w:rsid w:val="00D3564E"/>
    <w:rsid w:val="00D366C7"/>
    <w:rsid w:val="00D36EF4"/>
    <w:rsid w:val="00D371D0"/>
    <w:rsid w:val="00D4062A"/>
    <w:rsid w:val="00D40BC3"/>
    <w:rsid w:val="00D41FB0"/>
    <w:rsid w:val="00D42C04"/>
    <w:rsid w:val="00D4326E"/>
    <w:rsid w:val="00D434EC"/>
    <w:rsid w:val="00D44E9D"/>
    <w:rsid w:val="00D472A7"/>
    <w:rsid w:val="00D50779"/>
    <w:rsid w:val="00D51515"/>
    <w:rsid w:val="00D5234F"/>
    <w:rsid w:val="00D52523"/>
    <w:rsid w:val="00D54BD5"/>
    <w:rsid w:val="00D55411"/>
    <w:rsid w:val="00D55922"/>
    <w:rsid w:val="00D575F0"/>
    <w:rsid w:val="00D60578"/>
    <w:rsid w:val="00D616D5"/>
    <w:rsid w:val="00D61A0E"/>
    <w:rsid w:val="00D62216"/>
    <w:rsid w:val="00D6311A"/>
    <w:rsid w:val="00D63C35"/>
    <w:rsid w:val="00D655B7"/>
    <w:rsid w:val="00D71CF9"/>
    <w:rsid w:val="00D74063"/>
    <w:rsid w:val="00D74FD7"/>
    <w:rsid w:val="00D7675E"/>
    <w:rsid w:val="00D80080"/>
    <w:rsid w:val="00D80F9D"/>
    <w:rsid w:val="00D80FFB"/>
    <w:rsid w:val="00D81BAE"/>
    <w:rsid w:val="00D84B17"/>
    <w:rsid w:val="00D8507D"/>
    <w:rsid w:val="00D86735"/>
    <w:rsid w:val="00D86789"/>
    <w:rsid w:val="00D8718E"/>
    <w:rsid w:val="00D871FB"/>
    <w:rsid w:val="00D90C9D"/>
    <w:rsid w:val="00D90E57"/>
    <w:rsid w:val="00D91910"/>
    <w:rsid w:val="00D91AA8"/>
    <w:rsid w:val="00D944A6"/>
    <w:rsid w:val="00D95B5F"/>
    <w:rsid w:val="00D96FC3"/>
    <w:rsid w:val="00D97A23"/>
    <w:rsid w:val="00DA0839"/>
    <w:rsid w:val="00DA0942"/>
    <w:rsid w:val="00DA12C3"/>
    <w:rsid w:val="00DA22B5"/>
    <w:rsid w:val="00DA495D"/>
    <w:rsid w:val="00DA4AF0"/>
    <w:rsid w:val="00DA4F15"/>
    <w:rsid w:val="00DA5DCA"/>
    <w:rsid w:val="00DA66CF"/>
    <w:rsid w:val="00DA7BA0"/>
    <w:rsid w:val="00DB415E"/>
    <w:rsid w:val="00DB42F5"/>
    <w:rsid w:val="00DB469A"/>
    <w:rsid w:val="00DB52C3"/>
    <w:rsid w:val="00DB53A0"/>
    <w:rsid w:val="00DB5454"/>
    <w:rsid w:val="00DB55FE"/>
    <w:rsid w:val="00DB5DA3"/>
    <w:rsid w:val="00DB7E5F"/>
    <w:rsid w:val="00DC10B0"/>
    <w:rsid w:val="00DC13AB"/>
    <w:rsid w:val="00DC1594"/>
    <w:rsid w:val="00DC2FB2"/>
    <w:rsid w:val="00DC4BCD"/>
    <w:rsid w:val="00DC67C8"/>
    <w:rsid w:val="00DD0718"/>
    <w:rsid w:val="00DD0BEC"/>
    <w:rsid w:val="00DD1107"/>
    <w:rsid w:val="00DD178F"/>
    <w:rsid w:val="00DD1FE4"/>
    <w:rsid w:val="00DD2D75"/>
    <w:rsid w:val="00DD2E0B"/>
    <w:rsid w:val="00DD7787"/>
    <w:rsid w:val="00DE0F30"/>
    <w:rsid w:val="00DE27CA"/>
    <w:rsid w:val="00DE2966"/>
    <w:rsid w:val="00DE3235"/>
    <w:rsid w:val="00DE40E0"/>
    <w:rsid w:val="00DE4107"/>
    <w:rsid w:val="00DF04ED"/>
    <w:rsid w:val="00DF0B5E"/>
    <w:rsid w:val="00DF0ED5"/>
    <w:rsid w:val="00DF128D"/>
    <w:rsid w:val="00DF66E6"/>
    <w:rsid w:val="00DF72D9"/>
    <w:rsid w:val="00DF7EC8"/>
    <w:rsid w:val="00E01217"/>
    <w:rsid w:val="00E028ED"/>
    <w:rsid w:val="00E04899"/>
    <w:rsid w:val="00E0499F"/>
    <w:rsid w:val="00E104F6"/>
    <w:rsid w:val="00E10748"/>
    <w:rsid w:val="00E1267A"/>
    <w:rsid w:val="00E12F57"/>
    <w:rsid w:val="00E14282"/>
    <w:rsid w:val="00E156F2"/>
    <w:rsid w:val="00E166A1"/>
    <w:rsid w:val="00E17F43"/>
    <w:rsid w:val="00E211EF"/>
    <w:rsid w:val="00E2250E"/>
    <w:rsid w:val="00E24435"/>
    <w:rsid w:val="00E245F8"/>
    <w:rsid w:val="00E24BF5"/>
    <w:rsid w:val="00E26B6E"/>
    <w:rsid w:val="00E26EC7"/>
    <w:rsid w:val="00E275E9"/>
    <w:rsid w:val="00E27D6B"/>
    <w:rsid w:val="00E27DDF"/>
    <w:rsid w:val="00E27E01"/>
    <w:rsid w:val="00E305FF"/>
    <w:rsid w:val="00E30A90"/>
    <w:rsid w:val="00E32DBA"/>
    <w:rsid w:val="00E3579A"/>
    <w:rsid w:val="00E36BF6"/>
    <w:rsid w:val="00E37C74"/>
    <w:rsid w:val="00E40703"/>
    <w:rsid w:val="00E43469"/>
    <w:rsid w:val="00E4369C"/>
    <w:rsid w:val="00E43A0F"/>
    <w:rsid w:val="00E445DA"/>
    <w:rsid w:val="00E45379"/>
    <w:rsid w:val="00E465CB"/>
    <w:rsid w:val="00E4703B"/>
    <w:rsid w:val="00E47C0D"/>
    <w:rsid w:val="00E47CB7"/>
    <w:rsid w:val="00E50079"/>
    <w:rsid w:val="00E50732"/>
    <w:rsid w:val="00E50B22"/>
    <w:rsid w:val="00E5134A"/>
    <w:rsid w:val="00E51E18"/>
    <w:rsid w:val="00E51FD1"/>
    <w:rsid w:val="00E533BD"/>
    <w:rsid w:val="00E53706"/>
    <w:rsid w:val="00E54F4B"/>
    <w:rsid w:val="00E558F0"/>
    <w:rsid w:val="00E55C06"/>
    <w:rsid w:val="00E5668B"/>
    <w:rsid w:val="00E57CE2"/>
    <w:rsid w:val="00E61266"/>
    <w:rsid w:val="00E617BD"/>
    <w:rsid w:val="00E61E05"/>
    <w:rsid w:val="00E63E50"/>
    <w:rsid w:val="00E6419A"/>
    <w:rsid w:val="00E64595"/>
    <w:rsid w:val="00E64BD9"/>
    <w:rsid w:val="00E6519C"/>
    <w:rsid w:val="00E658F9"/>
    <w:rsid w:val="00E66F7A"/>
    <w:rsid w:val="00E66FAD"/>
    <w:rsid w:val="00E67E50"/>
    <w:rsid w:val="00E705B4"/>
    <w:rsid w:val="00E72967"/>
    <w:rsid w:val="00E8155D"/>
    <w:rsid w:val="00E81AFB"/>
    <w:rsid w:val="00E84AD7"/>
    <w:rsid w:val="00E85CC0"/>
    <w:rsid w:val="00E8724E"/>
    <w:rsid w:val="00E8768F"/>
    <w:rsid w:val="00E96E1A"/>
    <w:rsid w:val="00EA097B"/>
    <w:rsid w:val="00EA0E04"/>
    <w:rsid w:val="00EA1F25"/>
    <w:rsid w:val="00EA220D"/>
    <w:rsid w:val="00EA2F92"/>
    <w:rsid w:val="00EA3156"/>
    <w:rsid w:val="00EA40A2"/>
    <w:rsid w:val="00EA4CD5"/>
    <w:rsid w:val="00EA5CAE"/>
    <w:rsid w:val="00EA5D2C"/>
    <w:rsid w:val="00EA5D8E"/>
    <w:rsid w:val="00EB07CF"/>
    <w:rsid w:val="00EB1282"/>
    <w:rsid w:val="00EB32AB"/>
    <w:rsid w:val="00EB3B88"/>
    <w:rsid w:val="00EB3F52"/>
    <w:rsid w:val="00EB4A90"/>
    <w:rsid w:val="00EB6216"/>
    <w:rsid w:val="00EB7EF4"/>
    <w:rsid w:val="00EC0C14"/>
    <w:rsid w:val="00EC2B32"/>
    <w:rsid w:val="00EC2B42"/>
    <w:rsid w:val="00EC3B8F"/>
    <w:rsid w:val="00EC5CA0"/>
    <w:rsid w:val="00EC61AC"/>
    <w:rsid w:val="00EC7372"/>
    <w:rsid w:val="00ED19D1"/>
    <w:rsid w:val="00ED2AC0"/>
    <w:rsid w:val="00ED2C92"/>
    <w:rsid w:val="00ED30E8"/>
    <w:rsid w:val="00ED3B69"/>
    <w:rsid w:val="00ED3DFD"/>
    <w:rsid w:val="00ED3ECA"/>
    <w:rsid w:val="00ED3F39"/>
    <w:rsid w:val="00ED63AE"/>
    <w:rsid w:val="00ED6CD1"/>
    <w:rsid w:val="00ED719D"/>
    <w:rsid w:val="00ED7A42"/>
    <w:rsid w:val="00EE01FE"/>
    <w:rsid w:val="00EE13A8"/>
    <w:rsid w:val="00EE1C59"/>
    <w:rsid w:val="00EE467E"/>
    <w:rsid w:val="00EE48C8"/>
    <w:rsid w:val="00EE5F2E"/>
    <w:rsid w:val="00EF2C2D"/>
    <w:rsid w:val="00EF4A64"/>
    <w:rsid w:val="00EF5A26"/>
    <w:rsid w:val="00EF65AF"/>
    <w:rsid w:val="00F02171"/>
    <w:rsid w:val="00F02890"/>
    <w:rsid w:val="00F033EF"/>
    <w:rsid w:val="00F03B2D"/>
    <w:rsid w:val="00F045C9"/>
    <w:rsid w:val="00F061A6"/>
    <w:rsid w:val="00F0710C"/>
    <w:rsid w:val="00F11AB3"/>
    <w:rsid w:val="00F12618"/>
    <w:rsid w:val="00F13191"/>
    <w:rsid w:val="00F13DAF"/>
    <w:rsid w:val="00F14017"/>
    <w:rsid w:val="00F1609D"/>
    <w:rsid w:val="00F1684C"/>
    <w:rsid w:val="00F20633"/>
    <w:rsid w:val="00F22467"/>
    <w:rsid w:val="00F2491B"/>
    <w:rsid w:val="00F25CFE"/>
    <w:rsid w:val="00F267FA"/>
    <w:rsid w:val="00F301F4"/>
    <w:rsid w:val="00F30578"/>
    <w:rsid w:val="00F326A7"/>
    <w:rsid w:val="00F35243"/>
    <w:rsid w:val="00F360FF"/>
    <w:rsid w:val="00F36E9F"/>
    <w:rsid w:val="00F41B19"/>
    <w:rsid w:val="00F43E6E"/>
    <w:rsid w:val="00F43EBF"/>
    <w:rsid w:val="00F44423"/>
    <w:rsid w:val="00F465F5"/>
    <w:rsid w:val="00F50BE6"/>
    <w:rsid w:val="00F51236"/>
    <w:rsid w:val="00F526FB"/>
    <w:rsid w:val="00F5374C"/>
    <w:rsid w:val="00F541B8"/>
    <w:rsid w:val="00F56B6D"/>
    <w:rsid w:val="00F56CC2"/>
    <w:rsid w:val="00F60BC0"/>
    <w:rsid w:val="00F61B7F"/>
    <w:rsid w:val="00F62370"/>
    <w:rsid w:val="00F628D3"/>
    <w:rsid w:val="00F62EF2"/>
    <w:rsid w:val="00F6497E"/>
    <w:rsid w:val="00F669B0"/>
    <w:rsid w:val="00F677E2"/>
    <w:rsid w:val="00F717E6"/>
    <w:rsid w:val="00F728C6"/>
    <w:rsid w:val="00F72EA5"/>
    <w:rsid w:val="00F73751"/>
    <w:rsid w:val="00F759F4"/>
    <w:rsid w:val="00F75EAD"/>
    <w:rsid w:val="00F77154"/>
    <w:rsid w:val="00F8092E"/>
    <w:rsid w:val="00F80E34"/>
    <w:rsid w:val="00F80F33"/>
    <w:rsid w:val="00F80FB8"/>
    <w:rsid w:val="00F81CE4"/>
    <w:rsid w:val="00F83D15"/>
    <w:rsid w:val="00F84058"/>
    <w:rsid w:val="00F846D6"/>
    <w:rsid w:val="00F871D7"/>
    <w:rsid w:val="00F87A14"/>
    <w:rsid w:val="00F87CCD"/>
    <w:rsid w:val="00F9173A"/>
    <w:rsid w:val="00F91800"/>
    <w:rsid w:val="00F91F26"/>
    <w:rsid w:val="00F93586"/>
    <w:rsid w:val="00F94E99"/>
    <w:rsid w:val="00F95114"/>
    <w:rsid w:val="00F9650A"/>
    <w:rsid w:val="00F965B1"/>
    <w:rsid w:val="00F967C7"/>
    <w:rsid w:val="00FA0437"/>
    <w:rsid w:val="00FA07FC"/>
    <w:rsid w:val="00FA0EB8"/>
    <w:rsid w:val="00FA1EF1"/>
    <w:rsid w:val="00FA233F"/>
    <w:rsid w:val="00FA2E05"/>
    <w:rsid w:val="00FA3DF0"/>
    <w:rsid w:val="00FA6478"/>
    <w:rsid w:val="00FA6EF4"/>
    <w:rsid w:val="00FA7419"/>
    <w:rsid w:val="00FA7D22"/>
    <w:rsid w:val="00FA7D57"/>
    <w:rsid w:val="00FB0008"/>
    <w:rsid w:val="00FB071C"/>
    <w:rsid w:val="00FB1ACE"/>
    <w:rsid w:val="00FB3EA0"/>
    <w:rsid w:val="00FB4204"/>
    <w:rsid w:val="00FB4601"/>
    <w:rsid w:val="00FB50F9"/>
    <w:rsid w:val="00FB55F4"/>
    <w:rsid w:val="00FB58D8"/>
    <w:rsid w:val="00FB7140"/>
    <w:rsid w:val="00FB780E"/>
    <w:rsid w:val="00FB7F7A"/>
    <w:rsid w:val="00FC0B63"/>
    <w:rsid w:val="00FC2209"/>
    <w:rsid w:val="00FC57C7"/>
    <w:rsid w:val="00FC7531"/>
    <w:rsid w:val="00FC7EAA"/>
    <w:rsid w:val="00FD1282"/>
    <w:rsid w:val="00FD1B74"/>
    <w:rsid w:val="00FD302E"/>
    <w:rsid w:val="00FD407E"/>
    <w:rsid w:val="00FD4A77"/>
    <w:rsid w:val="00FD4FA5"/>
    <w:rsid w:val="00FD5166"/>
    <w:rsid w:val="00FD6B24"/>
    <w:rsid w:val="00FD758C"/>
    <w:rsid w:val="00FD7868"/>
    <w:rsid w:val="00FE15E5"/>
    <w:rsid w:val="00FE5118"/>
    <w:rsid w:val="00FE6759"/>
    <w:rsid w:val="00FF055B"/>
    <w:rsid w:val="00FF05B9"/>
    <w:rsid w:val="00FF09B2"/>
    <w:rsid w:val="00FF0EB1"/>
    <w:rsid w:val="00FF233D"/>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360314"/>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F6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349436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188062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193179">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omex.org.mx/ipo3/lgt/indice/NICOLASROMERO.web;jsessionid=A32AF14BAAF7BD41663AC7734D16ADA9?q=2019" TargetMode="External"/><Relationship Id="rId21" Type="http://schemas.openxmlformats.org/officeDocument/2006/relationships/hyperlink" Target="https://www.ipomex.org.mx/ipo3/lgt/indice/NICOLASROMERO/art_94_ii_a2.web" TargetMode="External"/><Relationship Id="rId42" Type="http://schemas.openxmlformats.org/officeDocument/2006/relationships/hyperlink" Target="https://www.ipomex.org.mx/ipo3/lgt/indice/NICOLASROMERO/art_92_xxix_a.web" TargetMode="External"/><Relationship Id="rId47"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ipomex.org.mx/recursos/ipo/files_ipo3/2019/42897/7/eb91da35a08a4ed8173fe2b623ae28c9.pdf"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www.ipomex.org.mx/ipo3/lgt/indice/NICOLASROMERO/art_92_Lii_a/1.web" TargetMode="External"/><Relationship Id="rId45" Type="http://schemas.openxmlformats.org/officeDocument/2006/relationships/hyperlink" Target="https://www.ipomex.org.mx/ipo3/lgt/indice/NICOLASROMERO/art_92_Lii_a/1.web" TargetMode="External"/><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ipomex.org.mx/ipo3/lgt/indice/NICOLASROMERO.web;jsessionid=A32AF14BAAF7BD41663AC7734D16ADA9?q=2019"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ipomex.org.mx/ipo3/lgt/indice/NICOLASROMERO.web;jsessionid=A32AF14BAAF7BD41663AC7734D16ADA9?q=2019"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www.ipomex.org.mx/ipo3/lgt/indice/NICOLASROMERO.web;jsessionid=A32AF14BAAF7BD41663AC7734D16ADA9?q=2019" TargetMode="External"/><Relationship Id="rId48" Type="http://schemas.openxmlformats.org/officeDocument/2006/relationships/hyperlink" Target="https://www.ipomex.org.mx/recursos/ipo/files_ipo3/2019/42959/8/a3bd81d81c1de7d14b8127e499d71b6b.pdf" TargetMode="External"/><Relationship Id="rId56" Type="http://schemas.openxmlformats.org/officeDocument/2006/relationships/hyperlink" Target="https://www.ipomex.org.mx/ipo3/lgt/indice/NICOLASROMERO/art_92_xxix_a.web" TargetMode="External"/><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pomex.org.mx/recursos/ipo/files_ipo3/2019/42959/4/1243b1bed77e195ae84d0a3f2ff6b42c.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www.ipomex.org.mx/ipo3/lgt/indice/NICOLASROMERO.web;jsessionid=A32AF14BAAF7BD41663AC7734D16ADA9?q=2019" TargetMode="External"/><Relationship Id="rId38" Type="http://schemas.openxmlformats.org/officeDocument/2006/relationships/image" Target="media/image25.png"/><Relationship Id="rId46" Type="http://schemas.openxmlformats.org/officeDocument/2006/relationships/hyperlink" Target="https://www.ipomex.org.mx/ipo3/lgt/indice/NICOLASROMERO/art_92_Lii_a/1.web" TargetMode="External"/><Relationship Id="rId59" Type="http://schemas.openxmlformats.org/officeDocument/2006/relationships/image" Target="media/image34.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www.ipomex.org.mx/ipo3/lgt/indice/NICOLASROMERO/art_94_ii_a2.web" TargetMode="External"/><Relationship Id="rId54" Type="http://schemas.openxmlformats.org/officeDocument/2006/relationships/image" Target="media/image30.png"/><Relationship Id="rId62" Type="http://schemas.openxmlformats.org/officeDocument/2006/relationships/hyperlink" Target="https://www.ipomex.org.mx/ipo3/lgt/indice/NICOLASROMERO/art_92_xii/1.web"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ipomex.org.mx/ipo3/lgt/indice/NICOLASROMERO/art_94_ii_a2.web" TargetMode="Externa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ww.ipomex.org.mx/recursos/ipo/files_ipo3/2019/42959/8/a3bd81d81c1de7d14b8127e499d71b6b.pdf" TargetMode="External"/><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www.ipomex.org.mx/ipo3/lgt/indice/NICOLASROMERO/art_94_ii_a2.web" TargetMode="External"/><Relationship Id="rId52" Type="http://schemas.openxmlformats.org/officeDocument/2006/relationships/hyperlink" Target="https://www.ipomex.org.mx/recursos/ipo/files_ipo3/2019/42987/4/a1a38aa324c7b8abc89a6a2e2213a3bb.pdf" TargetMode="External"/><Relationship Id="rId60" Type="http://schemas.openxmlformats.org/officeDocument/2006/relationships/hyperlink" Target="https://www.ipomex.org.mx/ipo3/lgt/indice/nicolasromero.web"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28.png"/><Relationship Id="rId55"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DB6DB-56A8-407E-B4BB-C96516E7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21517</Words>
  <Characters>118349</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diana jimenez</cp:lastModifiedBy>
  <cp:revision>2</cp:revision>
  <cp:lastPrinted>2019-05-16T23:53:00Z</cp:lastPrinted>
  <dcterms:created xsi:type="dcterms:W3CDTF">2020-04-09T04:34:00Z</dcterms:created>
  <dcterms:modified xsi:type="dcterms:W3CDTF">2020-04-09T04:34:00Z</dcterms:modified>
</cp:coreProperties>
</file>