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15" w:rsidRPr="009F71D8" w:rsidRDefault="00222D15" w:rsidP="009E71E2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0D1547">
        <w:rPr>
          <w:rFonts w:ascii="Palatino Linotype" w:hAnsi="Palatino Linotype" w:cs="Arial"/>
          <w:b/>
          <w:sz w:val="24"/>
          <w:szCs w:val="24"/>
        </w:rPr>
        <w:t xml:space="preserve">TRIGÉSIMA </w:t>
      </w:r>
      <w:r w:rsidR="008B1BFA">
        <w:rPr>
          <w:rFonts w:ascii="Palatino Linotype" w:hAnsi="Palatino Linotype" w:cs="Arial"/>
          <w:b/>
          <w:sz w:val="24"/>
          <w:szCs w:val="24"/>
        </w:rPr>
        <w:t xml:space="preserve">CUARTA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SESIÓN ORDINARIA DE </w:t>
      </w:r>
      <w:r w:rsidR="008B1BFA">
        <w:rPr>
          <w:rFonts w:ascii="Palatino Linotype" w:hAnsi="Palatino Linotype" w:cs="Arial"/>
          <w:b/>
          <w:sz w:val="24"/>
          <w:szCs w:val="24"/>
        </w:rPr>
        <w:t xml:space="preserve">DIECINUEVE </w:t>
      </w:r>
      <w:r>
        <w:rPr>
          <w:rFonts w:ascii="Palatino Linotype" w:hAnsi="Palatino Linotype" w:cs="Arial"/>
          <w:b/>
          <w:sz w:val="24"/>
          <w:szCs w:val="24"/>
        </w:rPr>
        <w:t xml:space="preserve">DE </w:t>
      </w:r>
      <w:r w:rsidR="000D1547">
        <w:rPr>
          <w:rFonts w:ascii="Palatino Linotype" w:hAnsi="Palatino Linotype" w:cs="Arial"/>
          <w:b/>
          <w:sz w:val="24"/>
          <w:szCs w:val="24"/>
        </w:rPr>
        <w:t xml:space="preserve">SEPTIEMBRE </w:t>
      </w:r>
      <w:r w:rsidRPr="009F71D8">
        <w:rPr>
          <w:rFonts w:ascii="Palatino Linotype" w:hAnsi="Palatino Linotype" w:cs="Arial"/>
          <w:b/>
          <w:sz w:val="24"/>
          <w:szCs w:val="24"/>
        </w:rPr>
        <w:t>DE DOS MIL DIECI</w:t>
      </w:r>
      <w:r w:rsidR="002D69D9">
        <w:rPr>
          <w:rFonts w:ascii="Palatino Linotype" w:hAnsi="Palatino Linotype" w:cs="Arial"/>
          <w:b/>
          <w:sz w:val="24"/>
          <w:szCs w:val="24"/>
        </w:rPr>
        <w:t>NUEVE</w:t>
      </w:r>
      <w:r w:rsidRPr="009F71D8">
        <w:rPr>
          <w:rFonts w:ascii="Palatino Linotype" w:hAnsi="Palatino Linotype" w:cs="Arial"/>
          <w:b/>
          <w:sz w:val="24"/>
          <w:szCs w:val="24"/>
        </w:rPr>
        <w:t>, EN L</w:t>
      </w:r>
      <w:r w:rsidR="008B1BFA">
        <w:rPr>
          <w:rFonts w:ascii="Palatino Linotype" w:hAnsi="Palatino Linotype" w:cs="Arial"/>
          <w:b/>
          <w:sz w:val="24"/>
          <w:szCs w:val="24"/>
        </w:rPr>
        <w:t>OS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RECURSO</w:t>
      </w:r>
      <w:r w:rsidR="008B1BFA">
        <w:rPr>
          <w:rFonts w:ascii="Palatino Linotype" w:hAnsi="Palatino Linotype" w:cs="Arial"/>
          <w:b/>
          <w:sz w:val="24"/>
          <w:szCs w:val="24"/>
        </w:rPr>
        <w:t>S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DE REVISIÓN </w:t>
      </w:r>
      <w:r w:rsidR="008B1BFA">
        <w:rPr>
          <w:rFonts w:ascii="Palatino Linotype" w:hAnsi="Palatino Linotype" w:cs="Arial"/>
          <w:b/>
          <w:bCs/>
          <w:sz w:val="24"/>
          <w:szCs w:val="24"/>
        </w:rPr>
        <w:t>0568</w:t>
      </w:r>
      <w:r w:rsidR="000D1547">
        <w:rPr>
          <w:rFonts w:ascii="Palatino Linotype" w:hAnsi="Palatino Linotype" w:cs="Arial"/>
          <w:b/>
          <w:bCs/>
          <w:sz w:val="24"/>
          <w:szCs w:val="24"/>
        </w:rPr>
        <w:t>4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 w:rsidR="002D69D9">
        <w:rPr>
          <w:rFonts w:ascii="Palatino Linotype" w:hAnsi="Palatino Linotype" w:cs="Arial"/>
          <w:b/>
          <w:bCs/>
          <w:sz w:val="24"/>
          <w:szCs w:val="24"/>
        </w:rPr>
        <w:t>9</w:t>
      </w:r>
      <w:r w:rsidR="008B1BFA">
        <w:rPr>
          <w:rFonts w:ascii="Palatino Linotype" w:hAnsi="Palatino Linotype" w:cs="Arial"/>
          <w:b/>
          <w:bCs/>
          <w:sz w:val="24"/>
          <w:szCs w:val="24"/>
        </w:rPr>
        <w:t xml:space="preserve"> Y 05685</w:t>
      </w:r>
      <w:r w:rsidR="008B1BFA"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 w:rsidR="008B1BFA">
        <w:rPr>
          <w:rFonts w:ascii="Palatino Linotype" w:hAnsi="Palatino Linotype" w:cs="Arial"/>
          <w:b/>
          <w:bCs/>
          <w:sz w:val="24"/>
          <w:szCs w:val="24"/>
        </w:rPr>
        <w:t>9 ACUMULADOS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222D15" w:rsidRPr="009F71D8" w:rsidRDefault="00222D15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>respec</w:t>
      </w:r>
      <w:r w:rsidR="008B1BFA">
        <w:rPr>
          <w:rFonts w:ascii="Palatino Linotype" w:hAnsi="Palatino Linotype" w:cs="Arial"/>
          <w:sz w:val="24"/>
          <w:szCs w:val="24"/>
        </w:rPr>
        <w:t xml:space="preserve">to de la resolución dictada en </w:t>
      </w:r>
      <w:r w:rsidRPr="009F71D8">
        <w:rPr>
          <w:rFonts w:ascii="Palatino Linotype" w:hAnsi="Palatino Linotype" w:cs="Arial"/>
          <w:sz w:val="24"/>
          <w:szCs w:val="24"/>
        </w:rPr>
        <w:t>l</w:t>
      </w:r>
      <w:r w:rsidR="008B1BFA">
        <w:rPr>
          <w:rFonts w:ascii="Palatino Linotype" w:hAnsi="Palatino Linotype" w:cs="Arial"/>
          <w:sz w:val="24"/>
          <w:szCs w:val="24"/>
        </w:rPr>
        <w:t xml:space="preserve">os recursos </w:t>
      </w:r>
      <w:r w:rsidRPr="009F71D8">
        <w:rPr>
          <w:rFonts w:ascii="Palatino Linotype" w:hAnsi="Palatino Linotype" w:cs="Arial"/>
          <w:sz w:val="24"/>
          <w:szCs w:val="24"/>
        </w:rPr>
        <w:t xml:space="preserve">de revisión </w:t>
      </w:r>
      <w:r w:rsidR="008B1BFA">
        <w:rPr>
          <w:rFonts w:ascii="Palatino Linotype" w:hAnsi="Palatino Linotype" w:cs="Arial"/>
          <w:b/>
          <w:bCs/>
          <w:sz w:val="24"/>
          <w:szCs w:val="24"/>
        </w:rPr>
        <w:t>05684</w:t>
      </w:r>
      <w:r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 w:rsidR="002D69D9">
        <w:rPr>
          <w:rFonts w:ascii="Palatino Linotype" w:hAnsi="Palatino Linotype" w:cs="Arial"/>
          <w:b/>
          <w:bCs/>
          <w:sz w:val="24"/>
          <w:szCs w:val="24"/>
        </w:rPr>
        <w:t>9</w:t>
      </w:r>
      <w:r w:rsidR="008B1BFA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="008B1BFA">
        <w:rPr>
          <w:rFonts w:ascii="Palatino Linotype" w:hAnsi="Palatino Linotype" w:cs="Arial"/>
          <w:bCs/>
          <w:sz w:val="24"/>
          <w:szCs w:val="24"/>
        </w:rPr>
        <w:t xml:space="preserve">y </w:t>
      </w:r>
      <w:r w:rsidR="008B1BFA">
        <w:rPr>
          <w:rFonts w:ascii="Palatino Linotype" w:hAnsi="Palatino Linotype" w:cs="Arial"/>
          <w:b/>
          <w:bCs/>
          <w:sz w:val="24"/>
          <w:szCs w:val="24"/>
        </w:rPr>
        <w:t xml:space="preserve">05685/INFOEM/IP/RR/2019 </w:t>
      </w:r>
      <w:r w:rsidR="008B1BFA">
        <w:rPr>
          <w:rFonts w:ascii="Palatino Linotype" w:hAnsi="Palatino Linotype" w:cs="Arial"/>
          <w:bCs/>
          <w:sz w:val="24"/>
          <w:szCs w:val="24"/>
        </w:rPr>
        <w:t>acumulados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an</w:t>
      </w:r>
      <w:r w:rsidR="002D69D9">
        <w:rPr>
          <w:rFonts w:ascii="Palatino Linotype" w:hAnsi="Palatino Linotype" w:cs="Arial"/>
          <w:sz w:val="24"/>
          <w:szCs w:val="24"/>
        </w:rPr>
        <w:t>te el proyecto presentado por el Comisionado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="002D69D9">
        <w:rPr>
          <w:rFonts w:ascii="Palatino Linotype" w:hAnsi="Palatino Linotype" w:cs="Arial"/>
          <w:b/>
          <w:sz w:val="24"/>
          <w:szCs w:val="24"/>
        </w:rPr>
        <w:t xml:space="preserve">JAVIER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MARTÍNEZ </w:t>
      </w:r>
      <w:r w:rsidR="002D69D9">
        <w:rPr>
          <w:rFonts w:ascii="Palatino Linotype" w:hAnsi="Palatino Linotype" w:cs="Arial"/>
          <w:b/>
          <w:sz w:val="24"/>
          <w:szCs w:val="24"/>
        </w:rPr>
        <w:t>CRUZ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222D15" w:rsidRPr="009F71D8" w:rsidRDefault="00222D15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el </w:t>
      </w:r>
      <w:r>
        <w:rPr>
          <w:rFonts w:ascii="Palatino Linotype" w:hAnsi="Palatino Linotype"/>
          <w:sz w:val="24"/>
          <w:szCs w:val="24"/>
        </w:rPr>
        <w:t xml:space="preserve">sentido de la resolución </w:t>
      </w:r>
      <w:r w:rsidRPr="009F71D8">
        <w:rPr>
          <w:rFonts w:ascii="Palatino Linotype" w:hAnsi="Palatino Linotype"/>
          <w:sz w:val="24"/>
          <w:szCs w:val="24"/>
        </w:rPr>
        <w:t>del rec</w:t>
      </w:r>
      <w:r w:rsidR="00642D83">
        <w:rPr>
          <w:rFonts w:ascii="Palatino Linotype" w:hAnsi="Palatino Linotype"/>
          <w:sz w:val="24"/>
          <w:szCs w:val="24"/>
        </w:rPr>
        <w:t>urso de revisión;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consideraciones de hecho y de derecho.</w:t>
      </w:r>
    </w:p>
    <w:p w:rsidR="00406129" w:rsidRDefault="00222D15" w:rsidP="009E71E2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>Al respecto, tal y como quedó debidamente asentado en la resoluc</w:t>
      </w:r>
      <w:r>
        <w:rPr>
          <w:rFonts w:ascii="Palatino Linotype" w:hAnsi="Palatino Linotype"/>
          <w:sz w:val="24"/>
          <w:szCs w:val="24"/>
        </w:rPr>
        <w:t>i</w:t>
      </w:r>
      <w:r w:rsidR="007400A4">
        <w:rPr>
          <w:rFonts w:ascii="Palatino Linotype" w:hAnsi="Palatino Linotype"/>
          <w:sz w:val="24"/>
          <w:szCs w:val="24"/>
        </w:rPr>
        <w:t>ón materia del presente voto, l</w:t>
      </w:r>
      <w:r w:rsidR="008B1BFA">
        <w:rPr>
          <w:rFonts w:ascii="Palatino Linotype" w:hAnsi="Palatino Linotype"/>
          <w:sz w:val="24"/>
          <w:szCs w:val="24"/>
        </w:rPr>
        <w:t>a</w:t>
      </w:r>
      <w:r w:rsidRPr="009F71D8">
        <w:rPr>
          <w:rFonts w:ascii="Palatino Linotype" w:hAnsi="Palatino Linotype"/>
          <w:sz w:val="24"/>
          <w:szCs w:val="24"/>
        </w:rPr>
        <w:t xml:space="preserve"> particular requirió de</w:t>
      </w:r>
      <w:r w:rsidR="008B1BFA">
        <w:rPr>
          <w:rFonts w:ascii="Palatino Linotype" w:hAnsi="Palatino Linotype"/>
          <w:sz w:val="24"/>
          <w:szCs w:val="24"/>
        </w:rPr>
        <w:t>l</w:t>
      </w:r>
      <w:r w:rsidR="000D1547">
        <w:rPr>
          <w:rFonts w:ascii="Palatino Linotype" w:hAnsi="Palatino Linotype"/>
          <w:sz w:val="24"/>
          <w:szCs w:val="24"/>
        </w:rPr>
        <w:t xml:space="preserve"> </w:t>
      </w:r>
      <w:r w:rsidR="008B1BFA">
        <w:rPr>
          <w:rFonts w:ascii="Palatino Linotype" w:hAnsi="Palatino Linotype"/>
          <w:b/>
          <w:sz w:val="24"/>
          <w:szCs w:val="24"/>
        </w:rPr>
        <w:t xml:space="preserve">Ayuntamiento de </w:t>
      </w:r>
      <w:proofErr w:type="spellStart"/>
      <w:r w:rsidR="008B1BFA">
        <w:rPr>
          <w:rFonts w:ascii="Palatino Linotype" w:hAnsi="Palatino Linotype"/>
          <w:b/>
          <w:sz w:val="24"/>
          <w:szCs w:val="24"/>
        </w:rPr>
        <w:t>Nextlalpan</w:t>
      </w:r>
      <w:proofErr w:type="spellEnd"/>
      <w:r w:rsidR="00D24722">
        <w:rPr>
          <w:rFonts w:ascii="Palatino Linotype" w:hAnsi="Palatino Linotype"/>
          <w:sz w:val="24"/>
          <w:szCs w:val="24"/>
        </w:rPr>
        <w:t xml:space="preserve">, en lo sucesivo </w:t>
      </w:r>
      <w:r w:rsidR="007400A4">
        <w:rPr>
          <w:rFonts w:ascii="Palatino Linotype" w:hAnsi="Palatino Linotype"/>
          <w:b/>
          <w:sz w:val="24"/>
          <w:szCs w:val="24"/>
        </w:rPr>
        <w:t>EL</w:t>
      </w:r>
      <w:r w:rsidR="007400A4" w:rsidRPr="007400A4">
        <w:rPr>
          <w:rFonts w:ascii="Palatino Linotype" w:hAnsi="Palatino Linotype"/>
          <w:sz w:val="24"/>
          <w:szCs w:val="24"/>
        </w:rPr>
        <w:t xml:space="preserve"> </w:t>
      </w:r>
      <w:r w:rsidRPr="009F71D8">
        <w:rPr>
          <w:rFonts w:ascii="Palatino Linotype" w:hAnsi="Palatino Linotype"/>
          <w:b/>
          <w:sz w:val="24"/>
          <w:szCs w:val="24"/>
        </w:rPr>
        <w:t>SUJETO OBLIGADO</w:t>
      </w:r>
      <w:r w:rsidRPr="00406129">
        <w:rPr>
          <w:rFonts w:ascii="Palatino Linotype" w:hAnsi="Palatino Linotype"/>
          <w:b/>
          <w:sz w:val="24"/>
          <w:szCs w:val="24"/>
        </w:rPr>
        <w:t>,</w:t>
      </w:r>
      <w:r w:rsidR="00406129">
        <w:rPr>
          <w:rFonts w:ascii="Palatino Linotype" w:hAnsi="Palatino Linotype"/>
          <w:sz w:val="24"/>
          <w:szCs w:val="24"/>
        </w:rPr>
        <w:t xml:space="preserve"> la siguiente información: 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lastRenderedPageBreak/>
        <w:t>Presupuesto asignado a las partidas presupuestales “Desarrollo social y humano”; “El papel fundamental de la mujer y la perspectiva de género”; “Integración de la mujer al desarrollo económico”; “Atención educativa a hijos de madres trabajadoras”; “Familia, población y participación de la mujer”; “Fomento a la cultura de equidad de género” y “Atención integral a la mujer”, que incluya monto aprobado y ejercido de los ejercicios fiscales 2013 y 2014.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Presupuesto asignado a las partidas presupuestales “El papel fundamental de la mujer y la perspectiva de género”; “Integración de la mujer al desarrollo económico”; “Capacitación de la Mujer para el Trabajo”; “Atención educativa a hijos de madres trabajadoras”; “Proyectos productivos para el desarrollo de la mujer”; “Participación social de la mujer;  “Fomento a la cultura de equidad de género”  y “Atención integral a la madre adolescente”, que incluya monto aprobado y ejercido de los ejercicios fiscales 2015, 2016, 2017, 2018 y 2019.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Proporcionar el Presupuesto de Egresos por Objeto del Gasto y Dependencia General (</w:t>
      </w:r>
      <w:proofErr w:type="spellStart"/>
      <w:r w:rsidRPr="00406129">
        <w:rPr>
          <w:rFonts w:ascii="Palatino Linotype" w:hAnsi="Palatino Linotype"/>
          <w:i/>
        </w:rPr>
        <w:t>PbRM</w:t>
      </w:r>
      <w:proofErr w:type="spellEnd"/>
      <w:r w:rsidRPr="00406129">
        <w:rPr>
          <w:rFonts w:ascii="Palatino Linotype" w:hAnsi="Palatino Linotype"/>
          <w:i/>
        </w:rPr>
        <w:t xml:space="preserve"> 04b), de los ejercicios fiscales 2013, 2014, 2015, 2016, 2017, 2018 y 2019.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Presupuesto de Egresos por clasificación programática correspondiente al Pilar 1 Gobierno Solidario, Programa El papel fundamental de la mujer y la perspectiva de género con clave 02060805, Subprograma 0206080501, Proyecto 020608050101, 020608050102, 020608050103, Subprograma 0206080502, Proyecto 020608050201, 020608050202, de los ejercicios fiscales 2013, 2014, 2015, 2016, 2017, 2018, 2019.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Presupuesto de Egresos por Objeto de Gasto de la dependencia Clave I01 Desarrollo Social y/o equivalente, y de la dependencia Clave 152 Atención a la Mujer y/o equivalente de los ejercicios fiscales 2013, 2014, 2015, 2016, 2017, 2018 y 2019;por capítulo, que incluya monto aprobado y ejercido.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El Presupuesto de Egresos por clasificador por objeto de gasto (desglosado solamente por capítulos generales 1000. 2000. 3000. 4000, 5000. 6000, 7000, 8000, 9000) de la Dependencia General I00 Desarrollo Social y la Dependencia Auxiliar 152 Atención a la Mujer, de los ejercicios fiscales 2013, 2014, 2015, 2016, 2017, 2018, 2019.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Presupuesto de Egresos Detallado a nivel de Dependencia General (</w:t>
      </w:r>
      <w:proofErr w:type="spellStart"/>
      <w:r w:rsidRPr="00406129">
        <w:rPr>
          <w:rFonts w:ascii="Palatino Linotype" w:hAnsi="Palatino Linotype"/>
          <w:i/>
        </w:rPr>
        <w:t>PbRM</w:t>
      </w:r>
      <w:proofErr w:type="spellEnd"/>
      <w:r w:rsidRPr="00406129">
        <w:rPr>
          <w:rFonts w:ascii="Palatino Linotype" w:hAnsi="Palatino Linotype"/>
          <w:i/>
        </w:rPr>
        <w:t xml:space="preserve"> 04a) de los ejercicios fiscales 2013, 2014, 2015, 2016, 2017, 2018 y 2019.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Carátulas de Presupuesto de Ingresos y Egresos (</w:t>
      </w:r>
      <w:proofErr w:type="spellStart"/>
      <w:r w:rsidRPr="00406129">
        <w:rPr>
          <w:rFonts w:ascii="Palatino Linotype" w:hAnsi="Palatino Linotype"/>
          <w:i/>
        </w:rPr>
        <w:t>PbRM</w:t>
      </w:r>
      <w:proofErr w:type="spellEnd"/>
      <w:r w:rsidRPr="00406129">
        <w:rPr>
          <w:rFonts w:ascii="Palatino Linotype" w:hAnsi="Palatino Linotype"/>
          <w:i/>
        </w:rPr>
        <w:t xml:space="preserve"> 03b y </w:t>
      </w:r>
      <w:proofErr w:type="spellStart"/>
      <w:r w:rsidRPr="00406129">
        <w:rPr>
          <w:rFonts w:ascii="Palatino Linotype" w:hAnsi="Palatino Linotype"/>
          <w:i/>
        </w:rPr>
        <w:t>PbRM</w:t>
      </w:r>
      <w:proofErr w:type="spellEnd"/>
      <w:r w:rsidRPr="00406129">
        <w:rPr>
          <w:rFonts w:ascii="Palatino Linotype" w:hAnsi="Palatino Linotype"/>
          <w:i/>
        </w:rPr>
        <w:t xml:space="preserve"> 04d) de los ejercicios fiscales 2013, 2014, 2015, 2016, 2017, 2018 y 2019.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 xml:space="preserve">Formatos del Programa Anual en específico los formatos PbRM-01a, PbRM-01b, PbRM-01c, PbRM-01d, PbRM-01e así como el PbRM-02a, de las dependencias </w:t>
      </w:r>
      <w:r w:rsidRPr="00406129">
        <w:rPr>
          <w:rFonts w:ascii="Palatino Linotype" w:hAnsi="Palatino Linotype"/>
          <w:i/>
        </w:rPr>
        <w:lastRenderedPageBreak/>
        <w:t>dependencia Clave I01 Desarrollo Social y/o equivalente; y de la dependencia auxiliar Clave 152 Atención a la Mujer y/o Equivalente de los ejercicios fiscales 2013, 2014, 2015, 2016, 2017, 2018 y 2019.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 xml:space="preserve">Formato de la Ficha Técnica de Diseño de Indicadores Estratégicos o de Gestión 2015, 2016, 2017, 2018 y 2019  de la dependencia Clave I01 Desarrollo Social y/o equivalente, y de la dependencia Clave 152 Atención a la Mujer y/o equivalente. 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La dependencia auxiliar con Clave 152 Atención a la Mujer y/o equivalente depende de alguna dirección de área o es una dirección de área.</w:t>
      </w:r>
    </w:p>
    <w:p w:rsidR="00406129" w:rsidRP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Denominación o nombre de la dependencia auxiliar con Clave 152 Atención a la Mujer y/o equivalente del municipio.</w:t>
      </w:r>
    </w:p>
    <w:p w:rsid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Se gestionó y aterrizó alguna otra fuente de financiamiento en materia de género o atención a la mujer de carácter estatal, federal o internacional</w:t>
      </w:r>
      <w:proofErr w:type="gramStart"/>
      <w:r w:rsidRPr="00406129">
        <w:rPr>
          <w:rFonts w:ascii="Palatino Linotype" w:hAnsi="Palatino Linotype"/>
          <w:i/>
        </w:rPr>
        <w:t>?</w:t>
      </w:r>
      <w:proofErr w:type="gramEnd"/>
      <w:r w:rsidRPr="00406129">
        <w:rPr>
          <w:rFonts w:ascii="Palatino Linotype" w:hAnsi="Palatino Linotype"/>
          <w:i/>
        </w:rPr>
        <w:t xml:space="preserve"> Si la respuesta es afirmativa </w:t>
      </w:r>
      <w:proofErr w:type="gramStart"/>
      <w:r w:rsidRPr="00406129">
        <w:rPr>
          <w:rFonts w:ascii="Palatino Linotype" w:hAnsi="Palatino Linotype"/>
          <w:i/>
        </w:rPr>
        <w:t>¿</w:t>
      </w:r>
      <w:proofErr w:type="gramEnd"/>
      <w:r w:rsidRPr="00406129">
        <w:rPr>
          <w:rFonts w:ascii="Palatino Linotype" w:hAnsi="Palatino Linotype"/>
          <w:i/>
        </w:rPr>
        <w:t xml:space="preserve">Cuál, ante que dependencia y con </w:t>
      </w:r>
      <w:proofErr w:type="spellStart"/>
      <w:r w:rsidRPr="00406129">
        <w:rPr>
          <w:rFonts w:ascii="Palatino Linotype" w:hAnsi="Palatino Linotype"/>
          <w:i/>
        </w:rPr>
        <w:t>que</w:t>
      </w:r>
      <w:proofErr w:type="spellEnd"/>
      <w:r w:rsidRPr="00406129">
        <w:rPr>
          <w:rFonts w:ascii="Palatino Linotype" w:hAnsi="Palatino Linotype"/>
          <w:i/>
        </w:rPr>
        <w:t xml:space="preserve"> monto.</w:t>
      </w:r>
    </w:p>
    <w:p w:rsidR="00406129" w:rsidRDefault="00406129" w:rsidP="0088785B">
      <w:pPr>
        <w:pStyle w:val="Prrafodelista"/>
        <w:numPr>
          <w:ilvl w:val="0"/>
          <w:numId w:val="9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406129">
        <w:rPr>
          <w:rFonts w:ascii="Palatino Linotype" w:hAnsi="Palatino Linotype"/>
          <w:i/>
        </w:rPr>
        <w:t>Recursos gestionados en materia de género o atención a la mujer en el municipio</w:t>
      </w:r>
      <w:r>
        <w:rPr>
          <w:rFonts w:ascii="Palatino Linotype" w:hAnsi="Palatino Linotype"/>
          <w:i/>
        </w:rPr>
        <w:t xml:space="preserve"> (</w:t>
      </w:r>
      <w:r w:rsidRPr="00406129">
        <w:rPr>
          <w:rFonts w:ascii="Palatino Linotype" w:hAnsi="Palatino Linotype"/>
          <w:i/>
        </w:rPr>
        <w:t>Recurso Gestionado</w:t>
      </w:r>
      <w:r>
        <w:rPr>
          <w:rFonts w:ascii="Palatino Linotype" w:hAnsi="Palatino Linotype"/>
          <w:i/>
        </w:rPr>
        <w:t xml:space="preserve">, </w:t>
      </w:r>
      <w:r w:rsidRPr="00406129">
        <w:rPr>
          <w:rFonts w:ascii="Palatino Linotype" w:hAnsi="Palatino Linotype"/>
          <w:i/>
        </w:rPr>
        <w:t>Nombre de la Instancia a la que se gestionó</w:t>
      </w:r>
      <w:r>
        <w:rPr>
          <w:rFonts w:ascii="Palatino Linotype" w:hAnsi="Palatino Linotype"/>
          <w:i/>
        </w:rPr>
        <w:t xml:space="preserve">, </w:t>
      </w:r>
      <w:r w:rsidRPr="00406129">
        <w:rPr>
          <w:rFonts w:ascii="Palatino Linotype" w:hAnsi="Palatino Linotype"/>
          <w:i/>
        </w:rPr>
        <w:t>Monto</w:t>
      </w:r>
      <w:r>
        <w:rPr>
          <w:rFonts w:ascii="Palatino Linotype" w:hAnsi="Palatino Linotype"/>
          <w:i/>
        </w:rPr>
        <w:t xml:space="preserve"> 2019, 2014, 2015, 2016, 2017, 2018 y 2019)</w:t>
      </w:r>
    </w:p>
    <w:p w:rsidR="00406129" w:rsidRDefault="00D24722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Ahora bien, de las constancias que obran dentro de</w:t>
      </w:r>
      <w:r w:rsidR="00406129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l</w:t>
      </w:r>
      <w:r w:rsidR="00406129">
        <w:rPr>
          <w:rFonts w:ascii="Palatino Linotype" w:hAnsi="Palatino Linotype" w:cs="Arial"/>
          <w:sz w:val="24"/>
          <w:szCs w:val="24"/>
        </w:rPr>
        <w:t>os</w:t>
      </w:r>
      <w:r>
        <w:rPr>
          <w:rFonts w:ascii="Palatino Linotype" w:hAnsi="Palatino Linotype" w:cs="Arial"/>
          <w:sz w:val="24"/>
          <w:szCs w:val="24"/>
        </w:rPr>
        <w:t xml:space="preserve"> expediente</w:t>
      </w:r>
      <w:r w:rsidR="00406129">
        <w:rPr>
          <w:rFonts w:ascii="Palatino Linotype" w:hAnsi="Palatino Linotype" w:cs="Arial"/>
          <w:sz w:val="24"/>
          <w:szCs w:val="24"/>
        </w:rPr>
        <w:t>s</w:t>
      </w:r>
      <w:r>
        <w:rPr>
          <w:rFonts w:ascii="Palatino Linotype" w:hAnsi="Palatino Linotype" w:cs="Arial"/>
          <w:sz w:val="24"/>
          <w:szCs w:val="24"/>
        </w:rPr>
        <w:t xml:space="preserve"> electrónico</w:t>
      </w:r>
      <w:r w:rsidR="00406129">
        <w:rPr>
          <w:rFonts w:ascii="Palatino Linotype" w:hAnsi="Palatino Linotype" w:cs="Arial"/>
          <w:sz w:val="24"/>
          <w:szCs w:val="24"/>
        </w:rPr>
        <w:t>s</w:t>
      </w:r>
      <w:r>
        <w:rPr>
          <w:rFonts w:ascii="Palatino Linotype" w:hAnsi="Palatino Linotype" w:cs="Arial"/>
          <w:sz w:val="24"/>
          <w:szCs w:val="24"/>
        </w:rPr>
        <w:t xml:space="preserve"> del Sistema de Acceso a la Información Mexiquense, en lo subsecuente el </w:t>
      </w:r>
      <w:r>
        <w:rPr>
          <w:rFonts w:ascii="Palatino Linotype" w:hAnsi="Palatino Linotype" w:cs="Arial"/>
          <w:b/>
          <w:sz w:val="24"/>
          <w:szCs w:val="24"/>
        </w:rPr>
        <w:t xml:space="preserve">SAIMEX, </w:t>
      </w:r>
      <w:r>
        <w:rPr>
          <w:rFonts w:ascii="Palatino Linotype" w:hAnsi="Palatino Linotype" w:cs="Arial"/>
          <w:sz w:val="24"/>
          <w:szCs w:val="24"/>
        </w:rPr>
        <w:t xml:space="preserve">se advierte que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en </w:t>
      </w:r>
      <w:r w:rsidR="00406129">
        <w:rPr>
          <w:rFonts w:ascii="Palatino Linotype" w:hAnsi="Palatino Linotype" w:cs="Arial"/>
          <w:sz w:val="24"/>
          <w:szCs w:val="24"/>
        </w:rPr>
        <w:t>sus respuesta</w:t>
      </w:r>
      <w:r w:rsidR="00C55DFC">
        <w:rPr>
          <w:rFonts w:ascii="Palatino Linotype" w:hAnsi="Palatino Linotype" w:cs="Arial"/>
          <w:sz w:val="24"/>
          <w:szCs w:val="24"/>
        </w:rPr>
        <w:t>s</w:t>
      </w:r>
      <w:r w:rsidR="00406129">
        <w:rPr>
          <w:rFonts w:ascii="Palatino Linotype" w:hAnsi="Palatino Linotype" w:cs="Arial"/>
          <w:sz w:val="24"/>
          <w:szCs w:val="24"/>
        </w:rPr>
        <w:t xml:space="preserve"> refirió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 </w:t>
      </w:r>
      <w:r w:rsidR="00406129" w:rsidRPr="00406129">
        <w:rPr>
          <w:rFonts w:ascii="Palatino Linotype" w:hAnsi="Palatino Linotype" w:cs="Arial"/>
          <w:sz w:val="24"/>
          <w:szCs w:val="24"/>
        </w:rPr>
        <w:t>que la información concerniente al presupuesto de egresos municipal, se encuentra disponible</w:t>
      </w:r>
      <w:r w:rsidR="00406129">
        <w:rPr>
          <w:rFonts w:ascii="Palatino Linotype" w:hAnsi="Palatino Linotype" w:cs="Arial"/>
          <w:sz w:val="24"/>
          <w:szCs w:val="24"/>
        </w:rPr>
        <w:t xml:space="preserve"> en las siguientes ligas electrónicas: </w:t>
      </w:r>
    </w:p>
    <w:p w:rsidR="00406129" w:rsidRDefault="00406129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CB0ED9">
        <w:rPr>
          <w:rFonts w:ascii="Palatino Linotype" w:hAnsi="Palatino Linotype"/>
          <w:noProof/>
          <w:color w:val="000000"/>
          <w:lang w:eastAsia="es-MX"/>
        </w:rPr>
        <w:drawing>
          <wp:inline distT="0" distB="0" distL="0" distR="0" wp14:anchorId="35BE5065" wp14:editId="611EF1EE">
            <wp:extent cx="5612130" cy="18351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129" w:rsidRPr="00C55DFC" w:rsidRDefault="00C55DFC" w:rsidP="00406129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Palatino Linotype" w:hAnsi="Palatino Linotype"/>
          <w:color w:val="000000"/>
          <w:sz w:val="24"/>
        </w:rPr>
      </w:pPr>
      <w:r w:rsidRPr="00C55DFC">
        <w:rPr>
          <w:rFonts w:ascii="Palatino Linotype" w:hAnsi="Palatino Linotype"/>
          <w:color w:val="000000"/>
          <w:sz w:val="24"/>
        </w:rPr>
        <w:lastRenderedPageBreak/>
        <w:t>Además</w:t>
      </w:r>
      <w:r w:rsidR="00406129" w:rsidRPr="00C55DFC">
        <w:rPr>
          <w:rFonts w:ascii="Palatino Linotype" w:hAnsi="Palatino Linotype"/>
          <w:color w:val="000000"/>
          <w:sz w:val="24"/>
        </w:rPr>
        <w:t xml:space="preserve"> señaló que respecto a la solicitud </w:t>
      </w:r>
      <w:r w:rsidR="00406129" w:rsidRPr="00C55DFC">
        <w:rPr>
          <w:rFonts w:ascii="Palatino Linotype" w:eastAsiaTheme="minorEastAsia" w:hAnsi="Palatino Linotype" w:cs="Arial"/>
          <w:b/>
          <w:sz w:val="24"/>
        </w:rPr>
        <w:t xml:space="preserve">00025/NEXTLAL/IP/2019, </w:t>
      </w:r>
      <w:r w:rsidR="00406129" w:rsidRPr="00C55DFC">
        <w:rPr>
          <w:rFonts w:ascii="Palatino Linotype" w:hAnsi="Palatino Linotype"/>
          <w:sz w:val="24"/>
        </w:rPr>
        <w:t>el llenado de las tablas y actividades anexas, implica</w:t>
      </w:r>
      <w:r>
        <w:rPr>
          <w:rFonts w:ascii="Palatino Linotype" w:hAnsi="Palatino Linotype"/>
          <w:sz w:val="24"/>
        </w:rPr>
        <w:t>ba</w:t>
      </w:r>
      <w:r w:rsidR="00406129" w:rsidRPr="00C55DFC">
        <w:rPr>
          <w:rFonts w:ascii="Palatino Linotype" w:hAnsi="Palatino Linotype"/>
          <w:sz w:val="24"/>
        </w:rPr>
        <w:t xml:space="preserve"> un análisis, estudio y procesamiento de datos </w:t>
      </w:r>
      <w:r w:rsidR="00406129" w:rsidRPr="00C55DFC">
        <w:rPr>
          <w:rFonts w:ascii="Palatino Linotype" w:hAnsi="Palatino Linotype"/>
          <w:color w:val="000000"/>
          <w:sz w:val="24"/>
        </w:rPr>
        <w:t xml:space="preserve">y documentos que obran en dicha área y en otras unidades administrativas, por lo que puso a disposición vía consulta directa las información en términos del artículo 158 de la Ley de Transparencia y Acceso a la Información del Estado de México y Municipios, </w:t>
      </w:r>
      <w:r>
        <w:rPr>
          <w:rFonts w:ascii="Palatino Linotype" w:hAnsi="Palatino Linotype"/>
          <w:color w:val="000000"/>
          <w:sz w:val="24"/>
        </w:rPr>
        <w:t>proporcionando el domicilio y el horario de sus oficinas.</w:t>
      </w:r>
    </w:p>
    <w:p w:rsidR="000D1547" w:rsidRDefault="00D24722" w:rsidP="009E71E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En ese tenor, </w:t>
      </w:r>
      <w:r w:rsidRPr="00D316E0">
        <w:rPr>
          <w:rFonts w:ascii="Palatino Linotype" w:hAnsi="Palatino Linotype" w:cs="Arial"/>
          <w:b/>
          <w:sz w:val="24"/>
          <w:szCs w:val="24"/>
        </w:rPr>
        <w:t>EL RECURRENTE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0D1547">
        <w:rPr>
          <w:rFonts w:ascii="Palatino Linotype" w:hAnsi="Palatino Linotype" w:cs="Arial"/>
          <w:sz w:val="24"/>
          <w:szCs w:val="24"/>
        </w:rPr>
        <w:t>i</w:t>
      </w:r>
      <w:r w:rsidR="000D1547" w:rsidRPr="000D1547">
        <w:rPr>
          <w:rFonts w:ascii="Palatino Linotype" w:hAnsi="Palatino Linotype" w:cs="Arial"/>
          <w:sz w:val="24"/>
          <w:szCs w:val="24"/>
        </w:rPr>
        <w:t>nconforme con la</w:t>
      </w:r>
      <w:r w:rsidR="007C1D83">
        <w:rPr>
          <w:rFonts w:ascii="Palatino Linotype" w:hAnsi="Palatino Linotype" w:cs="Arial"/>
          <w:sz w:val="24"/>
          <w:szCs w:val="24"/>
        </w:rPr>
        <w:t>s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 respuesta</w:t>
      </w:r>
      <w:r w:rsidR="007C1D83">
        <w:rPr>
          <w:rFonts w:ascii="Palatino Linotype" w:hAnsi="Palatino Linotype" w:cs="Arial"/>
          <w:sz w:val="24"/>
          <w:szCs w:val="24"/>
        </w:rPr>
        <w:t>s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 del </w:t>
      </w:r>
      <w:r w:rsidR="000D1547" w:rsidRPr="000D1547">
        <w:rPr>
          <w:rFonts w:ascii="Palatino Linotype" w:hAnsi="Palatino Linotype" w:cs="Arial"/>
          <w:b/>
          <w:sz w:val="24"/>
          <w:szCs w:val="24"/>
        </w:rPr>
        <w:t>SUJETO OBLIGADO</w:t>
      </w:r>
      <w:r w:rsidR="007C1D83">
        <w:rPr>
          <w:rFonts w:ascii="Palatino Linotype" w:hAnsi="Palatino Linotype" w:cs="Arial"/>
          <w:sz w:val="24"/>
          <w:szCs w:val="24"/>
        </w:rPr>
        <w:t xml:space="preserve">, interpuso </w:t>
      </w:r>
      <w:r w:rsidR="000D1547" w:rsidRPr="000D1547">
        <w:rPr>
          <w:rFonts w:ascii="Palatino Linotype" w:hAnsi="Palatino Linotype" w:cs="Arial"/>
          <w:sz w:val="24"/>
          <w:szCs w:val="24"/>
        </w:rPr>
        <w:t>l</w:t>
      </w:r>
      <w:r w:rsidR="007C1D83">
        <w:rPr>
          <w:rFonts w:ascii="Palatino Linotype" w:hAnsi="Palatino Linotype" w:cs="Arial"/>
          <w:sz w:val="24"/>
          <w:szCs w:val="24"/>
        </w:rPr>
        <w:t>os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 presente</w:t>
      </w:r>
      <w:r w:rsidR="007C1D83">
        <w:rPr>
          <w:rFonts w:ascii="Palatino Linotype" w:hAnsi="Palatino Linotype" w:cs="Arial"/>
          <w:sz w:val="24"/>
          <w:szCs w:val="24"/>
        </w:rPr>
        <w:t>s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 recurso</w:t>
      </w:r>
      <w:r w:rsidR="007C1D83">
        <w:rPr>
          <w:rFonts w:ascii="Palatino Linotype" w:hAnsi="Palatino Linotype" w:cs="Arial"/>
          <w:sz w:val="24"/>
          <w:szCs w:val="24"/>
        </w:rPr>
        <w:t>s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 de revisión argumentando </w:t>
      </w:r>
      <w:r w:rsidR="00C55DFC">
        <w:rPr>
          <w:rFonts w:ascii="Palatino Linotype" w:hAnsi="Palatino Linotype" w:cs="Arial"/>
          <w:sz w:val="24"/>
          <w:szCs w:val="24"/>
        </w:rPr>
        <w:t xml:space="preserve">que </w:t>
      </w:r>
      <w:r w:rsidR="000D1547" w:rsidRPr="000D1547">
        <w:rPr>
          <w:rFonts w:ascii="Palatino Linotype" w:hAnsi="Palatino Linotype" w:cs="Arial"/>
          <w:sz w:val="24"/>
          <w:szCs w:val="24"/>
        </w:rPr>
        <w:t xml:space="preserve">la </w:t>
      </w:r>
      <w:r w:rsidR="007C1D83">
        <w:rPr>
          <w:rFonts w:ascii="Palatino Linotype" w:hAnsi="Palatino Linotype" w:cs="Arial"/>
          <w:sz w:val="24"/>
          <w:szCs w:val="24"/>
        </w:rPr>
        <w:t>información se encontraba incompleta</w:t>
      </w:r>
      <w:r w:rsidR="000D1547">
        <w:rPr>
          <w:rFonts w:ascii="Palatino Linotype" w:hAnsi="Palatino Linotype" w:cs="Arial"/>
          <w:sz w:val="24"/>
          <w:szCs w:val="24"/>
        </w:rPr>
        <w:t xml:space="preserve">. </w:t>
      </w:r>
    </w:p>
    <w:p w:rsidR="007B3F24" w:rsidRDefault="007C1D83" w:rsidP="007B3F2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7C1D83">
        <w:rPr>
          <w:rFonts w:ascii="Palatino Linotype" w:hAnsi="Palatino Linotype" w:cs="Arial"/>
          <w:sz w:val="24"/>
          <w:szCs w:val="24"/>
        </w:rPr>
        <w:t xml:space="preserve">Bajo ese contexto, la Ponencia </w:t>
      </w:r>
      <w:proofErr w:type="spellStart"/>
      <w:r w:rsidRPr="007C1D83">
        <w:rPr>
          <w:rFonts w:ascii="Palatino Linotype" w:hAnsi="Palatino Linotype" w:cs="Arial"/>
          <w:sz w:val="24"/>
          <w:szCs w:val="24"/>
        </w:rPr>
        <w:t>Resolutora</w:t>
      </w:r>
      <w:proofErr w:type="spellEnd"/>
      <w:r w:rsidRPr="007C1D83">
        <w:rPr>
          <w:rFonts w:ascii="Palatino Linotype" w:hAnsi="Palatino Linotype" w:cs="Arial"/>
          <w:sz w:val="24"/>
          <w:szCs w:val="24"/>
        </w:rPr>
        <w:t xml:space="preserve"> determinó </w:t>
      </w:r>
      <w:r w:rsidRPr="007C1D83">
        <w:rPr>
          <w:rFonts w:ascii="Palatino Linotype" w:hAnsi="Palatino Linotype" w:cs="Arial"/>
          <w:b/>
          <w:sz w:val="24"/>
          <w:szCs w:val="24"/>
        </w:rPr>
        <w:t>MODIFICAR</w:t>
      </w:r>
      <w:r w:rsidRPr="007C1D83">
        <w:rPr>
          <w:rFonts w:ascii="Palatino Linotype" w:hAnsi="Palatino Linotype" w:cs="Arial"/>
          <w:sz w:val="24"/>
          <w:szCs w:val="24"/>
        </w:rPr>
        <w:t xml:space="preserve"> la</w:t>
      </w:r>
      <w:r>
        <w:rPr>
          <w:rFonts w:ascii="Palatino Linotype" w:hAnsi="Palatino Linotype" w:cs="Arial"/>
          <w:sz w:val="24"/>
          <w:szCs w:val="24"/>
        </w:rPr>
        <w:t>s</w:t>
      </w:r>
      <w:r w:rsidRPr="007C1D83">
        <w:rPr>
          <w:rFonts w:ascii="Palatino Linotype" w:hAnsi="Palatino Linotype" w:cs="Arial"/>
          <w:sz w:val="24"/>
          <w:szCs w:val="24"/>
        </w:rPr>
        <w:t xml:space="preserve"> respuesta</w:t>
      </w:r>
      <w:r>
        <w:rPr>
          <w:rFonts w:ascii="Palatino Linotype" w:hAnsi="Palatino Linotype" w:cs="Arial"/>
          <w:sz w:val="24"/>
          <w:szCs w:val="24"/>
        </w:rPr>
        <w:t>s</w:t>
      </w:r>
      <w:r w:rsidRPr="007C1D83">
        <w:rPr>
          <w:rFonts w:ascii="Palatino Linotype" w:hAnsi="Palatino Linotype" w:cs="Arial"/>
          <w:sz w:val="24"/>
          <w:szCs w:val="24"/>
        </w:rPr>
        <w:t xml:space="preserve"> del </w:t>
      </w:r>
      <w:r w:rsidRPr="007C1D83">
        <w:rPr>
          <w:rFonts w:ascii="Palatino Linotype" w:hAnsi="Palatino Linotype" w:cs="Arial"/>
          <w:b/>
          <w:sz w:val="24"/>
          <w:szCs w:val="24"/>
        </w:rPr>
        <w:t>SUJETO OBLIGADO</w:t>
      </w:r>
      <w:r w:rsidRPr="007C1D83">
        <w:rPr>
          <w:rFonts w:ascii="Palatino Linotype" w:hAnsi="Palatino Linotype" w:cs="Arial"/>
          <w:sz w:val="24"/>
          <w:szCs w:val="24"/>
        </w:rPr>
        <w:t xml:space="preserve">, a efecto de ordenar la entrega </w:t>
      </w:r>
      <w:r w:rsidR="007B3F24">
        <w:rPr>
          <w:rFonts w:ascii="Palatino Linotype" w:hAnsi="Palatino Linotype" w:cs="Arial"/>
          <w:sz w:val="24"/>
          <w:szCs w:val="24"/>
        </w:rPr>
        <w:t xml:space="preserve">vía </w:t>
      </w:r>
      <w:r w:rsidR="007B3F24" w:rsidRPr="007746BF">
        <w:rPr>
          <w:rFonts w:ascii="Palatino Linotype" w:hAnsi="Palatino Linotype" w:cs="Arial"/>
          <w:b/>
          <w:sz w:val="24"/>
          <w:szCs w:val="24"/>
        </w:rPr>
        <w:t>SAIMEX</w:t>
      </w:r>
      <w:r w:rsidR="007B3F24">
        <w:rPr>
          <w:rFonts w:ascii="Palatino Linotype" w:hAnsi="Palatino Linotype" w:cs="Arial"/>
          <w:sz w:val="24"/>
          <w:szCs w:val="24"/>
        </w:rPr>
        <w:t xml:space="preserve">, </w:t>
      </w:r>
      <w:r>
        <w:rPr>
          <w:rFonts w:ascii="Palatino Linotype" w:hAnsi="Palatino Linotype" w:cs="Arial"/>
          <w:sz w:val="24"/>
          <w:szCs w:val="24"/>
        </w:rPr>
        <w:t xml:space="preserve">previa búsqueda exhaustiva y razonable, al mayor grado de desagregación posible, </w:t>
      </w:r>
      <w:r w:rsidR="00003474">
        <w:rPr>
          <w:rFonts w:ascii="Palatino Linotype" w:hAnsi="Palatino Linotype" w:cs="Arial"/>
          <w:sz w:val="24"/>
          <w:szCs w:val="24"/>
        </w:rPr>
        <w:t>de</w:t>
      </w:r>
      <w:r w:rsidR="007B3F24">
        <w:rPr>
          <w:rFonts w:ascii="Palatino Linotype" w:hAnsi="Palatino Linotype" w:cs="Arial"/>
          <w:sz w:val="24"/>
          <w:szCs w:val="24"/>
        </w:rPr>
        <w:t xml:space="preserve"> lo siguiente: </w:t>
      </w:r>
    </w:p>
    <w:p w:rsidR="007C1D83" w:rsidRPr="00C55DFC" w:rsidRDefault="007C1D83" w:rsidP="00C55DF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902" w:firstLine="0"/>
        <w:contextualSpacing w:val="0"/>
        <w:jc w:val="both"/>
        <w:rPr>
          <w:i/>
        </w:rPr>
      </w:pPr>
      <w:r w:rsidRPr="00C55DFC">
        <w:rPr>
          <w:rFonts w:ascii="Palatino Linotype" w:hAnsi="Palatino Linotype"/>
          <w:i/>
        </w:rPr>
        <w:t>Presupuesto de Egresos por Objeto del Gasto y Dependencia General (</w:t>
      </w:r>
      <w:proofErr w:type="spellStart"/>
      <w:r w:rsidRPr="00C55DFC">
        <w:rPr>
          <w:rFonts w:ascii="Palatino Linotype" w:hAnsi="Palatino Linotype"/>
          <w:i/>
        </w:rPr>
        <w:t>PbRM</w:t>
      </w:r>
      <w:proofErr w:type="spellEnd"/>
      <w:r w:rsidRPr="00C55DFC">
        <w:rPr>
          <w:rFonts w:ascii="Palatino Linotype" w:hAnsi="Palatino Linotype"/>
          <w:i/>
        </w:rPr>
        <w:t xml:space="preserve"> 04b) y Presupuesto de Egresos Detallado a nivel de Dependencia General (</w:t>
      </w:r>
      <w:proofErr w:type="spellStart"/>
      <w:r w:rsidRPr="00C55DFC">
        <w:rPr>
          <w:rFonts w:ascii="Palatino Linotype" w:hAnsi="Palatino Linotype"/>
          <w:i/>
        </w:rPr>
        <w:t>PbRM</w:t>
      </w:r>
      <w:proofErr w:type="spellEnd"/>
      <w:r w:rsidRPr="00C55DFC">
        <w:rPr>
          <w:rFonts w:ascii="Palatino Linotype" w:hAnsi="Palatino Linotype"/>
          <w:i/>
        </w:rPr>
        <w:t xml:space="preserve"> 04a), en los que se incluya de la dependencia Clave I01 Desarrollo Social y/o equivalente, así como de la dependencia Clave 152 Atención a la Mujer y/o equivalente de los ejercicios fiscales 2013, 2014, 2015, 2016, 2017, 2018 y 2019. </w:t>
      </w:r>
    </w:p>
    <w:p w:rsidR="007C1D83" w:rsidRPr="00C55DFC" w:rsidRDefault="007C1D83" w:rsidP="00C55DFC">
      <w:pPr>
        <w:pStyle w:val="Prrafodelista"/>
        <w:autoSpaceDE w:val="0"/>
        <w:autoSpaceDN w:val="0"/>
        <w:adjustRightInd w:val="0"/>
        <w:spacing w:after="0" w:line="240" w:lineRule="auto"/>
        <w:ind w:left="851" w:right="902"/>
        <w:contextualSpacing w:val="0"/>
        <w:jc w:val="both"/>
        <w:rPr>
          <w:i/>
        </w:rPr>
      </w:pPr>
    </w:p>
    <w:p w:rsidR="007C1D83" w:rsidRPr="00C55DFC" w:rsidRDefault="007C1D83" w:rsidP="00C55DF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C55DFC">
        <w:rPr>
          <w:rFonts w:ascii="Palatino Linotype" w:hAnsi="Palatino Linotype"/>
          <w:i/>
        </w:rPr>
        <w:t>Presupuesto de Egresos por clasificación programática correspondiente al Pilar 1 Gobierno Solidario, Programa El papel fundamental de la mujer y la perspectiva de género con clave 02060805, Subprograma 0206080501, Proyecto 020608050101, 020608050102, 020608050103, Subprograma 0206080502, Proyecto 020608050201, 020608050202, de los ejercicios fiscales 2013, 2014, 2015, 2016, 2017, 2018, 2019.</w:t>
      </w:r>
    </w:p>
    <w:p w:rsidR="007C1D83" w:rsidRPr="00C55DFC" w:rsidRDefault="007C1D83" w:rsidP="00C55DFC">
      <w:pPr>
        <w:pStyle w:val="Prrafodelista"/>
        <w:spacing w:after="0" w:line="240" w:lineRule="auto"/>
        <w:rPr>
          <w:rFonts w:ascii="Palatino Linotype" w:hAnsi="Palatino Linotype"/>
          <w:i/>
        </w:rPr>
      </w:pPr>
    </w:p>
    <w:p w:rsidR="007C1D83" w:rsidRPr="00C55DFC" w:rsidRDefault="007C1D83" w:rsidP="00C55DFC">
      <w:pPr>
        <w:pStyle w:val="Prrafodelista"/>
        <w:numPr>
          <w:ilvl w:val="0"/>
          <w:numId w:val="10"/>
        </w:numPr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C55DFC">
        <w:rPr>
          <w:rFonts w:ascii="Palatino Linotype" w:hAnsi="Palatino Linotype"/>
          <w:i/>
        </w:rPr>
        <w:lastRenderedPageBreak/>
        <w:t>Carátulas de Presupuesto de Ingresos y Egresos (</w:t>
      </w:r>
      <w:proofErr w:type="spellStart"/>
      <w:r w:rsidRPr="00C55DFC">
        <w:rPr>
          <w:rFonts w:ascii="Palatino Linotype" w:hAnsi="Palatino Linotype"/>
          <w:i/>
        </w:rPr>
        <w:t>PbRM</w:t>
      </w:r>
      <w:proofErr w:type="spellEnd"/>
      <w:r w:rsidRPr="00C55DFC">
        <w:rPr>
          <w:rFonts w:ascii="Palatino Linotype" w:hAnsi="Palatino Linotype"/>
          <w:i/>
        </w:rPr>
        <w:t xml:space="preserve"> 03b y </w:t>
      </w:r>
      <w:proofErr w:type="spellStart"/>
      <w:r w:rsidRPr="00C55DFC">
        <w:rPr>
          <w:rFonts w:ascii="Palatino Linotype" w:hAnsi="Palatino Linotype"/>
          <w:i/>
        </w:rPr>
        <w:t>PbRM</w:t>
      </w:r>
      <w:proofErr w:type="spellEnd"/>
      <w:r w:rsidRPr="00C55DFC">
        <w:rPr>
          <w:rFonts w:ascii="Palatino Linotype" w:hAnsi="Palatino Linotype"/>
          <w:i/>
        </w:rPr>
        <w:t xml:space="preserve"> 04d) de los ejercicios fiscales 2013, 2014, 2015, 2016, 2017, 2018 y 2019.</w:t>
      </w:r>
    </w:p>
    <w:p w:rsidR="007C1D83" w:rsidRPr="00C55DFC" w:rsidRDefault="007C1D83" w:rsidP="00C55DFC">
      <w:pPr>
        <w:spacing w:after="0" w:line="240" w:lineRule="auto"/>
        <w:ind w:right="902"/>
        <w:jc w:val="both"/>
        <w:rPr>
          <w:rFonts w:ascii="Palatino Linotype" w:hAnsi="Palatino Linotype"/>
          <w:i/>
        </w:rPr>
      </w:pPr>
    </w:p>
    <w:p w:rsidR="007C1D83" w:rsidRPr="00C55DFC" w:rsidRDefault="007C1D83" w:rsidP="00C55DFC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/>
          <w:i/>
        </w:rPr>
      </w:pPr>
      <w:r w:rsidRPr="00C55DFC">
        <w:rPr>
          <w:rFonts w:ascii="Palatino Linotype" w:hAnsi="Palatino Linotype"/>
          <w:i/>
        </w:rPr>
        <w:t>Formatos del Programa Anual, en específico los formatos PbRM-01a, PbRM-01b, PbRM-01c, PbRM-01d denominado “Ficha Técnica de Diseño de Indicadores Estratégicos o de Gestión”, PbRM-01e así como el PbRM-02a, de las dependencias dependencia Clave I01 Desarrollo Social y/o equivalente; y de la dependencia auxiliar Clave 152 Atención a la Mujer y/o Equivalente, de los ejercicios fiscales 2013, 2014, 2015, 2016, 2017, 2018 y 2019.</w:t>
      </w:r>
    </w:p>
    <w:p w:rsidR="007C1D83" w:rsidRPr="00C55DFC" w:rsidRDefault="007C1D83" w:rsidP="00C55DFC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 w:cs="Arial"/>
          <w:i/>
          <w:lang w:eastAsia="es-MX"/>
        </w:rPr>
      </w:pPr>
      <w:r w:rsidRPr="00C55DFC">
        <w:rPr>
          <w:rFonts w:ascii="Palatino Linotype" w:hAnsi="Palatino Linotype" w:cs="Arial"/>
          <w:i/>
          <w:lang w:eastAsia="es-MX"/>
        </w:rPr>
        <w:t xml:space="preserve">Soporte documental en el que conste, la Dirección o Área de la que depende la Unidad Administrativa </w:t>
      </w:r>
      <w:r w:rsidRPr="00C55DFC">
        <w:rPr>
          <w:rFonts w:ascii="Palatino Linotype" w:hAnsi="Palatino Linotype"/>
          <w:i/>
        </w:rPr>
        <w:t>Clave 152, Atención a la Mujer o equivalente.</w:t>
      </w:r>
    </w:p>
    <w:p w:rsidR="007C1D83" w:rsidRPr="00C55DFC" w:rsidRDefault="007C1D83" w:rsidP="00C55DFC">
      <w:pPr>
        <w:pStyle w:val="Prrafodelista"/>
        <w:tabs>
          <w:tab w:val="left" w:pos="1418"/>
        </w:tabs>
        <w:spacing w:after="0" w:line="240" w:lineRule="auto"/>
        <w:ind w:left="851" w:right="902"/>
        <w:contextualSpacing w:val="0"/>
        <w:jc w:val="both"/>
        <w:rPr>
          <w:rFonts w:ascii="Palatino Linotype" w:hAnsi="Palatino Linotype" w:cs="Arial"/>
          <w:i/>
          <w:lang w:eastAsia="es-MX"/>
        </w:rPr>
      </w:pPr>
    </w:p>
    <w:p w:rsidR="007C1D83" w:rsidRPr="00C55DFC" w:rsidRDefault="007C1D83" w:rsidP="00C55DFC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left="851" w:right="902" w:firstLine="0"/>
        <w:contextualSpacing w:val="0"/>
        <w:jc w:val="both"/>
        <w:rPr>
          <w:rFonts w:ascii="Palatino Linotype" w:hAnsi="Palatino Linotype" w:cs="Arial"/>
          <w:i/>
          <w:lang w:eastAsia="es-MX"/>
        </w:rPr>
      </w:pPr>
      <w:r w:rsidRPr="00C55DFC">
        <w:rPr>
          <w:rFonts w:ascii="Palatino Linotype" w:hAnsi="Palatino Linotype" w:cs="Arial"/>
          <w:i/>
          <w:lang w:eastAsia="es-MX"/>
        </w:rPr>
        <w:t>Documento o documentos de los que se advierta, el monto y dependencia Federal o Estatal, que entregó recursos públicos al Municipio, para Atención a la Mujer, en los ejercicios fiscales 2013, 2014, 2015, 2016, 2017, 2018 y 2019.</w:t>
      </w:r>
    </w:p>
    <w:p w:rsidR="007C1D83" w:rsidRPr="00C55DFC" w:rsidRDefault="007C1D83" w:rsidP="00C55DFC">
      <w:pPr>
        <w:tabs>
          <w:tab w:val="left" w:pos="8080"/>
        </w:tabs>
        <w:spacing w:after="0" w:line="240" w:lineRule="auto"/>
        <w:ind w:left="851" w:right="902"/>
        <w:jc w:val="both"/>
        <w:rPr>
          <w:rFonts w:ascii="Palatino Linotype" w:hAnsi="Palatino Linotype" w:cs="Arial"/>
          <w:i/>
          <w:color w:val="C00000"/>
          <w:lang w:eastAsia="es-MX"/>
        </w:rPr>
      </w:pPr>
    </w:p>
    <w:p w:rsidR="00003474" w:rsidRDefault="007C1D83" w:rsidP="00C55DFC">
      <w:pPr>
        <w:spacing w:after="0" w:line="240" w:lineRule="auto"/>
        <w:ind w:left="851" w:right="902"/>
        <w:jc w:val="both"/>
        <w:rPr>
          <w:rFonts w:ascii="Palatino Linotype" w:hAnsi="Palatino Linotype"/>
          <w:i/>
          <w:lang w:eastAsia="es-MX"/>
        </w:rPr>
      </w:pPr>
      <w:r w:rsidRPr="00C55DFC">
        <w:rPr>
          <w:rFonts w:ascii="Palatino Linotype" w:hAnsi="Palatino Linotype" w:cs="Arial"/>
          <w:i/>
        </w:rPr>
        <w:t xml:space="preserve">En el supuesto que la información ordenada en numeral 6 no obre en los archivos del </w:t>
      </w:r>
      <w:r w:rsidRPr="00C55DFC">
        <w:rPr>
          <w:rFonts w:ascii="Palatino Linotype" w:hAnsi="Palatino Linotype" w:cs="Arial"/>
          <w:b/>
          <w:i/>
        </w:rPr>
        <w:t xml:space="preserve">Sujeto Obligado </w:t>
      </w:r>
      <w:r w:rsidRPr="00C55DFC">
        <w:rPr>
          <w:rFonts w:ascii="Palatino Linotype" w:hAnsi="Palatino Linotype" w:cs="Arial"/>
          <w:i/>
        </w:rPr>
        <w:t>por no haberse generado, bastara con el sólo pronunciamiento de este para tener por colmado el requerimiento de información.</w:t>
      </w:r>
    </w:p>
    <w:p w:rsidR="00172665" w:rsidRPr="00EE13B5" w:rsidRDefault="00172665" w:rsidP="00172665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</w:rPr>
      </w:pPr>
      <w:r w:rsidRPr="00EE13B5">
        <w:rPr>
          <w:rFonts w:ascii="Palatino Linotype" w:hAnsi="Palatino Linotype" w:cs="Arial"/>
          <w:sz w:val="24"/>
        </w:rPr>
        <w:t xml:space="preserve">En ese sentido, </w:t>
      </w:r>
      <w:r w:rsidRPr="00EE13B5">
        <w:rPr>
          <w:rFonts w:ascii="Palatino Linotype" w:hAnsi="Palatino Linotype"/>
          <w:sz w:val="24"/>
        </w:rPr>
        <w:t xml:space="preserve">la que suscribe, si bien coincide con las causas que dieron origen a los recursos de revisión en comento, difiero respecto al hecho de que lo procedente sea </w:t>
      </w:r>
      <w:r w:rsidRPr="00EE13B5">
        <w:rPr>
          <w:rFonts w:ascii="Palatino Linotype" w:hAnsi="Palatino Linotype"/>
          <w:b/>
          <w:sz w:val="24"/>
        </w:rPr>
        <w:t>MODIFICAR</w:t>
      </w:r>
      <w:r w:rsidRPr="00EE13B5">
        <w:rPr>
          <w:rFonts w:ascii="Palatino Linotype" w:hAnsi="Palatino Linotype" w:cs="Arial"/>
          <w:sz w:val="24"/>
        </w:rPr>
        <w:t xml:space="preserve"> la</w:t>
      </w:r>
      <w:r w:rsidR="00C55DFC">
        <w:rPr>
          <w:rFonts w:ascii="Palatino Linotype" w:hAnsi="Palatino Linotype" w:cs="Arial"/>
          <w:sz w:val="24"/>
        </w:rPr>
        <w:t>s</w:t>
      </w:r>
      <w:r w:rsidRPr="00EE13B5">
        <w:rPr>
          <w:rFonts w:ascii="Palatino Linotype" w:hAnsi="Palatino Linotype" w:cs="Arial"/>
          <w:sz w:val="24"/>
        </w:rPr>
        <w:t xml:space="preserve"> respuesta</w:t>
      </w:r>
      <w:r w:rsidR="00C55DFC">
        <w:rPr>
          <w:rFonts w:ascii="Palatino Linotype" w:hAnsi="Palatino Linotype" w:cs="Arial"/>
          <w:sz w:val="24"/>
        </w:rPr>
        <w:t>s</w:t>
      </w:r>
      <w:r w:rsidRPr="00EE13B5">
        <w:rPr>
          <w:rFonts w:ascii="Palatino Linotype" w:hAnsi="Palatino Linotype" w:cs="Arial"/>
          <w:sz w:val="24"/>
        </w:rPr>
        <w:t xml:space="preserve"> del </w:t>
      </w:r>
      <w:r w:rsidRPr="00EE13B5">
        <w:rPr>
          <w:rFonts w:ascii="Palatino Linotype" w:hAnsi="Palatino Linotype" w:cs="Arial"/>
          <w:b/>
          <w:sz w:val="24"/>
        </w:rPr>
        <w:t>SUJETO OBLIGADO</w:t>
      </w:r>
      <w:r w:rsidRPr="00EE13B5">
        <w:rPr>
          <w:rFonts w:ascii="Palatino Linotype" w:hAnsi="Palatino Linotype"/>
          <w:sz w:val="24"/>
        </w:rPr>
        <w:t xml:space="preserve">. Lo anterior es así, de acuerdo con lo siguiente. </w:t>
      </w:r>
    </w:p>
    <w:p w:rsidR="00172665" w:rsidRPr="00EE13B5" w:rsidRDefault="00172665" w:rsidP="00172665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</w:rPr>
      </w:pPr>
      <w:r w:rsidRPr="00EE13B5">
        <w:rPr>
          <w:rFonts w:ascii="Palatino Linotype" w:hAnsi="Palatino Linotype"/>
          <w:sz w:val="24"/>
        </w:rPr>
        <w:t xml:space="preserve">En primer término, es necesario precisar que de conformidad con el artículo 186 de la </w:t>
      </w:r>
      <w:r w:rsidRPr="00EE13B5">
        <w:rPr>
          <w:rFonts w:ascii="Palatino Linotype" w:hAnsi="Palatino Linotype" w:cs="Arial"/>
          <w:sz w:val="24"/>
        </w:rPr>
        <w:t>Ley de Transparencia y Acceso a la Información Pública del Estado de México y Municipios,</w:t>
      </w:r>
      <w:r w:rsidRPr="00EE13B5">
        <w:rPr>
          <w:rFonts w:ascii="Palatino Linotype" w:hAnsi="Palatino Linotype"/>
          <w:sz w:val="24"/>
        </w:rPr>
        <w:t xml:space="preserve"> las Resoluciones emitidas por este Órgano Garante podrán:</w:t>
      </w:r>
    </w:p>
    <w:p w:rsidR="00172665" w:rsidRPr="00EE13B5" w:rsidRDefault="00172665" w:rsidP="00172665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851" w:right="899" w:firstLine="0"/>
        <w:jc w:val="both"/>
        <w:rPr>
          <w:rFonts w:ascii="Palatino Linotype" w:hAnsi="Palatino Linotype"/>
          <w:i/>
          <w:sz w:val="24"/>
        </w:rPr>
      </w:pPr>
      <w:r w:rsidRPr="00EE13B5">
        <w:rPr>
          <w:rFonts w:ascii="Palatino Linotype" w:hAnsi="Palatino Linotype"/>
          <w:i/>
          <w:sz w:val="24"/>
        </w:rPr>
        <w:t xml:space="preserve">Desechar o sobreseer el recurso; </w:t>
      </w:r>
    </w:p>
    <w:p w:rsidR="00172665" w:rsidRPr="00EE13B5" w:rsidRDefault="00172665" w:rsidP="00172665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851" w:right="899" w:firstLine="0"/>
        <w:jc w:val="both"/>
        <w:rPr>
          <w:rFonts w:ascii="Palatino Linotype" w:hAnsi="Palatino Linotype"/>
          <w:i/>
          <w:sz w:val="24"/>
        </w:rPr>
      </w:pPr>
      <w:r w:rsidRPr="00EE13B5">
        <w:rPr>
          <w:rFonts w:ascii="Palatino Linotype" w:hAnsi="Palatino Linotype"/>
          <w:i/>
          <w:sz w:val="24"/>
        </w:rPr>
        <w:t xml:space="preserve">Confirmar la respuesta del sujeto obligado; </w:t>
      </w:r>
    </w:p>
    <w:p w:rsidR="00172665" w:rsidRPr="00EE13B5" w:rsidRDefault="00172665" w:rsidP="00172665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851" w:right="899" w:firstLine="0"/>
        <w:jc w:val="both"/>
        <w:rPr>
          <w:rFonts w:ascii="Palatino Linotype" w:hAnsi="Palatino Linotype"/>
          <w:i/>
          <w:sz w:val="24"/>
        </w:rPr>
      </w:pPr>
      <w:r w:rsidRPr="00EE13B5">
        <w:rPr>
          <w:rFonts w:ascii="Palatino Linotype" w:hAnsi="Palatino Linotype"/>
          <w:b/>
          <w:i/>
          <w:sz w:val="24"/>
        </w:rPr>
        <w:t>Revocar o modificar la respuesta del sujeto obligado</w:t>
      </w:r>
      <w:r w:rsidRPr="00EE13B5">
        <w:rPr>
          <w:rFonts w:ascii="Palatino Linotype" w:hAnsi="Palatino Linotype"/>
          <w:i/>
          <w:sz w:val="24"/>
        </w:rPr>
        <w:t xml:space="preserve">; y </w:t>
      </w:r>
    </w:p>
    <w:p w:rsidR="00172665" w:rsidRPr="00EE13B5" w:rsidRDefault="00172665" w:rsidP="00172665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ind w:left="851" w:right="899" w:firstLine="0"/>
        <w:jc w:val="both"/>
        <w:rPr>
          <w:rFonts w:ascii="Palatino Linotype" w:hAnsi="Palatino Linotype"/>
          <w:i/>
          <w:sz w:val="24"/>
        </w:rPr>
      </w:pPr>
      <w:r w:rsidRPr="00EE13B5">
        <w:rPr>
          <w:rFonts w:ascii="Palatino Linotype" w:hAnsi="Palatino Linotype"/>
          <w:i/>
          <w:sz w:val="24"/>
        </w:rPr>
        <w:lastRenderedPageBreak/>
        <w:t>Ordenar la entrega de la información.</w:t>
      </w:r>
    </w:p>
    <w:p w:rsidR="00172665" w:rsidRPr="00EE13B5" w:rsidRDefault="00172665" w:rsidP="00172665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</w:rPr>
      </w:pPr>
      <w:r w:rsidRPr="00EE13B5">
        <w:rPr>
          <w:rFonts w:ascii="Palatino Linotype" w:hAnsi="Palatino Linotype"/>
          <w:sz w:val="24"/>
        </w:rPr>
        <w:t xml:space="preserve">En el caso particular de la fracción III y en relación a dichos sentidos, se procede a </w:t>
      </w:r>
      <w:r w:rsidRPr="00EE13B5">
        <w:rPr>
          <w:rFonts w:ascii="Palatino Linotype" w:hAnsi="Palatino Linotype"/>
          <w:b/>
          <w:sz w:val="24"/>
        </w:rPr>
        <w:t>REVOCAR</w:t>
      </w:r>
      <w:r w:rsidRPr="00EE13B5">
        <w:rPr>
          <w:rFonts w:ascii="Palatino Linotype" w:hAnsi="Palatino Linotype"/>
          <w:sz w:val="24"/>
        </w:rPr>
        <w:t xml:space="preserve"> la respuesta de los Sujetos Obligados, cuando ésta no satisfaga en su </w:t>
      </w:r>
      <w:r w:rsidRPr="00EE13B5">
        <w:rPr>
          <w:rFonts w:ascii="Palatino Linotype" w:hAnsi="Palatino Linotype"/>
          <w:b/>
          <w:sz w:val="24"/>
        </w:rPr>
        <w:t>totalidad</w:t>
      </w:r>
      <w:r w:rsidRPr="00EE13B5">
        <w:rPr>
          <w:rFonts w:ascii="Palatino Linotype" w:hAnsi="Palatino Linotype"/>
          <w:sz w:val="24"/>
        </w:rPr>
        <w:t xml:space="preserve"> la información requerida por los particulares; mientras que se procede a </w:t>
      </w:r>
      <w:r w:rsidRPr="00EE13B5">
        <w:rPr>
          <w:rFonts w:ascii="Palatino Linotype" w:hAnsi="Palatino Linotype"/>
          <w:b/>
          <w:sz w:val="24"/>
        </w:rPr>
        <w:t xml:space="preserve">MODIFICAR </w:t>
      </w:r>
      <w:r w:rsidRPr="00EE13B5">
        <w:rPr>
          <w:rFonts w:ascii="Palatino Linotype" w:hAnsi="Palatino Linotype"/>
          <w:sz w:val="24"/>
        </w:rPr>
        <w:t xml:space="preserve">la misma, en aquellos casos en que se colme </w:t>
      </w:r>
      <w:r w:rsidRPr="00EE13B5">
        <w:rPr>
          <w:rFonts w:ascii="Palatino Linotype" w:hAnsi="Palatino Linotype"/>
          <w:b/>
          <w:sz w:val="24"/>
        </w:rPr>
        <w:t>parcialmente</w:t>
      </w:r>
      <w:r w:rsidRPr="00EE13B5">
        <w:rPr>
          <w:rFonts w:ascii="Palatino Linotype" w:hAnsi="Palatino Linotype"/>
          <w:sz w:val="24"/>
        </w:rPr>
        <w:t xml:space="preserve"> la solicitud de información, por mínima que pudiera resultar ésta.</w:t>
      </w:r>
    </w:p>
    <w:p w:rsidR="00172665" w:rsidRPr="00EE13B5" w:rsidRDefault="00172665" w:rsidP="00172665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EE13B5">
        <w:rPr>
          <w:rFonts w:ascii="Palatino Linotype" w:hAnsi="Palatino Linotype"/>
          <w:sz w:val="24"/>
        </w:rPr>
        <w:t xml:space="preserve">De lo anterior, es de advertir que </w:t>
      </w:r>
      <w:r w:rsidRPr="00EE13B5">
        <w:rPr>
          <w:rFonts w:ascii="Palatino Linotype" w:hAnsi="Palatino Linotype"/>
          <w:b/>
          <w:sz w:val="24"/>
        </w:rPr>
        <w:t>EL SUJETO OBLIGADO</w:t>
      </w:r>
      <w:r w:rsidRPr="00EE13B5">
        <w:rPr>
          <w:rFonts w:ascii="Palatino Linotype" w:hAnsi="Palatino Linotype"/>
          <w:sz w:val="24"/>
        </w:rPr>
        <w:t xml:space="preserve"> no colmó ni total ni parcialmente el derecho de acceso a la información del solicitante para considerar que el sentido deba ser un </w:t>
      </w:r>
      <w:r w:rsidRPr="00EE13B5">
        <w:rPr>
          <w:rFonts w:ascii="Palatino Linotype" w:hAnsi="Palatino Linotype"/>
          <w:b/>
          <w:sz w:val="24"/>
        </w:rPr>
        <w:t>MODIFICA;</w:t>
      </w:r>
      <w:r w:rsidRPr="00EE13B5">
        <w:rPr>
          <w:rFonts w:ascii="Palatino Linotype" w:hAnsi="Palatino Linotype"/>
          <w:sz w:val="24"/>
        </w:rPr>
        <w:t xml:space="preserve"> lo anterior, toma sentido al manifestar que </w:t>
      </w:r>
      <w:r w:rsidRPr="00EE13B5">
        <w:rPr>
          <w:rFonts w:ascii="Palatino Linotype" w:hAnsi="Palatino Linotype"/>
          <w:b/>
          <w:sz w:val="24"/>
        </w:rPr>
        <w:t>EL SUJETO OBLIGADO</w:t>
      </w:r>
      <w:r w:rsidRPr="00EE13B5">
        <w:rPr>
          <w:rFonts w:ascii="Palatino Linotype" w:hAnsi="Palatino Linotype"/>
          <w:sz w:val="24"/>
        </w:rPr>
        <w:t xml:space="preserve"> en su respuesta adjunto diversos archivos electrónicos, con los que pretendió colmar el derecho de acceso a la información pública de la hoy Recurrente proporcionando diversas ligas electrónicas </w:t>
      </w:r>
      <w:r w:rsidR="00EE13B5" w:rsidRPr="00EE13B5">
        <w:rPr>
          <w:rFonts w:ascii="Palatino Linotype" w:hAnsi="Palatino Linotype"/>
          <w:sz w:val="24"/>
        </w:rPr>
        <w:t xml:space="preserve">indicando que </w:t>
      </w:r>
      <w:r w:rsidRPr="00EE13B5">
        <w:rPr>
          <w:rFonts w:ascii="Palatino Linotype" w:hAnsi="Palatino Linotype" w:cs="Arial"/>
          <w:sz w:val="24"/>
        </w:rPr>
        <w:t>la información relativa al presupu</w:t>
      </w:r>
      <w:r w:rsidR="00EE13B5">
        <w:rPr>
          <w:rFonts w:ascii="Palatino Linotype" w:hAnsi="Palatino Linotype" w:cs="Arial"/>
          <w:sz w:val="24"/>
        </w:rPr>
        <w:t>esto de egreso municipal se encontraba</w:t>
      </w:r>
      <w:r w:rsidRPr="00EE13B5">
        <w:rPr>
          <w:rFonts w:ascii="Palatino Linotype" w:hAnsi="Palatino Linotype" w:cs="Arial"/>
          <w:sz w:val="24"/>
        </w:rPr>
        <w:t xml:space="preserve"> disponible en </w:t>
      </w:r>
      <w:r w:rsidR="00EE13B5" w:rsidRPr="00EE13B5">
        <w:rPr>
          <w:rFonts w:ascii="Palatino Linotype" w:hAnsi="Palatino Linotype" w:cs="Arial"/>
          <w:sz w:val="24"/>
        </w:rPr>
        <w:t>ellas</w:t>
      </w:r>
      <w:r w:rsidRPr="00EE13B5">
        <w:rPr>
          <w:rFonts w:ascii="Palatino Linotype" w:hAnsi="Palatino Linotype"/>
          <w:sz w:val="24"/>
        </w:rPr>
        <w:t xml:space="preserve">; sin embargo, a criterio de la suscrita lo entregado por </w:t>
      </w:r>
      <w:r w:rsidRPr="00EE13B5">
        <w:rPr>
          <w:rFonts w:ascii="Palatino Linotype" w:hAnsi="Palatino Linotype"/>
          <w:b/>
          <w:sz w:val="24"/>
        </w:rPr>
        <w:t>EL SUJETO OBLIGADO</w:t>
      </w:r>
      <w:r w:rsidRPr="00EE13B5">
        <w:rPr>
          <w:rFonts w:ascii="Palatino Linotype" w:hAnsi="Palatino Linotype"/>
          <w:sz w:val="24"/>
        </w:rPr>
        <w:t xml:space="preserve"> no colma lo solicitado toda vez que no aporta nada relacionado con lo peticionado, ahora bien es de referir que la propia Ponencia </w:t>
      </w:r>
      <w:proofErr w:type="spellStart"/>
      <w:r w:rsidRPr="00EE13B5">
        <w:rPr>
          <w:rFonts w:ascii="Palatino Linotype" w:hAnsi="Palatino Linotype"/>
          <w:sz w:val="24"/>
        </w:rPr>
        <w:t>Resolutora</w:t>
      </w:r>
      <w:proofErr w:type="spellEnd"/>
      <w:r w:rsidRPr="00EE13B5">
        <w:rPr>
          <w:rFonts w:ascii="Palatino Linotype" w:hAnsi="Palatino Linotype"/>
          <w:sz w:val="24"/>
        </w:rPr>
        <w:t xml:space="preserve"> señala en su estudio que</w:t>
      </w:r>
      <w:r>
        <w:rPr>
          <w:rFonts w:ascii="Palatino Linotype" w:hAnsi="Palatino Linotype"/>
        </w:rPr>
        <w:t xml:space="preserve"> </w:t>
      </w:r>
      <w:r w:rsidR="00EE13B5" w:rsidRPr="00EE13B5">
        <w:rPr>
          <w:rFonts w:ascii="Palatino Linotype" w:hAnsi="Palatino Linotype" w:cs="Arial"/>
          <w:sz w:val="24"/>
          <w:szCs w:val="24"/>
        </w:rPr>
        <w:t xml:space="preserve">dicho pronunciamiento no atiende los requerimientos de información, al advertirse </w:t>
      </w:r>
      <w:r w:rsidR="00EE13B5">
        <w:rPr>
          <w:rFonts w:ascii="Palatino Linotype" w:hAnsi="Palatino Linotype" w:cs="Arial"/>
          <w:sz w:val="24"/>
          <w:szCs w:val="24"/>
        </w:rPr>
        <w:t xml:space="preserve">que se encuentra </w:t>
      </w:r>
      <w:r w:rsidR="00EE13B5" w:rsidRPr="00EE13B5">
        <w:rPr>
          <w:rFonts w:ascii="Palatino Linotype" w:hAnsi="Palatino Linotype" w:cs="Arial"/>
          <w:sz w:val="24"/>
          <w:szCs w:val="24"/>
        </w:rPr>
        <w:t xml:space="preserve">diversa información, </w:t>
      </w:r>
      <w:r w:rsidR="00EE13B5">
        <w:rPr>
          <w:rFonts w:ascii="Palatino Linotype" w:hAnsi="Palatino Linotype" w:cs="Arial"/>
          <w:sz w:val="24"/>
          <w:szCs w:val="24"/>
        </w:rPr>
        <w:t xml:space="preserve">misma </w:t>
      </w:r>
      <w:r w:rsidR="00EE13B5" w:rsidRPr="00EE13B5">
        <w:rPr>
          <w:rFonts w:ascii="Palatino Linotype" w:hAnsi="Palatino Linotype" w:cs="Arial"/>
          <w:sz w:val="24"/>
          <w:szCs w:val="24"/>
        </w:rPr>
        <w:t>que implica que la solicitante realice u</w:t>
      </w:r>
      <w:r w:rsidR="00EE13B5">
        <w:rPr>
          <w:rFonts w:ascii="Palatino Linotype" w:hAnsi="Palatino Linotype" w:cs="Arial"/>
          <w:sz w:val="24"/>
          <w:szCs w:val="24"/>
        </w:rPr>
        <w:t>na búsqueda en todo lo publicado</w:t>
      </w:r>
      <w:r w:rsidR="00EE13B5" w:rsidRPr="00EE13B5">
        <w:rPr>
          <w:rFonts w:ascii="Palatino Linotype" w:hAnsi="Palatino Linotype" w:cs="Arial"/>
          <w:sz w:val="24"/>
          <w:szCs w:val="24"/>
        </w:rPr>
        <w:t xml:space="preserve">, lo que trae consigo que se tenga por incumplida la obligación del </w:t>
      </w:r>
      <w:r w:rsidR="0088785B" w:rsidRPr="0088785B">
        <w:rPr>
          <w:rFonts w:ascii="Palatino Linotype" w:hAnsi="Palatino Linotype" w:cs="Arial"/>
          <w:b/>
          <w:sz w:val="24"/>
          <w:szCs w:val="24"/>
        </w:rPr>
        <w:t>SUJETO OBLIGADO</w:t>
      </w:r>
      <w:r w:rsidR="0088785B" w:rsidRPr="00EE13B5">
        <w:rPr>
          <w:rFonts w:ascii="Palatino Linotype" w:hAnsi="Palatino Linotype" w:cs="Arial"/>
          <w:sz w:val="24"/>
          <w:szCs w:val="24"/>
        </w:rPr>
        <w:t xml:space="preserve"> </w:t>
      </w:r>
      <w:r w:rsidR="00EE13B5" w:rsidRPr="00EE13B5">
        <w:rPr>
          <w:rFonts w:ascii="Palatino Linotype" w:hAnsi="Palatino Linotype" w:cs="Arial"/>
          <w:sz w:val="24"/>
          <w:szCs w:val="24"/>
        </w:rPr>
        <w:t>prevista en los artículos 161 y 166 de la Ley de la Materia</w:t>
      </w:r>
      <w:r w:rsidR="00EE13B5">
        <w:rPr>
          <w:rFonts w:ascii="Palatino Linotype" w:hAnsi="Palatino Linotype" w:cs="Arial"/>
          <w:sz w:val="24"/>
          <w:szCs w:val="24"/>
        </w:rPr>
        <w:t>;</w:t>
      </w:r>
      <w:r>
        <w:rPr>
          <w:rFonts w:ascii="Palatino Linotype" w:hAnsi="Palatino Linotype"/>
        </w:rPr>
        <w:t xml:space="preserve"> </w:t>
      </w:r>
      <w:r w:rsidRPr="00EE13B5">
        <w:rPr>
          <w:rFonts w:ascii="Palatino Linotype" w:hAnsi="Palatino Linotype" w:cs="Arial"/>
          <w:sz w:val="24"/>
          <w:szCs w:val="24"/>
        </w:rPr>
        <w:t xml:space="preserve">por lo que la respuesta no colma el requerimiento del particular, razón por la que procedió a su estudio. </w:t>
      </w:r>
    </w:p>
    <w:p w:rsidR="00EE13B5" w:rsidRPr="0088785B" w:rsidRDefault="00EE13B5" w:rsidP="00EE13B5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</w:rPr>
      </w:pPr>
      <w:r w:rsidRPr="0088785B">
        <w:rPr>
          <w:rFonts w:ascii="Palatino Linotype" w:hAnsi="Palatino Linotype"/>
          <w:sz w:val="24"/>
        </w:rPr>
        <w:lastRenderedPageBreak/>
        <w:t xml:space="preserve">En ese contexto, la que suscribe emite </w:t>
      </w:r>
      <w:r w:rsidRPr="0088785B">
        <w:rPr>
          <w:rFonts w:ascii="Palatino Linotype" w:hAnsi="Palatino Linotype"/>
          <w:b/>
          <w:sz w:val="24"/>
        </w:rPr>
        <w:t>VOTO PARTICULAR</w:t>
      </w:r>
      <w:r w:rsidRPr="0088785B">
        <w:rPr>
          <w:rFonts w:ascii="Palatino Linotype" w:hAnsi="Palatino Linotype"/>
          <w:sz w:val="24"/>
        </w:rPr>
        <w:t xml:space="preserve"> ya que lo anterior, resulta aún más evidente debido a que en el proyecto sometido a votación del Pleno, la Ponencia </w:t>
      </w:r>
      <w:proofErr w:type="spellStart"/>
      <w:r w:rsidRPr="0088785B">
        <w:rPr>
          <w:rFonts w:ascii="Palatino Linotype" w:hAnsi="Palatino Linotype"/>
          <w:sz w:val="24"/>
        </w:rPr>
        <w:t>Resolutora</w:t>
      </w:r>
      <w:proofErr w:type="spellEnd"/>
      <w:r w:rsidRPr="0088785B">
        <w:rPr>
          <w:rFonts w:ascii="Palatino Linotype" w:hAnsi="Palatino Linotype"/>
          <w:sz w:val="24"/>
        </w:rPr>
        <w:t xml:space="preserve"> planteó establecer la entrega al </w:t>
      </w:r>
      <w:r w:rsidRPr="0088785B">
        <w:rPr>
          <w:rFonts w:ascii="Palatino Linotype" w:hAnsi="Palatino Linotype"/>
          <w:b/>
          <w:sz w:val="24"/>
        </w:rPr>
        <w:t>RECURRENTE</w:t>
      </w:r>
      <w:r w:rsidRPr="0088785B">
        <w:rPr>
          <w:rFonts w:ascii="Palatino Linotype" w:hAnsi="Palatino Linotype"/>
          <w:sz w:val="24"/>
        </w:rPr>
        <w:t xml:space="preserve"> de la totalidad de la información; por lo que se advierte que </w:t>
      </w:r>
      <w:r w:rsidRPr="0088785B">
        <w:rPr>
          <w:rFonts w:ascii="Palatino Linotype" w:hAnsi="Palatino Linotype"/>
          <w:b/>
          <w:sz w:val="24"/>
        </w:rPr>
        <w:t>EL SUJETO OBLIGADO</w:t>
      </w:r>
      <w:r w:rsidRPr="0088785B">
        <w:rPr>
          <w:rFonts w:ascii="Palatino Linotype" w:hAnsi="Palatino Linotype"/>
          <w:sz w:val="24"/>
        </w:rPr>
        <w:t xml:space="preserve"> no colmó ni total ni parcialmente lo requerido; </w:t>
      </w:r>
      <w:r w:rsidR="005A404A" w:rsidRPr="0088785B">
        <w:rPr>
          <w:rFonts w:ascii="Palatino Linotype" w:hAnsi="Palatino Linotype"/>
          <w:sz w:val="24"/>
        </w:rPr>
        <w:t>es por ello que</w:t>
      </w:r>
      <w:r w:rsidRPr="0088785B">
        <w:rPr>
          <w:rFonts w:ascii="Palatino Linotype" w:hAnsi="Palatino Linotype"/>
          <w:sz w:val="24"/>
        </w:rPr>
        <w:t xml:space="preserve"> se reitera que</w:t>
      </w:r>
      <w:r w:rsidRPr="0088785B">
        <w:rPr>
          <w:rFonts w:ascii="Palatino Linotype" w:hAnsi="Palatino Linotype" w:cs="Arial"/>
          <w:sz w:val="24"/>
        </w:rPr>
        <w:t xml:space="preserve">, lo conducente era </w:t>
      </w:r>
      <w:r w:rsidRPr="0088785B">
        <w:rPr>
          <w:rFonts w:ascii="Palatino Linotype" w:hAnsi="Palatino Linotype" w:cs="Arial"/>
          <w:b/>
          <w:sz w:val="24"/>
        </w:rPr>
        <w:t>REVOCAR</w:t>
      </w:r>
      <w:r w:rsidRPr="0088785B">
        <w:rPr>
          <w:rFonts w:ascii="Palatino Linotype" w:hAnsi="Palatino Linotype" w:cs="Arial"/>
          <w:sz w:val="24"/>
        </w:rPr>
        <w:t xml:space="preserve"> la</w:t>
      </w:r>
      <w:r w:rsidR="005A404A" w:rsidRPr="0088785B">
        <w:rPr>
          <w:rFonts w:ascii="Palatino Linotype" w:hAnsi="Palatino Linotype" w:cs="Arial"/>
          <w:sz w:val="24"/>
        </w:rPr>
        <w:t>s</w:t>
      </w:r>
      <w:r w:rsidRPr="0088785B">
        <w:rPr>
          <w:rFonts w:ascii="Palatino Linotype" w:hAnsi="Palatino Linotype" w:cs="Arial"/>
          <w:sz w:val="24"/>
        </w:rPr>
        <w:t xml:space="preserve"> respuesta</w:t>
      </w:r>
      <w:r w:rsidR="005A404A" w:rsidRPr="0088785B">
        <w:rPr>
          <w:rFonts w:ascii="Palatino Linotype" w:hAnsi="Palatino Linotype" w:cs="Arial"/>
          <w:sz w:val="24"/>
        </w:rPr>
        <w:t>s</w:t>
      </w:r>
      <w:r w:rsidRPr="0088785B">
        <w:rPr>
          <w:rFonts w:ascii="Palatino Linotype" w:hAnsi="Palatino Linotype" w:cs="Arial"/>
          <w:sz w:val="24"/>
        </w:rPr>
        <w:t xml:space="preserve"> del </w:t>
      </w:r>
      <w:r w:rsidRPr="0088785B">
        <w:rPr>
          <w:rFonts w:ascii="Palatino Linotype" w:hAnsi="Palatino Linotype" w:cs="Arial"/>
          <w:b/>
          <w:sz w:val="24"/>
        </w:rPr>
        <w:t>SUJETO OBLIGADO</w:t>
      </w:r>
      <w:r w:rsidRPr="0088785B">
        <w:rPr>
          <w:rFonts w:ascii="Palatino Linotype" w:hAnsi="Palatino Linotype" w:cs="Arial"/>
          <w:sz w:val="24"/>
        </w:rPr>
        <w:t>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222D15" w:rsidRPr="009F71D8" w:rsidTr="00FF74B8">
        <w:trPr>
          <w:jc w:val="center"/>
        </w:trPr>
        <w:tc>
          <w:tcPr>
            <w:tcW w:w="4393" w:type="dxa"/>
          </w:tcPr>
          <w:p w:rsidR="0088785B" w:rsidRDefault="0088785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8785B" w:rsidRDefault="0088785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8785B" w:rsidRDefault="0088785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F291C" w:rsidRDefault="008F291C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F291C" w:rsidRDefault="008F291C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8785B" w:rsidRDefault="0088785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8785B" w:rsidRDefault="0088785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8785B" w:rsidRDefault="0088785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8785B" w:rsidRDefault="0088785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8785B" w:rsidRDefault="0088785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88785B" w:rsidRDefault="0088785B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222D15" w:rsidRPr="009F71D8" w:rsidRDefault="00222D15" w:rsidP="007746BF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5A404A" w:rsidRDefault="00222D15" w:rsidP="008F291C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  <w:p w:rsidR="005B031E" w:rsidRPr="009F71D8" w:rsidRDefault="005B031E" w:rsidP="008F291C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(RÚBRICA)</w:t>
            </w:r>
            <w:bookmarkStart w:id="0" w:name="_GoBack"/>
            <w:bookmarkEnd w:id="0"/>
          </w:p>
        </w:tc>
      </w:tr>
    </w:tbl>
    <w:p w:rsidR="00B06BB8" w:rsidRDefault="00B06BB8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DC0EF9" w:rsidRDefault="00DC0EF9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88785B" w:rsidRDefault="0088785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88785B" w:rsidRDefault="0088785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88785B" w:rsidRDefault="0088785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88785B" w:rsidRDefault="0088785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88785B" w:rsidRDefault="0088785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8F291C" w:rsidRDefault="008F291C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88785B" w:rsidRDefault="0088785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88785B" w:rsidRDefault="0088785B" w:rsidP="007746BF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4"/>
          <w:szCs w:val="14"/>
        </w:rPr>
      </w:pPr>
    </w:p>
    <w:p w:rsidR="00222D15" w:rsidRPr="002D79AC" w:rsidRDefault="00222D15" w:rsidP="007746BF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20"/>
          <w:szCs w:val="20"/>
        </w:rPr>
      </w:pP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 w:rsidR="007746BF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5A40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l</w:t>
      </w:r>
      <w:r w:rsidR="005A40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os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</w:t>
      </w:r>
      <w:r w:rsidR="005A40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s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revisión </w:t>
      </w:r>
      <w:r w:rsidR="005A404A">
        <w:rPr>
          <w:rFonts w:ascii="Palatino Linotype" w:hAnsi="Palatino Linotype" w:cs="Arial"/>
          <w:bCs/>
          <w:sz w:val="20"/>
          <w:szCs w:val="20"/>
        </w:rPr>
        <w:t>05684</w:t>
      </w:r>
      <w:r w:rsidRPr="002D79AC">
        <w:rPr>
          <w:rFonts w:ascii="Palatino Linotype" w:hAnsi="Palatino Linotype" w:cs="Arial"/>
          <w:bCs/>
          <w:sz w:val="20"/>
          <w:szCs w:val="20"/>
        </w:rPr>
        <w:t>/INFOEM/IP/RR/201</w:t>
      </w:r>
      <w:r w:rsidR="000E273A">
        <w:rPr>
          <w:rFonts w:ascii="Palatino Linotype" w:hAnsi="Palatino Linotype" w:cs="Arial"/>
          <w:bCs/>
          <w:sz w:val="20"/>
          <w:szCs w:val="20"/>
        </w:rPr>
        <w:t>9</w:t>
      </w:r>
      <w:r w:rsidR="005A404A">
        <w:rPr>
          <w:rFonts w:ascii="Palatino Linotype" w:hAnsi="Palatino Linotype" w:cs="Arial"/>
          <w:bCs/>
          <w:sz w:val="20"/>
          <w:szCs w:val="20"/>
        </w:rPr>
        <w:t xml:space="preserve"> y 05685</w:t>
      </w:r>
      <w:r w:rsidR="005A404A" w:rsidRPr="002D79AC">
        <w:rPr>
          <w:rFonts w:ascii="Palatino Linotype" w:hAnsi="Palatino Linotype" w:cs="Arial"/>
          <w:bCs/>
          <w:sz w:val="20"/>
          <w:szCs w:val="20"/>
        </w:rPr>
        <w:t>/INFOEM/IP/RR/201</w:t>
      </w:r>
      <w:r w:rsidR="005A404A">
        <w:rPr>
          <w:rFonts w:ascii="Palatino Linotype" w:hAnsi="Palatino Linotype" w:cs="Arial"/>
          <w:bCs/>
          <w:sz w:val="20"/>
          <w:szCs w:val="20"/>
        </w:rPr>
        <w:t>9 acumulados</w:t>
      </w:r>
      <w:r w:rsidRPr="002D79AC">
        <w:rPr>
          <w:rFonts w:ascii="Palatino Linotype" w:hAnsi="Palatino Linotype" w:cs="Arial"/>
          <w:bCs/>
          <w:sz w:val="20"/>
          <w:szCs w:val="20"/>
        </w:rPr>
        <w:t>,</w:t>
      </w:r>
      <w:r w:rsidRPr="002D79AC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="007746BF">
        <w:rPr>
          <w:rFonts w:ascii="Palatino Linotype" w:hAnsi="Palatino Linotype" w:cs="Arial"/>
          <w:bCs/>
          <w:sz w:val="20"/>
          <w:szCs w:val="20"/>
        </w:rPr>
        <w:t>aprobada</w:t>
      </w:r>
      <w:r w:rsidRPr="002D79AC">
        <w:rPr>
          <w:rFonts w:ascii="Palatino Linotype" w:hAnsi="Palatino Linotype" w:cs="Arial"/>
          <w:bCs/>
          <w:sz w:val="20"/>
          <w:szCs w:val="20"/>
        </w:rPr>
        <w:t xml:space="preserve"> el </w:t>
      </w:r>
      <w:r w:rsidR="005A404A">
        <w:rPr>
          <w:rFonts w:ascii="Palatino Linotype" w:hAnsi="Palatino Linotype" w:cs="Arial"/>
          <w:bCs/>
          <w:sz w:val="20"/>
          <w:szCs w:val="20"/>
        </w:rPr>
        <w:t xml:space="preserve">diecinueve </w:t>
      </w:r>
      <w:r w:rsidR="007746BF">
        <w:rPr>
          <w:rFonts w:ascii="Palatino Linotype" w:hAnsi="Palatino Linotype" w:cs="Arial"/>
          <w:bCs/>
          <w:sz w:val="20"/>
          <w:szCs w:val="20"/>
        </w:rPr>
        <w:t xml:space="preserve">de </w:t>
      </w:r>
      <w:r w:rsidR="00EC574B">
        <w:rPr>
          <w:rFonts w:ascii="Palatino Linotype" w:hAnsi="Palatino Linotype" w:cs="Arial"/>
          <w:bCs/>
          <w:sz w:val="20"/>
          <w:szCs w:val="20"/>
        </w:rPr>
        <w:t xml:space="preserve">septiembre </w:t>
      </w:r>
      <w:r w:rsidR="000E273A">
        <w:rPr>
          <w:rFonts w:ascii="Palatino Linotype" w:hAnsi="Palatino Linotype" w:cs="Arial"/>
          <w:bCs/>
          <w:sz w:val="20"/>
          <w:szCs w:val="20"/>
        </w:rPr>
        <w:t>de dos mil diecinueve</w:t>
      </w:r>
      <w:r w:rsidRPr="002D79AC">
        <w:rPr>
          <w:rFonts w:ascii="Palatino Linotype" w:hAnsi="Palatino Linotype" w:cs="Arial"/>
          <w:bCs/>
          <w:sz w:val="20"/>
          <w:szCs w:val="20"/>
        </w:rPr>
        <w:t>.</w:t>
      </w:r>
    </w:p>
    <w:p w:rsidR="00E361D1" w:rsidRPr="00E361D1" w:rsidRDefault="00E361D1" w:rsidP="007746BF">
      <w:pPr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C23B43" w:rsidRPr="00866C94" w:rsidRDefault="00DC0EF9" w:rsidP="007746BF">
      <w:pPr>
        <w:spacing w:after="0" w:line="240" w:lineRule="auto"/>
        <w:ind w:right="51"/>
        <w:jc w:val="both"/>
        <w:rPr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577A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</w:t>
      </w:r>
      <w:r w:rsidR="00222D15"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="00577A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IAHA</w:t>
      </w:r>
    </w:p>
    <w:sectPr w:rsidR="00C23B43" w:rsidRPr="00866C94" w:rsidSect="005A28C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87" w:rsidRDefault="008F7987" w:rsidP="00222D15">
      <w:pPr>
        <w:spacing w:after="0" w:line="240" w:lineRule="auto"/>
      </w:pPr>
      <w:r>
        <w:separator/>
      </w:r>
    </w:p>
  </w:endnote>
  <w:endnote w:type="continuationSeparator" w:id="0">
    <w:p w:rsidR="008F7987" w:rsidRDefault="008F7987" w:rsidP="0022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BF" w:rsidRDefault="005B0AB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B0ABF" w:rsidRDefault="005B0AB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B031E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B031E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B031E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C92D53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B031E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B031E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B031E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87" w:rsidRDefault="008F7987" w:rsidP="00222D15">
      <w:pPr>
        <w:spacing w:after="0" w:line="240" w:lineRule="auto"/>
      </w:pPr>
      <w:r>
        <w:separator/>
      </w:r>
    </w:p>
  </w:footnote>
  <w:footnote w:type="continuationSeparator" w:id="0">
    <w:p w:rsidR="008F7987" w:rsidRDefault="008F7987" w:rsidP="0022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B031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823FD" wp14:editId="2A79579C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894E9C" w:rsidRDefault="005B031E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8B1BFA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8B1BFA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>
      <w:rPr>
        <w:rFonts w:ascii="Palatino Linotype" w:hAnsi="Palatino Linotype" w:cs="Arial"/>
        <w:sz w:val="20"/>
        <w:szCs w:val="20"/>
      </w:rPr>
      <w:t>5684</w:t>
    </w:r>
    <w:r w:rsidRPr="00A91250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9 Y</w:t>
    </w:r>
  </w:p>
  <w:p w:rsidR="00D93B99" w:rsidRDefault="008B1BFA" w:rsidP="00036834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 w:rsidRPr="00A91250">
      <w:rPr>
        <w:rFonts w:ascii="Palatino Linotype" w:hAnsi="Palatino Linotype" w:cs="Arial"/>
        <w:sz w:val="20"/>
        <w:szCs w:val="20"/>
      </w:rPr>
      <w:t>0</w:t>
    </w:r>
    <w:r>
      <w:rPr>
        <w:rFonts w:ascii="Palatino Linotype" w:hAnsi="Palatino Linotype" w:cs="Arial"/>
        <w:sz w:val="20"/>
        <w:szCs w:val="20"/>
      </w:rPr>
      <w:t>5685</w:t>
    </w:r>
    <w:r w:rsidRPr="00A91250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9 ACUMULADOS</w:t>
    </w:r>
  </w:p>
  <w:p w:rsidR="00D406EF" w:rsidRDefault="005B031E" w:rsidP="005B0ABF">
    <w:pPr>
      <w:pStyle w:val="Encabezado"/>
      <w:tabs>
        <w:tab w:val="clear" w:pos="4252"/>
        <w:tab w:val="clear" w:pos="8504"/>
        <w:tab w:val="left" w:pos="2326"/>
      </w:tabs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margin-left:-94.35pt;margin-top:228.45pt;width:671.75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B031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1048"/>
    <w:multiLevelType w:val="hybridMultilevel"/>
    <w:tmpl w:val="82BE234A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36A2233"/>
    <w:multiLevelType w:val="hybridMultilevel"/>
    <w:tmpl w:val="01F21AB2"/>
    <w:lvl w:ilvl="0" w:tplc="E40ADE20">
      <w:start w:val="6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7B2"/>
    <w:multiLevelType w:val="hybridMultilevel"/>
    <w:tmpl w:val="EF426112"/>
    <w:lvl w:ilvl="0" w:tplc="3DF2F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B3F0B"/>
    <w:multiLevelType w:val="hybridMultilevel"/>
    <w:tmpl w:val="C61244E8"/>
    <w:lvl w:ilvl="0" w:tplc="EE5CE6BA">
      <w:start w:val="1"/>
      <w:numFmt w:val="upperRoman"/>
      <w:lvlText w:val="%1."/>
      <w:lvlJc w:val="left"/>
      <w:pPr>
        <w:ind w:left="1571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FD2FC0"/>
    <w:multiLevelType w:val="hybridMultilevel"/>
    <w:tmpl w:val="96EEA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355DE"/>
    <w:multiLevelType w:val="hybridMultilevel"/>
    <w:tmpl w:val="96EEA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8591A"/>
    <w:multiLevelType w:val="hybridMultilevel"/>
    <w:tmpl w:val="9996B05E"/>
    <w:lvl w:ilvl="0" w:tplc="C52224E4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8B45DB"/>
    <w:multiLevelType w:val="hybridMultilevel"/>
    <w:tmpl w:val="571A0F18"/>
    <w:lvl w:ilvl="0" w:tplc="080A000F">
      <w:start w:val="1"/>
      <w:numFmt w:val="decimal"/>
      <w:lvlText w:val="%1."/>
      <w:lvlJc w:val="left"/>
      <w:pPr>
        <w:ind w:left="1211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80C93"/>
    <w:multiLevelType w:val="hybridMultilevel"/>
    <w:tmpl w:val="165C0702"/>
    <w:lvl w:ilvl="0" w:tplc="D2F81FA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EFF7EE2"/>
    <w:multiLevelType w:val="hybridMultilevel"/>
    <w:tmpl w:val="D362CDEE"/>
    <w:lvl w:ilvl="0" w:tplc="08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5"/>
    <w:rsid w:val="00003474"/>
    <w:rsid w:val="00036834"/>
    <w:rsid w:val="000964FE"/>
    <w:rsid w:val="000A2F94"/>
    <w:rsid w:val="000C241F"/>
    <w:rsid w:val="000D1547"/>
    <w:rsid w:val="000E273A"/>
    <w:rsid w:val="000F0E2A"/>
    <w:rsid w:val="000F6728"/>
    <w:rsid w:val="00114896"/>
    <w:rsid w:val="001375AB"/>
    <w:rsid w:val="00144328"/>
    <w:rsid w:val="00165A12"/>
    <w:rsid w:val="00172665"/>
    <w:rsid w:val="0017668B"/>
    <w:rsid w:val="001B1174"/>
    <w:rsid w:val="001B3DF8"/>
    <w:rsid w:val="001C66C2"/>
    <w:rsid w:val="00222D15"/>
    <w:rsid w:val="002D69D9"/>
    <w:rsid w:val="0031796C"/>
    <w:rsid w:val="003746E8"/>
    <w:rsid w:val="003A49AA"/>
    <w:rsid w:val="00406129"/>
    <w:rsid w:val="00423A3A"/>
    <w:rsid w:val="00434F2D"/>
    <w:rsid w:val="004371A5"/>
    <w:rsid w:val="004726C4"/>
    <w:rsid w:val="00476590"/>
    <w:rsid w:val="004C4001"/>
    <w:rsid w:val="00500EEE"/>
    <w:rsid w:val="0051404B"/>
    <w:rsid w:val="00516B49"/>
    <w:rsid w:val="0052778F"/>
    <w:rsid w:val="00576ABB"/>
    <w:rsid w:val="00577A8A"/>
    <w:rsid w:val="00590419"/>
    <w:rsid w:val="005A404A"/>
    <w:rsid w:val="005B031E"/>
    <w:rsid w:val="005B0ABF"/>
    <w:rsid w:val="0061285F"/>
    <w:rsid w:val="0061523F"/>
    <w:rsid w:val="006269DE"/>
    <w:rsid w:val="00642D83"/>
    <w:rsid w:val="00657587"/>
    <w:rsid w:val="006972DE"/>
    <w:rsid w:val="006A388B"/>
    <w:rsid w:val="00715710"/>
    <w:rsid w:val="00720102"/>
    <w:rsid w:val="00725933"/>
    <w:rsid w:val="00726E4C"/>
    <w:rsid w:val="00733C73"/>
    <w:rsid w:val="007400A4"/>
    <w:rsid w:val="0075624F"/>
    <w:rsid w:val="00757DEA"/>
    <w:rsid w:val="00762810"/>
    <w:rsid w:val="007746BF"/>
    <w:rsid w:val="00780F23"/>
    <w:rsid w:val="007835EE"/>
    <w:rsid w:val="007B39BA"/>
    <w:rsid w:val="007B3F24"/>
    <w:rsid w:val="007C1D83"/>
    <w:rsid w:val="00866C94"/>
    <w:rsid w:val="00884D8A"/>
    <w:rsid w:val="0088785B"/>
    <w:rsid w:val="008B1BFA"/>
    <w:rsid w:val="008F291C"/>
    <w:rsid w:val="008F7987"/>
    <w:rsid w:val="00945B85"/>
    <w:rsid w:val="009802CD"/>
    <w:rsid w:val="009C66A6"/>
    <w:rsid w:val="009D220B"/>
    <w:rsid w:val="009D28D4"/>
    <w:rsid w:val="009E54E9"/>
    <w:rsid w:val="009E71E2"/>
    <w:rsid w:val="00A04324"/>
    <w:rsid w:val="00A10810"/>
    <w:rsid w:val="00A4134F"/>
    <w:rsid w:val="00AB696E"/>
    <w:rsid w:val="00AE56B4"/>
    <w:rsid w:val="00AE5B76"/>
    <w:rsid w:val="00B02E26"/>
    <w:rsid w:val="00B06BB8"/>
    <w:rsid w:val="00B23B77"/>
    <w:rsid w:val="00B459B7"/>
    <w:rsid w:val="00BB7E35"/>
    <w:rsid w:val="00BD0671"/>
    <w:rsid w:val="00BD68F5"/>
    <w:rsid w:val="00C23B43"/>
    <w:rsid w:val="00C55DFC"/>
    <w:rsid w:val="00C75816"/>
    <w:rsid w:val="00C92D53"/>
    <w:rsid w:val="00C9714C"/>
    <w:rsid w:val="00CA0687"/>
    <w:rsid w:val="00CB21F3"/>
    <w:rsid w:val="00CD01F1"/>
    <w:rsid w:val="00CD0B55"/>
    <w:rsid w:val="00CE1CA6"/>
    <w:rsid w:val="00D24722"/>
    <w:rsid w:val="00D316E0"/>
    <w:rsid w:val="00D32ADD"/>
    <w:rsid w:val="00D34ECE"/>
    <w:rsid w:val="00D5601A"/>
    <w:rsid w:val="00D873BD"/>
    <w:rsid w:val="00D93B99"/>
    <w:rsid w:val="00D95415"/>
    <w:rsid w:val="00D9781B"/>
    <w:rsid w:val="00DC0EF9"/>
    <w:rsid w:val="00DE2EBD"/>
    <w:rsid w:val="00E17CA7"/>
    <w:rsid w:val="00E30654"/>
    <w:rsid w:val="00E361D1"/>
    <w:rsid w:val="00E47517"/>
    <w:rsid w:val="00E71FBC"/>
    <w:rsid w:val="00E86256"/>
    <w:rsid w:val="00EC574B"/>
    <w:rsid w:val="00EE13B5"/>
    <w:rsid w:val="00F01B7D"/>
    <w:rsid w:val="00F150F5"/>
    <w:rsid w:val="00F162E3"/>
    <w:rsid w:val="00F5354F"/>
    <w:rsid w:val="00F55F63"/>
    <w:rsid w:val="00F62C51"/>
    <w:rsid w:val="00FC2A3C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5C2A7B3-F5A5-4343-88A8-AF6F9459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587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7400A4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7400A4"/>
  </w:style>
  <w:style w:type="table" w:styleId="Tablaconcuadrcula">
    <w:name w:val="Table Grid"/>
    <w:basedOn w:val="Tablanormal"/>
    <w:uiPriority w:val="39"/>
    <w:rsid w:val="0040612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1746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Itze Hdz.</cp:lastModifiedBy>
  <cp:revision>8</cp:revision>
  <cp:lastPrinted>2019-04-29T21:15:00Z</cp:lastPrinted>
  <dcterms:created xsi:type="dcterms:W3CDTF">2019-09-20T19:51:00Z</dcterms:created>
  <dcterms:modified xsi:type="dcterms:W3CDTF">2019-10-15T23:49:00Z</dcterms:modified>
</cp:coreProperties>
</file>