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E" w:rsidRPr="00B10C1A" w:rsidRDefault="0046491C" w:rsidP="0046491C">
      <w:pPr>
        <w:spacing w:after="0" w:line="360" w:lineRule="auto"/>
        <w:jc w:val="both"/>
        <w:rPr>
          <w:rFonts w:ascii="Palatino Linotype" w:hAnsi="Palatino Linotype" w:cs="Arial"/>
          <w:b/>
          <w:sz w:val="24"/>
          <w:szCs w:val="24"/>
        </w:rPr>
      </w:pPr>
      <w:bookmarkStart w:id="0" w:name="_GoBack"/>
      <w:bookmarkEnd w:id="0"/>
      <w:r w:rsidRPr="00B10C1A">
        <w:rPr>
          <w:rFonts w:ascii="Palatino Linotype" w:hAnsi="Palatino Linotype" w:cs="Arial"/>
          <w:b/>
          <w:sz w:val="24"/>
          <w:szCs w:val="24"/>
        </w:rPr>
        <w:t>VOTO PARTICULAR DEL COMISIONADO JOSÉ GUADA</w:t>
      </w:r>
      <w:r w:rsidR="00D72985" w:rsidRPr="00B10C1A">
        <w:rPr>
          <w:rFonts w:ascii="Palatino Linotype" w:hAnsi="Palatino Linotype" w:cs="Arial"/>
          <w:b/>
          <w:sz w:val="24"/>
          <w:szCs w:val="24"/>
        </w:rPr>
        <w:t>LUPE LUNA HERNÁNDEZ DEL RECURSO</w:t>
      </w:r>
      <w:r w:rsidRPr="00B10C1A">
        <w:rPr>
          <w:rFonts w:ascii="Palatino Linotype" w:hAnsi="Palatino Linotype" w:cs="Arial"/>
          <w:b/>
          <w:sz w:val="24"/>
          <w:szCs w:val="24"/>
        </w:rPr>
        <w:t xml:space="preserve"> DE REVISIÓN </w:t>
      </w:r>
      <w:r w:rsidR="0085533E" w:rsidRPr="00B10C1A">
        <w:rPr>
          <w:rFonts w:ascii="Palatino Linotype" w:hAnsi="Palatino Linotype" w:cs="Arial"/>
          <w:b/>
          <w:sz w:val="24"/>
          <w:szCs w:val="24"/>
        </w:rPr>
        <w:t>0</w:t>
      </w:r>
      <w:r w:rsidR="00955879">
        <w:rPr>
          <w:rFonts w:ascii="Palatino Linotype" w:hAnsi="Palatino Linotype" w:cs="Arial"/>
          <w:b/>
          <w:sz w:val="24"/>
          <w:szCs w:val="24"/>
        </w:rPr>
        <w:t>0</w:t>
      </w:r>
      <w:r w:rsidR="00BA5C93">
        <w:rPr>
          <w:rFonts w:ascii="Palatino Linotype" w:hAnsi="Palatino Linotype" w:cs="Arial"/>
          <w:b/>
          <w:sz w:val="24"/>
          <w:szCs w:val="24"/>
        </w:rPr>
        <w:t>610</w:t>
      </w:r>
      <w:r w:rsidR="009C41CC" w:rsidRPr="00B10C1A">
        <w:rPr>
          <w:rFonts w:ascii="Palatino Linotype" w:hAnsi="Palatino Linotype" w:cs="Arial"/>
          <w:b/>
          <w:sz w:val="24"/>
          <w:szCs w:val="24"/>
        </w:rPr>
        <w:t>/INFOEM/IP/RR/201</w:t>
      </w:r>
      <w:r w:rsidR="00955879">
        <w:rPr>
          <w:rFonts w:ascii="Palatino Linotype" w:hAnsi="Palatino Linotype" w:cs="Arial"/>
          <w:b/>
          <w:sz w:val="24"/>
          <w:szCs w:val="24"/>
        </w:rPr>
        <w:t>9</w:t>
      </w:r>
      <w:r w:rsidR="00D12DE7" w:rsidRPr="00B10C1A">
        <w:rPr>
          <w:rFonts w:ascii="Palatino Linotype" w:hAnsi="Palatino Linotype" w:cs="Arial"/>
          <w:b/>
          <w:sz w:val="24"/>
          <w:szCs w:val="24"/>
        </w:rPr>
        <w:t xml:space="preserve">. </w:t>
      </w:r>
    </w:p>
    <w:p w:rsidR="00770B87" w:rsidRPr="00B10C1A" w:rsidRDefault="00770B87" w:rsidP="0046491C">
      <w:pPr>
        <w:spacing w:after="0" w:line="360" w:lineRule="auto"/>
        <w:jc w:val="both"/>
        <w:rPr>
          <w:rFonts w:ascii="Palatino Linotype" w:hAnsi="Palatino Linotype" w:cs="Arial"/>
          <w:b/>
          <w:sz w:val="24"/>
          <w:szCs w:val="24"/>
        </w:rPr>
      </w:pPr>
    </w:p>
    <w:p w:rsidR="0046491C" w:rsidRPr="00B10C1A" w:rsidRDefault="0046491C" w:rsidP="0046491C">
      <w:pPr>
        <w:spacing w:after="0" w:line="360" w:lineRule="auto"/>
        <w:jc w:val="both"/>
        <w:rPr>
          <w:rFonts w:ascii="Palatino Linotype" w:hAnsi="Palatino Linotype" w:cs="Arial"/>
          <w:b/>
          <w:sz w:val="24"/>
          <w:szCs w:val="24"/>
        </w:rPr>
      </w:pPr>
      <w:r w:rsidRPr="00B10C1A">
        <w:rPr>
          <w:rFonts w:ascii="Palatino Linotype" w:hAnsi="Palatino Linotype" w:cs="Arial"/>
          <w:b/>
          <w:sz w:val="24"/>
          <w:szCs w:val="24"/>
        </w:rPr>
        <w:t>Líneas argumentativas:</w:t>
      </w:r>
    </w:p>
    <w:p w:rsidR="00902248" w:rsidRPr="00B10C1A" w:rsidRDefault="00902248" w:rsidP="0046491C">
      <w:pPr>
        <w:spacing w:after="0" w:line="360"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B10C1A" w:rsidRDefault="00902248"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figura de actos consentidos no debe ser invocada en el derecho humano fundamental de acceder a la información pública gubernamental.</w:t>
      </w:r>
    </w:p>
    <w:p w:rsidR="00410C93" w:rsidRPr="00B10C1A" w:rsidRDefault="00410C93"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Restringir el derecho de acceso a la información pública del particular al no ordenar la</w:t>
      </w:r>
      <w:r w:rsidR="00955879">
        <w:rPr>
          <w:rFonts w:ascii="Palatino Linotype" w:hAnsi="Palatino Linotype" w:cs="Arial"/>
          <w:sz w:val="24"/>
          <w:szCs w:val="24"/>
        </w:rPr>
        <w:t xml:space="preserve"> </w:t>
      </w:r>
      <w:r w:rsidRPr="00B10C1A">
        <w:rPr>
          <w:rFonts w:ascii="Palatino Linotype" w:hAnsi="Palatino Linotype" w:cs="Arial"/>
          <w:sz w:val="24"/>
          <w:szCs w:val="24"/>
        </w:rPr>
        <w:t>información solicitada por no impugnar la falta de entrega de los documentos solicitados, debilita la efectividad de la  garantía de este derecho humano al hacerla depender de un hecho desconocido.</w:t>
      </w:r>
    </w:p>
    <w:p w:rsidR="0046491C" w:rsidRPr="00B10C1A" w:rsidRDefault="0046491C" w:rsidP="00902248">
      <w:pPr>
        <w:spacing w:after="0" w:line="276" w:lineRule="auto"/>
        <w:jc w:val="both"/>
        <w:rPr>
          <w:rFonts w:ascii="Palatino Linotype" w:hAnsi="Palatino Linotype" w:cs="Arial"/>
          <w:sz w:val="24"/>
          <w:szCs w:val="24"/>
        </w:rPr>
      </w:pPr>
    </w:p>
    <w:p w:rsidR="0046491C"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Los órganos del Estado, tienen el deber que tienen dentro del margen de sus atribuciones, de prevenir violaciones a los derechos fundamentales.</w:t>
      </w:r>
    </w:p>
    <w:p w:rsidR="00955879" w:rsidRDefault="00955879" w:rsidP="0046491C">
      <w:pPr>
        <w:pStyle w:val="TtulodeTDC"/>
        <w:rPr>
          <w:rFonts w:cs="Arial"/>
          <w:b w:val="0"/>
          <w:szCs w:val="24"/>
        </w:rPr>
      </w:pPr>
    </w:p>
    <w:p w:rsidR="00007504" w:rsidRPr="00B10C1A" w:rsidRDefault="0046491C" w:rsidP="0046491C">
      <w:pPr>
        <w:pStyle w:val="TtulodeTDC"/>
        <w:rPr>
          <w:rFonts w:cs="Arial"/>
          <w:b w:val="0"/>
          <w:szCs w:val="24"/>
        </w:rPr>
      </w:pPr>
      <w:r w:rsidRPr="00B10C1A">
        <w:rPr>
          <w:rFonts w:cs="Arial"/>
          <w:b w:val="0"/>
          <w:szCs w:val="24"/>
        </w:rPr>
        <w:t>Índice</w:t>
      </w:r>
    </w:p>
    <w:sdt>
      <w:sdtPr>
        <w:rPr>
          <w:lang w:val="es-ES"/>
        </w:rPr>
        <w:id w:val="-1628690016"/>
        <w:docPartObj>
          <w:docPartGallery w:val="Table of Contents"/>
          <w:docPartUnique/>
        </w:docPartObj>
      </w:sdtPr>
      <w:sdtEndPr>
        <w:rPr>
          <w:rFonts w:ascii="Palatino Linotype" w:hAnsi="Palatino Linotype"/>
          <w:b/>
          <w:bCs/>
          <w:sz w:val="24"/>
          <w:szCs w:val="24"/>
        </w:rPr>
      </w:sdtEndPr>
      <w:sdtContent>
        <w:p w:rsidR="0046491C" w:rsidRPr="00B10C1A" w:rsidRDefault="0046491C" w:rsidP="00007504">
          <w:pPr>
            <w:spacing w:after="0" w:line="360" w:lineRule="auto"/>
            <w:jc w:val="both"/>
          </w:pPr>
        </w:p>
        <w:p w:rsidR="003B3FC7" w:rsidRPr="003B3FC7" w:rsidRDefault="0046491C">
          <w:pPr>
            <w:pStyle w:val="TDC1"/>
            <w:rPr>
              <w:rFonts w:ascii="Palatino Linotype" w:eastAsiaTheme="minorEastAsia" w:hAnsi="Palatino Linotype"/>
              <w:noProof/>
              <w:sz w:val="24"/>
              <w:szCs w:val="24"/>
              <w:lang w:eastAsia="es-MX"/>
            </w:rPr>
          </w:pPr>
          <w:r w:rsidRPr="003B3FC7">
            <w:rPr>
              <w:rFonts w:ascii="Palatino Linotype" w:hAnsi="Palatino Linotype"/>
              <w:sz w:val="24"/>
              <w:szCs w:val="24"/>
            </w:rPr>
            <w:fldChar w:fldCharType="begin"/>
          </w:r>
          <w:r w:rsidRPr="003B3FC7">
            <w:rPr>
              <w:rFonts w:ascii="Palatino Linotype" w:hAnsi="Palatino Linotype"/>
              <w:sz w:val="24"/>
              <w:szCs w:val="24"/>
            </w:rPr>
            <w:instrText xml:space="preserve"> TOC \o "1-3" \h \z \u </w:instrText>
          </w:r>
          <w:r w:rsidRPr="003B3FC7">
            <w:rPr>
              <w:rFonts w:ascii="Palatino Linotype" w:hAnsi="Palatino Linotype"/>
              <w:sz w:val="24"/>
              <w:szCs w:val="24"/>
            </w:rPr>
            <w:fldChar w:fldCharType="separate"/>
          </w:r>
          <w:hyperlink w:anchor="_Toc264965" w:history="1">
            <w:r w:rsidR="003B3FC7" w:rsidRPr="003B3FC7">
              <w:rPr>
                <w:rStyle w:val="Hipervnculo"/>
                <w:rFonts w:ascii="Palatino Linotype" w:hAnsi="Palatino Linotype"/>
                <w:noProof/>
                <w:sz w:val="24"/>
                <w:szCs w:val="24"/>
              </w:rPr>
              <w:t>I.</w:t>
            </w:r>
            <w:r w:rsidR="003B3FC7" w:rsidRPr="003B3FC7">
              <w:rPr>
                <w:rFonts w:ascii="Palatino Linotype" w:eastAsiaTheme="minorEastAsia" w:hAnsi="Palatino Linotype"/>
                <w:noProof/>
                <w:sz w:val="24"/>
                <w:szCs w:val="24"/>
                <w:lang w:eastAsia="es-MX"/>
              </w:rPr>
              <w:tab/>
            </w:r>
            <w:r w:rsidR="003B3FC7" w:rsidRPr="003B3FC7">
              <w:rPr>
                <w:rStyle w:val="Hipervnculo"/>
                <w:rFonts w:ascii="Palatino Linotype" w:hAnsi="Palatino Linotype"/>
                <w:noProof/>
                <w:sz w:val="24"/>
                <w:szCs w:val="24"/>
              </w:rPr>
              <w:t>Consideraciones Generales.</w:t>
            </w:r>
            <w:r w:rsidR="003B3FC7" w:rsidRPr="003B3FC7">
              <w:rPr>
                <w:rFonts w:ascii="Palatino Linotype" w:hAnsi="Palatino Linotype"/>
                <w:noProof/>
                <w:webHidden/>
                <w:sz w:val="24"/>
                <w:szCs w:val="24"/>
              </w:rPr>
              <w:tab/>
            </w:r>
            <w:r w:rsidR="003B3FC7" w:rsidRPr="003B3FC7">
              <w:rPr>
                <w:rFonts w:ascii="Palatino Linotype" w:hAnsi="Palatino Linotype"/>
                <w:noProof/>
                <w:webHidden/>
                <w:sz w:val="24"/>
                <w:szCs w:val="24"/>
              </w:rPr>
              <w:fldChar w:fldCharType="begin"/>
            </w:r>
            <w:r w:rsidR="003B3FC7" w:rsidRPr="003B3FC7">
              <w:rPr>
                <w:rFonts w:ascii="Palatino Linotype" w:hAnsi="Palatino Linotype"/>
                <w:noProof/>
                <w:webHidden/>
                <w:sz w:val="24"/>
                <w:szCs w:val="24"/>
              </w:rPr>
              <w:instrText xml:space="preserve"> PAGEREF _Toc264965 \h </w:instrText>
            </w:r>
            <w:r w:rsidR="003B3FC7" w:rsidRPr="003B3FC7">
              <w:rPr>
                <w:rFonts w:ascii="Palatino Linotype" w:hAnsi="Palatino Linotype"/>
                <w:noProof/>
                <w:webHidden/>
                <w:sz w:val="24"/>
                <w:szCs w:val="24"/>
              </w:rPr>
            </w:r>
            <w:r w:rsidR="003B3FC7" w:rsidRPr="003B3FC7">
              <w:rPr>
                <w:rFonts w:ascii="Palatino Linotype" w:hAnsi="Palatino Linotype"/>
                <w:noProof/>
                <w:webHidden/>
                <w:sz w:val="24"/>
                <w:szCs w:val="24"/>
              </w:rPr>
              <w:fldChar w:fldCharType="separate"/>
            </w:r>
            <w:r w:rsidR="004D7218">
              <w:rPr>
                <w:rFonts w:ascii="Palatino Linotype" w:hAnsi="Palatino Linotype"/>
                <w:noProof/>
                <w:webHidden/>
                <w:sz w:val="24"/>
                <w:szCs w:val="24"/>
              </w:rPr>
              <w:t>2</w:t>
            </w:r>
            <w:r w:rsidR="003B3FC7" w:rsidRPr="003B3FC7">
              <w:rPr>
                <w:rFonts w:ascii="Palatino Linotype" w:hAnsi="Palatino Linotype"/>
                <w:noProof/>
                <w:webHidden/>
                <w:sz w:val="24"/>
                <w:szCs w:val="24"/>
              </w:rPr>
              <w:fldChar w:fldCharType="end"/>
            </w:r>
          </w:hyperlink>
        </w:p>
        <w:p w:rsidR="003B3FC7" w:rsidRPr="003B3FC7" w:rsidRDefault="00A01CDF">
          <w:pPr>
            <w:pStyle w:val="TDC1"/>
            <w:rPr>
              <w:rFonts w:ascii="Palatino Linotype" w:eastAsiaTheme="minorEastAsia" w:hAnsi="Palatino Linotype"/>
              <w:noProof/>
              <w:sz w:val="24"/>
              <w:szCs w:val="24"/>
              <w:lang w:eastAsia="es-MX"/>
            </w:rPr>
          </w:pPr>
          <w:hyperlink w:anchor="_Toc264966" w:history="1">
            <w:r w:rsidR="003B3FC7" w:rsidRPr="003B3FC7">
              <w:rPr>
                <w:rStyle w:val="Hipervnculo"/>
                <w:rFonts w:ascii="Palatino Linotype" w:hAnsi="Palatino Linotype"/>
                <w:noProof/>
                <w:sz w:val="24"/>
                <w:szCs w:val="24"/>
              </w:rPr>
              <w:t>II.</w:t>
            </w:r>
            <w:r w:rsidR="003B3FC7" w:rsidRPr="003B3FC7">
              <w:rPr>
                <w:rFonts w:ascii="Palatino Linotype" w:eastAsiaTheme="minorEastAsia" w:hAnsi="Palatino Linotype"/>
                <w:noProof/>
                <w:sz w:val="24"/>
                <w:szCs w:val="24"/>
                <w:lang w:eastAsia="es-MX"/>
              </w:rPr>
              <w:tab/>
            </w:r>
            <w:r w:rsidR="003B3FC7" w:rsidRPr="003B3FC7">
              <w:rPr>
                <w:rStyle w:val="Hipervnculo"/>
                <w:rFonts w:ascii="Palatino Linotype" w:hAnsi="Palatino Linotype"/>
                <w:noProof/>
                <w:sz w:val="24"/>
                <w:szCs w:val="24"/>
              </w:rPr>
              <w:t>De los requerimientos planteados en el recurso de revisión.</w:t>
            </w:r>
            <w:r w:rsidR="003B3FC7" w:rsidRPr="003B3FC7">
              <w:rPr>
                <w:rFonts w:ascii="Palatino Linotype" w:hAnsi="Palatino Linotype"/>
                <w:noProof/>
                <w:webHidden/>
                <w:sz w:val="24"/>
                <w:szCs w:val="24"/>
              </w:rPr>
              <w:tab/>
            </w:r>
            <w:r w:rsidR="003B3FC7" w:rsidRPr="003B3FC7">
              <w:rPr>
                <w:rFonts w:ascii="Palatino Linotype" w:hAnsi="Palatino Linotype"/>
                <w:noProof/>
                <w:webHidden/>
                <w:sz w:val="24"/>
                <w:szCs w:val="24"/>
              </w:rPr>
              <w:fldChar w:fldCharType="begin"/>
            </w:r>
            <w:r w:rsidR="003B3FC7" w:rsidRPr="003B3FC7">
              <w:rPr>
                <w:rFonts w:ascii="Palatino Linotype" w:hAnsi="Palatino Linotype"/>
                <w:noProof/>
                <w:webHidden/>
                <w:sz w:val="24"/>
                <w:szCs w:val="24"/>
              </w:rPr>
              <w:instrText xml:space="preserve"> PAGEREF _Toc264966 \h </w:instrText>
            </w:r>
            <w:r w:rsidR="003B3FC7" w:rsidRPr="003B3FC7">
              <w:rPr>
                <w:rFonts w:ascii="Palatino Linotype" w:hAnsi="Palatino Linotype"/>
                <w:noProof/>
                <w:webHidden/>
                <w:sz w:val="24"/>
                <w:szCs w:val="24"/>
              </w:rPr>
            </w:r>
            <w:r w:rsidR="003B3FC7" w:rsidRPr="003B3FC7">
              <w:rPr>
                <w:rFonts w:ascii="Palatino Linotype" w:hAnsi="Palatino Linotype"/>
                <w:noProof/>
                <w:webHidden/>
                <w:sz w:val="24"/>
                <w:szCs w:val="24"/>
              </w:rPr>
              <w:fldChar w:fldCharType="separate"/>
            </w:r>
            <w:r w:rsidR="004D7218">
              <w:rPr>
                <w:rFonts w:ascii="Palatino Linotype" w:hAnsi="Palatino Linotype"/>
                <w:noProof/>
                <w:webHidden/>
                <w:sz w:val="24"/>
                <w:szCs w:val="24"/>
              </w:rPr>
              <w:t>3</w:t>
            </w:r>
            <w:r w:rsidR="003B3FC7" w:rsidRPr="003B3FC7">
              <w:rPr>
                <w:rFonts w:ascii="Palatino Linotype" w:hAnsi="Palatino Linotype"/>
                <w:noProof/>
                <w:webHidden/>
                <w:sz w:val="24"/>
                <w:szCs w:val="24"/>
              </w:rPr>
              <w:fldChar w:fldCharType="end"/>
            </w:r>
          </w:hyperlink>
        </w:p>
        <w:p w:rsidR="003B3FC7" w:rsidRPr="003B3FC7" w:rsidRDefault="00A01CDF">
          <w:pPr>
            <w:pStyle w:val="TDC1"/>
            <w:rPr>
              <w:rFonts w:ascii="Palatino Linotype" w:eastAsiaTheme="minorEastAsia" w:hAnsi="Palatino Linotype"/>
              <w:noProof/>
              <w:sz w:val="24"/>
              <w:szCs w:val="24"/>
              <w:lang w:eastAsia="es-MX"/>
            </w:rPr>
          </w:pPr>
          <w:hyperlink w:anchor="_Toc264967" w:history="1">
            <w:r w:rsidR="003B3FC7" w:rsidRPr="003B3FC7">
              <w:rPr>
                <w:rStyle w:val="Hipervnculo"/>
                <w:rFonts w:ascii="Palatino Linotype" w:hAnsi="Palatino Linotype"/>
                <w:noProof/>
                <w:sz w:val="24"/>
                <w:szCs w:val="24"/>
              </w:rPr>
              <w:t>III.</w:t>
            </w:r>
            <w:r w:rsidR="003B3FC7" w:rsidRPr="003B3FC7">
              <w:rPr>
                <w:rFonts w:ascii="Palatino Linotype" w:eastAsiaTheme="minorEastAsia" w:hAnsi="Palatino Linotype"/>
                <w:noProof/>
                <w:sz w:val="24"/>
                <w:szCs w:val="24"/>
                <w:lang w:eastAsia="es-MX"/>
              </w:rPr>
              <w:tab/>
            </w:r>
            <w:r w:rsidR="003B3FC7" w:rsidRPr="003B3FC7">
              <w:rPr>
                <w:rStyle w:val="Hipervnculo"/>
                <w:rFonts w:ascii="Palatino Linotype" w:hAnsi="Palatino Linotype"/>
                <w:noProof/>
                <w:sz w:val="24"/>
                <w:szCs w:val="24"/>
              </w:rPr>
              <w:t>Los actos consentidos no deben invocarse en el derecho fundamental de acceder a la información pública gubernamental.</w:t>
            </w:r>
            <w:r w:rsidR="003B3FC7" w:rsidRPr="003B3FC7">
              <w:rPr>
                <w:rFonts w:ascii="Palatino Linotype" w:hAnsi="Palatino Linotype"/>
                <w:noProof/>
                <w:webHidden/>
                <w:sz w:val="24"/>
                <w:szCs w:val="24"/>
              </w:rPr>
              <w:tab/>
            </w:r>
            <w:r w:rsidR="003B3FC7" w:rsidRPr="003B3FC7">
              <w:rPr>
                <w:rFonts w:ascii="Palatino Linotype" w:hAnsi="Palatino Linotype"/>
                <w:noProof/>
                <w:webHidden/>
                <w:sz w:val="24"/>
                <w:szCs w:val="24"/>
              </w:rPr>
              <w:fldChar w:fldCharType="begin"/>
            </w:r>
            <w:r w:rsidR="003B3FC7" w:rsidRPr="003B3FC7">
              <w:rPr>
                <w:rFonts w:ascii="Palatino Linotype" w:hAnsi="Palatino Linotype"/>
                <w:noProof/>
                <w:webHidden/>
                <w:sz w:val="24"/>
                <w:szCs w:val="24"/>
              </w:rPr>
              <w:instrText xml:space="preserve"> PAGEREF _Toc264967 \h </w:instrText>
            </w:r>
            <w:r w:rsidR="003B3FC7" w:rsidRPr="003B3FC7">
              <w:rPr>
                <w:rFonts w:ascii="Palatino Linotype" w:hAnsi="Palatino Linotype"/>
                <w:noProof/>
                <w:webHidden/>
                <w:sz w:val="24"/>
                <w:szCs w:val="24"/>
              </w:rPr>
            </w:r>
            <w:r w:rsidR="003B3FC7" w:rsidRPr="003B3FC7">
              <w:rPr>
                <w:rFonts w:ascii="Palatino Linotype" w:hAnsi="Palatino Linotype"/>
                <w:noProof/>
                <w:webHidden/>
                <w:sz w:val="24"/>
                <w:szCs w:val="24"/>
              </w:rPr>
              <w:fldChar w:fldCharType="separate"/>
            </w:r>
            <w:r w:rsidR="004D7218">
              <w:rPr>
                <w:rFonts w:ascii="Palatino Linotype" w:hAnsi="Palatino Linotype"/>
                <w:noProof/>
                <w:webHidden/>
                <w:sz w:val="24"/>
                <w:szCs w:val="24"/>
              </w:rPr>
              <w:t>6</w:t>
            </w:r>
            <w:r w:rsidR="003B3FC7" w:rsidRPr="003B3FC7">
              <w:rPr>
                <w:rFonts w:ascii="Palatino Linotype" w:hAnsi="Palatino Linotype"/>
                <w:noProof/>
                <w:webHidden/>
                <w:sz w:val="24"/>
                <w:szCs w:val="24"/>
              </w:rPr>
              <w:fldChar w:fldCharType="end"/>
            </w:r>
          </w:hyperlink>
        </w:p>
        <w:p w:rsidR="003B3FC7" w:rsidRPr="003B3FC7" w:rsidRDefault="00A01CDF">
          <w:pPr>
            <w:pStyle w:val="TDC1"/>
            <w:rPr>
              <w:rFonts w:ascii="Palatino Linotype" w:eastAsiaTheme="minorEastAsia" w:hAnsi="Palatino Linotype"/>
              <w:noProof/>
              <w:sz w:val="24"/>
              <w:szCs w:val="24"/>
              <w:lang w:eastAsia="es-MX"/>
            </w:rPr>
          </w:pPr>
          <w:hyperlink w:anchor="_Toc264968" w:history="1">
            <w:r w:rsidR="003B3FC7" w:rsidRPr="003B3FC7">
              <w:rPr>
                <w:rStyle w:val="Hipervnculo"/>
                <w:rFonts w:ascii="Palatino Linotype" w:hAnsi="Palatino Linotype"/>
                <w:noProof/>
                <w:sz w:val="24"/>
                <w:szCs w:val="24"/>
              </w:rPr>
              <w:t>IV.</w:t>
            </w:r>
            <w:r w:rsidR="003B3FC7" w:rsidRPr="003B3FC7">
              <w:rPr>
                <w:rFonts w:ascii="Palatino Linotype" w:eastAsiaTheme="minorEastAsia" w:hAnsi="Palatino Linotype"/>
                <w:noProof/>
                <w:sz w:val="24"/>
                <w:szCs w:val="24"/>
                <w:lang w:eastAsia="es-MX"/>
              </w:rPr>
              <w:tab/>
            </w:r>
            <w:r w:rsidR="003B3FC7" w:rsidRPr="003B3FC7">
              <w:rPr>
                <w:rStyle w:val="Hipervnculo"/>
                <w:rFonts w:ascii="Palatino Linotype" w:hAnsi="Palatino Linotype"/>
                <w:noProof/>
                <w:sz w:val="24"/>
                <w:szCs w:val="24"/>
              </w:rPr>
              <w:t>La naturaleza del Título Profesional.</w:t>
            </w:r>
            <w:r w:rsidR="003B3FC7" w:rsidRPr="003B3FC7">
              <w:rPr>
                <w:rFonts w:ascii="Palatino Linotype" w:hAnsi="Palatino Linotype"/>
                <w:noProof/>
                <w:webHidden/>
                <w:sz w:val="24"/>
                <w:szCs w:val="24"/>
              </w:rPr>
              <w:tab/>
            </w:r>
            <w:r w:rsidR="003B3FC7" w:rsidRPr="003B3FC7">
              <w:rPr>
                <w:rFonts w:ascii="Palatino Linotype" w:hAnsi="Palatino Linotype"/>
                <w:noProof/>
                <w:webHidden/>
                <w:sz w:val="24"/>
                <w:szCs w:val="24"/>
              </w:rPr>
              <w:fldChar w:fldCharType="begin"/>
            </w:r>
            <w:r w:rsidR="003B3FC7" w:rsidRPr="003B3FC7">
              <w:rPr>
                <w:rFonts w:ascii="Palatino Linotype" w:hAnsi="Palatino Linotype"/>
                <w:noProof/>
                <w:webHidden/>
                <w:sz w:val="24"/>
                <w:szCs w:val="24"/>
              </w:rPr>
              <w:instrText xml:space="preserve"> PAGEREF _Toc264968 \h </w:instrText>
            </w:r>
            <w:r w:rsidR="003B3FC7" w:rsidRPr="003B3FC7">
              <w:rPr>
                <w:rFonts w:ascii="Palatino Linotype" w:hAnsi="Palatino Linotype"/>
                <w:noProof/>
                <w:webHidden/>
                <w:sz w:val="24"/>
                <w:szCs w:val="24"/>
              </w:rPr>
            </w:r>
            <w:r w:rsidR="003B3FC7" w:rsidRPr="003B3FC7">
              <w:rPr>
                <w:rFonts w:ascii="Palatino Linotype" w:hAnsi="Palatino Linotype"/>
                <w:noProof/>
                <w:webHidden/>
                <w:sz w:val="24"/>
                <w:szCs w:val="24"/>
              </w:rPr>
              <w:fldChar w:fldCharType="separate"/>
            </w:r>
            <w:r w:rsidR="004D7218">
              <w:rPr>
                <w:rFonts w:ascii="Palatino Linotype" w:hAnsi="Palatino Linotype"/>
                <w:b/>
                <w:bCs/>
                <w:noProof/>
                <w:webHidden/>
                <w:sz w:val="24"/>
                <w:szCs w:val="24"/>
                <w:lang w:val="es-ES"/>
              </w:rPr>
              <w:t>¡Error! Marcador no definido.</w:t>
            </w:r>
            <w:r w:rsidR="003B3FC7" w:rsidRPr="003B3FC7">
              <w:rPr>
                <w:rFonts w:ascii="Palatino Linotype" w:hAnsi="Palatino Linotype"/>
                <w:noProof/>
                <w:webHidden/>
                <w:sz w:val="24"/>
                <w:szCs w:val="24"/>
              </w:rPr>
              <w:fldChar w:fldCharType="end"/>
            </w:r>
          </w:hyperlink>
        </w:p>
        <w:p w:rsidR="003B3FC7" w:rsidRPr="003B3FC7" w:rsidRDefault="00A01CDF">
          <w:pPr>
            <w:pStyle w:val="TDC1"/>
            <w:rPr>
              <w:rFonts w:ascii="Palatino Linotype" w:eastAsiaTheme="minorEastAsia" w:hAnsi="Palatino Linotype"/>
              <w:noProof/>
              <w:sz w:val="24"/>
              <w:szCs w:val="24"/>
              <w:lang w:eastAsia="es-MX"/>
            </w:rPr>
          </w:pPr>
          <w:hyperlink w:anchor="_Toc264969" w:history="1">
            <w:r w:rsidR="003B3FC7" w:rsidRPr="003B3FC7">
              <w:rPr>
                <w:rStyle w:val="Hipervnculo"/>
                <w:rFonts w:ascii="Palatino Linotype" w:hAnsi="Palatino Linotype"/>
                <w:noProof/>
                <w:sz w:val="24"/>
                <w:szCs w:val="24"/>
              </w:rPr>
              <w:t>V.</w:t>
            </w:r>
            <w:r w:rsidR="003B3FC7" w:rsidRPr="003B3FC7">
              <w:rPr>
                <w:rFonts w:ascii="Palatino Linotype" w:eastAsiaTheme="minorEastAsia" w:hAnsi="Palatino Linotype"/>
                <w:noProof/>
                <w:sz w:val="24"/>
                <w:szCs w:val="24"/>
                <w:lang w:eastAsia="es-MX"/>
              </w:rPr>
              <w:tab/>
            </w:r>
            <w:r w:rsidR="003B3FC7" w:rsidRPr="003B3FC7">
              <w:rPr>
                <w:rStyle w:val="Hipervnculo"/>
                <w:rFonts w:ascii="Palatino Linotype" w:hAnsi="Palatino Linotype"/>
                <w:noProof/>
                <w:sz w:val="24"/>
                <w:szCs w:val="24"/>
              </w:rPr>
              <w:t>Conclusión</w:t>
            </w:r>
            <w:r w:rsidR="003B3FC7" w:rsidRPr="003B3FC7">
              <w:rPr>
                <w:rFonts w:ascii="Palatino Linotype" w:hAnsi="Palatino Linotype"/>
                <w:noProof/>
                <w:webHidden/>
                <w:sz w:val="24"/>
                <w:szCs w:val="24"/>
              </w:rPr>
              <w:tab/>
            </w:r>
            <w:r w:rsidR="003B3FC7" w:rsidRPr="003B3FC7">
              <w:rPr>
                <w:rFonts w:ascii="Palatino Linotype" w:hAnsi="Palatino Linotype"/>
                <w:noProof/>
                <w:webHidden/>
                <w:sz w:val="24"/>
                <w:szCs w:val="24"/>
              </w:rPr>
              <w:fldChar w:fldCharType="begin"/>
            </w:r>
            <w:r w:rsidR="003B3FC7" w:rsidRPr="003B3FC7">
              <w:rPr>
                <w:rFonts w:ascii="Palatino Linotype" w:hAnsi="Palatino Linotype"/>
                <w:noProof/>
                <w:webHidden/>
                <w:sz w:val="24"/>
                <w:szCs w:val="24"/>
              </w:rPr>
              <w:instrText xml:space="preserve"> PAGEREF _Toc264969 \h </w:instrText>
            </w:r>
            <w:r w:rsidR="003B3FC7" w:rsidRPr="003B3FC7">
              <w:rPr>
                <w:rFonts w:ascii="Palatino Linotype" w:hAnsi="Palatino Linotype"/>
                <w:noProof/>
                <w:webHidden/>
                <w:sz w:val="24"/>
                <w:szCs w:val="24"/>
              </w:rPr>
            </w:r>
            <w:r w:rsidR="003B3FC7" w:rsidRPr="003B3FC7">
              <w:rPr>
                <w:rFonts w:ascii="Palatino Linotype" w:hAnsi="Palatino Linotype"/>
                <w:noProof/>
                <w:webHidden/>
                <w:sz w:val="24"/>
                <w:szCs w:val="24"/>
              </w:rPr>
              <w:fldChar w:fldCharType="separate"/>
            </w:r>
            <w:r w:rsidR="004D7218">
              <w:rPr>
                <w:rFonts w:ascii="Palatino Linotype" w:hAnsi="Palatino Linotype"/>
                <w:noProof/>
                <w:webHidden/>
                <w:sz w:val="24"/>
                <w:szCs w:val="24"/>
              </w:rPr>
              <w:t>15</w:t>
            </w:r>
            <w:r w:rsidR="003B3FC7" w:rsidRPr="003B3FC7">
              <w:rPr>
                <w:rFonts w:ascii="Palatino Linotype" w:hAnsi="Palatino Linotype"/>
                <w:noProof/>
                <w:webHidden/>
                <w:sz w:val="24"/>
                <w:szCs w:val="24"/>
              </w:rPr>
              <w:fldChar w:fldCharType="end"/>
            </w:r>
          </w:hyperlink>
        </w:p>
        <w:p w:rsidR="0046491C" w:rsidRPr="003B3FC7" w:rsidRDefault="0046491C" w:rsidP="0046491C">
          <w:pPr>
            <w:rPr>
              <w:rFonts w:ascii="Palatino Linotype" w:hAnsi="Palatino Linotype"/>
              <w:sz w:val="24"/>
              <w:szCs w:val="24"/>
            </w:rPr>
          </w:pPr>
          <w:r w:rsidRPr="003B3FC7">
            <w:rPr>
              <w:rFonts w:ascii="Palatino Linotype" w:hAnsi="Palatino Linotype"/>
              <w:b/>
              <w:bCs/>
              <w:sz w:val="24"/>
              <w:szCs w:val="24"/>
              <w:lang w:val="es-ES"/>
            </w:rPr>
            <w:fldChar w:fldCharType="end"/>
          </w:r>
        </w:p>
      </w:sdtContent>
    </w:sdt>
    <w:p w:rsidR="0046491C" w:rsidRPr="00B10C1A" w:rsidRDefault="0046491C" w:rsidP="0046491C">
      <w:pPr>
        <w:pStyle w:val="Ttulo1"/>
        <w:numPr>
          <w:ilvl w:val="0"/>
          <w:numId w:val="12"/>
        </w:numPr>
        <w:rPr>
          <w:szCs w:val="24"/>
        </w:rPr>
      </w:pPr>
      <w:bookmarkStart w:id="1" w:name="_Toc264965"/>
      <w:r w:rsidRPr="00B10C1A">
        <w:rPr>
          <w:szCs w:val="24"/>
        </w:rPr>
        <w:t>Consideraciones Generales.</w:t>
      </w:r>
      <w:bookmarkEnd w:id="1"/>
    </w:p>
    <w:p w:rsidR="0046491C" w:rsidRPr="00B10C1A" w:rsidRDefault="0046491C" w:rsidP="0046491C">
      <w:pPr>
        <w:pStyle w:val="Prrafodelista"/>
        <w:spacing w:after="0" w:line="360" w:lineRule="auto"/>
        <w:ind w:left="1080"/>
        <w:jc w:val="both"/>
        <w:rPr>
          <w:rFonts w:ascii="Palatino Linotype" w:hAnsi="Palatino Linotype" w:cs="Arial"/>
          <w:b/>
          <w:sz w:val="24"/>
          <w:szCs w:val="24"/>
        </w:rPr>
      </w:pPr>
    </w:p>
    <w:p w:rsidR="0082270E" w:rsidRPr="00955879" w:rsidRDefault="0046491C" w:rsidP="009558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eastAsia="Times New Roman" w:hAnsi="Palatino Linotype" w:cs="Arial"/>
          <w:sz w:val="24"/>
          <w:szCs w:val="24"/>
          <w:lang w:val="es-ES_tradnl"/>
        </w:rPr>
        <w:t xml:space="preserve">He concurrido con mi </w:t>
      </w:r>
      <w:r w:rsidR="00D33AF9" w:rsidRPr="00B10C1A">
        <w:rPr>
          <w:rFonts w:ascii="Palatino Linotype" w:eastAsia="Times New Roman" w:hAnsi="Palatino Linotype" w:cs="Arial"/>
          <w:sz w:val="24"/>
          <w:szCs w:val="24"/>
          <w:lang w:val="es-ES_tradnl"/>
        </w:rPr>
        <w:t>voto</w:t>
      </w:r>
      <w:r w:rsidRPr="00B10C1A">
        <w:rPr>
          <w:rFonts w:ascii="Palatino Linotype" w:eastAsia="Times New Roman" w:hAnsi="Palatino Linotype" w:cs="Arial"/>
          <w:sz w:val="24"/>
          <w:szCs w:val="24"/>
          <w:lang w:val="es-ES_tradnl"/>
        </w:rPr>
        <w:t xml:space="preserve"> particular de la presente resolución emitida </w:t>
      </w:r>
      <w:r w:rsidRPr="00B10C1A">
        <w:rPr>
          <w:rFonts w:ascii="Palatino Linotype" w:hAnsi="Palatino Linotype" w:cs="Arial"/>
          <w:sz w:val="24"/>
          <w:szCs w:val="24"/>
        </w:rPr>
        <w:t>por el Pleno del Instituto de Transparencia, Acceso a la Información Pública y Protección de Datos Personales del Estado de Méxi</w:t>
      </w:r>
      <w:r w:rsidR="00410C93" w:rsidRPr="00B10C1A">
        <w:rPr>
          <w:rFonts w:ascii="Palatino Linotype" w:hAnsi="Palatino Linotype" w:cs="Arial"/>
          <w:sz w:val="24"/>
          <w:szCs w:val="24"/>
        </w:rPr>
        <w:t xml:space="preserve">co y Municipios, en su </w:t>
      </w:r>
      <w:r w:rsidR="00955879">
        <w:rPr>
          <w:rFonts w:ascii="Palatino Linotype" w:hAnsi="Palatino Linotype" w:cs="Arial"/>
          <w:sz w:val="24"/>
          <w:szCs w:val="24"/>
        </w:rPr>
        <w:t xml:space="preserve">décima </w:t>
      </w:r>
      <w:r w:rsidR="00BA5C93">
        <w:rPr>
          <w:rFonts w:ascii="Palatino Linotype" w:hAnsi="Palatino Linotype" w:cs="Arial"/>
          <w:sz w:val="24"/>
          <w:szCs w:val="24"/>
        </w:rPr>
        <w:t>quinta</w:t>
      </w:r>
      <w:r w:rsidR="00955879">
        <w:rPr>
          <w:rFonts w:ascii="Palatino Linotype" w:hAnsi="Palatino Linotype" w:cs="Arial"/>
          <w:sz w:val="24"/>
          <w:szCs w:val="24"/>
        </w:rPr>
        <w:t xml:space="preserve"> sesión ordinaria de fecha veinti</w:t>
      </w:r>
      <w:r w:rsidR="00BA5C93">
        <w:rPr>
          <w:rFonts w:ascii="Palatino Linotype" w:hAnsi="Palatino Linotype" w:cs="Arial"/>
          <w:sz w:val="24"/>
          <w:szCs w:val="24"/>
        </w:rPr>
        <w:t>cuatro</w:t>
      </w:r>
      <w:r w:rsidR="00044B99">
        <w:rPr>
          <w:rFonts w:ascii="Palatino Linotype" w:hAnsi="Palatino Linotype" w:cs="Arial"/>
          <w:sz w:val="24"/>
          <w:szCs w:val="24"/>
        </w:rPr>
        <w:t xml:space="preserve"> </w:t>
      </w:r>
      <w:r w:rsidR="00410C93" w:rsidRPr="00B10C1A">
        <w:rPr>
          <w:rFonts w:ascii="Palatino Linotype" w:hAnsi="Palatino Linotype" w:cs="Arial"/>
          <w:sz w:val="24"/>
          <w:szCs w:val="24"/>
        </w:rPr>
        <w:t>(</w:t>
      </w:r>
      <w:r w:rsidR="00955879">
        <w:rPr>
          <w:rFonts w:ascii="Palatino Linotype" w:hAnsi="Palatino Linotype" w:cs="Arial"/>
          <w:sz w:val="24"/>
          <w:szCs w:val="24"/>
        </w:rPr>
        <w:t>2</w:t>
      </w:r>
      <w:r w:rsidR="00BA5C93">
        <w:rPr>
          <w:rFonts w:ascii="Palatino Linotype" w:hAnsi="Palatino Linotype" w:cs="Arial"/>
          <w:sz w:val="24"/>
          <w:szCs w:val="24"/>
        </w:rPr>
        <w:t>4</w:t>
      </w:r>
      <w:r w:rsidRPr="00B10C1A">
        <w:rPr>
          <w:rFonts w:ascii="Palatino Linotype" w:hAnsi="Palatino Linotype" w:cs="Arial"/>
          <w:sz w:val="24"/>
          <w:szCs w:val="24"/>
        </w:rPr>
        <w:t xml:space="preserve">) de </w:t>
      </w:r>
      <w:r w:rsidR="00BA5C93">
        <w:rPr>
          <w:rFonts w:ascii="Palatino Linotype" w:hAnsi="Palatino Linotype" w:cs="Arial"/>
          <w:sz w:val="24"/>
          <w:szCs w:val="24"/>
        </w:rPr>
        <w:t>abril</w:t>
      </w:r>
      <w:r w:rsidR="00410C93" w:rsidRPr="00B10C1A">
        <w:rPr>
          <w:rFonts w:ascii="Palatino Linotype" w:hAnsi="Palatino Linotype" w:cs="Arial"/>
          <w:sz w:val="24"/>
          <w:szCs w:val="24"/>
        </w:rPr>
        <w:t xml:space="preserve"> de dos mil dieci</w:t>
      </w:r>
      <w:r w:rsidR="00137288">
        <w:rPr>
          <w:rFonts w:ascii="Palatino Linotype" w:hAnsi="Palatino Linotype" w:cs="Arial"/>
          <w:sz w:val="24"/>
          <w:szCs w:val="24"/>
        </w:rPr>
        <w:t>nueve</w:t>
      </w:r>
      <w:r w:rsidR="0082270E" w:rsidRPr="00B10C1A">
        <w:rPr>
          <w:rFonts w:ascii="Palatino Linotype" w:hAnsi="Palatino Linotype" w:cs="Arial"/>
          <w:sz w:val="24"/>
          <w:szCs w:val="24"/>
        </w:rPr>
        <w:t xml:space="preserve">, en </w:t>
      </w:r>
      <w:r w:rsidR="00770B87" w:rsidRPr="00B10C1A">
        <w:rPr>
          <w:rFonts w:ascii="Palatino Linotype" w:hAnsi="Palatino Linotype" w:cs="Arial"/>
          <w:sz w:val="24"/>
          <w:szCs w:val="24"/>
        </w:rPr>
        <w:t xml:space="preserve">el </w:t>
      </w:r>
      <w:r w:rsidRPr="00B10C1A">
        <w:rPr>
          <w:rFonts w:ascii="Palatino Linotype" w:hAnsi="Palatino Linotype" w:cs="Arial"/>
          <w:sz w:val="24"/>
          <w:szCs w:val="24"/>
        </w:rPr>
        <w:t>recurso</w:t>
      </w:r>
      <w:r w:rsidR="0082270E" w:rsidRPr="00B10C1A">
        <w:rPr>
          <w:rFonts w:ascii="Palatino Linotype" w:hAnsi="Palatino Linotype" w:cs="Arial"/>
          <w:sz w:val="24"/>
          <w:szCs w:val="24"/>
        </w:rPr>
        <w:t xml:space="preserve"> de revisión promovido</w:t>
      </w:r>
      <w:r w:rsidRPr="00B10C1A">
        <w:rPr>
          <w:rFonts w:ascii="Palatino Linotype" w:hAnsi="Palatino Linotype" w:cs="Arial"/>
          <w:sz w:val="24"/>
          <w:szCs w:val="24"/>
        </w:rPr>
        <w:t>,</w:t>
      </w:r>
      <w:r w:rsidRPr="00B10C1A">
        <w:rPr>
          <w:rFonts w:ascii="Palatino Linotype" w:hAnsi="Palatino Linotype" w:cs="Arial"/>
          <w:b/>
          <w:sz w:val="24"/>
          <w:szCs w:val="24"/>
        </w:rPr>
        <w:t xml:space="preserve"> </w:t>
      </w:r>
      <w:r w:rsidRPr="00B10C1A">
        <w:rPr>
          <w:rFonts w:ascii="Palatino Linotype" w:hAnsi="Palatino Linotype" w:cs="Arial"/>
          <w:sz w:val="24"/>
          <w:szCs w:val="24"/>
        </w:rPr>
        <w:t>en contra de la respuesta de</w:t>
      </w:r>
      <w:r w:rsidR="00BA5C93">
        <w:rPr>
          <w:rFonts w:ascii="Palatino Linotype" w:hAnsi="Palatino Linotype" w:cs="Arial"/>
          <w:sz w:val="24"/>
          <w:szCs w:val="24"/>
        </w:rPr>
        <w:t xml:space="preserve"> </w:t>
      </w:r>
      <w:r w:rsidR="0082270E" w:rsidRPr="00B10C1A">
        <w:rPr>
          <w:rFonts w:ascii="Palatino Linotype" w:hAnsi="Palatino Linotype" w:cs="Arial"/>
          <w:sz w:val="24"/>
          <w:szCs w:val="24"/>
        </w:rPr>
        <w:t>l</w:t>
      </w:r>
      <w:r w:rsidR="00BA5C93">
        <w:rPr>
          <w:rFonts w:ascii="Palatino Linotype" w:hAnsi="Palatino Linotype" w:cs="Arial"/>
          <w:sz w:val="24"/>
          <w:szCs w:val="24"/>
        </w:rPr>
        <w:t>a</w:t>
      </w:r>
      <w:r w:rsidRPr="00B10C1A">
        <w:rPr>
          <w:rFonts w:ascii="Palatino Linotype" w:hAnsi="Palatino Linotype" w:cs="Arial"/>
          <w:sz w:val="24"/>
          <w:szCs w:val="24"/>
        </w:rPr>
        <w:t xml:space="preserve"> </w:t>
      </w:r>
      <w:r w:rsidR="00BA5C93">
        <w:rPr>
          <w:rFonts w:ascii="Palatino Linotype" w:eastAsia="Calibri" w:hAnsi="Palatino Linotype" w:cs="Times New Roman"/>
          <w:b/>
          <w:sz w:val="24"/>
          <w:szCs w:val="24"/>
          <w:lang w:val="es-ES" w:eastAsia="es-ES"/>
        </w:rPr>
        <w:t>Secretaría de Educación</w:t>
      </w:r>
      <w:r w:rsidRPr="00955879">
        <w:rPr>
          <w:rFonts w:ascii="Palatino Linotype" w:hAnsi="Palatino Linotype" w:cs="Arial"/>
          <w:sz w:val="24"/>
          <w:szCs w:val="24"/>
        </w:rPr>
        <w:t xml:space="preserve"> procedimiento a</w:t>
      </w:r>
      <w:r w:rsidR="0000525F" w:rsidRPr="00955879">
        <w:rPr>
          <w:rFonts w:ascii="Palatino Linotype" w:hAnsi="Palatino Linotype" w:cs="Arial"/>
          <w:sz w:val="24"/>
          <w:szCs w:val="24"/>
        </w:rPr>
        <w:t>l</w:t>
      </w:r>
      <w:r w:rsidR="00902248" w:rsidRPr="00955879">
        <w:rPr>
          <w:rFonts w:ascii="Palatino Linotype" w:hAnsi="Palatino Linotype" w:cs="Arial"/>
          <w:sz w:val="24"/>
          <w:szCs w:val="24"/>
        </w:rPr>
        <w:t xml:space="preserve"> que se le asignó </w:t>
      </w:r>
      <w:r w:rsidR="0000525F" w:rsidRPr="00955879">
        <w:rPr>
          <w:rFonts w:ascii="Palatino Linotype" w:hAnsi="Palatino Linotype" w:cs="Arial"/>
          <w:sz w:val="24"/>
          <w:szCs w:val="24"/>
        </w:rPr>
        <w:t>el</w:t>
      </w:r>
      <w:r w:rsidRPr="00955879">
        <w:rPr>
          <w:rFonts w:ascii="Palatino Linotype" w:hAnsi="Palatino Linotype" w:cs="Arial"/>
          <w:sz w:val="24"/>
          <w:szCs w:val="24"/>
        </w:rPr>
        <w:t xml:space="preserve"> número de expediente </w:t>
      </w:r>
      <w:r w:rsidR="003B44CB" w:rsidRPr="00955879">
        <w:rPr>
          <w:rFonts w:ascii="Palatino Linotype" w:hAnsi="Palatino Linotype" w:cs="Arial"/>
          <w:b/>
          <w:bCs/>
          <w:lang w:eastAsia="es-MX"/>
        </w:rPr>
        <w:t>0</w:t>
      </w:r>
      <w:r w:rsidR="00955879">
        <w:rPr>
          <w:rFonts w:ascii="Palatino Linotype" w:hAnsi="Palatino Linotype" w:cs="Arial"/>
          <w:b/>
          <w:bCs/>
          <w:lang w:eastAsia="es-MX"/>
        </w:rPr>
        <w:t>0</w:t>
      </w:r>
      <w:r w:rsidR="00BA5C93">
        <w:rPr>
          <w:rFonts w:ascii="Palatino Linotype" w:hAnsi="Palatino Linotype" w:cs="Arial"/>
          <w:b/>
          <w:bCs/>
          <w:lang w:eastAsia="es-MX"/>
        </w:rPr>
        <w:t>610</w:t>
      </w:r>
      <w:r w:rsidR="00441939" w:rsidRPr="00955879">
        <w:rPr>
          <w:rFonts w:ascii="Palatino Linotype" w:hAnsi="Palatino Linotype" w:cs="Arial"/>
          <w:b/>
          <w:bCs/>
          <w:lang w:eastAsia="es-MX"/>
        </w:rPr>
        <w:t>/</w:t>
      </w:r>
      <w:r w:rsidR="00117841" w:rsidRPr="00955879">
        <w:rPr>
          <w:rFonts w:ascii="Palatino Linotype" w:hAnsi="Palatino Linotype" w:cs="Arial"/>
          <w:b/>
          <w:bCs/>
          <w:lang w:eastAsia="es-MX"/>
        </w:rPr>
        <w:t>INFOEM/IP/RR/201</w:t>
      </w:r>
      <w:r w:rsidR="00955879">
        <w:rPr>
          <w:rFonts w:ascii="Palatino Linotype" w:hAnsi="Palatino Linotype" w:cs="Arial"/>
          <w:b/>
          <w:bCs/>
          <w:lang w:eastAsia="es-MX"/>
        </w:rPr>
        <w:t>9</w:t>
      </w:r>
      <w:r w:rsidR="00117841" w:rsidRPr="00955879">
        <w:rPr>
          <w:rFonts w:ascii="Palatino Linotype" w:hAnsi="Palatino Linotype" w:cs="Arial"/>
          <w:b/>
          <w:bCs/>
          <w:lang w:eastAsia="es-MX"/>
        </w:rPr>
        <w:t>.</w:t>
      </w:r>
    </w:p>
    <w:p w:rsidR="00770B87" w:rsidRDefault="00770B87" w:rsidP="00770B87">
      <w:pPr>
        <w:pStyle w:val="Prrafodelista"/>
        <w:spacing w:after="0" w:line="360" w:lineRule="auto"/>
        <w:ind w:left="426"/>
        <w:jc w:val="both"/>
        <w:rPr>
          <w:rFonts w:ascii="Palatino Linotype" w:hAnsi="Palatino Linotype" w:cs="Arial"/>
          <w:sz w:val="24"/>
          <w:szCs w:val="24"/>
        </w:rPr>
      </w:pPr>
    </w:p>
    <w:p w:rsidR="00AF3716" w:rsidRPr="00BA5C93" w:rsidRDefault="0085533E" w:rsidP="00BA5C93">
      <w:pPr>
        <w:pStyle w:val="Prrafodelista"/>
        <w:numPr>
          <w:ilvl w:val="0"/>
          <w:numId w:val="1"/>
        </w:numPr>
        <w:spacing w:after="0" w:line="360" w:lineRule="auto"/>
        <w:ind w:left="426"/>
        <w:jc w:val="both"/>
        <w:rPr>
          <w:rFonts w:ascii="Palatino Linotype" w:hAnsi="Palatino Linotype" w:cs="Arial"/>
          <w:b/>
          <w:i/>
          <w:sz w:val="24"/>
          <w:szCs w:val="24"/>
        </w:rPr>
      </w:pPr>
      <w:r w:rsidRPr="00BA5C93">
        <w:rPr>
          <w:rFonts w:ascii="Palatino Linotype" w:eastAsia="Times New Roman" w:hAnsi="Palatino Linotype" w:cs="Arial"/>
          <w:sz w:val="24"/>
          <w:szCs w:val="24"/>
          <w:lang w:val="es-ES_tradnl"/>
        </w:rPr>
        <w:t>La</w:t>
      </w:r>
      <w:r w:rsidRPr="00BA5C93">
        <w:rPr>
          <w:rFonts w:ascii="Palatino Linotype" w:hAnsi="Palatino Linotype" w:cs="Arial"/>
          <w:sz w:val="24"/>
          <w:szCs w:val="24"/>
        </w:rPr>
        <w:t xml:space="preserve"> resolución </w:t>
      </w:r>
      <w:r w:rsidR="00044B99" w:rsidRPr="00BA5C93">
        <w:rPr>
          <w:rFonts w:ascii="Palatino Linotype" w:hAnsi="Palatino Linotype" w:cs="Arial"/>
          <w:sz w:val="24"/>
          <w:szCs w:val="24"/>
        </w:rPr>
        <w:t xml:space="preserve"> </w:t>
      </w:r>
      <w:r w:rsidR="00BA5C93" w:rsidRPr="00BA5C93">
        <w:rPr>
          <w:rFonts w:ascii="Palatino Linotype" w:hAnsi="Palatino Linotype" w:cs="Arial"/>
          <w:sz w:val="24"/>
          <w:szCs w:val="24"/>
        </w:rPr>
        <w:t>determina confirmar</w:t>
      </w:r>
      <w:r w:rsidR="00955879" w:rsidRPr="00BA5C93">
        <w:rPr>
          <w:rFonts w:ascii="Palatino Linotype" w:hAnsi="Palatino Linotype" w:cs="Arial"/>
          <w:sz w:val="24"/>
          <w:szCs w:val="24"/>
        </w:rPr>
        <w:t xml:space="preserve"> la respuesta del Sujeto Obligado </w:t>
      </w:r>
    </w:p>
    <w:p w:rsidR="00BA5C93" w:rsidRPr="00BA5C93" w:rsidRDefault="00BA5C93" w:rsidP="00BA5C93">
      <w:pPr>
        <w:pStyle w:val="Prrafodelista"/>
        <w:rPr>
          <w:rFonts w:ascii="Palatino Linotype" w:hAnsi="Palatino Linotype" w:cs="Arial"/>
          <w:b/>
          <w:i/>
          <w:sz w:val="24"/>
          <w:szCs w:val="24"/>
        </w:rPr>
      </w:pPr>
    </w:p>
    <w:p w:rsidR="0046491C"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Mi </w:t>
      </w:r>
      <w:r w:rsidR="00D33AF9" w:rsidRPr="00B10C1A">
        <w:rPr>
          <w:rFonts w:ascii="Palatino Linotype" w:hAnsi="Palatino Linotype" w:cs="Arial"/>
          <w:sz w:val="24"/>
          <w:szCs w:val="24"/>
        </w:rPr>
        <w:t>voto</w:t>
      </w:r>
      <w:r w:rsidRPr="00B10C1A">
        <w:rPr>
          <w:rFonts w:ascii="Palatino Linotype" w:hAnsi="Palatino Linotype" w:cs="Arial"/>
          <w:sz w:val="24"/>
          <w:szCs w:val="24"/>
        </w:rPr>
        <w:t xml:space="preserve"> particular se deriva del hecho de que se haya invocado la figura de actos consentidos en el presente asunto, resultando del todo innecesario hacer </w:t>
      </w:r>
      <w:r w:rsidRPr="00B10C1A">
        <w:rPr>
          <w:rFonts w:ascii="Palatino Linotype" w:hAnsi="Palatino Linotype" w:cs="Arial"/>
          <w:sz w:val="24"/>
          <w:szCs w:val="24"/>
        </w:rPr>
        <w:lastRenderedPageBreak/>
        <w:t>referencia a dicha figura, pese a que</w:t>
      </w:r>
      <w:r w:rsidR="00302274" w:rsidRPr="00B10C1A">
        <w:rPr>
          <w:rFonts w:ascii="Palatino Linotype" w:hAnsi="Palatino Linotype" w:cs="Arial"/>
          <w:sz w:val="24"/>
          <w:szCs w:val="24"/>
        </w:rPr>
        <w:t xml:space="preserve"> en sentido de la resolución </w:t>
      </w:r>
      <w:r w:rsidR="00FA799E">
        <w:rPr>
          <w:rFonts w:ascii="Palatino Linotype" w:hAnsi="Palatino Linotype" w:cs="Arial"/>
          <w:sz w:val="24"/>
          <w:szCs w:val="24"/>
        </w:rPr>
        <w:t>confirmar</w:t>
      </w:r>
      <w:r w:rsidRPr="00B10C1A">
        <w:rPr>
          <w:rFonts w:ascii="Palatino Linotype" w:hAnsi="Palatino Linotype" w:cs="Arial"/>
          <w:sz w:val="24"/>
          <w:szCs w:val="24"/>
        </w:rPr>
        <w:t xml:space="preserve"> la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respuesta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proporcionada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a la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solicitud</w:t>
      </w:r>
      <w:r w:rsidR="00441939" w:rsidRPr="00B10C1A">
        <w:rPr>
          <w:rFonts w:ascii="Palatino Linotype" w:hAnsi="Palatino Linotype" w:cs="Arial"/>
          <w:sz w:val="24"/>
          <w:szCs w:val="24"/>
        </w:rPr>
        <w:t>es</w:t>
      </w:r>
      <w:r w:rsidRPr="00B10C1A">
        <w:rPr>
          <w:rFonts w:ascii="Palatino Linotype" w:hAnsi="Palatino Linotype" w:cs="Arial"/>
          <w:sz w:val="24"/>
          <w:szCs w:val="24"/>
        </w:rPr>
        <w:t>, lo cual he manifestado en diversas ocasiones señalando que no deben invocarse en el derecho de acceso a la información pública.</w:t>
      </w:r>
    </w:p>
    <w:p w:rsidR="00FA799E" w:rsidRPr="00FA799E" w:rsidRDefault="00FA799E" w:rsidP="00FA799E">
      <w:pPr>
        <w:pStyle w:val="Prrafodelista"/>
        <w:rPr>
          <w:rFonts w:ascii="Palatino Linotype" w:hAnsi="Palatino Linotype" w:cs="Arial"/>
          <w:sz w:val="24"/>
          <w:szCs w:val="24"/>
        </w:rPr>
      </w:pPr>
    </w:p>
    <w:p w:rsidR="0046491C" w:rsidRPr="00B10C1A"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Por tal motivo y en</w:t>
      </w:r>
      <w:r w:rsidR="009C3135" w:rsidRPr="00B10C1A">
        <w:rPr>
          <w:rFonts w:ascii="Palatino Linotype" w:hAnsi="Palatino Linotype" w:cs="Arial"/>
          <w:sz w:val="24"/>
          <w:szCs w:val="24"/>
        </w:rPr>
        <w:t xml:space="preserve"> términos de lo señalado por el</w:t>
      </w:r>
      <w:r w:rsidRPr="00B10C1A">
        <w:rPr>
          <w:rFonts w:ascii="Palatino Linotype" w:hAnsi="Palatino Linotype" w:cs="Arial"/>
          <w:sz w:val="24"/>
          <w:szCs w:val="24"/>
        </w:rPr>
        <w:t xml:space="preserve"> artículo </w:t>
      </w:r>
      <w:r w:rsidR="009C3135" w:rsidRPr="00B10C1A">
        <w:rPr>
          <w:rFonts w:ascii="Palatino Linotype" w:hAnsi="Palatino Linotype" w:cs="Arial"/>
          <w:sz w:val="24"/>
          <w:szCs w:val="24"/>
        </w:rPr>
        <w:t>14 fracción X</w:t>
      </w:r>
      <w:r w:rsidRPr="00B10C1A">
        <w:rPr>
          <w:rFonts w:ascii="Palatino Linotype" w:hAnsi="Palatino Linotype" w:cs="Arial"/>
          <w:sz w:val="24"/>
          <w:szCs w:val="24"/>
        </w:rPr>
        <w:t xml:space="preserve">I del Reglamento Interior del Instituto de Transparencia y Acceso a la Información Pública del Estado de México y Municipios formulo el presente </w:t>
      </w:r>
      <w:r w:rsidR="00FA799E">
        <w:rPr>
          <w:rFonts w:ascii="Palatino Linotype" w:hAnsi="Palatino Linotype" w:cs="Arial"/>
          <w:sz w:val="24"/>
          <w:szCs w:val="24"/>
        </w:rPr>
        <w:t>v</w:t>
      </w:r>
      <w:r w:rsidRPr="00B10C1A">
        <w:rPr>
          <w:rFonts w:ascii="Palatino Linotype" w:hAnsi="Palatino Linotype" w:cs="Arial"/>
          <w:sz w:val="24"/>
          <w:szCs w:val="24"/>
        </w:rPr>
        <w:t xml:space="preserve">oto particular. </w:t>
      </w:r>
    </w:p>
    <w:p w:rsidR="00920A6F" w:rsidRPr="00B10C1A" w:rsidRDefault="00920A6F" w:rsidP="00920A6F">
      <w:pPr>
        <w:pStyle w:val="Prrafodelista"/>
        <w:rPr>
          <w:rFonts w:ascii="Palatino Linotype" w:hAnsi="Palatino Linotype" w:cs="Arial"/>
          <w:sz w:val="24"/>
          <w:szCs w:val="24"/>
        </w:rPr>
      </w:pPr>
    </w:p>
    <w:p w:rsidR="0046491C" w:rsidRPr="00B10C1A" w:rsidRDefault="0046491C" w:rsidP="0046491C">
      <w:pPr>
        <w:pStyle w:val="Ttulo1"/>
        <w:numPr>
          <w:ilvl w:val="0"/>
          <w:numId w:val="12"/>
        </w:numPr>
        <w:rPr>
          <w:szCs w:val="24"/>
        </w:rPr>
      </w:pPr>
      <w:bookmarkStart w:id="2" w:name="_Toc264966"/>
      <w:r w:rsidRPr="00B10C1A">
        <w:rPr>
          <w:szCs w:val="24"/>
        </w:rPr>
        <w:t>De los requerimientos planteados en el recurso de revisión.</w:t>
      </w:r>
      <w:bookmarkEnd w:id="2"/>
    </w:p>
    <w:p w:rsidR="0046491C" w:rsidRPr="00B10C1A" w:rsidRDefault="0046491C" w:rsidP="0046491C">
      <w:pPr>
        <w:pStyle w:val="Prrafodelista"/>
        <w:spacing w:line="360" w:lineRule="auto"/>
        <w:ind w:left="1080"/>
        <w:jc w:val="both"/>
        <w:rPr>
          <w:rFonts w:ascii="Palatino Linotype" w:hAnsi="Palatino Linotype" w:cs="Arial"/>
          <w:b/>
          <w:sz w:val="24"/>
          <w:szCs w:val="24"/>
        </w:rPr>
      </w:pPr>
    </w:p>
    <w:p w:rsidR="0046491C" w:rsidRPr="00B10C1A" w:rsidRDefault="002E7894" w:rsidP="000F0579">
      <w:pPr>
        <w:pStyle w:val="Prrafodelista"/>
        <w:numPr>
          <w:ilvl w:val="0"/>
          <w:numId w:val="1"/>
        </w:numPr>
        <w:spacing w:after="0" w:line="360" w:lineRule="auto"/>
        <w:ind w:left="426"/>
        <w:jc w:val="both"/>
        <w:rPr>
          <w:rFonts w:ascii="Palatino Linotype" w:eastAsia="Times New Roman" w:hAnsi="Palatino Linotype" w:cs="Arial"/>
          <w:sz w:val="24"/>
          <w:szCs w:val="24"/>
        </w:rPr>
      </w:pPr>
      <w:r w:rsidRPr="00B10C1A">
        <w:rPr>
          <w:rFonts w:ascii="Palatino Linotype" w:hAnsi="Palatino Linotype"/>
        </w:rPr>
        <w:t>El particular</w:t>
      </w:r>
      <w:r w:rsidR="0046491C" w:rsidRPr="00B10C1A">
        <w:rPr>
          <w:rFonts w:ascii="Palatino Linotype" w:hAnsi="Palatino Linotype" w:cs="Arial"/>
          <w:sz w:val="24"/>
          <w:szCs w:val="24"/>
        </w:rPr>
        <w:t>, mediante la solicitud de acceso a la información</w:t>
      </w:r>
      <w:r w:rsidR="0046491C" w:rsidRPr="00B10C1A">
        <w:rPr>
          <w:rFonts w:ascii="Palatino Linotype" w:hAnsi="Palatino Linotype" w:cs="Arial"/>
          <w:b/>
        </w:rPr>
        <w:t>,</w:t>
      </w:r>
      <w:r w:rsidR="00902248" w:rsidRPr="00B10C1A">
        <w:rPr>
          <w:rFonts w:ascii="Palatino Linotype" w:hAnsi="Palatino Linotype" w:cs="Arial"/>
          <w:b/>
        </w:rPr>
        <w:t xml:space="preserve"> </w:t>
      </w:r>
      <w:r w:rsidR="0046491C" w:rsidRPr="00B10C1A">
        <w:rPr>
          <w:rFonts w:ascii="Palatino Linotype" w:hAnsi="Palatino Linotype" w:cs="Arial"/>
          <w:sz w:val="24"/>
          <w:szCs w:val="24"/>
        </w:rPr>
        <w:t xml:space="preserve">requirió lo siguiente: </w:t>
      </w:r>
    </w:p>
    <w:p w:rsidR="00602B26" w:rsidRPr="00B10C1A" w:rsidRDefault="00602B26" w:rsidP="00441939">
      <w:pPr>
        <w:pStyle w:val="Prrafodelista"/>
        <w:spacing w:before="100" w:beforeAutospacing="1" w:after="100" w:afterAutospacing="1" w:line="360" w:lineRule="auto"/>
        <w:ind w:left="851"/>
        <w:jc w:val="both"/>
        <w:rPr>
          <w:rFonts w:ascii="Palatino Linotype" w:hAnsi="Palatino Linotype" w:cs="Arial"/>
          <w:b/>
        </w:rPr>
      </w:pPr>
    </w:p>
    <w:p w:rsidR="00602B26" w:rsidRPr="00B10C1A" w:rsidRDefault="00441939" w:rsidP="007A23D1">
      <w:pPr>
        <w:pStyle w:val="Prrafodelista"/>
        <w:spacing w:before="100" w:beforeAutospacing="1" w:after="100" w:afterAutospacing="1"/>
        <w:ind w:left="851" w:right="851"/>
        <w:jc w:val="both"/>
        <w:rPr>
          <w:rFonts w:ascii="Palatino Linotype" w:hAnsi="Palatino Linotype" w:cs="Arial"/>
          <w:i/>
        </w:rPr>
      </w:pPr>
      <w:r w:rsidRPr="00B10C1A">
        <w:rPr>
          <w:rFonts w:ascii="Palatino Linotype" w:hAnsi="Palatino Linotype" w:cs="Arial"/>
          <w:i/>
        </w:rPr>
        <w:t>“</w:t>
      </w:r>
      <w:r w:rsidR="00BA5C93">
        <w:rPr>
          <w:rFonts w:ascii="Palatino Linotype" w:hAnsi="Palatino Linotype" w:cs="Arial"/>
          <w:i/>
        </w:rPr>
        <w:t>…</w:t>
      </w:r>
      <w:r w:rsidR="00BA5C93" w:rsidRPr="00BA5C93">
        <w:rPr>
          <w:rFonts w:ascii="Palatino Linotype" w:hAnsi="Palatino Linotype" w:cs="Arial"/>
          <w:i/>
        </w:rPr>
        <w:t>LA INFORMACION ESTADISTICA ENTREGADA POR LAS ESCUELAS A LA AUTORIDAD EDUCATIVA DE LOS ALUMNOS INSCRITOS EN EDUCACION BASICA PARA EL CICLO ESCOLAR 2018-2019 EN EL ESTADO DE MEXICO, EN LOS NIVELES DE PREESCOLAR, PRIMARIA Y SECUNDARIA QUE CONTENGA LA CLAVE DE CENTRO DE TRABAJO, EL NOMBRE DEL CENTRO EDUCATIVO, DOMICILIO DE LA ESCUELA, INDICANDO EL TIPO DE SOTENIMIENTO (PUBLICO O PRIVADO) Y EL NUMERO DE ALUMNOS POR GRADO ESCOLAR</w:t>
      </w:r>
      <w:r w:rsidR="007A23D1" w:rsidRPr="00B10C1A">
        <w:rPr>
          <w:rFonts w:ascii="Palatino Linotype" w:hAnsi="Palatino Linotype" w:cs="Arial"/>
          <w:i/>
        </w:rPr>
        <w:t>” (Sic)</w:t>
      </w:r>
    </w:p>
    <w:p w:rsidR="00AF3716" w:rsidRPr="00B10C1A" w:rsidRDefault="00AF3716" w:rsidP="007A23D1">
      <w:pPr>
        <w:pStyle w:val="Prrafodelista"/>
        <w:spacing w:before="100" w:beforeAutospacing="1" w:after="100" w:afterAutospacing="1"/>
        <w:ind w:left="851" w:right="851"/>
        <w:jc w:val="both"/>
        <w:rPr>
          <w:rFonts w:ascii="Palatino Linotype" w:hAnsi="Palatino Linotype" w:cs="Arial"/>
          <w:i/>
        </w:rPr>
      </w:pPr>
    </w:p>
    <w:p w:rsidR="007A23D1" w:rsidRPr="00B10C1A" w:rsidRDefault="007A23D1" w:rsidP="007A23D1">
      <w:pPr>
        <w:pStyle w:val="Prrafodelista"/>
        <w:spacing w:before="100" w:beforeAutospacing="1" w:after="100" w:afterAutospacing="1"/>
        <w:ind w:left="851" w:right="851"/>
        <w:jc w:val="both"/>
        <w:rPr>
          <w:rFonts w:ascii="Palatino Linotype" w:hAnsi="Palatino Linotype" w:cs="Arial"/>
          <w:b/>
        </w:rPr>
      </w:pPr>
    </w:p>
    <w:p w:rsidR="002006FF" w:rsidRPr="00B10C1A" w:rsidRDefault="00BA5C93" w:rsidP="00117841">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lang w:eastAsia="es-MX"/>
        </w:rPr>
        <w:t xml:space="preserve">A consideración del particular, </w:t>
      </w:r>
      <w:r w:rsidR="002006FF" w:rsidRPr="00B10C1A">
        <w:rPr>
          <w:rFonts w:ascii="Palatino Linotype" w:hAnsi="Palatino Linotype" w:cs="Arial"/>
          <w:sz w:val="24"/>
          <w:szCs w:val="24"/>
          <w:lang w:eastAsia="es-MX"/>
        </w:rPr>
        <w:t xml:space="preserve">el </w:t>
      </w:r>
      <w:r w:rsidR="00FA799E">
        <w:rPr>
          <w:rFonts w:ascii="Palatino Linotype" w:hAnsi="Palatino Linotype" w:cs="Arial"/>
          <w:sz w:val="24"/>
          <w:szCs w:val="24"/>
          <w:lang w:eastAsia="es-MX"/>
        </w:rPr>
        <w:t>Sujeto Obligado</w:t>
      </w:r>
      <w:r w:rsidR="002006FF" w:rsidRPr="00B10C1A">
        <w:rPr>
          <w:rFonts w:ascii="Palatino Linotype" w:hAnsi="Palatino Linotype" w:cs="Arial"/>
          <w:b/>
          <w:sz w:val="24"/>
          <w:szCs w:val="24"/>
          <w:lang w:eastAsia="es-MX"/>
        </w:rPr>
        <w:t xml:space="preserve"> </w:t>
      </w:r>
      <w:r w:rsidR="002006FF" w:rsidRPr="00B10C1A">
        <w:rPr>
          <w:rFonts w:ascii="Palatino Linotype" w:hAnsi="Palatino Linotype" w:cs="Arial"/>
          <w:sz w:val="24"/>
          <w:szCs w:val="24"/>
          <w:lang w:eastAsia="es-MX"/>
        </w:rPr>
        <w:t xml:space="preserve">respondió </w:t>
      </w:r>
      <w:r w:rsidR="00A95990">
        <w:rPr>
          <w:rFonts w:ascii="Palatino Linotype" w:hAnsi="Palatino Linotype" w:cs="Arial"/>
          <w:sz w:val="24"/>
          <w:szCs w:val="24"/>
          <w:lang w:eastAsia="es-MX"/>
        </w:rPr>
        <w:t xml:space="preserve">parcialmente </w:t>
      </w:r>
      <w:r w:rsidR="007A23D1" w:rsidRPr="00B10C1A">
        <w:rPr>
          <w:rFonts w:ascii="Palatino Linotype" w:hAnsi="Palatino Linotype" w:cs="Arial"/>
          <w:sz w:val="24"/>
          <w:szCs w:val="24"/>
          <w:lang w:eastAsia="es-MX"/>
        </w:rPr>
        <w:t>al</w:t>
      </w:r>
      <w:r w:rsidR="002006FF" w:rsidRPr="00B10C1A">
        <w:rPr>
          <w:rFonts w:ascii="Palatino Linotype" w:hAnsi="Palatino Linotype" w:cs="Arial"/>
          <w:sz w:val="24"/>
          <w:szCs w:val="24"/>
          <w:lang w:eastAsia="es-MX"/>
        </w:rPr>
        <w:t xml:space="preserve"> requerimiento planteado, </w:t>
      </w:r>
      <w:r w:rsidR="00A95990">
        <w:rPr>
          <w:rFonts w:ascii="Palatino Linotype" w:hAnsi="Palatino Linotype" w:cs="Arial"/>
          <w:sz w:val="24"/>
          <w:szCs w:val="24"/>
          <w:lang w:eastAsia="es-MX"/>
        </w:rPr>
        <w:t>motivo por el cual, el Recurrente al momento de</w:t>
      </w:r>
      <w:r w:rsidR="004472A9" w:rsidRPr="00B10C1A">
        <w:rPr>
          <w:rFonts w:ascii="Palatino Linotype" w:hAnsi="Palatino Linotype" w:cs="Arial"/>
          <w:sz w:val="24"/>
          <w:szCs w:val="24"/>
          <w:lang w:eastAsia="es-MX"/>
        </w:rPr>
        <w:t xml:space="preserve"> </w:t>
      </w:r>
      <w:r w:rsidR="004472A9" w:rsidRPr="00B10C1A">
        <w:rPr>
          <w:rFonts w:ascii="Palatino Linotype" w:hAnsi="Palatino Linotype" w:cs="Arial"/>
          <w:sz w:val="24"/>
          <w:szCs w:val="24"/>
          <w:lang w:eastAsia="es-MX"/>
        </w:rPr>
        <w:lastRenderedPageBreak/>
        <w:t xml:space="preserve">interponer </w:t>
      </w:r>
      <w:r w:rsidR="00996597"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recurso de revisión manifestó en las razones o motivos de inconformidad </w:t>
      </w:r>
      <w:r w:rsidR="00A95990">
        <w:rPr>
          <w:rFonts w:ascii="Palatino Linotype" w:hAnsi="Palatino Linotype" w:cs="Arial"/>
          <w:sz w:val="24"/>
          <w:szCs w:val="24"/>
          <w:lang w:eastAsia="es-MX"/>
        </w:rPr>
        <w:t xml:space="preserve">que </w:t>
      </w:r>
      <w:r>
        <w:rPr>
          <w:rFonts w:ascii="Palatino Linotype" w:hAnsi="Palatino Linotype" w:cs="Arial"/>
          <w:sz w:val="24"/>
          <w:szCs w:val="24"/>
          <w:lang w:eastAsia="es-MX"/>
        </w:rPr>
        <w:t xml:space="preserve">omitió entregar la información de los centros educativos del SEIEM. </w:t>
      </w:r>
    </w:p>
    <w:p w:rsidR="002006FF" w:rsidRPr="00B10C1A" w:rsidRDefault="002006FF" w:rsidP="00634736">
      <w:pPr>
        <w:spacing w:line="276" w:lineRule="auto"/>
        <w:ind w:left="993" w:right="1041"/>
        <w:jc w:val="both"/>
        <w:rPr>
          <w:rFonts w:ascii="Palatino Linotype" w:hAnsi="Palatino Linotype" w:cs="Arial"/>
          <w:i/>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lang w:eastAsia="es-MX"/>
        </w:rPr>
        <w:t>Si</w:t>
      </w:r>
      <w:r w:rsidRPr="00B10C1A">
        <w:rPr>
          <w:rFonts w:ascii="Palatino Linotype" w:hAnsi="Palatino Linotype" w:cs="Arial"/>
          <w:sz w:val="24"/>
          <w:szCs w:val="24"/>
        </w:rPr>
        <w:t xml:space="preserve"> bien es de destacar, pese al impedimento de poder proporcionar la totalidad de la información solicitada y en lo particular en el estudio y desarrollo de dicha resolución fueron invocados los llamados actos consentidos, tal y como se observa en las siguientes líneas de la resolución en comento:</w:t>
      </w:r>
    </w:p>
    <w:p w:rsidR="00D73077" w:rsidRPr="00B10C1A" w:rsidRDefault="00D73077" w:rsidP="00D73077">
      <w:pPr>
        <w:pStyle w:val="Prrafodelista"/>
        <w:spacing w:after="0" w:line="360" w:lineRule="auto"/>
        <w:ind w:left="360"/>
        <w:jc w:val="both"/>
        <w:rPr>
          <w:rFonts w:ascii="Palatino Linotype" w:hAnsi="Palatino Linotype" w:cs="Arial"/>
          <w:sz w:val="24"/>
          <w:szCs w:val="24"/>
        </w:rPr>
      </w:pPr>
    </w:p>
    <w:p w:rsidR="00BA5C93" w:rsidRPr="00BA5C93" w:rsidRDefault="0046491C" w:rsidP="00BA5C93">
      <w:pPr>
        <w:spacing w:before="240" w:after="240" w:line="360" w:lineRule="auto"/>
        <w:ind w:left="851" w:right="616"/>
        <w:jc w:val="both"/>
        <w:rPr>
          <w:rFonts w:ascii="Palatino Linotype" w:hAnsi="Palatino Linotype"/>
          <w:i/>
        </w:rPr>
      </w:pPr>
      <w:r w:rsidRPr="00B10C1A">
        <w:rPr>
          <w:rFonts w:ascii="Palatino Linotype" w:hAnsi="Palatino Linotype" w:cs="Arial"/>
          <w:i/>
          <w:sz w:val="24"/>
          <w:szCs w:val="24"/>
        </w:rPr>
        <w:t>“</w:t>
      </w:r>
      <w:r w:rsidR="00BA5C93" w:rsidRPr="00BA5C93">
        <w:rPr>
          <w:rFonts w:ascii="Palatino Linotype" w:hAnsi="Palatino Linotype"/>
          <w:i/>
        </w:rPr>
        <w:t xml:space="preserve">Por lo que, es de considerar que LA RECURRENTE no impugnó toda la información proporcionada por parte del SUJETO OBLIGADO, en la respuesta, ya que sólo se inconformó respecto de la información faltante por parte de Servicios Educativos Integrados al Estado de México, por tal motivo, la respuesta, respecto a los rubros no combatidos y que sí fueron atendidos por EL SUJETO OBLIGADO, quedan firmes ante la falta de impugnación en específico, pues se entiende que LA RECURRENTE ésta conforme con la información entregada al no contravenir la misma.  </w:t>
      </w:r>
    </w:p>
    <w:p w:rsidR="00BA5C93" w:rsidRPr="00BA5C93" w:rsidRDefault="00BA5C93" w:rsidP="00BA5C93">
      <w:pPr>
        <w:spacing w:before="240" w:after="240" w:line="360" w:lineRule="auto"/>
        <w:ind w:left="851" w:right="616"/>
        <w:jc w:val="both"/>
        <w:rPr>
          <w:rFonts w:ascii="Palatino Linotype" w:hAnsi="Palatino Linotype"/>
          <w:i/>
        </w:rPr>
      </w:pPr>
      <w:r w:rsidRPr="00BA5C93">
        <w:rPr>
          <w:rFonts w:ascii="Palatino Linotype" w:hAnsi="Palatino Linotype"/>
          <w:i/>
        </w:rPr>
        <w:t>Sirve de sustento a lo anterior, por analogía la tesis jurisprudencial número VI.3o.C. J/60, publicada en el Semanario Judicial de la Federación y su Gaceta bajo el número de registro 176,608 que a la letra dice:</w:t>
      </w:r>
    </w:p>
    <w:p w:rsidR="00BA5C93" w:rsidRPr="00BA5C93" w:rsidRDefault="00BA5C93" w:rsidP="00BA5C93">
      <w:pPr>
        <w:spacing w:before="240" w:after="240" w:line="360" w:lineRule="auto"/>
        <w:ind w:left="851" w:right="616"/>
        <w:jc w:val="both"/>
        <w:rPr>
          <w:rFonts w:ascii="Palatino Linotype" w:hAnsi="Palatino Linotype"/>
          <w:i/>
        </w:rPr>
      </w:pPr>
      <w:r w:rsidRPr="00BA5C93">
        <w:rPr>
          <w:rFonts w:ascii="Palatino Linotype" w:hAnsi="Palatino Linotype"/>
          <w:i/>
        </w:rPr>
        <w:t xml:space="preserve"> “</w:t>
      </w:r>
      <w:r w:rsidRPr="00BA5C93">
        <w:rPr>
          <w:rFonts w:ascii="Palatino Linotype" w:hAnsi="Palatino Linotype"/>
          <w:b/>
          <w:i/>
        </w:rPr>
        <w:t>ACTOS CONSENTIDOS. SON LOS QUE NO SE IMPUGNAN MEDIANTE EL RECURSO IDÓNEO</w:t>
      </w:r>
      <w:r w:rsidRPr="00BA5C93">
        <w:rPr>
          <w:rFonts w:ascii="Palatino Linotype" w:hAnsi="Palatino Linotype"/>
          <w:i/>
        </w:rPr>
        <w:t xml:space="preserve">. Debe reputarse como consentido el acto </w:t>
      </w:r>
      <w:r w:rsidRPr="00BA5C93">
        <w:rPr>
          <w:rFonts w:ascii="Palatino Linotype" w:hAnsi="Palatino Linotype"/>
          <w:i/>
        </w:rPr>
        <w:lastRenderedPageBreak/>
        <w:t>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rsidR="00BA5C93" w:rsidRPr="00BA5C93" w:rsidRDefault="00BA5C93" w:rsidP="00BA5C93">
      <w:pPr>
        <w:spacing w:before="240" w:after="240" w:line="360" w:lineRule="auto"/>
        <w:ind w:left="851" w:right="616"/>
        <w:jc w:val="both"/>
        <w:rPr>
          <w:rFonts w:ascii="Palatino Linotype" w:hAnsi="Palatino Linotype"/>
          <w:i/>
        </w:rPr>
      </w:pPr>
    </w:p>
    <w:p w:rsidR="00BA5C93" w:rsidRPr="00BA5C93" w:rsidRDefault="00BA5C93" w:rsidP="00BA5C93">
      <w:pPr>
        <w:spacing w:before="240" w:after="240" w:line="360" w:lineRule="auto"/>
        <w:ind w:left="851" w:right="616"/>
        <w:jc w:val="both"/>
        <w:rPr>
          <w:rFonts w:ascii="Palatino Linotype" w:hAnsi="Palatino Linotype"/>
          <w:i/>
        </w:rPr>
      </w:pPr>
      <w:r w:rsidRPr="00BA5C93">
        <w:rPr>
          <w:rFonts w:ascii="Palatino Linotype" w:hAnsi="Palatino Linotype"/>
          <w:i/>
        </w:rPr>
        <w:t>Lo anterior es así, debido a que, cuando EL RECURRENTE impugnó la respuesta del SUJETO OBLIGADO, no expresó razón o motivo de inconformidad en contra del documento fuente que demuestra la información estadística entregada por la Secretaria de Educación; dichos rubros deben declararse atendidos, pues se entiende que la particular está conforme con la información entregada al no contravenir la misma.</w:t>
      </w:r>
    </w:p>
    <w:p w:rsidR="00BA5C93" w:rsidRPr="00BA5C93" w:rsidRDefault="00BA5C93" w:rsidP="00BA5C93">
      <w:pPr>
        <w:spacing w:before="240" w:after="240" w:line="360" w:lineRule="auto"/>
        <w:ind w:left="851" w:right="616"/>
        <w:jc w:val="both"/>
        <w:rPr>
          <w:rFonts w:ascii="Palatino Linotype" w:hAnsi="Palatino Linotype"/>
          <w:i/>
        </w:rPr>
      </w:pPr>
      <w:r w:rsidRPr="00BA5C93">
        <w:rPr>
          <w:rFonts w:ascii="Palatino Linotype" w:hAnsi="Palatino Linotype"/>
          <w:i/>
        </w:rPr>
        <w:t>Consecuentemente, la parte de la respuesta que no fue impugnada debe declararse consentida por EL RECURRENTE, toda vez que no realizó manifestaciones de inconformidad; por lo que, no pueden producirse efectos jurídicos tendentes a revocar, confirmar o modificar el acto reclamado ya que se infiere su consentimiento ante la falta de impugnación eficaz.</w:t>
      </w:r>
    </w:p>
    <w:p w:rsidR="00BA5C93" w:rsidRPr="00BA5C93" w:rsidRDefault="00BA5C93" w:rsidP="00BA5C93">
      <w:pPr>
        <w:spacing w:before="240" w:after="240" w:line="360" w:lineRule="auto"/>
        <w:ind w:left="851" w:right="616"/>
        <w:jc w:val="both"/>
        <w:rPr>
          <w:rFonts w:ascii="Palatino Linotype" w:hAnsi="Palatino Linotype"/>
          <w:i/>
        </w:rPr>
      </w:pPr>
      <w:r w:rsidRPr="00BA5C93">
        <w:rPr>
          <w:rFonts w:ascii="Palatino Linotype" w:hAnsi="Palatino Linotype"/>
          <w:i/>
        </w:rPr>
        <w:t>Sirve de apoyo a lo anterior, por analogía, la Tesis Jurisprudencial Número 3ª./J.7/91, Publicada en el Semanario Judicial de la Federación y su Gaceta bajo el número de registro 174,177, que establece lo siguiente:</w:t>
      </w:r>
    </w:p>
    <w:p w:rsidR="00117841" w:rsidRPr="00B10C1A" w:rsidRDefault="00BA5C93" w:rsidP="00BA5C93">
      <w:pPr>
        <w:spacing w:before="240" w:after="240" w:line="360" w:lineRule="auto"/>
        <w:ind w:left="851" w:right="616"/>
        <w:jc w:val="both"/>
        <w:rPr>
          <w:rFonts w:ascii="Palatino Linotype" w:hAnsi="Palatino Linotype"/>
          <w:i/>
        </w:rPr>
      </w:pPr>
      <w:r w:rsidRPr="00BA5C93">
        <w:rPr>
          <w:rFonts w:ascii="Palatino Linotype" w:hAnsi="Palatino Linotype"/>
          <w:i/>
        </w:rPr>
        <w:t xml:space="preserve"> “</w:t>
      </w:r>
      <w:r w:rsidRPr="00BA5C93">
        <w:rPr>
          <w:rFonts w:ascii="Palatino Linotype" w:hAnsi="Palatino Linotype"/>
          <w:b/>
          <w:i/>
        </w:rPr>
        <w:t>REVISIÓN EN AMPARO. LOS RESOLUTIVOS NO COMBATIDOS DEBEN DECLARARSE FIRMES</w:t>
      </w:r>
      <w:r w:rsidRPr="00BA5C93">
        <w:rPr>
          <w:rFonts w:ascii="Palatino Linotype" w:hAnsi="Palatino Linotype"/>
          <w:i/>
        </w:rPr>
        <w:t xml:space="preserve">. Cuando algún resolutivo de la sentencia </w:t>
      </w:r>
      <w:r w:rsidRPr="00BA5C93">
        <w:rPr>
          <w:rFonts w:ascii="Palatino Linotype" w:hAnsi="Palatino Linotype"/>
          <w:i/>
        </w:rPr>
        <w:lastRenderedPageBreak/>
        <w:t>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r w:rsidR="003007A7" w:rsidRPr="00B10C1A">
        <w:rPr>
          <w:rFonts w:ascii="Palatino Linotype" w:hAnsi="Palatino Linotype"/>
          <w:i/>
        </w:rPr>
        <w:t>.”</w:t>
      </w: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Derivado de lo transcrito con anterioridad, considero que la incorporación de dicho concepto en la resolución en comento resulta a todas luces innecesario y además no ha lugar a invocarlos en el derecho humano fundamental de acceder a la información pública gubernamental.</w:t>
      </w:r>
      <w:r w:rsidRPr="00B10C1A">
        <w:rPr>
          <w:rFonts w:ascii="Palatino Linotype" w:eastAsia="Calibri" w:hAnsi="Palatino Linotype" w:cs="Times New Roman"/>
          <w:sz w:val="24"/>
          <w:szCs w:val="24"/>
          <w:lang w:val="es-ES" w:eastAsia="es-ES"/>
        </w:rPr>
        <w:t xml:space="preserve"> Por lo que la mayoría consideró que la</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respuesta</w:t>
      </w:r>
      <w:r w:rsidR="004472A9" w:rsidRPr="00B10C1A">
        <w:rPr>
          <w:rFonts w:ascii="Palatino Linotype" w:eastAsia="Calibri" w:hAnsi="Palatino Linotype" w:cs="Times New Roman"/>
          <w:sz w:val="24"/>
          <w:szCs w:val="24"/>
          <w:lang w:val="es-ES" w:eastAsia="es-ES"/>
        </w:rPr>
        <w:t>s quedaron</w:t>
      </w:r>
      <w:r w:rsidRPr="00B10C1A">
        <w:rPr>
          <w:rFonts w:ascii="Palatino Linotype" w:eastAsia="Calibri" w:hAnsi="Palatino Linotype" w:cs="Times New Roman"/>
          <w:sz w:val="24"/>
          <w:szCs w:val="24"/>
          <w:lang w:val="es-ES" w:eastAsia="es-ES"/>
        </w:rPr>
        <w:t xml:space="preserve"> firme</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ante la falta de impugnación respecto al resto de los requerimientos que no fueron manifestados en el recurso de revisión. En el presente asunto que nos ocupa, es de señalar que del análisis hecho a la resolución en comento, no se discute que el </w:t>
      </w:r>
      <w:r w:rsidR="00857D4E">
        <w:rPr>
          <w:rFonts w:ascii="Palatino Linotype" w:eastAsia="Calibri" w:hAnsi="Palatino Linotype" w:cs="Times New Roman"/>
          <w:sz w:val="24"/>
          <w:szCs w:val="24"/>
          <w:lang w:val="es-ES" w:eastAsia="es-ES"/>
        </w:rPr>
        <w:t>Sujeto Obligado</w:t>
      </w:r>
      <w:r w:rsidRPr="00B10C1A">
        <w:rPr>
          <w:rFonts w:ascii="Palatino Linotype" w:eastAsia="Calibri" w:hAnsi="Palatino Linotype" w:cs="Times New Roman"/>
          <w:sz w:val="24"/>
          <w:szCs w:val="24"/>
          <w:lang w:val="es-ES" w:eastAsia="es-ES"/>
        </w:rPr>
        <w:t xml:space="preserve"> ha dado respuesta a la solicitud de información que en lo particular nos ocupa, tan es así que la respuesta fue </w:t>
      </w:r>
      <w:r w:rsidR="00857D4E">
        <w:rPr>
          <w:rFonts w:ascii="Palatino Linotype" w:eastAsia="Calibri" w:hAnsi="Palatino Linotype" w:cs="Times New Roman"/>
          <w:sz w:val="24"/>
          <w:szCs w:val="24"/>
          <w:lang w:val="es-ES" w:eastAsia="es-ES"/>
        </w:rPr>
        <w:t>confirmada</w:t>
      </w:r>
      <w:r w:rsidRPr="00B10C1A">
        <w:rPr>
          <w:rFonts w:ascii="Palatino Linotype" w:eastAsia="Calibri" w:hAnsi="Palatino Linotype" w:cs="Times New Roman"/>
          <w:sz w:val="24"/>
          <w:szCs w:val="24"/>
          <w:lang w:val="es-ES" w:eastAsia="es-ES"/>
        </w:rPr>
        <w:t>, sin embargo, en el derecho de acceso a la información, considero, es innecesario señalar la figura de actos consentidos.</w:t>
      </w:r>
    </w:p>
    <w:p w:rsidR="0046491C" w:rsidRPr="00B10C1A" w:rsidRDefault="0046491C" w:rsidP="0046491C">
      <w:pPr>
        <w:pStyle w:val="Ttulo1"/>
        <w:numPr>
          <w:ilvl w:val="0"/>
          <w:numId w:val="12"/>
        </w:numPr>
        <w:rPr>
          <w:szCs w:val="24"/>
        </w:rPr>
      </w:pPr>
      <w:bookmarkStart w:id="3" w:name="_Toc264967"/>
      <w:r w:rsidRPr="00B10C1A">
        <w:rPr>
          <w:szCs w:val="24"/>
        </w:rPr>
        <w:t>Los actos consentidos no deben invocarse en el derecho fundamental de acceder a la información pública gubernamental.</w:t>
      </w:r>
      <w:bookmarkEnd w:id="3"/>
    </w:p>
    <w:p w:rsidR="0046491C" w:rsidRPr="00B10C1A" w:rsidRDefault="0046491C" w:rsidP="0046491C">
      <w:pPr>
        <w:pStyle w:val="Prrafodelista"/>
        <w:spacing w:after="0" w:line="360" w:lineRule="auto"/>
        <w:ind w:left="1080"/>
        <w:jc w:val="both"/>
        <w:rPr>
          <w:rFonts w:ascii="Palatino Linotype" w:hAnsi="Palatino Linotype" w:cs="Arial"/>
          <w:b/>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En la resolución se precisa de manera amplia y solvente, un criterio adoptado en un procedimiento jurisdiccional sobre los actos consentidos. Al respecto estoy </w:t>
      </w:r>
      <w:r w:rsidRPr="00B10C1A">
        <w:rPr>
          <w:rFonts w:ascii="Palatino Linotype" w:hAnsi="Palatino Linotype" w:cs="Arial"/>
          <w:sz w:val="24"/>
          <w:szCs w:val="24"/>
        </w:rPr>
        <w:lastRenderedPageBreak/>
        <w:t xml:space="preserve">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B10C1A">
        <w:rPr>
          <w:rFonts w:ascii="Palatino Linotype" w:hAnsi="Palatino Linotype" w:cs="Arial"/>
          <w:b/>
          <w:sz w:val="24"/>
          <w:szCs w:val="24"/>
        </w:rPr>
        <w:t>acudir a un profesionista del derecho</w:t>
      </w:r>
      <w:r w:rsidRPr="00B10C1A">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w:t>
      </w:r>
      <w:r w:rsidRPr="00B10C1A">
        <w:rPr>
          <w:rFonts w:ascii="Palatino Linotype" w:hAnsi="Palatino Linotype" w:cs="Arial"/>
          <w:sz w:val="24"/>
          <w:szCs w:val="24"/>
        </w:rPr>
        <w:lastRenderedPageBreak/>
        <w:t>actos procesales de la parte débil incluyendo el ofrecimiento y desahogo de los medios de prueba”.</w:t>
      </w:r>
      <w:r w:rsidRPr="00B10C1A">
        <w:rPr>
          <w:rStyle w:val="Refdenotaalpie"/>
          <w:rFonts w:ascii="Palatino Linotype" w:hAnsi="Palatino Linotype" w:cs="Arial"/>
        </w:rPr>
        <w:footnoteReference w:id="1"/>
      </w:r>
      <w:r w:rsidRPr="00B10C1A">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B10C1A">
        <w:rPr>
          <w:rStyle w:val="Refdenotaalpie"/>
          <w:rFonts w:ascii="Palatino Linotype" w:hAnsi="Palatino Linotype" w:cs="Arial"/>
        </w:rPr>
        <w:footnoteReference w:id="2"/>
      </w:r>
      <w:r w:rsidRPr="00B10C1A">
        <w:rPr>
          <w:rFonts w:ascii="Palatino Linotype" w:hAnsi="Palatino Linotype" w:cs="Arial"/>
          <w:sz w:val="24"/>
          <w:szCs w:val="24"/>
        </w:rPr>
        <w:t xml:space="preserve"> </w:t>
      </w:r>
    </w:p>
    <w:p w:rsidR="00A95990" w:rsidRPr="00A95990" w:rsidRDefault="00A95990" w:rsidP="00A95990">
      <w:pPr>
        <w:pStyle w:val="Prrafodelista"/>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A95990" w:rsidRPr="00A95990" w:rsidRDefault="00A95990" w:rsidP="00A95990">
      <w:pPr>
        <w:pStyle w:val="Prrafodelista"/>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B10C1A">
        <w:rPr>
          <w:rFonts w:ascii="Palatino Linotype" w:hAnsi="Palatino Linotype" w:cs="Arial"/>
          <w:b/>
          <w:sz w:val="24"/>
          <w:szCs w:val="24"/>
        </w:rPr>
        <w:t>garantía de los derechos humanos</w:t>
      </w:r>
      <w:r w:rsidRPr="00B10C1A">
        <w:rPr>
          <w:rFonts w:ascii="Palatino Linotype" w:hAnsi="Palatino Linotype" w:cs="Arial"/>
          <w:sz w:val="24"/>
          <w:szCs w:val="24"/>
        </w:rPr>
        <w:t xml:space="preserve">, de tal forma que cualquier esfuerzo que se haga en el sentido de cumplir con dicho mandato no </w:t>
      </w:r>
      <w:r w:rsidRPr="00B10C1A">
        <w:rPr>
          <w:rFonts w:ascii="Palatino Linotype" w:hAnsi="Palatino Linotype" w:cs="Arial"/>
          <w:sz w:val="24"/>
          <w:szCs w:val="24"/>
        </w:rPr>
        <w:lastRenderedPageBreak/>
        <w:t>resulta ocioso ni sobra sino demuestra el grado de compromiso de la autoridad con este aspecto toral de la reforma constitucional del 10 de junio de 2011.</w:t>
      </w:r>
    </w:p>
    <w:p w:rsidR="00EB3B6B" w:rsidRPr="00B10C1A" w:rsidRDefault="00EB3B6B" w:rsidP="00EB3B6B">
      <w:pPr>
        <w:pStyle w:val="Prrafodelista"/>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En este sentido el Dr. Miguel Carbonell ha señalado que:</w:t>
      </w:r>
    </w:p>
    <w:p w:rsidR="00A97D8B" w:rsidRPr="00A97D8B" w:rsidRDefault="00A97D8B" w:rsidP="00A97D8B">
      <w:pPr>
        <w:pStyle w:val="Prrafodelista"/>
        <w:rPr>
          <w:rFonts w:ascii="Palatino Linotype" w:hAnsi="Palatino Linotype" w:cs="Arial"/>
          <w:sz w:val="24"/>
          <w:szCs w:val="24"/>
        </w:rPr>
      </w:pPr>
    </w:p>
    <w:p w:rsidR="0046491C" w:rsidRDefault="0046491C" w:rsidP="0046491C">
      <w:pPr>
        <w:pStyle w:val="Prrafodelista"/>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B10C1A">
        <w:rPr>
          <w:rFonts w:ascii="Palatino Linotype" w:hAnsi="Palatino Linotype" w:cs="Arial"/>
          <w:b/>
          <w:sz w:val="24"/>
          <w:szCs w:val="24"/>
        </w:rPr>
        <w:t>considerando que algún nivel de gobierno tenga obligaciones reforzadas hacia ciertos derechos.</w:t>
      </w:r>
      <w:r w:rsidRPr="00B10C1A">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B10C1A">
        <w:rPr>
          <w:rFonts w:ascii="Palatino Linotype" w:hAnsi="Palatino Linotype" w:cs="Arial"/>
          <w:b/>
          <w:sz w:val="24"/>
          <w:szCs w:val="24"/>
        </w:rPr>
        <w:t>tomar todas las medidas que sean pertinentes para tutelar y hacer eficaz un derecho</w:t>
      </w:r>
      <w:r w:rsidRPr="00B10C1A">
        <w:rPr>
          <w:rFonts w:ascii="Palatino Linotype" w:hAnsi="Palatino Linotype" w:cs="Arial"/>
          <w:sz w:val="24"/>
          <w:szCs w:val="24"/>
        </w:rPr>
        <w:t>”.</w:t>
      </w:r>
      <w:r w:rsidRPr="00B10C1A">
        <w:rPr>
          <w:rStyle w:val="Refdenotaalpie"/>
          <w:rFonts w:ascii="Palatino Linotype" w:hAnsi="Palatino Linotype" w:cs="Arial"/>
        </w:rPr>
        <w:footnoteReference w:id="3"/>
      </w:r>
    </w:p>
    <w:p w:rsidR="00A95990" w:rsidRPr="00B10C1A" w:rsidRDefault="00A95990"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Por lo que restringir el derecho de acceso a la información pública del particular</w:t>
      </w:r>
      <w:r w:rsidRPr="00B10C1A">
        <w:rPr>
          <w:rFonts w:ascii="Palatino Linotype" w:hAnsi="Palatino Linotype" w:cs="Arial"/>
          <w:b/>
          <w:sz w:val="24"/>
          <w:szCs w:val="24"/>
        </w:rPr>
        <w:t xml:space="preserve"> </w:t>
      </w:r>
      <w:r w:rsidRPr="00B10C1A">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B10C1A" w:rsidRDefault="0046491C" w:rsidP="0046491C">
      <w:pPr>
        <w:pStyle w:val="Prrafodelista"/>
        <w:spacing w:after="0" w:line="360" w:lineRule="auto"/>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lastRenderedPageBreak/>
        <w:t xml:space="preserve"> Enfrentar este silencio  u omisión de los particulares a inconformarse por algún punto o requerimiento de origen solicitado, cuando es</w:t>
      </w:r>
      <w:r w:rsidR="00145D32" w:rsidRPr="00B10C1A">
        <w:rPr>
          <w:rFonts w:ascii="Palatino Linotype" w:hAnsi="Palatino Linotype" w:cs="Arial"/>
          <w:sz w:val="24"/>
          <w:szCs w:val="24"/>
        </w:rPr>
        <w:t xml:space="preserve"> </w:t>
      </w:r>
      <w:r w:rsidRPr="00B10C1A">
        <w:rPr>
          <w:rFonts w:ascii="Palatino Linotype" w:hAnsi="Palatino Linotype" w:cs="Arial"/>
          <w:sz w:val="24"/>
          <w:szCs w:val="24"/>
        </w:rPr>
        <w:t xml:space="preserve">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B10C1A" w:rsidRDefault="0046491C" w:rsidP="0046491C">
      <w:pPr>
        <w:pStyle w:val="Prrafodelista"/>
        <w:spacing w:line="360" w:lineRule="auto"/>
        <w:jc w:val="both"/>
        <w:rPr>
          <w:rFonts w:ascii="Palatino Linotype" w:hAnsi="Palatino Linotype" w:cs="Arial"/>
          <w:sz w:val="24"/>
          <w:szCs w:val="24"/>
        </w:rPr>
      </w:pPr>
    </w:p>
    <w:p w:rsidR="00007504"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B10C1A">
        <w:rPr>
          <w:rStyle w:val="Refdenotaalpie"/>
          <w:rFonts w:ascii="Palatino Linotype" w:hAnsi="Palatino Linotype" w:cs="Arial"/>
        </w:rPr>
        <w:footnoteReference w:id="4"/>
      </w:r>
      <w:r w:rsidRPr="00B10C1A">
        <w:rPr>
          <w:rFonts w:ascii="Palatino Linotype" w:hAnsi="Palatino Linotype" w:cs="Arial"/>
          <w:sz w:val="24"/>
          <w:szCs w:val="24"/>
        </w:rPr>
        <w:t xml:space="preserve"> y no puede existir validez en la aplicación de un </w:t>
      </w:r>
      <w:r w:rsidRPr="00B10C1A">
        <w:rPr>
          <w:rFonts w:ascii="Palatino Linotype" w:hAnsi="Palatino Linotype" w:cs="Arial"/>
          <w:sz w:val="24"/>
          <w:szCs w:val="24"/>
        </w:rPr>
        <w:lastRenderedPageBreak/>
        <w:t>criterio que propicia una riesgosa afectación al derecho de acceso a la información.</w:t>
      </w:r>
    </w:p>
    <w:p w:rsidR="00AE1193" w:rsidRPr="00B10C1A" w:rsidRDefault="00AE1193" w:rsidP="00AE1193">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B10C1A">
        <w:rPr>
          <w:rFonts w:ascii="Palatino Linotype" w:hAnsi="Palatino Linotype" w:cs="Arial"/>
          <w:b/>
          <w:sz w:val="24"/>
          <w:szCs w:val="24"/>
        </w:rPr>
        <w:t>el deber que tienen los órganos del Estado, dentro del margen de sus atribuciones, de prevenir violaciones a los derechos fundamentales,</w:t>
      </w:r>
      <w:r w:rsidRPr="00B10C1A">
        <w:rPr>
          <w:rFonts w:ascii="Palatino Linotype" w:hAnsi="Palatino Linotype" w:cs="Arial"/>
          <w:sz w:val="24"/>
          <w:szCs w:val="24"/>
        </w:rPr>
        <w:t xml:space="preserve"> ya sea que provengan de una autoridad o de algún particular y, por ello, </w:t>
      </w:r>
      <w:r w:rsidRPr="00B10C1A">
        <w:rPr>
          <w:rFonts w:ascii="Palatino Linotype" w:hAnsi="Palatino Linotype" w:cs="Arial"/>
          <w:b/>
          <w:sz w:val="24"/>
          <w:szCs w:val="24"/>
        </w:rPr>
        <w:t>debe contarse</w:t>
      </w:r>
      <w:r w:rsidRPr="00B10C1A">
        <w:rPr>
          <w:rFonts w:ascii="Palatino Linotype" w:hAnsi="Palatino Linotype" w:cs="Arial"/>
          <w:sz w:val="24"/>
          <w:szCs w:val="24"/>
        </w:rPr>
        <w:t xml:space="preserve"> tanto </w:t>
      </w:r>
      <w:r w:rsidRPr="00B10C1A">
        <w:rPr>
          <w:rFonts w:ascii="Palatino Linotype" w:hAnsi="Palatino Linotype" w:cs="Arial"/>
          <w:b/>
          <w:sz w:val="24"/>
          <w:szCs w:val="24"/>
        </w:rPr>
        <w:t>con mecanismos</w:t>
      </w:r>
      <w:r w:rsidRPr="00B10C1A">
        <w:rPr>
          <w:rFonts w:ascii="Palatino Linotype" w:hAnsi="Palatino Linotype" w:cs="Arial"/>
          <w:sz w:val="24"/>
          <w:szCs w:val="24"/>
        </w:rPr>
        <w:t xml:space="preserve"> de vigilancia como </w:t>
      </w:r>
      <w:r w:rsidRPr="00B10C1A">
        <w:rPr>
          <w:rFonts w:ascii="Palatino Linotype" w:hAnsi="Palatino Linotype" w:cs="Arial"/>
          <w:b/>
          <w:sz w:val="24"/>
          <w:szCs w:val="24"/>
        </w:rPr>
        <w:t xml:space="preserve">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w:t>
      </w:r>
      <w:r w:rsidRPr="00B10C1A">
        <w:rPr>
          <w:rFonts w:ascii="Palatino Linotype" w:hAnsi="Palatino Linotype" w:cs="Arial"/>
          <w:b/>
          <w:sz w:val="24"/>
          <w:szCs w:val="24"/>
        </w:rPr>
        <w:lastRenderedPageBreak/>
        <w:t>agentes del Estado</w:t>
      </w:r>
      <w:r w:rsidRPr="00B10C1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00A97D8B">
        <w:rPr>
          <w:rFonts w:ascii="Palatino Linotype" w:hAnsi="Palatino Linotype" w:cs="Arial"/>
          <w:sz w:val="24"/>
          <w:szCs w:val="24"/>
        </w:rPr>
        <w:t>Sujetos Obligados</w:t>
      </w:r>
      <w:r w:rsidRPr="00B10C1A">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w:t>
      </w:r>
      <w:r w:rsidRPr="00B10C1A">
        <w:rPr>
          <w:rFonts w:ascii="Palatino Linotype" w:hAnsi="Palatino Linotype" w:cs="Arial"/>
          <w:sz w:val="24"/>
          <w:szCs w:val="24"/>
        </w:rPr>
        <w:lastRenderedPageBreak/>
        <w:t>derecho de acceso a la información y que además se encuentra disponible para ser operado por esta autoridad.</w:t>
      </w:r>
    </w:p>
    <w:p w:rsidR="000F0579" w:rsidRPr="00B10C1A" w:rsidRDefault="000F0579" w:rsidP="000F0579">
      <w:pPr>
        <w:spacing w:after="0" w:line="360" w:lineRule="auto"/>
        <w:jc w:val="both"/>
        <w:rPr>
          <w:rFonts w:ascii="Palatino Linotype" w:hAnsi="Palatino Linotype" w:cs="Arial"/>
          <w:sz w:val="24"/>
          <w:szCs w:val="24"/>
        </w:rPr>
      </w:pPr>
    </w:p>
    <w:p w:rsidR="00BE3B45"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r w:rsidR="00996597" w:rsidRPr="00B10C1A">
        <w:rPr>
          <w:rFonts w:ascii="Palatino Linotype" w:hAnsi="Palatino Linotype" w:cs="Arial"/>
          <w:sz w:val="24"/>
          <w:szCs w:val="24"/>
        </w:rPr>
        <w:t>procedencia</w:t>
      </w:r>
      <w:r w:rsidRPr="00B10C1A">
        <w:rPr>
          <w:rFonts w:ascii="Palatino Linotype" w:hAnsi="Palatino Linotype" w:cs="Arial"/>
          <w:sz w:val="24"/>
          <w:szCs w:val="24"/>
        </w:rPr>
        <w:t>, ya que en todo momento nos encontramos ante un derecho más alto que, puede considerarse en los siguientes términos:</w:t>
      </w:r>
    </w:p>
    <w:p w:rsidR="00BE3B45" w:rsidRPr="00B10C1A" w:rsidRDefault="00BE3B45" w:rsidP="00BE3B45">
      <w:pPr>
        <w:pStyle w:val="Prrafodelista"/>
        <w:spacing w:after="0" w:line="360" w:lineRule="auto"/>
        <w:ind w:left="360"/>
        <w:jc w:val="both"/>
        <w:rPr>
          <w:rFonts w:ascii="Palatino Linotype" w:hAnsi="Palatino Linotype" w:cs="Arial"/>
          <w:sz w:val="24"/>
          <w:szCs w:val="24"/>
        </w:rPr>
      </w:pPr>
    </w:p>
    <w:p w:rsidR="0046491C" w:rsidRPr="00B10C1A" w:rsidRDefault="0046491C" w:rsidP="00D33AF9">
      <w:pPr>
        <w:spacing w:after="0" w:line="240" w:lineRule="auto"/>
        <w:ind w:left="1134" w:right="618"/>
        <w:jc w:val="both"/>
        <w:rPr>
          <w:rFonts w:ascii="Palatino Linotype" w:hAnsi="Palatino Linotype" w:cs="Arial"/>
          <w:i/>
          <w:sz w:val="24"/>
          <w:szCs w:val="24"/>
        </w:rPr>
      </w:pPr>
      <w:r w:rsidRPr="00B10C1A">
        <w:rPr>
          <w:rFonts w:ascii="Palatino Linotype" w:hAnsi="Palatino Linotype" w:cs="Arial"/>
          <w:i/>
          <w:sz w:val="24"/>
          <w:szCs w:val="24"/>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B10C1A">
        <w:rPr>
          <w:rStyle w:val="Refdenotaalpie"/>
          <w:rFonts w:ascii="Palatino Linotype" w:hAnsi="Palatino Linotype" w:cs="Arial"/>
          <w:i/>
        </w:rPr>
        <w:footnoteReference w:id="5"/>
      </w:r>
    </w:p>
    <w:p w:rsidR="0046491C" w:rsidRPr="00B10C1A" w:rsidRDefault="0046491C" w:rsidP="0046491C">
      <w:pPr>
        <w:spacing w:after="0" w:line="360" w:lineRule="auto"/>
        <w:jc w:val="both"/>
        <w:rPr>
          <w:rFonts w:ascii="Palatino Linotype" w:hAnsi="Palatino Linotype" w:cs="Arial"/>
          <w:sz w:val="24"/>
          <w:szCs w:val="24"/>
        </w:rPr>
      </w:pPr>
    </w:p>
    <w:p w:rsidR="0046491C" w:rsidRPr="00B10C1A"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w:t>
      </w:r>
      <w:r w:rsidRPr="00B10C1A">
        <w:rPr>
          <w:rFonts w:ascii="Palatino Linotype" w:hAnsi="Palatino Linotype" w:cs="Arial"/>
          <w:sz w:val="24"/>
          <w:szCs w:val="24"/>
        </w:rPr>
        <w:lastRenderedPageBreak/>
        <w:t>mandato constitucional y pretende otorgar plena certeza a la presunción de que la solicitud ha sido atendida, lo que de no ser así, afecta el derecho humano.</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A8499A" w:rsidRDefault="00A8499A" w:rsidP="00A8499A">
      <w:pPr>
        <w:spacing w:after="0" w:line="360" w:lineRule="auto"/>
        <w:jc w:val="both"/>
        <w:rPr>
          <w:rFonts w:ascii="Palatino Linotype" w:hAnsi="Palatino Linotype" w:cs="Arial"/>
          <w:sz w:val="24"/>
          <w:szCs w:val="24"/>
        </w:rPr>
      </w:pPr>
    </w:p>
    <w:p w:rsidR="00A8499A" w:rsidRPr="00A8499A" w:rsidRDefault="00A8499A" w:rsidP="00A8499A">
      <w:pPr>
        <w:spacing w:after="0" w:line="360" w:lineRule="auto"/>
        <w:jc w:val="both"/>
        <w:rPr>
          <w:rFonts w:ascii="Palatino Linotype" w:hAnsi="Palatino Linotype" w:cs="Arial"/>
          <w:sz w:val="24"/>
          <w:szCs w:val="24"/>
        </w:rPr>
      </w:pPr>
    </w:p>
    <w:p w:rsidR="00A97D8B" w:rsidRDefault="00A97D8B" w:rsidP="003B3FC7">
      <w:pPr>
        <w:pStyle w:val="Ttulo1"/>
        <w:numPr>
          <w:ilvl w:val="0"/>
          <w:numId w:val="12"/>
        </w:numPr>
        <w:rPr>
          <w:b w:val="0"/>
          <w:color w:val="000000" w:themeColor="text1"/>
          <w:szCs w:val="24"/>
        </w:rPr>
      </w:pPr>
      <w:bookmarkStart w:id="4" w:name="_Toc485633205"/>
      <w:bookmarkStart w:id="5" w:name="_Toc517097953"/>
      <w:bookmarkStart w:id="6" w:name="_Toc264969"/>
      <w:r w:rsidRPr="00E20DC1">
        <w:rPr>
          <w:color w:val="000000" w:themeColor="text1"/>
          <w:szCs w:val="24"/>
        </w:rPr>
        <w:lastRenderedPageBreak/>
        <w:t>Conclusión</w:t>
      </w:r>
      <w:bookmarkEnd w:id="4"/>
      <w:bookmarkEnd w:id="5"/>
      <w:bookmarkEnd w:id="6"/>
    </w:p>
    <w:p w:rsidR="00A97D8B" w:rsidRPr="001A3406" w:rsidRDefault="00A97D8B" w:rsidP="00A97D8B"/>
    <w:p w:rsidR="00145D32" w:rsidRPr="00A8499A" w:rsidRDefault="00301086" w:rsidP="00A8499A">
      <w:pPr>
        <w:pStyle w:val="Prrafodelista"/>
        <w:numPr>
          <w:ilvl w:val="0"/>
          <w:numId w:val="1"/>
        </w:numPr>
        <w:spacing w:after="0" w:line="360" w:lineRule="auto"/>
        <w:ind w:left="426"/>
        <w:jc w:val="both"/>
        <w:rPr>
          <w:rFonts w:ascii="Palatino Linotype" w:hAnsi="Palatino Linotype"/>
          <w:sz w:val="24"/>
          <w:szCs w:val="24"/>
        </w:rPr>
      </w:pPr>
      <w:r w:rsidRPr="00B10C1A">
        <w:rPr>
          <w:rFonts w:ascii="Palatino Linotype" w:hAnsi="Palatino Linotype" w:cs="Arial"/>
          <w:sz w:val="24"/>
          <w:szCs w:val="24"/>
        </w:rPr>
        <w:t>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w:t>
      </w:r>
      <w:r w:rsidR="00A8499A">
        <w:rPr>
          <w:rFonts w:ascii="Palatino Linotype" w:hAnsi="Palatino Linotype" w:cs="Arial"/>
          <w:sz w:val="24"/>
          <w:szCs w:val="24"/>
        </w:rPr>
        <w:t>erecho, en lugar de vulnerarlo. A</w:t>
      </w:r>
      <w:r w:rsidR="00A97D8B" w:rsidRPr="00A8499A">
        <w:rPr>
          <w:rFonts w:ascii="Palatino Linotype" w:hAnsi="Palatino Linotype"/>
          <w:color w:val="000000" w:themeColor="text1"/>
          <w:sz w:val="24"/>
          <w:szCs w:val="24"/>
        </w:rPr>
        <w:t>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145D32" w:rsidRPr="00B10C1A" w:rsidRDefault="00145D32" w:rsidP="00145D32">
      <w:pPr>
        <w:pStyle w:val="Prrafodelista"/>
        <w:ind w:left="0"/>
        <w:rPr>
          <w:rFonts w:ascii="Palatino Linotype" w:eastAsia="Calibri" w:hAnsi="Palatino Linotype" w:cs="Arial"/>
          <w:sz w:val="24"/>
          <w:szCs w:val="24"/>
        </w:rPr>
      </w:pPr>
    </w:p>
    <w:p w:rsidR="00145D32" w:rsidRPr="00B10C1A" w:rsidRDefault="00145D32" w:rsidP="00145D32">
      <w:pPr>
        <w:pStyle w:val="Prrafodelista"/>
        <w:spacing w:before="240" w:after="240" w:line="360" w:lineRule="auto"/>
        <w:ind w:left="0"/>
        <w:jc w:val="both"/>
        <w:rPr>
          <w:rFonts w:ascii="Palatino Linotype" w:hAnsi="Palatino Linotype" w:cs="Arial"/>
          <w:color w:val="000000" w:themeColor="text1"/>
          <w:sz w:val="24"/>
          <w:szCs w:val="24"/>
        </w:rPr>
      </w:pPr>
    </w:p>
    <w:p w:rsidR="00232B6D" w:rsidRPr="00B10C1A" w:rsidRDefault="00232B6D" w:rsidP="00232B6D">
      <w:pPr>
        <w:spacing w:after="0" w:line="360" w:lineRule="auto"/>
        <w:contextualSpacing/>
        <w:jc w:val="both"/>
        <w:rPr>
          <w:rFonts w:ascii="Palatino Linotype" w:hAnsi="Palatino Linotype"/>
          <w:sz w:val="24"/>
          <w:szCs w:val="24"/>
        </w:rPr>
      </w:pPr>
    </w:p>
    <w:p w:rsidR="00232B6D" w:rsidRPr="00B10C1A" w:rsidRDefault="00232B6D" w:rsidP="00232B6D">
      <w:pPr>
        <w:spacing w:after="0" w:line="360" w:lineRule="auto"/>
        <w:contextualSpacing/>
        <w:jc w:val="both"/>
        <w:rPr>
          <w:rFonts w:ascii="Palatino Linotype" w:eastAsia="Calibri" w:hAnsi="Palatino Linotype" w:cs="Arial"/>
          <w:sz w:val="24"/>
          <w:szCs w:val="24"/>
        </w:rPr>
      </w:pPr>
    </w:p>
    <w:p w:rsidR="0046491C" w:rsidRPr="00B10C1A" w:rsidRDefault="0046491C" w:rsidP="0046491C">
      <w:pPr>
        <w:pStyle w:val="Sinespaciado"/>
        <w:spacing w:line="360" w:lineRule="auto"/>
        <w:jc w:val="center"/>
        <w:rPr>
          <w:rFonts w:ascii="Palatino Linotype" w:hAnsi="Palatino Linotype"/>
          <w:b/>
          <w:sz w:val="24"/>
          <w:szCs w:val="24"/>
        </w:rPr>
      </w:pPr>
      <w:r w:rsidRPr="00B10C1A">
        <w:rPr>
          <w:rFonts w:ascii="Palatino Linotype" w:hAnsi="Palatino Linotype"/>
          <w:b/>
          <w:sz w:val="24"/>
          <w:szCs w:val="24"/>
        </w:rPr>
        <w:t>JOSÉ GUADALUPE LUNA HERNÁNDEZ</w:t>
      </w:r>
    </w:p>
    <w:p w:rsidR="0046491C" w:rsidRDefault="0046491C" w:rsidP="00D33AF9">
      <w:pPr>
        <w:jc w:val="center"/>
        <w:rPr>
          <w:rFonts w:ascii="Palatino Linotype" w:hAnsi="Palatino Linotype"/>
          <w:b/>
          <w:sz w:val="24"/>
          <w:szCs w:val="24"/>
        </w:rPr>
      </w:pPr>
      <w:r w:rsidRPr="00B10C1A">
        <w:rPr>
          <w:rFonts w:ascii="Palatino Linotype" w:hAnsi="Palatino Linotype"/>
          <w:b/>
          <w:sz w:val="24"/>
          <w:szCs w:val="24"/>
        </w:rPr>
        <w:t>COMISIONADO</w:t>
      </w:r>
    </w:p>
    <w:p w:rsidR="00232B6D" w:rsidRDefault="00232B6D" w:rsidP="00D33AF9">
      <w:pPr>
        <w:jc w:val="center"/>
        <w:rPr>
          <w:rFonts w:ascii="Palatino Linotype" w:hAnsi="Palatino Linotype"/>
          <w:b/>
          <w:sz w:val="24"/>
          <w:szCs w:val="24"/>
        </w:rPr>
      </w:pPr>
    </w:p>
    <w:p w:rsidR="00A8499A" w:rsidRDefault="00A8499A" w:rsidP="00D33AF9">
      <w:pPr>
        <w:jc w:val="center"/>
        <w:rPr>
          <w:rFonts w:ascii="Palatino Linotype" w:hAnsi="Palatino Linotype"/>
          <w:b/>
          <w:sz w:val="24"/>
          <w:szCs w:val="24"/>
        </w:rPr>
      </w:pPr>
    </w:p>
    <w:p w:rsidR="00A8499A" w:rsidRPr="00B10C1A" w:rsidRDefault="00A8499A" w:rsidP="00D33AF9">
      <w:pPr>
        <w:jc w:val="center"/>
        <w:rPr>
          <w:rFonts w:ascii="Palatino Linotype" w:hAnsi="Palatino Linotype"/>
          <w:b/>
          <w:sz w:val="24"/>
          <w:szCs w:val="24"/>
        </w:rPr>
      </w:pPr>
    </w:p>
    <w:p w:rsidR="00232B6D" w:rsidRPr="00B10C1A" w:rsidRDefault="00232B6D" w:rsidP="00E67B8D">
      <w:pPr>
        <w:rPr>
          <w:rFonts w:ascii="Palatino Linotype" w:hAnsi="Palatino Linotype"/>
          <w:sz w:val="20"/>
          <w:szCs w:val="20"/>
        </w:rPr>
      </w:pPr>
    </w:p>
    <w:p w:rsidR="00D02E7A" w:rsidRDefault="00EB3B6B" w:rsidP="00E67B8D">
      <w:pPr>
        <w:rPr>
          <w:rFonts w:ascii="Palatino Linotype" w:hAnsi="Palatino Linotype"/>
          <w:sz w:val="20"/>
          <w:szCs w:val="20"/>
        </w:rPr>
      </w:pPr>
      <w:r w:rsidRPr="00B10C1A">
        <w:rPr>
          <w:rFonts w:ascii="Palatino Linotype" w:hAnsi="Palatino Linotype"/>
          <w:sz w:val="20"/>
          <w:szCs w:val="20"/>
        </w:rPr>
        <w:t>SAVAP/SEV</w:t>
      </w:r>
    </w:p>
    <w:sectPr w:rsidR="00D02E7A" w:rsidSect="00456B87">
      <w:headerReference w:type="even" r:id="rId7"/>
      <w:headerReference w:type="default" r:id="rId8"/>
      <w:footerReference w:type="default" r:id="rId9"/>
      <w:headerReference w:type="first" r:id="rId10"/>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CDF" w:rsidRDefault="00A01CDF" w:rsidP="00E706DA">
      <w:pPr>
        <w:spacing w:after="0" w:line="240" w:lineRule="auto"/>
      </w:pPr>
      <w:r>
        <w:separator/>
      </w:r>
    </w:p>
  </w:endnote>
  <w:endnote w:type="continuationSeparator" w:id="0">
    <w:p w:rsidR="00A01CDF" w:rsidRDefault="00A01CDF"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209F4">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209F4">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CDF" w:rsidRDefault="00A01CDF" w:rsidP="00E706DA">
      <w:pPr>
        <w:spacing w:after="0" w:line="240" w:lineRule="auto"/>
      </w:pPr>
      <w:r>
        <w:separator/>
      </w:r>
    </w:p>
  </w:footnote>
  <w:footnote w:type="continuationSeparator" w:id="0">
    <w:p w:rsidR="00A01CDF" w:rsidRDefault="00A01CDF"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A01C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A01C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A01C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403E5810"/>
    <w:multiLevelType w:val="hybridMultilevel"/>
    <w:tmpl w:val="99329EB8"/>
    <w:lvl w:ilvl="0" w:tplc="A754DE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635F7E"/>
    <w:multiLevelType w:val="hybridMultilevel"/>
    <w:tmpl w:val="36444B1E"/>
    <w:lvl w:ilvl="0" w:tplc="27B489D0">
      <w:start w:val="3"/>
      <w:numFmt w:val="upperRoman"/>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0"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6E6DE1"/>
    <w:multiLevelType w:val="hybridMultilevel"/>
    <w:tmpl w:val="E1261732"/>
    <w:lvl w:ilvl="0" w:tplc="1912220E">
      <w:start w:val="1"/>
      <w:numFmt w:val="decimal"/>
      <w:lvlText w:val="%1."/>
      <w:lvlJc w:val="left"/>
      <w:pPr>
        <w:ind w:left="2127" w:hanging="48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3"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10"/>
  </w:num>
  <w:num w:numId="5">
    <w:abstractNumId w:val="13"/>
  </w:num>
  <w:num w:numId="6">
    <w:abstractNumId w:val="15"/>
  </w:num>
  <w:num w:numId="7">
    <w:abstractNumId w:val="18"/>
  </w:num>
  <w:num w:numId="8">
    <w:abstractNumId w:val="16"/>
  </w:num>
  <w:num w:numId="9">
    <w:abstractNumId w:val="21"/>
  </w:num>
  <w:num w:numId="10">
    <w:abstractNumId w:val="4"/>
  </w:num>
  <w:num w:numId="11">
    <w:abstractNumId w:val="20"/>
  </w:num>
  <w:num w:numId="12">
    <w:abstractNumId w:val="8"/>
  </w:num>
  <w:num w:numId="13">
    <w:abstractNumId w:val="11"/>
  </w:num>
  <w:num w:numId="14">
    <w:abstractNumId w:val="7"/>
  </w:num>
  <w:num w:numId="15">
    <w:abstractNumId w:val="1"/>
  </w:num>
  <w:num w:numId="16">
    <w:abstractNumId w:val="19"/>
  </w:num>
  <w:num w:numId="17">
    <w:abstractNumId w:val="3"/>
  </w:num>
  <w:num w:numId="18">
    <w:abstractNumId w:val="23"/>
  </w:num>
  <w:num w:numId="19">
    <w:abstractNumId w:val="17"/>
  </w:num>
  <w:num w:numId="20">
    <w:abstractNumId w:val="22"/>
  </w:num>
  <w:num w:numId="21">
    <w:abstractNumId w:val="9"/>
  </w:num>
  <w:num w:numId="22">
    <w:abstractNumId w:val="5"/>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44038"/>
    <w:rsid w:val="00044B99"/>
    <w:rsid w:val="00073F0D"/>
    <w:rsid w:val="000951B4"/>
    <w:rsid w:val="0009696B"/>
    <w:rsid w:val="00097F15"/>
    <w:rsid w:val="000A620C"/>
    <w:rsid w:val="000A7B66"/>
    <w:rsid w:val="000F0579"/>
    <w:rsid w:val="000F6CBB"/>
    <w:rsid w:val="00106DB8"/>
    <w:rsid w:val="00117841"/>
    <w:rsid w:val="00122625"/>
    <w:rsid w:val="00127BDE"/>
    <w:rsid w:val="00137288"/>
    <w:rsid w:val="00145D32"/>
    <w:rsid w:val="00150050"/>
    <w:rsid w:val="00172CB0"/>
    <w:rsid w:val="001D3F34"/>
    <w:rsid w:val="002006FF"/>
    <w:rsid w:val="002036ED"/>
    <w:rsid w:val="00232B6D"/>
    <w:rsid w:val="00232CA3"/>
    <w:rsid w:val="002620E9"/>
    <w:rsid w:val="00281310"/>
    <w:rsid w:val="002B1625"/>
    <w:rsid w:val="002D0298"/>
    <w:rsid w:val="002E7894"/>
    <w:rsid w:val="003007A7"/>
    <w:rsid w:val="00301086"/>
    <w:rsid w:val="00302274"/>
    <w:rsid w:val="003605A5"/>
    <w:rsid w:val="003747A5"/>
    <w:rsid w:val="003B3FC7"/>
    <w:rsid w:val="003B44CB"/>
    <w:rsid w:val="003C4797"/>
    <w:rsid w:val="003D6E63"/>
    <w:rsid w:val="00410C93"/>
    <w:rsid w:val="0043522D"/>
    <w:rsid w:val="00441939"/>
    <w:rsid w:val="004472A9"/>
    <w:rsid w:val="0045568A"/>
    <w:rsid w:val="00456B87"/>
    <w:rsid w:val="0046491C"/>
    <w:rsid w:val="00476094"/>
    <w:rsid w:val="004A6FD9"/>
    <w:rsid w:val="004D7218"/>
    <w:rsid w:val="00511A5B"/>
    <w:rsid w:val="00547195"/>
    <w:rsid w:val="005474BE"/>
    <w:rsid w:val="00556CD4"/>
    <w:rsid w:val="005646BF"/>
    <w:rsid w:val="00570595"/>
    <w:rsid w:val="005833D9"/>
    <w:rsid w:val="005A3267"/>
    <w:rsid w:val="005C2977"/>
    <w:rsid w:val="005D7E6E"/>
    <w:rsid w:val="005E124F"/>
    <w:rsid w:val="005F5DBB"/>
    <w:rsid w:val="00602B26"/>
    <w:rsid w:val="00606E42"/>
    <w:rsid w:val="00616E9B"/>
    <w:rsid w:val="006209F4"/>
    <w:rsid w:val="00634736"/>
    <w:rsid w:val="006728FD"/>
    <w:rsid w:val="006773D4"/>
    <w:rsid w:val="006D7989"/>
    <w:rsid w:val="00717C0D"/>
    <w:rsid w:val="0072136B"/>
    <w:rsid w:val="00754C1A"/>
    <w:rsid w:val="00770016"/>
    <w:rsid w:val="00770B87"/>
    <w:rsid w:val="00782DE6"/>
    <w:rsid w:val="00790E37"/>
    <w:rsid w:val="00794A84"/>
    <w:rsid w:val="007A0940"/>
    <w:rsid w:val="007A23D1"/>
    <w:rsid w:val="0082270E"/>
    <w:rsid w:val="008275ED"/>
    <w:rsid w:val="00850252"/>
    <w:rsid w:val="0085533E"/>
    <w:rsid w:val="00856FA1"/>
    <w:rsid w:val="00857D4E"/>
    <w:rsid w:val="008822B3"/>
    <w:rsid w:val="008B03B6"/>
    <w:rsid w:val="008C13C7"/>
    <w:rsid w:val="008D7AF8"/>
    <w:rsid w:val="008F3E81"/>
    <w:rsid w:val="008F735D"/>
    <w:rsid w:val="008F7578"/>
    <w:rsid w:val="00900E75"/>
    <w:rsid w:val="00902248"/>
    <w:rsid w:val="00920A6F"/>
    <w:rsid w:val="00926781"/>
    <w:rsid w:val="00955879"/>
    <w:rsid w:val="00957232"/>
    <w:rsid w:val="00996597"/>
    <w:rsid w:val="009C3135"/>
    <w:rsid w:val="009C41CC"/>
    <w:rsid w:val="009E7FFA"/>
    <w:rsid w:val="00A01CDF"/>
    <w:rsid w:val="00A6310D"/>
    <w:rsid w:val="00A63717"/>
    <w:rsid w:val="00A8499A"/>
    <w:rsid w:val="00A95990"/>
    <w:rsid w:val="00A97D8B"/>
    <w:rsid w:val="00AB023D"/>
    <w:rsid w:val="00AC381E"/>
    <w:rsid w:val="00AD5651"/>
    <w:rsid w:val="00AE1193"/>
    <w:rsid w:val="00AF3716"/>
    <w:rsid w:val="00B10A66"/>
    <w:rsid w:val="00B10C1A"/>
    <w:rsid w:val="00B27292"/>
    <w:rsid w:val="00B4109D"/>
    <w:rsid w:val="00B46F4B"/>
    <w:rsid w:val="00BA5C93"/>
    <w:rsid w:val="00BC5B58"/>
    <w:rsid w:val="00BC7B0C"/>
    <w:rsid w:val="00BE3B45"/>
    <w:rsid w:val="00C03D41"/>
    <w:rsid w:val="00C128C9"/>
    <w:rsid w:val="00C526F2"/>
    <w:rsid w:val="00C91180"/>
    <w:rsid w:val="00CE0823"/>
    <w:rsid w:val="00CE60A9"/>
    <w:rsid w:val="00D01FF9"/>
    <w:rsid w:val="00D02E7A"/>
    <w:rsid w:val="00D12DE7"/>
    <w:rsid w:val="00D26449"/>
    <w:rsid w:val="00D33AF9"/>
    <w:rsid w:val="00D72985"/>
    <w:rsid w:val="00D73077"/>
    <w:rsid w:val="00D7508B"/>
    <w:rsid w:val="00DB4794"/>
    <w:rsid w:val="00DF6F7E"/>
    <w:rsid w:val="00E67B8D"/>
    <w:rsid w:val="00E702DD"/>
    <w:rsid w:val="00E706DA"/>
    <w:rsid w:val="00E83E93"/>
    <w:rsid w:val="00EA4F61"/>
    <w:rsid w:val="00EB0906"/>
    <w:rsid w:val="00EB3B6B"/>
    <w:rsid w:val="00ED4A1D"/>
    <w:rsid w:val="00F130BF"/>
    <w:rsid w:val="00F21D90"/>
    <w:rsid w:val="00F53A7A"/>
    <w:rsid w:val="00F65F7E"/>
    <w:rsid w:val="00F857BC"/>
    <w:rsid w:val="00FA799E"/>
    <w:rsid w:val="00FC3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232B6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semiHidden/>
    <w:unhideWhenUsed/>
    <w:qFormat/>
    <w:rsid w:val="00232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line="24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3138</Words>
  <Characters>17263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2019-04-26T19:45:00Z</cp:lastPrinted>
  <dcterms:created xsi:type="dcterms:W3CDTF">2019-08-20T22:40:00Z</dcterms:created>
  <dcterms:modified xsi:type="dcterms:W3CDTF">2019-08-20T22:40:00Z</dcterms:modified>
</cp:coreProperties>
</file>