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b/>
          <w:lang w:val="es-MX"/>
        </w:rPr>
      </w:pPr>
      <w:r w:rsidRPr="008831A9">
        <w:rPr>
          <w:rFonts w:ascii="Palatino Linotype" w:hAnsi="Palatino Linotype" w:cs="Arial"/>
          <w:b/>
          <w:lang w:val="es-MX"/>
        </w:rPr>
        <w:t>VOTO PARTICULAR QUE FORMULA LA COMISIONADA EVA ABAID YAPUR, EN RELACIÓN CON LA RESOLUCIÓN DICTADA POR EL PLENO DEL</w:t>
      </w:r>
      <w:r>
        <w:rPr>
          <w:rFonts w:ascii="Palatino Linotype" w:hAnsi="Palatino Linotype" w:cs="Arial"/>
          <w:b/>
          <w:lang w:val="es-MX"/>
        </w:rPr>
        <w:t xml:space="preserve"> </w:t>
      </w:r>
      <w:r w:rsidRPr="008831A9">
        <w:rPr>
          <w:rFonts w:ascii="Palatino Linotype" w:hAnsi="Palatino Linotype" w:cs="Arial"/>
          <w:b/>
          <w:lang w:val="es-MX"/>
        </w:rPr>
        <w:t>INSTITUTO DE TRANSPARENCIA, ACCESO A LA INFORMACIÓN PÚBLICA Y PROTECCIÓN DE DATOS PERSONALES DEL ESTADO DE MÉXICO Y MUNICIPIOS, EN LA NOVENA SESIÓN ORDINARIA DE ONCE DE MARZO DE DOS MIL VEINTE, EN LOS RECURSOS DE REVISIÓN 1</w:t>
      </w:r>
      <w:r>
        <w:rPr>
          <w:rFonts w:ascii="Palatino Linotype" w:hAnsi="Palatino Linotype" w:cs="Arial"/>
          <w:b/>
          <w:lang w:val="es-MX"/>
        </w:rPr>
        <w:t>1283/INFOEM/IP/RR/2019 Y 11286/INFOEM/I</w:t>
      </w:r>
      <w:r w:rsidRPr="008831A9">
        <w:rPr>
          <w:rFonts w:ascii="Palatino Linotype" w:hAnsi="Palatino Linotype" w:cs="Arial"/>
          <w:b/>
          <w:lang w:val="es-MX"/>
        </w:rPr>
        <w:t>P/RR/2019 ACUMULADOS.</w:t>
      </w:r>
    </w:p>
    <w:p w:rsid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 xml:space="preserve">Con fundamento en lo dispuesto por el artículo 14, fracciones X y XI del Reglamento Interior del Instituto de Transparencia, Acceso a la Información Pública y Protección de Datos Personales del Estado de México y Municipios, la que suscribe </w:t>
      </w:r>
      <w:r w:rsidRPr="008831A9">
        <w:rPr>
          <w:rFonts w:ascii="Palatino Linotype" w:hAnsi="Palatino Linotype" w:cs="Arial"/>
          <w:b/>
          <w:lang w:val="es-MX"/>
        </w:rPr>
        <w:t>EVA ABAID YAPUR</w:t>
      </w:r>
      <w:r w:rsidRPr="008831A9">
        <w:rPr>
          <w:rFonts w:ascii="Palatino Linotype" w:hAnsi="Palatino Linotype" w:cs="Arial"/>
          <w:lang w:val="es-MX"/>
        </w:rPr>
        <w:t xml:space="preserve"> emite VOTO PARTICULAR respecto de la resolución dictada en</w:t>
      </w:r>
      <w:r>
        <w:rPr>
          <w:rFonts w:ascii="Palatino Linotype" w:hAnsi="Palatino Linotype" w:cs="Arial"/>
          <w:lang w:val="es-MX"/>
        </w:rPr>
        <w:t xml:space="preserve"> el recursos de revisión </w:t>
      </w:r>
      <w:r w:rsidRPr="00870591">
        <w:rPr>
          <w:rFonts w:ascii="Palatino Linotype" w:hAnsi="Palatino Linotype" w:cs="Arial"/>
          <w:b/>
          <w:lang w:val="es-MX"/>
        </w:rPr>
        <w:t>11283/INFOEM/IP/RR/2019</w:t>
      </w:r>
      <w:r>
        <w:rPr>
          <w:rFonts w:ascii="Palatino Linotype" w:hAnsi="Palatino Linotype" w:cs="Arial"/>
          <w:lang w:val="es-MX"/>
        </w:rPr>
        <w:t xml:space="preserve"> y </w:t>
      </w:r>
      <w:r w:rsidRPr="00870591">
        <w:rPr>
          <w:rFonts w:ascii="Palatino Linotype" w:hAnsi="Palatino Linotype" w:cs="Arial"/>
          <w:b/>
          <w:lang w:val="es-MX"/>
        </w:rPr>
        <w:t>11286/INFOEM/IP/RR/2019</w:t>
      </w:r>
      <w:r w:rsidRPr="008831A9">
        <w:rPr>
          <w:rFonts w:ascii="Palatino Linotype" w:hAnsi="Palatino Linotype" w:cs="Arial"/>
          <w:lang w:val="es-MX"/>
        </w:rPr>
        <w:t xml:space="preserve"> acumulados, pronunciada por el Pleno de este Instituto ante el proyecto presentado por el Comisionado </w:t>
      </w:r>
      <w:r w:rsidRPr="00870591">
        <w:rPr>
          <w:rFonts w:ascii="Palatino Linotype" w:hAnsi="Palatino Linotype" w:cs="Arial"/>
          <w:b/>
          <w:lang w:val="es-MX"/>
        </w:rPr>
        <w:t>JOSE GUADALUPE LUNA HERNANDEZ</w:t>
      </w:r>
      <w:r w:rsidRPr="008831A9">
        <w:rPr>
          <w:rFonts w:ascii="Palatino Linotype" w:hAnsi="Palatino Linotype" w:cs="Arial"/>
          <w:lang w:val="es-MX"/>
        </w:rPr>
        <w:t>, que es del tenor siguiente.</w:t>
      </w:r>
    </w:p>
    <w:p w:rsidR="00CE684C" w:rsidRDefault="00CE684C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CD6017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 xml:space="preserve">Es de destacar, que la suscrita comparte esencialmente el sentido de la resolución del recurso de revisión; empero, considero necesario precisar algunos puntos de hecho y de derecho, tocante al fundamento referido en el resolutivo </w:t>
      </w:r>
      <w:r w:rsidRPr="00870591">
        <w:rPr>
          <w:rFonts w:ascii="Palatino Linotype" w:hAnsi="Palatino Linotype" w:cs="Arial"/>
          <w:b/>
          <w:lang w:val="es-MX"/>
        </w:rPr>
        <w:t>SEXTO</w:t>
      </w:r>
      <w:r w:rsidRPr="008831A9">
        <w:rPr>
          <w:rFonts w:ascii="Palatino Linotype" w:hAnsi="Palatino Linotype" w:cs="Arial"/>
          <w:lang w:val="es-MX"/>
        </w:rPr>
        <w:t>.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 xml:space="preserve">Al respecto, tal y como quedó debidamente asentado en la resolución materia del presente voto, el particular requirió del </w:t>
      </w:r>
      <w:r w:rsidRPr="00870591">
        <w:rPr>
          <w:rFonts w:ascii="Palatino Linotype" w:hAnsi="Palatino Linotype" w:cs="Arial"/>
          <w:b/>
          <w:lang w:val="es-MX"/>
        </w:rPr>
        <w:t>Ayuntamiento de Amecameca</w:t>
      </w:r>
      <w:r w:rsidRPr="008831A9">
        <w:rPr>
          <w:rFonts w:ascii="Palatino Linotype" w:hAnsi="Palatino Linotype" w:cs="Arial"/>
          <w:lang w:val="es-MX"/>
        </w:rPr>
        <w:t xml:space="preserve">, en lo sucesivo </w:t>
      </w:r>
      <w:r w:rsidRPr="00CD6017">
        <w:rPr>
          <w:rFonts w:ascii="Palatino Linotype" w:hAnsi="Palatino Linotype" w:cs="Arial"/>
          <w:b/>
          <w:lang w:val="es-MX"/>
        </w:rPr>
        <w:t>EL SUJETO OBLIGADO</w:t>
      </w:r>
      <w:r w:rsidRPr="008831A9">
        <w:rPr>
          <w:rFonts w:ascii="Palatino Linotype" w:hAnsi="Palatino Linotype" w:cs="Arial"/>
          <w:lang w:val="es-MX"/>
        </w:rPr>
        <w:t>, la siguiente información:</w:t>
      </w: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CD6017" w:rsidRDefault="008831A9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b/>
          <w:i/>
          <w:sz w:val="22"/>
          <w:szCs w:val="22"/>
          <w:lang w:val="es-MX"/>
        </w:rPr>
        <w:t>00635/AMECAMEC/IP/2019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"Solicito la lista de participantes de los concursos que coordino el municipio este año</w:t>
      </w:r>
    </w:p>
    <w:p w:rsid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  <w:lang w:val="es-MX"/>
        </w:rPr>
      </w:pPr>
    </w:p>
    <w:p w:rsidR="008831A9" w:rsidRPr="008831A9" w:rsidRDefault="008831A9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lang w:val="es-MX"/>
        </w:rPr>
      </w:pPr>
      <w:r w:rsidRPr="00CD6017">
        <w:rPr>
          <w:rFonts w:ascii="Palatino Linotype" w:hAnsi="Palatino Linotype" w:cs="Arial"/>
          <w:b/>
          <w:i/>
          <w:sz w:val="22"/>
          <w:szCs w:val="22"/>
          <w:lang w:val="es-MX"/>
        </w:rPr>
        <w:t>00636/AMECAMEC/IP/2019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"Solic</w:t>
      </w:r>
      <w:r w:rsidR="00870591">
        <w:rPr>
          <w:rFonts w:ascii="Palatino Linotype" w:hAnsi="Palatino Linotype" w:cs="Arial"/>
          <w:i/>
          <w:sz w:val="22"/>
          <w:szCs w:val="22"/>
          <w:lang w:val="es-MX"/>
        </w:rPr>
        <w:t>ito la lista de los ganadores en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los concursos que coordino el municipio este año. " (Sic</w:t>
      </w:r>
      <w:r w:rsidRPr="008831A9">
        <w:rPr>
          <w:rFonts w:ascii="Palatino Linotype" w:hAnsi="Palatino Linotype" w:cs="Arial"/>
          <w:lang w:val="es-MX"/>
        </w:rPr>
        <w:t>)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 xml:space="preserve">De las constancias que obran en el Sistema de Acceso a la Información Mexiquense, SAIMEX, se advierte que, </w:t>
      </w:r>
      <w:r w:rsidRPr="00CD6017">
        <w:rPr>
          <w:rFonts w:ascii="Palatino Linotype" w:hAnsi="Palatino Linotype" w:cs="Arial"/>
          <w:b/>
          <w:lang w:val="es-MX"/>
        </w:rPr>
        <w:t>EL SUJETO OBLIGADO</w:t>
      </w:r>
      <w:r w:rsidRPr="008831A9">
        <w:rPr>
          <w:rFonts w:ascii="Palatino Linotype" w:hAnsi="Palatino Linotype" w:cs="Arial"/>
          <w:lang w:val="es-MX"/>
        </w:rPr>
        <w:t xml:space="preserve"> emitió su respuesta en los siguientes términos: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CD6017" w:rsidRDefault="008831A9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"La aclaración del peticionario no es clara, toda vez que menciona en la </w:t>
      </w:r>
      <w:r w:rsidR="00CD6017" w:rsidRPr="00CD6017">
        <w:rPr>
          <w:rFonts w:ascii="Palatino Linotype" w:hAnsi="Palatino Linotype" w:cs="Arial"/>
          <w:i/>
          <w:sz w:val="22"/>
          <w:szCs w:val="22"/>
          <w:lang w:val="es-MX"/>
        </w:rPr>
        <w:t>aclaración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que son los concursos de obra pública sin especificar si es invitación restringida o licitación pública" y "El peticionario solo se limita a mencionar l</w:t>
      </w:r>
      <w:r w:rsidR="00CD6017" w:rsidRPr="00CD6017">
        <w:rPr>
          <w:rFonts w:ascii="Palatino Linotype" w:hAnsi="Palatino Linotype" w:cs="Arial"/>
          <w:i/>
          <w:sz w:val="22"/>
          <w:szCs w:val="22"/>
          <w:lang w:val="es-MX"/>
        </w:rPr>
        <w:t>os concursos de obra pública, h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aciendo de su </w:t>
      </w:r>
      <w:r w:rsidR="00CD6017" w:rsidRPr="00CD6017">
        <w:rPr>
          <w:rFonts w:ascii="Palatino Linotype" w:hAnsi="Palatino Linotype" w:cs="Arial"/>
          <w:i/>
          <w:sz w:val="22"/>
          <w:szCs w:val="22"/>
          <w:lang w:val="es-MX"/>
        </w:rPr>
        <w:t>conocimiento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que </w:t>
      </w:r>
      <w:r w:rsidR="00CD6017" w:rsidRPr="00CD6017">
        <w:rPr>
          <w:rFonts w:ascii="Palatino Linotype" w:hAnsi="Palatino Linotype" w:cs="Arial"/>
          <w:i/>
          <w:sz w:val="22"/>
          <w:szCs w:val="22"/>
          <w:lang w:val="es-MX"/>
        </w:rPr>
        <w:t>existen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invitaciones restringidas y licitaciones pública, las cuales se </w:t>
      </w:r>
      <w:r w:rsidR="00CD6017" w:rsidRPr="00CD6017">
        <w:rPr>
          <w:rFonts w:ascii="Palatino Linotype" w:hAnsi="Palatino Linotype" w:cs="Arial"/>
          <w:i/>
          <w:sz w:val="22"/>
          <w:szCs w:val="22"/>
          <w:lang w:val="es-MX"/>
        </w:rPr>
        <w:t>contemplan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en la legislación aplicable</w:t>
      </w:r>
      <w:r w:rsidR="00CD6017" w:rsidRPr="00CD6017">
        <w:rPr>
          <w:rFonts w:ascii="Palatino Linotype" w:hAnsi="Palatino Linotype" w:cs="Arial"/>
          <w:i/>
          <w:sz w:val="22"/>
          <w:szCs w:val="22"/>
          <w:lang w:val="es-MX"/>
        </w:rPr>
        <w:t>”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>Inconforme con la respuesta, EL RECURRENTE, interpuso el recurso de revisión de mérito, manifestando como acto impugnado: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b/>
          <w:i/>
          <w:sz w:val="22"/>
          <w:szCs w:val="22"/>
          <w:lang w:val="es-MX"/>
        </w:rPr>
        <w:t>11283/INFOEM/I</w:t>
      </w:r>
      <w:r w:rsidR="008831A9" w:rsidRPr="00CD6017">
        <w:rPr>
          <w:rFonts w:ascii="Palatino Linotype" w:hAnsi="Palatino Linotype" w:cs="Arial"/>
          <w:b/>
          <w:i/>
          <w:sz w:val="22"/>
          <w:szCs w:val="22"/>
          <w:lang w:val="es-MX"/>
        </w:rPr>
        <w:t>P/RR/2019</w:t>
      </w:r>
      <w:r w:rsidR="008831A9"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'NO ENTREGARON LA INFORMACION</w:t>
      </w:r>
    </w:p>
    <w:p w:rsidR="00CD6017" w:rsidRP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</w:p>
    <w:p w:rsidR="008831A9" w:rsidRP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b/>
          <w:i/>
          <w:sz w:val="22"/>
          <w:szCs w:val="22"/>
          <w:lang w:val="es-MX"/>
        </w:rPr>
        <w:t>11286/INFOEM/I</w:t>
      </w:r>
      <w:r w:rsidR="008831A9" w:rsidRPr="00CD6017">
        <w:rPr>
          <w:rFonts w:ascii="Palatino Linotype" w:hAnsi="Palatino Linotype" w:cs="Arial"/>
          <w:b/>
          <w:i/>
          <w:sz w:val="22"/>
          <w:szCs w:val="22"/>
          <w:lang w:val="es-MX"/>
        </w:rPr>
        <w:t>P/RR/2019</w:t>
      </w:r>
      <w:r w:rsidR="008831A9"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"NO ATENDIERON COMO DICE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LA LEY DE TRANSPARENCIA " (sic) 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>Asimismo, como razones o motivos de inconformidad: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CD6017" w:rsidRDefault="008831A9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b/>
          <w:i/>
          <w:sz w:val="22"/>
          <w:szCs w:val="22"/>
          <w:lang w:val="es-MX"/>
        </w:rPr>
        <w:t>11283/</w:t>
      </w:r>
      <w:r w:rsidR="00CD6017">
        <w:rPr>
          <w:rFonts w:ascii="Palatino Linotype" w:hAnsi="Palatino Linotype" w:cs="Arial"/>
          <w:b/>
          <w:i/>
          <w:sz w:val="22"/>
          <w:szCs w:val="22"/>
          <w:lang w:val="es-MX"/>
        </w:rPr>
        <w:t>INFOEM/I</w:t>
      </w:r>
      <w:r w:rsidRPr="00CD6017">
        <w:rPr>
          <w:rFonts w:ascii="Palatino Linotype" w:hAnsi="Palatino Linotype" w:cs="Arial"/>
          <w:b/>
          <w:i/>
          <w:sz w:val="22"/>
          <w:szCs w:val="22"/>
          <w:lang w:val="es-MX"/>
        </w:rPr>
        <w:t>P/RR/2019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"NO ATENDIERON COMO DICE LA LEY DE</w:t>
      </w:r>
    </w:p>
    <w:p w:rsidR="008831A9" w:rsidRPr="00CD6017" w:rsidRDefault="008831A9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>TRANSPARENCIA</w:t>
      </w:r>
    </w:p>
    <w:p w:rsid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</w:p>
    <w:p w:rsidR="008831A9" w:rsidRPr="008831A9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b/>
          <w:i/>
          <w:sz w:val="22"/>
          <w:szCs w:val="22"/>
          <w:lang w:val="es-MX"/>
        </w:rPr>
        <w:t>11286/INFOEM/I</w:t>
      </w:r>
      <w:r w:rsidR="008831A9" w:rsidRPr="00CD6017">
        <w:rPr>
          <w:rFonts w:ascii="Palatino Linotype" w:hAnsi="Palatino Linotype" w:cs="Arial"/>
          <w:b/>
          <w:i/>
          <w:sz w:val="22"/>
          <w:szCs w:val="22"/>
          <w:lang w:val="es-MX"/>
        </w:rPr>
        <w:t>P/RR/2019</w:t>
      </w:r>
      <w:r w:rsidR="008831A9"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"NO ENTREGARON LA INFORMACIÓN</w:t>
      </w:r>
      <w:r w:rsidR="008831A9" w:rsidRPr="008831A9">
        <w:rPr>
          <w:rFonts w:ascii="Palatino Linotype" w:hAnsi="Palatino Linotype" w:cs="Arial"/>
          <w:lang w:val="es-MX"/>
        </w:rPr>
        <w:t>" Sic)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 xml:space="preserve">Así, del estudio del expediente electrónico, la Ponencia </w:t>
      </w:r>
      <w:proofErr w:type="spellStart"/>
      <w:r w:rsidRPr="008831A9">
        <w:rPr>
          <w:rFonts w:ascii="Palatino Linotype" w:hAnsi="Palatino Linotype" w:cs="Arial"/>
          <w:lang w:val="es-MX"/>
        </w:rPr>
        <w:t>Resolutora</w:t>
      </w:r>
      <w:proofErr w:type="spellEnd"/>
      <w:r w:rsidRPr="008831A9">
        <w:rPr>
          <w:rFonts w:ascii="Palatino Linotype" w:hAnsi="Palatino Linotype" w:cs="Arial"/>
          <w:lang w:val="es-MX"/>
        </w:rPr>
        <w:t xml:space="preserve"> determinó</w:t>
      </w: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 xml:space="preserve">ORDENAR al </w:t>
      </w:r>
      <w:r w:rsidRPr="00870591">
        <w:rPr>
          <w:rFonts w:ascii="Palatino Linotype" w:hAnsi="Palatino Linotype" w:cs="Arial"/>
          <w:b/>
          <w:lang w:val="es-MX"/>
        </w:rPr>
        <w:t>SUJETO OBLIGADO</w:t>
      </w:r>
      <w:r w:rsidRPr="008831A9">
        <w:rPr>
          <w:rFonts w:ascii="Palatino Linotype" w:hAnsi="Palatino Linotype" w:cs="Arial"/>
          <w:lang w:val="es-MX"/>
        </w:rPr>
        <w:t>, el documento siguiente:</w:t>
      </w:r>
    </w:p>
    <w:p w:rsidR="008831A9" w:rsidRPr="00CD6017" w:rsidRDefault="008831A9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>"a) Documento donde constes los participantes que resultaron ganadores de los concursos de adjudicación dc obras públicas que s</w:t>
      </w:r>
      <w:r w:rsidR="00870591">
        <w:rPr>
          <w:rFonts w:ascii="Palatino Linotype" w:hAnsi="Palatino Linotype" w:cs="Arial"/>
          <w:i/>
          <w:sz w:val="22"/>
          <w:szCs w:val="22"/>
          <w:lang w:val="es-MX"/>
        </w:rPr>
        <w:t>e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realizaron.</w:t>
      </w:r>
    </w:p>
    <w:p w:rsidR="00CD6017" w:rsidRP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</w:p>
    <w:p w:rsidR="008831A9" w:rsidRPr="00CD6017" w:rsidRDefault="008831A9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b) Acuerdo </w:t>
      </w:r>
      <w:r w:rsidR="00CD6017" w:rsidRPr="00CD6017">
        <w:rPr>
          <w:rFonts w:ascii="Palatino Linotype" w:hAnsi="Palatino Linotype" w:cs="Arial"/>
          <w:i/>
          <w:sz w:val="22"/>
          <w:szCs w:val="22"/>
          <w:lang w:val="es-MX"/>
        </w:rPr>
        <w:t>emitido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por el Comité de Transparencia, mediante el cual se clasifique conto información confidencial los </w:t>
      </w:r>
      <w:r w:rsidR="00CD6017" w:rsidRPr="00CD6017">
        <w:rPr>
          <w:rFonts w:ascii="Palatino Linotype" w:hAnsi="Palatino Linotype" w:cs="Arial"/>
          <w:i/>
          <w:sz w:val="22"/>
          <w:szCs w:val="22"/>
          <w:lang w:val="es-MX"/>
        </w:rPr>
        <w:t>nombres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de los participantes dc los procesos de adjudicaci</w:t>
      </w:r>
      <w:r w:rsidR="00CE684C">
        <w:rPr>
          <w:rFonts w:ascii="Palatino Linotype" w:hAnsi="Palatino Linotype" w:cs="Arial"/>
          <w:i/>
          <w:sz w:val="22"/>
          <w:szCs w:val="22"/>
          <w:lang w:val="es-MX"/>
        </w:rPr>
        <w:t>ón por invitación restringida y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licitación pública, durante el ejercicio fiscal dos mil diecinueve, el acuerdo deberá de precisar el número de nombres que se clasifican.</w:t>
      </w:r>
    </w:p>
    <w:p w:rsidR="00CD6017" w:rsidRP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</w:p>
    <w:p w:rsidR="008831A9" w:rsidRPr="00CD6017" w:rsidRDefault="008831A9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Para efectos de lo anterior se deberá emitir el Acuerdo del Comité de Transparencia en términos de los artículos 49 fracción VIII y 132 fracción II de la Ley de Transparencia y Acceso a la </w:t>
      </w:r>
      <w:r w:rsidR="00CD6017" w:rsidRPr="00CD6017">
        <w:rPr>
          <w:rFonts w:ascii="Palatino Linotype" w:hAnsi="Palatino Linotype" w:cs="Arial"/>
          <w:i/>
          <w:sz w:val="22"/>
          <w:szCs w:val="22"/>
          <w:lang w:val="es-MX"/>
        </w:rPr>
        <w:t>Información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Pública del Estado de México y Municipios, en el que funde </w:t>
      </w:r>
      <w:r w:rsid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y 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>motive las razon</w:t>
      </w:r>
      <w:r w:rsidR="00CD6017">
        <w:rPr>
          <w:rFonts w:ascii="Palatino Linotype" w:hAnsi="Palatino Linotype" w:cs="Arial"/>
          <w:i/>
          <w:sz w:val="22"/>
          <w:szCs w:val="22"/>
          <w:lang w:val="es-MX"/>
        </w:rPr>
        <w:t>es sobre los datos que se suprim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>an o eliminen dentro del soporte documental respectivo objeto de las versiones públicas que se y se ponga a disposición del RECURRENTE. (Sic)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 xml:space="preserve">En ese sentido, la que suscribe reitera, que si bien coincide en </w:t>
      </w:r>
      <w:r w:rsidR="00CD6017" w:rsidRPr="008831A9">
        <w:rPr>
          <w:rFonts w:ascii="Palatino Linotype" w:hAnsi="Palatino Linotype" w:cs="Arial"/>
          <w:lang w:val="es-MX"/>
        </w:rPr>
        <w:t>términos</w:t>
      </w:r>
      <w:r w:rsidRPr="008831A9">
        <w:rPr>
          <w:rFonts w:ascii="Palatino Linotype" w:hAnsi="Palatino Linotype" w:cs="Arial"/>
          <w:lang w:val="es-MX"/>
        </w:rPr>
        <w:t xml:space="preserve"> generales con el sentido de la resolución en comento, considero, que se encuadra la hipótesis contenida en los artículos 159 y 160 de la Ley General de Transparencia y Acceso a la Información Pública.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>En ese contexto, conviene preci</w:t>
      </w:r>
      <w:r w:rsidR="00B50F70">
        <w:rPr>
          <w:rFonts w:ascii="Palatino Linotype" w:hAnsi="Palatino Linotype" w:cs="Arial"/>
          <w:lang w:val="es-MX"/>
        </w:rPr>
        <w:t>sar que los artículos 159 y 160</w:t>
      </w:r>
      <w:r w:rsidRPr="008831A9">
        <w:rPr>
          <w:rFonts w:ascii="Palatino Linotype" w:hAnsi="Palatino Linotype" w:cs="Arial"/>
          <w:lang w:val="es-MX"/>
        </w:rPr>
        <w:t xml:space="preserve"> de la Ley General, se encuentran inmersos en el Título Octavo de la Ley en cita, denominado "De los Procedimientos de Impugnación en Materia de Acceso a la Información Pública" específicamente en el Capítulo II "Del Recurso de Inconformidad ante el Instituto", el</w:t>
      </w:r>
      <w:r w:rsidR="00CD6017">
        <w:rPr>
          <w:rFonts w:ascii="Palatino Linotype" w:hAnsi="Palatino Linotype" w:cs="Arial"/>
          <w:lang w:val="es-MX"/>
        </w:rPr>
        <w:t xml:space="preserve"> </w:t>
      </w:r>
      <w:r w:rsidRPr="008831A9">
        <w:rPr>
          <w:rFonts w:ascii="Palatino Linotype" w:hAnsi="Palatino Linotype" w:cs="Arial"/>
          <w:lang w:val="es-MX"/>
        </w:rPr>
        <w:lastRenderedPageBreak/>
        <w:t>cual, nos hace mención de las instancias ante las cuales se podrá interponer el recurso de inconformidad y los supuestos legales en los que procede, tal y como se aprecia a continuación: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CD6017" w:rsidRDefault="008831A9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>"</w:t>
      </w:r>
      <w:r w:rsidRPr="00870591">
        <w:rPr>
          <w:rFonts w:ascii="Palatino Linotype" w:hAnsi="Palatino Linotype" w:cs="Arial"/>
          <w:b/>
          <w:i/>
          <w:sz w:val="22"/>
          <w:szCs w:val="22"/>
          <w:lang w:val="es-MX"/>
        </w:rPr>
        <w:t>Artículo 159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>. Tratándose dc las resoluciones a los recursos de revisión de los Organismo</w:t>
      </w:r>
      <w:r w:rsidR="00870591">
        <w:rPr>
          <w:rFonts w:ascii="Palatino Linotype" w:hAnsi="Palatino Linotype" w:cs="Arial"/>
          <w:i/>
          <w:sz w:val="22"/>
          <w:szCs w:val="22"/>
          <w:lang w:val="es-MX"/>
        </w:rPr>
        <w:t>s garantes dc las Entidades Fede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>rativas, los particulares podrán optar por acudir ante el Instituto o ante el Poder Judicial dc la Federación.</w:t>
      </w:r>
    </w:p>
    <w:p w:rsidR="00870591" w:rsidRDefault="00870591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z w:val="22"/>
          <w:szCs w:val="22"/>
          <w:lang w:val="es-MX"/>
        </w:rPr>
      </w:pPr>
    </w:p>
    <w:p w:rsidR="008831A9" w:rsidRPr="00CD6017" w:rsidRDefault="00870591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870591">
        <w:rPr>
          <w:rFonts w:ascii="Palatino Linotype" w:hAnsi="Palatino Linotype" w:cs="Arial"/>
          <w:b/>
          <w:i/>
          <w:sz w:val="22"/>
          <w:szCs w:val="22"/>
          <w:lang w:val="es-MX"/>
        </w:rPr>
        <w:t>Artículo</w:t>
      </w:r>
      <w:r w:rsidR="008831A9" w:rsidRPr="00870591">
        <w:rPr>
          <w:rFonts w:ascii="Palatino Linotype" w:hAnsi="Palatino Linotype" w:cs="Arial"/>
          <w:b/>
          <w:i/>
          <w:sz w:val="22"/>
          <w:szCs w:val="22"/>
          <w:lang w:val="es-MX"/>
        </w:rPr>
        <w:t xml:space="preserve"> 160.</w:t>
      </w:r>
      <w:r w:rsidR="008831A9"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El recurso de inconformidad procede contra las resoluciones emitidas por los Organismos garantes de las Entidades Federativas que:</w:t>
      </w:r>
    </w:p>
    <w:p w:rsidR="00870591" w:rsidRDefault="00870591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</w:p>
    <w:p w:rsidR="00CD6017" w:rsidRP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I. </w:t>
      </w:r>
      <w:r w:rsidR="008831A9" w:rsidRPr="00CD6017">
        <w:rPr>
          <w:rFonts w:ascii="Palatino Linotype" w:hAnsi="Palatino Linotype" w:cs="Arial"/>
          <w:i/>
          <w:sz w:val="22"/>
          <w:szCs w:val="22"/>
          <w:lang w:val="es-MX"/>
        </w:rPr>
        <w:t>Confirmen o modifiquen la clasificación de la información, o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</w:t>
      </w:r>
    </w:p>
    <w:p w:rsidR="00CD6017" w:rsidRP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</w:p>
    <w:p w:rsidR="008831A9" w:rsidRPr="00CD6017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szCs w:val="22"/>
          <w:lang w:val="es-MX"/>
        </w:rPr>
      </w:pP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II: </w:t>
      </w:r>
      <w:r w:rsidR="008831A9" w:rsidRPr="00CD6017">
        <w:rPr>
          <w:rFonts w:ascii="Palatino Linotype" w:hAnsi="Palatino Linotype" w:cs="Arial"/>
          <w:i/>
          <w:sz w:val="22"/>
          <w:szCs w:val="22"/>
          <w:lang w:val="es-MX"/>
        </w:rPr>
        <w:t>Confirmen la inexistencia o negativa de información=</w:t>
      </w:r>
    </w:p>
    <w:p w:rsidR="008831A9" w:rsidRPr="008831A9" w:rsidRDefault="00CD6017" w:rsidP="00CD6017">
      <w:pPr>
        <w:widowControl w:val="0"/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lang w:val="es-MX"/>
        </w:rPr>
      </w:pP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>Se</w:t>
      </w:r>
      <w:r w:rsidR="008831A9"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entenderá como negativa de acceso a la información la falta de resolución de los </w:t>
      </w:r>
      <w:r w:rsidRPr="00CD6017">
        <w:rPr>
          <w:rFonts w:ascii="Palatino Linotype" w:hAnsi="Palatino Linotype" w:cs="Arial"/>
          <w:i/>
          <w:sz w:val="22"/>
          <w:szCs w:val="22"/>
          <w:lang w:val="es-MX"/>
        </w:rPr>
        <w:t>Organismos</w:t>
      </w:r>
      <w:r w:rsidR="008831A9" w:rsidRPr="00CD6017">
        <w:rPr>
          <w:rFonts w:ascii="Palatino Linotype" w:hAnsi="Palatino Linotype" w:cs="Arial"/>
          <w:i/>
          <w:sz w:val="22"/>
          <w:szCs w:val="22"/>
          <w:lang w:val="es-MX"/>
        </w:rPr>
        <w:t xml:space="preserve"> garantes de las Entidades Federativas dentro del plazo previsto para ello</w:t>
      </w:r>
      <w:r w:rsidR="008831A9" w:rsidRPr="008831A9">
        <w:rPr>
          <w:rFonts w:ascii="Palatino Linotype" w:hAnsi="Palatino Linotype" w:cs="Arial"/>
          <w:lang w:val="es-MX"/>
        </w:rPr>
        <w:t>.</w:t>
      </w:r>
    </w:p>
    <w:p w:rsidR="00CD6017" w:rsidRDefault="00CD6017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 xml:space="preserve">Así, de lo anterior se advierte que el artículo en cita resulta aplicable al asunto en concreto, toda vez que </w:t>
      </w:r>
      <w:r w:rsidRPr="00CD6017">
        <w:rPr>
          <w:rFonts w:ascii="Palatino Linotype" w:hAnsi="Palatino Linotype" w:cs="Arial"/>
          <w:b/>
          <w:lang w:val="es-MX"/>
        </w:rPr>
        <w:t>EL SUJETO OBLIGADO</w:t>
      </w:r>
      <w:r w:rsidRPr="008831A9">
        <w:rPr>
          <w:rFonts w:ascii="Palatino Linotype" w:hAnsi="Palatino Linotype" w:cs="Arial"/>
          <w:lang w:val="es-MX"/>
        </w:rPr>
        <w:t>, no emitió el acuerdo de inexistencia formalmente la información requerida por el particular; aunado a que el recurso de revisión fue resuelto conforme al plazo señalado en el numeral 181 de la Ley de Transparencia y Acceso a la Información Pública del Estado de México y Municipios; por ende, no se actualizan alguno de los supuestos legales anteriormente citados.</w:t>
      </w:r>
    </w:p>
    <w:p w:rsidR="00870591" w:rsidRDefault="00870591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8831A9" w:rsidRPr="008831A9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8831A9">
        <w:rPr>
          <w:rFonts w:ascii="Palatino Linotype" w:hAnsi="Palatino Linotype" w:cs="Arial"/>
          <w:lang w:val="es-MX"/>
        </w:rPr>
        <w:t xml:space="preserve">En conclusión, la que suscribe emite </w:t>
      </w:r>
      <w:r w:rsidRPr="00CD6017">
        <w:rPr>
          <w:rFonts w:ascii="Palatino Linotype" w:hAnsi="Palatino Linotype" w:cs="Arial"/>
          <w:b/>
          <w:lang w:val="es-MX"/>
        </w:rPr>
        <w:t>VOTO PARTICULAR</w:t>
      </w:r>
      <w:r w:rsidRPr="008831A9">
        <w:rPr>
          <w:rFonts w:ascii="Palatino Linotype" w:hAnsi="Palatino Linotype" w:cs="Arial"/>
          <w:lang w:val="es-MX"/>
        </w:rPr>
        <w:t xml:space="preserve"> ya que considero que se debieron invocar dichos artículos al ser procedentes; por lo que, se insiste, que de las constancias del expediente se advierten actos que encuadran en los supuestos legales </w:t>
      </w:r>
      <w:r w:rsidRPr="008831A9">
        <w:rPr>
          <w:rFonts w:ascii="Palatino Linotype" w:hAnsi="Palatino Linotype" w:cs="Arial"/>
          <w:lang w:val="es-MX"/>
        </w:rPr>
        <w:lastRenderedPageBreak/>
        <w:t xml:space="preserve">de procedencia del recurso de inconformidad señalados en los numerales 159 y 160 de la Ley General de Transparencia y Acceso a la </w:t>
      </w:r>
      <w:r w:rsidR="00CD6017" w:rsidRPr="008831A9">
        <w:rPr>
          <w:rFonts w:ascii="Palatino Linotype" w:hAnsi="Palatino Linotype" w:cs="Arial"/>
          <w:lang w:val="es-MX"/>
        </w:rPr>
        <w:t>Información</w:t>
      </w:r>
      <w:r w:rsidRPr="008831A9">
        <w:rPr>
          <w:rFonts w:ascii="Palatino Linotype" w:hAnsi="Palatino Linotype" w:cs="Arial"/>
          <w:lang w:val="es-MX"/>
        </w:rPr>
        <w:t xml:space="preserve"> Pública, en atención a los principios inmersos en el artículo 9 de la Ley de Transparencia y Acceso a la</w:t>
      </w:r>
      <w:r w:rsidR="00CD6017">
        <w:rPr>
          <w:rFonts w:ascii="Palatino Linotype" w:hAnsi="Palatino Linotype" w:cs="Arial"/>
          <w:lang w:val="es-MX"/>
        </w:rPr>
        <w:t xml:space="preserve"> </w:t>
      </w:r>
      <w:r w:rsidRPr="008831A9">
        <w:rPr>
          <w:rFonts w:ascii="Palatino Linotype" w:hAnsi="Palatino Linotype" w:cs="Arial"/>
          <w:lang w:val="es-MX"/>
        </w:rPr>
        <w:t>Información Pública del Estado de México y Municipios y de conformidad a los principios de exhaustividad y congruencia.</w:t>
      </w:r>
    </w:p>
    <w:p w:rsidR="008831A9" w:rsidRPr="00A409D3" w:rsidRDefault="008831A9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5F3611" w:rsidRPr="00A409D3" w:rsidRDefault="005F3611" w:rsidP="008831A9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5F3611" w:rsidRPr="00A409D3" w:rsidRDefault="005F3611" w:rsidP="008831A9">
      <w:pPr>
        <w:spacing w:before="100" w:beforeAutospacing="1" w:after="100" w:afterAutospacing="1" w:line="360" w:lineRule="auto"/>
        <w:contextualSpacing/>
        <w:jc w:val="center"/>
        <w:rPr>
          <w:rFonts w:ascii="Palatino Linotype" w:hAnsi="Palatino Linotype"/>
          <w:b/>
        </w:rPr>
      </w:pPr>
    </w:p>
    <w:p w:rsidR="00AB160D" w:rsidRDefault="00AB160D" w:rsidP="008831A9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</w:p>
    <w:p w:rsidR="00AB160D" w:rsidRDefault="00AB160D" w:rsidP="008831A9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</w:p>
    <w:p w:rsidR="00AB160D" w:rsidRDefault="00AB160D" w:rsidP="008831A9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</w:p>
    <w:p w:rsidR="005F3611" w:rsidRPr="00A409D3" w:rsidRDefault="005F3611" w:rsidP="008831A9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  <w:r w:rsidRPr="00A409D3">
        <w:rPr>
          <w:rFonts w:ascii="Palatino Linotype" w:hAnsi="Palatino Linotype"/>
          <w:b/>
        </w:rPr>
        <w:t>EVA ABAID YAPUR</w:t>
      </w:r>
    </w:p>
    <w:p w:rsidR="005F3611" w:rsidRPr="00A409D3" w:rsidRDefault="005F3611" w:rsidP="008831A9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  <w:r w:rsidRPr="00A409D3">
        <w:rPr>
          <w:rFonts w:ascii="Palatino Linotype" w:hAnsi="Palatino Linotype"/>
          <w:b/>
        </w:rPr>
        <w:t>COMISIONADA</w:t>
      </w:r>
    </w:p>
    <w:p w:rsidR="00A409D3" w:rsidRDefault="006D1B25" w:rsidP="008831A9">
      <w:pPr>
        <w:spacing w:before="100" w:beforeAutospacing="1" w:after="100" w:afterAutospacing="1"/>
        <w:contextualSpacing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(RÚBRICA)</w:t>
      </w:r>
      <w:bookmarkStart w:id="0" w:name="_GoBack"/>
      <w:bookmarkEnd w:id="0"/>
    </w:p>
    <w:p w:rsidR="00F12758" w:rsidRDefault="00F12758" w:rsidP="008831A9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AB160D" w:rsidRDefault="005F3611" w:rsidP="008831A9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  <w:r w:rsidRPr="00A409D3">
        <w:rPr>
          <w:rFonts w:ascii="Palatino Linotype" w:eastAsia="Calibri" w:hAnsi="Palatino Linotype" w:cs="Arial"/>
          <w:color w:val="000000" w:themeColor="text1"/>
          <w:sz w:val="22"/>
        </w:rPr>
        <w:t xml:space="preserve">Esta hoja corresponde al voto particular emitido en el recurso de </w:t>
      </w:r>
      <w:proofErr w:type="gramStart"/>
      <w:r w:rsidRPr="00A409D3">
        <w:rPr>
          <w:rFonts w:ascii="Palatino Linotype" w:eastAsia="Calibri" w:hAnsi="Palatino Linotype" w:cs="Arial"/>
          <w:color w:val="000000" w:themeColor="text1"/>
          <w:sz w:val="22"/>
        </w:rPr>
        <w:t xml:space="preserve">revisión </w:t>
      </w:r>
      <w:r w:rsidR="00786F60" w:rsidRPr="00706042">
        <w:rPr>
          <w:rFonts w:ascii="Palatino Linotype" w:hAnsi="Palatino Linotype" w:cs="Arial"/>
          <w:sz w:val="20"/>
          <w:szCs w:val="20"/>
        </w:rPr>
        <w:t xml:space="preserve"> </w:t>
      </w:r>
      <w:r w:rsidR="00786F60">
        <w:rPr>
          <w:rFonts w:ascii="Palatino Linotype" w:hAnsi="Palatino Linotype" w:cs="Arial"/>
          <w:sz w:val="20"/>
          <w:szCs w:val="20"/>
        </w:rPr>
        <w:t>11283</w:t>
      </w:r>
      <w:proofErr w:type="gramEnd"/>
      <w:r w:rsidR="00786F60">
        <w:rPr>
          <w:rFonts w:ascii="Palatino Linotype" w:hAnsi="Palatino Linotype" w:cs="Arial"/>
          <w:sz w:val="20"/>
          <w:szCs w:val="20"/>
        </w:rPr>
        <w:t>/INFOEM/IP/RR/2019 y acumulado</w:t>
      </w:r>
      <w:r w:rsidRPr="00A409D3">
        <w:rPr>
          <w:rFonts w:ascii="Palatino Linotype" w:eastAsia="Calibri" w:hAnsi="Palatino Linotype" w:cs="Arial"/>
          <w:color w:val="000000" w:themeColor="text1"/>
          <w:sz w:val="22"/>
        </w:rPr>
        <w:t xml:space="preserve">, aprobado el </w:t>
      </w:r>
      <w:r w:rsidR="00786F60">
        <w:rPr>
          <w:rFonts w:ascii="Palatino Linotype" w:eastAsia="Calibri" w:hAnsi="Palatino Linotype" w:cs="Arial"/>
          <w:color w:val="000000" w:themeColor="text1"/>
          <w:sz w:val="22"/>
        </w:rPr>
        <w:t>once de marzo de dos mil</w:t>
      </w:r>
      <w:r w:rsidR="00753A0B">
        <w:rPr>
          <w:rFonts w:ascii="Palatino Linotype" w:eastAsia="Calibri" w:hAnsi="Palatino Linotype" w:cs="Arial"/>
          <w:color w:val="000000" w:themeColor="text1"/>
          <w:sz w:val="22"/>
        </w:rPr>
        <w:t xml:space="preserve"> </w:t>
      </w:r>
      <w:r w:rsidR="00786F60">
        <w:rPr>
          <w:rFonts w:ascii="Palatino Linotype" w:eastAsia="Calibri" w:hAnsi="Palatino Linotype" w:cs="Arial"/>
          <w:color w:val="000000" w:themeColor="text1"/>
          <w:sz w:val="22"/>
        </w:rPr>
        <w:t>veinte</w:t>
      </w:r>
    </w:p>
    <w:p w:rsidR="00C23B43" w:rsidRPr="00A409D3" w:rsidRDefault="00F12758" w:rsidP="008831A9">
      <w:pPr>
        <w:spacing w:before="100" w:beforeAutospacing="1" w:after="100" w:afterAutospacing="1"/>
        <w:contextualSpacing/>
        <w:jc w:val="both"/>
        <w:rPr>
          <w:sz w:val="22"/>
        </w:rPr>
      </w:pPr>
      <w:r>
        <w:rPr>
          <w:rFonts w:ascii="Palatino Linotype" w:eastAsia="Calibri" w:hAnsi="Palatino Linotype" w:cs="Arial"/>
          <w:color w:val="000000" w:themeColor="text1"/>
          <w:sz w:val="22"/>
        </w:rPr>
        <w:t>YSM/</w:t>
      </w:r>
      <w:r w:rsidR="003042DF">
        <w:rPr>
          <w:rFonts w:ascii="Palatino Linotype" w:eastAsia="Calibri" w:hAnsi="Palatino Linotype" w:cs="Arial"/>
          <w:color w:val="000000" w:themeColor="text1"/>
          <w:sz w:val="22"/>
        </w:rPr>
        <w:t>LGMJ</w:t>
      </w:r>
    </w:p>
    <w:sectPr w:rsidR="00C23B43" w:rsidRPr="00A409D3" w:rsidSect="00A40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B46" w:rsidRDefault="006C1B46" w:rsidP="005F3611">
      <w:r>
        <w:separator/>
      </w:r>
    </w:p>
  </w:endnote>
  <w:endnote w:type="continuationSeparator" w:id="0">
    <w:p w:rsidR="006C1B46" w:rsidRDefault="006C1B46" w:rsidP="005F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4C" w:rsidRDefault="00CE68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6C1B4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6C1B4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6C1B4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6C1B46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A25195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D1B25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6D1B25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6C1B46" w:rsidP="006F30F8">
    <w:pPr>
      <w:pStyle w:val="Piedepgina"/>
      <w:ind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4C" w:rsidRDefault="00CE68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B46" w:rsidRDefault="006C1B46" w:rsidP="005F3611">
      <w:r>
        <w:separator/>
      </w:r>
    </w:p>
  </w:footnote>
  <w:footnote w:type="continuationSeparator" w:id="0">
    <w:p w:rsidR="006C1B46" w:rsidRDefault="006C1B46" w:rsidP="005F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6C1B4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32891" o:spid="_x0000_s2049" type="#_x0000_t136" style="position:absolute;margin-left:0;margin-top:0;width:559.05pt;height:83.8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60" w:rsidRDefault="00A25195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E04835D" wp14:editId="0E309215">
          <wp:simplePos x="0" y="0"/>
          <wp:positionH relativeFrom="column">
            <wp:posOffset>-693141</wp:posOffset>
          </wp:positionH>
          <wp:positionV relativeFrom="paragraph">
            <wp:posOffset>-452094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6C1B46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34309A" w:rsidRDefault="00A2519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>
      <w:rPr>
        <w:rFonts w:ascii="Palatino Linotype" w:hAnsi="Palatino Linotype" w:cs="Arial"/>
        <w:sz w:val="20"/>
        <w:szCs w:val="20"/>
      </w:rPr>
      <w:t xml:space="preserve"> </w:t>
    </w:r>
  </w:p>
  <w:p w:rsidR="00634485" w:rsidRDefault="00A2519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786F60">
      <w:rPr>
        <w:rFonts w:ascii="Palatino Linotype" w:hAnsi="Palatino Linotype" w:cs="Arial"/>
        <w:sz w:val="20"/>
        <w:szCs w:val="20"/>
      </w:rPr>
      <w:t>11283</w:t>
    </w:r>
    <w:r w:rsidR="00F450D9">
      <w:rPr>
        <w:rFonts w:ascii="Palatino Linotype" w:hAnsi="Palatino Linotype" w:cs="Arial"/>
        <w:sz w:val="20"/>
        <w:szCs w:val="20"/>
      </w:rPr>
      <w:t>/INFOEM/IP/RR/2019</w:t>
    </w:r>
    <w:r w:rsidR="00786F60">
      <w:rPr>
        <w:rFonts w:ascii="Palatino Linotype" w:hAnsi="Palatino Linotype" w:cs="Arial"/>
        <w:sz w:val="20"/>
        <w:szCs w:val="20"/>
      </w:rPr>
      <w:t xml:space="preserve"> Y ACUMULADO</w:t>
    </w:r>
  </w:p>
  <w:p w:rsidR="0030072F" w:rsidRDefault="006C1B46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rFonts w:ascii="Cambria" w:hAnsi="Cambr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32892" o:spid="_x0000_s2051" type="#_x0000_t136" style="position:absolute;left:0;text-align:left;margin-left:0;margin-top:0;width:559.05pt;height:83.8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6C1B4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32890" o:spid="_x0000_s2050" type="#_x0000_t136" style="position:absolute;margin-left:0;margin-top:0;width:559.05pt;height:83.8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40F98"/>
    <w:multiLevelType w:val="hybridMultilevel"/>
    <w:tmpl w:val="1074A230"/>
    <w:lvl w:ilvl="0" w:tplc="B1384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0F43"/>
    <w:multiLevelType w:val="hybridMultilevel"/>
    <w:tmpl w:val="BEA69E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2BDD"/>
    <w:multiLevelType w:val="hybridMultilevel"/>
    <w:tmpl w:val="426A3A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11"/>
    <w:rsid w:val="00015286"/>
    <w:rsid w:val="000478BC"/>
    <w:rsid w:val="00087A71"/>
    <w:rsid w:val="00103DD5"/>
    <w:rsid w:val="00186C9A"/>
    <w:rsid w:val="00207D67"/>
    <w:rsid w:val="00264AC7"/>
    <w:rsid w:val="00297C7B"/>
    <w:rsid w:val="002A295E"/>
    <w:rsid w:val="002C4808"/>
    <w:rsid w:val="003042DF"/>
    <w:rsid w:val="0033723F"/>
    <w:rsid w:val="00363F42"/>
    <w:rsid w:val="00424426"/>
    <w:rsid w:val="004B1896"/>
    <w:rsid w:val="004B6946"/>
    <w:rsid w:val="005A76D4"/>
    <w:rsid w:val="005F3611"/>
    <w:rsid w:val="006A0D95"/>
    <w:rsid w:val="006C1B46"/>
    <w:rsid w:val="006C7918"/>
    <w:rsid w:val="006D1B25"/>
    <w:rsid w:val="00716B0A"/>
    <w:rsid w:val="00724E92"/>
    <w:rsid w:val="00753A0B"/>
    <w:rsid w:val="00775008"/>
    <w:rsid w:val="00786F60"/>
    <w:rsid w:val="00792851"/>
    <w:rsid w:val="007E4FCD"/>
    <w:rsid w:val="00866EDD"/>
    <w:rsid w:val="00870591"/>
    <w:rsid w:val="008831A9"/>
    <w:rsid w:val="008856D2"/>
    <w:rsid w:val="008D3ACF"/>
    <w:rsid w:val="00915E48"/>
    <w:rsid w:val="00955116"/>
    <w:rsid w:val="00A25195"/>
    <w:rsid w:val="00A25ECF"/>
    <w:rsid w:val="00A409D3"/>
    <w:rsid w:val="00A63CE2"/>
    <w:rsid w:val="00AB160D"/>
    <w:rsid w:val="00B26CFF"/>
    <w:rsid w:val="00B3046C"/>
    <w:rsid w:val="00B50F70"/>
    <w:rsid w:val="00BF1976"/>
    <w:rsid w:val="00C107C8"/>
    <w:rsid w:val="00C23B43"/>
    <w:rsid w:val="00C601E5"/>
    <w:rsid w:val="00CD6017"/>
    <w:rsid w:val="00CE684C"/>
    <w:rsid w:val="00D510C9"/>
    <w:rsid w:val="00D54FD8"/>
    <w:rsid w:val="00D60357"/>
    <w:rsid w:val="00DE3B18"/>
    <w:rsid w:val="00E3386B"/>
    <w:rsid w:val="00E76592"/>
    <w:rsid w:val="00E82E80"/>
    <w:rsid w:val="00E932AC"/>
    <w:rsid w:val="00EC14C8"/>
    <w:rsid w:val="00F12758"/>
    <w:rsid w:val="00F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B0DEEE4-BD42-4658-8FC6-5D2775D6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61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5F361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F361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3611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0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0C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B160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A63CE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1004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 benjamin aguilar martinez</cp:lastModifiedBy>
  <cp:revision>10</cp:revision>
  <cp:lastPrinted>2018-03-09T19:12:00Z</cp:lastPrinted>
  <dcterms:created xsi:type="dcterms:W3CDTF">2020-04-22T22:02:00Z</dcterms:created>
  <dcterms:modified xsi:type="dcterms:W3CDTF">2020-04-29T19:50:00Z</dcterms:modified>
</cp:coreProperties>
</file>