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3D" w:rsidRPr="00AD2A55" w:rsidRDefault="0024443D" w:rsidP="002444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24443D" w:rsidRPr="00AD2A55" w:rsidRDefault="0024443D" w:rsidP="002444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24443D" w:rsidRPr="00AD2A55" w:rsidRDefault="0024443D" w:rsidP="0024443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12335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12429</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12432</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12434</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12437</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12441</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12443</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 ciudadano que al momento de ingresar las solicitudes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Ecatzingo,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4443D" w:rsidRPr="00AD2A55" w:rsidRDefault="0024443D" w:rsidP="0024443D">
      <w:pPr>
        <w:tabs>
          <w:tab w:val="left" w:pos="6960"/>
        </w:tabs>
        <w:spacing w:after="0" w:line="360" w:lineRule="auto"/>
        <w:jc w:val="both"/>
        <w:rPr>
          <w:rFonts w:ascii="Palatino Linotype" w:hAnsi="Palatino Linotype" w:cs="Arial"/>
          <w:sz w:val="24"/>
          <w:szCs w:val="24"/>
        </w:rPr>
      </w:pPr>
    </w:p>
    <w:p w:rsidR="0024443D" w:rsidRPr="007763F3" w:rsidRDefault="0024443D" w:rsidP="002444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4443D" w:rsidRPr="00D23436" w:rsidRDefault="0024443D" w:rsidP="0024443D">
      <w:pPr>
        <w:spacing w:after="0" w:line="360" w:lineRule="auto"/>
        <w:rPr>
          <w:rFonts w:ascii="Palatino Linotype" w:hAnsi="Palatino Linotype" w:cs="Arial"/>
          <w:b/>
          <w:sz w:val="24"/>
          <w:szCs w:val="24"/>
        </w:rPr>
      </w:pPr>
    </w:p>
    <w:p w:rsidR="0024443D" w:rsidRPr="004C083E" w:rsidRDefault="0024443D" w:rsidP="002444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w:t>
      </w:r>
      <w:r>
        <w:rPr>
          <w:rFonts w:ascii="Palatino Linotype" w:hAnsi="Palatino Linotype" w:cs="Arial"/>
          <w:b/>
          <w:sz w:val="28"/>
          <w:szCs w:val="28"/>
        </w:rPr>
        <w:t>s</w:t>
      </w:r>
      <w:r w:rsidRPr="004C083E">
        <w:rPr>
          <w:rFonts w:ascii="Palatino Linotype" w:hAnsi="Palatino Linotype" w:cs="Arial"/>
          <w:b/>
          <w:sz w:val="28"/>
          <w:szCs w:val="28"/>
        </w:rPr>
        <w:t xml:space="preserve"> solicitud</w:t>
      </w:r>
      <w:r>
        <w:rPr>
          <w:rFonts w:ascii="Palatino Linotype" w:hAnsi="Palatino Linotype" w:cs="Arial"/>
          <w:b/>
          <w:sz w:val="28"/>
          <w:szCs w:val="28"/>
        </w:rPr>
        <w:t>es</w:t>
      </w:r>
      <w:r w:rsidRPr="004C083E">
        <w:rPr>
          <w:rFonts w:ascii="Palatino Linotype" w:hAnsi="Palatino Linotype" w:cs="Arial"/>
          <w:b/>
          <w:sz w:val="28"/>
          <w:szCs w:val="28"/>
        </w:rPr>
        <w:t xml:space="preserve"> de información.</w:t>
      </w:r>
    </w:p>
    <w:p w:rsidR="0024443D" w:rsidRDefault="0024443D" w:rsidP="002444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las </w:t>
      </w:r>
      <w:r w:rsidRPr="00AD2A55">
        <w:rPr>
          <w:rFonts w:ascii="Palatino Linotype" w:hAnsi="Palatino Linotype" w:cs="Arial"/>
          <w:sz w:val="24"/>
          <w:szCs w:val="24"/>
        </w:rPr>
        <w:t>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sidRPr="00AD2A55">
        <w:rPr>
          <w:rFonts w:ascii="Palatino Linotype" w:hAnsi="Palatino Linotype" w:cs="Arial"/>
          <w:b/>
          <w:sz w:val="24"/>
          <w:szCs w:val="24"/>
        </w:rPr>
        <w:t xml:space="preserve"> </w:t>
      </w:r>
      <w:r w:rsidRPr="00D26C0E">
        <w:rPr>
          <w:rFonts w:ascii="Palatino Linotype" w:hAnsi="Palatino Linotype" w:cs="Arial"/>
          <w:b/>
          <w:sz w:val="24"/>
          <w:szCs w:val="24"/>
        </w:rPr>
        <w:t>00315/ECATZIN/IP/2019</w:t>
      </w:r>
      <w:r w:rsidRPr="00D26C0E">
        <w:rPr>
          <w:rFonts w:ascii="Palatino Linotype" w:hAnsi="Palatino Linotype" w:cs="Arial"/>
          <w:b/>
          <w:sz w:val="24"/>
          <w:szCs w:val="24"/>
          <w:lang w:eastAsia="es-MX"/>
        </w:rPr>
        <w:t xml:space="preserve">, 00328/ECATZIN/IP/2019, 00327/ECATZIN/IP/2019, 00326/ECATZIN/IP/2019, 00324/ECATZIN/IP/2019, </w:t>
      </w:r>
      <w:r w:rsidRPr="00D26C0E">
        <w:rPr>
          <w:rFonts w:ascii="Palatino Linotype" w:hAnsi="Palatino Linotype" w:cs="Arial"/>
          <w:b/>
          <w:sz w:val="24"/>
          <w:szCs w:val="24"/>
          <w:lang w:eastAsia="es-MX"/>
        </w:rPr>
        <w:lastRenderedPageBreak/>
        <w:t>00323/ECATZIN/IP/2019 y 00318/ECATZIN/IP/2019</w:t>
      </w:r>
      <w:r>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24443D" w:rsidRDefault="0024443D" w:rsidP="0024443D">
      <w:pPr>
        <w:spacing w:after="0" w:line="360" w:lineRule="auto"/>
        <w:jc w:val="both"/>
        <w:rPr>
          <w:rFonts w:ascii="Palatino Linotype" w:hAnsi="Palatino Linotype" w:cs="Arial"/>
          <w:sz w:val="24"/>
          <w:szCs w:val="24"/>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00315/ECATZIN/IP/2019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Quiero saber cuales son los bienes muebles que se encuentran bajo reguardo de los policías.</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w:t>
      </w:r>
      <w:r>
        <w:rPr>
          <w:rFonts w:ascii="Palatino Linotype" w:hAnsi="Palatino Linotype" w:cs="Arial"/>
          <w:b/>
          <w:sz w:val="24"/>
          <w:szCs w:val="24"/>
        </w:rPr>
        <w:t>28</w:t>
      </w:r>
      <w:r w:rsidRPr="00D26C0E">
        <w:rPr>
          <w:rFonts w:ascii="Palatino Linotype" w:hAnsi="Palatino Linotype" w:cs="Arial"/>
          <w:b/>
          <w:sz w:val="24"/>
          <w:szCs w:val="24"/>
        </w:rPr>
        <w:t>/ECATZIN/IP/2019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Quiero saber las placas de circulación de los vehículos asignados a la Dirección de Seguridad y Tránsito.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w:t>
      </w:r>
      <w:r>
        <w:rPr>
          <w:rFonts w:ascii="Palatino Linotype" w:hAnsi="Palatino Linotype" w:cs="Arial"/>
          <w:b/>
          <w:sz w:val="24"/>
          <w:szCs w:val="24"/>
        </w:rPr>
        <w:t>27</w:t>
      </w:r>
      <w:r w:rsidRPr="00D26C0E">
        <w:rPr>
          <w:rFonts w:ascii="Palatino Linotype" w:hAnsi="Palatino Linotype" w:cs="Arial"/>
          <w:b/>
          <w:sz w:val="24"/>
          <w:szCs w:val="24"/>
        </w:rPr>
        <w:t>/ECATZIN/IP/2019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Quiero saber las características de los vehículos asignados a la Dirección de Seguridad y Tránsito.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w:t>
      </w:r>
      <w:r>
        <w:rPr>
          <w:rFonts w:ascii="Palatino Linotype" w:hAnsi="Palatino Linotype" w:cs="Arial"/>
          <w:b/>
          <w:sz w:val="24"/>
          <w:szCs w:val="24"/>
        </w:rPr>
        <w:t>26</w:t>
      </w:r>
      <w:r w:rsidRPr="00D26C0E">
        <w:rPr>
          <w:rFonts w:ascii="Palatino Linotype" w:hAnsi="Palatino Linotype" w:cs="Arial"/>
          <w:b/>
          <w:sz w:val="24"/>
          <w:szCs w:val="24"/>
        </w:rPr>
        <w:t>/ECATZIN/IP/2019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Solicito las características de los equipos de comunicación instalados en las patrullas que tiene el municipio.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w:t>
      </w:r>
      <w:r>
        <w:rPr>
          <w:rFonts w:ascii="Palatino Linotype" w:hAnsi="Palatino Linotype" w:cs="Arial"/>
          <w:b/>
          <w:sz w:val="24"/>
          <w:szCs w:val="24"/>
        </w:rPr>
        <w:t>24</w:t>
      </w:r>
      <w:r w:rsidRPr="00D26C0E">
        <w:rPr>
          <w:rFonts w:ascii="Palatino Linotype" w:hAnsi="Palatino Linotype" w:cs="Arial"/>
          <w:b/>
          <w:sz w:val="24"/>
          <w:szCs w:val="24"/>
        </w:rPr>
        <w:t>/ECATZIN/IP/2019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Solicito la bitácora de los vehículos asignados a la Dirección de Seguridad y Tránsito.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w:t>
      </w:r>
      <w:r>
        <w:rPr>
          <w:rFonts w:ascii="Palatino Linotype" w:hAnsi="Palatino Linotype" w:cs="Arial"/>
          <w:b/>
          <w:sz w:val="24"/>
          <w:szCs w:val="24"/>
        </w:rPr>
        <w:t>23</w:t>
      </w:r>
      <w:r w:rsidRPr="00D26C0E">
        <w:rPr>
          <w:rFonts w:ascii="Palatino Linotype" w:hAnsi="Palatino Linotype" w:cs="Arial"/>
          <w:b/>
          <w:sz w:val="24"/>
          <w:szCs w:val="24"/>
        </w:rPr>
        <w:t>/ECATZIN/IP/2019</w:t>
      </w: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D26C0E">
        <w:rPr>
          <w:rFonts w:ascii="Palatino Linotype" w:eastAsia="Times New Roman" w:hAnsi="Palatino Linotype" w:cs="Times New Roman"/>
          <w:i/>
          <w:szCs w:val="24"/>
          <w:lang w:val="es-ES_tradnl" w:eastAsia="es-ES"/>
        </w:rPr>
        <w:t>Solicito el inventario de bienes mueble e inmuebles que tiene la Dirección de Seguridad y Tránsito.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spacing w:after="0" w:line="360" w:lineRule="auto"/>
        <w:jc w:val="both"/>
        <w:rPr>
          <w:rFonts w:ascii="Palatino Linotype" w:hAnsi="Palatino Linotype" w:cs="Arial"/>
          <w:sz w:val="24"/>
          <w:szCs w:val="24"/>
        </w:rPr>
      </w:pPr>
      <w:r w:rsidRPr="00D26C0E">
        <w:rPr>
          <w:rFonts w:ascii="Palatino Linotype" w:hAnsi="Palatino Linotype" w:cs="Arial"/>
          <w:b/>
          <w:sz w:val="24"/>
          <w:szCs w:val="24"/>
        </w:rPr>
        <w:t>0031</w:t>
      </w:r>
      <w:r>
        <w:rPr>
          <w:rFonts w:ascii="Palatino Linotype" w:hAnsi="Palatino Linotype" w:cs="Arial"/>
          <w:b/>
          <w:sz w:val="24"/>
          <w:szCs w:val="24"/>
        </w:rPr>
        <w:t>8</w:t>
      </w:r>
      <w:r w:rsidRPr="00D26C0E">
        <w:rPr>
          <w:rFonts w:ascii="Palatino Linotype" w:hAnsi="Palatino Linotype" w:cs="Arial"/>
          <w:b/>
          <w:sz w:val="24"/>
          <w:szCs w:val="24"/>
        </w:rPr>
        <w:t>/ECATZIN/IP/2019</w:t>
      </w:r>
    </w:p>
    <w:p w:rsidR="0024443D" w:rsidRDefault="0024443D" w:rsidP="0024443D">
      <w:pPr>
        <w:spacing w:after="0" w:line="360" w:lineRule="auto"/>
        <w:jc w:val="both"/>
        <w:rPr>
          <w:rFonts w:ascii="Palatino Linotype" w:hAnsi="Palatino Linotype" w:cs="Arial"/>
          <w:sz w:val="24"/>
          <w:szCs w:val="24"/>
        </w:rPr>
      </w:pPr>
    </w:p>
    <w:p w:rsidR="0024443D" w:rsidRPr="00DB054A" w:rsidRDefault="0024443D" w:rsidP="0024443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26C0E">
        <w:rPr>
          <w:rFonts w:ascii="Palatino Linotype" w:eastAsia="Times New Roman" w:hAnsi="Palatino Linotype" w:cs="Times New Roman"/>
          <w:i/>
          <w:szCs w:val="24"/>
          <w:lang w:val="es-ES_tradnl" w:eastAsia="es-ES"/>
        </w:rPr>
        <w:t>Quiero saber las características de equipamiento que tienen los policías del municipio.</w:t>
      </w:r>
      <w:r>
        <w:rPr>
          <w:rFonts w:ascii="Palatino Linotype" w:eastAsia="Times New Roman" w:hAnsi="Palatino Linotype" w:cs="Times New Roman"/>
          <w:i/>
          <w:szCs w:val="24"/>
          <w:lang w:val="es-ES_tradnl" w:eastAsia="es-ES"/>
        </w:rPr>
        <w:t>”</w:t>
      </w:r>
    </w:p>
    <w:p w:rsidR="0024443D" w:rsidRDefault="0024443D" w:rsidP="002444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443D" w:rsidRDefault="0024443D" w:rsidP="0024443D">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4443D" w:rsidRPr="00D26C0E" w:rsidRDefault="0024443D" w:rsidP="0024443D">
      <w:pPr>
        <w:spacing w:after="0" w:line="360" w:lineRule="auto"/>
        <w:jc w:val="both"/>
        <w:rPr>
          <w:rFonts w:ascii="Palatino Linotype" w:hAnsi="Palatino Linotype" w:cs="Arial"/>
          <w:b/>
          <w:sz w:val="24"/>
          <w:szCs w:val="24"/>
        </w:rPr>
      </w:pPr>
    </w:p>
    <w:p w:rsidR="0024443D" w:rsidRPr="00A06D7E" w:rsidRDefault="0024443D" w:rsidP="002444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A06D7E">
        <w:rPr>
          <w:rFonts w:ascii="Palatino Linotype" w:hAnsi="Palatino Linotype" w:cs="Arial"/>
          <w:b/>
          <w:sz w:val="24"/>
          <w:szCs w:val="24"/>
        </w:rPr>
        <w:t>respuesta</w:t>
      </w:r>
      <w:r>
        <w:rPr>
          <w:rFonts w:ascii="Palatino Linotype" w:hAnsi="Palatino Linotype" w:cs="Arial"/>
          <w:b/>
          <w:sz w:val="24"/>
          <w:szCs w:val="24"/>
        </w:rPr>
        <w:t>s</w:t>
      </w:r>
      <w:r w:rsidRPr="00A06D7E">
        <w:rPr>
          <w:rFonts w:ascii="Palatino Linotype" w:hAnsi="Palatino Linotype" w:cs="Arial"/>
          <w:b/>
          <w:sz w:val="24"/>
          <w:szCs w:val="24"/>
        </w:rPr>
        <w:t xml:space="preserve"> del Sujeto Obligado.</w:t>
      </w:r>
    </w:p>
    <w:p w:rsidR="0024443D" w:rsidRPr="00A06D7E" w:rsidRDefault="0024443D" w:rsidP="0024443D">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 el plazo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de referencia, con base en las constancias contenidas en 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w:t>
      </w:r>
      <w:r>
        <w:rPr>
          <w:rFonts w:ascii="Palatino Linotype" w:hAnsi="Palatino Linotype" w:cs="Arial"/>
          <w:sz w:val="24"/>
          <w:szCs w:val="24"/>
        </w:rPr>
        <w:t>s</w:t>
      </w:r>
      <w:r w:rsidRPr="00A06D7E">
        <w:rPr>
          <w:rFonts w:ascii="Palatino Linotype" w:hAnsi="Palatino Linotype" w:cs="Arial"/>
          <w:sz w:val="24"/>
          <w:szCs w:val="24"/>
        </w:rPr>
        <w:t xml:space="preserve">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como se muestra a continuación:</w:t>
      </w:r>
    </w:p>
    <w:p w:rsidR="0024443D" w:rsidRPr="00A06D7E" w:rsidRDefault="0024443D" w:rsidP="0024443D">
      <w:pPr>
        <w:spacing w:after="0" w:line="360" w:lineRule="auto"/>
        <w:jc w:val="both"/>
        <w:rPr>
          <w:rFonts w:ascii="Palatino Linotype" w:hAnsi="Palatino Linotype" w:cs="Arial"/>
          <w:sz w:val="24"/>
          <w:szCs w:val="24"/>
        </w:rPr>
      </w:pPr>
    </w:p>
    <w:p w:rsidR="0024443D" w:rsidRDefault="0024443D" w:rsidP="0024443D">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2320F830" wp14:editId="42DE2141">
            <wp:extent cx="5530132" cy="26309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536148" cy="2633820"/>
                    </a:xfrm>
                    <a:prstGeom prst="rect">
                      <a:avLst/>
                    </a:prstGeom>
                  </pic:spPr>
                </pic:pic>
              </a:graphicData>
            </a:graphic>
          </wp:inline>
        </w:drawing>
      </w:r>
    </w:p>
    <w:p w:rsidR="0024443D" w:rsidRDefault="0024443D" w:rsidP="0024443D">
      <w:pPr>
        <w:spacing w:after="0" w:line="360" w:lineRule="auto"/>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14:anchorId="5EAE8FF4" wp14:editId="69D57F92">
            <wp:extent cx="5760720" cy="25222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522220"/>
                    </a:xfrm>
                    <a:prstGeom prst="rect">
                      <a:avLst/>
                    </a:prstGeom>
                  </pic:spPr>
                </pic:pic>
              </a:graphicData>
            </a:graphic>
          </wp:inline>
        </w:drawing>
      </w:r>
      <w:r>
        <w:rPr>
          <w:rFonts w:ascii="Palatino Linotype" w:eastAsia="Calibri" w:hAnsi="Palatino Linotype" w:cs="Arial"/>
          <w:noProof/>
          <w:sz w:val="24"/>
          <w:szCs w:val="24"/>
          <w:lang w:eastAsia="es-MX"/>
        </w:rPr>
        <w:drawing>
          <wp:inline distT="0" distB="0" distL="0" distR="0" wp14:anchorId="3E8BEE83" wp14:editId="1949F5B4">
            <wp:extent cx="5760720" cy="24949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494915"/>
                    </a:xfrm>
                    <a:prstGeom prst="rect">
                      <a:avLst/>
                    </a:prstGeom>
                  </pic:spPr>
                </pic:pic>
              </a:graphicData>
            </a:graphic>
          </wp:inline>
        </w:drawing>
      </w:r>
      <w:r>
        <w:rPr>
          <w:rFonts w:ascii="Palatino Linotype" w:eastAsia="Calibri" w:hAnsi="Palatino Linotype" w:cs="Arial"/>
          <w:noProof/>
          <w:sz w:val="24"/>
          <w:szCs w:val="24"/>
          <w:lang w:eastAsia="es-MX"/>
        </w:rPr>
        <w:drawing>
          <wp:inline distT="0" distB="0" distL="0" distR="0" wp14:anchorId="4563B343" wp14:editId="1CE0E603">
            <wp:extent cx="5760720" cy="24911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491105"/>
                    </a:xfrm>
                    <a:prstGeom prst="rect">
                      <a:avLst/>
                    </a:prstGeom>
                  </pic:spPr>
                </pic:pic>
              </a:graphicData>
            </a:graphic>
          </wp:inline>
        </w:drawing>
      </w:r>
      <w:r>
        <w:rPr>
          <w:rFonts w:ascii="Palatino Linotype" w:eastAsia="Calibri" w:hAnsi="Palatino Linotype" w:cs="Arial"/>
          <w:noProof/>
          <w:sz w:val="24"/>
          <w:szCs w:val="24"/>
          <w:lang w:eastAsia="es-MX"/>
        </w:rPr>
        <w:lastRenderedPageBreak/>
        <w:drawing>
          <wp:inline distT="0" distB="0" distL="0" distR="0" wp14:anchorId="7AE4BE4E" wp14:editId="34659F89">
            <wp:extent cx="5760720" cy="252793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527935"/>
                    </a:xfrm>
                    <a:prstGeom prst="rect">
                      <a:avLst/>
                    </a:prstGeom>
                  </pic:spPr>
                </pic:pic>
              </a:graphicData>
            </a:graphic>
          </wp:inline>
        </w:drawing>
      </w:r>
      <w:r>
        <w:rPr>
          <w:rFonts w:ascii="Palatino Linotype" w:eastAsia="Calibri" w:hAnsi="Palatino Linotype" w:cs="Arial"/>
          <w:noProof/>
          <w:sz w:val="24"/>
          <w:szCs w:val="24"/>
          <w:lang w:eastAsia="es-MX"/>
        </w:rPr>
        <w:drawing>
          <wp:inline distT="0" distB="0" distL="0" distR="0" wp14:anchorId="39A62582" wp14:editId="35F9C4CB">
            <wp:extent cx="5760720" cy="251142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511425"/>
                    </a:xfrm>
                    <a:prstGeom prst="rect">
                      <a:avLst/>
                    </a:prstGeom>
                  </pic:spPr>
                </pic:pic>
              </a:graphicData>
            </a:graphic>
          </wp:inline>
        </w:drawing>
      </w:r>
      <w:r>
        <w:rPr>
          <w:rFonts w:ascii="Palatino Linotype" w:eastAsia="Calibri" w:hAnsi="Palatino Linotype" w:cs="Arial"/>
          <w:noProof/>
          <w:sz w:val="24"/>
          <w:szCs w:val="24"/>
          <w:lang w:eastAsia="es-MX"/>
        </w:rPr>
        <w:drawing>
          <wp:inline distT="0" distB="0" distL="0" distR="0" wp14:anchorId="49FF6E0C" wp14:editId="672D9514">
            <wp:extent cx="5649401" cy="246414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png"/>
                    <pic:cNvPicPr/>
                  </pic:nvPicPr>
                  <pic:blipFill>
                    <a:blip r:embed="rId13">
                      <a:extLst>
                        <a:ext uri="{28A0092B-C50C-407E-A947-70E740481C1C}">
                          <a14:useLocalDpi xmlns:a14="http://schemas.microsoft.com/office/drawing/2010/main" val="0"/>
                        </a:ext>
                      </a:extLst>
                    </a:blip>
                    <a:stretch>
                      <a:fillRect/>
                    </a:stretch>
                  </pic:blipFill>
                  <pic:spPr>
                    <a:xfrm>
                      <a:off x="0" y="0"/>
                      <a:ext cx="5653308" cy="2465844"/>
                    </a:xfrm>
                    <a:prstGeom prst="rect">
                      <a:avLst/>
                    </a:prstGeom>
                  </pic:spPr>
                </pic:pic>
              </a:graphicData>
            </a:graphic>
          </wp:inline>
        </w:drawing>
      </w:r>
    </w:p>
    <w:p w:rsidR="0024443D" w:rsidRPr="00A06D7E" w:rsidRDefault="0024443D" w:rsidP="0024443D">
      <w:pPr>
        <w:spacing w:after="0" w:line="360" w:lineRule="auto"/>
        <w:jc w:val="center"/>
        <w:rPr>
          <w:rFonts w:ascii="Palatino Linotype" w:eastAsia="Calibri" w:hAnsi="Palatino Linotype" w:cs="Arial"/>
          <w:sz w:val="24"/>
          <w:szCs w:val="24"/>
          <w:lang w:val="es-ES" w:eastAsia="es-ES"/>
        </w:rPr>
      </w:pPr>
    </w:p>
    <w:p w:rsidR="0024443D" w:rsidRPr="004C083E" w:rsidRDefault="0024443D" w:rsidP="002444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w:t>
      </w:r>
      <w:r>
        <w:rPr>
          <w:rFonts w:ascii="Palatino Linotype" w:hAnsi="Palatino Linotype" w:cs="Arial"/>
          <w:b/>
          <w:sz w:val="28"/>
          <w:szCs w:val="28"/>
        </w:rPr>
        <w:t xml:space="preserve"> </w:t>
      </w:r>
      <w:r w:rsidRPr="004C083E">
        <w:rPr>
          <w:rFonts w:ascii="Palatino Linotype" w:hAnsi="Palatino Linotype" w:cs="Arial"/>
          <w:b/>
          <w:sz w:val="28"/>
          <w:szCs w:val="28"/>
        </w:rPr>
        <w:t>l</w:t>
      </w:r>
      <w:r>
        <w:rPr>
          <w:rFonts w:ascii="Palatino Linotype" w:hAnsi="Palatino Linotype" w:cs="Arial"/>
          <w:b/>
          <w:sz w:val="28"/>
          <w:szCs w:val="28"/>
        </w:rPr>
        <w:t>os</w:t>
      </w:r>
      <w:r w:rsidRPr="004C083E">
        <w:rPr>
          <w:rFonts w:ascii="Palatino Linotype" w:hAnsi="Palatino Linotype" w:cs="Arial"/>
          <w:b/>
          <w:sz w:val="28"/>
          <w:szCs w:val="28"/>
        </w:rPr>
        <w:t xml:space="preserve"> recurso</w:t>
      </w:r>
      <w:r>
        <w:rPr>
          <w:rFonts w:ascii="Palatino Linotype" w:hAnsi="Palatino Linotype" w:cs="Arial"/>
          <w:b/>
          <w:sz w:val="28"/>
          <w:szCs w:val="28"/>
        </w:rPr>
        <w:t>s</w:t>
      </w:r>
      <w:r w:rsidRPr="004C083E">
        <w:rPr>
          <w:rFonts w:ascii="Palatino Linotype" w:hAnsi="Palatino Linotype" w:cs="Arial"/>
          <w:b/>
          <w:sz w:val="28"/>
          <w:szCs w:val="28"/>
        </w:rPr>
        <w:t xml:space="preserve"> de revisión.</w:t>
      </w:r>
    </w:p>
    <w:p w:rsidR="0024443D" w:rsidRDefault="0024443D" w:rsidP="002444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diecinueve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12335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12429</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12432</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12434</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12437</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12441</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12443</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Pr>
          <w:rFonts w:ascii="Palatino Linotype" w:hAnsi="Palatino Linotype" w:cs="Arial"/>
          <w:sz w:val="24"/>
          <w:szCs w:val="24"/>
        </w:rPr>
        <w:t>aduciendo com</w:t>
      </w:r>
      <w:bookmarkStart w:id="0" w:name="_GoBack"/>
      <w:bookmarkEnd w:id="0"/>
      <w:r>
        <w:rPr>
          <w:rFonts w:ascii="Palatino Linotype" w:hAnsi="Palatino Linotype" w:cs="Arial"/>
          <w:sz w:val="24"/>
          <w:szCs w:val="24"/>
        </w:rPr>
        <w:t>o acto impugnado y razones o motivos de inconformidad, los mismos en cada uno de los recursos de revisión, por lo que en obvio de repeticiones innecesarias se insertan una sola ocasión, a continuación:</w:t>
      </w:r>
    </w:p>
    <w:p w:rsidR="0024443D" w:rsidRDefault="0024443D" w:rsidP="0024443D">
      <w:pPr>
        <w:spacing w:after="0" w:line="360" w:lineRule="auto"/>
        <w:jc w:val="both"/>
        <w:rPr>
          <w:rFonts w:ascii="Palatino Linotype" w:hAnsi="Palatino Linotype" w:cs="Arial"/>
          <w:b/>
          <w:sz w:val="24"/>
          <w:szCs w:val="24"/>
        </w:rPr>
      </w:pPr>
    </w:p>
    <w:p w:rsidR="0024443D" w:rsidRDefault="0024443D" w:rsidP="0024443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24443D" w:rsidRDefault="0024443D" w:rsidP="0024443D">
      <w:pPr>
        <w:pStyle w:val="Prrafodelista"/>
        <w:spacing w:line="360" w:lineRule="auto"/>
        <w:ind w:left="0"/>
        <w:jc w:val="both"/>
        <w:rPr>
          <w:rFonts w:ascii="Palatino Linotype" w:hAnsi="Palatino Linotype" w:cs="Arial"/>
          <w:b/>
        </w:rPr>
      </w:pPr>
    </w:p>
    <w:p w:rsidR="0024443D" w:rsidRPr="00AF52F8" w:rsidRDefault="0024443D" w:rsidP="0024443D">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AF52F8">
        <w:rPr>
          <w:rFonts w:ascii="Palatino Linotype" w:hAnsi="Palatino Linotype" w:cs="Arial"/>
          <w:i/>
          <w:sz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
    <w:p w:rsidR="0024443D" w:rsidRPr="00AF52F8" w:rsidRDefault="0024443D" w:rsidP="0024443D">
      <w:pPr>
        <w:pStyle w:val="Prrafodelista"/>
        <w:spacing w:line="360" w:lineRule="auto"/>
        <w:ind w:left="0"/>
        <w:jc w:val="both"/>
        <w:rPr>
          <w:rFonts w:ascii="Palatino Linotype" w:hAnsi="Palatino Linotype" w:cs="Arial"/>
          <w:b/>
        </w:rPr>
      </w:pPr>
    </w:p>
    <w:p w:rsidR="0024443D" w:rsidRPr="00AF52F8" w:rsidRDefault="0024443D" w:rsidP="0024443D">
      <w:pPr>
        <w:pStyle w:val="Prrafodelista"/>
        <w:spacing w:line="360" w:lineRule="auto"/>
        <w:ind w:left="0"/>
        <w:jc w:val="both"/>
        <w:rPr>
          <w:rFonts w:ascii="Palatino Linotype" w:hAnsi="Palatino Linotype" w:cs="Arial"/>
          <w:b/>
        </w:rPr>
      </w:pPr>
      <w:r w:rsidRPr="00AF52F8">
        <w:rPr>
          <w:rFonts w:ascii="Palatino Linotype" w:hAnsi="Palatino Linotype" w:cs="Arial"/>
          <w:b/>
        </w:rPr>
        <w:t>Razones o motivos de inconformidad:</w:t>
      </w:r>
    </w:p>
    <w:p w:rsidR="0024443D" w:rsidRPr="00AF52F8" w:rsidRDefault="0024443D" w:rsidP="0024443D">
      <w:pPr>
        <w:pStyle w:val="Prrafodelista"/>
        <w:spacing w:line="360" w:lineRule="auto"/>
        <w:ind w:left="0"/>
        <w:jc w:val="both"/>
        <w:rPr>
          <w:rFonts w:ascii="Palatino Linotype" w:hAnsi="Palatino Linotype" w:cs="Arial"/>
          <w:b/>
        </w:rPr>
      </w:pPr>
    </w:p>
    <w:p w:rsidR="0024443D" w:rsidRDefault="0024443D" w:rsidP="0024443D">
      <w:pPr>
        <w:spacing w:after="0" w:line="276" w:lineRule="auto"/>
        <w:ind w:left="567" w:right="567"/>
        <w:jc w:val="both"/>
        <w:rPr>
          <w:rFonts w:ascii="Palatino Linotype" w:hAnsi="Palatino Linotype"/>
          <w:i/>
          <w:color w:val="000000"/>
        </w:rPr>
      </w:pPr>
      <w:r w:rsidRPr="00AF52F8">
        <w:rPr>
          <w:rFonts w:ascii="Palatino Linotype" w:hAnsi="Palatino Linotype" w:cs="Arial"/>
          <w:i/>
        </w:rPr>
        <w:t>“</w:t>
      </w:r>
      <w:r w:rsidRPr="00AF52F8">
        <w:rPr>
          <w:rFonts w:ascii="Palatino Linotype" w:hAnsi="Palatino Linotype"/>
          <w:i/>
          <w:color w:val="000000"/>
        </w:rPr>
        <w:t>No proporcionan la información requerida.” (sic)</w:t>
      </w:r>
    </w:p>
    <w:p w:rsidR="0024443D" w:rsidRDefault="0024443D" w:rsidP="0024443D">
      <w:pPr>
        <w:spacing w:after="0" w:line="360" w:lineRule="auto"/>
        <w:jc w:val="both"/>
        <w:rPr>
          <w:rFonts w:ascii="Palatino Linotype" w:hAnsi="Palatino Linotype" w:cs="Arial"/>
          <w:sz w:val="24"/>
          <w:szCs w:val="24"/>
        </w:rPr>
      </w:pPr>
    </w:p>
    <w:p w:rsidR="0024443D" w:rsidRDefault="0024443D" w:rsidP="0024443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24443D" w:rsidRPr="00D76175" w:rsidRDefault="0024443D" w:rsidP="0024443D">
      <w:pPr>
        <w:spacing w:after="0" w:line="360" w:lineRule="auto"/>
        <w:ind w:right="49"/>
        <w:jc w:val="both"/>
        <w:rPr>
          <w:rFonts w:ascii="Palatino Linotype" w:eastAsia="Times New Roman" w:hAnsi="Palatino Linotype" w:cs="Arial"/>
          <w:sz w:val="24"/>
          <w:szCs w:val="24"/>
          <w:lang w:val="es-ES_tradnl" w:eastAsia="es-ES"/>
        </w:rPr>
      </w:pPr>
      <w:r w:rsidRPr="00D76175">
        <w:rPr>
          <w:rFonts w:ascii="Palatino Linotype" w:eastAsia="Times New Roman" w:hAnsi="Palatino Linotype" w:cs="Arial"/>
          <w:sz w:val="24"/>
          <w:szCs w:val="24"/>
          <w:lang w:val="es-ES" w:eastAsia="es-ES"/>
        </w:rPr>
        <w:lastRenderedPageBreak/>
        <w:t>En fecha dieci</w:t>
      </w:r>
      <w:r>
        <w:rPr>
          <w:rFonts w:ascii="Palatino Linotype" w:eastAsia="Times New Roman" w:hAnsi="Palatino Linotype" w:cs="Arial"/>
          <w:sz w:val="24"/>
          <w:szCs w:val="24"/>
          <w:lang w:val="es-ES" w:eastAsia="es-ES"/>
        </w:rPr>
        <w:t xml:space="preserve">nueve </w:t>
      </w:r>
      <w:r w:rsidRPr="00D76175">
        <w:rPr>
          <w:rFonts w:ascii="Palatino Linotype" w:eastAsia="Times New Roman" w:hAnsi="Palatino Linotype" w:cs="Arial"/>
          <w:sz w:val="24"/>
          <w:szCs w:val="24"/>
          <w:lang w:val="es-ES" w:eastAsia="es-ES"/>
        </w:rPr>
        <w:t xml:space="preserve">de diciembre de dos mil diecinueve, el </w:t>
      </w:r>
      <w:r w:rsidRPr="00D76175">
        <w:rPr>
          <w:rFonts w:ascii="Palatino Linotype" w:eastAsia="Times New Roman" w:hAnsi="Palatino Linotype" w:cs="Arial"/>
          <w:sz w:val="24"/>
          <w:szCs w:val="24"/>
          <w:lang w:val="es-ES_tradnl" w:eastAsia="es-ES"/>
        </w:rPr>
        <w:t>recurso de que</w:t>
      </w:r>
      <w:r w:rsidRPr="00D76175">
        <w:rPr>
          <w:rFonts w:ascii="Palatino Linotype" w:eastAsia="Times New Roman" w:hAnsi="Palatino Linotype" w:cs="Arial"/>
          <w:sz w:val="24"/>
          <w:szCs w:val="24"/>
          <w:lang w:val="es-ES" w:eastAsia="es-ES"/>
        </w:rPr>
        <w:t xml:space="preserve"> se trata</w:t>
      </w:r>
      <w:r w:rsidRPr="00D76175">
        <w:rPr>
          <w:rFonts w:ascii="Palatino Linotype" w:eastAsia="Times New Roman" w:hAnsi="Palatino Linotype" w:cs="Arial"/>
          <w:sz w:val="24"/>
          <w:szCs w:val="24"/>
          <w:lang w:val="es-ES_tradnl" w:eastAsia="es-ES"/>
        </w:rPr>
        <w:t xml:space="preserve"> se envió electrónicamente al Instituto de </w:t>
      </w:r>
      <w:r w:rsidRPr="00D76175">
        <w:rPr>
          <w:rFonts w:ascii="Palatino Linotype" w:eastAsia="Arial Unicode MS" w:hAnsi="Palatino Linotype" w:cs="Arial"/>
          <w:sz w:val="24"/>
          <w:szCs w:val="24"/>
          <w:lang w:val="es-ES" w:eastAsia="es-ES"/>
        </w:rPr>
        <w:t>Transparencia</w:t>
      </w:r>
      <w:r w:rsidRPr="00D7617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76175">
        <w:rPr>
          <w:rFonts w:ascii="Palatino Linotype" w:eastAsia="Times New Roman" w:hAnsi="Palatino Linotype" w:cs="Times New Roman"/>
          <w:sz w:val="24"/>
          <w:szCs w:val="24"/>
          <w:lang w:val="es-ES" w:eastAsia="es-ES"/>
        </w:rPr>
        <w:t>Ley de Transparencia y Acceso a la Información Pública del Estado de México y Municipios</w:t>
      </w:r>
      <w:r w:rsidRPr="00D76175">
        <w:rPr>
          <w:rFonts w:ascii="Palatino Linotype" w:eastAsia="Times New Roman" w:hAnsi="Palatino Linotype" w:cs="Arial"/>
          <w:sz w:val="24"/>
          <w:szCs w:val="24"/>
          <w:lang w:val="es-ES_tradnl" w:eastAsia="es-ES"/>
        </w:rPr>
        <w:t>, se turnaron a través del</w:t>
      </w:r>
      <w:r w:rsidRPr="00D76175">
        <w:rPr>
          <w:rFonts w:ascii="Palatino Linotype" w:eastAsia="Arial Unicode MS" w:hAnsi="Palatino Linotype" w:cs="Arial"/>
          <w:sz w:val="24"/>
          <w:szCs w:val="24"/>
          <w:lang w:val="es-ES_tradnl" w:eastAsia="es-ES"/>
        </w:rPr>
        <w:t xml:space="preserve"> </w:t>
      </w:r>
      <w:r w:rsidRPr="00D76175">
        <w:rPr>
          <w:rFonts w:ascii="Palatino Linotype" w:eastAsia="Arial Unicode MS" w:hAnsi="Palatino Linotype" w:cs="Arial"/>
          <w:b/>
          <w:sz w:val="24"/>
          <w:szCs w:val="24"/>
          <w:lang w:val="es-ES_tradnl" w:eastAsia="es-ES"/>
        </w:rPr>
        <w:t>SAIMEX</w:t>
      </w:r>
      <w:r w:rsidRPr="00D76175">
        <w:rPr>
          <w:rFonts w:ascii="Palatino Linotype" w:eastAsia="Times New Roman" w:hAnsi="Palatino Linotype" w:cs="Times New Roman"/>
          <w:sz w:val="24"/>
          <w:szCs w:val="24"/>
          <w:lang w:val="es-ES" w:eastAsia="es-ES"/>
        </w:rPr>
        <w:t xml:space="preserve">, a los </w:t>
      </w:r>
      <w:r w:rsidRPr="00D76175">
        <w:rPr>
          <w:rFonts w:ascii="Palatino Linotype" w:eastAsia="Times New Roman" w:hAnsi="Palatino Linotype" w:cs="Arial"/>
          <w:sz w:val="24"/>
          <w:szCs w:val="24"/>
          <w:lang w:val="es-ES_tradnl" w:eastAsia="es-ES"/>
        </w:rPr>
        <w:t xml:space="preserve">Comisionados </w:t>
      </w:r>
      <w:r w:rsidRPr="00D76175">
        <w:rPr>
          <w:rFonts w:ascii="Palatino Linotype" w:eastAsia="Times New Roman" w:hAnsi="Palatino Linotype" w:cs="Arial"/>
          <w:b/>
          <w:sz w:val="24"/>
          <w:szCs w:val="24"/>
          <w:lang w:val="es-ES_tradnl" w:eastAsia="es-ES"/>
        </w:rPr>
        <w:t xml:space="preserve">ZULEMA MARTÍNEZ SÁNCHEZ, </w:t>
      </w:r>
      <w:r>
        <w:rPr>
          <w:rFonts w:ascii="Palatino Linotype" w:eastAsia="Times New Roman" w:hAnsi="Palatino Linotype" w:cs="Arial"/>
          <w:b/>
          <w:sz w:val="24"/>
          <w:szCs w:val="24"/>
          <w:lang w:val="es-ES_tradnl" w:eastAsia="es-ES"/>
        </w:rPr>
        <w:t>JAVIER MARTINEZ CRUZ, EVA ABAID YAPUR,</w:t>
      </w:r>
      <w:r w:rsidRPr="00D76175">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LUISGUSTAVO PARRA NORIEGA y </w:t>
      </w:r>
      <w:r w:rsidRPr="00D76175">
        <w:rPr>
          <w:rFonts w:ascii="Palatino Linotype" w:eastAsia="Times New Roman" w:hAnsi="Palatino Linotype" w:cs="Arial"/>
          <w:b/>
          <w:sz w:val="24"/>
          <w:szCs w:val="24"/>
          <w:lang w:val="es-ES_tradnl" w:eastAsia="es-ES"/>
        </w:rPr>
        <w:t xml:space="preserve">JOSÉ GUADALUPE LUNA HERNÁNDEZ </w:t>
      </w:r>
      <w:r w:rsidRPr="00D76175">
        <w:rPr>
          <w:rFonts w:ascii="Palatino Linotype" w:eastAsia="Times New Roman" w:hAnsi="Palatino Linotype" w:cs="Arial"/>
          <w:sz w:val="24"/>
          <w:szCs w:val="24"/>
          <w:lang w:val="es-ES_tradnl" w:eastAsia="es-ES"/>
        </w:rPr>
        <w:t>a efecto de que decretaran su admisión o desechamiento.</w:t>
      </w:r>
    </w:p>
    <w:p w:rsidR="0024443D" w:rsidRDefault="0024443D" w:rsidP="0024443D">
      <w:pPr>
        <w:spacing w:after="0" w:line="360" w:lineRule="auto"/>
        <w:ind w:right="49"/>
        <w:jc w:val="both"/>
        <w:rPr>
          <w:rFonts w:ascii="Palatino Linotype" w:eastAsia="Times New Roman" w:hAnsi="Palatino Linotype" w:cs="Arial"/>
          <w:sz w:val="24"/>
          <w:szCs w:val="24"/>
          <w:lang w:val="es-ES_tradnl" w:eastAsia="es-ES"/>
        </w:rPr>
      </w:pPr>
    </w:p>
    <w:p w:rsidR="0024443D" w:rsidRPr="004C083E" w:rsidRDefault="0024443D" w:rsidP="0024443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w:t>
      </w:r>
      <w:r>
        <w:rPr>
          <w:rFonts w:ascii="Palatino Linotype" w:eastAsia="Times New Roman" w:hAnsi="Palatino Linotype" w:cs="Arial"/>
          <w:b/>
          <w:sz w:val="28"/>
          <w:szCs w:val="28"/>
          <w:lang w:val="es-ES_tradnl" w:eastAsia="es-ES"/>
        </w:rPr>
        <w:t xml:space="preserve"> y acumulación</w:t>
      </w:r>
      <w:r w:rsidRPr="004C083E">
        <w:rPr>
          <w:rFonts w:ascii="Palatino Linotype" w:eastAsia="Times New Roman" w:hAnsi="Palatino Linotype" w:cs="Arial"/>
          <w:b/>
          <w:sz w:val="28"/>
          <w:szCs w:val="28"/>
          <w:lang w:val="es-ES_tradnl" w:eastAsia="es-ES"/>
        </w:rPr>
        <w:t xml:space="preserve"> de</w:t>
      </w:r>
      <w:r>
        <w:rPr>
          <w:rFonts w:ascii="Palatino Linotype" w:eastAsia="Times New Roman" w:hAnsi="Palatino Linotype" w:cs="Arial"/>
          <w:b/>
          <w:sz w:val="28"/>
          <w:szCs w:val="28"/>
          <w:lang w:val="es-ES_tradnl" w:eastAsia="es-ES"/>
        </w:rPr>
        <w:t xml:space="preserve"> </w:t>
      </w:r>
      <w:r w:rsidRPr="004C083E">
        <w:rPr>
          <w:rFonts w:ascii="Palatino Linotype" w:eastAsia="Times New Roman" w:hAnsi="Palatino Linotype" w:cs="Arial"/>
          <w:b/>
          <w:sz w:val="28"/>
          <w:szCs w:val="28"/>
          <w:lang w:val="es-ES_tradnl" w:eastAsia="es-ES"/>
        </w:rPr>
        <w:t>l</w:t>
      </w:r>
      <w:r>
        <w:rPr>
          <w:rFonts w:ascii="Palatino Linotype" w:eastAsia="Times New Roman" w:hAnsi="Palatino Linotype" w:cs="Arial"/>
          <w:b/>
          <w:sz w:val="28"/>
          <w:szCs w:val="28"/>
          <w:lang w:val="es-ES_tradnl" w:eastAsia="es-ES"/>
        </w:rPr>
        <w:t>os</w:t>
      </w:r>
      <w:r w:rsidRPr="004C083E">
        <w:rPr>
          <w:rFonts w:ascii="Palatino Linotype" w:eastAsia="Times New Roman" w:hAnsi="Palatino Linotype" w:cs="Arial"/>
          <w:b/>
          <w:sz w:val="28"/>
          <w:szCs w:val="28"/>
          <w:lang w:val="es-ES_tradnl" w:eastAsia="es-ES"/>
        </w:rPr>
        <w:t xml:space="preserve"> </w:t>
      </w:r>
      <w:r>
        <w:rPr>
          <w:rFonts w:ascii="Palatino Linotype" w:eastAsia="Times New Roman" w:hAnsi="Palatino Linotype" w:cs="Arial"/>
          <w:b/>
          <w:sz w:val="28"/>
          <w:szCs w:val="28"/>
          <w:lang w:val="es-ES_tradnl" w:eastAsia="es-ES"/>
        </w:rPr>
        <w:t>r</w:t>
      </w:r>
      <w:r w:rsidRPr="004C083E">
        <w:rPr>
          <w:rFonts w:ascii="Palatino Linotype" w:eastAsia="Times New Roman" w:hAnsi="Palatino Linotype" w:cs="Arial"/>
          <w:b/>
          <w:sz w:val="28"/>
          <w:szCs w:val="28"/>
          <w:lang w:val="es-ES_tradnl" w:eastAsia="es-ES"/>
        </w:rPr>
        <w:t>ecurso</w:t>
      </w:r>
      <w:r>
        <w:rPr>
          <w:rFonts w:ascii="Palatino Linotype" w:eastAsia="Times New Roman" w:hAnsi="Palatino Linotype" w:cs="Arial"/>
          <w:b/>
          <w:sz w:val="28"/>
          <w:szCs w:val="28"/>
          <w:lang w:val="es-ES_tradnl" w:eastAsia="es-ES"/>
        </w:rPr>
        <w:t>s</w:t>
      </w:r>
      <w:r w:rsidRPr="004C083E">
        <w:rPr>
          <w:rFonts w:ascii="Palatino Linotype" w:eastAsia="Times New Roman" w:hAnsi="Palatino Linotype" w:cs="Arial"/>
          <w:b/>
          <w:sz w:val="28"/>
          <w:szCs w:val="28"/>
          <w:lang w:val="es-ES_tradnl" w:eastAsia="es-ES"/>
        </w:rPr>
        <w:t xml:space="preserve"> de revisión</w:t>
      </w:r>
    </w:p>
    <w:p w:rsidR="0024443D" w:rsidRPr="006E0AB3" w:rsidRDefault="0024443D" w:rsidP="0024443D">
      <w:pPr>
        <w:spacing w:after="0" w:line="360" w:lineRule="auto"/>
        <w:ind w:right="49"/>
        <w:jc w:val="both"/>
        <w:rPr>
          <w:rFonts w:ascii="Palatino Linotype" w:eastAsia="Times New Roman" w:hAnsi="Palatino Linotype" w:cs="Arial"/>
          <w:sz w:val="24"/>
          <w:szCs w:val="24"/>
          <w:lang w:val="es-ES" w:eastAsia="es-ES"/>
        </w:rPr>
      </w:pPr>
      <w:r w:rsidRPr="006E0AB3">
        <w:rPr>
          <w:rFonts w:ascii="Palatino Linotype" w:eastAsia="Times New Roman" w:hAnsi="Palatino Linotype" w:cs="Arial"/>
          <w:sz w:val="24"/>
          <w:szCs w:val="24"/>
          <w:lang w:val="es-ES_tradnl" w:eastAsia="es-ES"/>
        </w:rPr>
        <w:t>E</w:t>
      </w:r>
      <w:r w:rsidRPr="006E0AB3">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s</w:t>
      </w:r>
      <w:r w:rsidRPr="006E0AB3">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diez y trece</w:t>
      </w:r>
      <w:r w:rsidRPr="006E0AB3">
        <w:rPr>
          <w:rFonts w:ascii="Palatino Linotype" w:eastAsia="Times New Roman" w:hAnsi="Palatino Linotype" w:cs="Arial"/>
          <w:sz w:val="24"/>
          <w:szCs w:val="24"/>
          <w:lang w:val="es-ES" w:eastAsia="es-ES"/>
        </w:rPr>
        <w:t xml:space="preserve"> de enero de dos mil veinte,</w:t>
      </w:r>
      <w:r>
        <w:rPr>
          <w:rFonts w:ascii="Palatino Linotype" w:eastAsia="Times New Roman" w:hAnsi="Palatino Linotype" w:cs="Arial"/>
          <w:sz w:val="24"/>
          <w:szCs w:val="24"/>
          <w:lang w:val="es-ES" w:eastAsia="es-ES"/>
        </w:rPr>
        <w:t xml:space="preserve"> respectivamente,</w:t>
      </w:r>
      <w:r w:rsidRPr="006E0AB3">
        <w:rPr>
          <w:rFonts w:ascii="Palatino Linotype" w:eastAsia="Times New Roman" w:hAnsi="Palatino Linotype" w:cs="Arial"/>
          <w:sz w:val="24"/>
          <w:szCs w:val="24"/>
          <w:lang w:val="es-ES" w:eastAsia="es-ES"/>
        </w:rPr>
        <w:t xml:space="preserve"> atento a lo dispuesto en el </w:t>
      </w:r>
      <w:r w:rsidRPr="006E0AB3">
        <w:rPr>
          <w:rFonts w:ascii="Palatino Linotype" w:eastAsia="Times New Roman" w:hAnsi="Palatino Linotype" w:cs="Arial"/>
          <w:sz w:val="24"/>
          <w:szCs w:val="24"/>
          <w:lang w:val="es-ES_tradnl" w:eastAsia="es-ES"/>
        </w:rPr>
        <w:t>artículo</w:t>
      </w:r>
      <w:r w:rsidRPr="006E0AB3">
        <w:rPr>
          <w:rFonts w:ascii="Palatino Linotype" w:eastAsia="Times New Roman" w:hAnsi="Palatino Linotype" w:cs="Arial"/>
          <w:sz w:val="24"/>
          <w:szCs w:val="24"/>
          <w:lang w:val="es-ES" w:eastAsia="es-ES"/>
        </w:rPr>
        <w:t xml:space="preserve"> 185 fracciones I, II y IV </w:t>
      </w:r>
      <w:r w:rsidRPr="006E0AB3">
        <w:rPr>
          <w:rFonts w:ascii="Palatino Linotype" w:eastAsia="Times New Roman" w:hAnsi="Palatino Linotype" w:cs="Arial"/>
          <w:sz w:val="24"/>
          <w:szCs w:val="24"/>
          <w:lang w:val="es-ES_tradnl" w:eastAsia="es-ES"/>
        </w:rPr>
        <w:t xml:space="preserve">de la </w:t>
      </w:r>
      <w:r w:rsidRPr="006E0AB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E0AB3">
        <w:rPr>
          <w:rFonts w:ascii="Palatino Linotype" w:eastAsia="Times New Roman" w:hAnsi="Palatino Linotype" w:cs="Arial"/>
          <w:sz w:val="24"/>
          <w:szCs w:val="24"/>
          <w:lang w:val="es-ES" w:eastAsia="es-ES"/>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24443D" w:rsidRPr="006E0AB3" w:rsidRDefault="0024443D" w:rsidP="0024443D">
      <w:pPr>
        <w:spacing w:after="0" w:line="360" w:lineRule="auto"/>
        <w:ind w:right="49"/>
        <w:jc w:val="both"/>
        <w:rPr>
          <w:rFonts w:ascii="Palatino Linotype" w:eastAsia="Times New Roman" w:hAnsi="Palatino Linotype" w:cs="Arial"/>
          <w:sz w:val="24"/>
          <w:szCs w:val="24"/>
          <w:lang w:val="es-ES" w:eastAsia="es-ES"/>
        </w:rPr>
      </w:pPr>
    </w:p>
    <w:p w:rsidR="0024443D" w:rsidRPr="006E0AB3" w:rsidRDefault="0024443D" w:rsidP="0024443D">
      <w:pPr>
        <w:spacing w:after="0" w:line="360" w:lineRule="auto"/>
        <w:jc w:val="both"/>
        <w:rPr>
          <w:rFonts w:ascii="Palatino Linotype" w:eastAsia="Times New Roman" w:hAnsi="Palatino Linotype" w:cs="Arial"/>
          <w:sz w:val="24"/>
          <w:szCs w:val="24"/>
          <w:lang w:val="es-ES" w:eastAsia="es-ES"/>
        </w:rPr>
      </w:pPr>
      <w:r w:rsidRPr="006E0AB3">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Tercera</w:t>
      </w:r>
      <w:r w:rsidRPr="006E0AB3">
        <w:rPr>
          <w:rFonts w:ascii="Palatino Linotype" w:eastAsia="Times New Roman" w:hAnsi="Palatino Linotype" w:cs="Arial"/>
          <w:sz w:val="24"/>
          <w:szCs w:val="24"/>
          <w:lang w:val="es-ES" w:eastAsia="es-ES"/>
        </w:rPr>
        <w:t xml:space="preserve"> Sesión Ordinaria, celebrada el veinti</w:t>
      </w:r>
      <w:r>
        <w:rPr>
          <w:rFonts w:ascii="Palatino Linotype" w:eastAsia="Times New Roman" w:hAnsi="Palatino Linotype" w:cs="Arial"/>
          <w:sz w:val="24"/>
          <w:szCs w:val="24"/>
          <w:lang w:val="es-ES" w:eastAsia="es-ES"/>
        </w:rPr>
        <w:t xml:space="preserve">nueve </w:t>
      </w:r>
      <w:r w:rsidRPr="006E0AB3">
        <w:rPr>
          <w:rFonts w:ascii="Palatino Linotype" w:eastAsia="Times New Roman" w:hAnsi="Palatino Linotype" w:cs="Arial"/>
          <w:sz w:val="24"/>
          <w:szCs w:val="24"/>
          <w:lang w:val="es-ES" w:eastAsia="es-ES"/>
        </w:rPr>
        <w:t xml:space="preserve">de enero de dos mil veinte, el Pleno de este Instituto de Transparencia, aprobó la acumulación de los recursos a esta Ponencia, </w:t>
      </w:r>
      <w:r w:rsidRPr="006E0AB3">
        <w:rPr>
          <w:rFonts w:ascii="Palatino Linotype" w:eastAsia="MS Mincho" w:hAnsi="Palatino Linotype" w:cs="Arial"/>
          <w:sz w:val="24"/>
          <w:szCs w:val="24"/>
          <w:lang w:val="es-ES" w:eastAsia="es-ES"/>
        </w:rPr>
        <w:t xml:space="preserve">a efecto de que ésta Ponencia formulara y presentara el proyecto de resolución correspondiente y </w:t>
      </w:r>
      <w:r w:rsidRPr="006E0AB3">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w:t>
      </w:r>
      <w:r w:rsidRPr="006E0AB3">
        <w:rPr>
          <w:rFonts w:ascii="Palatino Linotype" w:eastAsia="Times New Roman" w:hAnsi="Palatino Linotype" w:cs="Arial"/>
          <w:sz w:val="24"/>
          <w:szCs w:val="24"/>
          <w:lang w:val="es-ES" w:eastAsia="es-ES"/>
        </w:rPr>
        <w:lastRenderedPageBreak/>
        <w:t>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24443D" w:rsidRPr="006E0AB3" w:rsidRDefault="0024443D" w:rsidP="0024443D">
      <w:pPr>
        <w:spacing w:after="0" w:line="360" w:lineRule="auto"/>
        <w:jc w:val="both"/>
        <w:rPr>
          <w:rFonts w:ascii="Palatino Linotype" w:eastAsia="Times New Roman" w:hAnsi="Palatino Linotype" w:cs="Arial"/>
          <w:b/>
          <w:sz w:val="24"/>
          <w:szCs w:val="24"/>
          <w:lang w:val="es-ES" w:eastAsia="es-ES"/>
        </w:rPr>
      </w:pPr>
    </w:p>
    <w:p w:rsidR="0024443D" w:rsidRPr="006E0AB3" w:rsidRDefault="0024443D" w:rsidP="0024443D">
      <w:pPr>
        <w:spacing w:after="0" w:line="276" w:lineRule="auto"/>
        <w:ind w:left="567" w:right="567"/>
        <w:jc w:val="both"/>
        <w:rPr>
          <w:rFonts w:ascii="Palatino Linotype" w:eastAsia="Times New Roman" w:hAnsi="Palatino Linotype" w:cs="Times New Roman"/>
          <w:i/>
          <w:color w:val="000000"/>
          <w:szCs w:val="24"/>
          <w:lang w:val="es-ES" w:eastAsia="es-ES"/>
        </w:rPr>
      </w:pPr>
      <w:r w:rsidRPr="006E0AB3">
        <w:rPr>
          <w:rFonts w:ascii="Palatino Linotype" w:eastAsia="Times New Roman" w:hAnsi="Palatino Linotype" w:cs="Times New Roman"/>
          <w:b/>
          <w:i/>
          <w:color w:val="000000"/>
          <w:szCs w:val="24"/>
          <w:lang w:val="es-ES" w:eastAsia="es-ES"/>
        </w:rPr>
        <w:t>“ONCE</w:t>
      </w:r>
      <w:r w:rsidRPr="006E0AB3">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24443D" w:rsidRPr="006E0AB3" w:rsidRDefault="0024443D" w:rsidP="0024443D">
      <w:pPr>
        <w:spacing w:after="0" w:line="276" w:lineRule="auto"/>
        <w:ind w:left="567" w:right="567"/>
        <w:jc w:val="both"/>
        <w:rPr>
          <w:rFonts w:ascii="Palatino Linotype" w:eastAsia="Times New Roman" w:hAnsi="Palatino Linotype" w:cs="Times New Roman"/>
          <w:i/>
          <w:color w:val="000000"/>
          <w:szCs w:val="24"/>
          <w:lang w:val="es-ES" w:eastAsia="es-ES"/>
        </w:rPr>
      </w:pPr>
      <w:r w:rsidRPr="006E0AB3">
        <w:rPr>
          <w:rFonts w:ascii="Palatino Linotype" w:eastAsia="Times New Roman" w:hAnsi="Palatino Linotype" w:cs="Times New Roman"/>
          <w:i/>
          <w:color w:val="000000"/>
          <w:szCs w:val="24"/>
          <w:lang w:val="es-ES" w:eastAsia="es-ES"/>
        </w:rPr>
        <w:t>a) El solicitante y la información referida sean las mismas;</w:t>
      </w:r>
    </w:p>
    <w:p w:rsidR="0024443D" w:rsidRPr="006E0AB3" w:rsidRDefault="0024443D" w:rsidP="0024443D">
      <w:pPr>
        <w:spacing w:after="0" w:line="276" w:lineRule="auto"/>
        <w:ind w:left="567" w:right="567"/>
        <w:jc w:val="both"/>
        <w:rPr>
          <w:rFonts w:ascii="Palatino Linotype" w:eastAsia="Times New Roman" w:hAnsi="Palatino Linotype" w:cs="Times New Roman"/>
          <w:b/>
          <w:i/>
          <w:color w:val="000000"/>
          <w:szCs w:val="24"/>
          <w:lang w:val="es-ES" w:eastAsia="es-ES"/>
        </w:rPr>
      </w:pPr>
      <w:r w:rsidRPr="006E0AB3">
        <w:rPr>
          <w:rFonts w:ascii="Palatino Linotype" w:eastAsia="Times New Roman" w:hAnsi="Palatino Linotype" w:cs="Times New Roman"/>
          <w:b/>
          <w:i/>
          <w:color w:val="000000"/>
          <w:szCs w:val="24"/>
          <w:lang w:val="es-ES" w:eastAsia="es-ES"/>
        </w:rPr>
        <w:t xml:space="preserve">b) Las partes o los actos impugnados sean iguales: </w:t>
      </w:r>
    </w:p>
    <w:p w:rsidR="0024443D" w:rsidRPr="006E0AB3" w:rsidRDefault="0024443D" w:rsidP="0024443D">
      <w:pPr>
        <w:spacing w:after="0" w:line="276" w:lineRule="auto"/>
        <w:ind w:left="567" w:right="567"/>
        <w:jc w:val="both"/>
        <w:rPr>
          <w:rFonts w:ascii="Palatino Linotype" w:eastAsia="Times New Roman" w:hAnsi="Palatino Linotype" w:cs="Times New Roman"/>
          <w:i/>
          <w:color w:val="000000"/>
          <w:szCs w:val="24"/>
          <w:lang w:val="es-ES" w:eastAsia="es-ES"/>
        </w:rPr>
      </w:pPr>
      <w:r w:rsidRPr="006E0AB3">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24443D" w:rsidRPr="006E0AB3" w:rsidRDefault="0024443D" w:rsidP="0024443D">
      <w:pPr>
        <w:spacing w:after="0" w:line="276" w:lineRule="auto"/>
        <w:ind w:left="567" w:right="567"/>
        <w:jc w:val="both"/>
        <w:rPr>
          <w:rFonts w:ascii="Palatino Linotype" w:eastAsia="Times New Roman" w:hAnsi="Palatino Linotype" w:cs="Times New Roman"/>
          <w:b/>
          <w:i/>
          <w:color w:val="000000"/>
          <w:szCs w:val="24"/>
          <w:lang w:val="es-ES" w:eastAsia="es-ES"/>
        </w:rPr>
      </w:pPr>
      <w:r w:rsidRPr="006E0AB3">
        <w:rPr>
          <w:rFonts w:ascii="Palatino Linotype" w:eastAsia="Times New Roman" w:hAnsi="Palatino Linotype" w:cs="Times New Roman"/>
          <w:b/>
          <w:i/>
          <w:color w:val="000000"/>
          <w:szCs w:val="24"/>
          <w:lang w:val="es-ES" w:eastAsia="es-ES"/>
        </w:rPr>
        <w:t>d) Resulte conveniente la resolución unificada de los asuntos; y</w:t>
      </w:r>
    </w:p>
    <w:p w:rsidR="0024443D" w:rsidRPr="006E0AB3" w:rsidRDefault="0024443D" w:rsidP="0024443D">
      <w:pPr>
        <w:spacing w:after="0" w:line="276" w:lineRule="auto"/>
        <w:ind w:left="567" w:right="567"/>
        <w:jc w:val="both"/>
        <w:rPr>
          <w:rFonts w:ascii="Palatino Linotype" w:eastAsia="Times New Roman" w:hAnsi="Palatino Linotype" w:cs="Times New Roman"/>
          <w:i/>
          <w:color w:val="000000"/>
          <w:szCs w:val="24"/>
          <w:lang w:val="es-ES" w:eastAsia="es-ES"/>
        </w:rPr>
      </w:pPr>
      <w:r w:rsidRPr="006E0AB3">
        <w:rPr>
          <w:rFonts w:ascii="Palatino Linotype" w:eastAsia="Times New Roman" w:hAnsi="Palatino Linotype" w:cs="Times New Roman"/>
          <w:i/>
          <w:color w:val="000000"/>
          <w:szCs w:val="24"/>
          <w:lang w:val="es-ES" w:eastAsia="es-ES"/>
        </w:rPr>
        <w:t>e) En cualquier otro caso que determine el Pleno.</w:t>
      </w:r>
    </w:p>
    <w:p w:rsidR="0024443D" w:rsidRPr="006E0AB3" w:rsidRDefault="0024443D" w:rsidP="0024443D">
      <w:pPr>
        <w:spacing w:after="0" w:line="276" w:lineRule="auto"/>
        <w:ind w:left="567" w:right="567"/>
        <w:jc w:val="both"/>
        <w:rPr>
          <w:rFonts w:ascii="Palatino Linotype" w:eastAsia="Times New Roman" w:hAnsi="Palatino Linotype" w:cs="Times New Roman"/>
          <w:i/>
          <w:color w:val="000000"/>
          <w:szCs w:val="24"/>
          <w:lang w:val="es-ES" w:eastAsia="es-ES"/>
        </w:rPr>
      </w:pPr>
      <w:r w:rsidRPr="006E0AB3">
        <w:rPr>
          <w:rFonts w:ascii="Palatino Linotype" w:eastAsia="Times New Roman" w:hAnsi="Palatino Linotype" w:cs="Times New Roman"/>
          <w:i/>
          <w:color w:val="000000"/>
          <w:szCs w:val="24"/>
          <w:lang w:val="es-ES" w:eastAsia="es-ES"/>
        </w:rPr>
        <w:t>La misma regla se aplicará, en lo conducente, para la separación de los expedientes.”</w:t>
      </w:r>
    </w:p>
    <w:p w:rsidR="0024443D" w:rsidRPr="006E0AB3" w:rsidRDefault="0024443D" w:rsidP="0024443D">
      <w:pPr>
        <w:spacing w:after="0" w:line="360" w:lineRule="auto"/>
        <w:jc w:val="both"/>
        <w:rPr>
          <w:rFonts w:ascii="Palatino Linotype" w:eastAsia="Calibri" w:hAnsi="Palatino Linotype" w:cs="Arial"/>
          <w:b/>
          <w:sz w:val="24"/>
          <w:szCs w:val="24"/>
          <w:lang w:val="es-ES" w:eastAsia="es-ES"/>
        </w:rPr>
      </w:pPr>
    </w:p>
    <w:p w:rsidR="0024443D" w:rsidRPr="006E0AB3" w:rsidRDefault="0024443D" w:rsidP="0024443D">
      <w:pPr>
        <w:spacing w:after="0" w:line="360" w:lineRule="auto"/>
        <w:jc w:val="both"/>
        <w:rPr>
          <w:rFonts w:ascii="Palatino Linotype" w:eastAsia="MS Mincho" w:hAnsi="Palatino Linotype" w:cs="Times New Roman"/>
          <w:sz w:val="24"/>
          <w:szCs w:val="24"/>
          <w:lang w:val="es-ES" w:eastAsia="es-ES"/>
        </w:rPr>
      </w:pPr>
      <w:r w:rsidRPr="006E0AB3">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4443D" w:rsidRPr="006E0AB3" w:rsidRDefault="0024443D" w:rsidP="0024443D">
      <w:pPr>
        <w:spacing w:after="0" w:line="360" w:lineRule="auto"/>
        <w:jc w:val="both"/>
        <w:rPr>
          <w:rFonts w:ascii="Palatino Linotype" w:eastAsia="MS Mincho" w:hAnsi="Palatino Linotype" w:cs="Times New Roman"/>
          <w:sz w:val="24"/>
          <w:szCs w:val="24"/>
          <w:lang w:val="es-ES" w:eastAsia="es-ES"/>
        </w:rPr>
      </w:pP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r w:rsidRPr="006E0AB3">
        <w:rPr>
          <w:rFonts w:ascii="Palatino Linotype" w:eastAsia="MS Mincho" w:hAnsi="Palatino Linotype" w:cs="Times New Roman"/>
          <w:b/>
          <w:i/>
          <w:szCs w:val="24"/>
          <w:lang w:val="es-ES" w:eastAsia="es-ES"/>
        </w:rPr>
        <w:t>Código de Procedimientos Administrativos del Estado de México</w:t>
      </w: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p>
    <w:p w:rsidR="0024443D" w:rsidRPr="006E0AB3" w:rsidRDefault="0024443D" w:rsidP="0024443D">
      <w:pPr>
        <w:spacing w:after="0" w:line="276" w:lineRule="auto"/>
        <w:ind w:left="567" w:right="567"/>
        <w:contextualSpacing/>
        <w:jc w:val="both"/>
        <w:rPr>
          <w:rFonts w:ascii="Palatino Linotype" w:eastAsia="MS Mincho" w:hAnsi="Palatino Linotype" w:cs="Times New Roman"/>
          <w:i/>
          <w:szCs w:val="24"/>
          <w:lang w:val="es-ES" w:eastAsia="es-ES"/>
        </w:rPr>
      </w:pPr>
      <w:r w:rsidRPr="006E0AB3">
        <w:rPr>
          <w:rFonts w:ascii="Palatino Linotype" w:eastAsia="MS Mincho" w:hAnsi="Palatino Linotype" w:cs="Times New Roman"/>
          <w:i/>
          <w:szCs w:val="24"/>
          <w:lang w:val="es-ES" w:eastAsia="es-ES"/>
        </w:rPr>
        <w:t>“</w:t>
      </w:r>
      <w:r w:rsidRPr="006E0AB3">
        <w:rPr>
          <w:rFonts w:ascii="Palatino Linotype" w:eastAsia="MS Mincho" w:hAnsi="Palatino Linotype" w:cs="Times New Roman"/>
          <w:b/>
          <w:i/>
          <w:szCs w:val="24"/>
          <w:lang w:val="es-ES" w:eastAsia="es-ES"/>
        </w:rPr>
        <w:t xml:space="preserve">Artículo 18.- </w:t>
      </w:r>
      <w:r w:rsidRPr="006E0AB3">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w:t>
      </w:r>
      <w:r w:rsidRPr="006E0AB3">
        <w:rPr>
          <w:rFonts w:ascii="Palatino Linotype" w:eastAsia="MS Mincho" w:hAnsi="Palatino Linotype" w:cs="Times New Roman"/>
          <w:i/>
          <w:szCs w:val="24"/>
          <w:lang w:val="es-ES" w:eastAsia="es-ES"/>
        </w:rPr>
        <w:lastRenderedPageBreak/>
        <w:t>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r w:rsidRPr="006E0AB3">
        <w:rPr>
          <w:rFonts w:ascii="Palatino Linotype" w:eastAsia="MS Mincho" w:hAnsi="Palatino Linotype" w:cs="Times New Roman"/>
          <w:b/>
          <w:i/>
          <w:szCs w:val="24"/>
          <w:lang w:val="es-ES" w:eastAsia="es-ES"/>
        </w:rPr>
        <w:t xml:space="preserve">Ley de Transparencia y Acceso a la Información Pública </w:t>
      </w: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r w:rsidRPr="006E0AB3">
        <w:rPr>
          <w:rFonts w:ascii="Palatino Linotype" w:eastAsia="MS Mincho" w:hAnsi="Palatino Linotype" w:cs="Times New Roman"/>
          <w:b/>
          <w:i/>
          <w:szCs w:val="24"/>
          <w:lang w:val="es-ES" w:eastAsia="es-ES"/>
        </w:rPr>
        <w:t>del Estado de México y Municipios</w:t>
      </w:r>
    </w:p>
    <w:p w:rsidR="0024443D" w:rsidRPr="006E0AB3" w:rsidRDefault="0024443D" w:rsidP="0024443D">
      <w:pPr>
        <w:spacing w:after="0" w:line="276" w:lineRule="auto"/>
        <w:ind w:left="567" w:right="567"/>
        <w:contextualSpacing/>
        <w:jc w:val="center"/>
        <w:rPr>
          <w:rFonts w:ascii="Palatino Linotype" w:eastAsia="MS Mincho" w:hAnsi="Palatino Linotype" w:cs="Times New Roman"/>
          <w:b/>
          <w:i/>
          <w:szCs w:val="24"/>
          <w:lang w:val="es-ES" w:eastAsia="es-ES"/>
        </w:rPr>
      </w:pPr>
    </w:p>
    <w:p w:rsidR="0024443D" w:rsidRPr="006E0AB3" w:rsidRDefault="0024443D" w:rsidP="0024443D">
      <w:pPr>
        <w:spacing w:after="0" w:line="276" w:lineRule="auto"/>
        <w:ind w:left="567" w:right="567"/>
        <w:contextualSpacing/>
        <w:jc w:val="both"/>
        <w:rPr>
          <w:rFonts w:ascii="Palatino Linotype" w:eastAsia="MS Mincho" w:hAnsi="Palatino Linotype" w:cs="Times New Roman"/>
          <w:i/>
          <w:szCs w:val="24"/>
          <w:lang w:val="es-ES" w:eastAsia="es-ES"/>
        </w:rPr>
      </w:pPr>
      <w:r w:rsidRPr="006E0AB3">
        <w:rPr>
          <w:rFonts w:ascii="Palatino Linotype" w:eastAsia="MS Mincho" w:hAnsi="Palatino Linotype" w:cs="Times New Roman"/>
          <w:i/>
          <w:szCs w:val="24"/>
          <w:lang w:val="es-ES" w:eastAsia="es-ES"/>
        </w:rPr>
        <w:t>“</w:t>
      </w:r>
      <w:r w:rsidRPr="006E0AB3">
        <w:rPr>
          <w:rFonts w:ascii="Palatino Linotype" w:eastAsia="MS Mincho" w:hAnsi="Palatino Linotype" w:cs="Times New Roman"/>
          <w:b/>
          <w:i/>
          <w:szCs w:val="24"/>
          <w:lang w:val="es-ES" w:eastAsia="es-ES"/>
        </w:rPr>
        <w:t>Artículo 195.</w:t>
      </w:r>
      <w:r w:rsidRPr="006E0AB3">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24443D" w:rsidRPr="006E0AB3" w:rsidRDefault="0024443D" w:rsidP="0024443D">
      <w:pPr>
        <w:spacing w:after="0" w:line="276" w:lineRule="auto"/>
        <w:ind w:left="567" w:right="567"/>
        <w:contextualSpacing/>
        <w:jc w:val="right"/>
        <w:rPr>
          <w:rFonts w:ascii="Palatino Linotype" w:eastAsia="Times New Roman" w:hAnsi="Palatino Linotype" w:cs="Arial"/>
          <w:i/>
          <w:szCs w:val="24"/>
          <w:lang w:val="es-ES" w:eastAsia="es-ES"/>
        </w:rPr>
      </w:pPr>
      <w:r w:rsidRPr="006E0AB3">
        <w:rPr>
          <w:rFonts w:ascii="Palatino Linotype" w:eastAsia="MS Mincho" w:hAnsi="Palatino Linotype" w:cs="Times New Roman"/>
          <w:i/>
          <w:szCs w:val="24"/>
          <w:lang w:val="es-ES" w:eastAsia="es-ES"/>
        </w:rPr>
        <w:t>(Énfasis añadido)</w:t>
      </w:r>
    </w:p>
    <w:p w:rsidR="0024443D" w:rsidRDefault="0024443D" w:rsidP="0024443D">
      <w:pPr>
        <w:spacing w:after="0" w:line="360" w:lineRule="auto"/>
        <w:ind w:right="49"/>
        <w:jc w:val="both"/>
        <w:rPr>
          <w:rFonts w:ascii="Palatino Linotype" w:eastAsia="Times New Roman" w:hAnsi="Palatino Linotype" w:cs="Arial"/>
          <w:sz w:val="24"/>
          <w:szCs w:val="24"/>
          <w:lang w:val="es-ES_tradnl" w:eastAsia="es-ES"/>
        </w:rPr>
      </w:pPr>
    </w:p>
    <w:p w:rsidR="0024443D" w:rsidRPr="004C083E" w:rsidRDefault="0024443D" w:rsidP="002444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 los términos de ley que le fueron otorgados,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24443D" w:rsidRDefault="0024443D" w:rsidP="0024443D">
      <w:pPr>
        <w:spacing w:after="0" w:line="360" w:lineRule="auto"/>
        <w:jc w:val="both"/>
        <w:rPr>
          <w:rFonts w:ascii="Palatino Linotype" w:hAnsi="Palatino Linotype" w:cs="Arial"/>
          <w:sz w:val="24"/>
          <w:szCs w:val="24"/>
        </w:rPr>
      </w:pP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4443D" w:rsidRDefault="0024443D" w:rsidP="0024443D">
      <w:pPr>
        <w:spacing w:after="0" w:line="360" w:lineRule="auto"/>
        <w:jc w:val="both"/>
        <w:rPr>
          <w:rFonts w:ascii="Palatino Linotype" w:hAnsi="Palatino Linotype" w:cs="Arial"/>
          <w:sz w:val="24"/>
          <w:szCs w:val="24"/>
        </w:rPr>
      </w:pPr>
    </w:p>
    <w:p w:rsidR="0024443D" w:rsidRPr="004C083E" w:rsidRDefault="0024443D" w:rsidP="002444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4443D" w:rsidRDefault="0024443D" w:rsidP="0024443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AC295F">
        <w:rPr>
          <w:rFonts w:ascii="Palatino Linotype" w:hAnsi="Palatino Linotype" w:cs="Arial"/>
          <w:sz w:val="24"/>
          <w:szCs w:val="24"/>
        </w:rPr>
        <w:lastRenderedPageBreak/>
        <w:t>se decretó el c</w:t>
      </w:r>
      <w:r>
        <w:rPr>
          <w:rFonts w:ascii="Palatino Linotype" w:hAnsi="Palatino Linotype" w:cs="Arial"/>
          <w:sz w:val="24"/>
          <w:szCs w:val="24"/>
        </w:rPr>
        <w:t>ierre de instrucción en fecha treinta y uno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4443D" w:rsidRDefault="0024443D" w:rsidP="0024443D">
      <w:pPr>
        <w:spacing w:after="0" w:line="360" w:lineRule="auto"/>
        <w:jc w:val="both"/>
        <w:rPr>
          <w:rFonts w:ascii="Palatino Linotype" w:hAnsi="Palatino Linotype" w:cs="Arial"/>
          <w:sz w:val="24"/>
          <w:szCs w:val="24"/>
        </w:rPr>
      </w:pPr>
    </w:p>
    <w:p w:rsidR="0024443D" w:rsidRPr="00997669" w:rsidRDefault="0024443D" w:rsidP="0024443D">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24443D" w:rsidRDefault="0024443D" w:rsidP="0024443D">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En fecha</w:t>
      </w:r>
      <w:r>
        <w:rPr>
          <w:rFonts w:ascii="Palatino Linotype" w:eastAsiaTheme="minorEastAsia" w:hAnsi="Palatino Linotype"/>
          <w:sz w:val="24"/>
          <w:szCs w:val="24"/>
          <w:lang w:val="es-ES_tradnl" w:eastAsia="es-ES"/>
        </w:rPr>
        <w:t>s</w:t>
      </w:r>
      <w:r w:rsidRPr="00997669">
        <w:rPr>
          <w:rFonts w:ascii="Palatino Linotype" w:eastAsiaTheme="minorEastAsia" w:hAnsi="Palatino Linotype"/>
          <w:sz w:val="24"/>
          <w:szCs w:val="24"/>
          <w:lang w:val="es-ES_tradnl" w:eastAsia="es-ES"/>
        </w:rPr>
        <w:t xml:space="preserve"> </w:t>
      </w:r>
      <w:r w:rsidRPr="00C7669D">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y veintiséis </w:t>
      </w:r>
      <w:r w:rsidRPr="00C7669D">
        <w:rPr>
          <w:rFonts w:ascii="Palatino Linotype" w:eastAsiaTheme="minorEastAsia" w:hAnsi="Palatino Linotype"/>
          <w:sz w:val="24"/>
          <w:szCs w:val="24"/>
          <w:lang w:val="es-ES_tradnl" w:eastAsia="es-ES"/>
        </w:rPr>
        <w:t>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24443D" w:rsidRPr="00997669" w:rsidRDefault="0024443D" w:rsidP="0024443D">
      <w:pPr>
        <w:spacing w:after="0" w:line="360" w:lineRule="auto"/>
        <w:jc w:val="both"/>
        <w:rPr>
          <w:rFonts w:ascii="Palatino Linotype" w:eastAsiaTheme="minorEastAsia" w:hAnsi="Palatino Linotype"/>
          <w:sz w:val="24"/>
          <w:szCs w:val="24"/>
          <w:lang w:val="es-ES_tradnl" w:eastAsia="es-ES"/>
        </w:rPr>
      </w:pPr>
    </w:p>
    <w:p w:rsidR="0024443D" w:rsidRPr="008B6600" w:rsidRDefault="0024443D" w:rsidP="0024443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4443D" w:rsidRPr="00AD2A55" w:rsidRDefault="0024443D" w:rsidP="0024443D">
      <w:pPr>
        <w:spacing w:after="0" w:line="360" w:lineRule="auto"/>
        <w:jc w:val="center"/>
        <w:rPr>
          <w:rFonts w:ascii="Palatino Linotype" w:hAnsi="Palatino Linotype" w:cs="Arial"/>
          <w:b/>
          <w:sz w:val="24"/>
          <w:szCs w:val="24"/>
        </w:rPr>
      </w:pPr>
    </w:p>
    <w:p w:rsidR="0024443D" w:rsidRPr="00600F1D" w:rsidRDefault="0024443D" w:rsidP="002444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4443D" w:rsidRPr="001D77CB" w:rsidRDefault="0024443D" w:rsidP="0024443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24443D" w:rsidRDefault="0024443D" w:rsidP="0024443D">
      <w:pPr>
        <w:spacing w:after="0" w:line="360" w:lineRule="auto"/>
        <w:jc w:val="both"/>
        <w:rPr>
          <w:rFonts w:ascii="Palatino Linotype" w:hAnsi="Palatino Linotype" w:cs="Arial"/>
          <w:sz w:val="24"/>
          <w:szCs w:val="24"/>
        </w:rPr>
      </w:pPr>
    </w:p>
    <w:p w:rsidR="0024443D" w:rsidRPr="00A06D7E" w:rsidRDefault="0024443D" w:rsidP="002444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4443D" w:rsidRPr="00A06D7E"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4443D" w:rsidRPr="00A06D7E" w:rsidRDefault="0024443D" w:rsidP="0024443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4443D" w:rsidRPr="00A06D7E" w:rsidRDefault="0024443D" w:rsidP="0024443D">
      <w:pPr>
        <w:spacing w:after="0" w:line="360" w:lineRule="auto"/>
        <w:rPr>
          <w:rFonts w:ascii="Palatino Linotype" w:hAnsi="Palatino Linotype"/>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24443D" w:rsidRPr="00A06D7E" w:rsidRDefault="0024443D" w:rsidP="0024443D">
      <w:pPr>
        <w:spacing w:after="0" w:line="360" w:lineRule="auto"/>
        <w:rPr>
          <w:rFonts w:ascii="Palatino Linotype" w:hAnsi="Palatino Linotype"/>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24443D" w:rsidRPr="00A06D7E" w:rsidRDefault="0024443D" w:rsidP="0024443D">
      <w:pPr>
        <w:spacing w:after="0" w:line="240" w:lineRule="auto"/>
        <w:rPr>
          <w:rFonts w:ascii="Palatino Linotype" w:hAnsi="Palatino Linotype"/>
        </w:rPr>
      </w:pP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4443D" w:rsidRPr="00A06D7E" w:rsidRDefault="0024443D" w:rsidP="002444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4443D" w:rsidRPr="00A06D7E" w:rsidRDefault="0024443D" w:rsidP="0024443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A06D7E" w:rsidRDefault="0024443D" w:rsidP="002444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4443D" w:rsidRDefault="0024443D" w:rsidP="0024443D">
      <w:pPr>
        <w:pStyle w:val="Prrafodelista"/>
        <w:autoSpaceDE w:val="0"/>
        <w:autoSpaceDN w:val="0"/>
        <w:adjustRightInd w:val="0"/>
        <w:spacing w:line="360" w:lineRule="auto"/>
        <w:ind w:left="0"/>
        <w:jc w:val="both"/>
        <w:rPr>
          <w:rFonts w:ascii="Palatino Linotype" w:hAnsi="Palatino Linotype" w:cs="Arial"/>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En ningún caso será necesario que el particular ratifique el recurso de revisión interpuesto. </w:t>
      </w:r>
    </w:p>
    <w:p w:rsidR="0024443D" w:rsidRPr="004743BC" w:rsidRDefault="0024443D" w:rsidP="0024443D">
      <w:pPr>
        <w:autoSpaceDE w:val="0"/>
        <w:autoSpaceDN w:val="0"/>
        <w:adjustRightInd w:val="0"/>
        <w:spacing w:after="0" w:line="276"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4443D" w:rsidRPr="005A46CE" w:rsidRDefault="0024443D" w:rsidP="0024443D">
      <w:pPr>
        <w:autoSpaceDE w:val="0"/>
        <w:autoSpaceDN w:val="0"/>
        <w:adjustRightInd w:val="0"/>
        <w:spacing w:after="0" w:line="276" w:lineRule="auto"/>
        <w:ind w:left="567" w:right="567"/>
        <w:jc w:val="both"/>
        <w:rPr>
          <w:rFonts w:ascii="Palatino Linotype" w:hAnsi="Palatino Linotype" w:cs="Arial"/>
          <w:i/>
          <w:szCs w:val="24"/>
        </w:rPr>
      </w:pPr>
    </w:p>
    <w:p w:rsidR="0024443D" w:rsidRPr="004743BC" w:rsidRDefault="0024443D" w:rsidP="0024443D">
      <w:pPr>
        <w:autoSpaceDE w:val="0"/>
        <w:autoSpaceDN w:val="0"/>
        <w:adjustRightInd w:val="0"/>
        <w:spacing w:after="0" w:line="276"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D97FA4">
        <w:rPr>
          <w:rFonts w:ascii="Palatino Linotype" w:hAnsi="Palatino Linotype" w:cs="Arial"/>
          <w:sz w:val="24"/>
          <w:szCs w:val="24"/>
        </w:rPr>
        <w:lastRenderedPageBreak/>
        <w:t>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6E77FD" w:rsidRDefault="0024443D" w:rsidP="0024443D">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24443D" w:rsidRPr="006E77FD" w:rsidRDefault="0024443D" w:rsidP="0024443D">
      <w:pPr>
        <w:autoSpaceDE w:val="0"/>
        <w:autoSpaceDN w:val="0"/>
        <w:adjustRightInd w:val="0"/>
        <w:spacing w:after="0" w:line="240" w:lineRule="auto"/>
        <w:jc w:val="both"/>
        <w:rPr>
          <w:rFonts w:ascii="Palatino Linotype" w:hAnsi="Palatino Linotype" w:cs="Arial"/>
        </w:rPr>
      </w:pPr>
    </w:p>
    <w:p w:rsidR="0024443D" w:rsidRPr="006E77FD" w:rsidRDefault="0024443D" w:rsidP="0024443D">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D97FA4">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24443D" w:rsidRDefault="0024443D" w:rsidP="0024443D">
      <w:pPr>
        <w:autoSpaceDE w:val="0"/>
        <w:autoSpaceDN w:val="0"/>
        <w:adjustRightInd w:val="0"/>
        <w:spacing w:after="0" w:line="240" w:lineRule="auto"/>
        <w:ind w:left="567" w:right="567"/>
        <w:jc w:val="both"/>
        <w:rPr>
          <w:rFonts w:ascii="Palatino Linotype" w:hAnsi="Palatino Linotype" w:cs="Arial"/>
          <w:i/>
          <w:szCs w:val="24"/>
        </w:rPr>
      </w:pPr>
    </w:p>
    <w:p w:rsidR="0024443D" w:rsidRDefault="0024443D" w:rsidP="0024443D">
      <w:pPr>
        <w:autoSpaceDE w:val="0"/>
        <w:autoSpaceDN w:val="0"/>
        <w:adjustRightInd w:val="0"/>
        <w:spacing w:after="0" w:line="240" w:lineRule="auto"/>
        <w:ind w:left="567" w:right="567"/>
        <w:jc w:val="both"/>
        <w:rPr>
          <w:rFonts w:ascii="Palatino Linotype" w:hAnsi="Palatino Linotype" w:cs="Arial"/>
          <w:i/>
          <w:szCs w:val="24"/>
        </w:rPr>
      </w:pPr>
    </w:p>
    <w:p w:rsidR="0024443D" w:rsidRPr="00D97FA4" w:rsidRDefault="0024443D" w:rsidP="0024443D">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24443D" w:rsidRDefault="0024443D" w:rsidP="0024443D">
      <w:pPr>
        <w:autoSpaceDE w:val="0"/>
        <w:autoSpaceDN w:val="0"/>
        <w:adjustRightInd w:val="0"/>
        <w:spacing w:after="0" w:line="240" w:lineRule="auto"/>
        <w:ind w:left="567" w:right="567"/>
        <w:jc w:val="both"/>
        <w:rPr>
          <w:rFonts w:ascii="Palatino Linotype" w:hAnsi="Palatino Linotype" w:cs="Arial"/>
          <w:i/>
          <w:szCs w:val="24"/>
        </w:rPr>
      </w:pP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4443D" w:rsidRPr="00D97FA4" w:rsidRDefault="0024443D" w:rsidP="0024443D">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Default="0024443D" w:rsidP="0024443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w:t>
      </w:r>
      <w:r w:rsidRPr="00D97FA4">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4443D" w:rsidRPr="00D97FA4" w:rsidRDefault="0024443D" w:rsidP="0024443D">
      <w:pPr>
        <w:autoSpaceDE w:val="0"/>
        <w:autoSpaceDN w:val="0"/>
        <w:adjustRightInd w:val="0"/>
        <w:spacing w:after="0" w:line="240" w:lineRule="auto"/>
        <w:ind w:left="567" w:right="567"/>
        <w:jc w:val="both"/>
        <w:rPr>
          <w:rFonts w:ascii="Palatino Linotype" w:hAnsi="Palatino Linotype" w:cs="Arial"/>
          <w:i/>
          <w:szCs w:val="24"/>
        </w:rPr>
      </w:pP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24443D" w:rsidRPr="004743BC" w:rsidRDefault="0024443D" w:rsidP="0024443D">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D97FA4">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4443D" w:rsidRPr="00D97FA4"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Default="0024443D" w:rsidP="0024443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4443D" w:rsidRDefault="0024443D" w:rsidP="0024443D">
      <w:pPr>
        <w:pStyle w:val="Prrafodelista"/>
        <w:autoSpaceDE w:val="0"/>
        <w:autoSpaceDN w:val="0"/>
        <w:adjustRightInd w:val="0"/>
        <w:spacing w:line="360" w:lineRule="auto"/>
        <w:ind w:left="0"/>
        <w:jc w:val="both"/>
        <w:rPr>
          <w:rFonts w:ascii="Palatino Linotype" w:hAnsi="Palatino Linotype" w:cs="Arial"/>
        </w:rPr>
      </w:pPr>
    </w:p>
    <w:p w:rsidR="0024443D" w:rsidRDefault="0024443D" w:rsidP="0024443D">
      <w:pPr>
        <w:pStyle w:val="Prrafodelista"/>
        <w:autoSpaceDE w:val="0"/>
        <w:autoSpaceDN w:val="0"/>
        <w:adjustRightInd w:val="0"/>
        <w:spacing w:line="360" w:lineRule="auto"/>
        <w:ind w:left="0"/>
        <w:jc w:val="both"/>
        <w:rPr>
          <w:rFonts w:ascii="Palatino Linotype" w:hAnsi="Palatino Linotype" w:cs="Arial"/>
        </w:rPr>
      </w:pPr>
    </w:p>
    <w:p w:rsidR="0024443D" w:rsidRDefault="0024443D" w:rsidP="0024443D">
      <w:pPr>
        <w:pStyle w:val="Prrafodelista"/>
        <w:autoSpaceDE w:val="0"/>
        <w:autoSpaceDN w:val="0"/>
        <w:adjustRightInd w:val="0"/>
        <w:spacing w:line="360" w:lineRule="auto"/>
        <w:ind w:left="0"/>
        <w:jc w:val="both"/>
        <w:rPr>
          <w:rFonts w:ascii="Palatino Linotype" w:hAnsi="Palatino Linotype" w:cs="Arial"/>
        </w:rPr>
      </w:pPr>
    </w:p>
    <w:p w:rsidR="0024443D" w:rsidRPr="004965AA" w:rsidRDefault="0024443D" w:rsidP="0024443D">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24443D" w:rsidRDefault="0024443D" w:rsidP="0024443D">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24443D" w:rsidRDefault="0024443D" w:rsidP="0024443D">
      <w:pPr>
        <w:spacing w:after="0" w:line="360" w:lineRule="auto"/>
        <w:ind w:right="49"/>
        <w:jc w:val="both"/>
        <w:rPr>
          <w:rFonts w:ascii="Palatino Linotype" w:eastAsia="Times New Roman" w:hAnsi="Palatino Linotype" w:cs="Arial"/>
          <w:sz w:val="24"/>
          <w:szCs w:val="24"/>
          <w:lang w:val="es-ES" w:eastAsia="es-ES"/>
        </w:rPr>
      </w:pP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4965AA" w:rsidRDefault="0024443D" w:rsidP="002444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24443D" w:rsidRPr="004965AA"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4443D" w:rsidRPr="004965AA"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w:t>
      </w:r>
      <w:r>
        <w:rPr>
          <w:rFonts w:ascii="Palatino Linotype" w:eastAsia="Times New Roman" w:hAnsi="Palatino Linotype" w:cs="Times New Roman"/>
          <w:sz w:val="24"/>
          <w:szCs w:val="24"/>
          <w:lang w:val="es-ES" w:eastAsia="es-MX"/>
        </w:rPr>
        <w:t>los artículos 4, 12,</w:t>
      </w:r>
      <w:r w:rsidRPr="00FB59FD">
        <w:rPr>
          <w:rFonts w:ascii="Palatino Linotype" w:eastAsia="Times New Roman" w:hAnsi="Palatino Linotype" w:cs="Times New Roman"/>
          <w:sz w:val="24"/>
          <w:szCs w:val="24"/>
          <w:lang w:val="es-ES" w:eastAsia="es-MX"/>
        </w:rPr>
        <w:t xml:space="preserve"> 23 fracción IV</w:t>
      </w:r>
      <w:r>
        <w:rPr>
          <w:rFonts w:ascii="Palatino Linotype" w:eastAsia="Times New Roman" w:hAnsi="Palatino Linotype" w:cs="Times New Roman"/>
          <w:sz w:val="24"/>
          <w:szCs w:val="24"/>
          <w:lang w:val="es-ES" w:eastAsia="es-MX"/>
        </w:rPr>
        <w:t>, 24 último párrafo y 160</w:t>
      </w:r>
      <w:r w:rsidRPr="00FB59FD">
        <w:rPr>
          <w:rFonts w:ascii="Palatino Linotype" w:eastAsia="Times New Roman" w:hAnsi="Palatino Linotype" w:cs="Times New Roman"/>
          <w:sz w:val="24"/>
          <w:szCs w:val="24"/>
          <w:lang w:val="es-ES" w:eastAsia="es-MX"/>
        </w:rPr>
        <w:t xml:space="preserve"> de la Ley de Transparencia del Estado de México, que a la letra dice:</w:t>
      </w:r>
    </w:p>
    <w:p w:rsidR="0024443D" w:rsidRPr="00FB59FD" w:rsidRDefault="0024443D" w:rsidP="0024443D">
      <w:pPr>
        <w:spacing w:after="0" w:line="360" w:lineRule="auto"/>
        <w:jc w:val="both"/>
        <w:rPr>
          <w:rFonts w:ascii="Palatino Linotype" w:hAnsi="Palatino Linotype"/>
          <w:sz w:val="24"/>
          <w:szCs w:val="24"/>
          <w:lang w:eastAsia="es-MX"/>
        </w:rPr>
      </w:pPr>
    </w:p>
    <w:p w:rsidR="0024443D" w:rsidRPr="00EC15DC" w:rsidRDefault="0024443D" w:rsidP="0024443D">
      <w:pPr>
        <w:spacing w:after="0" w:line="240" w:lineRule="auto"/>
        <w:ind w:left="709" w:right="567"/>
        <w:jc w:val="both"/>
        <w:rPr>
          <w:rFonts w:ascii="Palatino Linotype" w:hAnsi="Palatino Linotype" w:cs="Arial"/>
          <w:bCs/>
          <w:i/>
        </w:rPr>
      </w:pPr>
      <w:r>
        <w:rPr>
          <w:rFonts w:ascii="Palatino Linotype" w:hAnsi="Palatino Linotype" w:cs="Arial"/>
          <w:bCs/>
          <w:i/>
        </w:rPr>
        <w:t>“</w:t>
      </w:r>
      <w:r w:rsidRPr="00EC15DC">
        <w:rPr>
          <w:rFonts w:ascii="Palatino Linotype" w:hAnsi="Palatino Linotype" w:cs="Arial"/>
          <w:b/>
          <w:bCs/>
          <w:i/>
        </w:rPr>
        <w:t>Artículo 4.</w:t>
      </w:r>
      <w:r w:rsidRPr="00EC15DC">
        <w:rPr>
          <w:rFonts w:ascii="Palatino Linotype" w:hAnsi="Palatino Linotype" w:cs="Arial"/>
          <w:bCs/>
          <w:i/>
        </w:rPr>
        <w:t xml:space="preserve"> </w:t>
      </w:r>
      <w:r w:rsidRPr="00EC15DC">
        <w:rPr>
          <w:rFonts w:ascii="Palatino Linotype" w:hAnsi="Palatino Linotype" w:cs="Arial"/>
          <w:bCs/>
          <w:i/>
          <w:u w:val="single"/>
        </w:rPr>
        <w:t>El derecho humano de acceso a la información pública</w:t>
      </w:r>
      <w:r w:rsidRPr="00EC15DC">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EC15DC">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
          <w:bCs/>
          <w:i/>
        </w:rPr>
        <w:t>Artículo 12.</w:t>
      </w:r>
      <w:r w:rsidRPr="00EC15DC">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EC15DC">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24443D"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FB59FD" w:rsidRDefault="0024443D" w:rsidP="0024443D">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w:t>
      </w:r>
      <w:r w:rsidRPr="00EC15DC">
        <w:rPr>
          <w:rFonts w:ascii="Palatino Linotype" w:hAnsi="Palatino Linotype" w:cs="Arial"/>
          <w:b/>
          <w:bCs/>
          <w:i/>
        </w:rPr>
        <w:t>Son sujetos obligados</w:t>
      </w:r>
      <w:r w:rsidRPr="00FB59FD">
        <w:rPr>
          <w:rFonts w:ascii="Palatino Linotype" w:hAnsi="Palatino Linotype" w:cs="Arial"/>
          <w:bCs/>
          <w:i/>
        </w:rPr>
        <w:t xml:space="preserve"> a transparentar y permitir el acceso a su información y proteger los datos personales que obren en su poder: </w:t>
      </w:r>
    </w:p>
    <w:p w:rsidR="0024443D" w:rsidRPr="00FB59FD" w:rsidRDefault="0024443D" w:rsidP="0024443D">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24443D" w:rsidRDefault="0024443D" w:rsidP="0024443D">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24443D"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
          <w:bCs/>
          <w:i/>
        </w:rPr>
      </w:pPr>
      <w:r w:rsidRPr="00EC15DC">
        <w:rPr>
          <w:rFonts w:ascii="Palatino Linotype" w:hAnsi="Palatino Linotype" w:cs="Arial"/>
          <w:b/>
          <w:bCs/>
          <w:i/>
        </w:rPr>
        <w:t xml:space="preserve">Artículo 24. </w:t>
      </w: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w:t>
      </w: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Los sujetos obligados solo proporcionarán la información pública que generen, administren o posean en el ejercicio de sus atribuciones.”</w:t>
      </w: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
          <w:bCs/>
          <w:i/>
        </w:rPr>
        <w:t>Artículo 160.</w:t>
      </w:r>
      <w:r w:rsidRPr="00EC15DC">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4443D" w:rsidRPr="00EC15DC" w:rsidRDefault="0024443D" w:rsidP="0024443D">
      <w:pPr>
        <w:spacing w:after="0" w:line="240" w:lineRule="auto"/>
        <w:ind w:left="709" w:right="567"/>
        <w:jc w:val="both"/>
        <w:rPr>
          <w:rFonts w:ascii="Palatino Linotype" w:hAnsi="Palatino Linotype" w:cs="Arial"/>
          <w:bCs/>
          <w:i/>
        </w:rPr>
      </w:pPr>
    </w:p>
    <w:p w:rsidR="0024443D" w:rsidRPr="00EC15DC" w:rsidRDefault="0024443D" w:rsidP="0024443D">
      <w:pPr>
        <w:spacing w:after="0" w:line="240" w:lineRule="auto"/>
        <w:ind w:left="709" w:right="567"/>
        <w:jc w:val="both"/>
        <w:rPr>
          <w:rFonts w:ascii="Palatino Linotype" w:hAnsi="Palatino Linotype" w:cs="Arial"/>
          <w:bCs/>
          <w:i/>
        </w:rPr>
      </w:pPr>
      <w:r w:rsidRPr="00EC15DC">
        <w:rPr>
          <w:rFonts w:ascii="Palatino Linotype" w:hAnsi="Palatino Linotype" w:cs="Arial"/>
          <w:bCs/>
          <w:i/>
        </w:rPr>
        <w:t>En caso que la información solicitada consista en bases de datos se deberá privilegiar la entrega de la misma en formatos abiertos.</w:t>
      </w:r>
    </w:p>
    <w:p w:rsidR="0024443D" w:rsidRPr="00CB5C60" w:rsidRDefault="0024443D" w:rsidP="0024443D">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24443D" w:rsidRDefault="0024443D" w:rsidP="0024443D">
      <w:pPr>
        <w:spacing w:before="240" w:after="360" w:line="360" w:lineRule="auto"/>
        <w:contextualSpacing/>
        <w:jc w:val="both"/>
        <w:rPr>
          <w:rFonts w:ascii="Palatino Linotype" w:eastAsia="MS Mincho" w:hAnsi="Palatino Linotype" w:cs="Times New Roman"/>
          <w:sz w:val="24"/>
          <w:szCs w:val="24"/>
          <w:lang w:val="es-ES_tradnl" w:eastAsia="es-ES"/>
        </w:rPr>
      </w:pPr>
    </w:p>
    <w:p w:rsidR="0024443D" w:rsidRDefault="0024443D" w:rsidP="0024443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FB59FD">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4443D" w:rsidRPr="00FB59FD" w:rsidRDefault="0024443D" w:rsidP="0024443D">
      <w:pPr>
        <w:spacing w:before="240" w:after="360" w:line="360" w:lineRule="auto"/>
        <w:contextualSpacing/>
        <w:jc w:val="both"/>
        <w:rPr>
          <w:rFonts w:ascii="Palatino Linotype" w:eastAsia="MS Mincho" w:hAnsi="Palatino Linotype" w:cs="Arial"/>
          <w:i/>
          <w:sz w:val="24"/>
          <w:szCs w:val="24"/>
          <w:lang w:eastAsia="es-ES"/>
        </w:rPr>
      </w:pPr>
    </w:p>
    <w:p w:rsidR="0024443D" w:rsidRDefault="0024443D" w:rsidP="0024443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24443D" w:rsidRPr="00FB59FD" w:rsidRDefault="0024443D" w:rsidP="0024443D">
      <w:pPr>
        <w:spacing w:before="240" w:after="360" w:line="360" w:lineRule="auto"/>
        <w:contextualSpacing/>
        <w:jc w:val="both"/>
        <w:rPr>
          <w:rFonts w:ascii="Palatino Linotype" w:eastAsia="MS Mincho" w:hAnsi="Palatino Linotype" w:cs="Arial"/>
          <w:i/>
          <w:sz w:val="24"/>
          <w:szCs w:val="24"/>
          <w:lang w:eastAsia="es-ES"/>
        </w:rPr>
      </w:pPr>
    </w:p>
    <w:p w:rsidR="0024443D" w:rsidRDefault="0024443D" w:rsidP="0024443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4443D" w:rsidRDefault="0024443D" w:rsidP="0024443D">
      <w:pPr>
        <w:spacing w:after="0" w:line="360" w:lineRule="auto"/>
        <w:contextualSpacing/>
        <w:jc w:val="both"/>
        <w:rPr>
          <w:rFonts w:ascii="Palatino Linotype" w:eastAsia="MS Mincho" w:hAnsi="Palatino Linotype" w:cs="Times New Roman"/>
          <w:sz w:val="24"/>
          <w:szCs w:val="24"/>
          <w:lang w:val="es-ES_tradnl" w:eastAsia="es-ES"/>
        </w:rPr>
      </w:pPr>
    </w:p>
    <w:p w:rsidR="0024443D" w:rsidRPr="00FB59FD" w:rsidRDefault="0024443D" w:rsidP="0024443D">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4443D" w:rsidRPr="00FB59FD" w:rsidRDefault="0024443D" w:rsidP="0024443D">
      <w:pPr>
        <w:spacing w:after="0" w:line="360" w:lineRule="auto"/>
        <w:contextualSpacing/>
        <w:jc w:val="both"/>
        <w:rPr>
          <w:rFonts w:ascii="Palatino Linotype" w:eastAsia="Times New Roman" w:hAnsi="Palatino Linotype" w:cs="Times New Roman"/>
          <w:sz w:val="24"/>
          <w:szCs w:val="24"/>
          <w:lang w:val="es-ES" w:eastAsia="es-MX"/>
        </w:rPr>
      </w:pPr>
    </w:p>
    <w:p w:rsidR="0024443D" w:rsidRDefault="0024443D" w:rsidP="0024443D">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FB59FD">
        <w:rPr>
          <w:rFonts w:ascii="Palatino Linotype" w:eastAsia="Times New Roman" w:hAnsi="Palatino Linotype" w:cs="Arial"/>
          <w:sz w:val="24"/>
          <w:szCs w:val="24"/>
          <w:lang w:val="es-ES" w:eastAsia="es-ES"/>
        </w:rPr>
        <w:lastRenderedPageBreak/>
        <w:t>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4443D" w:rsidRPr="00FB59FD" w:rsidRDefault="0024443D" w:rsidP="0024443D">
      <w:pPr>
        <w:spacing w:after="0" w:line="360" w:lineRule="auto"/>
        <w:contextualSpacing/>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EC15DC"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15DC">
        <w:rPr>
          <w:rFonts w:ascii="Palatino Linotype" w:eastAsia="Times New Roman" w:hAnsi="Palatino Linotype" w:cs="Arial"/>
          <w:sz w:val="24"/>
          <w:szCs w:val="24"/>
          <w:lang w:val="es-ES" w:eastAsia="es-ES"/>
        </w:rPr>
        <w:t xml:space="preserve">Así que la obligación de los </w:t>
      </w:r>
      <w:r w:rsidRPr="00EC15DC">
        <w:rPr>
          <w:rFonts w:ascii="Palatino Linotype" w:eastAsia="Times New Roman" w:hAnsi="Palatino Linotype" w:cs="Arial"/>
          <w:b/>
          <w:sz w:val="24"/>
          <w:szCs w:val="24"/>
          <w:lang w:val="es-ES" w:eastAsia="es-ES"/>
        </w:rPr>
        <w:t>sujetos obligados</w:t>
      </w:r>
      <w:r w:rsidRPr="00EC15DC">
        <w:rPr>
          <w:rFonts w:ascii="Palatino Linotype" w:eastAsia="Times New Roman" w:hAnsi="Palatino Linotype" w:cs="Arial"/>
          <w:sz w:val="24"/>
          <w:szCs w:val="24"/>
          <w:lang w:val="es-ES"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24443D" w:rsidRPr="00EC15DC"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EC15DC"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EC15DC">
        <w:rPr>
          <w:rFonts w:ascii="Palatino Linotype" w:eastAsia="Times New Roman" w:hAnsi="Palatino Linotype" w:cs="Arial"/>
          <w:b/>
          <w:i/>
          <w:szCs w:val="24"/>
          <w:lang w:val="es-ES" w:eastAsia="es-ES"/>
        </w:rPr>
        <w:t>Artículo 166.</w:t>
      </w:r>
      <w:r w:rsidRPr="00EC15DC">
        <w:rPr>
          <w:rFonts w:ascii="Palatino Linotype" w:eastAsia="Times New Roman" w:hAnsi="Palatino Linotype" w:cs="Arial"/>
          <w:i/>
          <w:szCs w:val="24"/>
          <w:lang w:val="es-ES"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con la finalidad de </w:t>
      </w:r>
      <w:r w:rsidRPr="00EC15DC">
        <w:rPr>
          <w:rFonts w:ascii="Palatino Linotype" w:eastAsia="Times New Roman" w:hAnsi="Palatino Linotype" w:cs="Arial"/>
          <w:sz w:val="24"/>
          <w:szCs w:val="24"/>
          <w:lang w:val="es-ES" w:eastAsia="es-ES"/>
        </w:rPr>
        <w:t>llevar a buen término el presente recurso, es necesario recordar</w:t>
      </w:r>
      <w:r>
        <w:rPr>
          <w:rFonts w:ascii="Palatino Linotype" w:eastAsia="Times New Roman" w:hAnsi="Palatino Linotype" w:cs="Arial"/>
          <w:sz w:val="24"/>
          <w:szCs w:val="24"/>
          <w:lang w:val="es-ES" w:eastAsia="es-ES"/>
        </w:rPr>
        <w:t xml:space="preserve"> objetivamente</w:t>
      </w:r>
      <w:r w:rsidRPr="00EC15DC">
        <w:rPr>
          <w:rFonts w:ascii="Palatino Linotype" w:eastAsia="Times New Roman" w:hAnsi="Palatino Linotype" w:cs="Arial"/>
          <w:sz w:val="24"/>
          <w:szCs w:val="24"/>
          <w:lang w:val="es-ES" w:eastAsia="es-ES"/>
        </w:rPr>
        <w:t xml:space="preserve"> la</w:t>
      </w:r>
      <w:r>
        <w:rPr>
          <w:rFonts w:ascii="Palatino Linotype" w:eastAsia="Times New Roman" w:hAnsi="Palatino Linotype" w:cs="Arial"/>
          <w:sz w:val="24"/>
          <w:szCs w:val="24"/>
          <w:lang w:val="es-ES" w:eastAsia="es-ES"/>
        </w:rPr>
        <w:t>s</w:t>
      </w:r>
      <w:r w:rsidRPr="00EC15DC">
        <w:rPr>
          <w:rFonts w:ascii="Palatino Linotype" w:eastAsia="Times New Roman" w:hAnsi="Palatino Linotype" w:cs="Arial"/>
          <w:sz w:val="24"/>
          <w:szCs w:val="24"/>
          <w:lang w:val="es-ES" w:eastAsia="es-ES"/>
        </w:rPr>
        <w:t xml:space="preserve"> petici</w:t>
      </w:r>
      <w:r>
        <w:rPr>
          <w:rFonts w:ascii="Palatino Linotype" w:eastAsia="Times New Roman" w:hAnsi="Palatino Linotype" w:cs="Arial"/>
          <w:sz w:val="24"/>
          <w:szCs w:val="24"/>
          <w:lang w:val="es-ES" w:eastAsia="es-ES"/>
        </w:rPr>
        <w:t>ones d</w:t>
      </w:r>
      <w:r w:rsidRPr="00EC15DC">
        <w:rPr>
          <w:rFonts w:ascii="Palatino Linotype" w:eastAsia="Times New Roman" w:hAnsi="Palatino Linotype" w:cs="Arial"/>
          <w:sz w:val="24"/>
          <w:szCs w:val="24"/>
          <w:lang w:val="es-ES" w:eastAsia="es-ES"/>
        </w:rPr>
        <w:t xml:space="preserve">el </w:t>
      </w:r>
      <w:r w:rsidRPr="00EC15DC">
        <w:rPr>
          <w:rFonts w:ascii="Palatino Linotype" w:eastAsia="Times New Roman" w:hAnsi="Palatino Linotype" w:cs="Arial"/>
          <w:b/>
          <w:sz w:val="24"/>
          <w:szCs w:val="24"/>
          <w:lang w:val="es-ES" w:eastAsia="es-ES"/>
        </w:rPr>
        <w:t>recurrente</w:t>
      </w:r>
      <w:r w:rsidRPr="00EC15DC">
        <w:rPr>
          <w:rFonts w:ascii="Palatino Linotype" w:eastAsia="Times New Roman" w:hAnsi="Palatino Linotype" w:cs="Arial"/>
          <w:sz w:val="24"/>
          <w:szCs w:val="24"/>
          <w:lang w:val="es-ES" w:eastAsia="es-ES"/>
        </w:rPr>
        <w:t>, que consiste</w:t>
      </w:r>
      <w:r>
        <w:rPr>
          <w:rFonts w:ascii="Palatino Linotype" w:eastAsia="Times New Roman" w:hAnsi="Palatino Linotype" w:cs="Arial"/>
          <w:sz w:val="24"/>
          <w:szCs w:val="24"/>
          <w:lang w:val="es-ES" w:eastAsia="es-ES"/>
        </w:rPr>
        <w:t>ntes</w:t>
      </w:r>
      <w:r w:rsidRPr="00EC15DC">
        <w:rPr>
          <w:rFonts w:ascii="Palatino Linotype" w:eastAsia="Times New Roman" w:hAnsi="Palatino Linotype" w:cs="Arial"/>
          <w:sz w:val="24"/>
          <w:szCs w:val="24"/>
          <w:lang w:val="es-ES" w:eastAsia="es-ES"/>
        </w:rPr>
        <w:t xml:space="preserve"> en lo siguiente:</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Bienes muebles bajo resguardo de los servidores públicos que ocupan los cargos de policías;</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lastRenderedPageBreak/>
        <w:t>Placas de circulación de los vehículos asignados a la Dirección de Seguridad Pública y Tránsito;</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Características de los vehículos asignados a la Dirección de Seguridad Pública y Tránsito;</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Características de los equipos de comunicación instalados en las patrullas;</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Bitácora de vehículos asignados a la Dirección de Seguridad Pública y Tránsito;</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Inventario de bienes muebles e inmuebles de la Dirección de Seguridad Pública y Tránsito; y</w:t>
      </w:r>
    </w:p>
    <w:p w:rsidR="0024443D" w:rsidRPr="006B2651" w:rsidRDefault="0024443D" w:rsidP="0024443D">
      <w:pPr>
        <w:pStyle w:val="Prrafodelista"/>
        <w:numPr>
          <w:ilvl w:val="0"/>
          <w:numId w:val="3"/>
        </w:numPr>
        <w:autoSpaceDE w:val="0"/>
        <w:autoSpaceDN w:val="0"/>
        <w:adjustRightInd w:val="0"/>
        <w:spacing w:line="360" w:lineRule="auto"/>
        <w:jc w:val="both"/>
        <w:rPr>
          <w:rFonts w:ascii="Palatino Linotype" w:hAnsi="Palatino Linotype" w:cs="Arial"/>
          <w:i/>
        </w:rPr>
      </w:pPr>
      <w:r w:rsidRPr="006B2651">
        <w:rPr>
          <w:rFonts w:ascii="Palatino Linotype" w:hAnsi="Palatino Linotype" w:cs="Arial"/>
          <w:i/>
        </w:rPr>
        <w:t>Características del equipamiento que tienen los policías del municipio.</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CE776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se puede advertir claramente,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información directamente de la Dirección de Seguridad Pública y Tránsito del sujeto obligado, en las cuales se adviertan las especificaciones técnicas de los vehículos utilizados para garantizar la seguridad de la ciudadanía.</w:t>
      </w: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B2651">
        <w:rPr>
          <w:rFonts w:ascii="Palatino Linotype" w:eastAsia="Times New Roman" w:hAnsi="Palatino Linotype" w:cs="Arial"/>
          <w:sz w:val="24"/>
          <w:szCs w:val="24"/>
          <w:lang w:val="es-ES" w:eastAsia="es-ES"/>
        </w:rPr>
        <w:t xml:space="preserve">Información que por su propia y especial naturaleza es susceptible de actualizar en las causales de reserva previstas en los artículos 137, 140, fracciones I y IV, 141 de la Ley de Transparencia y Acceso a la Información Pública del Estado de México y Municipios, normatividad invocada cuyo contenido literal es el siguiente: </w:t>
      </w:r>
    </w:p>
    <w:p w:rsidR="0024443D" w:rsidRPr="006B2651"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i/>
          <w:szCs w:val="24"/>
          <w:lang w:val="es-ES" w:eastAsia="es-ES"/>
        </w:rPr>
        <w:t>“</w:t>
      </w:r>
      <w:r w:rsidRPr="006B2651">
        <w:rPr>
          <w:rFonts w:ascii="Palatino Linotype" w:eastAsia="Times New Roman" w:hAnsi="Palatino Linotype" w:cs="Arial"/>
          <w:b/>
          <w:i/>
          <w:szCs w:val="24"/>
          <w:lang w:val="es-ES" w:eastAsia="es-ES"/>
        </w:rPr>
        <w:t>Artículo 137.</w:t>
      </w:r>
      <w:r w:rsidRPr="006B2651">
        <w:rPr>
          <w:rFonts w:ascii="Palatino Linotype" w:eastAsia="Times New Roman" w:hAnsi="Palatino Linotype" w:cs="Arial"/>
          <w:i/>
          <w:szCs w:val="24"/>
          <w:lang w:val="es-ES" w:eastAsia="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b/>
          <w:i/>
          <w:szCs w:val="24"/>
          <w:lang w:val="es-ES" w:eastAsia="es-ES"/>
        </w:rPr>
        <w:lastRenderedPageBreak/>
        <w:t>Artículo 140.</w:t>
      </w:r>
      <w:r w:rsidRPr="006B2651">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b/>
          <w:i/>
          <w:szCs w:val="24"/>
          <w:lang w:val="es-ES" w:eastAsia="es-ES"/>
        </w:rPr>
        <w:t>I</w:t>
      </w:r>
      <w:r w:rsidRPr="006B2651">
        <w:rPr>
          <w:rFonts w:ascii="Palatino Linotype" w:eastAsia="Times New Roman" w:hAnsi="Palatino Linotype" w:cs="Arial"/>
          <w:i/>
          <w:szCs w:val="24"/>
          <w:lang w:val="es-ES" w:eastAsia="es-ES"/>
        </w:rPr>
        <w:t>. Comprometa la seguridad pública y cuente con un propósito genuino y un efecto demostrable;</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i/>
          <w:szCs w:val="24"/>
          <w:lang w:val="es-ES" w:eastAsia="es-ES"/>
        </w:rPr>
        <w:t>(…)</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b/>
          <w:i/>
          <w:szCs w:val="24"/>
          <w:lang w:val="es-ES" w:eastAsia="es-ES"/>
        </w:rPr>
        <w:t>VI</w:t>
      </w:r>
      <w:r w:rsidRPr="006B2651">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i/>
          <w:szCs w:val="24"/>
          <w:lang w:val="es-ES" w:eastAsia="es-ES"/>
        </w:rPr>
        <w:t>(…)</w:t>
      </w:r>
    </w:p>
    <w:p w:rsidR="0024443D" w:rsidRPr="006B2651" w:rsidRDefault="0024443D" w:rsidP="0024443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B2651">
        <w:rPr>
          <w:rFonts w:ascii="Palatino Linotype" w:eastAsia="Times New Roman" w:hAnsi="Palatino Linotype" w:cs="Arial"/>
          <w:b/>
          <w:i/>
          <w:szCs w:val="24"/>
          <w:lang w:val="es-ES" w:eastAsia="es-ES"/>
        </w:rPr>
        <w:t>Artículo 141.</w:t>
      </w:r>
      <w:r w:rsidRPr="006B2651">
        <w:rPr>
          <w:rFonts w:ascii="Palatino Linotype" w:eastAsia="Times New Roman" w:hAnsi="Palatino Linotype" w:cs="Arial"/>
          <w:i/>
          <w:szCs w:val="24"/>
          <w:lang w:val="es-ES" w:eastAsia="es-ES"/>
        </w:rPr>
        <w:t xml:space="preserve"> Las causales de reserva previstas en este Capítulo se deberán fundar y motivar, a través de la aplicación de la prueba de daño a la que se hace referencia en el presente Título.” [Sic]</w:t>
      </w:r>
    </w:p>
    <w:p w:rsidR="0024443D" w:rsidRPr="006B2651"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6B2651"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B2651">
        <w:rPr>
          <w:rFonts w:ascii="Palatino Linotype" w:eastAsia="Times New Roman" w:hAnsi="Palatino Linotype" w:cs="Arial"/>
          <w:sz w:val="24"/>
          <w:szCs w:val="24"/>
          <w:lang w:val="es-ES" w:eastAsia="es-ES"/>
        </w:rPr>
        <w:t>Por ello, en referencia a la clasificación como información reservada resulta preciso señalar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24443D" w:rsidRPr="006B2651"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6B2651"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B2651">
        <w:rPr>
          <w:rFonts w:ascii="Palatino Linotype" w:eastAsia="Times New Roman" w:hAnsi="Palatino Linotype" w:cs="Arial"/>
          <w:sz w:val="24"/>
          <w:szCs w:val="24"/>
          <w:lang w:val="es-ES" w:eastAsia="es-ES"/>
        </w:rPr>
        <w:t>Dicha valoración, debe realizarse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w:t>
      </w:r>
      <w:r>
        <w:rPr>
          <w:rFonts w:ascii="Palatino Linotype" w:eastAsia="Times New Roman" w:hAnsi="Palatino Linotype" w:cs="Arial"/>
          <w:sz w:val="24"/>
          <w:szCs w:val="24"/>
          <w:lang w:val="es-ES" w:eastAsia="es-ES"/>
        </w:rPr>
        <w:t xml:space="preserve">. </w:t>
      </w:r>
      <w:r w:rsidRPr="006B2651">
        <w:rPr>
          <w:rFonts w:ascii="Palatino Linotype" w:eastAsia="Times New Roman" w:hAnsi="Palatino Linotype" w:cs="Arial"/>
          <w:sz w:val="24"/>
          <w:szCs w:val="24"/>
          <w:lang w:val="es-ES" w:eastAsia="es-ES"/>
        </w:rPr>
        <w:t>Asimismo, ésta no debe basarse en meras especulaciones o suposiciones, sino en elementos objetivos que deban evaluar que existe un riego actual e inminente.</w:t>
      </w: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443D" w:rsidRPr="00FB59FD" w:rsidRDefault="0024443D" w:rsidP="0024443D">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lastRenderedPageBreak/>
        <w:t>De la versión pública</w:t>
      </w:r>
    </w:p>
    <w:p w:rsidR="0024443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 xml:space="preserve">obtener el RFC es </w:t>
      </w:r>
      <w:r w:rsidRPr="00FB59FD">
        <w:rPr>
          <w:rFonts w:ascii="Palatino Linotype" w:hAnsi="Palatino Linotype" w:cs="Arial"/>
          <w:i/>
          <w:u w:val="single"/>
        </w:rPr>
        <w:lastRenderedPageBreak/>
        <w:t>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p>
    <w:p w:rsidR="0024443D" w:rsidRPr="008D69A5" w:rsidRDefault="0024443D" w:rsidP="0024443D">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4443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24443D" w:rsidRPr="00FB59FD" w:rsidRDefault="0024443D" w:rsidP="002444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4443D" w:rsidRPr="00FB59FD" w:rsidRDefault="0024443D" w:rsidP="002444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FB59FD">
        <w:rPr>
          <w:rFonts w:ascii="Palatino Linotype" w:hAnsi="Palatino Linotype" w:cs="Arial"/>
          <w:sz w:val="24"/>
          <w:szCs w:val="24"/>
        </w:rPr>
        <w:lastRenderedPageBreak/>
        <w:t>que, se insiste, no son de acceso público, de ahí que deben protegerse mediante la versión pública correspondiente.</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p>
    <w:p w:rsidR="0024443D" w:rsidRPr="00C7669D" w:rsidRDefault="0024443D" w:rsidP="0024443D">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C7669D">
        <w:rPr>
          <w:rFonts w:ascii="Palatino Linotype" w:hAnsi="Palatino Linotype" w:cs="Arial"/>
          <w:b/>
          <w:bCs/>
          <w:i/>
        </w:rPr>
        <w:t xml:space="preserve">Para fundar la clasificación de la información se debe señalar el artículo, fracción, inciso, párrafo o numeral de la ley o tratado internacional suscrito por </w:t>
      </w:r>
      <w:r w:rsidRPr="00C7669D">
        <w:rPr>
          <w:rFonts w:ascii="Palatino Linotype" w:hAnsi="Palatino Linotype" w:cs="Arial"/>
          <w:b/>
          <w:bCs/>
          <w:i/>
        </w:rPr>
        <w:lastRenderedPageBreak/>
        <w:t>el Estado mexicano que expresamente le otorga el carácter de reservada o confidencial.</w:t>
      </w:r>
    </w:p>
    <w:p w:rsidR="0024443D" w:rsidRPr="00C7669D" w:rsidRDefault="0024443D" w:rsidP="0024443D">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Trigésimo octavo. </w:t>
      </w:r>
      <w:r w:rsidRPr="00FB59FD">
        <w:rPr>
          <w:rFonts w:ascii="Palatino Linotype" w:hAnsi="Palatino Linotype" w:cs="Arial"/>
          <w:bCs/>
          <w:i/>
        </w:rPr>
        <w:t>Se considera información confidencial:</w:t>
      </w:r>
    </w:p>
    <w:p w:rsidR="0024443D" w:rsidRPr="00FB59FD" w:rsidRDefault="0024443D" w:rsidP="0024443D">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24443D" w:rsidRPr="00FB59FD" w:rsidRDefault="0024443D" w:rsidP="0024443D">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4443D" w:rsidRPr="00FB59FD" w:rsidRDefault="0024443D" w:rsidP="0024443D">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24443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FB59FD">
        <w:rPr>
          <w:rFonts w:ascii="Palatino Linotype" w:hAnsi="Palatino Linotype" w:cs="Arial"/>
          <w:sz w:val="24"/>
          <w:szCs w:val="24"/>
        </w:rPr>
        <w:lastRenderedPageBreak/>
        <w:t>aparecen en la documentación respectiva, es decir, si no se exponen de manera puntual las razones de ello se estaría violentando desde un inicio el derecho de acceso a la información del solicitante.</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24443D" w:rsidRDefault="0024443D" w:rsidP="002444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4443D" w:rsidRPr="00832E44" w:rsidRDefault="0024443D" w:rsidP="0024443D">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24443D" w:rsidRPr="007D2A86" w:rsidRDefault="0024443D" w:rsidP="0024443D">
      <w:pPr>
        <w:tabs>
          <w:tab w:val="left" w:pos="709"/>
        </w:tabs>
        <w:spacing w:after="0" w:line="360" w:lineRule="auto"/>
        <w:jc w:val="both"/>
        <w:rPr>
          <w:rFonts w:ascii="Palatino Linotype" w:hAnsi="Palatino Linotype"/>
          <w:sz w:val="24"/>
          <w:szCs w:val="24"/>
        </w:rPr>
      </w:pPr>
    </w:p>
    <w:p w:rsidR="0024443D" w:rsidRPr="007D2A86" w:rsidRDefault="0024443D" w:rsidP="002444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4443D" w:rsidRPr="007D2A86" w:rsidRDefault="0024443D" w:rsidP="0024443D">
      <w:pPr>
        <w:tabs>
          <w:tab w:val="left" w:pos="709"/>
        </w:tabs>
        <w:spacing w:after="0" w:line="360" w:lineRule="auto"/>
        <w:jc w:val="both"/>
        <w:rPr>
          <w:rFonts w:ascii="Palatino Linotype" w:hAnsi="Palatino Linotype"/>
          <w:sz w:val="24"/>
          <w:szCs w:val="24"/>
        </w:rPr>
      </w:pPr>
    </w:p>
    <w:p w:rsidR="0024443D" w:rsidRDefault="0024443D" w:rsidP="002444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4443D" w:rsidRDefault="0024443D" w:rsidP="0024443D">
      <w:pPr>
        <w:tabs>
          <w:tab w:val="left" w:pos="709"/>
        </w:tabs>
        <w:spacing w:after="0" w:line="360" w:lineRule="auto"/>
        <w:jc w:val="both"/>
        <w:rPr>
          <w:rFonts w:ascii="Palatino Linotype" w:hAnsi="Palatino Linotype"/>
          <w:sz w:val="24"/>
          <w:szCs w:val="24"/>
        </w:rPr>
      </w:pP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4443D" w:rsidRPr="007D2A86" w:rsidRDefault="0024443D" w:rsidP="0024443D">
      <w:pPr>
        <w:tabs>
          <w:tab w:val="left" w:pos="709"/>
        </w:tabs>
        <w:spacing w:after="0" w:line="360" w:lineRule="auto"/>
        <w:jc w:val="both"/>
        <w:rPr>
          <w:rFonts w:ascii="Palatino Linotype" w:hAnsi="Palatino Linotype"/>
          <w:sz w:val="24"/>
          <w:szCs w:val="24"/>
        </w:rPr>
      </w:pPr>
    </w:p>
    <w:p w:rsidR="0024443D" w:rsidRPr="007D2A86" w:rsidRDefault="0024443D" w:rsidP="002444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4443D" w:rsidRPr="007D2A86" w:rsidRDefault="0024443D" w:rsidP="0024443D">
      <w:pPr>
        <w:tabs>
          <w:tab w:val="left" w:pos="709"/>
        </w:tabs>
        <w:spacing w:after="0" w:line="360" w:lineRule="auto"/>
        <w:jc w:val="both"/>
        <w:rPr>
          <w:rFonts w:ascii="Palatino Linotype" w:hAnsi="Palatino Linotype"/>
          <w:sz w:val="24"/>
          <w:szCs w:val="24"/>
        </w:rPr>
      </w:pP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4443D" w:rsidRPr="007D2A86" w:rsidRDefault="0024443D" w:rsidP="002444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4443D" w:rsidRPr="00FB59FD" w:rsidRDefault="0024443D" w:rsidP="002444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4443D" w:rsidRPr="00FB59FD" w:rsidRDefault="0024443D" w:rsidP="0024443D">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información </w:t>
      </w:r>
      <w:r w:rsidRPr="00D26C0E">
        <w:rPr>
          <w:rFonts w:ascii="Palatino Linotype" w:hAnsi="Palatino Linotype" w:cs="Arial"/>
          <w:b/>
          <w:sz w:val="24"/>
          <w:szCs w:val="24"/>
        </w:rPr>
        <w:t>00315/ECATZIN/IP/2019</w:t>
      </w:r>
      <w:r w:rsidRPr="00D26C0E">
        <w:rPr>
          <w:rFonts w:ascii="Palatino Linotype" w:hAnsi="Palatino Linotype" w:cs="Arial"/>
          <w:b/>
          <w:sz w:val="24"/>
          <w:szCs w:val="24"/>
          <w:lang w:eastAsia="es-MX"/>
        </w:rPr>
        <w:t>, 00328/ECATZIN/IP/2019, 00327/ECATZIN/IP/2019, 00326/ECATZIN/IP/2019, 00324/ECATZIN/IP/2019, 00323/ECATZIN/IP/2019 y 00318/ECATZIN/IP/2019</w:t>
      </w:r>
      <w:r>
        <w:rPr>
          <w:rFonts w:ascii="Palatino Linotype" w:hAnsi="Palatino Linotype" w:cs="Arial"/>
          <w:b/>
          <w:sz w:val="24"/>
          <w:szCs w:val="24"/>
        </w:rPr>
        <w:t xml:space="preserve"> </w:t>
      </w:r>
      <w:r w:rsidRPr="00FB59FD">
        <w:rPr>
          <w:rFonts w:ascii="Palatino Linotype" w:hAnsi="Palatino Linotype" w:cs="Arial"/>
          <w:sz w:val="24"/>
          <w:szCs w:val="24"/>
        </w:rPr>
        <w:t>que ha</w:t>
      </w:r>
      <w:r>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rsidR="0024443D" w:rsidRPr="00FB59FD"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FB59FD" w:rsidRDefault="0024443D" w:rsidP="0024443D">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24443D" w:rsidRPr="00FB59FD" w:rsidRDefault="0024443D" w:rsidP="0024443D">
      <w:pPr>
        <w:autoSpaceDE w:val="0"/>
        <w:autoSpaceDN w:val="0"/>
        <w:adjustRightInd w:val="0"/>
        <w:spacing w:after="0" w:line="360" w:lineRule="auto"/>
        <w:jc w:val="both"/>
        <w:rPr>
          <w:rFonts w:ascii="Palatino Linotype" w:hAnsi="Palatino Linotype" w:cs="Arial"/>
          <w:sz w:val="24"/>
          <w:szCs w:val="24"/>
        </w:rPr>
      </w:pPr>
    </w:p>
    <w:p w:rsidR="0024443D" w:rsidRPr="00FB59FD" w:rsidRDefault="0024443D" w:rsidP="0024443D">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24443D" w:rsidRPr="00FB59FD" w:rsidRDefault="0024443D" w:rsidP="0024443D">
      <w:pPr>
        <w:spacing w:after="0" w:line="360" w:lineRule="auto"/>
        <w:ind w:left="426"/>
        <w:jc w:val="center"/>
        <w:rPr>
          <w:rFonts w:ascii="Palatino Linotype" w:eastAsia="Times New Roman" w:hAnsi="Palatino Linotype" w:cs="Times New Roman"/>
          <w:b/>
          <w:color w:val="000000"/>
          <w:sz w:val="28"/>
          <w:szCs w:val="24"/>
          <w:lang w:val="es-ES" w:eastAsia="es-ES"/>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información</w:t>
      </w:r>
      <w:r>
        <w:rPr>
          <w:rFonts w:ascii="Palatino Linotype" w:hAnsi="Palatino Linotype" w:cs="Arial"/>
          <w:sz w:val="24"/>
          <w:szCs w:val="24"/>
        </w:rPr>
        <w:t xml:space="preserve"> </w:t>
      </w:r>
      <w:r w:rsidRPr="00D26C0E">
        <w:rPr>
          <w:rFonts w:ascii="Palatino Linotype" w:hAnsi="Palatino Linotype" w:cs="Arial"/>
          <w:b/>
          <w:sz w:val="24"/>
          <w:szCs w:val="24"/>
        </w:rPr>
        <w:t>00315/ECATZIN/IP/2019</w:t>
      </w:r>
      <w:r w:rsidRPr="00D26C0E">
        <w:rPr>
          <w:rFonts w:ascii="Palatino Linotype" w:hAnsi="Palatino Linotype" w:cs="Arial"/>
          <w:b/>
          <w:sz w:val="24"/>
          <w:szCs w:val="24"/>
          <w:lang w:eastAsia="es-MX"/>
        </w:rPr>
        <w:t>, 00328/ECATZIN/IP/2019, 00327/ECATZIN/IP/2019, 00326/ECATZIN/IP/2019, 00324/ECATZIN/IP/2019, 00323/ECATZIN/IP/2019 y 00318/ECATZIN/IP/2019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w:t>
      </w:r>
      <w:r w:rsidRPr="00FB59FD">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4443D" w:rsidRPr="00FB59FD" w:rsidRDefault="0024443D" w:rsidP="0024443D">
      <w:pPr>
        <w:tabs>
          <w:tab w:val="left" w:pos="8647"/>
        </w:tabs>
        <w:spacing w:after="0" w:line="360" w:lineRule="auto"/>
        <w:ind w:right="51"/>
        <w:jc w:val="both"/>
        <w:rPr>
          <w:rFonts w:ascii="Palatino Linotype" w:hAnsi="Palatino Linotype" w:cs="Arial"/>
          <w:sz w:val="24"/>
          <w:szCs w:val="24"/>
        </w:rPr>
      </w:pPr>
    </w:p>
    <w:p w:rsidR="0024443D" w:rsidRPr="00FB59FD" w:rsidRDefault="0024443D" w:rsidP="002444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4443D" w:rsidRDefault="0024443D" w:rsidP="0024443D">
      <w:pPr>
        <w:spacing w:after="0" w:line="360" w:lineRule="auto"/>
        <w:jc w:val="both"/>
        <w:rPr>
          <w:rFonts w:ascii="Palatino Linotype" w:eastAsia="Calibri" w:hAnsi="Palatino Linotype" w:cs="Arial"/>
          <w:sz w:val="24"/>
          <w:szCs w:val="24"/>
          <w:lang w:val="es-ES" w:eastAsia="es-ES"/>
        </w:rPr>
      </w:pPr>
    </w:p>
    <w:p w:rsidR="0024443D" w:rsidRPr="007D2A86" w:rsidRDefault="0024443D" w:rsidP="0024443D">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4443D" w:rsidRDefault="0024443D" w:rsidP="0024443D">
      <w:pPr>
        <w:autoSpaceDE w:val="0"/>
        <w:autoSpaceDN w:val="0"/>
        <w:adjustRightInd w:val="0"/>
        <w:spacing w:after="0" w:line="360" w:lineRule="auto"/>
        <w:ind w:right="49"/>
        <w:jc w:val="both"/>
        <w:rPr>
          <w:rFonts w:ascii="Palatino Linotype" w:hAnsi="Palatino Linotype" w:cs="Arial"/>
          <w:sz w:val="24"/>
          <w:szCs w:val="24"/>
        </w:rPr>
      </w:pPr>
    </w:p>
    <w:p w:rsidR="0024443D" w:rsidRDefault="0024443D" w:rsidP="0024443D">
      <w:pPr>
        <w:spacing w:after="0" w:line="360" w:lineRule="auto"/>
        <w:jc w:val="both"/>
        <w:rPr>
          <w:rFonts w:ascii="Palatino Linotype" w:eastAsia="Calibri" w:hAnsi="Palatino Linotype" w:cs="Times New Roman"/>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24443D" w:rsidRPr="00823ED5" w:rsidRDefault="0024443D" w:rsidP="0024443D">
      <w:pPr>
        <w:spacing w:after="0" w:line="360" w:lineRule="auto"/>
        <w:jc w:val="both"/>
        <w:rPr>
          <w:rFonts w:ascii="Palatino Linotype" w:eastAsia="Calibri" w:hAnsi="Palatino Linotype" w:cs="Times New Roman"/>
          <w:b/>
          <w:sz w:val="24"/>
          <w:szCs w:val="24"/>
          <w:lang w:eastAsia="es-ES_tradnl"/>
        </w:rPr>
      </w:pPr>
    </w:p>
    <w:p w:rsidR="0024443D" w:rsidRDefault="0024443D" w:rsidP="002444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443D" w:rsidRDefault="0024443D" w:rsidP="0024443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443D" w:rsidTr="00C20AE3">
        <w:trPr>
          <w:jc w:val="center"/>
        </w:trPr>
        <w:tc>
          <w:tcPr>
            <w:tcW w:w="9062" w:type="dxa"/>
            <w:gridSpan w:val="2"/>
          </w:tcPr>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r>
              <w:rPr>
                <w:rFonts w:ascii="Palatino Linotype" w:hAnsi="Palatino Linotype"/>
                <w:b/>
              </w:rPr>
              <w:t>Zulema Martínez Sánchez</w:t>
            </w:r>
          </w:p>
          <w:p w:rsidR="0024443D" w:rsidRDefault="0024443D" w:rsidP="00C20AE3">
            <w:pPr>
              <w:pStyle w:val="Sinespaciado"/>
              <w:jc w:val="center"/>
              <w:rPr>
                <w:rFonts w:ascii="Palatino Linotype" w:hAnsi="Palatino Linotype"/>
              </w:rPr>
            </w:pPr>
            <w:r>
              <w:rPr>
                <w:rFonts w:ascii="Palatino Linotype" w:hAnsi="Palatino Linotype"/>
              </w:rPr>
              <w:t>Comisionada Presidenta</w:t>
            </w:r>
          </w:p>
          <w:p w:rsidR="0024443D" w:rsidRDefault="0024443D" w:rsidP="00C20AE3">
            <w:pPr>
              <w:pStyle w:val="Sinespaciado"/>
              <w:jc w:val="center"/>
              <w:rPr>
                <w:rFonts w:ascii="Palatino Linotype" w:hAnsi="Palatino Linotype"/>
              </w:rPr>
            </w:pPr>
            <w:r>
              <w:rPr>
                <w:rFonts w:ascii="Palatino Linotype" w:hAnsi="Palatino Linotype"/>
              </w:rPr>
              <w:t>(Rúbrica)</w:t>
            </w:r>
          </w:p>
        </w:tc>
      </w:tr>
      <w:tr w:rsidR="0024443D" w:rsidTr="00C20AE3">
        <w:trPr>
          <w:jc w:val="center"/>
        </w:trPr>
        <w:tc>
          <w:tcPr>
            <w:tcW w:w="4531" w:type="dxa"/>
          </w:tcPr>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r>
              <w:rPr>
                <w:rFonts w:ascii="Palatino Linotype" w:hAnsi="Palatino Linotype"/>
                <w:b/>
              </w:rPr>
              <w:t>Eva Abaid Yapur</w:t>
            </w:r>
          </w:p>
          <w:p w:rsidR="0024443D" w:rsidRDefault="0024443D" w:rsidP="00C20AE3">
            <w:pPr>
              <w:pStyle w:val="Sinespaciado"/>
              <w:jc w:val="center"/>
              <w:rPr>
                <w:rFonts w:ascii="Palatino Linotype" w:hAnsi="Palatino Linotype"/>
              </w:rPr>
            </w:pPr>
            <w:r>
              <w:rPr>
                <w:rFonts w:ascii="Palatino Linotype" w:hAnsi="Palatino Linotype"/>
              </w:rPr>
              <w:t>Comisionada</w:t>
            </w:r>
          </w:p>
          <w:p w:rsidR="0024443D" w:rsidRDefault="0024443D" w:rsidP="00C20AE3">
            <w:pPr>
              <w:pStyle w:val="Sinespaciado"/>
              <w:jc w:val="center"/>
              <w:rPr>
                <w:rFonts w:ascii="Palatino Linotype" w:hAnsi="Palatino Linotype"/>
              </w:rPr>
            </w:pPr>
            <w:r>
              <w:rPr>
                <w:rFonts w:ascii="Palatino Linotype" w:hAnsi="Palatino Linotype"/>
              </w:rPr>
              <w:t>(Rúbrica)</w:t>
            </w: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24443D" w:rsidRDefault="0024443D" w:rsidP="00C20AE3">
            <w:pPr>
              <w:pStyle w:val="Sinespaciado"/>
              <w:spacing w:line="276" w:lineRule="auto"/>
              <w:jc w:val="center"/>
              <w:rPr>
                <w:rFonts w:ascii="Palatino Linotype" w:hAnsi="Palatino Linotype"/>
              </w:rPr>
            </w:pPr>
            <w:r>
              <w:rPr>
                <w:rFonts w:ascii="Palatino Linotype" w:hAnsi="Palatino Linotype"/>
              </w:rPr>
              <w:t>Comisionado</w:t>
            </w:r>
          </w:p>
          <w:p w:rsidR="0024443D" w:rsidRDefault="0024443D"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r>
              <w:rPr>
                <w:rFonts w:ascii="Palatino Linotype" w:hAnsi="Palatino Linotype"/>
                <w:b/>
              </w:rPr>
              <w:t>José Guadalupe Luna Hernández</w:t>
            </w:r>
          </w:p>
          <w:p w:rsidR="0024443D" w:rsidRDefault="0024443D" w:rsidP="00C20AE3">
            <w:pPr>
              <w:pStyle w:val="Sinespaciado"/>
              <w:jc w:val="center"/>
              <w:rPr>
                <w:rFonts w:ascii="Palatino Linotype" w:hAnsi="Palatino Linotype"/>
              </w:rPr>
            </w:pPr>
            <w:r>
              <w:rPr>
                <w:rFonts w:ascii="Palatino Linotype" w:hAnsi="Palatino Linotype"/>
              </w:rPr>
              <w:t>Comisionado</w:t>
            </w:r>
          </w:p>
          <w:p w:rsidR="0024443D" w:rsidRDefault="0024443D" w:rsidP="00C20AE3">
            <w:pPr>
              <w:pStyle w:val="Sinespaciado"/>
              <w:jc w:val="center"/>
              <w:rPr>
                <w:rFonts w:ascii="Palatino Linotype" w:hAnsi="Palatino Linotype"/>
              </w:rPr>
            </w:pPr>
            <w:r>
              <w:rPr>
                <w:rFonts w:ascii="Palatino Linotype" w:hAnsi="Palatino Linotype"/>
              </w:rPr>
              <w:t>(Rúbrica)</w:t>
            </w: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jc w:val="center"/>
              <w:rPr>
                <w:rFonts w:ascii="Palatino Linotype" w:hAnsi="Palatino Linotype"/>
              </w:rPr>
            </w:pPr>
          </w:p>
          <w:p w:rsidR="0024443D" w:rsidRDefault="0024443D"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24443D" w:rsidRDefault="0024443D"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24443D" w:rsidRDefault="0024443D" w:rsidP="00C20AE3">
            <w:pPr>
              <w:pStyle w:val="Sinespaciado"/>
              <w:spacing w:line="276" w:lineRule="auto"/>
              <w:jc w:val="center"/>
              <w:rPr>
                <w:rFonts w:ascii="Palatino Linotype" w:hAnsi="Palatino Linotype"/>
              </w:rPr>
            </w:pPr>
            <w:r>
              <w:rPr>
                <w:rFonts w:ascii="Palatino Linotype" w:hAnsi="Palatino Linotype"/>
              </w:rPr>
              <w:t>(Rúbrica)</w:t>
            </w:r>
          </w:p>
        </w:tc>
      </w:tr>
      <w:tr w:rsidR="0024443D" w:rsidTr="00C20AE3">
        <w:trPr>
          <w:jc w:val="center"/>
        </w:trPr>
        <w:tc>
          <w:tcPr>
            <w:tcW w:w="9062" w:type="dxa"/>
            <w:gridSpan w:val="2"/>
          </w:tcPr>
          <w:p w:rsidR="0024443D" w:rsidRDefault="0024443D" w:rsidP="00C20AE3">
            <w:pPr>
              <w:pStyle w:val="Sinespaciado"/>
              <w:rPr>
                <w:rFonts w:ascii="Palatino Linotype" w:hAnsi="Palatino Linotype"/>
              </w:rPr>
            </w:pPr>
          </w:p>
        </w:tc>
      </w:tr>
      <w:tr w:rsidR="0024443D" w:rsidTr="00C20AE3">
        <w:trPr>
          <w:jc w:val="center"/>
        </w:trPr>
        <w:tc>
          <w:tcPr>
            <w:tcW w:w="9062" w:type="dxa"/>
            <w:gridSpan w:val="2"/>
          </w:tcPr>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p>
          <w:p w:rsidR="0024443D" w:rsidRDefault="0024443D" w:rsidP="00C20AE3">
            <w:pPr>
              <w:pStyle w:val="Sinespaciado"/>
              <w:jc w:val="center"/>
              <w:rPr>
                <w:rFonts w:ascii="Palatino Linotype" w:hAnsi="Palatino Linotype"/>
                <w:b/>
              </w:rPr>
            </w:pPr>
            <w:r>
              <w:rPr>
                <w:rFonts w:ascii="Palatino Linotype" w:hAnsi="Palatino Linotype"/>
                <w:b/>
              </w:rPr>
              <w:t>Alexis Tapia Ramírez</w:t>
            </w:r>
          </w:p>
          <w:p w:rsidR="0024443D" w:rsidRDefault="0024443D" w:rsidP="00C20AE3">
            <w:pPr>
              <w:pStyle w:val="Sinespaciado"/>
              <w:jc w:val="center"/>
              <w:rPr>
                <w:rFonts w:ascii="Palatino Linotype" w:hAnsi="Palatino Linotype"/>
              </w:rPr>
            </w:pPr>
            <w:r>
              <w:rPr>
                <w:rFonts w:ascii="Palatino Linotype" w:hAnsi="Palatino Linotype"/>
              </w:rPr>
              <w:t>Secretario Técnico del Pleno</w:t>
            </w:r>
          </w:p>
          <w:p w:rsidR="0024443D" w:rsidRPr="00B52ED2" w:rsidRDefault="0024443D" w:rsidP="00C20AE3">
            <w:pPr>
              <w:pStyle w:val="Sinespaciado"/>
              <w:jc w:val="center"/>
              <w:rPr>
                <w:rFonts w:ascii="Palatino Linotype" w:hAnsi="Palatino Linotype"/>
              </w:rPr>
            </w:pPr>
            <w:r>
              <w:rPr>
                <w:rFonts w:ascii="Palatino Linotype" w:hAnsi="Palatino Linotype"/>
              </w:rPr>
              <w:t>(Rúbrica)</w:t>
            </w:r>
          </w:p>
        </w:tc>
      </w:tr>
    </w:tbl>
    <w:p w:rsidR="0024443D" w:rsidRPr="006A5AC2" w:rsidRDefault="0024443D" w:rsidP="0024443D">
      <w:pPr>
        <w:spacing w:after="0" w:line="360" w:lineRule="auto"/>
        <w:jc w:val="both"/>
        <w:rPr>
          <w:rFonts w:ascii="Palatino Linotype" w:hAnsi="Palatino Linotype" w:cs="Arial"/>
          <w:sz w:val="4"/>
          <w:szCs w:val="24"/>
        </w:rPr>
      </w:pPr>
    </w:p>
    <w:p w:rsidR="0024443D" w:rsidRPr="00B36966" w:rsidRDefault="0024443D" w:rsidP="0024443D">
      <w:pPr>
        <w:spacing w:after="0" w:line="240" w:lineRule="auto"/>
        <w:jc w:val="both"/>
        <w:rPr>
          <w:rFonts w:ascii="Palatino Linotype" w:hAnsi="Palatino Linotype" w:cs="Arial"/>
          <w:sz w:val="2"/>
          <w:szCs w:val="20"/>
        </w:rPr>
      </w:pPr>
    </w:p>
    <w:p w:rsidR="0024443D" w:rsidRPr="006A5AC2" w:rsidRDefault="0024443D" w:rsidP="0024443D">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12235/INFOEM/IP/RR/2019 y acumulados.</w:t>
      </w:r>
    </w:p>
    <w:p w:rsidR="0024443D" w:rsidRDefault="0024443D" w:rsidP="0024443D">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24443D" w:rsidSect="009C18D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CB" w:rsidRDefault="007E7ACB" w:rsidP="0024443D">
      <w:pPr>
        <w:spacing w:after="0" w:line="240" w:lineRule="auto"/>
      </w:pPr>
      <w:r>
        <w:separator/>
      </w:r>
    </w:p>
  </w:endnote>
  <w:endnote w:type="continuationSeparator" w:id="0">
    <w:p w:rsidR="007E7ACB" w:rsidRDefault="007E7ACB" w:rsidP="0024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9219A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45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7453">
              <w:rPr>
                <w:rFonts w:ascii="Palatino Linotype" w:hAnsi="Palatino Linotype"/>
                <w:bCs/>
                <w:noProof/>
                <w:sz w:val="20"/>
              </w:rPr>
              <w:t>41</w:t>
            </w:r>
            <w:r>
              <w:rPr>
                <w:rFonts w:ascii="Palatino Linotype" w:hAnsi="Palatino Linotype"/>
                <w:bCs/>
                <w:noProof/>
                <w:sz w:val="20"/>
              </w:rPr>
              <w:fldChar w:fldCharType="end"/>
            </w:r>
          </w:p>
        </w:sdtContent>
      </w:sdt>
    </w:sdtContent>
  </w:sdt>
  <w:p w:rsidR="009C18DD" w:rsidRDefault="007E7A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9219A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4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7453">
      <w:rPr>
        <w:rFonts w:ascii="Palatino Linotype" w:hAnsi="Palatino Linotype"/>
        <w:bCs/>
        <w:noProof/>
        <w:sz w:val="20"/>
      </w:rPr>
      <w:t>41</w:t>
    </w:r>
    <w:r>
      <w:rPr>
        <w:rFonts w:ascii="Palatino Linotype" w:hAnsi="Palatino Linotype"/>
        <w:bCs/>
        <w:noProof/>
        <w:sz w:val="20"/>
      </w:rPr>
      <w:fldChar w:fldCharType="end"/>
    </w:r>
  </w:p>
  <w:p w:rsidR="009C18DD" w:rsidRDefault="007E7A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CB" w:rsidRDefault="007E7ACB" w:rsidP="0024443D">
      <w:pPr>
        <w:spacing w:after="0" w:line="240" w:lineRule="auto"/>
      </w:pPr>
      <w:r>
        <w:separator/>
      </w:r>
    </w:p>
  </w:footnote>
  <w:footnote w:type="continuationSeparator" w:id="0">
    <w:p w:rsidR="007E7ACB" w:rsidRDefault="007E7ACB" w:rsidP="0024443D">
      <w:pPr>
        <w:spacing w:after="0" w:line="240" w:lineRule="auto"/>
      </w:pPr>
      <w:r>
        <w:continuationSeparator/>
      </w:r>
    </w:p>
  </w:footnote>
  <w:footnote w:id="1">
    <w:p w:rsidR="0024443D" w:rsidRPr="00946E1F" w:rsidRDefault="0024443D" w:rsidP="0024443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9219A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219A1" w:rsidP="00524989">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12335/INFOEM/IP/RR/2019</w:t>
          </w:r>
        </w:p>
      </w:tc>
    </w:tr>
    <w:tr w:rsidR="009C18DD" w:rsidTr="009C18DD">
      <w:trPr>
        <w:trHeight w:val="242"/>
      </w:trPr>
      <w:tc>
        <w:tcPr>
          <w:tcW w:w="5246" w:type="dxa"/>
          <w:hideMark/>
        </w:tcPr>
        <w:p w:rsidR="009C18DD" w:rsidRDefault="009219A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219A1" w:rsidP="005B059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Ecatzingo</w:t>
          </w:r>
        </w:p>
      </w:tc>
    </w:tr>
    <w:tr w:rsidR="009C18DD" w:rsidTr="009C18DD">
      <w:trPr>
        <w:trHeight w:val="342"/>
      </w:trPr>
      <w:tc>
        <w:tcPr>
          <w:tcW w:w="5246" w:type="dxa"/>
          <w:hideMark/>
        </w:tcPr>
        <w:p w:rsidR="009C18DD" w:rsidRDefault="009219A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9219A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7E7ACB"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9219A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219A1" w:rsidP="00524989">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12335/INFOEM/IP/RR/2019 y acumulados</w:t>
          </w:r>
        </w:p>
      </w:tc>
    </w:tr>
    <w:tr w:rsidR="009C18DD" w:rsidTr="009C18DD">
      <w:trPr>
        <w:trHeight w:val="242"/>
      </w:trPr>
      <w:tc>
        <w:tcPr>
          <w:tcW w:w="5104" w:type="dxa"/>
          <w:hideMark/>
        </w:tcPr>
        <w:p w:rsidR="009C18DD" w:rsidRDefault="009219A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219A1" w:rsidP="005B059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Ecatzingo</w:t>
          </w:r>
        </w:p>
      </w:tc>
    </w:tr>
    <w:tr w:rsidR="009C18DD" w:rsidTr="009C18DD">
      <w:trPr>
        <w:trHeight w:val="342"/>
      </w:trPr>
      <w:tc>
        <w:tcPr>
          <w:tcW w:w="5104" w:type="dxa"/>
        </w:tcPr>
        <w:p w:rsidR="009C18DD" w:rsidRDefault="009219A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7E7ACB"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9219A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9219A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7E7AC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FE2D4D"/>
    <w:multiLevelType w:val="hybridMultilevel"/>
    <w:tmpl w:val="33E64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3D"/>
    <w:rsid w:val="00036F8B"/>
    <w:rsid w:val="00123996"/>
    <w:rsid w:val="0024443D"/>
    <w:rsid w:val="007E7ACB"/>
    <w:rsid w:val="00887453"/>
    <w:rsid w:val="009219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A9233-12A7-40FF-B75B-92C09CFA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4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44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444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444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444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44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44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4443D"/>
  </w:style>
  <w:style w:type="character" w:styleId="Hipervnculo">
    <w:name w:val="Hyperlink"/>
    <w:basedOn w:val="Fuentedeprrafopredeter"/>
    <w:uiPriority w:val="99"/>
    <w:unhideWhenUsed/>
    <w:rsid w:val="0024443D"/>
    <w:rPr>
      <w:color w:val="0563C1" w:themeColor="hyperlink"/>
      <w:u w:val="single"/>
    </w:rPr>
  </w:style>
  <w:style w:type="character" w:customStyle="1" w:styleId="SinespaciadoCar">
    <w:name w:val="Sin espaciado Car"/>
    <w:aliases w:val="Francesa Car"/>
    <w:link w:val="Sinespaciado"/>
    <w:uiPriority w:val="1"/>
    <w:locked/>
    <w:rsid w:val="0024443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4443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444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44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10116</Words>
  <Characters>55643</Characters>
  <Application>Microsoft Office Word</Application>
  <DocSecurity>0</DocSecurity>
  <Lines>463</Lines>
  <Paragraphs>131</Paragraphs>
  <ScaleCrop>false</ScaleCrop>
  <Company/>
  <LinksUpToDate>false</LinksUpToDate>
  <CharactersWithSpaces>65628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2020-04-13T19:25:00Z</dcterms:created>
  <dcterms:modified xsi:type="dcterms:W3CDTF">2020-04-14T18:35:00Z</dcterms:modified>
</cp:coreProperties>
</file>