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EFA" w:rsidRDefault="00E11EFA"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DD236E">
        <w:rPr>
          <w:rFonts w:ascii="Palatino Linotype" w:eastAsia="Times New Roman" w:hAnsi="Palatino Linotype" w:cs="Arial"/>
          <w:color w:val="000000"/>
          <w:sz w:val="24"/>
          <w:szCs w:val="24"/>
          <w:lang w:eastAsia="es-MX"/>
        </w:rPr>
        <w:t>veintiuno</w:t>
      </w:r>
      <w:r w:rsidR="00A902C6">
        <w:rPr>
          <w:rFonts w:ascii="Palatino Linotype" w:eastAsia="Times New Roman" w:hAnsi="Palatino Linotype" w:cs="Arial"/>
          <w:color w:val="000000"/>
          <w:sz w:val="24"/>
          <w:szCs w:val="24"/>
          <w:lang w:eastAsia="es-MX"/>
        </w:rPr>
        <w:t xml:space="preserve"> de </w:t>
      </w:r>
      <w:r w:rsidR="00DD236E">
        <w:rPr>
          <w:rFonts w:ascii="Palatino Linotype" w:eastAsia="Times New Roman" w:hAnsi="Palatino Linotype" w:cs="Arial"/>
          <w:color w:val="000000"/>
          <w:sz w:val="24"/>
          <w:szCs w:val="24"/>
          <w:lang w:eastAsia="es-MX"/>
        </w:rPr>
        <w:t>agosto</w:t>
      </w:r>
      <w:r w:rsidR="00A902C6">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8C49AA">
        <w:rPr>
          <w:rFonts w:ascii="Palatino Linotype" w:hAnsi="Palatino Linotype" w:cs="Arial"/>
          <w:b/>
          <w:bCs/>
          <w:sz w:val="24"/>
          <w:lang w:eastAsia="es-MX"/>
        </w:rPr>
        <w:t>5120</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BC5E09">
        <w:rPr>
          <w:rFonts w:ascii="Palatino Linotype" w:hAnsi="Palatino Linotype" w:cs="Arial"/>
          <w:sz w:val="24"/>
        </w:rPr>
        <w:t xml:space="preserve">el </w:t>
      </w:r>
      <w:r w:rsidR="00BC5E09" w:rsidRPr="006F001B">
        <w:rPr>
          <w:rFonts w:ascii="Palatino Linotype" w:hAnsi="Palatino Linotype" w:cs="Arial"/>
          <w:b/>
          <w:bCs/>
          <w:sz w:val="24"/>
        </w:rPr>
        <w:t>C.</w:t>
      </w:r>
      <w:r w:rsidR="00BC5E09">
        <w:rPr>
          <w:rFonts w:ascii="Palatino Linotype" w:hAnsi="Palatino Linotype" w:cs="Arial"/>
          <w:sz w:val="24"/>
        </w:rPr>
        <w:t xml:space="preserve"> </w:t>
      </w:r>
      <w:r w:rsidR="008874AC">
        <w:rPr>
          <w:rFonts w:ascii="Palatino Linotype" w:hAnsi="Palatino Linotype" w:cs="Arial"/>
          <w:b/>
          <w:sz w:val="24"/>
        </w:rPr>
        <w:t>xxxxxxxxxxxxxxxxxxxxxxxx</w:t>
      </w:r>
      <w:r w:rsidR="008C49AA">
        <w:rPr>
          <w:rFonts w:ascii="Palatino Linotype" w:hAnsi="Palatino Linotype" w:cs="Arial"/>
          <w:sz w:val="24"/>
        </w:rPr>
        <w:t xml:space="preserve"> </w:t>
      </w:r>
      <w:r w:rsidR="00BC5E09" w:rsidRPr="009A6D1C">
        <w:rPr>
          <w:rFonts w:ascii="Palatino Linotype" w:hAnsi="Palatino Linotype" w:cs="Arial"/>
          <w:color w:val="333333"/>
          <w:sz w:val="24"/>
          <w:szCs w:val="15"/>
        </w:rPr>
        <w:t>en lo sucesivo</w:t>
      </w:r>
      <w:r w:rsidR="00BC5E09" w:rsidRPr="009A6D1C">
        <w:rPr>
          <w:rFonts w:ascii="Palatino Linotype" w:hAnsi="Palatino Linotype" w:cs="Arial"/>
          <w:b/>
          <w:bCs/>
          <w:color w:val="333333"/>
          <w:sz w:val="24"/>
          <w:szCs w:val="15"/>
          <w:shd w:val="clear" w:color="auto" w:fill="F7F7F8"/>
        </w:rPr>
        <w:t xml:space="preserve">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falta de</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EF1A8D" w:rsidRPr="00EF1A8D">
        <w:rPr>
          <w:rFonts w:ascii="Palatino Linotype" w:hAnsi="Palatino Linotype" w:cs="Arial"/>
          <w:b/>
          <w:sz w:val="24"/>
          <w:szCs w:val="24"/>
        </w:rPr>
        <w:t>Ayuntamiento de T</w:t>
      </w:r>
      <w:r w:rsidR="008C49AA">
        <w:rPr>
          <w:rFonts w:ascii="Palatino Linotype" w:hAnsi="Palatino Linotype" w:cs="Arial"/>
          <w:b/>
          <w:sz w:val="24"/>
          <w:szCs w:val="24"/>
        </w:rPr>
        <w:t>onatic</w:t>
      </w:r>
      <w:r w:rsidR="00EF1A8D" w:rsidRPr="00EF1A8D">
        <w:rPr>
          <w:rFonts w:ascii="Palatino Linotype" w:hAnsi="Palatino Linotype" w:cs="Arial"/>
          <w:b/>
          <w:sz w:val="24"/>
          <w:szCs w:val="24"/>
        </w:rPr>
        <w:t>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bookmarkStart w:id="0" w:name="_GoBack"/>
      <w:bookmarkEnd w:id="0"/>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F1A8D">
        <w:rPr>
          <w:rFonts w:ascii="Palatino Linotype" w:hAnsi="Palatino Linotype" w:cs="Arial"/>
          <w:sz w:val="24"/>
        </w:rPr>
        <w:t>veintídos de abril</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8C49AA" w:rsidRPr="008C49AA">
        <w:rPr>
          <w:rFonts w:ascii="Palatino Linotype" w:hAnsi="Palatino Linotype" w:cs="Arial"/>
          <w:b/>
          <w:sz w:val="24"/>
        </w:rPr>
        <w:t>00043/TONATICO/IP/2019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8C49AA" w:rsidRPr="008C49AA">
        <w:rPr>
          <w:rFonts w:ascii="Palatino Linotype" w:hAnsi="Palatino Linotype"/>
          <w:i/>
          <w:color w:val="000000"/>
        </w:rPr>
        <w:t>Solicitud de la nomina del 15 al 31 de Abril...</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820826" w:rsidRDefault="00E15E85" w:rsidP="00E15E85">
      <w:pPr>
        <w:spacing w:before="240" w:line="360" w:lineRule="auto"/>
        <w:jc w:val="both"/>
        <w:rPr>
          <w:rFonts w:ascii="Palatino Linotype" w:hAnsi="Palatino Linotype" w:cs="Arial"/>
          <w:b/>
          <w:sz w:val="28"/>
          <w:szCs w:val="20"/>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07041" w:rsidRDefault="00E15E85" w:rsidP="002B7CD8">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820826">
        <w:rPr>
          <w:rFonts w:ascii="Palatino Linotype" w:hAnsi="Palatino Linotype" w:cs="Arial"/>
          <w:sz w:val="24"/>
        </w:rPr>
        <w:t xml:space="preserve">en fecha ocho de mayo de los corrientes solicito una prorroga de siete dias para dar contestacion a la solicitud de información; asimismo, </w:t>
      </w:r>
      <w:r w:rsidR="00BA65E0">
        <w:rPr>
          <w:rFonts w:ascii="Palatino Linotype" w:hAnsi="Palatino Linotype" w:cs="Arial"/>
          <w:sz w:val="24"/>
        </w:rPr>
        <w:t>fue omiso en dar respuesta a la solicitud de información dentro del plazo establecido en la Ley de la materia.</w:t>
      </w:r>
    </w:p>
    <w:p w:rsidR="00F84AE2" w:rsidRDefault="00F84AE2" w:rsidP="002B7CD8">
      <w:pPr>
        <w:spacing w:before="240" w:line="360" w:lineRule="auto"/>
        <w:jc w:val="both"/>
        <w:rPr>
          <w:rFonts w:ascii="Palatino Linotype" w:hAnsi="Palatino Linotype" w:cs="Arial"/>
          <w:sz w:val="24"/>
        </w:rPr>
      </w:pPr>
    </w:p>
    <w:p w:rsidR="00E15E85" w:rsidRPr="00441A94" w:rsidRDefault="00E15E85" w:rsidP="00F77F57">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sidR="009629A5">
        <w:rPr>
          <w:rFonts w:ascii="Palatino Linotype" w:hAnsi="Palatino Linotype" w:cs="Arial"/>
          <w:sz w:val="24"/>
          <w:szCs w:val="24"/>
        </w:rPr>
        <w:t xml:space="preserve">falta de </w:t>
      </w:r>
      <w:r w:rsidRPr="00441A94">
        <w:rPr>
          <w:rFonts w:ascii="Palatino Linotype" w:hAnsi="Palatino Linotype" w:cs="Arial"/>
          <w:sz w:val="24"/>
          <w:szCs w:val="24"/>
        </w:rPr>
        <w:t>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820826">
        <w:rPr>
          <w:rFonts w:ascii="Palatino Linotype" w:hAnsi="Palatino Linotype" w:cs="Arial"/>
          <w:sz w:val="24"/>
          <w:szCs w:val="24"/>
        </w:rPr>
        <w:t xml:space="preserve">cuatro de junio </w:t>
      </w:r>
      <w:r w:rsidR="0037311B">
        <w:rPr>
          <w:rFonts w:ascii="Palatino Linotype" w:hAnsi="Palatino Linotype" w:cs="Arial"/>
          <w:sz w:val="24"/>
          <w:szCs w:val="24"/>
        </w:rPr>
        <w:t>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BA65E0">
        <w:rPr>
          <w:rFonts w:ascii="Palatino Linotype" w:hAnsi="Palatino Linotype" w:cs="Arial"/>
          <w:b/>
          <w:bCs/>
          <w:sz w:val="24"/>
          <w:szCs w:val="24"/>
          <w:lang w:eastAsia="es-MX"/>
        </w:rPr>
        <w:t>0</w:t>
      </w:r>
      <w:r w:rsidR="00820826">
        <w:rPr>
          <w:rFonts w:ascii="Palatino Linotype" w:hAnsi="Palatino Linotype" w:cs="Arial"/>
          <w:b/>
          <w:bCs/>
          <w:sz w:val="24"/>
          <w:szCs w:val="24"/>
          <w:lang w:eastAsia="es-MX"/>
        </w:rPr>
        <w:t>5120</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820826" w:rsidRPr="00820826">
        <w:rPr>
          <w:rFonts w:ascii="Palatino Linotype" w:hAnsi="Palatino Linotype"/>
          <w:i/>
          <w:color w:val="000000"/>
        </w:rPr>
        <w:t>NO ME HAN QUERIDO PROPORCIONAR LA INFORMACIÓN REQUERIDA.</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307041" w:rsidRDefault="00307041"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820826" w:rsidRPr="00820826">
        <w:rPr>
          <w:rFonts w:ascii="Palatino Linotype" w:hAnsi="Palatino Linotype" w:cs="Arial"/>
          <w:i/>
        </w:rPr>
        <w:t>EL DIA 8 DE MAYO, EL H. AYUNTAMIENTO ME INFORMO QUE METIA UNA PRORROGA DE 7 DIAS PARA PROPORCIONARME UNA RESPUESTA, LA PRORROGA VENCIO EL DIA 17 DE MAYO Y A LA FECHA NO ME HAN BRINDADO LA INFORMACIÓN REQUERIDA. OJALA PUEDAN SANCIONAR A LAS PERSONAS RESPONSABLES POR NO QUERER DAR ESTA INFORMACIÓN POR QUE EN VARIAS OCASIONES EH SOLICITADO VARIOS TIPOS DE INFORMACIÓN Y EN TODAS NO ME DAN UNA RESPUESTA.</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2606F0" w:rsidRPr="00295668" w:rsidRDefault="00820826"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lastRenderedPageBreak/>
        <w:t>Asimismo, remitio la copia de constancia de notifiación como archivo adjunto a su recurso de revisión.</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820826">
        <w:rPr>
          <w:rFonts w:ascii="Palatino Linotype" w:hAnsi="Palatino Linotype" w:cs="Arial"/>
          <w:sz w:val="24"/>
          <w:szCs w:val="24"/>
        </w:rPr>
        <w:t>diez de junio</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9A6D1C" w:rsidRDefault="009A6D1C"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820826"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9A6D1C">
        <w:rPr>
          <w:rFonts w:ascii="Palatino Linotype" w:hAnsi="Palatino Linotype" w:cs="Arial"/>
          <w:sz w:val="24"/>
          <w:szCs w:val="24"/>
        </w:rPr>
        <w:t>fue omiso en presentar su informe justificado,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A6D1C">
        <w:rPr>
          <w:rFonts w:ascii="Palatino Linotype" w:hAnsi="Palatino Linotype" w:cs="Arial"/>
          <w:sz w:val="24"/>
          <w:szCs w:val="24"/>
        </w:rPr>
        <w:t xml:space="preserve">el recurrente </w:t>
      </w:r>
      <w:r w:rsidR="00820826">
        <w:rPr>
          <w:rFonts w:ascii="Palatino Linotype" w:hAnsi="Palatino Linotype" w:cs="Arial"/>
          <w:sz w:val="24"/>
          <w:szCs w:val="24"/>
        </w:rPr>
        <w:t>remitio el archivo denominado solicitud de prorroga en fecha doce de junio de los corrientes.</w:t>
      </w:r>
    </w:p>
    <w:p w:rsidR="00E15E85" w:rsidRDefault="00820826"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113310">
        <w:rPr>
          <w:rFonts w:ascii="Palatino Linotype" w:hAnsi="Palatino Linotype" w:cs="Arial"/>
          <w:sz w:val="24"/>
          <w:szCs w:val="24"/>
        </w:rPr>
        <w:t>or lo que</w:t>
      </w:r>
      <w:r w:rsidR="009A6D1C">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w:t>
      </w:r>
      <w:r w:rsidR="00113310">
        <w:rPr>
          <w:rFonts w:ascii="Palatino Linotype" w:hAnsi="Palatino Linotype" w:cs="Arial"/>
          <w:sz w:val="24"/>
          <w:szCs w:val="24"/>
        </w:rPr>
        <w:t>,</w:t>
      </w:r>
      <w:r w:rsidR="00755099">
        <w:rPr>
          <w:rFonts w:ascii="Palatino Linotype" w:hAnsi="Palatino Linotype" w:cs="Arial"/>
          <w:sz w:val="24"/>
          <w:szCs w:val="24"/>
        </w:rPr>
        <w:t xml:space="preserve"> en fecha </w:t>
      </w:r>
      <w:r>
        <w:rPr>
          <w:rFonts w:ascii="Palatino Linotype" w:hAnsi="Palatino Linotype" w:cs="Arial"/>
          <w:sz w:val="24"/>
          <w:szCs w:val="24"/>
        </w:rPr>
        <w:t>veinte</w:t>
      </w:r>
      <w:r w:rsidR="000B3927">
        <w:rPr>
          <w:rFonts w:ascii="Palatino Linotype" w:hAnsi="Palatino Linotype" w:cs="Arial"/>
          <w:sz w:val="24"/>
          <w:szCs w:val="24"/>
        </w:rPr>
        <w:t xml:space="preserve"> de junio</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F84AE2" w:rsidRDefault="00F84AE2" w:rsidP="00F84AE2">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820826">
        <w:rPr>
          <w:rFonts w:ascii="Palatino Linotype" w:hAnsi="Palatino Linotype" w:cs="Arial"/>
          <w:sz w:val="24"/>
          <w:szCs w:val="24"/>
        </w:rPr>
        <w:t>cinco de agosto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w:t>
      </w:r>
      <w:r w:rsidRPr="00992035">
        <w:rPr>
          <w:rFonts w:ascii="Palatino Linotype" w:hAnsi="Palatino Linotype" w:cs="Arial"/>
          <w:sz w:val="24"/>
          <w:szCs w:val="24"/>
        </w:rPr>
        <w:lastRenderedPageBreak/>
        <w:t>declaro la ampliación de término para resolver el recurso de revisión por un plazo de quince días hábiles.</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A902C6">
        <w:rPr>
          <w:rFonts w:ascii="Palatino Linotype" w:hAnsi="Palatino Linotype" w:cs="Arial"/>
          <w:sz w:val="24"/>
        </w:rPr>
        <w:t xml:space="preserve">vigésimo segundo, vigésimo tercero y vigésimo cuarto </w:t>
      </w:r>
      <w:r w:rsidR="00A902C6" w:rsidRPr="00025A37">
        <w:rPr>
          <w:rFonts w:ascii="Palatino Linotype" w:hAnsi="Palatino Linotype" w:cs="Arial"/>
          <w:sz w:val="24"/>
        </w:rPr>
        <w:t xml:space="preserve">fracción </w:t>
      </w:r>
      <w:r w:rsidRPr="00025A37">
        <w:rPr>
          <w:rFonts w:ascii="Palatino Linotype" w:hAnsi="Palatino Linotype" w:cs="Arial"/>
          <w:sz w:val="24"/>
        </w:rPr>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w:t>
      </w:r>
      <w:r>
        <w:rPr>
          <w:rFonts w:ascii="Palatino Linotype" w:hAnsi="Palatino Linotype" w:cs="Arial"/>
        </w:rPr>
        <w:lastRenderedPageBreak/>
        <w:t xml:space="preserve">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B0008F" w:rsidRPr="009572B3"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se inconforma derivado de la falta de respuesta 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Pr>
          <w:rStyle w:val="Refdenotaalpie"/>
          <w:rFonts w:ascii="Palatino Linotype" w:hAnsi="Palatino Linotype"/>
          <w:sz w:val="24"/>
          <w:szCs w:val="24"/>
        </w:rPr>
        <w:footnoteReference w:id="2"/>
      </w:r>
    </w:p>
    <w:p w:rsidR="00B0008F" w:rsidRPr="00505FED" w:rsidRDefault="00B0008F" w:rsidP="00B0008F">
      <w:pPr>
        <w:spacing w:before="100" w:beforeAutospacing="1" w:after="100" w:afterAutospacing="1" w:line="360" w:lineRule="auto"/>
        <w:jc w:val="both"/>
        <w:rPr>
          <w:rFonts w:ascii="Palatino Linotype" w:hAnsi="Palatino Linotype" w:cs="Arial"/>
          <w:sz w:val="24"/>
        </w:rPr>
      </w:pPr>
      <w:r w:rsidRPr="00505FED">
        <w:rPr>
          <w:rFonts w:ascii="Palatino Linotype" w:hAnsi="Palatino Linotype" w:cs="Arial"/>
          <w:sz w:val="24"/>
        </w:rPr>
        <w:t xml:space="preserve">Sin necesidad de determinar una debida oportunidad respecto del momento de presentación del medio de impugnación, pues al no existir una determinación por </w:t>
      </w:r>
      <w:r w:rsidRPr="00505FED">
        <w:rPr>
          <w:rFonts w:ascii="Palatino Linotype" w:hAnsi="Palatino Linotype" w:cs="Arial"/>
          <w:sz w:val="24"/>
        </w:rPr>
        <w:lastRenderedPageBreak/>
        <w:t xml:space="preserve">parte del </w:t>
      </w:r>
      <w:r w:rsidRPr="00505FED">
        <w:rPr>
          <w:rFonts w:ascii="Palatino Linotype" w:hAnsi="Palatino Linotype" w:cs="Arial"/>
          <w:b/>
          <w:sz w:val="24"/>
        </w:rPr>
        <w:t>Sujeto Obligado</w:t>
      </w:r>
      <w:r w:rsidRPr="00505FED">
        <w:rPr>
          <w:rFonts w:ascii="Palatino Linotype" w:hAnsi="Palatino Linotype" w:cs="Arial"/>
          <w:sz w:val="24"/>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del citado numeral 178 se ha determinado </w:t>
      </w:r>
      <w:r w:rsidR="00A65C79">
        <w:rPr>
          <w:rFonts w:ascii="Palatino Linotype" w:hAnsi="Palatino Linotype"/>
          <w:sz w:val="24"/>
          <w:szCs w:val="24"/>
        </w:rPr>
        <w:t>que,</w:t>
      </w:r>
      <w:r>
        <w:rPr>
          <w:rFonts w:ascii="Palatino Linotype" w:hAnsi="Palatino Linotype"/>
          <w:sz w:val="24"/>
          <w:szCs w:val="24"/>
        </w:rPr>
        <w:t xml:space="preserve"> ante la falta de respuesta por parte de los sujetos obligados a una solicitud de información, dentro de los términos previstos para tal efecto, la presentación del recurso de revisión podrá ser presentado en cualquier momento y que a la letra reza:</w:t>
      </w:r>
    </w:p>
    <w:p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i/>
          <w:iCs/>
        </w:rPr>
        <w:t>“</w:t>
      </w:r>
      <w:r w:rsidRPr="00A147CA">
        <w:rPr>
          <w:rFonts w:ascii="Palatino Linotype" w:hAnsi="Palatino Linotype" w:cs="Arial"/>
          <w:b/>
          <w:bCs/>
          <w:i/>
          <w:iCs/>
        </w:rPr>
        <w:t>Artículo 178</w:t>
      </w:r>
      <w:r w:rsidRPr="00A147CA">
        <w:rPr>
          <w:rFonts w:ascii="Palatino Linotype" w:hAnsi="Palatino Linotype" w:cs="Arial"/>
          <w:i/>
          <w:iC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b/>
          <w:bCs/>
          <w:i/>
          <w:iCs/>
        </w:rPr>
        <w:t>A falta de respuesta del sujeto obligado, dentro de los plazos establecidos en esta Ley, a una solicitud de acceso a la información pública, el recurso podrá ser interpuesto en cualquier momento,</w:t>
      </w:r>
      <w:r w:rsidRPr="00A147CA">
        <w:rPr>
          <w:rFonts w:ascii="Palatino Linotype" w:hAnsi="Palatino Linotype" w:cs="Arial"/>
          <w:i/>
          <w:iCs/>
        </w:rPr>
        <w:t> acompañado con el documento que pruebe la fecha en que presentó la solicitud…”</w:t>
      </w:r>
    </w:p>
    <w:p w:rsidR="00B0008F" w:rsidRPr="00B92BC3" w:rsidRDefault="00B0008F" w:rsidP="00B0008F">
      <w:pPr>
        <w:spacing w:before="100" w:beforeAutospacing="1" w:after="100" w:afterAutospacing="1" w:line="360" w:lineRule="auto"/>
        <w:jc w:val="both"/>
        <w:rPr>
          <w:rFonts w:ascii="Palatino Linotype" w:hAnsi="Palatino Linotype" w:cs="Arial"/>
          <w:sz w:val="24"/>
        </w:rPr>
      </w:pPr>
      <w:r w:rsidRPr="00B92BC3">
        <w:rPr>
          <w:rFonts w:ascii="Palatino Linotype" w:hAnsi="Palatino Linotype" w:cs="Arial"/>
          <w:sz w:val="24"/>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A65C79" w:rsidRDefault="00B0008F" w:rsidP="00A65C79">
      <w:pPr>
        <w:spacing w:before="240" w:line="360" w:lineRule="auto"/>
        <w:ind w:left="708" w:right="51" w:firstLine="1"/>
        <w:jc w:val="both"/>
        <w:rPr>
          <w:rFonts w:ascii="Palatino Linotype" w:hAnsi="Palatino Linotype" w:cs="Arial"/>
          <w:i/>
          <w:iCs/>
        </w:rPr>
      </w:pPr>
      <w:r w:rsidRPr="00A147CA">
        <w:rPr>
          <w:rFonts w:ascii="Palatino Linotype" w:hAnsi="Palatino Linotype" w:cs="Arial"/>
          <w:b/>
          <w:bCs/>
          <w:i/>
          <w:iCs/>
        </w:rPr>
        <w:t>“CRITERIO 0001-15 NEGATIVA FICTA. PLAZO PARA INTERPONER EL RECURSO DE REVISIÓN TRATÁNDOSE DE</w:t>
      </w:r>
      <w:r w:rsidRPr="00A147CA">
        <w:rPr>
          <w:rFonts w:ascii="Palatino Linotype" w:hAnsi="Palatino Linotype" w:cs="Arial"/>
          <w:i/>
          <w:iCs/>
        </w:rPr>
        <w:t xml:space="preserve">. El artículo 48, párrafo tercero de la Ley de Transparencia y Acceso a la Información Pública del Estado de México y Municipios establece </w:t>
      </w:r>
      <w:r w:rsidRPr="00A147CA">
        <w:rPr>
          <w:rFonts w:ascii="Palatino Linotype" w:hAnsi="Palatino Linotype" w:cs="Arial"/>
          <w:i/>
          <w:iCs/>
        </w:rPr>
        <w:lastRenderedPageBreak/>
        <w:t>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0008F" w:rsidRDefault="00B0008F" w:rsidP="00A65C79">
      <w:pPr>
        <w:spacing w:before="240" w:line="360" w:lineRule="auto"/>
        <w:ind w:right="51" w:firstLine="1"/>
        <w:jc w:val="both"/>
        <w:rPr>
          <w:rFonts w:ascii="Palatino Linotype" w:hAnsi="Palatino Linotype"/>
          <w:sz w:val="24"/>
          <w:szCs w:val="24"/>
        </w:rPr>
      </w:pPr>
      <w:r>
        <w:rPr>
          <w:rFonts w:ascii="Palatino Linotype" w:hAnsi="Palatino Linotype"/>
          <w:sz w:val="24"/>
          <w:szCs w:val="24"/>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rsidR="00B0008F" w:rsidRDefault="00B0008F" w:rsidP="00B0008F">
      <w:pPr>
        <w:spacing w:before="240" w:after="240" w:line="360" w:lineRule="auto"/>
        <w:jc w:val="both"/>
        <w:rPr>
          <w:rFonts w:ascii="Palatino Linotype" w:hAnsi="Palatino Linotype" w:cs="Arial"/>
          <w:sz w:val="24"/>
          <w:szCs w:val="24"/>
        </w:rPr>
      </w:pPr>
      <w:r>
        <w:rPr>
          <w:rFonts w:ascii="Palatino Linotype" w:hAnsi="Palatino Linotype"/>
          <w:sz w:val="24"/>
          <w:szCs w:val="24"/>
        </w:rPr>
        <w:t xml:space="preserve">Luego entonces, es importante resalta que </w:t>
      </w:r>
      <w:r>
        <w:rPr>
          <w:rFonts w:ascii="Palatino Linotype" w:hAnsi="Palatino Linotype" w:cs="Arial"/>
          <w:sz w:val="24"/>
          <w:szCs w:val="24"/>
        </w:rPr>
        <w:t>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B0008F" w:rsidRPr="009D787B" w:rsidRDefault="00B0008F" w:rsidP="00B0008F">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lastRenderedPageBreak/>
        <w:t>Resulta indispensable referir que el derecho de acceso a la información pública implica que cualquier persona pueda acceder y conocer la información contenida en los documentos que se</w:t>
      </w:r>
      <w:r>
        <w:rPr>
          <w:rFonts w:ascii="Palatino Linotype" w:hAnsi="Palatino Linotype" w:cs="Arial"/>
          <w:sz w:val="24"/>
          <w:szCs w:val="24"/>
        </w:rPr>
        <w:t xml:space="preserve"> encuentran en posesión de los sujetos o</w:t>
      </w:r>
      <w:r w:rsidRPr="009D787B">
        <w:rPr>
          <w:rFonts w:ascii="Palatino Linotype" w:hAnsi="Palatino Linotype" w:cs="Arial"/>
          <w:sz w:val="24"/>
          <w:szCs w:val="24"/>
        </w:rPr>
        <w:t xml:space="preserve">bligados. </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es la autoridad competente para conocer de dicha solicitud, es decir, si se trata de información que deba generar, administrar o poseer por virtud del ámbito de sus atribuciones.</w:t>
      </w:r>
    </w:p>
    <w:p w:rsidR="00653B08" w:rsidRDefault="00B04652" w:rsidP="00B04652">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 xml:space="preserve">En primer término, es menester establecer la materia de revisión en el presente asunto, </w:t>
      </w:r>
      <w:r w:rsidR="00A65C79">
        <w:rPr>
          <w:rFonts w:ascii="Palatino Linotype" w:hAnsi="Palatino Linotype" w:cs="Arial"/>
          <w:sz w:val="24"/>
          <w:szCs w:val="24"/>
        </w:rPr>
        <w:t>ya que,</w:t>
      </w:r>
      <w:r>
        <w:rPr>
          <w:rFonts w:ascii="Palatino Linotype" w:hAnsi="Palatino Linotype" w:cs="Arial"/>
          <w:sz w:val="24"/>
          <w:szCs w:val="24"/>
        </w:rPr>
        <w:t xml:space="preserve"> del análisis al medio de impugnación, se aprecia que la recurrente señala como razones o motivos de inconformidad</w:t>
      </w:r>
      <w:r w:rsidR="000B3927">
        <w:rPr>
          <w:rFonts w:ascii="Palatino Linotype" w:hAnsi="Palatino Linotype" w:cs="Arial"/>
          <w:sz w:val="24"/>
          <w:szCs w:val="24"/>
        </w:rPr>
        <w:t xml:space="preserve"> medularmente</w:t>
      </w:r>
      <w:r>
        <w:rPr>
          <w:rFonts w:ascii="Palatino Linotype" w:hAnsi="Palatino Linotype" w:cs="Arial"/>
          <w:sz w:val="24"/>
          <w:szCs w:val="24"/>
        </w:rPr>
        <w:t>,</w:t>
      </w:r>
      <w:r w:rsidR="000B3927">
        <w:rPr>
          <w:rFonts w:ascii="Palatino Linotype" w:hAnsi="Palatino Linotype" w:cs="Arial"/>
          <w:sz w:val="24"/>
          <w:szCs w:val="24"/>
        </w:rPr>
        <w:t xml:space="preserve"> “</w:t>
      </w:r>
      <w:r w:rsidR="00820826" w:rsidRPr="00820826">
        <w:rPr>
          <w:rFonts w:ascii="Palatino Linotype" w:hAnsi="Palatino Linotype" w:cs="Arial"/>
          <w:sz w:val="24"/>
          <w:szCs w:val="24"/>
        </w:rPr>
        <w:t>EL DIA 8 DE MAYO, EL H. AYUNTAMIENTO ME INFORMO QUE METIA UNA PRORROGA DE 7 DIAS PARA PROPORCIONARME UNA RESPUESTA, LA PRORROGA VENCIO EL DIA 17 DE MAYO Y A LA FECHA NO ME HAN BRINDADO LA INFORMACIÓN REQUERIDA. OJALA PUEDAN SANCIONAR A LAS PERSONAS RESPONSABLES POR NO QUERER DAR ESTA INFORMACIÓN POR QUE EN VARIAS OCASIONES EH SOLICITADO VARIOS TIPOS DE INFORMACIÓN Y EN TODAS NO ME DAN UNA RESPUESTA.</w:t>
      </w:r>
      <w:r w:rsidR="000B3927">
        <w:rPr>
          <w:rFonts w:ascii="Palatino Linotype" w:hAnsi="Palatino Linotype" w:cs="Arial"/>
          <w:i/>
          <w:sz w:val="24"/>
          <w:szCs w:val="24"/>
        </w:rPr>
        <w:t>”</w:t>
      </w:r>
    </w:p>
    <w:p w:rsidR="000B3927" w:rsidRPr="004E4191" w:rsidRDefault="00BA65E0" w:rsidP="004E4191">
      <w:pPr>
        <w:spacing w:before="240" w:after="240" w:line="360" w:lineRule="auto"/>
        <w:jc w:val="both"/>
        <w:rPr>
          <w:rFonts w:ascii="Palatino Linotype" w:hAnsi="Palatino Linotype" w:cs="Arial"/>
          <w:sz w:val="24"/>
          <w:szCs w:val="24"/>
        </w:rPr>
      </w:pPr>
      <w:r w:rsidRPr="00BC5E09">
        <w:rPr>
          <w:rFonts w:ascii="Palatino Linotype" w:hAnsi="Palatino Linotype" w:cs="Arial"/>
          <w:sz w:val="24"/>
          <w:szCs w:val="24"/>
        </w:rPr>
        <w:t>Por tanto, el hoy recurrente</w:t>
      </w:r>
      <w:r w:rsidR="001F295E">
        <w:rPr>
          <w:rFonts w:ascii="Palatino Linotype" w:hAnsi="Palatino Linotype" w:cs="Arial"/>
          <w:sz w:val="24"/>
          <w:szCs w:val="24"/>
        </w:rPr>
        <w:t xml:space="preserve"> tuvo a bien solicitar información en el tenor siguiente:</w:t>
      </w:r>
    </w:p>
    <w:p w:rsidR="00BA65E0" w:rsidRPr="001F295E" w:rsidRDefault="00EE28A5" w:rsidP="001F295E">
      <w:pPr>
        <w:pStyle w:val="Prrafodelista"/>
        <w:numPr>
          <w:ilvl w:val="0"/>
          <w:numId w:val="21"/>
        </w:numPr>
        <w:spacing w:before="240" w:after="240" w:line="360" w:lineRule="auto"/>
        <w:jc w:val="both"/>
        <w:rPr>
          <w:rFonts w:ascii="Palatino Linotype" w:hAnsi="Palatino Linotype" w:cs="Arial"/>
          <w:szCs w:val="20"/>
        </w:rPr>
      </w:pPr>
      <w:r>
        <w:rPr>
          <w:rFonts w:ascii="Palatino Linotype" w:hAnsi="Palatino Linotype" w:cs="Arial"/>
        </w:rPr>
        <w:t>Nó</w:t>
      </w:r>
      <w:r w:rsidRPr="001F295E">
        <w:rPr>
          <w:rFonts w:ascii="Palatino Linotype" w:hAnsi="Palatino Linotype" w:cs="Arial"/>
        </w:rPr>
        <w:t>mina</w:t>
      </w:r>
      <w:r w:rsidR="001F295E" w:rsidRPr="001F295E">
        <w:rPr>
          <w:rFonts w:ascii="Palatino Linotype" w:hAnsi="Palatino Linotype" w:cs="Arial"/>
        </w:rPr>
        <w:t xml:space="preserve"> de la </w:t>
      </w:r>
      <w:r w:rsidR="004E4191">
        <w:rPr>
          <w:rFonts w:ascii="Palatino Linotype" w:hAnsi="Palatino Linotype" w:cs="Arial"/>
        </w:rPr>
        <w:t>segunda</w:t>
      </w:r>
      <w:r w:rsidR="001F295E" w:rsidRPr="001F295E">
        <w:rPr>
          <w:rFonts w:ascii="Palatino Linotype" w:hAnsi="Palatino Linotype" w:cs="Arial"/>
        </w:rPr>
        <w:t xml:space="preserve"> quincena </w:t>
      </w:r>
      <w:r w:rsidR="000B3927">
        <w:rPr>
          <w:rFonts w:ascii="Palatino Linotype" w:hAnsi="Palatino Linotype" w:cs="Arial"/>
        </w:rPr>
        <w:t>de abril</w:t>
      </w:r>
      <w:r w:rsidR="001F295E" w:rsidRPr="001F295E">
        <w:rPr>
          <w:rFonts w:ascii="Palatino Linotype" w:hAnsi="Palatino Linotype" w:cs="Arial"/>
        </w:rPr>
        <w:t xml:space="preserve"> de 2019</w:t>
      </w:r>
      <w:r w:rsidR="004E4191">
        <w:rPr>
          <w:rFonts w:ascii="Palatino Linotype" w:hAnsi="Palatino Linotype" w:cs="Arial"/>
        </w:rPr>
        <w:t>.</w:t>
      </w:r>
    </w:p>
    <w:p w:rsidR="00EE28A5" w:rsidRPr="004E4191" w:rsidRDefault="00EE28A5" w:rsidP="00EE28A5">
      <w:pPr>
        <w:spacing w:line="360" w:lineRule="auto"/>
        <w:jc w:val="both"/>
        <w:rPr>
          <w:rFonts w:ascii="Palatino Linotype" w:hAnsi="Palatino Linotype" w:cs="Arial"/>
          <w:color w:val="000000" w:themeColor="text1"/>
          <w:sz w:val="24"/>
          <w:szCs w:val="24"/>
        </w:rPr>
      </w:pPr>
      <w:r w:rsidRPr="004E4191">
        <w:rPr>
          <w:rFonts w:ascii="Palatino Linotype" w:hAnsi="Palatino Linotype" w:cs="Arial"/>
          <w:bCs/>
          <w:sz w:val="24"/>
          <w:szCs w:val="24"/>
        </w:rPr>
        <w:t xml:space="preserve">Así pues, ante la negativa de la información, es oportuno resaltar que el ciudadano tiene la oportunidad de inconformarse </w:t>
      </w:r>
      <w:r w:rsidRPr="004E4191">
        <w:rPr>
          <w:rFonts w:ascii="Palatino Linotype" w:hAnsi="Palatino Linotype" w:cs="Arial"/>
          <w:sz w:val="24"/>
          <w:szCs w:val="24"/>
        </w:rPr>
        <w:t xml:space="preserve">en los casos en que estime violentado su derecho; en consecuencia, </w:t>
      </w:r>
      <w:r w:rsidRPr="004E4191">
        <w:rPr>
          <w:rFonts w:ascii="Palatino Linotype" w:hAnsi="Palatino Linotype" w:cs="Arial"/>
          <w:color w:val="000000" w:themeColor="text1"/>
          <w:sz w:val="24"/>
          <w:szCs w:val="24"/>
        </w:rPr>
        <w:t xml:space="preserve">resulta indispensable subrayar que el derecho de acceso a la </w:t>
      </w:r>
      <w:r w:rsidRPr="004E4191">
        <w:rPr>
          <w:rFonts w:ascii="Palatino Linotype" w:hAnsi="Palatino Linotype" w:cs="Arial"/>
          <w:color w:val="000000" w:themeColor="text1"/>
          <w:sz w:val="24"/>
          <w:szCs w:val="24"/>
        </w:rPr>
        <w:lastRenderedPageBreak/>
        <w:t>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EE28A5" w:rsidRPr="00A27566" w:rsidRDefault="00EE28A5" w:rsidP="00EE28A5">
      <w:pPr>
        <w:spacing w:after="0" w:line="360" w:lineRule="auto"/>
        <w:jc w:val="both"/>
        <w:rPr>
          <w:rFonts w:ascii="Palatino Linotype" w:hAnsi="Palatino Linotype" w:cs="Arial"/>
          <w:color w:val="000000" w:themeColor="text1"/>
          <w:sz w:val="6"/>
          <w:szCs w:val="24"/>
        </w:rPr>
      </w:pPr>
    </w:p>
    <w:p w:rsidR="00EE28A5" w:rsidRPr="00A27566" w:rsidRDefault="00EE28A5" w:rsidP="00EE28A5">
      <w:pPr>
        <w:spacing w:before="120" w:after="120" w:line="360" w:lineRule="auto"/>
        <w:ind w:left="851" w:right="851"/>
        <w:jc w:val="both"/>
        <w:rPr>
          <w:rFonts w:ascii="Palatino Linotype" w:hAnsi="Palatino Linotype" w:cs="Arial"/>
          <w:bCs/>
          <w:i/>
          <w:color w:val="000000" w:themeColor="text1"/>
        </w:rPr>
      </w:pPr>
      <w:r w:rsidRPr="00A27566">
        <w:rPr>
          <w:rFonts w:ascii="Palatino Linotype" w:hAnsi="Palatino Linotype" w:cs="Arial"/>
          <w:bCs/>
          <w:i/>
          <w:color w:val="000000" w:themeColor="text1"/>
        </w:rPr>
        <w:t>“</w:t>
      </w:r>
      <w:r w:rsidRPr="00A27566">
        <w:rPr>
          <w:rFonts w:ascii="Palatino Linotype" w:hAnsi="Palatino Linotype" w:cs="Arial"/>
          <w:b/>
          <w:bCs/>
          <w:i/>
          <w:color w:val="000000" w:themeColor="text1"/>
        </w:rPr>
        <w:t xml:space="preserve">Artículo 4. </w:t>
      </w:r>
      <w:r w:rsidRPr="007B167F">
        <w:rPr>
          <w:rFonts w:ascii="Palatino Linotype" w:hAnsi="Palatino Linotype" w:cs="Arial"/>
          <w:b/>
          <w:bCs/>
          <w:i/>
          <w:color w:val="000000" w:themeColor="text1"/>
          <w:u w:val="single"/>
        </w:rPr>
        <w:t>El derecho humano de acceso a la información pública es la prerrogativa de las personas para buscar, difundir, investigar, recabar, recibir y solicitar información pública</w:t>
      </w:r>
      <w:r w:rsidRPr="00A27566">
        <w:rPr>
          <w:rFonts w:ascii="Palatino Linotype" w:hAnsi="Palatino Linotype" w:cs="Arial"/>
          <w:bCs/>
          <w:i/>
          <w:color w:val="000000" w:themeColor="text1"/>
        </w:rPr>
        <w:t>, sin necesidad de acreditar personalidad ni interés jurídico.</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bCs/>
          <w:i/>
          <w:color w:val="000000" w:themeColor="text1"/>
        </w:rPr>
        <w:t xml:space="preserve">Artículo 12. </w:t>
      </w:r>
      <w:r w:rsidRPr="00A27566">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lastRenderedPageBreak/>
        <w:t>Los sujetos obligados sólo proporcionarán la información pública que se les requiera y que obre en sus archivos y en el estado en que ésta se encuentre</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b/>
          <w:bCs/>
          <w:i/>
          <w:color w:val="000000" w:themeColor="text1"/>
        </w:rPr>
      </w:pPr>
      <w:r w:rsidRPr="00A27566">
        <w:rPr>
          <w:rFonts w:ascii="Palatino Linotype" w:hAnsi="Palatino Linotype" w:cs="Arial"/>
          <w:b/>
          <w:bCs/>
          <w:i/>
          <w:color w:val="000000" w:themeColor="text1"/>
        </w:rPr>
        <w:t xml:space="preserve">Artículo 24. </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u w:val="single"/>
        </w:rPr>
      </w:pPr>
      <w:r w:rsidRPr="00A27566">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i/>
          <w:color w:val="000000" w:themeColor="text1"/>
        </w:rPr>
        <w:t>Artículo 160.</w:t>
      </w:r>
      <w:r w:rsidRPr="00A27566">
        <w:rPr>
          <w:rFonts w:ascii="Palatino Linotype" w:hAnsi="Palatino Linotype" w:cs="Arial"/>
          <w:i/>
          <w:color w:val="000000" w:themeColor="text1"/>
        </w:rPr>
        <w:t xml:space="preserve"> </w:t>
      </w:r>
      <w:r w:rsidRPr="00A27566">
        <w:rPr>
          <w:rFonts w:ascii="Palatino Linotype" w:hAnsi="Palatino Linotype" w:cs="Arial"/>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27566">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En caso que la información solicitada consista en bases de datos se deberá privilegiar la entrega de la misma en formatos abiertos.”</w:t>
      </w:r>
    </w:p>
    <w:p w:rsidR="00EE28A5" w:rsidRPr="00A27566" w:rsidRDefault="00EE28A5" w:rsidP="00EE28A5">
      <w:pPr>
        <w:spacing w:after="0" w:line="360" w:lineRule="auto"/>
        <w:ind w:left="851" w:right="851"/>
        <w:jc w:val="right"/>
        <w:rPr>
          <w:rFonts w:ascii="Palatino Linotype" w:hAnsi="Palatino Linotype" w:cs="Arial"/>
          <w:i/>
          <w:color w:val="000000" w:themeColor="text1"/>
        </w:rPr>
      </w:pPr>
      <w:r w:rsidRPr="00A27566">
        <w:rPr>
          <w:rFonts w:ascii="Palatino Linotype" w:hAnsi="Palatino Linotype" w:cs="Arial"/>
          <w:i/>
          <w:color w:val="000000" w:themeColor="text1"/>
        </w:rPr>
        <w:t>(Sic)</w:t>
      </w:r>
      <w:r>
        <w:rPr>
          <w:rFonts w:ascii="Palatino Linotype" w:hAnsi="Palatino Linotype" w:cs="Arial"/>
          <w:i/>
          <w:color w:val="000000" w:themeColor="text1"/>
        </w:rPr>
        <w:t>.</w:t>
      </w:r>
    </w:p>
    <w:p w:rsidR="00EE28A5" w:rsidRPr="005C729F" w:rsidRDefault="00EE28A5" w:rsidP="00EE28A5">
      <w:pPr>
        <w:spacing w:after="0" w:line="360" w:lineRule="auto"/>
        <w:ind w:left="851" w:right="851"/>
        <w:jc w:val="both"/>
        <w:rPr>
          <w:rFonts w:ascii="Palatino Linotype" w:hAnsi="Palatino Linotype" w:cs="Arial"/>
          <w:i/>
          <w:color w:val="000000" w:themeColor="text1"/>
        </w:rPr>
      </w:pPr>
    </w:p>
    <w:p w:rsidR="00EE28A5" w:rsidRDefault="00EE28A5" w:rsidP="00EE28A5">
      <w:pPr>
        <w:spacing w:after="0" w:line="360" w:lineRule="auto"/>
        <w:jc w:val="both"/>
        <w:rPr>
          <w:rFonts w:ascii="Palatino Linotype" w:hAnsi="Palatino Linotype" w:cs="Arial"/>
          <w:color w:val="000000" w:themeColor="text1"/>
          <w:sz w:val="24"/>
          <w:szCs w:val="24"/>
        </w:rPr>
      </w:pPr>
      <w:r w:rsidRPr="005C729F">
        <w:rPr>
          <w:rFonts w:ascii="Palatino Linotype" w:hAnsi="Palatino Linotype" w:cs="Arial"/>
          <w:color w:val="000000" w:themeColor="text1"/>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w:t>
      </w:r>
      <w:r w:rsidRPr="005C729F">
        <w:rPr>
          <w:rFonts w:ascii="Palatino Linotype" w:hAnsi="Palatino Linotype" w:cs="Arial"/>
          <w:color w:val="000000" w:themeColor="text1"/>
          <w:sz w:val="24"/>
          <w:szCs w:val="24"/>
        </w:rPr>
        <w:lastRenderedPageBreak/>
        <w:t xml:space="preserve">el lugar que ésta se localice, de acuerdo a lo señalado por el artículo 166 </w:t>
      </w:r>
      <w:r w:rsidRPr="005C729F">
        <w:rPr>
          <w:rFonts w:ascii="Palatino Linotype" w:hAnsi="Palatino Linotype" w:cs="Arial"/>
          <w:bCs/>
          <w:color w:val="000000" w:themeColor="text1"/>
          <w:sz w:val="24"/>
          <w:szCs w:val="24"/>
        </w:rPr>
        <w:t>de la Ley local en la materia, que se reproduce de la siguiente forma</w:t>
      </w:r>
      <w:r w:rsidRPr="005C729F">
        <w:rPr>
          <w:rFonts w:ascii="Palatino Linotype" w:hAnsi="Palatino Linotype" w:cs="Arial"/>
          <w:color w:val="000000" w:themeColor="text1"/>
          <w:sz w:val="24"/>
          <w:szCs w:val="24"/>
        </w:rPr>
        <w:t>:</w:t>
      </w:r>
    </w:p>
    <w:p w:rsidR="00EE28A5" w:rsidRDefault="00EE28A5" w:rsidP="00EE28A5">
      <w:pPr>
        <w:spacing w:before="240" w:line="360" w:lineRule="auto"/>
        <w:ind w:left="851" w:right="851"/>
        <w:jc w:val="both"/>
        <w:rPr>
          <w:rFonts w:ascii="Palatino Linotype" w:hAnsi="Palatino Linotype" w:cs="Arial"/>
          <w:i/>
          <w:color w:val="000000" w:themeColor="text1"/>
          <w:szCs w:val="24"/>
        </w:rPr>
      </w:pPr>
      <w:r w:rsidRPr="00A27566">
        <w:rPr>
          <w:rFonts w:ascii="Palatino Linotype" w:hAnsi="Palatino Linotype" w:cs="Arial"/>
          <w:b/>
          <w:i/>
          <w:color w:val="000000" w:themeColor="text1"/>
          <w:szCs w:val="24"/>
        </w:rPr>
        <w:t>Artículo 166.</w:t>
      </w:r>
      <w:r w:rsidRPr="00A27566">
        <w:rPr>
          <w:rFonts w:ascii="Palatino Linotype" w:hAnsi="Palatino Linotype" w:cs="Arial"/>
          <w:i/>
          <w:color w:val="000000" w:themeColor="text1"/>
          <w:szCs w:val="24"/>
        </w:rPr>
        <w:t xml:space="preserve"> </w:t>
      </w:r>
      <w:r w:rsidRPr="00A27566">
        <w:rPr>
          <w:rFonts w:ascii="Palatino Linotype" w:hAnsi="Palatino Linotype" w:cs="Arial"/>
          <w:i/>
          <w:color w:val="000000" w:themeColor="text1"/>
          <w:szCs w:val="24"/>
          <w:u w:val="single"/>
        </w:rPr>
        <w:t>La obligación de acceso a la información pública se tendrá por cumplida cuando el solicitante tenga a su disposición la información requerida, o cuando realice la consulta de la misma en el lugar en el que ésta se localice.</w:t>
      </w:r>
    </w:p>
    <w:p w:rsidR="00EE28A5" w:rsidRPr="00027645" w:rsidRDefault="00EE28A5" w:rsidP="00EE28A5">
      <w:pPr>
        <w:spacing w:before="240" w:line="360" w:lineRule="auto"/>
        <w:jc w:val="both"/>
        <w:rPr>
          <w:rFonts w:ascii="Palatino Linotype" w:hAnsi="Palatino Linotype"/>
          <w:sz w:val="24"/>
          <w:szCs w:val="24"/>
        </w:rPr>
      </w:pPr>
      <w:r w:rsidRPr="00027645">
        <w:rPr>
          <w:rFonts w:ascii="Palatino Linotype" w:hAnsi="Palatino Linotype"/>
          <w:sz w:val="24"/>
          <w:szCs w:val="24"/>
        </w:rPr>
        <w:t xml:space="preserve">De lo anterior, conforme a las acciones del </w:t>
      </w:r>
      <w:r w:rsidRPr="00027645">
        <w:rPr>
          <w:rFonts w:ascii="Palatino Linotype" w:hAnsi="Palatino Linotype"/>
          <w:b/>
          <w:sz w:val="24"/>
          <w:szCs w:val="24"/>
        </w:rPr>
        <w:t>Sujeto Obligado</w:t>
      </w:r>
      <w:r w:rsidRPr="00027645">
        <w:rPr>
          <w:rFonts w:ascii="Palatino Linotype" w:hAnsi="Palatino Linotype"/>
          <w:sz w:val="24"/>
          <w:szCs w:val="24"/>
        </w:rPr>
        <w:t xml:space="preserve">, se establece que éste vulnera el derecho de acceso a la información pública del </w:t>
      </w:r>
      <w:r w:rsidRPr="00027645">
        <w:rPr>
          <w:rFonts w:ascii="Palatino Linotype" w:hAnsi="Palatino Linotype"/>
          <w:b/>
          <w:sz w:val="24"/>
          <w:szCs w:val="24"/>
        </w:rPr>
        <w:t>Recurrente</w:t>
      </w:r>
      <w:r w:rsidRPr="00027645">
        <w:rPr>
          <w:rFonts w:ascii="Palatino Linotype" w:hAnsi="Palatino Linotype"/>
          <w:sz w:val="24"/>
          <w:szCs w:val="24"/>
        </w:rPr>
        <w:t xml:space="preserve">, toda vez que no entrega </w:t>
      </w:r>
      <w:r>
        <w:rPr>
          <w:rFonts w:ascii="Palatino Linotype" w:hAnsi="Palatino Linotype"/>
          <w:sz w:val="24"/>
          <w:szCs w:val="24"/>
        </w:rPr>
        <w:t>las documentales requeridas en la</w:t>
      </w:r>
      <w:r w:rsidRPr="00027645">
        <w:rPr>
          <w:rFonts w:ascii="Palatino Linotype" w:hAnsi="Palatino Linotype"/>
          <w:sz w:val="24"/>
          <w:szCs w:val="24"/>
        </w:rPr>
        <w:t xml:space="preserve"> solicitud de información presentada, de conformidad a lo establecido en los artículos 24 fracción XI, y 166 de la ley local en la materia, y que señalan:</w:t>
      </w:r>
    </w:p>
    <w:p w:rsidR="00EE28A5" w:rsidRPr="00630612" w:rsidRDefault="00EE28A5" w:rsidP="00EE28A5">
      <w:pPr>
        <w:spacing w:before="240" w:after="120" w:line="360" w:lineRule="auto"/>
        <w:ind w:left="851" w:right="851"/>
        <w:jc w:val="both"/>
        <w:rPr>
          <w:rFonts w:ascii="Palatino Linotype" w:hAnsi="Palatino Linotype" w:cs="Arial"/>
          <w:i/>
          <w:color w:val="000000" w:themeColor="text1"/>
          <w:szCs w:val="24"/>
        </w:rPr>
      </w:pPr>
      <w:r w:rsidRPr="00630612">
        <w:rPr>
          <w:rFonts w:ascii="Palatino Linotype" w:hAnsi="Palatino Linotype"/>
          <w:szCs w:val="24"/>
        </w:rPr>
        <w:t>A</w:t>
      </w:r>
      <w:r w:rsidRPr="00630612">
        <w:rPr>
          <w:rFonts w:ascii="Palatino Linotype" w:hAnsi="Palatino Linotype" w:cs="Arial"/>
          <w:b/>
          <w:bCs/>
          <w:i/>
          <w:color w:val="000000" w:themeColor="text1"/>
          <w:szCs w:val="24"/>
        </w:rPr>
        <w:t xml:space="preserve">rtículo 24. </w:t>
      </w:r>
      <w:r w:rsidRPr="00630612">
        <w:rPr>
          <w:rFonts w:ascii="Palatino Linotype" w:hAnsi="Palatino Linotype" w:cs="Arial"/>
          <w:i/>
          <w:color w:val="000000" w:themeColor="text1"/>
          <w:szCs w:val="24"/>
          <w:u w:val="single"/>
        </w:rPr>
        <w:t>Para el cumplimiento de los objetivos de esta Ley, los sujetos obligados deberán cumplir con las siguientes obligaciones, según corresponda, de acuerdo a su naturaleza:</w:t>
      </w:r>
    </w:p>
    <w:p w:rsidR="00EE28A5" w:rsidRPr="00630612" w:rsidRDefault="00EE28A5" w:rsidP="00EE28A5">
      <w:pPr>
        <w:spacing w:before="120" w:after="120" w:line="360" w:lineRule="auto"/>
        <w:ind w:left="851" w:right="851"/>
        <w:jc w:val="both"/>
        <w:rPr>
          <w:rFonts w:ascii="Palatino Linotype" w:hAnsi="Palatino Linotype" w:cs="Arial"/>
          <w:i/>
          <w:color w:val="000000" w:themeColor="text1"/>
          <w:szCs w:val="24"/>
        </w:rPr>
      </w:pPr>
      <w:r>
        <w:rPr>
          <w:rFonts w:ascii="Palatino Linotype" w:hAnsi="Palatino Linotype" w:cs="Arial"/>
          <w:bCs/>
          <w:i/>
          <w:color w:val="000000" w:themeColor="text1"/>
          <w:szCs w:val="24"/>
        </w:rPr>
        <w:t>(</w:t>
      </w:r>
      <w:r w:rsidRPr="00630612">
        <w:rPr>
          <w:rFonts w:ascii="Palatino Linotype" w:hAnsi="Palatino Linotype" w:cs="Arial"/>
          <w:bCs/>
          <w:i/>
          <w:color w:val="000000" w:themeColor="text1"/>
          <w:szCs w:val="24"/>
        </w:rPr>
        <w:t>..</w:t>
      </w:r>
      <w:r w:rsidRPr="00630612">
        <w:rPr>
          <w:rFonts w:ascii="Palatino Linotype" w:hAnsi="Palatino Linotype" w:cs="Arial"/>
          <w:i/>
          <w:color w:val="000000" w:themeColor="text1"/>
          <w:szCs w:val="24"/>
        </w:rPr>
        <w:t>.</w:t>
      </w:r>
      <w:r>
        <w:rPr>
          <w:rFonts w:ascii="Palatino Linotype" w:hAnsi="Palatino Linotype" w:cs="Arial"/>
          <w:i/>
          <w:color w:val="000000" w:themeColor="text1"/>
          <w:szCs w:val="24"/>
        </w:rPr>
        <w:t>)</w:t>
      </w:r>
    </w:p>
    <w:p w:rsidR="00EE28A5" w:rsidRPr="005B64BB" w:rsidRDefault="00EE28A5" w:rsidP="00EE28A5">
      <w:pPr>
        <w:spacing w:before="120" w:after="120" w:line="360" w:lineRule="auto"/>
        <w:ind w:left="851" w:right="851"/>
        <w:jc w:val="both"/>
        <w:rPr>
          <w:rFonts w:ascii="Palatino Linotype" w:hAnsi="Palatino Linotype" w:cs="Arial"/>
          <w:bCs/>
          <w:i/>
          <w:color w:val="000000" w:themeColor="text1"/>
          <w:szCs w:val="24"/>
          <w:u w:val="single"/>
        </w:rPr>
      </w:pPr>
      <w:r w:rsidRPr="00630612">
        <w:rPr>
          <w:rFonts w:ascii="Palatino Linotype" w:hAnsi="Palatino Linotype" w:cs="Arial"/>
          <w:b/>
          <w:bCs/>
          <w:i/>
          <w:color w:val="000000" w:themeColor="text1"/>
          <w:szCs w:val="24"/>
        </w:rPr>
        <w:t>XI.</w:t>
      </w:r>
      <w:r w:rsidRPr="00630612">
        <w:rPr>
          <w:rFonts w:ascii="Palatino Linotype" w:hAnsi="Palatino Linotype" w:cs="Arial"/>
          <w:bCs/>
          <w:i/>
          <w:color w:val="000000" w:themeColor="text1"/>
          <w:szCs w:val="24"/>
        </w:rPr>
        <w:t xml:space="preserve"> </w:t>
      </w:r>
      <w:r w:rsidRPr="00630612">
        <w:rPr>
          <w:rFonts w:ascii="Palatino Linotype" w:hAnsi="Palatino Linotype" w:cs="Arial"/>
          <w:bCs/>
          <w:i/>
          <w:color w:val="000000" w:themeColor="text1"/>
          <w:szCs w:val="24"/>
          <w:u w:val="single"/>
        </w:rPr>
        <w:t>Dar acceso a la información pública que le sea requerida, en los términos de la Ley General, esta Ley y demás disposiciones jurídicas aplicables;</w:t>
      </w:r>
    </w:p>
    <w:p w:rsidR="00EE28A5" w:rsidRDefault="00EE28A5" w:rsidP="00470C7E">
      <w:pPr>
        <w:pStyle w:val="Prrafodelista"/>
        <w:spacing w:line="360" w:lineRule="auto"/>
        <w:ind w:left="0"/>
        <w:jc w:val="both"/>
        <w:rPr>
          <w:rFonts w:ascii="Palatino Linotype" w:hAnsi="Palatino Linotype" w:cs="Arial"/>
          <w:bCs/>
        </w:rPr>
      </w:pPr>
    </w:p>
    <w:p w:rsidR="00EE28A5" w:rsidRDefault="00EE28A5" w:rsidP="00470C7E">
      <w:pPr>
        <w:pStyle w:val="Prrafodelista"/>
        <w:spacing w:line="360" w:lineRule="auto"/>
        <w:ind w:left="0"/>
        <w:jc w:val="both"/>
        <w:rPr>
          <w:rFonts w:ascii="Palatino Linotype" w:hAnsi="Palatino Linotype" w:cs="Arial"/>
          <w:bCs/>
          <w:i/>
          <w:iCs/>
        </w:rPr>
      </w:pPr>
      <w:r>
        <w:rPr>
          <w:rFonts w:ascii="Palatino Linotype" w:hAnsi="Palatino Linotype" w:cs="Arial"/>
          <w:bCs/>
        </w:rPr>
        <w:t>Por lo anterior, este órgano garante considera fundadas las razones o motivos de inconformidad del hoy recurrente</w:t>
      </w:r>
      <w:r w:rsidR="000B3927">
        <w:rPr>
          <w:rFonts w:ascii="Palatino Linotype" w:hAnsi="Palatino Linotype" w:cs="Arial"/>
          <w:bCs/>
        </w:rPr>
        <w:t>.</w:t>
      </w:r>
    </w:p>
    <w:p w:rsidR="00BF5825" w:rsidRPr="00BF5825" w:rsidRDefault="00BF5825" w:rsidP="00BF5825">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Ahora bien, el hoy recurrente</w:t>
      </w:r>
      <w:r w:rsidR="00162D04">
        <w:rPr>
          <w:rFonts w:ascii="Palatino Linotype" w:hAnsi="Palatino Linotype" w:cs="Arial"/>
          <w:bCs/>
        </w:rPr>
        <w:t xml:space="preserve"> solicito la</w:t>
      </w:r>
      <w:r>
        <w:rPr>
          <w:rFonts w:ascii="Palatino Linotype" w:hAnsi="Palatino Linotype" w:cs="Arial"/>
          <w:bCs/>
        </w:rPr>
        <w:t xml:space="preserve"> nomina</w:t>
      </w:r>
      <w:r w:rsidR="00162D04">
        <w:rPr>
          <w:rFonts w:ascii="Palatino Linotype" w:hAnsi="Palatino Linotype" w:cs="Arial"/>
          <w:bCs/>
        </w:rPr>
        <w:t xml:space="preserve"> de la segunda quincena del mes de abril de los corrientes, sin embargo, no realizo pronunciamiento de que área la solicitaba por lo que se entiende que lo solicita de</w:t>
      </w:r>
      <w:r w:rsidR="000B3927">
        <w:rPr>
          <w:rFonts w:ascii="Palatino Linotype" w:hAnsi="Palatino Linotype" w:cs="Arial"/>
          <w:bCs/>
        </w:rPr>
        <w:t xml:space="preserve"> todo el personal que labora en el </w:t>
      </w:r>
      <w:r w:rsidR="000B3927">
        <w:rPr>
          <w:rFonts w:ascii="Palatino Linotype" w:hAnsi="Palatino Linotype" w:cs="Arial"/>
          <w:bCs/>
        </w:rPr>
        <w:lastRenderedPageBreak/>
        <w:t xml:space="preserve">ayuntamiento de </w:t>
      </w:r>
      <w:r w:rsidR="00162D04">
        <w:rPr>
          <w:rFonts w:ascii="Palatino Linotype" w:hAnsi="Palatino Linotype" w:cs="Arial"/>
          <w:bCs/>
        </w:rPr>
        <w:t>tonatico</w:t>
      </w:r>
      <w:r>
        <w:rPr>
          <w:rFonts w:ascii="Palatino Linotype" w:hAnsi="Palatino Linotype" w:cs="Arial"/>
          <w:bCs/>
        </w:rPr>
        <w:t>, así pues, se entiende que solicita de toda la administración pública municipal.</w:t>
      </w:r>
    </w:p>
    <w:p w:rsidR="00BF5825" w:rsidRPr="00A00D5E" w:rsidRDefault="00BF5825" w:rsidP="00BF5825">
      <w:pPr>
        <w:spacing w:before="240" w:line="360" w:lineRule="auto"/>
        <w:jc w:val="both"/>
        <w:rPr>
          <w:rFonts w:ascii="Palatino Linotype" w:hAnsi="Palatino Linotype" w:cs="Arial"/>
          <w:sz w:val="24"/>
          <w:szCs w:val="24"/>
          <w:lang w:val="es-ES"/>
        </w:rPr>
      </w:pPr>
      <w:r w:rsidRPr="00A00D5E">
        <w:rPr>
          <w:rFonts w:ascii="Palatino Linotype" w:hAnsi="Palatino Linotype" w:cs="Arial"/>
          <w:color w:val="000000" w:themeColor="text1"/>
          <w:sz w:val="24"/>
          <w:szCs w:val="24"/>
        </w:rPr>
        <w:t xml:space="preserve">Asimismo, y toda vez que la materia elemental de la solicitud de información pública, es referente a los recibos de nómina de todo el personal adscrito al Sujeto Obligado, es preciso señalar que en nuestra legislación no existe como tal una definición de </w:t>
      </w:r>
      <w:r w:rsidRPr="00A00D5E">
        <w:rPr>
          <w:rFonts w:ascii="Palatino Linotype" w:hAnsi="Palatino Linotype" w:cs="Arial"/>
          <w:b/>
          <w:color w:val="000000" w:themeColor="text1"/>
          <w:sz w:val="24"/>
          <w:szCs w:val="24"/>
        </w:rPr>
        <w:t>“</w:t>
      </w:r>
      <w:r w:rsidRPr="00A00D5E">
        <w:rPr>
          <w:rFonts w:ascii="Palatino Linotype" w:hAnsi="Palatino Linotype" w:cs="Arial"/>
          <w:b/>
          <w:color w:val="000000" w:themeColor="text1"/>
          <w:sz w:val="24"/>
          <w:szCs w:val="24"/>
          <w:u w:val="single"/>
        </w:rPr>
        <w:t>nómina</w:t>
      </w:r>
      <w:r w:rsidRPr="00A00D5E">
        <w:rPr>
          <w:rFonts w:ascii="Palatino Linotype" w:hAnsi="Palatino Linotype" w:cs="Arial"/>
          <w:b/>
          <w:color w:val="000000" w:themeColor="text1"/>
          <w:sz w:val="24"/>
          <w:szCs w:val="24"/>
        </w:rPr>
        <w:t>”</w:t>
      </w:r>
      <w:r w:rsidRPr="00A00D5E">
        <w:rPr>
          <w:rFonts w:ascii="Palatino Linotype" w:hAnsi="Palatino Linotype" w:cs="Arial"/>
          <w:color w:val="000000" w:themeColor="text1"/>
          <w:sz w:val="24"/>
          <w:szCs w:val="24"/>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F5825" w:rsidRDefault="00BF5825" w:rsidP="00BF5825">
      <w:pPr>
        <w:spacing w:before="240" w:after="240" w:line="240" w:lineRule="auto"/>
        <w:ind w:left="851" w:right="851"/>
        <w:jc w:val="both"/>
        <w:rPr>
          <w:rFonts w:ascii="Palatino Linotype" w:hAnsi="Palatino Linotype" w:cs="Arial"/>
          <w:b/>
          <w:i/>
          <w:lang w:val="es-ES"/>
        </w:rPr>
      </w:pPr>
      <w:r>
        <w:rPr>
          <w:rFonts w:ascii="Palatino Linotype" w:hAnsi="Palatino Linotype" w:cs="Arial"/>
          <w:b/>
          <w:bCs/>
          <w:i/>
          <w:lang w:val="es-ES"/>
        </w:rPr>
        <w:t xml:space="preserve">“NÓMINA </w:t>
      </w:r>
      <w:r>
        <w:rPr>
          <w:rFonts w:ascii="Palatino Linotype" w:hAnsi="Palatino Linotype" w:cs="Arial"/>
          <w:i/>
          <w:lang w:val="es-ES"/>
        </w:rPr>
        <w:t>Listado general de los trabajadores de una institución, en</w:t>
      </w:r>
      <w:r>
        <w:rPr>
          <w:rFonts w:ascii="Palatino Linotype" w:hAnsi="Palatino Linotype" w:cs="Arial"/>
          <w:b/>
          <w:bCs/>
          <w:i/>
          <w:lang w:val="es-ES"/>
        </w:rPr>
        <w:t xml:space="preserve"> </w:t>
      </w:r>
      <w:r>
        <w:rPr>
          <w:rFonts w:ascii="Palatino Linotype" w:hAnsi="Palatino Linotype" w:cs="Arial"/>
          <w:i/>
          <w:lang w:val="es-ES"/>
        </w:rPr>
        <w:t>el cual se asientan las percepciones brutas, deducciones y</w:t>
      </w:r>
      <w:r>
        <w:rPr>
          <w:rFonts w:ascii="Palatino Linotype" w:hAnsi="Palatino Linotype" w:cs="Arial"/>
          <w:b/>
          <w:bCs/>
          <w:i/>
          <w:lang w:val="es-ES"/>
        </w:rPr>
        <w:t xml:space="preserve"> </w:t>
      </w:r>
      <w:r>
        <w:rPr>
          <w:rFonts w:ascii="Palatino Linotype" w:hAnsi="Palatino Linotype" w:cs="Arial"/>
          <w:i/>
          <w:lang w:val="es-ES"/>
        </w:rPr>
        <w:t xml:space="preserve">alcance neto </w:t>
      </w:r>
      <w:r>
        <w:rPr>
          <w:rFonts w:ascii="Palatino Linotype" w:hAnsi="Palatino Linotype" w:cs="Arial"/>
          <w:i/>
          <w:color w:val="000000"/>
          <w:lang w:val="es-ES"/>
        </w:rPr>
        <w:t>de</w:t>
      </w:r>
      <w:r>
        <w:rPr>
          <w:rFonts w:ascii="Palatino Linotype" w:hAnsi="Palatino Linotype" w:cs="Arial"/>
          <w:i/>
          <w:lang w:val="es-ES"/>
        </w:rPr>
        <w:t xml:space="preserve"> las mismas; la nómina es utilizada para</w:t>
      </w:r>
      <w:r>
        <w:rPr>
          <w:rFonts w:ascii="Palatino Linotype" w:hAnsi="Palatino Linotype" w:cs="Arial"/>
          <w:b/>
          <w:bCs/>
          <w:i/>
          <w:lang w:val="es-ES"/>
        </w:rPr>
        <w:t xml:space="preserve"> </w:t>
      </w:r>
      <w:r>
        <w:rPr>
          <w:rFonts w:ascii="Palatino Linotype" w:hAnsi="Palatino Linotype" w:cs="Arial"/>
          <w:i/>
          <w:lang w:val="es-ES"/>
        </w:rPr>
        <w:t>efectuar los pagos periódicos (semanales, quincenales o</w:t>
      </w:r>
      <w:r>
        <w:rPr>
          <w:rFonts w:ascii="Palatino Linotype" w:hAnsi="Palatino Linotype" w:cs="Arial"/>
          <w:b/>
          <w:bCs/>
          <w:i/>
          <w:lang w:val="es-ES"/>
        </w:rPr>
        <w:t xml:space="preserve"> </w:t>
      </w:r>
      <w:r>
        <w:rPr>
          <w:rFonts w:ascii="Palatino Linotype" w:hAnsi="Palatino Linotype" w:cs="Arial"/>
          <w:i/>
          <w:lang w:val="es-ES"/>
        </w:rPr>
        <w:t>mensuales) a los trabajadores por concepto de sueldos y</w:t>
      </w:r>
      <w:r>
        <w:rPr>
          <w:rFonts w:ascii="Palatino Linotype" w:hAnsi="Palatino Linotype" w:cs="Arial"/>
          <w:b/>
          <w:bCs/>
          <w:i/>
          <w:lang w:val="es-ES"/>
        </w:rPr>
        <w:t xml:space="preserve"> </w:t>
      </w:r>
      <w:r>
        <w:rPr>
          <w:rFonts w:ascii="Palatino Linotype" w:hAnsi="Palatino Linotype" w:cs="Arial"/>
          <w:i/>
          <w:lang w:val="es-ES"/>
        </w:rPr>
        <w:t xml:space="preserve">salarios.” </w:t>
      </w:r>
      <w:r>
        <w:rPr>
          <w:rFonts w:ascii="Palatino Linotype" w:hAnsi="Palatino Linotype" w:cs="Arial"/>
          <w:b/>
          <w:i/>
          <w:lang w:val="es-ES"/>
        </w:rPr>
        <w:t>[Sic]</w:t>
      </w:r>
    </w:p>
    <w:p w:rsidR="00BF5825" w:rsidRPr="00A00D5E" w:rsidRDefault="00BF5825" w:rsidP="00BF5825">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t xml:space="preserve">Por tal motivo, es necesario dejar establecido que es la Tesorería Municipal la instancia competente para dar trámite a las solicitudes de información materia de este recurso; 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lastRenderedPageBreak/>
        <w:t xml:space="preserve">Artículo 93.- </w:t>
      </w:r>
      <w:r w:rsidRPr="00A00D5E">
        <w:rPr>
          <w:rFonts w:ascii="Palatino Linotype" w:eastAsia="Times New Roman" w:hAnsi="Palatino Linotype" w:cs="Arial"/>
          <w:b/>
          <w:i/>
          <w:u w:val="single"/>
          <w:lang w:eastAsia="es-ES"/>
        </w:rPr>
        <w:t xml:space="preserve">La tesorería municipal es </w:t>
      </w:r>
      <w:r w:rsidRPr="00A00D5E">
        <w:rPr>
          <w:rFonts w:ascii="Palatino Linotype" w:eastAsia="Times New Roman" w:hAnsi="Palatino Linotype" w:cs="Arial"/>
          <w:i/>
          <w:lang w:eastAsia="es-ES"/>
        </w:rPr>
        <w:t xml:space="preserve">el órgano encargado de la recaudación de los ingresos municipales y </w:t>
      </w:r>
      <w:r w:rsidRPr="00A00D5E">
        <w:rPr>
          <w:rFonts w:ascii="Palatino Linotype" w:eastAsia="Times New Roman" w:hAnsi="Palatino Linotype" w:cs="Arial"/>
          <w:b/>
          <w:i/>
          <w:u w:val="single"/>
          <w:lang w:eastAsia="es-ES"/>
        </w:rPr>
        <w:t>responsable de realizar las erogaciones que haga el ayuntamiento</w:t>
      </w:r>
      <w:r w:rsidRPr="00A00D5E">
        <w:rPr>
          <w:rFonts w:ascii="Palatino Linotype" w:eastAsia="Times New Roman" w:hAnsi="Palatino Linotype" w:cs="Arial"/>
          <w:i/>
          <w:lang w:eastAsia="es-ES"/>
        </w:rPr>
        <w:t xml:space="preserv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94.- </w:t>
      </w:r>
      <w:r w:rsidRPr="00A00D5E">
        <w:rPr>
          <w:rFonts w:ascii="Palatino Linotype" w:eastAsia="Times New Roman" w:hAnsi="Palatino Linotype" w:cs="Arial"/>
          <w:b/>
          <w:i/>
          <w:u w:val="single"/>
          <w:lang w:eastAsia="es-ES"/>
        </w:rPr>
        <w:t>El tesorero municipal, al tomar posesión de su cargo, recibirá la hacienda pública de acuerdo con las previsiones a que se refiere el artículo 19 de esta Ley</w:t>
      </w:r>
      <w:r w:rsidRPr="00A00D5E">
        <w:rPr>
          <w:rFonts w:ascii="Palatino Linotype" w:eastAsia="Times New Roman" w:hAnsi="Palatino Linotype" w:cs="Arial"/>
          <w:i/>
          <w:lang w:eastAsia="es-ES"/>
        </w:rPr>
        <w:t xml:space="preserve"> y remitirá un ejemplar de dicha documentación al ayuntamiento, al Órgano Superior de Fiscalización del Estado de México y al archivo de la tesorería.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95.- </w:t>
      </w:r>
      <w:r w:rsidRPr="00A00D5E">
        <w:rPr>
          <w:rFonts w:ascii="Palatino Linotype" w:eastAsia="Times New Roman" w:hAnsi="Palatino Linotype" w:cs="Arial"/>
          <w:b/>
          <w:i/>
          <w:u w:val="single"/>
          <w:lang w:eastAsia="es-ES"/>
        </w:rPr>
        <w:t>Son atribuciones del tesorero municipal</w:t>
      </w:r>
      <w:r w:rsidRPr="00A00D5E">
        <w:rPr>
          <w:rFonts w:ascii="Palatino Linotype" w:eastAsia="Times New Roman" w:hAnsi="Palatino Linotype" w:cs="Arial"/>
          <w:i/>
          <w:lang w:eastAsia="es-ES"/>
        </w:rPr>
        <w:t>:</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 </w:t>
      </w:r>
      <w:r w:rsidRPr="00A00D5E">
        <w:rPr>
          <w:rFonts w:ascii="Palatino Linotype" w:eastAsia="Times New Roman" w:hAnsi="Palatino Linotype" w:cs="Arial"/>
          <w:b/>
          <w:i/>
          <w:u w:val="single"/>
          <w:lang w:eastAsia="es-ES"/>
        </w:rPr>
        <w:t>Administrar la hacienda pública municipal, de conformidad con las disposiciones legales aplicables</w:t>
      </w:r>
      <w:r w:rsidRPr="00A00D5E">
        <w:rPr>
          <w:rFonts w:ascii="Palatino Linotype" w:eastAsia="Times New Roman" w:hAnsi="Palatino Linotype" w:cs="Arial"/>
          <w:i/>
          <w:lang w:eastAsia="es-ES"/>
        </w:rPr>
        <w:t xml:space="preserv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III. Imponer las sanciones administrativas que procedan por infracciones a las disposiciones fiscales;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IV. </w:t>
      </w:r>
      <w:r w:rsidRPr="00A00D5E">
        <w:rPr>
          <w:rFonts w:ascii="Palatino Linotype" w:eastAsia="Times New Roman" w:hAnsi="Palatino Linotype" w:cs="Arial"/>
          <w:b/>
          <w:i/>
          <w:u w:val="single"/>
          <w:lang w:eastAsia="es-ES"/>
        </w:rPr>
        <w:t>Llevar los registros contables, financieros y administrativos de los</w:t>
      </w:r>
      <w:r w:rsidRPr="00A00D5E">
        <w:rPr>
          <w:rFonts w:ascii="Palatino Linotype" w:eastAsia="Times New Roman" w:hAnsi="Palatino Linotype" w:cs="Arial"/>
          <w:i/>
          <w:lang w:eastAsia="es-ES"/>
        </w:rPr>
        <w:t xml:space="preserve"> ingresos, </w:t>
      </w:r>
      <w:r w:rsidRPr="00A00D5E">
        <w:rPr>
          <w:rFonts w:ascii="Palatino Linotype" w:eastAsia="Times New Roman" w:hAnsi="Palatino Linotype" w:cs="Arial"/>
          <w:b/>
          <w:i/>
          <w:u w:val="single"/>
          <w:lang w:eastAsia="es-ES"/>
        </w:rPr>
        <w:t>egresos</w:t>
      </w:r>
      <w:r w:rsidRPr="00A00D5E">
        <w:rPr>
          <w:rFonts w:ascii="Palatino Linotype" w:eastAsia="Times New Roman" w:hAnsi="Palatino Linotype" w:cs="Arial"/>
          <w:i/>
          <w:lang w:eastAsia="es-ES"/>
        </w:rPr>
        <w:t xml:space="preserve">, e inventarios;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VI. Presentar anualmente al ayuntamiento un informe de la situación contable financiera de la Tesorería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 Diseñar y aprobar las formas oficiales de manifestaciones, avisos y declaraciones y demás documentos requeridos;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VIII. Participar en la formulación de Convenios Fiscales y ejercer las atribuciones que le correspondan en el ámbito de su competencia;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IX. Proponer al ayuntamiento la cancelación de cuentas incobrables;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 Custodiar y ejercer las garantías que se otorguen en favor de la hacienda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 Proponer la política de ingresos de la tesorería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 Intervenir en la elaboración del programa financiero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XIII. Elaborar y mantener actualizado el Padrón de Contribuyentes;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XIV. Ministrar a su inmediato antecesor todos los datos oficiales que le solicitare, para contestar los pliegos de observaciones y alcances que formule y deduzca el Órgano Superior de Fiscalización del Estado de México;</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 Solicitar a las instancias competentes, la práctica de revisiones circunstanciadas, de conformidad con las normas que rigen en materia de control y evaluación gubernamental en el ámbito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 Glosar oportunamente las cuentas del ayuntamiento;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XVIII. Expedir copias certificadas de los documentos a su cuidado, por acuerdo expreso del Ayuntamiento y cuando se trate de documentación presentada ante el Órgano Superior de Fiscalización del Estado de México;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 Dar cumplimiento a las leyes, convenios de coordinación fiscal y demás que en materia hacendaria celebre el Ayuntamiento con el Estado;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XXI. Entregar oportunamente a él o los Síndicos, según sea el caso, el informe mensual que corresponda, a fin de que se revise, y de ser necesario, para que se formulen las observaciones respectivas. </w:t>
      </w:r>
    </w:p>
    <w:p w:rsidR="00BF5825" w:rsidRPr="00A00D5E" w:rsidRDefault="00BF5825" w:rsidP="00BF5825">
      <w:pPr>
        <w:spacing w:before="240" w:line="360" w:lineRule="auto"/>
        <w:ind w:left="851" w:right="851"/>
        <w:jc w:val="both"/>
        <w:rPr>
          <w:rFonts w:ascii="Palatino Linotype" w:eastAsia="Times New Roman" w:hAnsi="Palatino Linotype" w:cs="Arial"/>
          <w:b/>
          <w:i/>
          <w:sz w:val="24"/>
          <w:szCs w:val="24"/>
          <w:u w:val="single"/>
          <w:lang w:eastAsia="es-ES"/>
        </w:rPr>
      </w:pPr>
      <w:r w:rsidRPr="00A00D5E">
        <w:rPr>
          <w:rFonts w:ascii="Palatino Linotype" w:eastAsia="Times New Roman" w:hAnsi="Palatino Linotype" w:cs="Arial"/>
          <w:i/>
          <w:lang w:eastAsia="es-ES"/>
        </w:rPr>
        <w:t xml:space="preserve">XXII. </w:t>
      </w:r>
      <w:r w:rsidRPr="00A00D5E">
        <w:rPr>
          <w:rFonts w:ascii="Palatino Linotype" w:eastAsia="Times New Roman" w:hAnsi="Palatino Linotype" w:cs="Arial"/>
          <w:b/>
          <w:i/>
          <w:u w:val="single"/>
          <w:lang w:eastAsia="es-ES"/>
        </w:rPr>
        <w:t>Las que les señalen las demás disposiciones legales y el ayuntamiento.</w:t>
      </w:r>
    </w:p>
    <w:p w:rsidR="00BF5825" w:rsidRPr="00A00D5E" w:rsidRDefault="00BF5825" w:rsidP="00BF5825">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t>Es así que, al no encontrarse una disposición específica en el artículo 95 de la Ley en cita que faculte al Tesorero Municipal a elaborar los recibos de nómina, se debe remitir a otros ordenamientos.</w:t>
      </w:r>
    </w:p>
    <w:p w:rsidR="00BF5825" w:rsidRDefault="00BF5825" w:rsidP="00BF5825">
      <w:pPr>
        <w:spacing w:before="240" w:line="360" w:lineRule="auto"/>
        <w:jc w:val="both"/>
        <w:rPr>
          <w:rFonts w:ascii="Palatino Linotype" w:hAnsi="Palatino Linotype" w:cs="Arial"/>
          <w:sz w:val="24"/>
          <w:szCs w:val="24"/>
          <w:lang w:eastAsia="es-MX"/>
        </w:rPr>
      </w:pPr>
      <w:r>
        <w:rPr>
          <w:rFonts w:ascii="Palatino Linotype" w:hAnsi="Palatino Linotype" w:cs="Arial"/>
          <w:sz w:val="24"/>
          <w:szCs w:val="24"/>
        </w:rPr>
        <w:lastRenderedPageBreak/>
        <w:t>Como ya se apuntó, si bien es cierto nuestra legislación no establece la definición de “nómina”,</w:t>
      </w:r>
      <w:r>
        <w:rPr>
          <w:rFonts w:ascii="Palatino Linotype" w:hAnsi="Palatino Linotype" w:cs="Arial"/>
          <w:b/>
          <w:sz w:val="24"/>
          <w:szCs w:val="24"/>
        </w:rPr>
        <w:t xml:space="preserve"> </w:t>
      </w:r>
      <w:r>
        <w:rPr>
          <w:rFonts w:ascii="Palatino Linotype" w:hAnsi="Palatino Linotype" w:cs="Arial"/>
          <w:sz w:val="24"/>
          <w:szCs w:val="24"/>
          <w:lang w:eastAsia="es-MX"/>
        </w:rPr>
        <w:t xml:space="preserve">este término es </w:t>
      </w:r>
      <w:r>
        <w:rPr>
          <w:rFonts w:ascii="Palatino Linotype" w:hAnsi="Palatino Linotype" w:cs="Arial"/>
          <w:sz w:val="24"/>
          <w:szCs w:val="24"/>
        </w:rPr>
        <w:t>mencionado</w:t>
      </w:r>
      <w:r>
        <w:rPr>
          <w:rFonts w:ascii="Palatino Linotype" w:hAnsi="Palatino Linotype" w:cs="Arial"/>
          <w:sz w:val="24"/>
          <w:szCs w:val="24"/>
          <w:lang w:eastAsia="es-MX"/>
        </w:rPr>
        <w:t xml:space="preserve"> en diferentes ordenamientos legales; resultando de nuestro interés el artículo 804 fracción II de la Ley Federal de Trabajo, el cual </w:t>
      </w:r>
      <w:r w:rsidRPr="00A00D5E">
        <w:rPr>
          <w:rFonts w:ascii="Palatino Linotype" w:hAnsi="Palatino Linotype" w:cs="Arial"/>
          <w:sz w:val="24"/>
          <w:szCs w:val="24"/>
          <w:lang w:eastAsia="es-MX"/>
        </w:rPr>
        <w:t>señala lo siguiente</w:t>
      </w:r>
      <w:r>
        <w:rPr>
          <w:rFonts w:ascii="Palatino Linotype" w:hAnsi="Palatino Linotype" w:cs="Arial"/>
          <w:sz w:val="24"/>
          <w:szCs w:val="24"/>
          <w:lang w:eastAsia="es-MX"/>
        </w:rPr>
        <w:t>:</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bCs/>
          <w:i/>
          <w:szCs w:val="20"/>
          <w:lang w:eastAsia="es-MX"/>
        </w:rPr>
        <w:t>“</w:t>
      </w:r>
      <w:r>
        <w:rPr>
          <w:rFonts w:ascii="Palatino Linotype" w:hAnsi="Palatino Linotype" w:cs="Arial"/>
          <w:b/>
          <w:i/>
          <w:szCs w:val="20"/>
          <w:lang w:eastAsia="es-MX"/>
        </w:rPr>
        <w:t>Artículo 804.-</w:t>
      </w:r>
      <w:r>
        <w:rPr>
          <w:rFonts w:ascii="Palatino Linotype" w:hAnsi="Palatino Linotype" w:cs="Arial"/>
          <w:i/>
          <w:szCs w:val="20"/>
          <w:lang w:eastAsia="es-MX"/>
        </w:rPr>
        <w:t xml:space="preserve"> </w:t>
      </w:r>
      <w:r>
        <w:rPr>
          <w:rFonts w:ascii="Palatino Linotype" w:hAnsi="Palatino Linotype" w:cs="Arial"/>
          <w:b/>
          <w:i/>
          <w:szCs w:val="20"/>
          <w:u w:val="single"/>
          <w:lang w:eastAsia="es-MX"/>
        </w:rPr>
        <w:t>El patrón tiene obligación de conservar y exhibir en juicio los documentos que a continuación se precisan</w:t>
      </w:r>
      <w:r>
        <w:rPr>
          <w:rFonts w:ascii="Palatino Linotype" w:hAnsi="Palatino Linotype" w:cs="Arial"/>
          <w:i/>
          <w:szCs w:val="20"/>
          <w:lang w:eastAsia="es-MX"/>
        </w:rPr>
        <w:t xml:space="preserve">: </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 xml:space="preserve">II. </w:t>
      </w:r>
      <w:r>
        <w:rPr>
          <w:rFonts w:ascii="Palatino Linotype" w:hAnsi="Palatino Linotype" w:cs="Arial"/>
          <w:b/>
          <w:i/>
          <w:szCs w:val="20"/>
          <w:u w:val="single"/>
          <w:lang w:eastAsia="es-MX"/>
        </w:rPr>
        <w:t>Listas de raya o nómina de personal</w:t>
      </w:r>
      <w:r>
        <w:rPr>
          <w:rFonts w:ascii="Palatino Linotype" w:hAnsi="Palatino Linotype" w:cs="Arial"/>
          <w:i/>
          <w:szCs w:val="20"/>
          <w:lang w:eastAsia="es-MX"/>
        </w:rPr>
        <w:t xml:space="preserve">, cuando se lleven en el centro de trabajo; o recibos de pagos de salarios; </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rsidR="00BF5825" w:rsidRDefault="00BF5825" w:rsidP="00BF5825">
      <w:pPr>
        <w:spacing w:before="240" w:line="360" w:lineRule="auto"/>
        <w:ind w:left="851" w:right="851"/>
        <w:jc w:val="both"/>
        <w:rPr>
          <w:rFonts w:ascii="Palatino Linotype" w:hAnsi="Palatino Linotype" w:cs="Arial"/>
          <w:b/>
          <w:i/>
          <w:szCs w:val="20"/>
          <w:lang w:eastAsia="es-MX"/>
        </w:rPr>
      </w:pPr>
      <w:r>
        <w:rPr>
          <w:rFonts w:ascii="Palatino Linotype" w:hAnsi="Palatino Linotype" w:cs="Arial"/>
          <w:b/>
          <w:i/>
          <w:szCs w:val="20"/>
          <w:u w:val="single"/>
          <w:lang w:eastAsia="es-MX"/>
        </w:rPr>
        <w:t>Los documentos</w:t>
      </w:r>
      <w:r>
        <w:rPr>
          <w:rFonts w:ascii="Palatino Linotype" w:hAnsi="Palatino Linotype" w:cs="Arial"/>
          <w:i/>
          <w:szCs w:val="20"/>
          <w:lang w:eastAsia="es-MX"/>
        </w:rPr>
        <w:t xml:space="preserve"> señalados en la fracción I </w:t>
      </w:r>
      <w:r>
        <w:rPr>
          <w:rFonts w:ascii="Palatino Linotype" w:hAnsi="Palatino Linotype" w:cs="Arial"/>
          <w:b/>
          <w:i/>
          <w:szCs w:val="20"/>
          <w:u w:val="single"/>
          <w:lang w:eastAsia="es-MX"/>
        </w:rPr>
        <w:t>deberán conservarse</w:t>
      </w:r>
      <w:r>
        <w:rPr>
          <w:rFonts w:ascii="Palatino Linotype" w:hAnsi="Palatino Linotype" w:cs="Arial"/>
          <w:i/>
          <w:szCs w:val="20"/>
          <w:lang w:eastAsia="es-MX"/>
        </w:rPr>
        <w:t xml:space="preserve"> mientras dure la relación laboral y hasta un año después; los </w:t>
      </w:r>
      <w:r>
        <w:rPr>
          <w:rFonts w:ascii="Palatino Linotype" w:hAnsi="Palatino Linotype" w:cs="Arial"/>
          <w:b/>
          <w:i/>
          <w:szCs w:val="20"/>
          <w:u w:val="single"/>
          <w:lang w:eastAsia="es-MX"/>
        </w:rPr>
        <w:t>señalados en las fracciones II</w:t>
      </w:r>
      <w:r>
        <w:rPr>
          <w:rFonts w:ascii="Palatino Linotype" w:hAnsi="Palatino Linotype" w:cs="Arial"/>
          <w:i/>
          <w:szCs w:val="20"/>
          <w:lang w:eastAsia="es-MX"/>
        </w:rPr>
        <w:t xml:space="preserve">, III y IV, </w:t>
      </w:r>
      <w:r>
        <w:rPr>
          <w:rFonts w:ascii="Palatino Linotype" w:hAnsi="Palatino Linotype" w:cs="Arial"/>
          <w:b/>
          <w:i/>
          <w:szCs w:val="20"/>
          <w:u w:val="single"/>
          <w:lang w:eastAsia="es-MX"/>
        </w:rPr>
        <w:t>durante el último año y un año después de que se extinga la relación laboral</w:t>
      </w:r>
      <w:r>
        <w:rPr>
          <w:rFonts w:ascii="Palatino Linotype" w:hAnsi="Palatino Linotype" w:cs="Arial"/>
          <w:i/>
          <w:szCs w:val="20"/>
          <w:lang w:eastAsia="es-MX"/>
        </w:rPr>
        <w:t xml:space="preserve">; y los mencionados en la fracción V, conforme lo señalen las Leyes que los rijan.” </w:t>
      </w:r>
      <w:r>
        <w:rPr>
          <w:rFonts w:ascii="Palatino Linotype" w:hAnsi="Palatino Linotype" w:cs="Arial"/>
          <w:b/>
          <w:i/>
          <w:szCs w:val="20"/>
          <w:lang w:eastAsia="es-MX"/>
        </w:rPr>
        <w:t>[Sic]</w:t>
      </w:r>
    </w:p>
    <w:p w:rsidR="00BF5825" w:rsidRPr="00347D2A" w:rsidRDefault="00BF5825" w:rsidP="00BF5825">
      <w:pPr>
        <w:spacing w:before="240" w:after="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BF5825" w:rsidRPr="00347D2A" w:rsidRDefault="00BF5825" w:rsidP="00BF5825">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igual forma, la Constitución </w:t>
      </w:r>
      <w:r w:rsidRPr="00347D2A">
        <w:rPr>
          <w:rFonts w:ascii="Palatino Linotype" w:eastAsia="Times New Roman" w:hAnsi="Palatino Linotype" w:cs="Arial"/>
          <w:sz w:val="24"/>
          <w:szCs w:val="24"/>
          <w:lang w:eastAsia="es-ES"/>
        </w:rPr>
        <w:t>Política</w:t>
      </w:r>
      <w:r w:rsidRPr="00347D2A">
        <w:rPr>
          <w:rFonts w:ascii="Palatino Linotype" w:eastAsia="Times New Roman" w:hAnsi="Palatino Linotype" w:cs="Times New Roman"/>
          <w:sz w:val="24"/>
          <w:szCs w:val="24"/>
          <w:lang w:eastAsia="es-ES"/>
        </w:rPr>
        <w:t xml:space="preserve"> del Estado Libre y Soberano de México dispone en lo relativo a las remuneraciones de los servidores públicos, lo siguiente:</w:t>
      </w:r>
    </w:p>
    <w:p w:rsidR="00BF5825" w:rsidRPr="00347D2A" w:rsidRDefault="00BF5825" w:rsidP="00BF5825">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Arial"/>
          <w:b/>
          <w:bCs/>
          <w:i/>
          <w:lang w:eastAsia="es-ES"/>
        </w:rPr>
        <w:lastRenderedPageBreak/>
        <w:t xml:space="preserve">Artículo 147.- </w:t>
      </w:r>
      <w:r w:rsidRPr="00347D2A">
        <w:rPr>
          <w:rFonts w:ascii="Palatino Linotype" w:eastAsia="Times New Roman" w:hAnsi="Palatino Linotype" w:cs="Arial"/>
          <w:bCs/>
          <w:i/>
          <w:lang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47D2A">
        <w:rPr>
          <w:rFonts w:ascii="Palatino Linotype" w:eastAsia="Times New Roman" w:hAnsi="Palatino Linotype" w:cs="Arial"/>
          <w:b/>
          <w:bCs/>
          <w:i/>
          <w:lang w:eastAsia="es-ES"/>
        </w:rPr>
        <w:t>los miembros de los ayuntamientos</w:t>
      </w:r>
      <w:r w:rsidRPr="00347D2A">
        <w:rPr>
          <w:rFonts w:ascii="Palatino Linotype" w:eastAsia="Times New Roman" w:hAnsi="Palatino Linotype" w:cs="Arial"/>
          <w:bCs/>
          <w:i/>
          <w:lang w:eastAsia="es-ES"/>
        </w:rPr>
        <w:t xml:space="preserve"> y demás servidores públicos municipales </w:t>
      </w:r>
      <w:r w:rsidRPr="00347D2A">
        <w:rPr>
          <w:rFonts w:ascii="Palatino Linotype" w:eastAsia="Times New Roman" w:hAnsi="Palatino Linotype" w:cs="Arial"/>
          <w:b/>
          <w:bCs/>
          <w:i/>
          <w:lang w:eastAsia="es-ES"/>
        </w:rPr>
        <w:t>recibirán una retribución adecuada</w:t>
      </w:r>
      <w:r w:rsidRPr="00347D2A">
        <w:rPr>
          <w:rFonts w:ascii="Palatino Linotype" w:eastAsia="Times New Roman" w:hAnsi="Palatino Linotype" w:cs="Arial"/>
          <w:bCs/>
          <w:i/>
          <w:lang w:eastAsia="es-ES"/>
        </w:rPr>
        <w:t xml:space="preserve"> e </w:t>
      </w:r>
      <w:r w:rsidRPr="00347D2A">
        <w:rPr>
          <w:rFonts w:ascii="Palatino Linotype" w:eastAsia="Times New Roman" w:hAnsi="Palatino Linotype" w:cs="Arial"/>
          <w:b/>
          <w:bCs/>
          <w:i/>
          <w:lang w:eastAsia="es-ES"/>
        </w:rPr>
        <w:t>irrenunciable por el desempeño de su empleo, cargo o comisión</w:t>
      </w:r>
      <w:r w:rsidRPr="00347D2A">
        <w:rPr>
          <w:rFonts w:ascii="Palatino Linotype" w:eastAsia="Times New Roman" w:hAnsi="Palatino Linotype" w:cs="Arial"/>
          <w:bCs/>
          <w:i/>
          <w:lang w:eastAsia="es-ES"/>
        </w:rPr>
        <w:t xml:space="preserve">, que </w:t>
      </w:r>
      <w:r w:rsidRPr="00347D2A">
        <w:rPr>
          <w:rFonts w:ascii="Palatino Linotype" w:eastAsia="Times New Roman" w:hAnsi="Palatino Linotype" w:cs="Arial"/>
          <w:b/>
          <w:bCs/>
          <w:i/>
          <w:lang w:eastAsia="es-ES"/>
        </w:rPr>
        <w:t>será determinada en el presupuesto de egresos que corresponda.</w:t>
      </w:r>
    </w:p>
    <w:p w:rsidR="00470C7E" w:rsidRPr="009235AB" w:rsidRDefault="00BF5825" w:rsidP="00470C7E">
      <w:pPr>
        <w:pStyle w:val="Prrafodelista"/>
        <w:spacing w:line="360" w:lineRule="auto"/>
        <w:ind w:left="0"/>
        <w:jc w:val="both"/>
        <w:rPr>
          <w:rFonts w:ascii="Palatino Linotype" w:hAnsi="Palatino Linotype" w:cs="Arial"/>
        </w:rPr>
      </w:pPr>
      <w:r>
        <w:rPr>
          <w:rFonts w:ascii="Palatino Linotype" w:hAnsi="Palatino Linotype" w:cs="Arial"/>
          <w:bCs/>
        </w:rPr>
        <w:t>En ese contexto</w:t>
      </w:r>
      <w:r w:rsidR="00470C7E" w:rsidRPr="009235AB">
        <w:rPr>
          <w:rFonts w:ascii="Palatino Linotype" w:hAnsi="Palatino Linotype" w:cs="Arial"/>
          <w:bCs/>
        </w:rPr>
        <w:t xml:space="preserve">, el </w:t>
      </w:r>
      <w:r w:rsidR="00470C7E" w:rsidRPr="009235AB">
        <w:rPr>
          <w:rFonts w:ascii="Palatino Linotype" w:hAnsi="Palatino Linotype" w:cs="Arial"/>
        </w:rPr>
        <w:t xml:space="preserve">artículo 3, fracción XXXII del </w:t>
      </w:r>
      <w:r w:rsidR="00470C7E" w:rsidRPr="009235AB">
        <w:rPr>
          <w:rFonts w:ascii="Palatino Linotype" w:hAnsi="Palatino Linotype" w:cs="Arial"/>
          <w:b/>
        </w:rPr>
        <w:t xml:space="preserve">Código Financiero del Estado de México y Municipios </w:t>
      </w:r>
      <w:r w:rsidR="00470C7E" w:rsidRPr="009235AB">
        <w:rPr>
          <w:rFonts w:ascii="Palatino Linotype" w:hAnsi="Palatino Linotype" w:cs="Arial"/>
        </w:rPr>
        <w:t>establece lo siguiente:</w:t>
      </w:r>
    </w:p>
    <w:p w:rsidR="00470C7E" w:rsidRPr="009235AB" w:rsidRDefault="00470C7E" w:rsidP="00470C7E">
      <w:pPr>
        <w:pStyle w:val="Prrafodelista"/>
        <w:spacing w:line="360" w:lineRule="auto"/>
        <w:ind w:left="567" w:right="567"/>
        <w:jc w:val="both"/>
        <w:rPr>
          <w:rFonts w:ascii="Palatino Linotype" w:hAnsi="Palatino Linotype" w:cs="Arial"/>
        </w:rPr>
      </w:pPr>
    </w:p>
    <w:p w:rsidR="00470C7E" w:rsidRPr="009235AB" w:rsidRDefault="00470C7E" w:rsidP="00470C7E">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470C7E" w:rsidRPr="009235AB" w:rsidRDefault="00470C7E" w:rsidP="00470C7E">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470C7E" w:rsidRPr="009235AB" w:rsidRDefault="00470C7E" w:rsidP="00470C7E">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470C7E" w:rsidRPr="009235AB" w:rsidRDefault="00470C7E" w:rsidP="00470C7E">
      <w:pPr>
        <w:pStyle w:val="Prrafodelista"/>
        <w:ind w:left="851" w:right="992"/>
        <w:jc w:val="both"/>
        <w:rPr>
          <w:rFonts w:ascii="Palatino Linotype" w:hAnsi="Palatino Linotype"/>
          <w:b/>
          <w:i/>
        </w:rPr>
      </w:pPr>
      <w:r w:rsidRPr="009235AB">
        <w:rPr>
          <w:rFonts w:ascii="Palatino Linotype" w:hAnsi="Palatino Linotype"/>
          <w:b/>
          <w:i/>
        </w:rPr>
        <w:t>(…)</w:t>
      </w:r>
    </w:p>
    <w:p w:rsidR="00470C7E" w:rsidRPr="009235AB" w:rsidRDefault="00470C7E" w:rsidP="00470C7E">
      <w:pPr>
        <w:pStyle w:val="Prrafodelista"/>
        <w:spacing w:line="360" w:lineRule="auto"/>
        <w:ind w:left="0"/>
        <w:jc w:val="both"/>
        <w:rPr>
          <w:rFonts w:ascii="Palatino Linotype" w:hAnsi="Palatino Linotype" w:cs="Arial"/>
        </w:rPr>
      </w:pPr>
    </w:p>
    <w:p w:rsidR="00470C7E" w:rsidRPr="009235AB"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w:t>
      </w:r>
      <w:r w:rsidRPr="009235AB">
        <w:rPr>
          <w:rFonts w:ascii="Palatino Linotype" w:hAnsi="Palatino Linotype" w:cs="Arial"/>
        </w:rPr>
        <w:lastRenderedPageBreak/>
        <w:t>motivo del cargo desempeñado; remuneraciones que según el texto constitucional serán públicas.</w:t>
      </w:r>
    </w:p>
    <w:p w:rsidR="00470C7E"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470C7E" w:rsidRPr="009235AB" w:rsidRDefault="00470C7E" w:rsidP="007E1AE4">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470C7E" w:rsidRPr="009235AB" w:rsidRDefault="00470C7E" w:rsidP="007E1AE4">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470C7E" w:rsidRPr="009235AB" w:rsidRDefault="00470C7E" w:rsidP="007E1AE4">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470C7E" w:rsidRPr="009235AB" w:rsidRDefault="00470C7E" w:rsidP="007E1AE4">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w:t>
      </w:r>
      <w:r w:rsidRPr="009235AB">
        <w:rPr>
          <w:rFonts w:ascii="Palatino Linotype" w:hAnsi="Palatino Linotype"/>
          <w:b/>
          <w:bCs/>
          <w:i/>
          <w:u w:val="single"/>
        </w:rPr>
        <w:lastRenderedPageBreak/>
        <w:t>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470C7E"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7E1AE4" w:rsidRPr="00347D2A" w:rsidRDefault="007E1AE4" w:rsidP="007E1AE4">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7E1AE4" w:rsidRPr="00347D2A" w:rsidRDefault="007E1AE4" w:rsidP="007E1AE4">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Ahora bien, el artículo 350 del Código Financiero del Estado de México dispone lo que se transcribe a continuación:</w:t>
      </w:r>
    </w:p>
    <w:p w:rsidR="007E1AE4" w:rsidRPr="00347D2A" w:rsidRDefault="007E1AE4" w:rsidP="007E1AE4">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Times New Roman"/>
          <w:b/>
          <w:i/>
          <w:lang w:eastAsia="es-ES"/>
        </w:rPr>
        <w:lastRenderedPageBreak/>
        <w:t>Artículo 350.-</w:t>
      </w:r>
      <w:r w:rsidRPr="00347D2A">
        <w:rPr>
          <w:rFonts w:ascii="Palatino Linotype" w:eastAsia="Times New Roman" w:hAnsi="Palatino Linotype" w:cs="Times New Roman"/>
          <w:i/>
          <w:lang w:eastAsia="es-ES"/>
        </w:rPr>
        <w:t xml:space="preserve"> Mensualmente dentro de los primeros veinte días hábiles, la Secretaría y las Tesorerías, enviarán para su análisis y evaluación al Órgano Superior de </w:t>
      </w:r>
      <w:r w:rsidRPr="00347D2A">
        <w:rPr>
          <w:rFonts w:ascii="Palatino Linotype" w:eastAsia="Times New Roman" w:hAnsi="Palatino Linotype" w:cs="Arial"/>
          <w:bCs/>
          <w:i/>
          <w:lang w:eastAsia="es-ES"/>
        </w:rPr>
        <w:t xml:space="preserve">Fiscalización del Estado de México, la siguiente información: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patrimonial.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presupuestal.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de la obra pública.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i/>
          <w:lang w:eastAsia="es-ES"/>
        </w:rPr>
      </w:pPr>
      <w:r w:rsidRPr="00347D2A">
        <w:rPr>
          <w:rFonts w:ascii="Palatino Linotype" w:eastAsia="Times New Roman" w:hAnsi="Palatino Linotype" w:cs="Arial"/>
          <w:b/>
          <w:bCs/>
          <w:i/>
          <w:u w:val="single"/>
          <w:lang w:eastAsia="es-ES"/>
        </w:rPr>
        <w:t>Información de nómina</w:t>
      </w:r>
      <w:r w:rsidRPr="00347D2A">
        <w:rPr>
          <w:rFonts w:ascii="Palatino Linotype" w:eastAsia="Times New Roman" w:hAnsi="Palatino Linotype" w:cs="Arial"/>
          <w:bCs/>
          <w:i/>
          <w:lang w:eastAsia="es-ES"/>
        </w:rPr>
        <w:t>.</w:t>
      </w:r>
    </w:p>
    <w:p w:rsidR="007E1AE4" w:rsidRPr="007E1AE4" w:rsidRDefault="007E1AE4" w:rsidP="0009633E">
      <w:pPr>
        <w:spacing w:before="240" w:line="360" w:lineRule="auto"/>
        <w:jc w:val="both"/>
        <w:rPr>
          <w:rFonts w:ascii="Palatino Linotype" w:eastAsia="MS Mincho" w:hAnsi="Palatino Linotype" w:cs="Tahoma"/>
          <w:sz w:val="24"/>
          <w:szCs w:val="24"/>
          <w:lang w:val="es-ES_tradnl"/>
        </w:rPr>
      </w:pPr>
      <w:r w:rsidRPr="007E1AE4">
        <w:rPr>
          <w:rFonts w:ascii="Palatino Linotype" w:eastAsia="Times New Roman" w:hAnsi="Palatino Linotype" w:cs="Times New Roman"/>
          <w:sz w:val="24"/>
          <w:szCs w:val="24"/>
        </w:rPr>
        <w:t xml:space="preserve">De igual forma, </w:t>
      </w:r>
      <w:r w:rsidRPr="007E1AE4">
        <w:rPr>
          <w:rFonts w:ascii="Palatino Linotype" w:eastAsia="MS Mincho" w:hAnsi="Palatino Linotype" w:cs="Arial"/>
          <w:sz w:val="24"/>
          <w:szCs w:val="24"/>
          <w:lang w:val="es-ES_tradnl"/>
        </w:rPr>
        <w:t xml:space="preserve">las </w:t>
      </w:r>
      <w:r w:rsidRPr="007E1AE4">
        <w:rPr>
          <w:rFonts w:ascii="Palatino Linotype" w:eastAsia="Times New Roman" w:hAnsi="Palatino Linotype" w:cs="Arial"/>
          <w:sz w:val="24"/>
          <w:szCs w:val="24"/>
        </w:rPr>
        <w:t>disposiciones</w:t>
      </w:r>
      <w:r w:rsidRPr="007E1AE4">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7E1AE4">
        <w:rPr>
          <w:rFonts w:ascii="Palatino Linotype" w:eastAsia="MS Mincho" w:hAnsi="Palatino Linotype" w:cs="Tahoma"/>
          <w:sz w:val="24"/>
          <w:szCs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BB1BD5" w:rsidRDefault="00BB1BD5" w:rsidP="00BB1BD5">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lastRenderedPageBreak/>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BB1BD5" w:rsidRDefault="00BB1BD5" w:rsidP="00BB1BD5">
      <w:pPr>
        <w:widowControl w:val="0"/>
        <w:autoSpaceDE w:val="0"/>
        <w:autoSpaceDN w:val="0"/>
        <w:adjustRightInd w:val="0"/>
        <w:spacing w:after="0" w:line="360" w:lineRule="auto"/>
        <w:jc w:val="both"/>
        <w:rPr>
          <w:noProof/>
          <w:lang w:eastAsia="es-MX"/>
        </w:rPr>
      </w:pPr>
    </w:p>
    <w:p w:rsidR="00BB1BD5" w:rsidRPr="002549B2" w:rsidRDefault="00BB1BD5" w:rsidP="00BB1BD5">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0528" behindDoc="0" locked="0" layoutInCell="1" allowOverlap="1" wp14:anchorId="07A4847F" wp14:editId="4D7B9F94">
                <wp:simplePos x="0" y="0"/>
                <wp:positionH relativeFrom="column">
                  <wp:posOffset>691515</wp:posOffset>
                </wp:positionH>
                <wp:positionV relativeFrom="paragraph">
                  <wp:posOffset>1605915</wp:posOffset>
                </wp:positionV>
                <wp:extent cx="4257675" cy="2381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7717B" id="Rectángulo 13" o:spid="_x0000_s1026" style="position:absolute;margin-left:54.45pt;margin-top:126.45pt;width:335.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" filled="f" strokecolor="red" strokeweight="2.25pt"/>
            </w:pict>
          </mc:Fallback>
        </mc:AlternateContent>
      </w:r>
      <w:r>
        <w:rPr>
          <w:noProof/>
          <w:lang w:eastAsia="es-MX"/>
        </w:rPr>
        <mc:AlternateContent>
          <mc:Choice Requires="wps">
            <w:drawing>
              <wp:anchor distT="0" distB="0" distL="114300" distR="114300" simplePos="0" relativeHeight="251668480" behindDoc="0" locked="0" layoutInCell="1" allowOverlap="1" wp14:anchorId="1AA5C763" wp14:editId="64DED38A">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046DC4" id="Rectángulo 11" o:spid="_x0000_s1026" style="position:absolute;margin-left:53.7pt;margin-top:167.9pt;width:335.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67456" behindDoc="0" locked="0" layoutInCell="1" allowOverlap="1" wp14:anchorId="53664646" wp14:editId="15A2CFE9">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C3E06" id="Rectángulo 14" o:spid="_x0000_s1026" style="position:absolute;margin-left:54.45pt;margin-top:-.1pt;width:330pt;height: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Miog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" filled="f" strokecolor="red" strokeweight="2.25pt"/>
            </w:pict>
          </mc:Fallback>
        </mc:AlternateContent>
      </w:r>
      <w:r>
        <w:rPr>
          <w:noProof/>
          <w:lang w:eastAsia="es-MX"/>
        </w:rPr>
        <w:drawing>
          <wp:inline distT="0" distB="0" distL="0" distR="0" wp14:anchorId="220EE760" wp14:editId="30CF1D86">
            <wp:extent cx="4191000" cy="27090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rsidR="00BB1BD5" w:rsidRPr="002549B2" w:rsidRDefault="00BB1BD5" w:rsidP="00BB1BD5">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14:anchorId="14AC7ABE" wp14:editId="37ED956E">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998656" id="Rectángulo 5" o:spid="_x0000_s1026" style="position:absolute;margin-left:14.7pt;margin-top:125.8pt;width:404.25pt;height:5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" filled="f" strokecolor="red" strokeweight="2.25pt"/>
            </w:pict>
          </mc:Fallback>
        </mc:AlternateContent>
      </w:r>
      <w:r>
        <w:rPr>
          <w:noProof/>
          <w:lang w:eastAsia="es-MX"/>
        </w:rPr>
        <mc:AlternateContent>
          <mc:Choice Requires="wps">
            <w:drawing>
              <wp:anchor distT="0" distB="0" distL="114300" distR="114300" simplePos="0" relativeHeight="251669504" behindDoc="0" locked="0" layoutInCell="1" allowOverlap="1" wp14:anchorId="308A5E99" wp14:editId="475BF1EB">
                <wp:simplePos x="0" y="0"/>
                <wp:positionH relativeFrom="column">
                  <wp:posOffset>186690</wp:posOffset>
                </wp:positionH>
                <wp:positionV relativeFrom="paragraph">
                  <wp:posOffset>3159760</wp:posOffset>
                </wp:positionV>
                <wp:extent cx="5133975" cy="74295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182D6" id="Rectángulo 15" o:spid="_x0000_s1026" style="position:absolute;margin-left:14.7pt;margin-top:248.8pt;width:404.25pt;height:5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" filled="f" strokecolor="red" strokeweight="2.25pt"/>
            </w:pict>
          </mc:Fallback>
        </mc:AlternateContent>
      </w:r>
      <w:r>
        <w:rPr>
          <w:noProof/>
          <w:lang w:eastAsia="es-MX"/>
        </w:rPr>
        <w:drawing>
          <wp:inline distT="0" distB="0" distL="0" distR="0" wp14:anchorId="2D5C9226" wp14:editId="535F841C">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BB1BD5" w:rsidRPr="00EC3545" w:rsidRDefault="00BB1BD5" w:rsidP="00BB1BD5">
      <w:pPr>
        <w:widowControl w:val="0"/>
        <w:autoSpaceDE w:val="0"/>
        <w:autoSpaceDN w:val="0"/>
        <w:adjustRightInd w:val="0"/>
        <w:spacing w:after="0" w:line="360" w:lineRule="auto"/>
        <w:jc w:val="both"/>
        <w:rPr>
          <w:rFonts w:ascii="Palatino Linotype" w:hAnsi="Palatino Linotype" w:cs="Arial"/>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25C0AE1" wp14:editId="701A1202">
            <wp:extent cx="5612130" cy="4345114"/>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3331C060" wp14:editId="16AE0136">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2C714265" wp14:editId="100CE500">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59B9EF57" wp14:editId="4D1FBB3D">
            <wp:extent cx="5638800" cy="45773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rsidR="00BB1BD5" w:rsidRPr="00EC3545" w:rsidRDefault="00BB1BD5" w:rsidP="00BB1BD5">
      <w:pPr>
        <w:widowControl w:val="0"/>
        <w:autoSpaceDE w:val="0"/>
        <w:autoSpaceDN w:val="0"/>
        <w:adjustRightInd w:val="0"/>
        <w:spacing w:after="0" w:line="360" w:lineRule="auto"/>
        <w:jc w:val="center"/>
        <w:rPr>
          <w:rFonts w:ascii="Palatino Linotype" w:hAnsi="Palatino Linotype" w:cs="Arial"/>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Pr="00EC3545" w:rsidRDefault="00BB1BD5" w:rsidP="00BB1BD5">
      <w:pPr>
        <w:widowControl w:val="0"/>
        <w:autoSpaceDE w:val="0"/>
        <w:autoSpaceDN w:val="0"/>
        <w:adjustRightInd w:val="0"/>
        <w:spacing w:after="0" w:line="360" w:lineRule="auto"/>
        <w:jc w:val="center"/>
        <w:rPr>
          <w:rFonts w:ascii="Palatino Linotype" w:hAnsi="Palatino Linotype" w:cs="Arial"/>
          <w:color w:val="000000" w:themeColor="text1"/>
          <w:sz w:val="24"/>
          <w:szCs w:val="24"/>
        </w:rPr>
      </w:pPr>
    </w:p>
    <w:p w:rsidR="00BB1BD5" w:rsidRPr="002549B2"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toda vez que la Recurrente solicitó l</w:t>
      </w:r>
      <w:r w:rsidR="00162D04">
        <w:rPr>
          <w:rFonts w:ascii="Palatino Linotype" w:hAnsi="Palatino Linotype" w:cs="Arial"/>
          <w:color w:val="000000" w:themeColor="text1"/>
          <w:sz w:val="24"/>
          <w:szCs w:val="24"/>
        </w:rPr>
        <w:t>a</w:t>
      </w:r>
      <w:r>
        <w:rPr>
          <w:rFonts w:ascii="Palatino Linotype" w:hAnsi="Palatino Linotype" w:cs="Arial"/>
          <w:color w:val="000000" w:themeColor="text1"/>
          <w:sz w:val="24"/>
          <w:szCs w:val="24"/>
        </w:rPr>
        <w:t xml:space="preserve"> nómina de todos los integrantes de la administración pública municipal, esto debe entenderse en su término más amplio, por lo que es agible colegir que requiere l</w:t>
      </w:r>
      <w:r w:rsidR="00162D04">
        <w:rPr>
          <w:rFonts w:ascii="Palatino Linotype" w:hAnsi="Palatino Linotype" w:cs="Arial"/>
          <w:color w:val="000000" w:themeColor="text1"/>
          <w:sz w:val="24"/>
          <w:szCs w:val="24"/>
        </w:rPr>
        <w:t>a</w:t>
      </w:r>
      <w:r>
        <w:rPr>
          <w:rFonts w:ascii="Palatino Linotype" w:hAnsi="Palatino Linotype" w:cs="Arial"/>
          <w:color w:val="000000" w:themeColor="text1"/>
          <w:sz w:val="24"/>
          <w:szCs w:val="24"/>
        </w:rPr>
        <w:t xml:space="preserve"> nómina de todos los servidores públicos adscritos a las dependencias de la Administración Pública Municipal y organismos descentralizados, al respecto, los  artículos 3</w:t>
      </w:r>
      <w:r w:rsidR="00162D04">
        <w:rPr>
          <w:rFonts w:ascii="Palatino Linotype" w:hAnsi="Palatino Linotype" w:cs="Arial"/>
          <w:color w:val="000000" w:themeColor="text1"/>
          <w:sz w:val="24"/>
          <w:szCs w:val="24"/>
        </w:rPr>
        <w:t>1</w:t>
      </w:r>
      <w:r w:rsidR="00893900">
        <w:rPr>
          <w:rFonts w:ascii="Palatino Linotype" w:hAnsi="Palatino Linotype" w:cs="Arial"/>
          <w:color w:val="000000" w:themeColor="text1"/>
          <w:sz w:val="24"/>
          <w:szCs w:val="24"/>
        </w:rPr>
        <w:t>, 3</w:t>
      </w:r>
      <w:r w:rsidR="00162D04">
        <w:rPr>
          <w:rFonts w:ascii="Palatino Linotype" w:hAnsi="Palatino Linotype" w:cs="Arial"/>
          <w:color w:val="000000" w:themeColor="text1"/>
          <w:sz w:val="24"/>
          <w:szCs w:val="24"/>
        </w:rPr>
        <w:t>3</w:t>
      </w:r>
      <w:r w:rsidR="00893900">
        <w:rPr>
          <w:rFonts w:ascii="Palatino Linotype" w:hAnsi="Palatino Linotype" w:cs="Arial"/>
          <w:color w:val="000000" w:themeColor="text1"/>
          <w:sz w:val="24"/>
          <w:szCs w:val="24"/>
        </w:rPr>
        <w:t>, 3</w:t>
      </w:r>
      <w:r w:rsidR="00162D04">
        <w:rPr>
          <w:rFonts w:ascii="Palatino Linotype" w:hAnsi="Palatino Linotype" w:cs="Arial"/>
          <w:color w:val="000000" w:themeColor="text1"/>
          <w:sz w:val="24"/>
          <w:szCs w:val="24"/>
        </w:rPr>
        <w:t>5</w:t>
      </w:r>
      <w:r w:rsidR="00893900">
        <w:rPr>
          <w:rFonts w:ascii="Palatino Linotype" w:hAnsi="Palatino Linotype" w:cs="Arial"/>
          <w:color w:val="000000" w:themeColor="text1"/>
          <w:sz w:val="24"/>
          <w:szCs w:val="24"/>
        </w:rPr>
        <w:t xml:space="preserve"> y 3</w:t>
      </w:r>
      <w:r w:rsidR="00162D04">
        <w:rPr>
          <w:rFonts w:ascii="Palatino Linotype" w:hAnsi="Palatino Linotype" w:cs="Arial"/>
          <w:color w:val="000000" w:themeColor="text1"/>
          <w:sz w:val="24"/>
          <w:szCs w:val="24"/>
        </w:rPr>
        <w:t>6</w:t>
      </w:r>
      <w:r>
        <w:rPr>
          <w:rFonts w:ascii="Palatino Linotype" w:hAnsi="Palatino Linotype" w:cs="Arial"/>
          <w:color w:val="000000" w:themeColor="text1"/>
          <w:sz w:val="24"/>
          <w:szCs w:val="24"/>
        </w:rPr>
        <w:t xml:space="preserve"> del Bando Municipal de T</w:t>
      </w:r>
      <w:r w:rsidR="00162D04">
        <w:rPr>
          <w:rFonts w:ascii="Palatino Linotype" w:hAnsi="Palatino Linotype" w:cs="Arial"/>
          <w:color w:val="000000" w:themeColor="text1"/>
          <w:sz w:val="24"/>
          <w:szCs w:val="24"/>
        </w:rPr>
        <w:t>onatic</w:t>
      </w:r>
      <w:r>
        <w:rPr>
          <w:rFonts w:ascii="Palatino Linotype" w:hAnsi="Palatino Linotype" w:cs="Arial"/>
          <w:color w:val="000000" w:themeColor="text1"/>
          <w:sz w:val="24"/>
          <w:szCs w:val="24"/>
        </w:rPr>
        <w:t>o 2019, establecen lo siguiente:</w:t>
      </w:r>
    </w:p>
    <w:p w:rsidR="00162D04" w:rsidRPr="00162D04" w:rsidRDefault="00162D04" w:rsidP="00162D04">
      <w:pPr>
        <w:spacing w:before="100" w:beforeAutospacing="1" w:after="100" w:afterAutospacing="1" w:line="360" w:lineRule="auto"/>
        <w:ind w:left="360"/>
        <w:jc w:val="both"/>
        <w:rPr>
          <w:rFonts w:ascii="Palatino" w:eastAsia="Times New Roman" w:hAnsi="Palatino" w:cs="Times New Roman"/>
          <w:i/>
          <w:sz w:val="36"/>
          <w:szCs w:val="24"/>
          <w:lang w:eastAsia="es-ES_tradnl"/>
        </w:rPr>
      </w:pPr>
      <w:r w:rsidRPr="00162D04">
        <w:rPr>
          <w:rFonts w:ascii="Palatino" w:eastAsia="Times New Roman" w:hAnsi="Palatino" w:cs="Times New Roman"/>
          <w:i/>
          <w:color w:val="0C0C0C"/>
          <w:szCs w:val="18"/>
          <w:lang w:eastAsia="es-ES_tradnl"/>
        </w:rPr>
        <w:t xml:space="preserve">ARTÍCULO 31.- Son Autoridades Municipales: </w:t>
      </w:r>
      <w:r w:rsidRPr="00162D04">
        <w:rPr>
          <w:rFonts w:ascii="Palatino" w:eastAsia="Times New Roman" w:hAnsi="Palatino" w:cs="Arial"/>
          <w:b/>
          <w:bCs/>
          <w:i/>
          <w:color w:val="0C0C0C"/>
          <w:sz w:val="24"/>
          <w:szCs w:val="20"/>
          <w:lang w:eastAsia="es-ES_tradnl"/>
        </w:rPr>
        <w:t xml:space="preserve"> </w:t>
      </w:r>
    </w:p>
    <w:p w:rsidR="00162D04" w:rsidRPr="00162D04" w:rsidRDefault="00162D04" w:rsidP="00162D04">
      <w:pPr>
        <w:pStyle w:val="Prrafodelista"/>
        <w:numPr>
          <w:ilvl w:val="0"/>
          <w:numId w:val="24"/>
        </w:numPr>
        <w:spacing w:before="100" w:beforeAutospacing="1" w:after="100" w:afterAutospacing="1" w:line="360" w:lineRule="auto"/>
        <w:ind w:left="1080"/>
        <w:jc w:val="both"/>
        <w:rPr>
          <w:rFonts w:ascii="Palatino" w:hAnsi="Palatino"/>
          <w:i/>
          <w:color w:val="0C0C0C"/>
          <w:sz w:val="22"/>
          <w:szCs w:val="18"/>
          <w:lang w:eastAsia="es-ES_tradnl"/>
        </w:rPr>
      </w:pPr>
      <w:r w:rsidRPr="00162D04">
        <w:rPr>
          <w:rFonts w:ascii="Palatino" w:hAnsi="Palatino"/>
          <w:i/>
          <w:color w:val="0C0C0C"/>
          <w:sz w:val="22"/>
          <w:szCs w:val="18"/>
          <w:lang w:eastAsia="es-ES_tradnl"/>
        </w:rPr>
        <w:t xml:space="preserve">Presidente Municipal; </w:t>
      </w:r>
    </w:p>
    <w:p w:rsidR="00162D04" w:rsidRPr="00162D04" w:rsidRDefault="00162D04" w:rsidP="00162D04">
      <w:pPr>
        <w:pStyle w:val="Prrafodelista"/>
        <w:numPr>
          <w:ilvl w:val="0"/>
          <w:numId w:val="24"/>
        </w:numPr>
        <w:spacing w:before="100" w:beforeAutospacing="1" w:after="100" w:afterAutospacing="1" w:line="360" w:lineRule="auto"/>
        <w:ind w:left="1080"/>
        <w:jc w:val="both"/>
        <w:rPr>
          <w:rFonts w:ascii="Palatino" w:hAnsi="Palatino"/>
          <w:i/>
          <w:sz w:val="36"/>
          <w:lang w:eastAsia="es-ES_tradnl"/>
        </w:rPr>
      </w:pPr>
      <w:r w:rsidRPr="00162D04">
        <w:rPr>
          <w:rFonts w:ascii="Palatino" w:hAnsi="Palatino"/>
          <w:i/>
          <w:color w:val="0C0C0C"/>
          <w:sz w:val="22"/>
          <w:szCs w:val="18"/>
          <w:lang w:eastAsia="es-ES_tradnl"/>
        </w:rPr>
        <w:t xml:space="preserve">Síndico; y </w:t>
      </w:r>
    </w:p>
    <w:p w:rsidR="00162D04" w:rsidRPr="00162D04" w:rsidRDefault="00162D04" w:rsidP="00162D04">
      <w:pPr>
        <w:pStyle w:val="Prrafodelista"/>
        <w:numPr>
          <w:ilvl w:val="0"/>
          <w:numId w:val="24"/>
        </w:numPr>
        <w:spacing w:before="100" w:beforeAutospacing="1" w:after="100" w:afterAutospacing="1" w:line="360" w:lineRule="auto"/>
        <w:ind w:left="1080"/>
        <w:jc w:val="both"/>
        <w:rPr>
          <w:rFonts w:ascii="Palatino" w:hAnsi="Palatino"/>
          <w:i/>
          <w:sz w:val="36"/>
          <w:lang w:eastAsia="es-ES_tradnl"/>
        </w:rPr>
      </w:pPr>
      <w:r w:rsidRPr="00162D04">
        <w:rPr>
          <w:rFonts w:ascii="Palatino" w:hAnsi="Palatino"/>
          <w:i/>
          <w:color w:val="0C0C0C"/>
          <w:sz w:val="22"/>
          <w:szCs w:val="18"/>
          <w:lang w:eastAsia="es-ES_tradnl"/>
        </w:rPr>
        <w:t>Regidores</w:t>
      </w:r>
    </w:p>
    <w:p w:rsidR="00162D04" w:rsidRPr="00162D04" w:rsidRDefault="00162D04" w:rsidP="00162D04">
      <w:pPr>
        <w:pStyle w:val="NormalWeb"/>
        <w:spacing w:line="360" w:lineRule="auto"/>
        <w:ind w:left="360"/>
        <w:jc w:val="both"/>
        <w:rPr>
          <w:rFonts w:ascii="Palatino" w:hAnsi="Palatino"/>
          <w:i/>
          <w:sz w:val="36"/>
        </w:rPr>
      </w:pPr>
      <w:r w:rsidRPr="00162D04">
        <w:rPr>
          <w:rFonts w:ascii="Palatino" w:hAnsi="Palatino"/>
          <w:i/>
          <w:color w:val="0C0C0C"/>
          <w:sz w:val="22"/>
          <w:szCs w:val="18"/>
        </w:rPr>
        <w:t xml:space="preserve">ARTÍCULO 33.- Para el despacho de los asuntos Municipales, el Ayuntamiento se auxiliará de las Dependencias Administrativas, Organismos Públicos Descentralizados, De los Organismos Autónomos, de los Organismos y Autoridades auxiliares estipulados en la Ley Orgánica Municipal del Estrado de México y Municipios en su Artículo 31 Fracciones I, IX, IX BIS., XVII, XL, y XLII; Así como, las autorizadas por el Cabildo Municipal con estricto apego a sus atribuciones conferidas en las Leyes respectivas y estarán subordinadas al Presidente Municipal: </w:t>
      </w:r>
    </w:p>
    <w:p w:rsidR="00162D04" w:rsidRPr="00162D04" w:rsidRDefault="00162D04" w:rsidP="00162D04">
      <w:pPr>
        <w:pStyle w:val="NormalWeb"/>
        <w:spacing w:line="360" w:lineRule="auto"/>
        <w:ind w:left="360"/>
        <w:jc w:val="both"/>
        <w:rPr>
          <w:rFonts w:ascii="Palatino" w:hAnsi="Palatino"/>
          <w:i/>
          <w:sz w:val="36"/>
        </w:rPr>
      </w:pPr>
      <w:r w:rsidRPr="00162D04">
        <w:rPr>
          <w:rFonts w:ascii="Palatino" w:hAnsi="Palatino"/>
          <w:i/>
          <w:color w:val="0C0C0C"/>
          <w:sz w:val="22"/>
          <w:szCs w:val="18"/>
        </w:rPr>
        <w:t xml:space="preserve">DEPENDENCIAS ADMINISTRATIVAS: </w:t>
      </w:r>
    </w:p>
    <w:p w:rsidR="00162D04" w:rsidRPr="00162D04" w:rsidRDefault="00162D04" w:rsidP="00162D04">
      <w:pPr>
        <w:pStyle w:val="NormalWeb"/>
        <w:numPr>
          <w:ilvl w:val="0"/>
          <w:numId w:val="25"/>
        </w:numPr>
        <w:tabs>
          <w:tab w:val="clear" w:pos="720"/>
          <w:tab w:val="num" w:pos="1080"/>
        </w:tabs>
        <w:spacing w:line="360" w:lineRule="auto"/>
        <w:ind w:left="1080"/>
        <w:jc w:val="both"/>
        <w:rPr>
          <w:rFonts w:ascii="Palatino" w:hAnsi="Palatino"/>
          <w:i/>
          <w:color w:val="0C0C0C"/>
          <w:sz w:val="22"/>
          <w:szCs w:val="18"/>
        </w:rPr>
      </w:pPr>
      <w:r w:rsidRPr="00162D04">
        <w:rPr>
          <w:rFonts w:ascii="Palatino" w:hAnsi="Palatino"/>
          <w:i/>
          <w:color w:val="0C0C0C"/>
          <w:sz w:val="22"/>
          <w:szCs w:val="18"/>
        </w:rPr>
        <w:t xml:space="preserve">Secretaría del Ayuntamiento; </w:t>
      </w:r>
    </w:p>
    <w:p w:rsidR="00162D04" w:rsidRPr="00162D04" w:rsidRDefault="00162D04" w:rsidP="00162D04">
      <w:pPr>
        <w:pStyle w:val="NormalWeb"/>
        <w:numPr>
          <w:ilvl w:val="0"/>
          <w:numId w:val="25"/>
        </w:numPr>
        <w:tabs>
          <w:tab w:val="clear" w:pos="720"/>
          <w:tab w:val="num" w:pos="1080"/>
        </w:tabs>
        <w:spacing w:line="360" w:lineRule="auto"/>
        <w:ind w:left="1080"/>
        <w:jc w:val="both"/>
        <w:rPr>
          <w:rFonts w:ascii="Palatino" w:hAnsi="Palatino"/>
          <w:i/>
          <w:color w:val="0C0C0C"/>
          <w:sz w:val="22"/>
          <w:szCs w:val="18"/>
        </w:rPr>
      </w:pPr>
      <w:r w:rsidRPr="00162D04">
        <w:rPr>
          <w:rFonts w:ascii="Palatino" w:hAnsi="Palatino"/>
          <w:i/>
          <w:color w:val="0C0C0C"/>
          <w:sz w:val="22"/>
          <w:szCs w:val="18"/>
        </w:rPr>
        <w:t xml:space="preserve">Tesorería Municipal; </w:t>
      </w:r>
    </w:p>
    <w:p w:rsidR="00162D04" w:rsidRPr="00162D04" w:rsidRDefault="00162D04" w:rsidP="00162D04">
      <w:pPr>
        <w:pStyle w:val="NormalWeb"/>
        <w:spacing w:line="360" w:lineRule="auto"/>
        <w:ind w:left="1080"/>
        <w:jc w:val="both"/>
        <w:rPr>
          <w:rFonts w:ascii="Palatino" w:hAnsi="Palatino"/>
          <w:i/>
          <w:color w:val="0C0C0C"/>
          <w:sz w:val="22"/>
          <w:szCs w:val="18"/>
        </w:rPr>
      </w:pPr>
      <w:r w:rsidRPr="00162D04">
        <w:rPr>
          <w:rFonts w:ascii="Palatino" w:hAnsi="Palatino"/>
          <w:i/>
          <w:color w:val="0C0C0C"/>
          <w:sz w:val="22"/>
          <w:szCs w:val="18"/>
        </w:rPr>
        <w:t xml:space="preserve">A.- Catastro e Impuesto Predial; </w:t>
      </w:r>
    </w:p>
    <w:p w:rsidR="00162D04" w:rsidRPr="00162D04" w:rsidRDefault="00162D04" w:rsidP="00162D04">
      <w:pPr>
        <w:pStyle w:val="NormalWeb"/>
        <w:numPr>
          <w:ilvl w:val="0"/>
          <w:numId w:val="25"/>
        </w:numPr>
        <w:tabs>
          <w:tab w:val="clear" w:pos="720"/>
          <w:tab w:val="num" w:pos="1080"/>
        </w:tabs>
        <w:spacing w:line="360" w:lineRule="auto"/>
        <w:ind w:left="1080"/>
        <w:jc w:val="both"/>
        <w:rPr>
          <w:rFonts w:ascii="Palatino" w:hAnsi="Palatino"/>
          <w:i/>
          <w:color w:val="0C0C0C"/>
          <w:sz w:val="22"/>
          <w:szCs w:val="18"/>
        </w:rPr>
      </w:pPr>
      <w:r w:rsidRPr="00162D04">
        <w:rPr>
          <w:rFonts w:ascii="Palatino" w:hAnsi="Palatino"/>
          <w:i/>
          <w:color w:val="0C0C0C"/>
          <w:sz w:val="22"/>
          <w:szCs w:val="18"/>
        </w:rPr>
        <w:lastRenderedPageBreak/>
        <w:t xml:space="preserve">Contraloría Municipal; </w:t>
      </w:r>
    </w:p>
    <w:p w:rsidR="00162D04" w:rsidRPr="00162D04" w:rsidRDefault="00162D04" w:rsidP="00162D04">
      <w:pPr>
        <w:pStyle w:val="NormalWeb"/>
        <w:numPr>
          <w:ilvl w:val="0"/>
          <w:numId w:val="25"/>
        </w:numPr>
        <w:tabs>
          <w:tab w:val="clear" w:pos="720"/>
          <w:tab w:val="num" w:pos="1080"/>
        </w:tabs>
        <w:spacing w:line="360" w:lineRule="auto"/>
        <w:ind w:left="1080"/>
        <w:jc w:val="both"/>
        <w:rPr>
          <w:rFonts w:ascii="Palatino" w:hAnsi="Palatino"/>
          <w:i/>
          <w:color w:val="0C0C0C"/>
          <w:sz w:val="22"/>
          <w:szCs w:val="18"/>
        </w:rPr>
      </w:pPr>
      <w:r w:rsidRPr="00162D04">
        <w:rPr>
          <w:rFonts w:ascii="Palatino" w:hAnsi="Palatino"/>
          <w:i/>
          <w:color w:val="0C0C0C"/>
          <w:sz w:val="22"/>
          <w:szCs w:val="18"/>
        </w:rPr>
        <w:t xml:space="preserve">Unidad de Información, Planeación, Programación y Evaluación; </w:t>
      </w:r>
    </w:p>
    <w:p w:rsidR="00162D04" w:rsidRPr="00162D04" w:rsidRDefault="00162D04" w:rsidP="00162D04">
      <w:pPr>
        <w:pStyle w:val="NormalWeb"/>
        <w:numPr>
          <w:ilvl w:val="0"/>
          <w:numId w:val="25"/>
        </w:numPr>
        <w:tabs>
          <w:tab w:val="clear" w:pos="720"/>
          <w:tab w:val="num" w:pos="1080"/>
        </w:tabs>
        <w:spacing w:line="360" w:lineRule="auto"/>
        <w:ind w:left="1080"/>
        <w:jc w:val="both"/>
        <w:rPr>
          <w:rFonts w:ascii="Palatino" w:hAnsi="Palatino"/>
          <w:i/>
          <w:color w:val="0C0C0C"/>
          <w:sz w:val="22"/>
          <w:szCs w:val="18"/>
        </w:rPr>
      </w:pPr>
      <w:r w:rsidRPr="00162D04">
        <w:rPr>
          <w:rFonts w:ascii="Palatino" w:hAnsi="Palatino"/>
          <w:i/>
          <w:color w:val="0C0C0C"/>
          <w:sz w:val="22"/>
          <w:szCs w:val="18"/>
        </w:rPr>
        <w:t xml:space="preserve">Secretaría Técnica Municipal </w:t>
      </w:r>
    </w:p>
    <w:p w:rsidR="00162D04" w:rsidRPr="00162D04" w:rsidRDefault="00162D04" w:rsidP="00162D04">
      <w:pPr>
        <w:pStyle w:val="NormalWeb"/>
        <w:spacing w:line="360" w:lineRule="auto"/>
        <w:ind w:left="1080"/>
        <w:jc w:val="both"/>
        <w:rPr>
          <w:rFonts w:ascii="Palatino" w:hAnsi="Palatino"/>
          <w:i/>
          <w:color w:val="0C0C0C"/>
          <w:sz w:val="22"/>
          <w:szCs w:val="18"/>
        </w:rPr>
      </w:pPr>
      <w:r w:rsidRPr="00162D04">
        <w:rPr>
          <w:rFonts w:ascii="Palatino" w:hAnsi="Palatino"/>
          <w:i/>
          <w:color w:val="0C0C0C"/>
          <w:sz w:val="22"/>
          <w:szCs w:val="18"/>
        </w:rPr>
        <w:t xml:space="preserve">A.- Unidad de transparencia Administrativa; </w:t>
      </w:r>
    </w:p>
    <w:p w:rsidR="00162D04" w:rsidRPr="00162D04" w:rsidRDefault="00162D04" w:rsidP="00162D04">
      <w:pPr>
        <w:pStyle w:val="NormalWeb"/>
        <w:numPr>
          <w:ilvl w:val="0"/>
          <w:numId w:val="25"/>
        </w:numPr>
        <w:tabs>
          <w:tab w:val="clear" w:pos="720"/>
          <w:tab w:val="num" w:pos="1080"/>
        </w:tabs>
        <w:spacing w:line="360" w:lineRule="auto"/>
        <w:ind w:left="1080"/>
        <w:jc w:val="both"/>
        <w:rPr>
          <w:rFonts w:ascii="Palatino" w:hAnsi="Palatino"/>
          <w:i/>
          <w:color w:val="0C0C0C"/>
          <w:sz w:val="22"/>
          <w:szCs w:val="18"/>
        </w:rPr>
      </w:pPr>
      <w:r w:rsidRPr="00162D04">
        <w:rPr>
          <w:rFonts w:ascii="Palatino" w:hAnsi="Palatino"/>
          <w:i/>
          <w:color w:val="0C0C0C"/>
          <w:sz w:val="22"/>
          <w:szCs w:val="18"/>
        </w:rPr>
        <w:t xml:space="preserve">Dirección de Desarrollo Urbano y Dirección de Obras Públicas; </w:t>
      </w:r>
    </w:p>
    <w:p w:rsidR="00162D04" w:rsidRPr="00162D04" w:rsidRDefault="00162D04" w:rsidP="00162D04">
      <w:pPr>
        <w:pStyle w:val="NormalWeb"/>
        <w:numPr>
          <w:ilvl w:val="0"/>
          <w:numId w:val="25"/>
        </w:numPr>
        <w:tabs>
          <w:tab w:val="clear" w:pos="720"/>
          <w:tab w:val="num" w:pos="1080"/>
        </w:tabs>
        <w:spacing w:line="360" w:lineRule="auto"/>
        <w:ind w:left="1080"/>
        <w:jc w:val="both"/>
        <w:rPr>
          <w:rFonts w:ascii="Palatino" w:hAnsi="Palatino"/>
          <w:i/>
          <w:color w:val="0C0C0C"/>
          <w:sz w:val="22"/>
          <w:szCs w:val="18"/>
        </w:rPr>
      </w:pPr>
      <w:r w:rsidRPr="00162D04">
        <w:rPr>
          <w:rFonts w:ascii="Palatino" w:hAnsi="Palatino"/>
          <w:i/>
          <w:color w:val="0C0C0C"/>
          <w:sz w:val="22"/>
          <w:szCs w:val="18"/>
        </w:rPr>
        <w:t xml:space="preserve">Dirección de Desarrollo Social; </w:t>
      </w:r>
    </w:p>
    <w:p w:rsidR="00162D04" w:rsidRPr="00162D04" w:rsidRDefault="00162D04" w:rsidP="00162D04">
      <w:pPr>
        <w:pStyle w:val="NormalWeb"/>
        <w:numPr>
          <w:ilvl w:val="0"/>
          <w:numId w:val="25"/>
        </w:numPr>
        <w:tabs>
          <w:tab w:val="clear" w:pos="720"/>
          <w:tab w:val="num" w:pos="1080"/>
        </w:tabs>
        <w:spacing w:line="360" w:lineRule="auto"/>
        <w:ind w:left="1080"/>
        <w:jc w:val="both"/>
        <w:rPr>
          <w:rFonts w:ascii="Palatino" w:hAnsi="Palatino"/>
          <w:i/>
          <w:color w:val="0C0C0C"/>
          <w:sz w:val="22"/>
          <w:szCs w:val="18"/>
        </w:rPr>
      </w:pPr>
      <w:r w:rsidRPr="00162D04">
        <w:rPr>
          <w:rFonts w:ascii="Palatino" w:hAnsi="Palatino"/>
          <w:i/>
          <w:color w:val="0C0C0C"/>
          <w:sz w:val="22"/>
          <w:szCs w:val="18"/>
        </w:rPr>
        <w:t xml:space="preserve">Dirección de Turismo y Desarrollo Económico; </w:t>
      </w:r>
    </w:p>
    <w:p w:rsidR="00162D04" w:rsidRPr="00162D04" w:rsidRDefault="00162D04" w:rsidP="00162D04">
      <w:pPr>
        <w:pStyle w:val="NormalWeb"/>
        <w:spacing w:line="360" w:lineRule="auto"/>
        <w:ind w:left="1080"/>
        <w:jc w:val="both"/>
        <w:rPr>
          <w:rFonts w:ascii="Palatino" w:hAnsi="Palatino"/>
          <w:i/>
          <w:color w:val="0C0C0C"/>
          <w:sz w:val="22"/>
          <w:szCs w:val="18"/>
        </w:rPr>
      </w:pPr>
      <w:r w:rsidRPr="00162D04">
        <w:rPr>
          <w:rFonts w:ascii="Palatino" w:hAnsi="Palatino"/>
          <w:i/>
          <w:color w:val="0C0C0C"/>
          <w:sz w:val="22"/>
          <w:szCs w:val="18"/>
        </w:rPr>
        <w:t xml:space="preserve">A.- Administrador del Hotel Balneario; </w:t>
      </w:r>
    </w:p>
    <w:p w:rsidR="00162D04" w:rsidRPr="00162D04" w:rsidRDefault="00162D04" w:rsidP="00162D04">
      <w:pPr>
        <w:spacing w:before="100" w:beforeAutospacing="1" w:after="100" w:afterAutospacing="1" w:line="360" w:lineRule="auto"/>
        <w:ind w:left="1068"/>
        <w:jc w:val="both"/>
        <w:rPr>
          <w:rFonts w:ascii="Palatino" w:eastAsia="Times New Roman" w:hAnsi="Palatino" w:cs="Times New Roman"/>
          <w:i/>
          <w:sz w:val="36"/>
          <w:szCs w:val="24"/>
          <w:lang w:eastAsia="es-ES_tradnl"/>
        </w:rPr>
      </w:pPr>
      <w:r w:rsidRPr="00162D04">
        <w:rPr>
          <w:rFonts w:ascii="Palatino" w:eastAsia="Times New Roman" w:hAnsi="Palatino" w:cs="Times New Roman"/>
          <w:i/>
          <w:color w:val="0C0C0C"/>
          <w:szCs w:val="18"/>
          <w:lang w:eastAsia="es-ES_tradnl"/>
        </w:rPr>
        <w:t xml:space="preserve">B.- Administrador del Balneario Municipal; </w:t>
      </w:r>
    </w:p>
    <w:p w:rsidR="00162D04" w:rsidRPr="00162D04" w:rsidRDefault="00162D04" w:rsidP="00162D04">
      <w:pPr>
        <w:spacing w:before="100" w:beforeAutospacing="1" w:after="100" w:afterAutospacing="1" w:line="360" w:lineRule="auto"/>
        <w:ind w:left="1068"/>
        <w:jc w:val="both"/>
        <w:rPr>
          <w:rFonts w:ascii="Palatino" w:eastAsia="Times New Roman" w:hAnsi="Palatino" w:cs="Times New Roman"/>
          <w:i/>
          <w:color w:val="0C0C0C"/>
          <w:szCs w:val="18"/>
          <w:lang w:eastAsia="es-ES_tradnl"/>
        </w:rPr>
      </w:pPr>
      <w:r w:rsidRPr="00162D04">
        <w:rPr>
          <w:rFonts w:ascii="Palatino" w:eastAsia="Times New Roman" w:hAnsi="Palatino" w:cs="Times New Roman"/>
          <w:i/>
          <w:color w:val="0C0C0C"/>
          <w:szCs w:val="18"/>
          <w:lang w:eastAsia="es-ES_tradnl"/>
        </w:rPr>
        <w:t xml:space="preserve">C.- Administrador del parque Municipal Zumpantitlán; </w:t>
      </w:r>
    </w:p>
    <w:p w:rsidR="00162D04" w:rsidRPr="00162D04" w:rsidRDefault="00162D04" w:rsidP="00162D04">
      <w:pPr>
        <w:pStyle w:val="Prrafodelista"/>
        <w:numPr>
          <w:ilvl w:val="0"/>
          <w:numId w:val="27"/>
        </w:numPr>
        <w:spacing w:before="100" w:beforeAutospacing="1" w:after="100" w:afterAutospacing="1" w:line="360" w:lineRule="auto"/>
        <w:ind w:left="1080"/>
        <w:jc w:val="both"/>
        <w:rPr>
          <w:rFonts w:ascii="Palatino" w:hAnsi="Palatino"/>
          <w:i/>
          <w:sz w:val="36"/>
          <w:lang w:eastAsia="es-ES_tradnl"/>
        </w:rPr>
      </w:pPr>
      <w:r w:rsidRPr="00162D04">
        <w:rPr>
          <w:rFonts w:ascii="Palatino" w:hAnsi="Palatino"/>
          <w:i/>
          <w:color w:val="0C0C0C"/>
          <w:sz w:val="22"/>
          <w:szCs w:val="18"/>
          <w:lang w:eastAsia="es-ES_tradnl"/>
        </w:rPr>
        <w:t>Dirección de Desarrollo Agropecuario;</w:t>
      </w:r>
    </w:p>
    <w:p w:rsidR="00162D04" w:rsidRPr="00162D04" w:rsidRDefault="00162D04" w:rsidP="00162D04">
      <w:pPr>
        <w:pStyle w:val="Prrafodelista"/>
        <w:numPr>
          <w:ilvl w:val="0"/>
          <w:numId w:val="27"/>
        </w:numPr>
        <w:spacing w:before="100" w:beforeAutospacing="1" w:after="100" w:afterAutospacing="1" w:line="360" w:lineRule="auto"/>
        <w:ind w:left="1080"/>
        <w:jc w:val="both"/>
        <w:rPr>
          <w:rFonts w:ascii="Palatino" w:hAnsi="Palatino"/>
          <w:i/>
          <w:sz w:val="36"/>
          <w:lang w:eastAsia="es-ES_tradnl"/>
        </w:rPr>
      </w:pPr>
      <w:r w:rsidRPr="00162D04">
        <w:rPr>
          <w:rFonts w:ascii="Palatino" w:hAnsi="Palatino"/>
          <w:i/>
          <w:color w:val="0C0C0C"/>
          <w:sz w:val="22"/>
          <w:szCs w:val="18"/>
          <w:lang w:eastAsia="es-ES_tradnl"/>
        </w:rPr>
        <w:t>Dirección de Seguridad Pública;</w:t>
      </w:r>
    </w:p>
    <w:p w:rsidR="00162D04" w:rsidRPr="00162D04" w:rsidRDefault="00162D04" w:rsidP="00162D04">
      <w:pPr>
        <w:pStyle w:val="Prrafodelista"/>
        <w:numPr>
          <w:ilvl w:val="0"/>
          <w:numId w:val="27"/>
        </w:numPr>
        <w:spacing w:before="100" w:beforeAutospacing="1" w:after="100" w:afterAutospacing="1" w:line="360" w:lineRule="auto"/>
        <w:ind w:left="1080"/>
        <w:jc w:val="both"/>
        <w:rPr>
          <w:rFonts w:ascii="Palatino" w:hAnsi="Palatino"/>
          <w:i/>
          <w:sz w:val="36"/>
          <w:lang w:eastAsia="es-ES_tradnl"/>
        </w:rPr>
      </w:pPr>
      <w:r w:rsidRPr="00162D04">
        <w:rPr>
          <w:rFonts w:ascii="Palatino" w:hAnsi="Palatino"/>
          <w:i/>
          <w:color w:val="0C0C0C"/>
          <w:sz w:val="22"/>
          <w:szCs w:val="18"/>
          <w:lang w:eastAsia="es-ES_tradnl"/>
        </w:rPr>
        <w:t xml:space="preserve">Dirección de Gobernación; </w:t>
      </w:r>
    </w:p>
    <w:p w:rsidR="00162D04" w:rsidRPr="00162D04" w:rsidRDefault="00162D04" w:rsidP="00162D04">
      <w:pPr>
        <w:spacing w:before="100" w:beforeAutospacing="1" w:after="100" w:afterAutospacing="1" w:line="360" w:lineRule="auto"/>
        <w:ind w:left="360"/>
        <w:jc w:val="both"/>
        <w:rPr>
          <w:rFonts w:ascii="Palatino" w:eastAsia="Times New Roman" w:hAnsi="Palatino" w:cs="Times New Roman"/>
          <w:i/>
          <w:sz w:val="36"/>
          <w:szCs w:val="24"/>
          <w:lang w:eastAsia="es-ES_tradnl"/>
        </w:rPr>
      </w:pPr>
      <w:r w:rsidRPr="00162D04">
        <w:rPr>
          <w:rFonts w:ascii="Palatino" w:eastAsia="Times New Roman" w:hAnsi="Palatino" w:cs="Times New Roman"/>
          <w:i/>
          <w:color w:val="0C0C0C"/>
          <w:szCs w:val="18"/>
          <w:lang w:eastAsia="es-ES_tradnl"/>
        </w:rPr>
        <w:t>Dirección Jurídica;</w:t>
      </w:r>
      <w:r w:rsidRPr="00162D04">
        <w:rPr>
          <w:rFonts w:ascii="Palatino" w:eastAsia="Times New Roman" w:hAnsi="Palatino" w:cs="Times New Roman"/>
          <w:i/>
          <w:color w:val="0C0C0C"/>
          <w:szCs w:val="18"/>
          <w:lang w:eastAsia="es-ES_tradnl"/>
        </w:rPr>
        <w:br/>
        <w:t>Dirección de Servicios Públicos;</w:t>
      </w:r>
      <w:r w:rsidRPr="00162D04">
        <w:rPr>
          <w:rFonts w:ascii="Palatino" w:eastAsia="Times New Roman" w:hAnsi="Palatino" w:cs="Times New Roman"/>
          <w:i/>
          <w:color w:val="0C0C0C"/>
          <w:szCs w:val="18"/>
          <w:lang w:eastAsia="es-ES_tradnl"/>
        </w:rPr>
        <w:br/>
        <w:t xml:space="preserve">Dirección del Deporte y Atención a la Juventud; </w:t>
      </w:r>
    </w:p>
    <w:p w:rsidR="00162D04" w:rsidRPr="00162D04" w:rsidRDefault="00162D04" w:rsidP="00162D04">
      <w:pPr>
        <w:spacing w:before="100" w:beforeAutospacing="1" w:after="100" w:afterAutospacing="1" w:line="360" w:lineRule="auto"/>
        <w:ind w:left="360"/>
        <w:jc w:val="both"/>
        <w:rPr>
          <w:rFonts w:ascii="Palatino" w:eastAsia="Times New Roman" w:hAnsi="Palatino" w:cs="Times New Roman"/>
          <w:i/>
          <w:color w:val="0C0C0C"/>
          <w:szCs w:val="18"/>
          <w:lang w:eastAsia="es-ES_tradnl"/>
        </w:rPr>
      </w:pPr>
      <w:r w:rsidRPr="00162D04">
        <w:rPr>
          <w:rFonts w:ascii="Palatino" w:eastAsia="Times New Roman" w:hAnsi="Palatino" w:cs="Times New Roman"/>
          <w:i/>
          <w:color w:val="0C0C0C"/>
          <w:szCs w:val="18"/>
          <w:lang w:eastAsia="es-ES_tradnl"/>
        </w:rPr>
        <w:t xml:space="preserve">A.- Administrador de la Unidad Deportiva Municipal Dirección de Administración; </w:t>
      </w:r>
    </w:p>
    <w:p w:rsidR="00162D04" w:rsidRPr="00162D04" w:rsidRDefault="00162D04" w:rsidP="00162D04">
      <w:pPr>
        <w:pStyle w:val="NormalWeb"/>
        <w:spacing w:line="360" w:lineRule="auto"/>
        <w:ind w:left="360"/>
        <w:jc w:val="both"/>
        <w:rPr>
          <w:rFonts w:ascii="Palatino" w:hAnsi="Palatino"/>
          <w:i/>
          <w:sz w:val="36"/>
        </w:rPr>
      </w:pPr>
      <w:r w:rsidRPr="00162D04">
        <w:rPr>
          <w:rFonts w:ascii="Palatino" w:hAnsi="Palatino"/>
          <w:i/>
          <w:color w:val="0C0C0C"/>
          <w:sz w:val="22"/>
          <w:szCs w:val="18"/>
        </w:rPr>
        <w:t xml:space="preserve">ARTÍCULO 35.- La Administración Pública Descentralizada es una de las formas de organización de la Administración Pública Municipal, integrada por un Organismo Auxiliar, con personalidad y patrimonio propios. </w:t>
      </w:r>
    </w:p>
    <w:p w:rsidR="00162D04" w:rsidRPr="00162D04" w:rsidRDefault="00162D04" w:rsidP="00162D04">
      <w:pPr>
        <w:pStyle w:val="NormalWeb"/>
        <w:spacing w:line="360" w:lineRule="auto"/>
        <w:ind w:left="360"/>
        <w:jc w:val="both"/>
        <w:rPr>
          <w:rFonts w:ascii="Palatino" w:hAnsi="Palatino"/>
          <w:i/>
          <w:sz w:val="36"/>
        </w:rPr>
      </w:pPr>
      <w:r w:rsidRPr="00162D04">
        <w:rPr>
          <w:rFonts w:ascii="Palatino" w:hAnsi="Palatino"/>
          <w:i/>
          <w:color w:val="0C0C0C"/>
          <w:sz w:val="22"/>
          <w:szCs w:val="18"/>
        </w:rPr>
        <w:lastRenderedPageBreak/>
        <w:t>La Administración Pública Descentralizada se integra por:</w:t>
      </w:r>
      <w:r w:rsidRPr="00162D04">
        <w:rPr>
          <w:rFonts w:ascii="Palatino" w:hAnsi="Palatino"/>
          <w:i/>
          <w:color w:val="0C0C0C"/>
          <w:sz w:val="22"/>
          <w:szCs w:val="18"/>
        </w:rPr>
        <w:br/>
        <w:t xml:space="preserve">A. El Sistema Municipal para el Desarrollo Integral de la Familia de Tonatico Estado de México; y </w:t>
      </w:r>
    </w:p>
    <w:p w:rsidR="00162D04" w:rsidRPr="00162D04" w:rsidRDefault="00162D04" w:rsidP="00162D04">
      <w:pPr>
        <w:pStyle w:val="NormalWeb"/>
        <w:spacing w:line="360" w:lineRule="auto"/>
        <w:ind w:left="360"/>
        <w:jc w:val="both"/>
        <w:rPr>
          <w:rFonts w:ascii="Palatino" w:hAnsi="Palatino"/>
          <w:i/>
          <w:sz w:val="36"/>
        </w:rPr>
      </w:pPr>
      <w:r w:rsidRPr="00162D04">
        <w:rPr>
          <w:rFonts w:ascii="Palatino" w:hAnsi="Palatino"/>
          <w:i/>
          <w:color w:val="0C0C0C"/>
          <w:sz w:val="22"/>
          <w:szCs w:val="18"/>
        </w:rPr>
        <w:t xml:space="preserve">B. Los demás que determine crear el Ayuntamiento por acuerdo de la Presidencia Municipal. </w:t>
      </w:r>
    </w:p>
    <w:p w:rsidR="00162D04" w:rsidRPr="00162D04" w:rsidRDefault="00162D04" w:rsidP="00162D04">
      <w:pPr>
        <w:pStyle w:val="NormalWeb"/>
        <w:spacing w:line="360" w:lineRule="auto"/>
        <w:ind w:left="360"/>
        <w:jc w:val="both"/>
        <w:rPr>
          <w:rFonts w:ascii="Palatino" w:hAnsi="Palatino"/>
          <w:i/>
          <w:sz w:val="36"/>
        </w:rPr>
      </w:pPr>
      <w:r w:rsidRPr="00162D04">
        <w:rPr>
          <w:rFonts w:ascii="Palatino" w:hAnsi="Palatino"/>
          <w:i/>
          <w:color w:val="0C0C0C"/>
          <w:sz w:val="22"/>
          <w:szCs w:val="18"/>
        </w:rPr>
        <w:t xml:space="preserve">ARTÍCULO 36.- Son organismos autónomos los que, sin encontrarse directamente en la estructura administrativa del Ayuntamiento, dependen de éste para la consecución de sus fines. </w:t>
      </w:r>
    </w:p>
    <w:p w:rsidR="00162D04" w:rsidRPr="00162D04" w:rsidRDefault="00162D04" w:rsidP="00162D04">
      <w:pPr>
        <w:pStyle w:val="NormalWeb"/>
        <w:spacing w:line="360" w:lineRule="auto"/>
        <w:ind w:left="360"/>
        <w:jc w:val="both"/>
        <w:rPr>
          <w:rFonts w:ascii="Palatino" w:hAnsi="Palatino"/>
          <w:i/>
          <w:sz w:val="36"/>
        </w:rPr>
      </w:pPr>
      <w:r w:rsidRPr="00162D04">
        <w:rPr>
          <w:rFonts w:ascii="Palatino" w:hAnsi="Palatino"/>
          <w:i/>
          <w:color w:val="0C0C0C"/>
          <w:sz w:val="22"/>
          <w:szCs w:val="18"/>
        </w:rPr>
        <w:t xml:space="preserve">La Defensoría Municipal de los Derechos Humanos es un órgano creado por el Ayuntamiento, con autonomía en sus decisiones y en el ejercicio presupuestal, cuyas atribuciones y funciones se encuentran establecidas en la Ley Orgánica Municipal del Estado de México y en el Reglamento de Organización Funcionamiento de las Defensorías Municipales de Derechos Humanos del Estado de México y demás disposiciones aplicables. </w:t>
      </w:r>
    </w:p>
    <w:p w:rsidR="00162D04" w:rsidRPr="00162D04" w:rsidRDefault="00162D04" w:rsidP="00162D04">
      <w:pPr>
        <w:pStyle w:val="NormalWeb"/>
        <w:spacing w:line="360" w:lineRule="auto"/>
        <w:ind w:left="360"/>
        <w:jc w:val="both"/>
      </w:pPr>
      <w:r w:rsidRPr="00162D04">
        <w:rPr>
          <w:rFonts w:ascii="Palatino" w:hAnsi="Palatino"/>
          <w:i/>
          <w:color w:val="0C0C0C"/>
          <w:sz w:val="22"/>
          <w:szCs w:val="18"/>
        </w:rPr>
        <w:t xml:space="preserve">1.- Defensoría Municipal de los Derechos Humanos; </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el Sujeto Obligado, entre sus unidades administrativas, cuenta con la </w:t>
      </w:r>
      <w:r w:rsidR="00893900">
        <w:rPr>
          <w:rFonts w:ascii="Palatino Linotype" w:hAnsi="Palatino Linotype" w:cs="Arial"/>
          <w:color w:val="000000" w:themeColor="text1"/>
          <w:sz w:val="24"/>
          <w:szCs w:val="24"/>
        </w:rPr>
        <w:t>Direccion de Seguridad Publica</w:t>
      </w:r>
      <w:r>
        <w:rPr>
          <w:rFonts w:ascii="Palatino Linotype" w:hAnsi="Palatino Linotype" w:cs="Arial"/>
          <w:color w:val="000000" w:themeColor="text1"/>
          <w:sz w:val="24"/>
          <w:szCs w:val="24"/>
        </w:rPr>
        <w:t>, la cual, tiene por objeto asegurar el pleno goce de las garantías individuales y sociales, la paz, la tranquilidad y el orden público; prevenir la comisión de delitos y la violación de las leyes, reglamentos y demás disposiciones legales aplicables, en el ámbito de su competencia, además mantendrá una adecuada forma de control vehicular y peatonal en las vías públicas.</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último, es de señalar que el Recurrente requirió la información generada desde el primero de enero al treinta </w:t>
      </w:r>
      <w:r w:rsidR="00893900">
        <w:rPr>
          <w:rFonts w:ascii="Palatino Linotype" w:hAnsi="Palatino Linotype" w:cs="Arial"/>
          <w:color w:val="000000" w:themeColor="text1"/>
          <w:sz w:val="24"/>
          <w:szCs w:val="24"/>
        </w:rPr>
        <w:t>de abril</w:t>
      </w:r>
      <w:r>
        <w:rPr>
          <w:rFonts w:ascii="Palatino Linotype" w:hAnsi="Palatino Linotype" w:cs="Arial"/>
          <w:color w:val="000000" w:themeColor="text1"/>
          <w:sz w:val="24"/>
          <w:szCs w:val="24"/>
        </w:rPr>
        <w:t xml:space="preserve"> de dos mil diecinueve. De tal forma que el Sujeto Obligado ya debe contar con la información solicitada pues el Calendario de Obligaciones Periódicas 2019 emitido por el OSFEM indica que la fecha límite para entregar los informes mensuales de enero, febrero y marzo fueron los días cuatro de </w:t>
      </w:r>
      <w:r>
        <w:rPr>
          <w:rFonts w:ascii="Palatino Linotype" w:hAnsi="Palatino Linotype" w:cs="Arial"/>
          <w:color w:val="000000" w:themeColor="text1"/>
          <w:sz w:val="24"/>
          <w:szCs w:val="24"/>
        </w:rPr>
        <w:lastRenderedPageBreak/>
        <w:t>marzo, primero de abril y siete de mayo todos del presente año, respectivamente, tal como se observa a continuación:</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555EFCCF" wp14:editId="38156F63">
            <wp:extent cx="5581540" cy="3481689"/>
            <wp:effectExtent l="0" t="0" r="63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97" t="5191" r="30392" b="51766"/>
                    <a:stretch/>
                  </pic:blipFill>
                  <pic:spPr bwMode="auto">
                    <a:xfrm>
                      <a:off x="0" y="0"/>
                      <a:ext cx="5611815" cy="3500574"/>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Asimismo, se observa que el Sujeto Obligado ya hizo entrega de los respectivos informes mensuales al Órgano Superior de Fiscalización del Estado de México, de acuerdo a la siguiente captura de pantalla:</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295EE8CE" wp14:editId="3915F762">
            <wp:extent cx="4608999" cy="2399319"/>
            <wp:effectExtent l="0" t="0" r="127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49" t="5693" r="17392" b="45570"/>
                    <a:stretch/>
                  </pic:blipFill>
                  <pic:spPr bwMode="auto">
                    <a:xfrm>
                      <a:off x="0" y="0"/>
                      <a:ext cx="4670829" cy="2431506"/>
                    </a:xfrm>
                    <a:prstGeom prst="rect">
                      <a:avLst/>
                    </a:prstGeom>
                    <a:ln>
                      <a:noFill/>
                    </a:ln>
                    <a:extLst>
                      <a:ext uri="{53640926-AAD7-44D8-BBD7-CCE9431645EC}">
                        <a14:shadowObscured xmlns:a14="http://schemas.microsoft.com/office/drawing/2010/main"/>
                      </a:ext>
                    </a:extLst>
                  </pic:spPr>
                </pic:pic>
              </a:graphicData>
            </a:graphic>
          </wp:inline>
        </w:drawing>
      </w:r>
    </w:p>
    <w:p w:rsidR="00BB1BD5" w:rsidRPr="00E130C4" w:rsidRDefault="00BB1BD5" w:rsidP="00BB1BD5">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no hizo entrega de la información requerida por el hoy Recurrente</w:t>
      </w:r>
      <w:r w:rsidRPr="00E130C4">
        <w:rPr>
          <w:rFonts w:ascii="Palatino Linotype" w:hAnsi="Palatino Linotype"/>
        </w:rPr>
        <w:t>; y que dicho Sujeto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r que son, de manera enunciativa más no limitativa, la Nómina General</w:t>
      </w:r>
      <w:r w:rsidRPr="00E130C4">
        <w:rPr>
          <w:rFonts w:ascii="Palatino Linotype" w:hAnsi="Palatino Linotype"/>
        </w:rPr>
        <w:t>; este Órgano Garante considera que son fundados los motivos de inconformidad de</w:t>
      </w:r>
      <w:r>
        <w:rPr>
          <w:rFonts w:ascii="Palatino Linotype" w:hAnsi="Palatino Linotype"/>
        </w:rPr>
        <w:t>l</w:t>
      </w:r>
      <w:r w:rsidRPr="00E130C4">
        <w:rPr>
          <w:rFonts w:ascii="Palatino Linotype" w:hAnsi="Palatino Linotype"/>
        </w:rPr>
        <w:t xml:space="preserve"> Recurrente, por lo que es dable ordenar al Sujeto Obligado que haga entrega a</w:t>
      </w:r>
      <w:r>
        <w:rPr>
          <w:rFonts w:ascii="Palatino Linotype" w:hAnsi="Palatino Linotype"/>
        </w:rPr>
        <w:t xml:space="preserve"> </w:t>
      </w:r>
      <w:r w:rsidRPr="00E130C4">
        <w:rPr>
          <w:rFonts w:ascii="Palatino Linotype" w:hAnsi="Palatino Linotype"/>
        </w:rPr>
        <w:t>l</w:t>
      </w:r>
      <w:r>
        <w:rPr>
          <w:rFonts w:ascii="Palatino Linotype" w:hAnsi="Palatino Linotype"/>
        </w:rPr>
        <w:t>a</w:t>
      </w:r>
      <w:r w:rsidRPr="00E130C4">
        <w:rPr>
          <w:rFonts w:ascii="Palatino Linotype" w:hAnsi="Palatino Linotype"/>
        </w:rPr>
        <w:t xml:space="preserve"> Recurrente de</w:t>
      </w:r>
      <w:r>
        <w:rPr>
          <w:rFonts w:ascii="Palatino Linotype" w:hAnsi="Palatino Linotype"/>
        </w:rPr>
        <w:t xml:space="preserve"> los documento en donde conste la remuneración bruta y neta de todos los servidores, así como todas sus percepciones y deducciones que no se consideren información confidencial, lo anterior respecto de todos los servidores públicos de la administración pública municipal correspondiente al mes de enero, febrero y marzo de dos mil diecinueve</w:t>
      </w:r>
      <w:r w:rsidRPr="00E130C4">
        <w:rPr>
          <w:rFonts w:ascii="Palatino Linotype" w:hAnsi="Palatino Linotype"/>
        </w:rPr>
        <w:t xml:space="preserve">. Asimismo, a fin de salvaguardar la información de los servidores públicos que prestan sus servicios en </w:t>
      </w:r>
      <w:r>
        <w:rPr>
          <w:rFonts w:ascii="Palatino Linotype" w:hAnsi="Palatino Linotype" w:cs="Arial"/>
          <w:color w:val="000000" w:themeColor="text1"/>
        </w:rPr>
        <w:t>la Comisaría de Seguridad Pública y Tránsito Municipal</w:t>
      </w:r>
      <w:r w:rsidRPr="00E130C4">
        <w:rPr>
          <w:rFonts w:ascii="Palatino Linotype" w:hAnsi="Palatino Linotype"/>
        </w:rPr>
        <w:t>, los datos correspondien</w:t>
      </w:r>
      <w:r>
        <w:rPr>
          <w:rFonts w:ascii="Palatino Linotype" w:hAnsi="Palatino Linotype"/>
        </w:rPr>
        <w:t>tes al personal adscrito a esta área</w:t>
      </w:r>
      <w:r w:rsidRPr="00E130C4">
        <w:rPr>
          <w:rFonts w:ascii="Palatino Linotype" w:hAnsi="Palatino Linotype"/>
        </w:rPr>
        <w:t xml:space="preserve"> deberán se</w:t>
      </w:r>
      <w:r>
        <w:rPr>
          <w:rFonts w:ascii="Palatino Linotype" w:hAnsi="Palatino Linotype"/>
        </w:rPr>
        <w:t>r entregados de forma disociada,</w:t>
      </w:r>
      <w:r w:rsidRPr="00E130C4">
        <w:rPr>
          <w:rFonts w:ascii="Palatino Linotype" w:hAnsi="Palatino Linotype"/>
        </w:rPr>
        <w:t xml:space="preserve"> con el objeto de no identificar al servidor público con su cargo y sueldo, tal y como se establece en el artículo 52 de la Ley de </w:t>
      </w:r>
      <w:r w:rsidRPr="00E130C4">
        <w:rPr>
          <w:rFonts w:ascii="Palatino Linotype" w:hAnsi="Palatino Linotype"/>
        </w:rPr>
        <w:lastRenderedPageBreak/>
        <w:t>Transparencia y Acceso a la Información Pública del Estado de México y Municipios, que a la letra dispone lo siguiente:</w:t>
      </w:r>
    </w:p>
    <w:p w:rsidR="00BB1BD5" w:rsidRPr="00E130C4" w:rsidRDefault="00BB1BD5" w:rsidP="00BB1BD5">
      <w:pPr>
        <w:pStyle w:val="Sinespaciado"/>
        <w:spacing w:line="360" w:lineRule="auto"/>
        <w:jc w:val="both"/>
        <w:rPr>
          <w:rFonts w:ascii="Palatino Linotype" w:hAnsi="Palatino Linotype"/>
        </w:rPr>
      </w:pPr>
    </w:p>
    <w:p w:rsidR="00BB1BD5" w:rsidRDefault="00BB1BD5" w:rsidP="00BB1BD5">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2472AB">
        <w:rPr>
          <w:rFonts w:ascii="Palatino Linotype" w:hAnsi="Palatino Linotype"/>
          <w:b/>
          <w:i/>
          <w:sz w:val="23"/>
          <w:szCs w:val="23"/>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271ED">
        <w:rPr>
          <w:rFonts w:ascii="Palatino Linotype" w:hAnsi="Palatino Linotype"/>
          <w:i/>
          <w:sz w:val="23"/>
          <w:szCs w:val="23"/>
        </w:rPr>
        <w:t>.</w:t>
      </w:r>
    </w:p>
    <w:p w:rsidR="00ED735A" w:rsidRDefault="00ED735A" w:rsidP="0009633E">
      <w:pPr>
        <w:spacing w:before="240" w:line="360" w:lineRule="auto"/>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Así también, los mismo Lineamientos establecen l</w:t>
      </w:r>
      <w:r w:rsidR="003E3297">
        <w:rPr>
          <w:rFonts w:ascii="Palatino Linotype" w:eastAsia="MS Mincho" w:hAnsi="Palatino Linotype"/>
          <w:sz w:val="24"/>
          <w:szCs w:val="24"/>
          <w:lang w:val="es-ES_tradnl"/>
        </w:rPr>
        <w:t>a</w:t>
      </w:r>
      <w:r>
        <w:rPr>
          <w:rFonts w:ascii="Palatino Linotype" w:eastAsia="MS Mincho" w:hAnsi="Palatino Linotype"/>
          <w:sz w:val="24"/>
          <w:szCs w:val="24"/>
          <w:lang w:val="es-ES_tradnl"/>
        </w:rPr>
        <w:t xml:space="preserve"> clasificación de firmas que deberán de contener los formatos emitidos y los cuales para </w:t>
      </w:r>
      <w:r w:rsidR="003E3297">
        <w:rPr>
          <w:rFonts w:ascii="Palatino Linotype" w:eastAsia="MS Mincho" w:hAnsi="Palatino Linotype"/>
          <w:sz w:val="24"/>
          <w:szCs w:val="24"/>
          <w:lang w:val="es-ES_tradnl"/>
        </w:rPr>
        <w:t xml:space="preserve">el caso de la </w:t>
      </w:r>
      <w:r w:rsidR="007B2103">
        <w:rPr>
          <w:rFonts w:ascii="Palatino Linotype" w:eastAsia="MS Mincho" w:hAnsi="Palatino Linotype"/>
          <w:sz w:val="24"/>
          <w:szCs w:val="24"/>
          <w:lang w:val="es-ES_tradnl"/>
        </w:rPr>
        <w:t>nómina</w:t>
      </w:r>
      <w:r w:rsidR="003E3297">
        <w:rPr>
          <w:rFonts w:ascii="Palatino Linotype" w:eastAsia="MS Mincho" w:hAnsi="Palatino Linotype"/>
          <w:sz w:val="24"/>
          <w:szCs w:val="24"/>
          <w:lang w:val="es-ES_tradnl"/>
        </w:rPr>
        <w:t xml:space="preserve"> general únicamente deberá de llevar la firma del Tesorero Municipal y para </w:t>
      </w:r>
      <w:r w:rsidR="007B2103">
        <w:rPr>
          <w:rFonts w:ascii="Palatino Linotype" w:eastAsia="MS Mincho" w:hAnsi="Palatino Linotype"/>
          <w:sz w:val="24"/>
          <w:szCs w:val="24"/>
          <w:lang w:val="es-ES_tradnl"/>
        </w:rPr>
        <w:t>el caso d</w:t>
      </w:r>
      <w:r>
        <w:rPr>
          <w:rFonts w:ascii="Palatino Linotype" w:eastAsia="MS Mincho" w:hAnsi="Palatino Linotype"/>
          <w:sz w:val="24"/>
          <w:szCs w:val="24"/>
          <w:lang w:val="es-ES_tradnl"/>
        </w:rPr>
        <w:t xml:space="preserve">el Tabulador de Sueldos, deberá de contar con las firmas del Presidente, Tesorero, Sindico y Secretario, como se desprende de la siguiente imagen. </w:t>
      </w:r>
    </w:p>
    <w:p w:rsidR="00052D39" w:rsidRPr="00162D04" w:rsidRDefault="00ED735A" w:rsidP="00162D04">
      <w:pPr>
        <w:spacing w:before="240" w:after="240" w:line="360" w:lineRule="auto"/>
        <w:jc w:val="both"/>
        <w:rPr>
          <w:rFonts w:ascii="Palatino Linotype" w:hAnsi="Palatino Linotype"/>
          <w:i/>
        </w:rPr>
      </w:pPr>
      <w:r>
        <w:rPr>
          <w:noProof/>
          <w:lang w:eastAsia="es-MX"/>
        </w:rPr>
        <w:drawing>
          <wp:inline distT="0" distB="0" distL="0" distR="0" wp14:anchorId="4BE59310" wp14:editId="62F65E4D">
            <wp:extent cx="5495290"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124" t="23516" r="27910" b="24750"/>
                    <a:stretch/>
                  </pic:blipFill>
                  <pic:spPr bwMode="auto">
                    <a:xfrm>
                      <a:off x="0" y="0"/>
                      <a:ext cx="5509882" cy="2712283"/>
                    </a:xfrm>
                    <a:prstGeom prst="rect">
                      <a:avLst/>
                    </a:prstGeom>
                    <a:ln>
                      <a:noFill/>
                    </a:ln>
                    <a:extLst>
                      <a:ext uri="{53640926-AAD7-44D8-BBD7-CCE9431645EC}">
                        <a14:shadowObscured xmlns:a14="http://schemas.microsoft.com/office/drawing/2010/main"/>
                      </a:ext>
                    </a:extLst>
                  </pic:spPr>
                </pic:pic>
              </a:graphicData>
            </a:graphic>
          </wp:inline>
        </w:drawing>
      </w:r>
    </w:p>
    <w:p w:rsidR="00A27459" w:rsidRPr="009D1CEC" w:rsidRDefault="00A27459" w:rsidP="00A27459">
      <w:pPr>
        <w:pStyle w:val="Prrafodelista"/>
        <w:numPr>
          <w:ilvl w:val="0"/>
          <w:numId w:val="17"/>
        </w:numPr>
        <w:tabs>
          <w:tab w:val="left" w:pos="709"/>
        </w:tabs>
        <w:spacing w:before="240" w:line="360" w:lineRule="auto"/>
        <w:ind w:right="51"/>
        <w:jc w:val="both"/>
        <w:rPr>
          <w:rFonts w:ascii="Palatino Linotype" w:hAnsi="Palatino Linotype" w:cs="Arial"/>
          <w:b/>
        </w:rPr>
      </w:pPr>
      <w:r w:rsidRPr="009D1CEC">
        <w:rPr>
          <w:rFonts w:ascii="Palatino Linotype" w:hAnsi="Palatino Linotype" w:cs="Arial"/>
          <w:b/>
        </w:rPr>
        <w:t xml:space="preserve">De la Versión Pública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lastRenderedPageBreak/>
        <w:t xml:space="preserve">Toda vez que los documentos referidos anteriormente son elaborados por quincenas y atendiendo al requerimiento del ciudadano, este Órgano Garante determina ordenar que la entrega de la información a la Recurrente se haga en </w:t>
      </w:r>
      <w:r w:rsidRPr="00347D2A">
        <w:rPr>
          <w:rFonts w:ascii="Palatino Linotype" w:eastAsia="Arial Unicode MS" w:hAnsi="Palatino Linotype" w:cs="Times New Roman"/>
          <w:b/>
          <w:sz w:val="24"/>
          <w:szCs w:val="24"/>
          <w:lang w:val="es-ES" w:eastAsia="es-ES"/>
        </w:rPr>
        <w:t>versión pública</w:t>
      </w:r>
      <w:r w:rsidRPr="00347D2A">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bCs/>
          <w:sz w:val="24"/>
          <w:szCs w:val="24"/>
          <w:lang w:eastAsia="es-ES"/>
        </w:rPr>
        <w:t>A este respecto, los</w:t>
      </w:r>
      <w:r w:rsidRPr="00347D2A">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7B2103" w:rsidRPr="00347D2A" w:rsidRDefault="007B2103" w:rsidP="007B2103">
      <w:pPr>
        <w:spacing w:after="0" w:line="360" w:lineRule="auto"/>
        <w:jc w:val="both"/>
        <w:rPr>
          <w:rFonts w:ascii="Palatino Linotype" w:eastAsia="Times New Roman" w:hAnsi="Palatino Linotype" w:cs="Times New Roman"/>
          <w:b/>
          <w:bCs/>
          <w:i/>
          <w:noProof/>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Arial"/>
          <w:b/>
          <w:bCs/>
          <w:i/>
          <w:noProof/>
          <w:lang w:eastAsia="es-ES"/>
        </w:rPr>
        <w:t>“</w:t>
      </w:r>
      <w:r w:rsidRPr="00347D2A">
        <w:rPr>
          <w:rFonts w:ascii="Palatino Linotype" w:eastAsia="Times New Roman" w:hAnsi="Palatino Linotype" w:cs="Arial"/>
          <w:b/>
          <w:bCs/>
          <w:i/>
          <w:lang w:eastAsia="es-MX"/>
        </w:rPr>
        <w:t>Artículo</w:t>
      </w:r>
      <w:r w:rsidRPr="00347D2A">
        <w:rPr>
          <w:rFonts w:ascii="Palatino Linotype" w:eastAsia="Times New Roman" w:hAnsi="Palatino Linotype" w:cs="Arial"/>
          <w:b/>
          <w:bCs/>
          <w:i/>
          <w:lang w:eastAsia="es-ES"/>
        </w:rPr>
        <w:t xml:space="preserve"> 3. </w:t>
      </w:r>
      <w:r w:rsidRPr="00347D2A">
        <w:rPr>
          <w:rFonts w:ascii="Palatino Linotype" w:eastAsia="Times New Roman" w:hAnsi="Palatino Linotype" w:cs="Times New Roman"/>
          <w:i/>
          <w:lang w:eastAsia="es-ES"/>
        </w:rPr>
        <w:t xml:space="preserve">Para los efectos de la presente Ley se entenderá por: </w:t>
      </w: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IX.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 xml:space="preserve">Datos personales: </w:t>
      </w:r>
      <w:r w:rsidRPr="00347D2A">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clasificada:</w:t>
      </w:r>
      <w:r w:rsidRPr="00347D2A">
        <w:rPr>
          <w:rFonts w:ascii="Palatino Linotype" w:eastAsia="Times New Roman" w:hAnsi="Palatino Linotype" w:cs="Arial"/>
          <w:i/>
          <w:lang w:eastAsia="es-ES"/>
        </w:rPr>
        <w:t xml:space="preserve"> Aquella considerada por la presente Ley como reservada o confidencial;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XXI.</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confidencial</w:t>
      </w:r>
      <w:r w:rsidRPr="00347D2A">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XLV. Versión pública:</w:t>
      </w:r>
      <w:r w:rsidRPr="00347D2A">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Artículo 51.</w:t>
      </w:r>
      <w:r w:rsidRPr="00347D2A">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47D2A">
        <w:rPr>
          <w:rFonts w:ascii="Palatino Linotype" w:eastAsia="Times New Roman" w:hAnsi="Palatino Linotype" w:cs="Arial"/>
          <w:b/>
          <w:i/>
          <w:lang w:eastAsia="es-ES"/>
        </w:rPr>
        <w:t xml:space="preserve">y tendrá la responsabilidad de verificar en cada caso que la misma no sea confidencial o </w:t>
      </w:r>
      <w:r w:rsidRPr="00347D2A">
        <w:rPr>
          <w:rFonts w:ascii="Palatino Linotype" w:eastAsia="Times New Roman" w:hAnsi="Palatino Linotype" w:cs="Arial"/>
          <w:b/>
          <w:i/>
          <w:lang w:eastAsia="es-ES"/>
        </w:rPr>
        <w:lastRenderedPageBreak/>
        <w:t xml:space="preserve">reservada. </w:t>
      </w:r>
      <w:r w:rsidRPr="00347D2A">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Times New Roman" w:eastAsia="Times New Roman" w:hAnsi="Times New Roman" w:cs="Arial"/>
          <w:bCs/>
          <w:noProof/>
          <w:sz w:val="24"/>
          <w:szCs w:val="24"/>
          <w:lang w:eastAsia="es-ES"/>
        </w:rPr>
      </w:pPr>
      <w:r w:rsidRPr="00347D2A">
        <w:rPr>
          <w:rFonts w:ascii="Palatino Linotype" w:eastAsia="Times New Roman" w:hAnsi="Palatino Linotype" w:cs="Arial"/>
          <w:b/>
          <w:i/>
          <w:lang w:eastAsia="es-ES"/>
        </w:rPr>
        <w:t>Artículo 52.</w:t>
      </w:r>
      <w:r w:rsidRPr="00347D2A">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347D2A">
        <w:rPr>
          <w:rFonts w:ascii="Palatino Linotype" w:eastAsia="Times New Roman" w:hAnsi="Palatino Linotype" w:cs="Arial"/>
          <w:bCs/>
          <w:i/>
          <w:noProof/>
          <w:lang w:eastAsia="es-ES"/>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7B2103" w:rsidRPr="00347D2A" w:rsidRDefault="007B2103" w:rsidP="007B2103">
      <w:pPr>
        <w:spacing w:after="0" w:line="240" w:lineRule="auto"/>
        <w:ind w:left="567" w:right="616"/>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w:t>
      </w: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22</w:t>
      </w:r>
      <w:r w:rsidRPr="00347D2A">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 Cuente con atribuciones conferidas en ley y medie el consentimiento del titular.</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38</w:t>
      </w:r>
      <w:r w:rsidRPr="00347D2A">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w:t>
      </w:r>
      <w:r w:rsidRPr="00347D2A">
        <w:rPr>
          <w:rFonts w:ascii="Palatino Linotype" w:eastAsia="Arial Unicode MS" w:hAnsi="Palatino Linotype" w:cs="Arial"/>
          <w:i/>
          <w:szCs w:val="24"/>
          <w:lang w:eastAsia="es-ES"/>
        </w:rPr>
        <w:lastRenderedPageBreak/>
        <w:t xml:space="preserve">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7B2103" w:rsidRPr="00347D2A" w:rsidRDefault="007B2103" w:rsidP="007B2103">
      <w:pPr>
        <w:spacing w:after="0" w:line="360" w:lineRule="auto"/>
        <w:jc w:val="both"/>
        <w:rPr>
          <w:rFonts w:ascii="Palatino Linotype" w:eastAsia="Arial Unicode MS"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47D2A">
        <w:rPr>
          <w:rFonts w:ascii="Palatino Linotype" w:eastAsia="Arial Unicode MS" w:hAnsi="Palatino Linotype" w:cs="Times New Roman"/>
          <w:color w:val="000000"/>
          <w:sz w:val="24"/>
          <w:szCs w:val="24"/>
          <w:lang w:eastAsia="es-MX"/>
        </w:rPr>
        <w:t>el Sujeto Obligado</w:t>
      </w:r>
      <w:r w:rsidRPr="00347D2A">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Asimismo, de la versión pública deberá dejarse a la vista de la Recurrente</w:t>
      </w:r>
      <w:r w:rsidRPr="00347D2A">
        <w:rPr>
          <w:rFonts w:ascii="Palatino Linotype" w:eastAsia="Arial Unicode MS" w:hAnsi="Palatino Linotype" w:cs="Times New Roman"/>
          <w:b/>
          <w:sz w:val="24"/>
          <w:szCs w:val="24"/>
          <w:lang w:val="es-ES" w:eastAsia="es-ES"/>
        </w:rPr>
        <w:t xml:space="preserve"> </w:t>
      </w:r>
      <w:r w:rsidRPr="00347D2A">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347D2A">
        <w:rPr>
          <w:rFonts w:ascii="Palatino Linotype" w:eastAsia="Arial Unicode MS" w:hAnsi="Palatino Linotype" w:cs="Times New Roman"/>
          <w:b/>
          <w:sz w:val="24"/>
          <w:szCs w:val="24"/>
          <w:lang w:val="es-ES" w:eastAsia="es-ES"/>
        </w:rPr>
        <w:t>el nombre del servidor público</w:t>
      </w:r>
      <w:r w:rsidRPr="00347D2A">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MX"/>
        </w:rPr>
      </w:pPr>
      <w:r w:rsidRPr="00347D2A">
        <w:rPr>
          <w:rFonts w:ascii="Palatino Linotype" w:eastAsia="Times New Roman" w:hAnsi="Palatino Linotype" w:cs="Times New Roman"/>
          <w:i/>
          <w:lang w:eastAsia="es-MX"/>
        </w:rPr>
        <w:t>"</w:t>
      </w:r>
      <w:r w:rsidRPr="00347D2A">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47D2A">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347D2A">
        <w:rPr>
          <w:rFonts w:ascii="Palatino Linotype" w:eastAsia="Times New Roman" w:hAnsi="Palatino Linotype" w:cs="Times New Roman"/>
          <w:sz w:val="24"/>
          <w:szCs w:val="24"/>
          <w:lang w:val="es-ES" w:eastAsia="es-ES"/>
        </w:rPr>
        <w:t>resulta necesario que el Comité de Transparencia d</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val="es-ES" w:eastAsia="es-ES"/>
        </w:rPr>
        <w:t>emita el Acuerdo de Clasificación correspondiente</w:t>
      </w:r>
      <w:r w:rsidRPr="00347D2A">
        <w:rPr>
          <w:rFonts w:ascii="Palatino Linotype" w:eastAsia="Times New Roman" w:hAnsi="Palatino Linotype" w:cs="Times New Roman"/>
          <w:sz w:val="24"/>
          <w:szCs w:val="24"/>
          <w:lang w:val="es-ES_tradnl" w:eastAsia="es-ES"/>
        </w:rPr>
        <w:t xml:space="preserve"> debidamente fundado y motivado, </w:t>
      </w:r>
      <w:r w:rsidRPr="00347D2A">
        <w:rPr>
          <w:rFonts w:ascii="Palatino Linotype" w:eastAsia="Times New Roman" w:hAnsi="Palatino Linotype" w:cs="Times New Roman"/>
          <w:sz w:val="24"/>
          <w:szCs w:val="24"/>
          <w:lang w:val="es-ES" w:eastAsia="es-ES"/>
        </w:rPr>
        <w:t xml:space="preserve">que sustente la versión pública, el cual deberá cumplir cabalmente con las </w:t>
      </w:r>
      <w:r w:rsidRPr="00347D2A">
        <w:rPr>
          <w:rFonts w:ascii="Palatino Linotype" w:eastAsia="Times New Roman" w:hAnsi="Palatino Linotype" w:cs="Times New Roman"/>
          <w:sz w:val="24"/>
          <w:szCs w:val="24"/>
          <w:lang w:val="es-ES" w:eastAsia="es-ES"/>
        </w:rPr>
        <w:lastRenderedPageBreak/>
        <w:t xml:space="preserve">formalidades previstas en el artículo 137 de la Ley de Transparencia y Acceso a la Información Pública del Estado de México y Municipios, así como con los numerales aplicables de los </w:t>
      </w:r>
      <w:r w:rsidRPr="00347D2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347D2A">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347D2A">
        <w:rPr>
          <w:rFonts w:ascii="Palatino Linotype" w:eastAsia="Times New Roman" w:hAnsi="Palatino Linotype" w:cs="Times New Roman"/>
          <w:b/>
          <w:sz w:val="24"/>
          <w:szCs w:val="24"/>
          <w:lang w:val="es-ES" w:eastAsia="es-ES"/>
        </w:rPr>
        <w:t>Registro Federal de Contribuyentes</w:t>
      </w:r>
      <w:r w:rsidRPr="00347D2A">
        <w:rPr>
          <w:rFonts w:ascii="Palatino Linotype" w:eastAsia="Times New Roman" w:hAnsi="Palatino Linotype" w:cs="Times New Roman"/>
          <w:sz w:val="24"/>
          <w:szCs w:val="24"/>
          <w:lang w:val="es-ES" w:eastAsia="es-ES"/>
        </w:rPr>
        <w:t xml:space="preserve"> (RFC), la </w:t>
      </w:r>
      <w:r w:rsidRPr="00347D2A">
        <w:rPr>
          <w:rFonts w:ascii="Palatino Linotype" w:eastAsia="Times New Roman" w:hAnsi="Palatino Linotype" w:cs="Times New Roman"/>
          <w:b/>
          <w:sz w:val="24"/>
          <w:szCs w:val="24"/>
          <w:lang w:val="es-ES" w:eastAsia="es-ES"/>
        </w:rPr>
        <w:t>Clave Única de Registro de Población</w:t>
      </w:r>
      <w:r w:rsidRPr="00347D2A">
        <w:rPr>
          <w:rFonts w:ascii="Palatino Linotype" w:eastAsia="Times New Roman" w:hAnsi="Palatino Linotype" w:cs="Times New Roman"/>
          <w:sz w:val="24"/>
          <w:szCs w:val="24"/>
          <w:lang w:val="es-ES" w:eastAsia="es-ES"/>
        </w:rPr>
        <w:t xml:space="preserve"> (CURP),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así como, los </w:t>
      </w:r>
      <w:r w:rsidRPr="00347D2A">
        <w:rPr>
          <w:rFonts w:ascii="Palatino Linotype" w:eastAsia="Times New Roman" w:hAnsi="Palatino Linotype" w:cs="Times New Roman"/>
          <w:b/>
          <w:sz w:val="24"/>
          <w:szCs w:val="24"/>
          <w:lang w:val="es-ES" w:eastAsia="es-ES"/>
        </w:rPr>
        <w:t xml:space="preserve">préstamos o descuentos </w:t>
      </w:r>
      <w:r w:rsidRPr="00347D2A">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347D2A">
        <w:rPr>
          <w:rFonts w:ascii="Palatino Linotype" w:eastAsia="Times New Roman" w:hAnsi="Palatino Linotype" w:cs="Times New Roman"/>
          <w:b/>
          <w:sz w:val="24"/>
          <w:szCs w:val="24"/>
          <w:lang w:val="es-ES" w:eastAsia="es-ES"/>
        </w:rPr>
        <w:t>cuotas</w:t>
      </w:r>
      <w:r w:rsidRPr="00347D2A">
        <w:rPr>
          <w:rFonts w:ascii="Palatino Linotype" w:eastAsia="Times New Roman" w:hAnsi="Palatino Linotype" w:cs="Times New Roman"/>
          <w:sz w:val="24"/>
          <w:szCs w:val="24"/>
          <w:lang w:val="es-ES" w:eastAsia="es-ES"/>
        </w:rPr>
        <w:t xml:space="preserve"> por </w:t>
      </w:r>
      <w:r w:rsidRPr="00347D2A">
        <w:rPr>
          <w:rFonts w:ascii="Palatino Linotype" w:eastAsia="Times New Roman" w:hAnsi="Palatino Linotype" w:cs="Times New Roman"/>
          <w:b/>
          <w:sz w:val="24"/>
          <w:szCs w:val="24"/>
          <w:lang w:val="es-ES" w:eastAsia="es-ES"/>
        </w:rPr>
        <w:t xml:space="preserve">seguridad social, Cadenas Originales, Códigos Bidimensionales </w:t>
      </w:r>
      <w:r w:rsidRPr="00347D2A">
        <w:rPr>
          <w:rFonts w:ascii="Palatino Linotype" w:eastAsia="Times New Roman" w:hAnsi="Palatino Linotype" w:cs="Times New Roman"/>
          <w:sz w:val="24"/>
          <w:szCs w:val="24"/>
          <w:lang w:val="es-ES" w:eastAsia="es-ES"/>
        </w:rPr>
        <w:t>y los denominados</w:t>
      </w:r>
      <w:r w:rsidRPr="00347D2A">
        <w:rPr>
          <w:rFonts w:ascii="Palatino Linotype" w:eastAsia="Times New Roman" w:hAnsi="Palatino Linotype" w:cs="Times New Roman"/>
          <w:b/>
          <w:sz w:val="24"/>
          <w:szCs w:val="24"/>
          <w:lang w:val="es-ES" w:eastAsia="es-ES"/>
        </w:rPr>
        <w:t xml:space="preserve"> Códigos QR.</w:t>
      </w:r>
    </w:p>
    <w:p w:rsidR="007B2103" w:rsidRPr="00347D2A" w:rsidRDefault="007B2103" w:rsidP="007B2103">
      <w:pPr>
        <w:spacing w:after="0" w:line="360" w:lineRule="auto"/>
        <w:jc w:val="both"/>
        <w:rPr>
          <w:rFonts w:ascii="Palatino Linotype" w:eastAsia="Times New Roman" w:hAnsi="Palatino Linotype" w:cs="Times New Roman"/>
          <w:sz w:val="24"/>
          <w:szCs w:val="24"/>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cuanto hace al </w:t>
      </w:r>
      <w:r w:rsidRPr="00347D2A">
        <w:rPr>
          <w:rFonts w:ascii="Palatino Linotype" w:eastAsia="Times New Roman" w:hAnsi="Palatino Linotype" w:cs="Times New Roman"/>
          <w:b/>
          <w:sz w:val="24"/>
          <w:szCs w:val="24"/>
          <w:lang w:val="es-ES" w:eastAsia="es-MX"/>
        </w:rPr>
        <w:t>Registro Federal de Contribuyentes</w:t>
      </w:r>
      <w:r w:rsidRPr="00347D2A">
        <w:rPr>
          <w:rFonts w:ascii="Palatino Linotype" w:eastAsia="Times New Roman" w:hAnsi="Palatino Linotype" w:cs="Times New Roman"/>
          <w:sz w:val="24"/>
          <w:szCs w:val="24"/>
          <w:lang w:val="es-ES" w:eastAsia="es-MX"/>
        </w:rPr>
        <w:t xml:space="preserve"> </w:t>
      </w:r>
      <w:r w:rsidRPr="00347D2A">
        <w:rPr>
          <w:rFonts w:ascii="Palatino Linotype" w:eastAsia="Times New Roman" w:hAnsi="Palatino Linotype" w:cs="Times New Roman"/>
          <w:b/>
          <w:sz w:val="24"/>
          <w:szCs w:val="24"/>
          <w:lang w:val="es-ES" w:eastAsia="es-MX"/>
        </w:rPr>
        <w:t>de las personas físicas</w:t>
      </w:r>
      <w:r w:rsidRPr="00347D2A">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47D2A">
        <w:rPr>
          <w:rFonts w:ascii="Palatino Linotype" w:eastAsia="Times New Roman" w:hAnsi="Palatino Linotype" w:cs="Times New Roman"/>
          <w:sz w:val="24"/>
          <w:szCs w:val="24"/>
          <w:lang w:val="es-ES" w:eastAsia="es-ES"/>
        </w:rPr>
        <w:t xml:space="preserve"> y </w:t>
      </w:r>
      <w:r w:rsidRPr="00347D2A">
        <w:rPr>
          <w:rFonts w:ascii="Palatino Linotype" w:eastAsia="Times New Roman" w:hAnsi="Palatino Linotype" w:cs="Times New Roman"/>
          <w:sz w:val="24"/>
          <w:szCs w:val="24"/>
          <w:lang w:val="es-ES" w:eastAsia="es-ES"/>
        </w:rPr>
        <w:lastRenderedPageBreak/>
        <w:t>finalmente la homoclave; la cual para su obtención es necesario acreditar personalidad, fecha de nacimiento entre otros con documentos oficiales.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7B2103" w:rsidRPr="00347D2A" w:rsidRDefault="007B2103" w:rsidP="007B2103">
      <w:pPr>
        <w:spacing w:after="0" w:line="360" w:lineRule="auto"/>
        <w:jc w:val="both"/>
        <w:rPr>
          <w:rFonts w:ascii="Palatino Linotype" w:eastAsia="Times New Roman" w:hAnsi="Palatino Linotype" w:cs="Times New Roman"/>
          <w:b/>
          <w:bCs/>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val="es-ES" w:eastAsia="es-ES"/>
        </w:rPr>
      </w:pPr>
      <w:r w:rsidRPr="00347D2A">
        <w:rPr>
          <w:rFonts w:ascii="Palatino Linotype" w:eastAsia="Times New Roman" w:hAnsi="Palatino Linotype" w:cs="Times New Roman"/>
          <w:i/>
          <w:lang w:val="es-ES" w:eastAsia="es-ES"/>
        </w:rPr>
        <w:t>“</w:t>
      </w:r>
      <w:r w:rsidRPr="00347D2A">
        <w:rPr>
          <w:rFonts w:ascii="Palatino Linotype" w:eastAsia="Times New Roman" w:hAnsi="Palatino Linotype" w:cs="Times New Roman"/>
          <w:b/>
          <w:i/>
          <w:lang w:val="es-ES" w:eastAsia="es-ES"/>
        </w:rPr>
        <w:t>Registro Federal de Contribuyentes (RFC) de personas físicas</w:t>
      </w:r>
      <w:r w:rsidRPr="00347D2A">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eastAsia="es-MX"/>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 xml:space="preserve">Clave Única de Registro de Población, </w:t>
      </w:r>
      <w:r w:rsidRPr="00347D2A">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lastRenderedPageBreak/>
        <w:t>Lo anterior, tiene sustento en los artículos 86 y 91 de la Ley General de Población, la cual señala lo siguiente:</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86. </w:t>
      </w:r>
      <w:r w:rsidRPr="00347D2A">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91. </w:t>
      </w:r>
      <w:r w:rsidRPr="00347D2A">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7B2103" w:rsidRPr="00347D2A" w:rsidRDefault="007B2103" w:rsidP="007B2103">
      <w:pPr>
        <w:spacing w:after="0" w:line="360" w:lineRule="auto"/>
        <w:jc w:val="both"/>
        <w:rPr>
          <w:rFonts w:ascii="Palatino Linotype" w:eastAsia="Times New Roman" w:hAnsi="Palatino Linotype" w:cs="Arial"/>
          <w:sz w:val="24"/>
          <w:szCs w:val="24"/>
          <w:lang w:val="es-ES" w:eastAsia="es-MX"/>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val="es-ES" w:eastAsia="es-MX"/>
        </w:rPr>
      </w:pPr>
      <w:r w:rsidRPr="00347D2A">
        <w:rPr>
          <w:rFonts w:ascii="Palatino Linotype" w:eastAsia="Times New Roman" w:hAnsi="Palatino Linotype" w:cs="Times New Roman"/>
          <w:b/>
          <w:i/>
          <w:lang w:val="es-ES" w:eastAsia="es-MX"/>
        </w:rPr>
        <w:t>Clave Única de Registro de Población (CURP)</w:t>
      </w:r>
      <w:r w:rsidRPr="00347D2A">
        <w:rPr>
          <w:rFonts w:ascii="Palatino Linotype" w:eastAsia="Times New Roman" w:hAnsi="Palatino Linotype" w:cs="Times New Roman"/>
          <w:i/>
          <w:lang w:val="es-ES" w:eastAsia="es-MX"/>
        </w:rPr>
        <w:t xml:space="preserve">. La Clave Única de Registro de Población se integra por datos personales que sólo conciernen al particular titular de la misma, como lo son su nombre, apellidos, fecha de nacimiento, lugar de nacimiento y sexo. </w:t>
      </w:r>
      <w:r w:rsidRPr="00347D2A">
        <w:rPr>
          <w:rFonts w:ascii="Palatino Linotype" w:eastAsia="Times New Roman" w:hAnsi="Palatino Linotype" w:cs="Times New Roman"/>
          <w:i/>
          <w:lang w:val="es-ES" w:eastAsia="es-MX"/>
        </w:rPr>
        <w:lastRenderedPageBreak/>
        <w:t>Dichos datos, constituyen información que distingue plenamente a una persona física del resto de los habitantes del país, por lo que la CURP está considerada como información confidencial.</w:t>
      </w:r>
    </w:p>
    <w:p w:rsidR="007B2103" w:rsidRPr="00347D2A" w:rsidRDefault="007B2103" w:rsidP="007B2103">
      <w:pPr>
        <w:spacing w:after="0" w:line="240" w:lineRule="auto"/>
        <w:ind w:left="567" w:right="616"/>
        <w:jc w:val="both"/>
        <w:rPr>
          <w:rFonts w:ascii="Palatino Linotype" w:eastAsia="Times New Roman" w:hAnsi="Palatino Linotype" w:cs="Arial"/>
          <w:bCs/>
          <w:i/>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está integrado por una </w:t>
      </w:r>
      <w:r w:rsidRPr="00347D2A">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47D2A">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val="es-ES" w:eastAsia="es-MX"/>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ES"/>
        </w:rPr>
        <w:t xml:space="preserve">Respecto de los </w:t>
      </w:r>
      <w:r w:rsidRPr="00347D2A">
        <w:rPr>
          <w:rFonts w:ascii="Palatino Linotype" w:eastAsia="Times New Roman" w:hAnsi="Palatino Linotype" w:cs="Times New Roman"/>
          <w:b/>
          <w:sz w:val="24"/>
          <w:szCs w:val="24"/>
          <w:lang w:val="es-ES" w:eastAsia="es-ES"/>
        </w:rPr>
        <w:t>préstamos o descuentos</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b/>
          <w:sz w:val="24"/>
          <w:szCs w:val="24"/>
          <w:lang w:val="es-ES" w:eastAsia="es-ES"/>
        </w:rPr>
        <w:t>de carácter personal</w:t>
      </w:r>
      <w:r w:rsidRPr="00347D2A">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w:t>
      </w:r>
      <w:r w:rsidRPr="00347D2A">
        <w:rPr>
          <w:rFonts w:ascii="Palatino Linotype" w:eastAsia="Times New Roman" w:hAnsi="Palatino Linotype" w:cs="Times New Roman"/>
          <w:sz w:val="24"/>
          <w:szCs w:val="24"/>
          <w:lang w:val="es-ES" w:eastAsia="es-ES"/>
        </w:rPr>
        <w:lastRenderedPageBreak/>
        <w:t xml:space="preserve">descuentos que se le hagan a la persona en los que no se involucren instituciones públicas, en virtud de  no </w:t>
      </w:r>
      <w:r w:rsidRPr="00347D2A">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protección de información confidencial, porque incide en la intimidad de un individuo</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identificado.</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su parte, el </w:t>
      </w:r>
      <w:r w:rsidRPr="00347D2A">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b/>
          <w:i/>
          <w:noProof/>
          <w:sz w:val="24"/>
          <w:szCs w:val="24"/>
          <w:lang w:val="es-ES" w:eastAsia="es-ES"/>
        </w:rPr>
        <w:t>ARTICULO 84.</w:t>
      </w:r>
      <w:r w:rsidRPr="00347D2A">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 Gravámenes fiscales relacionados con el sueldo;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III. Cuotas sindicales;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 Faltas de puntualidad o de asistencia injustificadas;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VIII. Pensiones alimenticias ordenadas por la autoridad judicial; 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sz w:val="24"/>
          <w:szCs w:val="24"/>
          <w:lang w:val="es-ES" w:eastAsia="es-ES"/>
        </w:rPr>
      </w:pPr>
      <w:r w:rsidRPr="00347D2A">
        <w:rPr>
          <w:rFonts w:ascii="Palatino Linotype" w:eastAsia="Times New Roman" w:hAnsi="Palatino Linotype" w:cs="Times New Roman"/>
          <w:i/>
          <w:noProof/>
          <w:sz w:val="24"/>
          <w:szCs w:val="24"/>
          <w:lang w:val="es-ES" w:eastAsia="es-ES"/>
        </w:rPr>
        <w:t xml:space="preserve">El monto total de las retenciones, descuentos o deducciones no podrá exceder del 30% de la remuneración total, excepto en los casos a que se refieren las fracciones </w:t>
      </w:r>
      <w:r w:rsidRPr="00347D2A">
        <w:rPr>
          <w:rFonts w:ascii="Palatino Linotype" w:eastAsia="Times New Roman" w:hAnsi="Palatino Linotype" w:cs="Times New Roman"/>
          <w:i/>
          <w:noProof/>
          <w:sz w:val="24"/>
          <w:szCs w:val="24"/>
          <w:lang w:val="es-ES" w:eastAsia="es-ES"/>
        </w:rPr>
        <w:lastRenderedPageBreak/>
        <w:t>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Arial Unicode MS" w:hAnsi="Palatino Linotype" w:cs="Times New Roman"/>
          <w:sz w:val="24"/>
          <w:szCs w:val="24"/>
          <w:lang w:eastAsia="es-ES"/>
        </w:rPr>
        <w:t xml:space="preserve">En ese sentido, </w:t>
      </w:r>
      <w:r w:rsidRPr="00347D2A">
        <w:rPr>
          <w:rFonts w:ascii="Palatino Linotype" w:eastAsia="Times New Roman" w:hAnsi="Palatino Linotype" w:cs="Times New Roman"/>
          <w:sz w:val="24"/>
          <w:szCs w:val="24"/>
          <w:lang w:eastAsia="es-ES"/>
        </w:rPr>
        <w:t xml:space="preserve">las </w:t>
      </w:r>
      <w:r w:rsidRPr="00347D2A">
        <w:rPr>
          <w:rFonts w:ascii="Palatino Linotype" w:eastAsia="Times New Roman" w:hAnsi="Palatino Linotype" w:cs="Times New Roman"/>
          <w:b/>
          <w:sz w:val="24"/>
          <w:szCs w:val="24"/>
          <w:lang w:eastAsia="es-ES"/>
        </w:rPr>
        <w:t>Cadenas Originales</w:t>
      </w:r>
      <w:r w:rsidRPr="00347D2A">
        <w:rPr>
          <w:rFonts w:ascii="Palatino Linotype" w:eastAsia="Times New Roman" w:hAnsi="Palatino Linotype" w:cs="Times New Roman"/>
          <w:sz w:val="24"/>
          <w:szCs w:val="24"/>
          <w:lang w:eastAsia="es-ES"/>
        </w:rPr>
        <w:t xml:space="preserve"> forman parte del </w:t>
      </w:r>
      <w:r w:rsidRPr="00347D2A">
        <w:rPr>
          <w:rFonts w:ascii="Palatino Linotype" w:eastAsia="Times New Roman" w:hAnsi="Palatino Linotype" w:cs="Times New Roman"/>
          <w:sz w:val="24"/>
          <w:szCs w:val="24"/>
          <w:lang w:val="es-ES_tradnl" w:eastAsia="es-ES"/>
        </w:rPr>
        <w:t xml:space="preserve">certificado de sello digital, los cuales </w:t>
      </w:r>
      <w:r w:rsidRPr="00347D2A">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347D2A">
        <w:rPr>
          <w:rFonts w:ascii="Palatino Linotype" w:eastAsia="Times New Roman" w:hAnsi="Palatino Linotype" w:cs="Times New Roman"/>
          <w:b/>
          <w:sz w:val="24"/>
          <w:szCs w:val="24"/>
          <w:lang w:eastAsia="es-ES"/>
        </w:rPr>
        <w:t xml:space="preserve">vinculación </w:t>
      </w:r>
      <w:r w:rsidRPr="00347D2A">
        <w:rPr>
          <w:rFonts w:ascii="Palatino Linotype" w:eastAsia="Times New Roman" w:hAnsi="Palatino Linotype" w:cs="Times New Roman"/>
          <w:sz w:val="24"/>
          <w:szCs w:val="24"/>
          <w:lang w:eastAsia="es-ES"/>
        </w:rPr>
        <w:t xml:space="preserve">entre la </w:t>
      </w:r>
      <w:r w:rsidRPr="00347D2A">
        <w:rPr>
          <w:rFonts w:ascii="Palatino Linotype" w:eastAsia="Times New Roman" w:hAnsi="Palatino Linotype" w:cs="Times New Roman"/>
          <w:b/>
          <w:sz w:val="24"/>
          <w:szCs w:val="24"/>
          <w:lang w:eastAsia="es-ES"/>
        </w:rPr>
        <w:t>identidad de un sujeto o entidad</w:t>
      </w:r>
      <w:r w:rsidRPr="00347D2A">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347D2A">
        <w:rPr>
          <w:rFonts w:ascii="Palatino Linotype" w:eastAsia="Times New Roman" w:hAnsi="Palatino Linotype" w:cs="Times New Roman"/>
          <w:b/>
          <w:sz w:val="24"/>
          <w:szCs w:val="24"/>
          <w:lang w:eastAsia="es-ES"/>
        </w:rPr>
        <w:t>para acreditar la autoría de los comprobantes fiscales digitales</w:t>
      </w:r>
      <w:r w:rsidRPr="00347D2A">
        <w:rPr>
          <w:rFonts w:ascii="Palatino Linotype" w:eastAsia="Times New Roman" w:hAnsi="Palatino Linotype" w:cs="Times New Roman"/>
          <w:sz w:val="24"/>
          <w:szCs w:val="24"/>
          <w:lang w:eastAsia="es-ES"/>
        </w:rPr>
        <w:t>. En ese tenor se transcriben los artículos señalados con antelación para mejor ilustración: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“Artículo 17-G.- Los certificados que emita el Servicio de Administración Tributaria para ser considerados válidos deberán contener los datos siguientes: </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numPr>
          <w:ilvl w:val="0"/>
          <w:numId w:val="14"/>
        </w:numPr>
        <w:spacing w:after="0" w:line="240" w:lineRule="auto"/>
        <w:ind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lastRenderedPageBreak/>
        <w:t>La mención de que se expiden como tales. Tratándose de certificados de sellos digitales, se deberán especificar las limitantes que tengan para su uso.</w:t>
      </w:r>
    </w:p>
    <w:p w:rsidR="007B2103" w:rsidRPr="00347D2A" w:rsidRDefault="007B2103" w:rsidP="007B2103">
      <w:pPr>
        <w:spacing w:after="0" w:line="240" w:lineRule="auto"/>
        <w:ind w:left="1422"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Los contribuyentes a que se refiere el párrafo anterior deberán cumplir con las obligaciones siguientes: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 </w:t>
      </w:r>
      <w:r w:rsidRPr="00347D2A">
        <w:rPr>
          <w:rFonts w:ascii="Palatino Linotype" w:eastAsia="Times New Roman" w:hAnsi="Palatino Linotype" w:cs="Times New Roman"/>
          <w:i/>
          <w:noProof/>
          <w:lang w:eastAsia="es-ES"/>
        </w:rPr>
        <w:tab/>
        <w:t>…</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II. </w:t>
      </w:r>
      <w:r w:rsidRPr="00347D2A">
        <w:rPr>
          <w:rFonts w:ascii="Palatino Linotype" w:eastAsia="Times New Roman" w:hAnsi="Palatino Linotype" w:cs="Times New Roman"/>
          <w:i/>
          <w:noProof/>
          <w:lang w:eastAsia="es-ES"/>
        </w:rPr>
        <w:tab/>
        <w:t>Tramitar ante el Servicio de Administración Tributaria el certificado para el uso de los sellos digitales.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noProof/>
          <w:sz w:val="24"/>
          <w:szCs w:val="24"/>
          <w:lang w:eastAsia="es-ES"/>
        </w:rPr>
      </w:pPr>
      <w:r w:rsidRPr="00347D2A">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Por lo que hace a los </w:t>
      </w:r>
      <w:r w:rsidRPr="00347D2A">
        <w:rPr>
          <w:rFonts w:ascii="Palatino Linotype" w:eastAsia="Times New Roman" w:hAnsi="Palatino Linotype" w:cs="Times New Roman"/>
          <w:b/>
          <w:sz w:val="24"/>
          <w:szCs w:val="24"/>
          <w:lang w:eastAsia="es-ES"/>
        </w:rPr>
        <w:t>Códigos Bidimensionales</w:t>
      </w:r>
      <w:r w:rsidRPr="00347D2A">
        <w:rPr>
          <w:rFonts w:ascii="Palatino Linotype" w:eastAsia="Times New Roman" w:hAnsi="Palatino Linotype" w:cs="Times New Roman"/>
          <w:sz w:val="24"/>
          <w:szCs w:val="24"/>
          <w:lang w:eastAsia="es-ES"/>
        </w:rPr>
        <w:t xml:space="preserve"> y los denominados </w:t>
      </w:r>
      <w:r w:rsidRPr="00347D2A">
        <w:rPr>
          <w:rFonts w:ascii="Palatino Linotype" w:eastAsia="Times New Roman" w:hAnsi="Palatino Linotype" w:cs="Times New Roman"/>
          <w:b/>
          <w:sz w:val="24"/>
          <w:szCs w:val="24"/>
          <w:lang w:eastAsia="es-ES"/>
        </w:rPr>
        <w:t>Códigos QR</w:t>
      </w:r>
      <w:r w:rsidRPr="00347D2A">
        <w:rPr>
          <w:rFonts w:ascii="Palatino Linotype" w:eastAsia="Times New Roman" w:hAnsi="Palatino Linotype" w:cs="Times New Roman"/>
          <w:sz w:val="24"/>
          <w:szCs w:val="24"/>
          <w:lang w:eastAsia="es-ES"/>
        </w:rPr>
        <w:t xml:space="preserve">, se trata </w:t>
      </w:r>
      <w:r w:rsidRPr="00347D2A">
        <w:rPr>
          <w:rFonts w:ascii="Palatino Linotype" w:eastAsia="Times New Roman" w:hAnsi="Palatino Linotype" w:cs="Times New Roman"/>
          <w:sz w:val="24"/>
          <w:szCs w:val="24"/>
          <w:lang w:val="es-ES_tradnl" w:eastAsia="es-ES"/>
        </w:rPr>
        <w:t>de</w:t>
      </w:r>
      <w:r w:rsidRPr="00347D2A">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347D2A">
        <w:rPr>
          <w:rFonts w:ascii="Palatino Linotype" w:eastAsia="Times New Roman" w:hAnsi="Palatino Linotype" w:cs="Times New Roman"/>
          <w:sz w:val="24"/>
          <w:szCs w:val="24"/>
          <w:lang w:eastAsia="es-MX"/>
        </w:rPr>
        <w:t>datos</w:t>
      </w:r>
      <w:r w:rsidRPr="00347D2A">
        <w:rPr>
          <w:rFonts w:ascii="Palatino Linotype" w:eastAsia="Times New Roman" w:hAnsi="Palatino Linotype" w:cs="Times New Roman"/>
          <w:sz w:val="24"/>
          <w:szCs w:val="24"/>
          <w:lang w:eastAsia="es-ES"/>
        </w:rPr>
        <w:t xml:space="preserve"> personales como lo son el </w:t>
      </w:r>
      <w:r w:rsidRPr="00347D2A">
        <w:rPr>
          <w:rFonts w:ascii="Palatino Linotype" w:eastAsia="Times New Roman" w:hAnsi="Palatino Linotype" w:cs="Times New Roman"/>
          <w:b/>
          <w:sz w:val="24"/>
          <w:szCs w:val="24"/>
          <w:lang w:eastAsia="es-ES"/>
        </w:rPr>
        <w:t>Registro Federal de Contribuyentes</w:t>
      </w:r>
      <w:r w:rsidRPr="00347D2A">
        <w:rPr>
          <w:rFonts w:ascii="Palatino Linotype" w:eastAsia="Times New Roman" w:hAnsi="Palatino Linotype" w:cs="Times New Roman"/>
          <w:sz w:val="24"/>
          <w:szCs w:val="24"/>
          <w:lang w:eastAsia="es-ES"/>
        </w:rPr>
        <w:t xml:space="preserve"> (RFC) y la </w:t>
      </w:r>
      <w:r w:rsidRPr="00347D2A">
        <w:rPr>
          <w:rFonts w:ascii="Palatino Linotype" w:eastAsia="Times New Roman" w:hAnsi="Palatino Linotype" w:cs="Times New Roman"/>
          <w:b/>
          <w:sz w:val="24"/>
          <w:szCs w:val="24"/>
          <w:lang w:eastAsia="es-ES"/>
        </w:rPr>
        <w:t>Clave Única de Registro de Población</w:t>
      </w:r>
      <w:r w:rsidRPr="00347D2A">
        <w:rPr>
          <w:rFonts w:ascii="Palatino Linotype" w:eastAsia="Times New Roman" w:hAnsi="Palatino Linotype" w:cs="Times New Roman"/>
          <w:sz w:val="24"/>
          <w:szCs w:val="24"/>
          <w:lang w:eastAsia="es-ES"/>
        </w:rPr>
        <w:t xml:space="preserve"> (CURP), por lo cual, deberán ser protegidos.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val="es-ES_tradnl" w:eastAsia="es-ES"/>
        </w:rPr>
        <w:lastRenderedPageBreak/>
        <w:t xml:space="preserve">Por ende, en el presente caso el Sujeto Obligado debe </w:t>
      </w:r>
      <w:r w:rsidRPr="00347D2A">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Calibri" w:hAnsi="Palatino Linotype" w:cs="Times New Roman"/>
          <w:sz w:val="24"/>
          <w:szCs w:val="24"/>
          <w:lang w:eastAsia="es-ES"/>
        </w:rPr>
      </w:pPr>
      <w:r w:rsidRPr="00347D2A">
        <w:rPr>
          <w:rFonts w:ascii="Palatino Linotype" w:eastAsia="Calibri" w:hAnsi="Palatino Linotype" w:cs="Times New Roman"/>
          <w:sz w:val="24"/>
          <w:szCs w:val="24"/>
          <w:lang w:eastAsia="es-ES"/>
        </w:rPr>
        <w:t xml:space="preserve">Así, es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7B2103" w:rsidRPr="00347D2A" w:rsidRDefault="007B2103" w:rsidP="007B2103">
      <w:pPr>
        <w:spacing w:after="0" w:line="360" w:lineRule="auto"/>
        <w:jc w:val="both"/>
        <w:rPr>
          <w:rFonts w:ascii="Palatino Linotype" w:eastAsia="Calibri"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 xml:space="preserve">“Artículo 49. </w:t>
      </w:r>
      <w:r w:rsidRPr="00347D2A">
        <w:rPr>
          <w:rFonts w:ascii="Times New Roman" w:eastAsia="Times New Roman" w:hAnsi="Times New Roman" w:cs="Times New Roman"/>
          <w:i/>
          <w:lang w:eastAsia="es-MX"/>
        </w:rPr>
        <w:t>Los Comités de Transparencia tendrán las siguientes atribuciones: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VIII.</w:t>
      </w:r>
      <w:r w:rsidRPr="00347D2A">
        <w:rPr>
          <w:rFonts w:ascii="Times New Roman" w:eastAsia="Times New Roman" w:hAnsi="Times New Roman" w:cs="Times New Roman"/>
          <w:i/>
          <w:lang w:eastAsia="es-MX"/>
        </w:rPr>
        <w:t xml:space="preserve"> Aprobar, modificar o revocar la clasificación de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Artículo 132.</w:t>
      </w:r>
      <w:r w:rsidRPr="00347D2A">
        <w:rPr>
          <w:rFonts w:ascii="Times New Roman" w:eastAsia="Times New Roman" w:hAnsi="Times New Roman" w:cs="Times New Roman"/>
          <w:i/>
          <w:lang w:eastAsia="es-MX"/>
        </w:rPr>
        <w:t xml:space="preserve"> La clasificación de la información se llevará a cabo en el momento en que:</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r w:rsidRPr="00347D2A">
        <w:rPr>
          <w:rFonts w:ascii="Times New Roman" w:eastAsia="Times New Roman" w:hAnsi="Times New Roman" w:cs="Times New Roman"/>
          <w:i/>
          <w:lang w:eastAsia="es-MX"/>
        </w:rPr>
        <w:t>III. Se generen versiones públicas para dar cumplimiento a las obligaciones de transparencia previstas en esta Ley.</w:t>
      </w:r>
      <w:r w:rsidRPr="00347D2A">
        <w:rPr>
          <w:rFonts w:ascii="Times New Roman" w:eastAsia="Times New Roman" w:hAnsi="Times New Roman" w:cs="Times New Roman"/>
          <w:b/>
          <w:i/>
          <w:lang w:eastAsia="es-MX"/>
        </w:rPr>
        <w:t>”</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“Segundo.-</w:t>
      </w:r>
      <w:r w:rsidRPr="00347D2A">
        <w:rPr>
          <w:rFonts w:ascii="Times New Roman" w:eastAsia="Times New Roman" w:hAnsi="Times New Roman" w:cs="Times New Roman"/>
          <w:i/>
          <w:lang w:eastAsia="es-MX"/>
        </w:rPr>
        <w:t xml:space="preserve"> Para efectos de los presentes Lineamientos Generales, se entenderá por:</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XVIII.</w:t>
      </w:r>
      <w:r w:rsidRPr="00347D2A">
        <w:rPr>
          <w:rFonts w:ascii="Times New Roman" w:eastAsia="Times New Roman" w:hAnsi="Times New Roman" w:cs="Times New Roman"/>
          <w:i/>
          <w:lang w:eastAsia="es-MX"/>
        </w:rPr>
        <w:t xml:space="preserve"> </w:t>
      </w:r>
      <w:r w:rsidRPr="00347D2A">
        <w:rPr>
          <w:rFonts w:ascii="Times New Roman" w:eastAsia="Times New Roman" w:hAnsi="Times New Roman" w:cs="Times New Roman"/>
          <w:b/>
          <w:i/>
          <w:lang w:eastAsia="es-MX"/>
        </w:rPr>
        <w:t>Versión pública:</w:t>
      </w:r>
      <w:r w:rsidRPr="00347D2A">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Cuarto.</w:t>
      </w:r>
      <w:r w:rsidRPr="00347D2A">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Quinto.</w:t>
      </w:r>
      <w:r w:rsidRPr="00347D2A">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w:t>
      </w:r>
      <w:r w:rsidRPr="00347D2A">
        <w:rPr>
          <w:rFonts w:ascii="Times New Roman" w:eastAsia="Times New Roman" w:hAnsi="Times New Roman" w:cs="Times New Roman"/>
          <w:i/>
          <w:lang w:eastAsia="es-MX"/>
        </w:rPr>
        <w:lastRenderedPageBreak/>
        <w:t>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Sexto.</w:t>
      </w:r>
      <w:r w:rsidRPr="00347D2A">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Séptimo.</w:t>
      </w:r>
      <w:r w:rsidRPr="00347D2A">
        <w:rPr>
          <w:rFonts w:ascii="Times New Roman" w:eastAsia="Times New Roman" w:hAnsi="Times New Roman" w:cs="Times New Roman"/>
          <w:i/>
          <w:lang w:eastAsia="es-MX"/>
        </w:rPr>
        <w:t xml:space="preserve"> La clasificación de la información se llevará a cabo en el momento en que:</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III.</w:t>
      </w:r>
      <w:r w:rsidRPr="00347D2A">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Octavo.</w:t>
      </w:r>
      <w:r w:rsidRPr="00347D2A">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Noveno.</w:t>
      </w:r>
      <w:r w:rsidRPr="00347D2A">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Décimo.</w:t>
      </w:r>
      <w:r w:rsidRPr="00347D2A">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w:t>
      </w:r>
      <w:r w:rsidRPr="00347D2A">
        <w:rPr>
          <w:rFonts w:ascii="Times New Roman" w:eastAsia="Times New Roman" w:hAnsi="Times New Roman" w:cs="Times New Roman"/>
          <w:i/>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b/>
          <w:sz w:val="24"/>
          <w:szCs w:val="24"/>
          <w:lang w:eastAsia="es-MX"/>
        </w:rPr>
      </w:pPr>
      <w:r w:rsidRPr="00347D2A">
        <w:rPr>
          <w:rFonts w:ascii="Times New Roman" w:eastAsia="Times New Roman" w:hAnsi="Times New Roman" w:cs="Times New Roman"/>
          <w:b/>
          <w:i/>
          <w:lang w:eastAsia="es-MX"/>
        </w:rPr>
        <w:t>Décimo primero.</w:t>
      </w:r>
      <w:r w:rsidRPr="00347D2A">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47D2A">
        <w:rPr>
          <w:rFonts w:ascii="Times New Roman" w:eastAsia="Times New Roman" w:hAnsi="Times New Roman" w:cs="Times New Roman"/>
          <w:b/>
          <w:i/>
          <w:lang w:eastAsia="es-MX"/>
        </w:rPr>
        <w:t>”</w:t>
      </w:r>
    </w:p>
    <w:p w:rsidR="007B2103" w:rsidRPr="00347D2A" w:rsidRDefault="007B2103" w:rsidP="007B2103">
      <w:pPr>
        <w:spacing w:after="0" w:line="360" w:lineRule="auto"/>
        <w:jc w:val="both"/>
        <w:rPr>
          <w:rFonts w:ascii="Palatino Linotype" w:eastAsia="Times New Roman" w:hAnsi="Palatino Linotype" w:cs="Arial"/>
          <w:i/>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 xml:space="preserve">FUNDAMENTACIÓN Y MOTIVACIÓN. </w:t>
      </w:r>
      <w:r w:rsidRPr="00347D2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47D2A">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w:t>
      </w:r>
      <w:r w:rsidRPr="00347D2A">
        <w:rPr>
          <w:rFonts w:ascii="Palatino Linotype" w:eastAsia="Times New Roman" w:hAnsi="Palatino Linotype" w:cs="Times New Roman"/>
          <w:i/>
          <w:lang w:eastAsia="es-ES"/>
        </w:rPr>
        <w:lastRenderedPageBreak/>
        <w:t>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47D2A">
        <w:rPr>
          <w:rFonts w:ascii="Palatino Linotype" w:eastAsia="Times New Roman" w:hAnsi="Palatino Linotype" w:cs="Times New Roman"/>
          <w:b/>
          <w:sz w:val="24"/>
          <w:szCs w:val="24"/>
          <w:lang w:val="es-ES" w:eastAsia="es-ES"/>
        </w:rPr>
        <w:t xml:space="preserve"> </w:t>
      </w:r>
      <w:r w:rsidRPr="00347D2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Arial"/>
          <w:bCs/>
          <w:sz w:val="24"/>
          <w:szCs w:val="24"/>
          <w:lang w:eastAsia="es-ES"/>
        </w:rPr>
      </w:pPr>
      <w:r w:rsidRPr="00347D2A">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sidRPr="00347D2A">
        <w:rPr>
          <w:rFonts w:ascii="Palatino Linotype" w:eastAsia="Times New Roman" w:hAnsi="Palatino Linotype" w:cs="Arial"/>
          <w:sz w:val="24"/>
          <w:szCs w:val="24"/>
          <w:lang w:eastAsia="es-ES"/>
        </w:rPr>
        <w:t xml:space="preserve">de la Ley de Transparencia y Acceso a la Información Pública del Estado de </w:t>
      </w:r>
      <w:r w:rsidRPr="00347D2A">
        <w:rPr>
          <w:rFonts w:ascii="Palatino Linotype" w:eastAsia="Times New Roman" w:hAnsi="Palatino Linotype" w:cs="Arial"/>
          <w:sz w:val="24"/>
          <w:szCs w:val="24"/>
          <w:lang w:eastAsia="es-ES"/>
        </w:rPr>
        <w:lastRenderedPageBreak/>
        <w:t xml:space="preserve">México y Municipios, </w:t>
      </w:r>
      <w:r w:rsidRPr="00347D2A">
        <w:rPr>
          <w:rFonts w:ascii="Palatino Linotype" w:eastAsia="Times New Roman" w:hAnsi="Palatino Linotype" w:cs="Arial"/>
          <w:bCs/>
          <w:sz w:val="24"/>
          <w:szCs w:val="24"/>
          <w:lang w:eastAsia="es-ES"/>
        </w:rPr>
        <w:t>a efecto de salvaguardar el derecho de acceso a la información pública consignado a favor del Recurrente.</w:t>
      </w:r>
    </w:p>
    <w:p w:rsidR="00BA65E0" w:rsidRPr="00A27459" w:rsidRDefault="00BA65E0" w:rsidP="00A27459">
      <w:pPr>
        <w:pStyle w:val="Prrafodelista"/>
        <w:numPr>
          <w:ilvl w:val="0"/>
          <w:numId w:val="19"/>
        </w:numPr>
        <w:spacing w:before="240" w:after="240" w:line="360" w:lineRule="auto"/>
        <w:jc w:val="both"/>
        <w:rPr>
          <w:rFonts w:ascii="Palatino Linotype" w:hAnsi="Palatino Linotype"/>
          <w:b/>
          <w:i/>
        </w:rPr>
      </w:pPr>
      <w:r w:rsidRPr="00A27459">
        <w:rPr>
          <w:rFonts w:ascii="Palatino Linotype" w:hAnsi="Palatino Linotype"/>
          <w:b/>
          <w:i/>
        </w:rPr>
        <w:t xml:space="preserve">Vista a los Órganos de Control Interno </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contextualSpacing/>
        <w:jc w:val="both"/>
        <w:rPr>
          <w:sz w:val="8"/>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 xml:space="preserve">en la Ley </w:t>
      </w:r>
      <w:r w:rsidRPr="006010FE">
        <w:rPr>
          <w:rFonts w:ascii="Palatino Linotype" w:eastAsia="MS Mincho" w:hAnsi="Palatino Linotype" w:cs="Arial"/>
          <w:sz w:val="24"/>
        </w:rPr>
        <w:lastRenderedPageBreak/>
        <w:t>de Transparencia Acceso a la Información Pública del Estado de México y Municipios específicamente en sus artículos 190, 222 y 223 que señalan lo siguiente:</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w:t>
      </w:r>
      <w:r w:rsidR="00AB1FC1">
        <w:rPr>
          <w:rFonts w:ascii="Palatino Linotype" w:eastAsia="MS Mincho" w:hAnsi="Palatino Linotype" w:cs="Times New Roman"/>
          <w:i/>
        </w:rPr>
        <w:t xml:space="preserve">                                                                                                                                                                                                                                                                                                                                                                                                                                                                                                                                                                                                                                                                                                                                                                                                                                                                                                                                                          </w:t>
      </w:r>
      <w:r w:rsidRPr="006010FE">
        <w:rPr>
          <w:rFonts w:ascii="Palatino Linotype" w:eastAsia="MS Mincho" w:hAnsi="Palatino Linotype" w:cs="Times New Roman"/>
          <w:i/>
        </w:rPr>
        <w:t>cedimiento de responsabilidad respectivo, cuyo resultado deberá de ser informado al Instituto</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BA65E0" w:rsidRPr="00C77DFD"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la propia Ley de la materia, con fundamento en el artículo 190, de la ley de la materia, </w:t>
      </w:r>
      <w:r w:rsidRPr="00C77DFD">
        <w:rPr>
          <w:rFonts w:ascii="Palatino Linotype" w:hAnsi="Palatino Linotype"/>
          <w:sz w:val="24"/>
        </w:rPr>
        <w:lastRenderedPageBreak/>
        <w:t>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27459" w:rsidRPr="006010FE" w:rsidRDefault="00A27459" w:rsidP="00A27459">
      <w:pPr>
        <w:autoSpaceDE w:val="0"/>
        <w:autoSpaceDN w:val="0"/>
        <w:adjustRightInd w:val="0"/>
        <w:spacing w:before="240" w:after="240" w:line="360" w:lineRule="auto"/>
        <w:jc w:val="both"/>
        <w:rPr>
          <w:rFonts w:ascii="Palatino Linotype" w:hAnsi="Palatino Linotype" w:cs="Arial"/>
          <w:sz w:val="24"/>
          <w:szCs w:val="24"/>
        </w:rPr>
      </w:pPr>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Pr="006010FE">
        <w:rPr>
          <w:rFonts w:ascii="Palatino Linotype" w:hAnsi="Palatino Linotype" w:cs="Arial"/>
          <w:b/>
          <w:sz w:val="24"/>
          <w:szCs w:val="24"/>
        </w:rPr>
        <w:t>Sujeto Obligado</w:t>
      </w:r>
      <w:r w:rsidRPr="006010FE">
        <w:rPr>
          <w:rFonts w:ascii="Palatino Linotype" w:hAnsi="Palatino Linotype" w:cs="Arial"/>
          <w:sz w:val="24"/>
          <w:szCs w:val="24"/>
        </w:rPr>
        <w:t xml:space="preserve">, atienda la solicitud de información </w:t>
      </w:r>
      <w:r w:rsidR="009D0F2D" w:rsidRPr="008C49AA">
        <w:rPr>
          <w:rFonts w:ascii="Palatino Linotype" w:hAnsi="Palatino Linotype" w:cs="Arial"/>
          <w:b/>
          <w:sz w:val="24"/>
        </w:rPr>
        <w:t>00043/TONATICO/IP/2019</w:t>
      </w:r>
      <w:r>
        <w:rPr>
          <w:rFonts w:ascii="Palatino Linotype" w:hAnsi="Palatino Linotype" w:cs="Arial"/>
          <w:sz w:val="24"/>
        </w:rPr>
        <w:t>,</w:t>
      </w:r>
      <w:r w:rsidRPr="006010FE">
        <w:rPr>
          <w:rFonts w:ascii="Palatino Linotype" w:hAnsi="Palatino Linotype" w:cs="Arial"/>
          <w:sz w:val="24"/>
          <w:szCs w:val="24"/>
        </w:rPr>
        <w:t xml:space="preserve"> que ha sido materia del presente fallo.</w:t>
      </w:r>
    </w:p>
    <w:p w:rsidR="00A27459" w:rsidRDefault="00A27459" w:rsidP="00A27459">
      <w:pPr>
        <w:spacing w:before="24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rsidR="00DD236E" w:rsidRDefault="00DD236E" w:rsidP="00A27459">
      <w:pPr>
        <w:spacing w:before="240" w:line="360" w:lineRule="auto"/>
        <w:jc w:val="both"/>
        <w:rPr>
          <w:rFonts w:ascii="Palatino Linotype" w:hAnsi="Palatino Linotype" w:cs="Arial"/>
          <w:sz w:val="24"/>
        </w:rPr>
      </w:pPr>
    </w:p>
    <w:p w:rsidR="00A27459" w:rsidRDefault="00A27459" w:rsidP="00A2745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A27459" w:rsidRDefault="00A27459" w:rsidP="00DD236E">
      <w:pPr>
        <w:tabs>
          <w:tab w:val="left" w:pos="8647"/>
        </w:tabs>
        <w:spacing w:before="24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Pr>
          <w:rFonts w:ascii="Palatino Linotype" w:hAnsi="Palatino Linotype" w:cs="Arial"/>
          <w:sz w:val="24"/>
          <w:szCs w:val="24"/>
          <w:lang w:val="es-ES_tradnl"/>
        </w:rPr>
        <w:t xml:space="preserve"> </w:t>
      </w:r>
      <w:r>
        <w:rPr>
          <w:rFonts w:ascii="Palatino Linotype" w:hAnsi="Palatino Linotype" w:cs="Arial"/>
          <w:sz w:val="24"/>
          <w:szCs w:val="24"/>
        </w:rPr>
        <w:t xml:space="preserve">Resultan fundadas las razones o motivos de inconformidad hechos valer por </w:t>
      </w:r>
      <w:r>
        <w:rPr>
          <w:rFonts w:ascii="Palatino Linotype" w:hAnsi="Palatino Linotype" w:cs="Arial"/>
          <w:b/>
          <w:sz w:val="24"/>
          <w:szCs w:val="24"/>
        </w:rPr>
        <w:t>el r</w:t>
      </w:r>
      <w:r w:rsidRPr="005B1B6B">
        <w:rPr>
          <w:rFonts w:ascii="Palatino Linotype" w:hAnsi="Palatino Linotype" w:cs="Arial"/>
          <w:b/>
          <w:sz w:val="24"/>
          <w:szCs w:val="24"/>
        </w:rPr>
        <w:t>ecurrente</w:t>
      </w:r>
      <w:r>
        <w:rPr>
          <w:rFonts w:ascii="Palatino Linotype" w:hAnsi="Palatino Linotype" w:cs="Arial"/>
          <w:b/>
          <w:sz w:val="24"/>
          <w:szCs w:val="24"/>
        </w:rPr>
        <w:t>,</w:t>
      </w:r>
      <w:r>
        <w:rPr>
          <w:rFonts w:ascii="Palatino Linotype" w:hAnsi="Palatino Linotype" w:cs="Arial"/>
          <w:sz w:val="24"/>
          <w:szCs w:val="24"/>
        </w:rPr>
        <w:t xml:space="preserve"> en términos del considerando </w:t>
      </w:r>
      <w:r>
        <w:rPr>
          <w:rFonts w:ascii="Palatino Linotype" w:hAnsi="Palatino Linotype" w:cs="Arial"/>
          <w:b/>
          <w:sz w:val="24"/>
          <w:szCs w:val="24"/>
        </w:rPr>
        <w:t>CUARTO</w:t>
      </w:r>
      <w:r>
        <w:rPr>
          <w:rFonts w:ascii="Palatino Linotype" w:hAnsi="Palatino Linotype" w:cs="Arial"/>
          <w:sz w:val="24"/>
          <w:szCs w:val="24"/>
        </w:rPr>
        <w:t>, de la presente resolución.</w:t>
      </w:r>
    </w:p>
    <w:p w:rsidR="00DD236E" w:rsidRDefault="00DD236E" w:rsidP="00DD236E">
      <w:pPr>
        <w:tabs>
          <w:tab w:val="left" w:pos="8647"/>
        </w:tabs>
        <w:spacing w:before="240" w:line="360" w:lineRule="auto"/>
        <w:ind w:right="51"/>
        <w:jc w:val="both"/>
        <w:rPr>
          <w:rFonts w:ascii="Palatino Linotype" w:hAnsi="Palatino Linotype" w:cs="Arial"/>
          <w:sz w:val="24"/>
          <w:szCs w:val="24"/>
        </w:rPr>
      </w:pPr>
    </w:p>
    <w:p w:rsidR="00A27459" w:rsidRDefault="00A27459" w:rsidP="00DD236E">
      <w:pPr>
        <w:spacing w:before="240" w:line="360" w:lineRule="auto"/>
        <w:jc w:val="both"/>
        <w:rPr>
          <w:rFonts w:ascii="Palatino Linotype" w:hAnsi="Palatino Linotype" w:cs="Arial"/>
          <w:sz w:val="24"/>
          <w:lang w:eastAsia="es-MX"/>
        </w:rPr>
      </w:pPr>
      <w:r>
        <w:rPr>
          <w:rFonts w:ascii="Palatino Linotype" w:hAnsi="Palatino Linotype" w:cs="Arial"/>
          <w:b/>
          <w:sz w:val="28"/>
          <w:szCs w:val="28"/>
          <w:lang w:val="es-ES_tradnl"/>
        </w:rPr>
        <w:lastRenderedPageBreak/>
        <w:t xml:space="preserve">SEGUNDO.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número </w:t>
      </w:r>
      <w:r w:rsidR="00162D04" w:rsidRPr="00162D04">
        <w:rPr>
          <w:rFonts w:ascii="Palatino Linotype" w:hAnsi="Palatino Linotype" w:cs="Arial"/>
          <w:b/>
          <w:sz w:val="24"/>
        </w:rPr>
        <w:t>00043/TONATICO/IP/2019</w:t>
      </w:r>
      <w:r w:rsidR="006F001B">
        <w:rPr>
          <w:rFonts w:ascii="Palatino Linotype" w:hAnsi="Palatino Linotype" w:cs="Arial"/>
          <w:b/>
          <w:sz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presente resolución</w:t>
      </w:r>
      <w:r>
        <w:rPr>
          <w:rFonts w:ascii="Palatino Linotype" w:hAnsi="Palatino Linotype" w:cs="Arial"/>
          <w:sz w:val="24"/>
          <w:lang w:eastAsia="es-MX"/>
        </w:rPr>
        <w:t xml:space="preserve"> y haga entrega al recurrente, en versión pública</w:t>
      </w:r>
      <w:r w:rsidR="00D87D47">
        <w:rPr>
          <w:rFonts w:ascii="Palatino Linotype" w:hAnsi="Palatino Linotype" w:cs="Arial"/>
          <w:sz w:val="24"/>
          <w:lang w:eastAsia="es-MX"/>
        </w:rPr>
        <w:t>,</w:t>
      </w:r>
      <w:r>
        <w:rPr>
          <w:rFonts w:ascii="Palatino Linotype" w:hAnsi="Palatino Linotype" w:cs="Arial"/>
          <w:sz w:val="24"/>
          <w:lang w:eastAsia="es-MX"/>
        </w:rPr>
        <w:t xml:space="preserve"> a través del SAIMEX, de lo siguiente:</w:t>
      </w:r>
    </w:p>
    <w:p w:rsidR="00A27459" w:rsidRPr="00BB1BD5" w:rsidRDefault="00162D04" w:rsidP="00DD236E">
      <w:pPr>
        <w:pStyle w:val="Prrafodelista"/>
        <w:numPr>
          <w:ilvl w:val="0"/>
          <w:numId w:val="20"/>
        </w:numPr>
        <w:spacing w:before="240" w:after="160" w:line="360" w:lineRule="auto"/>
        <w:jc w:val="both"/>
        <w:rPr>
          <w:rFonts w:ascii="Palatino Linotype" w:eastAsia="MS Mincho" w:hAnsi="Palatino Linotype"/>
          <w:i/>
        </w:rPr>
      </w:pPr>
      <w:r>
        <w:rPr>
          <w:rFonts w:ascii="Palatino Linotype" w:eastAsia="MS Mincho" w:hAnsi="Palatino Linotype"/>
          <w:i/>
        </w:rPr>
        <w:t>Nomina General de la segunda quincena del mes de abril de 2019.</w:t>
      </w:r>
    </w:p>
    <w:p w:rsidR="00A27459" w:rsidRDefault="00A27459" w:rsidP="00DD236E">
      <w:pPr>
        <w:spacing w:before="240" w:line="360" w:lineRule="auto"/>
        <w:ind w:left="720"/>
        <w:jc w:val="both"/>
        <w:rPr>
          <w:rFonts w:ascii="Palatino Linotype" w:eastAsia="Times New Roman" w:hAnsi="Palatino Linotype" w:cs="Arial"/>
          <w:i/>
          <w:sz w:val="24"/>
          <w:szCs w:val="24"/>
          <w:lang w:val="es-ES" w:eastAsia="es-ES"/>
        </w:rPr>
      </w:pPr>
      <w:r w:rsidRPr="00F00F4B">
        <w:rPr>
          <w:rFonts w:ascii="Palatino Linotype" w:eastAsia="Times New Roman" w:hAnsi="Palatino Linotype" w:cs="Arial"/>
          <w:i/>
          <w:sz w:val="24"/>
          <w:szCs w:val="24"/>
          <w:lang w:val="es-ES" w:eastAsia="es-ES"/>
        </w:rPr>
        <w:t xml:space="preserve">Para la entrega en versión pública </w:t>
      </w:r>
      <w:r w:rsidR="007A27B9">
        <w:rPr>
          <w:rFonts w:ascii="Palatino Linotype" w:eastAsia="Times New Roman" w:hAnsi="Palatino Linotype" w:cs="Arial"/>
          <w:i/>
          <w:sz w:val="24"/>
          <w:szCs w:val="24"/>
          <w:lang w:val="es-ES" w:eastAsia="es-ES"/>
        </w:rPr>
        <w:t xml:space="preserve">respecto al inciso a) </w:t>
      </w:r>
      <w:r w:rsidRPr="00F00F4B">
        <w:rPr>
          <w:rFonts w:ascii="Palatino Linotype" w:eastAsia="Times New Roman" w:hAnsi="Palatino Linotype" w:cs="Arial"/>
          <w:i/>
          <w:sz w:val="24"/>
          <w:szCs w:val="24"/>
          <w:lang w:val="es-ES" w:eastAsia="es-ES"/>
        </w:rPr>
        <w:t xml:space="preserve">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DD236E" w:rsidRDefault="00DD236E" w:rsidP="00DD236E">
      <w:pPr>
        <w:spacing w:before="240" w:line="360" w:lineRule="auto"/>
        <w:ind w:left="720"/>
        <w:jc w:val="both"/>
        <w:rPr>
          <w:rFonts w:ascii="Palatino Linotype" w:eastAsia="Times New Roman" w:hAnsi="Palatino Linotype" w:cs="Arial"/>
          <w:i/>
          <w:sz w:val="24"/>
          <w:szCs w:val="24"/>
          <w:lang w:val="es-ES" w:eastAsia="es-ES"/>
        </w:rPr>
      </w:pPr>
    </w:p>
    <w:p w:rsidR="00A27459" w:rsidRDefault="00A27459" w:rsidP="00DD236E">
      <w:pPr>
        <w:tabs>
          <w:tab w:val="left" w:pos="8647"/>
        </w:tabs>
        <w:spacing w:before="24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DD236E" w:rsidRDefault="00DD236E" w:rsidP="00DD236E">
      <w:pPr>
        <w:tabs>
          <w:tab w:val="left" w:pos="8647"/>
        </w:tabs>
        <w:spacing w:before="240" w:line="360" w:lineRule="auto"/>
        <w:ind w:right="51"/>
        <w:jc w:val="both"/>
        <w:rPr>
          <w:rFonts w:ascii="Palatino Linotype" w:hAnsi="Palatino Linotype" w:cs="Arial"/>
          <w:sz w:val="24"/>
          <w:szCs w:val="24"/>
        </w:rPr>
      </w:pPr>
    </w:p>
    <w:p w:rsidR="00A27459" w:rsidRDefault="00A27459" w:rsidP="00DD236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Pr>
          <w:rFonts w:ascii="Palatino Linotype" w:hAnsi="Palatino Linotype" w:cs="Arial"/>
          <w:sz w:val="24"/>
          <w:szCs w:val="24"/>
        </w:rPr>
        <w:t>Se hace del conocimiento al recurrente</w:t>
      </w:r>
      <w:r>
        <w:rPr>
          <w:rFonts w:ascii="Palatino Linotype" w:hAnsi="Palatino Linotype" w:cs="Arial"/>
          <w:b/>
          <w:sz w:val="24"/>
          <w:szCs w:val="24"/>
        </w:rPr>
        <w:t xml:space="preserv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w:t>
      </w:r>
      <w:r>
        <w:rPr>
          <w:rFonts w:ascii="Palatino Linotype" w:hAnsi="Palatino Linotype" w:cs="Arial"/>
          <w:sz w:val="24"/>
          <w:szCs w:val="24"/>
        </w:rPr>
        <w:lastRenderedPageBreak/>
        <w:t xml:space="preserve">le cause algún perjuicio podrá impugnarla vía juicio de amparo en los términos de las leyes aplicables. </w:t>
      </w:r>
    </w:p>
    <w:p w:rsidR="00A27459" w:rsidRDefault="00A27459" w:rsidP="00DD236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QUINTO</w:t>
      </w:r>
      <w:r w:rsidRPr="00E2247F">
        <w:rPr>
          <w:rFonts w:ascii="Palatino Linotype" w:hAnsi="Palatino Linotype" w:cs="Arial"/>
          <w:b/>
          <w:sz w:val="28"/>
          <w:szCs w:val="24"/>
        </w:rPr>
        <w:t>.</w:t>
      </w:r>
      <w:r>
        <w:rPr>
          <w:rFonts w:ascii="Palatino Linotype" w:hAnsi="Palatino Linotype" w:cs="Arial"/>
          <w:b/>
          <w:sz w:val="28"/>
          <w:szCs w:val="24"/>
        </w:rPr>
        <w:t xml:space="preserve"> </w:t>
      </w:r>
      <w:r w:rsidRPr="00E93981">
        <w:rPr>
          <w:rFonts w:ascii="Palatino Linotype" w:eastAsia="MS Mincho" w:hAnsi="Palatino Linotype" w:cs="Times New Roman"/>
          <w:sz w:val="24"/>
          <w:szCs w:val="24"/>
          <w:lang w:val="es-ES_tradnl" w:eastAsia="es-ES"/>
        </w:rPr>
        <w:t xml:space="preserve">Gírese oficio al Contralor Interno y Órgano </w:t>
      </w:r>
      <w:r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Pr>
          <w:rFonts w:ascii="Palatino Linotype" w:eastAsia="MS Mincho" w:hAnsi="Palatino Linotype" w:cs="Times New Roman"/>
          <w:b/>
          <w:sz w:val="24"/>
          <w:szCs w:val="24"/>
          <w:lang w:val="es-ES_tradnl" w:eastAsia="es-ES"/>
        </w:rPr>
        <w:t>cuarto</w:t>
      </w:r>
      <w:r>
        <w:rPr>
          <w:rFonts w:ascii="Palatino Linotype" w:eastAsia="MS Mincho" w:hAnsi="Palatino Linotype" w:cs="Times New Roman"/>
          <w:sz w:val="24"/>
          <w:szCs w:val="24"/>
          <w:lang w:val="es-ES_tradnl" w:eastAsia="es-ES"/>
        </w:rPr>
        <w:t>.</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1B0889" w:rsidRDefault="001B0889" w:rsidP="001B0889">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DE LOS PRESENTES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AUSENTE EN LA VOTACIÓN, JAVIER MARTÍNEZ CRUZ Y LUIS GUSTAVO PARRA NORIEGA</w:t>
      </w:r>
      <w:r w:rsidRPr="006634EA">
        <w:rPr>
          <w:rFonts w:ascii="Palatino Linotype" w:hAnsi="Palatino Linotype" w:cs="Arial"/>
          <w:sz w:val="24"/>
          <w:szCs w:val="24"/>
        </w:rPr>
        <w:t xml:space="preserve"> </w:t>
      </w:r>
      <w:r>
        <w:rPr>
          <w:rFonts w:ascii="Palatino Linotype" w:hAnsi="Palatino Linotype" w:cs="Arial"/>
          <w:sz w:val="24"/>
          <w:szCs w:val="24"/>
        </w:rPr>
        <w:t>EMITIENDO VOTO PARTICULAR, EN LA TRIGÉSIMA SESIÓN ORDINARIA CELEBRADA EL VEINTIUNO DE AGOSTO</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p>
    <w:p w:rsidR="001B0889" w:rsidRDefault="001B0889" w:rsidP="001B0889">
      <w:pPr>
        <w:spacing w:after="0" w:line="360" w:lineRule="auto"/>
        <w:jc w:val="both"/>
        <w:rPr>
          <w:rFonts w:ascii="Palatino Linotype" w:hAnsi="Palatino Linotype"/>
        </w:rPr>
      </w:pPr>
      <w:r>
        <w:rPr>
          <w:rFonts w:ascii="Palatino Linotype" w:hAnsi="Palatino Linotype" w:cs="Arial"/>
          <w:sz w:val="24"/>
          <w:szCs w:val="24"/>
        </w:rPr>
        <w:lastRenderedPageBreak/>
        <w:t>-----------------------------------------------------------------------------------------------------------------</w:t>
      </w:r>
    </w:p>
    <w:p w:rsidR="001B0889" w:rsidRDefault="001B0889" w:rsidP="001B0889">
      <w:pPr>
        <w:spacing w:before="240"/>
        <w:jc w:val="both"/>
        <w:rPr>
          <w:rFonts w:ascii="Palatino Linotype" w:hAnsi="Palatino Linotype"/>
        </w:rPr>
      </w:pPr>
      <w:r>
        <w:rPr>
          <w:rFonts w:ascii="Palatino Linotype" w:hAnsi="Palatino Linotype" w:cs="Arial"/>
          <w:sz w:val="24"/>
          <w:szCs w:val="24"/>
        </w:rPr>
        <w:t>-----------------------------------------------------------------------------------------------------------------</w:t>
      </w:r>
    </w:p>
    <w:p w:rsidR="001B0889" w:rsidRDefault="001B0889" w:rsidP="001B0889">
      <w:pPr>
        <w:spacing w:before="240"/>
        <w:jc w:val="both"/>
        <w:rPr>
          <w:rFonts w:ascii="Palatino Linotype" w:hAnsi="Palatino Linotype"/>
        </w:rPr>
      </w:pPr>
    </w:p>
    <w:p w:rsidR="001B0889" w:rsidRDefault="001B0889" w:rsidP="001B0889">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7696" behindDoc="0" locked="0" layoutInCell="1" allowOverlap="1" wp14:anchorId="61A11F84" wp14:editId="7D42F858">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1B0889" w:rsidRPr="00EF2FC0" w:rsidRDefault="001B0889" w:rsidP="001B088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1B0889" w:rsidRDefault="001B0889" w:rsidP="001B088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(Rúbrica).</w:t>
                            </w:r>
                          </w:p>
                          <w:p w:rsidR="001B0889" w:rsidRDefault="001B0889" w:rsidP="001B0889">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A11F84"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7696;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1B0889" w:rsidRPr="00EF2FC0" w:rsidRDefault="001B0889" w:rsidP="001B088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1B0889" w:rsidRDefault="001B0889" w:rsidP="001B088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(Rúbrica).</w:t>
                      </w:r>
                    </w:p>
                    <w:p w:rsidR="001B0889" w:rsidRDefault="001B0889" w:rsidP="001B0889">
                      <w:pPr>
                        <w:spacing w:line="240" w:lineRule="auto"/>
                        <w:jc w:val="center"/>
                        <w:rPr>
                          <w:rFonts w:ascii="Palatino Linotype" w:hAnsi="Palatino Linotype"/>
                          <w:sz w:val="24"/>
                          <w:szCs w:val="24"/>
                        </w:rPr>
                      </w:pPr>
                    </w:p>
                  </w:txbxContent>
                </v:textbox>
                <w10:wrap type="square" anchorx="page"/>
              </v:shape>
            </w:pict>
          </mc:Fallback>
        </mc:AlternateContent>
      </w:r>
    </w:p>
    <w:p w:rsidR="001B0889" w:rsidRPr="00D54B7D" w:rsidRDefault="001B0889" w:rsidP="001B0889">
      <w:pPr>
        <w:spacing w:before="240"/>
        <w:jc w:val="both"/>
        <w:rPr>
          <w:rFonts w:ascii="Palatino Linotype" w:hAnsi="Palatino Linotype"/>
        </w:rPr>
      </w:pPr>
    </w:p>
    <w:p w:rsidR="001B0889" w:rsidRPr="00D54B7D" w:rsidRDefault="001B0889" w:rsidP="001B0889">
      <w:pPr>
        <w:spacing w:before="240"/>
        <w:jc w:val="center"/>
        <w:rPr>
          <w:rFonts w:ascii="Palatino Linotype" w:hAnsi="Palatino Linotype"/>
        </w:rPr>
      </w:pPr>
    </w:p>
    <w:p w:rsidR="001B0889" w:rsidRDefault="001B0889" w:rsidP="001B0889">
      <w:pPr>
        <w:spacing w:before="240"/>
        <w:rPr>
          <w:rFonts w:ascii="Palatino Linotype" w:hAnsi="Palatino Linotype"/>
          <w:b/>
        </w:rPr>
      </w:pPr>
    </w:p>
    <w:p w:rsidR="001B0889" w:rsidRDefault="001B0889" w:rsidP="001B0889">
      <w:pPr>
        <w:spacing w:before="240"/>
        <w:rPr>
          <w:rFonts w:ascii="Palatino Linotype" w:hAnsi="Palatino Linotype"/>
          <w:b/>
        </w:rPr>
      </w:pPr>
    </w:p>
    <w:p w:rsidR="001B0889" w:rsidRDefault="001B0889" w:rsidP="001B0889">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0D3E4FAB" wp14:editId="2A8304CD">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B0889" w:rsidRPr="00EF2FC0" w:rsidRDefault="001B0889" w:rsidP="001B088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1B0889" w:rsidRDefault="001B0889" w:rsidP="001B088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(Ausente en la Votación).</w:t>
                            </w:r>
                          </w:p>
                          <w:p w:rsidR="001B0889" w:rsidRPr="00797B31" w:rsidRDefault="001B0889" w:rsidP="001B088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E4FAB" id="Cuadro de texto 35" o:spid="_x0000_s1027" type="#_x0000_t202" style="position:absolute;margin-left:149.05pt;margin-top:.9pt;width:200.25pt;height:73.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1B0889" w:rsidRPr="00EF2FC0" w:rsidRDefault="001B0889" w:rsidP="001B088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1B0889" w:rsidRDefault="001B0889" w:rsidP="001B088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(Ausente en la Votación).</w:t>
                      </w:r>
                    </w:p>
                    <w:p w:rsidR="001B0889" w:rsidRPr="00797B31" w:rsidRDefault="001B0889" w:rsidP="001B0889">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7F5BF05B" wp14:editId="0520C2A1">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B0889" w:rsidRPr="00EF2FC0" w:rsidRDefault="001B0889" w:rsidP="001B0889">
                            <w:pPr>
                              <w:jc w:val="center"/>
                              <w:rPr>
                                <w:rFonts w:ascii="Palatino Linotype" w:hAnsi="Palatino Linotype"/>
                                <w:b/>
                                <w:sz w:val="24"/>
                                <w:szCs w:val="24"/>
                              </w:rPr>
                            </w:pPr>
                            <w:r w:rsidRPr="00EF2FC0">
                              <w:rPr>
                                <w:rFonts w:ascii="Palatino Linotype" w:hAnsi="Palatino Linotype"/>
                                <w:b/>
                                <w:sz w:val="24"/>
                                <w:szCs w:val="24"/>
                              </w:rPr>
                              <w:t>Eva Abaid Yapur</w:t>
                            </w:r>
                          </w:p>
                          <w:p w:rsidR="001B0889" w:rsidRPr="00EF2FC0" w:rsidRDefault="001B0889" w:rsidP="001B0889">
                            <w:pPr>
                              <w:jc w:val="center"/>
                              <w:rPr>
                                <w:rFonts w:ascii="Palatino Linotype" w:hAnsi="Palatino Linotype"/>
                                <w:sz w:val="24"/>
                                <w:szCs w:val="24"/>
                              </w:rPr>
                            </w:pPr>
                            <w:r w:rsidRPr="00EF2FC0">
                              <w:rPr>
                                <w:rFonts w:ascii="Palatino Linotype" w:hAnsi="Palatino Linotype"/>
                                <w:sz w:val="24"/>
                                <w:szCs w:val="24"/>
                              </w:rPr>
                              <w:t>Comisionada</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(Rúbrica).</w:t>
                            </w:r>
                          </w:p>
                          <w:p w:rsidR="001B0889" w:rsidRDefault="001B0889" w:rsidP="001B088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BF05B" id="Cuadro de texto 22"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1B0889" w:rsidRPr="00EF2FC0" w:rsidRDefault="001B0889" w:rsidP="001B0889">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rsidR="001B0889" w:rsidRPr="00EF2FC0" w:rsidRDefault="001B0889" w:rsidP="001B0889">
                      <w:pPr>
                        <w:jc w:val="center"/>
                        <w:rPr>
                          <w:rFonts w:ascii="Palatino Linotype" w:hAnsi="Palatino Linotype"/>
                          <w:sz w:val="24"/>
                          <w:szCs w:val="24"/>
                        </w:rPr>
                      </w:pPr>
                      <w:r w:rsidRPr="00EF2FC0">
                        <w:rPr>
                          <w:rFonts w:ascii="Palatino Linotype" w:hAnsi="Palatino Linotype"/>
                          <w:sz w:val="24"/>
                          <w:szCs w:val="24"/>
                        </w:rPr>
                        <w:t>Comisionada</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(Rúbrica).</w:t>
                      </w:r>
                    </w:p>
                    <w:p w:rsidR="001B0889" w:rsidRDefault="001B0889" w:rsidP="001B0889">
                      <w:pPr>
                        <w:jc w:val="center"/>
                      </w:pPr>
                    </w:p>
                  </w:txbxContent>
                </v:textbox>
                <w10:wrap anchorx="margin"/>
              </v:shape>
            </w:pict>
          </mc:Fallback>
        </mc:AlternateContent>
      </w:r>
    </w:p>
    <w:p w:rsidR="001B0889" w:rsidRPr="00D54B7D" w:rsidRDefault="001B0889" w:rsidP="001B0889">
      <w:pPr>
        <w:spacing w:before="240"/>
        <w:rPr>
          <w:rFonts w:ascii="Palatino Linotype" w:hAnsi="Palatino Linotype"/>
          <w:b/>
        </w:rPr>
      </w:pPr>
    </w:p>
    <w:p w:rsidR="001B0889" w:rsidRPr="00D54B7D" w:rsidRDefault="001B0889" w:rsidP="001B0889">
      <w:pPr>
        <w:spacing w:before="240"/>
        <w:rPr>
          <w:rFonts w:ascii="Palatino Linotype" w:hAnsi="Palatino Linotype"/>
          <w:b/>
        </w:rPr>
      </w:pPr>
    </w:p>
    <w:p w:rsidR="001B0889" w:rsidRDefault="001B0889" w:rsidP="001B0889">
      <w:pPr>
        <w:spacing w:before="240"/>
        <w:rPr>
          <w:rFonts w:ascii="Palatino Linotype" w:hAnsi="Palatino Linotype"/>
          <w:b/>
        </w:rPr>
      </w:pPr>
    </w:p>
    <w:p w:rsidR="001B0889" w:rsidRPr="00B93570" w:rsidRDefault="001B0889" w:rsidP="001B0889">
      <w:pPr>
        <w:spacing w:before="240"/>
        <w:rPr>
          <w:rFonts w:ascii="Palatino Linotype" w:hAnsi="Palatino Linotype"/>
          <w:b/>
          <w:sz w:val="18"/>
          <w:szCs w:val="18"/>
        </w:rPr>
      </w:pPr>
    </w:p>
    <w:p w:rsidR="001B0889" w:rsidRPr="00B93570" w:rsidRDefault="001B0889" w:rsidP="001B0889">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54D75FCC" wp14:editId="6582EF9F">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B0889" w:rsidRPr="00EF2FC0" w:rsidRDefault="001B0889" w:rsidP="001B088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1B0889" w:rsidRPr="00EF2FC0" w:rsidRDefault="001B0889" w:rsidP="001B088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(Rúbrica).</w:t>
                            </w:r>
                          </w:p>
                          <w:p w:rsidR="001B0889" w:rsidRDefault="001B0889" w:rsidP="001B0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75FCC" id="Cuadro de texto 4" o:spid="_x0000_s1029" type="#_x0000_t202" style="position:absolute;margin-left:358.05pt;margin-top:19.05pt;width:168pt;height:7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1B0889" w:rsidRPr="00EF2FC0" w:rsidRDefault="001B0889" w:rsidP="001B088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1B0889" w:rsidRPr="00EF2FC0" w:rsidRDefault="001B0889" w:rsidP="001B088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(Rúbrica).</w:t>
                      </w:r>
                    </w:p>
                    <w:p w:rsidR="001B0889" w:rsidRDefault="001B0889" w:rsidP="001B0889"/>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6B2F90C8" wp14:editId="1AD249AF">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B0889" w:rsidRPr="00EF2FC0" w:rsidRDefault="001B0889" w:rsidP="001B088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B0889" w:rsidRPr="00EF2FC0" w:rsidRDefault="001B0889" w:rsidP="001B088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(Rúbrica).</w:t>
                            </w:r>
                          </w:p>
                          <w:p w:rsidR="001B0889" w:rsidRDefault="001B0889" w:rsidP="001B0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F90C8" id="_x0000_s1030" type="#_x0000_t202" style="position:absolute;margin-left:85.5pt;margin-top:18.25pt;width:168pt;height:74.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1B0889" w:rsidRPr="00EF2FC0" w:rsidRDefault="001B0889" w:rsidP="001B088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B0889" w:rsidRPr="00EF2FC0" w:rsidRDefault="001B0889" w:rsidP="001B088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(Rúbrica).</w:t>
                      </w:r>
                    </w:p>
                    <w:p w:rsidR="001B0889" w:rsidRDefault="001B0889" w:rsidP="001B0889"/>
                  </w:txbxContent>
                </v:textbox>
                <w10:wrap anchorx="page"/>
              </v:shape>
            </w:pict>
          </mc:Fallback>
        </mc:AlternateContent>
      </w:r>
    </w:p>
    <w:p w:rsidR="001B0889" w:rsidRDefault="001B0889" w:rsidP="001B0889">
      <w:pPr>
        <w:spacing w:before="240"/>
        <w:rPr>
          <w:rFonts w:ascii="Palatino Linotype" w:hAnsi="Palatino Linotype"/>
          <w:b/>
        </w:rPr>
      </w:pPr>
    </w:p>
    <w:p w:rsidR="001B0889" w:rsidRDefault="001B0889" w:rsidP="001B0889">
      <w:pPr>
        <w:spacing w:before="240"/>
        <w:rPr>
          <w:rFonts w:ascii="Palatino Linotype" w:hAnsi="Palatino Linotype"/>
          <w:b/>
        </w:rPr>
      </w:pPr>
    </w:p>
    <w:p w:rsidR="001B0889" w:rsidRDefault="001B0889" w:rsidP="001B0889">
      <w:pPr>
        <w:spacing w:before="240"/>
        <w:rPr>
          <w:rFonts w:ascii="Palatino Linotype" w:hAnsi="Palatino Linotype" w:cs="Arial"/>
          <w:szCs w:val="20"/>
        </w:rPr>
      </w:pPr>
    </w:p>
    <w:p w:rsidR="001B0889" w:rsidRDefault="001B0889" w:rsidP="001B0889">
      <w:pPr>
        <w:spacing w:before="240"/>
        <w:rPr>
          <w:rFonts w:ascii="Palatino Linotype" w:hAnsi="Palatino Linotype" w:cs="Arial"/>
          <w:szCs w:val="20"/>
        </w:rPr>
      </w:pPr>
    </w:p>
    <w:p w:rsidR="001B0889" w:rsidRDefault="001B0889" w:rsidP="001B0889">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10619053" wp14:editId="09EA7A27">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B0889" w:rsidRPr="007F6133" w:rsidRDefault="001B0889" w:rsidP="001B0889">
                            <w:pPr>
                              <w:jc w:val="center"/>
                              <w:rPr>
                                <w:rFonts w:ascii="Palatino Linotype" w:hAnsi="Palatino Linotype"/>
                                <w:b/>
                                <w:sz w:val="24"/>
                                <w:szCs w:val="24"/>
                              </w:rPr>
                            </w:pPr>
                            <w:r w:rsidRPr="00B86F1F">
                              <w:rPr>
                                <w:rFonts w:ascii="Palatino Linotype" w:hAnsi="Palatino Linotype"/>
                                <w:b/>
                                <w:sz w:val="24"/>
                                <w:szCs w:val="24"/>
                              </w:rPr>
                              <w:t>Alexis Tapia Ramírez</w:t>
                            </w:r>
                          </w:p>
                          <w:p w:rsidR="001B0889" w:rsidRDefault="001B0889" w:rsidP="001B088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1B0889" w:rsidRDefault="001B0889" w:rsidP="001B0889">
                            <w:pPr>
                              <w:jc w:val="center"/>
                              <w:rPr>
                                <w:rFonts w:ascii="Palatino Linotype" w:hAnsi="Palatino Linotype"/>
                                <w:sz w:val="24"/>
                                <w:szCs w:val="24"/>
                              </w:rPr>
                            </w:pPr>
                          </w:p>
                          <w:p w:rsidR="001B0889" w:rsidRPr="00EF2FC0" w:rsidRDefault="001B0889" w:rsidP="001B0889">
                            <w:pPr>
                              <w:jc w:val="center"/>
                              <w:rPr>
                                <w:rFonts w:ascii="Palatino Linotype" w:hAnsi="Palatino Linotype"/>
                                <w:sz w:val="24"/>
                                <w:szCs w:val="24"/>
                              </w:rPr>
                            </w:pPr>
                          </w:p>
                          <w:p w:rsidR="001B0889" w:rsidRDefault="001B0889" w:rsidP="001B0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19053" id="Cuadro de texto 24" o:spid="_x0000_s1031" type="#_x0000_t202" style="position:absolute;margin-left:189.8pt;margin-top:26.8pt;width:248.25pt;height:67.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rsidR="001B0889" w:rsidRPr="007F6133" w:rsidRDefault="001B0889" w:rsidP="001B0889">
                      <w:pPr>
                        <w:jc w:val="center"/>
                        <w:rPr>
                          <w:rFonts w:ascii="Palatino Linotype" w:hAnsi="Palatino Linotype"/>
                          <w:b/>
                          <w:sz w:val="24"/>
                          <w:szCs w:val="24"/>
                        </w:rPr>
                      </w:pPr>
                      <w:r w:rsidRPr="00B86F1F">
                        <w:rPr>
                          <w:rFonts w:ascii="Palatino Linotype" w:hAnsi="Palatino Linotype"/>
                          <w:b/>
                          <w:sz w:val="24"/>
                          <w:szCs w:val="24"/>
                        </w:rPr>
                        <w:t>Alexis Tapia Ramírez</w:t>
                      </w:r>
                    </w:p>
                    <w:p w:rsidR="001B0889" w:rsidRDefault="001B0889" w:rsidP="001B088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1B0889" w:rsidRDefault="001B0889" w:rsidP="001B088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1B0889" w:rsidRDefault="001B0889" w:rsidP="001B0889">
                      <w:pPr>
                        <w:jc w:val="center"/>
                        <w:rPr>
                          <w:rFonts w:ascii="Palatino Linotype" w:hAnsi="Palatino Linotype"/>
                          <w:sz w:val="24"/>
                          <w:szCs w:val="24"/>
                        </w:rPr>
                      </w:pPr>
                    </w:p>
                    <w:p w:rsidR="001B0889" w:rsidRPr="00EF2FC0" w:rsidRDefault="001B0889" w:rsidP="001B0889">
                      <w:pPr>
                        <w:jc w:val="center"/>
                        <w:rPr>
                          <w:rFonts w:ascii="Palatino Linotype" w:hAnsi="Palatino Linotype"/>
                          <w:sz w:val="24"/>
                          <w:szCs w:val="24"/>
                        </w:rPr>
                      </w:pPr>
                    </w:p>
                    <w:p w:rsidR="001B0889" w:rsidRDefault="001B0889" w:rsidP="001B0889"/>
                  </w:txbxContent>
                </v:textbox>
                <w10:wrap anchorx="page"/>
              </v:shape>
            </w:pict>
          </mc:Fallback>
        </mc:AlternateContent>
      </w:r>
    </w:p>
    <w:p w:rsidR="001B0889" w:rsidRDefault="001B0889" w:rsidP="001B0889">
      <w:pPr>
        <w:spacing w:before="240"/>
        <w:rPr>
          <w:rFonts w:ascii="Palatino Linotype" w:hAnsi="Palatino Linotype" w:cs="Arial"/>
          <w:sz w:val="18"/>
          <w:szCs w:val="18"/>
        </w:rPr>
      </w:pPr>
    </w:p>
    <w:p w:rsidR="001B0889" w:rsidRDefault="001B0889" w:rsidP="001B0889">
      <w:pPr>
        <w:spacing w:before="240"/>
        <w:jc w:val="both"/>
        <w:rPr>
          <w:rFonts w:ascii="Palatino Linotype" w:hAnsi="Palatino Linotype" w:cs="Arial"/>
          <w:sz w:val="18"/>
          <w:szCs w:val="18"/>
        </w:rPr>
      </w:pPr>
    </w:p>
    <w:p w:rsidR="001B0889" w:rsidRDefault="001B0889" w:rsidP="001B0889">
      <w:pPr>
        <w:spacing w:before="240" w:line="240" w:lineRule="auto"/>
        <w:jc w:val="both"/>
        <w:rPr>
          <w:rFonts w:ascii="Palatino Linotype" w:hAnsi="Palatino Linotype" w:cs="Arial"/>
          <w:sz w:val="14"/>
          <w:szCs w:val="14"/>
        </w:rPr>
      </w:pPr>
    </w:p>
    <w:p w:rsidR="001B0889" w:rsidRPr="002052F6" w:rsidRDefault="001B0889" w:rsidP="001B0889">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veintiuno de agosto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05120/INFOEM/IP/RR/2019</w:t>
      </w:r>
      <w:r w:rsidRPr="002052F6">
        <w:rPr>
          <w:rFonts w:ascii="Palatino Linotype" w:hAnsi="Palatino Linotype" w:cs="Arial"/>
          <w:sz w:val="16"/>
          <w:szCs w:val="16"/>
        </w:rPr>
        <w:t>.</w:t>
      </w:r>
    </w:p>
    <w:p w:rsidR="001B0889" w:rsidRDefault="001B0889" w:rsidP="001B0889">
      <w:pPr>
        <w:spacing w:after="0"/>
      </w:pPr>
      <w:r w:rsidRPr="002052F6">
        <w:t>ZMS/OSAM/MAEM</w:t>
      </w:r>
    </w:p>
    <w:p w:rsidR="00DD13E2" w:rsidRDefault="00DD13E2" w:rsidP="001B0889">
      <w:pPr>
        <w:spacing w:after="0" w:line="360" w:lineRule="auto"/>
        <w:jc w:val="both"/>
      </w:pPr>
    </w:p>
    <w:sectPr w:rsidR="00DD13E2" w:rsidSect="00E15E8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F09" w:rsidRDefault="006C7F09" w:rsidP="00E15E85">
      <w:pPr>
        <w:spacing w:after="0" w:line="240" w:lineRule="auto"/>
      </w:pPr>
      <w:r>
        <w:separator/>
      </w:r>
    </w:p>
  </w:endnote>
  <w:endnote w:type="continuationSeparator" w:id="0">
    <w:p w:rsidR="006C7F09" w:rsidRDefault="006C7F09"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4D"/>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826" w:rsidRPr="000B69FA" w:rsidRDefault="00820826"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74AC">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74AC">
      <w:rPr>
        <w:rFonts w:ascii="Palatino Linotype" w:hAnsi="Palatino Linotype"/>
        <w:bCs/>
        <w:noProof/>
        <w:sz w:val="20"/>
      </w:rPr>
      <w:t>58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826" w:rsidRPr="000B69FA" w:rsidRDefault="00820826"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74A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74AC">
      <w:rPr>
        <w:rFonts w:ascii="Palatino Linotype" w:hAnsi="Palatino Linotype"/>
        <w:bCs/>
        <w:noProof/>
        <w:sz w:val="20"/>
      </w:rPr>
      <w:t>58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F09" w:rsidRDefault="006C7F09" w:rsidP="00E15E85">
      <w:pPr>
        <w:spacing w:after="0" w:line="240" w:lineRule="auto"/>
      </w:pPr>
      <w:r>
        <w:separator/>
      </w:r>
    </w:p>
  </w:footnote>
  <w:footnote w:type="continuationSeparator" w:id="0">
    <w:p w:rsidR="006C7F09" w:rsidRDefault="006C7F09" w:rsidP="00E15E85">
      <w:pPr>
        <w:spacing w:after="0" w:line="240" w:lineRule="auto"/>
      </w:pPr>
      <w:r>
        <w:continuationSeparator/>
      </w:r>
    </w:p>
  </w:footnote>
  <w:footnote w:id="1">
    <w:p w:rsidR="00820826" w:rsidRPr="00911081" w:rsidRDefault="00820826"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20826" w:rsidRPr="00911081" w:rsidRDefault="00820826"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20826" w:rsidRPr="00B92BC3" w:rsidRDefault="00820826" w:rsidP="00B0008F">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rsidR="00820826" w:rsidRDefault="00820826" w:rsidP="00B0008F">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826" w:rsidRDefault="0082082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20826" w:rsidTr="00E15E85">
      <w:trPr>
        <w:trHeight w:val="227"/>
      </w:trPr>
      <w:tc>
        <w:tcPr>
          <w:tcW w:w="5529" w:type="dxa"/>
          <w:hideMark/>
        </w:tcPr>
        <w:p w:rsidR="00820826" w:rsidRDefault="00820826"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20826" w:rsidRPr="00D56BC3" w:rsidRDefault="00820826"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05120</w:t>
          </w:r>
          <w:r w:rsidRPr="0037311B">
            <w:rPr>
              <w:rFonts w:ascii="Palatino Linotype" w:hAnsi="Palatino Linotype" w:cs="Arial"/>
              <w:bCs/>
              <w:sz w:val="24"/>
              <w:lang w:eastAsia="es-MX"/>
            </w:rPr>
            <w:t>/INFOEM/IP/RR/2019</w:t>
          </w:r>
        </w:p>
      </w:tc>
    </w:tr>
    <w:tr w:rsidR="00820826" w:rsidTr="00E15E85">
      <w:trPr>
        <w:trHeight w:val="242"/>
      </w:trPr>
      <w:tc>
        <w:tcPr>
          <w:tcW w:w="5529" w:type="dxa"/>
          <w:hideMark/>
        </w:tcPr>
        <w:p w:rsidR="00820826" w:rsidRDefault="00820826"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20826" w:rsidRDefault="00820826" w:rsidP="00BA65E0">
          <w:pPr>
            <w:spacing w:after="120" w:line="256" w:lineRule="auto"/>
            <w:ind w:left="-486" w:right="214" w:firstLine="284"/>
            <w:jc w:val="right"/>
            <w:rPr>
              <w:rFonts w:ascii="Palatino Linotype" w:hAnsi="Palatino Linotype" w:cs="Arial"/>
              <w:szCs w:val="20"/>
            </w:rPr>
          </w:pPr>
          <w:r w:rsidRPr="00EF1A8D">
            <w:rPr>
              <w:rFonts w:ascii="Palatino Linotype" w:hAnsi="Palatino Linotype" w:cs="Arial"/>
              <w:szCs w:val="20"/>
            </w:rPr>
            <w:t>Ayuntamiento de T</w:t>
          </w:r>
          <w:r>
            <w:rPr>
              <w:rFonts w:ascii="Palatino Linotype" w:hAnsi="Palatino Linotype" w:cs="Arial"/>
              <w:szCs w:val="20"/>
            </w:rPr>
            <w:t>onatico</w:t>
          </w:r>
        </w:p>
      </w:tc>
    </w:tr>
    <w:tr w:rsidR="00820826" w:rsidTr="00E15E85">
      <w:trPr>
        <w:trHeight w:val="342"/>
      </w:trPr>
      <w:tc>
        <w:tcPr>
          <w:tcW w:w="5529" w:type="dxa"/>
          <w:hideMark/>
        </w:tcPr>
        <w:p w:rsidR="00820826" w:rsidRDefault="00820826"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20826" w:rsidRDefault="00820826"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20826" w:rsidRDefault="008208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20826" w:rsidTr="00E15E85">
      <w:trPr>
        <w:trHeight w:val="227"/>
      </w:trPr>
      <w:tc>
        <w:tcPr>
          <w:tcW w:w="5529" w:type="dxa"/>
          <w:hideMark/>
        </w:tcPr>
        <w:p w:rsidR="00820826" w:rsidRDefault="00820826"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20826" w:rsidRPr="00B4142F" w:rsidRDefault="00820826"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05120/</w:t>
          </w:r>
          <w:r w:rsidRPr="0037311B">
            <w:rPr>
              <w:rFonts w:ascii="Palatino Linotype" w:hAnsi="Palatino Linotype" w:cs="Arial"/>
              <w:bCs/>
              <w:sz w:val="24"/>
              <w:lang w:eastAsia="es-MX"/>
            </w:rPr>
            <w:t>INFOEM/IP/RR/2019</w:t>
          </w:r>
        </w:p>
      </w:tc>
    </w:tr>
    <w:tr w:rsidR="00820826" w:rsidTr="00E15E85">
      <w:trPr>
        <w:trHeight w:val="196"/>
      </w:trPr>
      <w:tc>
        <w:tcPr>
          <w:tcW w:w="5529" w:type="dxa"/>
          <w:hideMark/>
        </w:tcPr>
        <w:p w:rsidR="00820826" w:rsidRDefault="00820826"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820826" w:rsidRPr="00F06FED" w:rsidRDefault="008874AC"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w:t>
          </w:r>
        </w:p>
      </w:tc>
    </w:tr>
    <w:tr w:rsidR="00820826" w:rsidTr="00E15E85">
      <w:trPr>
        <w:trHeight w:val="242"/>
      </w:trPr>
      <w:tc>
        <w:tcPr>
          <w:tcW w:w="5529" w:type="dxa"/>
          <w:hideMark/>
        </w:tcPr>
        <w:p w:rsidR="00820826" w:rsidRDefault="00820826"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20826" w:rsidRDefault="00820826" w:rsidP="0015550A">
          <w:pPr>
            <w:spacing w:after="120" w:line="256" w:lineRule="auto"/>
            <w:ind w:left="-495" w:right="214" w:firstLine="567"/>
            <w:jc w:val="right"/>
            <w:rPr>
              <w:rFonts w:ascii="Palatino Linotype" w:hAnsi="Palatino Linotype" w:cs="Arial"/>
              <w:szCs w:val="20"/>
            </w:rPr>
          </w:pPr>
          <w:r w:rsidRPr="00EF1A8D">
            <w:rPr>
              <w:rFonts w:ascii="Palatino Linotype" w:hAnsi="Palatino Linotype" w:cs="Arial"/>
              <w:szCs w:val="20"/>
            </w:rPr>
            <w:t>Ayuntamiento de T</w:t>
          </w:r>
          <w:r>
            <w:rPr>
              <w:rFonts w:ascii="Palatino Linotype" w:hAnsi="Palatino Linotype" w:cs="Arial"/>
              <w:szCs w:val="20"/>
            </w:rPr>
            <w:t>onatico</w:t>
          </w:r>
        </w:p>
      </w:tc>
    </w:tr>
    <w:tr w:rsidR="00820826" w:rsidTr="00E15E85">
      <w:trPr>
        <w:trHeight w:val="342"/>
      </w:trPr>
      <w:tc>
        <w:tcPr>
          <w:tcW w:w="5529" w:type="dxa"/>
          <w:hideMark/>
        </w:tcPr>
        <w:p w:rsidR="00820826" w:rsidRDefault="00820826"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20826" w:rsidRDefault="00820826"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20826" w:rsidRDefault="008208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09B6"/>
    <w:multiLevelType w:val="multilevel"/>
    <w:tmpl w:val="AEE06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32361B"/>
    <w:multiLevelType w:val="multilevel"/>
    <w:tmpl w:val="BE58B1F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E3048F7"/>
    <w:multiLevelType w:val="hybridMultilevel"/>
    <w:tmpl w:val="D0A49B0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295E0D"/>
    <w:multiLevelType w:val="multilevel"/>
    <w:tmpl w:val="AA168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157DB9"/>
    <w:multiLevelType w:val="hybridMultilevel"/>
    <w:tmpl w:val="18640776"/>
    <w:numStyleLink w:val="Estiloimportado2"/>
  </w:abstractNum>
  <w:abstractNum w:abstractNumId="20"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490401"/>
    <w:multiLevelType w:val="hybridMultilevel"/>
    <w:tmpl w:val="84868F7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4"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7C494738"/>
    <w:multiLevelType w:val="hybridMultilevel"/>
    <w:tmpl w:val="7C2C31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4"/>
  </w:num>
  <w:num w:numId="3">
    <w:abstractNumId w:val="18"/>
  </w:num>
  <w:num w:numId="4">
    <w:abstractNumId w:val="13"/>
  </w:num>
  <w:num w:numId="5">
    <w:abstractNumId w:val="19"/>
  </w:num>
  <w:num w:numId="6">
    <w:abstractNumId w:val="6"/>
  </w:num>
  <w:num w:numId="7">
    <w:abstractNumId w:val="25"/>
  </w:num>
  <w:num w:numId="8">
    <w:abstractNumId w:val="16"/>
  </w:num>
  <w:num w:numId="9">
    <w:abstractNumId w:val="8"/>
  </w:num>
  <w:num w:numId="10">
    <w:abstractNumId w:val="24"/>
  </w:num>
  <w:num w:numId="11">
    <w:abstractNumId w:val="12"/>
  </w:num>
  <w:num w:numId="12">
    <w:abstractNumId w:val="15"/>
  </w:num>
  <w:num w:numId="13">
    <w:abstractNumId w:val="2"/>
  </w:num>
  <w:num w:numId="14">
    <w:abstractNumId w:val="10"/>
  </w:num>
  <w:num w:numId="15">
    <w:abstractNumId w:val="17"/>
  </w:num>
  <w:num w:numId="16">
    <w:abstractNumId w:val="20"/>
  </w:num>
  <w:num w:numId="17">
    <w:abstractNumId w:val="21"/>
  </w:num>
  <w:num w:numId="18">
    <w:abstractNumId w:val="1"/>
  </w:num>
  <w:num w:numId="19">
    <w:abstractNumId w:val="3"/>
  </w:num>
  <w:num w:numId="20">
    <w:abstractNumId w:val="27"/>
  </w:num>
  <w:num w:numId="21">
    <w:abstractNumId w:val="11"/>
  </w:num>
  <w:num w:numId="22">
    <w:abstractNumId w:val="14"/>
  </w:num>
  <w:num w:numId="23">
    <w:abstractNumId w:val="5"/>
  </w:num>
  <w:num w:numId="24">
    <w:abstractNumId w:val="22"/>
  </w:num>
  <w:num w:numId="25">
    <w:abstractNumId w:val="9"/>
  </w:num>
  <w:num w:numId="26">
    <w:abstractNumId w:val="7"/>
  </w:num>
  <w:num w:numId="27">
    <w:abstractNumId w:val="2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3050E"/>
    <w:rsid w:val="00035F8F"/>
    <w:rsid w:val="00041425"/>
    <w:rsid w:val="00046E4C"/>
    <w:rsid w:val="0004795A"/>
    <w:rsid w:val="00052A02"/>
    <w:rsid w:val="00052B19"/>
    <w:rsid w:val="00052D39"/>
    <w:rsid w:val="00053ED1"/>
    <w:rsid w:val="00061BA0"/>
    <w:rsid w:val="00062CBD"/>
    <w:rsid w:val="00064D49"/>
    <w:rsid w:val="00073973"/>
    <w:rsid w:val="00074A99"/>
    <w:rsid w:val="00076643"/>
    <w:rsid w:val="00082DF3"/>
    <w:rsid w:val="00085232"/>
    <w:rsid w:val="00091D98"/>
    <w:rsid w:val="0009633E"/>
    <w:rsid w:val="000B3927"/>
    <w:rsid w:val="000C22EC"/>
    <w:rsid w:val="000C59EE"/>
    <w:rsid w:val="000F019E"/>
    <w:rsid w:val="00113310"/>
    <w:rsid w:val="0011750A"/>
    <w:rsid w:val="0012266D"/>
    <w:rsid w:val="00130D58"/>
    <w:rsid w:val="00142F61"/>
    <w:rsid w:val="00152B26"/>
    <w:rsid w:val="0015550A"/>
    <w:rsid w:val="00162D04"/>
    <w:rsid w:val="00171BD5"/>
    <w:rsid w:val="00183623"/>
    <w:rsid w:val="001B066D"/>
    <w:rsid w:val="001B0889"/>
    <w:rsid w:val="001B3E5E"/>
    <w:rsid w:val="001C28D0"/>
    <w:rsid w:val="001C3E01"/>
    <w:rsid w:val="001C3F41"/>
    <w:rsid w:val="001C7069"/>
    <w:rsid w:val="001F295E"/>
    <w:rsid w:val="001F5D0E"/>
    <w:rsid w:val="002052F6"/>
    <w:rsid w:val="00217E99"/>
    <w:rsid w:val="0022069E"/>
    <w:rsid w:val="00223C2F"/>
    <w:rsid w:val="00224181"/>
    <w:rsid w:val="00233D51"/>
    <w:rsid w:val="00240133"/>
    <w:rsid w:val="00253101"/>
    <w:rsid w:val="002606F0"/>
    <w:rsid w:val="0026534C"/>
    <w:rsid w:val="002677ED"/>
    <w:rsid w:val="00287512"/>
    <w:rsid w:val="002902D7"/>
    <w:rsid w:val="00294D34"/>
    <w:rsid w:val="002A1820"/>
    <w:rsid w:val="002A30B2"/>
    <w:rsid w:val="002A6F17"/>
    <w:rsid w:val="002B067A"/>
    <w:rsid w:val="002B144D"/>
    <w:rsid w:val="002B18B0"/>
    <w:rsid w:val="002B7CD8"/>
    <w:rsid w:val="002C1EC5"/>
    <w:rsid w:val="002E3702"/>
    <w:rsid w:val="003011A8"/>
    <w:rsid w:val="003034F4"/>
    <w:rsid w:val="00307041"/>
    <w:rsid w:val="00317B8A"/>
    <w:rsid w:val="00330A95"/>
    <w:rsid w:val="003341B0"/>
    <w:rsid w:val="00334E11"/>
    <w:rsid w:val="00342A59"/>
    <w:rsid w:val="003452FA"/>
    <w:rsid w:val="0034696E"/>
    <w:rsid w:val="003470B1"/>
    <w:rsid w:val="003474F2"/>
    <w:rsid w:val="0035772D"/>
    <w:rsid w:val="00357BFC"/>
    <w:rsid w:val="0037311B"/>
    <w:rsid w:val="00384AC7"/>
    <w:rsid w:val="00385299"/>
    <w:rsid w:val="0039084D"/>
    <w:rsid w:val="003B465B"/>
    <w:rsid w:val="003C5897"/>
    <w:rsid w:val="003E3297"/>
    <w:rsid w:val="0040048F"/>
    <w:rsid w:val="004254FE"/>
    <w:rsid w:val="00437C82"/>
    <w:rsid w:val="00470C7E"/>
    <w:rsid w:val="00492244"/>
    <w:rsid w:val="004A2BFB"/>
    <w:rsid w:val="004C3693"/>
    <w:rsid w:val="004E4191"/>
    <w:rsid w:val="004E6DB3"/>
    <w:rsid w:val="004F05B2"/>
    <w:rsid w:val="00523067"/>
    <w:rsid w:val="00527856"/>
    <w:rsid w:val="00527C6A"/>
    <w:rsid w:val="005329E8"/>
    <w:rsid w:val="005733EB"/>
    <w:rsid w:val="0057576D"/>
    <w:rsid w:val="00576C26"/>
    <w:rsid w:val="005820BF"/>
    <w:rsid w:val="00587783"/>
    <w:rsid w:val="005C7580"/>
    <w:rsid w:val="00611799"/>
    <w:rsid w:val="00614FDD"/>
    <w:rsid w:val="00616784"/>
    <w:rsid w:val="00631B59"/>
    <w:rsid w:val="00653B08"/>
    <w:rsid w:val="00654B56"/>
    <w:rsid w:val="006634EA"/>
    <w:rsid w:val="00673CFD"/>
    <w:rsid w:val="00686F60"/>
    <w:rsid w:val="006A08BA"/>
    <w:rsid w:val="006B2E10"/>
    <w:rsid w:val="006C1A4F"/>
    <w:rsid w:val="006C7F09"/>
    <w:rsid w:val="006F001B"/>
    <w:rsid w:val="006F2EA8"/>
    <w:rsid w:val="00707CD8"/>
    <w:rsid w:val="00713A19"/>
    <w:rsid w:val="0071620F"/>
    <w:rsid w:val="00740AC8"/>
    <w:rsid w:val="00755099"/>
    <w:rsid w:val="007654BC"/>
    <w:rsid w:val="0079194D"/>
    <w:rsid w:val="007A0267"/>
    <w:rsid w:val="007A1183"/>
    <w:rsid w:val="007A27B9"/>
    <w:rsid w:val="007A3D09"/>
    <w:rsid w:val="007B2103"/>
    <w:rsid w:val="007C1445"/>
    <w:rsid w:val="007C56AB"/>
    <w:rsid w:val="007C64C1"/>
    <w:rsid w:val="007D276C"/>
    <w:rsid w:val="007D48FA"/>
    <w:rsid w:val="007D62B3"/>
    <w:rsid w:val="007E1AE4"/>
    <w:rsid w:val="007E2959"/>
    <w:rsid w:val="00807D14"/>
    <w:rsid w:val="00820826"/>
    <w:rsid w:val="00845C1C"/>
    <w:rsid w:val="00856325"/>
    <w:rsid w:val="00872278"/>
    <w:rsid w:val="00875499"/>
    <w:rsid w:val="0087560D"/>
    <w:rsid w:val="00881D0D"/>
    <w:rsid w:val="008874AC"/>
    <w:rsid w:val="00891F82"/>
    <w:rsid w:val="00893900"/>
    <w:rsid w:val="008A12F6"/>
    <w:rsid w:val="008A5E77"/>
    <w:rsid w:val="008B34EC"/>
    <w:rsid w:val="008C49AA"/>
    <w:rsid w:val="008D6D31"/>
    <w:rsid w:val="008E0E21"/>
    <w:rsid w:val="008E5141"/>
    <w:rsid w:val="008E7408"/>
    <w:rsid w:val="008F7A52"/>
    <w:rsid w:val="009207FF"/>
    <w:rsid w:val="009306B4"/>
    <w:rsid w:val="00943223"/>
    <w:rsid w:val="0094613F"/>
    <w:rsid w:val="009472E2"/>
    <w:rsid w:val="00950056"/>
    <w:rsid w:val="009629A5"/>
    <w:rsid w:val="00980401"/>
    <w:rsid w:val="009838CD"/>
    <w:rsid w:val="00991CC2"/>
    <w:rsid w:val="00994336"/>
    <w:rsid w:val="00997030"/>
    <w:rsid w:val="009A45B6"/>
    <w:rsid w:val="009A4C2C"/>
    <w:rsid w:val="009A6D1C"/>
    <w:rsid w:val="009B76BF"/>
    <w:rsid w:val="009C75A5"/>
    <w:rsid w:val="009D0F2D"/>
    <w:rsid w:val="009E3B36"/>
    <w:rsid w:val="009F7948"/>
    <w:rsid w:val="00A27459"/>
    <w:rsid w:val="00A459D0"/>
    <w:rsid w:val="00A45C8D"/>
    <w:rsid w:val="00A65C79"/>
    <w:rsid w:val="00A70873"/>
    <w:rsid w:val="00A902C6"/>
    <w:rsid w:val="00A92C85"/>
    <w:rsid w:val="00A948EF"/>
    <w:rsid w:val="00A94BCE"/>
    <w:rsid w:val="00AA2CB1"/>
    <w:rsid w:val="00AB1FC1"/>
    <w:rsid w:val="00AC1D50"/>
    <w:rsid w:val="00AF15FD"/>
    <w:rsid w:val="00AF385F"/>
    <w:rsid w:val="00B0008F"/>
    <w:rsid w:val="00B04652"/>
    <w:rsid w:val="00B052B4"/>
    <w:rsid w:val="00B10B28"/>
    <w:rsid w:val="00B131CC"/>
    <w:rsid w:val="00B17A1D"/>
    <w:rsid w:val="00B258A2"/>
    <w:rsid w:val="00B34A6D"/>
    <w:rsid w:val="00B355AB"/>
    <w:rsid w:val="00B44BB1"/>
    <w:rsid w:val="00B50BD7"/>
    <w:rsid w:val="00B51395"/>
    <w:rsid w:val="00B54578"/>
    <w:rsid w:val="00B56617"/>
    <w:rsid w:val="00B67466"/>
    <w:rsid w:val="00B73CC5"/>
    <w:rsid w:val="00B73EEE"/>
    <w:rsid w:val="00B74369"/>
    <w:rsid w:val="00BA2458"/>
    <w:rsid w:val="00BA65E0"/>
    <w:rsid w:val="00BA68FA"/>
    <w:rsid w:val="00BB1BD5"/>
    <w:rsid w:val="00BC1280"/>
    <w:rsid w:val="00BC1C0A"/>
    <w:rsid w:val="00BC4EF7"/>
    <w:rsid w:val="00BC59B2"/>
    <w:rsid w:val="00BC5E09"/>
    <w:rsid w:val="00BF5825"/>
    <w:rsid w:val="00C16071"/>
    <w:rsid w:val="00C203E8"/>
    <w:rsid w:val="00C23151"/>
    <w:rsid w:val="00C25BA8"/>
    <w:rsid w:val="00C3114B"/>
    <w:rsid w:val="00C4657C"/>
    <w:rsid w:val="00C56C4E"/>
    <w:rsid w:val="00C61C1C"/>
    <w:rsid w:val="00C6478B"/>
    <w:rsid w:val="00C64C22"/>
    <w:rsid w:val="00C66E70"/>
    <w:rsid w:val="00C80AEF"/>
    <w:rsid w:val="00CA6DA1"/>
    <w:rsid w:val="00D120B9"/>
    <w:rsid w:val="00D24D6B"/>
    <w:rsid w:val="00D5302E"/>
    <w:rsid w:val="00D56BC3"/>
    <w:rsid w:val="00D67629"/>
    <w:rsid w:val="00D70FE3"/>
    <w:rsid w:val="00D83D2D"/>
    <w:rsid w:val="00D8485C"/>
    <w:rsid w:val="00D87D47"/>
    <w:rsid w:val="00D9010D"/>
    <w:rsid w:val="00D95936"/>
    <w:rsid w:val="00DB2787"/>
    <w:rsid w:val="00DB584E"/>
    <w:rsid w:val="00DC3B85"/>
    <w:rsid w:val="00DD13E2"/>
    <w:rsid w:val="00DD236E"/>
    <w:rsid w:val="00DF6F40"/>
    <w:rsid w:val="00E10DEE"/>
    <w:rsid w:val="00E11EFA"/>
    <w:rsid w:val="00E158AD"/>
    <w:rsid w:val="00E15E85"/>
    <w:rsid w:val="00E16AC8"/>
    <w:rsid w:val="00E221C1"/>
    <w:rsid w:val="00E30AF5"/>
    <w:rsid w:val="00E34874"/>
    <w:rsid w:val="00E372DA"/>
    <w:rsid w:val="00E44464"/>
    <w:rsid w:val="00E85DB7"/>
    <w:rsid w:val="00E872CE"/>
    <w:rsid w:val="00E87E34"/>
    <w:rsid w:val="00E92E34"/>
    <w:rsid w:val="00EA0D06"/>
    <w:rsid w:val="00EA4B96"/>
    <w:rsid w:val="00EB0246"/>
    <w:rsid w:val="00EC601F"/>
    <w:rsid w:val="00ED3DC4"/>
    <w:rsid w:val="00ED466F"/>
    <w:rsid w:val="00ED735A"/>
    <w:rsid w:val="00EE28A5"/>
    <w:rsid w:val="00EE5CB5"/>
    <w:rsid w:val="00EF1A8D"/>
    <w:rsid w:val="00EF2AE9"/>
    <w:rsid w:val="00EF2F87"/>
    <w:rsid w:val="00F21A2E"/>
    <w:rsid w:val="00F433DC"/>
    <w:rsid w:val="00F77F57"/>
    <w:rsid w:val="00F812A0"/>
    <w:rsid w:val="00F84AE2"/>
    <w:rsid w:val="00F9756D"/>
    <w:rsid w:val="00FA1D2B"/>
    <w:rsid w:val="00FB1B42"/>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paragraph" w:styleId="NormalWeb">
    <w:name w:val="Normal (Web)"/>
    <w:basedOn w:val="Normal"/>
    <w:uiPriority w:val="99"/>
    <w:unhideWhenUsed/>
    <w:rsid w:val="00893900"/>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234709438">
      <w:bodyDiv w:val="1"/>
      <w:marLeft w:val="0"/>
      <w:marRight w:val="0"/>
      <w:marTop w:val="0"/>
      <w:marBottom w:val="0"/>
      <w:divBdr>
        <w:top w:val="none" w:sz="0" w:space="0" w:color="auto"/>
        <w:left w:val="none" w:sz="0" w:space="0" w:color="auto"/>
        <w:bottom w:val="none" w:sz="0" w:space="0" w:color="auto"/>
        <w:right w:val="none" w:sz="0" w:space="0" w:color="auto"/>
      </w:divBdr>
      <w:divsChild>
        <w:div w:id="1584290739">
          <w:marLeft w:val="0"/>
          <w:marRight w:val="0"/>
          <w:marTop w:val="0"/>
          <w:marBottom w:val="0"/>
          <w:divBdr>
            <w:top w:val="none" w:sz="0" w:space="0" w:color="auto"/>
            <w:left w:val="none" w:sz="0" w:space="0" w:color="auto"/>
            <w:bottom w:val="none" w:sz="0" w:space="0" w:color="auto"/>
            <w:right w:val="none" w:sz="0" w:space="0" w:color="auto"/>
          </w:divBdr>
          <w:divsChild>
            <w:div w:id="575483446">
              <w:marLeft w:val="0"/>
              <w:marRight w:val="0"/>
              <w:marTop w:val="0"/>
              <w:marBottom w:val="0"/>
              <w:divBdr>
                <w:top w:val="none" w:sz="0" w:space="0" w:color="auto"/>
                <w:left w:val="none" w:sz="0" w:space="0" w:color="auto"/>
                <w:bottom w:val="none" w:sz="0" w:space="0" w:color="auto"/>
                <w:right w:val="none" w:sz="0" w:space="0" w:color="auto"/>
              </w:divBdr>
              <w:divsChild>
                <w:div w:id="2062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6327874">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00509067">
      <w:bodyDiv w:val="1"/>
      <w:marLeft w:val="0"/>
      <w:marRight w:val="0"/>
      <w:marTop w:val="0"/>
      <w:marBottom w:val="0"/>
      <w:divBdr>
        <w:top w:val="none" w:sz="0" w:space="0" w:color="auto"/>
        <w:left w:val="none" w:sz="0" w:space="0" w:color="auto"/>
        <w:bottom w:val="none" w:sz="0" w:space="0" w:color="auto"/>
        <w:right w:val="none" w:sz="0" w:space="0" w:color="auto"/>
      </w:divBdr>
    </w:div>
    <w:div w:id="503786927">
      <w:bodyDiv w:val="1"/>
      <w:marLeft w:val="0"/>
      <w:marRight w:val="0"/>
      <w:marTop w:val="0"/>
      <w:marBottom w:val="0"/>
      <w:divBdr>
        <w:top w:val="none" w:sz="0" w:space="0" w:color="auto"/>
        <w:left w:val="none" w:sz="0" w:space="0" w:color="auto"/>
        <w:bottom w:val="none" w:sz="0" w:space="0" w:color="auto"/>
        <w:right w:val="none" w:sz="0" w:space="0" w:color="auto"/>
      </w:divBdr>
    </w:div>
    <w:div w:id="530151630">
      <w:bodyDiv w:val="1"/>
      <w:marLeft w:val="0"/>
      <w:marRight w:val="0"/>
      <w:marTop w:val="0"/>
      <w:marBottom w:val="0"/>
      <w:divBdr>
        <w:top w:val="none" w:sz="0" w:space="0" w:color="auto"/>
        <w:left w:val="none" w:sz="0" w:space="0" w:color="auto"/>
        <w:bottom w:val="none" w:sz="0" w:space="0" w:color="auto"/>
        <w:right w:val="none" w:sz="0" w:space="0" w:color="auto"/>
      </w:divBdr>
      <w:divsChild>
        <w:div w:id="933323160">
          <w:marLeft w:val="0"/>
          <w:marRight w:val="0"/>
          <w:marTop w:val="0"/>
          <w:marBottom w:val="0"/>
          <w:divBdr>
            <w:top w:val="none" w:sz="0" w:space="0" w:color="auto"/>
            <w:left w:val="none" w:sz="0" w:space="0" w:color="auto"/>
            <w:bottom w:val="none" w:sz="0" w:space="0" w:color="auto"/>
            <w:right w:val="none" w:sz="0" w:space="0" w:color="auto"/>
          </w:divBdr>
          <w:divsChild>
            <w:div w:id="1032417306">
              <w:marLeft w:val="0"/>
              <w:marRight w:val="0"/>
              <w:marTop w:val="0"/>
              <w:marBottom w:val="0"/>
              <w:divBdr>
                <w:top w:val="none" w:sz="0" w:space="0" w:color="auto"/>
                <w:left w:val="none" w:sz="0" w:space="0" w:color="auto"/>
                <w:bottom w:val="none" w:sz="0" w:space="0" w:color="auto"/>
                <w:right w:val="none" w:sz="0" w:space="0" w:color="auto"/>
              </w:divBdr>
              <w:divsChild>
                <w:div w:id="830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2396091">
      <w:bodyDiv w:val="1"/>
      <w:marLeft w:val="0"/>
      <w:marRight w:val="0"/>
      <w:marTop w:val="0"/>
      <w:marBottom w:val="0"/>
      <w:divBdr>
        <w:top w:val="none" w:sz="0" w:space="0" w:color="auto"/>
        <w:left w:val="none" w:sz="0" w:space="0" w:color="auto"/>
        <w:bottom w:val="none" w:sz="0" w:space="0" w:color="auto"/>
        <w:right w:val="none" w:sz="0" w:space="0" w:color="auto"/>
      </w:divBdr>
    </w:div>
    <w:div w:id="639652812">
      <w:bodyDiv w:val="1"/>
      <w:marLeft w:val="0"/>
      <w:marRight w:val="0"/>
      <w:marTop w:val="0"/>
      <w:marBottom w:val="0"/>
      <w:divBdr>
        <w:top w:val="none" w:sz="0" w:space="0" w:color="auto"/>
        <w:left w:val="none" w:sz="0" w:space="0" w:color="auto"/>
        <w:bottom w:val="none" w:sz="0" w:space="0" w:color="auto"/>
        <w:right w:val="none" w:sz="0" w:space="0" w:color="auto"/>
      </w:divBdr>
    </w:div>
    <w:div w:id="664405323">
      <w:bodyDiv w:val="1"/>
      <w:marLeft w:val="0"/>
      <w:marRight w:val="0"/>
      <w:marTop w:val="0"/>
      <w:marBottom w:val="0"/>
      <w:divBdr>
        <w:top w:val="none" w:sz="0" w:space="0" w:color="auto"/>
        <w:left w:val="none" w:sz="0" w:space="0" w:color="auto"/>
        <w:bottom w:val="none" w:sz="0" w:space="0" w:color="auto"/>
        <w:right w:val="none" w:sz="0" w:space="0" w:color="auto"/>
      </w:divBdr>
    </w:div>
    <w:div w:id="691564983">
      <w:bodyDiv w:val="1"/>
      <w:marLeft w:val="0"/>
      <w:marRight w:val="0"/>
      <w:marTop w:val="0"/>
      <w:marBottom w:val="0"/>
      <w:divBdr>
        <w:top w:val="none" w:sz="0" w:space="0" w:color="auto"/>
        <w:left w:val="none" w:sz="0" w:space="0" w:color="auto"/>
        <w:bottom w:val="none" w:sz="0" w:space="0" w:color="auto"/>
        <w:right w:val="none" w:sz="0" w:space="0" w:color="auto"/>
      </w:divBdr>
      <w:divsChild>
        <w:div w:id="2004619263">
          <w:marLeft w:val="0"/>
          <w:marRight w:val="0"/>
          <w:marTop w:val="0"/>
          <w:marBottom w:val="0"/>
          <w:divBdr>
            <w:top w:val="none" w:sz="0" w:space="0" w:color="auto"/>
            <w:left w:val="none" w:sz="0" w:space="0" w:color="auto"/>
            <w:bottom w:val="none" w:sz="0" w:space="0" w:color="auto"/>
            <w:right w:val="none" w:sz="0" w:space="0" w:color="auto"/>
          </w:divBdr>
          <w:divsChild>
            <w:div w:id="1740052581">
              <w:marLeft w:val="0"/>
              <w:marRight w:val="0"/>
              <w:marTop w:val="0"/>
              <w:marBottom w:val="0"/>
              <w:divBdr>
                <w:top w:val="none" w:sz="0" w:space="0" w:color="auto"/>
                <w:left w:val="none" w:sz="0" w:space="0" w:color="auto"/>
                <w:bottom w:val="none" w:sz="0" w:space="0" w:color="auto"/>
                <w:right w:val="none" w:sz="0" w:space="0" w:color="auto"/>
              </w:divBdr>
              <w:divsChild>
                <w:div w:id="12248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5832715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1892164">
      <w:bodyDiv w:val="1"/>
      <w:marLeft w:val="0"/>
      <w:marRight w:val="0"/>
      <w:marTop w:val="0"/>
      <w:marBottom w:val="0"/>
      <w:divBdr>
        <w:top w:val="none" w:sz="0" w:space="0" w:color="auto"/>
        <w:left w:val="none" w:sz="0" w:space="0" w:color="auto"/>
        <w:bottom w:val="none" w:sz="0" w:space="0" w:color="auto"/>
        <w:right w:val="none" w:sz="0" w:space="0" w:color="auto"/>
      </w:divBdr>
      <w:divsChild>
        <w:div w:id="2121486900">
          <w:marLeft w:val="0"/>
          <w:marRight w:val="0"/>
          <w:marTop w:val="0"/>
          <w:marBottom w:val="0"/>
          <w:divBdr>
            <w:top w:val="none" w:sz="0" w:space="0" w:color="auto"/>
            <w:left w:val="none" w:sz="0" w:space="0" w:color="auto"/>
            <w:bottom w:val="none" w:sz="0" w:space="0" w:color="auto"/>
            <w:right w:val="none" w:sz="0" w:space="0" w:color="auto"/>
          </w:divBdr>
          <w:divsChild>
            <w:div w:id="643244444">
              <w:marLeft w:val="0"/>
              <w:marRight w:val="0"/>
              <w:marTop w:val="0"/>
              <w:marBottom w:val="0"/>
              <w:divBdr>
                <w:top w:val="none" w:sz="0" w:space="0" w:color="auto"/>
                <w:left w:val="none" w:sz="0" w:space="0" w:color="auto"/>
                <w:bottom w:val="none" w:sz="0" w:space="0" w:color="auto"/>
                <w:right w:val="none" w:sz="0" w:space="0" w:color="auto"/>
              </w:divBdr>
              <w:divsChild>
                <w:div w:id="1667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4930005">
      <w:bodyDiv w:val="1"/>
      <w:marLeft w:val="0"/>
      <w:marRight w:val="0"/>
      <w:marTop w:val="0"/>
      <w:marBottom w:val="0"/>
      <w:divBdr>
        <w:top w:val="none" w:sz="0" w:space="0" w:color="auto"/>
        <w:left w:val="none" w:sz="0" w:space="0" w:color="auto"/>
        <w:bottom w:val="none" w:sz="0" w:space="0" w:color="auto"/>
        <w:right w:val="none" w:sz="0" w:space="0" w:color="auto"/>
      </w:divBdr>
    </w:div>
    <w:div w:id="885680263">
      <w:bodyDiv w:val="1"/>
      <w:marLeft w:val="0"/>
      <w:marRight w:val="0"/>
      <w:marTop w:val="0"/>
      <w:marBottom w:val="0"/>
      <w:divBdr>
        <w:top w:val="none" w:sz="0" w:space="0" w:color="auto"/>
        <w:left w:val="none" w:sz="0" w:space="0" w:color="auto"/>
        <w:bottom w:val="none" w:sz="0" w:space="0" w:color="auto"/>
        <w:right w:val="none" w:sz="0" w:space="0" w:color="auto"/>
      </w:divBdr>
      <w:divsChild>
        <w:div w:id="1704598615">
          <w:marLeft w:val="0"/>
          <w:marRight w:val="0"/>
          <w:marTop w:val="0"/>
          <w:marBottom w:val="0"/>
          <w:divBdr>
            <w:top w:val="none" w:sz="0" w:space="0" w:color="auto"/>
            <w:left w:val="none" w:sz="0" w:space="0" w:color="auto"/>
            <w:bottom w:val="none" w:sz="0" w:space="0" w:color="auto"/>
            <w:right w:val="none" w:sz="0" w:space="0" w:color="auto"/>
          </w:divBdr>
          <w:divsChild>
            <w:div w:id="1246114273">
              <w:marLeft w:val="0"/>
              <w:marRight w:val="0"/>
              <w:marTop w:val="0"/>
              <w:marBottom w:val="0"/>
              <w:divBdr>
                <w:top w:val="none" w:sz="0" w:space="0" w:color="auto"/>
                <w:left w:val="none" w:sz="0" w:space="0" w:color="auto"/>
                <w:bottom w:val="none" w:sz="0" w:space="0" w:color="auto"/>
                <w:right w:val="none" w:sz="0" w:space="0" w:color="auto"/>
              </w:divBdr>
              <w:divsChild>
                <w:div w:id="1744529544">
                  <w:marLeft w:val="0"/>
                  <w:marRight w:val="0"/>
                  <w:marTop w:val="0"/>
                  <w:marBottom w:val="0"/>
                  <w:divBdr>
                    <w:top w:val="none" w:sz="0" w:space="0" w:color="auto"/>
                    <w:left w:val="none" w:sz="0" w:space="0" w:color="auto"/>
                    <w:bottom w:val="none" w:sz="0" w:space="0" w:color="auto"/>
                    <w:right w:val="none" w:sz="0" w:space="0" w:color="auto"/>
                  </w:divBdr>
                </w:div>
              </w:divsChild>
            </w:div>
            <w:div w:id="1410618869">
              <w:marLeft w:val="0"/>
              <w:marRight w:val="0"/>
              <w:marTop w:val="0"/>
              <w:marBottom w:val="0"/>
              <w:divBdr>
                <w:top w:val="none" w:sz="0" w:space="0" w:color="auto"/>
                <w:left w:val="none" w:sz="0" w:space="0" w:color="auto"/>
                <w:bottom w:val="none" w:sz="0" w:space="0" w:color="auto"/>
                <w:right w:val="none" w:sz="0" w:space="0" w:color="auto"/>
              </w:divBdr>
              <w:divsChild>
                <w:div w:id="525870024">
                  <w:marLeft w:val="0"/>
                  <w:marRight w:val="0"/>
                  <w:marTop w:val="0"/>
                  <w:marBottom w:val="0"/>
                  <w:divBdr>
                    <w:top w:val="none" w:sz="0" w:space="0" w:color="auto"/>
                    <w:left w:val="none" w:sz="0" w:space="0" w:color="auto"/>
                    <w:bottom w:val="none" w:sz="0" w:space="0" w:color="auto"/>
                    <w:right w:val="none" w:sz="0" w:space="0" w:color="auto"/>
                  </w:divBdr>
                </w:div>
                <w:div w:id="1267689181">
                  <w:marLeft w:val="0"/>
                  <w:marRight w:val="0"/>
                  <w:marTop w:val="0"/>
                  <w:marBottom w:val="0"/>
                  <w:divBdr>
                    <w:top w:val="none" w:sz="0" w:space="0" w:color="auto"/>
                    <w:left w:val="none" w:sz="0" w:space="0" w:color="auto"/>
                    <w:bottom w:val="none" w:sz="0" w:space="0" w:color="auto"/>
                    <w:right w:val="none" w:sz="0" w:space="0" w:color="auto"/>
                  </w:divBdr>
                </w:div>
              </w:divsChild>
            </w:div>
            <w:div w:id="1695957506">
              <w:marLeft w:val="0"/>
              <w:marRight w:val="0"/>
              <w:marTop w:val="0"/>
              <w:marBottom w:val="0"/>
              <w:divBdr>
                <w:top w:val="none" w:sz="0" w:space="0" w:color="auto"/>
                <w:left w:val="none" w:sz="0" w:space="0" w:color="auto"/>
                <w:bottom w:val="none" w:sz="0" w:space="0" w:color="auto"/>
                <w:right w:val="none" w:sz="0" w:space="0" w:color="auto"/>
              </w:divBdr>
              <w:divsChild>
                <w:div w:id="880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4792">
      <w:bodyDiv w:val="1"/>
      <w:marLeft w:val="0"/>
      <w:marRight w:val="0"/>
      <w:marTop w:val="0"/>
      <w:marBottom w:val="0"/>
      <w:divBdr>
        <w:top w:val="none" w:sz="0" w:space="0" w:color="auto"/>
        <w:left w:val="none" w:sz="0" w:space="0" w:color="auto"/>
        <w:bottom w:val="none" w:sz="0" w:space="0" w:color="auto"/>
        <w:right w:val="none" w:sz="0" w:space="0" w:color="auto"/>
      </w:divBdr>
    </w:div>
    <w:div w:id="1041517647">
      <w:bodyDiv w:val="1"/>
      <w:marLeft w:val="0"/>
      <w:marRight w:val="0"/>
      <w:marTop w:val="0"/>
      <w:marBottom w:val="0"/>
      <w:divBdr>
        <w:top w:val="none" w:sz="0" w:space="0" w:color="auto"/>
        <w:left w:val="none" w:sz="0" w:space="0" w:color="auto"/>
        <w:bottom w:val="none" w:sz="0" w:space="0" w:color="auto"/>
        <w:right w:val="none" w:sz="0" w:space="0" w:color="auto"/>
      </w:divBdr>
      <w:divsChild>
        <w:div w:id="846215377">
          <w:marLeft w:val="0"/>
          <w:marRight w:val="0"/>
          <w:marTop w:val="0"/>
          <w:marBottom w:val="0"/>
          <w:divBdr>
            <w:top w:val="none" w:sz="0" w:space="0" w:color="auto"/>
            <w:left w:val="none" w:sz="0" w:space="0" w:color="auto"/>
            <w:bottom w:val="none" w:sz="0" w:space="0" w:color="auto"/>
            <w:right w:val="none" w:sz="0" w:space="0" w:color="auto"/>
          </w:divBdr>
          <w:divsChild>
            <w:div w:id="1599026031">
              <w:marLeft w:val="0"/>
              <w:marRight w:val="0"/>
              <w:marTop w:val="0"/>
              <w:marBottom w:val="0"/>
              <w:divBdr>
                <w:top w:val="none" w:sz="0" w:space="0" w:color="auto"/>
                <w:left w:val="none" w:sz="0" w:space="0" w:color="auto"/>
                <w:bottom w:val="none" w:sz="0" w:space="0" w:color="auto"/>
                <w:right w:val="none" w:sz="0" w:space="0" w:color="auto"/>
              </w:divBdr>
              <w:divsChild>
                <w:div w:id="1306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885799">
      <w:bodyDiv w:val="1"/>
      <w:marLeft w:val="0"/>
      <w:marRight w:val="0"/>
      <w:marTop w:val="0"/>
      <w:marBottom w:val="0"/>
      <w:divBdr>
        <w:top w:val="none" w:sz="0" w:space="0" w:color="auto"/>
        <w:left w:val="none" w:sz="0" w:space="0" w:color="auto"/>
        <w:bottom w:val="none" w:sz="0" w:space="0" w:color="auto"/>
        <w:right w:val="none" w:sz="0" w:space="0" w:color="auto"/>
      </w:divBdr>
    </w:div>
    <w:div w:id="1068655469">
      <w:bodyDiv w:val="1"/>
      <w:marLeft w:val="0"/>
      <w:marRight w:val="0"/>
      <w:marTop w:val="0"/>
      <w:marBottom w:val="0"/>
      <w:divBdr>
        <w:top w:val="none" w:sz="0" w:space="0" w:color="auto"/>
        <w:left w:val="none" w:sz="0" w:space="0" w:color="auto"/>
        <w:bottom w:val="none" w:sz="0" w:space="0" w:color="auto"/>
        <w:right w:val="none" w:sz="0" w:space="0" w:color="auto"/>
      </w:divBdr>
      <w:divsChild>
        <w:div w:id="1096052348">
          <w:marLeft w:val="0"/>
          <w:marRight w:val="0"/>
          <w:marTop w:val="0"/>
          <w:marBottom w:val="0"/>
          <w:divBdr>
            <w:top w:val="none" w:sz="0" w:space="0" w:color="auto"/>
            <w:left w:val="none" w:sz="0" w:space="0" w:color="auto"/>
            <w:bottom w:val="none" w:sz="0" w:space="0" w:color="auto"/>
            <w:right w:val="none" w:sz="0" w:space="0" w:color="auto"/>
          </w:divBdr>
          <w:divsChild>
            <w:div w:id="1996759945">
              <w:marLeft w:val="0"/>
              <w:marRight w:val="0"/>
              <w:marTop w:val="0"/>
              <w:marBottom w:val="0"/>
              <w:divBdr>
                <w:top w:val="none" w:sz="0" w:space="0" w:color="auto"/>
                <w:left w:val="none" w:sz="0" w:space="0" w:color="auto"/>
                <w:bottom w:val="none" w:sz="0" w:space="0" w:color="auto"/>
                <w:right w:val="none" w:sz="0" w:space="0" w:color="auto"/>
              </w:divBdr>
              <w:divsChild>
                <w:div w:id="17249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26998">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06606124">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365717646">
      <w:bodyDiv w:val="1"/>
      <w:marLeft w:val="0"/>
      <w:marRight w:val="0"/>
      <w:marTop w:val="0"/>
      <w:marBottom w:val="0"/>
      <w:divBdr>
        <w:top w:val="none" w:sz="0" w:space="0" w:color="auto"/>
        <w:left w:val="none" w:sz="0" w:space="0" w:color="auto"/>
        <w:bottom w:val="none" w:sz="0" w:space="0" w:color="auto"/>
        <w:right w:val="none" w:sz="0" w:space="0" w:color="auto"/>
      </w:divBdr>
    </w:div>
    <w:div w:id="162688558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76490275">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6619080">
      <w:bodyDiv w:val="1"/>
      <w:marLeft w:val="0"/>
      <w:marRight w:val="0"/>
      <w:marTop w:val="0"/>
      <w:marBottom w:val="0"/>
      <w:divBdr>
        <w:top w:val="none" w:sz="0" w:space="0" w:color="auto"/>
        <w:left w:val="none" w:sz="0" w:space="0" w:color="auto"/>
        <w:bottom w:val="none" w:sz="0" w:space="0" w:color="auto"/>
        <w:right w:val="none" w:sz="0" w:space="0" w:color="auto"/>
      </w:divBdr>
      <w:divsChild>
        <w:div w:id="1554459297">
          <w:marLeft w:val="0"/>
          <w:marRight w:val="0"/>
          <w:marTop w:val="0"/>
          <w:marBottom w:val="0"/>
          <w:divBdr>
            <w:top w:val="none" w:sz="0" w:space="0" w:color="auto"/>
            <w:left w:val="none" w:sz="0" w:space="0" w:color="auto"/>
            <w:bottom w:val="none" w:sz="0" w:space="0" w:color="auto"/>
            <w:right w:val="none" w:sz="0" w:space="0" w:color="auto"/>
          </w:divBdr>
          <w:divsChild>
            <w:div w:id="1641812428">
              <w:marLeft w:val="0"/>
              <w:marRight w:val="0"/>
              <w:marTop w:val="0"/>
              <w:marBottom w:val="0"/>
              <w:divBdr>
                <w:top w:val="none" w:sz="0" w:space="0" w:color="auto"/>
                <w:left w:val="none" w:sz="0" w:space="0" w:color="auto"/>
                <w:bottom w:val="none" w:sz="0" w:space="0" w:color="auto"/>
                <w:right w:val="none" w:sz="0" w:space="0" w:color="auto"/>
              </w:divBdr>
              <w:divsChild>
                <w:div w:id="5774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95839390">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3648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12867</Words>
  <Characters>70770</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2019-08-26T15:36:00Z</cp:lastPrinted>
  <dcterms:created xsi:type="dcterms:W3CDTF">2019-08-30T18:24:00Z</dcterms:created>
  <dcterms:modified xsi:type="dcterms:W3CDTF">2019-08-30T18:24:00Z</dcterms:modified>
</cp:coreProperties>
</file>