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493" w:rsidRPr="00AC0CA2" w:rsidRDefault="00EF4493" w:rsidP="00EF4493">
      <w:pPr>
        <w:shd w:val="clear" w:color="auto" w:fill="FFFFFF"/>
        <w:spacing w:before="240" w:line="360" w:lineRule="auto"/>
        <w:jc w:val="both"/>
        <w:rPr>
          <w:rFonts w:ascii="Palatino Linotype" w:eastAsia="Times New Roman" w:hAnsi="Palatino Linotype" w:cs="Arial"/>
          <w:color w:val="000000"/>
          <w:szCs w:val="24"/>
          <w:lang w:eastAsia="es-MX"/>
        </w:rPr>
      </w:pPr>
      <w:r w:rsidRPr="00AC0CA2">
        <w:rPr>
          <w:rFonts w:ascii="Palatino Linotype" w:eastAsia="Times New Roman" w:hAnsi="Palatino Linotype" w:cs="Arial"/>
          <w:color w:val="000000"/>
          <w:szCs w:val="24"/>
          <w:lang w:eastAsia="es-MX"/>
        </w:rPr>
        <w:t xml:space="preserve">Resolución del Pleno del Instituto de Transparencia, Acceso a la Información Pública y Protección de Datos Personales del Estado de México y Municipios, con domicilio en Metepec, Estado de México, a </w:t>
      </w:r>
      <w:r w:rsidR="00735007">
        <w:rPr>
          <w:rFonts w:ascii="Palatino Linotype" w:eastAsia="Times New Roman" w:hAnsi="Palatino Linotype" w:cs="Arial"/>
          <w:color w:val="000000"/>
          <w:szCs w:val="24"/>
          <w:lang w:eastAsia="es-MX"/>
        </w:rPr>
        <w:t>cinco de marzo de dos mil veinte</w:t>
      </w:r>
      <w:r w:rsidRPr="00AC0CA2">
        <w:rPr>
          <w:rFonts w:ascii="Palatino Linotype" w:eastAsia="Times New Roman" w:hAnsi="Palatino Linotype" w:cs="Arial"/>
          <w:color w:val="000000"/>
          <w:szCs w:val="24"/>
          <w:lang w:eastAsia="es-MX"/>
        </w:rPr>
        <w:t xml:space="preserve">.   </w:t>
      </w:r>
    </w:p>
    <w:p w:rsidR="00EF4493" w:rsidRPr="00AC0CA2" w:rsidRDefault="00EF4493" w:rsidP="00EF4493">
      <w:pPr>
        <w:tabs>
          <w:tab w:val="left" w:pos="1701"/>
        </w:tabs>
        <w:spacing w:before="240" w:line="360" w:lineRule="auto"/>
        <w:jc w:val="both"/>
        <w:rPr>
          <w:rFonts w:ascii="Palatino Linotype" w:hAnsi="Palatino Linotype" w:cs="Arial"/>
          <w:szCs w:val="24"/>
        </w:rPr>
      </w:pPr>
      <w:r w:rsidRPr="00AC0CA2">
        <w:rPr>
          <w:rFonts w:ascii="Palatino Linotype" w:hAnsi="Palatino Linotype" w:cs="Arial"/>
          <w:b/>
        </w:rPr>
        <w:t>VISTO</w:t>
      </w:r>
      <w:r w:rsidRPr="00AC0CA2">
        <w:rPr>
          <w:rFonts w:ascii="Palatino Linotype" w:hAnsi="Palatino Linotype" w:cs="Arial"/>
        </w:rPr>
        <w:t xml:space="preserve"> el expediente el</w:t>
      </w:r>
      <w:r w:rsidR="00B00245">
        <w:rPr>
          <w:rFonts w:ascii="Palatino Linotype" w:hAnsi="Palatino Linotype" w:cs="Arial"/>
        </w:rPr>
        <w:t>ect</w:t>
      </w:r>
      <w:r w:rsidR="00E62C5E">
        <w:rPr>
          <w:rFonts w:ascii="Palatino Linotype" w:hAnsi="Palatino Linotype" w:cs="Arial"/>
        </w:rPr>
        <w:t>rónico formado con motivo del</w:t>
      </w:r>
      <w:r w:rsidRPr="00AC0CA2">
        <w:rPr>
          <w:rFonts w:ascii="Palatino Linotype" w:hAnsi="Palatino Linotype" w:cs="Arial"/>
        </w:rPr>
        <w:t xml:space="preserve"> recurso de revisión número </w:t>
      </w:r>
      <w:r w:rsidR="00A01E1E">
        <w:rPr>
          <w:rFonts w:ascii="Palatino Linotype" w:hAnsi="Palatino Linotype" w:cs="Arial"/>
          <w:b/>
          <w:bCs/>
          <w:lang w:eastAsia="es-MX"/>
        </w:rPr>
        <w:t>094</w:t>
      </w:r>
      <w:r w:rsidR="00E62C5E">
        <w:rPr>
          <w:rFonts w:ascii="Palatino Linotype" w:hAnsi="Palatino Linotype" w:cs="Arial"/>
          <w:b/>
          <w:bCs/>
          <w:lang w:eastAsia="es-MX"/>
        </w:rPr>
        <w:t>95</w:t>
      </w:r>
      <w:r w:rsidR="004B2880">
        <w:rPr>
          <w:rFonts w:ascii="Palatino Linotype" w:hAnsi="Palatino Linotype" w:cs="Arial"/>
          <w:b/>
          <w:bCs/>
          <w:lang w:eastAsia="es-MX"/>
        </w:rPr>
        <w:t>/INFOEM/IP/RR/2019</w:t>
      </w:r>
      <w:r w:rsidRPr="00AC0CA2">
        <w:rPr>
          <w:rFonts w:ascii="Palatino Linotype" w:hAnsi="Palatino Linotype" w:cs="Arial"/>
        </w:rPr>
        <w:t>,</w:t>
      </w:r>
      <w:r w:rsidR="00B00245">
        <w:rPr>
          <w:rFonts w:ascii="Palatino Linotype" w:hAnsi="Palatino Linotype" w:cs="Arial"/>
        </w:rPr>
        <w:t xml:space="preserve"> </w:t>
      </w:r>
      <w:r w:rsidRPr="00AC0CA2">
        <w:rPr>
          <w:rFonts w:ascii="Palatino Linotype" w:hAnsi="Palatino Linotype" w:cs="Arial"/>
          <w:szCs w:val="24"/>
        </w:rPr>
        <w:t>interpuesto</w:t>
      </w:r>
      <w:r w:rsidR="00B00245">
        <w:rPr>
          <w:rFonts w:ascii="Palatino Linotype" w:hAnsi="Palatino Linotype" w:cs="Arial"/>
          <w:szCs w:val="24"/>
        </w:rPr>
        <w:t>s</w:t>
      </w:r>
      <w:r w:rsidRPr="00AC0CA2">
        <w:rPr>
          <w:rFonts w:ascii="Palatino Linotype" w:hAnsi="Palatino Linotype" w:cs="Arial"/>
          <w:szCs w:val="24"/>
        </w:rPr>
        <w:t xml:space="preserve"> por el </w:t>
      </w:r>
      <w:r w:rsidRPr="00AC0CA2">
        <w:rPr>
          <w:rFonts w:ascii="Palatino Linotype" w:hAnsi="Palatino Linotype" w:cs="Arial"/>
          <w:b/>
          <w:szCs w:val="24"/>
        </w:rPr>
        <w:t xml:space="preserve">C. </w:t>
      </w:r>
      <w:r w:rsidR="005503B6">
        <w:rPr>
          <w:rFonts w:ascii="Palatino Linotype" w:hAnsi="Palatino Linotype" w:cs="Arial"/>
          <w:b/>
          <w:szCs w:val="24"/>
        </w:rPr>
        <w:t>xxxxxxxxxxxxxxxxxxxxxxxx</w:t>
      </w:r>
      <w:bookmarkStart w:id="0" w:name="_GoBack"/>
      <w:bookmarkEnd w:id="0"/>
      <w:r w:rsidR="00A01E1E">
        <w:rPr>
          <w:rFonts w:ascii="Palatino Linotype" w:hAnsi="Palatino Linotype" w:cs="Arial"/>
          <w:b/>
          <w:szCs w:val="24"/>
        </w:rPr>
        <w:t xml:space="preserve"> </w:t>
      </w:r>
      <w:r w:rsidRPr="00AC0CA2">
        <w:rPr>
          <w:rFonts w:ascii="Palatino Linotype" w:hAnsi="Palatino Linotype" w:cs="Arial"/>
          <w:szCs w:val="24"/>
        </w:rPr>
        <w:t xml:space="preserve">en lo sucesivo </w:t>
      </w:r>
      <w:r w:rsidRPr="00AC0CA2">
        <w:rPr>
          <w:rFonts w:ascii="Palatino Linotype" w:hAnsi="Palatino Linotype" w:cs="Arial"/>
          <w:b/>
          <w:szCs w:val="24"/>
        </w:rPr>
        <w:t xml:space="preserve">El Recurrente, </w:t>
      </w:r>
      <w:r w:rsidRPr="00AC0CA2">
        <w:rPr>
          <w:rFonts w:ascii="Palatino Linotype" w:hAnsi="Palatino Linotype" w:cs="Arial"/>
          <w:szCs w:val="24"/>
        </w:rPr>
        <w:t xml:space="preserve">en contra de </w:t>
      </w:r>
      <w:r w:rsidR="00735007">
        <w:rPr>
          <w:rFonts w:ascii="Palatino Linotype" w:hAnsi="Palatino Linotype" w:cs="Arial"/>
          <w:szCs w:val="24"/>
        </w:rPr>
        <w:t>la falta de respuesta</w:t>
      </w:r>
      <w:r w:rsidRPr="00AC0CA2">
        <w:rPr>
          <w:rFonts w:ascii="Palatino Linotype" w:hAnsi="Palatino Linotype" w:cs="Arial"/>
          <w:szCs w:val="24"/>
        </w:rPr>
        <w:t xml:space="preserve"> del </w:t>
      </w:r>
      <w:r w:rsidR="00E62C5E">
        <w:rPr>
          <w:rFonts w:ascii="Palatino Linotype" w:hAnsi="Palatino Linotype" w:cs="Arial"/>
          <w:b/>
          <w:szCs w:val="24"/>
        </w:rPr>
        <w:t xml:space="preserve">Ayuntamiento de </w:t>
      </w:r>
      <w:r w:rsidR="00A01E1E">
        <w:rPr>
          <w:rFonts w:ascii="Palatino Linotype" w:hAnsi="Palatino Linotype" w:cs="Arial"/>
          <w:b/>
          <w:szCs w:val="24"/>
        </w:rPr>
        <w:t xml:space="preserve">Ecatepec de Morelos </w:t>
      </w:r>
      <w:r w:rsidRPr="00AC0CA2">
        <w:rPr>
          <w:rFonts w:ascii="Palatino Linotype" w:hAnsi="Palatino Linotype" w:cs="Arial"/>
          <w:szCs w:val="24"/>
        </w:rPr>
        <w:t>en lo subsecuente</w:t>
      </w:r>
      <w:r w:rsidRPr="00AC0CA2">
        <w:rPr>
          <w:rFonts w:ascii="Palatino Linotype" w:hAnsi="Palatino Linotype" w:cs="Arial"/>
          <w:b/>
          <w:szCs w:val="24"/>
        </w:rPr>
        <w:t xml:space="preserve"> El Sujeto Obligado, </w:t>
      </w:r>
      <w:r w:rsidRPr="00AC0CA2">
        <w:rPr>
          <w:rFonts w:ascii="Palatino Linotype" w:hAnsi="Palatino Linotype" w:cs="Arial"/>
          <w:szCs w:val="24"/>
        </w:rPr>
        <w:t>se procede a</w:t>
      </w:r>
      <w:r w:rsidRPr="00AC0CA2">
        <w:rPr>
          <w:rFonts w:ascii="Palatino Linotype" w:hAnsi="Palatino Linotype" w:cs="Arial"/>
        </w:rPr>
        <w:t xml:space="preserve"> dictar la presente resolución.</w:t>
      </w:r>
    </w:p>
    <w:p w:rsidR="00EF4493" w:rsidRDefault="00EF4493" w:rsidP="00EF4493">
      <w:pPr>
        <w:tabs>
          <w:tab w:val="left" w:pos="1701"/>
        </w:tabs>
        <w:spacing w:before="240" w:line="360" w:lineRule="auto"/>
        <w:jc w:val="both"/>
        <w:rPr>
          <w:rFonts w:ascii="Palatino Linotype" w:hAnsi="Palatino Linotype" w:cs="Arial"/>
          <w:b/>
          <w:sz w:val="24"/>
          <w:szCs w:val="24"/>
        </w:rPr>
      </w:pPr>
    </w:p>
    <w:p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F4493" w:rsidRPr="00AC0CA2" w:rsidRDefault="00EF4493" w:rsidP="00EF4493">
      <w:pPr>
        <w:spacing w:before="240" w:line="360" w:lineRule="auto"/>
        <w:jc w:val="both"/>
        <w:rPr>
          <w:rFonts w:ascii="Palatino Linotype" w:hAnsi="Palatino Linotype" w:cs="Arial"/>
        </w:rPr>
      </w:pPr>
      <w:r w:rsidRPr="00AC0CA2">
        <w:rPr>
          <w:rFonts w:ascii="Palatino Linotype" w:hAnsi="Palatino Linotype" w:cs="Arial"/>
        </w:rPr>
        <w:t xml:space="preserve">Con fecha </w:t>
      </w:r>
      <w:r w:rsidR="00A01E1E">
        <w:rPr>
          <w:rFonts w:ascii="Palatino Linotype" w:hAnsi="Palatino Linotype" w:cs="Arial"/>
        </w:rPr>
        <w:t xml:space="preserve">trece </w:t>
      </w:r>
      <w:r w:rsidR="001B7FE2">
        <w:rPr>
          <w:rFonts w:ascii="Palatino Linotype" w:hAnsi="Palatino Linotype" w:cs="Arial"/>
        </w:rPr>
        <w:t>de noviembre</w:t>
      </w:r>
      <w:r w:rsidR="00E67266">
        <w:rPr>
          <w:rFonts w:ascii="Palatino Linotype" w:hAnsi="Palatino Linotype" w:cs="Arial"/>
        </w:rPr>
        <w:t xml:space="preserve"> de</w:t>
      </w:r>
      <w:r w:rsidR="00BE6F62">
        <w:rPr>
          <w:rFonts w:ascii="Palatino Linotype" w:hAnsi="Palatino Linotype" w:cs="Arial"/>
        </w:rPr>
        <w:t xml:space="preserve"> dos mil diecinueve</w:t>
      </w:r>
      <w:r w:rsidRPr="00AC0CA2">
        <w:rPr>
          <w:rFonts w:ascii="Palatino Linotype" w:hAnsi="Palatino Linotype" w:cs="Arial"/>
        </w:rPr>
        <w:t xml:space="preserve">, </w:t>
      </w:r>
      <w:r w:rsidRPr="00AC0CA2">
        <w:rPr>
          <w:rFonts w:ascii="Palatino Linotype" w:hAnsi="Palatino Linotype" w:cs="Arial"/>
          <w:b/>
        </w:rPr>
        <w:t xml:space="preserve">El Recurrente, </w:t>
      </w:r>
      <w:r w:rsidRPr="00AC0CA2">
        <w:rPr>
          <w:rFonts w:ascii="Palatino Linotype" w:hAnsi="Palatino Linotype" w:cs="Arial"/>
        </w:rPr>
        <w:t xml:space="preserve">presentó a través del Sistema de Acceso a la Información Mexiquense </w:t>
      </w:r>
      <w:r w:rsidRPr="00AC0CA2">
        <w:rPr>
          <w:rFonts w:ascii="Palatino Linotype" w:hAnsi="Palatino Linotype" w:cs="Arial"/>
          <w:b/>
        </w:rPr>
        <w:t xml:space="preserve">(SAIMEX) </w:t>
      </w:r>
      <w:r w:rsidRPr="00AC0CA2">
        <w:rPr>
          <w:rFonts w:ascii="Palatino Linotype" w:hAnsi="Palatino Linotype" w:cs="Arial"/>
        </w:rPr>
        <w:t xml:space="preserve">ante </w:t>
      </w:r>
      <w:r w:rsidRPr="00AC0CA2">
        <w:rPr>
          <w:rFonts w:ascii="Palatino Linotype" w:hAnsi="Palatino Linotype" w:cs="Arial"/>
          <w:b/>
        </w:rPr>
        <w:t xml:space="preserve">El Sujeto Obligado, </w:t>
      </w:r>
      <w:r w:rsidRPr="00AC0CA2">
        <w:rPr>
          <w:rFonts w:ascii="Palatino Linotype" w:hAnsi="Palatino Linotype" w:cs="Arial"/>
        </w:rPr>
        <w:t>solicitud de acceso a la</w:t>
      </w:r>
      <w:r w:rsidR="006C1EFC">
        <w:rPr>
          <w:rFonts w:ascii="Palatino Linotype" w:hAnsi="Palatino Linotype" w:cs="Arial"/>
        </w:rPr>
        <w:t xml:space="preserve"> información pública, registrada bajo el</w:t>
      </w:r>
      <w:r w:rsidR="00E67266">
        <w:rPr>
          <w:rFonts w:ascii="Palatino Linotype" w:hAnsi="Palatino Linotype" w:cs="Arial"/>
        </w:rPr>
        <w:t xml:space="preserve"> nú</w:t>
      </w:r>
      <w:r w:rsidRPr="00AC0CA2">
        <w:rPr>
          <w:rFonts w:ascii="Palatino Linotype" w:hAnsi="Palatino Linotype" w:cs="Arial"/>
        </w:rPr>
        <w:t xml:space="preserve">mero de expediente </w:t>
      </w:r>
      <w:r w:rsidR="00AD44D5" w:rsidRPr="00AD44D5">
        <w:rPr>
          <w:rFonts w:ascii="Palatino Linotype" w:hAnsi="Palatino Linotype" w:cs="Arial"/>
          <w:b/>
          <w:sz w:val="24"/>
          <w:szCs w:val="24"/>
        </w:rPr>
        <w:t>00827/ECATEPEC/IP/2019</w:t>
      </w:r>
      <w:r w:rsidR="007B7A90">
        <w:rPr>
          <w:rFonts w:ascii="Palatino Linotype" w:hAnsi="Palatino Linotype" w:cs="Arial"/>
          <w:b/>
        </w:rPr>
        <w:t>,</w:t>
      </w:r>
      <w:r w:rsidRPr="00AC0CA2">
        <w:rPr>
          <w:rFonts w:ascii="Palatino Linotype" w:hAnsi="Palatino Linotype" w:cs="Arial"/>
          <w:b/>
        </w:rPr>
        <w:t xml:space="preserve"> </w:t>
      </w:r>
      <w:r w:rsidRPr="00AC0CA2">
        <w:rPr>
          <w:rFonts w:ascii="Palatino Linotype" w:hAnsi="Palatino Linotype" w:cs="Arial"/>
        </w:rPr>
        <w:t>mediante la</w:t>
      </w:r>
      <w:r w:rsidR="006C1EFC">
        <w:rPr>
          <w:rFonts w:ascii="Palatino Linotype" w:hAnsi="Palatino Linotype" w:cs="Arial"/>
        </w:rPr>
        <w:t xml:space="preserve"> cual</w:t>
      </w:r>
      <w:r w:rsidRPr="00AC0CA2">
        <w:rPr>
          <w:rFonts w:ascii="Palatino Linotype" w:hAnsi="Palatino Linotype" w:cs="Arial"/>
        </w:rPr>
        <w:t xml:space="preserve"> solicitó información en el tenor siguiente:</w:t>
      </w:r>
    </w:p>
    <w:p w:rsidR="002745B9" w:rsidRDefault="006C1EFC" w:rsidP="00A944BC">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 xml:space="preserve"> </w:t>
      </w:r>
      <w:r w:rsidR="008229F9">
        <w:rPr>
          <w:rFonts w:ascii="Palatino Linotype" w:eastAsia="Times New Roman" w:hAnsi="Palatino Linotype" w:cs="Times New Roman"/>
          <w:i/>
          <w:lang w:val="es-ES_tradnl" w:eastAsia="es-ES"/>
        </w:rPr>
        <w:t>“</w:t>
      </w:r>
      <w:r w:rsidR="00AD44D5" w:rsidRPr="00AD44D5">
        <w:rPr>
          <w:rFonts w:ascii="Palatino Linotype" w:eastAsia="Times New Roman" w:hAnsi="Palatino Linotype" w:cs="Times New Roman"/>
          <w:i/>
          <w:lang w:val="es-ES_tradnl" w:eastAsia="es-ES"/>
        </w:rPr>
        <w:t xml:space="preserve">ME SEA ENTREGADO EL LISTADO Y ARCHIVOS EN FORMATO ELECTRÒNICO DE LOS CONTRATOS, ACUERDOS, CONVENIOS CELEBRADOS ENTRE EL H. AYUNTAMIENTO DE ECATEPEC DE MORELOS, DURANTE EL AÑO 2019, LOS CUALES DERIVEN DE LICITACIONES, INVITACIÓN RESTRINGIDA, ASIGNACIÓN DIRECTA ASÌ COMO POR CUALQUIER OTRO MOTIVO, DEBIENDO INCLUIR AQUELLOS CELEBRADOS POR LOS INSTITUTOS, COORDINACIONES MUNICIPALES, UNIDADES ADMINISTRATIVAS, DEFENSORÍA MUNICIPAL, ORGANISMOS PÚBLICOS DESCENTRALIZADOS Y CUALQUIERA OTRO CELEBRADO POR ESE H. AYUNTAMIENTO. EN </w:t>
      </w:r>
      <w:r w:rsidR="00AD44D5" w:rsidRPr="00AD44D5">
        <w:rPr>
          <w:rFonts w:ascii="Palatino Linotype" w:eastAsia="Times New Roman" w:hAnsi="Palatino Linotype" w:cs="Times New Roman"/>
          <w:i/>
          <w:lang w:val="es-ES_tradnl" w:eastAsia="es-ES"/>
        </w:rPr>
        <w:lastRenderedPageBreak/>
        <w:t>DICHO LISTADO DEBERÀN INCLUIRSE EJERCICIO, FECHA DE INICIO DEL PERIODO QUE SE INFORMA, FECHA DE TÉRMINO, TIPO DE ACTO JURÍDICO, NÚMERO DE CONTROL INTERNO ASIGNADO, EN SU CASO, AL CONTRATO, CONVENIO, CONCESIÓN, ENTRE OTROS; OBJETO DE LA REALIZACIÓN DEL ACTO JURÍDICO; FUNDAMENTO JURÍDICO POR EL CUAL SE LLEVÓ A CABO EL ACTO; UNIDAD(ES) O ÁREA(S) RESPONSABLE(S) DE INSTRUMENTACIÓN; SECTOR AL CUAL SE OTORGÓ EL ACTO JURÍDICO; NOMBRE(S) DEL TITULAR AL CUAL SE OTORGÓ EL ACTO JURÍDICO; PRIMER APELLIDO DEL TITULAR AL CUAL SE OTORGÓ EL ACTO JURÍDICO; SEGUNDO APELLIDO DEL TITULAR AL CUAL SE OTORGÓ EL ACTO JURÍDICO; RAZÓN SOCIAL DEL TITULAR AL CUAL SE OTORGÓ EL ACTO JURÍDICO; FECHA DE INICIO DE VIGENCIA DEL ACTO JURÍDICO; FECHA DE TÉRMINO DE VIGENCIA DEL ACTO JURÍDICO; CLÁUSULA EN QUE SE ESPECIFICAN LOS TÉRMINOS Y CONDICIONES DEL ACTO JURÍDICO; HIPERVÍNCULO AL CONTRATO, CONVENIO, PERMISO, LICENCIA O CONCESIÓN.</w:t>
      </w:r>
      <w:r w:rsidR="00A944BC">
        <w:rPr>
          <w:rFonts w:ascii="Palatino Linotype" w:eastAsia="Times New Roman" w:hAnsi="Palatino Linotype" w:cs="Times New Roman"/>
          <w:i/>
          <w:lang w:val="es-ES_tradnl" w:eastAsia="es-ES"/>
        </w:rPr>
        <w:t>” [Sic]</w:t>
      </w:r>
    </w:p>
    <w:p w:rsidR="00697A1C" w:rsidRDefault="00697A1C" w:rsidP="002745B9">
      <w:pPr>
        <w:spacing w:before="240" w:line="360" w:lineRule="auto"/>
        <w:ind w:right="850"/>
        <w:jc w:val="both"/>
        <w:rPr>
          <w:rFonts w:ascii="Palatino Linotype" w:eastAsia="Times New Roman" w:hAnsi="Palatino Linotype" w:cs="Times New Roman"/>
          <w:b/>
          <w:lang w:val="es-ES_tradnl" w:eastAsia="es-ES"/>
        </w:rPr>
      </w:pPr>
    </w:p>
    <w:p w:rsidR="00EF4493" w:rsidRPr="00AC0CA2" w:rsidRDefault="00EF4493" w:rsidP="00EF4493">
      <w:pPr>
        <w:spacing w:before="240" w:line="360" w:lineRule="auto"/>
        <w:ind w:right="850"/>
        <w:jc w:val="both"/>
        <w:rPr>
          <w:rFonts w:ascii="Palatino Linotype" w:eastAsia="Times New Roman" w:hAnsi="Palatino Linotype" w:cs="Times New Roman"/>
          <w:lang w:val="es-ES_tradnl" w:eastAsia="es-ES"/>
        </w:rPr>
      </w:pPr>
      <w:r w:rsidRPr="00AC0CA2">
        <w:rPr>
          <w:rFonts w:ascii="Palatino Linotype" w:eastAsia="Times New Roman" w:hAnsi="Palatino Linotype" w:cs="Times New Roman"/>
          <w:b/>
          <w:lang w:val="es-ES_tradnl" w:eastAsia="es-ES"/>
        </w:rPr>
        <w:t>Modalidad de entrega:</w:t>
      </w:r>
      <w:r w:rsidRPr="00AC0CA2">
        <w:rPr>
          <w:rFonts w:ascii="Palatino Linotype" w:eastAsia="Times New Roman" w:hAnsi="Palatino Linotype" w:cs="Times New Roman"/>
          <w:lang w:val="es-ES_tradnl" w:eastAsia="es-ES"/>
        </w:rPr>
        <w:t xml:space="preserve"> A través del SAIMEX. </w:t>
      </w:r>
    </w:p>
    <w:p w:rsidR="00E82558"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w:t>
      </w:r>
      <w:r w:rsidR="00E82558">
        <w:rPr>
          <w:rFonts w:ascii="Palatino Linotype" w:hAnsi="Palatino Linotype" w:cs="Arial"/>
          <w:b/>
          <w:sz w:val="28"/>
        </w:rPr>
        <w:t xml:space="preserve">De la respuesta del Sujeto Obligado </w:t>
      </w:r>
    </w:p>
    <w:p w:rsidR="00AD44D5" w:rsidRDefault="00C75866" w:rsidP="00AD44D5">
      <w:pPr>
        <w:spacing w:before="240" w:line="360" w:lineRule="auto"/>
        <w:jc w:val="both"/>
        <w:rPr>
          <w:rFonts w:ascii="Palatino Linotype" w:hAnsi="Palatino Linotype" w:cs="Arial"/>
        </w:rPr>
      </w:pPr>
      <w:r w:rsidRPr="00AC0CA2">
        <w:rPr>
          <w:rFonts w:ascii="Palatino Linotype" w:hAnsi="Palatino Linotype" w:cs="Arial"/>
        </w:rPr>
        <w:t xml:space="preserve">En el expediente electrónico </w:t>
      </w:r>
      <w:r w:rsidRPr="00AC0CA2">
        <w:rPr>
          <w:rFonts w:ascii="Palatino Linotype" w:hAnsi="Palatino Linotype" w:cs="Arial"/>
          <w:b/>
        </w:rPr>
        <w:t>SAIMEX</w:t>
      </w:r>
      <w:r w:rsidR="00AD44D5">
        <w:rPr>
          <w:rFonts w:ascii="Palatino Linotype" w:hAnsi="Palatino Linotype" w:cs="Arial"/>
        </w:rPr>
        <w:t>, se aprecia que el Sujeto Obligado fue omiso en rendir respuesta a la solicitud de información.</w:t>
      </w:r>
    </w:p>
    <w:p w:rsidR="007136D6" w:rsidRDefault="00C75866" w:rsidP="00AD44D5">
      <w:pPr>
        <w:spacing w:before="240" w:line="360" w:lineRule="auto"/>
        <w:jc w:val="both"/>
        <w:rPr>
          <w:rFonts w:ascii="Palatino Linotype" w:hAnsi="Palatino Linotype" w:cs="Arial"/>
          <w:b/>
          <w:sz w:val="28"/>
        </w:rPr>
      </w:pPr>
      <w:r>
        <w:rPr>
          <w:rFonts w:ascii="Palatino Linotype" w:hAnsi="Palatino Linotype" w:cs="Arial"/>
          <w:b/>
          <w:sz w:val="28"/>
        </w:rPr>
        <w:t>TERCERO.</w:t>
      </w:r>
      <w:r w:rsidR="00E82558">
        <w:rPr>
          <w:rFonts w:ascii="Palatino Linotype" w:hAnsi="Palatino Linotype" w:cs="Arial"/>
          <w:b/>
          <w:sz w:val="28"/>
        </w:rPr>
        <w:t xml:space="preserve"> Del recurso de revisión</w:t>
      </w:r>
      <w:r w:rsidR="007136D6">
        <w:rPr>
          <w:rFonts w:ascii="Palatino Linotype" w:hAnsi="Palatino Linotype" w:cs="Arial"/>
          <w:b/>
          <w:sz w:val="28"/>
        </w:rPr>
        <w:t>.</w:t>
      </w:r>
    </w:p>
    <w:p w:rsidR="00E026B4" w:rsidRPr="00AC0CA2" w:rsidRDefault="00E82558" w:rsidP="00EF4493">
      <w:pPr>
        <w:spacing w:before="240" w:line="360" w:lineRule="auto"/>
        <w:jc w:val="both"/>
        <w:rPr>
          <w:rFonts w:ascii="Palatino Linotype" w:hAnsi="Palatino Linotype" w:cs="Arial"/>
          <w:szCs w:val="24"/>
        </w:rPr>
      </w:pPr>
      <w:r>
        <w:rPr>
          <w:rFonts w:ascii="Palatino Linotype" w:hAnsi="Palatino Linotype" w:cs="Arial"/>
          <w:szCs w:val="24"/>
        </w:rPr>
        <w:t xml:space="preserve">En fecha </w:t>
      </w:r>
      <w:r w:rsidR="00AD44D5">
        <w:rPr>
          <w:rFonts w:ascii="Palatino Linotype" w:hAnsi="Palatino Linotype" w:cs="Arial"/>
          <w:szCs w:val="24"/>
        </w:rPr>
        <w:t>doce</w:t>
      </w:r>
      <w:r w:rsidR="000C1189">
        <w:rPr>
          <w:rFonts w:ascii="Palatino Linotype" w:hAnsi="Palatino Linotype" w:cs="Arial"/>
          <w:szCs w:val="24"/>
        </w:rPr>
        <w:t xml:space="preserve"> de diciembre</w:t>
      </w:r>
      <w:r>
        <w:rPr>
          <w:rFonts w:ascii="Palatino Linotype" w:hAnsi="Palatino Linotype" w:cs="Arial"/>
          <w:szCs w:val="24"/>
        </w:rPr>
        <w:t xml:space="preserve"> de dos mil diecinueve </w:t>
      </w:r>
      <w:r w:rsidR="00EF4493" w:rsidRPr="00AC0CA2">
        <w:rPr>
          <w:rFonts w:ascii="Palatino Linotype" w:hAnsi="Palatino Linotype" w:cs="Arial"/>
          <w:b/>
          <w:szCs w:val="24"/>
        </w:rPr>
        <w:t xml:space="preserve">El Recurrente </w:t>
      </w:r>
      <w:r w:rsidR="00D56BC0">
        <w:rPr>
          <w:rFonts w:ascii="Palatino Linotype" w:hAnsi="Palatino Linotype" w:cs="Arial"/>
          <w:szCs w:val="24"/>
        </w:rPr>
        <w:t>interpuso</w:t>
      </w:r>
      <w:r w:rsidR="000C1189">
        <w:rPr>
          <w:rFonts w:ascii="Palatino Linotype" w:hAnsi="Palatino Linotype" w:cs="Arial"/>
          <w:szCs w:val="24"/>
        </w:rPr>
        <w:t xml:space="preserve"> el recurso de revisión</w:t>
      </w:r>
      <w:r w:rsidR="00EF4493" w:rsidRPr="00AC0CA2">
        <w:rPr>
          <w:rFonts w:ascii="Palatino Linotype" w:hAnsi="Palatino Linotype" w:cs="Arial"/>
          <w:szCs w:val="24"/>
        </w:rPr>
        <w:t>,</w:t>
      </w:r>
      <w:r w:rsidR="000C1189">
        <w:rPr>
          <w:rFonts w:ascii="Palatino Linotype" w:hAnsi="Palatino Linotype" w:cs="Arial"/>
          <w:szCs w:val="24"/>
        </w:rPr>
        <w:t xml:space="preserve"> el cual fue registrado</w:t>
      </w:r>
      <w:r w:rsidR="00F21AB0">
        <w:rPr>
          <w:rFonts w:ascii="Palatino Linotype" w:hAnsi="Palatino Linotype" w:cs="Arial"/>
          <w:szCs w:val="24"/>
        </w:rPr>
        <w:t xml:space="preserve"> en el </w:t>
      </w:r>
      <w:r w:rsidR="00F21AB0">
        <w:rPr>
          <w:rFonts w:ascii="Palatino Linotype" w:hAnsi="Palatino Linotype" w:cs="Arial"/>
          <w:b/>
          <w:szCs w:val="24"/>
        </w:rPr>
        <w:t>SAIMEX</w:t>
      </w:r>
      <w:r w:rsidR="000C1189">
        <w:rPr>
          <w:rFonts w:ascii="Palatino Linotype" w:hAnsi="Palatino Linotype" w:cs="Arial"/>
          <w:szCs w:val="24"/>
        </w:rPr>
        <w:t xml:space="preserve"> con el expediente</w:t>
      </w:r>
      <w:r w:rsidR="00F21AB0">
        <w:rPr>
          <w:rFonts w:ascii="Palatino Linotype" w:hAnsi="Palatino Linotype" w:cs="Arial"/>
          <w:szCs w:val="24"/>
        </w:rPr>
        <w:t xml:space="preserve"> número </w:t>
      </w:r>
      <w:r w:rsidR="00EF4493" w:rsidRPr="00AC0CA2">
        <w:rPr>
          <w:rFonts w:ascii="Palatino Linotype" w:hAnsi="Palatino Linotype" w:cs="Arial"/>
          <w:szCs w:val="24"/>
        </w:rPr>
        <w:t xml:space="preserve"> </w:t>
      </w:r>
      <w:r w:rsidR="001F72E7">
        <w:rPr>
          <w:rFonts w:ascii="Palatino Linotype" w:hAnsi="Palatino Linotype"/>
          <w:b/>
          <w:sz w:val="24"/>
          <w:szCs w:val="24"/>
        </w:rPr>
        <w:t>0</w:t>
      </w:r>
      <w:r w:rsidR="00134259">
        <w:rPr>
          <w:rFonts w:ascii="Palatino Linotype" w:hAnsi="Palatino Linotype"/>
          <w:b/>
          <w:sz w:val="24"/>
          <w:szCs w:val="24"/>
        </w:rPr>
        <w:t>94</w:t>
      </w:r>
      <w:r w:rsidR="0023164D">
        <w:rPr>
          <w:rFonts w:ascii="Palatino Linotype" w:hAnsi="Palatino Linotype"/>
          <w:b/>
          <w:sz w:val="24"/>
          <w:szCs w:val="24"/>
        </w:rPr>
        <w:t>95</w:t>
      </w:r>
      <w:r w:rsidR="001F72E7" w:rsidRPr="002076B5">
        <w:rPr>
          <w:rFonts w:ascii="Palatino Linotype" w:hAnsi="Palatino Linotype"/>
          <w:b/>
          <w:sz w:val="24"/>
          <w:szCs w:val="24"/>
        </w:rPr>
        <w:t>/INFOEM/IP/RR/2019</w:t>
      </w:r>
      <w:r w:rsidR="00F21AB0">
        <w:rPr>
          <w:rFonts w:ascii="Palatino Linotype" w:hAnsi="Palatino Linotype"/>
          <w:b/>
          <w:sz w:val="24"/>
          <w:szCs w:val="24"/>
        </w:rPr>
        <w:t xml:space="preserve">, </w:t>
      </w:r>
      <w:r w:rsidR="00F21AB0">
        <w:rPr>
          <w:rFonts w:ascii="Palatino Linotype" w:hAnsi="Palatino Linotype" w:cs="Arial"/>
          <w:szCs w:val="24"/>
        </w:rPr>
        <w:t>manifestando lo siguiente</w:t>
      </w:r>
      <w:r w:rsidR="00EF4493" w:rsidRPr="00AC0CA2">
        <w:rPr>
          <w:rFonts w:ascii="Palatino Linotype" w:hAnsi="Palatino Linotype" w:cs="Arial"/>
          <w:szCs w:val="24"/>
        </w:rPr>
        <w:t>:</w:t>
      </w:r>
    </w:p>
    <w:p w:rsidR="00EF4493" w:rsidRDefault="00EF4493" w:rsidP="00EF4493">
      <w:pPr>
        <w:spacing w:before="240" w:line="360" w:lineRule="auto"/>
        <w:jc w:val="both"/>
        <w:rPr>
          <w:rFonts w:ascii="Palatino Linotype" w:hAnsi="Palatino Linotype" w:cs="Arial"/>
          <w:b/>
        </w:rPr>
      </w:pPr>
      <w:r w:rsidRPr="00AC0CA2">
        <w:rPr>
          <w:rFonts w:ascii="Palatino Linotype" w:hAnsi="Palatino Linotype" w:cs="Arial"/>
          <w:b/>
        </w:rPr>
        <w:t>Acto</w:t>
      </w:r>
      <w:r w:rsidR="00F21AB0">
        <w:rPr>
          <w:rFonts w:ascii="Palatino Linotype" w:hAnsi="Palatino Linotype" w:cs="Arial"/>
          <w:b/>
        </w:rPr>
        <w:t>s</w:t>
      </w:r>
      <w:r w:rsidRPr="00AC0CA2">
        <w:rPr>
          <w:rFonts w:ascii="Palatino Linotype" w:hAnsi="Palatino Linotype" w:cs="Arial"/>
          <w:b/>
        </w:rPr>
        <w:t xml:space="preserve"> Impugnado</w:t>
      </w:r>
      <w:r w:rsidR="00F21AB0">
        <w:rPr>
          <w:rFonts w:ascii="Palatino Linotype" w:hAnsi="Palatino Linotype" w:cs="Arial"/>
          <w:b/>
        </w:rPr>
        <w:t>s</w:t>
      </w:r>
      <w:r w:rsidRPr="00AC0CA2">
        <w:rPr>
          <w:rFonts w:ascii="Palatino Linotype" w:hAnsi="Palatino Linotype" w:cs="Arial"/>
          <w:b/>
        </w:rPr>
        <w:t>:</w:t>
      </w:r>
    </w:p>
    <w:p w:rsidR="00F21AB0" w:rsidRPr="00D66256" w:rsidRDefault="0023164D" w:rsidP="00D66256">
      <w:pPr>
        <w:ind w:left="851" w:right="850"/>
        <w:jc w:val="both"/>
        <w:rPr>
          <w:rFonts w:ascii="Palatino Linotype" w:hAnsi="Palatino Linotype" w:cs="Arial"/>
          <w:i/>
        </w:rPr>
      </w:pPr>
      <w:r w:rsidRPr="00B15A94">
        <w:rPr>
          <w:rFonts w:ascii="Palatino Linotype" w:hAnsi="Palatino Linotype" w:cs="Arial"/>
          <w:i/>
        </w:rPr>
        <w:lastRenderedPageBreak/>
        <w:t xml:space="preserve"> </w:t>
      </w:r>
      <w:r w:rsidR="00D66256" w:rsidRPr="00B15A94">
        <w:rPr>
          <w:rFonts w:ascii="Palatino Linotype" w:hAnsi="Palatino Linotype" w:cs="Arial"/>
          <w:i/>
        </w:rPr>
        <w:t>“</w:t>
      </w:r>
      <w:r w:rsidR="00134259" w:rsidRPr="00134259">
        <w:rPr>
          <w:rFonts w:ascii="Palatino Linotype" w:hAnsi="Palatino Linotype" w:cs="Arial"/>
          <w:i/>
        </w:rPr>
        <w:t>No se entrego la información</w:t>
      </w:r>
      <w:r w:rsidR="00D66256">
        <w:rPr>
          <w:rFonts w:ascii="Palatino Linotype" w:hAnsi="Palatino Linotype" w:cs="Arial"/>
          <w:i/>
        </w:rPr>
        <w:t>” (sic)</w:t>
      </w:r>
    </w:p>
    <w:p w:rsidR="00185C3A" w:rsidRPr="00185C3A" w:rsidRDefault="00185C3A" w:rsidP="00185C3A">
      <w:pPr>
        <w:spacing w:line="360" w:lineRule="auto"/>
        <w:ind w:left="851" w:right="851"/>
        <w:jc w:val="both"/>
        <w:rPr>
          <w:rFonts w:ascii="Palatino Linotype" w:hAnsi="Palatino Linotype" w:cs="Arial"/>
          <w:b/>
          <w:i/>
          <w:sz w:val="12"/>
        </w:rPr>
      </w:pPr>
    </w:p>
    <w:p w:rsidR="00EF4493" w:rsidRDefault="00EF4493" w:rsidP="00EF4493">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F3C31" w:rsidRPr="006F3C31" w:rsidRDefault="006F3C31" w:rsidP="006F3C31">
      <w:pPr>
        <w:ind w:left="851" w:right="850"/>
        <w:jc w:val="both"/>
        <w:rPr>
          <w:rFonts w:ascii="Palatino Linotype" w:hAnsi="Palatino Linotype" w:cs="Arial"/>
          <w:i/>
          <w:sz w:val="10"/>
        </w:rPr>
      </w:pPr>
    </w:p>
    <w:p w:rsidR="006F3C31" w:rsidRPr="006F3C31" w:rsidRDefault="0023164D" w:rsidP="006F3C31">
      <w:pPr>
        <w:ind w:left="851" w:right="850"/>
        <w:jc w:val="both"/>
        <w:rPr>
          <w:rFonts w:ascii="Palatino Linotype" w:hAnsi="Palatino Linotype" w:cs="Arial"/>
          <w:i/>
        </w:rPr>
      </w:pPr>
      <w:r w:rsidRPr="004469D5">
        <w:rPr>
          <w:rFonts w:ascii="Palatino Linotype" w:hAnsi="Palatino Linotype" w:cs="Arial"/>
          <w:i/>
        </w:rPr>
        <w:t xml:space="preserve"> </w:t>
      </w:r>
      <w:r w:rsidR="00E026B4" w:rsidRPr="004469D5">
        <w:rPr>
          <w:rFonts w:ascii="Palatino Linotype" w:hAnsi="Palatino Linotype" w:cs="Arial"/>
          <w:i/>
        </w:rPr>
        <w:t>“</w:t>
      </w:r>
      <w:r w:rsidR="00134259" w:rsidRPr="00134259">
        <w:rPr>
          <w:rFonts w:ascii="Palatino Linotype" w:hAnsi="Palatino Linotype" w:cs="Arial"/>
          <w:i/>
        </w:rPr>
        <w:t>no entrega de la información</w:t>
      </w:r>
      <w:r w:rsidR="00E026B4">
        <w:rPr>
          <w:rFonts w:ascii="Palatino Linotype" w:hAnsi="Palatino Linotype" w:cs="Arial"/>
          <w:i/>
        </w:rPr>
        <w:t>” (sic)</w:t>
      </w:r>
    </w:p>
    <w:p w:rsidR="00B82D5C" w:rsidRPr="00294D5A" w:rsidRDefault="00EF4493" w:rsidP="004901C7">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rsidR="00D317E2" w:rsidRPr="00134121" w:rsidRDefault="00955218" w:rsidP="00D317E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34259">
        <w:rPr>
          <w:rFonts w:ascii="Palatino Linotype" w:hAnsi="Palatino Linotype" w:cs="Arial"/>
          <w:sz w:val="24"/>
          <w:szCs w:val="24"/>
        </w:rPr>
        <w:t>dieciocho</w:t>
      </w:r>
      <w:r w:rsidR="00C557FB">
        <w:rPr>
          <w:rFonts w:ascii="Palatino Linotype" w:hAnsi="Palatino Linotype" w:cs="Arial"/>
          <w:sz w:val="24"/>
          <w:szCs w:val="24"/>
        </w:rPr>
        <w:t xml:space="preserve"> de diciembre</w:t>
      </w:r>
      <w:r>
        <w:rPr>
          <w:rFonts w:ascii="Palatino Linotype" w:hAnsi="Palatino Linotype" w:cs="Arial"/>
          <w:sz w:val="24"/>
          <w:szCs w:val="24"/>
        </w:rPr>
        <w:t xml:space="preserve"> de</w:t>
      </w:r>
      <w:r w:rsidR="00C557FB">
        <w:rPr>
          <w:rFonts w:ascii="Palatino Linotype" w:hAnsi="Palatino Linotype" w:cs="Arial"/>
          <w:sz w:val="24"/>
          <w:szCs w:val="24"/>
        </w:rPr>
        <w:t xml:space="preserv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D317E2" w:rsidRDefault="00D317E2" w:rsidP="004901C7">
      <w:pPr>
        <w:spacing w:before="240" w:line="360" w:lineRule="auto"/>
        <w:jc w:val="both"/>
        <w:rPr>
          <w:rFonts w:ascii="Palatino Linotype" w:hAnsi="Palatino Linotype" w:cs="Arial"/>
          <w:sz w:val="24"/>
          <w:szCs w:val="24"/>
        </w:rPr>
      </w:pPr>
    </w:p>
    <w:p w:rsidR="004901C7" w:rsidRDefault="00087BFB" w:rsidP="00EF4493">
      <w:pPr>
        <w:spacing w:before="240" w:line="360" w:lineRule="auto"/>
        <w:jc w:val="both"/>
        <w:rPr>
          <w:rFonts w:ascii="Palatino Linotype" w:hAnsi="Palatino Linotype" w:cs="Arial"/>
          <w:sz w:val="24"/>
          <w:szCs w:val="24"/>
        </w:rPr>
      </w:pPr>
      <w:r w:rsidRPr="00CB17A8">
        <w:rPr>
          <w:rFonts w:ascii="Palatino Linotype" w:hAnsi="Palatino Linotype" w:cs="Arial"/>
          <w:b/>
          <w:sz w:val="28"/>
          <w:highlight w:val="yellow"/>
        </w:rPr>
        <w:t>QUINTO</w:t>
      </w:r>
      <w:r w:rsidR="004901C7" w:rsidRPr="00CB17A8">
        <w:rPr>
          <w:rFonts w:ascii="Palatino Linotype" w:hAnsi="Palatino Linotype" w:cs="Arial"/>
          <w:b/>
          <w:sz w:val="28"/>
          <w:highlight w:val="yellow"/>
        </w:rPr>
        <w:t>.</w:t>
      </w:r>
      <w:r w:rsidR="004901C7" w:rsidRPr="00CB17A8">
        <w:rPr>
          <w:rFonts w:ascii="Palatino Linotype" w:hAnsi="Palatino Linotype" w:cs="Arial"/>
          <w:b/>
          <w:sz w:val="28"/>
          <w:szCs w:val="28"/>
          <w:highlight w:val="yellow"/>
        </w:rPr>
        <w:t xml:space="preserve"> De la etapa de instrucción</w:t>
      </w:r>
    </w:p>
    <w:p w:rsidR="006B11C6" w:rsidRPr="00A46BBA" w:rsidRDefault="00EF4493" w:rsidP="00E81DA2">
      <w:pPr>
        <w:spacing w:before="240" w:line="480" w:lineRule="auto"/>
        <w:jc w:val="both"/>
        <w:rPr>
          <w:rFonts w:ascii="Palatino Linotype" w:hAnsi="Palatino Linotype" w:cs="Arial"/>
          <w:sz w:val="24"/>
          <w:szCs w:val="24"/>
        </w:rPr>
      </w:pPr>
      <w:r w:rsidRPr="00BA18D5">
        <w:rPr>
          <w:rFonts w:ascii="Palatino Linotype" w:hAnsi="Palatino Linotype" w:cs="Arial"/>
          <w:sz w:val="24"/>
          <w:szCs w:val="24"/>
        </w:rPr>
        <w:t>Así, una vez transcurrido</w:t>
      </w:r>
      <w:r>
        <w:rPr>
          <w:rFonts w:ascii="Palatino Linotype" w:hAnsi="Palatino Linotype" w:cs="Arial"/>
          <w:sz w:val="24"/>
          <w:szCs w:val="24"/>
        </w:rPr>
        <w:t xml:space="preserve"> el término legal referido,</w:t>
      </w:r>
      <w:r w:rsidR="00545C18">
        <w:rPr>
          <w:rFonts w:ascii="Palatino Linotype" w:hAnsi="Palatino Linotype" w:cs="Arial"/>
          <w:sz w:val="24"/>
          <w:szCs w:val="24"/>
        </w:rPr>
        <w:t xml:space="preserve"> de las constancias que obran en el SAIMEX, se advierte </w:t>
      </w:r>
      <w:r w:rsidR="006B11C6">
        <w:rPr>
          <w:rFonts w:ascii="Palatino Linotype" w:hAnsi="Palatino Linotype" w:cs="Arial"/>
          <w:sz w:val="24"/>
          <w:szCs w:val="24"/>
        </w:rPr>
        <w:t xml:space="preserve">que </w:t>
      </w:r>
      <w:r w:rsidR="00C14C6C">
        <w:rPr>
          <w:rFonts w:ascii="Palatino Linotype" w:hAnsi="Palatino Linotype" w:cs="Arial"/>
          <w:sz w:val="24"/>
          <w:szCs w:val="24"/>
        </w:rPr>
        <w:t>E</w:t>
      </w:r>
      <w:r w:rsidR="008B69BA">
        <w:rPr>
          <w:rFonts w:ascii="Palatino Linotype" w:hAnsi="Palatino Linotype" w:cs="Arial"/>
          <w:sz w:val="24"/>
          <w:szCs w:val="24"/>
        </w:rPr>
        <w:t xml:space="preserve">l Sujeto Obligado </w:t>
      </w:r>
      <w:r w:rsidR="00134259">
        <w:rPr>
          <w:rFonts w:ascii="Palatino Linotype" w:hAnsi="Palatino Linotype" w:cs="Arial"/>
          <w:sz w:val="24"/>
          <w:szCs w:val="24"/>
        </w:rPr>
        <w:t xml:space="preserve">fue omiso en </w:t>
      </w:r>
      <w:r w:rsidR="00336A6A">
        <w:rPr>
          <w:rFonts w:ascii="Palatino Linotype" w:hAnsi="Palatino Linotype" w:cs="Arial"/>
          <w:sz w:val="24"/>
          <w:szCs w:val="24"/>
        </w:rPr>
        <w:t>rendir</w:t>
      </w:r>
      <w:r w:rsidR="008B69BA">
        <w:rPr>
          <w:rFonts w:ascii="Palatino Linotype" w:hAnsi="Palatino Linotype" w:cs="Arial"/>
          <w:sz w:val="24"/>
          <w:szCs w:val="24"/>
        </w:rPr>
        <w:t xml:space="preserve"> informe justificado</w:t>
      </w:r>
      <w:r w:rsidR="00336A6A">
        <w:rPr>
          <w:rFonts w:ascii="Palatino Linotype" w:hAnsi="Palatino Linotype" w:cs="Arial"/>
          <w:sz w:val="24"/>
          <w:szCs w:val="24"/>
        </w:rPr>
        <w:t>, por su parte el</w:t>
      </w:r>
      <w:r w:rsidR="00E81DA2">
        <w:rPr>
          <w:rFonts w:ascii="Palatino Linotype" w:hAnsi="Palatino Linotype" w:cs="Arial"/>
          <w:sz w:val="24"/>
          <w:szCs w:val="24"/>
        </w:rPr>
        <w:t xml:space="preserve"> Recurrente </w:t>
      </w:r>
      <w:r w:rsidR="00336A6A">
        <w:rPr>
          <w:rFonts w:ascii="Palatino Linotype" w:hAnsi="Palatino Linotype" w:cs="Arial"/>
          <w:sz w:val="24"/>
          <w:szCs w:val="24"/>
        </w:rPr>
        <w:t>tampoco rindió manifestación alguna.</w:t>
      </w:r>
    </w:p>
    <w:p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rsidR="00D50082" w:rsidRDefault="004C565B" w:rsidP="00D5008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Así una vez transcurrido el término legal, se decretó e</w:t>
      </w:r>
      <w:r w:rsidR="00EF4493">
        <w:rPr>
          <w:rFonts w:ascii="Palatino Linotype" w:hAnsi="Palatino Linotype" w:cs="Arial"/>
          <w:sz w:val="24"/>
          <w:szCs w:val="24"/>
        </w:rPr>
        <w:t xml:space="preserve">l </w:t>
      </w:r>
      <w:r w:rsidR="00B3566B">
        <w:rPr>
          <w:rFonts w:ascii="Palatino Linotype" w:hAnsi="Palatino Linotype" w:cs="Arial"/>
          <w:sz w:val="24"/>
          <w:szCs w:val="24"/>
        </w:rPr>
        <w:t>cierre de instrucción con fecha quince de enero de dos mil veinte</w:t>
      </w:r>
      <w:r w:rsidR="00EF4493">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323F00" w:rsidRPr="00D50082" w:rsidRDefault="00323F00" w:rsidP="00323F00">
      <w:pPr>
        <w:spacing w:before="240" w:after="240" w:line="360" w:lineRule="auto"/>
        <w:jc w:val="both"/>
        <w:rPr>
          <w:rFonts w:ascii="Palatino Linotype" w:hAnsi="Palatino Linotype" w:cs="Arial"/>
          <w:sz w:val="24"/>
          <w:szCs w:val="24"/>
        </w:rPr>
      </w:pPr>
      <w:r w:rsidRPr="00DC3C2C">
        <w:rPr>
          <w:rFonts w:ascii="Palatino Linotype" w:hAnsi="Palatino Linotype" w:cs="Arial"/>
          <w:sz w:val="24"/>
          <w:szCs w:val="24"/>
        </w:rPr>
        <w:t xml:space="preserve">Así también, en fecha </w:t>
      </w:r>
      <w:r>
        <w:rPr>
          <w:rFonts w:ascii="Palatino Linotype" w:hAnsi="Palatino Linotype" w:cs="Arial"/>
          <w:sz w:val="24"/>
          <w:szCs w:val="24"/>
        </w:rPr>
        <w:t>diecisiete de febrero</w:t>
      </w:r>
      <w:r w:rsidRPr="00DC3C2C">
        <w:rPr>
          <w:rFonts w:ascii="Palatino Linotype" w:hAnsi="Palatino Linotype" w:cs="Arial"/>
          <w:sz w:val="24"/>
          <w:szCs w:val="24"/>
        </w:rPr>
        <w:t xml:space="preserve"> de dos mil veinte este órgano garante con fundamento en el artículo 181 párrafo tercero de la Ley de Transparencia de la entidad, declaro la ampliación de término para resolver el recurso de revisión por un plazo de quince días hábiles.</w:t>
      </w:r>
    </w:p>
    <w:p w:rsidR="00EF4493" w:rsidRPr="005D0901" w:rsidRDefault="00EF4493" w:rsidP="00EF449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rsidR="00EF4493" w:rsidRDefault="00EF4493" w:rsidP="00EF449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rsidR="00EF4493" w:rsidRPr="005B3EB0" w:rsidRDefault="005B3EB0" w:rsidP="005B3EB0">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Pr="008F797B">
        <w:rPr>
          <w:rFonts w:ascii="Palatino Linotype" w:hAnsi="Palatino Linotype" w:cs="Arial"/>
          <w:b/>
          <w:sz w:val="24"/>
          <w:szCs w:val="24"/>
        </w:rPr>
        <w:t xml:space="preserve">El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w:t>
      </w:r>
      <w:r w:rsidR="00323F00">
        <w:rPr>
          <w:rFonts w:ascii="Palatino Linotype" w:hAnsi="Palatino Linotype" w:cs="Arial"/>
        </w:rPr>
        <w:t>ncipio rector de máxima publicid</w:t>
      </w:r>
      <w:r w:rsidRPr="00B10F60">
        <w:rPr>
          <w:rFonts w:ascii="Palatino Linotype" w:hAnsi="Palatino Linotype" w:cs="Arial"/>
        </w:rPr>
        <w:t>ad.</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F4493"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F4493" w:rsidRPr="00C07D77" w:rsidRDefault="00EF4493" w:rsidP="00EF4493">
      <w:pPr>
        <w:pStyle w:val="Prrafodelista"/>
        <w:autoSpaceDE w:val="0"/>
        <w:autoSpaceDN w:val="0"/>
        <w:adjustRightInd w:val="0"/>
        <w:spacing w:line="360" w:lineRule="auto"/>
        <w:ind w:left="0"/>
        <w:jc w:val="both"/>
        <w:rPr>
          <w:rFonts w:ascii="Palatino Linotype" w:hAnsi="Palatino Linotype" w:cs="Arial"/>
          <w:sz w:val="18"/>
        </w:rPr>
      </w:pP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w:t>
      </w:r>
      <w:r>
        <w:rPr>
          <w:rFonts w:ascii="Palatino Linotype" w:hAnsi="Palatino Linotype" w:cs="Arial"/>
        </w:rPr>
        <w:lastRenderedPageBreak/>
        <w:t>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Así las cosas, del análisis del expediente electrónico no se advierte ninguna causa de improcedencia que se actualice ni mucho menos alguna hecha valer por alguna de las partes, procediendo al estudio del fondo del asunto, en los siguientes términos.</w:t>
      </w:r>
    </w:p>
    <w:p w:rsidR="00EF4493" w:rsidRDefault="00EF4493" w:rsidP="00EF4493">
      <w:pPr>
        <w:pStyle w:val="Prrafodelista"/>
        <w:autoSpaceDE w:val="0"/>
        <w:autoSpaceDN w:val="0"/>
        <w:adjustRightInd w:val="0"/>
        <w:spacing w:line="360" w:lineRule="auto"/>
        <w:ind w:left="0"/>
        <w:jc w:val="both"/>
        <w:rPr>
          <w:rFonts w:ascii="Palatino Linotype" w:hAnsi="Palatino Linotype" w:cs="Arial"/>
        </w:rPr>
      </w:pPr>
    </w:p>
    <w:p w:rsidR="00EF4493" w:rsidRPr="009A0D0A" w:rsidRDefault="00336A6A" w:rsidP="00EF4493">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CUARTO</w:t>
      </w:r>
      <w:r w:rsidR="00EF4493" w:rsidRPr="007D15EF">
        <w:rPr>
          <w:rFonts w:ascii="Palatino Linotype" w:hAnsi="Palatino Linotype"/>
          <w:b/>
          <w:sz w:val="28"/>
          <w:szCs w:val="28"/>
        </w:rPr>
        <w:t>.</w:t>
      </w:r>
      <w:r w:rsidR="003E33B1">
        <w:rPr>
          <w:rFonts w:ascii="Palatino Linotype" w:hAnsi="Palatino Linotype"/>
          <w:b/>
          <w:sz w:val="28"/>
          <w:szCs w:val="28"/>
        </w:rPr>
        <w:t xml:space="preserve"> </w:t>
      </w:r>
      <w:r w:rsidR="00461E98">
        <w:rPr>
          <w:rFonts w:ascii="Palatino Linotype" w:hAnsi="Palatino Linotype"/>
          <w:b/>
          <w:sz w:val="28"/>
          <w:szCs w:val="28"/>
        </w:rPr>
        <w:t>Estudio y Resolución del asunto.</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Antes de entrar al</w:t>
      </w:r>
      <w:r>
        <w:rPr>
          <w:rFonts w:ascii="Palatino Linotype" w:eastAsia="Times New Roman" w:hAnsi="Palatino Linotype" w:cs="Times New Roman"/>
          <w:sz w:val="24"/>
          <w:szCs w:val="24"/>
          <w:lang w:eastAsia="es-ES"/>
        </w:rPr>
        <w:t xml:space="preserve"> estudio, cabe precisar que el sujeto o</w:t>
      </w:r>
      <w:r w:rsidRPr="006010FE">
        <w:rPr>
          <w:rFonts w:ascii="Palatino Linotype" w:eastAsia="Times New Roman" w:hAnsi="Palatino Linotype" w:cs="Times New Roman"/>
          <w:sz w:val="24"/>
          <w:szCs w:val="24"/>
          <w:lang w:eastAsia="es-ES"/>
        </w:rPr>
        <w:t xml:space="preserve">bligado no realizó pronunciamiento alguno, pues no se debe perder de vista que el objeto del presente fallo nace a la vida jurídica en el momento en el que el particular reviste la figura de Recurrente interponiendo dicho medio de impugnación, el cual tiene como motivo de </w:t>
      </w:r>
      <w:r w:rsidRPr="006010FE">
        <w:rPr>
          <w:rFonts w:ascii="Palatino Linotype" w:eastAsia="Times New Roman" w:hAnsi="Palatino Linotype" w:cs="Times New Roman"/>
          <w:sz w:val="24"/>
          <w:szCs w:val="24"/>
          <w:lang w:eastAsia="es-ES"/>
        </w:rPr>
        <w:lastRenderedPageBreak/>
        <w:t>inconformidad la omisión de la autoridad en dar respuesta a su solicitud, en consecuencia se actualizándose las hipótesis, señaladas</w:t>
      </w:r>
      <w:r w:rsidRPr="006010FE">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6010FE">
        <w:rPr>
          <w:rFonts w:ascii="Palatino Linotype" w:eastAsia="Calibri"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066163" w:rsidRDefault="00066163" w:rsidP="00066163">
      <w:pPr>
        <w:pStyle w:val="Prrafodelista"/>
        <w:autoSpaceDE w:val="0"/>
        <w:autoSpaceDN w:val="0"/>
        <w:adjustRightInd w:val="0"/>
        <w:spacing w:line="360" w:lineRule="auto"/>
        <w:ind w:left="0"/>
        <w:jc w:val="both"/>
        <w:rPr>
          <w:rFonts w:ascii="Palatino Linotype" w:hAnsi="Palatino Linotype" w:cs="Arial"/>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Ante la omisión del sujeto o</w:t>
      </w:r>
      <w:r w:rsidRPr="006010FE">
        <w:rPr>
          <w:rFonts w:ascii="Palatino Linotype" w:eastAsia="Times New Roman" w:hAnsi="Palatino Linotype" w:cs="Times New Roman"/>
          <w:sz w:val="24"/>
          <w:szCs w:val="24"/>
          <w:lang w:eastAsia="es-ES"/>
        </w:rPr>
        <w:t xml:space="preserve">bligado para dar respuesta al Recurrente, se advierte lo que en la doctrina se le conoce como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6010FE">
        <w:rPr>
          <w:rFonts w:ascii="Palatino Linotype" w:eastAsia="Times New Roman" w:hAnsi="Palatino Linotype" w:cs="Times New Roman"/>
          <w:b/>
          <w:sz w:val="24"/>
          <w:szCs w:val="24"/>
          <w:lang w:eastAsia="es-ES"/>
        </w:rPr>
        <w:t xml:space="preserve"> </w:t>
      </w:r>
      <w:r w:rsidRPr="006010FE">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010FE">
        <w:rPr>
          <w:rFonts w:ascii="Palatino Linotype" w:eastAsia="Times New Roman" w:hAnsi="Palatino Linotype" w:cs="Times New Roman"/>
          <w:i/>
          <w:sz w:val="24"/>
          <w:szCs w:val="24"/>
          <w:lang w:eastAsia="es-ES"/>
        </w:rPr>
        <w:t>Estado de Derecho</w:t>
      </w:r>
      <w:r w:rsidRPr="006010FE">
        <w:rPr>
          <w:rFonts w:ascii="Palatino Linotype" w:eastAsia="Times New Roman" w:hAnsi="Palatino Linotype" w:cs="Times New Roman"/>
          <w:sz w:val="24"/>
          <w:szCs w:val="24"/>
          <w:lang w:eastAsia="es-ES"/>
        </w:rPr>
        <w:t xml:space="preserve"> en el que, el particular, tiene siempre una vía de defensa.</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6010FE">
        <w:rPr>
          <w:rFonts w:ascii="Palatino Linotype" w:eastAsia="Times New Roman" w:hAnsi="Palatino Linotype" w:cs="Times New Roman"/>
          <w:i/>
          <w:sz w:val="24"/>
          <w:szCs w:val="24"/>
          <w:lang w:eastAsia="es-ES"/>
        </w:rPr>
        <w:t>negativa ficta</w:t>
      </w:r>
      <w:r w:rsidRPr="006010FE">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w:t>
      </w:r>
      <w:r w:rsidRPr="006010FE">
        <w:rPr>
          <w:rFonts w:ascii="Palatino Linotype" w:eastAsia="Times New Roman" w:hAnsi="Palatino Linotype" w:cs="Times New Roman"/>
          <w:sz w:val="24"/>
          <w:szCs w:val="24"/>
          <w:lang w:eastAsia="es-ES"/>
        </w:rPr>
        <w:lastRenderedPageBreak/>
        <w:t>conozca la información contenida en los documentos que se encuentren en los archivos de los Sujetos Obligados, conforme a los artículos 4, 12, 24 último párrafo y 160 de la Ley local en la materia, que a la letra citan:</w:t>
      </w:r>
    </w:p>
    <w:p w:rsidR="00066163" w:rsidRPr="00C174F2" w:rsidRDefault="00066163" w:rsidP="00066163">
      <w:pPr>
        <w:spacing w:after="0" w:line="360" w:lineRule="auto"/>
        <w:jc w:val="both"/>
        <w:rPr>
          <w:rFonts w:ascii="Palatino Linotype" w:hAnsi="Palatino Linotype" w:cs="Arial"/>
          <w:sz w:val="24"/>
          <w:szCs w:val="24"/>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rsidR="00066163" w:rsidRPr="006010FE" w:rsidRDefault="00066163" w:rsidP="00066163">
      <w:pPr>
        <w:pStyle w:val="Sinespaciado"/>
      </w:pPr>
    </w:p>
    <w:p w:rsidR="00066163" w:rsidRDefault="00066163" w:rsidP="00066163">
      <w:pPr>
        <w:spacing w:after="0" w:line="240" w:lineRule="auto"/>
        <w:ind w:left="567" w:right="567"/>
        <w:jc w:val="both"/>
        <w:rPr>
          <w:rFonts w:ascii="Palatino Linotype" w:eastAsia="Times New Roman" w:hAnsi="Palatino Linotype" w:cs="Arial"/>
          <w:b/>
          <w:i/>
          <w:u w:val="single"/>
          <w:lang w:eastAsia="es-ES"/>
        </w:rPr>
      </w:pPr>
      <w:r w:rsidRPr="006010FE">
        <w:rPr>
          <w:rFonts w:ascii="Palatino Linotype" w:eastAsia="Times New Roman" w:hAnsi="Palatino Linotype" w:cs="Arial"/>
          <w:b/>
          <w:i/>
          <w:lang w:eastAsia="es-ES"/>
        </w:rPr>
        <w:t>Artículo 166.</w:t>
      </w:r>
      <w:r w:rsidRPr="006010FE">
        <w:rPr>
          <w:rFonts w:ascii="Palatino Linotype" w:eastAsia="Times New Roman" w:hAnsi="Palatino Linotype" w:cs="Arial"/>
          <w:i/>
          <w:lang w:eastAsia="es-ES"/>
        </w:rPr>
        <w:t xml:space="preserve"> </w:t>
      </w:r>
      <w:r w:rsidRPr="006010FE">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066163" w:rsidRPr="006010FE" w:rsidRDefault="00066163" w:rsidP="00066163">
      <w:pPr>
        <w:spacing w:after="0" w:line="240" w:lineRule="auto"/>
        <w:ind w:left="567" w:right="567"/>
        <w:jc w:val="both"/>
        <w:rPr>
          <w:rFonts w:ascii="Palatino Linotype" w:eastAsia="Times New Roman" w:hAnsi="Palatino Linotype" w:cs="Arial"/>
          <w:i/>
          <w:lang w:eastAsia="es-ES"/>
        </w:rPr>
      </w:pPr>
    </w:p>
    <w:p w:rsidR="00066163" w:rsidRPr="006010FE" w:rsidRDefault="00066163" w:rsidP="0006616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el artículo 24 fracción XI, de la ley local en la materia, que señala:</w:t>
      </w:r>
    </w:p>
    <w:p w:rsidR="00066163" w:rsidRPr="006010FE" w:rsidRDefault="00066163" w:rsidP="00066163">
      <w:pPr>
        <w:pStyle w:val="Sinespaciado"/>
      </w:pP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w:t>
      </w:r>
      <w:r w:rsidRPr="006010FE">
        <w:rPr>
          <w:rFonts w:ascii="Palatino Linotype" w:eastAsia="Times New Roman" w:hAnsi="Palatino Linotype" w:cs="Times New Roman"/>
          <w:b/>
          <w:bCs/>
          <w:i/>
          <w:lang w:eastAsia="es-ES"/>
        </w:rPr>
        <w:t>rtículo 24.</w:t>
      </w:r>
      <w:r w:rsidRPr="006010FE">
        <w:rPr>
          <w:rFonts w:ascii="Palatino Linotype" w:eastAsia="Times New Roman" w:hAnsi="Palatino Linotype" w:cs="Times New Roman"/>
          <w:bCs/>
          <w:i/>
          <w:lang w:eastAsia="es-ES"/>
        </w:rPr>
        <w:t xml:space="preserve"> </w:t>
      </w:r>
      <w:r w:rsidRPr="006010FE">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066163" w:rsidRPr="006010FE" w:rsidRDefault="00066163" w:rsidP="00066163">
      <w:pPr>
        <w:spacing w:after="0" w:line="240" w:lineRule="auto"/>
        <w:ind w:left="567" w:right="567"/>
        <w:jc w:val="both"/>
        <w:rPr>
          <w:rFonts w:ascii="Palatino Linotype" w:eastAsia="Times New Roman" w:hAnsi="Palatino Linotype" w:cs="Times New Roman"/>
          <w:i/>
          <w:lang w:eastAsia="es-ES"/>
        </w:rPr>
      </w:pPr>
      <w:r w:rsidRPr="006010FE">
        <w:rPr>
          <w:rFonts w:ascii="Palatino Linotype" w:eastAsia="Times New Roman" w:hAnsi="Palatino Linotype" w:cs="Times New Roman"/>
          <w:bCs/>
          <w:i/>
          <w:lang w:eastAsia="es-ES"/>
        </w:rPr>
        <w:t>(..</w:t>
      </w:r>
      <w:r w:rsidRPr="006010FE">
        <w:rPr>
          <w:rFonts w:ascii="Palatino Linotype" w:eastAsia="Times New Roman" w:hAnsi="Palatino Linotype" w:cs="Times New Roman"/>
          <w:i/>
          <w:lang w:eastAsia="es-ES"/>
        </w:rPr>
        <w:t>.)</w:t>
      </w:r>
    </w:p>
    <w:p w:rsidR="00066163" w:rsidRDefault="00066163" w:rsidP="001635B1">
      <w:pPr>
        <w:spacing w:after="0" w:line="240" w:lineRule="auto"/>
        <w:ind w:left="567" w:right="567"/>
        <w:jc w:val="both"/>
        <w:rPr>
          <w:rFonts w:ascii="Palatino Linotype" w:eastAsia="Times New Roman" w:hAnsi="Palatino Linotype" w:cs="Times New Roman"/>
          <w:bCs/>
          <w:i/>
          <w:lang w:eastAsia="es-ES"/>
        </w:rPr>
      </w:pPr>
      <w:r w:rsidRPr="006010FE">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1635B1" w:rsidRPr="001635B1" w:rsidRDefault="001635B1" w:rsidP="001635B1">
      <w:pPr>
        <w:spacing w:after="0" w:line="240" w:lineRule="auto"/>
        <w:ind w:left="567" w:right="567"/>
        <w:jc w:val="both"/>
        <w:rPr>
          <w:rFonts w:ascii="Palatino Linotype" w:eastAsia="Times New Roman" w:hAnsi="Palatino Linotype" w:cs="Times New Roman"/>
          <w:bCs/>
          <w:i/>
          <w:lang w:eastAsia="es-ES"/>
        </w:rPr>
      </w:pPr>
    </w:p>
    <w:p w:rsidR="00032B17" w:rsidRDefault="00EF4493" w:rsidP="00EF449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En un primer plano es necesario retomar y delimitar los requerimientos del ahora </w:t>
      </w:r>
      <w:r>
        <w:rPr>
          <w:rFonts w:ascii="Palatino Linotype" w:hAnsi="Palatino Linotype" w:cs="Arial"/>
          <w:b/>
        </w:rPr>
        <w:t xml:space="preserve">Recurrente, </w:t>
      </w:r>
      <w:r>
        <w:rPr>
          <w:rFonts w:ascii="Palatino Linotype" w:hAnsi="Palatino Linotype" w:cs="Arial"/>
        </w:rPr>
        <w:t xml:space="preserve">los cuales de manera objetiva versan específicamente en conocer la </w:t>
      </w:r>
      <w:r w:rsidRPr="00FD725A">
        <w:rPr>
          <w:rFonts w:ascii="Palatino Linotype" w:hAnsi="Palatino Linotype" w:cs="Arial"/>
        </w:rPr>
        <w:t xml:space="preserve">siguiente información: </w:t>
      </w:r>
    </w:p>
    <w:p w:rsidR="00032B17" w:rsidRPr="00032B17" w:rsidRDefault="00032B17" w:rsidP="00032B17">
      <w:pPr>
        <w:rPr>
          <w:lang w:val="es-ES" w:eastAsia="es-ES"/>
        </w:rPr>
      </w:pPr>
    </w:p>
    <w:p w:rsidR="0087164D" w:rsidRPr="0087164D" w:rsidRDefault="00344ED3" w:rsidP="00A9565C">
      <w:pPr>
        <w:pStyle w:val="Prrafodelista"/>
        <w:numPr>
          <w:ilvl w:val="0"/>
          <w:numId w:val="37"/>
        </w:numPr>
        <w:tabs>
          <w:tab w:val="left" w:pos="709"/>
        </w:tabs>
        <w:spacing w:before="240" w:line="360" w:lineRule="auto"/>
        <w:ind w:right="51"/>
        <w:jc w:val="both"/>
        <w:rPr>
          <w:rFonts w:ascii="Palatino Linotype" w:hAnsi="Palatino Linotype" w:cs="Arial"/>
          <w:sz w:val="6"/>
        </w:rPr>
      </w:pPr>
      <w:r>
        <w:rPr>
          <w:rFonts w:ascii="Palatino Linotype" w:hAnsi="Palatino Linotype"/>
        </w:rPr>
        <w:t xml:space="preserve">Listado </w:t>
      </w:r>
      <w:r w:rsidR="00AC4B71">
        <w:rPr>
          <w:rFonts w:ascii="Palatino Linotype" w:hAnsi="Palatino Linotype"/>
        </w:rPr>
        <w:t xml:space="preserve">y archivos en formato electrónico de los contratos, acuerdos, convenios, celebrados entre el H. Ayuntamiento de Ecatepec de Morelos, durante el año 2019, derivados de Licitaciones, invitación restringida, asignación directa, así como por cualquier otro motivo, incluyendo aquellos </w:t>
      </w:r>
      <w:r w:rsidR="009B21CC">
        <w:rPr>
          <w:rFonts w:ascii="Palatino Linotype" w:hAnsi="Palatino Linotype"/>
        </w:rPr>
        <w:t>celebrados por</w:t>
      </w:r>
      <w:r w:rsidR="00AC4B71">
        <w:rPr>
          <w:rFonts w:ascii="Palatino Linotype" w:hAnsi="Palatino Linotype"/>
        </w:rPr>
        <w:t xml:space="preserve"> los Institutos, coordinaciones municipales, unidades administrativas, defensoría </w:t>
      </w:r>
      <w:r w:rsidR="00FE646D">
        <w:rPr>
          <w:rFonts w:ascii="Palatino Linotype" w:hAnsi="Palatino Linotype"/>
        </w:rPr>
        <w:t>municipal, organismos públicos descentralizados y cualquier otro celebrado por el H. Ayuntamiento, incluyendo</w:t>
      </w:r>
      <w:r w:rsidR="0087164D">
        <w:rPr>
          <w:rFonts w:ascii="Palatino Linotype" w:hAnsi="Palatino Linotype"/>
        </w:rPr>
        <w:t>:</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 xml:space="preserve"> Ejercicio</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F</w:t>
      </w:r>
      <w:r w:rsidR="00FE646D">
        <w:rPr>
          <w:rFonts w:ascii="Palatino Linotype" w:hAnsi="Palatino Linotype"/>
        </w:rPr>
        <w:t>echa de inicio del per</w:t>
      </w:r>
      <w:r>
        <w:rPr>
          <w:rFonts w:ascii="Palatino Linotype" w:hAnsi="Palatino Linotype"/>
        </w:rPr>
        <w:t>íodo que se informa</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F</w:t>
      </w:r>
      <w:r w:rsidR="00FE646D">
        <w:rPr>
          <w:rFonts w:ascii="Palatino Linotype" w:hAnsi="Palatino Linotype"/>
        </w:rPr>
        <w:t>echa de t</w:t>
      </w:r>
      <w:r>
        <w:rPr>
          <w:rFonts w:ascii="Palatino Linotype" w:hAnsi="Palatino Linotype"/>
        </w:rPr>
        <w:t>érmino</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T</w:t>
      </w:r>
      <w:r w:rsidR="00FE646D">
        <w:rPr>
          <w:rFonts w:ascii="Palatino Linotype" w:hAnsi="Palatino Linotype"/>
        </w:rPr>
        <w:t>ipo de acto jur</w:t>
      </w:r>
      <w:r>
        <w:rPr>
          <w:rFonts w:ascii="Palatino Linotype" w:hAnsi="Palatino Linotype"/>
        </w:rPr>
        <w:t>ídico</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N</w:t>
      </w:r>
      <w:r w:rsidR="00FE646D">
        <w:rPr>
          <w:rFonts w:ascii="Palatino Linotype" w:hAnsi="Palatino Linotype"/>
        </w:rPr>
        <w:t>úmero de control interno asignado, en su caso, contrato, convenio, concesi</w:t>
      </w:r>
      <w:r>
        <w:rPr>
          <w:rFonts w:ascii="Palatino Linotype" w:hAnsi="Palatino Linotype"/>
        </w:rPr>
        <w:t xml:space="preserve">ón, entre otros. </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O</w:t>
      </w:r>
      <w:r w:rsidR="00A9565C">
        <w:rPr>
          <w:rFonts w:ascii="Palatino Linotype" w:hAnsi="Palatino Linotype"/>
        </w:rPr>
        <w:t>bjeto de la realización del acto jur</w:t>
      </w:r>
      <w:r>
        <w:rPr>
          <w:rFonts w:ascii="Palatino Linotype" w:hAnsi="Palatino Linotype"/>
        </w:rPr>
        <w:t>ídico</w:t>
      </w:r>
    </w:p>
    <w:p w:rsidR="0087164D" w:rsidRPr="0087164D"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F</w:t>
      </w:r>
      <w:r w:rsidR="00A9565C">
        <w:rPr>
          <w:rFonts w:ascii="Palatino Linotype" w:hAnsi="Palatino Linotype"/>
        </w:rPr>
        <w:t>undamento jurídico por el cual se llevó a cabo el acto</w:t>
      </w:r>
    </w:p>
    <w:p w:rsidR="00A257B9" w:rsidRPr="00A257B9" w:rsidRDefault="0087164D"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lastRenderedPageBreak/>
        <w:t>U</w:t>
      </w:r>
      <w:r w:rsidR="00B0264D" w:rsidRPr="00A9565C">
        <w:rPr>
          <w:rFonts w:ascii="Palatino Linotype" w:hAnsi="Palatino Linotype"/>
        </w:rPr>
        <w:t>nidad(es) o área(s) resp</w:t>
      </w:r>
      <w:r w:rsidR="00A257B9">
        <w:rPr>
          <w:rFonts w:ascii="Palatino Linotype" w:hAnsi="Palatino Linotype"/>
        </w:rPr>
        <w:t>onsable(s) de instrumentación</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S</w:t>
      </w:r>
      <w:r w:rsidR="00B0264D" w:rsidRPr="00A9565C">
        <w:rPr>
          <w:rFonts w:ascii="Palatino Linotype" w:hAnsi="Palatino Linotype"/>
        </w:rPr>
        <w:t>ector al cu</w:t>
      </w:r>
      <w:r>
        <w:rPr>
          <w:rFonts w:ascii="Palatino Linotype" w:hAnsi="Palatino Linotype"/>
        </w:rPr>
        <w:t>al se otorgó 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N</w:t>
      </w:r>
      <w:r w:rsidR="00B0264D" w:rsidRPr="00A9565C">
        <w:rPr>
          <w:rFonts w:ascii="Palatino Linotype" w:hAnsi="Palatino Linotype"/>
        </w:rPr>
        <w:t>ombre(s) del titular al cual se otorgó el act</w:t>
      </w:r>
      <w:r>
        <w:rPr>
          <w:rFonts w:ascii="Palatino Linotype" w:hAnsi="Palatino Linotype"/>
        </w:rPr>
        <w: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P</w:t>
      </w:r>
      <w:r w:rsidR="00B0264D" w:rsidRPr="00A9565C">
        <w:rPr>
          <w:rFonts w:ascii="Palatino Linotype" w:hAnsi="Palatino Linotype"/>
        </w:rPr>
        <w:t>rimer apellido del titular al cu</w:t>
      </w:r>
      <w:r>
        <w:rPr>
          <w:rFonts w:ascii="Palatino Linotype" w:hAnsi="Palatino Linotype"/>
        </w:rPr>
        <w:t>al se otorgó 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S</w:t>
      </w:r>
      <w:r w:rsidR="00B0264D" w:rsidRPr="00A9565C">
        <w:rPr>
          <w:rFonts w:ascii="Palatino Linotype" w:hAnsi="Palatino Linotype"/>
        </w:rPr>
        <w:t>egundo apellido del titular al cu</w:t>
      </w:r>
      <w:r>
        <w:rPr>
          <w:rFonts w:ascii="Palatino Linotype" w:hAnsi="Palatino Linotype"/>
        </w:rPr>
        <w:t>al se otorgó 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R</w:t>
      </w:r>
      <w:r w:rsidR="00B0264D" w:rsidRPr="00A9565C">
        <w:rPr>
          <w:rFonts w:ascii="Palatino Linotype" w:hAnsi="Palatino Linotype"/>
        </w:rPr>
        <w:t>azón social del titular al cu</w:t>
      </w:r>
      <w:r>
        <w:rPr>
          <w:rFonts w:ascii="Palatino Linotype" w:hAnsi="Palatino Linotype"/>
        </w:rPr>
        <w:t>al se otorgó 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F</w:t>
      </w:r>
      <w:r w:rsidR="00B0264D" w:rsidRPr="00A9565C">
        <w:rPr>
          <w:rFonts w:ascii="Palatino Linotype" w:hAnsi="Palatino Linotype"/>
        </w:rPr>
        <w:t xml:space="preserve">echa de inicio </w:t>
      </w:r>
      <w:r>
        <w:rPr>
          <w:rFonts w:ascii="Palatino Linotype" w:hAnsi="Palatino Linotype"/>
        </w:rPr>
        <w:t>de vigencia del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F</w:t>
      </w:r>
      <w:r w:rsidR="00B0264D" w:rsidRPr="00A9565C">
        <w:rPr>
          <w:rFonts w:ascii="Palatino Linotype" w:hAnsi="Palatino Linotype"/>
        </w:rPr>
        <w:t xml:space="preserve">echa de término </w:t>
      </w:r>
      <w:r>
        <w:rPr>
          <w:rFonts w:ascii="Palatino Linotype" w:hAnsi="Palatino Linotype"/>
        </w:rPr>
        <w:t>de vigencia del acto jurídico</w:t>
      </w:r>
    </w:p>
    <w:p w:rsidR="00A257B9" w:rsidRPr="00A257B9"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C</w:t>
      </w:r>
      <w:r w:rsidR="00B0264D" w:rsidRPr="00A9565C">
        <w:rPr>
          <w:rFonts w:ascii="Palatino Linotype" w:hAnsi="Palatino Linotype"/>
        </w:rPr>
        <w:t xml:space="preserve">láusula en que se especifican los términos y </w:t>
      </w:r>
      <w:r>
        <w:rPr>
          <w:rFonts w:ascii="Palatino Linotype" w:hAnsi="Palatino Linotype"/>
        </w:rPr>
        <w:t>condiciones del acto jurídico</w:t>
      </w:r>
    </w:p>
    <w:p w:rsidR="00FE646D" w:rsidRPr="00FE646D" w:rsidRDefault="00A257B9" w:rsidP="0087164D">
      <w:pPr>
        <w:pStyle w:val="Prrafodelista"/>
        <w:numPr>
          <w:ilvl w:val="0"/>
          <w:numId w:val="42"/>
        </w:numPr>
        <w:tabs>
          <w:tab w:val="left" w:pos="993"/>
        </w:tabs>
        <w:spacing w:before="240" w:line="360" w:lineRule="auto"/>
        <w:ind w:left="1560" w:right="51"/>
        <w:jc w:val="both"/>
        <w:rPr>
          <w:rFonts w:ascii="Palatino Linotype" w:hAnsi="Palatino Linotype" w:cs="Arial"/>
          <w:sz w:val="6"/>
        </w:rPr>
      </w:pPr>
      <w:r>
        <w:rPr>
          <w:rFonts w:ascii="Palatino Linotype" w:hAnsi="Palatino Linotype"/>
        </w:rPr>
        <w:t>H</w:t>
      </w:r>
      <w:r w:rsidR="00B0264D" w:rsidRPr="00A9565C">
        <w:rPr>
          <w:rFonts w:ascii="Palatino Linotype" w:hAnsi="Palatino Linotype"/>
        </w:rPr>
        <w:t>ipervínculo al contrato, convenio, permiso, licencia o concesión.</w:t>
      </w:r>
    </w:p>
    <w:p w:rsidR="00B0264D" w:rsidRDefault="00B0264D" w:rsidP="002A33CE">
      <w:pPr>
        <w:tabs>
          <w:tab w:val="left" w:pos="709"/>
        </w:tabs>
        <w:spacing w:before="240" w:line="360" w:lineRule="auto"/>
        <w:ind w:right="51"/>
        <w:jc w:val="both"/>
        <w:rPr>
          <w:rFonts w:ascii="Palatino Linotype" w:hAnsi="Palatino Linotype" w:cs="Arial"/>
        </w:rPr>
      </w:pPr>
    </w:p>
    <w:p w:rsidR="002A33CE" w:rsidRPr="002A33CE" w:rsidRDefault="00EF4493" w:rsidP="002A33CE">
      <w:pPr>
        <w:tabs>
          <w:tab w:val="left" w:pos="709"/>
        </w:tabs>
        <w:spacing w:before="240" w:line="360" w:lineRule="auto"/>
        <w:ind w:right="51"/>
        <w:jc w:val="both"/>
        <w:rPr>
          <w:rFonts w:ascii="Palatino Linotype" w:hAnsi="Palatino Linotype" w:cs="Arial"/>
        </w:rPr>
      </w:pPr>
      <w:r w:rsidRPr="001F42BD">
        <w:rPr>
          <w:rFonts w:ascii="Palatino Linotype" w:hAnsi="Palatino Linotype" w:cs="Arial"/>
        </w:rPr>
        <w:t>En esta tesitura,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w:t>
      </w:r>
      <w:r w:rsidR="001F42BD">
        <w:rPr>
          <w:rFonts w:ascii="Palatino Linotype" w:hAnsi="Palatino Linotype" w:cs="Arial"/>
        </w:rPr>
        <w:t xml:space="preserve">ales en los que </w:t>
      </w:r>
      <w:r w:rsidRPr="001F42BD">
        <w:rPr>
          <w:rFonts w:ascii="Palatino Linotype" w:hAnsi="Palatino Linotype" w:cs="Arial"/>
        </w:rPr>
        <w:t>el Estado Mexicano sea parte, en concordancia con el artículo 8 de la Ley de Transparencia local.</w:t>
      </w:r>
    </w:p>
    <w:p w:rsidR="00875DC4" w:rsidRDefault="00875DC4" w:rsidP="00875DC4">
      <w:pPr>
        <w:tabs>
          <w:tab w:val="left" w:pos="4962"/>
        </w:tabs>
        <w:spacing w:line="360" w:lineRule="auto"/>
        <w:jc w:val="both"/>
        <w:rPr>
          <w:rFonts w:ascii="Palatino Linotype" w:eastAsia="Calibri" w:hAnsi="Palatino Linotype" w:cs="Tahoma"/>
          <w:b/>
          <w:iCs/>
          <w:lang w:eastAsia="es-ES_tradnl"/>
        </w:rPr>
      </w:pPr>
    </w:p>
    <w:p w:rsidR="005B518C" w:rsidRPr="00407282" w:rsidRDefault="005B518C" w:rsidP="005B518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5B518C" w:rsidRPr="00407282" w:rsidRDefault="005B518C" w:rsidP="005B518C">
      <w:pPr>
        <w:pStyle w:val="Sinespaciado"/>
        <w:spacing w:line="360" w:lineRule="auto"/>
        <w:jc w:val="both"/>
        <w:rPr>
          <w:rFonts w:ascii="Palatino Linotype" w:hAnsi="Palatino Linotype"/>
          <w:color w:val="000000"/>
        </w:rPr>
      </w:pPr>
    </w:p>
    <w:p w:rsidR="005B518C" w:rsidRPr="004E6B5B" w:rsidRDefault="005B518C" w:rsidP="005B518C">
      <w:pPr>
        <w:pStyle w:val="Sinespaciado"/>
        <w:ind w:left="567" w:right="567"/>
        <w:jc w:val="both"/>
        <w:rPr>
          <w:rFonts w:ascii="Palatino Linotype" w:hAnsi="Palatino Linotype"/>
          <w:b/>
          <w:i/>
        </w:rPr>
      </w:pPr>
      <w:r w:rsidRPr="004E6B5B">
        <w:rPr>
          <w:rFonts w:ascii="Palatino Linotype" w:hAnsi="Palatino Linotype"/>
          <w:b/>
          <w:i/>
        </w:rPr>
        <w:t>Artículo 6</w:t>
      </w:r>
    </w:p>
    <w:p w:rsidR="005B518C" w:rsidRPr="004E6B5B" w:rsidRDefault="005B518C" w:rsidP="005B518C">
      <w:pPr>
        <w:pStyle w:val="Sinespaciado"/>
        <w:ind w:left="567" w:right="567"/>
        <w:jc w:val="both"/>
        <w:rPr>
          <w:rFonts w:ascii="Palatino Linotype" w:hAnsi="Palatino Linotype"/>
          <w:i/>
        </w:rPr>
      </w:pPr>
      <w:r w:rsidRPr="004E6B5B">
        <w:rPr>
          <w:rFonts w:ascii="Palatino Linotype" w:hAnsi="Palatino Linotype"/>
          <w:i/>
        </w:rPr>
        <w:t>…</w:t>
      </w:r>
    </w:p>
    <w:p w:rsidR="005B518C" w:rsidRPr="004E6B5B" w:rsidRDefault="005B518C" w:rsidP="005B518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5B518C" w:rsidRPr="004E6B5B" w:rsidRDefault="005B518C" w:rsidP="005B518C">
      <w:pPr>
        <w:pStyle w:val="Sinespaciado"/>
        <w:ind w:left="567" w:right="567"/>
        <w:jc w:val="both"/>
        <w:rPr>
          <w:rFonts w:ascii="Palatino Linotype" w:hAnsi="Palatino Linotype"/>
          <w:i/>
        </w:rPr>
      </w:pPr>
    </w:p>
    <w:p w:rsidR="005B518C" w:rsidRDefault="005B518C" w:rsidP="005B518C">
      <w:pPr>
        <w:pStyle w:val="Sinespaciado"/>
        <w:numPr>
          <w:ilvl w:val="0"/>
          <w:numId w:val="43"/>
        </w:numPr>
        <w:ind w:left="993" w:right="567"/>
        <w:jc w:val="both"/>
        <w:rPr>
          <w:rFonts w:ascii="Palatino Linotype" w:hAnsi="Palatino Linotype"/>
          <w:i/>
        </w:rPr>
      </w:pPr>
      <w:r w:rsidRPr="004E6B5B">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5B518C" w:rsidRPr="00407282" w:rsidRDefault="005B518C" w:rsidP="005B518C">
      <w:pPr>
        <w:pStyle w:val="Sinespaciado"/>
        <w:spacing w:line="360" w:lineRule="auto"/>
        <w:jc w:val="both"/>
        <w:rPr>
          <w:rFonts w:ascii="Palatino Linotype" w:hAnsi="Palatino Linotype"/>
        </w:rPr>
      </w:pPr>
    </w:p>
    <w:p w:rsidR="005B518C" w:rsidRPr="00407282" w:rsidRDefault="005B518C" w:rsidP="005B518C">
      <w:pPr>
        <w:pStyle w:val="Sinespaciado"/>
        <w:spacing w:line="360" w:lineRule="auto"/>
        <w:jc w:val="both"/>
        <w:rPr>
          <w:rFonts w:ascii="Palatino Linotype" w:hAnsi="Palatino Linotype" w:cs="Arial"/>
        </w:rPr>
      </w:pPr>
      <w:r w:rsidRPr="00407282">
        <w:rPr>
          <w:rFonts w:ascii="Palatino Linotype" w:hAnsi="Palatino Linotype" w:cs="Arial"/>
        </w:rPr>
        <w:lastRenderedPageBreak/>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rsidR="005B518C" w:rsidRPr="00407282" w:rsidRDefault="005B518C" w:rsidP="005B518C">
      <w:pPr>
        <w:pStyle w:val="Sinespaciado"/>
        <w:ind w:left="567" w:right="567"/>
        <w:jc w:val="both"/>
        <w:rPr>
          <w:rFonts w:ascii="Palatino Linotype" w:hAnsi="Palatino Linotype"/>
        </w:rPr>
      </w:pP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i/>
        </w:rPr>
        <w:t>…</w:t>
      </w: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5B518C" w:rsidRPr="006376FA" w:rsidRDefault="005B518C" w:rsidP="005B518C">
      <w:pPr>
        <w:pStyle w:val="Sinespaciado"/>
        <w:ind w:left="567" w:right="567"/>
        <w:jc w:val="both"/>
        <w:rPr>
          <w:rFonts w:ascii="Palatino Linotype" w:hAnsi="Palatino Linotype"/>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5B518C" w:rsidRPr="006376FA" w:rsidRDefault="005B518C" w:rsidP="005B518C">
      <w:pPr>
        <w:pStyle w:val="Sinespaciado"/>
        <w:ind w:left="567" w:right="567"/>
        <w:jc w:val="both"/>
        <w:rPr>
          <w:rFonts w:ascii="Palatino Linotype" w:hAnsi="Palatino Linotype"/>
          <w:bCs/>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B518C" w:rsidRPr="006376FA" w:rsidRDefault="005B518C" w:rsidP="005B518C">
      <w:pPr>
        <w:pStyle w:val="Sinespaciado"/>
        <w:ind w:left="567" w:right="567"/>
        <w:jc w:val="both"/>
        <w:rPr>
          <w:rFonts w:ascii="Palatino Linotype" w:hAnsi="Palatino Linotype"/>
          <w:bCs/>
          <w:i/>
        </w:rPr>
      </w:pPr>
    </w:p>
    <w:p w:rsidR="005B518C" w:rsidRPr="006376FA" w:rsidRDefault="005B518C" w:rsidP="005B518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5B518C" w:rsidRPr="006376FA" w:rsidRDefault="005B518C" w:rsidP="005B518C">
      <w:pPr>
        <w:pStyle w:val="Sinespaciado"/>
        <w:ind w:left="567" w:right="567"/>
        <w:jc w:val="both"/>
        <w:rPr>
          <w:rFonts w:ascii="Palatino Linotype" w:hAnsi="Palatino Linotype"/>
          <w:i/>
        </w:rPr>
      </w:pPr>
    </w:p>
    <w:p w:rsidR="005B518C" w:rsidRPr="006376FA" w:rsidRDefault="005B518C" w:rsidP="005B518C">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5B518C" w:rsidRPr="006376FA" w:rsidRDefault="005B518C" w:rsidP="005B518C">
      <w:pPr>
        <w:pStyle w:val="Sinespaciado"/>
        <w:ind w:left="567" w:right="567"/>
        <w:jc w:val="both"/>
        <w:rPr>
          <w:rFonts w:ascii="Palatino Linotype" w:hAnsi="Palatino Linotype"/>
          <w:i/>
        </w:rPr>
      </w:pPr>
    </w:p>
    <w:p w:rsidR="005B518C" w:rsidRPr="004E6B5B" w:rsidRDefault="005B518C" w:rsidP="005B518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5B518C" w:rsidRPr="00407282" w:rsidRDefault="005B518C" w:rsidP="005B518C">
      <w:pPr>
        <w:pStyle w:val="Sinespaciado"/>
        <w:spacing w:line="360" w:lineRule="auto"/>
        <w:jc w:val="both"/>
        <w:rPr>
          <w:rFonts w:ascii="Palatino Linotype" w:hAnsi="Palatino Linotype"/>
        </w:rPr>
      </w:pPr>
    </w:p>
    <w:p w:rsidR="005B518C" w:rsidRDefault="005B518C" w:rsidP="005B518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5B518C" w:rsidRDefault="005B518C" w:rsidP="005B518C">
      <w:pPr>
        <w:pStyle w:val="Sinespaciado"/>
        <w:spacing w:line="360" w:lineRule="auto"/>
        <w:jc w:val="both"/>
        <w:rPr>
          <w:rFonts w:ascii="Palatino Linotype" w:hAnsi="Palatino Linotype" w:cs="Arial"/>
        </w:rPr>
      </w:pPr>
    </w:p>
    <w:p w:rsidR="005B518C" w:rsidRDefault="005B518C" w:rsidP="005B518C">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 lo siguiente:</w:t>
      </w:r>
    </w:p>
    <w:p w:rsidR="005B518C" w:rsidRPr="00870CBA" w:rsidRDefault="005B518C" w:rsidP="005B518C">
      <w:pPr>
        <w:spacing w:after="0" w:line="360" w:lineRule="auto"/>
        <w:jc w:val="both"/>
        <w:rPr>
          <w:rFonts w:ascii="Palatino Linotype" w:eastAsia="Times New Roman" w:hAnsi="Palatino Linotype" w:cs="Times New Roman"/>
          <w:sz w:val="24"/>
          <w:szCs w:val="24"/>
          <w:lang w:val="es-ES" w:eastAsia="es-ES"/>
        </w:rPr>
      </w:pPr>
    </w:p>
    <w:p w:rsidR="005B518C" w:rsidRPr="00870CBA" w:rsidRDefault="005B518C" w:rsidP="005B518C">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5B518C" w:rsidRPr="00870CBA" w:rsidRDefault="005B518C" w:rsidP="005B518C">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Pr>
          <w:rFonts w:ascii="Palatino Linotype" w:eastAsia="Times New Roman" w:hAnsi="Palatino Linotype" w:cs="Arial"/>
          <w:i/>
          <w:szCs w:val="24"/>
          <w:lang w:val="es-ES" w:eastAsia="es-ES"/>
        </w:rPr>
        <w:t>”</w:t>
      </w:r>
    </w:p>
    <w:p w:rsidR="005B518C" w:rsidRPr="00870CBA" w:rsidRDefault="005B518C" w:rsidP="005B518C">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(Énfasis añadido)</w:t>
      </w:r>
    </w:p>
    <w:p w:rsidR="005B518C" w:rsidRPr="00B87B77" w:rsidRDefault="005B518C" w:rsidP="005B518C">
      <w:pPr>
        <w:autoSpaceDE w:val="0"/>
        <w:autoSpaceDN w:val="0"/>
        <w:adjustRightInd w:val="0"/>
        <w:spacing w:before="100" w:beforeAutospacing="1" w:after="100" w:afterAutospacing="1" w:line="360" w:lineRule="auto"/>
        <w:ind w:right="51"/>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Del precepto legal</w:t>
      </w:r>
      <w:r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w:t>
      </w:r>
      <w:r w:rsidRPr="00870CBA">
        <w:rPr>
          <w:rFonts w:ascii="Palatino Linotype" w:eastAsia="Times New Roman" w:hAnsi="Palatino Linotype" w:cs="Arial"/>
          <w:sz w:val="24"/>
          <w:szCs w:val="24"/>
          <w:lang w:val="es-ES" w:eastAsia="es-ES"/>
        </w:rPr>
        <w:lastRenderedPageBreak/>
        <w:t>las obligaciones que corresponden a los Ayuntamientos</w:t>
      </w:r>
      <w:r>
        <w:rPr>
          <w:rFonts w:ascii="Palatino Linotype" w:eastAsia="Times New Roman" w:hAnsi="Palatino Linotype" w:cs="Arial"/>
          <w:sz w:val="24"/>
          <w:szCs w:val="24"/>
          <w:lang w:val="es-ES" w:eastAsia="es-ES"/>
        </w:rPr>
        <w:t xml:space="preserve">; </w:t>
      </w:r>
      <w:r>
        <w:rPr>
          <w:rFonts w:ascii="Palatino Linotype" w:hAnsi="Palatino Linotype"/>
          <w:sz w:val="24"/>
          <w:szCs w:val="24"/>
        </w:rPr>
        <w:t xml:space="preserve">en ese tenor, conviene remitirse </w:t>
      </w:r>
      <w:r w:rsidRPr="00493E07">
        <w:rPr>
          <w:rFonts w:ascii="Palatino Linotype" w:hAnsi="Palatino Linotype"/>
          <w:sz w:val="24"/>
          <w:szCs w:val="24"/>
        </w:rPr>
        <w:t>los artículos 31, 53, 96, 99, 100, 101 de la Ley Orgánica Municipal del Estado de México; normatividad invocada que dispone a la literalidad:</w:t>
      </w:r>
    </w:p>
    <w:p w:rsidR="005B518C" w:rsidRPr="00493E07" w:rsidRDefault="005B518C" w:rsidP="005B518C">
      <w:pPr>
        <w:spacing w:after="0" w:line="360" w:lineRule="auto"/>
        <w:jc w:val="both"/>
        <w:rPr>
          <w:rFonts w:ascii="Palatino Linotype" w:eastAsia="Times New Roman" w:hAnsi="Palatino Linotype" w:cs="Times New Roman"/>
          <w:sz w:val="24"/>
          <w:szCs w:val="24"/>
          <w:lang w:eastAsia="es-ES"/>
        </w:rPr>
      </w:pPr>
    </w:p>
    <w:p w:rsidR="005B518C" w:rsidRPr="00493E07" w:rsidRDefault="005B518C" w:rsidP="005B518C">
      <w:pPr>
        <w:spacing w:after="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 xml:space="preserve">Artículo 31.- </w:t>
      </w:r>
      <w:r w:rsidRPr="00493E07">
        <w:rPr>
          <w:rFonts w:ascii="Palatino Linotype" w:eastAsia="Times New Roman" w:hAnsi="Palatino Linotype" w:cs="Times New Roman"/>
          <w:i/>
          <w:lang w:eastAsia="es-ES"/>
        </w:rPr>
        <w:t>Son atribuciones de los ayuntamientos</w:t>
      </w:r>
      <w:r w:rsidRPr="00493E07">
        <w:rPr>
          <w:rFonts w:ascii="Palatino Linotype" w:eastAsia="Times New Roman" w:hAnsi="Palatino Linotype" w:cs="Times New Roman"/>
          <w:b/>
          <w:i/>
          <w:lang w:eastAsia="es-ES"/>
        </w:rPr>
        <w:t>:</w:t>
      </w:r>
    </w:p>
    <w:p w:rsidR="005B518C" w:rsidRPr="00493E07" w:rsidRDefault="005B518C" w:rsidP="005B518C">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 xml:space="preserve">VII. Convenir, contratar o concesionar, </w:t>
      </w:r>
      <w:r w:rsidRPr="00493E07">
        <w:rPr>
          <w:rFonts w:ascii="Palatino Linotype" w:eastAsia="Times New Roman" w:hAnsi="Palatino Linotype" w:cs="Times New Roman"/>
          <w:i/>
          <w:lang w:eastAsia="es-ES"/>
        </w:rPr>
        <w:t xml:space="preserve">en términos de ley, </w:t>
      </w:r>
      <w:r w:rsidRPr="00493E07">
        <w:rPr>
          <w:rFonts w:ascii="Palatino Linotype" w:eastAsia="Times New Roman" w:hAnsi="Palatino Linotype" w:cs="Times New Roman"/>
          <w:b/>
          <w:i/>
          <w:lang w:eastAsia="es-ES"/>
        </w:rPr>
        <w:t xml:space="preserve">la ejecución de obras y la prestación de servicios públicos, con el Estado, con otros municipios </w:t>
      </w:r>
      <w:r w:rsidRPr="00493E07">
        <w:rPr>
          <w:rFonts w:ascii="Palatino Linotype" w:eastAsia="Times New Roman" w:hAnsi="Palatino Linotype" w:cs="Times New Roman"/>
          <w:i/>
          <w:lang w:eastAsia="es-ES"/>
        </w:rPr>
        <w:t>de la entidad o con particulares, recabando, cuando proceda, la autorización de la Legislatura del Estado</w:t>
      </w:r>
      <w:r w:rsidRPr="00493E07">
        <w:rPr>
          <w:rFonts w:ascii="Palatino Linotype" w:eastAsia="Times New Roman" w:hAnsi="Palatino Linotype" w:cs="Times New Roman"/>
          <w:b/>
          <w:i/>
          <w:lang w:eastAsia="es-ES"/>
        </w:rPr>
        <w:t>;</w:t>
      </w:r>
    </w:p>
    <w:p w:rsidR="005B518C" w:rsidRPr="00493E07" w:rsidRDefault="005B518C" w:rsidP="005B518C">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w:t>
      </w:r>
    </w:p>
    <w:p w:rsidR="005B518C" w:rsidRPr="00493E07" w:rsidRDefault="005B518C" w:rsidP="005B518C">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rsidR="005B518C" w:rsidRPr="00493E07" w:rsidRDefault="005B518C" w:rsidP="005B518C">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 xml:space="preserve">XIX. Aprobar anualmente a más tardar el 20 de diciembre, su Presupuesto de Egresos, </w:t>
      </w:r>
      <w:r w:rsidRPr="00493E07">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sidRPr="00493E07">
        <w:rPr>
          <w:rFonts w:ascii="Palatino Linotype" w:eastAsia="Times New Roman" w:hAnsi="Palatino Linotype" w:cs="Times New Roman"/>
          <w:b/>
          <w:i/>
          <w:lang w:eastAsia="es-ES"/>
        </w:rPr>
        <w:t xml:space="preserve">… </w:t>
      </w:r>
    </w:p>
    <w:p w:rsidR="005B518C" w:rsidRPr="00493E07" w:rsidRDefault="005B518C" w:rsidP="005B518C">
      <w:pPr>
        <w:spacing w:after="120" w:line="240" w:lineRule="auto"/>
        <w:ind w:left="851" w:right="851"/>
        <w:jc w:val="both"/>
        <w:rPr>
          <w:rFonts w:ascii="Palatino Linotype" w:eastAsia="Times New Roman" w:hAnsi="Palatino Linotype" w:cs="Times New Roman"/>
          <w:b/>
          <w:i/>
          <w:lang w:eastAsia="es-ES"/>
        </w:rPr>
      </w:pPr>
      <w:r w:rsidRPr="00493E07">
        <w:rPr>
          <w:rFonts w:ascii="Palatino Linotype" w:eastAsia="Times New Roman" w:hAnsi="Palatino Linotype" w:cs="Times New Roman"/>
          <w:b/>
          <w:i/>
          <w:lang w:eastAsia="es-ES"/>
        </w:rPr>
        <w:t>(…)</w:t>
      </w:r>
    </w:p>
    <w:p w:rsidR="005B518C" w:rsidRPr="00493E07" w:rsidRDefault="005B518C" w:rsidP="005B518C">
      <w:pPr>
        <w:autoSpaceDE w:val="0"/>
        <w:autoSpaceDN w:val="0"/>
        <w:adjustRightInd w:val="0"/>
        <w:spacing w:after="120" w:line="240" w:lineRule="auto"/>
        <w:ind w:right="616"/>
        <w:jc w:val="both"/>
        <w:rPr>
          <w:rFonts w:ascii="Palatino Linotype" w:eastAsia="Times New Roman" w:hAnsi="Palatino Linotype" w:cs="Times New Roman"/>
          <w:b/>
          <w:i/>
          <w:lang w:val="es-ES" w:eastAsia="es-ES"/>
        </w:rPr>
      </w:pPr>
    </w:p>
    <w:p w:rsidR="005B518C" w:rsidRPr="00493E07" w:rsidRDefault="005B518C" w:rsidP="005B518C">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Artículo 99.</w:t>
      </w:r>
      <w:r w:rsidRPr="00493E07">
        <w:rPr>
          <w:rFonts w:ascii="Palatino Linotype" w:eastAsia="Times New Roman" w:hAnsi="Palatino Linotype" w:cs="Times New Roman"/>
          <w:i/>
          <w:lang w:val="es-ES" w:eastAsia="es-ES"/>
        </w:rPr>
        <w:t xml:space="preserve">- </w:t>
      </w:r>
      <w:r w:rsidRPr="00493E07">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493E07">
        <w:rPr>
          <w:rFonts w:ascii="Palatino Linotype" w:eastAsia="Times New Roman" w:hAnsi="Palatino Linotype" w:cs="Times New Roman"/>
          <w:i/>
          <w:lang w:val="es-ES" w:eastAsia="es-ES"/>
        </w:rPr>
        <w:t>, para su consideración y aprobación.</w:t>
      </w:r>
    </w:p>
    <w:p w:rsidR="005B518C" w:rsidRPr="00493E07" w:rsidRDefault="005B518C" w:rsidP="005B518C">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5B518C" w:rsidRPr="00493E07" w:rsidRDefault="005B518C" w:rsidP="005B518C">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493E07">
        <w:rPr>
          <w:rFonts w:ascii="Palatino Linotype" w:eastAsia="Times New Roman" w:hAnsi="Palatino Linotype" w:cs="Times New Roman"/>
          <w:b/>
          <w:i/>
          <w:lang w:val="es-ES" w:eastAsia="es-ES"/>
        </w:rPr>
        <w:t xml:space="preserve">Artículo 100.- </w:t>
      </w:r>
      <w:r w:rsidRPr="00493E07">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493E07">
        <w:rPr>
          <w:rFonts w:ascii="Palatino Linotype" w:eastAsia="Times New Roman" w:hAnsi="Palatino Linotype" w:cs="Times New Roman"/>
          <w:i/>
          <w:u w:val="single"/>
          <w:lang w:val="es-ES" w:eastAsia="es-ES"/>
        </w:rPr>
        <w:t xml:space="preserve"> </w:t>
      </w:r>
    </w:p>
    <w:p w:rsidR="005B518C" w:rsidRPr="00493E07" w:rsidRDefault="005B518C" w:rsidP="005B518C">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5B518C" w:rsidRPr="00493E07" w:rsidRDefault="005B518C" w:rsidP="005B518C">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Artículo 101.-</w:t>
      </w:r>
      <w:r w:rsidRPr="00493E07">
        <w:rPr>
          <w:rFonts w:ascii="Palatino Linotype" w:eastAsia="Times New Roman" w:hAnsi="Palatino Linotype" w:cs="Times New Roman"/>
          <w:i/>
          <w:lang w:val="es-ES" w:eastAsia="es-ES"/>
        </w:rPr>
        <w:t xml:space="preserve"> El proyecto del presupuesto de egresos se integrará básicamente con: </w:t>
      </w:r>
    </w:p>
    <w:p w:rsidR="005B518C" w:rsidRPr="00493E07" w:rsidRDefault="005B518C" w:rsidP="005B518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I.</w:t>
      </w:r>
      <w:r w:rsidRPr="00493E07">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5B518C" w:rsidRPr="00493E07" w:rsidRDefault="005B518C" w:rsidP="005B518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t>II.</w:t>
      </w:r>
      <w:r w:rsidRPr="00493E07">
        <w:rPr>
          <w:rFonts w:ascii="Palatino Linotype" w:eastAsia="Times New Roman" w:hAnsi="Palatino Linotype" w:cs="Times New Roman"/>
          <w:i/>
          <w:lang w:val="es-ES" w:eastAsia="es-ES"/>
        </w:rPr>
        <w:t xml:space="preserve"> Estimación de los ingresos y gastos del ejercicio fiscal calendarizados; </w:t>
      </w:r>
    </w:p>
    <w:p w:rsidR="005B518C" w:rsidRPr="00493E07" w:rsidRDefault="005B518C" w:rsidP="005B518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493E07">
        <w:rPr>
          <w:rFonts w:ascii="Palatino Linotype" w:eastAsia="Times New Roman" w:hAnsi="Palatino Linotype" w:cs="Times New Roman"/>
          <w:b/>
          <w:i/>
          <w:lang w:val="es-ES" w:eastAsia="es-ES"/>
        </w:rPr>
        <w:lastRenderedPageBreak/>
        <w:t>III</w:t>
      </w:r>
      <w:r w:rsidRPr="00493E07">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Pr="00493E07">
        <w:rPr>
          <w:rFonts w:ascii="Palatino Linotype" w:eastAsia="Times New Roman" w:hAnsi="Palatino Linotype" w:cs="Times New Roman"/>
          <w:b/>
          <w:i/>
          <w:lang w:val="es-ES" w:eastAsia="es-ES"/>
        </w:rPr>
        <w:t xml:space="preserve"> </w:t>
      </w:r>
      <w:r w:rsidRPr="00493E07">
        <w:rPr>
          <w:rFonts w:ascii="Palatino Linotype" w:eastAsia="Calibri" w:hAnsi="Palatino Linotype" w:cs="Times New Roman"/>
          <w:b/>
          <w:i/>
        </w:rPr>
        <w:t>[Sic]</w:t>
      </w:r>
    </w:p>
    <w:p w:rsidR="005B518C" w:rsidRPr="00493E07" w:rsidRDefault="005B518C" w:rsidP="005B518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5B518C" w:rsidRDefault="005B518C" w:rsidP="005B518C">
      <w:pPr>
        <w:spacing w:after="0" w:line="360" w:lineRule="auto"/>
        <w:jc w:val="both"/>
        <w:rPr>
          <w:rFonts w:ascii="Palatino Linotype" w:eastAsia="Calibri" w:hAnsi="Palatino Linotype" w:cs="Times New Roman"/>
          <w:sz w:val="24"/>
          <w:szCs w:val="24"/>
        </w:rPr>
      </w:pPr>
      <w:r w:rsidRPr="00493E07">
        <w:rPr>
          <w:rFonts w:ascii="Palatino Linotype" w:eastAsia="Calibri" w:hAnsi="Palatino Linotype" w:cs="Times New Roman"/>
          <w:sz w:val="24"/>
          <w:szCs w:val="24"/>
        </w:rPr>
        <w:t>Del análisis sistemático y armónico de la normatividad previamente plasmada se desprende que</w:t>
      </w:r>
      <w:r w:rsidRPr="00493E07">
        <w:t xml:space="preserve"> </w:t>
      </w:r>
      <w:r w:rsidRPr="00493E07">
        <w:rPr>
          <w:rFonts w:ascii="Palatino Linotype" w:eastAsia="Calibri" w:hAnsi="Palatino Linotype" w:cs="Times New Roman"/>
          <w:sz w:val="24"/>
          <w:szCs w:val="24"/>
        </w:rPr>
        <w:t xml:space="preserve">dentro de las atribuciones del Ayuntamiento se encuentra </w:t>
      </w:r>
      <w:r>
        <w:rPr>
          <w:rFonts w:ascii="Palatino Linotype" w:eastAsia="Calibri" w:hAnsi="Palatino Linotype" w:cs="Times New Roman"/>
          <w:sz w:val="24"/>
          <w:szCs w:val="24"/>
        </w:rPr>
        <w:t>convenir contratar o concesiona</w:t>
      </w:r>
      <w:r w:rsidRPr="00493E07">
        <w:t xml:space="preserve"> </w:t>
      </w:r>
      <w:r w:rsidRPr="00493E07">
        <w:rPr>
          <w:rFonts w:ascii="Palatino Linotype" w:eastAsia="Calibri" w:hAnsi="Palatino Linotype" w:cs="Times New Roman"/>
          <w:sz w:val="24"/>
          <w:szCs w:val="24"/>
        </w:rPr>
        <w:t>la ejecución de obras y la prestación de servicios públicos, con el Estado, con otros municipios de la entidad o con particulares, por ello se advierte que la información requerida en la solicitud de información pudiera obrar en la documentación que generó el Sujeto Obligado</w:t>
      </w:r>
      <w:r>
        <w:rPr>
          <w:rFonts w:ascii="Palatino Linotype" w:eastAsia="Calibri" w:hAnsi="Palatino Linotype" w:cs="Times New Roman"/>
          <w:sz w:val="24"/>
          <w:szCs w:val="24"/>
        </w:rPr>
        <w:t>, asimismo se establece que</w:t>
      </w:r>
      <w:r w:rsidRPr="00493E07">
        <w:rPr>
          <w:rFonts w:ascii="Palatino Linotype" w:eastAsia="Calibri" w:hAnsi="Palatino Linotype" w:cs="Times New Roman"/>
          <w:sz w:val="24"/>
          <w:szCs w:val="24"/>
        </w:rPr>
        <w:t xml:space="preserve"> el presidente municipal presentará anualmente al Ayuntamiento a más tardar el 20 de diciembre el proyecto del presupuesto de egresos y la forma en que estará integrado el proyecto del presupuesto de egresos que habrá de ser aprobado por el cabildo municipal.</w:t>
      </w:r>
    </w:p>
    <w:p w:rsidR="005B518C" w:rsidRDefault="005B518C" w:rsidP="005B518C">
      <w:pPr>
        <w:spacing w:after="0" w:line="360" w:lineRule="auto"/>
        <w:jc w:val="both"/>
        <w:rPr>
          <w:rFonts w:ascii="Palatino Linotype" w:eastAsia="Calibri" w:hAnsi="Palatino Linotype" w:cs="Times New Roman"/>
          <w:sz w:val="24"/>
          <w:szCs w:val="24"/>
        </w:rPr>
      </w:pPr>
    </w:p>
    <w:p w:rsidR="005B518C" w:rsidRPr="009249DB" w:rsidRDefault="005B518C" w:rsidP="005B518C">
      <w:pPr>
        <w:spacing w:after="0" w:line="360" w:lineRule="auto"/>
        <w:contextualSpacing/>
        <w:jc w:val="both"/>
        <w:rPr>
          <w:rFonts w:ascii="Palatino Linotype" w:eastAsia="Calibri" w:hAnsi="Palatino Linotype" w:cs="Times New Roman"/>
          <w:sz w:val="24"/>
        </w:rPr>
      </w:pPr>
      <w:r>
        <w:rPr>
          <w:rFonts w:ascii="Palatino Linotype" w:eastAsia="Calibri" w:hAnsi="Palatino Linotype" w:cs="Times New Roman"/>
          <w:sz w:val="24"/>
          <w:szCs w:val="24"/>
        </w:rPr>
        <w:t>De lo anterior,</w:t>
      </w:r>
      <w:r w:rsidRPr="009249DB">
        <w:rPr>
          <w:rFonts w:ascii="Palatino Linotype" w:eastAsia="Calibri" w:hAnsi="Palatino Linotype" w:cs="Times New Roman"/>
          <w:sz w:val="24"/>
          <w:lang w:val="es-AR"/>
        </w:rPr>
        <w:t xml:space="preserve"> es importante señalar que el </w:t>
      </w:r>
      <w:r w:rsidRPr="009249DB">
        <w:rPr>
          <w:rFonts w:ascii="Palatino Linotype" w:eastAsia="Calibri" w:hAnsi="Palatino Linotype" w:cs="Times New Roman"/>
          <w:b/>
          <w:sz w:val="24"/>
        </w:rPr>
        <w:t>Manual para la Planeación, Programación y Presupuestación Municipal para el Ejercicio Fiscal 2019</w:t>
      </w:r>
      <w:r w:rsidRPr="009249DB">
        <w:rPr>
          <w:rFonts w:ascii="Palatino Linotype" w:eastAsia="Calibri" w:hAnsi="Palatino Linotype" w:cs="Times New Roman"/>
          <w:sz w:val="24"/>
        </w:rPr>
        <w:t>, dentro de su Marco Conceptual numeral 1.2, definen al presupuesto como:</w:t>
      </w:r>
    </w:p>
    <w:p w:rsidR="005B518C" w:rsidRPr="009249DB" w:rsidRDefault="005B518C" w:rsidP="005B518C">
      <w:pPr>
        <w:spacing w:after="0" w:line="240" w:lineRule="auto"/>
        <w:rPr>
          <w:rFonts w:ascii="Times New Roman" w:eastAsia="MS Mincho" w:hAnsi="Times New Roman" w:cs="Times New Roman"/>
          <w:sz w:val="14"/>
          <w:szCs w:val="24"/>
          <w:lang w:eastAsia="es-ES"/>
        </w:rPr>
      </w:pP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b/>
          <w:i/>
        </w:rPr>
      </w:pPr>
      <w:r w:rsidRPr="009249DB">
        <w:rPr>
          <w:rFonts w:ascii="Palatino Linotype" w:eastAsia="Calibri" w:hAnsi="Palatino Linotype" w:cs="Times New Roman"/>
          <w:i/>
        </w:rPr>
        <w:t>“</w:t>
      </w:r>
      <w:r w:rsidRPr="009249DB">
        <w:rPr>
          <w:rFonts w:ascii="Palatino Linotype" w:eastAsia="Calibri" w:hAnsi="Palatino Linotype" w:cs="Times New Roman"/>
          <w:b/>
          <w:i/>
        </w:rPr>
        <w:t>I.2 Marco Conceptual</w:t>
      </w: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Definición del Presupuesto.-</w:t>
      </w:r>
      <w:r w:rsidRPr="009249DB">
        <w:rPr>
          <w:rFonts w:ascii="Palatino Linotype" w:eastAsia="Calibri" w:hAnsi="Palatino Linotype" w:cs="Times New Roman"/>
          <w:i/>
        </w:rPr>
        <w:t xml:space="preserve"> Con base en lo que establece el artículo 285, del Código Financiero del Estado de México y Municipios, el </w:t>
      </w:r>
      <w:r w:rsidRPr="009249DB">
        <w:rPr>
          <w:rFonts w:ascii="Palatino Linotype" w:eastAsia="Calibri" w:hAnsi="Palatino Linotype" w:cs="Times New Roman"/>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9249DB">
        <w:rPr>
          <w:rFonts w:ascii="Palatino Linotype" w:eastAsia="Calibri" w:hAnsi="Palatino Linotype" w:cs="Times New Roman"/>
          <w:i/>
        </w:rPr>
        <w:t>.</w:t>
      </w: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lastRenderedPageBreak/>
        <w:t xml:space="preserve">En otra perspectiva, </w:t>
      </w:r>
      <w:r w:rsidRPr="009249DB">
        <w:rPr>
          <w:rFonts w:ascii="Palatino Linotype" w:eastAsia="Calibri" w:hAnsi="Palatino Linotype" w:cs="Times New Roman"/>
          <w:b/>
          <w:bCs/>
          <w:i/>
        </w:rPr>
        <w:t>el presupuesto puede definirse como “la expresión contable de los gastos de un determinado período</w:t>
      </w:r>
      <w:r w:rsidRPr="009249DB">
        <w:rPr>
          <w:rFonts w:ascii="Palatino Linotype" w:eastAsia="Calibri" w:hAnsi="Palatino Linotype" w:cs="Times New Roman"/>
          <w:i/>
        </w:rPr>
        <w:t>, obteniendo los límites de autorización por parte del Cabildo para cumplir con los fines políticos, económicos y sociales para dar cumplimiento al mandato legal”.</w:t>
      </w: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i/>
        </w:rPr>
        <w:t xml:space="preserve">Para efecto de este manual, </w:t>
      </w:r>
      <w:r w:rsidRPr="009249DB">
        <w:rPr>
          <w:rFonts w:ascii="Palatino Linotype" w:eastAsia="Calibri" w:hAnsi="Palatino Linotype" w:cs="Times New Roman"/>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9249DB">
        <w:rPr>
          <w:rFonts w:ascii="Palatino Linotype" w:eastAsia="Calibri" w:hAnsi="Palatino Linotype" w:cs="Times New Roman"/>
          <w:i/>
        </w:rPr>
        <w:t>.</w:t>
      </w: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El presupuesto público involucra los planes, políticas, programas, proyectos, estrategias y objetivos del municipio, como medio efectivo de control del gasto público</w:t>
      </w:r>
      <w:r w:rsidRPr="009249DB">
        <w:rPr>
          <w:rFonts w:ascii="Palatino Linotype" w:eastAsia="Calibri" w:hAnsi="Palatino Linotype" w:cs="Times New Roman"/>
          <w:i/>
        </w:rPr>
        <w:t xml:space="preserve"> y en ellos se fundamentan las diferentes alternativas de asignación de recursos para gastos e inversiones.</w:t>
      </w:r>
    </w:p>
    <w:p w:rsidR="005B518C" w:rsidRPr="009249DB" w:rsidRDefault="005B518C" w:rsidP="005B518C">
      <w:pPr>
        <w:autoSpaceDE w:val="0"/>
        <w:autoSpaceDN w:val="0"/>
        <w:adjustRightInd w:val="0"/>
        <w:spacing w:after="0" w:line="240" w:lineRule="auto"/>
        <w:ind w:left="993" w:right="567"/>
        <w:jc w:val="both"/>
        <w:rPr>
          <w:rFonts w:ascii="Palatino Linotype" w:eastAsia="Calibri" w:hAnsi="Palatino Linotype" w:cs="Times New Roman"/>
          <w:i/>
        </w:rPr>
      </w:pPr>
      <w:r w:rsidRPr="009249DB">
        <w:rPr>
          <w:rFonts w:ascii="Palatino Linotype" w:eastAsia="Calibri" w:hAnsi="Palatino Linotype" w:cs="Times New Roman"/>
          <w:b/>
          <w:i/>
        </w:rPr>
        <w:t>(…)</w:t>
      </w:r>
      <w:r w:rsidRPr="009249DB">
        <w:rPr>
          <w:rFonts w:ascii="Palatino Linotype" w:eastAsia="Calibri" w:hAnsi="Palatino Linotype" w:cs="Times New Roman"/>
          <w:i/>
        </w:rPr>
        <w:t>”</w:t>
      </w:r>
    </w:p>
    <w:p w:rsidR="005B518C" w:rsidRPr="009249DB" w:rsidRDefault="005B518C" w:rsidP="005B518C">
      <w:pPr>
        <w:spacing w:before="240" w:after="240" w:line="360" w:lineRule="auto"/>
        <w:contextualSpacing/>
        <w:jc w:val="both"/>
        <w:rPr>
          <w:rFonts w:ascii="Palatino Linotype" w:eastAsia="Calibri" w:hAnsi="Palatino Linotype" w:cs="Times New Roman"/>
          <w:sz w:val="24"/>
        </w:rPr>
      </w:pPr>
    </w:p>
    <w:p w:rsidR="005B518C" w:rsidRDefault="005B518C" w:rsidP="005B518C">
      <w:pPr>
        <w:spacing w:before="240" w:after="240" w:line="360" w:lineRule="auto"/>
        <w:contextualSpacing/>
        <w:jc w:val="both"/>
        <w:rPr>
          <w:rFonts w:ascii="Palatino Linotype" w:eastAsia="Calibri" w:hAnsi="Palatino Linotype" w:cs="Times New Roman"/>
          <w:sz w:val="24"/>
          <w:u w:val="single"/>
        </w:rPr>
      </w:pPr>
      <w:r w:rsidRPr="009249DB">
        <w:rPr>
          <w:rFonts w:ascii="Palatino Linotype" w:eastAsia="Calibri" w:hAnsi="Palatino Linotype" w:cs="Times New Roman"/>
          <w:sz w:val="24"/>
        </w:rPr>
        <w:t xml:space="preserve">Del numeral referido, advertimos que el presupuesto es la estimación financiera anticipada, generalmente anual, de los egresos e ingresos del gobierno, necesario para cumplir con los propósitos de un programa determinado, además a través del presupuesto se lleva a cabo una organización para la asignación de recursos públicos, actividad en donde identifican las estructuras programáticas, administrativas y del gasto para la orientación, asignación y ejercicio del recurso, asimismo </w:t>
      </w:r>
      <w:r w:rsidRPr="009249DB">
        <w:rPr>
          <w:rFonts w:ascii="Palatino Linotype" w:eastAsia="Calibri" w:hAnsi="Palatino Linotype" w:cs="Times New Roman"/>
          <w:sz w:val="24"/>
          <w:u w:val="single"/>
        </w:rPr>
        <w:t xml:space="preserve">establece que el presupuesto público involucra los planes, políticas, programas, proyectos, </w:t>
      </w:r>
      <w:r w:rsidRPr="009249DB">
        <w:rPr>
          <w:rFonts w:ascii="Palatino Linotype" w:eastAsia="Calibri" w:hAnsi="Palatino Linotype" w:cs="Times New Roman"/>
          <w:bCs/>
          <w:sz w:val="24"/>
          <w:u w:val="single"/>
        </w:rPr>
        <w:t>estrategias y objetivos del municipio, como medio efectivo de control del gasto público</w:t>
      </w:r>
      <w:r w:rsidRPr="009249DB">
        <w:rPr>
          <w:rFonts w:ascii="Palatino Linotype" w:eastAsia="Calibri" w:hAnsi="Palatino Linotype" w:cs="Times New Roman"/>
          <w:sz w:val="24"/>
          <w:u w:val="single"/>
        </w:rPr>
        <w:t>.</w:t>
      </w:r>
    </w:p>
    <w:p w:rsidR="005B518C" w:rsidRDefault="005B518C" w:rsidP="005B518C">
      <w:pPr>
        <w:spacing w:before="240" w:after="240" w:line="360" w:lineRule="auto"/>
        <w:contextualSpacing/>
        <w:jc w:val="both"/>
        <w:rPr>
          <w:rFonts w:ascii="Palatino Linotype" w:eastAsia="Calibri" w:hAnsi="Palatino Linotype" w:cs="Times New Roman"/>
          <w:sz w:val="24"/>
          <w:u w:val="single"/>
        </w:rPr>
      </w:pPr>
    </w:p>
    <w:p w:rsidR="005B518C" w:rsidRPr="009249DB" w:rsidRDefault="005B518C" w:rsidP="005B518C">
      <w:pPr>
        <w:spacing w:after="0" w:line="360" w:lineRule="auto"/>
        <w:jc w:val="both"/>
        <w:rPr>
          <w:rFonts w:ascii="Palatino Linotype" w:eastAsia="Calibri" w:hAnsi="Palatino Linotype" w:cs="Arial"/>
          <w:sz w:val="24"/>
          <w:szCs w:val="24"/>
          <w:lang w:val="es-ES" w:eastAsia="es-ES"/>
        </w:rPr>
      </w:pPr>
      <w:r w:rsidRPr="009249DB">
        <w:rPr>
          <w:rFonts w:ascii="Palatino Linotype" w:eastAsia="Calibri" w:hAnsi="Palatino Linotype" w:cs="Times New Roman"/>
          <w:sz w:val="24"/>
          <w:szCs w:val="24"/>
        </w:rPr>
        <w:t xml:space="preserve">Adicionalmente, resulta oportuno señalar </w:t>
      </w:r>
      <w:r w:rsidRPr="009249DB">
        <w:rPr>
          <w:rFonts w:ascii="Palatino Linotype" w:eastAsia="Calibri" w:hAnsi="Palatino Linotype" w:cs="Arial"/>
          <w:sz w:val="24"/>
          <w:szCs w:val="24"/>
          <w:lang w:val="es-ES" w:eastAsia="es-ES"/>
        </w:rPr>
        <w:t xml:space="preserve">lo dispuesto en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sidRPr="009249DB">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la</w:t>
      </w:r>
      <w:r w:rsidRPr="009249DB">
        <w:rPr>
          <w:rFonts w:ascii="Palatino Linotype" w:eastAsia="Calibri" w:hAnsi="Palatino Linotype" w:cs="Arial"/>
          <w:sz w:val="24"/>
          <w:szCs w:val="24"/>
          <w:lang w:val="es-ES" w:eastAsia="es-ES"/>
        </w:rPr>
        <w:t xml:space="preserve"> cual refiere: </w:t>
      </w:r>
    </w:p>
    <w:p w:rsidR="005B518C" w:rsidRPr="009249DB" w:rsidRDefault="005B518C" w:rsidP="005B518C">
      <w:pPr>
        <w:tabs>
          <w:tab w:val="left" w:pos="8647"/>
        </w:tabs>
        <w:spacing w:after="0" w:line="240" w:lineRule="auto"/>
        <w:ind w:right="51"/>
        <w:jc w:val="both"/>
        <w:rPr>
          <w:rFonts w:ascii="Palatino Linotype" w:eastAsia="Calibri" w:hAnsi="Palatino Linotype" w:cs="Arial"/>
          <w:sz w:val="24"/>
          <w:szCs w:val="24"/>
          <w:lang w:val="es-ES" w:eastAsia="es-ES"/>
        </w:rPr>
      </w:pPr>
    </w:p>
    <w:p w:rsidR="005B518C" w:rsidRPr="009249DB" w:rsidRDefault="005B518C" w:rsidP="005B518C">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lastRenderedPageBreak/>
        <w:t>“</w:t>
      </w:r>
      <w:r w:rsidRPr="00E67B85">
        <w:rPr>
          <w:rFonts w:ascii="Palatino Linotype" w:eastAsia="Calibri" w:hAnsi="Palatino Linotype" w:cs="Times New Roman"/>
          <w:b/>
          <w:bCs/>
          <w:i/>
          <w:lang w:eastAsia="es-ES"/>
        </w:rPr>
        <w:t xml:space="preserve">Artículo 1.- La presente ley es de orden público y tiene por objeto regular los actos relativos a la planeación, programación, presupuestación, ejecución y control </w:t>
      </w:r>
      <w:r w:rsidRPr="00D14D5D">
        <w:rPr>
          <w:rFonts w:ascii="Palatino Linotype" w:eastAsia="Calibri" w:hAnsi="Palatino Linotype" w:cs="Times New Roman"/>
          <w:i/>
          <w:lang w:eastAsia="es-ES"/>
        </w:rPr>
        <w:t>de la adquisición y arrendamiento de bienes muebles</w:t>
      </w:r>
      <w:r w:rsidRPr="00E67B85">
        <w:rPr>
          <w:rFonts w:ascii="Palatino Linotype" w:eastAsia="Calibri" w:hAnsi="Palatino Linotype" w:cs="Times New Roman"/>
          <w:b/>
          <w:bCs/>
          <w:i/>
          <w:lang w:eastAsia="es-ES"/>
        </w:rPr>
        <w:t>, y la contratación de servicios de cualquier naturaleza, que realicen los poderes del Estado, los municipios y los tribunales administrativos, así como los organismos auxiliares y fideicomisos públicos, de carácter estatal o municipal</w:t>
      </w:r>
      <w:r w:rsidRPr="009249DB">
        <w:rPr>
          <w:rFonts w:ascii="Palatino Linotype" w:eastAsia="Calibri" w:hAnsi="Palatino Linotype" w:cs="Times New Roman"/>
          <w:i/>
          <w:lang w:val="es-ES" w:eastAsia="es-ES"/>
        </w:rPr>
        <w:t xml:space="preserve">: </w:t>
      </w:r>
    </w:p>
    <w:p w:rsidR="005B518C" w:rsidRPr="009249DB" w:rsidRDefault="005B518C" w:rsidP="005B518C">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5B518C" w:rsidRDefault="005B518C" w:rsidP="005B518C">
      <w:pPr>
        <w:spacing w:after="0" w:line="240" w:lineRule="auto"/>
        <w:ind w:left="851" w:right="901"/>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Artículo 3</w:t>
      </w:r>
      <w:r w:rsidRPr="00E67B85">
        <w:rPr>
          <w:rFonts w:ascii="Palatino Linotype" w:eastAsia="Calibri" w:hAnsi="Palatino Linotype" w:cs="Times New Roman"/>
          <w:i/>
          <w:lang w:eastAsia="es-ES"/>
        </w:rPr>
        <w:t xml:space="preserve">.- </w:t>
      </w:r>
      <w:r w:rsidRPr="00E67B85">
        <w:rPr>
          <w:rFonts w:ascii="Palatino Linotype" w:eastAsia="Calibri" w:hAnsi="Palatino Linotype" w:cs="Times New Roman"/>
          <w:b/>
          <w:bCs/>
          <w:i/>
          <w:lang w:eastAsia="es-ES"/>
        </w:rPr>
        <w:t>Para los efectos de esta ley, en las adquisiciones, arrendamientos y servicios, quedan comprendidos</w:t>
      </w:r>
      <w:r w:rsidRPr="00E67B85">
        <w:rPr>
          <w:rFonts w:ascii="Palatino Linotype" w:eastAsia="Calibri" w:hAnsi="Palatino Linotype" w:cs="Times New Roman"/>
          <w:i/>
          <w:lang w:eastAsia="es-ES"/>
        </w:rPr>
        <w:t xml:space="preserve">: </w:t>
      </w:r>
    </w:p>
    <w:p w:rsidR="005B518C" w:rsidRDefault="005B518C" w:rsidP="005B518C">
      <w:pPr>
        <w:spacing w:after="0" w:line="240" w:lineRule="auto"/>
        <w:ind w:left="851" w:right="901"/>
        <w:jc w:val="both"/>
        <w:rPr>
          <w:rFonts w:ascii="Palatino Linotype" w:eastAsia="Calibri" w:hAnsi="Palatino Linotype" w:cs="Times New Roman"/>
          <w:i/>
          <w:lang w:eastAsia="es-ES"/>
        </w:rPr>
      </w:pPr>
    </w:p>
    <w:p w:rsidR="005B518C" w:rsidRPr="00E67B85" w:rsidRDefault="005B518C" w:rsidP="005B518C">
      <w:pPr>
        <w:spacing w:after="120" w:line="240" w:lineRule="auto"/>
        <w:ind w:left="851" w:right="902"/>
        <w:jc w:val="both"/>
        <w:rPr>
          <w:rFonts w:ascii="Palatino Linotype" w:eastAsia="Calibri" w:hAnsi="Palatino Linotype" w:cs="Times New Roman"/>
          <w:b/>
          <w:bCs/>
          <w:i/>
          <w:lang w:eastAsia="es-ES"/>
        </w:rPr>
      </w:pPr>
      <w:r w:rsidRPr="00E67B85">
        <w:rPr>
          <w:rFonts w:ascii="Palatino Linotype" w:eastAsia="Calibri" w:hAnsi="Palatino Linotype" w:cs="Times New Roman"/>
          <w:b/>
          <w:bCs/>
          <w:i/>
          <w:lang w:eastAsia="es-ES"/>
        </w:rPr>
        <w:t>I.</w:t>
      </w:r>
      <w:r w:rsidRPr="00E67B85">
        <w:rPr>
          <w:rFonts w:ascii="Palatino Linotype" w:eastAsia="Calibri" w:hAnsi="Palatino Linotype" w:cs="Times New Roman"/>
          <w:i/>
          <w:lang w:eastAsia="es-ES"/>
        </w:rPr>
        <w:t xml:space="preserve"> </w:t>
      </w:r>
      <w:r w:rsidRPr="00D14D5D">
        <w:rPr>
          <w:rFonts w:ascii="Palatino Linotype" w:eastAsia="Calibri" w:hAnsi="Palatino Linotype" w:cs="Times New Roman"/>
          <w:i/>
          <w:lang w:eastAsia="es-ES"/>
        </w:rPr>
        <w:t>La adquisición y arrendamiento de toda clase de bienes muebles</w:t>
      </w:r>
      <w:r w:rsidRPr="00E67B85">
        <w:rPr>
          <w:rFonts w:ascii="Palatino Linotype" w:eastAsia="Calibri" w:hAnsi="Palatino Linotype" w:cs="Times New Roman"/>
          <w:b/>
          <w:bCs/>
          <w:i/>
          <w:lang w:eastAsia="es-ES"/>
        </w:rPr>
        <w:t>;</w:t>
      </w:r>
    </w:p>
    <w:p w:rsidR="005B518C" w:rsidRDefault="005B518C" w:rsidP="005B518C">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b/>
          <w:bCs/>
          <w:i/>
          <w:lang w:eastAsia="es-ES"/>
        </w:rPr>
        <w:t xml:space="preserve">II. </w:t>
      </w:r>
      <w:r w:rsidRPr="00D14D5D">
        <w:rPr>
          <w:rFonts w:ascii="Palatino Linotype" w:eastAsia="Calibri" w:hAnsi="Palatino Linotype" w:cs="Times New Roman"/>
          <w:i/>
          <w:lang w:eastAsia="es-ES"/>
        </w:rPr>
        <w:t>La adquisición de bienes muebles que deban incorporarse, adherirse o destinarse a un bien inmueble</w:t>
      </w:r>
      <w:r w:rsidRPr="00E67B85">
        <w:rPr>
          <w:rFonts w:ascii="Palatino Linotype" w:eastAsia="Calibri" w:hAnsi="Palatino Linotype" w:cs="Times New Roman"/>
          <w:i/>
          <w:lang w:eastAsia="es-ES"/>
        </w:rPr>
        <w:t xml:space="preserve">; </w:t>
      </w:r>
    </w:p>
    <w:p w:rsidR="005B518C" w:rsidRDefault="005B518C" w:rsidP="005B518C">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III. El arrendamiento financiero de bienes muebles;</w:t>
      </w:r>
    </w:p>
    <w:p w:rsidR="005B518C" w:rsidRDefault="005B518C" w:rsidP="005B518C">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IV. La contratación de los servicios relacionados con bienes muebles que se encuentran incorporados o adheridos a bienes inmuebles, cuyo mantenimiento no implique, en forma alguna, modificación al propio bien inmueble; </w:t>
      </w:r>
    </w:p>
    <w:p w:rsidR="005B518C" w:rsidRDefault="005B518C" w:rsidP="005B518C">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 </w:t>
      </w:r>
      <w:r w:rsidRPr="00D14D5D">
        <w:rPr>
          <w:rFonts w:ascii="Palatino Linotype" w:eastAsia="Calibri" w:hAnsi="Palatino Linotype" w:cs="Times New Roman"/>
          <w:b/>
          <w:bCs/>
          <w:i/>
          <w:lang w:eastAsia="es-ES"/>
        </w:rPr>
        <w:t>La contratación de los servicios de reconstrucción y mantenimiento de bienes muebles</w:t>
      </w:r>
      <w:r w:rsidRPr="00E67B85">
        <w:rPr>
          <w:rFonts w:ascii="Palatino Linotype" w:eastAsia="Calibri" w:hAnsi="Palatino Linotype" w:cs="Times New Roman"/>
          <w:i/>
          <w:lang w:eastAsia="es-ES"/>
        </w:rPr>
        <w:t xml:space="preserve">; </w:t>
      </w:r>
    </w:p>
    <w:p w:rsidR="005B518C" w:rsidRDefault="005B518C" w:rsidP="005B518C">
      <w:pPr>
        <w:spacing w:after="120" w:line="240" w:lineRule="auto"/>
        <w:ind w:left="851" w:right="902"/>
        <w:jc w:val="both"/>
        <w:rPr>
          <w:rFonts w:ascii="Palatino Linotype" w:eastAsia="Calibri" w:hAnsi="Palatino Linotype" w:cs="Times New Roman"/>
          <w:i/>
          <w:lang w:eastAsia="es-ES"/>
        </w:rPr>
      </w:pPr>
      <w:r w:rsidRPr="00E67B85">
        <w:rPr>
          <w:rFonts w:ascii="Palatino Linotype" w:eastAsia="Calibri" w:hAnsi="Palatino Linotype" w:cs="Times New Roman"/>
          <w:i/>
          <w:lang w:eastAsia="es-ES"/>
        </w:rPr>
        <w:t xml:space="preserve">VI. La contratación de los servicios de maquila, seguros y transportación, así como de los de limpieza y vigilancia de bienes inmuebles; y </w:t>
      </w:r>
    </w:p>
    <w:p w:rsidR="005B518C" w:rsidRPr="009249DB" w:rsidRDefault="005B518C" w:rsidP="005B518C">
      <w:pPr>
        <w:spacing w:after="120" w:line="240" w:lineRule="auto"/>
        <w:ind w:left="851" w:right="902"/>
        <w:jc w:val="both"/>
        <w:rPr>
          <w:rFonts w:ascii="Palatino Linotype" w:eastAsia="Calibri" w:hAnsi="Palatino Linotype" w:cs="Times New Roman"/>
          <w:i/>
          <w:lang w:val="es-ES" w:eastAsia="es-ES"/>
        </w:rPr>
      </w:pPr>
      <w:r w:rsidRPr="00E67B85">
        <w:rPr>
          <w:rFonts w:ascii="Palatino Linotype" w:eastAsia="Calibri" w:hAnsi="Palatino Linotype" w:cs="Times New Roman"/>
          <w:i/>
          <w:lang w:eastAsia="es-ES"/>
        </w:rPr>
        <w:t xml:space="preserve">VII. </w:t>
      </w:r>
      <w:r w:rsidRPr="00D14D5D">
        <w:rPr>
          <w:rFonts w:ascii="Palatino Linotype" w:eastAsia="Calibri" w:hAnsi="Palatino Linotype" w:cs="Times New Roman"/>
          <w:b/>
          <w:bCs/>
          <w:i/>
          <w:lang w:eastAsia="es-ES"/>
        </w:rPr>
        <w:t>En general, la contratación de servicios de cualquier naturaleza, cuya prestación genere una obligación de pago y no se encuentren regulados, en forma específica, por alguna otra disposición legal</w:t>
      </w:r>
      <w:r w:rsidRPr="00E67B85">
        <w:rPr>
          <w:rFonts w:ascii="Palatino Linotype" w:eastAsia="Calibri" w:hAnsi="Palatino Linotype" w:cs="Times New Roman"/>
          <w:i/>
          <w:lang w:eastAsia="es-ES"/>
        </w:rPr>
        <w:t xml:space="preserve">. </w:t>
      </w:r>
      <w:r w:rsidRPr="009249DB">
        <w:rPr>
          <w:rFonts w:ascii="Palatino Linotype" w:eastAsia="Calibri" w:hAnsi="Palatino Linotype" w:cs="Times New Roman"/>
          <w:i/>
          <w:lang w:val="es-ES" w:eastAsia="es-ES"/>
        </w:rPr>
        <w:t xml:space="preserve"> </w:t>
      </w:r>
    </w:p>
    <w:p w:rsidR="005B518C" w:rsidRPr="009249DB" w:rsidRDefault="005B518C" w:rsidP="005B518C">
      <w:pPr>
        <w:spacing w:after="0" w:line="240" w:lineRule="auto"/>
        <w:ind w:left="851" w:right="901"/>
        <w:jc w:val="both"/>
        <w:rPr>
          <w:rFonts w:ascii="Palatino Linotype" w:eastAsia="Calibri" w:hAnsi="Palatino Linotype" w:cs="Times New Roman"/>
          <w:i/>
          <w:lang w:val="es-ES" w:eastAsia="es-ES"/>
        </w:rPr>
      </w:pPr>
      <w:r w:rsidRPr="009249DB">
        <w:rPr>
          <w:rFonts w:ascii="Palatino Linotype" w:eastAsia="Calibri" w:hAnsi="Palatino Linotype" w:cs="Times New Roman"/>
          <w:i/>
          <w:lang w:val="es-ES" w:eastAsia="es-ES"/>
        </w:rPr>
        <w:t>(…)</w:t>
      </w:r>
    </w:p>
    <w:p w:rsidR="005B518C" w:rsidRDefault="005B518C" w:rsidP="005B518C">
      <w:pPr>
        <w:spacing w:after="0" w:line="240" w:lineRule="auto"/>
        <w:ind w:left="851" w:right="901"/>
        <w:jc w:val="both"/>
        <w:rPr>
          <w:rFonts w:ascii="Palatino Linotype" w:eastAsia="Calibri" w:hAnsi="Palatino Linotype" w:cs="Times New Roman"/>
          <w:i/>
          <w:lang w:val="es-ES" w:eastAsia="es-ES"/>
        </w:rPr>
      </w:pPr>
      <w:r w:rsidRPr="00E67B85">
        <w:rPr>
          <w:rFonts w:ascii="Palatino Linotype" w:eastAsia="Calibri" w:hAnsi="Palatino Linotype" w:cs="Times New Roman"/>
          <w:b/>
          <w:i/>
          <w:lang w:eastAsia="es-ES"/>
        </w:rPr>
        <w:t xml:space="preserve">Artículo 5.- El gasto destinado a </w:t>
      </w:r>
      <w:r w:rsidRPr="00D14D5D">
        <w:rPr>
          <w:rFonts w:ascii="Palatino Linotype" w:eastAsia="Calibri" w:hAnsi="Palatino Linotype" w:cs="Times New Roman"/>
          <w:b/>
          <w:i/>
          <w:lang w:eastAsia="es-ES"/>
        </w:rPr>
        <w:t>las adquisiciones, arrendamientos y servicios</w:t>
      </w:r>
      <w:r w:rsidRPr="00E67B85">
        <w:rPr>
          <w:rFonts w:ascii="Palatino Linotype" w:eastAsia="Calibri" w:hAnsi="Palatino Linotype" w:cs="Times New Roman"/>
          <w:bCs/>
          <w:i/>
          <w:lang w:eastAsia="es-ES"/>
        </w:rPr>
        <w:t xml:space="preserve"> </w:t>
      </w:r>
      <w:r w:rsidRPr="00E67B85">
        <w:rPr>
          <w:rFonts w:ascii="Palatino Linotype" w:eastAsia="Calibri" w:hAnsi="Palatino Linotype" w:cs="Times New Roman"/>
          <w:b/>
          <w:i/>
          <w:lang w:eastAsia="es-ES"/>
        </w:rPr>
        <w:t>se sujetará a las disposiciones anuales del presupuesto de egresos del gobierno del Estado de México</w:t>
      </w:r>
      <w:r w:rsidRPr="00E67B85">
        <w:rPr>
          <w:rFonts w:ascii="Palatino Linotype" w:eastAsia="Calibri" w:hAnsi="Palatino Linotype" w:cs="Times New Roman"/>
          <w:bCs/>
          <w:i/>
          <w:lang w:eastAsia="es-ES"/>
        </w:rPr>
        <w:t>, así como a lo previsto en el Código Financiero del Estado de México y Municipios y demás disposiciones legales aplicables, según sea el caso</w:t>
      </w:r>
      <w:r w:rsidRPr="00E67B85">
        <w:rPr>
          <w:rFonts w:ascii="Palatino Linotype" w:eastAsia="Calibri" w:hAnsi="Palatino Linotype" w:cs="Times New Roman"/>
          <w:b/>
          <w:i/>
          <w:lang w:eastAsia="es-ES"/>
        </w:rPr>
        <w:t xml:space="preserve">. </w:t>
      </w:r>
      <w:r w:rsidRPr="009249DB">
        <w:rPr>
          <w:rFonts w:ascii="Palatino Linotype" w:eastAsia="Calibri" w:hAnsi="Palatino Linotype" w:cs="Times New Roman"/>
          <w:i/>
          <w:lang w:val="es-ES" w:eastAsia="es-ES"/>
        </w:rPr>
        <w:t xml:space="preserve"> </w:t>
      </w:r>
    </w:p>
    <w:p w:rsidR="005B518C" w:rsidRDefault="005B518C" w:rsidP="005B518C">
      <w:pPr>
        <w:spacing w:after="0" w:line="240" w:lineRule="auto"/>
        <w:ind w:left="851" w:right="901"/>
        <w:jc w:val="both"/>
        <w:rPr>
          <w:rFonts w:ascii="Palatino Linotype" w:eastAsia="Calibri" w:hAnsi="Palatino Linotype" w:cs="Times New Roman"/>
          <w:i/>
          <w:lang w:val="es-ES"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 xml:space="preserve">Artículo 12.- </w:t>
      </w:r>
      <w:r w:rsidRPr="00E67B85">
        <w:rPr>
          <w:rFonts w:ascii="Palatino Linotype" w:eastAsia="Times New Roman" w:hAnsi="Palatino Linotype" w:cs="Times New Roman"/>
          <w:bCs/>
          <w:i/>
          <w:lang w:eastAsia="es-ES"/>
        </w:rPr>
        <w:t xml:space="preserve">Las adquisiciones, arrendamientos y servicios que las dependencias requieran para la realización de las funciones y programas que tienen </w:t>
      </w:r>
      <w:r w:rsidRPr="00E67B85">
        <w:rPr>
          <w:rFonts w:ascii="Palatino Linotype" w:eastAsia="Times New Roman" w:hAnsi="Palatino Linotype" w:cs="Times New Roman"/>
          <w:bCs/>
          <w:i/>
          <w:lang w:eastAsia="es-ES"/>
        </w:rPr>
        <w:lastRenderedPageBreak/>
        <w:t xml:space="preserve">encomendados, deberán determinarse con base en la planeación racional de sus necesidades.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13</w:t>
      </w:r>
      <w:r w:rsidRPr="00E67B85">
        <w:rPr>
          <w:rFonts w:ascii="Palatino Linotype" w:eastAsia="Times New Roman" w:hAnsi="Palatino Linotype" w:cs="Times New Roman"/>
          <w:bCs/>
          <w:i/>
          <w:lang w:eastAsia="es-ES"/>
        </w:rPr>
        <w:t xml:space="preserve">.- Las dependencias deberán planear en forma anual sus adquisiciones, arrendamientos y servicios, tomando en consideración, según corresponda, lo siguiente: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objetivos, estrategias y líneas de acción establecidos en el Plan de Desarrollo del Estado de México; los criterios generales de política social fijados por el titular del Poder Ejecutivo; y las previsiones contenidas en los programas sectoriales;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objetivos, estrategias y líneas de acción establecidos en los planes de desarrollo municipal; y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Las actividades sustantivas que desarrollen para cumplir con los programas prioritarios que tienen bajo su responsabilidad.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Para la planeación de las adquisiciones, arrendamientos y servicios, el área administrativa y el área financiera establecerán, de manera conjunta, las normas que deberán observarse.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14</w:t>
      </w:r>
      <w:r w:rsidRPr="00E67B85">
        <w:rPr>
          <w:rFonts w:ascii="Palatino Linotype" w:eastAsia="Times New Roman" w:hAnsi="Palatino Linotype" w:cs="Times New Roman"/>
          <w:bCs/>
          <w:i/>
          <w:lang w:eastAsia="es-ES"/>
        </w:rPr>
        <w:t xml:space="preserve">.- Las dependencias deberán formular sus programas anuales de adquisiciones, arrendamientos y servicios, tomando en consideración lo siguiente: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Los bienes y servicios que solucionen de manera adecuada sus necesidades de operación, ajustándose, en su caso, a las normas contenidas en la Ley Federal sobre Metrología y Normalización;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Los recursos financieros y las existencias físicas disponibles;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III. Los plazos estimados en los que se requerirán los bienes y servicios;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IV. Las políticas y procedimientos que establezca el área administrativa para optimizar las adquisiciones, arrendamientos y servicios.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En el caso de los organismos auxiliares, las políticas y procedimientos serán establecidos por el área administrativa del Poder Ejecutivo o del municipio, según corresponda; y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lastRenderedPageBreak/>
        <w:t xml:space="preserve">V. Las demás previsiones que deban considerarse para la adecuada planeación y operación de los programas correspondientes.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Los programas anuales de adquisiciones, arrendamientos y servicios deberán presentarse, a más tardar el treinta de octubre de cada año, en la forma que señale el área administrativa, previa opinión del área financiera.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
          <w:i/>
          <w:lang w:eastAsia="es-ES"/>
        </w:rPr>
        <w:t>Artículo 15</w:t>
      </w:r>
      <w:r w:rsidRPr="00E67B85">
        <w:rPr>
          <w:rFonts w:ascii="Palatino Linotype" w:eastAsia="Times New Roman" w:hAnsi="Palatino Linotype" w:cs="Times New Roman"/>
          <w:bCs/>
          <w:i/>
          <w:lang w:eastAsia="es-ES"/>
        </w:rPr>
        <w:t xml:space="preserve">.- Los programas de adquisiciones, arrendamientos y servicios deberán contener, como mínimo, lo siguiente: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 La codificación y descripción de los bienes y servicios que se requieran, conforme a los catálogos de artículos y de servicios que se integren;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E67B85">
        <w:rPr>
          <w:rFonts w:ascii="Palatino Linotype" w:eastAsia="Times New Roman" w:hAnsi="Palatino Linotype" w:cs="Times New Roman"/>
          <w:bCs/>
          <w:i/>
          <w:lang w:eastAsia="es-ES"/>
        </w:rPr>
        <w:t xml:space="preserve">II. La calendarización de la adquisición y arrendamiento de bienes muebles, y la contratación de servicios que se solicite; y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
          <w:i/>
          <w:lang w:eastAsia="es-ES"/>
        </w:rPr>
      </w:pPr>
      <w:r w:rsidRPr="00E67B85">
        <w:rPr>
          <w:rFonts w:ascii="Palatino Linotype" w:eastAsia="Times New Roman" w:hAnsi="Palatino Linotype" w:cs="Times New Roman"/>
          <w:bCs/>
          <w:i/>
          <w:lang w:eastAsia="es-ES"/>
        </w:rPr>
        <w:t>III. El costo estimado de los bienes y servicios, calculado con base en los importes presupuestales asignados por el área financiera</w:t>
      </w:r>
      <w:r w:rsidRPr="00E67B85">
        <w:rPr>
          <w:rFonts w:ascii="Palatino Linotype" w:eastAsia="Times New Roman" w:hAnsi="Palatino Linotype" w:cs="Times New Roman"/>
          <w:b/>
          <w:i/>
          <w:lang w:eastAsia="es-ES"/>
        </w:rPr>
        <w:t>.</w:t>
      </w:r>
    </w:p>
    <w:p w:rsidR="005B518C" w:rsidRDefault="005B518C" w:rsidP="005B518C">
      <w:pPr>
        <w:spacing w:after="0" w:line="240" w:lineRule="auto"/>
        <w:ind w:left="851" w:right="89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5B518C" w:rsidRDefault="005B518C" w:rsidP="005B518C">
      <w:pPr>
        <w:spacing w:after="0" w:line="240" w:lineRule="auto"/>
        <w:ind w:left="851" w:right="899"/>
        <w:jc w:val="both"/>
        <w:rPr>
          <w:rFonts w:ascii="Palatino Linotype" w:eastAsia="Times New Roman" w:hAnsi="Palatino Linotype" w:cs="Times New Roman"/>
          <w:b/>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 xml:space="preserve">Artículo 27.- </w:t>
      </w:r>
      <w:r w:rsidRPr="00D14D5D">
        <w:rPr>
          <w:rFonts w:ascii="Palatino Linotype" w:eastAsia="Times New Roman" w:hAnsi="Palatino Linotype" w:cs="Times New Roman"/>
          <w:b/>
          <w:i/>
          <w:lang w:eastAsia="es-ES"/>
        </w:rPr>
        <w:t>Los actos relacionados con</w:t>
      </w:r>
      <w:r w:rsidRPr="00D14D5D">
        <w:rPr>
          <w:rFonts w:ascii="Palatino Linotype" w:eastAsia="Times New Roman" w:hAnsi="Palatino Linotype" w:cs="Times New Roman"/>
          <w:bCs/>
          <w:i/>
          <w:lang w:eastAsia="es-ES"/>
        </w:rPr>
        <w:t xml:space="preserve"> las adquisiciones</w:t>
      </w:r>
      <w:r w:rsidRPr="00283E4B">
        <w:rPr>
          <w:rFonts w:ascii="Palatino Linotype" w:eastAsia="Times New Roman" w:hAnsi="Palatino Linotype" w:cs="Times New Roman"/>
          <w:bCs/>
          <w:i/>
          <w:lang w:eastAsia="es-ES"/>
        </w:rPr>
        <w:t xml:space="preserve">, arrendamientos y </w:t>
      </w:r>
      <w:r w:rsidRPr="00D14D5D">
        <w:rPr>
          <w:rFonts w:ascii="Palatino Linotype" w:eastAsia="Times New Roman" w:hAnsi="Palatino Linotype" w:cs="Times New Roman"/>
          <w:b/>
          <w:i/>
          <w:lang w:eastAsia="es-ES"/>
        </w:rPr>
        <w:t xml:space="preserve">servicios </w:t>
      </w:r>
      <w:r w:rsidRPr="00713427">
        <w:rPr>
          <w:rFonts w:ascii="Palatino Linotype" w:eastAsia="Times New Roman" w:hAnsi="Palatino Linotype" w:cs="Times New Roman"/>
          <w:b/>
          <w:i/>
          <w:lang w:eastAsia="es-ES"/>
        </w:rPr>
        <w:t>se llevarán a cabo por el órgano ejecutor, a través de los procedimientos siguientes</w:t>
      </w:r>
      <w:r w:rsidRPr="00283E4B">
        <w:rPr>
          <w:rFonts w:ascii="Palatino Linotype" w:eastAsia="Times New Roman" w:hAnsi="Palatino Linotype" w:cs="Times New Roman"/>
          <w:bCs/>
          <w:i/>
          <w:lang w:eastAsia="es-ES"/>
        </w:rPr>
        <w:t xml:space="preserv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Pr="00713427" w:rsidRDefault="005B518C" w:rsidP="005B518C">
      <w:pPr>
        <w:spacing w:after="0" w:line="240" w:lineRule="auto"/>
        <w:ind w:left="851" w:right="899"/>
        <w:jc w:val="both"/>
        <w:rPr>
          <w:rFonts w:ascii="Palatino Linotype" w:eastAsia="Times New Roman" w:hAnsi="Palatino Linotype" w:cs="Times New Roman"/>
          <w:bCs/>
          <w:i/>
          <w:u w:val="single"/>
          <w:lang w:eastAsia="es-ES"/>
        </w:rPr>
      </w:pPr>
      <w:r w:rsidRPr="00283E4B">
        <w:rPr>
          <w:rFonts w:ascii="Palatino Linotype" w:eastAsia="Times New Roman" w:hAnsi="Palatino Linotype" w:cs="Times New Roman"/>
          <w:bCs/>
          <w:i/>
          <w:lang w:eastAsia="es-ES"/>
        </w:rPr>
        <w:t xml:space="preserve">I. </w:t>
      </w:r>
      <w:r w:rsidRPr="00713427">
        <w:rPr>
          <w:rFonts w:ascii="Palatino Linotype" w:eastAsia="Times New Roman" w:hAnsi="Palatino Linotype" w:cs="Times New Roman"/>
          <w:bCs/>
          <w:i/>
          <w:u w:val="single"/>
          <w:lang w:eastAsia="es-ES"/>
        </w:rPr>
        <w:t xml:space="preserve">Licitación pública; </w:t>
      </w:r>
    </w:p>
    <w:p w:rsidR="005B518C" w:rsidRPr="00713427" w:rsidRDefault="005B518C" w:rsidP="005B518C">
      <w:pPr>
        <w:spacing w:after="0" w:line="240" w:lineRule="auto"/>
        <w:ind w:left="851" w:right="899"/>
        <w:jc w:val="both"/>
        <w:rPr>
          <w:rFonts w:ascii="Palatino Linotype" w:eastAsia="Times New Roman" w:hAnsi="Palatino Linotype" w:cs="Times New Roman"/>
          <w:bCs/>
          <w:i/>
          <w:u w:val="single"/>
          <w:lang w:eastAsia="es-ES"/>
        </w:rPr>
      </w:pPr>
    </w:p>
    <w:p w:rsidR="005B518C" w:rsidRPr="00713427" w:rsidRDefault="005B518C" w:rsidP="005B518C">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 Licitación restringida; y </w:t>
      </w:r>
    </w:p>
    <w:p w:rsidR="005B518C" w:rsidRPr="00713427" w:rsidRDefault="005B518C" w:rsidP="005B518C">
      <w:pPr>
        <w:spacing w:after="0" w:line="240" w:lineRule="auto"/>
        <w:ind w:left="851" w:right="899"/>
        <w:jc w:val="both"/>
        <w:rPr>
          <w:rFonts w:ascii="Palatino Linotype" w:eastAsia="Times New Roman" w:hAnsi="Palatino Linotype" w:cs="Times New Roman"/>
          <w:bCs/>
          <w:i/>
          <w:u w:val="single"/>
          <w:lang w:eastAsia="es-ES"/>
        </w:rPr>
      </w:pPr>
    </w:p>
    <w:p w:rsidR="005B518C" w:rsidRPr="00713427" w:rsidRDefault="005B518C" w:rsidP="005B518C">
      <w:pPr>
        <w:spacing w:after="0" w:line="240" w:lineRule="auto"/>
        <w:ind w:left="851" w:right="899"/>
        <w:jc w:val="both"/>
        <w:rPr>
          <w:rFonts w:ascii="Palatino Linotype" w:eastAsia="Times New Roman" w:hAnsi="Palatino Linotype" w:cs="Times New Roman"/>
          <w:bCs/>
          <w:i/>
          <w:u w:val="single"/>
          <w:lang w:eastAsia="es-ES"/>
        </w:rPr>
      </w:pPr>
      <w:r w:rsidRPr="00713427">
        <w:rPr>
          <w:rFonts w:ascii="Palatino Linotype" w:eastAsia="Times New Roman" w:hAnsi="Palatino Linotype" w:cs="Times New Roman"/>
          <w:bCs/>
          <w:i/>
          <w:u w:val="single"/>
          <w:lang w:eastAsia="es-ES"/>
        </w:rPr>
        <w:t xml:space="preserve">III. Adjudicación directa.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28</w:t>
      </w:r>
      <w:r w:rsidRPr="00283E4B">
        <w:rPr>
          <w:rFonts w:ascii="Palatino Linotype" w:eastAsia="Times New Roman" w:hAnsi="Palatino Linotype" w:cs="Times New Roman"/>
          <w:bCs/>
          <w:i/>
          <w:lang w:eastAsia="es-ES"/>
        </w:rPr>
        <w:t xml:space="preserve">.- </w:t>
      </w:r>
      <w:r w:rsidRPr="00D14D5D">
        <w:rPr>
          <w:rFonts w:ascii="Palatino Linotype" w:eastAsia="Times New Roman" w:hAnsi="Palatino Linotype" w:cs="Times New Roman"/>
          <w:b/>
          <w:i/>
          <w:lang w:eastAsia="es-ES"/>
        </w:rPr>
        <w:t>Las adquisiciones, arrendamientos y servicios</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se llevarán a cabo y se adjudicarán por medio de licitaciones públicas</w:t>
      </w:r>
      <w:r w:rsidRPr="00283E4B">
        <w:rPr>
          <w:rFonts w:ascii="Palatino Linotype" w:eastAsia="Times New Roman" w:hAnsi="Palatino Linotype" w:cs="Times New Roman"/>
          <w:bCs/>
          <w:i/>
          <w:lang w:eastAsia="es-ES"/>
        </w:rPr>
        <w:t xml:space="preserve"> mediante convocatoria pública, para que se presenten propuestas en sobre cerrado, que será abierto públicamente, a fin de asegurar a las instituciones públicas, las mejores condiciones disponibles en cuanto a precio, calidad, financiamiento, oportunidad y demás circunstancias pertinentes, de acuerdo a lo que establece la presente ley.</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lastRenderedPageBreak/>
        <w:t>La licitación restringida y la adjudicación directa se llevarán a cabo sólo en los casos de excepción que expresamente autorice esta ley.</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54</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contratos serán elaborados en términos de la presente ley; de las bases de la licitación o de las solicitudes de cotización, según corresponda del fallo de adjudicación relativo</w:t>
      </w:r>
      <w:r w:rsidRPr="00283E4B">
        <w:rPr>
          <w:rFonts w:ascii="Palatino Linotype" w:eastAsia="Times New Roman" w:hAnsi="Palatino Linotype" w:cs="Times New Roman"/>
          <w:bCs/>
          <w:i/>
          <w:lang w:eastAsia="es-ES"/>
        </w:rPr>
        <w:t xml:space="preserve">; y de las demás disposiciones legales aplicables. Asimismo, contendrán las condiciones que el oferente incluyó en su propuesta.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
          <w:i/>
          <w:lang w:eastAsia="es-ES"/>
        </w:rPr>
        <w:t>Artículo 62</w:t>
      </w:r>
      <w:r w:rsidRPr="00283E4B">
        <w:rPr>
          <w:rFonts w:ascii="Palatino Linotype" w:eastAsia="Times New Roman" w:hAnsi="Palatino Linotype" w:cs="Times New Roman"/>
          <w:bCs/>
          <w:i/>
          <w:lang w:eastAsia="es-ES"/>
        </w:rPr>
        <w:t xml:space="preserve">.- </w:t>
      </w:r>
      <w:r w:rsidRPr="007D4974">
        <w:rPr>
          <w:rFonts w:ascii="Palatino Linotype" w:eastAsia="Times New Roman" w:hAnsi="Palatino Linotype" w:cs="Times New Roman"/>
          <w:b/>
          <w:i/>
          <w:lang w:eastAsia="es-ES"/>
        </w:rPr>
        <w:t>Los órganos de control interno establecerán la forma y términos en que los órganos ejecutores y los órganos usuarios les deberán remitir la información relacionada con los actos materia de esta ley</w:t>
      </w:r>
      <w:r w:rsidRPr="00283E4B">
        <w:rPr>
          <w:rFonts w:ascii="Palatino Linotype" w:eastAsia="Times New Roman" w:hAnsi="Palatino Linotype" w:cs="Times New Roman"/>
          <w:bCs/>
          <w:i/>
          <w:lang w:eastAsia="es-ES"/>
        </w:rPr>
        <w:t xml:space="preserv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Para tal efecto, los órganos ejecutores y los órganos usuarios conservarán en forma ordenada y sistematizada toda la documentación comprobatoria de los actos y contratos relativos, cuando menos por un período de cinco años, contado a partir de la fecha en que los mismos fueron celebrados</w:t>
      </w:r>
      <w:r w:rsidRPr="00283E4B">
        <w:rPr>
          <w:rFonts w:ascii="Palatino Linotype" w:eastAsia="Times New Roman" w:hAnsi="Palatino Linotype" w:cs="Times New Roman"/>
          <w:bCs/>
          <w:i/>
          <w:lang w:eastAsia="es-ES"/>
        </w:rPr>
        <w:t xml:space="preserv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7D4974">
        <w:rPr>
          <w:rFonts w:ascii="Palatino Linotype" w:eastAsia="Times New Roman" w:hAnsi="Palatino Linotype" w:cs="Times New Roman"/>
          <w:b/>
          <w:i/>
          <w:lang w:eastAsia="es-ES"/>
        </w:rPr>
        <w:t>Artículo 63</w:t>
      </w:r>
      <w:r w:rsidRPr="00283E4B">
        <w:rPr>
          <w:rFonts w:ascii="Palatino Linotype" w:eastAsia="Times New Roman" w:hAnsi="Palatino Linotype" w:cs="Times New Roman"/>
          <w:bCs/>
          <w:i/>
          <w:lang w:eastAsia="es-ES"/>
        </w:rPr>
        <w:t xml:space="preserve">.- Las áreas administrativas y los órganos de control interno podrán verificar, en cualquier tiempo, en el ejercicio de sus respectivas atribuciones, que las adquisiciones, arrendamientos y servicios, se realicen conforme a lo establecido en esta ley, en otras disposiciones legales aplicables y en los programas y presupuestos autorizados. Para tal efecto, podrán solicitar a lo servidores públicos y a los oferentes, los datos e informes relacionados con los actos de que se trate. </w:t>
      </w: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p>
    <w:p w:rsidR="005B518C" w:rsidRDefault="005B518C" w:rsidP="005B518C">
      <w:pPr>
        <w:spacing w:after="0" w:line="240" w:lineRule="auto"/>
        <w:ind w:left="851" w:right="899"/>
        <w:jc w:val="both"/>
        <w:rPr>
          <w:rFonts w:ascii="Palatino Linotype" w:eastAsia="Times New Roman" w:hAnsi="Palatino Linotype" w:cs="Times New Roman"/>
          <w:bCs/>
          <w:i/>
          <w:lang w:eastAsia="es-ES"/>
        </w:rPr>
      </w:pPr>
      <w:r w:rsidRPr="00283E4B">
        <w:rPr>
          <w:rFonts w:ascii="Palatino Linotype" w:eastAsia="Times New Roman" w:hAnsi="Palatino Linotype" w:cs="Times New Roman"/>
          <w:bCs/>
          <w:i/>
          <w:lang w:eastAsia="es-ES"/>
        </w:rPr>
        <w:t>En el caso de los organismos auxiliares, la función de verificación corresponderá al área administrativa y al órgano de control interno del Poder Ejecutivo o del municipio, según sea el caso.</w:t>
      </w:r>
    </w:p>
    <w:p w:rsidR="005B518C" w:rsidRPr="00B40BC7" w:rsidRDefault="005B518C" w:rsidP="005B518C">
      <w:pPr>
        <w:spacing w:after="0" w:line="240" w:lineRule="auto"/>
        <w:ind w:left="851" w:right="899"/>
        <w:jc w:val="both"/>
        <w:rPr>
          <w:rFonts w:ascii="Palatino Linotype" w:eastAsia="Times New Roman" w:hAnsi="Palatino Linotype" w:cs="Arial"/>
          <w:lang w:eastAsia="es-ES"/>
        </w:rPr>
      </w:pPr>
    </w:p>
    <w:p w:rsidR="005B518C" w:rsidRPr="007D4974" w:rsidRDefault="005B518C" w:rsidP="005B518C">
      <w:pPr>
        <w:spacing w:after="0" w:line="240" w:lineRule="auto"/>
        <w:ind w:left="851" w:right="899"/>
        <w:jc w:val="both"/>
        <w:rPr>
          <w:rFonts w:ascii="Palatino Linotype" w:eastAsia="Times New Roman" w:hAnsi="Palatino Linotype" w:cs="Times New Roman"/>
          <w:i/>
          <w:lang w:eastAsia="es-ES"/>
        </w:rPr>
      </w:pPr>
      <w:r w:rsidRPr="00B40BC7">
        <w:rPr>
          <w:rFonts w:ascii="Palatino Linotype" w:eastAsia="Times New Roman" w:hAnsi="Palatino Linotype" w:cs="Times New Roman"/>
          <w:i/>
          <w:lang w:eastAsia="es-ES"/>
        </w:rPr>
        <w:t>(Énfasis añadido)</w:t>
      </w:r>
    </w:p>
    <w:p w:rsidR="005B518C" w:rsidRPr="009249DB" w:rsidRDefault="005B518C" w:rsidP="005B518C">
      <w:pPr>
        <w:spacing w:before="240" w:after="240" w:line="360" w:lineRule="auto"/>
        <w:contextualSpacing/>
        <w:jc w:val="both"/>
        <w:rPr>
          <w:rFonts w:ascii="Palatino Linotype" w:eastAsia="Calibri" w:hAnsi="Palatino Linotype" w:cs="Times New Roman"/>
          <w:sz w:val="24"/>
        </w:rPr>
      </w:pP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lang w:eastAsia="es-ES"/>
        </w:rPr>
      </w:pPr>
      <w:r w:rsidRPr="009249DB">
        <w:rPr>
          <w:rFonts w:ascii="Palatino Linotype" w:eastAsia="Calibri" w:hAnsi="Palatino Linotype" w:cs="Arial"/>
          <w:sz w:val="24"/>
          <w:szCs w:val="24"/>
        </w:rPr>
        <w:t xml:space="preserve">De los preceptos referidos, advertimos que </w:t>
      </w:r>
      <w:r>
        <w:rPr>
          <w:rFonts w:ascii="Palatino Linotype" w:eastAsia="Calibri" w:hAnsi="Palatino Linotype" w:cs="Arial"/>
          <w:sz w:val="24"/>
          <w:szCs w:val="24"/>
        </w:rPr>
        <w:t xml:space="preserve">la </w:t>
      </w:r>
      <w:r w:rsidRPr="00E67B85">
        <w:rPr>
          <w:rFonts w:ascii="Palatino Linotype" w:eastAsia="Calibri" w:hAnsi="Palatino Linotype" w:cs="Arial"/>
          <w:sz w:val="24"/>
          <w:szCs w:val="24"/>
          <w:lang w:eastAsia="es-ES"/>
        </w:rPr>
        <w:t xml:space="preserve">Ley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Adquisiciones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 Bienes Muebles </w:t>
      </w:r>
      <w:r>
        <w:rPr>
          <w:rFonts w:ascii="Palatino Linotype" w:eastAsia="Calibri" w:hAnsi="Palatino Linotype" w:cs="Arial"/>
          <w:sz w:val="24"/>
          <w:szCs w:val="24"/>
          <w:lang w:eastAsia="es-ES"/>
        </w:rPr>
        <w:t>y</w:t>
      </w:r>
      <w:r w:rsidRPr="00E67B85">
        <w:rPr>
          <w:rFonts w:ascii="Palatino Linotype" w:eastAsia="Calibri" w:hAnsi="Palatino Linotype" w:cs="Arial"/>
          <w:sz w:val="24"/>
          <w:szCs w:val="24"/>
          <w:lang w:eastAsia="es-ES"/>
        </w:rPr>
        <w:t xml:space="preserve"> Servicios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 xml:space="preserve">el Estado </w:t>
      </w:r>
      <w:r>
        <w:rPr>
          <w:rFonts w:ascii="Palatino Linotype" w:eastAsia="Calibri" w:hAnsi="Palatino Linotype" w:cs="Arial"/>
          <w:sz w:val="24"/>
          <w:szCs w:val="24"/>
          <w:lang w:eastAsia="es-ES"/>
        </w:rPr>
        <w:t>d</w:t>
      </w:r>
      <w:r w:rsidRPr="00E67B85">
        <w:rPr>
          <w:rFonts w:ascii="Palatino Linotype" w:eastAsia="Calibri" w:hAnsi="Palatino Linotype" w:cs="Arial"/>
          <w:sz w:val="24"/>
          <w:szCs w:val="24"/>
          <w:lang w:eastAsia="es-ES"/>
        </w:rPr>
        <w:t>e México</w:t>
      </w:r>
      <w:r>
        <w:rPr>
          <w:rFonts w:ascii="Palatino Linotype" w:eastAsia="Calibri" w:hAnsi="Palatino Linotype" w:cs="Arial"/>
          <w:sz w:val="24"/>
          <w:szCs w:val="24"/>
          <w:lang w:eastAsia="es-ES"/>
        </w:rPr>
        <w:t xml:space="preserve"> </w:t>
      </w:r>
      <w:r w:rsidRPr="007D4974">
        <w:rPr>
          <w:rFonts w:ascii="Palatino Linotype" w:eastAsia="Calibri" w:hAnsi="Palatino Linotype" w:cs="Arial"/>
          <w:sz w:val="24"/>
          <w:szCs w:val="24"/>
          <w:lang w:eastAsia="es-ES"/>
        </w:rPr>
        <w:t xml:space="preserve">tiene por objeto regular los actos relativos a la planeación, programación, presupuestación, ejecución y control de la adquisición y arrendamiento de bienes muebles, </w:t>
      </w:r>
      <w:r w:rsidRPr="00016C7A">
        <w:rPr>
          <w:rFonts w:ascii="Palatino Linotype" w:eastAsia="Calibri" w:hAnsi="Palatino Linotype" w:cs="Arial"/>
          <w:sz w:val="24"/>
          <w:szCs w:val="24"/>
          <w:u w:val="single"/>
          <w:lang w:eastAsia="es-ES"/>
        </w:rPr>
        <w:t xml:space="preserve">y la contratación de servicios de cualquier </w:t>
      </w:r>
      <w:r w:rsidRPr="00016C7A">
        <w:rPr>
          <w:rFonts w:ascii="Palatino Linotype" w:eastAsia="Calibri" w:hAnsi="Palatino Linotype" w:cs="Arial"/>
          <w:sz w:val="24"/>
          <w:szCs w:val="24"/>
          <w:u w:val="single"/>
          <w:lang w:eastAsia="es-ES"/>
        </w:rPr>
        <w:lastRenderedPageBreak/>
        <w:t>naturaleza</w:t>
      </w:r>
      <w:r w:rsidRPr="007D4974">
        <w:rPr>
          <w:rFonts w:ascii="Palatino Linotype" w:eastAsia="Calibri" w:hAnsi="Palatino Linotype" w:cs="Arial"/>
          <w:sz w:val="24"/>
          <w:szCs w:val="24"/>
          <w:lang w:eastAsia="es-ES"/>
        </w:rPr>
        <w:t>, que realicen los poderes del Estado, los municipios y los tribunales administrativos</w:t>
      </w:r>
      <w:r>
        <w:rPr>
          <w:rFonts w:ascii="Palatino Linotype" w:eastAsia="Calibri" w:hAnsi="Palatino Linotype" w:cs="Arial"/>
          <w:sz w:val="24"/>
          <w:szCs w:val="24"/>
          <w:lang w:eastAsia="es-ES"/>
        </w:rPr>
        <w:t>.</w:t>
      </w: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lang w:eastAsia="es-ES"/>
        </w:rPr>
      </w:pP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 xml:space="preserve">De igual forma establece que los servicios de reconstrucción y mantenimiento de bienes muebles y en general la contratación de servicios de cualquier naturaleza cuya prestación genere una obligación de pago, se sujetarán a las disposiciones anuales del presupuesto de egresos </w:t>
      </w:r>
      <w:r w:rsidRPr="007D4974">
        <w:rPr>
          <w:rFonts w:ascii="Palatino Linotype" w:eastAsia="Calibri" w:hAnsi="Palatino Linotype" w:cs="Arial"/>
          <w:sz w:val="24"/>
          <w:szCs w:val="24"/>
        </w:rPr>
        <w:t>del gobierno del Estado de México, así como a lo previsto en el Código Financiero del Estado de México y Municipios y demás disposiciones legales aplicables, según sea el caso</w:t>
      </w:r>
      <w:r>
        <w:rPr>
          <w:rFonts w:ascii="Palatino Linotype" w:eastAsia="Calibri" w:hAnsi="Palatino Linotype" w:cs="Arial"/>
          <w:sz w:val="24"/>
          <w:szCs w:val="24"/>
        </w:rPr>
        <w:t>.</w:t>
      </w: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rPr>
      </w:pP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rPr>
      </w:pPr>
      <w:r>
        <w:rPr>
          <w:rFonts w:ascii="Palatino Linotype" w:eastAsia="Calibri" w:hAnsi="Palatino Linotype" w:cs="Arial"/>
          <w:sz w:val="24"/>
          <w:szCs w:val="24"/>
        </w:rPr>
        <w:t>Continuando con el análisis de los preceptos referidos, podemos advertir que</w:t>
      </w:r>
      <w:r w:rsidRPr="007D4974">
        <w:t xml:space="preserve"> </w:t>
      </w:r>
      <w:r>
        <w:rPr>
          <w:rFonts w:ascii="Palatino Linotype" w:eastAsia="Calibri" w:hAnsi="Palatino Linotype" w:cs="Arial"/>
          <w:sz w:val="24"/>
          <w:szCs w:val="24"/>
        </w:rPr>
        <w:t>l</w:t>
      </w:r>
      <w:r w:rsidRPr="007D4974">
        <w:rPr>
          <w:rFonts w:ascii="Palatino Linotype" w:eastAsia="Calibri" w:hAnsi="Palatino Linotype" w:cs="Arial"/>
          <w:sz w:val="24"/>
          <w:szCs w:val="24"/>
        </w:rPr>
        <w:t xml:space="preserve">os actos relacionados </w:t>
      </w:r>
      <w:r>
        <w:rPr>
          <w:rFonts w:ascii="Palatino Linotype" w:eastAsia="Calibri" w:hAnsi="Palatino Linotype" w:cs="Arial"/>
          <w:sz w:val="24"/>
          <w:szCs w:val="24"/>
        </w:rPr>
        <w:t>la prestación de servicios de cualquier naturaleza</w:t>
      </w:r>
      <w:r w:rsidRPr="007D4974">
        <w:rPr>
          <w:rFonts w:ascii="Palatino Linotype" w:eastAsia="Calibri" w:hAnsi="Palatino Linotype" w:cs="Arial"/>
          <w:sz w:val="24"/>
          <w:szCs w:val="24"/>
        </w:rPr>
        <w:t xml:space="preserve">, se llevarán a cabo por el órgano ejecutor, a través de los procedimientos </w:t>
      </w:r>
      <w:r>
        <w:rPr>
          <w:rFonts w:ascii="Palatino Linotype" w:eastAsia="Calibri" w:hAnsi="Palatino Linotype" w:cs="Arial"/>
          <w:sz w:val="24"/>
          <w:szCs w:val="24"/>
        </w:rPr>
        <w:t xml:space="preserve">de licitación pública, licitación restringida o adjudicación directa, y para tal efecto se deberán elaborar contratos </w:t>
      </w:r>
      <w:r w:rsidRPr="00145388">
        <w:rPr>
          <w:rFonts w:ascii="Palatino Linotype" w:eastAsia="Calibri" w:hAnsi="Palatino Linotype" w:cs="Arial"/>
          <w:sz w:val="24"/>
          <w:szCs w:val="24"/>
        </w:rPr>
        <w:t>de las bases de la licitación o de las solicitudes de cotización, según corresponda del fallo de adjudicación relativo</w:t>
      </w:r>
      <w:r>
        <w:rPr>
          <w:rFonts w:ascii="Palatino Linotype" w:eastAsia="Calibri" w:hAnsi="Palatino Linotype" w:cs="Arial"/>
          <w:sz w:val="24"/>
          <w:szCs w:val="24"/>
        </w:rPr>
        <w:t>.</w:t>
      </w:r>
    </w:p>
    <w:p w:rsidR="005B518C" w:rsidRDefault="005B518C" w:rsidP="005B518C">
      <w:pPr>
        <w:autoSpaceDE w:val="0"/>
        <w:autoSpaceDN w:val="0"/>
        <w:adjustRightInd w:val="0"/>
        <w:spacing w:after="0" w:line="360" w:lineRule="auto"/>
        <w:jc w:val="both"/>
        <w:rPr>
          <w:rFonts w:ascii="Palatino Linotype" w:eastAsia="Calibri" w:hAnsi="Palatino Linotype" w:cs="Arial"/>
          <w:b/>
          <w:bCs/>
          <w:sz w:val="24"/>
          <w:szCs w:val="24"/>
        </w:rPr>
      </w:pP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rPr>
      </w:pPr>
      <w:r w:rsidRPr="00143ABA">
        <w:rPr>
          <w:rFonts w:ascii="Palatino Linotype" w:eastAsia="Calibri" w:hAnsi="Palatino Linotype" w:cs="Arial"/>
          <w:sz w:val="24"/>
          <w:szCs w:val="24"/>
        </w:rPr>
        <w:t>Asimismo, se establece que,</w:t>
      </w:r>
      <w:r>
        <w:rPr>
          <w:rFonts w:ascii="Palatino Linotype" w:eastAsia="Calibri" w:hAnsi="Palatino Linotype" w:cs="Arial"/>
          <w:sz w:val="24"/>
          <w:szCs w:val="24"/>
        </w:rPr>
        <w:t xml:space="preserve"> para cualquiera de las modalidades descritas con anterioridad, </w:t>
      </w:r>
      <w:r w:rsidRPr="00145388">
        <w:rPr>
          <w:rFonts w:ascii="Palatino Linotype" w:eastAsia="Calibri" w:hAnsi="Palatino Linotype" w:cs="Arial"/>
          <w:sz w:val="24"/>
          <w:szCs w:val="24"/>
        </w:rPr>
        <w:t xml:space="preserve">los órganos ejecutores y los órganos usuarios </w:t>
      </w:r>
      <w:r w:rsidRPr="00145388">
        <w:rPr>
          <w:rFonts w:ascii="Palatino Linotype" w:eastAsia="Calibri" w:hAnsi="Palatino Linotype" w:cs="Arial"/>
          <w:b/>
          <w:bCs/>
          <w:sz w:val="24"/>
          <w:szCs w:val="24"/>
          <w:u w:val="single"/>
        </w:rPr>
        <w:t>conservarán en forma ordenada y sistematizada toda la documentación comprobatoria de los actos y contratos relativos, cuando menos por un período de cinco años</w:t>
      </w:r>
      <w:r w:rsidRPr="00145388">
        <w:rPr>
          <w:rFonts w:ascii="Palatino Linotype" w:eastAsia="Calibri" w:hAnsi="Palatino Linotype" w:cs="Arial"/>
          <w:sz w:val="24"/>
          <w:szCs w:val="24"/>
        </w:rPr>
        <w:t>, contado a partir de la fecha en que los mismos fueron celebrados</w:t>
      </w:r>
      <w:r>
        <w:rPr>
          <w:rFonts w:ascii="Palatino Linotype" w:eastAsia="Calibri" w:hAnsi="Palatino Linotype" w:cs="Arial"/>
          <w:sz w:val="24"/>
          <w:szCs w:val="24"/>
        </w:rPr>
        <w:t>.</w:t>
      </w:r>
    </w:p>
    <w:p w:rsidR="005B518C" w:rsidRPr="00493E07" w:rsidRDefault="005B518C" w:rsidP="005B518C">
      <w:pPr>
        <w:spacing w:after="0" w:line="360" w:lineRule="auto"/>
        <w:jc w:val="both"/>
        <w:rPr>
          <w:rFonts w:ascii="Palatino Linotype" w:eastAsia="Calibri" w:hAnsi="Palatino Linotype" w:cs="Times New Roman"/>
          <w:sz w:val="24"/>
          <w:szCs w:val="24"/>
        </w:rPr>
      </w:pPr>
    </w:p>
    <w:p w:rsidR="005B518C" w:rsidRDefault="005B518C" w:rsidP="005B518C">
      <w:pPr>
        <w:autoSpaceDE w:val="0"/>
        <w:autoSpaceDN w:val="0"/>
        <w:adjustRightInd w:val="0"/>
        <w:spacing w:after="0" w:line="360" w:lineRule="auto"/>
        <w:jc w:val="both"/>
        <w:rPr>
          <w:rFonts w:ascii="Palatino Linotype" w:eastAsia="Calibri" w:hAnsi="Palatino Linotype" w:cs="Arial"/>
          <w:sz w:val="24"/>
          <w:szCs w:val="24"/>
        </w:rPr>
      </w:pPr>
      <w:r w:rsidRPr="00E44768">
        <w:rPr>
          <w:rFonts w:ascii="Palatino Linotype" w:eastAsia="Calibri" w:hAnsi="Palatino Linotype" w:cs="Arial"/>
          <w:sz w:val="24"/>
          <w:szCs w:val="24"/>
        </w:rPr>
        <w:lastRenderedPageBreak/>
        <w:t xml:space="preserve">En ese orden de ideas, advertimos que para la </w:t>
      </w:r>
      <w:r>
        <w:rPr>
          <w:rFonts w:ascii="Palatino Linotype" w:eastAsia="Calibri" w:hAnsi="Palatino Linotype" w:cs="Arial"/>
          <w:sz w:val="24"/>
          <w:szCs w:val="24"/>
        </w:rPr>
        <w:t>prestación de servicios de la empresa referida en la solicitud de información</w:t>
      </w:r>
      <w:r w:rsidRPr="00E44768">
        <w:rPr>
          <w:rFonts w:ascii="Palatino Linotype" w:eastAsia="Calibri" w:hAnsi="Palatino Linotype" w:cs="Arial"/>
          <w:sz w:val="24"/>
          <w:szCs w:val="24"/>
        </w:rPr>
        <w:t xml:space="preserve">, </w:t>
      </w:r>
      <w:r>
        <w:rPr>
          <w:rFonts w:ascii="Palatino Linotype" w:eastAsia="Calibri" w:hAnsi="Palatino Linotype" w:cs="Arial"/>
          <w:sz w:val="24"/>
          <w:szCs w:val="24"/>
        </w:rPr>
        <w:t xml:space="preserve">el Sujeto Obligado debe contar con </w:t>
      </w:r>
      <w:bookmarkStart w:id="1" w:name="_Hlk15585292"/>
      <w:r>
        <w:rPr>
          <w:rFonts w:ascii="Palatino Linotype" w:eastAsia="Calibri" w:hAnsi="Palatino Linotype" w:cs="Arial"/>
          <w:sz w:val="24"/>
          <w:szCs w:val="24"/>
        </w:rPr>
        <w:t>el expediente del procedimiento requerido</w:t>
      </w:r>
      <w:bookmarkEnd w:id="1"/>
      <w:r w:rsidRPr="00E44768">
        <w:rPr>
          <w:rFonts w:ascii="Palatino Linotype" w:eastAsia="Calibri" w:hAnsi="Palatino Linotype" w:cs="Arial"/>
          <w:sz w:val="24"/>
          <w:szCs w:val="24"/>
        </w:rPr>
        <w:t>, además contar con los registros contables, financieros y administrativos, que pudieran soportar</w:t>
      </w:r>
      <w:r>
        <w:rPr>
          <w:rFonts w:ascii="Palatino Linotype" w:eastAsia="Calibri" w:hAnsi="Palatino Linotype" w:cs="Arial"/>
          <w:sz w:val="24"/>
          <w:szCs w:val="24"/>
        </w:rPr>
        <w:t xml:space="preserve"> la prestación de los servicios en comento.</w:t>
      </w:r>
    </w:p>
    <w:p w:rsidR="005B518C" w:rsidRDefault="005B518C" w:rsidP="005B518C">
      <w:pPr>
        <w:pStyle w:val="Sinespaciado"/>
        <w:spacing w:line="360" w:lineRule="auto"/>
        <w:jc w:val="both"/>
        <w:rPr>
          <w:rFonts w:ascii="Palatino Linotype" w:hAnsi="Palatino Linotype" w:cs="Arial"/>
        </w:rPr>
      </w:pPr>
    </w:p>
    <w:p w:rsidR="005B518C" w:rsidRPr="00281F5A" w:rsidRDefault="005B518C" w:rsidP="005B518C">
      <w:pPr>
        <w:spacing w:after="240" w:line="360" w:lineRule="auto"/>
        <w:ind w:right="142"/>
        <w:jc w:val="both"/>
        <w:rPr>
          <w:rFonts w:ascii="Palatino Linotype" w:eastAsia="Times New Roman" w:hAnsi="Palatino Linotype" w:cs="Times New Roman"/>
          <w:sz w:val="24"/>
          <w:szCs w:val="24"/>
          <w:lang w:val="es-ES_tradnl" w:eastAsia="es-ES"/>
        </w:rPr>
      </w:pPr>
      <w:r>
        <w:rPr>
          <w:rFonts w:ascii="Palatino Linotype" w:hAnsi="Palatino Linotype"/>
          <w:sz w:val="24"/>
          <w:szCs w:val="24"/>
          <w:lang w:eastAsia="es-MX"/>
        </w:rPr>
        <w:t xml:space="preserve">Aunado a lo anterior, cabe señalar que la información referida forma parte de las Obligaciones de Transparencia Comunes del </w:t>
      </w:r>
      <w:r w:rsidRPr="00297D5B">
        <w:rPr>
          <w:rFonts w:ascii="Palatino Linotype" w:hAnsi="Palatino Linotype"/>
          <w:b/>
          <w:sz w:val="24"/>
          <w:szCs w:val="24"/>
          <w:lang w:eastAsia="es-MX"/>
        </w:rPr>
        <w:t>Sujeto Obligado</w:t>
      </w:r>
      <w:r>
        <w:rPr>
          <w:rFonts w:ascii="Palatino Linotype" w:hAnsi="Palatino Linotype"/>
          <w:sz w:val="24"/>
          <w:szCs w:val="24"/>
          <w:lang w:eastAsia="es-MX"/>
        </w:rPr>
        <w:t>,</w:t>
      </w:r>
      <w:r>
        <w:rPr>
          <w:rFonts w:ascii="Palatino Linotype" w:eastAsia="Times New Roman" w:hAnsi="Palatino Linotype" w:cs="Times New Roman"/>
          <w:sz w:val="24"/>
          <w:szCs w:val="24"/>
          <w:lang w:eastAsia="es-MX"/>
        </w:rPr>
        <w:t xml:space="preserve"> lo que nos </w:t>
      </w:r>
      <w:r w:rsidRPr="00643C1D">
        <w:rPr>
          <w:rFonts w:ascii="Palatino Linotype" w:eastAsia="Times New Roman" w:hAnsi="Palatino Linotype" w:cs="Times New Roman"/>
          <w:sz w:val="24"/>
          <w:szCs w:val="24"/>
          <w:lang w:val="es-ES_tradnl" w:eastAsia="es-ES"/>
        </w:rPr>
        <w:t>permite traer a colación lo</w:t>
      </w:r>
      <w:r>
        <w:rPr>
          <w:rFonts w:ascii="Palatino Linotype" w:eastAsia="Times New Roman" w:hAnsi="Palatino Linotype" w:cs="Times New Roman"/>
          <w:sz w:val="24"/>
          <w:szCs w:val="24"/>
          <w:lang w:val="es-ES_tradnl" w:eastAsia="es-ES"/>
        </w:rPr>
        <w:t xml:space="preserve"> dispuesto por las fracciones </w:t>
      </w:r>
      <w:r w:rsidRPr="00CA5CEF">
        <w:rPr>
          <w:rFonts w:ascii="Palatino Linotype" w:eastAsia="Times New Roman" w:hAnsi="Palatino Linotype" w:cs="Times New Roman"/>
          <w:sz w:val="24"/>
          <w:szCs w:val="24"/>
          <w:lang w:val="es-ES_tradnl" w:eastAsia="es-ES"/>
        </w:rPr>
        <w:t>XXIX</w:t>
      </w:r>
      <w:r>
        <w:rPr>
          <w:rFonts w:ascii="Palatino Linotype" w:eastAsia="Times New Roman" w:hAnsi="Palatino Linotype" w:cs="Times New Roman"/>
          <w:sz w:val="24"/>
          <w:szCs w:val="24"/>
          <w:lang w:val="es-ES_tradnl" w:eastAsia="es-ES"/>
        </w:rPr>
        <w:t xml:space="preserve"> y XXXII </w:t>
      </w:r>
      <w:r w:rsidRPr="00643C1D">
        <w:rPr>
          <w:rFonts w:ascii="Palatino Linotype" w:eastAsia="Times New Roman" w:hAnsi="Palatino Linotype" w:cs="Times New Roman"/>
          <w:sz w:val="24"/>
          <w:szCs w:val="24"/>
          <w:lang w:val="es-ES_tradnl" w:eastAsia="es-ES"/>
        </w:rPr>
        <w:t>del artículo 92 de la Ley de Transparencia y Acceso a la Información Pública del Estado de México y Municipios en el cual se aprecia lo siguiente:</w:t>
      </w:r>
    </w:p>
    <w:p w:rsidR="005B518C" w:rsidRPr="00643C1D" w:rsidRDefault="005B518C" w:rsidP="005B518C">
      <w:pPr>
        <w:tabs>
          <w:tab w:val="left" w:pos="851"/>
        </w:tabs>
        <w:spacing w:before="120" w:after="120"/>
        <w:ind w:left="709" w:right="709"/>
        <w:jc w:val="both"/>
        <w:rPr>
          <w:rFonts w:ascii="Palatino Linotype" w:hAnsi="Palatino Linotype" w:cs="Arial"/>
          <w:i/>
        </w:rPr>
      </w:pPr>
      <w:r w:rsidRPr="00643C1D">
        <w:rPr>
          <w:rFonts w:ascii="Palatino Linotype" w:hAnsi="Palatino Linotype" w:cs="Arial"/>
          <w:i/>
        </w:rPr>
        <w:t>“</w:t>
      </w:r>
      <w:r w:rsidRPr="00643C1D">
        <w:rPr>
          <w:rFonts w:ascii="Palatino Linotype" w:hAnsi="Palatino Linotype" w:cs="Arial"/>
          <w:b/>
          <w:i/>
        </w:rPr>
        <w:t>Artículo 92</w:t>
      </w:r>
      <w:r w:rsidRPr="00643C1D">
        <w:rPr>
          <w:rFonts w:ascii="Palatino Linotype" w:hAnsi="Palatino Linotype" w:cs="Arial"/>
          <w:i/>
        </w:rPr>
        <w:t xml:space="preserve">. </w:t>
      </w:r>
      <w:r w:rsidRPr="00643C1D">
        <w:rPr>
          <w:rFonts w:ascii="Palatino Linotype" w:hAnsi="Palatino Linotype" w:cs="Arial"/>
          <w:b/>
          <w:i/>
          <w:u w:val="single"/>
        </w:rPr>
        <w:t>Los sujetos obligados deberán poner a disposición del público de manera permanente y actualizada de forma sencilla, precisa y entendible, en los respectivos medios electrónicos</w:t>
      </w:r>
      <w:r w:rsidRPr="00643C1D">
        <w:rPr>
          <w:rFonts w:ascii="Palatino Linotype" w:hAnsi="Palatino Linotype" w:cs="Arial"/>
          <w:i/>
        </w:rPr>
        <w:t xml:space="preserve">, de acuerdo con sus facultades, atribuciones, funciones u objeto social, según corresponda, la información, </w:t>
      </w:r>
      <w:r w:rsidRPr="00643C1D">
        <w:rPr>
          <w:rFonts w:ascii="Palatino Linotype" w:hAnsi="Palatino Linotype" w:cs="Arial"/>
          <w:b/>
          <w:i/>
          <w:u w:val="single"/>
        </w:rPr>
        <w:t>por lo menos, de los temas, documentos y políticas que a continuación se señalan</w:t>
      </w:r>
      <w:r w:rsidRPr="00643C1D">
        <w:rPr>
          <w:rFonts w:ascii="Palatino Linotype" w:hAnsi="Palatino Linotype" w:cs="Arial"/>
          <w:i/>
        </w:rPr>
        <w:t>:</w:t>
      </w:r>
    </w:p>
    <w:p w:rsidR="005B518C" w:rsidRDefault="005B518C" w:rsidP="005B518C">
      <w:pPr>
        <w:tabs>
          <w:tab w:val="left" w:pos="851"/>
        </w:tabs>
        <w:spacing w:before="120" w:after="120"/>
        <w:ind w:left="851" w:right="709"/>
        <w:jc w:val="both"/>
      </w:pPr>
    </w:p>
    <w:p w:rsidR="005B518C" w:rsidRDefault="005B518C" w:rsidP="005B518C">
      <w:pPr>
        <w:tabs>
          <w:tab w:val="left" w:pos="851"/>
        </w:tabs>
        <w:spacing w:before="120" w:after="120"/>
        <w:ind w:left="851" w:right="709"/>
        <w:jc w:val="both"/>
        <w:rPr>
          <w:rFonts w:ascii="Palatino Linotype" w:hAnsi="Palatino Linotype"/>
          <w:b/>
          <w:i/>
        </w:rPr>
      </w:pP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XXIX. </w:t>
      </w:r>
      <w:r w:rsidRPr="00EC3FE0">
        <w:rPr>
          <w:rFonts w:ascii="Palatino Linotype" w:eastAsia="Calibri" w:hAnsi="Palatino Linotype" w:cs="Times New Roman"/>
          <w:bCs/>
          <w:i/>
        </w:rPr>
        <w:t xml:space="preserve">La información sobre los procesos y resultados sobre </w:t>
      </w:r>
      <w:r w:rsidRPr="00EC3FE0">
        <w:rPr>
          <w:rFonts w:ascii="Palatino Linotype" w:eastAsia="Calibri" w:hAnsi="Palatino Linotype" w:cs="Times New Roman"/>
          <w:b/>
          <w:i/>
          <w:u w:val="single"/>
        </w:rPr>
        <w:t>procedimientos de adjudicación directa, invitación restringida y licitación de cualquier naturaleza</w:t>
      </w:r>
      <w:r w:rsidRPr="00EC3FE0">
        <w:rPr>
          <w:rFonts w:ascii="Palatino Linotype" w:eastAsia="Calibri" w:hAnsi="Palatino Linotype" w:cs="Times New Roman"/>
          <w:bCs/>
          <w:i/>
        </w:rPr>
        <w:t>, incluyendo la versión pública del expediente respectivo y de los contratos celebrados, que deberán contener, por los menos, lo siguiente</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a) </w:t>
      </w:r>
      <w:r w:rsidRPr="00EC3FE0">
        <w:rPr>
          <w:rFonts w:ascii="Palatino Linotype" w:eastAsia="Calibri" w:hAnsi="Palatino Linotype" w:cs="Times New Roman"/>
          <w:bCs/>
          <w:i/>
        </w:rPr>
        <w:t>De licitaciones públicas o procedimientos de invitación restringida</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convocatoria o invitación emitida, así como los fundamentos legales aplicados para llevarla a cabo</w:t>
      </w:r>
      <w:r w:rsidRPr="00C13913">
        <w:rPr>
          <w:rFonts w:ascii="Palatino Linotype" w:eastAsia="Calibri" w:hAnsi="Palatino Linotype" w:cs="Times New Roman"/>
          <w:b/>
          <w:i/>
        </w:rPr>
        <w:t xml:space="preserve">;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2) </w:t>
      </w:r>
      <w:r w:rsidRPr="00DB7325">
        <w:rPr>
          <w:rFonts w:ascii="Palatino Linotype" w:eastAsia="Calibri" w:hAnsi="Palatino Linotype" w:cs="Times New Roman"/>
          <w:bCs/>
          <w:i/>
        </w:rPr>
        <w:t xml:space="preserve">Los nombres de los participantes o invitados;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 xml:space="preserve">3) </w:t>
      </w:r>
      <w:r w:rsidRPr="005E7014">
        <w:rPr>
          <w:rFonts w:ascii="Palatino Linotype" w:eastAsia="Calibri" w:hAnsi="Palatino Linotype" w:cs="Times New Roman"/>
          <w:b/>
          <w:i/>
        </w:rPr>
        <w:t>El nombre del ganador y las razones que lo justifican</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lastRenderedPageBreak/>
        <w:t xml:space="preserve">4) </w:t>
      </w:r>
      <w:r w:rsidRPr="00EC3FE0">
        <w:rPr>
          <w:rFonts w:ascii="Palatino Linotype" w:eastAsia="Calibri" w:hAnsi="Palatino Linotype" w:cs="Times New Roman"/>
          <w:bCs/>
          <w:i/>
        </w:rPr>
        <w:t>El área solicitante y la responsable de su ejecución</w:t>
      </w:r>
      <w:r w:rsidRPr="00C13913">
        <w:rPr>
          <w:rFonts w:ascii="Palatino Linotype" w:eastAsia="Calibri" w:hAnsi="Palatino Linotype" w:cs="Times New Roman"/>
          <w:b/>
          <w:i/>
        </w:rPr>
        <w:t xml:space="preserve">; </w:t>
      </w:r>
    </w:p>
    <w:p w:rsidR="005B518C" w:rsidRPr="00EC3FE0"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5) </w:t>
      </w:r>
      <w:r w:rsidRPr="005E7014">
        <w:rPr>
          <w:rFonts w:ascii="Palatino Linotype" w:eastAsia="Calibri" w:hAnsi="Palatino Linotype" w:cs="Times New Roman"/>
          <w:b/>
          <w:i/>
        </w:rPr>
        <w:t>Las convocatorias e invitaciones emitidas</w:t>
      </w:r>
      <w:r w:rsidRPr="00EC3FE0">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EC3FE0">
        <w:rPr>
          <w:rFonts w:ascii="Palatino Linotype" w:eastAsia="Calibri" w:hAnsi="Palatino Linotype" w:cs="Times New Roman"/>
          <w:b/>
          <w:i/>
        </w:rPr>
        <w:t xml:space="preserve">6) </w:t>
      </w:r>
      <w:r w:rsidRPr="00EC3FE0">
        <w:rPr>
          <w:rFonts w:ascii="Palatino Linotype" w:eastAsia="Calibri" w:hAnsi="Palatino Linotype" w:cs="Times New Roman"/>
          <w:bCs/>
          <w:i/>
        </w:rPr>
        <w:t>Los dictámenes y fallo de adjudicación</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7) </w:t>
      </w:r>
      <w:r w:rsidRPr="005E7014">
        <w:rPr>
          <w:rFonts w:ascii="Palatino Linotype" w:eastAsia="Calibri" w:hAnsi="Palatino Linotype" w:cs="Times New Roman"/>
          <w:b/>
          <w:i/>
        </w:rPr>
        <w:t>El contrato y, en su caso, sus anexos</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9) </w:t>
      </w:r>
      <w:r w:rsidRPr="00EC3FE0">
        <w:rPr>
          <w:rFonts w:ascii="Palatino Linotype" w:eastAsia="Calibri" w:hAnsi="Palatino Linotype" w:cs="Times New Roman"/>
          <w:bCs/>
          <w:i/>
        </w:rPr>
        <w:t>La partida presupuestal, de conformidad con el clasificador por objeto del gasto, en el caso de ser aplicable</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Origen de los recursos especificando si son federales, estatales o municipales, así como el tipo de fondo de participación o aportación respectiva</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11) </w:t>
      </w:r>
      <w:r w:rsidRPr="00EC3FE0">
        <w:rPr>
          <w:rFonts w:ascii="Palatino Linotype" w:eastAsia="Calibri" w:hAnsi="Palatino Linotype" w:cs="Times New Roman"/>
          <w:bCs/>
          <w:i/>
        </w:rPr>
        <w:t>Los convenios modificatorios que, en su caso, sean firmados, precisando el objeto y la fecha de celebración</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12) </w:t>
      </w:r>
      <w:r w:rsidRPr="00EC3FE0">
        <w:rPr>
          <w:rFonts w:ascii="Palatino Linotype" w:eastAsia="Calibri" w:hAnsi="Palatino Linotype" w:cs="Times New Roman"/>
          <w:bCs/>
          <w:i/>
        </w:rPr>
        <w:t>Los informes de avance físico y financiero sobre las obras o servicios contratados</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13) </w:t>
      </w:r>
      <w:r w:rsidRPr="00EC3FE0">
        <w:rPr>
          <w:rFonts w:ascii="Palatino Linotype" w:eastAsia="Calibri" w:hAnsi="Palatino Linotype" w:cs="Times New Roman"/>
          <w:bCs/>
          <w:i/>
        </w:rPr>
        <w:t>El convenio de terminación</w:t>
      </w:r>
      <w:r w:rsidRPr="00C13913">
        <w:rPr>
          <w:rFonts w:ascii="Palatino Linotype" w:eastAsia="Calibri" w:hAnsi="Palatino Linotype" w:cs="Times New Roman"/>
          <w:b/>
          <w:i/>
        </w:rPr>
        <w:t xml:space="preserve">; y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14) </w:t>
      </w:r>
      <w:r w:rsidRPr="005E7014">
        <w:rPr>
          <w:rFonts w:ascii="Palatino Linotype" w:eastAsia="Calibri" w:hAnsi="Palatino Linotype" w:cs="Times New Roman"/>
          <w:b/>
          <w:i/>
        </w:rPr>
        <w:t>El finiquito.</w:t>
      </w:r>
      <w:r w:rsidRPr="00DB7325">
        <w:rPr>
          <w:rFonts w:ascii="Palatino Linotype" w:eastAsia="Calibri" w:hAnsi="Palatino Linotype" w:cs="Times New Roman"/>
          <w:bCs/>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DB7325">
        <w:rPr>
          <w:rFonts w:ascii="Palatino Linotype" w:eastAsia="Calibri" w:hAnsi="Palatino Linotype" w:cs="Times New Roman"/>
          <w:bCs/>
          <w:i/>
        </w:rPr>
        <w:t>b) De las adjudicaciones directas</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1) </w:t>
      </w:r>
      <w:r w:rsidRPr="00EC3FE0">
        <w:rPr>
          <w:rFonts w:ascii="Palatino Linotype" w:eastAsia="Calibri" w:hAnsi="Palatino Linotype" w:cs="Times New Roman"/>
          <w:bCs/>
          <w:i/>
        </w:rPr>
        <w:t>La propuesta enviada por el participante</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2) </w:t>
      </w:r>
      <w:r w:rsidRPr="00EC3FE0">
        <w:rPr>
          <w:rFonts w:ascii="Palatino Linotype" w:eastAsia="Calibri" w:hAnsi="Palatino Linotype" w:cs="Times New Roman"/>
          <w:bCs/>
          <w:i/>
        </w:rPr>
        <w:t>Los motivos y fundamentos legales aplicados para llevarla a cabo</w:t>
      </w:r>
      <w:r w:rsidRPr="00C13913">
        <w:rPr>
          <w:rFonts w:ascii="Palatino Linotype" w:eastAsia="Calibri" w:hAnsi="Palatino Linotype" w:cs="Times New Roman"/>
          <w:b/>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3) </w:t>
      </w:r>
      <w:r w:rsidRPr="00EC3FE0">
        <w:rPr>
          <w:rFonts w:ascii="Palatino Linotype" w:eastAsia="Calibri" w:hAnsi="Palatino Linotype" w:cs="Times New Roman"/>
          <w:bCs/>
          <w:i/>
        </w:rPr>
        <w:t>La autorización del ejercicio de la opción</w:t>
      </w:r>
      <w:r w:rsidRPr="00C13913">
        <w:rPr>
          <w:rFonts w:ascii="Palatino Linotype" w:eastAsia="Calibri" w:hAnsi="Palatino Linotype" w:cs="Times New Roman"/>
          <w:b/>
          <w:i/>
        </w:rPr>
        <w:t xml:space="preserve">;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4) </w:t>
      </w:r>
      <w:r w:rsidRPr="00DB7325">
        <w:rPr>
          <w:rFonts w:ascii="Palatino Linotype" w:eastAsia="Calibri" w:hAnsi="Palatino Linotype" w:cs="Times New Roman"/>
          <w:bCs/>
          <w:i/>
        </w:rPr>
        <w:t xml:space="preserve">En su caso, las cotizaciones consideradas, especificando los nombres de los proveedores y sus montos;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5) </w:t>
      </w:r>
      <w:r w:rsidRPr="005E7014">
        <w:rPr>
          <w:rFonts w:ascii="Palatino Linotype" w:eastAsia="Calibri" w:hAnsi="Palatino Linotype" w:cs="Times New Roman"/>
          <w:b/>
          <w:i/>
        </w:rPr>
        <w:t>El nombre de la persona física o jurídica colectiva adjudicada</w:t>
      </w:r>
      <w:r w:rsidRPr="00DB7325">
        <w:rPr>
          <w:rFonts w:ascii="Palatino Linotype" w:eastAsia="Calibri" w:hAnsi="Palatino Linotype" w:cs="Times New Roman"/>
          <w:bCs/>
          <w:i/>
        </w:rPr>
        <w:t xml:space="preserve">;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6) La unidad administrativa solicitante y la responsable de su ejecución;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DB7325">
        <w:rPr>
          <w:rFonts w:ascii="Palatino Linotype" w:eastAsia="Calibri" w:hAnsi="Palatino Linotype" w:cs="Times New Roman"/>
          <w:bCs/>
          <w:i/>
        </w:rPr>
        <w:t xml:space="preserve">7) </w:t>
      </w:r>
      <w:r w:rsidRPr="005E7014">
        <w:rPr>
          <w:rFonts w:ascii="Palatino Linotype" w:eastAsia="Calibri" w:hAnsi="Palatino Linotype" w:cs="Times New Roman"/>
          <w:b/>
          <w:i/>
        </w:rPr>
        <w:t>El número, fecha, el monto del contrato y el plazo de entrega o de ejecución de los servicios u obra</w:t>
      </w:r>
      <w:r w:rsidRPr="00DB7325">
        <w:rPr>
          <w:rFonts w:ascii="Palatino Linotype" w:eastAsia="Calibri" w:hAnsi="Palatino Linotype" w:cs="Times New Roman"/>
          <w:bCs/>
          <w:i/>
        </w:rPr>
        <w:t xml:space="preserve">; </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8) </w:t>
      </w:r>
      <w:r w:rsidRPr="00EC3FE0">
        <w:rPr>
          <w:rFonts w:ascii="Palatino Linotype" w:eastAsia="Calibri" w:hAnsi="Palatino Linotype" w:cs="Times New Roman"/>
          <w:bCs/>
          <w:i/>
        </w:rPr>
        <w:t>Los mecanismos de vigilancia y supervisión, incluyendo, en su caso, los estudios de impacto urbano y ambiental, según corresponda</w:t>
      </w:r>
      <w:r w:rsidRPr="00C13913">
        <w:rPr>
          <w:rFonts w:ascii="Palatino Linotype" w:eastAsia="Calibri" w:hAnsi="Palatino Linotype" w:cs="Times New Roman"/>
          <w:b/>
          <w:i/>
        </w:rPr>
        <w:t>;</w:t>
      </w:r>
    </w:p>
    <w:p w:rsidR="005B518C" w:rsidRDefault="005B518C" w:rsidP="005B518C">
      <w:pPr>
        <w:tabs>
          <w:tab w:val="left" w:pos="851"/>
        </w:tabs>
        <w:spacing w:before="120" w:after="120" w:line="240" w:lineRule="auto"/>
        <w:ind w:left="851" w:right="851"/>
        <w:jc w:val="both"/>
        <w:rPr>
          <w:rFonts w:ascii="Palatino Linotype" w:eastAsia="Calibri" w:hAnsi="Palatino Linotype" w:cs="Times New Roman"/>
          <w:b/>
          <w:i/>
        </w:rPr>
      </w:pPr>
      <w:r w:rsidRPr="00C13913">
        <w:rPr>
          <w:rFonts w:ascii="Palatino Linotype" w:eastAsia="Calibri" w:hAnsi="Palatino Linotype" w:cs="Times New Roman"/>
          <w:b/>
          <w:i/>
        </w:rPr>
        <w:t xml:space="preserve"> 9) </w:t>
      </w:r>
      <w:r w:rsidRPr="00EC3FE0">
        <w:rPr>
          <w:rFonts w:ascii="Palatino Linotype" w:eastAsia="Calibri" w:hAnsi="Palatino Linotype" w:cs="Times New Roman"/>
          <w:bCs/>
          <w:i/>
        </w:rPr>
        <w:t>Los informes de avance sobre las obras o servicios contratados</w:t>
      </w:r>
      <w:r w:rsidRPr="00C13913">
        <w:rPr>
          <w:rFonts w:ascii="Palatino Linotype" w:eastAsia="Calibri" w:hAnsi="Palatino Linotype" w:cs="Times New Roman"/>
          <w:b/>
          <w:i/>
        </w:rPr>
        <w:t xml:space="preserve">;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Times New Roman"/>
          <w:bCs/>
          <w:i/>
        </w:rPr>
      </w:pPr>
      <w:r w:rsidRPr="00C13913">
        <w:rPr>
          <w:rFonts w:ascii="Palatino Linotype" w:eastAsia="Calibri" w:hAnsi="Palatino Linotype" w:cs="Times New Roman"/>
          <w:b/>
          <w:i/>
        </w:rPr>
        <w:t xml:space="preserve">10) </w:t>
      </w:r>
      <w:r w:rsidRPr="00EC3FE0">
        <w:rPr>
          <w:rFonts w:ascii="Palatino Linotype" w:eastAsia="Calibri" w:hAnsi="Palatino Linotype" w:cs="Times New Roman"/>
          <w:bCs/>
          <w:i/>
        </w:rPr>
        <w:t>El convenio de terminación</w:t>
      </w:r>
      <w:r w:rsidRPr="00DB7325">
        <w:rPr>
          <w:rFonts w:ascii="Palatino Linotype" w:eastAsia="Calibri" w:hAnsi="Palatino Linotype" w:cs="Times New Roman"/>
          <w:bCs/>
          <w:i/>
        </w:rPr>
        <w:t xml:space="preserve">; y </w:t>
      </w:r>
    </w:p>
    <w:p w:rsidR="005B518C" w:rsidRPr="00DB7325" w:rsidRDefault="005B518C" w:rsidP="005B518C">
      <w:pPr>
        <w:tabs>
          <w:tab w:val="left" w:pos="851"/>
        </w:tabs>
        <w:spacing w:before="120" w:after="120" w:line="240" w:lineRule="auto"/>
        <w:ind w:left="851" w:right="851"/>
        <w:jc w:val="both"/>
        <w:rPr>
          <w:rFonts w:ascii="Palatino Linotype" w:eastAsia="Calibri" w:hAnsi="Palatino Linotype" w:cs="Arial"/>
          <w:bCs/>
          <w:i/>
        </w:rPr>
      </w:pPr>
      <w:r w:rsidRPr="00DB7325">
        <w:rPr>
          <w:rFonts w:ascii="Palatino Linotype" w:eastAsia="Calibri" w:hAnsi="Palatino Linotype" w:cs="Times New Roman"/>
          <w:bCs/>
          <w:i/>
        </w:rPr>
        <w:lastRenderedPageBreak/>
        <w:t xml:space="preserve">11) </w:t>
      </w:r>
      <w:r w:rsidRPr="005E7014">
        <w:rPr>
          <w:rFonts w:ascii="Palatino Linotype" w:eastAsia="Calibri" w:hAnsi="Palatino Linotype" w:cs="Times New Roman"/>
          <w:b/>
          <w:i/>
        </w:rPr>
        <w:t>El finiquito</w:t>
      </w:r>
      <w:r w:rsidRPr="00DB7325">
        <w:rPr>
          <w:rFonts w:ascii="Palatino Linotype" w:eastAsia="Calibri" w:hAnsi="Palatino Linotype" w:cs="Times New Roman"/>
          <w:bCs/>
          <w:i/>
        </w:rPr>
        <w:t>.;</w:t>
      </w:r>
    </w:p>
    <w:p w:rsidR="005B518C" w:rsidRDefault="005B518C" w:rsidP="005B518C">
      <w:pPr>
        <w:tabs>
          <w:tab w:val="left" w:pos="851"/>
        </w:tabs>
        <w:spacing w:before="120" w:after="120"/>
        <w:ind w:left="851" w:right="709"/>
        <w:jc w:val="both"/>
        <w:rPr>
          <w:rFonts w:ascii="Palatino Linotype" w:hAnsi="Palatino Linotype"/>
          <w:b/>
          <w:i/>
        </w:rPr>
      </w:pPr>
    </w:p>
    <w:p w:rsidR="005B518C" w:rsidRPr="00643C1D" w:rsidRDefault="005B518C" w:rsidP="005B518C">
      <w:pPr>
        <w:tabs>
          <w:tab w:val="left" w:pos="851"/>
        </w:tabs>
        <w:spacing w:before="120" w:after="120"/>
        <w:ind w:left="851" w:right="709"/>
        <w:jc w:val="both"/>
        <w:rPr>
          <w:rFonts w:ascii="Palatino Linotype" w:hAnsi="Palatino Linotype" w:cs="Arial"/>
          <w:i/>
        </w:rPr>
      </w:pPr>
      <w:r w:rsidRPr="00447311">
        <w:rPr>
          <w:rFonts w:ascii="Palatino Linotype" w:hAnsi="Palatino Linotype"/>
          <w:b/>
          <w:i/>
        </w:rPr>
        <w:t>XXXII.</w:t>
      </w:r>
      <w:r w:rsidRPr="00447311">
        <w:rPr>
          <w:rFonts w:ascii="Palatino Linotype" w:hAnsi="Palatino Linotype"/>
          <w:i/>
        </w:rPr>
        <w:t xml:space="preserve"> Las concesiones, </w:t>
      </w:r>
      <w:r w:rsidRPr="00E44607">
        <w:rPr>
          <w:rFonts w:ascii="Palatino Linotype" w:hAnsi="Palatino Linotype"/>
          <w:b/>
          <w:i/>
          <w:u w:val="single"/>
        </w:rPr>
        <w:t xml:space="preserve">contratos, </w:t>
      </w:r>
      <w:r w:rsidRPr="00D305A5">
        <w:rPr>
          <w:rFonts w:ascii="Palatino Linotype" w:hAnsi="Palatino Linotype"/>
          <w:b/>
          <w:bCs/>
          <w:i/>
          <w:u w:val="single"/>
        </w:rPr>
        <w:t>convenios</w:t>
      </w:r>
      <w:r w:rsidRPr="00D305A5">
        <w:rPr>
          <w:rFonts w:ascii="Palatino Linotype" w:hAnsi="Palatino Linotype"/>
          <w:b/>
          <w:i/>
          <w:u w:val="single"/>
        </w:rPr>
        <w:t>, permisos, licencias o autorizaciones otorgados, especificando</w:t>
      </w:r>
      <w:r w:rsidRPr="00447311">
        <w:rPr>
          <w:rFonts w:ascii="Palatino Linotype" w:hAnsi="Palatino Linotype"/>
          <w:b/>
          <w:i/>
          <w:u w:val="single"/>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447311">
        <w:rPr>
          <w:rFonts w:ascii="Palatino Linotype" w:hAnsi="Palatino Linotype"/>
          <w:i/>
        </w:rPr>
        <w:t>;</w:t>
      </w:r>
    </w:p>
    <w:p w:rsidR="005B518C" w:rsidRPr="00643C1D" w:rsidRDefault="00EE3FBD" w:rsidP="005B518C">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                                                                                                                                                          </w:t>
      </w:r>
    </w:p>
    <w:p w:rsidR="005B518C" w:rsidRDefault="005B518C" w:rsidP="005B518C">
      <w:pPr>
        <w:spacing w:after="0" w:line="360" w:lineRule="auto"/>
        <w:jc w:val="both"/>
        <w:rPr>
          <w:rFonts w:ascii="Palatino Linotype" w:hAnsi="Palatino Linotype" w:cs="Arial"/>
          <w:sz w:val="24"/>
          <w:szCs w:val="24"/>
        </w:rPr>
      </w:pPr>
      <w:r w:rsidRPr="00643C1D">
        <w:rPr>
          <w:rFonts w:ascii="Palatino Linotype" w:hAnsi="Palatino Linotype"/>
          <w:sz w:val="24"/>
          <w:szCs w:val="24"/>
        </w:rPr>
        <w:t>De</w:t>
      </w:r>
      <w:r>
        <w:rPr>
          <w:rFonts w:ascii="Palatino Linotype" w:hAnsi="Palatino Linotype"/>
          <w:sz w:val="24"/>
          <w:szCs w:val="24"/>
        </w:rPr>
        <w:t>l</w:t>
      </w:r>
      <w:r w:rsidRPr="00643C1D">
        <w:rPr>
          <w:rFonts w:ascii="Palatino Linotype" w:hAnsi="Palatino Linotype"/>
          <w:sz w:val="24"/>
          <w:szCs w:val="24"/>
        </w:rPr>
        <w:t xml:space="preserve"> numeral</w:t>
      </w:r>
      <w:r>
        <w:rPr>
          <w:rFonts w:ascii="Palatino Linotype" w:hAnsi="Palatino Linotype"/>
          <w:sz w:val="24"/>
          <w:szCs w:val="24"/>
        </w:rPr>
        <w:t xml:space="preserve"> citado</w:t>
      </w:r>
      <w:r w:rsidRPr="00643C1D">
        <w:rPr>
          <w:rFonts w:ascii="Palatino Linotype" w:hAnsi="Palatino Linotype"/>
          <w:sz w:val="24"/>
          <w:szCs w:val="24"/>
        </w:rPr>
        <w:t xml:space="preserve">, se observa que </w:t>
      </w:r>
      <w:r w:rsidRPr="00643C1D">
        <w:rPr>
          <w:rFonts w:ascii="Palatino Linotype" w:hAnsi="Palatino Linotype" w:cs="Arial"/>
          <w:sz w:val="24"/>
          <w:szCs w:val="24"/>
          <w:lang w:eastAsia="es-MX"/>
        </w:rPr>
        <w:t xml:space="preserve">la información solicitada forma parte de las Obligaciones de Transparencia Comunes de los Sujetos Obligados, las cuales deben </w:t>
      </w:r>
      <w:r w:rsidRPr="00643C1D">
        <w:rPr>
          <w:rFonts w:ascii="Palatino Linotype" w:hAnsi="Palatino Linotype" w:cs="Arial"/>
          <w:sz w:val="24"/>
          <w:szCs w:val="24"/>
        </w:rPr>
        <w:t>poner a disposición de manera permanente y actualizada en los respectivos medios electrónicos</w:t>
      </w:r>
      <w:r>
        <w:rPr>
          <w:rFonts w:ascii="Palatino Linotype" w:hAnsi="Palatino Linotype" w:cs="Arial"/>
          <w:sz w:val="24"/>
          <w:szCs w:val="24"/>
        </w:rPr>
        <w:t xml:space="preserve">, como lo es </w:t>
      </w:r>
      <w:r w:rsidRPr="00FC531E">
        <w:rPr>
          <w:rFonts w:ascii="Palatino Linotype" w:hAnsi="Palatino Linotype" w:cs="Arial"/>
          <w:sz w:val="24"/>
          <w:szCs w:val="24"/>
        </w:rPr>
        <w:t>el portal de Información Públic</w:t>
      </w:r>
      <w:r>
        <w:rPr>
          <w:rFonts w:ascii="Palatino Linotype" w:hAnsi="Palatino Linotype" w:cs="Arial"/>
          <w:sz w:val="24"/>
          <w:szCs w:val="24"/>
        </w:rPr>
        <w:t>a de Oficio Mexiquense (IPOMEX) y por tanto el Sujeto Obligado es</w:t>
      </w:r>
      <w:r w:rsidRPr="00E44607">
        <w:t xml:space="preserve"> </w:t>
      </w:r>
      <w:r w:rsidRPr="00E44607">
        <w:rPr>
          <w:rFonts w:ascii="Palatino Linotype" w:hAnsi="Palatino Linotype" w:cs="Arial"/>
          <w:sz w:val="24"/>
          <w:szCs w:val="24"/>
        </w:rPr>
        <w:t>competente para conocer de la información requerida</w:t>
      </w:r>
      <w:r>
        <w:rPr>
          <w:rFonts w:ascii="Palatino Linotype" w:hAnsi="Palatino Linotype" w:cs="Arial"/>
          <w:sz w:val="24"/>
          <w:szCs w:val="24"/>
        </w:rPr>
        <w:t>.</w:t>
      </w:r>
    </w:p>
    <w:p w:rsidR="005B518C" w:rsidRDefault="005B518C" w:rsidP="00875DC4">
      <w:pPr>
        <w:spacing w:line="360" w:lineRule="auto"/>
        <w:jc w:val="both"/>
        <w:rPr>
          <w:rFonts w:ascii="Palatino Linotype" w:eastAsia="Calibri" w:hAnsi="Palatino Linotype" w:cs="Tahoma"/>
          <w:lang w:eastAsia="es-ES_tradnl"/>
        </w:rPr>
      </w:pPr>
    </w:p>
    <w:p w:rsidR="00875DC4" w:rsidRPr="006B284F" w:rsidRDefault="00875DC4" w:rsidP="00875DC4">
      <w:pPr>
        <w:spacing w:line="360" w:lineRule="auto"/>
        <w:ind w:right="-93"/>
        <w:jc w:val="both"/>
        <w:rPr>
          <w:rFonts w:ascii="Palatino Linotype" w:hAnsi="Palatino Linotype" w:cs="Tahoma"/>
          <w:b/>
          <w:sz w:val="24"/>
          <w:szCs w:val="24"/>
        </w:rPr>
      </w:pPr>
      <w:r w:rsidRPr="006B284F">
        <w:rPr>
          <w:rFonts w:ascii="Palatino Linotype" w:hAnsi="Palatino Linotype" w:cs="Tahoma"/>
          <w:b/>
          <w:sz w:val="24"/>
          <w:szCs w:val="24"/>
        </w:rPr>
        <w:t>Versión Pública</w:t>
      </w:r>
    </w:p>
    <w:p w:rsidR="00875DC4" w:rsidRPr="006B284F" w:rsidRDefault="00875DC4" w:rsidP="00875DC4">
      <w:pPr>
        <w:spacing w:line="360" w:lineRule="auto"/>
        <w:ind w:right="-93"/>
        <w:jc w:val="both"/>
        <w:rPr>
          <w:rFonts w:ascii="Palatino Linotype" w:eastAsia="Calibri" w:hAnsi="Palatino Linotype" w:cs="Tahoma"/>
          <w:bCs/>
          <w:iCs/>
          <w:sz w:val="24"/>
          <w:szCs w:val="24"/>
          <w:lang w:eastAsia="es-ES_tradnl"/>
        </w:rPr>
      </w:pPr>
    </w:p>
    <w:p w:rsidR="00875DC4" w:rsidRPr="006B284F" w:rsidRDefault="00875DC4" w:rsidP="00875DC4">
      <w:pPr>
        <w:spacing w:line="360" w:lineRule="auto"/>
        <w:ind w:right="-93"/>
        <w:jc w:val="both"/>
        <w:rPr>
          <w:rFonts w:ascii="Palatino Linotype" w:eastAsia="Calibri" w:hAnsi="Palatino Linotype" w:cs="Tahoma"/>
          <w:bCs/>
          <w:iCs/>
          <w:sz w:val="24"/>
          <w:szCs w:val="24"/>
          <w:lang w:eastAsia="es-ES_tradnl"/>
        </w:rPr>
      </w:pPr>
      <w:r w:rsidRPr="006B284F">
        <w:rPr>
          <w:rFonts w:ascii="Palatino Linotype" w:eastAsia="Calibri" w:hAnsi="Palatino Linotype" w:cs="Tahoma"/>
          <w:bCs/>
          <w:iCs/>
          <w:sz w:val="24"/>
          <w:szCs w:val="24"/>
          <w:lang w:eastAsia="es-ES_tradnl"/>
        </w:rPr>
        <w:t xml:space="preserve">No se deja de lado que, es </w:t>
      </w:r>
      <w:r w:rsidRPr="006B284F">
        <w:rPr>
          <w:rFonts w:ascii="Palatino Linotype" w:eastAsia="Calibri" w:hAnsi="Palatino Linotype" w:cs="Tahoma"/>
          <w:bCs/>
          <w:sz w:val="24"/>
          <w:szCs w:val="24"/>
          <w:lang w:val="es-ES_tradnl"/>
        </w:rPr>
        <w:t>posible</w:t>
      </w:r>
      <w:r w:rsidRPr="006B284F">
        <w:rPr>
          <w:rFonts w:ascii="Palatino Linotype" w:eastAsia="Calibri" w:hAnsi="Palatino Linotype" w:cs="Tahoma"/>
          <w:bCs/>
          <w:iCs/>
          <w:sz w:val="24"/>
          <w:szCs w:val="24"/>
          <w:lang w:eastAsia="es-ES_tradnl"/>
        </w:rPr>
        <w:t xml:space="preserve"> que los documentos que den cuenta de la información, que se ordena entregar pudiera contener información clasificada,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de la Ley de Transparencia y Acceso a la </w:t>
      </w:r>
      <w:r w:rsidRPr="006B284F">
        <w:rPr>
          <w:rFonts w:ascii="Palatino Linotype" w:eastAsia="Calibri" w:hAnsi="Palatino Linotype" w:cs="Tahoma"/>
          <w:bCs/>
          <w:iCs/>
          <w:sz w:val="24"/>
          <w:szCs w:val="24"/>
          <w:lang w:eastAsia="es-ES_tradnl"/>
        </w:rPr>
        <w:lastRenderedPageBreak/>
        <w:t>Información Pública del Estado de México y Municipios, en relación con lo establecido en los Lineamientos Generales en materia de Clasificación y Desclasificación de la Información, así como para Elaboración de Versiones Públicas.</w:t>
      </w:r>
    </w:p>
    <w:p w:rsidR="002A2D68" w:rsidRPr="006B284F" w:rsidRDefault="002A2D68" w:rsidP="00875DC4">
      <w:pPr>
        <w:spacing w:line="360" w:lineRule="auto"/>
        <w:ind w:right="-93"/>
        <w:jc w:val="both"/>
        <w:rPr>
          <w:rFonts w:ascii="Palatino Linotype" w:eastAsia="Calibri" w:hAnsi="Palatino Linotype" w:cs="Tahoma"/>
          <w:bCs/>
          <w:iCs/>
          <w:sz w:val="24"/>
          <w:szCs w:val="24"/>
          <w:lang w:eastAsia="es-ES_tradnl"/>
        </w:rPr>
      </w:pPr>
    </w:p>
    <w:p w:rsidR="00875DC4" w:rsidRPr="006B284F" w:rsidRDefault="006B284F" w:rsidP="00875DC4">
      <w:pPr>
        <w:tabs>
          <w:tab w:val="left" w:pos="4962"/>
        </w:tabs>
        <w:spacing w:line="360" w:lineRule="auto"/>
        <w:jc w:val="both"/>
        <w:rPr>
          <w:rFonts w:ascii="Palatino Linotype" w:eastAsia="Calibri" w:hAnsi="Palatino Linotype" w:cs="Tahoma"/>
          <w:b/>
          <w:iCs/>
          <w:sz w:val="24"/>
          <w:szCs w:val="24"/>
          <w:lang w:eastAsia="es-ES_tradnl"/>
        </w:rPr>
      </w:pPr>
      <w:r w:rsidRPr="006B284F">
        <w:rPr>
          <w:rFonts w:ascii="Palatino Linotype" w:eastAsia="Calibri" w:hAnsi="Palatino Linotype" w:cs="Tahoma"/>
          <w:b/>
          <w:iCs/>
          <w:sz w:val="24"/>
          <w:szCs w:val="24"/>
          <w:lang w:eastAsia="es-ES_tradnl"/>
        </w:rPr>
        <w:t>QUINTO</w:t>
      </w:r>
      <w:r w:rsidR="00875DC4" w:rsidRPr="006B284F">
        <w:rPr>
          <w:rFonts w:ascii="Palatino Linotype" w:eastAsia="Calibri" w:hAnsi="Palatino Linotype" w:cs="Tahoma"/>
          <w:b/>
          <w:iCs/>
          <w:sz w:val="24"/>
          <w:szCs w:val="24"/>
          <w:lang w:eastAsia="es-ES_tradnl"/>
        </w:rPr>
        <w:t xml:space="preserve">. Vista a la Contraloría Interna y Órgano de Control y Vigilancia. </w:t>
      </w:r>
    </w:p>
    <w:p w:rsidR="00875DC4" w:rsidRPr="006B284F" w:rsidRDefault="00875DC4" w:rsidP="00875DC4">
      <w:pPr>
        <w:spacing w:line="360" w:lineRule="auto"/>
        <w:ind w:right="-93"/>
        <w:jc w:val="both"/>
        <w:rPr>
          <w:rFonts w:ascii="Palatino Linotype" w:hAnsi="Palatino Linotype" w:cs="Tahoma"/>
          <w:sz w:val="24"/>
          <w:szCs w:val="24"/>
        </w:rPr>
      </w:pPr>
    </w:p>
    <w:p w:rsidR="00875DC4" w:rsidRPr="006B284F" w:rsidRDefault="00875DC4" w:rsidP="00875DC4">
      <w:pPr>
        <w:spacing w:line="360" w:lineRule="auto"/>
        <w:ind w:right="-93"/>
        <w:jc w:val="both"/>
        <w:rPr>
          <w:rFonts w:ascii="Palatino Linotype" w:hAnsi="Palatino Linotype" w:cs="Tahoma"/>
          <w:sz w:val="24"/>
          <w:szCs w:val="24"/>
        </w:rPr>
      </w:pPr>
      <w:r w:rsidRPr="006B284F">
        <w:rPr>
          <w:rFonts w:ascii="Palatino Linotype" w:hAnsi="Palatino Linotype" w:cs="Tahoma"/>
          <w:sz w:val="24"/>
          <w:szCs w:val="24"/>
        </w:rPr>
        <w:t xml:space="preserve">En el caso en estudio, ha quedado acreditado que el </w:t>
      </w:r>
      <w:r w:rsidRPr="006B284F">
        <w:rPr>
          <w:rFonts w:ascii="Palatino Linotype" w:eastAsia="Calibri" w:hAnsi="Palatino Linotype" w:cs="Tahoma"/>
          <w:iCs/>
          <w:sz w:val="24"/>
          <w:szCs w:val="24"/>
          <w:lang w:val="es-ES" w:eastAsia="es-ES_tradnl"/>
        </w:rPr>
        <w:t xml:space="preserve">Ayuntamiento de </w:t>
      </w:r>
      <w:r w:rsidR="00441515" w:rsidRPr="006B284F">
        <w:rPr>
          <w:rFonts w:ascii="Palatino Linotype" w:eastAsia="Calibri" w:hAnsi="Palatino Linotype" w:cs="Tahoma"/>
          <w:iCs/>
          <w:sz w:val="24"/>
          <w:szCs w:val="24"/>
          <w:lang w:val="es-ES" w:eastAsia="es-ES_tradnl"/>
        </w:rPr>
        <w:t>Ecatepec de Morelos</w:t>
      </w:r>
      <w:r w:rsidRPr="006B284F">
        <w:rPr>
          <w:rFonts w:ascii="Palatino Linotype" w:eastAsia="Calibri" w:hAnsi="Palatino Linotype" w:cs="Tahoma"/>
          <w:iCs/>
          <w:sz w:val="24"/>
          <w:szCs w:val="24"/>
          <w:lang w:val="es-ES" w:eastAsia="es-ES_tradnl"/>
        </w:rPr>
        <w:t xml:space="preserve"> </w:t>
      </w:r>
      <w:r w:rsidRPr="006B284F">
        <w:rPr>
          <w:rFonts w:ascii="Palatino Linotype" w:hAnsi="Palatino Linotype" w:cs="Tahoma"/>
          <w:sz w:val="24"/>
          <w:szCs w:val="24"/>
        </w:rPr>
        <w:t>omitió dar respuesta en el plazo señalado en el artículo 163 de la Ley de Transparencia y Acceso a la Información Pública del Estado de México y Municipios.</w:t>
      </w:r>
    </w:p>
    <w:p w:rsidR="00875DC4" w:rsidRPr="006B284F" w:rsidRDefault="00875DC4" w:rsidP="00875DC4">
      <w:pPr>
        <w:spacing w:line="360" w:lineRule="auto"/>
        <w:ind w:right="-93"/>
        <w:jc w:val="both"/>
        <w:rPr>
          <w:rFonts w:ascii="Palatino Linotype" w:hAnsi="Palatino Linotype" w:cs="Tahoma"/>
          <w:sz w:val="24"/>
          <w:szCs w:val="24"/>
        </w:rPr>
      </w:pPr>
    </w:p>
    <w:p w:rsidR="00875DC4" w:rsidRPr="006B284F" w:rsidRDefault="00875DC4" w:rsidP="00875DC4">
      <w:pPr>
        <w:spacing w:line="360" w:lineRule="auto"/>
        <w:ind w:right="-93"/>
        <w:jc w:val="both"/>
        <w:rPr>
          <w:rFonts w:ascii="Palatino Linotype" w:eastAsia="Calibri" w:hAnsi="Palatino Linotype" w:cs="Tahoma"/>
          <w:bCs/>
          <w:sz w:val="24"/>
          <w:szCs w:val="24"/>
        </w:rPr>
      </w:pPr>
      <w:r w:rsidRPr="006B284F">
        <w:rPr>
          <w:rFonts w:ascii="Palatino Linotype" w:hAnsi="Palatino Linotype" w:cs="Tahoma"/>
          <w:sz w:val="24"/>
          <w:szCs w:val="24"/>
        </w:rPr>
        <w:t>Al respecto, el artículo 36, fracción X, del ordenamiento jurídico en cita, establece que es atribución de este Instituto hacer del conocimiento del Órgano Interno de Control o equivalente de cada Sujeto Obligado las infracciones a esta Ley.</w:t>
      </w:r>
      <w:r w:rsidRPr="006B284F">
        <w:rPr>
          <w:rFonts w:ascii="Palatino Linotype" w:eastAsia="Calibri" w:hAnsi="Palatino Linotype" w:cs="Tahoma"/>
          <w:bCs/>
          <w:sz w:val="24"/>
          <w:szCs w:val="24"/>
        </w:rPr>
        <w:t xml:space="preserve"> En ese sentido, de conformidad con lo previsto en el artículo 222, fracción II, de dicho ordenamiento, son causas de responsabilidad administrativa los incumplimiento de las obligaciones establecida en la Ley de la materia, entre otras conductas, la falta de respuesta a las solicitudes de información en los plazos señalados, a saber, dentro de los quince días siguientes a la presentación del requerimiento.</w:t>
      </w:r>
    </w:p>
    <w:p w:rsidR="00875DC4" w:rsidRPr="006B284F" w:rsidRDefault="00875DC4" w:rsidP="00875DC4">
      <w:pPr>
        <w:spacing w:line="360" w:lineRule="auto"/>
        <w:ind w:right="-93"/>
        <w:jc w:val="both"/>
        <w:rPr>
          <w:rFonts w:ascii="Palatino Linotype" w:eastAsia="Calibri" w:hAnsi="Palatino Linotype" w:cs="Tahoma"/>
          <w:bCs/>
          <w:sz w:val="24"/>
          <w:szCs w:val="24"/>
        </w:rPr>
      </w:pPr>
    </w:p>
    <w:p w:rsidR="00875DC4" w:rsidRPr="006B284F" w:rsidRDefault="00875DC4" w:rsidP="00875DC4">
      <w:pPr>
        <w:spacing w:line="360" w:lineRule="auto"/>
        <w:ind w:right="-93"/>
        <w:jc w:val="both"/>
        <w:rPr>
          <w:rFonts w:ascii="Palatino Linotype" w:eastAsia="Calibri" w:hAnsi="Palatino Linotype" w:cs="Tahoma"/>
          <w:bCs/>
          <w:sz w:val="24"/>
          <w:szCs w:val="24"/>
        </w:rPr>
      </w:pPr>
      <w:r w:rsidRPr="006B284F">
        <w:rPr>
          <w:rFonts w:ascii="Palatino Linotype" w:eastAsia="Calibri" w:hAnsi="Palatino Linotype" w:cs="Tahoma"/>
          <w:bCs/>
          <w:sz w:val="24"/>
          <w:szCs w:val="24"/>
        </w:rPr>
        <w:t xml:space="preserve">Por su parte, el artículo 223 de la Ley de Transparencia y Acceso a la Información Pública del Estado de México y Municipios, prevé que este Instituto deberá dar vista a </w:t>
      </w:r>
      <w:r w:rsidRPr="006B284F">
        <w:rPr>
          <w:rFonts w:ascii="Palatino Linotype" w:eastAsia="Calibri" w:hAnsi="Palatino Linotype" w:cs="Tahoma"/>
          <w:bCs/>
          <w:sz w:val="24"/>
          <w:szCs w:val="24"/>
        </w:rPr>
        <w:lastRenderedPageBreak/>
        <w:t>la Contraloría Interna, con el fin de que determine el grado de responsabilidad de los servidores públicos que incumplan con las obligaciones establecidas en la Ley.</w:t>
      </w:r>
    </w:p>
    <w:p w:rsidR="00875DC4" w:rsidRPr="006B284F" w:rsidRDefault="00875DC4" w:rsidP="00875DC4">
      <w:pPr>
        <w:spacing w:line="360" w:lineRule="auto"/>
        <w:ind w:right="-93"/>
        <w:jc w:val="both"/>
        <w:rPr>
          <w:rFonts w:ascii="Palatino Linotype" w:eastAsia="Calibri" w:hAnsi="Palatino Linotype" w:cs="Tahoma"/>
          <w:bCs/>
          <w:sz w:val="24"/>
          <w:szCs w:val="24"/>
        </w:rPr>
      </w:pPr>
    </w:p>
    <w:p w:rsidR="00875DC4" w:rsidRPr="006B284F" w:rsidRDefault="00875DC4" w:rsidP="00875DC4">
      <w:pPr>
        <w:spacing w:line="360" w:lineRule="auto"/>
        <w:ind w:right="-93"/>
        <w:jc w:val="both"/>
        <w:rPr>
          <w:rFonts w:ascii="Palatino Linotype" w:eastAsia="Calibri" w:hAnsi="Palatino Linotype" w:cs="Tahoma"/>
          <w:bCs/>
          <w:sz w:val="24"/>
          <w:szCs w:val="24"/>
        </w:rPr>
      </w:pPr>
      <w:r w:rsidRPr="006B284F">
        <w:rPr>
          <w:rFonts w:ascii="Palatino Linotype" w:eastAsia="Calibri" w:hAnsi="Palatino Linotype" w:cs="Tahoma"/>
          <w:bCs/>
          <w:sz w:val="24"/>
          <w:szCs w:val="24"/>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6B284F">
        <w:rPr>
          <w:rFonts w:ascii="Palatino Linotype" w:eastAsia="Calibri" w:hAnsi="Palatino Linotype" w:cs="Tahoma"/>
          <w:bCs/>
          <w:sz w:val="24"/>
          <w:szCs w:val="24"/>
          <w:lang w:val="es-ES_tradnl"/>
        </w:rPr>
        <w:t>al Contralor Interno y Titular del Órgano de Control y Vigilancia de este Instituto</w:t>
      </w:r>
      <w:r w:rsidRPr="006B284F">
        <w:rPr>
          <w:rFonts w:ascii="Palatino Linotype" w:eastAsia="Calibri" w:hAnsi="Palatino Linotype" w:cs="Tahoma"/>
          <w:bCs/>
          <w:sz w:val="24"/>
          <w:szCs w:val="24"/>
        </w:rPr>
        <w:t>.</w:t>
      </w:r>
    </w:p>
    <w:p w:rsidR="00875DC4" w:rsidRPr="006B284F" w:rsidRDefault="00875DC4" w:rsidP="00875DC4">
      <w:pPr>
        <w:tabs>
          <w:tab w:val="left" w:pos="4962"/>
        </w:tabs>
        <w:spacing w:line="360" w:lineRule="auto"/>
        <w:jc w:val="both"/>
        <w:rPr>
          <w:rFonts w:ascii="Palatino Linotype" w:eastAsia="Calibri" w:hAnsi="Palatino Linotype" w:cs="Tahoma"/>
          <w:sz w:val="24"/>
          <w:szCs w:val="24"/>
          <w:lang w:eastAsia="es-ES_tradnl"/>
        </w:rPr>
      </w:pPr>
    </w:p>
    <w:p w:rsidR="00875DC4" w:rsidRPr="006B284F" w:rsidRDefault="00875DC4" w:rsidP="00875DC4">
      <w:pPr>
        <w:spacing w:line="360" w:lineRule="auto"/>
        <w:jc w:val="both"/>
        <w:rPr>
          <w:rFonts w:ascii="Palatino Linotype" w:hAnsi="Palatino Linotype" w:cs="Tahoma"/>
          <w:sz w:val="24"/>
          <w:szCs w:val="24"/>
        </w:rPr>
      </w:pPr>
      <w:r w:rsidRPr="006B284F">
        <w:rPr>
          <w:rFonts w:ascii="Palatino Linotype" w:hAnsi="Palatino Linotype" w:cs="Tahoma"/>
          <w:sz w:val="24"/>
          <w:szCs w:val="24"/>
        </w:rPr>
        <w:t xml:space="preserve">Por lo antes expuesto y fundado. </w:t>
      </w:r>
    </w:p>
    <w:p w:rsidR="00124810" w:rsidRPr="00124810" w:rsidRDefault="00124810" w:rsidP="00124810">
      <w:pPr>
        <w:tabs>
          <w:tab w:val="left" w:pos="8931"/>
        </w:tabs>
        <w:spacing w:before="240" w:line="360" w:lineRule="auto"/>
        <w:ind w:right="51"/>
        <w:jc w:val="both"/>
        <w:rPr>
          <w:rFonts w:ascii="Palatino Linotype" w:hAnsi="Palatino Linotype"/>
          <w:sz w:val="24"/>
          <w:szCs w:val="24"/>
        </w:rPr>
      </w:pPr>
    </w:p>
    <w:p w:rsidR="00EF4493" w:rsidRPr="008C77C0" w:rsidRDefault="00EF4493" w:rsidP="00EF4493">
      <w:pPr>
        <w:spacing w:before="240" w:after="240" w:line="360" w:lineRule="auto"/>
        <w:jc w:val="center"/>
        <w:rPr>
          <w:rFonts w:ascii="Palatino Linotype" w:hAnsi="Palatino Linotype"/>
          <w:b/>
          <w:spacing w:val="60"/>
          <w:sz w:val="28"/>
        </w:rPr>
      </w:pPr>
      <w:r w:rsidRPr="008C77C0">
        <w:rPr>
          <w:rFonts w:ascii="Palatino Linotype" w:hAnsi="Palatino Linotype"/>
          <w:b/>
          <w:spacing w:val="60"/>
          <w:sz w:val="28"/>
        </w:rPr>
        <w:t>S E  RESUELVE</w:t>
      </w:r>
    </w:p>
    <w:p w:rsidR="0019756E" w:rsidRPr="008C77C0" w:rsidRDefault="0019756E" w:rsidP="0019756E">
      <w:pPr>
        <w:shd w:val="clear" w:color="auto" w:fill="FFFFFF" w:themeFill="background1"/>
        <w:spacing w:line="360" w:lineRule="auto"/>
        <w:jc w:val="both"/>
        <w:rPr>
          <w:rFonts w:ascii="Palatino Linotype" w:eastAsia="Calibri" w:hAnsi="Palatino Linotype" w:cs="Tahoma"/>
          <w:bCs/>
        </w:rPr>
      </w:pPr>
      <w:r w:rsidRPr="008C77C0">
        <w:rPr>
          <w:rFonts w:ascii="Palatino Linotype" w:hAnsi="Palatino Linotype" w:cs="Tahoma"/>
          <w:b/>
          <w:bCs/>
          <w:sz w:val="28"/>
        </w:rPr>
        <w:t xml:space="preserve">PRIMERO. </w:t>
      </w:r>
      <w:r w:rsidRPr="008C77C0">
        <w:rPr>
          <w:rFonts w:ascii="Palatino Linotype" w:eastAsia="Calibri" w:hAnsi="Palatino Linotype" w:cs="Tahoma"/>
          <w:bCs/>
          <w:sz w:val="24"/>
        </w:rPr>
        <w:t xml:space="preserve">Resultan </w:t>
      </w:r>
      <w:r w:rsidRPr="008C77C0">
        <w:rPr>
          <w:rFonts w:ascii="Palatino Linotype" w:eastAsia="Calibri" w:hAnsi="Palatino Linotype" w:cs="Tahoma"/>
          <w:b/>
          <w:bCs/>
          <w:sz w:val="24"/>
        </w:rPr>
        <w:t>FUNDADAS</w:t>
      </w:r>
      <w:r w:rsidRPr="008C77C0">
        <w:rPr>
          <w:rFonts w:ascii="Palatino Linotype" w:eastAsia="Calibri" w:hAnsi="Palatino Linotype" w:cs="Tahoma"/>
          <w:bCs/>
          <w:sz w:val="24"/>
        </w:rPr>
        <w:t xml:space="preserve"> </w:t>
      </w:r>
      <w:r w:rsidR="00EB7E07" w:rsidRPr="008C77C0">
        <w:rPr>
          <w:rFonts w:ascii="Palatino Linotype" w:eastAsia="Calibri" w:hAnsi="Palatino Linotype" w:cs="Tahoma"/>
          <w:bCs/>
          <w:sz w:val="24"/>
        </w:rPr>
        <w:t xml:space="preserve">las razones y motivos de inconformidad hechos valer por el Recurrente en </w:t>
      </w:r>
      <w:r w:rsidR="006B284F">
        <w:rPr>
          <w:rFonts w:ascii="Palatino Linotype" w:eastAsia="Calibri" w:hAnsi="Palatino Linotype" w:cs="Tahoma"/>
          <w:bCs/>
          <w:sz w:val="24"/>
        </w:rPr>
        <w:t xml:space="preserve">términos del considerando </w:t>
      </w:r>
      <w:r w:rsidR="006B284F">
        <w:rPr>
          <w:rFonts w:ascii="Palatino Linotype" w:eastAsia="Calibri" w:hAnsi="Palatino Linotype" w:cs="Tahoma"/>
          <w:b/>
          <w:bCs/>
          <w:sz w:val="24"/>
        </w:rPr>
        <w:t>CUARTO</w:t>
      </w:r>
      <w:r w:rsidR="00EB7E07" w:rsidRPr="008C77C0">
        <w:rPr>
          <w:rFonts w:ascii="Palatino Linotype" w:eastAsia="Calibri" w:hAnsi="Palatino Linotype" w:cs="Tahoma"/>
          <w:bCs/>
          <w:sz w:val="24"/>
        </w:rPr>
        <w:t xml:space="preserve"> de la presente resolución</w:t>
      </w:r>
      <w:r w:rsidR="0063576D" w:rsidRPr="008C77C0">
        <w:rPr>
          <w:rFonts w:ascii="Palatino Linotype" w:eastAsia="Calibri" w:hAnsi="Palatino Linotype" w:cs="Tahoma"/>
          <w:bCs/>
          <w:sz w:val="24"/>
        </w:rPr>
        <w:t>.</w:t>
      </w:r>
    </w:p>
    <w:p w:rsidR="0019756E" w:rsidRDefault="0019756E" w:rsidP="0019756E">
      <w:pPr>
        <w:spacing w:line="360" w:lineRule="auto"/>
        <w:jc w:val="both"/>
        <w:rPr>
          <w:rFonts w:ascii="Palatino Linotype" w:hAnsi="Palatino Linotype" w:cs="Tahoma"/>
          <w:b/>
          <w:bCs/>
        </w:rPr>
      </w:pPr>
    </w:p>
    <w:p w:rsidR="0019756E" w:rsidRPr="00802DFF" w:rsidRDefault="0019756E" w:rsidP="0019756E">
      <w:pPr>
        <w:spacing w:line="360" w:lineRule="auto"/>
        <w:ind w:right="-93"/>
        <w:jc w:val="both"/>
        <w:rPr>
          <w:rFonts w:ascii="Palatino Linotype" w:hAnsi="Palatino Linotype" w:cs="Tahoma"/>
          <w:sz w:val="24"/>
          <w:lang w:val="es-ES"/>
        </w:rPr>
      </w:pPr>
      <w:r w:rsidRPr="0063576D">
        <w:rPr>
          <w:rFonts w:ascii="Palatino Linotype" w:eastAsia="Calibri" w:hAnsi="Palatino Linotype" w:cs="Tahoma"/>
          <w:b/>
          <w:bCs/>
          <w:sz w:val="28"/>
          <w:szCs w:val="28"/>
        </w:rPr>
        <w:t>SEGUNDO.</w:t>
      </w:r>
      <w:r w:rsidRPr="0063576D">
        <w:rPr>
          <w:rFonts w:ascii="Palatino Linotype" w:eastAsia="Calibri" w:hAnsi="Palatino Linotype" w:cs="Tahoma"/>
          <w:sz w:val="24"/>
          <w:lang w:eastAsia="es-MX"/>
        </w:rPr>
        <w:t xml:space="preserve">  Se </w:t>
      </w:r>
      <w:r w:rsidRPr="0063576D">
        <w:rPr>
          <w:rFonts w:ascii="Palatino Linotype" w:eastAsia="Calibri" w:hAnsi="Palatino Linotype" w:cs="Tahoma"/>
          <w:b/>
          <w:sz w:val="24"/>
          <w:lang w:eastAsia="es-MX"/>
        </w:rPr>
        <w:t xml:space="preserve">ORDENA </w:t>
      </w:r>
      <w:r w:rsidR="002A2D68">
        <w:rPr>
          <w:rFonts w:ascii="Palatino Linotype" w:eastAsia="Calibri" w:hAnsi="Palatino Linotype" w:cs="Tahoma"/>
          <w:sz w:val="24"/>
          <w:lang w:eastAsia="es-MX"/>
        </w:rPr>
        <w:t>al Sujeto Obligado</w:t>
      </w:r>
      <w:r w:rsidRPr="0063576D">
        <w:rPr>
          <w:rFonts w:ascii="Palatino Linotype" w:hAnsi="Palatino Linotype" w:cs="Tahoma"/>
          <w:sz w:val="24"/>
        </w:rPr>
        <w:t xml:space="preserve">, atienda la solicitud de </w:t>
      </w:r>
      <w:r w:rsidR="002A2D68">
        <w:rPr>
          <w:rFonts w:ascii="Palatino Linotype" w:hAnsi="Palatino Linotype" w:cs="Tahoma"/>
          <w:sz w:val="24"/>
        </w:rPr>
        <w:t>información número</w:t>
      </w:r>
      <w:r w:rsidRPr="0063576D">
        <w:rPr>
          <w:rFonts w:ascii="Palatino Linotype" w:hAnsi="Palatino Linotype" w:cs="Tahoma"/>
          <w:sz w:val="24"/>
        </w:rPr>
        <w:t xml:space="preserve"> </w:t>
      </w:r>
      <w:r w:rsidR="00441515" w:rsidRPr="0063576D">
        <w:rPr>
          <w:rFonts w:ascii="Palatino Linotype" w:hAnsi="Palatino Linotype"/>
          <w:b/>
          <w:bCs/>
          <w:sz w:val="24"/>
        </w:rPr>
        <w:t>00827/ECATEPEC/IP/2019</w:t>
      </w:r>
      <w:r w:rsidR="00E22D5F">
        <w:rPr>
          <w:rFonts w:ascii="Palatino Linotype" w:hAnsi="Palatino Linotype" w:cs="Tahoma"/>
          <w:sz w:val="24"/>
        </w:rPr>
        <w:t xml:space="preserve"> </w:t>
      </w:r>
      <w:r w:rsidR="00802DFF">
        <w:rPr>
          <w:rFonts w:ascii="Palatino Linotype" w:hAnsi="Palatino Linotype" w:cs="Tahoma"/>
          <w:sz w:val="24"/>
        </w:rPr>
        <w:t xml:space="preserve">en términos del considerando </w:t>
      </w:r>
      <w:r w:rsidR="00802DFF">
        <w:rPr>
          <w:rFonts w:ascii="Palatino Linotype" w:hAnsi="Palatino Linotype" w:cs="Tahoma"/>
          <w:b/>
          <w:sz w:val="24"/>
        </w:rPr>
        <w:t>CUARTO</w:t>
      </w:r>
      <w:r w:rsidR="00802DFF">
        <w:rPr>
          <w:rFonts w:ascii="Palatino Linotype" w:hAnsi="Palatino Linotype" w:cs="Tahoma"/>
          <w:sz w:val="24"/>
        </w:rPr>
        <w:t xml:space="preserve"> de esta resolución, vía Sistema de Acceso a la Información Mexiquense (SAIMEX).</w:t>
      </w:r>
    </w:p>
    <w:p w:rsidR="0019756E" w:rsidRDefault="0019756E" w:rsidP="0019756E">
      <w:pPr>
        <w:tabs>
          <w:tab w:val="left" w:pos="4962"/>
        </w:tabs>
        <w:spacing w:line="360" w:lineRule="auto"/>
        <w:jc w:val="both"/>
        <w:rPr>
          <w:rFonts w:ascii="Palatino Linotype" w:eastAsia="Calibri" w:hAnsi="Palatino Linotype" w:cs="Tahoma"/>
          <w:bCs/>
        </w:rPr>
      </w:pPr>
    </w:p>
    <w:p w:rsidR="0019756E" w:rsidRPr="0063576D" w:rsidRDefault="0019756E" w:rsidP="0019756E">
      <w:pPr>
        <w:spacing w:line="360" w:lineRule="auto"/>
        <w:jc w:val="both"/>
        <w:rPr>
          <w:rFonts w:ascii="Palatino Linotype" w:hAnsi="Palatino Linotype" w:cs="Tahoma"/>
          <w:i/>
          <w:sz w:val="24"/>
        </w:rPr>
      </w:pPr>
      <w:r w:rsidRPr="0063576D">
        <w:rPr>
          <w:rFonts w:ascii="Palatino Linotype" w:eastAsia="Calibri" w:hAnsi="Palatino Linotype" w:cs="Tahoma"/>
          <w:b/>
          <w:bCs/>
          <w:sz w:val="28"/>
        </w:rPr>
        <w:t xml:space="preserve">TERCERO. </w:t>
      </w:r>
      <w:r w:rsidRPr="0063576D">
        <w:rPr>
          <w:rFonts w:ascii="Palatino Linotype" w:hAnsi="Palatino Linotype" w:cs="Tahoma"/>
          <w:b/>
          <w:sz w:val="24"/>
        </w:rPr>
        <w:t xml:space="preserve">NOTIFÍQUESE </w:t>
      </w:r>
      <w:r w:rsidRPr="0063576D">
        <w:rPr>
          <w:rFonts w:ascii="Palatino Linotype" w:hAnsi="Palatino Linotype" w:cs="Tahoma"/>
          <w:sz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19756E" w:rsidRPr="00985849" w:rsidRDefault="0019756E" w:rsidP="0019756E">
      <w:pPr>
        <w:shd w:val="clear" w:color="auto" w:fill="FFFFFF" w:themeFill="background1"/>
        <w:spacing w:line="360" w:lineRule="auto"/>
        <w:jc w:val="both"/>
        <w:rPr>
          <w:rFonts w:ascii="Palatino Linotype" w:eastAsia="Calibri" w:hAnsi="Palatino Linotype" w:cs="Tahoma"/>
          <w:lang w:eastAsia="es-MX"/>
        </w:rPr>
      </w:pPr>
    </w:p>
    <w:p w:rsidR="0019756E" w:rsidRPr="0063576D" w:rsidRDefault="0019756E" w:rsidP="0019756E">
      <w:pPr>
        <w:shd w:val="clear" w:color="auto" w:fill="FFFFFF" w:themeFill="background1"/>
        <w:spacing w:line="360" w:lineRule="auto"/>
        <w:jc w:val="both"/>
        <w:rPr>
          <w:rFonts w:ascii="Palatino Linotype" w:hAnsi="Palatino Linotype" w:cs="Tahoma"/>
          <w:sz w:val="24"/>
        </w:rPr>
      </w:pPr>
      <w:r w:rsidRPr="0063576D">
        <w:rPr>
          <w:rFonts w:ascii="Palatino Linotype" w:eastAsia="Calibri" w:hAnsi="Palatino Linotype" w:cs="Tahoma"/>
          <w:b/>
          <w:sz w:val="28"/>
          <w:lang w:eastAsia="es-MX"/>
        </w:rPr>
        <w:t>CUARTO</w:t>
      </w:r>
      <w:r w:rsidRPr="0063576D">
        <w:rPr>
          <w:rFonts w:ascii="Palatino Linotype" w:eastAsia="Calibri" w:hAnsi="Palatino Linotype" w:cs="Tahoma"/>
          <w:b/>
          <w:bCs/>
          <w:sz w:val="28"/>
        </w:rPr>
        <w:t>.</w:t>
      </w:r>
      <w:r>
        <w:rPr>
          <w:rFonts w:ascii="Palatino Linotype" w:eastAsia="Calibri" w:hAnsi="Palatino Linotype" w:cs="Tahoma"/>
          <w:b/>
          <w:bCs/>
        </w:rPr>
        <w:t xml:space="preserve"> </w:t>
      </w:r>
      <w:r w:rsidRPr="0063576D">
        <w:rPr>
          <w:rFonts w:ascii="Palatino Linotype" w:hAnsi="Palatino Linotype" w:cs="Tahoma"/>
          <w:b/>
          <w:sz w:val="24"/>
        </w:rPr>
        <w:t>NOTIFÍQUESE</w:t>
      </w:r>
      <w:r w:rsidRPr="0063576D">
        <w:rPr>
          <w:rFonts w:ascii="Palatino Linotype" w:hAnsi="Palatino Linotype" w:cs="Tahoma"/>
          <w:sz w:val="24"/>
        </w:rPr>
        <w:t xml:space="preserve"> al Recurrente la presente Resolución a través del </w:t>
      </w:r>
      <w:r w:rsidRPr="0063576D">
        <w:rPr>
          <w:rFonts w:ascii="Palatino Linotype" w:eastAsia="Calibri" w:hAnsi="Palatino Linotype" w:cs="Tahoma"/>
          <w:bCs/>
          <w:sz w:val="24"/>
        </w:rPr>
        <w:t>Sistema de Acceso a la Información Mexiquense (SAIMEX)</w:t>
      </w:r>
      <w:r w:rsidRPr="0063576D">
        <w:rPr>
          <w:rFonts w:ascii="Palatino Linotype" w:hAnsi="Palatino Linotype" w:cs="Tahoma"/>
          <w:sz w:val="24"/>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19756E" w:rsidRDefault="0019756E" w:rsidP="0019756E">
      <w:pPr>
        <w:spacing w:line="360" w:lineRule="auto"/>
        <w:jc w:val="both"/>
        <w:rPr>
          <w:rFonts w:ascii="Palatino Linotype" w:eastAsia="Calibri" w:hAnsi="Palatino Linotype" w:cs="Tahoma"/>
          <w:bCs/>
          <w:color w:val="000000"/>
          <w:lang w:val="es-ES" w:eastAsia="es-ES_tradnl"/>
        </w:rPr>
      </w:pPr>
    </w:p>
    <w:p w:rsidR="0019756E" w:rsidRDefault="0019756E" w:rsidP="0019756E">
      <w:pPr>
        <w:spacing w:line="360" w:lineRule="auto"/>
        <w:jc w:val="both"/>
        <w:rPr>
          <w:rFonts w:ascii="Palatino Linotype" w:eastAsia="Calibri" w:hAnsi="Palatino Linotype" w:cs="Tahoma"/>
          <w:bCs/>
          <w:sz w:val="24"/>
          <w:lang w:val="es-ES_tradnl"/>
        </w:rPr>
      </w:pPr>
      <w:r w:rsidRPr="0063576D">
        <w:rPr>
          <w:rFonts w:ascii="Palatino Linotype" w:hAnsi="Palatino Linotype" w:cs="Tahoma"/>
          <w:b/>
          <w:sz w:val="28"/>
        </w:rPr>
        <w:t xml:space="preserve">QUINTO. </w:t>
      </w:r>
      <w:r w:rsidRPr="0063576D">
        <w:rPr>
          <w:rFonts w:ascii="Palatino Linotype" w:eastAsia="Calibri" w:hAnsi="Palatino Linotype" w:cs="Tahoma"/>
          <w:bCs/>
          <w:sz w:val="24"/>
          <w:lang w:val="es-ES_tradnl"/>
        </w:rPr>
        <w:t xml:space="preserve">Con fundamento en lo dispuesto en los artículos 190 de la </w:t>
      </w:r>
      <w:r w:rsidRPr="0063576D">
        <w:rPr>
          <w:rFonts w:ascii="Palatino Linotype" w:hAnsi="Palatino Linotype" w:cs="Tahoma"/>
          <w:sz w:val="24"/>
        </w:rPr>
        <w:t xml:space="preserve">Ley de Transparencia y Acceso a la Información Pública del Estado de México y Municipios, gírese </w:t>
      </w:r>
      <w:r w:rsidRPr="0063576D">
        <w:rPr>
          <w:rFonts w:ascii="Palatino Linotype" w:eastAsia="Calibri" w:hAnsi="Palatino Linotype" w:cs="Tahoma"/>
          <w:bCs/>
          <w:sz w:val="24"/>
          <w:lang w:val="es-ES_tradnl"/>
        </w:rPr>
        <w:t xml:space="preserve">oficio al Contralor Interno y Titular del Órgano de Control y Vigilancia de este Instituto con la finalidad de que actúe en razón de su competencia, en términos de lo dispuesto en el Considerando </w:t>
      </w:r>
      <w:r w:rsidR="006B284F">
        <w:rPr>
          <w:rFonts w:ascii="Palatino Linotype" w:eastAsia="Calibri" w:hAnsi="Palatino Linotype" w:cs="Tahoma"/>
          <w:b/>
          <w:bCs/>
          <w:sz w:val="24"/>
          <w:lang w:val="es-ES_tradnl"/>
        </w:rPr>
        <w:t>QUINTO</w:t>
      </w:r>
      <w:r w:rsidRPr="0063576D">
        <w:rPr>
          <w:rFonts w:ascii="Palatino Linotype" w:eastAsia="Calibri" w:hAnsi="Palatino Linotype" w:cs="Tahoma"/>
          <w:b/>
          <w:bCs/>
          <w:sz w:val="24"/>
          <w:lang w:val="es-ES_tradnl"/>
        </w:rPr>
        <w:t xml:space="preserve"> </w:t>
      </w:r>
      <w:r w:rsidRPr="0063576D">
        <w:rPr>
          <w:rFonts w:ascii="Palatino Linotype" w:eastAsia="Calibri" w:hAnsi="Palatino Linotype" w:cs="Tahoma"/>
          <w:bCs/>
          <w:sz w:val="24"/>
          <w:lang w:val="es-ES_tradnl"/>
        </w:rPr>
        <w:t>de la presente Resolución.</w:t>
      </w:r>
    </w:p>
    <w:p w:rsidR="008C77C0" w:rsidRDefault="008C77C0" w:rsidP="0019756E">
      <w:pPr>
        <w:spacing w:line="360" w:lineRule="auto"/>
        <w:jc w:val="both"/>
        <w:rPr>
          <w:rFonts w:ascii="Palatino Linotype" w:eastAsia="Calibri" w:hAnsi="Palatino Linotype" w:cs="Tahoma"/>
          <w:bCs/>
          <w:lang w:val="es-ES_tradnl"/>
        </w:rPr>
      </w:pPr>
    </w:p>
    <w:p w:rsidR="00893572" w:rsidRDefault="0063576D" w:rsidP="00EF4493">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lastRenderedPageBreak/>
        <w:t>SEXTO</w:t>
      </w:r>
      <w:r w:rsidR="006D618C">
        <w:rPr>
          <w:rFonts w:ascii="Palatino Linotype" w:hAnsi="Palatino Linotype" w:cs="Arial"/>
          <w:b/>
          <w:sz w:val="24"/>
          <w:szCs w:val="24"/>
        </w:rPr>
        <w:t>.</w:t>
      </w:r>
      <w:r>
        <w:rPr>
          <w:rFonts w:ascii="Palatino Linotype" w:hAnsi="Palatino Linotype" w:cs="Arial"/>
          <w:sz w:val="24"/>
          <w:szCs w:val="24"/>
        </w:rPr>
        <w:t xml:space="preserve"> Se hace del conocimiento del Recurrente que, de conformidad con lo establecido en el artículo 179, párrafo segundo, de la Ley de Transparencia y Acceso a la Información Pública del Estado de México y Municipios, tiene derecho a interponer nuevamente Recurso de Revisión ante este Instituto, p</w:t>
      </w:r>
      <w:r w:rsidR="008C77C0">
        <w:rPr>
          <w:rFonts w:ascii="Palatino Linotype" w:hAnsi="Palatino Linotype" w:cs="Arial"/>
          <w:sz w:val="24"/>
          <w:szCs w:val="24"/>
        </w:rPr>
        <w:t xml:space="preserve">or la respuesta que proporcione </w:t>
      </w:r>
      <w:r>
        <w:rPr>
          <w:rFonts w:ascii="Palatino Linotype" w:hAnsi="Palatino Linotype" w:cs="Arial"/>
          <w:sz w:val="24"/>
          <w:szCs w:val="24"/>
        </w:rPr>
        <w:t>el Sujeto Obligado, en cumplimiento a esta Resolución.</w:t>
      </w:r>
    </w:p>
    <w:p w:rsidR="00F02CF6" w:rsidRPr="00CD400D" w:rsidRDefault="00EF4493" w:rsidP="00CD400D">
      <w:pPr>
        <w:spacing w:before="240" w:after="240" w:line="360" w:lineRule="auto"/>
        <w:ind w:right="49"/>
        <w:jc w:val="both"/>
        <w:rPr>
          <w:rFonts w:ascii="Palatino Linotype" w:hAnsi="Palatino Linotype" w:cs="Arial"/>
        </w:rPr>
      </w:pPr>
      <w:r>
        <w:rPr>
          <w:rFonts w:ascii="Palatino Linotype" w:hAnsi="Palatino Linotype" w:cs="Arial"/>
        </w:rPr>
        <w:t xml:space="preserve">ASÍ LO RESUELVE, POR UNANIMIDAD </w:t>
      </w:r>
      <w:r w:rsidRPr="005B37EF">
        <w:rPr>
          <w:rFonts w:ascii="Palatino Linotype" w:hAnsi="Palatino Linotype" w:cs="Arial"/>
        </w:rPr>
        <w:t>DE VOTOS, EL PLENO DEL</w:t>
      </w:r>
      <w:r w:rsidRPr="005B37EF">
        <w:rPr>
          <w:rFonts w:ascii="Palatino Linotype" w:eastAsia="Arial Unicode MS" w:hAnsi="Palatino Linotype" w:cs="Arial"/>
        </w:rPr>
        <w:t xml:space="preserve"> INSTITUTO DE TRANSPARENCIA, ACCESO A LA INFORMACIÓN PÚBLICA Y PROTECCIÓN DE DATOS PERSONALES DEL ESTADO DE MÉXICO Y MUNICIPIOS</w:t>
      </w:r>
      <w:r w:rsidRPr="005B37EF">
        <w:rPr>
          <w:rFonts w:ascii="Palatino Linotype" w:hAnsi="Palatino Linotype" w:cs="Arial"/>
        </w:rPr>
        <w:t>, CONFORMADO POR LOS COMISIONADOS ZULEMA MARTÍNEZ SÁNCHEZ; EVA ABAID YAPUR</w:t>
      </w:r>
      <w:r w:rsidR="00735007">
        <w:rPr>
          <w:rFonts w:ascii="Palatino Linotype" w:hAnsi="Palatino Linotype" w:cs="Arial"/>
        </w:rPr>
        <w:t>,</w:t>
      </w:r>
      <w:r>
        <w:rPr>
          <w:rFonts w:ascii="Palatino Linotype" w:hAnsi="Palatino Linotype" w:cs="Arial"/>
        </w:rPr>
        <w:t xml:space="preserve"> </w:t>
      </w:r>
      <w:r w:rsidRPr="005B37EF">
        <w:rPr>
          <w:rFonts w:ascii="Palatino Linotype" w:hAnsi="Palatino Linotype" w:cs="Arial"/>
        </w:rPr>
        <w:t>JOSÉ GUADALUPE LUNA HERNÁNDEZ</w:t>
      </w:r>
      <w:r w:rsidR="00025E59">
        <w:rPr>
          <w:rFonts w:ascii="Palatino Linotype" w:hAnsi="Palatino Linotype" w:cs="Arial"/>
        </w:rPr>
        <w:t xml:space="preserve">, </w:t>
      </w:r>
      <w:r w:rsidRPr="005B37EF">
        <w:rPr>
          <w:rFonts w:ascii="Palatino Linotype" w:hAnsi="Palatino Linotype" w:cs="Arial"/>
        </w:rPr>
        <w:t>JAVIER MARTÍNEZ CRUZ</w:t>
      </w:r>
      <w:r w:rsidR="00735007">
        <w:rPr>
          <w:rFonts w:ascii="Palatino Linotype" w:hAnsi="Palatino Linotype" w:cs="Arial"/>
        </w:rPr>
        <w:t xml:space="preserve"> (AUSENCIA JUSTIFICADA)</w:t>
      </w:r>
      <w:r w:rsidRPr="005B37EF">
        <w:rPr>
          <w:rFonts w:ascii="Palatino Linotype" w:hAnsi="Palatino Linotype" w:cs="Arial"/>
        </w:rPr>
        <w:t xml:space="preserve"> Y LUIS GUSTAVO PARRA NORIEGA</w:t>
      </w:r>
      <w:r w:rsidR="00CD400D">
        <w:rPr>
          <w:rFonts w:ascii="Palatino Linotype" w:hAnsi="Palatino Linotype" w:cs="Arial"/>
        </w:rPr>
        <w:t xml:space="preserve">; </w:t>
      </w:r>
      <w:r>
        <w:rPr>
          <w:rFonts w:ascii="Palatino Linotype" w:hAnsi="Palatino Linotype" w:cs="Arial"/>
        </w:rPr>
        <w:t xml:space="preserve">EN LA </w:t>
      </w:r>
      <w:r w:rsidR="00735007">
        <w:rPr>
          <w:rFonts w:ascii="Palatino Linotype" w:hAnsi="Palatino Linotype" w:cs="Arial"/>
        </w:rPr>
        <w:t>OCTAVA</w:t>
      </w:r>
      <w:r w:rsidR="00025E59">
        <w:rPr>
          <w:rFonts w:ascii="Palatino Linotype" w:hAnsi="Palatino Linotype" w:cs="Arial"/>
        </w:rPr>
        <w:t xml:space="preserve"> </w:t>
      </w:r>
      <w:r>
        <w:rPr>
          <w:rFonts w:ascii="Palatino Linotype" w:hAnsi="Palatino Linotype" w:cs="Arial"/>
        </w:rPr>
        <w:t xml:space="preserve">SESIÓN ORDINARIA CELEBRADA EL </w:t>
      </w:r>
      <w:r w:rsidR="00735007">
        <w:rPr>
          <w:rFonts w:ascii="Palatino Linotype" w:hAnsi="Palatino Linotype" w:cs="Arial"/>
        </w:rPr>
        <w:t>CINCO DE MARZO DE DOS MIL VEINTE</w:t>
      </w:r>
      <w:r>
        <w:rPr>
          <w:rFonts w:ascii="Palatino Linotype" w:hAnsi="Palatino Linotype" w:cs="Arial"/>
        </w:rPr>
        <w:t>,</w:t>
      </w:r>
      <w:r w:rsidRPr="005B37EF">
        <w:rPr>
          <w:rFonts w:ascii="Palatino Linotype" w:hAnsi="Palatino Linotype" w:cs="Arial"/>
        </w:rPr>
        <w:t xml:space="preserve"> ANTE EL SECRETARIO TÉCNICO DEL PLENO, </w:t>
      </w:r>
      <w:r w:rsidRPr="005B37EF">
        <w:rPr>
          <w:rFonts w:ascii="Palatino Linotype" w:hAnsi="Palatino Linotype"/>
          <w:lang w:val="es-ES_tradnl"/>
        </w:rPr>
        <w:t>ALEXIS TAPIA RAMÍREZ</w:t>
      </w:r>
      <w:r w:rsidR="00CD400D">
        <w:rPr>
          <w:rFonts w:ascii="Palatino Linotype" w:hAnsi="Palatino Linotype" w:cs="Arial"/>
        </w:rPr>
        <w:t>.</w:t>
      </w:r>
      <w:r w:rsidR="00735007" w:rsidRPr="00735007">
        <w:rPr>
          <w:rFonts w:ascii="Palatino Linotype" w:hAnsi="Palatino Linotype" w:cs="Arial"/>
          <w:sz w:val="23"/>
          <w:szCs w:val="23"/>
        </w:rPr>
        <w:t xml:space="preserve"> </w:t>
      </w:r>
      <w:r w:rsidR="00735007">
        <w:rPr>
          <w:rFonts w:ascii="Palatino Linotype" w:hAnsi="Palatino Linotype" w:cs="Arial"/>
          <w:sz w:val="23"/>
          <w:szCs w:val="23"/>
        </w:rPr>
        <w:t>-----------------------------------------------------------------------------------------------------------------------------------------------------------------------------------------------------------------------------------------------------------------------------------------------------------------------------------------------------------------------------------------------------------------------------------------------------------------------------------------------------------------------------------------------------------------------------------------------------------------------------------------------------------------------------------------------------------------------------------------------------------------------------------------------------------------------------------------------------------------------------------------------------------------------------------------------------------------------------------------------------------------------------------------------------------------------------------------------------------------------------------------------------------------------------------------------------------------------------------------------------------------------------------------------------------------------------------------------------------------------</w:t>
      </w:r>
    </w:p>
    <w:p w:rsidR="008C77C0" w:rsidRDefault="008C77C0"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6EC716F0" wp14:editId="66C7E4AE">
                <wp:simplePos x="0" y="0"/>
                <wp:positionH relativeFrom="page">
                  <wp:posOffset>2600325</wp:posOffset>
                </wp:positionH>
                <wp:positionV relativeFrom="paragraph">
                  <wp:posOffset>283226</wp:posOffset>
                </wp:positionV>
                <wp:extent cx="2551430" cy="971550"/>
                <wp:effectExtent l="0" t="0" r="20320" b="19050"/>
                <wp:wrapNone/>
                <wp:docPr id="19" name="Cuadro de texto 19"/>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716F0" id="_x0000_t202" coordsize="21600,21600" o:spt="202" path="m,l,21600r21600,l21600,xe">
                <v:stroke joinstyle="miter"/>
                <v:path gradientshapeok="t" o:connecttype="rect"/>
              </v:shapetype>
              <v:shape id="Cuadro de texto 19" o:spid="_x0000_s1026" type="#_x0000_t202" style="position:absolute;left:0;text-align:left;margin-left:204.75pt;margin-top:22.3pt;width:200.9pt;height:76.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03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" fillcolor="white [3201]" strokecolor="white [3212]"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Zulema Martínez Sánchez</w:t>
                      </w:r>
                    </w:p>
                    <w:p w:rsidR="00E26222" w:rsidRDefault="00E26222" w:rsidP="00EF4493">
                      <w:pPr>
                        <w:jc w:val="center"/>
                        <w:rPr>
                          <w:rFonts w:ascii="Palatino Linotype" w:hAnsi="Palatino Linotype"/>
                        </w:rPr>
                      </w:pPr>
                      <w:r>
                        <w:rPr>
                          <w:rFonts w:ascii="Palatino Linotype" w:hAnsi="Palatino Linotype"/>
                        </w:rPr>
                        <w:t>Comisionada Presidenta</w:t>
                      </w:r>
                    </w:p>
                    <w:p w:rsidR="00CD400D" w:rsidRDefault="00CD400D" w:rsidP="00EF4493">
                      <w:pPr>
                        <w:jc w:val="center"/>
                        <w:rPr>
                          <w:rFonts w:ascii="Palatino Linotype" w:hAnsi="Palatino Linotype"/>
                        </w:rPr>
                      </w:pPr>
                      <w:r>
                        <w:rPr>
                          <w:rFonts w:ascii="Palatino Linotype" w:hAnsi="Palatino Linotype"/>
                        </w:rPr>
                        <w:t>(Rúbrica)</w:t>
                      </w:r>
                    </w:p>
                    <w:p w:rsidR="00E26222" w:rsidRPr="00016AF3" w:rsidRDefault="00E26222" w:rsidP="00EF4493">
                      <w:pPr>
                        <w:jc w:val="center"/>
                        <w:rPr>
                          <w:rFonts w:ascii="Palatino Linotype" w:hAnsi="Palatino Linotype"/>
                          <w:b/>
                        </w:rPr>
                      </w:pPr>
                    </w:p>
                  </w:txbxContent>
                </v:textbox>
                <w10:wrap anchorx="page"/>
              </v:shape>
            </w:pict>
          </mc:Fallback>
        </mc:AlternateContent>
      </w:r>
    </w:p>
    <w:p w:rsidR="00EF4493" w:rsidRDefault="00EF4493" w:rsidP="00EF4493">
      <w:pPr>
        <w:autoSpaceDE w:val="0"/>
        <w:autoSpaceDN w:val="0"/>
        <w:adjustRightInd w:val="0"/>
        <w:spacing w:before="240" w:line="480" w:lineRule="auto"/>
        <w:jc w:val="both"/>
        <w:rPr>
          <w:rFonts w:ascii="Palatino Linotype" w:hAnsi="Palatino Linotype" w:cs="Arial"/>
          <w:sz w:val="24"/>
          <w:szCs w:val="24"/>
        </w:rPr>
      </w:pPr>
    </w:p>
    <w:p w:rsidR="00EF4493" w:rsidRDefault="00EF4493" w:rsidP="00EF4493">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1D9CCBD8" wp14:editId="2344CEC6">
                <wp:simplePos x="0" y="0"/>
                <wp:positionH relativeFrom="margin">
                  <wp:posOffset>-333375</wp:posOffset>
                </wp:positionH>
                <wp:positionV relativeFrom="paragraph">
                  <wp:posOffset>293370</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CCBD8" id="Cuadro de texto 20" o:spid="_x0000_s1027" type="#_x0000_t202" style="position:absolute;left:0;text-align:left;margin-left:-26.25pt;margin-top:23.1pt;width:195.75pt;height:7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" fillcolor="white [3201]" strokecolor="white [3212]" strokeweight=".5pt">
                <v:textbox>
                  <w:txbxContent>
                    <w:p w:rsidR="00E26222" w:rsidRPr="00EF2FC0" w:rsidRDefault="00E26222" w:rsidP="00EF4493">
                      <w:pPr>
                        <w:jc w:val="center"/>
                        <w:rPr>
                          <w:rFonts w:ascii="Palatino Linotype" w:hAnsi="Palatino Linotype"/>
                          <w:b/>
                        </w:rPr>
                      </w:pPr>
                      <w:r w:rsidRPr="00EF2FC0">
                        <w:rPr>
                          <w:rFonts w:ascii="Palatino Linotype" w:hAnsi="Palatino Linotype"/>
                          <w:b/>
                        </w:rPr>
                        <w:t>Eva Abaid Yapur</w:t>
                      </w:r>
                    </w:p>
                    <w:p w:rsidR="00E26222" w:rsidRPr="00EF2FC0" w:rsidRDefault="00E26222" w:rsidP="00EF4493">
                      <w:pPr>
                        <w:jc w:val="center"/>
                        <w:rPr>
                          <w:rFonts w:ascii="Palatino Linotype" w:hAnsi="Palatino Linotype"/>
                        </w:rPr>
                      </w:pPr>
                      <w:r w:rsidRPr="00EF2FC0">
                        <w:rPr>
                          <w:rFonts w:ascii="Palatino Linotype" w:hAnsi="Palatino Linotype"/>
                        </w:rPr>
                        <w:t>Comisionada</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21BD4957" wp14:editId="75B3460D">
                <wp:simplePos x="0" y="0"/>
                <wp:positionH relativeFrom="margin">
                  <wp:posOffset>3558540</wp:posOffset>
                </wp:positionH>
                <wp:positionV relativeFrom="paragraph">
                  <wp:posOffset>322596</wp:posOffset>
                </wp:positionV>
                <wp:extent cx="2543175" cy="942975"/>
                <wp:effectExtent l="0" t="0" r="28575" b="28575"/>
                <wp:wrapNone/>
                <wp:docPr id="21" name="Cuadro de texto 21"/>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D4957" id="Cuadro de texto 21" o:spid="_x0000_s1028" type="#_x0000_t202" style="position:absolute;left:0;text-align:left;margin-left:280.2pt;margin-top:25.4pt;width:200.25pt;height:74.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PyY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José Guadalupe Luna Hernández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Pr="009234AD" w:rsidRDefault="00E26222" w:rsidP="00EF4493">
                      <w:pPr>
                        <w:jc w:val="center"/>
                        <w:rPr>
                          <w:rFonts w:ascii="Palatino Linotype" w:hAnsi="Palatino Linotype"/>
                          <w:b/>
                        </w:rPr>
                      </w:pPr>
                    </w:p>
                  </w:txbxContent>
                </v:textbox>
                <w10:wrap anchorx="margin"/>
              </v:shape>
            </w:pict>
          </mc:Fallback>
        </mc:AlternateContent>
      </w:r>
      <w:r>
        <w:rPr>
          <w:rFonts w:ascii="Palatino Linotype" w:hAnsi="Palatino Linotype" w:cs="Arial"/>
          <w:sz w:val="24"/>
          <w:szCs w:val="24"/>
        </w:rPr>
        <w:t xml:space="preserve"> </w:t>
      </w:r>
    </w:p>
    <w:p w:rsidR="00EF4493" w:rsidRPr="00D54B7D" w:rsidRDefault="00EF4493" w:rsidP="00EF4493">
      <w:pPr>
        <w:spacing w:before="240" w:line="480" w:lineRule="auto"/>
        <w:jc w:val="both"/>
        <w:rPr>
          <w:rFonts w:ascii="Palatino Linotype" w:hAnsi="Palatino Linotype"/>
        </w:rPr>
      </w:pPr>
    </w:p>
    <w:p w:rsidR="00EF4493" w:rsidRPr="00D54B7D" w:rsidRDefault="00EF4493" w:rsidP="00EF4493">
      <w:pPr>
        <w:spacing w:before="240" w:line="480" w:lineRule="auto"/>
        <w:jc w:val="center"/>
        <w:rPr>
          <w:rFonts w:ascii="Palatino Linotype" w:hAnsi="Palatino Linotype"/>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79934A71" wp14:editId="229BDCA5">
                <wp:simplePos x="0" y="0"/>
                <wp:positionH relativeFrom="margin">
                  <wp:posOffset>-299085</wp:posOffset>
                </wp:positionH>
                <wp:positionV relativeFrom="paragraph">
                  <wp:posOffset>582930</wp:posOffset>
                </wp:positionV>
                <wp:extent cx="2486025" cy="937895"/>
                <wp:effectExtent l="0" t="0" r="9525" b="0"/>
                <wp:wrapNone/>
                <wp:docPr id="22" name="Cuadro de texto 22"/>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735007" w:rsidP="00CD400D">
                            <w:pPr>
                              <w:jc w:val="center"/>
                              <w:rPr>
                                <w:rFonts w:ascii="Palatino Linotype" w:hAnsi="Palatino Linotype"/>
                              </w:rPr>
                            </w:pPr>
                            <w:r>
                              <w:rPr>
                                <w:rFonts w:ascii="Palatino Linotype" w:hAnsi="Palatino Linotype"/>
                              </w:rPr>
                              <w:t>(Ausencia justificada</w:t>
                            </w:r>
                            <w:r w:rsidR="00CD400D">
                              <w:rPr>
                                <w:rFonts w:ascii="Palatino Linotype" w:hAnsi="Palatino Linotype"/>
                              </w:rPr>
                              <w:t>)</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4A71" id="_x0000_t202" coordsize="21600,21600" o:spt="202" path="m,l,21600r21600,l21600,xe">
                <v:stroke joinstyle="miter"/>
                <v:path gradientshapeok="t" o:connecttype="rect"/>
              </v:shapetype>
              <v:shape id="Cuadro de texto 22" o:spid="_x0000_s1029" type="#_x0000_t202" style="position:absolute;margin-left:-23.55pt;margin-top:45.9pt;width:195.75pt;height:73.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PbSsXKVAgAAmgUAAA4AAAAAAAAAAAAAAAAALgIAAGRycy9lMm9E&#10;b2MueG1sUEsBAi0AFAAGAAgAAAAhABHIT2riAAAACgEAAA8AAAAAAAAAAAAAAAAA7wQAAGRycy9k&#10;b3ducmV2LnhtbFBLBQYAAAAABAAEAPMAAAD+BQAAAAA=&#10;" fillcolor="white [3201]" stroked="f" strokeweight=".5pt">
                <v:textbox>
                  <w:txbxContent>
                    <w:p w:rsidR="00E26222" w:rsidRPr="00EF2FC0" w:rsidRDefault="00E26222" w:rsidP="00EF4493">
                      <w:pPr>
                        <w:jc w:val="center"/>
                        <w:rPr>
                          <w:rFonts w:ascii="Palatino Linotype" w:hAnsi="Palatino Linotype"/>
                        </w:rPr>
                      </w:pPr>
                      <w:r w:rsidRPr="00EF2FC0">
                        <w:rPr>
                          <w:rFonts w:ascii="Palatino Linotype" w:hAnsi="Palatino Linotype"/>
                          <w:b/>
                        </w:rPr>
                        <w:t>Javier Martínez Cruz</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735007" w:rsidP="00CD400D">
                      <w:pPr>
                        <w:jc w:val="center"/>
                        <w:rPr>
                          <w:rFonts w:ascii="Palatino Linotype" w:hAnsi="Palatino Linotype"/>
                        </w:rPr>
                      </w:pPr>
                      <w:r>
                        <w:rPr>
                          <w:rFonts w:ascii="Palatino Linotype" w:hAnsi="Palatino Linotype"/>
                        </w:rPr>
                        <w:t>(Ausencia justificada</w:t>
                      </w:r>
                      <w:r w:rsidR="00CD400D">
                        <w:rPr>
                          <w:rFonts w:ascii="Palatino Linotype" w:hAnsi="Palatino Linotype"/>
                        </w:rPr>
                        <w:t>)</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506C68B4" wp14:editId="69F99529">
                <wp:simplePos x="0" y="0"/>
                <wp:positionH relativeFrom="margin">
                  <wp:posOffset>3577590</wp:posOffset>
                </wp:positionH>
                <wp:positionV relativeFrom="paragraph">
                  <wp:posOffset>53340</wp:posOffset>
                </wp:positionV>
                <wp:extent cx="2543175" cy="937895"/>
                <wp:effectExtent l="0" t="0" r="28575" b="14605"/>
                <wp:wrapNone/>
                <wp:docPr id="23" name="Cuadro de texto 2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6C68B4" id="Cuadro de texto 23" o:spid="_x0000_s1030" type="#_x0000_t202" style="position:absolute;margin-left:281.7pt;margin-top:4.2pt;width:200.2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yok0FZoCAADCBQAADgAAAAAAAAAAAAAAAAAuAgAAZHJzL2Uy&#10;b0RvYy54bWxQSwECLQAUAAYACAAAACEA/GjqzN8AAAAJAQAADwAAAAAAAAAAAAAAAAD0BAAAZHJz&#10;L2Rvd25yZXYueG1sUEsFBgAAAAAEAAQA8wAAAAAGAAAAAA==&#10;" fillcolor="white [3201]" strokecolor="white [3212]" strokeweight=".5pt">
                <v:textbox>
                  <w:txbxContent>
                    <w:p w:rsidR="00E26222" w:rsidRPr="00EF2FC0" w:rsidRDefault="00E26222" w:rsidP="00EF4493">
                      <w:pPr>
                        <w:jc w:val="center"/>
                        <w:rPr>
                          <w:rFonts w:ascii="Palatino Linotype" w:hAnsi="Palatino Linotype"/>
                        </w:rPr>
                      </w:pPr>
                      <w:r>
                        <w:rPr>
                          <w:rFonts w:ascii="Palatino Linotype" w:hAnsi="Palatino Linotype"/>
                          <w:b/>
                        </w:rPr>
                        <w:t>Luis Gustavo Parra Noriega</w:t>
                      </w:r>
                    </w:p>
                    <w:p w:rsidR="00E26222" w:rsidRDefault="00E26222" w:rsidP="00EF4493">
                      <w:pPr>
                        <w:jc w:val="center"/>
                        <w:rPr>
                          <w:rFonts w:ascii="Palatino Linotype" w:hAnsi="Palatino Linotype"/>
                        </w:rPr>
                      </w:pPr>
                      <w:r w:rsidRPr="00EF2FC0">
                        <w:rPr>
                          <w:rFonts w:ascii="Palatino Linotype" w:hAnsi="Palatino Linotype"/>
                        </w:rPr>
                        <w:t>Comisionado</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txbxContent>
                </v:textbox>
                <w10:wrap anchorx="margin"/>
              </v:shape>
            </w:pict>
          </mc:Fallback>
        </mc:AlternateContent>
      </w:r>
    </w:p>
    <w:p w:rsidR="00EF4493" w:rsidRDefault="00EF4493" w:rsidP="00EF4493">
      <w:pPr>
        <w:spacing w:before="240" w:line="480" w:lineRule="auto"/>
        <w:rPr>
          <w:rFonts w:ascii="Palatino Linotype" w:hAnsi="Palatino Linotype"/>
          <w:b/>
        </w:rPr>
      </w:pPr>
    </w:p>
    <w:p w:rsidR="00EF4493" w:rsidRDefault="00EF4493" w:rsidP="00EF4493">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26DC2295" wp14:editId="66277C0D">
                <wp:simplePos x="0" y="0"/>
                <wp:positionH relativeFrom="margin">
                  <wp:align>center</wp:align>
                </wp:positionH>
                <wp:positionV relativeFrom="paragraph">
                  <wp:posOffset>383985</wp:posOffset>
                </wp:positionV>
                <wp:extent cx="3152775" cy="914400"/>
                <wp:effectExtent l="0" t="0" r="28575" b="19050"/>
                <wp:wrapNone/>
                <wp:docPr id="24" name="Cuadro de texto 2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295" id="Cuadro de texto 24" o:spid="_x0000_s1031" type="#_x0000_t202" style="position:absolute;margin-left:0;margin-top:30.25pt;width:248.25pt;height:1in;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rV1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" fillcolor="white [3201]" strokecolor="white [3212]" strokeweight=".5pt">
                <v:textbox>
                  <w:txbxContent>
                    <w:p w:rsidR="00E26222" w:rsidRPr="007F6133" w:rsidRDefault="00E26222" w:rsidP="00EF4493">
                      <w:pPr>
                        <w:jc w:val="center"/>
                        <w:rPr>
                          <w:rFonts w:ascii="Palatino Linotype" w:hAnsi="Palatino Linotype"/>
                          <w:b/>
                        </w:rPr>
                      </w:pPr>
                      <w:r>
                        <w:rPr>
                          <w:rFonts w:ascii="Palatino Linotype" w:hAnsi="Palatino Linotype"/>
                          <w:b/>
                        </w:rPr>
                        <w:t xml:space="preserve">Alexis Tapia Ramírez </w:t>
                      </w:r>
                    </w:p>
                    <w:p w:rsidR="00E26222" w:rsidRDefault="00E26222" w:rsidP="00EF4493">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CD400D" w:rsidRDefault="00CD400D" w:rsidP="00CD400D">
                      <w:pPr>
                        <w:jc w:val="center"/>
                        <w:rPr>
                          <w:rFonts w:ascii="Palatino Linotype" w:hAnsi="Palatino Linotype"/>
                        </w:rPr>
                      </w:pPr>
                      <w:r>
                        <w:rPr>
                          <w:rFonts w:ascii="Palatino Linotype" w:hAnsi="Palatino Linotype"/>
                        </w:rPr>
                        <w:t>(Rúbrica)</w:t>
                      </w:r>
                    </w:p>
                    <w:p w:rsidR="00E26222" w:rsidRDefault="00E26222" w:rsidP="00EF4493">
                      <w:pPr>
                        <w:jc w:val="center"/>
                        <w:rPr>
                          <w:rFonts w:ascii="Palatino Linotype" w:hAnsi="Palatino Linotype"/>
                        </w:rPr>
                      </w:pPr>
                    </w:p>
                    <w:p w:rsidR="00E26222" w:rsidRPr="00EF2FC0" w:rsidRDefault="00E26222" w:rsidP="00EF4493">
                      <w:pPr>
                        <w:jc w:val="center"/>
                        <w:rPr>
                          <w:rFonts w:ascii="Palatino Linotype" w:hAnsi="Palatino Linotype"/>
                        </w:rPr>
                      </w:pPr>
                    </w:p>
                    <w:p w:rsidR="00E26222" w:rsidRDefault="00E26222" w:rsidP="00EF4493"/>
                  </w:txbxContent>
                </v:textbox>
                <w10:wrap anchorx="margin"/>
              </v:shape>
            </w:pict>
          </mc:Fallback>
        </mc:AlternateContent>
      </w:r>
    </w:p>
    <w:p w:rsidR="00CD400D" w:rsidRDefault="00CD400D" w:rsidP="00540B2F">
      <w:pPr>
        <w:tabs>
          <w:tab w:val="left" w:pos="8104"/>
        </w:tabs>
        <w:spacing w:before="240" w:line="360" w:lineRule="auto"/>
        <w:ind w:right="51"/>
        <w:jc w:val="both"/>
        <w:rPr>
          <w:rFonts w:ascii="Palatino Linotype" w:hAnsi="Palatino Linotype"/>
          <w:b/>
        </w:rPr>
      </w:pPr>
    </w:p>
    <w:p w:rsidR="00EF4493" w:rsidRDefault="00540B2F" w:rsidP="00540B2F">
      <w:pPr>
        <w:tabs>
          <w:tab w:val="left" w:pos="8104"/>
        </w:tabs>
        <w:spacing w:before="240" w:line="360" w:lineRule="auto"/>
        <w:ind w:right="51"/>
        <w:jc w:val="both"/>
        <w:rPr>
          <w:rFonts w:ascii="Palatino Linotype" w:hAnsi="Palatino Linotype"/>
          <w:sz w:val="24"/>
          <w:szCs w:val="24"/>
        </w:rPr>
      </w:pPr>
      <w:r>
        <w:rPr>
          <w:rFonts w:ascii="Palatino Linotype" w:hAnsi="Palatino Linotype"/>
          <w:sz w:val="24"/>
          <w:szCs w:val="24"/>
        </w:rPr>
        <w:tab/>
      </w:r>
    </w:p>
    <w:p w:rsidR="00EF4493" w:rsidRDefault="00EF4493" w:rsidP="00EF4493">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735007">
        <w:rPr>
          <w:rFonts w:ascii="Palatino Linotype" w:hAnsi="Palatino Linotype" w:cs="Arial"/>
          <w:sz w:val="16"/>
          <w:szCs w:val="16"/>
        </w:rPr>
        <w:t>cinco de marzo</w:t>
      </w:r>
      <w:r w:rsidR="00441515">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441515">
        <w:rPr>
          <w:rFonts w:ascii="Palatino Linotype" w:hAnsi="Palatino Linotype" w:cs="Arial"/>
          <w:bCs/>
          <w:sz w:val="16"/>
          <w:szCs w:val="16"/>
          <w:lang w:eastAsia="es-MX"/>
        </w:rPr>
        <w:t>09495</w:t>
      </w:r>
      <w:r w:rsidR="00025E59">
        <w:rPr>
          <w:rFonts w:ascii="Palatino Linotype" w:hAnsi="Palatino Linotype" w:cs="Arial"/>
          <w:bCs/>
          <w:sz w:val="16"/>
          <w:szCs w:val="16"/>
          <w:lang w:eastAsia="es-MX"/>
        </w:rPr>
        <w:t>/INFOEM/IP/RR/2019</w:t>
      </w:r>
      <w:r>
        <w:rPr>
          <w:rFonts w:ascii="Palatino Linotype" w:hAnsi="Palatino Linotype" w:cs="Arial"/>
          <w:bCs/>
          <w:sz w:val="16"/>
          <w:szCs w:val="16"/>
          <w:lang w:eastAsia="es-MX"/>
        </w:rPr>
        <w:t xml:space="preserve">.   </w:t>
      </w:r>
    </w:p>
    <w:p w:rsidR="00EF4493" w:rsidRPr="008978ED" w:rsidRDefault="00025E59" w:rsidP="00EF4493">
      <w:pPr>
        <w:spacing w:before="240"/>
        <w:jc w:val="both"/>
        <w:rPr>
          <w:rFonts w:ascii="Palatino Linotype" w:hAnsi="Palatino Linotype" w:cs="Arial"/>
          <w:sz w:val="24"/>
          <w:szCs w:val="24"/>
        </w:rPr>
      </w:pPr>
      <w:r>
        <w:rPr>
          <w:rFonts w:ascii="Palatino Linotype" w:hAnsi="Palatino Linotype" w:cs="Arial"/>
          <w:bCs/>
          <w:sz w:val="16"/>
          <w:szCs w:val="16"/>
          <w:lang w:eastAsia="es-MX"/>
        </w:rPr>
        <w:t>OSAM/FJJC</w:t>
      </w:r>
    </w:p>
    <w:p w:rsidR="00696FBF" w:rsidRDefault="00696FBF"/>
    <w:sectPr w:rsidR="00696FBF" w:rsidSect="006F251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3AD" w:rsidRDefault="00D073AD" w:rsidP="00EF4493">
      <w:pPr>
        <w:spacing w:after="0" w:line="240" w:lineRule="auto"/>
      </w:pPr>
      <w:r>
        <w:separator/>
      </w:r>
    </w:p>
  </w:endnote>
  <w:endnote w:type="continuationSeparator" w:id="0">
    <w:p w:rsidR="00D073AD" w:rsidRDefault="00D073AD"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3B6">
      <w:rPr>
        <w:rFonts w:ascii="Palatino Linotype" w:hAnsi="Palatino Linotype"/>
        <w:bCs/>
        <w:noProof/>
        <w:sz w:val="20"/>
      </w:rPr>
      <w:t>30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03B6">
      <w:rPr>
        <w:rFonts w:ascii="Palatino Linotype" w:hAnsi="Palatino Linotype"/>
        <w:bCs/>
        <w:noProof/>
        <w:sz w:val="20"/>
      </w:rPr>
      <w:t>30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Pr="000B69FA" w:rsidRDefault="00E26222"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503B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503B6">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3AD" w:rsidRDefault="00D073AD" w:rsidP="00EF4493">
      <w:pPr>
        <w:spacing w:after="0" w:line="240" w:lineRule="auto"/>
      </w:pPr>
      <w:r>
        <w:separator/>
      </w:r>
    </w:p>
  </w:footnote>
  <w:footnote w:type="continuationSeparator" w:id="0">
    <w:p w:rsidR="00D073AD" w:rsidRDefault="00D073AD" w:rsidP="00EF4493">
      <w:pPr>
        <w:spacing w:after="0" w:line="240" w:lineRule="auto"/>
      </w:pPr>
      <w:r>
        <w:continuationSeparator/>
      </w:r>
    </w:p>
  </w:footnote>
  <w:footnote w:id="1">
    <w:p w:rsidR="00E26222" w:rsidRPr="005552A8" w:rsidRDefault="00E26222" w:rsidP="00EF4493">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26222" w:rsidRPr="005552A8" w:rsidRDefault="00E26222" w:rsidP="00EF4493">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222" w:rsidRDefault="00E2622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26222" w:rsidTr="006F251D">
      <w:trPr>
        <w:trHeight w:val="227"/>
      </w:trPr>
      <w:tc>
        <w:tcPr>
          <w:tcW w:w="552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26222" w:rsidRPr="00546BD1" w:rsidRDefault="00441515" w:rsidP="00546BD1">
          <w:pPr>
            <w:spacing w:after="120" w:line="256" w:lineRule="auto"/>
            <w:ind w:left="639" w:right="214"/>
            <w:jc w:val="both"/>
            <w:rPr>
              <w:rFonts w:ascii="Palatino Linotype" w:hAnsi="Palatino Linotype" w:cs="Arial"/>
              <w:bCs/>
              <w:sz w:val="24"/>
              <w:lang w:eastAsia="es-MX"/>
            </w:rPr>
          </w:pPr>
          <w:r>
            <w:rPr>
              <w:rFonts w:ascii="Palatino Linotype" w:hAnsi="Palatino Linotype" w:cs="Arial"/>
              <w:bCs/>
              <w:sz w:val="24"/>
              <w:lang w:eastAsia="es-MX"/>
            </w:rPr>
            <w:t>094</w:t>
          </w:r>
          <w:r w:rsidR="006F650F">
            <w:rPr>
              <w:rFonts w:ascii="Palatino Linotype" w:hAnsi="Palatino Linotype" w:cs="Arial"/>
              <w:bCs/>
              <w:sz w:val="24"/>
              <w:lang w:eastAsia="es-MX"/>
            </w:rPr>
            <w:t>9</w:t>
          </w:r>
          <w:r w:rsidR="00E26222">
            <w:rPr>
              <w:rFonts w:ascii="Palatino Linotype" w:hAnsi="Palatino Linotype" w:cs="Arial"/>
              <w:bCs/>
              <w:sz w:val="24"/>
              <w:lang w:eastAsia="es-MX"/>
            </w:rPr>
            <w:t>5/INFOEM/IP/RR/2019</w:t>
          </w:r>
        </w:p>
      </w:tc>
    </w:tr>
    <w:tr w:rsidR="00E26222" w:rsidTr="006F251D">
      <w:trPr>
        <w:trHeight w:val="242"/>
      </w:trPr>
      <w:tc>
        <w:tcPr>
          <w:tcW w:w="5529"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26222" w:rsidRPr="00F06FED" w:rsidRDefault="006F650F" w:rsidP="00441515">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441515">
            <w:rPr>
              <w:rFonts w:ascii="Palatino Linotype" w:hAnsi="Palatino Linotype" w:cs="Arial"/>
              <w:szCs w:val="20"/>
            </w:rPr>
            <w:t>Ecatepec de Morelos</w:t>
          </w:r>
        </w:p>
      </w:tc>
    </w:tr>
    <w:tr w:rsidR="00E26222" w:rsidTr="006F251D">
      <w:trPr>
        <w:trHeight w:val="342"/>
      </w:trPr>
      <w:tc>
        <w:tcPr>
          <w:tcW w:w="5529"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26222" w:rsidRDefault="00E26222"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25" w:type="dxa"/>
      <w:tblInd w:w="-851" w:type="dxa"/>
      <w:tblLayout w:type="fixed"/>
      <w:tblCellMar>
        <w:left w:w="70" w:type="dxa"/>
        <w:right w:w="70" w:type="dxa"/>
      </w:tblCellMar>
      <w:tblLook w:val="04A0" w:firstRow="1" w:lastRow="0" w:firstColumn="1" w:lastColumn="0" w:noHBand="0" w:noVBand="1"/>
    </w:tblPr>
    <w:tblGrid>
      <w:gridCol w:w="5562"/>
      <w:gridCol w:w="4563"/>
    </w:tblGrid>
    <w:tr w:rsidR="00E26222" w:rsidTr="00AA27DA">
      <w:trPr>
        <w:trHeight w:val="199"/>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63" w:type="dxa"/>
          <w:hideMark/>
        </w:tcPr>
        <w:p w:rsidR="00E26222" w:rsidRPr="00B4142F" w:rsidRDefault="00A01E1E"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094</w:t>
          </w:r>
          <w:r w:rsidR="00AA27DA">
            <w:rPr>
              <w:rFonts w:ascii="Palatino Linotype" w:hAnsi="Palatino Linotype" w:cs="Arial"/>
              <w:bCs/>
              <w:sz w:val="24"/>
              <w:lang w:eastAsia="es-MX"/>
            </w:rPr>
            <w:t>95</w:t>
          </w:r>
          <w:r w:rsidR="00E26222">
            <w:rPr>
              <w:rFonts w:ascii="Palatino Linotype" w:hAnsi="Palatino Linotype" w:cs="Arial"/>
              <w:bCs/>
              <w:sz w:val="24"/>
              <w:lang w:eastAsia="es-MX"/>
            </w:rPr>
            <w:t>/INFOEM/IP/RR/2019</w:t>
          </w:r>
        </w:p>
      </w:tc>
    </w:tr>
    <w:tr w:rsidR="00E26222" w:rsidTr="00AA27DA">
      <w:trPr>
        <w:trHeight w:val="172"/>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63" w:type="dxa"/>
          <w:hideMark/>
        </w:tcPr>
        <w:p w:rsidR="00E26222" w:rsidRPr="00F06FED" w:rsidRDefault="005503B6" w:rsidP="006F251D">
          <w:pPr>
            <w:spacing w:after="120" w:line="256" w:lineRule="auto"/>
            <w:ind w:left="639" w:right="214"/>
            <w:jc w:val="both"/>
            <w:rPr>
              <w:rFonts w:ascii="Palatino Linotype" w:hAnsi="Palatino Linotype" w:cs="Arial"/>
            </w:rPr>
          </w:pPr>
          <w:r>
            <w:rPr>
              <w:rFonts w:ascii="Palatino Linotype" w:hAnsi="Palatino Linotype" w:cs="Arial"/>
            </w:rPr>
            <w:t>xxxxxxxxxxxxxxxxxxxxxxx</w:t>
          </w:r>
        </w:p>
      </w:tc>
    </w:tr>
    <w:tr w:rsidR="00E26222" w:rsidTr="00AA27DA">
      <w:trPr>
        <w:trHeight w:val="213"/>
      </w:trPr>
      <w:tc>
        <w:tcPr>
          <w:tcW w:w="5562" w:type="dxa"/>
          <w:hideMark/>
        </w:tcPr>
        <w:p w:rsidR="00E26222" w:rsidRDefault="00E26222"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63" w:type="dxa"/>
          <w:hideMark/>
        </w:tcPr>
        <w:p w:rsidR="00E26222" w:rsidRDefault="00AA27DA" w:rsidP="00A01E1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A01E1E">
            <w:rPr>
              <w:rFonts w:ascii="Palatino Linotype" w:hAnsi="Palatino Linotype" w:cs="Arial"/>
              <w:szCs w:val="20"/>
            </w:rPr>
            <w:t>Ecatepec de Morelos</w:t>
          </w:r>
        </w:p>
      </w:tc>
    </w:tr>
    <w:tr w:rsidR="00E26222" w:rsidTr="00AA27DA">
      <w:trPr>
        <w:trHeight w:val="301"/>
      </w:trPr>
      <w:tc>
        <w:tcPr>
          <w:tcW w:w="5562" w:type="dxa"/>
          <w:hideMark/>
        </w:tcPr>
        <w:p w:rsidR="00E26222" w:rsidRDefault="00E26222"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63" w:type="dxa"/>
          <w:hideMark/>
        </w:tcPr>
        <w:p w:rsidR="00E26222" w:rsidRDefault="00E26222"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E26222" w:rsidRDefault="00E2622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15:restartNumberingAfterBreak="0">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15:restartNumberingAfterBreak="0">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052709"/>
    <w:multiLevelType w:val="hybridMultilevel"/>
    <w:tmpl w:val="674C5B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5DE6B73"/>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5" w15:restartNumberingAfterBreak="0">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9"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7F5D5C"/>
    <w:multiLevelType w:val="hybridMultilevel"/>
    <w:tmpl w:val="B29A554C"/>
    <w:lvl w:ilvl="0" w:tplc="080A0001">
      <w:start w:val="1"/>
      <w:numFmt w:val="bullet"/>
      <w:lvlText w:val=""/>
      <w:lvlJc w:val="left"/>
      <w:pPr>
        <w:ind w:left="720" w:hanging="360"/>
      </w:pPr>
      <w:rPr>
        <w:rFonts w:ascii="Symbol" w:hAnsi="Symbol"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911939"/>
    <w:multiLevelType w:val="hybridMultilevel"/>
    <w:tmpl w:val="A16C3F04"/>
    <w:lvl w:ilvl="0" w:tplc="6DA49312">
      <w:start w:val="1"/>
      <w:numFmt w:val="decimal"/>
      <w:lvlText w:val="%1."/>
      <w:lvlJc w:val="left"/>
      <w:pPr>
        <w:ind w:left="1080" w:hanging="360"/>
      </w:pPr>
      <w:rPr>
        <w:rFonts w:eastAsia="Times New Roman" w:hint="default"/>
        <w:i w:val="0"/>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8" w15:restartNumberingAfterBreak="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6" w15:restartNumberingAfterBreak="0">
    <w:nsid w:val="716E55FC"/>
    <w:multiLevelType w:val="hybridMultilevel"/>
    <w:tmpl w:val="EC389D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8971D9"/>
    <w:multiLevelType w:val="hybridMultilevel"/>
    <w:tmpl w:val="92DC768E"/>
    <w:lvl w:ilvl="0" w:tplc="21B22960">
      <w:start w:val="1"/>
      <w:numFmt w:val="decimal"/>
      <w:lvlText w:val="%1."/>
      <w:lvlJc w:val="left"/>
      <w:pPr>
        <w:ind w:left="720" w:hanging="360"/>
      </w:pPr>
      <w:rPr>
        <w:rFonts w:eastAsia="Times New Roman"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0"/>
  </w:num>
  <w:num w:numId="3">
    <w:abstractNumId w:val="2"/>
  </w:num>
  <w:num w:numId="4">
    <w:abstractNumId w:val="30"/>
  </w:num>
  <w:num w:numId="5">
    <w:abstractNumId w:val="15"/>
  </w:num>
  <w:num w:numId="6">
    <w:abstractNumId w:val="39"/>
  </w:num>
  <w:num w:numId="7">
    <w:abstractNumId w:val="3"/>
  </w:num>
  <w:num w:numId="8">
    <w:abstractNumId w:val="16"/>
  </w:num>
  <w:num w:numId="9">
    <w:abstractNumId w:val="18"/>
  </w:num>
  <w:num w:numId="10">
    <w:abstractNumId w:val="33"/>
  </w:num>
  <w:num w:numId="11">
    <w:abstractNumId w:val="7"/>
  </w:num>
  <w:num w:numId="12">
    <w:abstractNumId w:val="28"/>
  </w:num>
  <w:num w:numId="13">
    <w:abstractNumId w:val="5"/>
  </w:num>
  <w:num w:numId="14">
    <w:abstractNumId w:val="32"/>
  </w:num>
  <w:num w:numId="15">
    <w:abstractNumId w:val="24"/>
  </w:num>
  <w:num w:numId="16">
    <w:abstractNumId w:val="6"/>
  </w:num>
  <w:num w:numId="17">
    <w:abstractNumId w:val="21"/>
  </w:num>
  <w:num w:numId="18">
    <w:abstractNumId w:val="1"/>
  </w:num>
  <w:num w:numId="19">
    <w:abstractNumId w:val="23"/>
  </w:num>
  <w:num w:numId="20">
    <w:abstractNumId w:val="11"/>
  </w:num>
  <w:num w:numId="21">
    <w:abstractNumId w:val="8"/>
  </w:num>
  <w:num w:numId="22">
    <w:abstractNumId w:val="31"/>
  </w:num>
  <w:num w:numId="23">
    <w:abstractNumId w:val="12"/>
  </w:num>
  <w:num w:numId="24">
    <w:abstractNumId w:val="37"/>
  </w:num>
  <w:num w:numId="25">
    <w:abstractNumId w:val="35"/>
  </w:num>
  <w:num w:numId="26">
    <w:abstractNumId w:val="4"/>
  </w:num>
  <w:num w:numId="27">
    <w:abstractNumId w:val="22"/>
  </w:num>
  <w:num w:numId="28">
    <w:abstractNumId w:val="34"/>
  </w:num>
  <w:num w:numId="29">
    <w:abstractNumId w:val="41"/>
  </w:num>
  <w:num w:numId="30">
    <w:abstractNumId w:val="25"/>
  </w:num>
  <w:num w:numId="31">
    <w:abstractNumId w:val="27"/>
  </w:num>
  <w:num w:numId="32">
    <w:abstractNumId w:val="38"/>
  </w:num>
  <w:num w:numId="33">
    <w:abstractNumId w:val="29"/>
  </w:num>
  <w:num w:numId="34">
    <w:abstractNumId w:val="17"/>
  </w:num>
  <w:num w:numId="35">
    <w:abstractNumId w:val="14"/>
  </w:num>
  <w:num w:numId="36">
    <w:abstractNumId w:val="9"/>
  </w:num>
  <w:num w:numId="37">
    <w:abstractNumId w:val="10"/>
  </w:num>
  <w:num w:numId="38">
    <w:abstractNumId w:val="36"/>
  </w:num>
  <w:num w:numId="39">
    <w:abstractNumId w:val="19"/>
  </w:num>
  <w:num w:numId="40">
    <w:abstractNumId w:val="26"/>
  </w:num>
  <w:num w:numId="41">
    <w:abstractNumId w:val="42"/>
  </w:num>
  <w:num w:numId="42">
    <w:abstractNumId w:val="20"/>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0A0B"/>
    <w:rsid w:val="0000624A"/>
    <w:rsid w:val="00014D7C"/>
    <w:rsid w:val="000214BB"/>
    <w:rsid w:val="00025141"/>
    <w:rsid w:val="00025E59"/>
    <w:rsid w:val="00032B17"/>
    <w:rsid w:val="000337D4"/>
    <w:rsid w:val="00066163"/>
    <w:rsid w:val="000702DB"/>
    <w:rsid w:val="00073303"/>
    <w:rsid w:val="000750D2"/>
    <w:rsid w:val="000851CB"/>
    <w:rsid w:val="00087BFB"/>
    <w:rsid w:val="00097FA1"/>
    <w:rsid w:val="000A6FDA"/>
    <w:rsid w:val="000B5A64"/>
    <w:rsid w:val="000B739F"/>
    <w:rsid w:val="000C1189"/>
    <w:rsid w:val="000C68C4"/>
    <w:rsid w:val="000D2D22"/>
    <w:rsid w:val="000D6C1E"/>
    <w:rsid w:val="000E1C5C"/>
    <w:rsid w:val="000E610B"/>
    <w:rsid w:val="000E694F"/>
    <w:rsid w:val="000E7FFE"/>
    <w:rsid w:val="000F1092"/>
    <w:rsid w:val="000F5EEF"/>
    <w:rsid w:val="000F6658"/>
    <w:rsid w:val="00106E8D"/>
    <w:rsid w:val="00114686"/>
    <w:rsid w:val="00124810"/>
    <w:rsid w:val="00124E05"/>
    <w:rsid w:val="001267CD"/>
    <w:rsid w:val="001278E0"/>
    <w:rsid w:val="00134259"/>
    <w:rsid w:val="001501CA"/>
    <w:rsid w:val="001633F9"/>
    <w:rsid w:val="001635B1"/>
    <w:rsid w:val="00166EC3"/>
    <w:rsid w:val="00185374"/>
    <w:rsid w:val="00185C3A"/>
    <w:rsid w:val="00187FF4"/>
    <w:rsid w:val="00190B39"/>
    <w:rsid w:val="0019756E"/>
    <w:rsid w:val="001B7FE2"/>
    <w:rsid w:val="001C3A84"/>
    <w:rsid w:val="001C5682"/>
    <w:rsid w:val="001C79BB"/>
    <w:rsid w:val="001D4B3C"/>
    <w:rsid w:val="001D4E42"/>
    <w:rsid w:val="001F421D"/>
    <w:rsid w:val="001F42BD"/>
    <w:rsid w:val="001F72E7"/>
    <w:rsid w:val="001F7B55"/>
    <w:rsid w:val="00207EE0"/>
    <w:rsid w:val="00227141"/>
    <w:rsid w:val="0023164D"/>
    <w:rsid w:val="00231C6B"/>
    <w:rsid w:val="00255CDF"/>
    <w:rsid w:val="00264B85"/>
    <w:rsid w:val="002672A7"/>
    <w:rsid w:val="00270E4A"/>
    <w:rsid w:val="00272926"/>
    <w:rsid w:val="002745B9"/>
    <w:rsid w:val="00277E83"/>
    <w:rsid w:val="00280DE4"/>
    <w:rsid w:val="00294D5A"/>
    <w:rsid w:val="002A2D68"/>
    <w:rsid w:val="002A33CE"/>
    <w:rsid w:val="002A5ADB"/>
    <w:rsid w:val="002A5D64"/>
    <w:rsid w:val="002A7D7A"/>
    <w:rsid w:val="002D04E8"/>
    <w:rsid w:val="002F7FF2"/>
    <w:rsid w:val="00306529"/>
    <w:rsid w:val="00311601"/>
    <w:rsid w:val="00323F00"/>
    <w:rsid w:val="00325503"/>
    <w:rsid w:val="00330894"/>
    <w:rsid w:val="003309AB"/>
    <w:rsid w:val="00336A6A"/>
    <w:rsid w:val="00344DF6"/>
    <w:rsid w:val="00344ED3"/>
    <w:rsid w:val="00352FAD"/>
    <w:rsid w:val="0036453F"/>
    <w:rsid w:val="0036658A"/>
    <w:rsid w:val="00394381"/>
    <w:rsid w:val="003A3011"/>
    <w:rsid w:val="003E33B1"/>
    <w:rsid w:val="003E6C68"/>
    <w:rsid w:val="003F02AB"/>
    <w:rsid w:val="00400282"/>
    <w:rsid w:val="00401F93"/>
    <w:rsid w:val="0041352A"/>
    <w:rsid w:val="00415AB6"/>
    <w:rsid w:val="00430260"/>
    <w:rsid w:val="00441515"/>
    <w:rsid w:val="004560BF"/>
    <w:rsid w:val="00461E98"/>
    <w:rsid w:val="00463292"/>
    <w:rsid w:val="004708A3"/>
    <w:rsid w:val="00473A34"/>
    <w:rsid w:val="004826F4"/>
    <w:rsid w:val="004901C7"/>
    <w:rsid w:val="004902C5"/>
    <w:rsid w:val="00490653"/>
    <w:rsid w:val="00492346"/>
    <w:rsid w:val="004B13E8"/>
    <w:rsid w:val="004B1B2D"/>
    <w:rsid w:val="004B2880"/>
    <w:rsid w:val="004C1447"/>
    <w:rsid w:val="004C565B"/>
    <w:rsid w:val="004F4459"/>
    <w:rsid w:val="00513367"/>
    <w:rsid w:val="00540B2F"/>
    <w:rsid w:val="00545C18"/>
    <w:rsid w:val="00546BD1"/>
    <w:rsid w:val="005503B6"/>
    <w:rsid w:val="0055089B"/>
    <w:rsid w:val="005649E2"/>
    <w:rsid w:val="00583579"/>
    <w:rsid w:val="00586B5A"/>
    <w:rsid w:val="005A5CE2"/>
    <w:rsid w:val="005A7CA3"/>
    <w:rsid w:val="005B3EB0"/>
    <w:rsid w:val="005B4B11"/>
    <w:rsid w:val="005B518C"/>
    <w:rsid w:val="005C1239"/>
    <w:rsid w:val="005C2079"/>
    <w:rsid w:val="005D137B"/>
    <w:rsid w:val="005D72CE"/>
    <w:rsid w:val="005E56B2"/>
    <w:rsid w:val="005F743B"/>
    <w:rsid w:val="00604565"/>
    <w:rsid w:val="006046ED"/>
    <w:rsid w:val="00604ABB"/>
    <w:rsid w:val="00625F95"/>
    <w:rsid w:val="006340B0"/>
    <w:rsid w:val="0063576D"/>
    <w:rsid w:val="00684514"/>
    <w:rsid w:val="00696FBF"/>
    <w:rsid w:val="00697A1C"/>
    <w:rsid w:val="006B11C6"/>
    <w:rsid w:val="006B284F"/>
    <w:rsid w:val="006B2A06"/>
    <w:rsid w:val="006B740B"/>
    <w:rsid w:val="006C1EFC"/>
    <w:rsid w:val="006D618C"/>
    <w:rsid w:val="006D6D37"/>
    <w:rsid w:val="006F251D"/>
    <w:rsid w:val="006F2DE7"/>
    <w:rsid w:val="006F3A75"/>
    <w:rsid w:val="006F3C31"/>
    <w:rsid w:val="006F63D2"/>
    <w:rsid w:val="006F650F"/>
    <w:rsid w:val="007136D6"/>
    <w:rsid w:val="0071506B"/>
    <w:rsid w:val="0072323C"/>
    <w:rsid w:val="00732820"/>
    <w:rsid w:val="00733917"/>
    <w:rsid w:val="00735007"/>
    <w:rsid w:val="007370D5"/>
    <w:rsid w:val="00741959"/>
    <w:rsid w:val="00770A89"/>
    <w:rsid w:val="00784619"/>
    <w:rsid w:val="0078535E"/>
    <w:rsid w:val="00791E63"/>
    <w:rsid w:val="0079621F"/>
    <w:rsid w:val="007B5341"/>
    <w:rsid w:val="007B70F6"/>
    <w:rsid w:val="007B7A90"/>
    <w:rsid w:val="007D0F08"/>
    <w:rsid w:val="007D4141"/>
    <w:rsid w:val="007F5F4F"/>
    <w:rsid w:val="0080077B"/>
    <w:rsid w:val="00802DFF"/>
    <w:rsid w:val="00803304"/>
    <w:rsid w:val="00815A0F"/>
    <w:rsid w:val="00817E7B"/>
    <w:rsid w:val="008229F9"/>
    <w:rsid w:val="00850810"/>
    <w:rsid w:val="00860249"/>
    <w:rsid w:val="008626E3"/>
    <w:rsid w:val="0087164D"/>
    <w:rsid w:val="0087286F"/>
    <w:rsid w:val="00875DC4"/>
    <w:rsid w:val="00877591"/>
    <w:rsid w:val="008805F2"/>
    <w:rsid w:val="008860FD"/>
    <w:rsid w:val="00893572"/>
    <w:rsid w:val="008938CF"/>
    <w:rsid w:val="008B69BA"/>
    <w:rsid w:val="008C77C0"/>
    <w:rsid w:val="008D16FA"/>
    <w:rsid w:val="008E67E9"/>
    <w:rsid w:val="009017C6"/>
    <w:rsid w:val="00903DAE"/>
    <w:rsid w:val="009061C9"/>
    <w:rsid w:val="009364EB"/>
    <w:rsid w:val="0093663D"/>
    <w:rsid w:val="009404A3"/>
    <w:rsid w:val="00941706"/>
    <w:rsid w:val="00955218"/>
    <w:rsid w:val="00956723"/>
    <w:rsid w:val="00977502"/>
    <w:rsid w:val="0097766B"/>
    <w:rsid w:val="00983BC6"/>
    <w:rsid w:val="009900EC"/>
    <w:rsid w:val="009A304B"/>
    <w:rsid w:val="009A7AB8"/>
    <w:rsid w:val="009B21CC"/>
    <w:rsid w:val="009B5455"/>
    <w:rsid w:val="009D55B4"/>
    <w:rsid w:val="009E56E2"/>
    <w:rsid w:val="009F1EFF"/>
    <w:rsid w:val="009F286E"/>
    <w:rsid w:val="00A01E1E"/>
    <w:rsid w:val="00A03694"/>
    <w:rsid w:val="00A257B9"/>
    <w:rsid w:val="00A46BBA"/>
    <w:rsid w:val="00A62BC0"/>
    <w:rsid w:val="00A771BB"/>
    <w:rsid w:val="00A944BC"/>
    <w:rsid w:val="00A9565C"/>
    <w:rsid w:val="00AA27DA"/>
    <w:rsid w:val="00AC0CA2"/>
    <w:rsid w:val="00AC4B71"/>
    <w:rsid w:val="00AD44D5"/>
    <w:rsid w:val="00AF41F9"/>
    <w:rsid w:val="00B00245"/>
    <w:rsid w:val="00B0264D"/>
    <w:rsid w:val="00B071B9"/>
    <w:rsid w:val="00B23307"/>
    <w:rsid w:val="00B26705"/>
    <w:rsid w:val="00B3566B"/>
    <w:rsid w:val="00B469C1"/>
    <w:rsid w:val="00B53142"/>
    <w:rsid w:val="00B61C99"/>
    <w:rsid w:val="00B64DAF"/>
    <w:rsid w:val="00B82722"/>
    <w:rsid w:val="00B82D5C"/>
    <w:rsid w:val="00B84C69"/>
    <w:rsid w:val="00B85928"/>
    <w:rsid w:val="00B85B37"/>
    <w:rsid w:val="00B85E7C"/>
    <w:rsid w:val="00B86F58"/>
    <w:rsid w:val="00B94AF5"/>
    <w:rsid w:val="00BB502B"/>
    <w:rsid w:val="00BC02DE"/>
    <w:rsid w:val="00BD0523"/>
    <w:rsid w:val="00BE1CF1"/>
    <w:rsid w:val="00BE6F62"/>
    <w:rsid w:val="00BF4A39"/>
    <w:rsid w:val="00C07D1E"/>
    <w:rsid w:val="00C11C06"/>
    <w:rsid w:val="00C14C6C"/>
    <w:rsid w:val="00C2405E"/>
    <w:rsid w:val="00C2663F"/>
    <w:rsid w:val="00C47430"/>
    <w:rsid w:val="00C557FB"/>
    <w:rsid w:val="00C64549"/>
    <w:rsid w:val="00C66054"/>
    <w:rsid w:val="00C67CCC"/>
    <w:rsid w:val="00C74C20"/>
    <w:rsid w:val="00C75866"/>
    <w:rsid w:val="00C767D9"/>
    <w:rsid w:val="00C76FD3"/>
    <w:rsid w:val="00CA0678"/>
    <w:rsid w:val="00CB17A8"/>
    <w:rsid w:val="00CB33B2"/>
    <w:rsid w:val="00CD400D"/>
    <w:rsid w:val="00CF17C0"/>
    <w:rsid w:val="00CF36A8"/>
    <w:rsid w:val="00D073AD"/>
    <w:rsid w:val="00D110B7"/>
    <w:rsid w:val="00D305A5"/>
    <w:rsid w:val="00D317E2"/>
    <w:rsid w:val="00D43C37"/>
    <w:rsid w:val="00D449DB"/>
    <w:rsid w:val="00D50082"/>
    <w:rsid w:val="00D5314D"/>
    <w:rsid w:val="00D56BC0"/>
    <w:rsid w:val="00D632D6"/>
    <w:rsid w:val="00D64AFF"/>
    <w:rsid w:val="00D66256"/>
    <w:rsid w:val="00D706AD"/>
    <w:rsid w:val="00D75807"/>
    <w:rsid w:val="00D919D3"/>
    <w:rsid w:val="00D95888"/>
    <w:rsid w:val="00DC796C"/>
    <w:rsid w:val="00DD295B"/>
    <w:rsid w:val="00DE3168"/>
    <w:rsid w:val="00E026B4"/>
    <w:rsid w:val="00E15DE0"/>
    <w:rsid w:val="00E22D5F"/>
    <w:rsid w:val="00E250DA"/>
    <w:rsid w:val="00E26222"/>
    <w:rsid w:val="00E31918"/>
    <w:rsid w:val="00E47967"/>
    <w:rsid w:val="00E6268F"/>
    <w:rsid w:val="00E62C5E"/>
    <w:rsid w:val="00E67266"/>
    <w:rsid w:val="00E81DA2"/>
    <w:rsid w:val="00E82558"/>
    <w:rsid w:val="00E87339"/>
    <w:rsid w:val="00EA0996"/>
    <w:rsid w:val="00EB22D0"/>
    <w:rsid w:val="00EB293A"/>
    <w:rsid w:val="00EB49FB"/>
    <w:rsid w:val="00EB7E07"/>
    <w:rsid w:val="00EE3FBD"/>
    <w:rsid w:val="00EF3741"/>
    <w:rsid w:val="00EF4493"/>
    <w:rsid w:val="00F02CF6"/>
    <w:rsid w:val="00F21AB0"/>
    <w:rsid w:val="00F37D99"/>
    <w:rsid w:val="00F476C5"/>
    <w:rsid w:val="00F56D87"/>
    <w:rsid w:val="00F635E6"/>
    <w:rsid w:val="00F701B3"/>
    <w:rsid w:val="00F83132"/>
    <w:rsid w:val="00FB2284"/>
    <w:rsid w:val="00FC75FB"/>
    <w:rsid w:val="00FC7A72"/>
    <w:rsid w:val="00FD2516"/>
    <w:rsid w:val="00FE415E"/>
    <w:rsid w:val="00FE646D"/>
    <w:rsid w:val="00FE6E94"/>
    <w:rsid w:val="00FF2116"/>
    <w:rsid w:val="00FF6BAC"/>
    <w:rsid w:val="00FF7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4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68727">
      <w:bodyDiv w:val="1"/>
      <w:marLeft w:val="0"/>
      <w:marRight w:val="0"/>
      <w:marTop w:val="0"/>
      <w:marBottom w:val="0"/>
      <w:divBdr>
        <w:top w:val="none" w:sz="0" w:space="0" w:color="auto"/>
        <w:left w:val="none" w:sz="0" w:space="0" w:color="auto"/>
        <w:bottom w:val="none" w:sz="0" w:space="0" w:color="auto"/>
        <w:right w:val="none" w:sz="0" w:space="0" w:color="auto"/>
      </w:divBdr>
    </w:div>
    <w:div w:id="242447412">
      <w:bodyDiv w:val="1"/>
      <w:marLeft w:val="0"/>
      <w:marRight w:val="0"/>
      <w:marTop w:val="0"/>
      <w:marBottom w:val="0"/>
      <w:divBdr>
        <w:top w:val="none" w:sz="0" w:space="0" w:color="auto"/>
        <w:left w:val="none" w:sz="0" w:space="0" w:color="auto"/>
        <w:bottom w:val="none" w:sz="0" w:space="0" w:color="auto"/>
        <w:right w:val="none" w:sz="0" w:space="0" w:color="auto"/>
      </w:divBdr>
    </w:div>
    <w:div w:id="494422682">
      <w:bodyDiv w:val="1"/>
      <w:marLeft w:val="0"/>
      <w:marRight w:val="0"/>
      <w:marTop w:val="0"/>
      <w:marBottom w:val="0"/>
      <w:divBdr>
        <w:top w:val="none" w:sz="0" w:space="0" w:color="auto"/>
        <w:left w:val="none" w:sz="0" w:space="0" w:color="auto"/>
        <w:bottom w:val="none" w:sz="0" w:space="0" w:color="auto"/>
        <w:right w:val="none" w:sz="0" w:space="0" w:color="auto"/>
      </w:divBdr>
    </w:div>
    <w:div w:id="509833229">
      <w:bodyDiv w:val="1"/>
      <w:marLeft w:val="0"/>
      <w:marRight w:val="0"/>
      <w:marTop w:val="0"/>
      <w:marBottom w:val="0"/>
      <w:divBdr>
        <w:top w:val="none" w:sz="0" w:space="0" w:color="auto"/>
        <w:left w:val="none" w:sz="0" w:space="0" w:color="auto"/>
        <w:bottom w:val="none" w:sz="0" w:space="0" w:color="auto"/>
        <w:right w:val="none" w:sz="0" w:space="0" w:color="auto"/>
      </w:divBdr>
    </w:div>
    <w:div w:id="772700393">
      <w:bodyDiv w:val="1"/>
      <w:marLeft w:val="0"/>
      <w:marRight w:val="0"/>
      <w:marTop w:val="0"/>
      <w:marBottom w:val="0"/>
      <w:divBdr>
        <w:top w:val="none" w:sz="0" w:space="0" w:color="auto"/>
        <w:left w:val="none" w:sz="0" w:space="0" w:color="auto"/>
        <w:bottom w:val="none" w:sz="0" w:space="0" w:color="auto"/>
        <w:right w:val="none" w:sz="0" w:space="0" w:color="auto"/>
      </w:divBdr>
    </w:div>
    <w:div w:id="1365254277">
      <w:bodyDiv w:val="1"/>
      <w:marLeft w:val="0"/>
      <w:marRight w:val="0"/>
      <w:marTop w:val="0"/>
      <w:marBottom w:val="0"/>
      <w:divBdr>
        <w:top w:val="none" w:sz="0" w:space="0" w:color="auto"/>
        <w:left w:val="none" w:sz="0" w:space="0" w:color="auto"/>
        <w:bottom w:val="none" w:sz="0" w:space="0" w:color="auto"/>
        <w:right w:val="none" w:sz="0" w:space="0" w:color="auto"/>
      </w:divBdr>
    </w:div>
    <w:div w:id="1553732365">
      <w:bodyDiv w:val="1"/>
      <w:marLeft w:val="0"/>
      <w:marRight w:val="0"/>
      <w:marTop w:val="0"/>
      <w:marBottom w:val="0"/>
      <w:divBdr>
        <w:top w:val="none" w:sz="0" w:space="0" w:color="auto"/>
        <w:left w:val="none" w:sz="0" w:space="0" w:color="auto"/>
        <w:bottom w:val="none" w:sz="0" w:space="0" w:color="auto"/>
        <w:right w:val="none" w:sz="0" w:space="0" w:color="auto"/>
      </w:divBdr>
    </w:div>
    <w:div w:id="174341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D7E9-B266-4D47-BD56-949C95705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7098</Words>
  <Characters>39041</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2020-03-06T04:02:00Z</cp:lastPrinted>
  <dcterms:created xsi:type="dcterms:W3CDTF">2020-04-23T06:41:00Z</dcterms:created>
  <dcterms:modified xsi:type="dcterms:W3CDTF">2020-04-23T06:41:00Z</dcterms:modified>
</cp:coreProperties>
</file>