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Pr="001D400F">
        <w:rPr>
          <w:rFonts w:ascii="Palatino Linotype" w:hAnsi="Palatino Linotype" w:cs="Arial"/>
        </w:rPr>
        <w:t xml:space="preserve">a </w:t>
      </w:r>
      <w:r w:rsidR="001D400F">
        <w:rPr>
          <w:rFonts w:ascii="Palatino Linotype" w:hAnsi="Palatino Linotype" w:cs="Arial"/>
        </w:rPr>
        <w:t>doce</w:t>
      </w:r>
      <w:r w:rsidRPr="001D400F">
        <w:rPr>
          <w:rFonts w:ascii="Palatino Linotype" w:hAnsi="Palatino Linotype" w:cs="Arial"/>
        </w:rPr>
        <w:t xml:space="preserve"> de </w:t>
      </w:r>
      <w:r w:rsidR="001D400F">
        <w:rPr>
          <w:rFonts w:ascii="Palatino Linotype" w:hAnsi="Palatino Linotype" w:cs="Arial"/>
        </w:rPr>
        <w:t>junio</w:t>
      </w:r>
      <w:r w:rsidRPr="001D400F">
        <w:rPr>
          <w:rFonts w:ascii="Palatino Linotype" w:hAnsi="Palatino Linotype" w:cs="Arial"/>
        </w:rPr>
        <w:t xml:space="preserv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654E81">
        <w:rPr>
          <w:rFonts w:ascii="Palatino Linotype" w:hAnsi="Palatino Linotype" w:cs="Arial"/>
          <w:b/>
        </w:rPr>
        <w:t>2235</w:t>
      </w:r>
      <w:r w:rsidRPr="000272B4">
        <w:rPr>
          <w:rFonts w:ascii="Palatino Linotype" w:hAnsi="Palatino Linotype" w:cs="Arial"/>
          <w:b/>
        </w:rPr>
        <w:t>/INFOEM/IP/RR/2019</w:t>
      </w:r>
      <w:r w:rsidRPr="000272B4">
        <w:rPr>
          <w:rFonts w:ascii="Palatino Linotype" w:hAnsi="Palatino Linotype" w:cs="Arial"/>
        </w:rPr>
        <w:t>, interpuesto por</w:t>
      </w:r>
      <w:r w:rsidRPr="000272B4">
        <w:rPr>
          <w:rFonts w:ascii="Palatino Linotype" w:hAnsi="Palatino Linotype" w:cs="Arial"/>
          <w:b/>
        </w:rPr>
        <w:t xml:space="preserve"> </w:t>
      </w:r>
      <w:r w:rsidR="006F24D5">
        <w:rPr>
          <w:rFonts w:ascii="Palatino Linotype" w:hAnsi="Palatino Linotype" w:cs="Arial"/>
          <w:b/>
        </w:rPr>
        <w:t>XXXXXXXXXX XXXXXXXX XXXXX</w:t>
      </w:r>
      <w:r w:rsidRPr="000272B4">
        <w:rPr>
          <w:rFonts w:ascii="Palatino Linotype" w:hAnsi="Palatino Linotype" w:cs="Arial"/>
        </w:rPr>
        <w:t xml:space="preserve"> en lo sucesivo</w:t>
      </w:r>
      <w:r w:rsidRPr="000272B4">
        <w:rPr>
          <w:rFonts w:ascii="Palatino Linotype" w:hAnsi="Palatino Linotype" w:cs="Arial"/>
          <w:b/>
        </w:rPr>
        <w:t xml:space="preserve"> </w:t>
      </w:r>
      <w:r w:rsidR="00654E81" w:rsidRPr="00654E81">
        <w:rPr>
          <w:rFonts w:ascii="Palatino Linotype" w:hAnsi="Palatino Linotype" w:cs="Arial"/>
          <w:b/>
        </w:rPr>
        <w:t>la recurrente</w:t>
      </w:r>
      <w:r w:rsidRPr="000272B4">
        <w:rPr>
          <w:rFonts w:ascii="Palatino Linotype" w:hAnsi="Palatino Linotype" w:cs="Arial"/>
          <w:b/>
        </w:rPr>
        <w:t>,</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Pr="000272B4">
        <w:rPr>
          <w:rFonts w:ascii="Palatino Linotype" w:hAnsi="Palatino Linotype" w:cs="Arial"/>
        </w:rPr>
        <w:t xml:space="preserve"> </w:t>
      </w:r>
      <w:r w:rsidR="00852257">
        <w:rPr>
          <w:rFonts w:ascii="Palatino Linotype" w:hAnsi="Palatino Linotype"/>
          <w:b/>
          <w:lang w:val="es-ES_tradnl"/>
        </w:rPr>
        <w:t xml:space="preserve">Ayuntamiento de </w:t>
      </w:r>
      <w:r w:rsidR="0078744F">
        <w:rPr>
          <w:rFonts w:ascii="Palatino Linotype" w:hAnsi="Palatino Linotype"/>
          <w:b/>
          <w:lang w:val="es-ES_tradnl"/>
        </w:rPr>
        <w:t>Melchor Ocampo</w:t>
      </w:r>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SUJETO OB</w:t>
      </w:r>
      <w:bookmarkStart w:id="0" w:name="_GoBack"/>
      <w:bookmarkEnd w:id="0"/>
      <w:r w:rsidRPr="000272B4">
        <w:rPr>
          <w:rFonts w:ascii="Palatino Linotype" w:hAnsi="Palatino Linotype" w:cs="Arial"/>
          <w:b/>
        </w:rPr>
        <w:t xml:space="preserve">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AF6C09" w:rsidRDefault="00AF6C09" w:rsidP="00113E45">
      <w:pPr>
        <w:spacing w:line="360" w:lineRule="auto"/>
        <w:jc w:val="both"/>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C071D3">
        <w:rPr>
          <w:rFonts w:ascii="Palatino Linotype" w:hAnsi="Palatino Linotype" w:cs="Arial"/>
          <w:b/>
        </w:rPr>
        <w:t>cinco</w:t>
      </w:r>
      <w:r w:rsidRPr="000272B4">
        <w:rPr>
          <w:rFonts w:ascii="Palatino Linotype" w:hAnsi="Palatino Linotype" w:cs="Arial"/>
          <w:b/>
        </w:rPr>
        <w:t xml:space="preserve"> de </w:t>
      </w:r>
      <w:r w:rsidR="00C071D3">
        <w:rPr>
          <w:rFonts w:ascii="Palatino Linotype" w:hAnsi="Palatino Linotype" w:cs="Arial"/>
          <w:b/>
        </w:rPr>
        <w:t>marzo</w:t>
      </w:r>
      <w:r w:rsidRPr="000272B4">
        <w:rPr>
          <w:rFonts w:ascii="Palatino Linotype" w:hAnsi="Palatino Linotype" w:cs="Arial"/>
          <w:b/>
        </w:rPr>
        <w:t xml:space="preserve"> de dos mil diecinueve,</w:t>
      </w:r>
      <w:r w:rsidRPr="000272B4">
        <w:rPr>
          <w:rFonts w:ascii="Palatino Linotype" w:hAnsi="Palatino Linotype" w:cs="Arial"/>
        </w:rPr>
        <w:t xml:space="preserve"> </w:t>
      </w:r>
      <w:proofErr w:type="gramStart"/>
      <w:r w:rsidR="00C071D3">
        <w:rPr>
          <w:rFonts w:ascii="Palatino Linotype" w:hAnsi="Palatino Linotype" w:cs="Arial"/>
        </w:rPr>
        <w:t>la</w:t>
      </w:r>
      <w:proofErr w:type="gramEnd"/>
      <w:r w:rsidRPr="000272B4">
        <w:rPr>
          <w:rFonts w:ascii="Palatino Linotype" w:hAnsi="Palatino Linotype" w:cs="Arial"/>
        </w:rPr>
        <w:t xml:space="preserve">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C071D3" w:rsidRPr="00C071D3">
        <w:rPr>
          <w:rFonts w:ascii="Palatino Linotype" w:hAnsi="Palatino Linotype" w:cs="Arial"/>
          <w:b/>
        </w:rPr>
        <w:t>00023/MELOCAM/IP/2019</w:t>
      </w:r>
      <w:r w:rsidRPr="00C071D3">
        <w:rPr>
          <w:rFonts w:ascii="Palatino Linotype" w:hAnsi="Palatino Linotype" w:cs="Arial"/>
        </w:rPr>
        <w:t xml:space="preserve">, </w:t>
      </w:r>
      <w:r w:rsidRPr="000272B4">
        <w:rPr>
          <w:rFonts w:ascii="Palatino Linotype" w:hAnsi="Palatino Linotype" w:cs="Arial"/>
        </w:rPr>
        <w:t>mediante la cual requirió la información siguiente:</w:t>
      </w:r>
    </w:p>
    <w:p w:rsidR="00AF6C09" w:rsidRPr="000272B4" w:rsidRDefault="00AF6C09" w:rsidP="00113E45">
      <w:pPr>
        <w:spacing w:line="360" w:lineRule="auto"/>
        <w:jc w:val="both"/>
        <w:rPr>
          <w:rFonts w:ascii="Palatino Linotype" w:hAnsi="Palatino Linotype" w:cs="Arial"/>
        </w:rPr>
      </w:pPr>
    </w:p>
    <w:p w:rsidR="00113E45" w:rsidRPr="00852257" w:rsidRDefault="00113E45" w:rsidP="0059754E">
      <w:pPr>
        <w:ind w:left="567" w:right="616"/>
        <w:jc w:val="both"/>
        <w:rPr>
          <w:rFonts w:ascii="Palatino Linotype" w:hAnsi="Palatino Linotype" w:cs="Arial"/>
          <w:i/>
          <w:lang w:eastAsia="es-MX"/>
        </w:rPr>
      </w:pPr>
      <w:r w:rsidRPr="00852257">
        <w:rPr>
          <w:rFonts w:ascii="Palatino Linotype" w:hAnsi="Palatino Linotype" w:cs="Arial"/>
          <w:i/>
          <w:lang w:eastAsia="es-MX"/>
        </w:rPr>
        <w:t>“</w:t>
      </w:r>
      <w:r w:rsidR="00C071D3" w:rsidRPr="00C071D3">
        <w:rPr>
          <w:rFonts w:ascii="Palatino Linotype" w:hAnsi="Palatino Linotype" w:cs="Arial"/>
          <w:i/>
          <w:lang w:eastAsia="es-MX"/>
        </w:rPr>
        <w:t xml:space="preserve">Solicito la nómina completa de todo el personal (empleados de confianza, sindicalizados, funcionarios, altos mandos) del Sistema Municipal DIF Melchor Ocampo y del Organismo del Agua correspondiente al municipio de Melchor Ocampo, , indicando nombre del empleado, </w:t>
      </w:r>
      <w:r w:rsidR="00C071D3" w:rsidRPr="00A237A9">
        <w:rPr>
          <w:rFonts w:ascii="Palatino Linotype" w:hAnsi="Palatino Linotype" w:cs="Arial"/>
          <w:i/>
          <w:lang w:eastAsia="es-MX"/>
        </w:rPr>
        <w:t>fecha de ingreso</w:t>
      </w:r>
      <w:r w:rsidR="00C071D3" w:rsidRPr="00C071D3">
        <w:rPr>
          <w:rFonts w:ascii="Palatino Linotype" w:hAnsi="Palatino Linotype" w:cs="Arial"/>
          <w:i/>
          <w:lang w:eastAsia="es-MX"/>
        </w:rPr>
        <w:t xml:space="preserve">, área en la que laboran, percepciones brutas, percepciones netas, bonos, gratificaciones, fideicomiso todo lo extra a su nómina, correspondiente a la segunda quincena de enero, primera quincena de febrero y segunda quincena de febrero del año en </w:t>
      </w:r>
      <w:r w:rsidR="00C071D3" w:rsidRPr="00C071D3">
        <w:rPr>
          <w:rFonts w:ascii="Palatino Linotype" w:hAnsi="Palatino Linotype" w:cs="Arial"/>
          <w:i/>
          <w:lang w:eastAsia="es-MX"/>
        </w:rPr>
        <w:lastRenderedPageBreak/>
        <w:t>curso. Se envía la petición al H. Ayuntamiento a efecto de que gire instrucciones e instruya a los titulares de las áreas correspondientes cumplir en tiempo y forma con lo requerido</w:t>
      </w:r>
      <w:r w:rsidRPr="00852257">
        <w:rPr>
          <w:rFonts w:ascii="Palatino Linotype" w:hAnsi="Palatino Linotype" w:cs="Arial"/>
          <w:i/>
          <w:lang w:eastAsia="es-MX"/>
        </w:rPr>
        <w:t>. “</w:t>
      </w:r>
      <w:r w:rsidRPr="000272B4">
        <w:rPr>
          <w:rFonts w:ascii="Palatino Linotype" w:hAnsi="Palatino Linotype" w:cs="Arial"/>
          <w:i/>
          <w:lang w:eastAsia="es-MX"/>
        </w:rPr>
        <w:t>(sic)</w:t>
      </w:r>
    </w:p>
    <w:p w:rsidR="00C071D3" w:rsidRDefault="00C071D3" w:rsidP="004D2EA1">
      <w:pPr>
        <w:tabs>
          <w:tab w:val="left" w:pos="5295"/>
        </w:tabs>
        <w:spacing w:line="360" w:lineRule="auto"/>
        <w:jc w:val="both"/>
        <w:rPr>
          <w:rFonts w:ascii="Palatino Linotype" w:hAnsi="Palatino Linotype" w:cs="Arial"/>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 xml:space="preserve">Segundo. Respuesta. </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4F653C">
        <w:rPr>
          <w:rFonts w:ascii="Palatino Linotype" w:hAnsi="Palatino Linotype" w:cs="Arial"/>
        </w:rPr>
        <w:t xml:space="preserve">veintiséis </w:t>
      </w:r>
      <w:r w:rsidRPr="000272B4">
        <w:rPr>
          <w:rFonts w:ascii="Palatino Linotype" w:hAnsi="Palatino Linotype" w:cs="Arial"/>
        </w:rPr>
        <w:t xml:space="preserve">de </w:t>
      </w:r>
      <w:r w:rsidR="0059754E">
        <w:rPr>
          <w:rFonts w:ascii="Palatino Linotype" w:hAnsi="Palatino Linotype" w:cs="Arial"/>
        </w:rPr>
        <w:t>marzo</w:t>
      </w:r>
      <w:r w:rsidRPr="000272B4">
        <w:rPr>
          <w:rFonts w:ascii="Palatino Linotype" w:hAnsi="Palatino Linotype" w:cs="Arial"/>
        </w:rPr>
        <w:t xml:space="preserve"> de dos mil diecinueve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Pr="00FF28B0" w:rsidRDefault="00113E45" w:rsidP="00FF28B0">
      <w:pPr>
        <w:ind w:left="851" w:right="760"/>
        <w:jc w:val="both"/>
        <w:rPr>
          <w:rFonts w:ascii="Palatino Linotype" w:hAnsi="Palatino Linotype"/>
          <w:i/>
        </w:rPr>
      </w:pPr>
      <w:r w:rsidRPr="000272B4">
        <w:rPr>
          <w:rFonts w:ascii="Palatino Linotype" w:hAnsi="Palatino Linotype"/>
          <w:i/>
        </w:rPr>
        <w:t>“</w:t>
      </w:r>
      <w:r w:rsidR="004F653C" w:rsidRPr="004F653C">
        <w:rPr>
          <w:rFonts w:ascii="Palatino Linotype" w:hAnsi="Palatino Linotype"/>
          <w:i/>
        </w:rPr>
        <w:t>Estando en tiempo y forma en términos de los artículos 12, 150, 157, 163 y demás relativos de la Ley de Transparencia y Acceso a la Información Pública del Estado de México y Municipios vigente, con respecto a su petición 00023/MELOCAM/IP/2019 mediante el sistema SAIMEX, se le informa: El Sistema Municipal DIF se encuentra en estructuración por lo que hasta el momento no se cuenta con un sistema en donde se lleve un control de la nómina correspondiente al año en curso; es por ello que la información que nos solicita no la podemos proporcionar..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00FF28B0">
        <w:rPr>
          <w:rFonts w:ascii="Palatino Linotype" w:hAnsi="Palatino Linotype"/>
          <w:i/>
        </w:rPr>
        <w:t>.”</w:t>
      </w:r>
      <w:r w:rsidR="0059754E">
        <w:rPr>
          <w:rFonts w:ascii="Palatino Linotype" w:hAnsi="Palatino Linotype"/>
          <w:i/>
        </w:rPr>
        <w:t xml:space="preserve"> (</w:t>
      </w:r>
      <w:proofErr w:type="gramStart"/>
      <w:r w:rsidR="0059754E">
        <w:rPr>
          <w:rFonts w:ascii="Palatino Linotype" w:hAnsi="Palatino Linotype"/>
          <w:i/>
        </w:rPr>
        <w:t>sic</w:t>
      </w:r>
      <w:proofErr w:type="gramEnd"/>
      <w:r w:rsidR="0059754E">
        <w:rPr>
          <w:rFonts w:ascii="Palatino Linotype" w:hAnsi="Palatino Linotype"/>
          <w:i/>
        </w:rPr>
        <w:t>)</w:t>
      </w:r>
    </w:p>
    <w:p w:rsidR="00113E45" w:rsidRPr="004F653C" w:rsidRDefault="00113E45" w:rsidP="004F653C">
      <w:pPr>
        <w:spacing w:line="360" w:lineRule="auto"/>
        <w:ind w:right="49"/>
        <w:jc w:val="both"/>
        <w:rPr>
          <w:rFonts w:ascii="Palatino Linotype" w:hAnsi="Palatino Linotype" w:cs="Arial"/>
        </w:rPr>
      </w:pPr>
    </w:p>
    <w:p w:rsidR="00113E45" w:rsidRPr="000272B4" w:rsidRDefault="00BB32CF" w:rsidP="00113E45">
      <w:pPr>
        <w:spacing w:line="360" w:lineRule="auto"/>
        <w:ind w:right="49"/>
        <w:jc w:val="both"/>
        <w:rPr>
          <w:rFonts w:ascii="Palatino Linotype" w:hAnsi="Palatino Linotype" w:cs="Arial"/>
        </w:rPr>
      </w:pPr>
      <w:r>
        <w:rPr>
          <w:rFonts w:ascii="Palatino Linotype" w:hAnsi="Palatino Linotype" w:cs="Arial"/>
        </w:rPr>
        <w:t>Sin que para el efecto el sujeto obligado a</w:t>
      </w:r>
      <w:r w:rsidR="00113E45" w:rsidRPr="000272B4">
        <w:rPr>
          <w:rFonts w:ascii="Palatino Linotype" w:hAnsi="Palatino Linotype" w:cs="Arial"/>
        </w:rPr>
        <w:t>djunta</w:t>
      </w:r>
      <w:r>
        <w:rPr>
          <w:rFonts w:ascii="Palatino Linotype" w:hAnsi="Palatino Linotype" w:cs="Arial"/>
        </w:rPr>
        <w:t>ra</w:t>
      </w:r>
      <w:r w:rsidR="00113E45" w:rsidRPr="000272B4">
        <w:rPr>
          <w:rFonts w:ascii="Palatino Linotype" w:hAnsi="Palatino Linotype" w:cs="Arial"/>
        </w:rPr>
        <w:t xml:space="preserve"> </w:t>
      </w:r>
      <w:r>
        <w:rPr>
          <w:rFonts w:ascii="Palatino Linotype" w:hAnsi="Palatino Linotype" w:cs="Arial"/>
        </w:rPr>
        <w:t>algún</w:t>
      </w:r>
      <w:r w:rsidR="00113E45" w:rsidRPr="000272B4">
        <w:rPr>
          <w:rFonts w:ascii="Palatino Linotype" w:hAnsi="Palatino Linotype" w:cs="Arial"/>
        </w:rPr>
        <w:t xml:space="preserve"> archivo electrónico.</w:t>
      </w:r>
    </w:p>
    <w:p w:rsidR="00113E45" w:rsidRPr="000272B4" w:rsidRDefault="00113E45" w:rsidP="00113E45">
      <w:pPr>
        <w:spacing w:line="360" w:lineRule="auto"/>
        <w:ind w:right="49"/>
        <w:jc w:val="both"/>
        <w:rPr>
          <w:rFonts w:ascii="Palatino Linotype" w:hAnsi="Palatino Linotype" w:cs="Aria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4F653C">
        <w:rPr>
          <w:rFonts w:ascii="Palatino Linotype" w:hAnsi="Palatino Linotype" w:cs="Arial"/>
          <w:b/>
        </w:rPr>
        <w:t>primero</w:t>
      </w:r>
      <w:r w:rsidRPr="000272B4">
        <w:rPr>
          <w:rFonts w:ascii="Palatino Linotype" w:hAnsi="Palatino Linotype" w:cs="Arial"/>
          <w:b/>
        </w:rPr>
        <w:t xml:space="preserve"> de </w:t>
      </w:r>
      <w:r w:rsidR="004F653C">
        <w:rPr>
          <w:rFonts w:ascii="Palatino Linotype" w:hAnsi="Palatino Linotype" w:cs="Arial"/>
          <w:b/>
        </w:rPr>
        <w:t>abril</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 como acto impugnado y razones o motivos de inconformidad, lo siguiente:</w:t>
      </w:r>
    </w:p>
    <w:p w:rsidR="00113E45" w:rsidRPr="000272B4" w:rsidRDefault="00113E45" w:rsidP="00113E45">
      <w:pPr>
        <w:spacing w:line="360" w:lineRule="auto"/>
        <w:ind w:right="49"/>
        <w:jc w:val="both"/>
        <w:rPr>
          <w:rFonts w:ascii="Palatino Linotype" w:hAnsi="Palatino Linotype" w:cs="Arial"/>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rsidR="007B678F" w:rsidRPr="000272B4" w:rsidRDefault="007B678F" w:rsidP="00113E45">
      <w:pPr>
        <w:spacing w:line="360" w:lineRule="auto"/>
        <w:ind w:right="49"/>
        <w:jc w:val="both"/>
        <w:rPr>
          <w:rFonts w:ascii="Palatino Linotype" w:hAnsi="Palatino Linotype" w:cs="Arial"/>
        </w:rPr>
      </w:pPr>
    </w:p>
    <w:p w:rsidR="00113E45" w:rsidRPr="000272B4" w:rsidRDefault="00113E45" w:rsidP="008D53EC">
      <w:pPr>
        <w:ind w:right="51"/>
        <w:jc w:val="both"/>
        <w:rPr>
          <w:rFonts w:ascii="Palatino Linotype" w:hAnsi="Palatino Linotype"/>
          <w:i/>
          <w:color w:val="000000"/>
        </w:rPr>
      </w:pPr>
      <w:r w:rsidRPr="000272B4">
        <w:rPr>
          <w:rFonts w:ascii="Palatino Linotype" w:hAnsi="Palatino Linotype"/>
          <w:i/>
          <w:color w:val="000000"/>
        </w:rPr>
        <w:t>“</w:t>
      </w:r>
      <w:r w:rsidR="004F653C" w:rsidRPr="004F653C">
        <w:rPr>
          <w:rFonts w:ascii="Palatino Linotype" w:hAnsi="Palatino Linotype"/>
          <w:i/>
          <w:color w:val="000000"/>
        </w:rPr>
        <w:t>NO ENTREGAN LA INFORMACIÓN SOLICITADA Y SUS ARGUMENTOS NO SON VALIDOS</w:t>
      </w:r>
      <w:r w:rsidRPr="000272B4">
        <w:rPr>
          <w:rFonts w:ascii="Palatino Linotype" w:hAnsi="Palatino Linotype"/>
          <w:i/>
          <w:color w:val="000000"/>
        </w:rPr>
        <w:t>.” (Sic)</w:t>
      </w:r>
    </w:p>
    <w:p w:rsidR="00113E45" w:rsidRPr="000272B4" w:rsidRDefault="00113E45" w:rsidP="00113E45">
      <w:pPr>
        <w:spacing w:line="360" w:lineRule="auto"/>
        <w:ind w:right="49"/>
        <w:jc w:val="both"/>
        <w:rPr>
          <w:rFonts w:ascii="Palatino Linotype" w:hAnsi="Palatino Linotype"/>
          <w:i/>
          <w:color w:val="000000"/>
        </w:rPr>
      </w:pPr>
    </w:p>
    <w:p w:rsidR="00113E45"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Motivo de Inconformidad:</w:t>
      </w:r>
    </w:p>
    <w:p w:rsidR="007B678F" w:rsidRPr="000272B4" w:rsidRDefault="007B678F" w:rsidP="00113E45">
      <w:pPr>
        <w:spacing w:line="360" w:lineRule="auto"/>
        <w:ind w:right="49"/>
        <w:jc w:val="both"/>
        <w:rPr>
          <w:rFonts w:ascii="Palatino Linotype" w:hAnsi="Palatino Linotype" w:cs="Arial"/>
          <w:b/>
        </w:rPr>
      </w:pPr>
    </w:p>
    <w:p w:rsidR="00113E45" w:rsidRPr="000272B4" w:rsidRDefault="00113E45" w:rsidP="00113E45">
      <w:pPr>
        <w:ind w:right="51"/>
        <w:jc w:val="both"/>
        <w:rPr>
          <w:rFonts w:ascii="Palatino Linotype" w:hAnsi="Palatino Linotype"/>
          <w:i/>
          <w:color w:val="000000"/>
        </w:rPr>
      </w:pPr>
      <w:r w:rsidRPr="000272B4">
        <w:rPr>
          <w:rFonts w:ascii="Palatino Linotype" w:hAnsi="Palatino Linotype"/>
          <w:i/>
          <w:color w:val="000000"/>
        </w:rPr>
        <w:t>“</w:t>
      </w:r>
      <w:r w:rsidR="004F653C" w:rsidRPr="004F653C">
        <w:rPr>
          <w:rFonts w:ascii="Palatino Linotype" w:hAnsi="Palatino Linotype"/>
          <w:i/>
          <w:color w:val="000000"/>
        </w:rPr>
        <w:t>Es la segunda vez que se niegan a enviar la nómina correspondiente al H. Ayuntamiento de Melchor Ocampo y de sus organismos descentralizados, es ilógico que no tengan la información si se les ha estado pagando a los trabajadores y debe haber un sustento de esos pago, o de qué forma cada quincena están pagando la nómina a los empleados. De qué manera tienen la organización entonces, cómo están ejerciendo ese presupuesto</w:t>
      </w:r>
      <w:proofErr w:type="gramStart"/>
      <w:r w:rsidR="004F653C" w:rsidRPr="004F653C">
        <w:rPr>
          <w:rFonts w:ascii="Palatino Linotype" w:hAnsi="Palatino Linotype"/>
          <w:i/>
          <w:color w:val="000000"/>
        </w:rPr>
        <w:t>?</w:t>
      </w:r>
      <w:proofErr w:type="gramEnd"/>
      <w:r w:rsidR="004F653C" w:rsidRPr="004F653C">
        <w:rPr>
          <w:rFonts w:ascii="Palatino Linotype" w:hAnsi="Palatino Linotype"/>
          <w:i/>
          <w:color w:val="000000"/>
        </w:rPr>
        <w:t>, exijo en mi derecho como ciudadana que envíen lo solicitado</w:t>
      </w:r>
      <w:r w:rsidRPr="000272B4">
        <w:rPr>
          <w:rFonts w:ascii="Palatino Linotype" w:hAnsi="Palatino Linotype"/>
          <w:i/>
          <w:color w:val="000000"/>
        </w:rPr>
        <w:t>.” (</w:t>
      </w:r>
      <w:proofErr w:type="gramStart"/>
      <w:r w:rsidRPr="000272B4">
        <w:rPr>
          <w:rFonts w:ascii="Palatino Linotype" w:hAnsi="Palatino Linotype"/>
          <w:i/>
          <w:color w:val="000000"/>
        </w:rPr>
        <w:t>sic</w:t>
      </w:r>
      <w:proofErr w:type="gramEnd"/>
      <w:r w:rsidRPr="000272B4">
        <w:rPr>
          <w:rFonts w:ascii="Palatino Linotype" w:hAnsi="Palatino Linotype"/>
          <w:i/>
          <w:color w:val="000000"/>
        </w:rPr>
        <w:t>)</w:t>
      </w:r>
    </w:p>
    <w:p w:rsidR="009E1A21" w:rsidRPr="007B678F" w:rsidRDefault="009E1A21" w:rsidP="007B678F">
      <w:pPr>
        <w:ind w:right="51"/>
        <w:jc w:val="both"/>
        <w:rPr>
          <w:rFonts w:ascii="Palatino Linotype" w:hAnsi="Palatino Linotype"/>
          <w:i/>
          <w:color w:val="000000"/>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lang w:eastAsia="es-MX"/>
        </w:rPr>
        <w:t xml:space="preserve">Anexos: </w:t>
      </w:r>
      <w:r w:rsidRPr="000272B4">
        <w:rPr>
          <w:rFonts w:ascii="Palatino Linotype" w:hAnsi="Palatino Linotype" w:cs="Arial"/>
          <w:lang w:eastAsia="es-MX"/>
        </w:rPr>
        <w:t>No adjuntó ningún archivo a su recurso de revisión</w:t>
      </w:r>
      <w:r w:rsidRPr="000272B4">
        <w:rPr>
          <w:rFonts w:ascii="Palatino Linotype" w:hAnsi="Palatino Linotype" w:cs="Arial"/>
        </w:rPr>
        <w:t xml:space="preserve">. </w:t>
      </w:r>
    </w:p>
    <w:p w:rsidR="00113E45" w:rsidRPr="000272B4" w:rsidRDefault="00113E45" w:rsidP="00113E45">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BB5735">
        <w:rPr>
          <w:rFonts w:ascii="Palatino Linotype" w:hAnsi="Palatino Linotype" w:cs="Arial"/>
        </w:rPr>
        <w:t>uno</w:t>
      </w:r>
      <w:r w:rsidR="00FE3D0E">
        <w:rPr>
          <w:rFonts w:ascii="Palatino Linotype" w:hAnsi="Palatino Linotype" w:cs="Arial"/>
        </w:rPr>
        <w:t xml:space="preserve"> </w:t>
      </w:r>
      <w:r>
        <w:rPr>
          <w:rFonts w:ascii="Palatino Linotype" w:hAnsi="Palatino Linotype" w:cs="Arial"/>
        </w:rPr>
        <w:t xml:space="preserve">de </w:t>
      </w:r>
      <w:r w:rsidR="00BB5735">
        <w:rPr>
          <w:rFonts w:ascii="Palatino Linotype" w:hAnsi="Palatino Linotype" w:cs="Arial"/>
        </w:rPr>
        <w:t>abril</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lastRenderedPageBreak/>
        <w:t xml:space="preserve">Por lo que en términos del artículo 185 fracción I de la Ley de Transparencia y Acceso a la información Pública del Estado de México y Municipios, el </w:t>
      </w:r>
      <w:r w:rsidR="00BB5735">
        <w:rPr>
          <w:rFonts w:ascii="Palatino Linotype" w:hAnsi="Palatino Linotype" w:cs="Arial"/>
        </w:rPr>
        <w:t>cinco</w:t>
      </w:r>
      <w:r>
        <w:rPr>
          <w:rFonts w:ascii="Palatino Linotype" w:hAnsi="Palatino Linotype" w:cs="Arial"/>
        </w:rPr>
        <w:t xml:space="preserve"> </w:t>
      </w:r>
      <w:r w:rsidRPr="00612F90">
        <w:rPr>
          <w:rFonts w:ascii="Palatino Linotype" w:hAnsi="Palatino Linotype" w:cs="Arial"/>
        </w:rPr>
        <w:t xml:space="preserve">de </w:t>
      </w:r>
      <w:r w:rsidR="00BB5735">
        <w:rPr>
          <w:rFonts w:ascii="Palatino Linotype" w:hAnsi="Palatino Linotype" w:cs="Arial"/>
        </w:rPr>
        <w:t>abril</w:t>
      </w:r>
      <w:r w:rsidRPr="00612F90">
        <w:rPr>
          <w:rFonts w:ascii="Palatino Linotype" w:hAnsi="Palatino Linotype" w:cs="Arial"/>
        </w:rPr>
        <w:t xml:space="preserve"> de dos mil </w:t>
      </w:r>
      <w:r>
        <w:rPr>
          <w:rFonts w:ascii="Palatino Linotype" w:hAnsi="Palatino Linotype" w:cs="Arial"/>
        </w:rPr>
        <w:t xml:space="preserve">diecinueve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la impugnación, determinándose en él, un plazo de siete días para que las partes manifestaran lo que a su derecho corresponda en términos del numeral arriba citado.</w:t>
      </w:r>
    </w:p>
    <w:p w:rsidR="00113E45" w:rsidRDefault="00113E45" w:rsidP="00113E45">
      <w:pPr>
        <w:spacing w:line="360" w:lineRule="auto"/>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113E45" w:rsidRPr="000272B4" w:rsidRDefault="00113E45" w:rsidP="00113E45">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De las constancias que integran el expediente del recurso de revisión que nos ocupa, se advierte que el </w:t>
      </w:r>
      <w:r w:rsidRPr="000272B4">
        <w:rPr>
          <w:rFonts w:ascii="Palatino Linotype" w:hAnsi="Palatino Linotype" w:cs="Arial"/>
          <w:b/>
        </w:rPr>
        <w:t>SUJETO OBLIGADO y la parte RECURRENTE</w:t>
      </w:r>
      <w:r w:rsidRPr="000272B4">
        <w:rPr>
          <w:rFonts w:ascii="Palatino Linotype" w:hAnsi="Palatino Linotype" w:cs="Arial"/>
        </w:rPr>
        <w:t xml:space="preserve"> fueron omisos en presentar, pruebas, alegatos o en su caso informe justificado y/o las manifestaciones que estimarán convenientes,  en el plazo establecido para tal efecto, como se ilustra a continuación:</w:t>
      </w:r>
    </w:p>
    <w:p w:rsidR="007B678F" w:rsidRDefault="00BB5735" w:rsidP="007B678F">
      <w:pPr>
        <w:widowControl w:val="0"/>
        <w:autoSpaceDE w:val="0"/>
        <w:autoSpaceDN w:val="0"/>
        <w:adjustRightInd w:val="0"/>
        <w:spacing w:line="360" w:lineRule="auto"/>
        <w:jc w:val="center"/>
        <w:rPr>
          <w:rFonts w:ascii="Palatino Linotype" w:hAnsi="Palatino Linotype" w:cs="Arial"/>
        </w:rPr>
      </w:pPr>
      <w:r>
        <w:rPr>
          <w:noProof/>
          <w:lang w:val="es-MX" w:eastAsia="es-MX"/>
        </w:rPr>
        <w:drawing>
          <wp:inline distT="0" distB="0" distL="0" distR="0" wp14:anchorId="3CC9550E" wp14:editId="487CD9EC">
            <wp:extent cx="4323284" cy="270631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98" t="5332" r="23617" b="31404"/>
                    <a:stretch/>
                  </pic:blipFill>
                  <pic:spPr bwMode="auto">
                    <a:xfrm>
                      <a:off x="0" y="0"/>
                      <a:ext cx="4377059" cy="2739977"/>
                    </a:xfrm>
                    <a:prstGeom prst="rect">
                      <a:avLst/>
                    </a:prstGeom>
                    <a:ln>
                      <a:noFill/>
                    </a:ln>
                    <a:extLst>
                      <a:ext uri="{53640926-AAD7-44D8-BBD7-CCE9431645EC}">
                        <a14:shadowObscured xmlns:a14="http://schemas.microsoft.com/office/drawing/2010/main"/>
                      </a:ext>
                    </a:extLst>
                  </pic:spPr>
                </pic:pic>
              </a:graphicData>
            </a:graphic>
          </wp:inline>
        </w:drawing>
      </w:r>
    </w:p>
    <w:p w:rsidR="00FE3D0E" w:rsidRPr="000272B4" w:rsidRDefault="00FE3D0E" w:rsidP="00113E45">
      <w:pPr>
        <w:widowControl w:val="0"/>
        <w:autoSpaceDE w:val="0"/>
        <w:autoSpaceDN w:val="0"/>
        <w:adjustRightInd w:val="0"/>
        <w:spacing w:line="360" w:lineRule="auto"/>
        <w:jc w:val="center"/>
        <w:rPr>
          <w:rFonts w:ascii="Palatino Linotype" w:hAnsi="Palatino Linotype" w:cs="Arial"/>
          <w:noProof/>
          <w:lang w:val="es-MX" w:eastAsia="es-MX"/>
        </w:rPr>
      </w:pPr>
    </w:p>
    <w:p w:rsidR="007B678F" w:rsidRDefault="00113E45" w:rsidP="007B678F">
      <w:pPr>
        <w:spacing w:line="360" w:lineRule="auto"/>
        <w:jc w:val="both"/>
        <w:rPr>
          <w:rFonts w:ascii="Palatino Linotype" w:hAnsi="Palatino Linotype" w:cs="Arial"/>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BB5735">
        <w:rPr>
          <w:rFonts w:ascii="Palatino Linotype" w:hAnsi="Palatino Linotype" w:cs="Arial"/>
        </w:rPr>
        <w:t>treinta de abril</w:t>
      </w:r>
      <w:r w:rsidRPr="00311506">
        <w:rPr>
          <w:rFonts w:ascii="Palatino Linotype" w:hAnsi="Palatino Linotype" w:cs="Arial"/>
        </w:rPr>
        <w:t xml:space="preserve"> </w:t>
      </w:r>
      <w:r>
        <w:rPr>
          <w:rFonts w:ascii="Palatino Linotype" w:hAnsi="Palatino Linotype" w:cs="Arial"/>
        </w:rPr>
        <w:t xml:space="preserve">de </w:t>
      </w:r>
      <w:r w:rsidRPr="00311506">
        <w:rPr>
          <w:rFonts w:ascii="Palatino Linotype" w:hAnsi="Palatino Linotype" w:cs="Arial"/>
        </w:rPr>
        <w:t xml:space="preserve">dos mil </w:t>
      </w:r>
      <w:r>
        <w:rPr>
          <w:rFonts w:ascii="Palatino Linotype" w:hAnsi="Palatino Linotype" w:cs="Arial"/>
        </w:rPr>
        <w:t>diecinueve</w:t>
      </w:r>
      <w:r w:rsidRPr="00311506">
        <w:rPr>
          <w:rFonts w:ascii="Palatino Linotype" w:hAnsi="Palatino Linotype" w:cs="Arial"/>
        </w:rPr>
        <w:t>, en términos del artículo 185 fracción VI de la Ley de Transparencia y Acceso a la Información Pública del Estado de México y Municipios,</w:t>
      </w:r>
      <w:r w:rsidR="007B678F" w:rsidRPr="00B83DBE">
        <w:rPr>
          <w:rFonts w:ascii="Palatino Linotype" w:hAnsi="Palatino Linotype" w:cs="Arial"/>
        </w:rPr>
        <w:t xml:space="preserve"> ordenándose turnar el expediente a la </w:t>
      </w:r>
      <w:r w:rsidR="007B678F" w:rsidRPr="008F484A">
        <w:rPr>
          <w:rFonts w:ascii="Palatino Linotype" w:hAnsi="Palatino Linotype" w:cs="Arial"/>
        </w:rPr>
        <w:t>resolución que en derecho proceda</w:t>
      </w:r>
      <w:r w:rsidR="008F484A">
        <w:rPr>
          <w:rFonts w:ascii="Palatino Linotype" w:hAnsi="Palatino Linotype" w:cs="Arial"/>
        </w:rPr>
        <w:t>,</w:t>
      </w:r>
      <w:r w:rsidR="007B678F" w:rsidRPr="008F484A">
        <w:rPr>
          <w:rFonts w:ascii="Palatino Linotype" w:hAnsi="Palatino Linotype" w:cs="Arial"/>
        </w:rPr>
        <w:t xml:space="preserve"> mediante acuerdo de fecha </w:t>
      </w:r>
      <w:r w:rsidR="00BB5735">
        <w:rPr>
          <w:rFonts w:ascii="Palatino Linotype" w:hAnsi="Palatino Linotype" w:cs="Arial"/>
        </w:rPr>
        <w:t>veintiocho</w:t>
      </w:r>
      <w:r w:rsidR="007B678F" w:rsidRPr="008F484A">
        <w:rPr>
          <w:rFonts w:ascii="Palatino Linotype" w:hAnsi="Palatino Linotype" w:cs="Arial"/>
        </w:rPr>
        <w:t xml:space="preserve"> de mayo de dos mil diecinueve y con fundamento en el artículo 181 tercer pá</w:t>
      </w:r>
      <w:r w:rsidR="007B678F" w:rsidRPr="00B83DBE">
        <w:rPr>
          <w:rFonts w:ascii="Palatino Linotype" w:hAnsi="Palatino Linotype" w:cs="Arial"/>
        </w:rPr>
        <w:t>rrafo de la Ley de Transparencia y Acceso a la Información Pública del Estado de México y Municipios, se notificó que el plazo de 30 días para resolver los recursos de revisión, serían ampliados por un periodo de 15 días hábiles adicionales, debido a la naturaleza, y complejidad del asunto y para un mejor estudio.</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Pr="000272B4">
        <w:rPr>
          <w:rFonts w:ascii="Palatino Linotype" w:hAnsi="Palatino Linotype" w:cs="Arial"/>
          <w:b/>
        </w:rPr>
        <w:t xml:space="preserve">Competencia. </w:t>
      </w:r>
    </w:p>
    <w:p w:rsidR="00113E45" w:rsidRPr="000272B4" w:rsidRDefault="00113E45" w:rsidP="00113E45">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w:t>
      </w:r>
      <w:r w:rsidR="009C7CD2">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sidR="009C7CD2">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w:t>
      </w:r>
      <w:r w:rsidRPr="000272B4">
        <w:rPr>
          <w:rFonts w:ascii="Palatino Linotype" w:hAnsi="Palatino Linotype"/>
          <w:shd w:val="clear" w:color="auto" w:fill="FFFFFF"/>
        </w:rPr>
        <w:lastRenderedPageBreak/>
        <w:t>Interior del Instituto de Transparencia, Acceso a la Información Pública y Protección de Datos Personales del Estado de México y Municipios.</w:t>
      </w:r>
    </w:p>
    <w:p w:rsidR="00113E45" w:rsidRPr="000272B4" w:rsidRDefault="00113E45" w:rsidP="00113E45">
      <w:pPr>
        <w:spacing w:line="360" w:lineRule="auto"/>
        <w:jc w:val="both"/>
        <w:rPr>
          <w:rFonts w:ascii="Palatino Linotype" w:hAnsi="Palatino Linotype"/>
          <w:shd w:val="clear" w:color="auto" w:fill="FFFFFF"/>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TERCERO. De las causas de improcedencia.</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w:t>
      </w:r>
      <w:r w:rsidRPr="00311506">
        <w:rPr>
          <w:rFonts w:ascii="Palatino Linotype" w:hAnsi="Palatino Linotype" w:cs="Arial"/>
        </w:rPr>
        <w:lastRenderedPageBreak/>
        <w:t>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113E45" w:rsidRDefault="00113E45" w:rsidP="00113E45">
      <w:pPr>
        <w:spacing w:line="360" w:lineRule="auto"/>
        <w:jc w:val="both"/>
        <w:rPr>
          <w:rFonts w:ascii="Palatino Linotype" w:hAnsi="Palatino Linotype" w:cs="Arial"/>
        </w:rPr>
      </w:pPr>
    </w:p>
    <w:p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113E45" w:rsidRPr="001201D0" w:rsidRDefault="00113E45" w:rsidP="00113E45">
      <w:pPr>
        <w:spacing w:line="360" w:lineRule="auto"/>
        <w:jc w:val="both"/>
        <w:rPr>
          <w:rFonts w:ascii="Palatino Linotype" w:hAnsi="Palatino Linotype" w:cs="Arial"/>
        </w:rPr>
      </w:pPr>
    </w:p>
    <w:p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lastRenderedPageBreak/>
        <w:t xml:space="preserve">Se esté tramitando ante el Poder Judicial de la Federación algún recurso o medio de defensa interpuesto por el recurrente;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13E45" w:rsidRPr="00204F41"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13E45" w:rsidRPr="001201D0" w:rsidRDefault="00113E45" w:rsidP="00113E45">
      <w:pPr>
        <w:spacing w:line="360" w:lineRule="auto"/>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Resolutor,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E65E68" w:rsidRPr="00311506"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w:t>
      </w:r>
      <w:r w:rsidRPr="007E5E35">
        <w:rPr>
          <w:rFonts w:ascii="Palatino Linotype" w:hAnsi="Palatino Linotype" w:cs="Arial"/>
        </w:rPr>
        <w:lastRenderedPageBreak/>
        <w:t xml:space="preserve">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113E45" w:rsidRDefault="00113E45" w:rsidP="000D1D04">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sidR="001E78AA">
        <w:rPr>
          <w:rFonts w:ascii="Palatino Linotype" w:hAnsi="Palatino Linotype"/>
        </w:rPr>
        <w:t>e</w:t>
      </w:r>
      <w:r w:rsidRPr="000D1D04">
        <w:rPr>
          <w:rFonts w:ascii="Palatino Linotype" w:hAnsi="Palatino Linotype"/>
        </w:rPr>
        <w:t>l hoy recurrente requirió, le fuese entregado por parte del sujeto obligado:</w:t>
      </w:r>
    </w:p>
    <w:p w:rsidR="00113E45" w:rsidRDefault="00113E45" w:rsidP="00113E45">
      <w:pPr>
        <w:tabs>
          <w:tab w:val="left" w:pos="709"/>
        </w:tabs>
        <w:spacing w:line="360" w:lineRule="auto"/>
        <w:jc w:val="both"/>
        <w:rPr>
          <w:rFonts w:ascii="Palatino Linotype" w:hAnsi="Palatino Linotype"/>
        </w:rPr>
      </w:pPr>
    </w:p>
    <w:p w:rsidR="00113E45" w:rsidRPr="0023424F" w:rsidRDefault="007B6E8F" w:rsidP="00E65E68">
      <w:pPr>
        <w:tabs>
          <w:tab w:val="left" w:pos="709"/>
        </w:tabs>
        <w:spacing w:line="360" w:lineRule="auto"/>
        <w:ind w:left="709" w:right="474"/>
        <w:jc w:val="both"/>
        <w:rPr>
          <w:rFonts w:ascii="Palatino Linotype" w:hAnsi="Palatino Linotype" w:cs="Arial"/>
          <w:i/>
          <w:lang w:eastAsia="es-MX"/>
        </w:rPr>
      </w:pPr>
      <w:r w:rsidRPr="00852257">
        <w:rPr>
          <w:rFonts w:ascii="Palatino Linotype" w:hAnsi="Palatino Linotype" w:cs="Arial"/>
          <w:i/>
          <w:lang w:eastAsia="es-MX"/>
        </w:rPr>
        <w:t>“</w:t>
      </w:r>
      <w:r w:rsidRPr="00C071D3">
        <w:rPr>
          <w:rFonts w:ascii="Palatino Linotype" w:hAnsi="Palatino Linotype" w:cs="Arial"/>
          <w:i/>
          <w:lang w:eastAsia="es-MX"/>
        </w:rPr>
        <w:t xml:space="preserve">Solicito la nómina completa de todo el personal (empleados de confianza, sindicalizados, funcionarios, altos mandos) del Sistema Municipal DIF Melchor Ocampo y del Organismo del Agua correspondiente al municipio de Melchor Ocampo, indicando nombre del empleado, </w:t>
      </w:r>
      <w:r w:rsidRPr="004F653C">
        <w:rPr>
          <w:rFonts w:ascii="Palatino Linotype" w:hAnsi="Palatino Linotype" w:cs="Arial"/>
          <w:i/>
          <w:highlight w:val="yellow"/>
          <w:lang w:eastAsia="es-MX"/>
        </w:rPr>
        <w:t>fecha de ingreso</w:t>
      </w:r>
      <w:r w:rsidRPr="00C071D3">
        <w:rPr>
          <w:rFonts w:ascii="Palatino Linotype" w:hAnsi="Palatino Linotype" w:cs="Arial"/>
          <w:i/>
          <w:lang w:eastAsia="es-MX"/>
        </w:rPr>
        <w:t>, área en la que laboran, percepciones brutas, percepciones netas, bonos, gratificaciones, fideicomiso todo lo extra a su nómina, correspondiente a la segunda quincena de enero, primera quincena de febrero y segunda quincena de febrero del año en curso. Se envía la petición al H. Ayuntamiento a efecto de que gire instrucciones e instruya a los titulares de las áreas correspondientes cumplir en tiempo y forma con lo requerido</w:t>
      </w:r>
      <w:r w:rsidRPr="00852257">
        <w:rPr>
          <w:rFonts w:ascii="Palatino Linotype" w:hAnsi="Palatino Linotype" w:cs="Arial"/>
          <w:i/>
          <w:lang w:eastAsia="es-MX"/>
        </w:rPr>
        <w:t>. “</w:t>
      </w:r>
      <w:r w:rsidRPr="000272B4">
        <w:rPr>
          <w:rFonts w:ascii="Palatino Linotype" w:hAnsi="Palatino Linotype" w:cs="Arial"/>
          <w:i/>
          <w:lang w:eastAsia="es-MX"/>
        </w:rPr>
        <w:t>(sic)</w:t>
      </w:r>
    </w:p>
    <w:p w:rsidR="00113E45" w:rsidRDefault="00113E45" w:rsidP="00113E45">
      <w:pPr>
        <w:autoSpaceDE w:val="0"/>
        <w:autoSpaceDN w:val="0"/>
        <w:adjustRightInd w:val="0"/>
        <w:spacing w:line="360" w:lineRule="auto"/>
        <w:ind w:right="18"/>
        <w:jc w:val="both"/>
        <w:rPr>
          <w:rFonts w:ascii="Palatino Linotype" w:hAnsi="Palatino Linotype" w:cs="Arial"/>
        </w:rPr>
      </w:pPr>
    </w:p>
    <w:p w:rsidR="00C52F32" w:rsidRPr="00C83525" w:rsidRDefault="009A361E" w:rsidP="00C52F32">
      <w:pPr>
        <w:pStyle w:val="Prrafodelista"/>
        <w:spacing w:line="360" w:lineRule="auto"/>
        <w:ind w:left="0"/>
        <w:jc w:val="both"/>
        <w:rPr>
          <w:rFonts w:ascii="Palatino Linotype" w:hAnsi="Palatino Linotype" w:cs="Arial"/>
        </w:rPr>
      </w:pPr>
      <w:r>
        <w:rPr>
          <w:rFonts w:ascii="Palatino Linotype" w:hAnsi="Palatino Linotype" w:cs="Arial"/>
          <w:lang w:eastAsia="es-MX"/>
        </w:rPr>
        <w:t>L</w:t>
      </w:r>
      <w:r w:rsidR="00C52F32" w:rsidRPr="00C83525">
        <w:rPr>
          <w:rFonts w:ascii="Palatino Linotype" w:hAnsi="Palatino Linotype" w:cs="Arial"/>
          <w:lang w:eastAsia="es-MX"/>
        </w:rPr>
        <w:t>a nómina de los servidores públicos contienen la información relativa a las remuneraciones de éstos; en este sentido, el</w:t>
      </w:r>
      <w:r w:rsidR="00C52F32" w:rsidRPr="00C83525">
        <w:rPr>
          <w:rFonts w:ascii="Palatino Linotype" w:hAnsi="Palatino Linotype" w:cs="Arial"/>
        </w:rPr>
        <w:t xml:space="preserve"> artículo 127 de la </w:t>
      </w:r>
      <w:r w:rsidR="00C52F32" w:rsidRPr="00C83525">
        <w:rPr>
          <w:rFonts w:ascii="Palatino Linotype" w:hAnsi="Palatino Linotype" w:cs="Arial"/>
          <w:b/>
        </w:rPr>
        <w:t>Constitución Política de los Estados Unidos Mexicanos</w:t>
      </w:r>
      <w:r w:rsidR="00C52F32" w:rsidRPr="00C83525">
        <w:rPr>
          <w:rFonts w:ascii="Palatino Linotype" w:hAnsi="Palatino Linotype" w:cs="Arial"/>
        </w:rPr>
        <w:t xml:space="preserve"> establece:</w:t>
      </w:r>
    </w:p>
    <w:p w:rsidR="00C52F32" w:rsidRDefault="00C52F32" w:rsidP="00C52F32">
      <w:pPr>
        <w:spacing w:line="360" w:lineRule="auto"/>
        <w:jc w:val="both"/>
        <w:rPr>
          <w:rFonts w:ascii="Palatino Linotype" w:hAnsi="Palatino Linotype"/>
        </w:rPr>
      </w:pPr>
    </w:p>
    <w:p w:rsidR="00C52F32" w:rsidRPr="009235AB" w:rsidRDefault="00C52F32" w:rsidP="00C52F32">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b/>
          <w:i/>
          <w:color w:val="000000"/>
          <w:sz w:val="24"/>
          <w:szCs w:val="24"/>
        </w:rPr>
        <w:lastRenderedPageBreak/>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C52F32" w:rsidRPr="009235AB" w:rsidRDefault="00C52F32" w:rsidP="00C52F32">
      <w:pPr>
        <w:pStyle w:val="Texto"/>
        <w:spacing w:after="0" w:line="240" w:lineRule="auto"/>
        <w:ind w:left="851" w:right="992" w:firstLine="0"/>
        <w:rPr>
          <w:rFonts w:ascii="Palatino Linotype" w:hAnsi="Palatino Linotype"/>
          <w:i/>
          <w:color w:val="000000"/>
          <w:sz w:val="24"/>
          <w:szCs w:val="24"/>
        </w:rPr>
      </w:pPr>
    </w:p>
    <w:p w:rsidR="00C52F32" w:rsidRPr="009235AB" w:rsidRDefault="00C52F32" w:rsidP="00C52F32">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rsidR="00C52F32" w:rsidRPr="009235AB" w:rsidRDefault="00C52F32" w:rsidP="00C52F32">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C52F32" w:rsidRPr="009235AB" w:rsidRDefault="00C52F32" w:rsidP="00C52F32">
      <w:pPr>
        <w:pStyle w:val="Texto"/>
        <w:spacing w:after="0" w:line="240" w:lineRule="auto"/>
        <w:ind w:left="851" w:right="992" w:firstLine="0"/>
        <w:rPr>
          <w:rFonts w:ascii="Palatino Linotype" w:hAnsi="Palatino Linotype"/>
          <w:i/>
          <w:sz w:val="24"/>
          <w:szCs w:val="24"/>
        </w:rPr>
      </w:pPr>
    </w:p>
    <w:p w:rsidR="00C52F32" w:rsidRPr="009235AB" w:rsidRDefault="00C52F32" w:rsidP="00C52F32">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b/>
          <w:i/>
          <w:sz w:val="24"/>
          <w:szCs w:val="24"/>
        </w:rPr>
        <w:t>(…)</w:t>
      </w:r>
    </w:p>
    <w:p w:rsidR="00C52F32" w:rsidRPr="009235AB" w:rsidRDefault="00C52F32" w:rsidP="00C52F32">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rsidR="00C52F32" w:rsidRPr="009235AB" w:rsidRDefault="00C52F32" w:rsidP="00C52F32">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rsidR="00C52F32"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respecto al tema materia de la solicitud, conviene precisar la definición de “nómina”; </w:t>
      </w:r>
      <w:r w:rsidRPr="009235AB">
        <w:rPr>
          <w:rFonts w:ascii="Palatino Linotype" w:hAnsi="Palatino Linotype" w:cs="Arial"/>
          <w:lang w:eastAsia="es-MX"/>
        </w:rPr>
        <w:t xml:space="preserve">de acuerdo al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2"/>
      </w:r>
      <w:r w:rsidRPr="009235AB">
        <w:rPr>
          <w:rFonts w:ascii="Palatino Linotype" w:hAnsi="Palatino Linotype"/>
        </w:rPr>
        <w:t>, mismo que señala las siguientes definiciones</w:t>
      </w:r>
      <w:r w:rsidRPr="009235AB">
        <w:rPr>
          <w:rFonts w:ascii="Palatino Linotype" w:hAnsi="Palatino Linotype" w:cs="Arial"/>
          <w:lang w:eastAsia="es-MX"/>
        </w:rPr>
        <w:t>:</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 xml:space="preserve">alcance neto de las </w:t>
      </w:r>
      <w:r w:rsidRPr="009235AB">
        <w:rPr>
          <w:rFonts w:ascii="Palatino Linotype" w:hAnsi="Palatino Linotype" w:cs="Arial"/>
          <w:i/>
          <w:lang w:val="es-MX" w:eastAsia="es-MX"/>
        </w:rPr>
        <w:lastRenderedPageBreak/>
        <w:t>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rsidR="00C52F32" w:rsidRPr="009235AB" w:rsidRDefault="00C52F32" w:rsidP="00C52F32">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rsidR="00C52F32" w:rsidRPr="009235AB" w:rsidRDefault="00C52F32" w:rsidP="00C52F32">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rsidR="00C52F32" w:rsidRPr="009235AB" w:rsidRDefault="00C52F32" w:rsidP="00C52F32">
      <w:pPr>
        <w:pStyle w:val="Textosinformato"/>
        <w:numPr>
          <w:ilvl w:val="0"/>
          <w:numId w:val="3"/>
        </w:numPr>
        <w:tabs>
          <w:tab w:val="right" w:leader="dot" w:pos="8828"/>
        </w:tabs>
        <w:ind w:left="851" w:right="992" w:hanging="142"/>
        <w:jc w:val="both"/>
        <w:rPr>
          <w:rFonts w:ascii="Palatino Linotype" w:eastAsia="MS Mincho" w:hAnsi="Palatino Linotype" w:cs="Arial"/>
          <w:i/>
          <w:sz w:val="24"/>
          <w:szCs w:val="24"/>
        </w:rPr>
      </w:pPr>
      <w:r w:rsidRPr="00BB36C5">
        <w:rPr>
          <w:rFonts w:ascii="Palatino Linotype" w:eastAsia="MS Mincho" w:hAnsi="Palatino Linotype" w:cs="Arial"/>
          <w:b/>
          <w:i/>
          <w:sz w:val="24"/>
          <w:szCs w:val="24"/>
          <w:u w:val="single"/>
        </w:rPr>
        <w:t>Listas de raya</w:t>
      </w:r>
      <w:r w:rsidRPr="009235AB">
        <w:rPr>
          <w:rFonts w:ascii="Palatino Linotype" w:eastAsia="MS Mincho" w:hAnsi="Palatino Linotype" w:cs="Arial"/>
          <w:b/>
          <w:i/>
          <w:sz w:val="24"/>
          <w:szCs w:val="24"/>
        </w:rPr>
        <w:t xml:space="preserve"> o nómina de personal, cuando se lleven en el centro de trabajo; </w:t>
      </w:r>
      <w:r w:rsidRPr="00BB36C5">
        <w:rPr>
          <w:rFonts w:ascii="Palatino Linotype" w:eastAsia="MS Mincho" w:hAnsi="Palatino Linotype" w:cs="Arial"/>
          <w:b/>
          <w:i/>
          <w:sz w:val="24"/>
          <w:szCs w:val="24"/>
          <w:u w:val="single"/>
        </w:rPr>
        <w:t>o recibos de pagos de salarios</w:t>
      </w:r>
      <w:r w:rsidRPr="009235AB">
        <w:rPr>
          <w:rFonts w:ascii="Palatino Linotype" w:eastAsia="MS Mincho" w:hAnsi="Palatino Linotype" w:cs="Arial"/>
          <w:i/>
          <w:sz w:val="24"/>
          <w:szCs w:val="24"/>
        </w:rPr>
        <w:t>;</w:t>
      </w:r>
      <w:r>
        <w:rPr>
          <w:rFonts w:ascii="Palatino Linotype" w:eastAsia="MS Mincho" w:hAnsi="Palatino Linotype" w:cs="Arial"/>
          <w:i/>
          <w:sz w:val="24"/>
          <w:szCs w:val="24"/>
        </w:rPr>
        <w:t>”</w:t>
      </w:r>
    </w:p>
    <w:p w:rsidR="00C52F32" w:rsidRPr="009235AB" w:rsidRDefault="00C52F32" w:rsidP="00C52F32">
      <w:pPr>
        <w:spacing w:line="360" w:lineRule="auto"/>
        <w:jc w:val="both"/>
        <w:rPr>
          <w:rFonts w:ascii="Palatino Linotype" w:hAnsi="Palatino Linotype" w:cs="Arial"/>
        </w:rPr>
      </w:pPr>
    </w:p>
    <w:p w:rsidR="00C52F32" w:rsidRDefault="00C52F32" w:rsidP="00C52F32">
      <w:pPr>
        <w:spacing w:line="360" w:lineRule="auto"/>
        <w:jc w:val="both"/>
        <w:rPr>
          <w:rFonts w:ascii="Palatino Linotype" w:hAnsi="Palatino Linotype" w:cs="Arial"/>
        </w:rPr>
      </w:pPr>
      <w:r w:rsidRPr="009235AB">
        <w:rPr>
          <w:rFonts w:ascii="Palatino Linotype" w:hAnsi="Palatino Linotype" w:cs="Arial"/>
        </w:rPr>
        <w:t xml:space="preserve">En el mismo sentido, el </w:t>
      </w:r>
      <w:r w:rsidRPr="009235AB">
        <w:rPr>
          <w:rFonts w:ascii="Palatino Linotype" w:hAnsi="Palatino Linotype" w:cs="Arial"/>
          <w:bCs/>
        </w:rPr>
        <w:t xml:space="preserve">penúltimo párrafo del artículo 125 de la </w:t>
      </w:r>
      <w:r w:rsidRPr="009235AB">
        <w:rPr>
          <w:rFonts w:ascii="Palatino Linotype" w:hAnsi="Palatino Linotype" w:cs="Arial"/>
          <w:b/>
        </w:rPr>
        <w:t>Constitución Política del Estado Libre y Soberano de México</w:t>
      </w:r>
      <w:r w:rsidRPr="009235AB">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rsidR="00C52F32" w:rsidRPr="009235AB" w:rsidRDefault="00C52F32" w:rsidP="00C52F32">
      <w:pPr>
        <w:spacing w:line="360" w:lineRule="auto"/>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ind w:left="851" w:right="992"/>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w:t>
      </w:r>
      <w:r w:rsidRPr="009235AB">
        <w:rPr>
          <w:rFonts w:ascii="Palatino Linotype" w:hAnsi="Palatino Linotype"/>
          <w:i/>
        </w:rPr>
        <w:lastRenderedPageBreak/>
        <w:t xml:space="preserve">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rsidR="00C52F32" w:rsidRPr="009235AB" w:rsidRDefault="00C52F32" w:rsidP="00C52F32">
      <w:pPr>
        <w:pStyle w:val="Prrafodelista"/>
        <w:ind w:left="851" w:right="992"/>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C52F32" w:rsidRPr="009235AB" w:rsidRDefault="00C52F32" w:rsidP="00C52F32">
      <w:pPr>
        <w:pStyle w:val="Prrafodelista"/>
        <w:ind w:left="851" w:right="992"/>
        <w:jc w:val="both"/>
        <w:rPr>
          <w:rFonts w:ascii="Palatino Linotype" w:hAnsi="Palatino Linotype" w:cs="Arial"/>
          <w:bCs/>
          <w:i/>
        </w:rPr>
      </w:pPr>
      <w:r w:rsidRPr="009235AB">
        <w:rPr>
          <w:rFonts w:ascii="Palatino Linotype" w:hAnsi="Palatino Linotype" w:cs="Arial"/>
          <w:bCs/>
          <w:i/>
        </w:rPr>
        <w:t>(…)</w:t>
      </w:r>
    </w:p>
    <w:p w:rsidR="00C52F32" w:rsidRPr="009235AB" w:rsidRDefault="00C52F32" w:rsidP="00C52F32">
      <w:pPr>
        <w:pStyle w:val="Prrafodelista"/>
        <w:ind w:left="851" w:right="992"/>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rsidR="00C52F32" w:rsidRPr="009235AB" w:rsidRDefault="00C52F32" w:rsidP="00C52F32">
      <w:pPr>
        <w:pStyle w:val="Prrafodelista"/>
        <w:spacing w:line="360" w:lineRule="auto"/>
        <w:ind w:left="567" w:right="567"/>
        <w:jc w:val="both"/>
        <w:rPr>
          <w:rFonts w:ascii="Palatino Linotype" w:hAnsi="Palatino Linotype" w:cs="Arial"/>
        </w:rPr>
      </w:pPr>
    </w:p>
    <w:p w:rsidR="00C52F32" w:rsidRPr="009235AB" w:rsidRDefault="00C52F32" w:rsidP="00C52F32">
      <w:pPr>
        <w:pStyle w:val="Prrafodelista"/>
        <w:ind w:left="851" w:right="992"/>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rsidR="00C52F32" w:rsidRPr="009235AB" w:rsidRDefault="00C52F32" w:rsidP="00C52F32">
      <w:pPr>
        <w:pStyle w:val="Prrafodelista"/>
        <w:ind w:left="851" w:right="992"/>
        <w:jc w:val="both"/>
        <w:rPr>
          <w:rFonts w:ascii="Palatino Linotype" w:hAnsi="Palatino Linotype" w:cs="Arial"/>
          <w:bCs/>
          <w:i/>
        </w:rPr>
      </w:pPr>
      <w:r w:rsidRPr="009235AB">
        <w:rPr>
          <w:rFonts w:ascii="Palatino Linotype" w:hAnsi="Palatino Linotype" w:cs="Arial"/>
          <w:bCs/>
          <w:i/>
        </w:rPr>
        <w:t>(…)</w:t>
      </w:r>
    </w:p>
    <w:p w:rsidR="00C52F32" w:rsidRPr="009235AB" w:rsidRDefault="00C52F32" w:rsidP="00C52F32">
      <w:pPr>
        <w:pStyle w:val="Prrafodelista"/>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C52F32" w:rsidRPr="009235AB" w:rsidRDefault="00C52F32" w:rsidP="00C52F32">
      <w:pPr>
        <w:pStyle w:val="Prrafodelista"/>
        <w:ind w:left="851" w:right="992"/>
        <w:jc w:val="both"/>
        <w:rPr>
          <w:rFonts w:ascii="Palatino Linotype" w:hAnsi="Palatino Linotype"/>
          <w:b/>
          <w:i/>
        </w:rPr>
      </w:pPr>
      <w:r w:rsidRPr="009235AB">
        <w:rPr>
          <w:rFonts w:ascii="Palatino Linotype" w:hAnsi="Palatino Linotype"/>
          <w:b/>
          <w:i/>
        </w:rPr>
        <w:t>(…)</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C52F32" w:rsidRPr="009235AB" w:rsidRDefault="00C52F32" w:rsidP="00C52F32">
      <w:pPr>
        <w:pStyle w:val="Prrafodelista"/>
        <w:spacing w:line="360" w:lineRule="auto"/>
        <w:ind w:left="0"/>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1867BC">
      <w:pPr>
        <w:spacing w:line="360" w:lineRule="auto"/>
        <w:ind w:left="851" w:right="992"/>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rsidR="00C52F32" w:rsidRPr="009235AB" w:rsidRDefault="00C52F32" w:rsidP="001867BC">
      <w:pPr>
        <w:spacing w:line="360" w:lineRule="auto"/>
        <w:ind w:left="851" w:right="992"/>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rsidR="00C52F32" w:rsidRPr="009235AB" w:rsidRDefault="00C52F32" w:rsidP="001867BC">
      <w:pPr>
        <w:spacing w:line="360" w:lineRule="auto"/>
        <w:ind w:left="851" w:right="992"/>
        <w:jc w:val="both"/>
        <w:rPr>
          <w:rFonts w:ascii="Palatino Linotype" w:hAnsi="Palatino Linotype"/>
          <w:b/>
          <w:bCs/>
          <w:i/>
        </w:rPr>
      </w:pPr>
      <w:r w:rsidRPr="009235AB">
        <w:rPr>
          <w:rFonts w:ascii="Palatino Linotype" w:hAnsi="Palatino Linotype"/>
          <w:b/>
          <w:bCs/>
          <w:i/>
        </w:rPr>
        <w:t>(…)</w:t>
      </w:r>
    </w:p>
    <w:p w:rsidR="00C52F32" w:rsidRPr="009235AB" w:rsidRDefault="00C52F32" w:rsidP="001867BC">
      <w:pPr>
        <w:spacing w:line="360" w:lineRule="auto"/>
        <w:ind w:left="851" w:right="992"/>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C52F32" w:rsidRPr="009235AB" w:rsidRDefault="00C52F32" w:rsidP="001867BC">
      <w:pPr>
        <w:pStyle w:val="Prrafodelista"/>
        <w:spacing w:line="360" w:lineRule="auto"/>
        <w:ind w:left="851" w:right="992"/>
        <w:jc w:val="both"/>
        <w:rPr>
          <w:rFonts w:ascii="Palatino Linotype" w:hAnsi="Palatino Linotype"/>
          <w:bCs/>
          <w:i/>
        </w:rPr>
      </w:pPr>
      <w:r w:rsidRPr="009235AB">
        <w:rPr>
          <w:rFonts w:ascii="Palatino Linotype" w:hAnsi="Palatino Linotype"/>
          <w:b/>
          <w:bCs/>
          <w:i/>
        </w:rPr>
        <w:t xml:space="preserve">Los documentos señalados en la fracción I de este artículo, deberán conservarse mientras dure la relación laboral y hasta un </w:t>
      </w:r>
      <w:r w:rsidRPr="009235AB">
        <w:rPr>
          <w:rFonts w:ascii="Palatino Linotype" w:hAnsi="Palatino Linotype"/>
          <w:b/>
          <w:bCs/>
          <w:i/>
        </w:rPr>
        <w:lastRenderedPageBreak/>
        <w:t>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C52F32" w:rsidRPr="009235AB" w:rsidRDefault="00C52F32" w:rsidP="001867BC">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rsidR="00C52F32" w:rsidRPr="009235AB" w:rsidRDefault="00C52F32" w:rsidP="001867BC">
      <w:pPr>
        <w:pStyle w:val="Prrafodelista"/>
        <w:spacing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C52F32" w:rsidRPr="009235AB" w:rsidRDefault="00C52F32" w:rsidP="00C52F32">
      <w:pPr>
        <w:pStyle w:val="Prrafodelista"/>
        <w:spacing w:line="360" w:lineRule="auto"/>
        <w:ind w:left="851"/>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spacing w:line="360" w:lineRule="auto"/>
        <w:jc w:val="both"/>
        <w:rPr>
          <w:rFonts w:ascii="Palatino Linotype" w:hAnsi="Palatino Linotype" w:cs="Arial"/>
          <w:i/>
          <w:lang w:eastAsia="es-MX"/>
        </w:rPr>
      </w:pPr>
      <w:r w:rsidRPr="009235AB">
        <w:rPr>
          <w:rFonts w:ascii="Palatino Linotype" w:hAnsi="Palatino Linotype" w:cs="Arial"/>
        </w:rPr>
        <w:t xml:space="preserve">Además, la </w:t>
      </w:r>
      <w:r w:rsidRPr="009235AB">
        <w:rPr>
          <w:rFonts w:ascii="Palatino Linotype" w:hAnsi="Palatino Linotype" w:cs="Arial"/>
          <w:b/>
        </w:rPr>
        <w:t>Ley Orgánica Municipal del Estado de México</w:t>
      </w:r>
      <w:r w:rsidRPr="009235AB">
        <w:rPr>
          <w:rFonts w:ascii="Palatino Linotype" w:hAnsi="Palatino Linotype" w:cs="Arial"/>
        </w:rPr>
        <w:t xml:space="preserve"> en el artículo 31 fracción XIX establece como atribución de los Ayuntamientos aprobar su </w:t>
      </w:r>
      <w:r w:rsidRPr="009235AB">
        <w:rPr>
          <w:rFonts w:ascii="Palatino Linotype" w:hAnsi="Palatino Linotype" w:cs="Arial"/>
          <w:b/>
          <w:u w:val="single"/>
        </w:rPr>
        <w:t xml:space="preserve">Presupuesto de </w:t>
      </w:r>
      <w:r w:rsidRPr="009235AB">
        <w:rPr>
          <w:rFonts w:ascii="Palatino Linotype" w:hAnsi="Palatino Linotype" w:cs="Arial"/>
          <w:b/>
          <w:u w:val="single"/>
        </w:rPr>
        <w:lastRenderedPageBreak/>
        <w:t>Egresos</w:t>
      </w:r>
      <w:r w:rsidRPr="009235AB">
        <w:rPr>
          <w:rFonts w:ascii="Palatino Linotype" w:hAnsi="Palatino Linotype" w:cs="Arial"/>
        </w:rPr>
        <w:t>, y al hacerlo deberán señalar “</w:t>
      </w:r>
      <w:r w:rsidRPr="009235AB">
        <w:rPr>
          <w:rFonts w:ascii="Palatino Linotype" w:hAnsi="Palatino Linotype"/>
          <w:b/>
          <w:i/>
          <w:u w:val="single"/>
        </w:rPr>
        <w:t>la remuneración</w:t>
      </w:r>
      <w:r w:rsidRPr="009235AB">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9235AB">
        <w:rPr>
          <w:rFonts w:ascii="Palatino Linotype" w:hAnsi="Palatino Linotype"/>
        </w:rPr>
        <w:t>“ y además</w:t>
      </w:r>
      <w:r w:rsidRPr="009235AB">
        <w:rPr>
          <w:rFonts w:ascii="Palatino Linotype" w:hAnsi="Palatino Linotype" w:cs="Arial"/>
        </w:rPr>
        <w:t xml:space="preserve"> “</w:t>
      </w:r>
      <w:r w:rsidRPr="009235AB">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9235AB">
        <w:rPr>
          <w:rFonts w:ascii="Palatino Linotype" w:hAnsi="Palatino Linotype"/>
          <w:b/>
          <w:i/>
        </w:rPr>
        <w:t>serán determinadas anualmente en el presupuesto de egresos</w:t>
      </w:r>
      <w:r w:rsidRPr="009235AB">
        <w:rPr>
          <w:rFonts w:ascii="Palatino Linotype" w:hAnsi="Palatino Linotype"/>
          <w:i/>
        </w:rPr>
        <w:t xml:space="preserve"> correspondiente y se sujetarán a los lineamientos legales establecidos para todos los servidores públicos municipales</w:t>
      </w:r>
      <w:r w:rsidRPr="009235AB">
        <w:rPr>
          <w:rFonts w:ascii="Palatino Linotype" w:hAnsi="Palatino Linotype"/>
        </w:rPr>
        <w:t>”.</w:t>
      </w:r>
      <w:r w:rsidRPr="009235AB">
        <w:rPr>
          <w:rFonts w:ascii="Palatino Linotype" w:hAnsi="Palatino Linotype"/>
          <w:i/>
        </w:rPr>
        <w:t>(…)</w:t>
      </w:r>
    </w:p>
    <w:p w:rsidR="00C52F32" w:rsidRPr="00BB36C5"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autoSpaceDE w:val="0"/>
        <w:autoSpaceDN w:val="0"/>
        <w:adjustRightInd w:val="0"/>
        <w:spacing w:line="360" w:lineRule="auto"/>
        <w:ind w:right="49"/>
        <w:contextualSpacing/>
        <w:jc w:val="both"/>
        <w:rPr>
          <w:rFonts w:ascii="Palatino Linotype" w:hAnsi="Palatino Linotype"/>
          <w:color w:val="000000" w:themeColor="text1"/>
        </w:rPr>
      </w:pPr>
      <w:r w:rsidRPr="002F61E5">
        <w:rPr>
          <w:rFonts w:ascii="Palatino Linotype" w:hAnsi="Palatino Linotype" w:cs="Arial"/>
          <w:color w:val="000000" w:themeColor="text1"/>
          <w:lang w:eastAsia="es-MX"/>
        </w:rPr>
        <w:t xml:space="preserve">Del ordenamiento legal citado se desprende que las remuneraciones se encuentran contenidas tanto en el presupuesto de egresos como en el informe mensual que se envía al Órgano Superior de </w:t>
      </w:r>
      <w:r w:rsidRPr="00535F46">
        <w:rPr>
          <w:rFonts w:ascii="Palatino Linotype" w:hAnsi="Palatino Linotype" w:cs="Arial"/>
          <w:color w:val="000000" w:themeColor="text1"/>
          <w:lang w:eastAsia="es-MX"/>
        </w:rPr>
        <w:t>Fiscalización, y que dichas facultades son conf</w:t>
      </w:r>
      <w:r>
        <w:rPr>
          <w:rFonts w:ascii="Palatino Linotype" w:hAnsi="Palatino Linotype" w:cs="Arial"/>
          <w:color w:val="000000" w:themeColor="text1"/>
          <w:lang w:eastAsia="es-MX"/>
        </w:rPr>
        <w:t>eridas a la Tesorería Municipal</w:t>
      </w:r>
      <w:r w:rsidRPr="002F61E5">
        <w:rPr>
          <w:rFonts w:ascii="Palatino Linotype" w:hAnsi="Palatino Linotype"/>
          <w:color w:val="000000" w:themeColor="text1"/>
        </w:rPr>
        <w:t>.</w:t>
      </w:r>
    </w:p>
    <w:p w:rsidR="00C52F32" w:rsidRPr="009235AB" w:rsidRDefault="00C52F32" w:rsidP="00C52F32">
      <w:pPr>
        <w:tabs>
          <w:tab w:val="left" w:pos="7938"/>
        </w:tabs>
        <w:spacing w:line="360" w:lineRule="auto"/>
        <w:jc w:val="both"/>
        <w:rPr>
          <w:rFonts w:ascii="Palatino Linotype" w:hAnsi="Palatino Linotype" w:cs="Arial"/>
          <w:color w:val="222222"/>
          <w:lang w:eastAsia="es-MX"/>
        </w:rPr>
      </w:pPr>
    </w:p>
    <w:p w:rsidR="00C52F32" w:rsidRDefault="00C52F32" w:rsidP="00C52F32">
      <w:pPr>
        <w:pStyle w:val="Prrafodelista"/>
        <w:spacing w:line="360" w:lineRule="auto"/>
        <w:ind w:left="0"/>
        <w:jc w:val="both"/>
        <w:rPr>
          <w:rFonts w:ascii="Palatino Linotype" w:hAnsi="Palatino Linotype" w:cs="Arial"/>
          <w:bCs/>
        </w:rPr>
      </w:pPr>
      <w:r w:rsidRPr="00AA0740">
        <w:rPr>
          <w:rFonts w:ascii="Palatino Linotype" w:hAnsi="Palatino Linotype" w:cs="Arial"/>
        </w:rPr>
        <w:t xml:space="preserve">Además de lo anterior, conviene mencionar que los </w:t>
      </w:r>
      <w:r w:rsidRPr="00AA0740">
        <w:rPr>
          <w:rFonts w:ascii="Palatino Linotype" w:hAnsi="Palatino Linotype" w:cs="Bookman Old Style"/>
          <w:b/>
        </w:rPr>
        <w:t xml:space="preserve">Lineamientos para la Integración del Informe Mensual 2019 </w:t>
      </w:r>
      <w:r w:rsidRPr="00AA0740">
        <w:rPr>
          <w:rFonts w:ascii="Palatino Linotype" w:hAnsi="Palatino Linotype" w:cs="Arial"/>
        </w:rPr>
        <w:t>emitidos por el Órgano Superior de Fiscalización del Estado de México, contienen los mismos</w:t>
      </w:r>
      <w:r w:rsidRPr="009235AB">
        <w:rPr>
          <w:rFonts w:ascii="Palatino Linotype" w:hAnsi="Palatino Linotype" w:cs="Arial"/>
        </w:rPr>
        <w:t xml:space="preserve"> formatos para la integración de </w:t>
      </w:r>
      <w:r w:rsidRPr="009235AB">
        <w:rPr>
          <w:rFonts w:ascii="Palatino Linotype" w:hAnsi="Palatino Linotype" w:cs="Arial"/>
          <w:u w:val="single"/>
        </w:rPr>
        <w:t>los informes mensuales que se entregan a éste, siendo uno de ellos el denominado “NÓMINA” el cual tiene como objetivo presentar la información del pago de las remuneraciones de cada uno de los servidores públicos de la entidad fiscalizable de que se trate</w:t>
      </w:r>
      <w:r w:rsidRPr="009235AB">
        <w:rPr>
          <w:rFonts w:ascii="Palatino Linotype" w:hAnsi="Palatino Linotype" w:cs="Arial"/>
        </w:rPr>
        <w:t>, correspondiente a un periodo determinado; d</w:t>
      </w:r>
      <w:r w:rsidRPr="009235AB">
        <w:rPr>
          <w:rFonts w:ascii="Palatino Linotype" w:hAnsi="Palatino Linotype" w:cs="Arial"/>
          <w:bCs/>
        </w:rPr>
        <w:t xml:space="preserve">e tal manera que dicho formato constituye un soporte documental que obra en los archivos del </w:t>
      </w:r>
      <w:r w:rsidRPr="009235AB">
        <w:rPr>
          <w:rFonts w:ascii="Palatino Linotype" w:hAnsi="Palatino Linotype" w:cs="Arial"/>
          <w:b/>
          <w:bCs/>
        </w:rPr>
        <w:t>SUJETO OBLIGADO</w:t>
      </w:r>
      <w:r w:rsidRPr="009235AB">
        <w:rPr>
          <w:rFonts w:ascii="Palatino Linotype" w:hAnsi="Palatino Linotype" w:cs="Arial"/>
          <w:bCs/>
        </w:rPr>
        <w:t>, como se muestra a continuación:</w:t>
      </w:r>
      <w:r>
        <w:rPr>
          <w:rFonts w:ascii="Palatino Linotype" w:hAnsi="Palatino Linotype" w:cs="Arial"/>
          <w:bCs/>
        </w:rPr>
        <w:t xml:space="preserve"> </w:t>
      </w:r>
    </w:p>
    <w:p w:rsidR="00C52F32" w:rsidRDefault="00C52F32" w:rsidP="00C52F32">
      <w:pPr>
        <w:pStyle w:val="Prrafodelista"/>
        <w:spacing w:line="360" w:lineRule="auto"/>
        <w:ind w:left="0"/>
        <w:jc w:val="both"/>
        <w:rPr>
          <w:rFonts w:ascii="Palatino Linotype" w:hAnsi="Palatino Linotype" w:cs="Arial"/>
          <w:bCs/>
        </w:rPr>
      </w:pPr>
    </w:p>
    <w:p w:rsidR="00C52F32" w:rsidRDefault="00C52F32" w:rsidP="00C52F32">
      <w:pPr>
        <w:autoSpaceDE w:val="0"/>
        <w:autoSpaceDN w:val="0"/>
        <w:adjustRightInd w:val="0"/>
        <w:spacing w:line="360" w:lineRule="auto"/>
        <w:ind w:right="49"/>
        <w:contextualSpacing/>
        <w:jc w:val="both"/>
        <w:rPr>
          <w:rFonts w:ascii="Palatino Linotype" w:hAnsi="Palatino Linotype" w:cs="Arial"/>
          <w:color w:val="222222"/>
          <w:lang w:eastAsia="es-MX"/>
        </w:rPr>
      </w:pPr>
      <w:r>
        <w:rPr>
          <w:noProof/>
          <w:lang w:val="es-MX" w:eastAsia="es-MX"/>
        </w:rPr>
        <w:drawing>
          <wp:inline distT="0" distB="0" distL="0" distR="0" wp14:anchorId="24F8C79B" wp14:editId="770E4897">
            <wp:extent cx="5808265" cy="6195974"/>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393" t="18873" r="36183" b="14679"/>
                    <a:stretch/>
                  </pic:blipFill>
                  <pic:spPr bwMode="auto">
                    <a:xfrm>
                      <a:off x="0" y="0"/>
                      <a:ext cx="5912149" cy="6306792"/>
                    </a:xfrm>
                    <a:prstGeom prst="rect">
                      <a:avLst/>
                    </a:prstGeom>
                    <a:ln>
                      <a:noFill/>
                    </a:ln>
                    <a:extLst>
                      <a:ext uri="{53640926-AAD7-44D8-BBD7-CCE9431645EC}">
                        <a14:shadowObscured xmlns:a14="http://schemas.microsoft.com/office/drawing/2010/main"/>
                      </a:ext>
                    </a:extLst>
                  </pic:spPr>
                </pic:pic>
              </a:graphicData>
            </a:graphic>
          </wp:inline>
        </w:drawing>
      </w:r>
    </w:p>
    <w:p w:rsidR="00C52F32" w:rsidRDefault="00C52F32" w:rsidP="00C52F32">
      <w:pPr>
        <w:autoSpaceDE w:val="0"/>
        <w:autoSpaceDN w:val="0"/>
        <w:adjustRightInd w:val="0"/>
        <w:spacing w:line="360" w:lineRule="auto"/>
        <w:ind w:right="49"/>
        <w:contextualSpacing/>
        <w:jc w:val="both"/>
        <w:rPr>
          <w:rFonts w:ascii="Palatino Linotype" w:hAnsi="Palatino Linotype" w:cs="Arial"/>
          <w:color w:val="222222"/>
          <w:lang w:eastAsia="es-MX"/>
        </w:rPr>
      </w:pPr>
    </w:p>
    <w:p w:rsidR="00C52F32" w:rsidRPr="009235AB" w:rsidRDefault="00C52F32" w:rsidP="00C52F32">
      <w:pPr>
        <w:autoSpaceDE w:val="0"/>
        <w:autoSpaceDN w:val="0"/>
        <w:adjustRightInd w:val="0"/>
        <w:spacing w:line="360" w:lineRule="auto"/>
        <w:ind w:right="49"/>
        <w:contextualSpacing/>
        <w:jc w:val="both"/>
        <w:rPr>
          <w:rFonts w:ascii="Palatino Linotype" w:hAnsi="Palatino Linotype" w:cs="Arial"/>
          <w:color w:val="222222"/>
          <w:lang w:eastAsia="es-MX"/>
        </w:rPr>
      </w:pPr>
    </w:p>
    <w:p w:rsidR="00C52F32" w:rsidRPr="009235AB" w:rsidRDefault="00C52F32" w:rsidP="00C52F32">
      <w:pPr>
        <w:autoSpaceDE w:val="0"/>
        <w:autoSpaceDN w:val="0"/>
        <w:adjustRightInd w:val="0"/>
        <w:spacing w:line="360" w:lineRule="auto"/>
        <w:ind w:right="49"/>
        <w:contextualSpacing/>
        <w:jc w:val="center"/>
        <w:rPr>
          <w:rFonts w:ascii="Palatino Linotype" w:hAnsi="Palatino Linotype" w:cs="Arial"/>
          <w:color w:val="222222"/>
          <w:lang w:eastAsia="es-MX"/>
        </w:rPr>
      </w:pPr>
      <w:r>
        <w:rPr>
          <w:noProof/>
          <w:lang w:val="es-MX" w:eastAsia="es-MX"/>
        </w:rPr>
        <w:lastRenderedPageBreak/>
        <w:drawing>
          <wp:inline distT="0" distB="0" distL="0" distR="0" wp14:anchorId="7A03CD67" wp14:editId="7EEBCEB1">
            <wp:extent cx="5705666" cy="5132717"/>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130" t="13045" r="29320" b="5760"/>
                    <a:stretch/>
                  </pic:blipFill>
                  <pic:spPr bwMode="auto">
                    <a:xfrm>
                      <a:off x="0" y="0"/>
                      <a:ext cx="5731997" cy="5156404"/>
                    </a:xfrm>
                    <a:prstGeom prst="rect">
                      <a:avLst/>
                    </a:prstGeom>
                    <a:ln>
                      <a:noFill/>
                    </a:ln>
                    <a:extLst>
                      <a:ext uri="{53640926-AAD7-44D8-BBD7-CCE9431645EC}">
                        <a14:shadowObscured xmlns:a14="http://schemas.microsoft.com/office/drawing/2010/main"/>
                      </a:ext>
                    </a:extLst>
                  </pic:spPr>
                </pic:pic>
              </a:graphicData>
            </a:graphic>
          </wp:inline>
        </w:drawing>
      </w:r>
    </w:p>
    <w:p w:rsidR="00C52F32" w:rsidRPr="009235AB" w:rsidRDefault="00C52F32" w:rsidP="00C52F32">
      <w:pPr>
        <w:autoSpaceDE w:val="0"/>
        <w:autoSpaceDN w:val="0"/>
        <w:adjustRightInd w:val="0"/>
        <w:spacing w:line="360" w:lineRule="auto"/>
        <w:ind w:right="49"/>
        <w:contextualSpacing/>
        <w:jc w:val="both"/>
        <w:rPr>
          <w:rFonts w:ascii="Palatino Linotype" w:hAnsi="Palatino Linotype" w:cs="Arial"/>
        </w:rPr>
      </w:pPr>
      <w:r w:rsidRPr="009235AB">
        <w:rPr>
          <w:rFonts w:ascii="Palatino Linotype" w:hAnsi="Palatino Linotype" w:cs="Arial"/>
          <w:noProof/>
          <w:color w:val="222222"/>
          <w:lang w:val="es-MX" w:eastAsia="es-MX"/>
        </w:rPr>
        <mc:AlternateContent>
          <mc:Choice Requires="wps">
            <w:drawing>
              <wp:anchor distT="0" distB="0" distL="114300" distR="114300" simplePos="0" relativeHeight="251659264" behindDoc="0" locked="0" layoutInCell="1" allowOverlap="1" wp14:anchorId="37655A42" wp14:editId="4644567D">
                <wp:simplePos x="0" y="0"/>
                <wp:positionH relativeFrom="column">
                  <wp:posOffset>65834</wp:posOffset>
                </wp:positionH>
                <wp:positionV relativeFrom="paragraph">
                  <wp:posOffset>4579026</wp:posOffset>
                </wp:positionV>
                <wp:extent cx="5628904" cy="1852551"/>
                <wp:effectExtent l="19050" t="19050" r="10160" b="1460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8904" cy="1852551"/>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3F3CC" id="Rectángulo 11" o:spid="_x0000_s1026" style="position:absolute;margin-left:5.2pt;margin-top:360.55pt;width:443.2pt;height:1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" filled="f" strokecolor="red" strokeweight="3pt">
                <v:path arrowok="t"/>
              </v:rect>
            </w:pict>
          </mc:Fallback>
        </mc:AlternateContent>
      </w:r>
      <w:r w:rsidRPr="00B55F27">
        <w:rPr>
          <w:rFonts w:ascii="Palatino Linotype" w:hAnsi="Palatino Linotype" w:cs="Arial"/>
        </w:rPr>
        <w:t>De lo anteriormente expuesto, este Instituto advierte que en la nómina general y en las lista de raya</w:t>
      </w:r>
      <w:r>
        <w:rPr>
          <w:rFonts w:ascii="Palatino Linotype" w:hAnsi="Palatino Linotype" w:cs="Arial"/>
        </w:rPr>
        <w:t xml:space="preserve"> o</w:t>
      </w:r>
      <w:r w:rsidRPr="007E16D2">
        <w:rPr>
          <w:rFonts w:ascii="Palatino Linotype" w:hAnsi="Palatino Linotype" w:cs="Arial"/>
        </w:rPr>
        <w:t xml:space="preserve"> recibos de pagos de salarios es donde se registran las remuneraciones otorgadas a los servidores públicos, las cuales de acuerdo con</w:t>
      </w:r>
      <w:r w:rsidRPr="009235AB">
        <w:rPr>
          <w:rFonts w:ascii="Palatino Linotype" w:hAnsi="Palatino Linotype" w:cs="Arial"/>
        </w:rPr>
        <w:t xml:space="preserve"> los artículos 127 de la </w:t>
      </w:r>
      <w:r w:rsidRPr="009235AB">
        <w:rPr>
          <w:rFonts w:ascii="Palatino Linotype" w:hAnsi="Palatino Linotype" w:cs="Arial"/>
          <w:b/>
        </w:rPr>
        <w:t>Constitución Política de los Estados Unidos Mexicanos</w:t>
      </w:r>
      <w:r w:rsidRPr="009235AB">
        <w:rPr>
          <w:rFonts w:ascii="Palatino Linotype" w:hAnsi="Palatino Linotype" w:cs="Arial"/>
        </w:rPr>
        <w:t xml:space="preserve"> y 3, fracción XXXII del </w:t>
      </w:r>
      <w:r w:rsidRPr="009235AB">
        <w:rPr>
          <w:rFonts w:ascii="Palatino Linotype" w:hAnsi="Palatino Linotype" w:cs="Arial"/>
          <w:b/>
        </w:rPr>
        <w:t>Código Financiero del Estado de México y Municipios</w:t>
      </w:r>
      <w:r w:rsidRPr="009235AB">
        <w:rPr>
          <w:rFonts w:ascii="Palatino Linotype" w:hAnsi="Palatino Linotype" w:cs="Arial"/>
        </w:rPr>
        <w:t xml:space="preserve">, constituyen toda percepción o pagos por concepto de sueldo, compensaciones, gratificaciones, habitación, primas, comisiones, prestaciones en especie, premios, </w:t>
      </w:r>
      <w:r w:rsidRPr="009235AB">
        <w:rPr>
          <w:rFonts w:ascii="Palatino Linotype" w:hAnsi="Palatino Linotype" w:cs="Arial"/>
        </w:rPr>
        <w:lastRenderedPageBreak/>
        <w:t>recompensas, bonos, estímulos, dietas, aguinaldos, comisiones y cualquier otra prestación que se entregue a los servidores públicos por su trabajo.</w:t>
      </w:r>
    </w:p>
    <w:p w:rsidR="00C52F32" w:rsidRPr="009235AB" w:rsidRDefault="00C52F32" w:rsidP="00C52F32">
      <w:pPr>
        <w:pStyle w:val="Prrafodelista"/>
        <w:spacing w:line="360" w:lineRule="auto"/>
        <w:ind w:left="851"/>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Bajo dichas consideraciones, se reitera que la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ind w:left="851" w:right="992"/>
        <w:jc w:val="both"/>
        <w:rPr>
          <w:rFonts w:ascii="Palatino Linotype" w:hAnsi="Palatino Linotype"/>
          <w:i/>
        </w:rPr>
      </w:pPr>
      <w:r w:rsidRPr="009235AB">
        <w:rPr>
          <w:rFonts w:ascii="Palatino Linotype" w:hAnsi="Palatino Linotype"/>
          <w:i/>
        </w:rPr>
        <w:t xml:space="preserve">19. Percepciones: Se anotarán las percepciones que se le hacen llegar al empleado solamente. </w:t>
      </w:r>
    </w:p>
    <w:p w:rsidR="00C52F32" w:rsidRPr="009235AB" w:rsidRDefault="00C52F32" w:rsidP="00C52F32">
      <w:pPr>
        <w:ind w:left="851" w:right="992"/>
        <w:jc w:val="both"/>
        <w:rPr>
          <w:rFonts w:ascii="Palatino Linotype" w:hAnsi="Palatino Linotype" w:cs="Arial"/>
          <w:i/>
        </w:rPr>
      </w:pPr>
      <w:r w:rsidRPr="009235AB">
        <w:rPr>
          <w:rFonts w:ascii="Palatino Linotype" w:hAnsi="Palatino Linotype"/>
          <w:i/>
        </w:rPr>
        <w:t>20. Deducciones: Se anotarán las deducciones correspondientes al empleado solamente.</w:t>
      </w:r>
    </w:p>
    <w:p w:rsidR="00C52F32"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Pr="009235AB">
        <w:rPr>
          <w:rFonts w:ascii="Palatino Linotype" w:hAnsi="Palatino Linotype" w:cs="Arial"/>
          <w:b/>
        </w:rPr>
        <w:t>SUJETO OBLIGADO</w:t>
      </w:r>
      <w:r w:rsidRPr="009235AB">
        <w:rPr>
          <w:rFonts w:ascii="Palatino Linotype" w:hAnsi="Palatino Linotype" w:cs="Arial"/>
        </w:rPr>
        <w:t xml:space="preserve"> de generar y entregar los formatos contenidos en los diferentes discos que integran los informes mensuales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C52F32" w:rsidRPr="009235AB" w:rsidRDefault="00C52F32" w:rsidP="00C52F32">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rsidR="00C52F32" w:rsidRPr="009235AB" w:rsidRDefault="00C52F32" w:rsidP="00C52F32">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C52F32" w:rsidRDefault="00C52F32" w:rsidP="00C52F32">
      <w:pPr>
        <w:pStyle w:val="Prrafodelista"/>
        <w:spacing w:line="360" w:lineRule="auto"/>
        <w:ind w:left="0"/>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rsidR="00C52F32" w:rsidRPr="009235AB" w:rsidRDefault="00C52F32" w:rsidP="00C52F32">
      <w:pPr>
        <w:pStyle w:val="Prrafodelista"/>
        <w:spacing w:line="360" w:lineRule="auto"/>
        <w:ind w:left="0"/>
        <w:jc w:val="both"/>
        <w:rPr>
          <w:rFonts w:ascii="Palatino Linotype" w:hAnsi="Palatino Linotype" w:cs="Arial"/>
        </w:rPr>
      </w:pPr>
    </w:p>
    <w:p w:rsidR="00C52F32" w:rsidRDefault="00C52F32" w:rsidP="00C52F32">
      <w:pPr>
        <w:ind w:left="851" w:right="992"/>
        <w:jc w:val="both"/>
        <w:rPr>
          <w:rFonts w:ascii="Palatino Linotype" w:hAnsi="Palatino Linotype"/>
          <w:i/>
        </w:rPr>
      </w:pPr>
      <w:r>
        <w:rPr>
          <w:rFonts w:ascii="Palatino Linotype" w:hAnsi="Palatino Linotype"/>
          <w:i/>
        </w:rPr>
        <w:t>“</w:t>
      </w:r>
      <w:r w:rsidRPr="00CE328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52F32" w:rsidRPr="009235AB" w:rsidRDefault="00C52F32" w:rsidP="00C52F32">
      <w:pPr>
        <w:ind w:left="851" w:right="992"/>
        <w:jc w:val="both"/>
        <w:rPr>
          <w:rFonts w:ascii="Palatino Linotype" w:hAnsi="Palatino Linotype"/>
          <w:i/>
        </w:rPr>
      </w:pPr>
      <w:r w:rsidRPr="009235AB">
        <w:rPr>
          <w:rFonts w:ascii="Palatino Linotype" w:hAnsi="Palatino Linotype"/>
          <w:i/>
        </w:rPr>
        <w:t>(…)</w:t>
      </w:r>
    </w:p>
    <w:p w:rsidR="00C52F32" w:rsidRPr="00CE3289" w:rsidRDefault="00C52F32" w:rsidP="00C52F32">
      <w:pPr>
        <w:ind w:left="851" w:right="992"/>
        <w:jc w:val="both"/>
        <w:rPr>
          <w:rFonts w:ascii="Palatino Linotype" w:hAnsi="Palatino Linotype"/>
          <w:i/>
        </w:rPr>
      </w:pPr>
      <w:r w:rsidRPr="00CE328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w:t>
      </w:r>
    </w:p>
    <w:p w:rsidR="00C52F32" w:rsidRDefault="00C52F32" w:rsidP="00C52F32">
      <w:pPr>
        <w:spacing w:line="360" w:lineRule="auto"/>
        <w:jc w:val="both"/>
        <w:rPr>
          <w:rFonts w:ascii="Palatino Linotype" w:hAnsi="Palatino Linotype" w:cs="Arial"/>
        </w:rPr>
      </w:pPr>
    </w:p>
    <w:p w:rsidR="00C52F32" w:rsidRDefault="00C52F32" w:rsidP="00C52F32">
      <w:pPr>
        <w:spacing w:line="360" w:lineRule="auto"/>
        <w:jc w:val="both"/>
        <w:rPr>
          <w:rFonts w:ascii="Palatino Linotype" w:hAnsi="Palatino Linotype" w:cs="Arial"/>
        </w:rPr>
      </w:pPr>
      <w:r w:rsidRPr="009235AB">
        <w:rPr>
          <w:rFonts w:ascii="Palatino Linotype" w:hAnsi="Palatino Linotype" w:cs="Arial"/>
        </w:rPr>
        <w:t xml:space="preserve">En este sentido, la Ley de Transparencia y Acceso a la Información Pública del Estado de México y Municipios refiere que los </w:t>
      </w:r>
      <w:r w:rsidRPr="009235AB">
        <w:rPr>
          <w:rFonts w:ascii="Palatino Linotype" w:hAnsi="Palatino Linotype" w:cs="Arial"/>
          <w:lang w:eastAsia="es-MX"/>
        </w:rPr>
        <w:t xml:space="preserve">Sujetos Obligados deberán tener </w:t>
      </w:r>
      <w:r w:rsidRPr="009235AB">
        <w:rPr>
          <w:rFonts w:ascii="Palatino Linotype" w:hAnsi="Palatino Linotype" w:cs="Arial"/>
          <w:lang w:eastAsia="es-MX"/>
        </w:rPr>
        <w:lastRenderedPageBreak/>
        <w:t xml:space="preserve">disponible en medio impreso o electrónico, de manera permanente y actualizada, de forma sencilla, precisa y entendible para los particulares, </w:t>
      </w:r>
      <w:r w:rsidRPr="009235AB">
        <w:rPr>
          <w:rFonts w:ascii="Palatino Linotype" w:hAnsi="Palatino Linotype" w:cs="Arial"/>
          <w:b/>
          <w:u w:val="single"/>
        </w:rPr>
        <w:t>las remuneraciones</w:t>
      </w:r>
      <w:r w:rsidRPr="009235AB">
        <w:rPr>
          <w:rFonts w:ascii="Palatino Linotype" w:hAnsi="Palatino Linotype" w:cs="Arial"/>
        </w:rPr>
        <w:t xml:space="preserve"> que perciban los servidores públicos de acuerdo con lo establecido en el </w:t>
      </w:r>
      <w:r w:rsidRPr="009235AB">
        <w:rPr>
          <w:rFonts w:ascii="Palatino Linotype" w:hAnsi="Palatino Linotype" w:cs="Arial"/>
          <w:b/>
        </w:rPr>
        <w:t>Código Financiero del Estado de México y Municipios</w:t>
      </w:r>
      <w:r w:rsidRPr="009235AB">
        <w:rPr>
          <w:rFonts w:ascii="Palatino Linotype" w:hAnsi="Palatino Linotype" w:cs="Arial"/>
        </w:rPr>
        <w:t xml:space="preserve">. </w:t>
      </w:r>
    </w:p>
    <w:p w:rsidR="00C52F32" w:rsidRDefault="00C52F32" w:rsidP="00C52F32">
      <w:pPr>
        <w:spacing w:line="360" w:lineRule="auto"/>
        <w:jc w:val="both"/>
        <w:rPr>
          <w:rFonts w:ascii="Palatino Linotype" w:hAnsi="Palatino Linotype" w:cs="Arial"/>
        </w:rPr>
      </w:pPr>
    </w:p>
    <w:p w:rsidR="00AC7A7A" w:rsidRPr="00A237A9" w:rsidRDefault="00AC7A7A" w:rsidP="00C52F32">
      <w:pPr>
        <w:spacing w:line="360" w:lineRule="auto"/>
        <w:jc w:val="both"/>
        <w:rPr>
          <w:rFonts w:ascii="Palatino Linotype" w:hAnsi="Palatino Linotype" w:cs="Arial"/>
          <w:lang w:eastAsia="es-MX"/>
        </w:rPr>
      </w:pPr>
      <w:r>
        <w:rPr>
          <w:rFonts w:ascii="Palatino Linotype" w:hAnsi="Palatino Linotype" w:cs="Arial"/>
        </w:rPr>
        <w:t xml:space="preserve">En este mismo orden de ideas </w:t>
      </w:r>
      <w:r w:rsidR="00A237A9">
        <w:rPr>
          <w:rFonts w:ascii="Palatino Linotype" w:hAnsi="Palatino Linotype" w:cs="Arial"/>
        </w:rPr>
        <w:t>es de referir que el recurrente en su escrito de solicitud manifestó: “…</w:t>
      </w:r>
      <w:r w:rsidR="00A237A9" w:rsidRPr="00C071D3">
        <w:rPr>
          <w:rFonts w:ascii="Palatino Linotype" w:hAnsi="Palatino Linotype" w:cs="Arial"/>
          <w:i/>
          <w:lang w:eastAsia="es-MX"/>
        </w:rPr>
        <w:t>percepciones brutas, percepciones netas, bonos, gratificaciones, fideicomiso todo lo extra a su nómina</w:t>
      </w:r>
      <w:r w:rsidR="00A237A9">
        <w:rPr>
          <w:rFonts w:ascii="Palatino Linotype" w:hAnsi="Palatino Linotype" w:cs="Arial"/>
          <w:lang w:eastAsia="es-MX"/>
        </w:rPr>
        <w:t xml:space="preserve">…”, se cae en la cuenta </w:t>
      </w:r>
      <w:r w:rsidR="002B0622">
        <w:rPr>
          <w:rFonts w:ascii="Palatino Linotype" w:hAnsi="Palatino Linotype" w:cs="Arial"/>
          <w:lang w:eastAsia="es-MX"/>
        </w:rPr>
        <w:t xml:space="preserve">de que quiere todo lo que se carga en las nóminas, por ende se suple la solicitud de la información en favor del recurrente tal como lo refiere el artículo 92 fracción VIII, de la Ley en la materia, deberá contener la </w:t>
      </w:r>
      <w:r w:rsidR="002B0622" w:rsidRPr="002B0622">
        <w:rPr>
          <w:rFonts w:ascii="Palatino Linotype" w:hAnsi="Palatino Linotype" w:cs="Arial"/>
          <w:lang w:eastAsia="es-MX"/>
        </w:rPr>
        <w:t>remuneración bruta y neta de todos los servidores públicos de base o de confianza, de todas las percepciones, incluyendo sueldos, prestaciones, gratificaciones, primas, comisiones, dietas, bonos, estímulos, ingresos y sistemas de compensación</w:t>
      </w:r>
      <w:r w:rsidR="002B0622">
        <w:rPr>
          <w:rFonts w:ascii="Palatino Linotype" w:hAnsi="Palatino Linotype" w:cs="Arial"/>
          <w:lang w:eastAsia="es-MX"/>
        </w:rPr>
        <w:t>.</w:t>
      </w:r>
    </w:p>
    <w:p w:rsidR="00AC7A7A" w:rsidRDefault="00AC7A7A" w:rsidP="00C52F32">
      <w:pPr>
        <w:pStyle w:val="Prrafodelista"/>
        <w:spacing w:line="360" w:lineRule="auto"/>
        <w:ind w:left="0"/>
        <w:jc w:val="both"/>
        <w:rPr>
          <w:rFonts w:ascii="Palatino Linotype" w:hAnsi="Palatino Linotype" w:cs="Arial"/>
        </w:rPr>
      </w:pPr>
    </w:p>
    <w:p w:rsidR="00C52F32" w:rsidRDefault="00C52F32" w:rsidP="00C52F32">
      <w:pPr>
        <w:pStyle w:val="Prrafodelista"/>
        <w:spacing w:line="360" w:lineRule="auto"/>
        <w:ind w:left="0"/>
        <w:jc w:val="both"/>
        <w:rPr>
          <w:rFonts w:ascii="Palatino Linotype" w:eastAsia="Arial Unicode MS" w:hAnsi="Palatino Linotype" w:cs="Arial"/>
        </w:rPr>
      </w:pPr>
      <w:r w:rsidRPr="007C38D9">
        <w:rPr>
          <w:rFonts w:ascii="Palatino Linotype" w:hAnsi="Palatino Linotype" w:cs="Arial"/>
        </w:rPr>
        <w:t xml:space="preserve">De lo anterior expuesto se deduce que dicha información </w:t>
      </w:r>
      <w:r w:rsidRPr="007C38D9">
        <w:rPr>
          <w:rFonts w:ascii="Palatino Linotype" w:hAnsi="Palatino Linotype" w:cs="Arial"/>
          <w:b/>
          <w:u w:val="single"/>
        </w:rPr>
        <w:t>ya se encuentra digitalizada</w:t>
      </w:r>
      <w:r w:rsidRPr="007C38D9">
        <w:rPr>
          <w:rFonts w:ascii="Palatino Linotype" w:hAnsi="Palatino Linotype" w:cs="Arial"/>
        </w:rPr>
        <w:t xml:space="preserve">, por el </w:t>
      </w:r>
      <w:r w:rsidRPr="007C38D9">
        <w:rPr>
          <w:rFonts w:ascii="Palatino Linotype" w:hAnsi="Palatino Linotype" w:cs="Arial"/>
          <w:b/>
        </w:rPr>
        <w:t xml:space="preserve">SUJETO OBLIGADO, </w:t>
      </w:r>
      <w:r w:rsidRPr="007C38D9">
        <w:rPr>
          <w:rFonts w:ascii="Palatino Linotype" w:hAnsi="Palatino Linotype" w:cs="Arial"/>
        </w:rPr>
        <w:t xml:space="preserve">por lo que es dable ordenar </w:t>
      </w:r>
      <w:r>
        <w:rPr>
          <w:rFonts w:ascii="Palatino Linotype" w:hAnsi="Palatino Linotype" w:cs="Arial"/>
        </w:rPr>
        <w:t>m</w:t>
      </w:r>
      <w:r w:rsidRPr="007C38D9">
        <w:rPr>
          <w:rFonts w:ascii="Palatino Linotype" w:hAnsi="Palatino Linotype" w:cs="Arial"/>
        </w:rPr>
        <w:t xml:space="preserve">ediante la modalidad solicitada, es decir, vía </w:t>
      </w:r>
      <w:r w:rsidRPr="00191378">
        <w:rPr>
          <w:rFonts w:ascii="Palatino Linotype" w:hAnsi="Palatino Linotype" w:cs="Arial"/>
        </w:rPr>
        <w:t>SAIMEX, conforme a las razones antes expuestas en la presente resolución, la nómina de los servidores públicos del municipio por la temporalidad expuesta en líneas anteriores, por</w:t>
      </w:r>
      <w:r>
        <w:rPr>
          <w:rFonts w:ascii="Palatino Linotype" w:hAnsi="Palatino Linotype" w:cs="Arial"/>
        </w:rPr>
        <w:t xml:space="preserve"> ende</w:t>
      </w:r>
      <w:r w:rsidRPr="003E3F84">
        <w:rPr>
          <w:rFonts w:ascii="Palatino Linotype" w:hAnsi="Palatino Linotype" w:cs="Arial"/>
        </w:rPr>
        <w:t xml:space="preserve">, se ordena al Sujeto Obligado la entrega en </w:t>
      </w:r>
      <w:r w:rsidRPr="00E3665F">
        <w:rPr>
          <w:rFonts w:ascii="Palatino Linotype" w:hAnsi="Palatino Linotype" w:cs="Arial"/>
          <w:b/>
        </w:rPr>
        <w:t>versión pública</w:t>
      </w:r>
      <w:r w:rsidRPr="003E3F84">
        <w:rPr>
          <w:rFonts w:ascii="Palatino Linotype" w:hAnsi="Palatino Linotype" w:cs="Arial"/>
        </w:rPr>
        <w:t xml:space="preserve"> </w:t>
      </w:r>
      <w:r>
        <w:rPr>
          <w:rFonts w:ascii="Palatino Linotype" w:hAnsi="Palatino Linotype" w:cs="Arial"/>
        </w:rPr>
        <w:t xml:space="preserve">(de la cual se hará el estudio más adelante), </w:t>
      </w:r>
      <w:r w:rsidRPr="003E3F84">
        <w:rPr>
          <w:rFonts w:ascii="Palatino Linotype" w:hAnsi="Palatino Linotype" w:cs="Arial"/>
        </w:rPr>
        <w:t>de la</w:t>
      </w:r>
      <w:r>
        <w:rPr>
          <w:rFonts w:ascii="Palatino Linotype" w:hAnsi="Palatino Linotype" w:cs="Arial"/>
        </w:rPr>
        <w:t>s</w:t>
      </w:r>
      <w:r w:rsidRPr="003E3F84">
        <w:rPr>
          <w:rFonts w:ascii="Palatino Linotype" w:hAnsi="Palatino Linotype" w:cs="Arial"/>
        </w:rPr>
        <w:t xml:space="preserve"> nómina</w:t>
      </w:r>
      <w:r>
        <w:rPr>
          <w:rFonts w:ascii="Palatino Linotype" w:hAnsi="Palatino Linotype" w:cs="Arial"/>
        </w:rPr>
        <w:t>s</w:t>
      </w:r>
      <w:r w:rsidRPr="003E3F84">
        <w:rPr>
          <w:rFonts w:ascii="Palatino Linotype" w:hAnsi="Palatino Linotype" w:cs="Arial"/>
        </w:rPr>
        <w:t xml:space="preserve"> </w:t>
      </w:r>
      <w:r>
        <w:rPr>
          <w:rFonts w:ascii="Palatino Linotype" w:hAnsi="Palatino Linotype" w:cs="Arial"/>
        </w:rPr>
        <w:t>antes referidas.</w:t>
      </w:r>
    </w:p>
    <w:p w:rsidR="00CC06CE" w:rsidRDefault="00CC06CE" w:rsidP="002438E8">
      <w:pPr>
        <w:spacing w:line="360" w:lineRule="auto"/>
        <w:ind w:right="51"/>
        <w:jc w:val="both"/>
        <w:rPr>
          <w:rFonts w:ascii="Palatino Linotype" w:hAnsi="Palatino Linotype" w:cs="Arial"/>
        </w:rPr>
      </w:pPr>
    </w:p>
    <w:p w:rsidR="009A361E" w:rsidRDefault="009A361E" w:rsidP="002438E8">
      <w:pPr>
        <w:spacing w:line="360" w:lineRule="auto"/>
        <w:ind w:right="51"/>
        <w:jc w:val="both"/>
        <w:rPr>
          <w:rFonts w:ascii="Palatino Linotype" w:eastAsia="Arial Unicode MS" w:hAnsi="Palatino Linotype" w:cs="Arial"/>
        </w:rPr>
      </w:pPr>
      <w:r>
        <w:rPr>
          <w:rFonts w:ascii="Palatino Linotype" w:hAnsi="Palatino Linotype" w:cs="Arial"/>
        </w:rPr>
        <w:t xml:space="preserve">No se </w:t>
      </w:r>
      <w:r w:rsidR="00F15A97">
        <w:rPr>
          <w:rFonts w:ascii="Palatino Linotype" w:hAnsi="Palatino Linotype" w:cs="Arial"/>
        </w:rPr>
        <w:t>pasa</w:t>
      </w:r>
      <w:r>
        <w:rPr>
          <w:rFonts w:ascii="Palatino Linotype" w:hAnsi="Palatino Linotype" w:cs="Arial"/>
        </w:rPr>
        <w:t xml:space="preserve"> </w:t>
      </w:r>
      <w:r w:rsidRPr="000A1D5D">
        <w:rPr>
          <w:rFonts w:ascii="Palatino Linotype" w:hAnsi="Palatino Linotype" w:cs="Arial"/>
        </w:rPr>
        <w:t xml:space="preserve">por alto </w:t>
      </w:r>
      <w:r w:rsidR="00F5658C" w:rsidRPr="000A1D5D">
        <w:rPr>
          <w:rFonts w:ascii="Palatino Linotype" w:hAnsi="Palatino Linotype" w:cs="Arial"/>
        </w:rPr>
        <w:t xml:space="preserve">que en la solicitud de información la hoy recurrente dentro de su texto dice: </w:t>
      </w:r>
      <w:r w:rsidR="000A1D5D" w:rsidRPr="000A1D5D">
        <w:rPr>
          <w:rFonts w:ascii="Palatino Linotype" w:hAnsi="Palatino Linotype" w:cs="Arial"/>
        </w:rPr>
        <w:t>“…</w:t>
      </w:r>
      <w:r w:rsidR="000A1D5D" w:rsidRPr="002B0622">
        <w:rPr>
          <w:rFonts w:ascii="Palatino Linotype" w:hAnsi="Palatino Linotype" w:cs="Arial"/>
          <w:i/>
          <w:lang w:eastAsia="es-MX"/>
        </w:rPr>
        <w:t>fecha de ingreso</w:t>
      </w:r>
      <w:r w:rsidR="002B0622">
        <w:rPr>
          <w:rFonts w:ascii="Palatino Linotype" w:hAnsi="Palatino Linotype" w:cs="Arial"/>
          <w:lang w:eastAsia="es-MX"/>
        </w:rPr>
        <w:t xml:space="preserve"> y </w:t>
      </w:r>
      <w:r w:rsidR="002B0622" w:rsidRPr="00C071D3">
        <w:rPr>
          <w:rFonts w:ascii="Palatino Linotype" w:hAnsi="Palatino Linotype" w:cs="Arial"/>
          <w:i/>
          <w:lang w:eastAsia="es-MX"/>
        </w:rPr>
        <w:t>área en la que laboran</w:t>
      </w:r>
      <w:r w:rsidR="002B0622" w:rsidRPr="000A1D5D">
        <w:rPr>
          <w:rFonts w:ascii="Palatino Linotype" w:hAnsi="Palatino Linotype" w:cs="Arial"/>
          <w:lang w:eastAsia="es-MX"/>
        </w:rPr>
        <w:t xml:space="preserve"> </w:t>
      </w:r>
      <w:r w:rsidR="000A1D5D" w:rsidRPr="000A1D5D">
        <w:rPr>
          <w:rFonts w:ascii="Palatino Linotype" w:hAnsi="Palatino Linotype" w:cs="Arial"/>
          <w:lang w:eastAsia="es-MX"/>
        </w:rPr>
        <w:t>…”</w:t>
      </w:r>
      <w:r w:rsidR="000A1D5D">
        <w:rPr>
          <w:rFonts w:ascii="Palatino Linotype" w:hAnsi="Palatino Linotype" w:cs="Arial"/>
          <w:lang w:eastAsia="es-MX"/>
        </w:rPr>
        <w:t>,</w:t>
      </w:r>
      <w:r w:rsidR="0083140C">
        <w:rPr>
          <w:rFonts w:ascii="Palatino Linotype" w:hAnsi="Palatino Linotype" w:cs="Arial"/>
          <w:lang w:eastAsia="es-MX"/>
        </w:rPr>
        <w:t xml:space="preserve"> cabe precisar que de </w:t>
      </w:r>
      <w:r w:rsidR="0083140C">
        <w:rPr>
          <w:rFonts w:ascii="Palatino Linotype" w:hAnsi="Palatino Linotype" w:cs="Arial"/>
          <w:lang w:eastAsia="es-MX"/>
        </w:rPr>
        <w:lastRenderedPageBreak/>
        <w:t xml:space="preserve">acuerdo al contexto en que está solicitando este punto se cae en la cuenta de que requiere la información </w:t>
      </w:r>
      <w:r w:rsidR="0083140C">
        <w:rPr>
          <w:rFonts w:ascii="Palatino Linotype" w:hAnsi="Palatino Linotype" w:cs="Arial"/>
        </w:rPr>
        <w:t xml:space="preserve">de </w:t>
      </w:r>
      <w:r w:rsidR="001867BC" w:rsidRPr="001867BC">
        <w:rPr>
          <w:rFonts w:ascii="Palatino Linotype" w:hAnsi="Palatino Linotype" w:cs="Arial"/>
        </w:rPr>
        <w:t>todo el personal (empleados de confianza, sindicalizados, funcionarios, altos mandos) del Sistema Municipal DIF Melchor Ocampo y del Organismo del Agua correspondiente al municipio de Melchor Ocampo</w:t>
      </w:r>
      <w:r w:rsidR="0083140C">
        <w:rPr>
          <w:rFonts w:ascii="Palatino Linotype" w:hAnsi="Palatino Linotype" w:cs="Arial"/>
        </w:rPr>
        <w:t xml:space="preserve">, tal y como lo pidió para la nómina, sin embargo, la fecha de ingreso no aparece en la </w:t>
      </w:r>
      <w:r w:rsidR="00B95B39">
        <w:rPr>
          <w:rFonts w:ascii="Palatino Linotype" w:hAnsi="Palatino Linotype" w:cs="Arial"/>
        </w:rPr>
        <w:t>nómina</w:t>
      </w:r>
      <w:r w:rsidR="0083140C">
        <w:rPr>
          <w:rFonts w:ascii="Palatino Linotype" w:hAnsi="Palatino Linotype" w:cs="Arial"/>
        </w:rPr>
        <w:t xml:space="preserve"> por ello deberá hacer entrega </w:t>
      </w:r>
      <w:r w:rsidR="00B95B39">
        <w:rPr>
          <w:rFonts w:ascii="Palatino Linotype" w:hAnsi="Palatino Linotype" w:cs="Arial"/>
        </w:rPr>
        <w:t>en versión pública</w:t>
      </w:r>
      <w:r w:rsidR="00E04300">
        <w:rPr>
          <w:rFonts w:ascii="Palatino Linotype" w:hAnsi="Palatino Linotype" w:cs="Arial"/>
        </w:rPr>
        <w:t xml:space="preserve"> de ser procedente</w:t>
      </w:r>
      <w:r w:rsidR="00B95B39">
        <w:rPr>
          <w:rFonts w:ascii="Palatino Linotype" w:hAnsi="Palatino Linotype" w:cs="Arial"/>
        </w:rPr>
        <w:t xml:space="preserve"> </w:t>
      </w:r>
      <w:r w:rsidR="0083140C">
        <w:rPr>
          <w:rFonts w:ascii="Palatino Linotype" w:hAnsi="Palatino Linotype" w:cs="Arial"/>
        </w:rPr>
        <w:t xml:space="preserve">del documento </w:t>
      </w:r>
      <w:r w:rsidR="00B95B39">
        <w:rPr>
          <w:rFonts w:ascii="Palatino Linotype" w:hAnsi="Palatino Linotype" w:cs="Arial"/>
        </w:rPr>
        <w:t xml:space="preserve">o documentos </w:t>
      </w:r>
      <w:r w:rsidR="0083140C">
        <w:rPr>
          <w:rFonts w:ascii="Palatino Linotype" w:hAnsi="Palatino Linotype" w:cs="Arial"/>
        </w:rPr>
        <w:t xml:space="preserve">donde conste la fecha de ingreso de los funcionarios a que hace referencia en su solicitud de amistad, como lo puede ser el FUMP, contrato de prestaciones de </w:t>
      </w:r>
      <w:r w:rsidR="00B95B39">
        <w:rPr>
          <w:rFonts w:ascii="Palatino Linotype" w:hAnsi="Palatino Linotype" w:cs="Arial"/>
        </w:rPr>
        <w:t>servicios</w:t>
      </w:r>
      <w:r w:rsidR="0083140C">
        <w:rPr>
          <w:rFonts w:ascii="Palatino Linotype" w:hAnsi="Palatino Linotype" w:cs="Arial"/>
        </w:rPr>
        <w:t xml:space="preserve"> profesionales o nombramiento</w:t>
      </w:r>
      <w:r w:rsidR="00E1745B">
        <w:rPr>
          <w:rFonts w:ascii="Palatino Linotype" w:hAnsi="Palatino Linotype" w:cs="Arial"/>
        </w:rPr>
        <w:t xml:space="preserve">, tal como lo establece la </w:t>
      </w:r>
      <w:r w:rsidR="00E1745B">
        <w:rPr>
          <w:rFonts w:ascii="Palatino Linotype" w:eastAsia="Arial Unicode MS" w:hAnsi="Palatino Linotype" w:cs="Arial"/>
        </w:rPr>
        <w:t>Ley del Trabajo de los Servidores Públicos del Estado y Municipios en su artículo 45, que reza:</w:t>
      </w:r>
    </w:p>
    <w:p w:rsidR="00E1745B" w:rsidRDefault="00E1745B" w:rsidP="002438E8">
      <w:pPr>
        <w:spacing w:line="360" w:lineRule="auto"/>
        <w:ind w:right="51"/>
        <w:jc w:val="both"/>
        <w:rPr>
          <w:rFonts w:ascii="Palatino Linotype" w:eastAsia="Arial Unicode MS" w:hAnsi="Palatino Linotype" w:cs="Arial"/>
        </w:rPr>
      </w:pPr>
    </w:p>
    <w:p w:rsidR="00A97C58" w:rsidRDefault="00A97C58" w:rsidP="00A97C58">
      <w:pPr>
        <w:tabs>
          <w:tab w:val="left" w:pos="7938"/>
        </w:tabs>
        <w:ind w:left="851" w:right="567"/>
        <w:jc w:val="both"/>
        <w:rPr>
          <w:rFonts w:ascii="Palatino Linotype" w:eastAsia="Arial Unicode MS" w:hAnsi="Palatino Linotype" w:cs="Arial"/>
          <w:i/>
        </w:rPr>
      </w:pPr>
      <w:r>
        <w:rPr>
          <w:rFonts w:ascii="Palatino Linotype" w:eastAsia="Arial Unicode MS" w:hAnsi="Palatino Linotype" w:cs="Arial"/>
          <w:i/>
        </w:rPr>
        <w:t>“</w:t>
      </w:r>
      <w:r w:rsidRPr="002F450E">
        <w:rPr>
          <w:rFonts w:ascii="Palatino Linotype" w:eastAsia="Arial Unicode MS" w:hAnsi="Palatino Linotype" w:cs="Arial"/>
          <w:i/>
        </w:rPr>
        <w:t xml:space="preserve">ARTÍCULO 45.-Los servidores públicos prestarán sus servicios mediante </w:t>
      </w:r>
      <w:r w:rsidRPr="002F450E">
        <w:rPr>
          <w:rFonts w:ascii="Palatino Linotype" w:eastAsia="Arial Unicode MS" w:hAnsi="Palatino Linotype" w:cs="Arial"/>
          <w:b/>
          <w:i/>
          <w:u w:val="single"/>
        </w:rPr>
        <w:t>nombramiento, contrato o formato único de Movimientos de Personal</w:t>
      </w:r>
      <w:r w:rsidRPr="002F450E">
        <w:rPr>
          <w:rFonts w:ascii="Palatino Linotype" w:eastAsia="Arial Unicode MS" w:hAnsi="Palatino Linotype" w:cs="Arial"/>
          <w:i/>
        </w:rPr>
        <w:t xml:space="preserve"> expedidos por quien estuviere facultado legalmente para extenderlo.</w:t>
      </w:r>
      <w:r>
        <w:rPr>
          <w:rFonts w:ascii="Palatino Linotype" w:eastAsia="Arial Unicode MS" w:hAnsi="Palatino Linotype" w:cs="Arial"/>
          <w:i/>
        </w:rPr>
        <w:t>”</w:t>
      </w:r>
    </w:p>
    <w:p w:rsidR="009A361E" w:rsidRDefault="009A361E" w:rsidP="002438E8">
      <w:pPr>
        <w:spacing w:line="360" w:lineRule="auto"/>
        <w:ind w:right="51"/>
        <w:jc w:val="both"/>
        <w:rPr>
          <w:rFonts w:ascii="Palatino Linotype" w:hAnsi="Palatino Linotype" w:cs="Arial"/>
        </w:rPr>
      </w:pPr>
    </w:p>
    <w:p w:rsidR="00A9494D" w:rsidRDefault="00A9494D" w:rsidP="002438E8">
      <w:pPr>
        <w:spacing w:line="360" w:lineRule="auto"/>
        <w:ind w:right="51"/>
        <w:jc w:val="both"/>
        <w:rPr>
          <w:rFonts w:ascii="Palatino Linotype" w:hAnsi="Palatino Linotype" w:cs="Arial"/>
        </w:rPr>
      </w:pPr>
      <w:r>
        <w:rPr>
          <w:rFonts w:ascii="Palatino Linotype" w:hAnsi="Palatino Linotype" w:cs="Arial"/>
        </w:rPr>
        <w:t xml:space="preserve">Respecto de los servidores públicos sindicalizados, de igual forma se deberá entregar el documento o documentos donde conste la fecha en que ingresaron a laborar en las dependencias del municipio a que hace </w:t>
      </w:r>
      <w:r w:rsidR="000A75FF">
        <w:rPr>
          <w:rFonts w:ascii="Palatino Linotype" w:hAnsi="Palatino Linotype" w:cs="Arial"/>
        </w:rPr>
        <w:t>referencia</w:t>
      </w:r>
      <w:r>
        <w:rPr>
          <w:rFonts w:ascii="Palatino Linotype" w:hAnsi="Palatino Linotype" w:cs="Arial"/>
        </w:rPr>
        <w:t xml:space="preserve"> </w:t>
      </w:r>
      <w:r w:rsidR="000A75FF">
        <w:rPr>
          <w:rFonts w:ascii="Palatino Linotype" w:hAnsi="Palatino Linotype" w:cs="Arial"/>
        </w:rPr>
        <w:t>en la solicitud de información.</w:t>
      </w:r>
    </w:p>
    <w:p w:rsidR="00A9494D" w:rsidRPr="000A1D5D" w:rsidRDefault="00A9494D" w:rsidP="002438E8">
      <w:pPr>
        <w:spacing w:line="360" w:lineRule="auto"/>
        <w:ind w:right="51"/>
        <w:jc w:val="both"/>
        <w:rPr>
          <w:rFonts w:ascii="Palatino Linotype" w:hAnsi="Palatino Linotype" w:cs="Arial"/>
        </w:rPr>
      </w:pPr>
    </w:p>
    <w:p w:rsidR="005A0459" w:rsidRPr="005A0459" w:rsidRDefault="005A0459" w:rsidP="005A0459">
      <w:pPr>
        <w:shd w:val="clear" w:color="auto" w:fill="FFFFFF"/>
        <w:spacing w:line="360" w:lineRule="auto"/>
        <w:ind w:left="720"/>
        <w:jc w:val="both"/>
        <w:rPr>
          <w:rFonts w:ascii="Palatino Linotype" w:hAnsi="Palatino Linotype"/>
          <w:color w:val="222222"/>
          <w:lang w:val="es-MX" w:eastAsia="es-MX"/>
        </w:rPr>
      </w:pPr>
      <w:r w:rsidRPr="005A0459">
        <w:rPr>
          <w:rFonts w:ascii="Palatino Linotype" w:hAnsi="Palatino Linotype"/>
          <w:b/>
          <w:bCs/>
          <w:i/>
          <w:iCs/>
          <w:color w:val="222222"/>
          <w:lang w:eastAsia="es-MX"/>
        </w:rPr>
        <w:t>De la versión pública.</w:t>
      </w:r>
    </w:p>
    <w:p w:rsidR="00F6441B" w:rsidRDefault="00F6441B" w:rsidP="00F6441B">
      <w:pPr>
        <w:spacing w:line="360" w:lineRule="auto"/>
        <w:ind w:right="51"/>
        <w:jc w:val="both"/>
        <w:rPr>
          <w:rFonts w:ascii="Palatino Linotype" w:hAnsi="Palatino Linotype" w:cs="Arial"/>
        </w:rPr>
      </w:pPr>
    </w:p>
    <w:p w:rsidR="00F6441B" w:rsidRPr="00082573" w:rsidRDefault="00F6441B" w:rsidP="00F6441B">
      <w:pPr>
        <w:pStyle w:val="Prrafodelista"/>
        <w:spacing w:line="360" w:lineRule="auto"/>
        <w:ind w:left="0"/>
        <w:jc w:val="both"/>
        <w:rPr>
          <w:rFonts w:ascii="Palatino Linotype" w:hAnsi="Palatino Linotype"/>
        </w:rPr>
      </w:pPr>
      <w:r w:rsidRPr="00930645">
        <w:rPr>
          <w:rFonts w:ascii="Palatino Linotype" w:hAnsi="Palatino Linotype" w:cs="Arial"/>
        </w:rPr>
        <w:t xml:space="preserve">Una vez expuesto lo anterior es necesario referir que el sujeto obligado en todo momento debe proteger los datos que puedan poner en riesgo la vida o integridad </w:t>
      </w:r>
      <w:r w:rsidRPr="00930645">
        <w:rPr>
          <w:rFonts w:ascii="Palatino Linotype" w:hAnsi="Palatino Linotype" w:cs="Arial"/>
        </w:rPr>
        <w:lastRenderedPageBreak/>
        <w:t>de las personas y de los servidores</w:t>
      </w:r>
      <w:r w:rsidRPr="00930645">
        <w:rPr>
          <w:rFonts w:ascii="Palatino Linotype" w:hAnsi="Palatino Linotype"/>
        </w:rPr>
        <w:t xml:space="preserve"> públicos</w:t>
      </w:r>
      <w:r>
        <w:rPr>
          <w:rFonts w:ascii="Palatino Linotype" w:hAnsi="Palatino Linotype"/>
        </w:rPr>
        <w:t xml:space="preserve"> de los que se habrá de hacer entrega de sus datos personales</w:t>
      </w:r>
      <w:r w:rsidRPr="00082573">
        <w:rPr>
          <w:rFonts w:ascii="Palatino Linotype" w:hAnsi="Palatino Linotype"/>
        </w:rPr>
        <w:t>, por tal motivo es susceptible de ser entregada a través del SAIMEX, en versión pública.</w:t>
      </w:r>
    </w:p>
    <w:p w:rsidR="00F6441B" w:rsidRPr="00082573" w:rsidRDefault="00F6441B" w:rsidP="00F6441B">
      <w:pPr>
        <w:spacing w:line="360" w:lineRule="auto"/>
        <w:jc w:val="both"/>
        <w:rPr>
          <w:rFonts w:ascii="Palatino Linotype" w:hAnsi="Palatino Linotype"/>
        </w:rPr>
      </w:pPr>
    </w:p>
    <w:p w:rsidR="00F6441B" w:rsidRDefault="00F6441B" w:rsidP="00F6441B">
      <w:pPr>
        <w:tabs>
          <w:tab w:val="left" w:pos="7938"/>
        </w:tabs>
        <w:spacing w:line="360" w:lineRule="auto"/>
        <w:jc w:val="both"/>
        <w:rPr>
          <w:rFonts w:ascii="Palatino Linotype" w:eastAsia="Arial Unicode MS" w:hAnsi="Palatino Linotype" w:cs="Arial"/>
        </w:rPr>
      </w:pPr>
      <w:r>
        <w:rPr>
          <w:rFonts w:ascii="Palatino Linotype" w:hAnsi="Palatino Linotype"/>
        </w:rPr>
        <w:t>P</w:t>
      </w:r>
      <w:r w:rsidRPr="00D37B0E">
        <w:rPr>
          <w:rFonts w:ascii="Palatino Linotype" w:hAnsi="Palatino Linotype"/>
        </w:rPr>
        <w:t>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F6441B" w:rsidRDefault="00F6441B" w:rsidP="00F6441B">
      <w:pPr>
        <w:tabs>
          <w:tab w:val="left" w:pos="7938"/>
        </w:tabs>
        <w:spacing w:line="360" w:lineRule="auto"/>
        <w:jc w:val="both"/>
        <w:rPr>
          <w:rFonts w:ascii="Palatino Linotype" w:eastAsia="Arial Unicode MS" w:hAnsi="Palatino Linotype" w:cs="Arial"/>
        </w:rPr>
      </w:pPr>
    </w:p>
    <w:p w:rsidR="00F6441B" w:rsidRPr="002C2946" w:rsidRDefault="00F6441B" w:rsidP="00F6441B">
      <w:pPr>
        <w:spacing w:line="360" w:lineRule="auto"/>
        <w:ind w:right="51"/>
        <w:jc w:val="both"/>
        <w:rPr>
          <w:rFonts w:ascii="Palatino Linotype" w:hAnsi="Palatino Linotype"/>
        </w:rPr>
      </w:pPr>
      <w:r w:rsidRPr="00D334A2">
        <w:rPr>
          <w:rFonts w:ascii="Palatino Linotype" w:hAnsi="Palatino Linotype" w:cs="Arial"/>
        </w:rPr>
        <w:t xml:space="preserve">la </w:t>
      </w:r>
      <w:r w:rsidRPr="00900E47">
        <w:rPr>
          <w:rFonts w:ascii="Palatino Linotype" w:hAnsi="Palatino Linotype" w:cs="Arial"/>
          <w:b/>
        </w:rPr>
        <w:t>versión pública</w:t>
      </w:r>
      <w:r w:rsidRPr="00D334A2">
        <w:rPr>
          <w:rFonts w:ascii="Palatino Linotype" w:hAnsi="Palatino Linotype" w:cs="Arial"/>
        </w:rPr>
        <w:t xml:space="preserve"> </w:t>
      </w:r>
      <w:r>
        <w:rPr>
          <w:rFonts w:ascii="Palatino Linotype" w:hAnsi="Palatino Linotype" w:cs="Arial"/>
        </w:rPr>
        <w:t>el sujeto obligado deberá a</w:t>
      </w:r>
      <w:r w:rsidRPr="002C2946">
        <w:rPr>
          <w:rFonts w:ascii="Palatino Linotype" w:hAnsi="Palatino Linotype"/>
        </w:rPr>
        <w:t xml:space="preserve">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w:t>
      </w:r>
      <w:r>
        <w:rPr>
          <w:rFonts w:ascii="Palatino Linotype" w:hAnsi="Palatino Linotype"/>
        </w:rPr>
        <w:t xml:space="preserve">en la materia deberá </w:t>
      </w:r>
      <w:r w:rsidRPr="002C2946">
        <w:rPr>
          <w:rFonts w:ascii="Palatino Linotype" w:hAnsi="Palatino Linotype"/>
        </w:rPr>
        <w:t>clasificarla por la hipótesis análoga siendo aplicables los numerales de la Ley de la materia, que a la letra esgrimen:</w:t>
      </w:r>
    </w:p>
    <w:p w:rsidR="00F6441B" w:rsidRPr="002C2946" w:rsidRDefault="00F6441B" w:rsidP="00F6441B">
      <w:pPr>
        <w:spacing w:line="360" w:lineRule="auto"/>
        <w:ind w:right="51"/>
        <w:jc w:val="both"/>
        <w:rPr>
          <w:rFonts w:ascii="Palatino Linotype" w:hAnsi="Palatino Linotype"/>
        </w:rPr>
      </w:pP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lastRenderedPageBreak/>
        <w:t>XLV. Versión pública: Documento en el que se elimine, suprime o borra la información clasificada como reservada o confidencial para permitir su acceso.</w:t>
      </w:r>
    </w:p>
    <w:p w:rsidR="00F6441B" w:rsidRDefault="00F6441B" w:rsidP="00F6441B">
      <w:pPr>
        <w:ind w:left="851" w:right="902"/>
        <w:jc w:val="both"/>
        <w:rPr>
          <w:rFonts w:ascii="Palatino Linotype" w:hAnsi="Palatino Linotype" w:cs="Arial"/>
          <w:i/>
        </w:rPr>
      </w:pPr>
      <w:r w:rsidRPr="00317EAB">
        <w:rPr>
          <w:rFonts w:ascii="Palatino Linotype" w:hAnsi="Palatino Linotype" w:cs="Arial"/>
          <w:i/>
        </w:rPr>
        <w:t xml:space="preserve">Artículo 122. La clasificación es el proceso mediante el cual el sujeto obligado determina que la información en su poder </w:t>
      </w:r>
      <w:proofErr w:type="spellStart"/>
      <w:r w:rsidRPr="00317EAB">
        <w:rPr>
          <w:rFonts w:ascii="Palatino Linotype" w:hAnsi="Palatino Linotype" w:cs="Arial"/>
          <w:i/>
        </w:rPr>
        <w:t>actualiza</w:t>
      </w:r>
      <w:proofErr w:type="spellEnd"/>
      <w:r w:rsidRPr="00317EAB">
        <w:rPr>
          <w:rFonts w:ascii="Palatino Linotype" w:hAnsi="Palatino Linotype" w:cs="Arial"/>
          <w:i/>
        </w:rPr>
        <w:t xml:space="preserve"> alguno de los supuestos de reserva o confidencialidad, de conformidad con lo dispuesto en el presente título.</w:t>
      </w:r>
    </w:p>
    <w:p w:rsidR="00F6441B" w:rsidRDefault="00F6441B" w:rsidP="00F6441B">
      <w:pPr>
        <w:ind w:left="851" w:right="902"/>
        <w:jc w:val="both"/>
        <w:rPr>
          <w:rFonts w:ascii="Palatino Linotype" w:hAnsi="Palatino Linotype" w:cs="Arial"/>
          <w:i/>
        </w:rPr>
      </w:pPr>
      <w:r>
        <w:rPr>
          <w:rFonts w:ascii="Palatino Linotype" w:hAnsi="Palatino Linotype" w:cs="Arial"/>
          <w:i/>
        </w:rPr>
        <w:t>[…]</w:t>
      </w:r>
    </w:p>
    <w:p w:rsidR="00F6441B" w:rsidRDefault="00F6441B" w:rsidP="00F6441B">
      <w:pPr>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F6441B" w:rsidRDefault="00F6441B" w:rsidP="00F6441B">
      <w:pPr>
        <w:ind w:left="851" w:right="902"/>
        <w:jc w:val="both"/>
        <w:rPr>
          <w:rFonts w:ascii="Palatino Linotype" w:hAnsi="Palatino Linotype" w:cs="Arial"/>
          <w:i/>
        </w:rPr>
      </w:pPr>
      <w:r>
        <w:rPr>
          <w:rFonts w:ascii="Palatino Linotype" w:hAnsi="Palatino Linotype" w:cs="Arial"/>
          <w:i/>
        </w:rPr>
        <w:t>[…]</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F6441B" w:rsidRPr="00317EAB" w:rsidRDefault="00F6441B" w:rsidP="00F6441B">
      <w:pPr>
        <w:ind w:left="851" w:right="902"/>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F6441B" w:rsidRDefault="00F6441B" w:rsidP="00F6441B">
      <w:pPr>
        <w:spacing w:line="360" w:lineRule="auto"/>
        <w:ind w:right="51"/>
        <w:jc w:val="both"/>
        <w:rPr>
          <w:rFonts w:ascii="Palatino Linotype" w:hAnsi="Palatino Linotype"/>
        </w:rPr>
      </w:pPr>
    </w:p>
    <w:p w:rsidR="00F6441B" w:rsidRDefault="00F6441B" w:rsidP="00F6441B">
      <w:pPr>
        <w:spacing w:line="360" w:lineRule="auto"/>
        <w:ind w:right="51"/>
        <w:jc w:val="both"/>
        <w:rPr>
          <w:rFonts w:ascii="Palatino Linotype" w:hAnsi="Palatino Linotype"/>
        </w:rPr>
      </w:pPr>
      <w:r w:rsidRPr="00D37B0E">
        <w:rPr>
          <w:rFonts w:ascii="Palatino Linotype" w:hAnsi="Palatino Linotype"/>
        </w:rPr>
        <w:t xml:space="preserve">De la interpretación sistemática de los artículos citados, se advierte que el Sujeto Obligado debe realizar la debida reserva de la información por seguir en trámite el procedimiento aludido, siguiendo los requisitos expuestos: </w:t>
      </w:r>
    </w:p>
    <w:p w:rsidR="00F6441B" w:rsidRPr="00D37B0E" w:rsidRDefault="00F6441B" w:rsidP="00F6441B">
      <w:pPr>
        <w:spacing w:line="360" w:lineRule="auto"/>
        <w:ind w:right="51"/>
        <w:jc w:val="both"/>
        <w:rPr>
          <w:rFonts w:ascii="Palatino Linotype" w:hAnsi="Palatino Linotype"/>
        </w:rPr>
      </w:pPr>
    </w:p>
    <w:p w:rsidR="00F6441B" w:rsidRPr="00D37B0E" w:rsidRDefault="00F6441B" w:rsidP="00F6441B">
      <w:pPr>
        <w:pStyle w:val="Prrafodelista"/>
        <w:numPr>
          <w:ilvl w:val="0"/>
          <w:numId w:val="4"/>
        </w:numPr>
        <w:ind w:left="851" w:right="900" w:firstLine="0"/>
        <w:contextualSpacing w:val="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rsidR="00F6441B" w:rsidRPr="00D37B0E" w:rsidRDefault="00F6441B" w:rsidP="00F6441B">
      <w:pPr>
        <w:pStyle w:val="Prrafodelista"/>
        <w:numPr>
          <w:ilvl w:val="0"/>
          <w:numId w:val="4"/>
        </w:numPr>
        <w:tabs>
          <w:tab w:val="left" w:pos="709"/>
        </w:tabs>
        <w:ind w:left="851" w:right="900" w:firstLine="0"/>
        <w:contextualSpacing w:val="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rsidR="00F6441B" w:rsidRPr="00D37B0E" w:rsidRDefault="00F6441B" w:rsidP="00F6441B">
      <w:pPr>
        <w:pStyle w:val="Prrafodelista"/>
        <w:numPr>
          <w:ilvl w:val="0"/>
          <w:numId w:val="4"/>
        </w:numPr>
        <w:tabs>
          <w:tab w:val="left" w:pos="709"/>
        </w:tabs>
        <w:ind w:left="851" w:right="900" w:firstLine="0"/>
        <w:contextualSpacing w:val="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rsidR="00F6441B" w:rsidRPr="00D37B0E" w:rsidRDefault="00F6441B" w:rsidP="00F6441B">
      <w:pPr>
        <w:spacing w:line="360" w:lineRule="auto"/>
        <w:ind w:right="51"/>
        <w:jc w:val="both"/>
        <w:rPr>
          <w:rFonts w:ascii="Palatino Linotype" w:hAnsi="Palatino Linotype"/>
        </w:rPr>
      </w:pPr>
    </w:p>
    <w:p w:rsidR="00F6441B" w:rsidRDefault="00F6441B" w:rsidP="00F6441B">
      <w:pPr>
        <w:spacing w:line="360" w:lineRule="auto"/>
        <w:ind w:right="51"/>
        <w:jc w:val="both"/>
        <w:rPr>
          <w:rFonts w:ascii="Palatino Linotype" w:hAnsi="Palatino Linotype"/>
        </w:rPr>
      </w:pPr>
      <w:r w:rsidRPr="00D37B0E">
        <w:rPr>
          <w:rFonts w:ascii="Palatino Linotype" w:hAnsi="Palatino Linotype"/>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F6441B" w:rsidRPr="00D37B0E" w:rsidRDefault="00F6441B" w:rsidP="00F6441B">
      <w:pPr>
        <w:spacing w:line="360" w:lineRule="auto"/>
        <w:ind w:right="51"/>
        <w:jc w:val="both"/>
        <w:rPr>
          <w:rFonts w:ascii="Palatino Linotype" w:hAnsi="Palatino Linotype"/>
        </w:rPr>
      </w:pPr>
    </w:p>
    <w:p w:rsidR="00F6441B" w:rsidRPr="00D37B0E" w:rsidRDefault="00F6441B" w:rsidP="00F6441B">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rsidR="00F6441B" w:rsidRPr="00D37B0E" w:rsidRDefault="00F6441B" w:rsidP="00F6441B">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br/>
        <w:t>El contenido formal de la garantía de legalidad prevista en el artículo </w:t>
      </w:r>
      <w:hyperlink r:id="rId11"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rsidR="00F6441B" w:rsidRPr="002C2946" w:rsidRDefault="00F6441B" w:rsidP="00F6441B">
      <w:pPr>
        <w:spacing w:line="360" w:lineRule="auto"/>
        <w:ind w:right="51"/>
        <w:jc w:val="both"/>
        <w:rPr>
          <w:rFonts w:ascii="Palatino Linotype" w:hAnsi="Palatino Linotype"/>
        </w:rPr>
      </w:pPr>
    </w:p>
    <w:p w:rsidR="00F6441B" w:rsidRPr="002C2946" w:rsidRDefault="00F6441B" w:rsidP="00F6441B">
      <w:pPr>
        <w:spacing w:line="360" w:lineRule="auto"/>
        <w:ind w:right="51"/>
        <w:jc w:val="both"/>
        <w:rPr>
          <w:rFonts w:ascii="Palatino Linotype" w:hAnsi="Palatino Linotype"/>
        </w:rPr>
      </w:pPr>
      <w:r>
        <w:rPr>
          <w:rFonts w:ascii="Palatino Linotype" w:hAnsi="Palatino Linotype"/>
        </w:rPr>
        <w:lastRenderedPageBreak/>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F6441B" w:rsidRPr="002C2946" w:rsidRDefault="00F6441B" w:rsidP="00F6441B">
      <w:pPr>
        <w:spacing w:line="360" w:lineRule="auto"/>
        <w:ind w:right="51"/>
        <w:jc w:val="both"/>
        <w:rPr>
          <w:rFonts w:ascii="Palatino Linotype" w:hAnsi="Palatino Linotype"/>
        </w:rPr>
      </w:pPr>
    </w:p>
    <w:p w:rsidR="00F6441B" w:rsidRPr="002C2946" w:rsidRDefault="00F6441B" w:rsidP="00F6441B">
      <w:pPr>
        <w:spacing w:line="360" w:lineRule="auto"/>
        <w:ind w:right="51"/>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6441B" w:rsidRPr="002C2946" w:rsidRDefault="00F6441B" w:rsidP="00F6441B">
      <w:pPr>
        <w:spacing w:line="360" w:lineRule="auto"/>
        <w:ind w:right="51"/>
        <w:jc w:val="both"/>
        <w:rPr>
          <w:rFonts w:ascii="Palatino Linotype" w:hAnsi="Palatino Linotype"/>
        </w:rPr>
      </w:pPr>
    </w:p>
    <w:p w:rsidR="00F6441B" w:rsidRPr="002C2946" w:rsidRDefault="00F6441B" w:rsidP="00F6441B">
      <w:pPr>
        <w:spacing w:line="360" w:lineRule="auto"/>
        <w:ind w:right="51"/>
        <w:jc w:val="both"/>
        <w:rPr>
          <w:rFonts w:ascii="Palatino Linotype" w:hAnsi="Palatino Linotype"/>
        </w:rPr>
      </w:pPr>
      <w:r w:rsidRPr="003318C6">
        <w:rPr>
          <w:rFonts w:ascii="Palatino Linotype" w:hAnsi="Palatino Linotype"/>
        </w:rPr>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rsidR="00F6441B" w:rsidRPr="002C2946" w:rsidRDefault="00F6441B" w:rsidP="00F6441B">
      <w:pPr>
        <w:spacing w:line="360" w:lineRule="auto"/>
        <w:ind w:right="51"/>
        <w:jc w:val="both"/>
        <w:rPr>
          <w:rFonts w:ascii="Palatino Linotype" w:hAnsi="Palatino Linotype"/>
        </w:rPr>
      </w:pPr>
    </w:p>
    <w:p w:rsidR="00F6441B" w:rsidRDefault="00F6441B" w:rsidP="00F6441B">
      <w:pPr>
        <w:spacing w:line="360" w:lineRule="auto"/>
        <w:ind w:right="51"/>
        <w:jc w:val="both"/>
        <w:rPr>
          <w:rFonts w:ascii="Palatino Linotype" w:hAnsi="Palatino Linotype" w:cs="Arial"/>
        </w:rPr>
      </w:pPr>
      <w:r w:rsidRPr="00841CBD">
        <w:rPr>
          <w:rFonts w:ascii="Palatino Linotype" w:hAnsi="Palatino Linotype" w:cs="Arial"/>
        </w:rPr>
        <w:lastRenderedPageBreak/>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rsidR="00F6441B" w:rsidRPr="00163E0C" w:rsidRDefault="00F6441B" w:rsidP="00F6441B">
      <w:pPr>
        <w:spacing w:line="360" w:lineRule="auto"/>
        <w:ind w:right="51"/>
        <w:jc w:val="both"/>
        <w:rPr>
          <w:rFonts w:ascii="Palatino Linotype" w:hAnsi="Palatino Linotype" w:cs="Arial"/>
        </w:rPr>
      </w:pPr>
    </w:p>
    <w:p w:rsidR="00F6441B" w:rsidRPr="00163E0C" w:rsidRDefault="00F6441B" w:rsidP="00F6441B">
      <w:pPr>
        <w:spacing w:line="360" w:lineRule="auto"/>
        <w:ind w:right="51"/>
        <w:jc w:val="both"/>
        <w:rPr>
          <w:rFonts w:ascii="Palatino Linotype" w:hAnsi="Palatino Linotype" w:cs="Arial"/>
        </w:rPr>
      </w:pPr>
      <w:r w:rsidRPr="00163E0C">
        <w:rPr>
          <w:rFonts w:ascii="Palatino Linotype" w:hAnsi="Palatino Linotype" w:cs="Arial"/>
        </w:rPr>
        <w:t>En el caso específico, l</w:t>
      </w:r>
      <w:r>
        <w:rPr>
          <w:rFonts w:ascii="Palatino Linotype" w:hAnsi="Palatino Linotype" w:cs="Arial"/>
        </w:rPr>
        <w:t>as</w:t>
      </w:r>
      <w:r w:rsidRPr="00163E0C">
        <w:rPr>
          <w:rFonts w:ascii="Palatino Linotype" w:hAnsi="Palatino Linotype" w:cs="Arial"/>
        </w:rPr>
        <w:t xml:space="preserve"> nómina</w:t>
      </w:r>
      <w:r>
        <w:rPr>
          <w:rFonts w:ascii="Palatino Linotype" w:hAnsi="Palatino Linotype" w:cs="Arial"/>
        </w:rPr>
        <w:t>s</w:t>
      </w:r>
      <w:r w:rsidRPr="00163E0C">
        <w:rPr>
          <w:rFonts w:ascii="Palatino Linotype" w:hAnsi="Palatino Linotype" w:cs="Arial"/>
        </w:rPr>
        <w:t xml:space="preserve"> solicitad</w:t>
      </w:r>
      <w:r>
        <w:rPr>
          <w:rFonts w:ascii="Palatino Linotype" w:hAnsi="Palatino Linotype" w:cs="Arial"/>
        </w:rPr>
        <w:t>as</w:t>
      </w:r>
      <w:r w:rsidRPr="00163E0C">
        <w:rPr>
          <w:rFonts w:ascii="Palatino Linotype" w:hAnsi="Palatino Linotype" w:cs="Arial"/>
        </w:rPr>
        <w:t xml:space="preserve">, si bien contienen las remuneraciones de los servidores públicos adscritos al Sujeto Obligado que son de acceso público, tal como quedo acotado en el cuerpo de la presente Resolución, también contienen los datos personales de éstos,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w:t>
      </w:r>
      <w:r w:rsidRPr="00163E0C">
        <w:rPr>
          <w:rFonts w:ascii="Palatino Linotype" w:hAnsi="Palatino Linotype" w:cs="Arial"/>
        </w:rPr>
        <w:lastRenderedPageBreak/>
        <w:t>otros), así como, los préstamos o descuentos que se le hagan a la persona y que no tengan relación con los impuestos o la cuota por seguridad social.</w:t>
      </w:r>
    </w:p>
    <w:p w:rsidR="00F6441B" w:rsidRPr="00163E0C" w:rsidRDefault="00F6441B" w:rsidP="00F6441B">
      <w:pPr>
        <w:spacing w:line="360" w:lineRule="auto"/>
        <w:ind w:right="51"/>
        <w:jc w:val="both"/>
        <w:rPr>
          <w:rFonts w:ascii="Palatino Linotype" w:hAnsi="Palatino Linotype" w:cs="Arial"/>
        </w:rPr>
      </w:pPr>
    </w:p>
    <w:p w:rsidR="00F6441B" w:rsidRPr="00163E0C" w:rsidRDefault="00F6441B" w:rsidP="00F6441B">
      <w:pPr>
        <w:spacing w:line="360" w:lineRule="auto"/>
        <w:ind w:right="51"/>
        <w:jc w:val="both"/>
        <w:rPr>
          <w:rFonts w:ascii="Palatino Linotype" w:hAnsi="Palatino Linotype" w:cs="Arial"/>
        </w:rPr>
      </w:pPr>
      <w:r w:rsidRPr="00163E0C">
        <w:rPr>
          <w:rFonts w:ascii="Palatino Linotype" w:hAnsi="Palatino Linotype" w:cs="Arial"/>
        </w:rPr>
        <w:t>En cuanto al Registro Federal de Contribuyentes constituye un dato personal, ya que para su obtención es necesario acreditar ante la autoridad fiscal previamente la identidad de la persona, su fecha de nacimiento, entre otros aspectos.</w:t>
      </w:r>
    </w:p>
    <w:p w:rsidR="00F6441B" w:rsidRPr="00163E0C" w:rsidRDefault="00F6441B" w:rsidP="00F6441B">
      <w:pPr>
        <w:spacing w:line="360" w:lineRule="auto"/>
        <w:ind w:right="51"/>
        <w:jc w:val="both"/>
        <w:rPr>
          <w:rFonts w:ascii="Palatino Linotype" w:hAnsi="Palatino Linotype" w:cs="Arial"/>
        </w:rPr>
      </w:pPr>
    </w:p>
    <w:p w:rsidR="00F6441B" w:rsidRPr="00163E0C" w:rsidRDefault="00F6441B" w:rsidP="00F6441B">
      <w:pPr>
        <w:spacing w:line="360" w:lineRule="auto"/>
        <w:ind w:right="51"/>
        <w:jc w:val="both"/>
        <w:rPr>
          <w:rFonts w:ascii="Palatino Linotype" w:hAnsi="Palatino Linotype" w:cs="Arial"/>
        </w:rPr>
      </w:pPr>
      <w:r w:rsidRPr="00163E0C">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r>
        <w:rPr>
          <w:rFonts w:ascii="Palatino Linotype" w:hAnsi="Palatino Linotype" w:cs="Arial"/>
        </w:rPr>
        <w:t>; l</w:t>
      </w:r>
      <w:r w:rsidRPr="00163E0C">
        <w:rPr>
          <w:rFonts w:ascii="Palatino Linotype" w:hAnsi="Palatino Linotype" w:cs="Arial"/>
        </w:rPr>
        <w:t>o anterior es compartido por el entonces Instituto Federal de Acceso a la Información y Protección de Datos Personales (IFAI) a través del Criterio 09/2009, el cual es del tenor literal siguiente:</w:t>
      </w:r>
    </w:p>
    <w:p w:rsidR="00F6441B" w:rsidRPr="00163E0C" w:rsidRDefault="00F6441B" w:rsidP="00F6441B">
      <w:pPr>
        <w:spacing w:line="360" w:lineRule="auto"/>
        <w:ind w:right="51"/>
        <w:jc w:val="both"/>
        <w:rPr>
          <w:rFonts w:ascii="Palatino Linotype" w:hAnsi="Palatino Linotype" w:cs="Arial"/>
        </w:rPr>
      </w:pPr>
    </w:p>
    <w:p w:rsidR="00F6441B" w:rsidRPr="0074668D" w:rsidRDefault="00F6441B" w:rsidP="00F6441B">
      <w:pPr>
        <w:autoSpaceDE w:val="0"/>
        <w:autoSpaceDN w:val="0"/>
        <w:adjustRightInd w:val="0"/>
        <w:ind w:left="851" w:right="992"/>
        <w:jc w:val="both"/>
        <w:rPr>
          <w:rFonts w:ascii="Palatino Linotype" w:hAnsi="Palatino Linotype" w:cs="Arial"/>
          <w:i/>
        </w:rPr>
      </w:pPr>
      <w:r w:rsidRPr="0074668D">
        <w:rPr>
          <w:rFonts w:ascii="Palatino Linotype" w:hAnsi="Palatino Linotype" w:cs="Arial"/>
          <w:b/>
          <w:bCs/>
          <w:i/>
        </w:rPr>
        <w:t xml:space="preserve">“Registro Federal de Contribuyentes (RFC) de las personas físicas es un dato personal confidencial. </w:t>
      </w:r>
      <w:r w:rsidRPr="0074668D">
        <w:rPr>
          <w:rFonts w:ascii="Palatino Linotype" w:hAnsi="Palatino Linotype" w:cs="Arial"/>
          <w:i/>
        </w:rPr>
        <w:t>De conformidad con lo establecido en el artículo 18,</w:t>
      </w:r>
      <w:r w:rsidRPr="0074668D">
        <w:rPr>
          <w:rFonts w:ascii="Palatino Linotype" w:hAnsi="Palatino Linotype" w:cs="Arial"/>
          <w:b/>
          <w:bCs/>
          <w:i/>
        </w:rPr>
        <w:t xml:space="preserve"> </w:t>
      </w:r>
      <w:r w:rsidRPr="0074668D">
        <w:rPr>
          <w:rFonts w:ascii="Palatino Linotype" w:hAnsi="Palatino Linotype" w:cs="Arial"/>
          <w:i/>
        </w:rPr>
        <w:t>fracción II de la Ley Federal de Transparencia y Acceso a la Información Pública</w:t>
      </w:r>
      <w:r w:rsidRPr="0074668D">
        <w:rPr>
          <w:rFonts w:ascii="Palatino Linotype" w:hAnsi="Palatino Linotype" w:cs="Arial"/>
          <w:b/>
          <w:bCs/>
          <w:i/>
        </w:rPr>
        <w:t xml:space="preserve"> </w:t>
      </w:r>
      <w:r w:rsidRPr="0074668D">
        <w:rPr>
          <w:rFonts w:ascii="Palatino Linotype" w:hAnsi="Palatino Linotype" w:cs="Arial"/>
          <w:i/>
        </w:rPr>
        <w:t xml:space="preserve">Gubernamental </w:t>
      </w:r>
      <w:r w:rsidRPr="0074668D">
        <w:rPr>
          <w:rFonts w:ascii="Palatino Linotype" w:hAnsi="Palatino Linotype" w:cs="Arial"/>
          <w:b/>
          <w:i/>
          <w:u w:val="single"/>
        </w:rPr>
        <w:t>se considera información confidencial los datos personales que</w:t>
      </w:r>
      <w:r w:rsidRPr="0074668D">
        <w:rPr>
          <w:rFonts w:ascii="Palatino Linotype" w:hAnsi="Palatino Linotype" w:cs="Arial"/>
          <w:b/>
          <w:bCs/>
          <w:i/>
          <w:u w:val="single"/>
        </w:rPr>
        <w:t xml:space="preserve"> </w:t>
      </w:r>
      <w:r w:rsidRPr="0074668D">
        <w:rPr>
          <w:rFonts w:ascii="Palatino Linotype" w:hAnsi="Palatino Linotype" w:cs="Arial"/>
          <w:b/>
          <w:i/>
          <w:u w:val="single"/>
        </w:rPr>
        <w:t>requieren el consentimiento de los individuos para su difusión, distribución o</w:t>
      </w:r>
      <w:r w:rsidRPr="0074668D">
        <w:rPr>
          <w:rFonts w:ascii="Palatino Linotype" w:hAnsi="Palatino Linotype" w:cs="Arial"/>
          <w:b/>
          <w:bCs/>
          <w:i/>
          <w:u w:val="single"/>
        </w:rPr>
        <w:t xml:space="preserve"> </w:t>
      </w:r>
      <w:r w:rsidRPr="0074668D">
        <w:rPr>
          <w:rFonts w:ascii="Palatino Linotype" w:hAnsi="Palatino Linotype" w:cs="Arial"/>
          <w:b/>
          <w:i/>
          <w:u w:val="single"/>
        </w:rPr>
        <w:t>comercialización en los términos de esta Ley. Por su parte, según dispone el</w:t>
      </w:r>
      <w:r w:rsidRPr="0074668D">
        <w:rPr>
          <w:rFonts w:ascii="Palatino Linotype" w:hAnsi="Palatino Linotype" w:cs="Arial"/>
          <w:b/>
          <w:bCs/>
          <w:i/>
          <w:u w:val="single"/>
        </w:rPr>
        <w:t xml:space="preserve"> </w:t>
      </w:r>
      <w:r w:rsidRPr="0074668D">
        <w:rPr>
          <w:rFonts w:ascii="Palatino Linotype" w:hAnsi="Palatino Linotype" w:cs="Arial"/>
          <w:b/>
          <w:i/>
          <w:u w:val="single"/>
        </w:rPr>
        <w:t>artículo 3, fracción II de la Ley Federal de Transparencia y Acceso a la Información</w:t>
      </w:r>
      <w:r w:rsidRPr="0074668D">
        <w:rPr>
          <w:rFonts w:ascii="Palatino Linotype" w:hAnsi="Palatino Linotype" w:cs="Arial"/>
          <w:b/>
          <w:bCs/>
          <w:i/>
          <w:u w:val="single"/>
        </w:rPr>
        <w:t xml:space="preserve"> </w:t>
      </w:r>
      <w:r w:rsidRPr="0074668D">
        <w:rPr>
          <w:rFonts w:ascii="Palatino Linotype" w:hAnsi="Palatino Linotype" w:cs="Arial"/>
          <w:b/>
          <w:i/>
          <w:u w:val="single"/>
        </w:rPr>
        <w:t>Pública Gubernamental, dato personal es toda aquella información concerniente a</w:t>
      </w:r>
      <w:r w:rsidRPr="0074668D">
        <w:rPr>
          <w:rFonts w:ascii="Palatino Linotype" w:hAnsi="Palatino Linotype" w:cs="Arial"/>
          <w:b/>
          <w:bCs/>
          <w:i/>
          <w:u w:val="single"/>
        </w:rPr>
        <w:t xml:space="preserve"> </w:t>
      </w:r>
      <w:r w:rsidRPr="0074668D">
        <w:rPr>
          <w:rFonts w:ascii="Palatino Linotype" w:hAnsi="Palatino Linotype" w:cs="Arial"/>
          <w:b/>
          <w:i/>
          <w:u w:val="single"/>
        </w:rPr>
        <w:t>una persona física identificada o identificable</w:t>
      </w:r>
      <w:r w:rsidRPr="0074668D">
        <w:rPr>
          <w:rFonts w:ascii="Palatino Linotype" w:hAnsi="Palatino Linotype" w:cs="Arial"/>
          <w:i/>
        </w:rPr>
        <w:t xml:space="preserve">. Para </w:t>
      </w:r>
      <w:r w:rsidRPr="0074668D">
        <w:rPr>
          <w:rFonts w:ascii="Palatino Linotype" w:hAnsi="Palatino Linotype" w:cs="Arial"/>
          <w:i/>
          <w:u w:val="single"/>
        </w:rPr>
        <w:t>obtener el RFC es necesario</w:t>
      </w:r>
      <w:r w:rsidRPr="0074668D">
        <w:rPr>
          <w:rFonts w:ascii="Palatino Linotype" w:hAnsi="Palatino Linotype" w:cs="Arial"/>
          <w:b/>
          <w:bCs/>
          <w:i/>
          <w:u w:val="single"/>
        </w:rPr>
        <w:t xml:space="preserve"> </w:t>
      </w:r>
      <w:r w:rsidRPr="0074668D">
        <w:rPr>
          <w:rFonts w:ascii="Palatino Linotype" w:hAnsi="Palatino Linotype" w:cs="Arial"/>
          <w:i/>
          <w:u w:val="single"/>
        </w:rPr>
        <w:t>acreditar previamente mediante documentos oficiales (pasaporte, acta de</w:t>
      </w:r>
      <w:r w:rsidRPr="0074668D">
        <w:rPr>
          <w:rFonts w:ascii="Palatino Linotype" w:hAnsi="Palatino Linotype" w:cs="Arial"/>
          <w:b/>
          <w:bCs/>
          <w:i/>
          <w:u w:val="single"/>
        </w:rPr>
        <w:t xml:space="preserve"> </w:t>
      </w:r>
      <w:r w:rsidRPr="0074668D">
        <w:rPr>
          <w:rFonts w:ascii="Palatino Linotype" w:hAnsi="Palatino Linotype" w:cs="Arial"/>
          <w:i/>
          <w:u w:val="single"/>
        </w:rPr>
        <w:t>nacimiento, etc.) la identidad de la persona, su fecha y lugar de nacimiento, entre</w:t>
      </w:r>
      <w:r w:rsidRPr="0074668D">
        <w:rPr>
          <w:rFonts w:ascii="Palatino Linotype" w:hAnsi="Palatino Linotype" w:cs="Arial"/>
          <w:b/>
          <w:bCs/>
          <w:i/>
          <w:u w:val="single"/>
        </w:rPr>
        <w:t xml:space="preserve"> </w:t>
      </w:r>
      <w:r w:rsidRPr="0074668D">
        <w:rPr>
          <w:rFonts w:ascii="Palatino Linotype" w:hAnsi="Palatino Linotype" w:cs="Arial"/>
          <w:i/>
          <w:u w:val="single"/>
        </w:rPr>
        <w:t xml:space="preserve">otros. </w:t>
      </w:r>
      <w:r w:rsidRPr="0074668D">
        <w:rPr>
          <w:rFonts w:ascii="Palatino Linotype" w:hAnsi="Palatino Linotype" w:cs="Arial"/>
          <w:i/>
        </w:rPr>
        <w:t>De acuerdo con la legislación tributaria, las personas físicas tramitan su</w:t>
      </w:r>
      <w:r w:rsidRPr="0074668D">
        <w:rPr>
          <w:rFonts w:ascii="Palatino Linotype" w:hAnsi="Palatino Linotype" w:cs="Arial"/>
          <w:b/>
          <w:bCs/>
          <w:i/>
        </w:rPr>
        <w:t xml:space="preserve"> </w:t>
      </w:r>
      <w:r w:rsidRPr="0074668D">
        <w:rPr>
          <w:rFonts w:ascii="Palatino Linotype" w:hAnsi="Palatino Linotype" w:cs="Arial"/>
          <w:i/>
        </w:rPr>
        <w:t xml:space="preserve">inscripción en el Registro Federal de </w:t>
      </w:r>
      <w:r w:rsidRPr="0074668D">
        <w:rPr>
          <w:rFonts w:ascii="Palatino Linotype" w:hAnsi="Palatino Linotype" w:cs="Arial"/>
          <w:i/>
        </w:rPr>
        <w:lastRenderedPageBreak/>
        <w:t>Contribuyentes con el único propósito de</w:t>
      </w:r>
      <w:r w:rsidRPr="0074668D">
        <w:rPr>
          <w:rFonts w:ascii="Palatino Linotype" w:hAnsi="Palatino Linotype" w:cs="Arial"/>
          <w:b/>
          <w:bCs/>
          <w:i/>
        </w:rPr>
        <w:t xml:space="preserve"> </w:t>
      </w:r>
      <w:r w:rsidRPr="0074668D">
        <w:rPr>
          <w:rFonts w:ascii="Palatino Linotype" w:hAnsi="Palatino Linotype" w:cs="Arial"/>
          <w:i/>
        </w:rPr>
        <w:t>realizar mediante esa clave de identificación, operaciones o actividades de</w:t>
      </w:r>
      <w:r w:rsidRPr="0074668D">
        <w:rPr>
          <w:rFonts w:ascii="Palatino Linotype" w:hAnsi="Palatino Linotype" w:cs="Arial"/>
          <w:b/>
          <w:bCs/>
          <w:i/>
        </w:rPr>
        <w:t xml:space="preserve"> </w:t>
      </w:r>
      <w:r w:rsidRPr="0074668D">
        <w:rPr>
          <w:rFonts w:ascii="Palatino Linotype" w:hAnsi="Palatino Linotype" w:cs="Arial"/>
          <w:i/>
        </w:rPr>
        <w:t>naturaleza tributaria. En este sentido, el artículo 79 del Código Fiscal de la</w:t>
      </w:r>
      <w:r w:rsidRPr="0074668D">
        <w:rPr>
          <w:rFonts w:ascii="Palatino Linotype" w:hAnsi="Palatino Linotype" w:cs="Arial"/>
          <w:b/>
          <w:bCs/>
          <w:i/>
        </w:rPr>
        <w:t xml:space="preserve"> </w:t>
      </w:r>
      <w:r w:rsidRPr="0074668D">
        <w:rPr>
          <w:rFonts w:ascii="Palatino Linotype" w:hAnsi="Palatino Linotype" w:cs="Arial"/>
          <w:i/>
        </w:rPr>
        <w:t>Federación prevé que la utilización de una clave de registro no asignada por la</w:t>
      </w:r>
      <w:r w:rsidRPr="0074668D">
        <w:rPr>
          <w:rFonts w:ascii="Palatino Linotype" w:hAnsi="Palatino Linotype" w:cs="Arial"/>
          <w:b/>
          <w:bCs/>
          <w:i/>
        </w:rPr>
        <w:t xml:space="preserve"> </w:t>
      </w:r>
      <w:r w:rsidRPr="0074668D">
        <w:rPr>
          <w:rFonts w:ascii="Palatino Linotype" w:hAnsi="Palatino Linotype" w:cs="Arial"/>
          <w:i/>
        </w:rPr>
        <w:t>autoridad constituye como una infracción en materia fiscal. De acuerdo con lo</w:t>
      </w:r>
      <w:r w:rsidRPr="0074668D">
        <w:rPr>
          <w:rFonts w:ascii="Palatino Linotype" w:hAnsi="Palatino Linotype" w:cs="Arial"/>
          <w:b/>
          <w:bCs/>
          <w:i/>
        </w:rPr>
        <w:t xml:space="preserve"> </w:t>
      </w:r>
      <w:r w:rsidRPr="0074668D">
        <w:rPr>
          <w:rFonts w:ascii="Palatino Linotype" w:hAnsi="Palatino Linotype" w:cs="Arial"/>
          <w:i/>
        </w:rPr>
        <w:t>antes apuntado, el RFC vinculado al nombre de su titular, permite identificar la</w:t>
      </w:r>
      <w:r w:rsidRPr="0074668D">
        <w:rPr>
          <w:rFonts w:ascii="Palatino Linotype" w:hAnsi="Palatino Linotype" w:cs="Arial"/>
          <w:b/>
          <w:bCs/>
          <w:i/>
        </w:rPr>
        <w:t xml:space="preserve"> </w:t>
      </w:r>
      <w:r w:rsidRPr="0074668D">
        <w:rPr>
          <w:rFonts w:ascii="Palatino Linotype" w:hAnsi="Palatino Linotype" w:cs="Arial"/>
          <w:i/>
        </w:rPr>
        <w:t xml:space="preserve">edad de la persona, así como su </w:t>
      </w:r>
      <w:proofErr w:type="spellStart"/>
      <w:r w:rsidRPr="0074668D">
        <w:rPr>
          <w:rFonts w:ascii="Palatino Linotype" w:hAnsi="Palatino Linotype" w:cs="Arial"/>
          <w:i/>
        </w:rPr>
        <w:t>homoclave</w:t>
      </w:r>
      <w:proofErr w:type="spellEnd"/>
      <w:r w:rsidRPr="0074668D">
        <w:rPr>
          <w:rFonts w:ascii="Palatino Linotype" w:hAnsi="Palatino Linotype" w:cs="Arial"/>
          <w:i/>
        </w:rPr>
        <w:t>, siendo esta última única e irrepetible,</w:t>
      </w:r>
      <w:r w:rsidRPr="0074668D">
        <w:rPr>
          <w:rFonts w:ascii="Palatino Linotype" w:hAnsi="Palatino Linotype" w:cs="Arial"/>
          <w:b/>
          <w:bCs/>
          <w:i/>
        </w:rPr>
        <w:t xml:space="preserve"> </w:t>
      </w:r>
      <w:r w:rsidRPr="0074668D">
        <w:rPr>
          <w:rFonts w:ascii="Palatino Linotype" w:hAnsi="Palatino Linotype" w:cs="Arial"/>
          <w:i/>
        </w:rPr>
        <w:t>por lo que es posible concluir que el RFC constituye un dato personal y, por tanto,</w:t>
      </w:r>
      <w:r w:rsidRPr="0074668D">
        <w:rPr>
          <w:rFonts w:ascii="Palatino Linotype" w:hAnsi="Palatino Linotype" w:cs="Arial"/>
          <w:b/>
          <w:bCs/>
          <w:i/>
        </w:rPr>
        <w:t xml:space="preserve"> </w:t>
      </w:r>
      <w:r w:rsidRPr="0074668D">
        <w:rPr>
          <w:rFonts w:ascii="Palatino Linotype" w:hAnsi="Palatino Linotype" w:cs="Arial"/>
          <w:i/>
        </w:rPr>
        <w:t>información confidencial, de conformidad con los previsto en el artículo 18,</w:t>
      </w:r>
      <w:r w:rsidRPr="0074668D">
        <w:rPr>
          <w:rFonts w:ascii="Palatino Linotype" w:hAnsi="Palatino Linotype" w:cs="Arial"/>
          <w:b/>
          <w:bCs/>
          <w:i/>
        </w:rPr>
        <w:t xml:space="preserve"> </w:t>
      </w:r>
      <w:r w:rsidRPr="0074668D">
        <w:rPr>
          <w:rFonts w:ascii="Palatino Linotype" w:hAnsi="Palatino Linotype" w:cs="Arial"/>
          <w:i/>
        </w:rPr>
        <w:t>fracción II de la Ley Federal de Transparencia y Acceso a la Información Pública</w:t>
      </w:r>
      <w:r w:rsidRPr="0074668D">
        <w:rPr>
          <w:rFonts w:ascii="Palatino Linotype" w:hAnsi="Palatino Linotype" w:cs="Arial"/>
          <w:b/>
          <w:bCs/>
          <w:i/>
        </w:rPr>
        <w:t xml:space="preserve"> </w:t>
      </w:r>
      <w:r w:rsidRPr="0074668D">
        <w:rPr>
          <w:rFonts w:ascii="Palatino Linotype" w:hAnsi="Palatino Linotype" w:cs="Arial"/>
          <w:i/>
        </w:rPr>
        <w:t>Gubernamental.</w:t>
      </w:r>
    </w:p>
    <w:p w:rsidR="00F6441B" w:rsidRDefault="00F6441B" w:rsidP="00F6441B">
      <w:pPr>
        <w:autoSpaceDE w:val="0"/>
        <w:autoSpaceDN w:val="0"/>
        <w:adjustRightInd w:val="0"/>
        <w:ind w:left="851" w:right="992"/>
        <w:jc w:val="both"/>
        <w:rPr>
          <w:rFonts w:ascii="Palatino Linotype" w:hAnsi="Palatino Linotype" w:cs="Arial"/>
          <w:bCs/>
          <w:i/>
        </w:rPr>
      </w:pPr>
      <w:r>
        <w:rPr>
          <w:rFonts w:ascii="Palatino Linotype" w:hAnsi="Palatino Linotype" w:cs="Arial"/>
          <w:bCs/>
          <w:i/>
        </w:rPr>
        <w:t>…” (Sic)</w:t>
      </w:r>
    </w:p>
    <w:p w:rsidR="00F6441B" w:rsidRDefault="00F6441B" w:rsidP="00F6441B">
      <w:pPr>
        <w:autoSpaceDE w:val="0"/>
        <w:autoSpaceDN w:val="0"/>
        <w:adjustRightInd w:val="0"/>
        <w:ind w:left="851" w:right="992"/>
        <w:jc w:val="both"/>
        <w:rPr>
          <w:rFonts w:ascii="Palatino Linotype" w:hAnsi="Palatino Linotype" w:cs="Arial"/>
          <w:i/>
        </w:rPr>
      </w:pPr>
      <w:r w:rsidRPr="00E06F66">
        <w:rPr>
          <w:rFonts w:ascii="Palatino Linotype" w:hAnsi="Palatino Linotype" w:cs="Arial"/>
          <w:i/>
        </w:rPr>
        <w:t>(Énfasis añadido)</w:t>
      </w:r>
    </w:p>
    <w:p w:rsidR="00F6441B" w:rsidRPr="00BF620B" w:rsidRDefault="00F6441B" w:rsidP="00F6441B">
      <w:pPr>
        <w:spacing w:line="360" w:lineRule="auto"/>
        <w:ind w:right="51"/>
        <w:jc w:val="both"/>
        <w:rPr>
          <w:rFonts w:ascii="Palatino Linotype" w:hAnsi="Palatino Linotype" w:cs="Arial"/>
        </w:rPr>
      </w:pPr>
    </w:p>
    <w:p w:rsidR="00F6441B" w:rsidRPr="00BF620B" w:rsidRDefault="00F6441B" w:rsidP="00F6441B">
      <w:pPr>
        <w:spacing w:line="360" w:lineRule="auto"/>
        <w:ind w:right="51"/>
        <w:jc w:val="both"/>
        <w:rPr>
          <w:rFonts w:ascii="Palatino Linotype" w:hAnsi="Palatino Linotype" w:cs="Arial"/>
        </w:rPr>
      </w:pPr>
      <w:r w:rsidRPr="00BF620B">
        <w:rPr>
          <w:rFonts w:ascii="Palatino Linotype" w:hAnsi="Palatino Linotype" w:cs="Arial"/>
        </w:rPr>
        <w:t xml:space="preserve">Así, el RFC se vincula al nombre de su titular y permite identificar la edad de la persona, su fecha de nacimiento, así como su </w:t>
      </w:r>
      <w:proofErr w:type="spellStart"/>
      <w:r w:rsidRPr="00BF620B">
        <w:rPr>
          <w:rFonts w:ascii="Palatino Linotype" w:hAnsi="Palatino Linotype" w:cs="Arial"/>
        </w:rPr>
        <w:t>homoclave</w:t>
      </w:r>
      <w:proofErr w:type="spellEnd"/>
      <w:r w:rsidRPr="00BF620B">
        <w:rPr>
          <w:rFonts w:ascii="Palatino Linotype" w:hAnsi="Palatino Linotype" w:cs="Arial"/>
        </w:rPr>
        <w:t xml:space="preserve">, la cual es única e irrepetible y determina la identificación de dicha persona para efectos fiscales, por lo que constituye un dato personal que concierne a una persona física identificada e identificable en términos de los artículos </w:t>
      </w:r>
      <w:r>
        <w:rPr>
          <w:rFonts w:ascii="Palatino Linotype" w:hAnsi="Palatino Linotype" w:cs="Arial"/>
        </w:rPr>
        <w:t>3</w:t>
      </w:r>
      <w:r w:rsidRPr="00BF620B">
        <w:rPr>
          <w:rFonts w:ascii="Palatino Linotype" w:hAnsi="Palatino Linotype" w:cs="Arial"/>
        </w:rPr>
        <w:t xml:space="preserve"> fracci</w:t>
      </w:r>
      <w:r>
        <w:rPr>
          <w:rFonts w:ascii="Palatino Linotype" w:hAnsi="Palatino Linotype" w:cs="Arial"/>
        </w:rPr>
        <w:t>o</w:t>
      </w:r>
      <w:r w:rsidRPr="00BF620B">
        <w:rPr>
          <w:rFonts w:ascii="Palatino Linotype" w:hAnsi="Palatino Linotype" w:cs="Arial"/>
        </w:rPr>
        <w:t>n</w:t>
      </w:r>
      <w:r>
        <w:rPr>
          <w:rFonts w:ascii="Palatino Linotype" w:hAnsi="Palatino Linotype" w:cs="Arial"/>
        </w:rPr>
        <w:t>es</w:t>
      </w:r>
      <w:r w:rsidRPr="00BF620B">
        <w:rPr>
          <w:rFonts w:ascii="Palatino Linotype" w:hAnsi="Palatino Linotype" w:cs="Arial"/>
        </w:rPr>
        <w:t xml:space="preserve"> </w:t>
      </w:r>
      <w:r>
        <w:rPr>
          <w:rFonts w:ascii="Palatino Linotype" w:hAnsi="Palatino Linotype" w:cs="Arial"/>
        </w:rPr>
        <w:t>IX y XXXII</w:t>
      </w:r>
      <w:r w:rsidRPr="00BF620B">
        <w:rPr>
          <w:rFonts w:ascii="Palatino Linotype" w:hAnsi="Palatino Linotype" w:cs="Arial"/>
        </w:rPr>
        <w:t xml:space="preserve"> de la Ley de Transparencia y Acceso a la Información Pública del Estado de México y Municipios y 4, fracción VII de la Ley de Protección de Datos Personales del Estado de México.</w:t>
      </w:r>
    </w:p>
    <w:p w:rsidR="00F6441B" w:rsidRPr="00BF620B" w:rsidRDefault="00F6441B" w:rsidP="00F6441B">
      <w:pPr>
        <w:spacing w:line="360" w:lineRule="auto"/>
        <w:ind w:right="51"/>
        <w:jc w:val="both"/>
        <w:rPr>
          <w:rFonts w:ascii="Palatino Linotype" w:hAnsi="Palatino Linotype" w:cs="Arial"/>
        </w:rPr>
      </w:pPr>
    </w:p>
    <w:p w:rsidR="00F6441B" w:rsidRPr="00BF620B" w:rsidRDefault="00F6441B" w:rsidP="00F6441B">
      <w:pPr>
        <w:spacing w:line="360" w:lineRule="auto"/>
        <w:ind w:right="51"/>
        <w:jc w:val="both"/>
        <w:rPr>
          <w:rFonts w:ascii="Palatino Linotype" w:hAnsi="Palatino Linotype" w:cs="Arial"/>
        </w:rPr>
      </w:pPr>
      <w:r w:rsidRPr="00BF620B">
        <w:rPr>
          <w:rFonts w:ascii="Palatino Linotype"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r>
        <w:rPr>
          <w:rFonts w:ascii="Palatino Linotype" w:hAnsi="Palatino Linotype" w:cs="Arial"/>
        </w:rPr>
        <w:t>; a</w:t>
      </w:r>
      <w:r w:rsidRPr="00BF620B">
        <w:rPr>
          <w:rFonts w:ascii="Palatino Linotype" w:hAnsi="Palatino Linotype" w:cs="Arial"/>
        </w:rPr>
        <w:t xml:space="preserve">rgumento que es compartido por el entonces Instituto </w:t>
      </w:r>
      <w:r w:rsidRPr="00BF620B">
        <w:rPr>
          <w:rFonts w:ascii="Palatino Linotype" w:hAnsi="Palatino Linotype" w:cs="Arial"/>
        </w:rPr>
        <w:lastRenderedPageBreak/>
        <w:t xml:space="preserve">Federal de Acceso a la Información y Protección de Datos Personales (IFAI) conforme al criterio número 0003-10, el cual refiere: </w:t>
      </w:r>
    </w:p>
    <w:p w:rsidR="00F6441B" w:rsidRPr="00E557B2" w:rsidRDefault="00F6441B" w:rsidP="00F6441B">
      <w:pPr>
        <w:spacing w:line="360" w:lineRule="auto"/>
        <w:ind w:right="51"/>
        <w:jc w:val="both"/>
        <w:rPr>
          <w:rFonts w:ascii="Palatino Linotype" w:hAnsi="Palatino Linotype" w:cs="Arial"/>
        </w:rPr>
      </w:pPr>
    </w:p>
    <w:p w:rsidR="00F6441B" w:rsidRPr="00E557B2" w:rsidRDefault="00F6441B" w:rsidP="00F6441B">
      <w:pPr>
        <w:autoSpaceDE w:val="0"/>
        <w:autoSpaceDN w:val="0"/>
        <w:adjustRightInd w:val="0"/>
        <w:spacing w:line="360" w:lineRule="auto"/>
        <w:ind w:left="851" w:right="992"/>
        <w:jc w:val="both"/>
        <w:rPr>
          <w:rFonts w:ascii="Palatino Linotype" w:hAnsi="Palatino Linotype" w:cs="Arial"/>
          <w:i/>
          <w:lang w:eastAsia="es-MX"/>
        </w:rPr>
      </w:pPr>
      <w:r w:rsidRPr="00E557B2">
        <w:rPr>
          <w:rFonts w:ascii="Palatino Linotype" w:hAnsi="Palatino Linotype" w:cs="Arial"/>
          <w:b/>
          <w:bCs/>
          <w:i/>
          <w:lang w:eastAsia="es-MX"/>
        </w:rPr>
        <w:t>“Criterio 003-10</w:t>
      </w:r>
    </w:p>
    <w:p w:rsidR="00F6441B" w:rsidRPr="00E557B2" w:rsidRDefault="00F6441B" w:rsidP="00F6441B">
      <w:pPr>
        <w:autoSpaceDE w:val="0"/>
        <w:autoSpaceDN w:val="0"/>
        <w:adjustRightInd w:val="0"/>
        <w:spacing w:line="360" w:lineRule="auto"/>
        <w:ind w:left="851" w:right="992"/>
        <w:jc w:val="both"/>
        <w:rPr>
          <w:rFonts w:ascii="Palatino Linotype" w:hAnsi="Palatino Linotype" w:cs="Arial"/>
          <w:i/>
          <w:lang w:eastAsia="es-MX"/>
        </w:rPr>
      </w:pPr>
      <w:r w:rsidRPr="00E557B2">
        <w:rPr>
          <w:rFonts w:ascii="Palatino Linotype" w:hAnsi="Palatino Linotype" w:cs="Arial"/>
          <w:b/>
          <w:bCs/>
          <w:i/>
          <w:lang w:eastAsia="es-MX"/>
        </w:rPr>
        <w:t xml:space="preserve">Clave Única de Registro de Población (CURP) es un dato personal confidencial. </w:t>
      </w:r>
      <w:r w:rsidRPr="00E557B2">
        <w:rPr>
          <w:rFonts w:ascii="Palatino Linotype" w:hAnsi="Palatino Linotype" w:cs="Arial"/>
          <w:i/>
          <w:lang w:eastAsia="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w:t>
      </w:r>
      <w:r w:rsidRPr="00E557B2">
        <w:rPr>
          <w:rFonts w:ascii="Palatino Linotype" w:hAnsi="Palatino Linotype" w:cs="Arial"/>
          <w:b/>
          <w:i/>
          <w:lang w:eastAsia="es-MX"/>
        </w:rPr>
        <w:t>la CURP se integra por datos personales que únicamente le conciernen a un particular como son su fecha de nacimiento, su nombre, sus apellidos y su lugar de nacimiento</w:t>
      </w:r>
      <w:r w:rsidRPr="00E557B2">
        <w:rPr>
          <w:rFonts w:ascii="Palatino Linotype" w:hAnsi="Palatino Linotype" w:cs="Arial"/>
          <w:i/>
          <w:lang w:eastAsia="es-MX"/>
        </w:rPr>
        <w:t xml:space="preserve">, y esta es información que lo distingue plenamente del resto de los habitantes, por lo que es de carácter confidencial, en términos de lo dispuesto en el artículos anteriormente señalados. </w:t>
      </w:r>
    </w:p>
    <w:p w:rsidR="00F6441B" w:rsidRPr="00E557B2" w:rsidRDefault="00F6441B" w:rsidP="00F6441B">
      <w:pPr>
        <w:autoSpaceDE w:val="0"/>
        <w:autoSpaceDN w:val="0"/>
        <w:adjustRightInd w:val="0"/>
        <w:spacing w:line="360" w:lineRule="auto"/>
        <w:ind w:left="851" w:right="992"/>
        <w:jc w:val="both"/>
        <w:rPr>
          <w:rFonts w:ascii="Palatino Linotype" w:hAnsi="Palatino Linotype" w:cs="Arial"/>
          <w:i/>
          <w:lang w:eastAsia="es-MX"/>
        </w:rPr>
      </w:pPr>
      <w:r w:rsidRPr="00E557B2">
        <w:rPr>
          <w:rFonts w:ascii="Palatino Linotype" w:hAnsi="Palatino Linotype" w:cs="Arial"/>
          <w:b/>
          <w:bCs/>
          <w:i/>
          <w:lang w:eastAsia="es-MX"/>
        </w:rPr>
        <w:t>..</w:t>
      </w:r>
      <w:r w:rsidRPr="00E557B2">
        <w:rPr>
          <w:rFonts w:ascii="Palatino Linotype" w:hAnsi="Palatino Linotype" w:cs="Arial"/>
          <w:i/>
          <w:lang w:eastAsia="es-MX"/>
        </w:rPr>
        <w:t>.” (Sic)</w:t>
      </w:r>
    </w:p>
    <w:p w:rsidR="00F6441B" w:rsidRPr="00E557B2" w:rsidRDefault="00F6441B" w:rsidP="00F6441B">
      <w:pPr>
        <w:autoSpaceDE w:val="0"/>
        <w:autoSpaceDN w:val="0"/>
        <w:adjustRightInd w:val="0"/>
        <w:spacing w:line="360" w:lineRule="auto"/>
        <w:ind w:left="851" w:right="992"/>
        <w:jc w:val="both"/>
        <w:rPr>
          <w:rFonts w:ascii="Palatino Linotype" w:hAnsi="Palatino Linotype" w:cs="Arial"/>
          <w:i/>
          <w:lang w:eastAsia="es-MX"/>
        </w:rPr>
      </w:pPr>
      <w:r w:rsidRPr="00E557B2">
        <w:rPr>
          <w:rFonts w:ascii="Palatino Linotype" w:hAnsi="Palatino Linotype" w:cs="Arial"/>
          <w:i/>
          <w:lang w:eastAsia="es-MX"/>
        </w:rPr>
        <w:t>(Énfasis añadido)</w:t>
      </w:r>
    </w:p>
    <w:p w:rsidR="00F6441B" w:rsidRPr="00BF620B" w:rsidRDefault="00F6441B" w:rsidP="00F6441B">
      <w:pPr>
        <w:spacing w:line="360" w:lineRule="auto"/>
        <w:ind w:right="51"/>
        <w:jc w:val="both"/>
        <w:rPr>
          <w:rFonts w:ascii="Palatino Linotype" w:hAnsi="Palatino Linotype" w:cs="Arial"/>
        </w:rPr>
      </w:pPr>
    </w:p>
    <w:p w:rsidR="00F6441B" w:rsidRPr="00BF620B" w:rsidRDefault="00F6441B" w:rsidP="00F6441B">
      <w:pPr>
        <w:spacing w:line="360" w:lineRule="auto"/>
        <w:ind w:right="51"/>
        <w:jc w:val="both"/>
        <w:rPr>
          <w:rFonts w:ascii="Palatino Linotype" w:hAnsi="Palatino Linotype" w:cs="Arial"/>
        </w:rPr>
      </w:pPr>
      <w:r w:rsidRPr="00BF620B">
        <w:rPr>
          <w:rFonts w:ascii="Palatino Linotype" w:hAnsi="Palatino Linotype" w:cs="Arial"/>
        </w:rPr>
        <w:t xml:space="preserve">Finalmente, por lo que respecta a la clave de seguridad social, en virtud de que su divulgación no aporta a la transparencia o a la rendición de cuentas y sí provoca una transgresión a la vida privada e intimidad de la persona, esta información </w:t>
      </w:r>
      <w:r w:rsidRPr="00BF620B">
        <w:rPr>
          <w:rFonts w:ascii="Palatino Linotype" w:hAnsi="Palatino Linotype" w:cs="Arial"/>
        </w:rPr>
        <w:lastRenderedPageBreak/>
        <w:t>también resulta ser de carácter confidencial</w:t>
      </w:r>
      <w:r>
        <w:rPr>
          <w:rFonts w:ascii="Palatino Linotype" w:hAnsi="Palatino Linotype" w:cs="Arial"/>
        </w:rPr>
        <w:t>; r</w:t>
      </w:r>
      <w:r w:rsidRPr="00BF620B">
        <w:rPr>
          <w:rFonts w:ascii="Palatino Linotype" w:hAnsi="Palatino Linotype" w:cs="Arial"/>
        </w:rPr>
        <w:t>especto de los préstamos o descuentos de carácter personal, en virtud de no tener relación con la prestación del servicio y al no involucrar instituciones públicas, se consideran datos confidenciales</w:t>
      </w:r>
      <w:r>
        <w:rPr>
          <w:rFonts w:ascii="Palatino Linotype" w:hAnsi="Palatino Linotype" w:cs="Arial"/>
        </w:rPr>
        <w:t>, p</w:t>
      </w:r>
      <w:r w:rsidRPr="00BF620B">
        <w:rPr>
          <w:rFonts w:ascii="Palatino Linotype" w:hAnsi="Palatino Linotype" w:cs="Arial"/>
        </w:rPr>
        <w:t>ara entender los límites y alcances de esta restricción, es oportuno recurrir al artículo 84 de la Ley del Trabajo de los Servidores Públicos del Estado y Municipios:</w:t>
      </w:r>
    </w:p>
    <w:p w:rsidR="00F6441B" w:rsidRPr="00BF620B" w:rsidRDefault="00F6441B" w:rsidP="00F6441B">
      <w:pPr>
        <w:spacing w:line="360" w:lineRule="auto"/>
        <w:ind w:right="51"/>
        <w:jc w:val="both"/>
        <w:rPr>
          <w:rFonts w:ascii="Palatino Linotype" w:hAnsi="Palatino Linotype" w:cs="Arial"/>
        </w:rPr>
      </w:pPr>
    </w:p>
    <w:p w:rsidR="00F6441B" w:rsidRPr="00E557B2" w:rsidRDefault="00F6441B" w:rsidP="00F6441B">
      <w:pPr>
        <w:spacing w:line="360" w:lineRule="auto"/>
        <w:ind w:left="851" w:right="992"/>
        <w:jc w:val="both"/>
        <w:rPr>
          <w:rFonts w:ascii="Palatino Linotype" w:hAnsi="Palatino Linotype" w:cs="Arial"/>
          <w:b/>
          <w:bCs/>
          <w:i/>
          <w:noProof/>
        </w:rPr>
      </w:pPr>
      <w:r w:rsidRPr="00E557B2">
        <w:rPr>
          <w:rFonts w:ascii="Palatino Linotype" w:hAnsi="Palatino Linotype" w:cs="Arial"/>
          <w:b/>
          <w:bCs/>
          <w:i/>
          <w:noProof/>
        </w:rPr>
        <w:t xml:space="preserve">“ARTÍCULO 84. </w:t>
      </w:r>
      <w:r w:rsidRPr="00E557B2">
        <w:rPr>
          <w:rFonts w:ascii="Palatino Linotype" w:hAnsi="Palatino Linotype" w:cs="Arial"/>
          <w:bCs/>
          <w:i/>
          <w:noProof/>
        </w:rPr>
        <w:t>Sólo podrán hacerse retenciones, descuentos o deducciones al sueldo de los servidores públicos por concepto de:</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I. Gravámenes fiscales relacionados con el sueldo;</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III. Cuotas sindicales;</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VI. Obligaciones a cargo del servidor público con las que haya consentido, derivadas de la adquisición o del uso de habitaciones consideradas como de interés social;</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VII. Faltas de puntualidad o de asistencia injustificadas;</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
          <w:bCs/>
          <w:i/>
          <w:noProof/>
        </w:rPr>
        <w:lastRenderedPageBreak/>
        <w:t>VIII. Pensiones alimenticias ordenadas por la autoridad judicial;</w:t>
      </w:r>
      <w:r w:rsidRPr="00E557B2">
        <w:rPr>
          <w:rFonts w:ascii="Palatino Linotype" w:hAnsi="Palatino Linotype" w:cs="Arial"/>
          <w:bCs/>
          <w:i/>
          <w:noProof/>
        </w:rPr>
        <w:t xml:space="preserve"> o</w:t>
      </w:r>
    </w:p>
    <w:p w:rsidR="00F6441B" w:rsidRPr="00E557B2" w:rsidRDefault="00F6441B" w:rsidP="00F6441B">
      <w:pPr>
        <w:spacing w:line="360" w:lineRule="auto"/>
        <w:ind w:left="851" w:right="992"/>
        <w:jc w:val="both"/>
        <w:rPr>
          <w:rFonts w:ascii="Palatino Linotype" w:hAnsi="Palatino Linotype" w:cs="Arial"/>
          <w:b/>
          <w:bCs/>
          <w:i/>
          <w:noProof/>
        </w:rPr>
      </w:pPr>
      <w:r w:rsidRPr="00E557B2">
        <w:rPr>
          <w:rFonts w:ascii="Palatino Linotype" w:hAnsi="Palatino Linotype" w:cs="Arial"/>
          <w:b/>
          <w:bCs/>
          <w:i/>
          <w:noProof/>
        </w:rPr>
        <w:t>IX. Cualquier otro convenido con instituciones de servicios y aceptado por el servidor público.</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F6441B" w:rsidRPr="00E557B2" w:rsidRDefault="00F6441B" w:rsidP="00F6441B">
      <w:pPr>
        <w:spacing w:line="360" w:lineRule="auto"/>
        <w:ind w:left="851" w:right="992"/>
        <w:jc w:val="both"/>
        <w:rPr>
          <w:rFonts w:ascii="Palatino Linotype" w:hAnsi="Palatino Linotype" w:cs="Arial"/>
          <w:i/>
        </w:rPr>
      </w:pPr>
      <w:r w:rsidRPr="00E557B2">
        <w:rPr>
          <w:rFonts w:ascii="Palatino Linotype" w:hAnsi="Palatino Linotype" w:cs="Arial"/>
          <w:i/>
        </w:rPr>
        <w:t>(Énfasis añadido)</w:t>
      </w:r>
    </w:p>
    <w:p w:rsidR="00F6441B" w:rsidRPr="006E4D8F" w:rsidRDefault="00F6441B" w:rsidP="00F6441B">
      <w:pPr>
        <w:spacing w:line="360" w:lineRule="auto"/>
        <w:ind w:right="51"/>
        <w:jc w:val="both"/>
        <w:rPr>
          <w:rFonts w:ascii="Palatino Linotype" w:hAnsi="Palatino Linotype" w:cs="Arial"/>
        </w:rPr>
      </w:pPr>
    </w:p>
    <w:p w:rsidR="00F6441B" w:rsidRDefault="00F6441B" w:rsidP="00F6441B">
      <w:pPr>
        <w:spacing w:line="360" w:lineRule="auto"/>
        <w:ind w:right="51"/>
        <w:jc w:val="both"/>
        <w:rPr>
          <w:rFonts w:ascii="Palatino Linotype" w:hAnsi="Palatino Linotype" w:cs="Arial"/>
        </w:rPr>
      </w:pPr>
      <w:r w:rsidRPr="006E4D8F">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r>
        <w:rPr>
          <w:rFonts w:ascii="Palatino Linotype" w:hAnsi="Palatino Linotype" w:cs="Arial"/>
        </w:rPr>
        <w:t>.</w:t>
      </w:r>
    </w:p>
    <w:p w:rsidR="00F6441B" w:rsidRDefault="00F6441B" w:rsidP="00F6441B">
      <w:pPr>
        <w:spacing w:line="360" w:lineRule="auto"/>
        <w:ind w:right="51"/>
        <w:jc w:val="both"/>
        <w:rPr>
          <w:rFonts w:ascii="Palatino Linotype" w:hAnsi="Palatino Linotype" w:cs="Arial"/>
        </w:rPr>
      </w:pPr>
    </w:p>
    <w:p w:rsidR="00F6441B" w:rsidRDefault="00F6441B" w:rsidP="00F6441B">
      <w:pPr>
        <w:spacing w:line="360" w:lineRule="auto"/>
        <w:ind w:right="51"/>
        <w:jc w:val="both"/>
        <w:rPr>
          <w:rFonts w:ascii="Palatino Linotype" w:hAnsi="Palatino Linotype" w:cs="Arial"/>
        </w:rPr>
      </w:pPr>
      <w:r w:rsidRPr="00871D0D">
        <w:rPr>
          <w:rFonts w:ascii="Palatino Linotype" w:hAnsi="Palatino Linotype" w:cs="Arial"/>
        </w:rPr>
        <w:t xml:space="preserve">Por lo que hace a la firma y calificaciones, para el caso de que los </w:t>
      </w:r>
      <w:proofErr w:type="spellStart"/>
      <w:r w:rsidRPr="00871D0D">
        <w:rPr>
          <w:rFonts w:ascii="Palatino Linotype" w:hAnsi="Palatino Linotype" w:cs="Arial"/>
        </w:rPr>
        <w:t>documetos</w:t>
      </w:r>
      <w:proofErr w:type="spellEnd"/>
      <w:r w:rsidRPr="00871D0D">
        <w:rPr>
          <w:rFonts w:ascii="Palatino Linotype" w:hAnsi="Palatino Linotype" w:cs="Arial"/>
        </w:rPr>
        <w:t xml:space="preserve"> a expedir las  contenga, en atención a que constituyen datos personales que hacen identificable a la persona, estos son susceptibles de ser testados con el objeto de </w:t>
      </w:r>
      <w:r w:rsidRPr="00871D0D">
        <w:rPr>
          <w:rFonts w:ascii="Palatino Linotype" w:hAnsi="Palatino Linotype" w:cs="Arial"/>
        </w:rPr>
        <w:lastRenderedPageBreak/>
        <w:t>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w:t>
      </w:r>
      <w:r>
        <w:rPr>
          <w:rFonts w:ascii="Palatino Linotype" w:hAnsi="Palatino Linotype" w:cs="Arial"/>
        </w:rPr>
        <w:t>.</w:t>
      </w:r>
    </w:p>
    <w:p w:rsidR="00F6441B" w:rsidRDefault="00F6441B" w:rsidP="00F6441B">
      <w:pPr>
        <w:spacing w:line="360" w:lineRule="auto"/>
        <w:ind w:right="51"/>
        <w:jc w:val="both"/>
        <w:rPr>
          <w:rFonts w:ascii="Palatino Linotype" w:hAnsi="Palatino Linotype" w:cs="Arial"/>
        </w:rPr>
      </w:pPr>
    </w:p>
    <w:p w:rsidR="00F6441B" w:rsidRPr="001044CA" w:rsidRDefault="00F6441B" w:rsidP="00F6441B">
      <w:pPr>
        <w:spacing w:line="360" w:lineRule="auto"/>
        <w:ind w:right="51"/>
        <w:jc w:val="both"/>
        <w:rPr>
          <w:rFonts w:ascii="Palatino Linotype" w:hAnsi="Palatino Linotype" w:cs="Arial"/>
        </w:rPr>
      </w:pPr>
      <w:r w:rsidRPr="004F252F">
        <w:rPr>
          <w:rFonts w:ascii="Palatino Linotype" w:hAnsi="Palatino Linotype" w:cs="Arial"/>
        </w:rPr>
        <w:t>Respecto a los policías o cuerpos de seguridad pública hemos de decir que</w:t>
      </w:r>
      <w:r>
        <w:rPr>
          <w:rFonts w:ascii="Palatino Linotype" w:hAnsi="Palatino Linotype" w:cs="Arial"/>
        </w:rPr>
        <w:t xml:space="preserve"> </w:t>
      </w:r>
      <w:r w:rsidRPr="004F252F">
        <w:rPr>
          <w:rFonts w:ascii="Palatino Linotype" w:hAnsi="Palatino Linotype" w:cs="Arial"/>
        </w:rPr>
        <w:t>si bien es cierto la información relacionada con el uso de recursos públicos es información pública de acuerdo al artículo 23, 24 fracción XVIII, 92 fracción VIII</w:t>
      </w:r>
      <w:r w:rsidRPr="001044CA">
        <w:rPr>
          <w:rFonts w:ascii="Palatino Linotype" w:hAnsi="Palatino Linotype" w:cs="Arial"/>
        </w:rPr>
        <w:t xml:space="preserve"> de la Ley de Transparencia y Acceso a la Información Pública del Estado de México y Municipios, en donde señala que los sujeto obligados deberán hacer pública toda aquella información relativa a los montos y a las personas a quienes se les entregue por cualquier motivo recursos públicos, aunado a que el art, 92 establece que las remuneraciones brutas y netas de todos los servidores públicos de los sujetos obligados deberán ponerse a disposición de manera permanente y actualizada en medios electrónicos, en este caso en particular cuando se solicita información relacionada con los sueldos y/o </w:t>
      </w:r>
      <w:proofErr w:type="spellStart"/>
      <w:r w:rsidRPr="001044CA">
        <w:rPr>
          <w:rFonts w:ascii="Palatino Linotype" w:hAnsi="Palatino Linotype" w:cs="Arial"/>
        </w:rPr>
        <w:t>nominas</w:t>
      </w:r>
      <w:proofErr w:type="spellEnd"/>
      <w:r w:rsidRPr="001044CA">
        <w:rPr>
          <w:rFonts w:ascii="Palatino Linotype" w:hAnsi="Palatino Linotype" w:cs="Arial"/>
        </w:rPr>
        <w:t xml:space="preserve"> y/o recibos de pago del personal que se encuentra adscrito a seguridad pública, esta ponencia tiene el criterio de entregar la información de manera disociada, ya que aplicaría el artículo 52 del mismo ordenamiento legal en donde menciona que la información será publica siempre y cuando se protejan los datos personales, así como, de ser el caso se someta al procedimiento de disociación, es decir, deberá entregarse la información de manera que no se relacione la persona adscrita a ese puesto, el monto que percibe como sueldo, así como el área a la que se encuentra adscrito, se debe hacer una versión en </w:t>
      </w:r>
      <w:r w:rsidRPr="001044CA">
        <w:rPr>
          <w:rFonts w:ascii="Palatino Linotype" w:hAnsi="Palatino Linotype" w:cs="Arial"/>
        </w:rPr>
        <w:lastRenderedPageBreak/>
        <w:t>donde la información no pueda relacionarse ni permitir por su estructura, contenido o grado de desagregación, la identificación individual de los mismos, tal y como lo establece el artículo 4 fracción VII de la Ley en la materia, será de manera disociada siendo este el procedimiento mediante el cual los datos personales no pueden asociarse al titular, ni permitir por su estructura, contenido o grado de desagregación, la identificación individual del mismo.</w:t>
      </w:r>
    </w:p>
    <w:p w:rsidR="00F6441B" w:rsidRPr="001044CA" w:rsidRDefault="00F6441B" w:rsidP="00F6441B">
      <w:pPr>
        <w:spacing w:line="360" w:lineRule="auto"/>
        <w:ind w:right="51"/>
        <w:jc w:val="both"/>
        <w:rPr>
          <w:rFonts w:ascii="Palatino Linotype" w:hAnsi="Palatino Linotype" w:cs="Arial"/>
        </w:rPr>
      </w:pPr>
    </w:p>
    <w:p w:rsidR="00F6441B" w:rsidRPr="001044CA" w:rsidRDefault="00F6441B" w:rsidP="00F6441B">
      <w:pPr>
        <w:spacing w:line="360" w:lineRule="auto"/>
        <w:ind w:right="51"/>
        <w:jc w:val="both"/>
        <w:rPr>
          <w:rFonts w:ascii="Palatino Linotype" w:hAnsi="Palatino Linotype" w:cs="Arial"/>
        </w:rPr>
      </w:pPr>
      <w:r>
        <w:rPr>
          <w:rFonts w:ascii="Palatino Linotype" w:hAnsi="Palatino Linotype" w:cs="Arial"/>
        </w:rPr>
        <w:t>P</w:t>
      </w:r>
      <w:r w:rsidRPr="001044CA">
        <w:rPr>
          <w:rFonts w:ascii="Palatino Linotype" w:hAnsi="Palatino Linotype" w:cs="Arial"/>
        </w:rPr>
        <w:t>or cuanto hace a la entrega de la información de la Dirección de Seguridad Pública del Ayuntamiento o su equivalente, se considera que deb</w:t>
      </w:r>
      <w:r>
        <w:rPr>
          <w:rFonts w:ascii="Palatino Linotype" w:hAnsi="Palatino Linotype" w:cs="Arial"/>
        </w:rPr>
        <w:t>erá</w:t>
      </w:r>
      <w:r w:rsidRPr="001044CA">
        <w:rPr>
          <w:rFonts w:ascii="Palatino Linotype" w:hAnsi="Palatino Linotype" w:cs="Arial"/>
        </w:rPr>
        <w:t xml:space="preserve"> hacerse de forma disociada y testando el nombre de dichos servidores públicos de tal suerte que no sea posible identificarlos o hacerlos identificables, ya sea por rango, nivel o puesto.</w:t>
      </w:r>
    </w:p>
    <w:p w:rsidR="00F6441B" w:rsidRPr="001044CA" w:rsidRDefault="00F6441B" w:rsidP="00F6441B">
      <w:pPr>
        <w:spacing w:line="360" w:lineRule="auto"/>
        <w:ind w:right="51"/>
        <w:jc w:val="both"/>
        <w:rPr>
          <w:rFonts w:ascii="Palatino Linotype" w:hAnsi="Palatino Linotype" w:cs="Arial"/>
        </w:rPr>
      </w:pPr>
    </w:p>
    <w:p w:rsidR="00F6441B" w:rsidRPr="00D4001C" w:rsidRDefault="00F6441B" w:rsidP="00F6441B">
      <w:pPr>
        <w:shd w:val="clear" w:color="auto" w:fill="FFFFFF"/>
        <w:spacing w:line="360" w:lineRule="auto"/>
        <w:jc w:val="both"/>
        <w:rPr>
          <w:rFonts w:ascii="Palatino Linotype" w:hAnsi="Palatino Linotype" w:cs="Arial"/>
          <w:color w:val="000000"/>
          <w:lang w:eastAsia="es-MX"/>
        </w:rPr>
      </w:pPr>
      <w:r w:rsidRPr="00D4001C">
        <w:rPr>
          <w:rFonts w:ascii="Palatino Linotype" w:hAnsi="Palatino Linotype" w:cs="Arial"/>
          <w:color w:val="000000"/>
          <w:lang w:eastAsia="es-MX"/>
        </w:rPr>
        <w:t>Lo anterior es así pues atendiendo a la realidad y lo objetivamente visible y palpable que ocurre en la vida cotidiana y derivado de los altos niv</w:t>
      </w:r>
      <w:r>
        <w:rPr>
          <w:rFonts w:ascii="Palatino Linotype" w:hAnsi="Palatino Linotype" w:cs="Arial"/>
          <w:color w:val="000000"/>
          <w:lang w:eastAsia="es-MX"/>
        </w:rPr>
        <w:t>e</w:t>
      </w:r>
      <w:r w:rsidRPr="00D4001C">
        <w:rPr>
          <w:rFonts w:ascii="Palatino Linotype" w:hAnsi="Palatino Linotype" w:cs="Arial"/>
          <w:color w:val="000000"/>
          <w:lang w:eastAsia="es-MX"/>
        </w:rPr>
        <w:t>les de crim</w:t>
      </w:r>
      <w:r>
        <w:rPr>
          <w:rFonts w:ascii="Palatino Linotype" w:hAnsi="Palatino Linotype" w:cs="Arial"/>
          <w:color w:val="000000"/>
          <w:lang w:eastAsia="es-MX"/>
        </w:rPr>
        <w:t>i</w:t>
      </w:r>
      <w:r w:rsidRPr="00D4001C">
        <w:rPr>
          <w:rFonts w:ascii="Palatino Linotype" w:hAnsi="Palatino Linotype" w:cs="Arial"/>
          <w:color w:val="000000"/>
          <w:lang w:eastAsia="es-MX"/>
        </w:rPr>
        <w:t xml:space="preserve">nalidad </w:t>
      </w:r>
      <w:r>
        <w:rPr>
          <w:rFonts w:ascii="Palatino Linotype" w:hAnsi="Palatino Linotype" w:cs="Arial"/>
          <w:color w:val="000000"/>
          <w:lang w:eastAsia="es-MX"/>
        </w:rPr>
        <w:t>existentes en la sociedad, se considera que revelar el estado de fuerza puede incidir directamente en la seguridad pública, cuando lo que es materia de transparencia es la erogación de recursos públicos por lo cual siempre se ha velado al entregar la nómina, lo que no tiene relación es el estado de fuerza de un municipio o del propio estado, datos que en todo caso serían de utilidad para fines distintos a la rendición de cuentas.</w:t>
      </w:r>
    </w:p>
    <w:p w:rsidR="00F6441B" w:rsidRDefault="00F6441B" w:rsidP="00F6441B">
      <w:pPr>
        <w:shd w:val="clear" w:color="auto" w:fill="FFFFFF"/>
        <w:spacing w:line="360" w:lineRule="auto"/>
        <w:jc w:val="both"/>
        <w:rPr>
          <w:rFonts w:ascii="Palatino Linotype" w:hAnsi="Palatino Linotype" w:cs="Arial"/>
          <w:color w:val="000000"/>
          <w:lang w:eastAsia="es-MX"/>
        </w:rPr>
      </w:pPr>
    </w:p>
    <w:p w:rsidR="00F6441B" w:rsidRDefault="00F6441B" w:rsidP="00F6441B">
      <w:pPr>
        <w:shd w:val="clear" w:color="auto" w:fill="FFFFFF"/>
        <w:spacing w:line="360" w:lineRule="auto"/>
        <w:jc w:val="both"/>
        <w:rPr>
          <w:rFonts w:ascii="Palatino Linotype" w:hAnsi="Palatino Linotype" w:cs="Arial"/>
          <w:color w:val="000000"/>
          <w:lang w:eastAsia="es-MX"/>
        </w:rPr>
      </w:pPr>
      <w:r>
        <w:rPr>
          <w:rFonts w:ascii="Palatino Linotype" w:hAnsi="Palatino Linotype" w:cs="Arial"/>
          <w:color w:val="000000"/>
          <w:lang w:eastAsia="es-MX"/>
        </w:rPr>
        <w:t>Por ende lo que procede cuando se presente el caso, es ordenar la entrega de la información de las corporaciones de seguridad pública de tal forma que no se advierta el estado de fuerza lo que en su caso es de forma disociada.</w:t>
      </w:r>
    </w:p>
    <w:p w:rsidR="00F6441B" w:rsidRDefault="00F6441B" w:rsidP="00F6441B">
      <w:pPr>
        <w:tabs>
          <w:tab w:val="left" w:pos="7938"/>
        </w:tabs>
        <w:spacing w:line="360" w:lineRule="auto"/>
        <w:jc w:val="both"/>
        <w:rPr>
          <w:rFonts w:ascii="Palatino Linotype" w:hAnsi="Palatino Linotype" w:cs="Arial"/>
          <w:b/>
        </w:rPr>
      </w:pPr>
    </w:p>
    <w:p w:rsidR="00F6441B" w:rsidRPr="007E2F39" w:rsidRDefault="00F6441B" w:rsidP="00F6441B">
      <w:pPr>
        <w:tabs>
          <w:tab w:val="left" w:pos="7938"/>
        </w:tabs>
        <w:spacing w:line="360" w:lineRule="auto"/>
        <w:jc w:val="both"/>
        <w:rPr>
          <w:rFonts w:ascii="Palatino Linotype" w:eastAsia="Arial Unicode MS" w:hAnsi="Palatino Linotype" w:cs="Arial"/>
          <w:b/>
        </w:rPr>
      </w:pPr>
      <w:r w:rsidRPr="007E2F39">
        <w:rPr>
          <w:rFonts w:ascii="Palatino Linotype" w:hAnsi="Palatino Linotype" w:cs="Arial"/>
          <w:b/>
        </w:rPr>
        <w:t>Correlativo a ello, en la versión pública se deben testar aquellos elementos señalados en la presente resolución, en el entendido de que debe ser pública toda la demás información relacionada que no encuadre en los conceptos anteriores.</w:t>
      </w:r>
    </w:p>
    <w:p w:rsidR="005A0459" w:rsidRPr="00F6441B" w:rsidRDefault="005A0459" w:rsidP="00F6441B">
      <w:pPr>
        <w:shd w:val="clear" w:color="auto" w:fill="FFFFFF"/>
        <w:spacing w:line="360" w:lineRule="auto"/>
        <w:jc w:val="both"/>
        <w:rPr>
          <w:rFonts w:ascii="Palatino Linotype" w:hAnsi="Palatino Linotype" w:cs="Arial"/>
          <w:color w:val="000000"/>
          <w:lang w:eastAsia="es-MX"/>
        </w:rPr>
      </w:pPr>
    </w:p>
    <w:p w:rsidR="005A0459" w:rsidRPr="00F6441B" w:rsidRDefault="005A0459" w:rsidP="005A0459">
      <w:pPr>
        <w:shd w:val="clear" w:color="auto" w:fill="FFFFFF"/>
        <w:spacing w:line="360" w:lineRule="auto"/>
        <w:jc w:val="both"/>
        <w:rPr>
          <w:rFonts w:ascii="Palatino Linotype" w:hAnsi="Palatino Linotype" w:cs="Arial"/>
          <w:color w:val="000000"/>
          <w:lang w:eastAsia="es-MX"/>
        </w:rPr>
      </w:pPr>
      <w:r w:rsidRPr="00F6441B">
        <w:rPr>
          <w:rFonts w:ascii="Palatino Linotype" w:hAnsi="Palatino Linotype" w:cs="Arial"/>
          <w:color w:val="000000"/>
          <w:lang w:eastAsia="es-MX"/>
        </w:rPr>
        <w:t>En consecuencia, la fundamentación y motivación implica que, en el acto de autoridad, además de contenerse los supuestos jurídicos aplicables se expliquen claramente por qué a través de la utilización de la norma se emitió el acto.</w:t>
      </w:r>
    </w:p>
    <w:p w:rsidR="0069364A" w:rsidRPr="00F6441B" w:rsidRDefault="0069364A" w:rsidP="005A0459">
      <w:pPr>
        <w:shd w:val="clear" w:color="auto" w:fill="FFFFFF"/>
        <w:spacing w:line="360" w:lineRule="auto"/>
        <w:jc w:val="both"/>
        <w:rPr>
          <w:rFonts w:ascii="Palatino Linotype" w:hAnsi="Palatino Linotype" w:cs="Arial"/>
          <w:color w:val="000000"/>
          <w:lang w:eastAsia="es-MX"/>
        </w:rPr>
      </w:pP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este sentido, el numeral trigésimo tercero fracción V de los Lineamientos Generales, precisa que para motivar la clasificación se deben acreditar las circunstancias de tiempo, modo y lugar.</w:t>
      </w:r>
    </w:p>
    <w:p w:rsidR="00652F11" w:rsidRPr="00F876A8" w:rsidRDefault="00652F11" w:rsidP="002438E8">
      <w:pPr>
        <w:spacing w:line="360" w:lineRule="auto"/>
        <w:ind w:right="51"/>
        <w:jc w:val="both"/>
        <w:rPr>
          <w:rFonts w:ascii="Palatino Linotype" w:hAnsi="Palatino Linotype" w:cs="Arial"/>
        </w:rPr>
      </w:pPr>
    </w:p>
    <w:p w:rsidR="00113E45" w:rsidRPr="00F876A8" w:rsidRDefault="00113E45" w:rsidP="00380D76">
      <w:pPr>
        <w:spacing w:line="360" w:lineRule="auto"/>
        <w:ind w:right="51"/>
        <w:jc w:val="both"/>
        <w:rPr>
          <w:rFonts w:ascii="Palatino Linotype" w:hAnsi="Palatino Linotype" w:cs="Arial"/>
        </w:rPr>
      </w:pPr>
      <w:r w:rsidRPr="00F876A8">
        <w:rPr>
          <w:rFonts w:ascii="Palatino Linotype" w:hAnsi="Palatino Linotype" w:cs="Arial"/>
        </w:rPr>
        <w:t>Por último, hemos de decir que las razones o motivos de inconformidad son fundadas por las razones y motivos anteriormente expuestos en el cuerpo de la presente resolución.</w:t>
      </w:r>
    </w:p>
    <w:p w:rsidR="00113E45" w:rsidRPr="00F876A8" w:rsidRDefault="00113E45" w:rsidP="00113E45">
      <w:pPr>
        <w:spacing w:line="360" w:lineRule="auto"/>
        <w:ind w:right="51"/>
        <w:jc w:val="both"/>
        <w:rPr>
          <w:rFonts w:ascii="Palatino Linotype" w:hAnsi="Palatino Linotype" w:cs="Arial"/>
        </w:rPr>
      </w:pPr>
    </w:p>
    <w:p w:rsidR="00113E45" w:rsidRPr="00F876A8" w:rsidRDefault="00113E45" w:rsidP="00113E45">
      <w:pPr>
        <w:spacing w:line="360" w:lineRule="auto"/>
        <w:ind w:right="51"/>
        <w:jc w:val="both"/>
        <w:rPr>
          <w:rFonts w:ascii="Palatino Linotype" w:hAnsi="Palatino Linotype" w:cs="Arial"/>
        </w:rPr>
      </w:pPr>
      <w:r w:rsidRPr="00F876A8">
        <w:rPr>
          <w:rFonts w:ascii="Palatino Linotype" w:hAnsi="Palatino Linotype" w:cs="Arial"/>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Pr="00F876A8">
        <w:rPr>
          <w:rFonts w:ascii="Palatino Linotype" w:hAnsi="Palatino Linotype" w:cs="Arial"/>
          <w:b/>
        </w:rPr>
        <w:t>REVOCA</w:t>
      </w:r>
      <w:r w:rsidRPr="00F876A8">
        <w:rPr>
          <w:rFonts w:ascii="Palatino Linotype" w:hAnsi="Palatino Linotype" w:cs="Arial"/>
        </w:rPr>
        <w:t xml:space="preserve"> la respuesta del sujeto obligado a la solicitud de información número </w:t>
      </w:r>
      <w:r w:rsidR="00F6441B" w:rsidRPr="00C071D3">
        <w:rPr>
          <w:rFonts w:ascii="Palatino Linotype" w:hAnsi="Palatino Linotype" w:cs="Arial"/>
          <w:b/>
        </w:rPr>
        <w:t>00023/MELOCAM/IP/2019</w:t>
      </w:r>
      <w:r w:rsidRPr="00F876A8">
        <w:rPr>
          <w:rFonts w:ascii="Palatino Linotype" w:hAnsi="Palatino Linotype"/>
        </w:rPr>
        <w:t xml:space="preserve"> </w:t>
      </w:r>
      <w:r w:rsidRPr="00F876A8">
        <w:rPr>
          <w:rFonts w:ascii="Palatino Linotype" w:hAnsi="Palatino Linotype" w:cs="Arial"/>
        </w:rPr>
        <w:t>que ha sido materia del presente fallo.</w:t>
      </w:r>
    </w:p>
    <w:p w:rsidR="00113E45" w:rsidRPr="00F876A8" w:rsidRDefault="00113E45" w:rsidP="00113E45">
      <w:pPr>
        <w:spacing w:line="360" w:lineRule="auto"/>
        <w:ind w:right="51"/>
        <w:jc w:val="both"/>
        <w:rPr>
          <w:rFonts w:ascii="Palatino Linotype" w:hAnsi="Palatino Linotype" w:cs="Arial"/>
        </w:rPr>
      </w:pPr>
    </w:p>
    <w:p w:rsidR="00113E45" w:rsidRPr="00F876A8" w:rsidRDefault="00113E45" w:rsidP="00113E45">
      <w:pPr>
        <w:spacing w:line="360" w:lineRule="auto"/>
        <w:ind w:right="51"/>
        <w:jc w:val="both"/>
        <w:rPr>
          <w:rFonts w:ascii="Palatino Linotype" w:hAnsi="Palatino Linotype" w:cs="Arial"/>
        </w:rPr>
      </w:pPr>
      <w:r w:rsidRPr="00F876A8">
        <w:rPr>
          <w:rFonts w:ascii="Palatino Linotype" w:hAnsi="Palatino Linotype" w:cs="Arial"/>
        </w:rPr>
        <w:t>Por lo antes expuesto y fundado es de resolverse y;</w:t>
      </w:r>
    </w:p>
    <w:p w:rsidR="00CA37BE" w:rsidRPr="00F876A8" w:rsidRDefault="00CA37BE" w:rsidP="00113E45">
      <w:pPr>
        <w:spacing w:line="360" w:lineRule="auto"/>
        <w:ind w:right="51"/>
        <w:jc w:val="both"/>
        <w:rPr>
          <w:rFonts w:ascii="Palatino Linotype" w:hAnsi="Palatino Linotype" w:cs="Arial"/>
        </w:rPr>
      </w:pPr>
    </w:p>
    <w:p w:rsidR="00113E45" w:rsidRPr="00F876A8" w:rsidRDefault="00113E45" w:rsidP="00113E45">
      <w:pPr>
        <w:spacing w:line="360" w:lineRule="auto"/>
        <w:jc w:val="center"/>
        <w:rPr>
          <w:rFonts w:ascii="Palatino Linotype" w:hAnsi="Palatino Linotype"/>
          <w:b/>
          <w:bCs/>
          <w:spacing w:val="60"/>
          <w:lang w:val="es-ES_tradnl"/>
        </w:rPr>
      </w:pPr>
      <w:r w:rsidRPr="00F876A8">
        <w:rPr>
          <w:rFonts w:ascii="Palatino Linotype" w:hAnsi="Palatino Linotype"/>
          <w:b/>
          <w:bCs/>
          <w:spacing w:val="60"/>
          <w:lang w:val="es-ES_tradnl"/>
        </w:rPr>
        <w:t>SE    RESUELVE</w:t>
      </w:r>
    </w:p>
    <w:p w:rsidR="00113E45" w:rsidRPr="00F876A8" w:rsidRDefault="00113E45" w:rsidP="00113E45">
      <w:pPr>
        <w:spacing w:line="360" w:lineRule="auto"/>
        <w:jc w:val="both"/>
        <w:rPr>
          <w:rFonts w:ascii="Palatino Linotype" w:hAnsi="Palatino Linotype" w:cs="Arial"/>
        </w:rPr>
      </w:pPr>
    </w:p>
    <w:p w:rsidR="00113E45" w:rsidRPr="00F876A8" w:rsidRDefault="00113E45" w:rsidP="00113E45">
      <w:pPr>
        <w:spacing w:line="360" w:lineRule="auto"/>
        <w:jc w:val="both"/>
        <w:rPr>
          <w:rFonts w:ascii="Palatino Linotype" w:hAnsi="Palatino Linotype" w:cs="Arial"/>
          <w:b/>
        </w:rPr>
      </w:pPr>
      <w:r w:rsidRPr="00F876A8">
        <w:rPr>
          <w:rFonts w:ascii="Palatino Linotype" w:hAnsi="Palatino Linotype" w:cs="Arial"/>
          <w:b/>
          <w:lang w:val="es-ES_tradnl"/>
        </w:rPr>
        <w:t>PRIMERO.</w:t>
      </w:r>
      <w:r w:rsidRPr="00F876A8">
        <w:rPr>
          <w:rFonts w:ascii="Palatino Linotype" w:hAnsi="Palatino Linotype" w:cs="Arial"/>
          <w:lang w:val="es-ES_tradnl"/>
        </w:rPr>
        <w:t xml:space="preserve"> </w:t>
      </w:r>
      <w:r w:rsidRPr="00F876A8">
        <w:rPr>
          <w:rFonts w:ascii="Palatino Linotype" w:eastAsia="Arial Unicode MS" w:hAnsi="Palatino Linotype" w:cs="Arial"/>
        </w:rPr>
        <w:t>Se</w:t>
      </w:r>
      <w:r w:rsidRPr="00F876A8">
        <w:rPr>
          <w:rFonts w:ascii="Palatino Linotype" w:hAnsi="Palatino Linotype" w:cs="Arial"/>
          <w:lang w:val="es-ES_tradnl"/>
        </w:rPr>
        <w:t xml:space="preserve"> </w:t>
      </w:r>
      <w:r w:rsidRPr="00F876A8">
        <w:rPr>
          <w:rFonts w:ascii="Palatino Linotype" w:hAnsi="Palatino Linotype" w:cs="Arial"/>
          <w:b/>
          <w:lang w:val="es-ES_tradnl"/>
        </w:rPr>
        <w:t>REVOCA</w:t>
      </w:r>
      <w:r w:rsidRPr="00F876A8">
        <w:rPr>
          <w:rFonts w:ascii="Palatino Linotype" w:hAnsi="Palatino Linotype" w:cs="Arial"/>
          <w:lang w:val="es-ES_tradnl"/>
        </w:rPr>
        <w:t xml:space="preserve"> </w:t>
      </w:r>
      <w:r w:rsidRPr="00F876A8">
        <w:rPr>
          <w:rFonts w:ascii="Palatino Linotype" w:eastAsia="Arial Unicode MS" w:hAnsi="Palatino Linotype" w:cs="Arial"/>
        </w:rPr>
        <w:t xml:space="preserve">la respuesta entregada por </w:t>
      </w:r>
      <w:r w:rsidRPr="00F876A8">
        <w:rPr>
          <w:rFonts w:ascii="Palatino Linotype" w:eastAsia="Arial Unicode MS" w:hAnsi="Palatino Linotype" w:cs="Arial"/>
          <w:b/>
        </w:rPr>
        <w:t xml:space="preserve">el Sujeto Obligado </w:t>
      </w:r>
      <w:r w:rsidRPr="00F876A8">
        <w:rPr>
          <w:rFonts w:ascii="Palatino Linotype" w:eastAsia="Arial Unicode MS" w:hAnsi="Palatino Linotype" w:cs="Arial"/>
        </w:rPr>
        <w:t xml:space="preserve">a la solicitud de información número </w:t>
      </w:r>
      <w:r w:rsidR="00F6441B" w:rsidRPr="00C071D3">
        <w:rPr>
          <w:rFonts w:ascii="Palatino Linotype" w:hAnsi="Palatino Linotype" w:cs="Arial"/>
          <w:b/>
        </w:rPr>
        <w:t>00023/MELOCAM/IP/2019</w:t>
      </w:r>
      <w:r w:rsidRPr="00F876A8">
        <w:rPr>
          <w:rFonts w:ascii="Palatino Linotype" w:hAnsi="Palatino Linotype" w:cs="Arial"/>
        </w:rPr>
        <w:t xml:space="preserve">, ya que </w:t>
      </w:r>
      <w:r w:rsidRPr="00F876A8">
        <w:rPr>
          <w:rFonts w:ascii="Palatino Linotype" w:hAnsi="Palatino Linotype" w:cs="Arial"/>
          <w:lang w:val="es-ES_tradnl"/>
        </w:rPr>
        <w:t xml:space="preserve">resultan fundadas las razones o motivos de inconformidad </w:t>
      </w:r>
      <w:r w:rsidRPr="00F876A8">
        <w:rPr>
          <w:rFonts w:ascii="Palatino Linotype" w:eastAsia="Arial Unicode MS" w:hAnsi="Palatino Linotype" w:cs="Arial"/>
        </w:rPr>
        <w:t xml:space="preserve">que arguye el recurrente, en términos del </w:t>
      </w:r>
      <w:r w:rsidRPr="00F876A8">
        <w:rPr>
          <w:rFonts w:ascii="Palatino Linotype" w:hAnsi="Palatino Linotype" w:cs="Arial"/>
        </w:rPr>
        <w:t>Considerando Cuarto de la presente resolución.</w:t>
      </w:r>
    </w:p>
    <w:p w:rsidR="00113E45" w:rsidRPr="00F876A8" w:rsidRDefault="00113E45" w:rsidP="00113E45">
      <w:pPr>
        <w:spacing w:line="360" w:lineRule="auto"/>
        <w:jc w:val="both"/>
        <w:rPr>
          <w:rFonts w:ascii="Palatino Linotype" w:hAnsi="Palatino Linotype" w:cs="Arial"/>
        </w:rPr>
      </w:pPr>
    </w:p>
    <w:p w:rsidR="00A83BB6" w:rsidRPr="00F876A8" w:rsidRDefault="00113E45" w:rsidP="00380D76">
      <w:pPr>
        <w:autoSpaceDE w:val="0"/>
        <w:autoSpaceDN w:val="0"/>
        <w:adjustRightInd w:val="0"/>
        <w:spacing w:line="360" w:lineRule="auto"/>
        <w:ind w:right="49"/>
        <w:jc w:val="both"/>
        <w:rPr>
          <w:rFonts w:ascii="Palatino Linotype" w:hAnsi="Palatino Linotype" w:cs="Arial"/>
        </w:rPr>
      </w:pPr>
      <w:r w:rsidRPr="00F876A8">
        <w:rPr>
          <w:rFonts w:ascii="Palatino Linotype" w:hAnsi="Palatino Linotype"/>
          <w:b/>
        </w:rPr>
        <w:t>SEGUNDO.</w:t>
      </w:r>
      <w:r w:rsidRPr="00F876A8">
        <w:rPr>
          <w:rFonts w:ascii="Palatino Linotype" w:hAnsi="Palatino Linotype" w:cs="Arial"/>
        </w:rPr>
        <w:t xml:space="preserve"> </w:t>
      </w:r>
      <w:r w:rsidR="00424992" w:rsidRPr="00F876A8">
        <w:rPr>
          <w:rFonts w:ascii="Palatino Linotype" w:hAnsi="Palatino Linotype" w:cs="Arial"/>
        </w:rPr>
        <w:t xml:space="preserve">Se ordena al Sujeto Obligado </w:t>
      </w:r>
      <w:r w:rsidR="00521D87" w:rsidRPr="00F876A8">
        <w:rPr>
          <w:rFonts w:ascii="Palatino Linotype" w:hAnsi="Palatino Linotype" w:cs="Arial"/>
        </w:rPr>
        <w:t>previa</w:t>
      </w:r>
      <w:r w:rsidR="00424992" w:rsidRPr="00F876A8">
        <w:rPr>
          <w:rFonts w:ascii="Palatino Linotype" w:hAnsi="Palatino Linotype" w:cs="Arial"/>
        </w:rPr>
        <w:t xml:space="preserve"> búsqueda exhaustiva y razonable</w:t>
      </w:r>
      <w:r w:rsidR="00521D87" w:rsidRPr="00F876A8">
        <w:rPr>
          <w:rFonts w:ascii="Palatino Linotype" w:hAnsi="Palatino Linotype" w:cs="Arial"/>
        </w:rPr>
        <w:t xml:space="preserve"> haga entrega al recurrente </w:t>
      </w:r>
      <w:r w:rsidR="00424992" w:rsidRPr="00F876A8">
        <w:rPr>
          <w:rFonts w:ascii="Palatino Linotype" w:hAnsi="Palatino Linotype" w:cs="Arial"/>
        </w:rPr>
        <w:t xml:space="preserve">en </w:t>
      </w:r>
      <w:r w:rsidR="00374370" w:rsidRPr="00F876A8">
        <w:rPr>
          <w:rFonts w:ascii="Palatino Linotype" w:hAnsi="Palatino Linotype" w:cs="Arial"/>
        </w:rPr>
        <w:t>términos</w:t>
      </w:r>
      <w:r w:rsidR="00424992" w:rsidRPr="00F876A8">
        <w:rPr>
          <w:rFonts w:ascii="Palatino Linotype" w:hAnsi="Palatino Linotype" w:cs="Arial"/>
        </w:rPr>
        <w:t xml:space="preserve"> del Considerando Cuarto de la </w:t>
      </w:r>
      <w:r w:rsidR="00374370" w:rsidRPr="00F876A8">
        <w:rPr>
          <w:rFonts w:ascii="Palatino Linotype" w:hAnsi="Palatino Linotype" w:cs="Arial"/>
        </w:rPr>
        <w:t>presente</w:t>
      </w:r>
      <w:r w:rsidR="00424992" w:rsidRPr="00F876A8">
        <w:rPr>
          <w:rFonts w:ascii="Palatino Linotype" w:hAnsi="Palatino Linotype" w:cs="Arial"/>
        </w:rPr>
        <w:t xml:space="preserve"> resoluci</w:t>
      </w:r>
      <w:r w:rsidR="00826211" w:rsidRPr="00F876A8">
        <w:rPr>
          <w:rFonts w:ascii="Palatino Linotype" w:hAnsi="Palatino Linotype" w:cs="Arial"/>
        </w:rPr>
        <w:t xml:space="preserve">ón, a través </w:t>
      </w:r>
      <w:r w:rsidR="00A83BB6" w:rsidRPr="00F876A8">
        <w:rPr>
          <w:rFonts w:ascii="Palatino Linotype" w:hAnsi="Palatino Linotype" w:cs="Arial"/>
        </w:rPr>
        <w:t>del SAIMEX</w:t>
      </w:r>
      <w:r w:rsidR="00521D87" w:rsidRPr="00F876A8">
        <w:rPr>
          <w:rFonts w:ascii="Palatino Linotype" w:hAnsi="Palatino Linotype" w:cs="Arial"/>
        </w:rPr>
        <w:t>, de ser procedente en versión pública</w:t>
      </w:r>
      <w:r w:rsidR="0036528C" w:rsidRPr="00F876A8">
        <w:rPr>
          <w:rFonts w:ascii="Palatino Linotype" w:hAnsi="Palatino Linotype" w:cs="Arial"/>
        </w:rPr>
        <w:t>,</w:t>
      </w:r>
      <w:r w:rsidR="00A83BB6" w:rsidRPr="00F876A8">
        <w:rPr>
          <w:rFonts w:ascii="Palatino Linotype" w:hAnsi="Palatino Linotype" w:cs="Arial"/>
        </w:rPr>
        <w:t xml:space="preserve"> lo siguiente:</w:t>
      </w:r>
    </w:p>
    <w:p w:rsidR="00A83BB6" w:rsidRPr="00F876A8" w:rsidRDefault="00A83BB6" w:rsidP="00380D76">
      <w:pPr>
        <w:autoSpaceDE w:val="0"/>
        <w:autoSpaceDN w:val="0"/>
        <w:adjustRightInd w:val="0"/>
        <w:spacing w:line="360" w:lineRule="auto"/>
        <w:ind w:right="49"/>
        <w:jc w:val="both"/>
        <w:rPr>
          <w:rFonts w:ascii="Palatino Linotype" w:hAnsi="Palatino Linotype" w:cs="Arial"/>
        </w:rPr>
      </w:pPr>
    </w:p>
    <w:p w:rsidR="00A94AE3" w:rsidRDefault="00A94AE3" w:rsidP="00A94AE3">
      <w:pPr>
        <w:autoSpaceDE w:val="0"/>
        <w:autoSpaceDN w:val="0"/>
        <w:adjustRightInd w:val="0"/>
        <w:spacing w:line="360" w:lineRule="auto"/>
        <w:ind w:left="1134" w:right="758"/>
        <w:jc w:val="both"/>
        <w:rPr>
          <w:rFonts w:ascii="Palatino Linotype" w:hAnsi="Palatino Linotype"/>
          <w:color w:val="000000"/>
        </w:rPr>
      </w:pPr>
      <w:r w:rsidRPr="00F876A8">
        <w:rPr>
          <w:rFonts w:ascii="Palatino Linotype" w:hAnsi="Palatino Linotype" w:cs="Arial"/>
        </w:rPr>
        <w:t xml:space="preserve">1.- </w:t>
      </w:r>
      <w:r w:rsidR="0099644C">
        <w:rPr>
          <w:rFonts w:ascii="Palatino Linotype" w:hAnsi="Palatino Linotype" w:cs="Arial"/>
        </w:rPr>
        <w:t xml:space="preserve">La nómina de los servidores públicos a que hace referencia la solitud de información </w:t>
      </w:r>
      <w:r w:rsidR="0099644C" w:rsidRPr="00C071D3">
        <w:rPr>
          <w:rFonts w:ascii="Palatino Linotype" w:hAnsi="Palatino Linotype" w:cs="Arial"/>
          <w:b/>
        </w:rPr>
        <w:t>00023/MELOCAM/IP/2019</w:t>
      </w:r>
      <w:r w:rsidR="0099644C">
        <w:rPr>
          <w:rFonts w:ascii="Palatino Linotype" w:hAnsi="Palatino Linotype" w:cs="Arial"/>
          <w:b/>
        </w:rPr>
        <w:t xml:space="preserve">, </w:t>
      </w:r>
      <w:r w:rsidR="0099644C" w:rsidRPr="009B4BE9">
        <w:rPr>
          <w:rFonts w:ascii="Palatino Linotype" w:hAnsi="Palatino Linotype"/>
          <w:color w:val="000000"/>
        </w:rPr>
        <w:t xml:space="preserve">incluyendo </w:t>
      </w:r>
      <w:r w:rsidR="00AF6C09">
        <w:rPr>
          <w:rFonts w:ascii="Palatino Linotype" w:hAnsi="Palatino Linotype" w:cs="Arial"/>
          <w:lang w:eastAsia="es-MX"/>
        </w:rPr>
        <w:t xml:space="preserve">la </w:t>
      </w:r>
      <w:r w:rsidR="00AF6C09" w:rsidRPr="002B0622">
        <w:rPr>
          <w:rFonts w:ascii="Palatino Linotype" w:hAnsi="Palatino Linotype" w:cs="Arial"/>
          <w:lang w:eastAsia="es-MX"/>
        </w:rPr>
        <w:t>remuneración bruta y neta</w:t>
      </w:r>
      <w:r w:rsidR="00AF6C09">
        <w:rPr>
          <w:rFonts w:ascii="Palatino Linotype" w:hAnsi="Palatino Linotype" w:cs="Arial"/>
          <w:lang w:eastAsia="es-MX"/>
        </w:rPr>
        <w:t xml:space="preserve"> así como</w:t>
      </w:r>
      <w:r w:rsidR="00AF6C09" w:rsidRPr="002B0622">
        <w:rPr>
          <w:rFonts w:ascii="Palatino Linotype" w:hAnsi="Palatino Linotype" w:cs="Arial"/>
          <w:lang w:eastAsia="es-MX"/>
        </w:rPr>
        <w:t xml:space="preserve"> todas las percepciones, sueldos, prestaciones, gratificaciones, primas, comisiones, dietas, bonos, estímulos, ingresos y sistemas de compensación</w:t>
      </w:r>
      <w:r w:rsidR="0099644C">
        <w:rPr>
          <w:rFonts w:ascii="Palatino Linotype" w:hAnsi="Palatino Linotype"/>
          <w:color w:val="000000"/>
        </w:rPr>
        <w:t xml:space="preserve">, </w:t>
      </w:r>
      <w:r w:rsidR="0099644C" w:rsidRPr="0099644C">
        <w:rPr>
          <w:rFonts w:ascii="Palatino Linotype" w:hAnsi="Palatino Linotype"/>
          <w:color w:val="000000"/>
        </w:rPr>
        <w:t>correspondiente</w:t>
      </w:r>
      <w:r w:rsidR="00ED4093">
        <w:rPr>
          <w:rFonts w:ascii="Palatino Linotype" w:hAnsi="Palatino Linotype"/>
          <w:color w:val="000000"/>
        </w:rPr>
        <w:t>s</w:t>
      </w:r>
      <w:r w:rsidR="0099644C" w:rsidRPr="0099644C">
        <w:rPr>
          <w:rFonts w:ascii="Palatino Linotype" w:hAnsi="Palatino Linotype"/>
          <w:color w:val="000000"/>
        </w:rPr>
        <w:t xml:space="preserve"> a la segunda quincena de enero, primera quincena de febrero y segunda quincena de febrero del año</w:t>
      </w:r>
      <w:r w:rsidR="0099644C">
        <w:rPr>
          <w:rFonts w:ascii="Palatino Linotype" w:hAnsi="Palatino Linotype"/>
          <w:color w:val="000000"/>
        </w:rPr>
        <w:t xml:space="preserve"> dos mil diecinueve.</w:t>
      </w:r>
    </w:p>
    <w:p w:rsidR="00AF6C09" w:rsidRPr="0099644C" w:rsidRDefault="00AF6C09" w:rsidP="00A94AE3">
      <w:pPr>
        <w:autoSpaceDE w:val="0"/>
        <w:autoSpaceDN w:val="0"/>
        <w:adjustRightInd w:val="0"/>
        <w:spacing w:line="360" w:lineRule="auto"/>
        <w:ind w:left="1134" w:right="758"/>
        <w:jc w:val="both"/>
        <w:rPr>
          <w:rFonts w:ascii="Palatino Linotype" w:hAnsi="Palatino Linotype"/>
          <w:color w:val="000000"/>
        </w:rPr>
      </w:pPr>
    </w:p>
    <w:p w:rsidR="00ED56A2" w:rsidRPr="00F876A8" w:rsidRDefault="00DA577A" w:rsidP="00A94AE3">
      <w:pPr>
        <w:autoSpaceDE w:val="0"/>
        <w:autoSpaceDN w:val="0"/>
        <w:adjustRightInd w:val="0"/>
        <w:spacing w:line="360" w:lineRule="auto"/>
        <w:ind w:left="1134" w:right="758"/>
        <w:jc w:val="both"/>
        <w:rPr>
          <w:rFonts w:ascii="Palatino Linotype" w:hAnsi="Palatino Linotype" w:cs="Arial"/>
        </w:rPr>
      </w:pPr>
      <w:r>
        <w:rPr>
          <w:rFonts w:ascii="Palatino Linotype" w:hAnsi="Palatino Linotype" w:cs="Arial"/>
        </w:rPr>
        <w:lastRenderedPageBreak/>
        <w:t>2.- El documento</w:t>
      </w:r>
      <w:r w:rsidR="00146649">
        <w:rPr>
          <w:rFonts w:ascii="Palatino Linotype" w:hAnsi="Palatino Linotype" w:cs="Arial"/>
        </w:rPr>
        <w:t xml:space="preserve"> o documentos</w:t>
      </w:r>
      <w:r>
        <w:rPr>
          <w:rFonts w:ascii="Palatino Linotype" w:hAnsi="Palatino Linotype" w:cs="Arial"/>
        </w:rPr>
        <w:t xml:space="preserve"> donde conste </w:t>
      </w:r>
      <w:r w:rsidR="00F764BE">
        <w:rPr>
          <w:rFonts w:ascii="Palatino Linotype" w:hAnsi="Palatino Linotype" w:cs="Arial"/>
        </w:rPr>
        <w:t xml:space="preserve">la fecha de ingreso </w:t>
      </w:r>
      <w:r w:rsidR="00B242AD">
        <w:rPr>
          <w:rFonts w:ascii="Palatino Linotype" w:hAnsi="Palatino Linotype" w:cs="Arial"/>
        </w:rPr>
        <w:t xml:space="preserve">y lugar donde laboran </w:t>
      </w:r>
      <w:r w:rsidR="00F764BE">
        <w:rPr>
          <w:rFonts w:ascii="Palatino Linotype" w:hAnsi="Palatino Linotype" w:cs="Arial"/>
        </w:rPr>
        <w:t>los servidores públicos a que se refiere el punto 1</w:t>
      </w:r>
      <w:r w:rsidR="0099644C">
        <w:rPr>
          <w:rFonts w:ascii="Palatino Linotype" w:hAnsi="Palatino Linotype" w:cs="Arial"/>
        </w:rPr>
        <w:t>.</w:t>
      </w:r>
    </w:p>
    <w:p w:rsidR="00A94AE3" w:rsidRDefault="00A94AE3" w:rsidP="00F876A8">
      <w:pPr>
        <w:autoSpaceDE w:val="0"/>
        <w:autoSpaceDN w:val="0"/>
        <w:adjustRightInd w:val="0"/>
        <w:spacing w:line="360" w:lineRule="auto"/>
        <w:ind w:right="49"/>
        <w:jc w:val="both"/>
        <w:rPr>
          <w:rFonts w:ascii="Palatino Linotype" w:hAnsi="Palatino Linotype" w:cs="Arial"/>
        </w:rPr>
      </w:pPr>
    </w:p>
    <w:p w:rsidR="008559BD" w:rsidRPr="00F876A8" w:rsidRDefault="005A0459" w:rsidP="00F876A8">
      <w:pPr>
        <w:autoSpaceDE w:val="0"/>
        <w:autoSpaceDN w:val="0"/>
        <w:adjustRightInd w:val="0"/>
        <w:spacing w:line="360" w:lineRule="auto"/>
        <w:ind w:right="49"/>
        <w:jc w:val="both"/>
        <w:rPr>
          <w:rFonts w:ascii="Palatino Linotype" w:hAnsi="Palatino Linotype" w:cs="Arial"/>
        </w:rPr>
      </w:pPr>
      <w:r w:rsidRPr="00F876A8">
        <w:rPr>
          <w:rFonts w:ascii="Palatino Linotype" w:hAnsi="Palatino Linotype" w:cs="Arial"/>
        </w:rPr>
        <w:t xml:space="preserve">Por lo que hace a los datos susceptibles de clasificar, se deberá generar la versión pública correspondiente, en aquellos casos que sea procedente y notificar el acuerdo de clasificación que </w:t>
      </w:r>
      <w:r w:rsidR="00CD4CB9" w:rsidRPr="00F876A8">
        <w:rPr>
          <w:rFonts w:ascii="Palatino Linotype" w:hAnsi="Palatino Linotype" w:cs="Arial"/>
        </w:rPr>
        <w:t>sustente</w:t>
      </w:r>
      <w:r w:rsidRPr="00F876A8">
        <w:rPr>
          <w:rFonts w:ascii="Palatino Linotype" w:hAnsi="Palatino Linotype" w:cs="Arial"/>
        </w:rPr>
        <w:t xml:space="preserv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5A0459" w:rsidRPr="00F876A8" w:rsidRDefault="005A0459" w:rsidP="00F876A8">
      <w:pPr>
        <w:autoSpaceDE w:val="0"/>
        <w:autoSpaceDN w:val="0"/>
        <w:adjustRightInd w:val="0"/>
        <w:spacing w:line="360" w:lineRule="auto"/>
        <w:ind w:right="49"/>
        <w:jc w:val="both"/>
        <w:rPr>
          <w:rFonts w:ascii="Palatino Linotype" w:hAnsi="Palatino Linotype" w:cs="Arial"/>
        </w:rPr>
      </w:pPr>
    </w:p>
    <w:p w:rsidR="00113E45" w:rsidRPr="00F876A8" w:rsidRDefault="00113E45" w:rsidP="00113E45">
      <w:pPr>
        <w:autoSpaceDE w:val="0"/>
        <w:autoSpaceDN w:val="0"/>
        <w:adjustRightInd w:val="0"/>
        <w:spacing w:line="360" w:lineRule="auto"/>
        <w:jc w:val="both"/>
        <w:rPr>
          <w:rFonts w:ascii="Palatino Linotype" w:hAnsi="Palatino Linotype" w:cs="Arial"/>
        </w:rPr>
      </w:pPr>
      <w:r w:rsidRPr="00F876A8">
        <w:rPr>
          <w:rFonts w:ascii="Palatino Linotype" w:hAnsi="Palatino Linotype" w:cs="Arial"/>
          <w:b/>
        </w:rPr>
        <w:t>TERCERO. Notifíquese</w:t>
      </w:r>
      <w:r w:rsidRPr="00F876A8">
        <w:rPr>
          <w:rFonts w:ascii="Palatino Linotype" w:hAnsi="Palatino Linotype" w:cs="Arial"/>
          <w:b/>
          <w:i/>
        </w:rPr>
        <w:t xml:space="preserve"> </w:t>
      </w:r>
      <w:r w:rsidRPr="00F876A8">
        <w:rPr>
          <w:rFonts w:ascii="Palatino Linotype" w:hAnsi="Palatino Linotype" w:cs="Arial"/>
        </w:rPr>
        <w:t>al Titular de la Unidad de Transparencia del</w:t>
      </w:r>
      <w:r w:rsidRPr="00F876A8">
        <w:rPr>
          <w:rFonts w:ascii="Palatino Linotype" w:hAnsi="Palatino Linotype" w:cs="Arial"/>
          <w:b/>
        </w:rPr>
        <w:t xml:space="preserve"> SUJETO OBLIGADO</w:t>
      </w:r>
      <w:r w:rsidRPr="00F876A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3E45" w:rsidRPr="00F876A8" w:rsidRDefault="00113E45" w:rsidP="00113E45">
      <w:pPr>
        <w:autoSpaceDE w:val="0"/>
        <w:autoSpaceDN w:val="0"/>
        <w:adjustRightInd w:val="0"/>
        <w:spacing w:line="360" w:lineRule="auto"/>
        <w:jc w:val="both"/>
        <w:rPr>
          <w:rFonts w:ascii="Palatino Linotype" w:hAnsi="Palatino Linotype" w:cs="Arial"/>
        </w:rPr>
      </w:pPr>
    </w:p>
    <w:p w:rsidR="00113E45" w:rsidRPr="00F876A8" w:rsidRDefault="00113E45" w:rsidP="00AD2F93">
      <w:pPr>
        <w:autoSpaceDE w:val="0"/>
        <w:autoSpaceDN w:val="0"/>
        <w:adjustRightInd w:val="0"/>
        <w:spacing w:line="360" w:lineRule="auto"/>
        <w:jc w:val="both"/>
        <w:rPr>
          <w:rFonts w:ascii="Palatino Linotype" w:hAnsi="Palatino Linotype" w:cs="Arial"/>
        </w:rPr>
      </w:pPr>
      <w:r w:rsidRPr="00F876A8">
        <w:rPr>
          <w:rFonts w:ascii="Palatino Linotype" w:hAnsi="Palatino Linotype" w:cs="Arial"/>
          <w:b/>
        </w:rPr>
        <w:t>CUARTO</w:t>
      </w:r>
      <w:r w:rsidRPr="00F876A8">
        <w:rPr>
          <w:rFonts w:ascii="Palatino Linotype" w:hAnsi="Palatino Linotype" w:cs="Arial"/>
        </w:rPr>
        <w:t xml:space="preserve">. </w:t>
      </w:r>
      <w:r w:rsidRPr="00F876A8">
        <w:rPr>
          <w:rFonts w:ascii="Palatino Linotype" w:hAnsi="Palatino Linotype" w:cs="Arial"/>
          <w:b/>
          <w:bCs/>
          <w:color w:val="222222"/>
          <w:shd w:val="clear" w:color="auto" w:fill="FFFFFF"/>
        </w:rPr>
        <w:t>Notifíquese</w:t>
      </w:r>
      <w:r w:rsidRPr="00F876A8">
        <w:rPr>
          <w:rFonts w:ascii="Palatino Linotype" w:hAnsi="Palatino Linotype" w:cs="Arial"/>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13E45" w:rsidRPr="00F876A8" w:rsidRDefault="00113E45" w:rsidP="00AD2F93">
      <w:pPr>
        <w:spacing w:line="360" w:lineRule="auto"/>
        <w:jc w:val="both"/>
        <w:rPr>
          <w:rFonts w:ascii="Palatino Linotype" w:hAnsi="Palatino Linotype" w:cs="Arial"/>
        </w:rPr>
      </w:pPr>
    </w:p>
    <w:p w:rsidR="001D400F" w:rsidRDefault="00113E45" w:rsidP="001D400F">
      <w:pPr>
        <w:spacing w:before="240" w:line="360" w:lineRule="auto"/>
        <w:jc w:val="both"/>
        <w:rPr>
          <w:rFonts w:ascii="Palatino Linotype" w:hAnsi="Palatino Linotype" w:cs="Arial"/>
        </w:rPr>
      </w:pPr>
      <w:r w:rsidRPr="00F876A8">
        <w:rPr>
          <w:rFonts w:ascii="Palatino Linotype" w:hAnsi="Palatino Linotype" w:cs="Arial"/>
        </w:rPr>
        <w:lastRenderedPageBreak/>
        <w:t xml:space="preserve">ASÍ LO RESUELVE, POR </w:t>
      </w:r>
      <w:r w:rsidR="00AD2F93" w:rsidRPr="00F876A8">
        <w:rPr>
          <w:rFonts w:ascii="Palatino Linotype" w:hAnsi="Palatino Linotype" w:cs="Arial"/>
        </w:rPr>
        <w:t>UNANIMIDAD</w:t>
      </w:r>
      <w:r w:rsidRPr="00F876A8">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F53B47">
        <w:rPr>
          <w:rFonts w:ascii="Palatino Linotype" w:hAnsi="Palatino Linotype" w:cs="Arial"/>
        </w:rPr>
        <w:t xml:space="preserve"> </w:t>
      </w:r>
      <w:r w:rsidRPr="00F876A8">
        <w:rPr>
          <w:rFonts w:ascii="Palatino Linotype" w:hAnsi="Palatino Linotype" w:cs="Arial"/>
        </w:rPr>
        <w:t>Y LUIS GUSTAVO PARRA NORIEGA</w:t>
      </w:r>
      <w:r w:rsidR="00AD2F93" w:rsidRPr="00F876A8">
        <w:rPr>
          <w:rFonts w:ascii="Palatino Linotype" w:hAnsi="Palatino Linotype" w:cs="Arial"/>
        </w:rPr>
        <w:t xml:space="preserve">, EN LA </w:t>
      </w:r>
      <w:r w:rsidR="00E66F15">
        <w:rPr>
          <w:rFonts w:ascii="Palatino Linotype" w:hAnsi="Palatino Linotype" w:cs="Arial"/>
        </w:rPr>
        <w:t xml:space="preserve">VIGÉSIMA </w:t>
      </w:r>
      <w:r w:rsidR="001D400F">
        <w:rPr>
          <w:rFonts w:ascii="Palatino Linotype" w:hAnsi="Palatino Linotype" w:cs="Arial"/>
        </w:rPr>
        <w:t xml:space="preserve">SEGUNDA </w:t>
      </w:r>
      <w:r w:rsidRPr="00F876A8">
        <w:rPr>
          <w:rFonts w:ascii="Palatino Linotype" w:hAnsi="Palatino Linotype" w:cs="Arial"/>
        </w:rPr>
        <w:t xml:space="preserve">SESIÓN ORDINARIA CELEBRADA EL </w:t>
      </w:r>
      <w:r w:rsidR="001D400F">
        <w:rPr>
          <w:rFonts w:ascii="Palatino Linotype" w:hAnsi="Palatino Linotype" w:cs="Arial"/>
        </w:rPr>
        <w:t>DOCE</w:t>
      </w:r>
      <w:r w:rsidRPr="00F876A8">
        <w:rPr>
          <w:rFonts w:ascii="Palatino Linotype" w:hAnsi="Palatino Linotype" w:cs="Arial"/>
        </w:rPr>
        <w:t xml:space="preserve"> DE </w:t>
      </w:r>
      <w:r w:rsidR="001D400F">
        <w:rPr>
          <w:rFonts w:ascii="Palatino Linotype" w:hAnsi="Palatino Linotype" w:cs="Arial"/>
        </w:rPr>
        <w:t>JUNIO</w:t>
      </w:r>
      <w:r w:rsidRPr="00F876A8">
        <w:rPr>
          <w:rFonts w:ascii="Palatino Linotype" w:hAnsi="Palatino Linotype" w:cs="Arial"/>
        </w:rPr>
        <w:t xml:space="preserve"> DE DOS MIL DIECINUEVE, ANTE EL SECRETARIO TÉCNICO DEL PLENO, ALEXIS TAPIA RAMÍREZ.</w:t>
      </w:r>
      <w:r w:rsidR="001D400F">
        <w:rPr>
          <w:rFonts w:ascii="Palatino Linotype" w:hAnsi="Palatino Linotype" w:cs="Arial"/>
        </w:rPr>
        <w:t xml:space="preserve"> =====================</w:t>
      </w:r>
      <w:r w:rsidR="00E66F15">
        <w:rPr>
          <w:rFonts w:ascii="Palatino Linotype" w:hAnsi="Palatino Linotype" w:cs="Arial"/>
        </w:rPr>
        <w:t>====</w:t>
      </w:r>
      <w:r w:rsidR="001D400F">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E66F15" w:rsidRDefault="00E66F15" w:rsidP="001D400F">
      <w:pPr>
        <w:spacing w:line="360" w:lineRule="auto"/>
        <w:jc w:val="both"/>
        <w:rPr>
          <w:rFonts w:ascii="Palatino Linotype" w:hAnsi="Palatino Linotype"/>
          <w:b/>
        </w:rPr>
      </w:pPr>
    </w:p>
    <w:p w:rsidR="001D400F" w:rsidRPr="00E66F15" w:rsidRDefault="001D400F" w:rsidP="001D400F">
      <w:pPr>
        <w:spacing w:line="360" w:lineRule="auto"/>
        <w:jc w:val="both"/>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418589A" wp14:editId="250BCEC9">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Zulema Martínez Sánchez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Comisionada Presidenta</w:t>
                            </w:r>
                          </w:p>
                          <w:p w:rsidR="001D400F" w:rsidRPr="00E66F15" w:rsidRDefault="001D400F" w:rsidP="001D400F">
                            <w:pPr>
                              <w:jc w:val="center"/>
                              <w:rPr>
                                <w:rFonts w:ascii="Palatino Linotype" w:hAnsi="Palatino Linotype"/>
                              </w:rPr>
                            </w:pPr>
                            <w:r w:rsidRPr="00E66F15">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8589A"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Zulema Martínez Sánchez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Comisionada Presidenta</w:t>
                      </w:r>
                    </w:p>
                    <w:p w:rsidR="001D400F" w:rsidRPr="00E66F15" w:rsidRDefault="001D400F" w:rsidP="001D400F">
                      <w:pPr>
                        <w:jc w:val="center"/>
                        <w:rPr>
                          <w:rFonts w:ascii="Palatino Linotype" w:hAnsi="Palatino Linotype"/>
                        </w:rPr>
                      </w:pPr>
                      <w:r w:rsidRPr="00E66F15">
                        <w:rPr>
                          <w:rFonts w:ascii="Palatino Linotype" w:hAnsi="Palatino Linotype"/>
                        </w:rPr>
                        <w:t>(Rúbrica)</w:t>
                      </w:r>
                    </w:p>
                  </w:txbxContent>
                </v:textbox>
                <w10:wrap anchorx="page"/>
              </v:shape>
            </w:pict>
          </mc:Fallback>
        </mc:AlternateContent>
      </w: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r w:rsidRPr="00E66F15">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5108A965" wp14:editId="54576041">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José Guadalupe Luna Hernández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Pr="00797B31" w:rsidRDefault="001D400F" w:rsidP="001D400F">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8A965" id="Cuadro de texto 35" o:spid="_x0000_s1027" type="#_x0000_t202" style="position:absolute;margin-left:251.1pt;margin-top:.95pt;width:228.15pt;height:8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José Guadalupe Luna Hernández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Pr="00797B31" w:rsidRDefault="001D400F" w:rsidP="001D400F">
                      <w:pPr>
                        <w:jc w:val="center"/>
                        <w:rPr>
                          <w:rFonts w:ascii="Palatino Linotype" w:hAnsi="Palatino Linotype"/>
                        </w:rPr>
                      </w:pPr>
                    </w:p>
                  </w:txbxContent>
                </v:textbox>
                <w10:wrap anchorx="margin"/>
              </v:shape>
            </w:pict>
          </mc:Fallback>
        </mc:AlternateContent>
      </w:r>
      <w:r w:rsidRPr="00E66F15">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37149247" wp14:editId="2B3C808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hAnsi="Palatino Linotype"/>
                                <w:b/>
                              </w:rPr>
                            </w:pPr>
                            <w:r w:rsidRPr="00E66F15">
                              <w:rPr>
                                <w:rFonts w:ascii="Palatino Linotype" w:eastAsia="Calibri" w:hAnsi="Palatino Linotype" w:cs="Arial"/>
                                <w:b/>
                              </w:rPr>
                              <w:t>Eva Abaid Yapur</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Comisionada</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49247" id="Cuadro de texto 22" o:spid="_x0000_s1028" type="#_x0000_t202" style="position:absolute;margin-left:0;margin-top:1.65pt;width:153pt;height:78.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1D400F" w:rsidRPr="00E66F15" w:rsidRDefault="001D400F" w:rsidP="001D400F">
                      <w:pPr>
                        <w:jc w:val="center"/>
                        <w:rPr>
                          <w:rFonts w:ascii="Palatino Linotype" w:hAnsi="Palatino Linotype"/>
                          <w:b/>
                        </w:rPr>
                      </w:pPr>
                      <w:r w:rsidRPr="00E66F15">
                        <w:rPr>
                          <w:rFonts w:ascii="Palatino Linotype" w:eastAsia="Calibri" w:hAnsi="Palatino Linotype" w:cs="Arial"/>
                          <w:b/>
                        </w:rPr>
                        <w:t>Eva Abaid Yapur</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Comisionada</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pPr>
                    </w:p>
                  </w:txbxContent>
                </v:textbox>
                <w10:wrap anchorx="margin"/>
              </v:shape>
            </w:pict>
          </mc:Fallback>
        </mc:AlternateContent>
      </w: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r w:rsidRPr="00E66F15">
        <w:rPr>
          <w:rFonts w:ascii="Palatino Linotype" w:hAnsi="Palatino Linotype"/>
          <w:noProof/>
          <w:lang w:val="es-MX" w:eastAsia="es-MX"/>
        </w:rPr>
        <mc:AlternateContent>
          <mc:Choice Requires="wps">
            <w:drawing>
              <wp:anchor distT="45720" distB="45720" distL="114300" distR="114300" simplePos="0" relativeHeight="251665408" behindDoc="0" locked="0" layoutInCell="1" allowOverlap="1" wp14:anchorId="4B1B0FCF" wp14:editId="683A5974">
                <wp:simplePos x="0" y="0"/>
                <wp:positionH relativeFrom="margin">
                  <wp:posOffset>3336925</wp:posOffset>
                </wp:positionH>
                <wp:positionV relativeFrom="paragraph">
                  <wp:posOffset>10160</wp:posOffset>
                </wp:positionV>
                <wp:extent cx="2505075" cy="1080135"/>
                <wp:effectExtent l="0" t="0" r="9525" b="571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Luis Gustavo Parra Noriega</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Default="001D400F" w:rsidP="001D400F">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B0FCF" id="Cuadro de texto 2" o:spid="_x0000_s1029" type="#_x0000_t202" style="position:absolute;margin-left:262.75pt;margin-top:.8pt;width:197.25pt;height:85.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" stroked="f">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Luis Gustavo Parra Noriega</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Default="001D400F" w:rsidP="001D400F">
                      <w:pPr>
                        <w:jc w:val="center"/>
                        <w:rPr>
                          <w:rFonts w:ascii="Palatino Linotype" w:hAnsi="Palatino Linotype"/>
                        </w:rPr>
                      </w:pPr>
                    </w:p>
                  </w:txbxContent>
                </v:textbox>
                <w10:wrap type="square" anchorx="margin"/>
              </v:shape>
            </w:pict>
          </mc:Fallback>
        </mc:AlternateContent>
      </w:r>
      <w:r w:rsidRPr="00E66F15">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2186AE81" wp14:editId="46E14BE7">
                <wp:simplePos x="0" y="0"/>
                <wp:positionH relativeFrom="margin">
                  <wp:align>left</wp:align>
                </wp:positionH>
                <wp:positionV relativeFrom="paragraph">
                  <wp:posOffset>7620</wp:posOffset>
                </wp:positionV>
                <wp:extent cx="2133600" cy="1056904"/>
                <wp:effectExtent l="0" t="0" r="19050" b="10160"/>
                <wp:wrapNone/>
                <wp:docPr id="4" name="Cuadro de texto 4"/>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Javier Martínez Cruz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Default="001D400F" w:rsidP="001D40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6AE81" id="Cuadro de texto 4" o:spid="_x0000_s1030" type="#_x0000_t202" style="position:absolute;margin-left:0;margin-top:.6pt;width:168pt;height:83.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" fillcolor="white [3201]" strokecolor="white [3212]" strokeweight=".5pt">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Javier Martínez Cruz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Default="001D400F" w:rsidP="001D400F"/>
                  </w:txbxContent>
                </v:textbox>
                <w10:wrap anchorx="margin"/>
              </v:shape>
            </w:pict>
          </mc:Fallback>
        </mc:AlternateContent>
      </w: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cs="Arial"/>
        </w:rPr>
      </w:pPr>
    </w:p>
    <w:p w:rsidR="001D400F" w:rsidRPr="00E66F15" w:rsidRDefault="001D400F" w:rsidP="001D400F">
      <w:pPr>
        <w:spacing w:line="360" w:lineRule="auto"/>
        <w:rPr>
          <w:rFonts w:ascii="Palatino Linotype" w:hAnsi="Palatino Linotype" w:cs="Arial"/>
        </w:rPr>
      </w:pPr>
    </w:p>
    <w:p w:rsidR="001D400F" w:rsidRPr="00E66F15" w:rsidRDefault="001D400F" w:rsidP="001D400F">
      <w:pPr>
        <w:spacing w:line="360" w:lineRule="auto"/>
        <w:rPr>
          <w:rFonts w:ascii="Palatino Linotype" w:hAnsi="Palatino Linotype" w:cs="Arial"/>
        </w:rPr>
      </w:pPr>
      <w:r w:rsidRPr="00E66F15">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4C29A9DE" wp14:editId="75669864">
                <wp:simplePos x="0" y="0"/>
                <wp:positionH relativeFrom="page">
                  <wp:posOffset>2209800</wp:posOffset>
                </wp:positionH>
                <wp:positionV relativeFrom="paragraph">
                  <wp:posOffset>53341</wp:posOffset>
                </wp:positionV>
                <wp:extent cx="3152775" cy="762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Alexis Tapia Ramírez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 xml:space="preserve">Secretario Técnico del Pleno </w:t>
                            </w:r>
                          </w:p>
                          <w:p w:rsidR="001D400F" w:rsidRPr="00E66F15" w:rsidRDefault="001D400F" w:rsidP="001D400F">
                            <w:pPr>
                              <w:jc w:val="center"/>
                              <w:rPr>
                                <w:rFonts w:ascii="Palatino Linotype" w:hAnsi="Palatino Linotype"/>
                              </w:rPr>
                            </w:pPr>
                            <w:r w:rsidRPr="00E66F15">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A9DE" id="Cuadro de texto 24" o:spid="_x0000_s1031" type="#_x0000_t202" style="position:absolute;margin-left:174pt;margin-top:4.2pt;width:248.25pt;height:6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7t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" fillcolor="white [3201]" strokecolor="white [3212]" strokeweight=".5pt">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Alexis Tapia Ramírez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 xml:space="preserve">Secretario Técnico del Pleno </w:t>
                      </w:r>
                    </w:p>
                    <w:p w:rsidR="001D400F" w:rsidRPr="00E66F15" w:rsidRDefault="001D400F" w:rsidP="001D400F">
                      <w:pPr>
                        <w:jc w:val="center"/>
                        <w:rPr>
                          <w:rFonts w:ascii="Palatino Linotype" w:hAnsi="Palatino Linotype"/>
                        </w:rPr>
                      </w:pPr>
                      <w:r w:rsidRPr="00E66F15">
                        <w:rPr>
                          <w:rFonts w:ascii="Palatino Linotype" w:hAnsi="Palatino Linotype"/>
                        </w:rPr>
                        <w:t>(Rúbrica)</w:t>
                      </w:r>
                    </w:p>
                  </w:txbxContent>
                </v:textbox>
                <w10:wrap anchorx="page"/>
              </v:shape>
            </w:pict>
          </mc:Fallback>
        </mc:AlternateContent>
      </w:r>
    </w:p>
    <w:p w:rsidR="001D400F" w:rsidRPr="00E66F15" w:rsidRDefault="001D400F" w:rsidP="001D400F">
      <w:pPr>
        <w:spacing w:line="360" w:lineRule="auto"/>
        <w:rPr>
          <w:rFonts w:ascii="Palatino Linotype" w:hAnsi="Palatino Linotype" w:cs="Arial"/>
        </w:rPr>
      </w:pPr>
    </w:p>
    <w:p w:rsidR="001D400F" w:rsidRPr="00E66F15" w:rsidRDefault="001D400F" w:rsidP="001D400F">
      <w:pPr>
        <w:jc w:val="both"/>
        <w:rPr>
          <w:rFonts w:ascii="Palatino Linotype" w:hAnsi="Palatino Linotype" w:cs="Arial"/>
        </w:rPr>
      </w:pPr>
    </w:p>
    <w:p w:rsidR="001D400F" w:rsidRPr="00363A57" w:rsidRDefault="001D400F" w:rsidP="001D400F">
      <w:pPr>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Pr>
          <w:rFonts w:ascii="Palatino Linotype" w:hAnsi="Palatino Linotype" w:cs="Arial"/>
          <w:sz w:val="20"/>
          <w:szCs w:val="20"/>
        </w:rPr>
        <w:t>doce</w:t>
      </w:r>
      <w:r w:rsidRPr="00363A57">
        <w:rPr>
          <w:rFonts w:ascii="Palatino Linotype" w:hAnsi="Palatino Linotype" w:cs="Arial"/>
          <w:sz w:val="20"/>
          <w:szCs w:val="20"/>
        </w:rPr>
        <w:t xml:space="preserve"> de </w:t>
      </w:r>
      <w:r>
        <w:rPr>
          <w:rFonts w:ascii="Palatino Linotype" w:hAnsi="Palatino Linotype" w:cs="Arial"/>
          <w:sz w:val="20"/>
          <w:szCs w:val="20"/>
        </w:rPr>
        <w:t>junio</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Pr>
          <w:rFonts w:ascii="Palatino Linotype" w:hAnsi="Palatino Linotype" w:cs="Arial"/>
          <w:bCs/>
          <w:sz w:val="20"/>
          <w:szCs w:val="20"/>
          <w:lang w:eastAsia="es-MX"/>
        </w:rPr>
        <w:t>2</w:t>
      </w:r>
      <w:r w:rsidR="002302BE">
        <w:rPr>
          <w:rFonts w:ascii="Palatino Linotype" w:hAnsi="Palatino Linotype" w:cs="Arial"/>
          <w:bCs/>
          <w:sz w:val="20"/>
          <w:szCs w:val="20"/>
          <w:lang w:eastAsia="es-MX"/>
        </w:rPr>
        <w:t>235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EC4280" w:rsidRPr="00AD2F93" w:rsidRDefault="001D400F" w:rsidP="002D47B3">
      <w:pPr>
        <w:rPr>
          <w:rFonts w:ascii="Palatino Linotype" w:hAnsi="Palatino Linotype" w:cs="Arial"/>
          <w:sz w:val="20"/>
          <w:szCs w:val="20"/>
          <w:lang w:val="es-ES_tradnl"/>
        </w:rPr>
      </w:pPr>
      <w:r w:rsidRPr="00363A57">
        <w:rPr>
          <w:rFonts w:ascii="Palatino Linotype" w:hAnsi="Palatino Linotype"/>
          <w:sz w:val="20"/>
          <w:szCs w:val="20"/>
        </w:rPr>
        <w:t>OSAM/ROA</w:t>
      </w:r>
    </w:p>
    <w:sectPr w:rsidR="00EC4280" w:rsidRPr="00AD2F93" w:rsidSect="00B54EF1">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8F" w:rsidRDefault="0062468F" w:rsidP="00113E45">
      <w:r>
        <w:separator/>
      </w:r>
    </w:p>
  </w:endnote>
  <w:endnote w:type="continuationSeparator" w:id="0">
    <w:p w:rsidR="0062468F" w:rsidRDefault="0062468F"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B3F5E">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B3F5E">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B3F5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B3F5E">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8F" w:rsidRDefault="0062468F" w:rsidP="00113E45">
      <w:r>
        <w:separator/>
      </w:r>
    </w:p>
  </w:footnote>
  <w:footnote w:type="continuationSeparator" w:id="0">
    <w:p w:rsidR="0062468F" w:rsidRDefault="0062468F" w:rsidP="00113E45">
      <w:r>
        <w:continuationSeparator/>
      </w:r>
    </w:p>
  </w:footnote>
  <w:footnote w:id="1">
    <w:p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xml:space="preserve">,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52F32" w:rsidRPr="00E616F8" w:rsidRDefault="00C52F32" w:rsidP="00C52F32">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rsidR="00C52F32" w:rsidRPr="008D2908" w:rsidRDefault="00C52F32" w:rsidP="00C52F32">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B54EF1" w:rsidP="00B54EF1">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64" w:type="dxa"/>
          <w:shd w:val="clear" w:color="auto" w:fill="auto"/>
          <w:vAlign w:val="center"/>
        </w:tcPr>
        <w:p w:rsidR="00B54EF1" w:rsidRPr="005A5E02" w:rsidRDefault="00B54EF1" w:rsidP="00654E81">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654E81">
            <w:rPr>
              <w:rFonts w:ascii="Palatino Linotype" w:hAnsi="Palatino Linotype"/>
              <w:b/>
              <w:sz w:val="22"/>
              <w:szCs w:val="22"/>
              <w:lang w:val="es-ES_tradnl"/>
            </w:rPr>
            <w:t>2235</w:t>
          </w:r>
          <w:r w:rsidRPr="00792FF5">
            <w:rPr>
              <w:rFonts w:ascii="Palatino Linotype" w:hAnsi="Palatino Linotype"/>
              <w:b/>
              <w:sz w:val="22"/>
              <w:szCs w:val="22"/>
              <w:lang w:val="es-ES_tradnl"/>
            </w:rPr>
            <w:t>/INFOEM/IP/RR/2019</w:t>
          </w:r>
        </w:p>
      </w:tc>
    </w:tr>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64" w:type="dxa"/>
          <w:shd w:val="clear" w:color="auto" w:fill="auto"/>
          <w:vAlign w:val="center"/>
        </w:tcPr>
        <w:p w:rsidR="00B54EF1" w:rsidRPr="00927A01" w:rsidRDefault="00B54EF1" w:rsidP="00710E5D">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710E5D">
            <w:rPr>
              <w:rFonts w:ascii="Palatino Linotype" w:hAnsi="Palatino Linotype"/>
              <w:b/>
              <w:sz w:val="22"/>
              <w:szCs w:val="22"/>
              <w:lang w:val="es-ES_tradnl"/>
            </w:rPr>
            <w:t>Melchor Ocampo</w:t>
          </w:r>
          <w:r>
            <w:rPr>
              <w:rFonts w:ascii="Palatino Linotype" w:hAnsi="Palatino Linotype"/>
              <w:b/>
              <w:sz w:val="22"/>
              <w:szCs w:val="22"/>
              <w:lang w:val="es-ES_tradnl"/>
            </w:rPr>
            <w:t>.</w:t>
          </w:r>
        </w:p>
      </w:tc>
    </w:tr>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64" w:type="dxa"/>
          <w:shd w:val="clear" w:color="auto" w:fill="auto"/>
          <w:vAlign w:val="center"/>
        </w:tcPr>
        <w:p w:rsidR="00B54EF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3261" w:type="dxa"/>
      <w:tblLayout w:type="fixed"/>
      <w:tblLook w:val="04A0" w:firstRow="1" w:lastRow="0" w:firstColumn="1" w:lastColumn="0" w:noHBand="0" w:noVBand="1"/>
    </w:tblPr>
    <w:tblGrid>
      <w:gridCol w:w="2551"/>
      <w:gridCol w:w="3827"/>
    </w:tblGrid>
    <w:tr w:rsidR="00B54EF1" w:rsidRPr="005A5E02" w:rsidTr="00654E81">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827" w:type="dxa"/>
          <w:shd w:val="clear" w:color="auto" w:fill="auto"/>
          <w:vAlign w:val="center"/>
        </w:tcPr>
        <w:p w:rsidR="00B54EF1" w:rsidRPr="005A5E02" w:rsidRDefault="00B54EF1" w:rsidP="00654E8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654E81">
            <w:rPr>
              <w:rFonts w:ascii="Palatino Linotype" w:hAnsi="Palatino Linotype"/>
              <w:b/>
              <w:sz w:val="22"/>
              <w:szCs w:val="22"/>
              <w:lang w:val="es-ES_tradnl"/>
            </w:rPr>
            <w:t>2235</w:t>
          </w:r>
          <w:r w:rsidRPr="00792FF5">
            <w:rPr>
              <w:rFonts w:ascii="Palatino Linotype" w:hAnsi="Palatino Linotype"/>
              <w:b/>
              <w:sz w:val="22"/>
              <w:szCs w:val="22"/>
              <w:lang w:val="es-ES_tradnl"/>
            </w:rPr>
            <w:t>/INFOEM/IP/RR/2019</w:t>
          </w:r>
        </w:p>
      </w:tc>
    </w:tr>
    <w:tr w:rsidR="00B54EF1" w:rsidRPr="005A5E02" w:rsidTr="00654E81">
      <w:trPr>
        <w:trHeight w:val="130"/>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827" w:type="dxa"/>
          <w:shd w:val="clear" w:color="auto" w:fill="auto"/>
          <w:vAlign w:val="center"/>
        </w:tcPr>
        <w:p w:rsidR="00B54EF1" w:rsidRPr="00927A01" w:rsidRDefault="006F24D5" w:rsidP="00654E81">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 XXXXXXXX XXXXX</w:t>
          </w:r>
        </w:p>
      </w:tc>
    </w:tr>
    <w:tr w:rsidR="00B54EF1" w:rsidRPr="005A5E02" w:rsidTr="00654E81">
      <w:trPr>
        <w:trHeight w:val="228"/>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827" w:type="dxa"/>
          <w:shd w:val="clear" w:color="auto" w:fill="auto"/>
          <w:vAlign w:val="center"/>
        </w:tcPr>
        <w:p w:rsidR="00B54EF1" w:rsidRPr="00927A01" w:rsidRDefault="00B54EF1" w:rsidP="00710E5D">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710E5D">
            <w:rPr>
              <w:rFonts w:ascii="Palatino Linotype" w:hAnsi="Palatino Linotype"/>
              <w:b/>
              <w:sz w:val="22"/>
              <w:szCs w:val="22"/>
              <w:lang w:val="es-ES_tradnl"/>
            </w:rPr>
            <w:t>Melchor Ocampo</w:t>
          </w:r>
          <w:r>
            <w:rPr>
              <w:rFonts w:ascii="Palatino Linotype" w:hAnsi="Palatino Linotype"/>
              <w:b/>
              <w:sz w:val="22"/>
              <w:szCs w:val="22"/>
              <w:lang w:val="es-ES_tradnl"/>
            </w:rPr>
            <w:t>.</w:t>
          </w:r>
        </w:p>
      </w:tc>
    </w:tr>
    <w:tr w:rsidR="00B54EF1" w:rsidRPr="005A5E02" w:rsidTr="00654E81">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7" w:type="dxa"/>
          <w:shd w:val="clear" w:color="auto" w:fill="auto"/>
          <w:vAlign w:val="center"/>
        </w:tcPr>
        <w:p w:rsidR="00B54EF1" w:rsidRPr="005A5E02" w:rsidRDefault="00B54EF1"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4513"/>
    <w:rsid w:val="000253FB"/>
    <w:rsid w:val="0004470F"/>
    <w:rsid w:val="00077012"/>
    <w:rsid w:val="00077D38"/>
    <w:rsid w:val="000938CF"/>
    <w:rsid w:val="0009580D"/>
    <w:rsid w:val="000A1D5D"/>
    <w:rsid w:val="000A67A2"/>
    <w:rsid w:val="000A75FF"/>
    <w:rsid w:val="000B6102"/>
    <w:rsid w:val="000D1D04"/>
    <w:rsid w:val="000D3560"/>
    <w:rsid w:val="000D4FEB"/>
    <w:rsid w:val="00106F34"/>
    <w:rsid w:val="00113E45"/>
    <w:rsid w:val="001207F1"/>
    <w:rsid w:val="00146649"/>
    <w:rsid w:val="00156B8D"/>
    <w:rsid w:val="001603AF"/>
    <w:rsid w:val="0016431C"/>
    <w:rsid w:val="00182655"/>
    <w:rsid w:val="00184229"/>
    <w:rsid w:val="0018475A"/>
    <w:rsid w:val="001867BC"/>
    <w:rsid w:val="00186BFF"/>
    <w:rsid w:val="00195AAD"/>
    <w:rsid w:val="00195B24"/>
    <w:rsid w:val="001A0DC1"/>
    <w:rsid w:val="001D400F"/>
    <w:rsid w:val="001D586D"/>
    <w:rsid w:val="001E78AA"/>
    <w:rsid w:val="001E7A3A"/>
    <w:rsid w:val="001F62CA"/>
    <w:rsid w:val="00204A59"/>
    <w:rsid w:val="00211285"/>
    <w:rsid w:val="002201A0"/>
    <w:rsid w:val="002302BE"/>
    <w:rsid w:val="00231453"/>
    <w:rsid w:val="0023246F"/>
    <w:rsid w:val="0023424F"/>
    <w:rsid w:val="0024136A"/>
    <w:rsid w:val="002438E8"/>
    <w:rsid w:val="002664BD"/>
    <w:rsid w:val="00271C92"/>
    <w:rsid w:val="00284869"/>
    <w:rsid w:val="00293E0B"/>
    <w:rsid w:val="00294D05"/>
    <w:rsid w:val="002B0622"/>
    <w:rsid w:val="002B3C9E"/>
    <w:rsid w:val="002B43F9"/>
    <w:rsid w:val="002C2DB0"/>
    <w:rsid w:val="002D47B3"/>
    <w:rsid w:val="002D70BB"/>
    <w:rsid w:val="002D7CB6"/>
    <w:rsid w:val="0031126F"/>
    <w:rsid w:val="00313810"/>
    <w:rsid w:val="00313F0A"/>
    <w:rsid w:val="00315F95"/>
    <w:rsid w:val="00332666"/>
    <w:rsid w:val="00336EE7"/>
    <w:rsid w:val="0036528C"/>
    <w:rsid w:val="00372C97"/>
    <w:rsid w:val="00374370"/>
    <w:rsid w:val="00380D76"/>
    <w:rsid w:val="00390B06"/>
    <w:rsid w:val="003958E1"/>
    <w:rsid w:val="003A0725"/>
    <w:rsid w:val="003B475A"/>
    <w:rsid w:val="003B56A3"/>
    <w:rsid w:val="003D2060"/>
    <w:rsid w:val="003D6E9D"/>
    <w:rsid w:val="003E112C"/>
    <w:rsid w:val="003F15A9"/>
    <w:rsid w:val="00404CE0"/>
    <w:rsid w:val="0041155C"/>
    <w:rsid w:val="00424992"/>
    <w:rsid w:val="0043170B"/>
    <w:rsid w:val="0044527E"/>
    <w:rsid w:val="00452F88"/>
    <w:rsid w:val="004601DF"/>
    <w:rsid w:val="004661D8"/>
    <w:rsid w:val="004708F6"/>
    <w:rsid w:val="00481C7B"/>
    <w:rsid w:val="00482780"/>
    <w:rsid w:val="004977FD"/>
    <w:rsid w:val="004A1232"/>
    <w:rsid w:val="004A38E4"/>
    <w:rsid w:val="004A6FD8"/>
    <w:rsid w:val="004C060E"/>
    <w:rsid w:val="004D2EA1"/>
    <w:rsid w:val="004F653C"/>
    <w:rsid w:val="00505C5F"/>
    <w:rsid w:val="00521D87"/>
    <w:rsid w:val="005337FB"/>
    <w:rsid w:val="00547ECD"/>
    <w:rsid w:val="00554F71"/>
    <w:rsid w:val="0056010C"/>
    <w:rsid w:val="0057744C"/>
    <w:rsid w:val="005778DA"/>
    <w:rsid w:val="00591EAF"/>
    <w:rsid w:val="0059754E"/>
    <w:rsid w:val="00597B8F"/>
    <w:rsid w:val="005A0459"/>
    <w:rsid w:val="005A51AE"/>
    <w:rsid w:val="005B18DF"/>
    <w:rsid w:val="005B58AB"/>
    <w:rsid w:val="005C7271"/>
    <w:rsid w:val="005D22D0"/>
    <w:rsid w:val="005E5C2F"/>
    <w:rsid w:val="006042B7"/>
    <w:rsid w:val="006064F2"/>
    <w:rsid w:val="00615897"/>
    <w:rsid w:val="00622554"/>
    <w:rsid w:val="0062468F"/>
    <w:rsid w:val="006337C6"/>
    <w:rsid w:val="00633F88"/>
    <w:rsid w:val="00635CC2"/>
    <w:rsid w:val="00650AA6"/>
    <w:rsid w:val="00652F11"/>
    <w:rsid w:val="00654E81"/>
    <w:rsid w:val="00681F77"/>
    <w:rsid w:val="00683676"/>
    <w:rsid w:val="006848BA"/>
    <w:rsid w:val="00687ACF"/>
    <w:rsid w:val="0069364A"/>
    <w:rsid w:val="006C0497"/>
    <w:rsid w:val="006E23FD"/>
    <w:rsid w:val="006F24D5"/>
    <w:rsid w:val="00710248"/>
    <w:rsid w:val="00710E5D"/>
    <w:rsid w:val="00711FF6"/>
    <w:rsid w:val="00721F57"/>
    <w:rsid w:val="007322F3"/>
    <w:rsid w:val="00733133"/>
    <w:rsid w:val="007332B1"/>
    <w:rsid w:val="00733FD4"/>
    <w:rsid w:val="007350BE"/>
    <w:rsid w:val="007475B6"/>
    <w:rsid w:val="0076646B"/>
    <w:rsid w:val="00772967"/>
    <w:rsid w:val="00780C57"/>
    <w:rsid w:val="007831AC"/>
    <w:rsid w:val="007860A7"/>
    <w:rsid w:val="0078744F"/>
    <w:rsid w:val="007B2A10"/>
    <w:rsid w:val="007B4978"/>
    <w:rsid w:val="007B678F"/>
    <w:rsid w:val="007B6E8F"/>
    <w:rsid w:val="007F5750"/>
    <w:rsid w:val="007F59FA"/>
    <w:rsid w:val="00825EA9"/>
    <w:rsid w:val="00826211"/>
    <w:rsid w:val="0083140C"/>
    <w:rsid w:val="00852257"/>
    <w:rsid w:val="008559BD"/>
    <w:rsid w:val="008815F5"/>
    <w:rsid w:val="00881A20"/>
    <w:rsid w:val="00886538"/>
    <w:rsid w:val="008A063B"/>
    <w:rsid w:val="008B164D"/>
    <w:rsid w:val="008B298C"/>
    <w:rsid w:val="008B3F5E"/>
    <w:rsid w:val="008C09F2"/>
    <w:rsid w:val="008C7A5F"/>
    <w:rsid w:val="008D53EC"/>
    <w:rsid w:val="008D76CC"/>
    <w:rsid w:val="008E1475"/>
    <w:rsid w:val="008F484A"/>
    <w:rsid w:val="009149A8"/>
    <w:rsid w:val="009170C7"/>
    <w:rsid w:val="00922ABA"/>
    <w:rsid w:val="00927819"/>
    <w:rsid w:val="00927CF5"/>
    <w:rsid w:val="00932647"/>
    <w:rsid w:val="00935EB0"/>
    <w:rsid w:val="00941C69"/>
    <w:rsid w:val="009460C9"/>
    <w:rsid w:val="00953982"/>
    <w:rsid w:val="00960431"/>
    <w:rsid w:val="00960AE0"/>
    <w:rsid w:val="0096400C"/>
    <w:rsid w:val="0096599F"/>
    <w:rsid w:val="00991AD4"/>
    <w:rsid w:val="0099461B"/>
    <w:rsid w:val="0099644C"/>
    <w:rsid w:val="009A361E"/>
    <w:rsid w:val="009C10F4"/>
    <w:rsid w:val="009C1232"/>
    <w:rsid w:val="009C7CD2"/>
    <w:rsid w:val="009D1397"/>
    <w:rsid w:val="009E1A21"/>
    <w:rsid w:val="009F1562"/>
    <w:rsid w:val="00A07DE7"/>
    <w:rsid w:val="00A237A9"/>
    <w:rsid w:val="00A4754F"/>
    <w:rsid w:val="00A5341F"/>
    <w:rsid w:val="00A82CEC"/>
    <w:rsid w:val="00A83BB6"/>
    <w:rsid w:val="00A842A1"/>
    <w:rsid w:val="00A9494D"/>
    <w:rsid w:val="00A94AE3"/>
    <w:rsid w:val="00A97C58"/>
    <w:rsid w:val="00AA3899"/>
    <w:rsid w:val="00AB09E0"/>
    <w:rsid w:val="00AB6D5B"/>
    <w:rsid w:val="00AC59EE"/>
    <w:rsid w:val="00AC66C0"/>
    <w:rsid w:val="00AC71C0"/>
    <w:rsid w:val="00AC7A7A"/>
    <w:rsid w:val="00AD2F93"/>
    <w:rsid w:val="00AE5A08"/>
    <w:rsid w:val="00AF1C47"/>
    <w:rsid w:val="00AF6C09"/>
    <w:rsid w:val="00B242AD"/>
    <w:rsid w:val="00B36F25"/>
    <w:rsid w:val="00B54EF1"/>
    <w:rsid w:val="00B57DB1"/>
    <w:rsid w:val="00B609C3"/>
    <w:rsid w:val="00B65221"/>
    <w:rsid w:val="00B72E7A"/>
    <w:rsid w:val="00B778FC"/>
    <w:rsid w:val="00B844FE"/>
    <w:rsid w:val="00B95B39"/>
    <w:rsid w:val="00B964AF"/>
    <w:rsid w:val="00BB32CF"/>
    <w:rsid w:val="00BB5735"/>
    <w:rsid w:val="00BF26D3"/>
    <w:rsid w:val="00BF5BBC"/>
    <w:rsid w:val="00C071D3"/>
    <w:rsid w:val="00C256FC"/>
    <w:rsid w:val="00C26543"/>
    <w:rsid w:val="00C438D5"/>
    <w:rsid w:val="00C52F32"/>
    <w:rsid w:val="00C53B97"/>
    <w:rsid w:val="00C57829"/>
    <w:rsid w:val="00C63CFF"/>
    <w:rsid w:val="00CA37BE"/>
    <w:rsid w:val="00CA5FE7"/>
    <w:rsid w:val="00CC06CE"/>
    <w:rsid w:val="00CC538E"/>
    <w:rsid w:val="00CD4CB9"/>
    <w:rsid w:val="00CF506C"/>
    <w:rsid w:val="00D01494"/>
    <w:rsid w:val="00D31014"/>
    <w:rsid w:val="00D4286D"/>
    <w:rsid w:val="00D43E16"/>
    <w:rsid w:val="00D44D83"/>
    <w:rsid w:val="00D45D02"/>
    <w:rsid w:val="00D466FD"/>
    <w:rsid w:val="00D65974"/>
    <w:rsid w:val="00D73DDB"/>
    <w:rsid w:val="00D7684F"/>
    <w:rsid w:val="00D858D6"/>
    <w:rsid w:val="00DA44D4"/>
    <w:rsid w:val="00DA577A"/>
    <w:rsid w:val="00DB1723"/>
    <w:rsid w:val="00DB5802"/>
    <w:rsid w:val="00DD1A72"/>
    <w:rsid w:val="00DF4941"/>
    <w:rsid w:val="00DF6ED6"/>
    <w:rsid w:val="00E01750"/>
    <w:rsid w:val="00E04300"/>
    <w:rsid w:val="00E1745B"/>
    <w:rsid w:val="00E2758A"/>
    <w:rsid w:val="00E46D86"/>
    <w:rsid w:val="00E55DD2"/>
    <w:rsid w:val="00E65E68"/>
    <w:rsid w:val="00E662A6"/>
    <w:rsid w:val="00E66F15"/>
    <w:rsid w:val="00E73414"/>
    <w:rsid w:val="00EC4280"/>
    <w:rsid w:val="00EC5C8C"/>
    <w:rsid w:val="00ED282A"/>
    <w:rsid w:val="00ED2F8E"/>
    <w:rsid w:val="00ED4093"/>
    <w:rsid w:val="00ED56A2"/>
    <w:rsid w:val="00EE50A2"/>
    <w:rsid w:val="00EE6622"/>
    <w:rsid w:val="00F14594"/>
    <w:rsid w:val="00F15A97"/>
    <w:rsid w:val="00F16A28"/>
    <w:rsid w:val="00F21FE3"/>
    <w:rsid w:val="00F3209F"/>
    <w:rsid w:val="00F35FE6"/>
    <w:rsid w:val="00F37DBF"/>
    <w:rsid w:val="00F43F24"/>
    <w:rsid w:val="00F53B47"/>
    <w:rsid w:val="00F5658C"/>
    <w:rsid w:val="00F56C50"/>
    <w:rsid w:val="00F60D0B"/>
    <w:rsid w:val="00F6441B"/>
    <w:rsid w:val="00F66FAC"/>
    <w:rsid w:val="00F72128"/>
    <w:rsid w:val="00F733C1"/>
    <w:rsid w:val="00F764BE"/>
    <w:rsid w:val="00F82136"/>
    <w:rsid w:val="00F84124"/>
    <w:rsid w:val="00F876A8"/>
    <w:rsid w:val="00FA0AD8"/>
    <w:rsid w:val="00FA3214"/>
    <w:rsid w:val="00FA3E22"/>
    <w:rsid w:val="00FC453D"/>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8FF4B-005A-4601-A04A-F3AA13A5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8237</Words>
  <Characters>45309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2019-06-07T17:27:00Z</cp:lastPrinted>
  <dcterms:created xsi:type="dcterms:W3CDTF">2019-08-01T23:58:00Z</dcterms:created>
  <dcterms:modified xsi:type="dcterms:W3CDTF">2019-08-01T23:58:00Z</dcterms:modified>
</cp:coreProperties>
</file>