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5FE" w:rsidRDefault="00C815FE"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1D3A90">
        <w:rPr>
          <w:rFonts w:ascii="Palatino Linotype" w:hAnsi="Palatino Linotype"/>
        </w:rPr>
        <w:t>veintidós</w:t>
      </w:r>
      <w:r w:rsidR="003839FF">
        <w:rPr>
          <w:rFonts w:ascii="Palatino Linotype" w:hAnsi="Palatino Linotype"/>
        </w:rPr>
        <w:t xml:space="preserve"> de mayo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3839FF">
        <w:rPr>
          <w:rFonts w:ascii="Palatino Linotype" w:hAnsi="Palatino Linotype"/>
          <w:b/>
        </w:rPr>
        <w:t>01340</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7D29B1" w:rsidRPr="00C24D80">
        <w:rPr>
          <w:rFonts w:ascii="Palatino Linotype" w:hAnsi="Palatino Linotype"/>
        </w:rPr>
        <w:t>el</w:t>
      </w:r>
      <w:r w:rsidR="00845AEA" w:rsidRPr="00C24D80">
        <w:rPr>
          <w:rFonts w:ascii="Palatino Linotype" w:hAnsi="Palatino Linotype"/>
        </w:rPr>
        <w:t xml:space="preserve"> </w:t>
      </w:r>
      <w:r w:rsidR="00845AEA" w:rsidRPr="00C24D80">
        <w:rPr>
          <w:rFonts w:ascii="Palatino Linotype" w:hAnsi="Palatino Linotype"/>
          <w:b/>
        </w:rPr>
        <w:t xml:space="preserve">C. </w:t>
      </w:r>
      <w:r w:rsidR="005272F9">
        <w:rPr>
          <w:rFonts w:ascii="Palatino Linotype" w:hAnsi="Palatino Linotype"/>
          <w:b/>
        </w:rPr>
        <w:t>xxxxx xxxxxx</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3839FF">
        <w:rPr>
          <w:rFonts w:ascii="Palatino Linotype" w:hAnsi="Palatino Linotype"/>
          <w:b/>
        </w:rPr>
        <w:t>Morelos</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3839FF">
        <w:rPr>
          <w:rFonts w:ascii="Palatino Linotype" w:hAnsi="Palatino Linotype"/>
        </w:rPr>
        <w:t>ocho de febrero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3839FF">
        <w:rPr>
          <w:rFonts w:ascii="Palatino Linotype" w:hAnsi="Palatino Linotype"/>
          <w:b/>
          <w:bCs/>
          <w:color w:val="000000" w:themeColor="text1"/>
        </w:rPr>
        <w:t>00008/MORELOS</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C815FE" w:rsidRPr="00C815FE">
        <w:rPr>
          <w:rFonts w:ascii="Palatino Linotype" w:hAnsi="Palatino Linotype"/>
          <w:i/>
          <w:sz w:val="22"/>
          <w:szCs w:val="22"/>
          <w:lang w:val="es-ES_tradnl"/>
        </w:rPr>
        <w:t>Copia de los recibos de nómina y/o listas de raya de la primer y segunda quincena de enero, esto de los pagos realizados a todos los servidores públicos que laboran en el ayuntamiento y en el dif</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C815FE" w:rsidRDefault="00C815FE" w:rsidP="008D5A5D">
      <w:pPr>
        <w:pStyle w:val="Sinespaciado"/>
        <w:spacing w:line="360" w:lineRule="auto"/>
        <w:jc w:val="both"/>
        <w:rPr>
          <w:rFonts w:ascii="Palatino Linotype" w:hAnsi="Palatino Linotype" w:cs="Arial"/>
          <w:b/>
          <w:sz w:val="26"/>
          <w:szCs w:val="26"/>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lastRenderedPageBreak/>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C815FE">
        <w:rPr>
          <w:rFonts w:ascii="Palatino Linotype" w:hAnsi="Palatino Linotype" w:cs="Arial"/>
        </w:rPr>
        <w:t>seis de marzo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C815FE">
        <w:rPr>
          <w:rFonts w:ascii="Palatino Linotype" w:hAnsi="Palatino Linotype" w:cs="Arial"/>
          <w:b/>
        </w:rPr>
        <w:t>01340</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C815FE" w:rsidRPr="00C815FE">
        <w:rPr>
          <w:rFonts w:ascii="Palatino Linotype" w:hAnsi="Palatino Linotype"/>
          <w:i/>
          <w:color w:val="000000"/>
          <w:sz w:val="22"/>
          <w:szCs w:val="22"/>
        </w:rPr>
        <w:t>Solicitud de información</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C815FE" w:rsidRPr="00C815FE">
        <w:rPr>
          <w:rFonts w:ascii="Palatino Linotype" w:hAnsi="Palatino Linotype"/>
          <w:i/>
          <w:color w:val="000000"/>
          <w:sz w:val="22"/>
          <w:szCs w:val="22"/>
        </w:rPr>
        <w:t>No me entregaron lo que solicite, que son copia de los recibos de nómina de la primer y segunda que de enero, me gustaría que fueran entregados también conforme al informe presentado ante el OSFEM</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C815FE">
        <w:rPr>
          <w:rFonts w:ascii="Palatino Linotype" w:hAnsi="Palatino Linotype"/>
        </w:rPr>
        <w:t>doce de marzo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Recurrente no presentó sus manifestaciones y alegatos.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882B61" w:rsidP="00E8191D">
      <w:pPr>
        <w:pStyle w:val="Sinespaciado"/>
        <w:spacing w:line="360" w:lineRule="auto"/>
        <w:jc w:val="center"/>
        <w:rPr>
          <w:rFonts w:ascii="Palatino Linotype" w:hAnsi="Palatino Linotype"/>
        </w:rPr>
      </w:pPr>
      <w:r>
        <w:rPr>
          <w:noProof/>
          <w:lang w:eastAsia="es-MX"/>
        </w:rPr>
        <w:drawing>
          <wp:inline distT="0" distB="0" distL="0" distR="0" wp14:anchorId="2F70264A" wp14:editId="34FFECC8">
            <wp:extent cx="5221288"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812" r="29067" b="56496"/>
                    <a:stretch/>
                  </pic:blipFill>
                  <pic:spPr bwMode="auto">
                    <a:xfrm>
                      <a:off x="0" y="0"/>
                      <a:ext cx="5241627" cy="1740303"/>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E8191D">
        <w:rPr>
          <w:rFonts w:ascii="Palatino Linotype" w:hAnsi="Palatino Linotype"/>
        </w:rPr>
        <w:t>veinticinco</w:t>
      </w:r>
      <w:r>
        <w:rPr>
          <w:rFonts w:ascii="Palatino Linotype" w:hAnsi="Palatino Linotype"/>
        </w:rPr>
        <w:t xml:space="preserve"> de marzo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E8191D" w:rsidP="00882B61">
      <w:pPr>
        <w:pStyle w:val="Sinespaciado"/>
        <w:spacing w:line="360" w:lineRule="auto"/>
        <w:jc w:val="both"/>
        <w:rPr>
          <w:rFonts w:ascii="Palatino Linotype" w:hAnsi="Palatino Linotype" w:cs="Arial"/>
        </w:rPr>
      </w:pPr>
      <w:r>
        <w:rPr>
          <w:rFonts w:ascii="Palatino Linotype" w:hAnsi="Palatino Linotype" w:cs="Arial"/>
        </w:rPr>
        <w:t>En fecha dos de mayo</w:t>
      </w:r>
      <w:r w:rsidR="00882B61">
        <w:rPr>
          <w:rFonts w:ascii="Palatino Linotype" w:hAnsi="Palatino Linotype" w:cs="Arial"/>
        </w:rPr>
        <w:t xml:space="preserve"> de dos mil diecinueve</w:t>
      </w:r>
      <w:r w:rsidR="00882B61" w:rsidRPr="001D3382">
        <w:rPr>
          <w:rFonts w:ascii="Palatino Linotype" w:hAnsi="Palatino Linotype" w:cs="Arial"/>
        </w:rPr>
        <w:t xml:space="preserve">, se amplió el término para resolver el recurso de revisión en términos del artículo 181 párrafo tercero de la Ley de </w:t>
      </w:r>
      <w:r w:rsidR="00882B61" w:rsidRPr="001D3382">
        <w:rPr>
          <w:rFonts w:ascii="Palatino Linotype" w:hAnsi="Palatino Linotype" w:cs="Arial"/>
        </w:rPr>
        <w:lastRenderedPageBreak/>
        <w:t>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 vigésimo primero y vigésimo segundo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 xml:space="preserve">Ley de Transparencia y Acceso a la Información Pública del Estado de </w:t>
      </w:r>
      <w:r w:rsidRPr="00C24D80">
        <w:rPr>
          <w:rFonts w:ascii="Palatino Linotype" w:eastAsia="Calibri" w:hAnsi="Palatino Linotype"/>
          <w:b/>
        </w:rPr>
        <w:lastRenderedPageBreak/>
        <w:t>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F0DEF">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996DE7" w:rsidRPr="00C24D80" w:rsidRDefault="00087DCC" w:rsidP="00BC0474">
      <w:pPr>
        <w:pStyle w:val="Sinespaciado"/>
        <w:spacing w:line="360" w:lineRule="auto"/>
        <w:jc w:val="both"/>
        <w:rPr>
          <w:rFonts w:ascii="Palatino Linotype" w:hAnsi="Palatino Linotype" w:cs="Arial"/>
        </w:rPr>
      </w:pPr>
      <w:r w:rsidRPr="00C24D80">
        <w:rPr>
          <w:rFonts w:ascii="Palatino Linotype" w:hAnsi="Palatino Linotype" w:cs="Arial"/>
        </w:rPr>
        <w:lastRenderedPageBreak/>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A0709D" w:rsidRPr="00C24D80">
        <w:rPr>
          <w:rFonts w:ascii="Palatino Linotype" w:hAnsi="Palatino Linotype" w:cs="Arial"/>
        </w:rPr>
        <w:t>entregue</w:t>
      </w:r>
      <w:r w:rsidR="00996DE7" w:rsidRPr="00C24D80">
        <w:rPr>
          <w:rFonts w:ascii="Palatino Linotype" w:hAnsi="Palatino Linotype" w:cs="Arial"/>
        </w:rPr>
        <w:t xml:space="preserve"> lo siguiente:</w:t>
      </w:r>
    </w:p>
    <w:p w:rsidR="00996DE7" w:rsidRPr="00C24D80" w:rsidRDefault="00996DE7" w:rsidP="00BC0474">
      <w:pPr>
        <w:pStyle w:val="Sinespaciado"/>
        <w:spacing w:line="360" w:lineRule="auto"/>
        <w:jc w:val="both"/>
        <w:rPr>
          <w:rFonts w:ascii="Palatino Linotype" w:hAnsi="Palatino Linotype" w:cs="Arial"/>
        </w:rPr>
      </w:pPr>
    </w:p>
    <w:p w:rsidR="00663F69" w:rsidRPr="00663F69" w:rsidRDefault="00663F69" w:rsidP="00663F69">
      <w:pPr>
        <w:pStyle w:val="Sinespaciado"/>
        <w:numPr>
          <w:ilvl w:val="0"/>
          <w:numId w:val="3"/>
        </w:numPr>
        <w:jc w:val="both"/>
        <w:rPr>
          <w:rFonts w:ascii="Palatino Linotype" w:hAnsi="Palatino Linotype" w:cs="Arial"/>
        </w:rPr>
      </w:pPr>
      <w:r>
        <w:rPr>
          <w:rFonts w:ascii="Palatino Linotype" w:hAnsi="Palatino Linotype" w:cs="Arial"/>
          <w:i/>
        </w:rPr>
        <w:t>Copias de los r</w:t>
      </w:r>
      <w:r w:rsidR="00171965" w:rsidRPr="00C24D80">
        <w:rPr>
          <w:rFonts w:ascii="Palatino Linotype" w:hAnsi="Palatino Linotype" w:cs="Arial"/>
          <w:i/>
        </w:rPr>
        <w:t xml:space="preserve">ecibos de nómina </w:t>
      </w:r>
      <w:r>
        <w:rPr>
          <w:rFonts w:ascii="Palatino Linotype" w:hAnsi="Palatino Linotype" w:cs="Arial"/>
          <w:i/>
        </w:rPr>
        <w:t xml:space="preserve">y/o lista de raya de la primera y segunda quincena de enero de todos los servidores públicos que laboran en el Ayuntamiento y en el </w:t>
      </w:r>
      <w:r w:rsidR="00921DCE">
        <w:rPr>
          <w:rFonts w:ascii="Palatino Linotype" w:hAnsi="Palatino Linotype" w:cs="Arial"/>
          <w:i/>
        </w:rPr>
        <w:t>Sistema Municipal para el Desarrollo Integral de la Familia de Morelos.</w:t>
      </w:r>
    </w:p>
    <w:p w:rsidR="006042AA" w:rsidRDefault="006042AA" w:rsidP="00663F69">
      <w:pPr>
        <w:pStyle w:val="Sinespaciado"/>
        <w:ind w:left="780"/>
        <w:jc w:val="both"/>
        <w:rPr>
          <w:rFonts w:ascii="Palatino Linotype" w:hAnsi="Palatino Linotype" w:cs="Arial"/>
        </w:rPr>
      </w:pPr>
    </w:p>
    <w:p w:rsidR="006042AA" w:rsidRPr="00BF0BA6" w:rsidRDefault="00976D4C" w:rsidP="00BC0474">
      <w:pPr>
        <w:pStyle w:val="Sinespaciado"/>
        <w:spacing w:line="360" w:lineRule="auto"/>
        <w:jc w:val="both"/>
        <w:rPr>
          <w:rFonts w:ascii="Palatino Linotype" w:hAnsi="Palatino Linotype" w:cs="Arial"/>
        </w:rPr>
      </w:pPr>
      <w:r w:rsidRPr="00BF0BA6">
        <w:rPr>
          <w:rFonts w:ascii="Palatino Linotype" w:hAnsi="Palatino Linotype" w:cs="Arial"/>
        </w:rPr>
        <w:t>Ahora bien, quedando establecido lo anterior, este Órgano Garante</w:t>
      </w:r>
      <w:r w:rsidR="006042AA" w:rsidRPr="00BF0BA6">
        <w:rPr>
          <w:rFonts w:ascii="Palatino Linotype" w:hAnsi="Palatino Linotype" w:cs="Arial"/>
        </w:rPr>
        <w:t xml:space="preserve"> considera viable realizar el estudio en aras de establecer si el Sujeto Obligado cuenta con</w:t>
      </w:r>
      <w:r w:rsidR="00A6643E" w:rsidRPr="00BF0BA6">
        <w:rPr>
          <w:rFonts w:ascii="Palatino Linotype" w:hAnsi="Palatino Linotype" w:cs="Arial"/>
        </w:rPr>
        <w:t xml:space="preserve"> las atribuciones para</w:t>
      </w:r>
      <w:r w:rsidR="00231273" w:rsidRPr="00BF0BA6">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al Recurrente.</w:t>
      </w:r>
    </w:p>
    <w:p w:rsidR="002D06A4" w:rsidRPr="00BF0BA6" w:rsidRDefault="002D06A4"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Pr="00C24D80" w:rsidRDefault="006D6A42" w:rsidP="0011355F">
      <w:pPr>
        <w:pStyle w:val="Sinespaciado"/>
        <w:spacing w:line="360" w:lineRule="auto"/>
        <w:jc w:val="both"/>
        <w:rPr>
          <w:rFonts w:ascii="Palatino Linotype" w:hAnsi="Palatino Linotype"/>
        </w:rPr>
      </w:pPr>
    </w:p>
    <w:p w:rsidR="0011355F" w:rsidRPr="00C24D80" w:rsidRDefault="0011355F" w:rsidP="0011355F">
      <w:pPr>
        <w:pStyle w:val="Sinespaciado"/>
        <w:spacing w:line="360" w:lineRule="auto"/>
        <w:jc w:val="both"/>
        <w:rPr>
          <w:rFonts w:ascii="Palatino Linotype" w:eastAsia="Calibri" w:hAnsi="Palatino Linotype" w:cs="Arial"/>
          <w:lang w:eastAsia="es-MX"/>
        </w:rPr>
      </w:pPr>
      <w:r w:rsidRPr="00C24D80">
        <w:rPr>
          <w:rFonts w:ascii="Palatino Linotype" w:eastAsia="Calibri" w:hAnsi="Palatino Linotype" w:cs="Arial"/>
          <w:lang w:eastAsia="es-MX"/>
        </w:rPr>
        <w:lastRenderedPageBreak/>
        <w:t>Así, conviene citar lo establecido por el artículo 31 fracción XVIII, de la Ley Orgánica Municipal del Estado de México,</w:t>
      </w:r>
      <w:r w:rsidR="00BF0BA6">
        <w:rPr>
          <w:rFonts w:ascii="Palatino Linotype" w:eastAsia="Calibri" w:hAnsi="Palatino Linotype" w:cs="Arial"/>
          <w:lang w:eastAsia="es-MX"/>
        </w:rPr>
        <w:t xml:space="preserve"> que a la letr</w:t>
      </w:r>
      <w:r w:rsidRPr="00C24D80">
        <w:rPr>
          <w:rFonts w:ascii="Palatino Linotype" w:eastAsia="Calibri" w:hAnsi="Palatino Linotype" w:cs="Arial"/>
          <w:lang w:eastAsia="es-MX"/>
        </w:rPr>
        <w:t>a señala:</w:t>
      </w:r>
    </w:p>
    <w:p w:rsidR="0011355F" w:rsidRPr="00C24D80" w:rsidRDefault="0011355F" w:rsidP="0011355F">
      <w:pPr>
        <w:pStyle w:val="Sinespaciado"/>
        <w:spacing w:line="360" w:lineRule="auto"/>
        <w:jc w:val="both"/>
        <w:rPr>
          <w:rFonts w:ascii="Palatino Linotype" w:eastAsia="Calibri" w:hAnsi="Palatino Linotype" w:cs="Arial"/>
          <w:lang w:eastAsia="es-MX"/>
        </w:rPr>
      </w:pPr>
    </w:p>
    <w:p w:rsidR="0011355F" w:rsidRPr="00BF0BA6" w:rsidRDefault="0011355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b/>
          <w:i/>
          <w:sz w:val="22"/>
          <w:szCs w:val="22"/>
        </w:rPr>
        <w:t>Artículo 31</w:t>
      </w:r>
      <w:r w:rsidRPr="00BF0BA6">
        <w:rPr>
          <w:rFonts w:ascii="Palatino Linotype" w:hAnsi="Palatino Linotype" w:cs="Arial"/>
          <w:i/>
          <w:sz w:val="22"/>
          <w:szCs w:val="22"/>
        </w:rPr>
        <w:t>.- Son atribuciones de los ayuntamientos:</w:t>
      </w:r>
    </w:p>
    <w:p w:rsidR="0011355F" w:rsidRPr="00BF0BA6" w:rsidRDefault="003809A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r w:rsidR="0011355F" w:rsidRPr="00BF0BA6">
        <w:rPr>
          <w:rFonts w:ascii="Palatino Linotype" w:hAnsi="Palatino Linotype" w:cs="Arial"/>
          <w:i/>
          <w:sz w:val="22"/>
          <w:szCs w:val="22"/>
        </w:rPr>
        <w:t>…</w:t>
      </w:r>
      <w:r w:rsidRPr="00BF0BA6">
        <w:rPr>
          <w:rFonts w:ascii="Palatino Linotype" w:hAnsi="Palatino Linotype" w:cs="Arial"/>
          <w:i/>
          <w:sz w:val="22"/>
          <w:szCs w:val="22"/>
        </w:rPr>
        <w:t>)</w:t>
      </w:r>
    </w:p>
    <w:p w:rsidR="0011355F" w:rsidRPr="00BF0BA6" w:rsidRDefault="0011355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XVIII. Administrar su hacienda en términos de ley, y controlar a través del presidente y síndico la aplicación del presupuesto de egresos del municipio;</w:t>
      </w:r>
    </w:p>
    <w:p w:rsidR="0011355F" w:rsidRPr="00BF0BA6" w:rsidRDefault="003809A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p>
    <w:p w:rsidR="0011355F" w:rsidRPr="00C24D80" w:rsidRDefault="0011355F" w:rsidP="0011355F">
      <w:pPr>
        <w:pStyle w:val="Sinespaciado"/>
        <w:spacing w:line="360" w:lineRule="auto"/>
        <w:jc w:val="both"/>
        <w:rPr>
          <w:rFonts w:ascii="Palatino Linotype" w:hAnsi="Palatino Linotype" w:cs="Arial"/>
          <w:i/>
        </w:rPr>
      </w:pPr>
    </w:p>
    <w:p w:rsidR="0011355F" w:rsidRPr="00C24D80" w:rsidRDefault="0011355F" w:rsidP="0011355F">
      <w:pPr>
        <w:pStyle w:val="Sinespaciado"/>
        <w:spacing w:line="360" w:lineRule="auto"/>
        <w:jc w:val="both"/>
        <w:rPr>
          <w:rFonts w:ascii="Palatino Linotype" w:hAnsi="Palatino Linotype" w:cs="Arial"/>
        </w:rPr>
      </w:pPr>
      <w:r w:rsidRPr="00C24D80">
        <w:rPr>
          <w:rFonts w:ascii="Palatino Linotype" w:hAnsi="Palatino Linotype" w:cs="Arial"/>
        </w:rPr>
        <w:t>Precepto legal del que se advierte que los Ayuntamientos tienen la atribución de administrar los recursos obtenidos de su hacienda, en los términos de la legi</w:t>
      </w:r>
      <w:r w:rsidR="00BF0BA6">
        <w:rPr>
          <w:rFonts w:ascii="Palatino Linotype" w:hAnsi="Palatino Linotype" w:cs="Arial"/>
        </w:rPr>
        <w:t>slación aplicable, controlando,</w:t>
      </w:r>
      <w:r w:rsidRPr="00C24D80">
        <w:rPr>
          <w:rFonts w:ascii="Palatino Linotype" w:hAnsi="Palatino Linotype" w:cs="Arial"/>
        </w:rPr>
        <w:t xml:space="preserve"> a través del Presidente y Síndico Municipal</w:t>
      </w:r>
      <w:r w:rsidR="00BF0BA6">
        <w:rPr>
          <w:rFonts w:ascii="Palatino Linotype" w:hAnsi="Palatino Linotype" w:cs="Arial"/>
        </w:rPr>
        <w:t>,</w:t>
      </w:r>
      <w:r w:rsidRPr="00C24D80">
        <w:rPr>
          <w:rFonts w:ascii="Palatino Linotype" w:hAnsi="Palatino Linotype" w:cs="Arial"/>
        </w:rPr>
        <w:t xml:space="preserve"> la aplicación del presupuesto de egresos otorgado anualmente a los Municipios.</w:t>
      </w:r>
    </w:p>
    <w:p w:rsidR="003809AF" w:rsidRPr="00C24D80" w:rsidRDefault="003809AF" w:rsidP="0011355F">
      <w:pPr>
        <w:pStyle w:val="Sinespaciado"/>
        <w:spacing w:line="360" w:lineRule="auto"/>
        <w:jc w:val="both"/>
        <w:rPr>
          <w:rFonts w:ascii="Palatino Linotype" w:hAnsi="Palatino Linotype" w:cs="Arial"/>
        </w:rPr>
      </w:pPr>
    </w:p>
    <w:p w:rsidR="0011355F" w:rsidRPr="00345827" w:rsidRDefault="0011355F" w:rsidP="0011355F">
      <w:pPr>
        <w:pStyle w:val="Sinespaciado"/>
        <w:spacing w:line="360" w:lineRule="auto"/>
        <w:jc w:val="both"/>
        <w:rPr>
          <w:rFonts w:ascii="Palatino Linotype" w:hAnsi="Palatino Linotype" w:cs="Arial"/>
          <w:color w:val="000000" w:themeColor="text1"/>
        </w:rPr>
      </w:pPr>
      <w:r w:rsidRPr="00345827">
        <w:rPr>
          <w:rFonts w:ascii="Palatino Linotype" w:hAnsi="Palatino Linotype" w:cs="Arial"/>
          <w:color w:val="000000" w:themeColor="text1"/>
        </w:rPr>
        <w:t>Asimismo, y toda vez que la materia elemental de la solicitud de inform</w:t>
      </w:r>
      <w:r w:rsidR="0095759E" w:rsidRPr="00345827">
        <w:rPr>
          <w:rFonts w:ascii="Palatino Linotype" w:hAnsi="Palatino Linotype" w:cs="Arial"/>
          <w:color w:val="000000" w:themeColor="text1"/>
        </w:rPr>
        <w:t>ación pública, es referente a los recibos de</w:t>
      </w:r>
      <w:r w:rsidRPr="00345827">
        <w:rPr>
          <w:rFonts w:ascii="Palatino Linotype" w:hAnsi="Palatino Linotype" w:cs="Arial"/>
          <w:color w:val="000000" w:themeColor="text1"/>
        </w:rPr>
        <w:t xml:space="preserve"> nómina de</w:t>
      </w:r>
      <w:r w:rsidR="0095759E" w:rsidRPr="00345827">
        <w:rPr>
          <w:rFonts w:ascii="Palatino Linotype" w:hAnsi="Palatino Linotype" w:cs="Arial"/>
          <w:color w:val="000000" w:themeColor="text1"/>
        </w:rPr>
        <w:t xml:space="preserve"> </w:t>
      </w:r>
      <w:r w:rsidR="00345827">
        <w:rPr>
          <w:rFonts w:ascii="Palatino Linotype" w:hAnsi="Palatino Linotype" w:cs="Arial"/>
          <w:color w:val="000000" w:themeColor="text1"/>
        </w:rPr>
        <w:t>todo el personal adscrito al Sujeto Obligado</w:t>
      </w:r>
      <w:r w:rsidRPr="00345827">
        <w:rPr>
          <w:rFonts w:ascii="Palatino Linotype" w:hAnsi="Palatino Linotype" w:cs="Arial"/>
          <w:color w:val="000000" w:themeColor="text1"/>
        </w:rPr>
        <w:t xml:space="preserve">, es preciso señalar que en nuestra legislación no existe como tal una definición de </w:t>
      </w:r>
      <w:r w:rsidRPr="00345827">
        <w:rPr>
          <w:rFonts w:ascii="Palatino Linotype" w:hAnsi="Palatino Linotype" w:cs="Arial"/>
          <w:b/>
          <w:color w:val="000000" w:themeColor="text1"/>
        </w:rPr>
        <w:t>“</w:t>
      </w:r>
      <w:r w:rsidRPr="00345827">
        <w:rPr>
          <w:rFonts w:ascii="Palatino Linotype" w:hAnsi="Palatino Linotype" w:cs="Arial"/>
          <w:b/>
          <w:color w:val="000000" w:themeColor="text1"/>
          <w:u w:val="single"/>
        </w:rPr>
        <w:t>nómina</w:t>
      </w:r>
      <w:r w:rsidRPr="00345827">
        <w:rPr>
          <w:rFonts w:ascii="Palatino Linotype" w:hAnsi="Palatino Linotype" w:cs="Arial"/>
          <w:b/>
          <w:color w:val="000000" w:themeColor="text1"/>
        </w:rPr>
        <w:t>”</w:t>
      </w:r>
      <w:r w:rsidRPr="00345827">
        <w:rPr>
          <w:rFonts w:ascii="Palatino Linotype" w:hAnsi="Palatino Linotype" w:cs="Arial"/>
          <w:color w:val="000000" w:themeColor="text1"/>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F0BA6" w:rsidRPr="00345827" w:rsidRDefault="00BF0BA6" w:rsidP="0011355F">
      <w:pPr>
        <w:pStyle w:val="Sinespaciado"/>
        <w:spacing w:line="360" w:lineRule="auto"/>
        <w:jc w:val="both"/>
        <w:rPr>
          <w:rFonts w:ascii="Palatino Linotype" w:hAnsi="Palatino Linotype" w:cs="Arial"/>
          <w:color w:val="000000" w:themeColor="text1"/>
        </w:rPr>
      </w:pPr>
    </w:p>
    <w:p w:rsidR="0011355F" w:rsidRPr="00A00FBB" w:rsidRDefault="0011355F" w:rsidP="003809AF">
      <w:pPr>
        <w:pStyle w:val="Sinespaciado"/>
        <w:ind w:left="567" w:right="567"/>
        <w:jc w:val="both"/>
        <w:rPr>
          <w:rFonts w:ascii="Palatino Linotype" w:hAnsi="Palatino Linotype" w:cs="Arial"/>
          <w:i/>
          <w:sz w:val="22"/>
          <w:szCs w:val="22"/>
        </w:rPr>
      </w:pPr>
      <w:r w:rsidRPr="00A00FBB">
        <w:rPr>
          <w:rFonts w:ascii="Palatino Linotype" w:hAnsi="Palatino Linotype" w:cs="Arial"/>
          <w:b/>
          <w:i/>
          <w:sz w:val="22"/>
          <w:szCs w:val="22"/>
        </w:rPr>
        <w:t>NÓMINA</w:t>
      </w:r>
      <w:r w:rsidRPr="00A00FBB">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w:t>
      </w:r>
      <w:r w:rsidR="003809AF" w:rsidRPr="00A00FBB">
        <w:rPr>
          <w:rFonts w:ascii="Palatino Linotype" w:hAnsi="Palatino Linotype" w:cs="Arial"/>
          <w:i/>
          <w:sz w:val="22"/>
          <w:szCs w:val="22"/>
        </w:rPr>
        <w:t>to de sueldos y salarios.</w:t>
      </w:r>
    </w:p>
    <w:p w:rsidR="00B51AF4" w:rsidRDefault="00B51AF4" w:rsidP="0011355F">
      <w:pPr>
        <w:pStyle w:val="Sinespaciado"/>
        <w:spacing w:line="360" w:lineRule="auto"/>
        <w:jc w:val="both"/>
        <w:rPr>
          <w:rFonts w:ascii="Palatino Linotype" w:hAnsi="Palatino Linotype" w:cs="Arial"/>
        </w:rPr>
      </w:pPr>
    </w:p>
    <w:p w:rsidR="0095759E" w:rsidRPr="00C24D80" w:rsidRDefault="00B51AF4" w:rsidP="0011355F">
      <w:pPr>
        <w:pStyle w:val="Sinespaciado"/>
        <w:spacing w:line="360" w:lineRule="auto"/>
        <w:jc w:val="both"/>
        <w:rPr>
          <w:rFonts w:ascii="Palatino Linotype" w:hAnsi="Palatino Linotype" w:cs="Arial"/>
        </w:rPr>
      </w:pPr>
      <w:r>
        <w:rPr>
          <w:rFonts w:ascii="Palatino Linotype" w:hAnsi="Palatino Linotype" w:cs="Arial"/>
        </w:rPr>
        <w:t xml:space="preserve">Por tal motivo, es necesario dejar establecido que </w:t>
      </w:r>
      <w:r w:rsidR="00AF43B5" w:rsidRPr="00C24D80">
        <w:rPr>
          <w:rFonts w:ascii="Palatino Linotype" w:hAnsi="Palatino Linotype" w:cs="Arial"/>
        </w:rPr>
        <w:t xml:space="preserve">es la Tesorería Municipal la instancia competente para dar trámite a las solicitudes de información materia de este recurso; </w:t>
      </w:r>
      <w:r>
        <w:rPr>
          <w:rFonts w:ascii="Palatino Linotype" w:hAnsi="Palatino Linotype" w:cs="Arial"/>
        </w:rPr>
        <w:t xml:space="preserve">pues esa </w:t>
      </w:r>
      <w:r w:rsidR="00AF43B5" w:rsidRPr="00C24D80">
        <w:rPr>
          <w:rFonts w:ascii="Palatino Linotype" w:hAnsi="Palatino Linotype" w:cs="Arial"/>
        </w:rPr>
        <w:t>unidad administrativa es la responsable de generar, recopilar, administrar, manejar, procesar, archivar y conservar la información pública de acuerdo con sus atribuciones legales, esto con fundamento en los artículos 93, 94 y 95 de la Ley Orgánica Municipal del Estado de M</w:t>
      </w:r>
      <w:r w:rsidR="00621549" w:rsidRPr="00C24D80">
        <w:rPr>
          <w:rFonts w:ascii="Palatino Linotype" w:hAnsi="Palatino Linotype" w:cs="Arial"/>
        </w:rPr>
        <w:t xml:space="preserve">éxico, que a la letra establecen lo siguiente: </w:t>
      </w:r>
    </w:p>
    <w:p w:rsidR="00AF43B5" w:rsidRPr="00C24D80" w:rsidRDefault="00AF43B5" w:rsidP="0011355F">
      <w:pPr>
        <w:pStyle w:val="Sinespaciado"/>
        <w:spacing w:line="360" w:lineRule="auto"/>
        <w:jc w:val="both"/>
        <w:rPr>
          <w:rFonts w:ascii="Palatino Linotype" w:hAnsi="Palatino Linotype" w:cs="Arial"/>
        </w:rPr>
      </w:pP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b/>
          <w:bCs/>
          <w:i/>
          <w:sz w:val="22"/>
          <w:szCs w:val="22"/>
        </w:rPr>
        <w:t xml:space="preserve">Artículo 93.- </w:t>
      </w:r>
      <w:r w:rsidRPr="00BA2E08">
        <w:rPr>
          <w:rFonts w:ascii="Palatino Linotype" w:hAnsi="Palatino Linotype" w:cs="Arial"/>
          <w:b/>
          <w:i/>
          <w:sz w:val="22"/>
          <w:szCs w:val="22"/>
          <w:u w:val="single"/>
        </w:rPr>
        <w:t xml:space="preserve">La tesorería municipal es </w:t>
      </w:r>
      <w:r w:rsidRPr="00BA2E08">
        <w:rPr>
          <w:rFonts w:ascii="Palatino Linotype" w:hAnsi="Palatino Linotype" w:cs="Arial"/>
          <w:i/>
          <w:sz w:val="22"/>
          <w:szCs w:val="22"/>
        </w:rPr>
        <w:t xml:space="preserve">el órgano encargado de la recaudación de los ingresos municipales y </w:t>
      </w:r>
      <w:r w:rsidRPr="00BA2E08">
        <w:rPr>
          <w:rFonts w:ascii="Palatino Linotype" w:hAnsi="Palatino Linotype" w:cs="Arial"/>
          <w:b/>
          <w:i/>
          <w:sz w:val="22"/>
          <w:szCs w:val="22"/>
          <w:u w:val="single"/>
        </w:rPr>
        <w:t>responsable de realizar las erogaciones que haga el ayuntamiento</w:t>
      </w:r>
      <w:r w:rsidRPr="00BA2E08">
        <w:rPr>
          <w:rFonts w:ascii="Palatino Linotype" w:hAnsi="Palatino Linotype" w:cs="Arial"/>
          <w:i/>
          <w:sz w:val="22"/>
          <w:szCs w:val="22"/>
        </w:rPr>
        <w:t xml:space="preserve">. </w:t>
      </w:r>
    </w:p>
    <w:p w:rsidR="00621549" w:rsidRPr="00BA2E08" w:rsidRDefault="00621549" w:rsidP="00621549">
      <w:pPr>
        <w:pStyle w:val="Sinespaciado"/>
        <w:ind w:left="567" w:right="567"/>
        <w:jc w:val="both"/>
        <w:rPr>
          <w:rFonts w:ascii="Palatino Linotype" w:hAnsi="Palatino Linotype" w:cs="Arial"/>
          <w:b/>
          <w:bCs/>
          <w:i/>
          <w:sz w:val="22"/>
          <w:szCs w:val="22"/>
        </w:rPr>
      </w:pP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b/>
          <w:bCs/>
          <w:i/>
          <w:sz w:val="22"/>
          <w:szCs w:val="22"/>
        </w:rPr>
        <w:t xml:space="preserve">Artículo 94.- </w:t>
      </w:r>
      <w:r w:rsidRPr="00BA2E08">
        <w:rPr>
          <w:rFonts w:ascii="Palatino Linotype" w:hAnsi="Palatino Linotype" w:cs="Arial"/>
          <w:b/>
          <w:i/>
          <w:sz w:val="22"/>
          <w:szCs w:val="22"/>
          <w:u w:val="single"/>
        </w:rPr>
        <w:t>El tesorero municipal, al tomar posesión de su cargo, recibirá la hacienda pública de acuerdo con las previsiones a que se refiere el artículo 19 de esta Ley</w:t>
      </w:r>
      <w:r w:rsidRPr="00BA2E08">
        <w:rPr>
          <w:rFonts w:ascii="Palatino Linotype" w:hAnsi="Palatino Linotype" w:cs="Arial"/>
          <w:i/>
          <w:sz w:val="22"/>
          <w:szCs w:val="22"/>
        </w:rPr>
        <w:t xml:space="preserve"> y remitirá un ejemplar de dicha documentación al ayuntamiento, al Órgano Superior de Fiscalización del Estado de México y al archivo de la tesorería. </w:t>
      </w:r>
    </w:p>
    <w:p w:rsidR="00621549" w:rsidRPr="00BA2E08" w:rsidRDefault="00621549" w:rsidP="00621549">
      <w:pPr>
        <w:pStyle w:val="Sinespaciado"/>
        <w:ind w:left="567" w:right="567"/>
        <w:jc w:val="both"/>
        <w:rPr>
          <w:rFonts w:ascii="Palatino Linotype" w:hAnsi="Palatino Linotype" w:cs="Arial"/>
          <w:b/>
          <w:bCs/>
          <w:i/>
          <w:sz w:val="22"/>
          <w:szCs w:val="22"/>
        </w:rPr>
      </w:pP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b/>
          <w:bCs/>
          <w:i/>
          <w:sz w:val="22"/>
          <w:szCs w:val="22"/>
        </w:rPr>
        <w:t xml:space="preserve">Artículo 95.- </w:t>
      </w:r>
      <w:r w:rsidRPr="00BA2E08">
        <w:rPr>
          <w:rFonts w:ascii="Palatino Linotype" w:hAnsi="Palatino Linotype" w:cs="Arial"/>
          <w:b/>
          <w:i/>
          <w:sz w:val="22"/>
          <w:szCs w:val="22"/>
          <w:u w:val="single"/>
        </w:rPr>
        <w:t>Son atribuciones del tesorero municipal</w:t>
      </w:r>
      <w:r w:rsidRPr="00BA2E08">
        <w:rPr>
          <w:rFonts w:ascii="Palatino Linotype" w:hAnsi="Palatino Linotype" w:cs="Arial"/>
          <w:i/>
          <w:sz w:val="22"/>
          <w:szCs w:val="22"/>
        </w:rPr>
        <w:t>:</w:t>
      </w:r>
    </w:p>
    <w:p w:rsidR="00621549" w:rsidRPr="00BA2E08" w:rsidRDefault="00621549" w:rsidP="00621549">
      <w:pPr>
        <w:pStyle w:val="Sinespaciado"/>
        <w:ind w:left="567" w:right="567"/>
        <w:jc w:val="both"/>
        <w:rPr>
          <w:rFonts w:ascii="Palatino Linotype" w:hAnsi="Palatino Linotype" w:cs="Arial"/>
          <w:i/>
          <w:sz w:val="22"/>
          <w:szCs w:val="22"/>
        </w:rPr>
      </w:pP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I. </w:t>
      </w:r>
      <w:r w:rsidRPr="00BA2E08">
        <w:rPr>
          <w:rFonts w:ascii="Palatino Linotype" w:hAnsi="Palatino Linotype" w:cs="Arial"/>
          <w:b/>
          <w:i/>
          <w:sz w:val="22"/>
          <w:szCs w:val="22"/>
          <w:u w:val="single"/>
        </w:rPr>
        <w:t>Administrar la hacienda pública municipal, de conformidad con las disposiciones legales aplicables</w:t>
      </w:r>
      <w:r w:rsidRPr="00BA2E08">
        <w:rPr>
          <w:rFonts w:ascii="Palatino Linotype" w:hAnsi="Palatino Linotype" w:cs="Arial"/>
          <w:i/>
          <w:sz w:val="22"/>
          <w:szCs w:val="22"/>
        </w:rPr>
        <w:t xml:space="preserve">;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III. Imponer las sanciones administrativas que procedan por infracciones a las disposiciones fiscales;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IV. </w:t>
      </w:r>
      <w:r w:rsidRPr="00BA2E08">
        <w:rPr>
          <w:rFonts w:ascii="Palatino Linotype" w:hAnsi="Palatino Linotype" w:cs="Arial"/>
          <w:b/>
          <w:i/>
          <w:sz w:val="22"/>
          <w:szCs w:val="22"/>
          <w:u w:val="single"/>
        </w:rPr>
        <w:t>Llevar los registros contables, financieros y administrativos de los</w:t>
      </w:r>
      <w:r w:rsidRPr="00BA2E08">
        <w:rPr>
          <w:rFonts w:ascii="Palatino Linotype" w:hAnsi="Palatino Linotype" w:cs="Arial"/>
          <w:i/>
          <w:sz w:val="22"/>
          <w:szCs w:val="22"/>
        </w:rPr>
        <w:t xml:space="preserve"> ingresos, </w:t>
      </w:r>
      <w:r w:rsidRPr="00BA2E08">
        <w:rPr>
          <w:rFonts w:ascii="Palatino Linotype" w:hAnsi="Palatino Linotype" w:cs="Arial"/>
          <w:b/>
          <w:i/>
          <w:sz w:val="22"/>
          <w:szCs w:val="22"/>
          <w:u w:val="single"/>
        </w:rPr>
        <w:t>egresos</w:t>
      </w:r>
      <w:r w:rsidRPr="00BA2E08">
        <w:rPr>
          <w:rFonts w:ascii="Palatino Linotype" w:hAnsi="Palatino Linotype" w:cs="Arial"/>
          <w:i/>
          <w:sz w:val="22"/>
          <w:szCs w:val="22"/>
        </w:rPr>
        <w:t xml:space="preserve">, e inventarios;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VI. Presentar anualmente al ayuntamiento un informe de la situación contable financiera de la Tesorería Municipal;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VII. Diseñar y aprobar las formas oficiales de manifestaciones, avisos y declaraciones y demás documentos requeridos;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VIII. Participar en la formulación de Convenios Fiscales y ejercer las atribuciones que le correspondan en el ámbito de su competencia;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IX. Proponer al ayuntamiento la cancelación de cuentas incobrables;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 Custodiar y ejercer las garantías que se otorguen en favor de la hacienda municipal;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XI. Proponer la política de ingresos de la tesorería municipal;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XII. Intervenir en la elaboración del programa financiero municipal;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XIII. Elaborar y mantener actualizado el Padrón de Contribuyentes; </w:t>
      </w:r>
    </w:p>
    <w:p w:rsidR="00AF43B5"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XIV. Ministrar a su inmediato antecesor todos los datos oficiales que le solicitare, para contestar los pliegos de observaciones y alcances que formule y deduzca el Órgano Superior de Fiscalización del Estado de México;</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XV. Solicitar a las instancias competentes, la práctica de revisiones circunstanciadas, de conformidad con las normas que rigen en materia de control y evaluación gubernamental en el ámbito municipal;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XVI. Glosar oportunamente las cuentas del ayuntamiento;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XVIII. Expedir copias certificadas de los documentos a su cuidado, por acuerdo expreso del Ayuntamiento y cuando se trate de documentación presentada ante el Órgano Superior de Fiscalización del Estado de México;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XX. Dar cumplimiento a las leyes, convenios de coordinación fiscal y demás que en materia hacendaria celebre el Ayuntamiento con el Estado; </w:t>
      </w:r>
    </w:p>
    <w:p w:rsidR="00621549" w:rsidRPr="00BA2E08" w:rsidRDefault="00621549" w:rsidP="00621549">
      <w:pPr>
        <w:pStyle w:val="Sinespaciado"/>
        <w:ind w:left="567" w:right="567"/>
        <w:jc w:val="both"/>
        <w:rPr>
          <w:rFonts w:ascii="Palatino Linotype" w:hAnsi="Palatino Linotype" w:cs="Arial"/>
          <w:i/>
          <w:sz w:val="22"/>
          <w:szCs w:val="22"/>
        </w:rPr>
      </w:pPr>
      <w:r w:rsidRPr="00BA2E08">
        <w:rPr>
          <w:rFonts w:ascii="Palatino Linotype" w:hAnsi="Palatino Linotype" w:cs="Arial"/>
          <w:i/>
          <w:sz w:val="22"/>
          <w:szCs w:val="22"/>
        </w:rPr>
        <w:t xml:space="preserve">XXI. Entregar oportunamente a él o los Síndicos, según sea el caso, el informe mensual que corresponda, a fin de que se revise, y de ser necesario, para que se formulen las observaciones respectivas. </w:t>
      </w:r>
    </w:p>
    <w:p w:rsidR="0095759E" w:rsidRPr="00C24D80" w:rsidRDefault="00621549" w:rsidP="00621549">
      <w:pPr>
        <w:pStyle w:val="Sinespaciado"/>
        <w:ind w:left="567" w:right="567"/>
        <w:jc w:val="both"/>
        <w:rPr>
          <w:rFonts w:ascii="Palatino Linotype" w:hAnsi="Palatino Linotype" w:cs="Arial"/>
          <w:b/>
          <w:i/>
          <w:u w:val="single"/>
        </w:rPr>
      </w:pPr>
      <w:r w:rsidRPr="00BA2E08">
        <w:rPr>
          <w:rFonts w:ascii="Palatino Linotype" w:hAnsi="Palatino Linotype" w:cs="Arial"/>
          <w:i/>
          <w:sz w:val="22"/>
          <w:szCs w:val="22"/>
        </w:rPr>
        <w:t xml:space="preserve">XXII. </w:t>
      </w:r>
      <w:r w:rsidRPr="00BA2E08">
        <w:rPr>
          <w:rFonts w:ascii="Palatino Linotype" w:hAnsi="Palatino Linotype" w:cs="Arial"/>
          <w:b/>
          <w:i/>
          <w:sz w:val="22"/>
          <w:szCs w:val="22"/>
          <w:u w:val="single"/>
        </w:rPr>
        <w:t>Las que les señalen las demás disposiciones legales y el ayuntamiento.</w:t>
      </w:r>
    </w:p>
    <w:p w:rsidR="0095759E" w:rsidRPr="00C24D80" w:rsidRDefault="0095759E" w:rsidP="0011355F">
      <w:pPr>
        <w:pStyle w:val="Sinespaciado"/>
        <w:spacing w:line="360" w:lineRule="auto"/>
        <w:jc w:val="both"/>
        <w:rPr>
          <w:rFonts w:ascii="Palatino Linotype" w:hAnsi="Palatino Linotype" w:cs="Arial"/>
        </w:rPr>
      </w:pPr>
    </w:p>
    <w:p w:rsidR="0095759E" w:rsidRPr="00C24D80" w:rsidRDefault="00621549" w:rsidP="0011355F">
      <w:pPr>
        <w:pStyle w:val="Sinespaciado"/>
        <w:spacing w:line="360" w:lineRule="auto"/>
        <w:jc w:val="both"/>
        <w:rPr>
          <w:rFonts w:ascii="Palatino Linotype" w:hAnsi="Palatino Linotype" w:cs="Arial"/>
        </w:rPr>
      </w:pPr>
      <w:r w:rsidRPr="00C24D80">
        <w:rPr>
          <w:rFonts w:ascii="Palatino Linotype" w:hAnsi="Palatino Linotype" w:cs="Arial"/>
        </w:rPr>
        <w:t>Es así que, al no encontrarse una disposición específica en el artículo 95 de la Ley en cita que faculte al Tesorero Municipal a elaborar los recibos de nómina, se debe remitir a otros ordenamientos.</w:t>
      </w:r>
    </w:p>
    <w:p w:rsidR="0095759E" w:rsidRPr="00C24D80" w:rsidRDefault="0095759E" w:rsidP="0011355F">
      <w:pPr>
        <w:pStyle w:val="Sinespaciado"/>
        <w:spacing w:line="360" w:lineRule="auto"/>
        <w:jc w:val="both"/>
        <w:rPr>
          <w:rFonts w:ascii="Palatino Linotype" w:hAnsi="Palatino Linotype" w:cs="Arial"/>
        </w:rPr>
      </w:pPr>
    </w:p>
    <w:p w:rsidR="003809AF" w:rsidRPr="00C24D80" w:rsidRDefault="0011355F" w:rsidP="0011355F">
      <w:pPr>
        <w:pStyle w:val="Sinespaciado"/>
        <w:spacing w:line="360" w:lineRule="auto"/>
        <w:jc w:val="both"/>
        <w:rPr>
          <w:rFonts w:ascii="Palatino Linotype" w:hAnsi="Palatino Linotype" w:cs="Arial"/>
          <w:lang w:eastAsia="es-MX"/>
        </w:rPr>
      </w:pPr>
      <w:r w:rsidRPr="00C24D80">
        <w:rPr>
          <w:rFonts w:ascii="Palatino Linotype" w:hAnsi="Palatino Linotype" w:cs="Arial"/>
        </w:rPr>
        <w:t>Como ya se apuntó, si bien es cierto nuestra legislación no establece la definición de “nómina”,</w:t>
      </w:r>
      <w:r w:rsidRPr="00C24D80">
        <w:rPr>
          <w:rFonts w:ascii="Palatino Linotype" w:hAnsi="Palatino Linotype" w:cs="Arial"/>
          <w:b/>
        </w:rPr>
        <w:t xml:space="preserve"> </w:t>
      </w:r>
      <w:r w:rsidRPr="00C24D80">
        <w:rPr>
          <w:rFonts w:ascii="Palatino Linotype" w:hAnsi="Palatino Linotype" w:cs="Arial"/>
          <w:lang w:eastAsia="es-MX"/>
        </w:rPr>
        <w:t xml:space="preserve">este </w:t>
      </w:r>
      <w:r w:rsidRPr="00C24D80">
        <w:rPr>
          <w:rFonts w:ascii="Palatino Linotype" w:hAnsi="Palatino Linotype" w:cs="Arial"/>
        </w:rPr>
        <w:t>término</w:t>
      </w:r>
      <w:r w:rsidRPr="00C24D80">
        <w:rPr>
          <w:rFonts w:ascii="Palatino Linotype" w:hAnsi="Palatino Linotype" w:cs="Arial"/>
          <w:lang w:eastAsia="es-MX"/>
        </w:rPr>
        <w:t xml:space="preserve"> es </w:t>
      </w:r>
      <w:r w:rsidRPr="00C24D80">
        <w:rPr>
          <w:rFonts w:ascii="Palatino Linotype" w:hAnsi="Palatino Linotype" w:cs="Arial"/>
        </w:rPr>
        <w:t>mencionado</w:t>
      </w:r>
      <w:r w:rsidRPr="00C24D80">
        <w:rPr>
          <w:rFonts w:ascii="Palatino Linotype" w:hAnsi="Palatino Linotype" w:cs="Arial"/>
          <w:lang w:eastAsia="es-MX"/>
        </w:rPr>
        <w:t xml:space="preserve"> en diferentes ordenamientos legales, así el artículo 804 fracción II de la Ley Federal de Trabajo, señala lo siguiente:</w:t>
      </w:r>
    </w:p>
    <w:p w:rsidR="0011355F" w:rsidRPr="00C24D80" w:rsidRDefault="0011355F" w:rsidP="0011355F">
      <w:pPr>
        <w:pStyle w:val="Sinespaciado"/>
        <w:spacing w:line="360" w:lineRule="auto"/>
        <w:jc w:val="both"/>
        <w:rPr>
          <w:rFonts w:ascii="Palatino Linotype" w:hAnsi="Palatino Linotype" w:cs="Arial"/>
          <w:lang w:eastAsia="es-MX"/>
        </w:rPr>
      </w:pPr>
    </w:p>
    <w:p w:rsidR="0011355F" w:rsidRPr="00BA2E08" w:rsidRDefault="0011355F" w:rsidP="003809AF">
      <w:pPr>
        <w:pStyle w:val="Sinespaciado"/>
        <w:ind w:left="567" w:right="567"/>
        <w:jc w:val="both"/>
        <w:rPr>
          <w:rFonts w:ascii="Palatino Linotype" w:hAnsi="Palatino Linotype" w:cs="Arial"/>
          <w:i/>
          <w:sz w:val="22"/>
          <w:szCs w:val="22"/>
          <w:lang w:eastAsia="es-MX"/>
        </w:rPr>
      </w:pPr>
      <w:r w:rsidRPr="00BA2E08">
        <w:rPr>
          <w:rFonts w:ascii="Palatino Linotype" w:hAnsi="Palatino Linotype" w:cs="Arial"/>
          <w:b/>
          <w:i/>
          <w:sz w:val="22"/>
          <w:szCs w:val="22"/>
          <w:lang w:eastAsia="es-MX"/>
        </w:rPr>
        <w:t>Artículo 804.-</w:t>
      </w:r>
      <w:r w:rsidRPr="00BA2E08">
        <w:rPr>
          <w:rFonts w:ascii="Palatino Linotype" w:hAnsi="Palatino Linotype" w:cs="Arial"/>
          <w:i/>
          <w:sz w:val="22"/>
          <w:szCs w:val="22"/>
          <w:lang w:eastAsia="es-MX"/>
        </w:rPr>
        <w:t xml:space="preserve"> </w:t>
      </w:r>
      <w:r w:rsidRPr="00BA2E08">
        <w:rPr>
          <w:rFonts w:ascii="Palatino Linotype" w:hAnsi="Palatino Linotype" w:cs="Arial"/>
          <w:b/>
          <w:i/>
          <w:sz w:val="22"/>
          <w:szCs w:val="22"/>
          <w:u w:val="single"/>
          <w:lang w:eastAsia="es-MX"/>
        </w:rPr>
        <w:t>El patrón tiene obligación de conservar y exhibir en juicio los documentos que a continuación se precisan</w:t>
      </w:r>
      <w:r w:rsidRPr="00BA2E08">
        <w:rPr>
          <w:rFonts w:ascii="Palatino Linotype" w:hAnsi="Palatino Linotype" w:cs="Arial"/>
          <w:i/>
          <w:sz w:val="22"/>
          <w:szCs w:val="22"/>
          <w:lang w:eastAsia="es-MX"/>
        </w:rPr>
        <w:t xml:space="preserve">: </w:t>
      </w:r>
    </w:p>
    <w:p w:rsidR="0011355F" w:rsidRPr="00BA2E08" w:rsidRDefault="003809AF" w:rsidP="003809AF">
      <w:pPr>
        <w:pStyle w:val="Sinespaciado"/>
        <w:ind w:left="567" w:right="567"/>
        <w:jc w:val="both"/>
        <w:rPr>
          <w:rFonts w:ascii="Palatino Linotype" w:hAnsi="Palatino Linotype" w:cs="Arial"/>
          <w:i/>
          <w:sz w:val="22"/>
          <w:szCs w:val="22"/>
          <w:lang w:eastAsia="es-MX"/>
        </w:rPr>
      </w:pPr>
      <w:r w:rsidRPr="00BA2E08">
        <w:rPr>
          <w:rFonts w:ascii="Palatino Linotype" w:hAnsi="Palatino Linotype" w:cs="Arial"/>
          <w:i/>
          <w:sz w:val="22"/>
          <w:szCs w:val="22"/>
          <w:lang w:eastAsia="es-MX"/>
        </w:rPr>
        <w:t>(</w:t>
      </w:r>
      <w:r w:rsidR="0011355F" w:rsidRPr="00BA2E08">
        <w:rPr>
          <w:rFonts w:ascii="Palatino Linotype" w:hAnsi="Palatino Linotype" w:cs="Arial"/>
          <w:i/>
          <w:sz w:val="22"/>
          <w:szCs w:val="22"/>
          <w:lang w:eastAsia="es-MX"/>
        </w:rPr>
        <w:t>…</w:t>
      </w:r>
      <w:r w:rsidRPr="00BA2E08">
        <w:rPr>
          <w:rFonts w:ascii="Palatino Linotype" w:hAnsi="Palatino Linotype" w:cs="Arial"/>
          <w:i/>
          <w:sz w:val="22"/>
          <w:szCs w:val="22"/>
          <w:lang w:eastAsia="es-MX"/>
        </w:rPr>
        <w:t>)</w:t>
      </w:r>
    </w:p>
    <w:p w:rsidR="0011355F" w:rsidRPr="00BA2E08" w:rsidRDefault="0011355F" w:rsidP="003809AF">
      <w:pPr>
        <w:pStyle w:val="Sinespaciado"/>
        <w:ind w:left="567" w:right="567"/>
        <w:jc w:val="both"/>
        <w:rPr>
          <w:rFonts w:ascii="Palatino Linotype" w:hAnsi="Palatino Linotype" w:cs="Arial"/>
          <w:i/>
          <w:sz w:val="22"/>
          <w:szCs w:val="22"/>
          <w:lang w:eastAsia="es-MX"/>
        </w:rPr>
      </w:pPr>
      <w:r w:rsidRPr="00BA2E08">
        <w:rPr>
          <w:rFonts w:ascii="Palatino Linotype" w:hAnsi="Palatino Linotype" w:cs="Arial"/>
          <w:i/>
          <w:sz w:val="22"/>
          <w:szCs w:val="22"/>
          <w:lang w:eastAsia="es-MX"/>
        </w:rPr>
        <w:t xml:space="preserve">II. </w:t>
      </w:r>
      <w:r w:rsidRPr="00113767">
        <w:rPr>
          <w:rFonts w:ascii="Palatino Linotype" w:hAnsi="Palatino Linotype" w:cs="Arial"/>
          <w:b/>
          <w:i/>
          <w:sz w:val="22"/>
          <w:szCs w:val="22"/>
          <w:u w:val="single"/>
          <w:lang w:eastAsia="es-MX"/>
        </w:rPr>
        <w:t>Listas de raya o</w:t>
      </w:r>
      <w:r w:rsidRPr="00113767">
        <w:rPr>
          <w:rFonts w:ascii="Palatino Linotype" w:hAnsi="Palatino Linotype" w:cs="Arial"/>
          <w:i/>
          <w:sz w:val="22"/>
          <w:szCs w:val="22"/>
          <w:u w:val="single"/>
          <w:lang w:eastAsia="es-MX"/>
        </w:rPr>
        <w:t xml:space="preserve"> </w:t>
      </w:r>
      <w:r w:rsidRPr="00113767">
        <w:rPr>
          <w:rFonts w:ascii="Palatino Linotype" w:hAnsi="Palatino Linotype" w:cs="Arial"/>
          <w:b/>
          <w:i/>
          <w:sz w:val="22"/>
          <w:szCs w:val="22"/>
          <w:u w:val="single"/>
          <w:lang w:eastAsia="es-MX"/>
        </w:rPr>
        <w:t>n</w:t>
      </w:r>
      <w:r w:rsidRPr="00BA2E08">
        <w:rPr>
          <w:rFonts w:ascii="Palatino Linotype" w:hAnsi="Palatino Linotype" w:cs="Arial"/>
          <w:b/>
          <w:i/>
          <w:sz w:val="22"/>
          <w:szCs w:val="22"/>
          <w:u w:val="single"/>
          <w:lang w:eastAsia="es-MX"/>
        </w:rPr>
        <w:t>ómina de personal</w:t>
      </w:r>
      <w:r w:rsidRPr="00BA2E08">
        <w:rPr>
          <w:rFonts w:ascii="Palatino Linotype" w:hAnsi="Palatino Linotype" w:cs="Arial"/>
          <w:i/>
          <w:sz w:val="22"/>
          <w:szCs w:val="22"/>
          <w:lang w:eastAsia="es-MX"/>
        </w:rPr>
        <w:t xml:space="preserve">, cuando se lleven en el centro de trabajo; o recibos de pagos de salarios; </w:t>
      </w:r>
    </w:p>
    <w:p w:rsidR="0011355F" w:rsidRPr="00BA2E08" w:rsidRDefault="003809AF" w:rsidP="003809AF">
      <w:pPr>
        <w:pStyle w:val="Sinespaciado"/>
        <w:ind w:left="567" w:right="567"/>
        <w:jc w:val="both"/>
        <w:rPr>
          <w:rFonts w:ascii="Palatino Linotype" w:hAnsi="Palatino Linotype" w:cs="Arial"/>
          <w:i/>
          <w:sz w:val="22"/>
          <w:szCs w:val="22"/>
          <w:lang w:eastAsia="es-MX"/>
        </w:rPr>
      </w:pPr>
      <w:r w:rsidRPr="00BA2E08">
        <w:rPr>
          <w:rFonts w:ascii="Palatino Linotype" w:hAnsi="Palatino Linotype" w:cs="Arial"/>
          <w:i/>
          <w:sz w:val="22"/>
          <w:szCs w:val="22"/>
          <w:lang w:eastAsia="es-MX"/>
        </w:rPr>
        <w:t>(</w:t>
      </w:r>
      <w:r w:rsidR="0011355F" w:rsidRPr="00BA2E08">
        <w:rPr>
          <w:rFonts w:ascii="Palatino Linotype" w:hAnsi="Palatino Linotype" w:cs="Arial"/>
          <w:i/>
          <w:sz w:val="22"/>
          <w:szCs w:val="22"/>
          <w:lang w:eastAsia="es-MX"/>
        </w:rPr>
        <w:t>…</w:t>
      </w:r>
      <w:r w:rsidRPr="00BA2E08">
        <w:rPr>
          <w:rFonts w:ascii="Palatino Linotype" w:hAnsi="Palatino Linotype" w:cs="Arial"/>
          <w:i/>
          <w:sz w:val="22"/>
          <w:szCs w:val="22"/>
          <w:lang w:eastAsia="es-MX"/>
        </w:rPr>
        <w:t>)</w:t>
      </w:r>
    </w:p>
    <w:p w:rsidR="0011355F" w:rsidRPr="00C24D80" w:rsidRDefault="0011355F" w:rsidP="003809AF">
      <w:pPr>
        <w:pStyle w:val="Sinespaciado"/>
        <w:ind w:left="567" w:right="567"/>
        <w:jc w:val="both"/>
        <w:rPr>
          <w:rFonts w:ascii="Palatino Linotype" w:hAnsi="Palatino Linotype" w:cs="Arial"/>
          <w:i/>
          <w:lang w:eastAsia="es-MX"/>
        </w:rPr>
      </w:pPr>
      <w:r w:rsidRPr="00BA2E08">
        <w:rPr>
          <w:rFonts w:ascii="Palatino Linotype" w:hAnsi="Palatino Linotype" w:cs="Arial"/>
          <w:b/>
          <w:i/>
          <w:sz w:val="22"/>
          <w:szCs w:val="22"/>
          <w:u w:val="single"/>
          <w:lang w:eastAsia="es-MX"/>
        </w:rPr>
        <w:t>Los documentos</w:t>
      </w:r>
      <w:r w:rsidRPr="00BA2E08">
        <w:rPr>
          <w:rFonts w:ascii="Palatino Linotype" w:hAnsi="Palatino Linotype" w:cs="Arial"/>
          <w:i/>
          <w:sz w:val="22"/>
          <w:szCs w:val="22"/>
          <w:lang w:eastAsia="es-MX"/>
        </w:rPr>
        <w:t xml:space="preserve"> señalados en la fracción I </w:t>
      </w:r>
      <w:r w:rsidRPr="00BA2E08">
        <w:rPr>
          <w:rFonts w:ascii="Palatino Linotype" w:hAnsi="Palatino Linotype" w:cs="Arial"/>
          <w:b/>
          <w:i/>
          <w:sz w:val="22"/>
          <w:szCs w:val="22"/>
          <w:u w:val="single"/>
          <w:lang w:eastAsia="es-MX"/>
        </w:rPr>
        <w:t>deberán conservarse</w:t>
      </w:r>
      <w:r w:rsidRPr="00BA2E08">
        <w:rPr>
          <w:rFonts w:ascii="Palatino Linotype" w:hAnsi="Palatino Linotype" w:cs="Arial"/>
          <w:i/>
          <w:sz w:val="22"/>
          <w:szCs w:val="22"/>
          <w:lang w:eastAsia="es-MX"/>
        </w:rPr>
        <w:t xml:space="preserve"> mientras dure la relación laboral y hasta un año después; los </w:t>
      </w:r>
      <w:r w:rsidRPr="00BA2E08">
        <w:rPr>
          <w:rFonts w:ascii="Palatino Linotype" w:hAnsi="Palatino Linotype" w:cs="Arial"/>
          <w:b/>
          <w:i/>
          <w:sz w:val="22"/>
          <w:szCs w:val="22"/>
          <w:u w:val="single"/>
          <w:lang w:eastAsia="es-MX"/>
        </w:rPr>
        <w:t>señalados en las fracciones II</w:t>
      </w:r>
      <w:r w:rsidRPr="00BA2E08">
        <w:rPr>
          <w:rFonts w:ascii="Palatino Linotype" w:hAnsi="Palatino Linotype" w:cs="Arial"/>
          <w:i/>
          <w:sz w:val="22"/>
          <w:szCs w:val="22"/>
          <w:lang w:eastAsia="es-MX"/>
        </w:rPr>
        <w:t xml:space="preserve">, III y IV, </w:t>
      </w:r>
      <w:r w:rsidRPr="00BA2E08">
        <w:rPr>
          <w:rFonts w:ascii="Palatino Linotype" w:hAnsi="Palatino Linotype" w:cs="Arial"/>
          <w:b/>
          <w:i/>
          <w:sz w:val="22"/>
          <w:szCs w:val="22"/>
          <w:u w:val="single"/>
          <w:lang w:eastAsia="es-MX"/>
        </w:rPr>
        <w:t>durante el último año y un año después de que se extinga la relación laboral</w:t>
      </w:r>
      <w:r w:rsidRPr="00BA2E08">
        <w:rPr>
          <w:rFonts w:ascii="Palatino Linotype" w:hAnsi="Palatino Linotype" w:cs="Arial"/>
          <w:i/>
          <w:sz w:val="22"/>
          <w:szCs w:val="22"/>
          <w:lang w:eastAsia="es-MX"/>
        </w:rPr>
        <w:t>; y los mencionados en la fracción V, conforme lo se</w:t>
      </w:r>
      <w:r w:rsidR="003809AF" w:rsidRPr="00BA2E08">
        <w:rPr>
          <w:rFonts w:ascii="Palatino Linotype" w:hAnsi="Palatino Linotype" w:cs="Arial"/>
          <w:i/>
          <w:sz w:val="22"/>
          <w:szCs w:val="22"/>
          <w:lang w:eastAsia="es-MX"/>
        </w:rPr>
        <w:t>ñalen las Leyes que los rijan.</w:t>
      </w:r>
    </w:p>
    <w:p w:rsidR="0011355F" w:rsidRPr="00C24D80" w:rsidRDefault="0011355F" w:rsidP="0011355F">
      <w:pPr>
        <w:pStyle w:val="Sinespaciado"/>
        <w:spacing w:line="360" w:lineRule="auto"/>
        <w:jc w:val="both"/>
        <w:rPr>
          <w:rFonts w:ascii="Palatino Linotype" w:hAnsi="Palatino Linotype"/>
        </w:rPr>
      </w:pPr>
    </w:p>
    <w:p w:rsidR="0011355F" w:rsidRPr="00C24D80" w:rsidRDefault="0011355F" w:rsidP="0011355F">
      <w:pPr>
        <w:pStyle w:val="Sinespaciado"/>
        <w:spacing w:line="360" w:lineRule="auto"/>
        <w:jc w:val="both"/>
        <w:rPr>
          <w:rFonts w:ascii="Palatino Linotype" w:hAnsi="Palatino Linotype" w:cs="Arial"/>
        </w:rPr>
      </w:pPr>
      <w:r w:rsidRPr="00C24D80">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3809AF" w:rsidRPr="00C24D80" w:rsidRDefault="003809AF" w:rsidP="0011355F">
      <w:pPr>
        <w:pStyle w:val="Sinespaciado"/>
        <w:spacing w:line="360" w:lineRule="auto"/>
        <w:jc w:val="both"/>
        <w:rPr>
          <w:rFonts w:ascii="Palatino Linotype" w:hAnsi="Palatino Linotype" w:cs="Arial"/>
        </w:rPr>
      </w:pPr>
    </w:p>
    <w:p w:rsidR="0011355F" w:rsidRPr="00C24D80" w:rsidRDefault="0011355F" w:rsidP="0011355F">
      <w:pPr>
        <w:pStyle w:val="Sinespaciado"/>
        <w:spacing w:line="360" w:lineRule="auto"/>
        <w:jc w:val="both"/>
        <w:rPr>
          <w:rFonts w:ascii="Palatino Linotype" w:hAnsi="Palatino Linotype"/>
        </w:rPr>
      </w:pPr>
      <w:r w:rsidRPr="00C24D80">
        <w:rPr>
          <w:rFonts w:ascii="Palatino Linotype" w:hAnsi="Palatino Linotype"/>
        </w:rPr>
        <w:t xml:space="preserve">De igual forma, la Constitución </w:t>
      </w:r>
      <w:r w:rsidRPr="00C24D80">
        <w:rPr>
          <w:rFonts w:ascii="Palatino Linotype" w:hAnsi="Palatino Linotype" w:cs="Arial"/>
        </w:rPr>
        <w:t>Política</w:t>
      </w:r>
      <w:r w:rsidRPr="00C24D80">
        <w:rPr>
          <w:rFonts w:ascii="Palatino Linotype" w:hAnsi="Palatino Linotype"/>
        </w:rPr>
        <w:t xml:space="preserve"> del Estado Libre y Soberano de México dispone en lo relativo a las remuneraciones de los servidores públicos, lo siguiente:</w:t>
      </w:r>
    </w:p>
    <w:p w:rsidR="003809AF" w:rsidRPr="00C24D80" w:rsidRDefault="003809AF" w:rsidP="0011355F">
      <w:pPr>
        <w:pStyle w:val="Sinespaciado"/>
        <w:spacing w:line="360" w:lineRule="auto"/>
        <w:jc w:val="both"/>
        <w:rPr>
          <w:rFonts w:ascii="Palatino Linotype" w:hAnsi="Palatino Linotype"/>
        </w:rPr>
      </w:pPr>
    </w:p>
    <w:p w:rsidR="0011355F" w:rsidRPr="00BA2E08" w:rsidRDefault="0011355F" w:rsidP="003809AF">
      <w:pPr>
        <w:pStyle w:val="Sinespaciado"/>
        <w:ind w:left="567" w:right="567"/>
        <w:jc w:val="both"/>
        <w:rPr>
          <w:rFonts w:ascii="Palatino Linotype" w:hAnsi="Palatino Linotype" w:cs="Arial"/>
          <w:bCs/>
          <w:i/>
          <w:sz w:val="22"/>
          <w:szCs w:val="22"/>
        </w:rPr>
      </w:pPr>
      <w:r w:rsidRPr="00BA2E08">
        <w:rPr>
          <w:rFonts w:ascii="Palatino Linotype" w:hAnsi="Palatino Linotype" w:cs="Arial"/>
          <w:b/>
          <w:bCs/>
          <w:i/>
          <w:sz w:val="22"/>
          <w:szCs w:val="22"/>
        </w:rPr>
        <w:lastRenderedPageBreak/>
        <w:t xml:space="preserve">Artículo 147.- </w:t>
      </w:r>
      <w:r w:rsidRPr="00BA2E08">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sz w:val="22"/>
          <w:szCs w:val="22"/>
        </w:rPr>
        <w:t>los miembros de los ayuntamientos</w:t>
      </w:r>
      <w:r w:rsidRPr="00BA2E08">
        <w:rPr>
          <w:rFonts w:ascii="Palatino Linotype" w:hAnsi="Palatino Linotype" w:cs="Arial"/>
          <w:bCs/>
          <w:i/>
          <w:sz w:val="22"/>
          <w:szCs w:val="22"/>
        </w:rPr>
        <w:t xml:space="preserve"> y demás servidores públicos municipales </w:t>
      </w:r>
      <w:r w:rsidRPr="00BA2E08">
        <w:rPr>
          <w:rFonts w:ascii="Palatino Linotype" w:hAnsi="Palatino Linotype" w:cs="Arial"/>
          <w:b/>
          <w:bCs/>
          <w:i/>
          <w:sz w:val="22"/>
          <w:szCs w:val="22"/>
        </w:rPr>
        <w:t>recibirán una retribución adecuada</w:t>
      </w:r>
      <w:r w:rsidRPr="00BA2E08">
        <w:rPr>
          <w:rFonts w:ascii="Palatino Linotype" w:hAnsi="Palatino Linotype" w:cs="Arial"/>
          <w:bCs/>
          <w:i/>
          <w:sz w:val="22"/>
          <w:szCs w:val="22"/>
        </w:rPr>
        <w:t xml:space="preserve"> e </w:t>
      </w:r>
      <w:r w:rsidRPr="00BA2E08">
        <w:rPr>
          <w:rFonts w:ascii="Palatino Linotype" w:hAnsi="Palatino Linotype" w:cs="Arial"/>
          <w:b/>
          <w:bCs/>
          <w:i/>
          <w:sz w:val="22"/>
          <w:szCs w:val="22"/>
        </w:rPr>
        <w:t>irrenunciable por el desempeño de su empleo, cargo o comisión</w:t>
      </w:r>
      <w:r w:rsidRPr="00BA2E08">
        <w:rPr>
          <w:rFonts w:ascii="Palatino Linotype" w:hAnsi="Palatino Linotype" w:cs="Arial"/>
          <w:bCs/>
          <w:i/>
          <w:sz w:val="22"/>
          <w:szCs w:val="22"/>
        </w:rPr>
        <w:t xml:space="preserve">, que </w:t>
      </w:r>
      <w:r w:rsidRPr="00BA2E08">
        <w:rPr>
          <w:rFonts w:ascii="Palatino Linotype" w:hAnsi="Palatino Linotype" w:cs="Arial"/>
          <w:b/>
          <w:bCs/>
          <w:i/>
          <w:sz w:val="22"/>
          <w:szCs w:val="22"/>
        </w:rPr>
        <w:t>será determinada en el presupuesto de egresos que corresponda.</w:t>
      </w:r>
    </w:p>
    <w:p w:rsidR="003809AF" w:rsidRPr="00C24D80" w:rsidRDefault="003809AF" w:rsidP="0011355F">
      <w:pPr>
        <w:pStyle w:val="Sinespaciado"/>
        <w:spacing w:line="360" w:lineRule="auto"/>
        <w:jc w:val="both"/>
        <w:rPr>
          <w:rFonts w:ascii="Palatino Linotype" w:hAnsi="Palatino Linotype" w:cs="Arial"/>
          <w:bCs/>
          <w:i/>
        </w:rPr>
      </w:pPr>
    </w:p>
    <w:p w:rsidR="0011355F" w:rsidRPr="00C24D80" w:rsidRDefault="0011355F" w:rsidP="0011355F">
      <w:pPr>
        <w:pStyle w:val="Sinespaciado"/>
        <w:spacing w:line="360" w:lineRule="auto"/>
        <w:jc w:val="both"/>
        <w:rPr>
          <w:rFonts w:ascii="Palatino Linotype" w:hAnsi="Palatino Linotype" w:cs="Arial"/>
        </w:rPr>
      </w:pPr>
      <w:r w:rsidRPr="00C24D80">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3809AF" w:rsidRPr="00C24D80" w:rsidRDefault="003809AF" w:rsidP="0011355F">
      <w:pPr>
        <w:pStyle w:val="Sinespaciado"/>
        <w:spacing w:line="360" w:lineRule="auto"/>
        <w:jc w:val="both"/>
        <w:rPr>
          <w:rFonts w:ascii="Palatino Linotype" w:hAnsi="Palatino Linotype" w:cs="Arial"/>
        </w:rPr>
      </w:pPr>
    </w:p>
    <w:p w:rsidR="0011355F" w:rsidRPr="000936DA" w:rsidRDefault="0011355F" w:rsidP="003809AF">
      <w:pPr>
        <w:pStyle w:val="Sinespaciado"/>
        <w:ind w:left="567" w:right="567"/>
        <w:jc w:val="both"/>
        <w:rPr>
          <w:rFonts w:ascii="Palatino Linotype" w:hAnsi="Palatino Linotype" w:cs="Arial"/>
          <w:bCs/>
          <w:i/>
          <w:sz w:val="22"/>
          <w:szCs w:val="22"/>
        </w:rPr>
      </w:pPr>
      <w:r w:rsidRPr="000936DA">
        <w:rPr>
          <w:rFonts w:ascii="Palatino Linotype" w:hAnsi="Palatino Linotype" w:cs="Arial"/>
          <w:b/>
          <w:bCs/>
          <w:i/>
          <w:sz w:val="22"/>
          <w:szCs w:val="22"/>
        </w:rPr>
        <w:t>Artículo 3.-</w:t>
      </w:r>
      <w:r w:rsidRPr="000936DA">
        <w:rPr>
          <w:rFonts w:ascii="Palatino Linotype" w:hAnsi="Palatino Linotype" w:cs="Arial"/>
          <w:bCs/>
          <w:i/>
          <w:sz w:val="22"/>
          <w:szCs w:val="22"/>
        </w:rPr>
        <w:t xml:space="preserve"> Para efectos de este Código, Ley de Ingresos del Estado y del Presupuesto de Egresos se entenderá por:</w:t>
      </w:r>
    </w:p>
    <w:p w:rsidR="0011355F" w:rsidRPr="000936DA" w:rsidRDefault="003809AF" w:rsidP="003809AF">
      <w:pPr>
        <w:pStyle w:val="Sinespaciado"/>
        <w:ind w:left="567" w:right="567"/>
        <w:jc w:val="both"/>
        <w:rPr>
          <w:rFonts w:ascii="Palatino Linotype" w:hAnsi="Palatino Linotype" w:cs="Arial"/>
          <w:bCs/>
          <w:i/>
          <w:sz w:val="22"/>
          <w:szCs w:val="22"/>
        </w:rPr>
      </w:pPr>
      <w:r w:rsidRPr="000936DA">
        <w:rPr>
          <w:rFonts w:ascii="Palatino Linotype" w:hAnsi="Palatino Linotype" w:cs="Arial"/>
          <w:bCs/>
          <w:i/>
          <w:sz w:val="22"/>
          <w:szCs w:val="22"/>
        </w:rPr>
        <w:t>(</w:t>
      </w:r>
      <w:r w:rsidR="0011355F" w:rsidRPr="000936DA">
        <w:rPr>
          <w:rFonts w:ascii="Palatino Linotype" w:hAnsi="Palatino Linotype" w:cs="Arial"/>
          <w:bCs/>
          <w:i/>
          <w:sz w:val="22"/>
          <w:szCs w:val="22"/>
        </w:rPr>
        <w:t>…</w:t>
      </w:r>
      <w:r w:rsidRPr="000936DA">
        <w:rPr>
          <w:rFonts w:ascii="Palatino Linotype" w:hAnsi="Palatino Linotype" w:cs="Arial"/>
          <w:bCs/>
          <w:i/>
          <w:sz w:val="22"/>
          <w:szCs w:val="22"/>
        </w:rPr>
        <w:t>)</w:t>
      </w:r>
    </w:p>
    <w:p w:rsidR="0011355F" w:rsidRPr="000936DA" w:rsidRDefault="0011355F" w:rsidP="003809AF">
      <w:pPr>
        <w:pStyle w:val="Sinespaciado"/>
        <w:ind w:left="567" w:right="567"/>
        <w:jc w:val="both"/>
        <w:rPr>
          <w:rFonts w:ascii="Palatino Linotype" w:hAnsi="Palatino Linotype" w:cs="Arial"/>
          <w:bCs/>
          <w:i/>
          <w:sz w:val="22"/>
          <w:szCs w:val="22"/>
        </w:rPr>
      </w:pPr>
      <w:r w:rsidRPr="000936DA">
        <w:rPr>
          <w:rFonts w:ascii="Palatino Linotype" w:hAnsi="Palatino Linotype" w:cs="Arial"/>
          <w:b/>
          <w:bCs/>
          <w:i/>
          <w:sz w:val="22"/>
          <w:szCs w:val="22"/>
        </w:rPr>
        <w:t xml:space="preserve">XXXII. Remuneración: </w:t>
      </w:r>
      <w:r w:rsidRPr="000936DA">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w:t>
      </w:r>
      <w:r w:rsidR="003809AF" w:rsidRPr="000936DA">
        <w:rPr>
          <w:rFonts w:ascii="Palatino Linotype" w:hAnsi="Palatino Linotype" w:cs="Arial"/>
          <w:bCs/>
          <w:i/>
          <w:sz w:val="22"/>
          <w:szCs w:val="22"/>
        </w:rPr>
        <w:t>neraciones al Trabajo Personal;</w:t>
      </w:r>
    </w:p>
    <w:p w:rsidR="003809AF" w:rsidRPr="000936DA" w:rsidRDefault="003809AF" w:rsidP="003809AF">
      <w:pPr>
        <w:pStyle w:val="Sinespaciado"/>
        <w:ind w:left="567" w:right="567"/>
        <w:jc w:val="both"/>
        <w:rPr>
          <w:rFonts w:ascii="Palatino Linotype" w:hAnsi="Palatino Linotype" w:cs="Arial"/>
          <w:bCs/>
          <w:i/>
          <w:sz w:val="22"/>
          <w:szCs w:val="22"/>
        </w:rPr>
      </w:pPr>
      <w:r w:rsidRPr="000936DA">
        <w:rPr>
          <w:rFonts w:ascii="Palatino Linotype" w:hAnsi="Palatino Linotype" w:cs="Arial"/>
          <w:bCs/>
          <w:i/>
          <w:sz w:val="22"/>
          <w:szCs w:val="22"/>
        </w:rPr>
        <w:t>(…)</w:t>
      </w:r>
    </w:p>
    <w:p w:rsidR="0011355F" w:rsidRPr="00C24D80" w:rsidRDefault="0011355F" w:rsidP="0011355F">
      <w:pPr>
        <w:pStyle w:val="Sinespaciado"/>
        <w:spacing w:line="360" w:lineRule="auto"/>
        <w:jc w:val="both"/>
        <w:rPr>
          <w:rFonts w:ascii="Palatino Linotype" w:hAnsi="Palatino Linotype" w:cs="Arial"/>
        </w:rPr>
      </w:pPr>
    </w:p>
    <w:p w:rsidR="0011355F" w:rsidRPr="00C24D80" w:rsidRDefault="0011355F" w:rsidP="0011355F">
      <w:pPr>
        <w:pStyle w:val="Sinespaciado"/>
        <w:spacing w:line="360" w:lineRule="auto"/>
        <w:jc w:val="both"/>
        <w:rPr>
          <w:rFonts w:ascii="Palatino Linotype" w:hAnsi="Palatino Linotype" w:cs="Arial"/>
        </w:rPr>
      </w:pPr>
      <w:r w:rsidRPr="00C24D80">
        <w:rPr>
          <w:rFonts w:ascii="Palatino Linotype" w:hAnsi="Palatino Linotype" w:cs="Arial"/>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11355F" w:rsidRPr="00C24D80" w:rsidRDefault="0011355F" w:rsidP="0011355F">
      <w:pPr>
        <w:pStyle w:val="Sinespaciado"/>
        <w:spacing w:line="360" w:lineRule="auto"/>
        <w:jc w:val="both"/>
        <w:rPr>
          <w:rFonts w:ascii="Palatino Linotype" w:hAnsi="Palatino Linotype" w:cs="Arial"/>
        </w:rPr>
      </w:pPr>
    </w:p>
    <w:p w:rsidR="0011355F" w:rsidRDefault="0011355F" w:rsidP="0011355F">
      <w:pPr>
        <w:pStyle w:val="Sinespaciado"/>
        <w:spacing w:line="360" w:lineRule="auto"/>
        <w:jc w:val="both"/>
        <w:rPr>
          <w:rFonts w:ascii="Palatino Linotype" w:hAnsi="Palatino Linotype" w:cs="Arial"/>
        </w:rPr>
      </w:pPr>
      <w:r w:rsidRPr="00C24D80">
        <w:rPr>
          <w:rFonts w:ascii="Palatino Linotype" w:hAnsi="Palatino Linotype" w:cs="Arial"/>
        </w:rPr>
        <w:lastRenderedPageBreak/>
        <w:t>Ahora bien, el artículo 350 del Código Financiero del Estado de México dispone lo que se transcribe a continuación:</w:t>
      </w:r>
    </w:p>
    <w:p w:rsidR="00E228E1" w:rsidRPr="00C24D80" w:rsidRDefault="00E228E1" w:rsidP="0011355F">
      <w:pPr>
        <w:pStyle w:val="Sinespaciado"/>
        <w:spacing w:line="360" w:lineRule="auto"/>
        <w:jc w:val="both"/>
        <w:rPr>
          <w:rFonts w:ascii="Palatino Linotype" w:hAnsi="Palatino Linotype" w:cs="Arial"/>
        </w:rPr>
      </w:pPr>
    </w:p>
    <w:p w:rsidR="003A0A02" w:rsidRPr="00E228E1" w:rsidRDefault="0011355F" w:rsidP="003809AF">
      <w:pPr>
        <w:pStyle w:val="Sinespaciado"/>
        <w:ind w:left="567" w:right="567"/>
        <w:jc w:val="both"/>
        <w:rPr>
          <w:rFonts w:ascii="Palatino Linotype" w:hAnsi="Palatino Linotype" w:cs="Arial"/>
          <w:bCs/>
          <w:i/>
          <w:sz w:val="22"/>
          <w:szCs w:val="22"/>
        </w:rPr>
      </w:pPr>
      <w:r w:rsidRPr="00E228E1">
        <w:rPr>
          <w:rFonts w:ascii="Palatino Linotype" w:hAnsi="Palatino Linotype"/>
          <w:b/>
          <w:i/>
          <w:sz w:val="22"/>
          <w:szCs w:val="22"/>
        </w:rPr>
        <w:t>Artículo 350.-</w:t>
      </w:r>
      <w:r w:rsidRPr="00E228E1">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sz w:val="22"/>
          <w:szCs w:val="22"/>
        </w:rPr>
        <w:t>Fiscalización del Estado de México, la siguiente información:</w:t>
      </w:r>
    </w:p>
    <w:p w:rsidR="0011355F" w:rsidRPr="00E228E1" w:rsidRDefault="0011355F" w:rsidP="003809AF">
      <w:pPr>
        <w:pStyle w:val="Sinespaciado"/>
        <w:ind w:left="567"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 </w:t>
      </w:r>
    </w:p>
    <w:p w:rsidR="0011355F" w:rsidRPr="00E228E1" w:rsidRDefault="0011355F" w:rsidP="007874B2">
      <w:pPr>
        <w:pStyle w:val="Sinespaciado"/>
        <w:numPr>
          <w:ilvl w:val="0"/>
          <w:numId w:val="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patrimonial. </w:t>
      </w:r>
    </w:p>
    <w:p w:rsidR="0011355F" w:rsidRPr="00E228E1" w:rsidRDefault="0011355F" w:rsidP="007874B2">
      <w:pPr>
        <w:pStyle w:val="Sinespaciado"/>
        <w:numPr>
          <w:ilvl w:val="0"/>
          <w:numId w:val="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presupuestal. </w:t>
      </w:r>
    </w:p>
    <w:p w:rsidR="0011355F" w:rsidRPr="00E228E1" w:rsidRDefault="0011355F" w:rsidP="007874B2">
      <w:pPr>
        <w:pStyle w:val="Sinespaciado"/>
        <w:numPr>
          <w:ilvl w:val="0"/>
          <w:numId w:val="2"/>
        </w:numPr>
        <w:ind w:right="567"/>
        <w:jc w:val="both"/>
        <w:rPr>
          <w:rFonts w:ascii="Palatino Linotype" w:hAnsi="Palatino Linotype" w:cs="Arial"/>
          <w:bCs/>
          <w:i/>
          <w:sz w:val="22"/>
          <w:szCs w:val="22"/>
        </w:rPr>
      </w:pPr>
      <w:r w:rsidRPr="00E228E1">
        <w:rPr>
          <w:rFonts w:ascii="Palatino Linotype" w:hAnsi="Palatino Linotype" w:cs="Arial"/>
          <w:bCs/>
          <w:i/>
          <w:sz w:val="22"/>
          <w:szCs w:val="22"/>
        </w:rPr>
        <w:t xml:space="preserve">Información de la obra pública. </w:t>
      </w:r>
    </w:p>
    <w:p w:rsidR="0011355F" w:rsidRPr="00E228E1" w:rsidRDefault="003809AF" w:rsidP="007874B2">
      <w:pPr>
        <w:pStyle w:val="Sinespaciado"/>
        <w:numPr>
          <w:ilvl w:val="0"/>
          <w:numId w:val="2"/>
        </w:numPr>
        <w:ind w:right="567"/>
        <w:jc w:val="both"/>
        <w:rPr>
          <w:rFonts w:ascii="Palatino Linotype" w:hAnsi="Palatino Linotype" w:cs="Arial"/>
          <w:i/>
          <w:sz w:val="22"/>
          <w:szCs w:val="22"/>
        </w:rPr>
      </w:pPr>
      <w:r w:rsidRPr="00E228E1">
        <w:rPr>
          <w:rFonts w:ascii="Palatino Linotype" w:hAnsi="Palatino Linotype" w:cs="Arial"/>
          <w:b/>
          <w:bCs/>
          <w:i/>
          <w:sz w:val="22"/>
          <w:szCs w:val="22"/>
          <w:u w:val="single"/>
        </w:rPr>
        <w:t>Información de nómina</w:t>
      </w:r>
      <w:r w:rsidRPr="00E228E1">
        <w:rPr>
          <w:rFonts w:ascii="Palatino Linotype" w:hAnsi="Palatino Linotype" w:cs="Arial"/>
          <w:bCs/>
          <w:i/>
          <w:sz w:val="22"/>
          <w:szCs w:val="22"/>
        </w:rPr>
        <w:t>.</w:t>
      </w:r>
    </w:p>
    <w:p w:rsidR="0011355F" w:rsidRPr="00C24D80" w:rsidRDefault="0011355F" w:rsidP="0011355F">
      <w:pPr>
        <w:pStyle w:val="Sinespaciado"/>
        <w:spacing w:line="360" w:lineRule="auto"/>
        <w:jc w:val="both"/>
        <w:rPr>
          <w:rFonts w:ascii="Palatino Linotype" w:hAnsi="Palatino Linotype" w:cs="Arial"/>
          <w:bCs/>
          <w:i/>
        </w:rPr>
      </w:pPr>
    </w:p>
    <w:p w:rsidR="0011355F" w:rsidRPr="00C24D80" w:rsidRDefault="0011355F" w:rsidP="0011355F">
      <w:pPr>
        <w:pStyle w:val="Sinespaciado"/>
        <w:spacing w:line="360" w:lineRule="auto"/>
        <w:jc w:val="both"/>
        <w:rPr>
          <w:rFonts w:ascii="Palatino Linotype" w:eastAsia="MS Mincho" w:hAnsi="Palatino Linotype" w:cs="Tahoma"/>
          <w:lang w:val="es-ES_tradnl"/>
        </w:rPr>
      </w:pPr>
      <w:r w:rsidRPr="00C24D80">
        <w:rPr>
          <w:rFonts w:ascii="Palatino Linotype" w:hAnsi="Palatino Linotype"/>
        </w:rPr>
        <w:t xml:space="preserve">De igual forma, </w:t>
      </w:r>
      <w:r w:rsidRPr="00C24D80">
        <w:rPr>
          <w:rFonts w:ascii="Palatino Linotype" w:eastAsia="MS Mincho" w:hAnsi="Palatino Linotype" w:cs="Arial"/>
          <w:lang w:val="es-ES_tradnl"/>
        </w:rPr>
        <w:t xml:space="preserve">las </w:t>
      </w:r>
      <w:r w:rsidRPr="00C24D80">
        <w:rPr>
          <w:rFonts w:ascii="Palatino Linotype" w:hAnsi="Palatino Linotype" w:cs="Arial"/>
        </w:rPr>
        <w:t>disposiciones</w:t>
      </w:r>
      <w:r w:rsidRPr="00C24D80">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C24D80">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11355F" w:rsidRDefault="0011355F" w:rsidP="0011355F">
      <w:pPr>
        <w:pStyle w:val="Sinespaciado"/>
        <w:spacing w:line="360" w:lineRule="auto"/>
        <w:jc w:val="both"/>
        <w:rPr>
          <w:rFonts w:ascii="Palatino Linotype" w:hAnsi="Palatino Linotype"/>
        </w:rPr>
      </w:pPr>
    </w:p>
    <w:p w:rsidR="005D4C55" w:rsidRDefault="005D4C55" w:rsidP="005D4C55">
      <w:pPr>
        <w:widowControl w:val="0"/>
        <w:autoSpaceDE w:val="0"/>
        <w:autoSpaceDN w:val="0"/>
        <w:adjustRightInd w:val="0"/>
        <w:spacing w:after="0" w:line="360" w:lineRule="auto"/>
        <w:jc w:val="both"/>
        <w:rPr>
          <w:rFonts w:ascii="Palatino Linotype" w:hAnsi="Palatino Linotype"/>
          <w:sz w:val="24"/>
          <w:szCs w:val="24"/>
        </w:rPr>
      </w:pPr>
      <w:r w:rsidRPr="002549B2">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lastRenderedPageBreak/>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xml:space="preserve">, el cual, se integra por documentos tales como </w:t>
      </w:r>
      <w:r>
        <w:rPr>
          <w:rFonts w:ascii="Palatino Linotype" w:eastAsia="MS Mincho" w:hAnsi="Palatino Linotype" w:cs="Tahoma"/>
          <w:sz w:val="24"/>
          <w:szCs w:val="24"/>
          <w:lang w:val="es-ES_tradnl"/>
        </w:rPr>
        <w:t xml:space="preserve">los </w:t>
      </w:r>
      <w:r>
        <w:rPr>
          <w:rFonts w:ascii="Palatino Linotype" w:eastAsia="MS Mincho" w:hAnsi="Palatino Linotype" w:cs="Tahoma"/>
          <w:b/>
          <w:sz w:val="24"/>
          <w:szCs w:val="24"/>
          <w:lang w:val="es-ES_tradnl"/>
        </w:rPr>
        <w:t xml:space="preserve">Comprobantes Fiscales Digitales por Internet (CFDI),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p>
    <w:p w:rsidR="005D4C55" w:rsidRDefault="005D4C55" w:rsidP="0011355F">
      <w:pPr>
        <w:pStyle w:val="Sinespaciado"/>
        <w:spacing w:line="360" w:lineRule="auto"/>
        <w:jc w:val="both"/>
        <w:rPr>
          <w:rFonts w:ascii="Palatino Linotype" w:hAnsi="Palatino Linotype"/>
        </w:rPr>
      </w:pPr>
    </w:p>
    <w:p w:rsidR="005D4C55" w:rsidRDefault="005D4C55" w:rsidP="005D4C55">
      <w:pPr>
        <w:pStyle w:val="Sinespaciado"/>
        <w:spacing w:line="360" w:lineRule="auto"/>
        <w:rPr>
          <w:rFonts w:ascii="Palatino Linotype" w:hAnsi="Palatino Linotype"/>
        </w:rPr>
      </w:pPr>
      <w:r>
        <w:rPr>
          <w:noProof/>
          <w:lang w:eastAsia="es-MX"/>
        </w:rPr>
        <mc:AlternateContent>
          <mc:Choice Requires="wps">
            <w:drawing>
              <wp:anchor distT="0" distB="0" distL="114300" distR="114300" simplePos="0" relativeHeight="251675648" behindDoc="0" locked="0" layoutInCell="1" allowOverlap="1" wp14:anchorId="58DAD1C2" wp14:editId="5DADEF7E">
                <wp:simplePos x="0" y="0"/>
                <wp:positionH relativeFrom="column">
                  <wp:posOffset>415290</wp:posOffset>
                </wp:positionH>
                <wp:positionV relativeFrom="paragraph">
                  <wp:posOffset>3020695</wp:posOffset>
                </wp:positionV>
                <wp:extent cx="531495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5314950" cy="285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147A2" id="Rectángulo 11" o:spid="_x0000_s1026" style="position:absolute;margin-left:32.7pt;margin-top:237.85pt;width:418.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nNnwIAAJMFAAAOAAAAZHJzL2Uyb0RvYy54bWysVMFu2zAMvQ/YPwi6L06yZG2NOkWQIsOA&#10;oi3aDj0rshQbkEVNUuJkf7Nv2Y+Vkmw36IodhuXgUCL5SD6RvLw6NIrshXU16IJORmNKhOZQ1npb&#10;0O9P60/nlDjPdMkUaFHQo3D0avHxw2VrcjGFClQpLEEQ7fLWFLTy3uRZ5nglGuZGYIRGpQTbMI9H&#10;u81Ky1pEb1Q2HY+/ZC3Y0ljgwjm8vU5Kuoj4Ugru76R0whNVUMzNx6+N3034ZotLlm8tM1XNuzTY&#10;P2TRsFpj0AHqmnlGdrb+A6qpuQUH0o84NBlIWXMRa8BqJuM31TxWzIhYC5LjzECT+3+w/HZ/b0ld&#10;4ttNKNGswTd6QNZ+/9LbnQKCt0hRa1yOlo/m3nYnh2Ko9yBtE/6xEnKItB4HWsXBE46X88+T2cUc&#10;2eeom57Pz1BGmOzV21jnvwpoSBAKajGByCbb3zifTHuTEEzDulYK71muNGk70OjhQNVl0Aals9vN&#10;SlmyZ/j66/UYf13gEzNMQ2nMJtSYqoqSPyqRAjwIiQRhHdMUIbSmGGAZ50L7SVJVrBQp2vw0WO8R&#10;a1YaAQOyxCwH7A6gt0wgPXZioLMPriJ29uA8/ltiyXnwiJFB+8G5qTXY9wAUVtVFTvY9SYmawNIG&#10;yiO2j4U0V87wdY0veMOcv2cWBwkfHZeDv8OPVIAvBZ1ESQX253v3wR77G7WUtDiYBXU/dswKStQ3&#10;jZ1/MZnNwiTHw2x+NsWDPdVsTjV616wAXx+bG7OLYrD3qhelheYZd8gyREUV0xxjF5R72x9WPi0M&#10;3EJcLJfRDKfXMH+jHw0P4IHV0KFPh2dmTdfGHgfgFvohZvmbbk62wVPDcudB1rHVX3nt+MbJj43T&#10;bamwWk7P0ep1ly5eAAAA//8DAFBLAwQUAAYACAAAACEAuvwxxuAAAAAKAQAADwAAAGRycy9kb3du&#10;cmV2LnhtbEyPwU7DMAyG70i8Q2QkLoglVGs7StMJMSFuk1bQdnWbrK1InKrJtsLTE05wtP3p9/eX&#10;69kadtaTHxxJeFgIYJpapwbqJHy8v96vgPmApNA40hK+tId1dX1VYqHchXb6XIeOxRDyBUroQxgL&#10;zn3ba4t+4UZN8XZ0k8UQx6njasJLDLeGJ0Jk3OJA8UOPo37pdftZn6yEZj+a7+PGHuZ9nRFu37ZI&#10;mzspb2/m5ydgQc/hD4Zf/agOVXRq3ImUZ0ZCli4jKWGZpzmwCDyKJG4aCWkicuBVyf9XqH4AAAD/&#10;/wMAUEsBAi0AFAAGAAgAAAAhALaDOJL+AAAA4QEAABMAAAAAAAAAAAAAAAAAAAAAAFtDb250ZW50&#10;X1R5cGVzXS54bWxQSwECLQAUAAYACAAAACEAOP0h/9YAAACUAQAACwAAAAAAAAAAAAAAAAAvAQAA&#10;X3JlbHMvLnJlbHNQSwECLQAUAAYACAAAACEAKG7pzZ8CAACTBQAADgAAAAAAAAAAAAAAAAAuAgAA&#10;ZHJzL2Uyb0RvYy54bWxQSwECLQAUAAYACAAAACEAuvwxxuAAAAAKAQAADwAAAAAAAAAAAAAAAAD5&#10;BAAAZHJzL2Rvd25yZXYueG1sUEsFBgAAAAAEAAQA8wAAAAYGAAAAAA==&#10;" filled="f" strokecolor="red" strokeweight="2.25pt"/>
            </w:pict>
          </mc:Fallback>
        </mc:AlternateContent>
      </w:r>
      <w:r>
        <w:rPr>
          <w:noProof/>
          <w:lang w:eastAsia="es-MX"/>
        </w:rPr>
        <mc:AlternateContent>
          <mc:Choice Requires="wps">
            <w:drawing>
              <wp:anchor distT="0" distB="0" distL="114300" distR="114300" simplePos="0" relativeHeight="251673600" behindDoc="0" locked="0" layoutInCell="1" allowOverlap="1" wp14:anchorId="56D772A5" wp14:editId="22560A12">
                <wp:simplePos x="0" y="0"/>
                <wp:positionH relativeFrom="column">
                  <wp:posOffset>-3810</wp:posOffset>
                </wp:positionH>
                <wp:positionV relativeFrom="paragraph">
                  <wp:posOffset>20320</wp:posOffset>
                </wp:positionV>
                <wp:extent cx="5734050" cy="2286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5734050" cy="228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EC032" id="Rectángulo 8" o:spid="_x0000_s1026" style="position:absolute;margin-left:-.3pt;margin-top:1.6pt;width:45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gDogIAAJEFAAAOAAAAZHJzL2Uyb0RvYy54bWysVEtuGzEM3RfoHQTtmxm7duIaGQdGAhcF&#10;gjRIUmQtayTPABpRpeRfb9Oz9GKlNJ8YadBFUS9kcUg+io+fy6tDY9hOoa/BFnx0lnOmrISytpuC&#10;f3tafZhx5oOwpTBgVcGPyvOrxft3l3s3V2OowJQKGYFYP9+7glchuHmWeVmpRvgzcMqSUgM2IpCI&#10;m6xEsSf0xmTjPD/P9oClQ5DKe/p60yr5IuFrrWT4qrVXgZmC09tCOjGd63hmi0sx36BwVS27Z4h/&#10;eEUjaktBB6gbEQTbYv0HVFNLBA86nEloMtC6lirlQNmM8lfZPFbCqZQLkePdQJP/f7DybnePrC4L&#10;ToWyoqESPRBpv37azdYAm0WC9s7Pye7R3WMnebrGbA8am/hPebBDIvU4kKoOgUn6OL34OMmnxL0k&#10;3Xg8O88T69mLt0MfPitoWLwUHCl+4lLsbn2giGTam8RgFla1MalwxrI9gc6mF9Pk4cHUZdRGO4+b&#10;9bVBthNU+9Uqp1/MhtBOzEgylj7GHNus0i0cjYoYxj4oTfRQHuM2QmxMNcAKKZUNo1ZViVK10aan&#10;wXqPFDoBRmRNrxywO4DesgXpsds3d/bRVaW+Hpzzvz2sdR48UmSwYXBuagv4FoChrLrIrX1PUktN&#10;ZGkN5ZGaB6GdKu/kqqYK3gof7gXSGFHRaTWEr3RoA1Qp6G6cVYA/3voe7am7ScvZnsay4P77VqDi&#10;zHyx1PefRpNJnOMkTKYXYxLwVLM+1dhtcw1U/REtISfTNdoH0181QvNMG2QZo5JKWEmxCy4D9sJ1&#10;aNcF7SCplstkRrPrRLi1j05G8Mhq7NCnw7NA17VxoAG4g36ExfxVN7e20dPCchtA16nVX3jt+Ka5&#10;T43T7ai4WE7lZPWySRe/AQAA//8DAFBLAwQUAAYACAAAACEAQF+F7dsAAAAGAQAADwAAAGRycy9k&#10;b3ducmV2LnhtbEyOQUvDQBCF74L/YRnBi7QbowQbsyliEW8Fo9TrJDtNgtnZkN220V/veLLHx3t8&#10;7yvWsxvUkabQezZwu0xAETfe9twa+Hh/WTyAChHZ4uCZDHxTgHV5eVFgbv2J3+hYxVYJhEOOBroY&#10;x1zr0HTkMCz9SCzd3k8Oo8Sp1XbCk8DdoNMkybTDnuWhw5GeO2q+qoMzUO/G4We/cZ/zrsoYt69b&#10;5M2NMddX89MjqEhz/B/Dn76oQylOtT+wDWowsMhkaOAuBSXtKknvQdWSVynostDn+uUvAAAA//8D&#10;AFBLAQItABQABgAIAAAAIQC2gziS/gAAAOEBAAATAAAAAAAAAAAAAAAAAAAAAABbQ29udGVudF9U&#10;eXBlc10ueG1sUEsBAi0AFAAGAAgAAAAhADj9If/WAAAAlAEAAAsAAAAAAAAAAAAAAAAALwEAAF9y&#10;ZWxzLy5yZWxzUEsBAi0AFAAGAAgAAAAhAKIW6AOiAgAAkQUAAA4AAAAAAAAAAAAAAAAALgIAAGRy&#10;cy9lMm9Eb2MueG1sUEsBAi0AFAAGAAgAAAAhAEBfhe3bAAAABgEAAA8AAAAAAAAAAAAAAAAA/AQA&#10;AGRycy9kb3ducmV2LnhtbFBLBQYAAAAABAAEAPMAAAAEBgAAAAA=&#10;" filled="f" strokecolor="red" strokeweight="2.25pt"/>
            </w:pict>
          </mc:Fallback>
        </mc:AlternateContent>
      </w:r>
      <w:r>
        <w:rPr>
          <w:noProof/>
          <w:lang w:eastAsia="es-MX"/>
        </w:rPr>
        <w:drawing>
          <wp:inline distT="0" distB="0" distL="0" distR="0" wp14:anchorId="0AE6141F" wp14:editId="379EADD2">
            <wp:extent cx="5800725" cy="3749639"/>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4" t="43451" r="34657" b="21244"/>
                    <a:stretch/>
                  </pic:blipFill>
                  <pic:spPr bwMode="auto">
                    <a:xfrm>
                      <a:off x="0" y="0"/>
                      <a:ext cx="5858055" cy="3786698"/>
                    </a:xfrm>
                    <a:prstGeom prst="rect">
                      <a:avLst/>
                    </a:prstGeom>
                    <a:ln>
                      <a:noFill/>
                    </a:ln>
                    <a:extLst>
                      <a:ext uri="{53640926-AAD7-44D8-BBD7-CCE9431645EC}">
                        <a14:shadowObscured xmlns:a14="http://schemas.microsoft.com/office/drawing/2010/main"/>
                      </a:ext>
                    </a:extLst>
                  </pic:spPr>
                </pic:pic>
              </a:graphicData>
            </a:graphic>
          </wp:inline>
        </w:drawing>
      </w:r>
    </w:p>
    <w:p w:rsidR="005D4C55" w:rsidRDefault="005D4C55" w:rsidP="0011355F">
      <w:pPr>
        <w:pStyle w:val="Sinespaciado"/>
        <w:spacing w:line="360" w:lineRule="auto"/>
        <w:jc w:val="both"/>
        <w:rPr>
          <w:rFonts w:ascii="Palatino Linotype" w:hAnsi="Palatino Linotype"/>
        </w:rPr>
      </w:pPr>
    </w:p>
    <w:p w:rsidR="005D4C55" w:rsidRDefault="005D4C55" w:rsidP="0011355F">
      <w:pPr>
        <w:pStyle w:val="Sinespaciado"/>
        <w:spacing w:line="360" w:lineRule="auto"/>
        <w:jc w:val="both"/>
        <w:rPr>
          <w:rFonts w:ascii="Palatino Linotype" w:hAnsi="Palatino Linotype"/>
        </w:rPr>
      </w:pPr>
      <w:r>
        <w:rPr>
          <w:noProof/>
          <w:lang w:eastAsia="es-MX"/>
        </w:rPr>
        <w:lastRenderedPageBreak/>
        <w:drawing>
          <wp:inline distT="0" distB="0" distL="0" distR="0" wp14:anchorId="36597E47" wp14:editId="224E35FF">
            <wp:extent cx="5695950" cy="50932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284" t="9354" r="33639" b="39650"/>
                    <a:stretch/>
                  </pic:blipFill>
                  <pic:spPr bwMode="auto">
                    <a:xfrm>
                      <a:off x="0" y="0"/>
                      <a:ext cx="5724257" cy="5118514"/>
                    </a:xfrm>
                    <a:prstGeom prst="rect">
                      <a:avLst/>
                    </a:prstGeom>
                    <a:ln>
                      <a:noFill/>
                    </a:ln>
                    <a:extLst>
                      <a:ext uri="{53640926-AAD7-44D8-BBD7-CCE9431645EC}">
                        <a14:shadowObscured xmlns:a14="http://schemas.microsoft.com/office/drawing/2010/main"/>
                      </a:ext>
                    </a:extLst>
                  </pic:spPr>
                </pic:pic>
              </a:graphicData>
            </a:graphic>
          </wp:inline>
        </w:drawing>
      </w:r>
    </w:p>
    <w:p w:rsidR="005D4C55" w:rsidRDefault="005D4C55" w:rsidP="005D4C55">
      <w:pPr>
        <w:pStyle w:val="Sinespaciado"/>
        <w:spacing w:line="360" w:lineRule="auto"/>
        <w:jc w:val="both"/>
        <w:rPr>
          <w:rFonts w:ascii="Palatino Linotype" w:hAnsi="Palatino Linotype"/>
        </w:rPr>
      </w:pPr>
    </w:p>
    <w:p w:rsidR="00750291" w:rsidRDefault="005D4C55" w:rsidP="00F1574A">
      <w:pPr>
        <w:pStyle w:val="Sinespaciado"/>
        <w:spacing w:line="360" w:lineRule="auto"/>
        <w:jc w:val="both"/>
        <w:rPr>
          <w:rFonts w:ascii="Palatino Linotype" w:hAnsi="Palatino Linotype"/>
        </w:rPr>
      </w:pPr>
      <w:r w:rsidRPr="00EC3545">
        <w:rPr>
          <w:rFonts w:ascii="Palatino Linotype" w:hAnsi="Palatino Linotype"/>
          <w:noProof/>
          <w:lang w:eastAsia="es-MX"/>
        </w:rPr>
        <w:t>Por esta razón, este Instituto considera que existe</w:t>
      </w:r>
      <w:r>
        <w:rPr>
          <w:rFonts w:ascii="Palatino Linotype" w:hAnsi="Palatino Linotype"/>
          <w:noProof/>
          <w:lang w:eastAsia="es-MX"/>
        </w:rPr>
        <w:t>n</w:t>
      </w:r>
      <w:r w:rsidRPr="00EC3545">
        <w:rPr>
          <w:rFonts w:ascii="Palatino Linotype" w:hAnsi="Palatino Linotype"/>
          <w:noProof/>
          <w:lang w:eastAsia="es-MX"/>
        </w:rPr>
        <w:t xml:space="preserve"> documento</w:t>
      </w:r>
      <w:r>
        <w:rPr>
          <w:rFonts w:ascii="Palatino Linotype" w:hAnsi="Palatino Linotype"/>
          <w:noProof/>
          <w:lang w:eastAsia="es-MX"/>
        </w:rPr>
        <w:t>s</w:t>
      </w:r>
      <w:r w:rsidRPr="00EC3545">
        <w:rPr>
          <w:rFonts w:ascii="Palatino Linotype" w:hAnsi="Palatino Linotype"/>
          <w:noProof/>
          <w:lang w:eastAsia="es-MX"/>
        </w:rPr>
        <w:t xml:space="preserve"> que de manera enunciativa más no limitativa, puede</w:t>
      </w:r>
      <w:r>
        <w:rPr>
          <w:rFonts w:ascii="Palatino Linotype" w:hAnsi="Palatino Linotype"/>
          <w:noProof/>
          <w:lang w:eastAsia="es-MX"/>
        </w:rPr>
        <w:t>n</w:t>
      </w:r>
      <w:r w:rsidRPr="00EC3545">
        <w:rPr>
          <w:rFonts w:ascii="Palatino Linotype" w:hAnsi="Palatino Linotype"/>
          <w:noProof/>
          <w:lang w:eastAsia="es-MX"/>
        </w:rPr>
        <w:t xml:space="preserve"> colmar el derecho de acceso a la información de</w:t>
      </w:r>
      <w:r>
        <w:rPr>
          <w:rFonts w:ascii="Palatino Linotype" w:hAnsi="Palatino Linotype"/>
          <w:noProof/>
          <w:lang w:eastAsia="es-MX"/>
        </w:rPr>
        <w:t xml:space="preserve"> </w:t>
      </w:r>
      <w:r w:rsidRPr="00EC3545">
        <w:rPr>
          <w:rFonts w:ascii="Palatino Linotype" w:hAnsi="Palatino Linotype"/>
          <w:noProof/>
          <w:lang w:eastAsia="es-MX"/>
        </w:rPr>
        <w:t>l</w:t>
      </w:r>
      <w:r>
        <w:rPr>
          <w:rFonts w:ascii="Palatino Linotype" w:hAnsi="Palatino Linotype"/>
          <w:noProof/>
          <w:lang w:eastAsia="es-MX"/>
        </w:rPr>
        <w:t>a</w:t>
      </w:r>
      <w:r w:rsidRPr="00EC3545">
        <w:rPr>
          <w:rFonts w:ascii="Palatino Linotype" w:hAnsi="Palatino Linotype"/>
          <w:noProof/>
          <w:lang w:eastAsia="es-MX"/>
        </w:rPr>
        <w:t xml:space="preserve"> Recurrente, como </w:t>
      </w:r>
      <w:r>
        <w:rPr>
          <w:rFonts w:ascii="Palatino Linotype" w:hAnsi="Palatino Linotype"/>
          <w:noProof/>
          <w:lang w:eastAsia="es-MX"/>
        </w:rPr>
        <w:t>son los denominados Comprobantes Fiscales Digitales por Internet por concepto de nómina del 01 al 15 del Mes y del 16 ak 30/31 del Mes (CFDI)</w:t>
      </w:r>
      <w:r w:rsidR="00E356D3">
        <w:rPr>
          <w:rFonts w:ascii="Palatino Linotype" w:hAnsi="Palatino Linotype"/>
          <w:noProof/>
          <w:lang w:eastAsia="es-MX"/>
        </w:rPr>
        <w:t xml:space="preserve">, en los </w:t>
      </w:r>
      <w:r w:rsidRPr="00EC3545">
        <w:rPr>
          <w:rFonts w:ascii="Palatino Linotype" w:hAnsi="Palatino Linotype"/>
          <w:noProof/>
          <w:lang w:eastAsia="es-MX"/>
        </w:rPr>
        <w:t xml:space="preserve">consta la información solicitada, pues tiene como objetivo presentar la información del pago de las remuneraciones de cada uno de los servidores públicos </w:t>
      </w:r>
      <w:r w:rsidRPr="00EC3545">
        <w:rPr>
          <w:rFonts w:ascii="Palatino Linotype" w:hAnsi="Palatino Linotype"/>
          <w:noProof/>
          <w:lang w:eastAsia="es-MX"/>
        </w:rPr>
        <w:lastRenderedPageBreak/>
        <w:t>de la entidad fiscalizable de que se trate, correspon</w:t>
      </w:r>
      <w:r>
        <w:rPr>
          <w:rFonts w:ascii="Palatino Linotype" w:hAnsi="Palatino Linotype"/>
          <w:noProof/>
          <w:lang w:eastAsia="es-MX"/>
        </w:rPr>
        <w:t>diente a un periodo determinado</w:t>
      </w:r>
      <w:r w:rsidR="00E356D3">
        <w:rPr>
          <w:rFonts w:ascii="Palatino Linotype" w:hAnsi="Palatino Linotype"/>
        </w:rPr>
        <w:t xml:space="preserve">. </w:t>
      </w:r>
      <w:r w:rsidR="00750291" w:rsidRPr="00C24D80">
        <w:rPr>
          <w:rFonts w:ascii="Palatino Linotype" w:hAnsi="Palatino Linotype"/>
          <w:noProof/>
          <w:lang w:eastAsia="es-MX"/>
        </w:rPr>
        <w:t>Se debe hacer mención que los comprobantes fiscales digitales son considerados como documento soporte, por lo que su presentación puede colmar a plenitud la pretensión del Recurrente, respecto a los recibos de nómina de los integrantes del Ayuntamiento.</w:t>
      </w:r>
    </w:p>
    <w:p w:rsidR="001A5FF5" w:rsidRDefault="001A5FF5" w:rsidP="00F1574A">
      <w:pPr>
        <w:pStyle w:val="Sinespaciado"/>
        <w:spacing w:line="360" w:lineRule="auto"/>
        <w:jc w:val="both"/>
        <w:rPr>
          <w:rFonts w:ascii="Palatino Linotype" w:hAnsi="Palatino Linotype"/>
          <w:noProof/>
          <w:lang w:eastAsia="es-MX"/>
        </w:rPr>
      </w:pPr>
    </w:p>
    <w:p w:rsidR="00881452" w:rsidRPr="00331444" w:rsidRDefault="00FE278D" w:rsidP="00E356D3">
      <w:pPr>
        <w:pStyle w:val="Sinespaciado"/>
        <w:spacing w:line="360" w:lineRule="auto"/>
        <w:jc w:val="both"/>
        <w:rPr>
          <w:rFonts w:ascii="Palatino Linotype" w:hAnsi="Palatino Linotype"/>
          <w:i/>
          <w:sz w:val="22"/>
          <w:szCs w:val="22"/>
        </w:rPr>
      </w:pPr>
      <w:r>
        <w:rPr>
          <w:rFonts w:ascii="Palatino Linotype" w:hAnsi="Palatino Linotype"/>
          <w:noProof/>
          <w:lang w:eastAsia="es-MX"/>
        </w:rPr>
        <w:t xml:space="preserve">En ese orden de ideas, no es de soslayarse que el Recurrente solicitó los recibos de nómina </w:t>
      </w:r>
      <w:r w:rsidR="00E356D3">
        <w:rPr>
          <w:rFonts w:ascii="Palatino Linotype" w:hAnsi="Palatino Linotype"/>
          <w:noProof/>
          <w:lang w:eastAsia="es-MX"/>
        </w:rPr>
        <w:t xml:space="preserve">y/o lista de raya </w:t>
      </w:r>
      <w:r>
        <w:rPr>
          <w:rFonts w:ascii="Palatino Linotype" w:hAnsi="Palatino Linotype"/>
          <w:noProof/>
          <w:lang w:eastAsia="es-MX"/>
        </w:rPr>
        <w:t xml:space="preserve">de todo el personal </w:t>
      </w:r>
      <w:r w:rsidR="00E356D3">
        <w:rPr>
          <w:rFonts w:ascii="Palatino Linotype" w:hAnsi="Palatino Linotype"/>
          <w:noProof/>
          <w:lang w:eastAsia="es-MX"/>
        </w:rPr>
        <w:t>que labora en el Ayuntamiento administración municipal. De tal forma que este Instituto considera que el solicitant</w:t>
      </w:r>
      <w:r w:rsidR="00AF509D">
        <w:rPr>
          <w:rFonts w:ascii="Palatino Linotype" w:hAnsi="Palatino Linotype"/>
          <w:noProof/>
          <w:lang w:eastAsia="es-MX"/>
        </w:rPr>
        <w:t>e, al no se experto en el tema, solicitó la información de todos los servidores públicos que laboran en el municipio, por lo cual, en apego a lo establecido en el artículo 13</w:t>
      </w:r>
      <w:r w:rsidR="00AF509D">
        <w:rPr>
          <w:rStyle w:val="Refdenotaalpie"/>
          <w:rFonts w:ascii="Palatino Linotype" w:hAnsi="Palatino Linotype"/>
          <w:noProof/>
          <w:lang w:eastAsia="es-MX"/>
        </w:rPr>
        <w:footnoteReference w:id="2"/>
      </w:r>
      <w:r w:rsidR="00AF509D">
        <w:rPr>
          <w:rFonts w:ascii="Palatino Linotype" w:hAnsi="Palatino Linotype"/>
          <w:noProof/>
          <w:lang w:eastAsia="es-MX"/>
        </w:rPr>
        <w:t xml:space="preserve"> de la Ley de Transparencia y Acceso a la Información Pública del Estado de México y Muncipios, se suple la deficiencia de la queja y se considera que debe entregarse la información relativa a todos los trabajadores de la administración publica municipal adscritos al Sujeto Obligado.</w:t>
      </w:r>
      <w:r w:rsidR="00881452">
        <w:rPr>
          <w:rFonts w:ascii="Palatino Linotype" w:hAnsi="Palatino Linotype"/>
          <w:noProof/>
          <w:lang w:eastAsia="es-MX"/>
        </w:rPr>
        <w:t xml:space="preserve"> </w:t>
      </w:r>
    </w:p>
    <w:p w:rsidR="00881452" w:rsidRDefault="00881452" w:rsidP="00881452">
      <w:pPr>
        <w:pStyle w:val="Sinespaciado"/>
        <w:spacing w:line="360" w:lineRule="auto"/>
        <w:jc w:val="both"/>
        <w:rPr>
          <w:rFonts w:ascii="Palatino Linotype" w:hAnsi="Palatino Linotype"/>
        </w:rPr>
      </w:pPr>
    </w:p>
    <w:p w:rsidR="0054166E" w:rsidRPr="0043059F" w:rsidRDefault="0054166E" w:rsidP="005C129B">
      <w:pPr>
        <w:pStyle w:val="Encabezado"/>
        <w:tabs>
          <w:tab w:val="left" w:pos="567"/>
        </w:tabs>
        <w:spacing w:line="360" w:lineRule="auto"/>
        <w:jc w:val="both"/>
        <w:rPr>
          <w:rFonts w:ascii="Palatino Linotype" w:eastAsia="MS Mincho" w:hAnsi="Palatino Linotype" w:cs="Arial"/>
          <w:color w:val="000000" w:themeColor="text1"/>
          <w:lang w:val="es-MX"/>
        </w:rPr>
      </w:pPr>
      <w:r>
        <w:rPr>
          <w:rFonts w:ascii="Palatino Linotype" w:hAnsi="Palatino Linotype"/>
        </w:rPr>
        <w:t xml:space="preserve">Respecto al personal referido por lista de raya, es importante mencionar que </w:t>
      </w:r>
      <w:r w:rsidRPr="0043059F">
        <w:rPr>
          <w:rFonts w:ascii="Palatino Linotype" w:eastAsia="MS Mincho" w:hAnsi="Palatino Linotype" w:cs="Arial"/>
          <w:color w:val="000000" w:themeColor="text1"/>
          <w:lang w:val="es-MX"/>
        </w:rPr>
        <w:t>este término no tiene una connotación o definición de manera específica; sin embargo de acuerdo al “Glosario de Términos Administrativos” precisa lo siguiente:</w:t>
      </w:r>
    </w:p>
    <w:p w:rsidR="0054166E" w:rsidRPr="0021093F" w:rsidRDefault="0054166E" w:rsidP="0054166E">
      <w:pPr>
        <w:pStyle w:val="Encabezado"/>
        <w:tabs>
          <w:tab w:val="left" w:pos="567"/>
        </w:tabs>
        <w:spacing w:line="360" w:lineRule="auto"/>
        <w:jc w:val="both"/>
        <w:rPr>
          <w:rFonts w:ascii="Palatino Linotype" w:eastAsia="MS Mincho" w:hAnsi="Palatino Linotype" w:cs="Arial"/>
          <w:color w:val="000000" w:themeColor="text1"/>
          <w:highlight w:val="yellow"/>
          <w:lang w:val="es-MX"/>
        </w:rPr>
      </w:pPr>
    </w:p>
    <w:p w:rsidR="0054166E" w:rsidRPr="0054166E" w:rsidRDefault="0054166E" w:rsidP="0054166E">
      <w:pPr>
        <w:pStyle w:val="Sinespaciado"/>
        <w:ind w:left="567" w:right="567"/>
        <w:jc w:val="both"/>
        <w:rPr>
          <w:rFonts w:ascii="Palatino Linotype" w:hAnsi="Palatino Linotype"/>
          <w:sz w:val="22"/>
          <w:szCs w:val="22"/>
        </w:rPr>
      </w:pPr>
      <w:r w:rsidRPr="0054166E">
        <w:rPr>
          <w:rFonts w:ascii="Palatino Linotype" w:hAnsi="Palatino Linotype"/>
          <w:b/>
          <w:i/>
          <w:color w:val="000000" w:themeColor="text1"/>
          <w:sz w:val="22"/>
          <w:szCs w:val="22"/>
        </w:rPr>
        <w:t>PERSONAL A LISTA DE RAYA.</w:t>
      </w:r>
      <w:r w:rsidRPr="0054166E">
        <w:rPr>
          <w:rFonts w:ascii="Palatino Linotype" w:hAnsi="Palatino Linotype"/>
          <w:i/>
          <w:color w:val="000000" w:themeColor="text1"/>
          <w:sz w:val="22"/>
          <w:szCs w:val="22"/>
        </w:rPr>
        <w:t xml:space="preserve"> Lo integran los trabajadores temporales cuya relación laboral se formaliza por su inclusión en nómina o documentos denominados "Lista de Raya" y que, por lo tanto, carecen de nombramiento.</w:t>
      </w:r>
    </w:p>
    <w:p w:rsidR="0054166E" w:rsidRDefault="0054166E" w:rsidP="00881452">
      <w:pPr>
        <w:pStyle w:val="Sinespaciado"/>
        <w:spacing w:line="360" w:lineRule="auto"/>
        <w:jc w:val="both"/>
        <w:rPr>
          <w:rFonts w:ascii="Palatino Linotype" w:hAnsi="Palatino Linotype"/>
        </w:rPr>
      </w:pPr>
    </w:p>
    <w:p w:rsidR="00113767" w:rsidRDefault="00113767" w:rsidP="00881452">
      <w:pPr>
        <w:pStyle w:val="Sinespaciado"/>
        <w:spacing w:line="360" w:lineRule="auto"/>
        <w:jc w:val="both"/>
        <w:rPr>
          <w:rFonts w:ascii="Palatino Linotype" w:hAnsi="Palatino Linotype"/>
        </w:rPr>
      </w:pPr>
      <w:r>
        <w:rPr>
          <w:rFonts w:ascii="Palatino Linotype" w:hAnsi="Palatino Linotype"/>
        </w:rPr>
        <w:lastRenderedPageBreak/>
        <w:t>Adicionalmente, el antes referido artículo 804 en su fracción II obliga al patrón a conservar y exhibir en juicio la lista de raya o nómina del personal, por lo que puede concluirse que la lista de raya consiste en el registro conformado por trabajadores a los que se les remunera por los servicios que esto le presten al patrón en forma temporal.</w:t>
      </w:r>
    </w:p>
    <w:p w:rsidR="00113767" w:rsidRDefault="00113767" w:rsidP="00881452">
      <w:pPr>
        <w:pStyle w:val="Sinespaciado"/>
        <w:spacing w:line="360" w:lineRule="auto"/>
        <w:jc w:val="both"/>
        <w:rPr>
          <w:rFonts w:ascii="Palatino Linotype" w:hAnsi="Palatino Linotype"/>
        </w:rPr>
      </w:pPr>
    </w:p>
    <w:p w:rsidR="00881452" w:rsidRDefault="00881452" w:rsidP="00881452">
      <w:pPr>
        <w:pStyle w:val="Sinespaciado"/>
        <w:spacing w:line="360" w:lineRule="auto"/>
        <w:jc w:val="both"/>
        <w:rPr>
          <w:rFonts w:ascii="Palatino Linotype" w:hAnsi="Palatino Linotype"/>
        </w:rPr>
      </w:pPr>
      <w:r>
        <w:rPr>
          <w:rFonts w:ascii="Palatino Linotype" w:hAnsi="Palatino Linotype"/>
        </w:rPr>
        <w:t xml:space="preserve">En el caso en concreto, este Instituto no tiene la certeza de que estos trabajadores sean incluidos en la nómina general, por lo que en caso de </w:t>
      </w:r>
      <w:r w:rsidR="0011221F">
        <w:rPr>
          <w:rFonts w:ascii="Palatino Linotype" w:hAnsi="Palatino Linotype"/>
        </w:rPr>
        <w:t xml:space="preserve">que su remuneración se realice con un documento distinto a los </w:t>
      </w:r>
      <w:r>
        <w:rPr>
          <w:rFonts w:ascii="Palatino Linotype" w:hAnsi="Palatino Linotype"/>
        </w:rPr>
        <w:t>no estar contemplados en dicho documento, el Sujeto Obligado deberá hacer entrega del documento o documentos en donde conste la remuneración que se les otorga a los trabajadores contratados bajo las modalidades por tiempo u obra determinados</w:t>
      </w:r>
      <w:r w:rsidR="005C129B">
        <w:rPr>
          <w:rFonts w:ascii="Palatino Linotype" w:hAnsi="Palatino Linotype"/>
        </w:rPr>
        <w:t xml:space="preserve"> y por lista de raya</w:t>
      </w:r>
      <w:r>
        <w:rPr>
          <w:rFonts w:ascii="Palatino Linotype" w:hAnsi="Palatino Linotype"/>
        </w:rPr>
        <w:t>.</w:t>
      </w:r>
    </w:p>
    <w:p w:rsidR="00881452" w:rsidRDefault="00881452" w:rsidP="00881452">
      <w:pPr>
        <w:pStyle w:val="Sinespaciado"/>
        <w:spacing w:line="360" w:lineRule="auto"/>
        <w:jc w:val="both"/>
        <w:rPr>
          <w:rFonts w:ascii="Palatino Linotype" w:hAnsi="Palatino Linotype"/>
        </w:rPr>
      </w:pPr>
    </w:p>
    <w:p w:rsidR="00881452" w:rsidRDefault="00881452" w:rsidP="00881452">
      <w:pPr>
        <w:pStyle w:val="Sinespaciado"/>
        <w:spacing w:line="360" w:lineRule="auto"/>
        <w:jc w:val="both"/>
        <w:rPr>
          <w:rFonts w:ascii="Palatino Linotype" w:hAnsi="Palatino Linotype"/>
        </w:rPr>
      </w:pPr>
      <w:r>
        <w:rPr>
          <w:rFonts w:ascii="Palatino Linotype" w:hAnsi="Palatino Linotype"/>
        </w:rPr>
        <w:t>Lo anterior es viable de acuerdo a lo dispuesto por el artículo 220 K de Ley antes citada del Trabajo de los Servidores Públicos del Estado de México y Municipios que establece lo siguiente:</w:t>
      </w:r>
    </w:p>
    <w:p w:rsidR="00881452" w:rsidRDefault="00881452" w:rsidP="00881452">
      <w:pPr>
        <w:pStyle w:val="Sinespaciado"/>
        <w:spacing w:line="360" w:lineRule="auto"/>
        <w:jc w:val="both"/>
        <w:rPr>
          <w:rFonts w:ascii="Palatino Linotype" w:hAnsi="Palatino Linotype"/>
        </w:rPr>
      </w:pP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cs="Bookman Old Style,Bold"/>
          <w:b/>
          <w:bCs/>
          <w:i/>
          <w:sz w:val="22"/>
          <w:szCs w:val="22"/>
        </w:rPr>
        <w:t xml:space="preserve">ARTÍCULO 220 K.- </w:t>
      </w:r>
      <w:r w:rsidRPr="00E61CCA">
        <w:rPr>
          <w:rFonts w:ascii="Palatino Linotype" w:hAnsi="Palatino Linotype"/>
          <w:b/>
          <w:i/>
          <w:sz w:val="22"/>
          <w:szCs w:val="22"/>
          <w:u w:val="single"/>
        </w:rPr>
        <w:t>La institución o dependencia pública tiene la obligación de conservar y exhibir en el proceso los documentos que a continuación se precisan</w:t>
      </w:r>
      <w:r w:rsidRPr="00E61CCA">
        <w:rPr>
          <w:rFonts w:ascii="Palatino Linotype" w:hAnsi="Palatino Linotype"/>
          <w:i/>
          <w:sz w:val="22"/>
          <w:szCs w:val="22"/>
        </w:rPr>
        <w:t>:</w:t>
      </w:r>
    </w:p>
    <w:p w:rsidR="00881452" w:rsidRPr="00E61CCA" w:rsidRDefault="00881452" w:rsidP="00881452">
      <w:pPr>
        <w:pStyle w:val="Sinespaciado"/>
        <w:ind w:left="567" w:right="567"/>
        <w:jc w:val="both"/>
        <w:rPr>
          <w:rFonts w:ascii="Palatino Linotype" w:hAnsi="Palatino Linotype"/>
          <w:i/>
          <w:sz w:val="22"/>
          <w:szCs w:val="22"/>
        </w:rPr>
      </w:pP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I. Contratos, Nombramientos o Formato Único de Movimientos de Personal, cuando no exista Convenio de condiciones generales de trabajo aplicable;</w:t>
      </w: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 xml:space="preserve">II. </w:t>
      </w:r>
      <w:r w:rsidRPr="00E61CCA">
        <w:rPr>
          <w:rFonts w:ascii="Palatino Linotype" w:hAnsi="Palatino Linotype"/>
          <w:b/>
          <w:i/>
          <w:sz w:val="22"/>
          <w:szCs w:val="22"/>
          <w:u w:val="single"/>
        </w:rPr>
        <w:t>Recibos de pagos de salarios o las constancias documentales del pago de salario cuando sea por depósito o mediante información electrónica</w:t>
      </w:r>
      <w:r w:rsidRPr="00E61CCA">
        <w:rPr>
          <w:rFonts w:ascii="Palatino Linotype" w:hAnsi="Palatino Linotype"/>
          <w:i/>
          <w:sz w:val="22"/>
          <w:szCs w:val="22"/>
        </w:rPr>
        <w:t>;</w:t>
      </w: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III. Controles de asistencia o la información magnética o electrónica de asistencia de los servidores públicos;</w:t>
      </w:r>
    </w:p>
    <w:p w:rsidR="00881452" w:rsidRPr="00BA1EB5"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 xml:space="preserve">IV. </w:t>
      </w:r>
      <w:r w:rsidRPr="00186365">
        <w:rPr>
          <w:rFonts w:ascii="Palatino Linotype" w:hAnsi="Palatino Linotype"/>
          <w:b/>
          <w:i/>
          <w:sz w:val="22"/>
          <w:szCs w:val="22"/>
          <w:u w:val="single"/>
        </w:rPr>
        <w:t xml:space="preserve">Recibos o las constancias de </w:t>
      </w:r>
      <w:r w:rsidR="009F1E01" w:rsidRPr="00186365">
        <w:rPr>
          <w:rFonts w:ascii="Palatino Linotype" w:hAnsi="Palatino Linotype"/>
          <w:b/>
          <w:i/>
          <w:sz w:val="22"/>
          <w:szCs w:val="22"/>
          <w:u w:val="single"/>
        </w:rPr>
        <w:t>depósito</w:t>
      </w:r>
      <w:r w:rsidRPr="00186365">
        <w:rPr>
          <w:rFonts w:ascii="Palatino Linotype" w:hAnsi="Palatino Linotype"/>
          <w:b/>
          <w:i/>
          <w:sz w:val="22"/>
          <w:szCs w:val="22"/>
          <w:u w:val="single"/>
        </w:rPr>
        <w:t xml:space="preserve"> o del medio de información magnética o electrónica que sean utilizadas para el pago de salarios, prima vacacional, aguinaldo y demás prestaciones establecidas en la presente ley</w:t>
      </w:r>
      <w:r w:rsidRPr="00BA1EB5">
        <w:rPr>
          <w:rFonts w:ascii="Palatino Linotype" w:hAnsi="Palatino Linotype"/>
          <w:i/>
          <w:sz w:val="22"/>
          <w:szCs w:val="22"/>
        </w:rPr>
        <w:t>; y</w:t>
      </w: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lastRenderedPageBreak/>
        <w:t>V.</w:t>
      </w:r>
      <w:r w:rsidR="009F1E01">
        <w:rPr>
          <w:rFonts w:ascii="Palatino Linotype" w:hAnsi="Palatino Linotype"/>
          <w:i/>
          <w:sz w:val="22"/>
          <w:szCs w:val="22"/>
        </w:rPr>
        <w:t xml:space="preserve"> </w:t>
      </w:r>
      <w:r w:rsidRPr="00E61CCA">
        <w:rPr>
          <w:rFonts w:ascii="Palatino Linotype" w:hAnsi="Palatino Linotype"/>
          <w:i/>
          <w:sz w:val="22"/>
          <w:szCs w:val="22"/>
        </w:rPr>
        <w:t>Los demás que señalen las leyes.</w:t>
      </w:r>
    </w:p>
    <w:p w:rsidR="00881452" w:rsidRDefault="00881452" w:rsidP="00881452">
      <w:pPr>
        <w:pStyle w:val="Sinespaciado"/>
        <w:ind w:left="567" w:right="567"/>
        <w:jc w:val="both"/>
        <w:rPr>
          <w:rFonts w:ascii="Palatino Linotype" w:hAnsi="Palatino Linotype"/>
          <w:i/>
          <w:sz w:val="22"/>
          <w:szCs w:val="22"/>
        </w:rPr>
      </w:pPr>
    </w:p>
    <w:p w:rsidR="00881452"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b/>
          <w:i/>
          <w:sz w:val="22"/>
          <w:szCs w:val="22"/>
          <w:u w:val="single"/>
        </w:rPr>
        <w:t>Los documentos</w:t>
      </w:r>
      <w:r w:rsidRPr="00E61CCA">
        <w:rPr>
          <w:rFonts w:ascii="Palatino Linotype" w:hAnsi="Palatino Linotype"/>
          <w:i/>
          <w:sz w:val="22"/>
          <w:szCs w:val="22"/>
        </w:rPr>
        <w:t xml:space="preserve"> señalados en la fracción I de este artículo, deberán conservarse </w:t>
      </w:r>
      <w:r w:rsidR="009F1E01" w:rsidRPr="00E61CCA">
        <w:rPr>
          <w:rFonts w:ascii="Palatino Linotype" w:hAnsi="Palatino Linotype"/>
          <w:i/>
          <w:sz w:val="22"/>
          <w:szCs w:val="22"/>
        </w:rPr>
        <w:t>mientras dure</w:t>
      </w:r>
      <w:r w:rsidRPr="00E61CCA">
        <w:rPr>
          <w:rFonts w:ascii="Palatino Linotype" w:hAnsi="Palatino Linotype"/>
          <w:i/>
          <w:sz w:val="22"/>
          <w:szCs w:val="22"/>
        </w:rPr>
        <w:t xml:space="preserve"> la relación laboral y hasta un año después; los </w:t>
      </w:r>
      <w:r w:rsidRPr="00E61CCA">
        <w:rPr>
          <w:rFonts w:ascii="Palatino Linotype" w:hAnsi="Palatino Linotype"/>
          <w:b/>
          <w:i/>
          <w:sz w:val="22"/>
          <w:szCs w:val="22"/>
          <w:u w:val="single"/>
        </w:rPr>
        <w:t>señalados por las fracciones II</w:t>
      </w:r>
      <w:r w:rsidRPr="00E61CCA">
        <w:rPr>
          <w:rFonts w:ascii="Palatino Linotype" w:hAnsi="Palatino Linotype"/>
          <w:i/>
          <w:sz w:val="22"/>
          <w:szCs w:val="22"/>
        </w:rPr>
        <w:t>, III</w:t>
      </w:r>
      <w:r w:rsidRPr="00BA1EB5">
        <w:rPr>
          <w:rFonts w:ascii="Palatino Linotype" w:hAnsi="Palatino Linotype"/>
          <w:i/>
          <w:sz w:val="22"/>
          <w:szCs w:val="22"/>
        </w:rPr>
        <w:t xml:space="preserve">, IV </w:t>
      </w:r>
      <w:r w:rsidRPr="00E61CCA">
        <w:rPr>
          <w:rFonts w:ascii="Palatino Linotype" w:hAnsi="Palatino Linotype"/>
          <w:b/>
          <w:i/>
          <w:sz w:val="22"/>
          <w:szCs w:val="22"/>
          <w:u w:val="single"/>
        </w:rPr>
        <w:t>durante el último año y un año después de que se extinga la relación laboral</w:t>
      </w:r>
      <w:r w:rsidRPr="00E61CCA">
        <w:rPr>
          <w:rFonts w:ascii="Palatino Linotype" w:hAnsi="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81452" w:rsidRPr="00E61CCA" w:rsidRDefault="00881452" w:rsidP="00881452">
      <w:pPr>
        <w:pStyle w:val="Sinespaciado"/>
        <w:ind w:left="567" w:right="567"/>
        <w:jc w:val="both"/>
        <w:rPr>
          <w:rFonts w:ascii="Palatino Linotype" w:hAnsi="Palatino Linotype"/>
          <w:i/>
          <w:sz w:val="22"/>
          <w:szCs w:val="22"/>
        </w:rPr>
      </w:pPr>
    </w:p>
    <w:p w:rsidR="00881452" w:rsidRPr="00E61CCA" w:rsidRDefault="00881452" w:rsidP="00881452">
      <w:pPr>
        <w:pStyle w:val="Sinespaciado"/>
        <w:ind w:left="567" w:right="567"/>
        <w:jc w:val="both"/>
        <w:rPr>
          <w:rFonts w:ascii="Palatino Linotype" w:hAnsi="Palatino Linotype"/>
          <w:i/>
          <w:sz w:val="22"/>
          <w:szCs w:val="22"/>
        </w:rPr>
      </w:pPr>
      <w:r w:rsidRPr="00E61CCA">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rsidR="00881452" w:rsidRDefault="00881452" w:rsidP="00881452">
      <w:pPr>
        <w:pStyle w:val="Sinespaciado"/>
        <w:spacing w:line="360" w:lineRule="auto"/>
        <w:jc w:val="both"/>
        <w:rPr>
          <w:rFonts w:ascii="Palatino Linotype" w:hAnsi="Palatino Linotype"/>
        </w:rPr>
      </w:pPr>
    </w:p>
    <w:p w:rsidR="00881452" w:rsidRDefault="00881452" w:rsidP="00881452">
      <w:pPr>
        <w:pStyle w:val="Sinespaciado"/>
        <w:spacing w:line="360" w:lineRule="auto"/>
        <w:jc w:val="both"/>
        <w:rPr>
          <w:rFonts w:ascii="Palatino Linotype" w:hAnsi="Palatino Linotype"/>
        </w:rPr>
      </w:pPr>
      <w:r w:rsidRPr="007E6390">
        <w:rPr>
          <w:rFonts w:ascii="Palatino Linotype" w:hAnsi="Palatino Linotype"/>
        </w:rPr>
        <w:t xml:space="preserve">Del artículo anterior se desprende que el Sujeto Obligado está constreñido a mantener en sus archivos durante el último año y un año después de que se extinga la relación laboral, los recibos de pagos de salarios o las constancias documentales del pago de salario cuando sea por depósito o mediante información </w:t>
      </w:r>
      <w:r>
        <w:rPr>
          <w:rFonts w:ascii="Palatino Linotype" w:hAnsi="Palatino Linotype"/>
        </w:rPr>
        <w:t>electrónica de sus trabajadores;</w:t>
      </w:r>
      <w:r w:rsidRPr="007E6390">
        <w:rPr>
          <w:rFonts w:ascii="Palatino Linotype" w:hAnsi="Palatino Linotype"/>
        </w:rPr>
        <w:t xml:space="preserve"> por lo que, si bien </w:t>
      </w:r>
      <w:r w:rsidR="005C129B">
        <w:rPr>
          <w:rFonts w:ascii="Palatino Linotype" w:hAnsi="Palatino Linotype"/>
        </w:rPr>
        <w:t xml:space="preserve">tiene la obligación de elaborar los formatos que deben ser remitidos </w:t>
      </w:r>
      <w:r w:rsidRPr="007E6390">
        <w:rPr>
          <w:rFonts w:ascii="Palatino Linotype" w:hAnsi="Palatino Linotype"/>
        </w:rPr>
        <w:t xml:space="preserve">al Órgano Superior de Fiscalización del Estado de México, en caso de que en dicho formato no se incluyan los trabajadores </w:t>
      </w:r>
      <w:r w:rsidR="00186365">
        <w:rPr>
          <w:rFonts w:ascii="Palatino Linotype" w:hAnsi="Palatino Linotype"/>
        </w:rPr>
        <w:t xml:space="preserve">a los que se les paga </w:t>
      </w:r>
      <w:r w:rsidR="005C129B">
        <w:rPr>
          <w:rFonts w:ascii="Palatino Linotype" w:hAnsi="Palatino Linotype"/>
        </w:rPr>
        <w:t>por lista de raya</w:t>
      </w:r>
      <w:r w:rsidRPr="007E6390">
        <w:rPr>
          <w:rFonts w:ascii="Palatino Linotype" w:hAnsi="Palatino Linotype"/>
        </w:rPr>
        <w:t xml:space="preserve">, </w:t>
      </w:r>
      <w:r w:rsidR="005C129B">
        <w:rPr>
          <w:rFonts w:ascii="Palatino Linotype" w:hAnsi="Palatino Linotype"/>
        </w:rPr>
        <w:t xml:space="preserve">obligatoriamente </w:t>
      </w:r>
      <w:r w:rsidRPr="007E6390">
        <w:rPr>
          <w:rFonts w:ascii="Palatino Linotype" w:hAnsi="Palatino Linotype"/>
        </w:rPr>
        <w:t>también debe contar con otros documentos en los que se compruebe la remuneración que estos trabaj</w:t>
      </w:r>
      <w:r w:rsidR="00186365">
        <w:rPr>
          <w:rFonts w:ascii="Palatino Linotype" w:hAnsi="Palatino Linotype"/>
        </w:rPr>
        <w:t>adores contratados bajo esta modalidad</w:t>
      </w:r>
      <w:r w:rsidR="005C129B">
        <w:rPr>
          <w:rFonts w:ascii="Palatino Linotype" w:hAnsi="Palatino Linotype"/>
        </w:rPr>
        <w:t xml:space="preserve"> </w:t>
      </w:r>
      <w:r w:rsidRPr="007E6390">
        <w:rPr>
          <w:rFonts w:ascii="Palatino Linotype" w:hAnsi="Palatino Linotype"/>
        </w:rPr>
        <w:t>reciben por sus labores.</w:t>
      </w:r>
    </w:p>
    <w:p w:rsidR="00881452" w:rsidRDefault="00881452" w:rsidP="00881452">
      <w:pPr>
        <w:pStyle w:val="Sinespaciado"/>
        <w:spacing w:line="360" w:lineRule="auto"/>
        <w:jc w:val="both"/>
        <w:rPr>
          <w:rFonts w:ascii="Palatino Linotype" w:hAnsi="Palatino Linotype"/>
        </w:rPr>
      </w:pPr>
    </w:p>
    <w:p w:rsidR="00881452" w:rsidRDefault="00881452" w:rsidP="00881452">
      <w:pPr>
        <w:pStyle w:val="Sinespaciado"/>
        <w:spacing w:line="360" w:lineRule="auto"/>
        <w:jc w:val="both"/>
        <w:rPr>
          <w:rFonts w:ascii="Palatino Linotype" w:hAnsi="Palatino Linotype"/>
        </w:rPr>
      </w:pPr>
      <w:r w:rsidRPr="00E130C4">
        <w:rPr>
          <w:rFonts w:ascii="Palatino Linotype" w:hAnsi="Palatino Linotype"/>
        </w:rPr>
        <w:t>Sin embargo, cabe la posibilidad de que el Sujeto Obligado no haya realizado contrataciones bajo las modalidades de tiempo u obra determinados</w:t>
      </w:r>
      <w:r w:rsidR="00914366" w:rsidRPr="00E130C4">
        <w:rPr>
          <w:rFonts w:ascii="Palatino Linotype" w:hAnsi="Palatino Linotype"/>
        </w:rPr>
        <w:t xml:space="preserve"> o por lista de raya</w:t>
      </w:r>
      <w:r w:rsidRPr="00E130C4">
        <w:rPr>
          <w:rFonts w:ascii="Palatino Linotype" w:hAnsi="Palatino Linotype"/>
        </w:rPr>
        <w:t>, en cuyo caso bastará con que se pronuncie en ese sentido.</w:t>
      </w:r>
    </w:p>
    <w:p w:rsidR="00186365" w:rsidRDefault="00186365" w:rsidP="00881452">
      <w:pPr>
        <w:pStyle w:val="Sinespaciado"/>
        <w:spacing w:line="360" w:lineRule="auto"/>
        <w:jc w:val="both"/>
        <w:rPr>
          <w:rFonts w:ascii="Palatino Linotype" w:hAnsi="Palatino Linotype"/>
        </w:rPr>
      </w:pPr>
    </w:p>
    <w:p w:rsidR="00186365" w:rsidRDefault="00186365" w:rsidP="00186365">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rPr>
        <w:t xml:space="preserve">Ahora bien, </w:t>
      </w:r>
      <w:r>
        <w:rPr>
          <w:rFonts w:ascii="Palatino Linotype" w:hAnsi="Palatino Linotype" w:cs="Arial"/>
          <w:color w:val="000000" w:themeColor="text1"/>
          <w:sz w:val="24"/>
          <w:szCs w:val="24"/>
        </w:rPr>
        <w:t>es de señalar que el Recurrente solicitó expresamente la información de la primera y segunda quincena de enero, de tal forma que el Sujeto Obligado ya debe contar con la información solicitada pues el Calendario de Obligaciones Periódicas 2019 emitido por el OSFEM indica que la fecha límite para entregar el Informe Mensual de Enero 2019 es el cuatro de marzo del mismo año, tal como se observa a continuación:</w:t>
      </w:r>
    </w:p>
    <w:p w:rsidR="00186365" w:rsidRDefault="00186365" w:rsidP="00186365">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186365" w:rsidRPr="00E130C4" w:rsidRDefault="00186365" w:rsidP="00186365">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77696" behindDoc="0" locked="0" layoutInCell="1" allowOverlap="1" wp14:anchorId="6E08D8CA" wp14:editId="6471B1AB">
                <wp:simplePos x="0" y="0"/>
                <wp:positionH relativeFrom="column">
                  <wp:posOffset>167640</wp:posOffset>
                </wp:positionH>
                <wp:positionV relativeFrom="paragraph">
                  <wp:posOffset>1002030</wp:posOffset>
                </wp:positionV>
                <wp:extent cx="4476750" cy="3048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4476750"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492C6" id="Rectángulo 7" o:spid="_x0000_s1026" style="position:absolute;margin-left:13.2pt;margin-top:78.9pt;width:352.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vYowIAAJEFAAAOAAAAZHJzL2Uyb0RvYy54bWysVEtuGzEM3RfoHQTtmxm7dpwaGQdGAhcF&#10;gjRIUmQtayTPABpRpeRfb9Oz9GKlNJ8YadBFUS9kcUg+io+fy6tDY9hOoa/BFnx0lnOmrISytpuC&#10;f3tafbjgzAdhS2HAqoIfledXi/fvLvdursZQgSkVMgKxfr53Ba9CcPMs87JSjfBn4JQlpQZsRCAR&#10;N1mJYk/ojcnGeX6e7QFLhyCV9/T1plXyRcLXWsnwVWuvAjMFp7eFdGI61/HMFpdivkHhqlp2zxD/&#10;8IpG1JaCDlA3Igi2xfoPqKaWCB50OJPQZKB1LVXKgbIZ5a+yeayEUykXIse7gSb//2Dl3e4eWV0W&#10;fMaZFQ2V6IFI+/XTbrYG2CwStHd+TnaP7h47ydM1ZnvQ2MR/yoMdEqnHgVR1CEzSx8lkdj6bEveS&#10;dB/zyUWeWM9evB368FlBw+Kl4EjxE5did+sDRSTT3iQGs7CqjUmFM5btCz6+mM6mycODqcuojXYe&#10;N+trg2wnqParVU6/mA2hnZiRZCx9jDm2WaVbOBoVMYx9UJrooTzGbYTYmGqAFVIqG0atqhKlaqNN&#10;T4P1Hil0AozIml45YHcAvWUL0mO3b+7so6tKfT045397WOs8eKTIYMPg3NQW8C0AQ1l1kVv7nqSW&#10;msjSGsojNQ9CO1XeyVVNFbwVPtwLpDGiotNqCF/p0AaoUtDdOKsAf7z1PdpTd5OWsz2NZcH9961A&#10;xZn5YqnvP40mkzjHSZhMZ2MS8FSzPtXYbXMNVP0RLSEn0zXaB9NfNULzTBtkGaOSSlhJsQsuA/bC&#10;dWjXBe0gqZbLZEaz60S4tY9ORvDIauzQp8OzQNe1caABuIN+hMX8VTe3ttHTwnIbQNep1V947fim&#10;uU+N0+2ouFhO5WT1skkXvwEAAP//AwBQSwMEFAAGAAgAAAAhAH2ukBjeAAAACgEAAA8AAABkcnMv&#10;ZG93bnJldi54bWxMj0FLw0AQhe+C/2EZwYvYTatNS8ymiEW8FYxSr5NkmgR3Z0N220Z/veNJj/Pe&#10;x5v38s3krDrRGHrPBuazBBRx7ZueWwPvb8+3a1AhIjdoPZOBLwqwKS4vcswaf+ZXOpWxVRLCIUMD&#10;XYxDpnWoO3IYZn4gFu/gR4dRzrHVzYhnCXdWL5Ik1Q57lg8dDvTUUf1ZHp2Baj/Y78PWfUz7MmXc&#10;veyQtzfGXF9Njw+gIk3xD4bf+lIdCulU+SM3QVkDi/ReSNGXK5kgwOpuLkolTrJcgy5y/X9C8QMA&#10;AP//AwBQSwECLQAUAAYACAAAACEAtoM4kv4AAADhAQAAEwAAAAAAAAAAAAAAAAAAAAAAW0NvbnRl&#10;bnRfVHlwZXNdLnhtbFBLAQItABQABgAIAAAAIQA4/SH/1gAAAJQBAAALAAAAAAAAAAAAAAAAAC8B&#10;AABfcmVscy8ucmVsc1BLAQItABQABgAIAAAAIQBTZsvYowIAAJEFAAAOAAAAAAAAAAAAAAAAAC4C&#10;AABkcnMvZTJvRG9jLnhtbFBLAQItABQABgAIAAAAIQB9rpAY3gAAAAoBAAAPAAAAAAAAAAAAAAAA&#10;AP0EAABkcnMvZG93bnJldi54bWxQSwUGAAAAAAQABADzAAAACAYAAAAA&#10;" filled="f" strokecolor="red" strokeweight="2.25pt"/>
            </w:pict>
          </mc:Fallback>
        </mc:AlternateContent>
      </w:r>
      <w:r>
        <w:rPr>
          <w:noProof/>
          <w:lang w:eastAsia="es-MX"/>
        </w:rPr>
        <w:drawing>
          <wp:inline distT="0" distB="0" distL="0" distR="0" wp14:anchorId="78B9E9B9" wp14:editId="0F486109">
            <wp:extent cx="5676602" cy="155257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155" t="31986" r="33130" b="48702"/>
                    <a:stretch/>
                  </pic:blipFill>
                  <pic:spPr bwMode="auto">
                    <a:xfrm>
                      <a:off x="0" y="0"/>
                      <a:ext cx="5691848" cy="1556745"/>
                    </a:xfrm>
                    <a:prstGeom prst="rect">
                      <a:avLst/>
                    </a:prstGeom>
                    <a:ln>
                      <a:noFill/>
                    </a:ln>
                    <a:extLst>
                      <a:ext uri="{53640926-AAD7-44D8-BBD7-CCE9431645EC}">
                        <a14:shadowObscured xmlns:a14="http://schemas.microsoft.com/office/drawing/2010/main"/>
                      </a:ext>
                    </a:extLst>
                  </pic:spPr>
                </pic:pic>
              </a:graphicData>
            </a:graphic>
          </wp:inline>
        </w:drawing>
      </w:r>
    </w:p>
    <w:p w:rsidR="001A5FF5" w:rsidRPr="00E130C4" w:rsidRDefault="001A5FF5" w:rsidP="00F1574A">
      <w:pPr>
        <w:pStyle w:val="Sinespaciado"/>
        <w:spacing w:line="360" w:lineRule="auto"/>
        <w:jc w:val="both"/>
        <w:rPr>
          <w:rFonts w:ascii="Palatino Linotype" w:hAnsi="Palatino Linotype"/>
          <w:noProof/>
          <w:lang w:eastAsia="es-MX"/>
        </w:rPr>
      </w:pPr>
    </w:p>
    <w:p w:rsidR="004A13C9" w:rsidRDefault="00186365" w:rsidP="00F1574A">
      <w:pPr>
        <w:pStyle w:val="Sinespaciado"/>
        <w:spacing w:line="360" w:lineRule="auto"/>
        <w:jc w:val="both"/>
        <w:rPr>
          <w:rFonts w:ascii="Palatino Linotype" w:hAnsi="Palatino Linotype"/>
        </w:rPr>
      </w:pPr>
      <w:r>
        <w:rPr>
          <w:rFonts w:ascii="Palatino Linotype" w:hAnsi="Palatino Linotype"/>
          <w:noProof/>
          <w:lang w:eastAsia="es-MX"/>
        </w:rPr>
        <w:t xml:space="preserve">Por otra parte, dado que ha quedado establecio que </w:t>
      </w:r>
      <w:r w:rsidR="00914366" w:rsidRPr="00E130C4">
        <w:rPr>
          <w:rFonts w:ascii="Palatino Linotype" w:hAnsi="Palatino Linotype"/>
          <w:noProof/>
          <w:lang w:eastAsia="es-MX"/>
        </w:rPr>
        <w:t xml:space="preserve">el Recurrente </w:t>
      </w:r>
      <w:r>
        <w:rPr>
          <w:rFonts w:ascii="Palatino Linotype" w:hAnsi="Palatino Linotype"/>
          <w:noProof/>
          <w:lang w:eastAsia="es-MX"/>
        </w:rPr>
        <w:t xml:space="preserve">solicitó la información de todo el personal adscrito al Sujeto Obligado, </w:t>
      </w:r>
      <w:r w:rsidR="00E130C4" w:rsidRPr="00E130C4">
        <w:rPr>
          <w:rFonts w:ascii="Palatino Linotype" w:hAnsi="Palatino Linotype"/>
        </w:rPr>
        <w:t xml:space="preserve">es conveniente remitirse al Bando Municipal </w:t>
      </w:r>
      <w:r w:rsidR="004A13C9">
        <w:rPr>
          <w:rFonts w:ascii="Palatino Linotype" w:hAnsi="Palatino Linotype"/>
        </w:rPr>
        <w:t xml:space="preserve">de Morelos, </w:t>
      </w:r>
      <w:r w:rsidR="00E130C4" w:rsidRPr="00E130C4">
        <w:rPr>
          <w:rFonts w:ascii="Palatino Linotype" w:hAnsi="Palatino Linotype"/>
        </w:rPr>
        <w:t>con el propósito de identificar las áreas que integran al Sujeto Obligado. Dicho ordenamien</w:t>
      </w:r>
      <w:r w:rsidR="004A13C9">
        <w:rPr>
          <w:rFonts w:ascii="Palatino Linotype" w:hAnsi="Palatino Linotype"/>
        </w:rPr>
        <w:t>to establece en su Título Sexto</w:t>
      </w:r>
      <w:r w:rsidR="00E130C4" w:rsidRPr="00E130C4">
        <w:rPr>
          <w:rFonts w:ascii="Palatino Linotype" w:hAnsi="Palatino Linotype"/>
        </w:rPr>
        <w:t xml:space="preserve"> “</w:t>
      </w:r>
      <w:r w:rsidR="004A13C9">
        <w:rPr>
          <w:rFonts w:ascii="Palatino Linotype" w:hAnsi="Palatino Linotype"/>
        </w:rPr>
        <w:t>ORGANIZACIÓN ADMINISTRATIVA”, en espec</w:t>
      </w:r>
      <w:r w:rsidR="00E70FEC">
        <w:rPr>
          <w:rFonts w:ascii="Palatino Linotype" w:hAnsi="Palatino Linotype"/>
        </w:rPr>
        <w:t>ífico en sus</w:t>
      </w:r>
      <w:r w:rsidR="004A13C9">
        <w:rPr>
          <w:rFonts w:ascii="Palatino Linotype" w:hAnsi="Palatino Linotype"/>
        </w:rPr>
        <w:t xml:space="preserve"> artículo</w:t>
      </w:r>
      <w:r w:rsidR="00E70FEC">
        <w:rPr>
          <w:rFonts w:ascii="Palatino Linotype" w:hAnsi="Palatino Linotype"/>
        </w:rPr>
        <w:t>s</w:t>
      </w:r>
      <w:r w:rsidR="004A13C9">
        <w:rPr>
          <w:rFonts w:ascii="Palatino Linotype" w:hAnsi="Palatino Linotype"/>
        </w:rPr>
        <w:t xml:space="preserve"> 108</w:t>
      </w:r>
      <w:r w:rsidR="00E70FEC">
        <w:rPr>
          <w:rFonts w:ascii="Palatino Linotype" w:hAnsi="Palatino Linotype"/>
        </w:rPr>
        <w:t xml:space="preserve"> y 109</w:t>
      </w:r>
      <w:r w:rsidR="004A13C9">
        <w:rPr>
          <w:rFonts w:ascii="Palatino Linotype" w:hAnsi="Palatino Linotype"/>
        </w:rPr>
        <w:t xml:space="preserve">, lo siguiente: </w:t>
      </w:r>
    </w:p>
    <w:p w:rsidR="004A13C9" w:rsidRDefault="004A13C9" w:rsidP="00F1574A">
      <w:pPr>
        <w:pStyle w:val="Sinespaciado"/>
        <w:spacing w:line="360" w:lineRule="auto"/>
        <w:jc w:val="both"/>
        <w:rPr>
          <w:rFonts w:ascii="Palatino Linotype" w:hAnsi="Palatino Linotype"/>
        </w:rPr>
      </w:pPr>
    </w:p>
    <w:p w:rsidR="004A13C9" w:rsidRPr="0079201D" w:rsidRDefault="00E70FEC" w:rsidP="0079201D">
      <w:pPr>
        <w:pStyle w:val="Sinespaciado"/>
        <w:ind w:left="567" w:right="567"/>
        <w:jc w:val="both"/>
        <w:rPr>
          <w:rFonts w:ascii="Palatino Linotype" w:hAnsi="Palatino Linotype"/>
          <w:i/>
          <w:sz w:val="22"/>
          <w:szCs w:val="22"/>
        </w:rPr>
      </w:pPr>
      <w:r w:rsidRPr="0079201D">
        <w:rPr>
          <w:rFonts w:ascii="Palatino Linotype" w:hAnsi="Palatino Linotype"/>
          <w:b/>
          <w:i/>
          <w:sz w:val="22"/>
          <w:szCs w:val="22"/>
        </w:rPr>
        <w:t>Artículo 108.-</w:t>
      </w:r>
      <w:r w:rsidRPr="0079201D">
        <w:rPr>
          <w:rFonts w:ascii="Palatino Linotype" w:hAnsi="Palatino Linotype"/>
          <w:i/>
          <w:sz w:val="22"/>
          <w:szCs w:val="22"/>
        </w:rPr>
        <w:t xml:space="preserve"> Para el despacho, estudio y planeación de los diversos asuntos de la Administración Pública Municipal, el Ayuntamiento contará por lo menos con las siguientes dependencias:</w:t>
      </w:r>
    </w:p>
    <w:p w:rsidR="00E70FEC" w:rsidRPr="0079201D" w:rsidRDefault="00E70FEC" w:rsidP="0079201D">
      <w:pPr>
        <w:pStyle w:val="Sinespaciado"/>
        <w:ind w:left="567" w:right="567"/>
        <w:jc w:val="both"/>
        <w:rPr>
          <w:rFonts w:ascii="Palatino Linotype" w:hAnsi="Palatino Linotype"/>
          <w:i/>
          <w:sz w:val="22"/>
          <w:szCs w:val="22"/>
        </w:rPr>
      </w:pP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Secretaría del Ayuntamiento.</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lastRenderedPageBreak/>
        <w:t xml:space="preserve">Tesorería Municipal, </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Contraloría Interna Municipal,</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Gobernación,</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Desarrollo Urbano, Obras y Servicios Públicos,</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Educación, Cultura y Deporte,</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Desarrollo Agropecuario,</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Seguridad Pública, Transito y Protección Civil,</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Desarrollo Social,</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 xml:space="preserve">Dirección de Administración, </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Unidad de Información, Planeación, Programación y Evaluación (UIPPE)</w:t>
      </w:r>
    </w:p>
    <w:p w:rsidR="00E70FEC" w:rsidRPr="0079201D" w:rsidRDefault="00E70FEC" w:rsidP="0079201D">
      <w:pPr>
        <w:pStyle w:val="Sinespaciado"/>
        <w:numPr>
          <w:ilvl w:val="0"/>
          <w:numId w:val="9"/>
        </w:numPr>
        <w:ind w:left="1418" w:right="567" w:hanging="567"/>
        <w:jc w:val="both"/>
        <w:rPr>
          <w:rFonts w:ascii="Palatino Linotype" w:hAnsi="Palatino Linotype"/>
          <w:i/>
          <w:sz w:val="22"/>
          <w:szCs w:val="22"/>
        </w:rPr>
      </w:pPr>
      <w:r w:rsidRPr="0079201D">
        <w:rPr>
          <w:rFonts w:ascii="Palatino Linotype" w:hAnsi="Palatino Linotype"/>
          <w:i/>
          <w:sz w:val="22"/>
          <w:szCs w:val="22"/>
        </w:rPr>
        <w:t>Dirección de Desarrollo Económico</w:t>
      </w:r>
      <w:r w:rsidR="0079201D" w:rsidRPr="0079201D">
        <w:rPr>
          <w:rFonts w:ascii="Palatino Linotype" w:hAnsi="Palatino Linotype"/>
          <w:i/>
          <w:sz w:val="22"/>
          <w:szCs w:val="22"/>
        </w:rPr>
        <w:t xml:space="preserve"> y Ecoturismo.</w:t>
      </w:r>
    </w:p>
    <w:p w:rsidR="0079201D" w:rsidRPr="0079201D" w:rsidRDefault="0079201D" w:rsidP="0079201D">
      <w:pPr>
        <w:pStyle w:val="Sinespaciado"/>
        <w:ind w:right="567"/>
        <w:jc w:val="both"/>
        <w:rPr>
          <w:rFonts w:ascii="Palatino Linotype" w:hAnsi="Palatino Linotype"/>
          <w:i/>
          <w:sz w:val="22"/>
          <w:szCs w:val="22"/>
        </w:rPr>
      </w:pPr>
    </w:p>
    <w:p w:rsidR="0079201D" w:rsidRPr="0079201D" w:rsidRDefault="0079201D" w:rsidP="0079201D">
      <w:pPr>
        <w:pStyle w:val="Sinespaciado"/>
        <w:ind w:left="567" w:right="567"/>
        <w:jc w:val="both"/>
        <w:rPr>
          <w:rFonts w:ascii="Palatino Linotype" w:hAnsi="Palatino Linotype"/>
          <w:i/>
          <w:sz w:val="22"/>
          <w:szCs w:val="22"/>
        </w:rPr>
      </w:pPr>
      <w:r w:rsidRPr="0079201D">
        <w:rPr>
          <w:rFonts w:ascii="Palatino Linotype" w:hAnsi="Palatino Linotype"/>
          <w:b/>
          <w:i/>
          <w:sz w:val="22"/>
          <w:szCs w:val="22"/>
        </w:rPr>
        <w:t>Artículo 109.-</w:t>
      </w:r>
      <w:r w:rsidRPr="0079201D">
        <w:rPr>
          <w:rFonts w:ascii="Palatino Linotype" w:hAnsi="Palatino Linotype"/>
          <w:i/>
          <w:sz w:val="22"/>
          <w:szCs w:val="22"/>
        </w:rPr>
        <w:t xml:space="preserve"> Son organismos descentralizados de la Administración Pública Municipal:</w:t>
      </w:r>
    </w:p>
    <w:p w:rsidR="0079201D" w:rsidRPr="0079201D" w:rsidRDefault="0079201D" w:rsidP="0079201D">
      <w:pPr>
        <w:pStyle w:val="Sinespaciado"/>
        <w:ind w:left="567" w:right="567"/>
        <w:jc w:val="both"/>
        <w:rPr>
          <w:rFonts w:ascii="Palatino Linotype" w:hAnsi="Palatino Linotype"/>
          <w:i/>
          <w:sz w:val="22"/>
          <w:szCs w:val="22"/>
        </w:rPr>
      </w:pPr>
    </w:p>
    <w:p w:rsidR="0079201D" w:rsidRPr="0079201D" w:rsidRDefault="0079201D" w:rsidP="0079201D">
      <w:pPr>
        <w:pStyle w:val="Sinespaciado"/>
        <w:numPr>
          <w:ilvl w:val="0"/>
          <w:numId w:val="10"/>
        </w:numPr>
        <w:ind w:left="1418" w:right="567" w:hanging="567"/>
        <w:jc w:val="both"/>
        <w:rPr>
          <w:rFonts w:ascii="Palatino Linotype" w:hAnsi="Palatino Linotype"/>
          <w:i/>
          <w:sz w:val="22"/>
          <w:szCs w:val="22"/>
        </w:rPr>
      </w:pPr>
      <w:r w:rsidRPr="0079201D">
        <w:rPr>
          <w:rFonts w:ascii="Palatino Linotype" w:hAnsi="Palatino Linotype"/>
          <w:i/>
          <w:sz w:val="22"/>
          <w:szCs w:val="22"/>
        </w:rPr>
        <w:t>El Sistema Municipal para el desarrollo Integral de la Familia de Morelos,</w:t>
      </w:r>
    </w:p>
    <w:p w:rsidR="0079201D" w:rsidRPr="0079201D" w:rsidRDefault="0079201D" w:rsidP="0079201D">
      <w:pPr>
        <w:pStyle w:val="Sinespaciado"/>
        <w:numPr>
          <w:ilvl w:val="0"/>
          <w:numId w:val="10"/>
        </w:numPr>
        <w:ind w:left="1418" w:right="567" w:hanging="567"/>
        <w:jc w:val="both"/>
        <w:rPr>
          <w:rFonts w:ascii="Palatino Linotype" w:hAnsi="Palatino Linotype"/>
          <w:i/>
          <w:sz w:val="22"/>
          <w:szCs w:val="22"/>
        </w:rPr>
      </w:pPr>
      <w:r w:rsidRPr="0079201D">
        <w:rPr>
          <w:rFonts w:ascii="Palatino Linotype" w:hAnsi="Palatino Linotype"/>
          <w:i/>
          <w:sz w:val="22"/>
          <w:szCs w:val="22"/>
        </w:rPr>
        <w:t>El Instituto Municipal de Cultura Física y Deporte de Morelos.</w:t>
      </w:r>
    </w:p>
    <w:p w:rsidR="004A13C9" w:rsidRPr="0079201D" w:rsidRDefault="004A13C9" w:rsidP="0079201D">
      <w:pPr>
        <w:pStyle w:val="Sinespaciado"/>
        <w:ind w:right="567"/>
        <w:jc w:val="both"/>
        <w:rPr>
          <w:rFonts w:ascii="Palatino Linotype" w:hAnsi="Palatino Linotype"/>
          <w:i/>
        </w:rPr>
      </w:pPr>
    </w:p>
    <w:p w:rsidR="00E130C4" w:rsidRPr="00E130C4" w:rsidRDefault="00E130C4" w:rsidP="00E130C4">
      <w:pPr>
        <w:pStyle w:val="Sinespaciado"/>
        <w:spacing w:line="360" w:lineRule="auto"/>
        <w:jc w:val="both"/>
        <w:rPr>
          <w:rFonts w:ascii="Palatino Linotype" w:hAnsi="Palatino Linotype"/>
        </w:rPr>
      </w:pPr>
      <w:r w:rsidRPr="00E130C4">
        <w:rPr>
          <w:rFonts w:ascii="Palatino Linotype" w:hAnsi="Palatino Linotype"/>
        </w:rPr>
        <w:t>De lo anterior se desprende que dentro de la nómina general del personal adscrito a la Administración Pública Municipal, se encuentra información de</w:t>
      </w:r>
      <w:r w:rsidR="0079201D">
        <w:rPr>
          <w:rFonts w:ascii="Palatino Linotype" w:hAnsi="Palatino Linotype"/>
        </w:rPr>
        <w:t xml:space="preserve"> </w:t>
      </w:r>
      <w:r w:rsidRPr="00E130C4">
        <w:rPr>
          <w:rFonts w:ascii="Palatino Linotype" w:hAnsi="Palatino Linotype"/>
        </w:rPr>
        <w:t>l</w:t>
      </w:r>
      <w:r w:rsidR="0079201D">
        <w:rPr>
          <w:rFonts w:ascii="Palatino Linotype" w:hAnsi="Palatino Linotype"/>
        </w:rPr>
        <w:t>a</w:t>
      </w:r>
      <w:r w:rsidRPr="00E130C4">
        <w:rPr>
          <w:rFonts w:ascii="Palatino Linotype" w:hAnsi="Palatino Linotype"/>
        </w:rPr>
        <w:t xml:space="preserve"> </w:t>
      </w:r>
      <w:r w:rsidR="0079201D">
        <w:rPr>
          <w:rFonts w:ascii="Palatino Linotype" w:hAnsi="Palatino Linotype"/>
        </w:rPr>
        <w:t xml:space="preserve">Dirección de Seguridad Pública, Tránsito y Protección Civil. </w:t>
      </w:r>
      <w:r w:rsidRPr="00E130C4">
        <w:rPr>
          <w:rFonts w:ascii="Palatino Linotype" w:hAnsi="Palatino Linotype"/>
        </w:rPr>
        <w:t xml:space="preserve">De acuerdo al Bando en cita, </w:t>
      </w:r>
      <w:r w:rsidR="00EB1888" w:rsidRPr="00E130C4">
        <w:rPr>
          <w:rFonts w:ascii="Palatino Linotype" w:hAnsi="Palatino Linotype"/>
        </w:rPr>
        <w:t>l</w:t>
      </w:r>
      <w:r w:rsidR="00EB1888">
        <w:rPr>
          <w:rFonts w:ascii="Palatino Linotype" w:hAnsi="Palatino Linotype"/>
        </w:rPr>
        <w:t>a</w:t>
      </w:r>
      <w:r w:rsidR="00EB1888" w:rsidRPr="00E130C4">
        <w:rPr>
          <w:rFonts w:ascii="Palatino Linotype" w:hAnsi="Palatino Linotype"/>
        </w:rPr>
        <w:t xml:space="preserve"> </w:t>
      </w:r>
      <w:r w:rsidR="00EB1888">
        <w:rPr>
          <w:rFonts w:ascii="Palatino Linotype" w:hAnsi="Palatino Linotype"/>
        </w:rPr>
        <w:t>Dirección de Seguridad Pública, Tránsito y Protecci</w:t>
      </w:r>
      <w:r w:rsidR="000927C0">
        <w:rPr>
          <w:rFonts w:ascii="Palatino Linotype" w:hAnsi="Palatino Linotype"/>
        </w:rPr>
        <w:t xml:space="preserve">ón Civil será responsable de preservar dentro de la jurisdicción municipal, la seguridad, el orden y estricto </w:t>
      </w:r>
      <w:r w:rsidR="009F1E01">
        <w:rPr>
          <w:rFonts w:ascii="Palatino Linotype" w:hAnsi="Palatino Linotype"/>
        </w:rPr>
        <w:t>cumplimiento</w:t>
      </w:r>
      <w:r w:rsidR="000927C0">
        <w:rPr>
          <w:rFonts w:ascii="Palatino Linotype" w:hAnsi="Palatino Linotype"/>
        </w:rPr>
        <w:t xml:space="preserve"> de los Reglamentos en observancia del artículo 21 de la Constitución Política de los Estados Unidos Mexicanos, artículo 2 de la Ley General del Sistema Nacional de Seguridad Pública, artículo 86 Bis de la Constitución Local y el artículo 2 de la Ley de Seguridad del Estado de México, así como de prevenir la comisión de cualquier delito e inhibir la manifestación de conductas antisociales, siempre con estricto respeto de los derechos humanos y dentro del marco legal vigente de carácter federal, estatal y municipal.</w:t>
      </w:r>
    </w:p>
    <w:p w:rsidR="00E130C4" w:rsidRPr="00E130C4" w:rsidRDefault="00E130C4" w:rsidP="00E130C4">
      <w:pPr>
        <w:pStyle w:val="Sinespaciado"/>
        <w:spacing w:line="360" w:lineRule="auto"/>
        <w:jc w:val="both"/>
        <w:rPr>
          <w:rFonts w:ascii="Palatino Linotype" w:hAnsi="Palatino Linotype"/>
        </w:rPr>
      </w:pPr>
    </w:p>
    <w:p w:rsidR="00E130C4" w:rsidRPr="00E130C4" w:rsidRDefault="00E130C4" w:rsidP="00E130C4">
      <w:pPr>
        <w:pStyle w:val="Sinespaciado"/>
        <w:spacing w:line="360" w:lineRule="auto"/>
        <w:jc w:val="both"/>
        <w:rPr>
          <w:rFonts w:ascii="Palatino Linotype" w:hAnsi="Palatino Linotype"/>
        </w:rPr>
      </w:pPr>
      <w:r w:rsidRPr="00E130C4">
        <w:rPr>
          <w:rFonts w:ascii="Palatino Linotype" w:hAnsi="Palatino Linotype"/>
        </w:rPr>
        <w:lastRenderedPageBreak/>
        <w:t>En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w:t>
      </w:r>
      <w:r w:rsidR="005107EA">
        <w:rPr>
          <w:rFonts w:ascii="Palatino Linotype" w:hAnsi="Palatino Linotype"/>
        </w:rPr>
        <w:t>r mediante la presentación de los</w:t>
      </w:r>
      <w:r w:rsidRPr="00E130C4">
        <w:rPr>
          <w:rFonts w:ascii="Palatino Linotype" w:hAnsi="Palatino Linotype"/>
        </w:rPr>
        <w:t xml:space="preserve"> </w:t>
      </w:r>
      <w:r w:rsidR="005107EA" w:rsidRPr="00C24D80">
        <w:rPr>
          <w:rFonts w:ascii="Palatino Linotype" w:hAnsi="Palatino Linotype"/>
          <w:noProof/>
          <w:lang w:eastAsia="es-MX"/>
        </w:rPr>
        <w:t>comprobantes fiscales digitales por internet por concepto de nómina</w:t>
      </w:r>
      <w:r w:rsidR="005107EA">
        <w:rPr>
          <w:rFonts w:ascii="Palatino Linotype" w:hAnsi="Palatino Linotype"/>
        </w:rPr>
        <w:t xml:space="preserve"> que debieron ser entregados</w:t>
      </w:r>
      <w:r w:rsidRPr="00E130C4">
        <w:rPr>
          <w:rFonts w:ascii="Palatino Linotype" w:hAnsi="Palatino Linotype"/>
        </w:rPr>
        <w:t xml:space="preserve"> al Órgano Superior de Fiscalización del Estado de México; este Órgano Garante considera que son fundados los motivos de inconformidad del Recurrente, por lo que es dable ordenar al Sujeto Obligado que atienda la solicitud de información y que haga entrega al Recurrente de</w:t>
      </w:r>
      <w:r w:rsidR="000927C0">
        <w:rPr>
          <w:rFonts w:ascii="Palatino Linotype" w:hAnsi="Palatino Linotype"/>
        </w:rPr>
        <w:t xml:space="preserve"> los documentos en los que consten</w:t>
      </w:r>
      <w:r w:rsidRPr="00E130C4">
        <w:rPr>
          <w:rFonts w:ascii="Palatino Linotype" w:hAnsi="Palatino Linotype"/>
        </w:rPr>
        <w:t xml:space="preserve"> los </w:t>
      </w:r>
      <w:r w:rsidR="005107EA">
        <w:rPr>
          <w:rFonts w:ascii="Palatino Linotype" w:hAnsi="Palatino Linotype"/>
        </w:rPr>
        <w:t xml:space="preserve">recibos de nómina </w:t>
      </w:r>
      <w:r w:rsidR="00F459A0">
        <w:rPr>
          <w:rFonts w:ascii="Palatino Linotype" w:hAnsi="Palatino Linotype"/>
        </w:rPr>
        <w:t>del total de servidores público adscritos al Sujeto Obligado, y en su caso, el documento en donde consta la remuneración de los trabajadores</w:t>
      </w:r>
      <w:r w:rsidR="000927C0">
        <w:rPr>
          <w:rFonts w:ascii="Palatino Linotype" w:hAnsi="Palatino Linotype"/>
        </w:rPr>
        <w:t xml:space="preserve"> de </w:t>
      </w:r>
      <w:r w:rsidR="00F459A0">
        <w:rPr>
          <w:rFonts w:ascii="Palatino Linotype" w:hAnsi="Palatino Linotype"/>
        </w:rPr>
        <w:t xml:space="preserve">lista de raya, </w:t>
      </w:r>
      <w:r w:rsidR="005107EA">
        <w:rPr>
          <w:rFonts w:ascii="Palatino Linotype" w:hAnsi="Palatino Linotype"/>
        </w:rPr>
        <w:t xml:space="preserve">correspondientes a </w:t>
      </w:r>
      <w:r w:rsidR="000927C0">
        <w:rPr>
          <w:rFonts w:ascii="Palatino Linotype" w:hAnsi="Palatino Linotype"/>
        </w:rPr>
        <w:t xml:space="preserve">la primera y segunda quincena del mes de enero de dos mil diecinueve. </w:t>
      </w:r>
      <w:r w:rsidRPr="00E130C4">
        <w:rPr>
          <w:rFonts w:ascii="Palatino Linotype" w:hAnsi="Palatino Linotype"/>
        </w:rPr>
        <w:t xml:space="preserve">Asimismo, a fin de salvaguardar la información de los servidores públicos que prestan sus servicios en </w:t>
      </w:r>
      <w:r w:rsidR="00411021" w:rsidRPr="00E130C4">
        <w:rPr>
          <w:rFonts w:ascii="Palatino Linotype" w:hAnsi="Palatino Linotype"/>
        </w:rPr>
        <w:t>l</w:t>
      </w:r>
      <w:r w:rsidR="00411021">
        <w:rPr>
          <w:rFonts w:ascii="Palatino Linotype" w:hAnsi="Palatino Linotype"/>
        </w:rPr>
        <w:t>a</w:t>
      </w:r>
      <w:r w:rsidR="00411021" w:rsidRPr="00E130C4">
        <w:rPr>
          <w:rFonts w:ascii="Palatino Linotype" w:hAnsi="Palatino Linotype"/>
        </w:rPr>
        <w:t xml:space="preserve"> </w:t>
      </w:r>
      <w:r w:rsidR="00411021">
        <w:rPr>
          <w:rFonts w:ascii="Palatino Linotype" w:hAnsi="Palatino Linotype"/>
        </w:rPr>
        <w:t>Dirección de Seguridad Pública, Tránsito y Protección Civil</w:t>
      </w:r>
      <w:r w:rsidRPr="00E130C4">
        <w:rPr>
          <w:rFonts w:ascii="Palatino Linotype" w:hAnsi="Palatino Linotype"/>
        </w:rPr>
        <w:t>, los datos correspondientes al personal adscrito a esta</w:t>
      </w:r>
      <w:r w:rsidR="00411021">
        <w:rPr>
          <w:rFonts w:ascii="Palatino Linotype" w:hAnsi="Palatino Linotype"/>
        </w:rPr>
        <w:t xml:space="preserve"> área</w:t>
      </w:r>
      <w:r w:rsidRPr="00E130C4">
        <w:rPr>
          <w:rFonts w:ascii="Palatino Linotype" w:hAnsi="Palatino Linotype"/>
        </w:rPr>
        <w:t xml:space="preserve"> deberán ser entregados de forma disociada, con el objeto de no identificar al servidor público con su cargo y sueldo, tal y como se establece en el artículo 52 de la Ley de Transparencia y Acceso a la Información Pública del Estado de México y Municipios, que a la letra dispone lo siguiente:</w:t>
      </w:r>
    </w:p>
    <w:p w:rsidR="00E130C4" w:rsidRPr="00E130C4" w:rsidRDefault="00E130C4" w:rsidP="00E130C4">
      <w:pPr>
        <w:pStyle w:val="Sinespaciado"/>
        <w:spacing w:line="360" w:lineRule="auto"/>
        <w:jc w:val="both"/>
        <w:rPr>
          <w:rFonts w:ascii="Palatino Linotype" w:hAnsi="Palatino Linotype"/>
        </w:rPr>
      </w:pPr>
    </w:p>
    <w:p w:rsidR="00E130C4" w:rsidRDefault="00E130C4" w:rsidP="00E130C4">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A271ED">
        <w:rPr>
          <w:rFonts w:ascii="Palatino Linotype" w:hAnsi="Palatino Linotype"/>
          <w:i/>
          <w:sz w:val="23"/>
          <w:szCs w:val="23"/>
          <w:u w:val="single"/>
        </w:rPr>
        <w:t xml:space="preserve">de ser el caso que contenga datos personales que deban ser protegidos se podrá dar su acceso en su versión pública, </w:t>
      </w:r>
      <w:r w:rsidRPr="00A271ED">
        <w:rPr>
          <w:rFonts w:ascii="Palatino Linotype" w:hAnsi="Palatino Linotype"/>
          <w:i/>
          <w:sz w:val="23"/>
          <w:szCs w:val="23"/>
          <w:u w:val="single"/>
        </w:rPr>
        <w:lastRenderedPageBreak/>
        <w:t xml:space="preserve">siempre y cuando la resolución de referencia </w:t>
      </w:r>
      <w:r w:rsidRPr="00A271ED">
        <w:rPr>
          <w:rFonts w:ascii="Palatino Linotype" w:hAnsi="Palatino Linotype"/>
          <w:b/>
          <w:i/>
          <w:sz w:val="23"/>
          <w:szCs w:val="23"/>
          <w:u w:val="single"/>
        </w:rPr>
        <w:t>se someta a un proceso de disociación</w:t>
      </w:r>
      <w:r w:rsidRPr="00A271ED">
        <w:rPr>
          <w:rFonts w:ascii="Palatino Linotype" w:hAnsi="Palatino Linotype"/>
          <w:i/>
          <w:sz w:val="23"/>
          <w:szCs w:val="23"/>
          <w:u w:val="single"/>
        </w:rPr>
        <w:t>, es decir, no haga identificable al titular de tales datos personales</w:t>
      </w:r>
      <w:r w:rsidRPr="00A271ED">
        <w:rPr>
          <w:rFonts w:ascii="Palatino Linotype" w:hAnsi="Palatino Linotype"/>
          <w:i/>
          <w:sz w:val="23"/>
          <w:szCs w:val="23"/>
        </w:rPr>
        <w:t>.</w:t>
      </w:r>
    </w:p>
    <w:p w:rsidR="00E130C4" w:rsidRPr="00E130C4" w:rsidRDefault="00E130C4" w:rsidP="00E130C4">
      <w:pPr>
        <w:pStyle w:val="Sinespaciado"/>
        <w:spacing w:line="360" w:lineRule="auto"/>
        <w:jc w:val="both"/>
        <w:rPr>
          <w:rFonts w:ascii="Palatino Linotype" w:hAnsi="Palatino Linotype"/>
        </w:rPr>
      </w:pPr>
    </w:p>
    <w:p w:rsidR="00E130C4" w:rsidRPr="00EC3D4F" w:rsidRDefault="00E130C4" w:rsidP="00E130C4">
      <w:pPr>
        <w:pStyle w:val="Sinespaciado"/>
        <w:spacing w:line="360" w:lineRule="auto"/>
        <w:jc w:val="both"/>
        <w:rPr>
          <w:rFonts w:ascii="Palatino Linotype" w:hAnsi="Palatino Linotype" w:cs="Arial"/>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5107EA" w:rsidRPr="005107EA" w:rsidRDefault="005107EA" w:rsidP="005107EA">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Pr>
          <w:rFonts w:ascii="Palatino Linotype" w:eastAsia="Arial Unicode MS" w:hAnsi="Palatino Linotype" w:cs="Times New Roman"/>
          <w:sz w:val="24"/>
          <w:szCs w:val="24"/>
          <w:lang w:val="es-ES" w:eastAsia="es-ES"/>
        </w:rPr>
        <w:t xml:space="preserve">información a la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lastRenderedPageBreak/>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5107EA" w:rsidRPr="00477BC7" w:rsidRDefault="005107EA" w:rsidP="005107EA">
      <w:pPr>
        <w:spacing w:after="0" w:line="360" w:lineRule="auto"/>
        <w:jc w:val="both"/>
        <w:rPr>
          <w:rFonts w:ascii="Palatino Linotype" w:eastAsia="Times New Roman" w:hAnsi="Palatino Linotype" w:cs="Times New Roman"/>
          <w:b/>
          <w:bCs/>
          <w:i/>
          <w:noProof/>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5107EA" w:rsidRPr="00477BC7" w:rsidRDefault="005107EA" w:rsidP="005107EA">
      <w:pPr>
        <w:spacing w:after="0" w:line="240" w:lineRule="auto"/>
        <w:ind w:left="567" w:right="616"/>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107EA" w:rsidRPr="00477BC7" w:rsidRDefault="005107EA" w:rsidP="005107EA">
      <w:pPr>
        <w:spacing w:after="0" w:line="360" w:lineRule="auto"/>
        <w:jc w:val="both"/>
        <w:rPr>
          <w:rFonts w:ascii="Palatino Linotype" w:eastAsia="Arial Unicode MS"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477BC7">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Default="005107EA" w:rsidP="005107EA">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lastRenderedPageBreak/>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xml:space="preserve">, publicados en el Diario </w:t>
      </w:r>
      <w:r w:rsidRPr="00477BC7">
        <w:rPr>
          <w:rFonts w:ascii="Palatino Linotype" w:eastAsia="Times New Roman" w:hAnsi="Palatino Linotype" w:cs="Times New Roman"/>
          <w:sz w:val="24"/>
          <w:szCs w:val="24"/>
          <w:lang w:val="es-ES" w:eastAsia="es-ES"/>
        </w:rPr>
        <w:lastRenderedPageBreak/>
        <w:t>Oficial de la Federación en fecha quince de abril del año dos mil dieciséis, mediante Acuerdo del Consejo Nacional del Sistema Nacional de Transparencia, Acceso a la Información Pública y Protección de Datos Personales.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seguridad social, Cadenas Originales</w:t>
      </w:r>
      <w:r w:rsidR="00061F02">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b/>
          <w:sz w:val="24"/>
          <w:szCs w:val="24"/>
          <w:lang w:val="es-ES" w:eastAsia="es-ES"/>
        </w:rPr>
        <w:t xml:space="preserve">Códigos Bidimensionales </w:t>
      </w:r>
      <w:r w:rsidRPr="00477BC7">
        <w:rPr>
          <w:rFonts w:ascii="Palatino Linotype" w:eastAsia="Times New Roman" w:hAnsi="Palatino Linotype" w:cs="Times New Roman"/>
          <w:sz w:val="24"/>
          <w:szCs w:val="24"/>
          <w:lang w:val="es-ES" w:eastAsia="es-ES"/>
        </w:rPr>
        <w:t>y los denominados</w:t>
      </w:r>
      <w:r w:rsidRPr="00477BC7">
        <w:rPr>
          <w:rFonts w:ascii="Palatino Linotype" w:eastAsia="Times New Roman" w:hAnsi="Palatino Linotype" w:cs="Times New Roman"/>
          <w:b/>
          <w:sz w:val="24"/>
          <w:szCs w:val="24"/>
          <w:lang w:val="es-ES" w:eastAsia="es-ES"/>
        </w:rPr>
        <w:t xml:space="preserve"> Códigos QR.</w:t>
      </w:r>
    </w:p>
    <w:p w:rsidR="005107EA" w:rsidRPr="00477BC7" w:rsidRDefault="005107EA" w:rsidP="005107EA">
      <w:pPr>
        <w:spacing w:after="0" w:line="360" w:lineRule="auto"/>
        <w:jc w:val="both"/>
        <w:rPr>
          <w:rFonts w:ascii="Palatino Linotype" w:eastAsia="Times New Roman" w:hAnsi="Palatino Linotype" w:cs="Times New Roman"/>
          <w:sz w:val="24"/>
          <w:szCs w:val="24"/>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5107EA" w:rsidRPr="00477BC7" w:rsidRDefault="005107EA" w:rsidP="005107EA">
      <w:pPr>
        <w:spacing w:after="0" w:line="360" w:lineRule="auto"/>
        <w:jc w:val="both"/>
        <w:rPr>
          <w:rFonts w:ascii="Palatino Linotype" w:eastAsia="Times New Roman" w:hAnsi="Palatino Linotype" w:cs="Times New Roman"/>
          <w:b/>
          <w:bCs/>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lastRenderedPageBreak/>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5107EA" w:rsidRPr="00477BC7" w:rsidRDefault="005107EA" w:rsidP="005107EA">
      <w:pPr>
        <w:spacing w:after="0" w:line="360" w:lineRule="auto"/>
        <w:jc w:val="both"/>
        <w:rPr>
          <w:rFonts w:ascii="Palatino Linotype" w:eastAsia="Times New Roman" w:hAnsi="Palatino Linotype" w:cs="Arial"/>
          <w:sz w:val="24"/>
          <w:szCs w:val="24"/>
          <w:lang w:val="es-ES" w:eastAsia="es-MX"/>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107EA" w:rsidRPr="00477BC7" w:rsidRDefault="005107EA" w:rsidP="005107EA">
      <w:pPr>
        <w:spacing w:after="0" w:line="240" w:lineRule="auto"/>
        <w:ind w:left="567" w:right="616"/>
        <w:jc w:val="both"/>
        <w:rPr>
          <w:rFonts w:ascii="Palatino Linotype" w:eastAsia="Times New Roman" w:hAnsi="Palatino Linotype" w:cs="Arial"/>
          <w:bCs/>
          <w:i/>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477BC7">
        <w:rPr>
          <w:rFonts w:ascii="Palatino Linotype" w:eastAsia="Times New Roman" w:hAnsi="Palatino Linotype" w:cs="Times New Roman"/>
          <w:sz w:val="24"/>
          <w:szCs w:val="24"/>
          <w:lang w:val="es-ES" w:eastAsia="es-MX"/>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lastRenderedPageBreak/>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sz w:val="24"/>
          <w:szCs w:val="24"/>
          <w:lang w:val="es-ES" w:eastAsia="es-ES"/>
        </w:rPr>
      </w:pPr>
    </w:p>
    <w:p w:rsidR="005107EA" w:rsidRPr="00477BC7" w:rsidRDefault="005107EA" w:rsidP="005107EA">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Arial Unicode MS" w:hAnsi="Palatino Linotype" w:cs="Times New Roman"/>
          <w:sz w:val="24"/>
          <w:szCs w:val="24"/>
          <w:lang w:eastAsia="es-ES"/>
        </w:rPr>
        <w:t xml:space="preserve">En ese sentido, </w:t>
      </w:r>
      <w:r w:rsidRPr="00477BC7">
        <w:rPr>
          <w:rFonts w:ascii="Palatino Linotype" w:eastAsia="Times New Roman" w:hAnsi="Palatino Linotype" w:cs="Times New Roman"/>
          <w:sz w:val="24"/>
          <w:szCs w:val="24"/>
          <w:lang w:eastAsia="es-ES"/>
        </w:rPr>
        <w:t xml:space="preserve">las </w:t>
      </w:r>
      <w:r w:rsidR="00061F02">
        <w:rPr>
          <w:rFonts w:ascii="Palatino Linotype" w:eastAsia="Times New Roman" w:hAnsi="Palatino Linotype" w:cs="Times New Roman"/>
          <w:b/>
          <w:sz w:val="24"/>
          <w:szCs w:val="24"/>
          <w:lang w:eastAsia="es-ES"/>
        </w:rPr>
        <w:t>Cadenas Originales</w:t>
      </w:r>
      <w:r w:rsidRPr="00477BC7">
        <w:rPr>
          <w:rFonts w:ascii="Palatino Linotype" w:eastAsia="Times New Roman" w:hAnsi="Palatino Linotype" w:cs="Times New Roman"/>
          <w:sz w:val="24"/>
          <w:szCs w:val="24"/>
          <w:lang w:eastAsia="es-ES"/>
        </w:rPr>
        <w:t xml:space="preserve"> forman parte del </w:t>
      </w:r>
      <w:r w:rsidRPr="00477BC7">
        <w:rPr>
          <w:rFonts w:ascii="Palatino Linotype" w:eastAsia="Times New Roman" w:hAnsi="Palatino Linotype" w:cs="Times New Roman"/>
          <w:sz w:val="24"/>
          <w:szCs w:val="24"/>
          <w:lang w:val="es-ES_tradnl" w:eastAsia="es-ES"/>
        </w:rPr>
        <w:t xml:space="preserve">certificado de sello digital, los cuales </w:t>
      </w:r>
      <w:r w:rsidRPr="00477BC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477BC7">
        <w:rPr>
          <w:rFonts w:ascii="Palatino Linotype" w:eastAsia="Times New Roman" w:hAnsi="Palatino Linotype" w:cs="Times New Roman"/>
          <w:b/>
          <w:sz w:val="24"/>
          <w:szCs w:val="24"/>
          <w:lang w:eastAsia="es-ES"/>
        </w:rPr>
        <w:t xml:space="preserve">vinculación </w:t>
      </w:r>
      <w:r w:rsidRPr="00477BC7">
        <w:rPr>
          <w:rFonts w:ascii="Palatino Linotype" w:eastAsia="Times New Roman" w:hAnsi="Palatino Linotype" w:cs="Times New Roman"/>
          <w:sz w:val="24"/>
          <w:szCs w:val="24"/>
          <w:lang w:eastAsia="es-ES"/>
        </w:rPr>
        <w:t xml:space="preserve">entre la </w:t>
      </w:r>
      <w:r w:rsidRPr="00477BC7">
        <w:rPr>
          <w:rFonts w:ascii="Palatino Linotype" w:eastAsia="Times New Roman" w:hAnsi="Palatino Linotype" w:cs="Times New Roman"/>
          <w:b/>
          <w:sz w:val="24"/>
          <w:szCs w:val="24"/>
          <w:lang w:eastAsia="es-ES"/>
        </w:rPr>
        <w:t>identidad de un sujeto o entidad</w:t>
      </w:r>
      <w:r w:rsidRPr="00477BC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477BC7">
        <w:rPr>
          <w:rFonts w:ascii="Palatino Linotype" w:eastAsia="Times New Roman" w:hAnsi="Palatino Linotype" w:cs="Times New Roman"/>
          <w:b/>
          <w:sz w:val="24"/>
          <w:szCs w:val="24"/>
          <w:lang w:eastAsia="es-ES"/>
        </w:rPr>
        <w:t>para acreditar la autoría de los comprobantes fiscales digitales</w:t>
      </w:r>
      <w:r w:rsidRPr="00477BC7">
        <w:rPr>
          <w:rFonts w:ascii="Palatino Linotype" w:eastAsia="Times New Roman" w:hAnsi="Palatino Linotype" w:cs="Times New Roman"/>
          <w:sz w:val="24"/>
          <w:szCs w:val="24"/>
          <w:lang w:eastAsia="es-ES"/>
        </w:rPr>
        <w:t>. En ese tenor se transcriben los artículos señalados con antelación para mejor ilustración: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p>
    <w:p w:rsidR="005107EA" w:rsidRPr="00477BC7" w:rsidRDefault="005107EA" w:rsidP="005107EA">
      <w:pPr>
        <w:numPr>
          <w:ilvl w:val="0"/>
          <w:numId w:val="7"/>
        </w:numPr>
        <w:spacing w:after="0" w:line="240" w:lineRule="auto"/>
        <w:ind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5107EA" w:rsidRPr="00477BC7" w:rsidRDefault="005107EA" w:rsidP="005107EA">
      <w:pPr>
        <w:spacing w:after="0" w:line="240" w:lineRule="auto"/>
        <w:ind w:left="1422" w:right="616"/>
        <w:jc w:val="both"/>
        <w:rPr>
          <w:rFonts w:ascii="Palatino Linotype" w:eastAsia="Times New Roman" w:hAnsi="Palatino Linotype" w:cs="Times New Roman"/>
          <w:i/>
          <w:noProof/>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 xml:space="preserve">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477BC7">
        <w:rPr>
          <w:rFonts w:ascii="Palatino Linotype" w:eastAsia="Times New Roman" w:hAnsi="Palatino Linotype" w:cs="Times New Roman"/>
          <w:i/>
          <w:noProof/>
          <w:lang w:eastAsia="es-ES"/>
        </w:rPr>
        <w:lastRenderedPageBreak/>
        <w:t>servicios o aquéllas a las que les hubieren retenido contribuciones deberán solicitar el comprobante fiscal digital por Internet respectivo.</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Los contribuyentes a que se refiere el párrafo anterior deberán cumplir con las obligaciones siguientes: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 xml:space="preserve">I. </w:t>
      </w:r>
      <w:r w:rsidRPr="00477BC7">
        <w:rPr>
          <w:rFonts w:ascii="Palatino Linotype" w:eastAsia="Times New Roman" w:hAnsi="Palatino Linotype" w:cs="Times New Roman"/>
          <w:i/>
          <w:noProof/>
          <w:lang w:eastAsia="es-ES"/>
        </w:rPr>
        <w:tab/>
        <w:t>…</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r w:rsidRPr="00477BC7">
        <w:rPr>
          <w:rFonts w:ascii="Palatino Linotype" w:eastAsia="Times New Roman" w:hAnsi="Palatino Linotype" w:cs="Times New Roman"/>
          <w:i/>
          <w:noProof/>
          <w:lang w:eastAsia="es-ES"/>
        </w:rPr>
        <w:t xml:space="preserve">II. </w:t>
      </w:r>
      <w:r w:rsidRPr="00477BC7">
        <w:rPr>
          <w:rFonts w:ascii="Palatino Linotype" w:eastAsia="Times New Roman" w:hAnsi="Palatino Linotype" w:cs="Times New Roman"/>
          <w:i/>
          <w:noProof/>
          <w:lang w:eastAsia="es-ES"/>
        </w:rPr>
        <w:tab/>
        <w:t>Tramitar ante el Servicio de Administración Tributaria el certificado para el uso de los sellos digitales.</w:t>
      </w:r>
    </w:p>
    <w:p w:rsidR="005107EA" w:rsidRPr="00477BC7" w:rsidRDefault="005107EA" w:rsidP="005107EA">
      <w:pPr>
        <w:spacing w:after="0" w:line="240" w:lineRule="auto"/>
        <w:ind w:left="567" w:right="616"/>
        <w:jc w:val="both"/>
        <w:rPr>
          <w:rFonts w:ascii="Palatino Linotype" w:eastAsia="Times New Roman" w:hAnsi="Palatino Linotype" w:cs="Times New Roman"/>
          <w:i/>
          <w:noProof/>
          <w:lang w:eastAsia="es-ES"/>
        </w:rPr>
      </w:pPr>
    </w:p>
    <w:p w:rsidR="005107EA" w:rsidRPr="00477BC7" w:rsidRDefault="005107EA" w:rsidP="005107EA">
      <w:pPr>
        <w:spacing w:after="0" w:line="240" w:lineRule="auto"/>
        <w:ind w:left="567" w:right="616"/>
        <w:jc w:val="both"/>
        <w:rPr>
          <w:rFonts w:ascii="Times New Roman" w:eastAsia="Times New Roman" w:hAnsi="Times New Roman" w:cs="Times New Roman"/>
          <w:noProof/>
          <w:sz w:val="24"/>
          <w:szCs w:val="24"/>
          <w:lang w:eastAsia="es-ES"/>
        </w:rPr>
      </w:pPr>
      <w:r w:rsidRPr="00477BC7">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Por lo que hace a los </w:t>
      </w:r>
      <w:r w:rsidRPr="00477BC7">
        <w:rPr>
          <w:rFonts w:ascii="Palatino Linotype" w:eastAsia="Times New Roman" w:hAnsi="Palatino Linotype" w:cs="Times New Roman"/>
          <w:b/>
          <w:sz w:val="24"/>
          <w:szCs w:val="24"/>
          <w:lang w:eastAsia="es-ES"/>
        </w:rPr>
        <w:t>Códigos Bidimensionales</w:t>
      </w:r>
      <w:r w:rsidRPr="00477BC7">
        <w:rPr>
          <w:rFonts w:ascii="Palatino Linotype" w:eastAsia="Times New Roman" w:hAnsi="Palatino Linotype" w:cs="Times New Roman"/>
          <w:sz w:val="24"/>
          <w:szCs w:val="24"/>
          <w:lang w:eastAsia="es-ES"/>
        </w:rPr>
        <w:t xml:space="preserve"> y los denominados </w:t>
      </w:r>
      <w:r w:rsidRPr="00477BC7">
        <w:rPr>
          <w:rFonts w:ascii="Palatino Linotype" w:eastAsia="Times New Roman" w:hAnsi="Palatino Linotype" w:cs="Times New Roman"/>
          <w:b/>
          <w:sz w:val="24"/>
          <w:szCs w:val="24"/>
          <w:lang w:eastAsia="es-ES"/>
        </w:rPr>
        <w:t>Códigos QR</w:t>
      </w:r>
      <w:r w:rsidRPr="00477BC7">
        <w:rPr>
          <w:rFonts w:ascii="Palatino Linotype" w:eastAsia="Times New Roman" w:hAnsi="Palatino Linotype" w:cs="Times New Roman"/>
          <w:sz w:val="24"/>
          <w:szCs w:val="24"/>
          <w:lang w:eastAsia="es-ES"/>
        </w:rPr>
        <w:t xml:space="preserve">, se trata </w:t>
      </w:r>
      <w:r w:rsidRPr="00477BC7">
        <w:rPr>
          <w:rFonts w:ascii="Palatino Linotype" w:eastAsia="Times New Roman" w:hAnsi="Palatino Linotype" w:cs="Times New Roman"/>
          <w:sz w:val="24"/>
          <w:szCs w:val="24"/>
          <w:lang w:val="es-ES_tradnl" w:eastAsia="es-ES"/>
        </w:rPr>
        <w:t>de</w:t>
      </w:r>
      <w:r w:rsidRPr="00477BC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477BC7">
        <w:rPr>
          <w:rFonts w:ascii="Palatino Linotype" w:eastAsia="Times New Roman" w:hAnsi="Palatino Linotype" w:cs="Times New Roman"/>
          <w:sz w:val="24"/>
          <w:szCs w:val="24"/>
          <w:lang w:eastAsia="es-MX"/>
        </w:rPr>
        <w:t>datos</w:t>
      </w:r>
      <w:r w:rsidRPr="00477BC7">
        <w:rPr>
          <w:rFonts w:ascii="Palatino Linotype" w:eastAsia="Times New Roman" w:hAnsi="Palatino Linotype" w:cs="Times New Roman"/>
          <w:sz w:val="24"/>
          <w:szCs w:val="24"/>
          <w:lang w:eastAsia="es-ES"/>
        </w:rPr>
        <w:t xml:space="preserve"> personales como lo son el </w:t>
      </w:r>
      <w:r w:rsidRPr="00477BC7">
        <w:rPr>
          <w:rFonts w:ascii="Palatino Linotype" w:eastAsia="Times New Roman" w:hAnsi="Palatino Linotype" w:cs="Times New Roman"/>
          <w:b/>
          <w:sz w:val="24"/>
          <w:szCs w:val="24"/>
          <w:lang w:eastAsia="es-ES"/>
        </w:rPr>
        <w:t>Registro Federal de Contribuyentes</w:t>
      </w:r>
      <w:r w:rsidRPr="00477BC7">
        <w:rPr>
          <w:rFonts w:ascii="Palatino Linotype" w:eastAsia="Times New Roman" w:hAnsi="Palatino Linotype" w:cs="Times New Roman"/>
          <w:sz w:val="24"/>
          <w:szCs w:val="24"/>
          <w:lang w:eastAsia="es-ES"/>
        </w:rPr>
        <w:t xml:space="preserve"> (RFC) y la </w:t>
      </w:r>
      <w:r w:rsidRPr="00477BC7">
        <w:rPr>
          <w:rFonts w:ascii="Palatino Linotype" w:eastAsia="Times New Roman" w:hAnsi="Palatino Linotype" w:cs="Times New Roman"/>
          <w:b/>
          <w:sz w:val="24"/>
          <w:szCs w:val="24"/>
          <w:lang w:eastAsia="es-ES"/>
        </w:rPr>
        <w:t>Clave Única de Registro de Población</w:t>
      </w:r>
      <w:r w:rsidRPr="00477BC7">
        <w:rPr>
          <w:rFonts w:ascii="Palatino Linotype" w:eastAsia="Times New Roman" w:hAnsi="Palatino Linotype" w:cs="Times New Roman"/>
          <w:sz w:val="24"/>
          <w:szCs w:val="24"/>
          <w:lang w:eastAsia="es-ES"/>
        </w:rPr>
        <w:t xml:space="preserve"> (CURP), por lo cual, deberán ser protegidos.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 xml:space="preserve">cuando clasifique un documento, ya sea en todo o </w:t>
      </w:r>
      <w:r w:rsidRPr="00477BC7">
        <w:rPr>
          <w:rFonts w:ascii="Palatino Linotype" w:eastAsia="Times New Roman" w:hAnsi="Palatino Linotype" w:cs="Times New Roman"/>
          <w:sz w:val="24"/>
          <w:szCs w:val="24"/>
          <w:lang w:eastAsia="es-MX"/>
        </w:rPr>
        <w:lastRenderedPageBreak/>
        <w:t>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477BC7">
        <w:rPr>
          <w:rFonts w:ascii="Palatino Linotype" w:eastAsia="Times New Roman" w:hAnsi="Palatino Linotype" w:cs="Times New Roman"/>
          <w:sz w:val="24"/>
          <w:szCs w:val="24"/>
          <w:lang w:eastAsia="es-ES"/>
        </w:rPr>
        <w:lastRenderedPageBreak/>
        <w:t>Décimo Primero de los Lineamientos Generales en materia de Clasificación y Desclasificación de la Información, así como para la elaboración de Versiones Públicas, que literalmente expresan: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lastRenderedPageBreak/>
        <w:t>La clasificación de información se realizará conforme a un análisis caso por caso, mediante la aplicación de la prueba de daño y de interés público.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lastRenderedPageBreak/>
        <w:t>En ausencia de los titulares de las áreas, la información será clasificada o desclasificada por la persona que lo supla, en términos de la normativa que rija la actuación del sujeto obligado.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5107EA" w:rsidRPr="00477BC7" w:rsidRDefault="005107EA" w:rsidP="005107EA">
      <w:pPr>
        <w:spacing w:after="0" w:line="360" w:lineRule="auto"/>
        <w:jc w:val="both"/>
        <w:rPr>
          <w:rFonts w:ascii="Palatino Linotype" w:eastAsia="Times New Roman" w:hAnsi="Palatino Linotype" w:cs="Arial"/>
          <w:i/>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Al respecto, el máximo tribunal del país ha establecido jurisprudencia respecto a qué </w:t>
      </w:r>
      <w:bookmarkStart w:id="0" w:name="_GoBack"/>
      <w:bookmarkEnd w:id="0"/>
      <w:r w:rsidRPr="00477BC7">
        <w:rPr>
          <w:rFonts w:ascii="Palatino Linotype" w:eastAsia="Times New Roman" w:hAnsi="Palatino Linotype" w:cs="Times New Roman"/>
          <w:sz w:val="24"/>
          <w:szCs w:val="24"/>
          <w:lang w:eastAsia="es-ES"/>
        </w:rPr>
        <w:t>debe entenderse por fundamentación y motivación, en los siguientes términos:</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lastRenderedPageBreak/>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477BC7">
        <w:rPr>
          <w:rFonts w:ascii="Palatino Linotype" w:eastAsia="Times New Roman" w:hAnsi="Palatino Linotype" w:cs="Times New Roman"/>
          <w:i/>
          <w:lang w:eastAsia="es-ES"/>
        </w:rPr>
        <w:lastRenderedPageBreak/>
        <w:t>acreditar el razonamiento del que se deduzca la relación de pertenencia lógica de los hechos al derecho invocado, que es la subsunción.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185A85"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rsidR="005107EA" w:rsidRDefault="005107EA" w:rsidP="005107EA">
      <w:pPr>
        <w:pStyle w:val="Sinespaciado"/>
        <w:spacing w:line="360" w:lineRule="auto"/>
        <w:jc w:val="both"/>
        <w:rPr>
          <w:rFonts w:ascii="Palatino Linotype" w:hAnsi="Palatino Linotype"/>
        </w:rPr>
      </w:pPr>
    </w:p>
    <w:p w:rsidR="005107EA" w:rsidRDefault="005107EA" w:rsidP="005107EA">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w:t>
      </w:r>
      <w:r w:rsidRPr="00C12CA8">
        <w:rPr>
          <w:rFonts w:ascii="Palatino Linotype" w:hAnsi="Palatino Linotype" w:cs="Arial"/>
        </w:rPr>
        <w:lastRenderedPageBreak/>
        <w:t xml:space="preserve">México y Municipios, </w:t>
      </w:r>
      <w:r w:rsidRPr="00C12CA8">
        <w:rPr>
          <w:rFonts w:ascii="Palatino Linotype" w:hAnsi="Palatino Linotype" w:cs="Arial"/>
          <w:bCs/>
        </w:rPr>
        <w:t>a efecto de salvaguardar el derecho de acceso a la información pública consignado a favor del Recurrente.</w:t>
      </w:r>
    </w:p>
    <w:p w:rsidR="0015618F" w:rsidRPr="00C12CA8" w:rsidRDefault="0015618F" w:rsidP="005107EA">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C24D80" w:rsidRDefault="006E7232" w:rsidP="00502301">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8A69B9">
        <w:rPr>
          <w:rFonts w:ascii="Palatino Linotype" w:hAnsi="Palatino Linotype"/>
          <w:b/>
          <w:bCs/>
        </w:rPr>
        <w:t>00008/MORELOS</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Recurrente, vía SAIMEX, </w:t>
      </w:r>
      <w:r w:rsidR="00EE0077" w:rsidRPr="00C24D80">
        <w:rPr>
          <w:rFonts w:ascii="Palatino Linotype" w:hAnsi="Palatino Linotype"/>
          <w:lang w:val="es-ES_tradnl"/>
        </w:rPr>
        <w:t xml:space="preserve">en 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8A69B9">
        <w:rPr>
          <w:rFonts w:ascii="Palatino Linotype" w:hAnsi="Palatino Linotype"/>
          <w:lang w:val="es-ES_tradnl"/>
        </w:rPr>
        <w:t xml:space="preserve">del documento o documentos </w:t>
      </w:r>
      <w:r w:rsidR="003D288D" w:rsidRPr="00C24D80">
        <w:rPr>
          <w:rFonts w:ascii="Palatino Linotype" w:hAnsi="Palatino Linotype"/>
          <w:lang w:val="es-ES_tradnl"/>
        </w:rPr>
        <w:t>de 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580D25" w:rsidRPr="00C24D80" w:rsidRDefault="004F52E8" w:rsidP="0019284A">
      <w:pPr>
        <w:pStyle w:val="Sinespaciado"/>
        <w:numPr>
          <w:ilvl w:val="0"/>
          <w:numId w:val="8"/>
        </w:numPr>
        <w:jc w:val="both"/>
        <w:rPr>
          <w:rFonts w:ascii="Palatino Linotype" w:hAnsi="Palatino Linotype"/>
          <w:i/>
          <w:lang w:val="es-ES_tradnl"/>
        </w:rPr>
      </w:pPr>
      <w:r w:rsidRPr="00C24D80">
        <w:rPr>
          <w:rFonts w:ascii="Palatino Linotype" w:hAnsi="Palatino Linotype"/>
          <w:i/>
          <w:lang w:val="es-ES_tradnl"/>
        </w:rPr>
        <w:t>Recibos de n</w:t>
      </w:r>
      <w:r w:rsidR="003D288D" w:rsidRPr="00C24D80">
        <w:rPr>
          <w:rFonts w:ascii="Palatino Linotype" w:hAnsi="Palatino Linotype"/>
          <w:i/>
          <w:lang w:val="es-ES_tradnl"/>
        </w:rPr>
        <w:t xml:space="preserve">ómina </w:t>
      </w:r>
      <w:r w:rsidR="0019284A">
        <w:rPr>
          <w:rFonts w:ascii="Palatino Linotype" w:hAnsi="Palatino Linotype"/>
          <w:i/>
          <w:lang w:val="es-ES_tradnl"/>
        </w:rPr>
        <w:t>del total de los servidores públicos adscritos al Sujeto Obligado correspondientes a l</w:t>
      </w:r>
      <w:r w:rsidR="008A69B9">
        <w:rPr>
          <w:rFonts w:ascii="Palatino Linotype" w:hAnsi="Palatino Linotype"/>
          <w:i/>
          <w:lang w:val="es-ES_tradnl"/>
        </w:rPr>
        <w:t xml:space="preserve">a primera y segunda quincena de enero de dos mil </w:t>
      </w:r>
      <w:r w:rsidR="004073E9">
        <w:rPr>
          <w:rFonts w:ascii="Palatino Linotype" w:hAnsi="Palatino Linotype"/>
          <w:i/>
          <w:lang w:val="es-ES_tradnl"/>
        </w:rPr>
        <w:t>dieci</w:t>
      </w:r>
      <w:r w:rsidR="008A69B9">
        <w:rPr>
          <w:rFonts w:ascii="Palatino Linotype" w:hAnsi="Palatino Linotype"/>
          <w:i/>
          <w:lang w:val="es-ES_tradnl"/>
        </w:rPr>
        <w:t xml:space="preserve">nueve. </w:t>
      </w:r>
    </w:p>
    <w:p w:rsidR="003A0A02" w:rsidRDefault="008A69B9" w:rsidP="008A69B9">
      <w:pPr>
        <w:pStyle w:val="Sinespaciado"/>
        <w:numPr>
          <w:ilvl w:val="0"/>
          <w:numId w:val="8"/>
        </w:numPr>
        <w:jc w:val="both"/>
        <w:rPr>
          <w:rFonts w:ascii="Palatino Linotype" w:hAnsi="Palatino Linotype"/>
          <w:i/>
          <w:lang w:val="es-ES_tradnl"/>
        </w:rPr>
      </w:pPr>
      <w:r>
        <w:rPr>
          <w:rFonts w:ascii="Palatino Linotype" w:hAnsi="Palatino Linotype"/>
          <w:i/>
          <w:lang w:val="es-ES_tradnl"/>
        </w:rPr>
        <w:t>L</w:t>
      </w:r>
      <w:r w:rsidR="0019284A" w:rsidRPr="0019284A">
        <w:rPr>
          <w:rFonts w:ascii="Palatino Linotype" w:hAnsi="Palatino Linotype"/>
          <w:i/>
          <w:lang w:val="es-ES_tradnl"/>
        </w:rPr>
        <w:t xml:space="preserve">a remuneración de los servidores públicos contratados por lista de raya </w:t>
      </w:r>
      <w:r w:rsidRPr="008A69B9">
        <w:rPr>
          <w:rFonts w:ascii="Palatino Linotype" w:hAnsi="Palatino Linotype"/>
          <w:i/>
          <w:lang w:val="es-ES_tradnl"/>
        </w:rPr>
        <w:t xml:space="preserve">correspondientes a la primera y segunda quincena de enero de dos mil </w:t>
      </w:r>
      <w:r w:rsidR="004073E9">
        <w:rPr>
          <w:rFonts w:ascii="Palatino Linotype" w:hAnsi="Palatino Linotype"/>
          <w:i/>
          <w:lang w:val="es-ES_tradnl"/>
        </w:rPr>
        <w:t>dieci</w:t>
      </w:r>
      <w:r w:rsidRPr="008A69B9">
        <w:rPr>
          <w:rFonts w:ascii="Palatino Linotype" w:hAnsi="Palatino Linotype"/>
          <w:i/>
          <w:lang w:val="es-ES_tradnl"/>
        </w:rPr>
        <w:t>nueve.</w:t>
      </w:r>
      <w:r w:rsidR="0019284A" w:rsidRPr="0019284A">
        <w:rPr>
          <w:rFonts w:ascii="Palatino Linotype" w:hAnsi="Palatino Linotype"/>
          <w:i/>
          <w:lang w:val="es-ES_tradnl"/>
        </w:rPr>
        <w:t xml:space="preserve"> </w:t>
      </w:r>
    </w:p>
    <w:p w:rsidR="0019284A" w:rsidRPr="0019284A" w:rsidRDefault="0019284A" w:rsidP="0019284A">
      <w:pPr>
        <w:pStyle w:val="Sinespaciado"/>
        <w:ind w:left="720"/>
        <w:jc w:val="both"/>
        <w:rPr>
          <w:rFonts w:ascii="Palatino Linotype" w:hAnsi="Palatino Linotype"/>
          <w:i/>
          <w:lang w:val="es-ES_tradnl"/>
        </w:rPr>
      </w:pPr>
    </w:p>
    <w:p w:rsidR="009D766B" w:rsidRPr="0019284A" w:rsidRDefault="003D288D" w:rsidP="00502301">
      <w:pPr>
        <w:pStyle w:val="Sinespaciado"/>
        <w:spacing w:line="360" w:lineRule="auto"/>
        <w:jc w:val="both"/>
        <w:rPr>
          <w:rFonts w:ascii="Palatino Linotype" w:hAnsi="Palatino Linotype" w:cs="Arial"/>
        </w:rPr>
      </w:pPr>
      <w:r w:rsidRPr="0019284A">
        <w:rPr>
          <w:rFonts w:ascii="Palatino Linotype" w:hAnsi="Palatino Linotype" w:cs="Aria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w:t>
      </w:r>
      <w:r w:rsidRPr="0019284A">
        <w:rPr>
          <w:rFonts w:ascii="Palatino Linotype" w:hAnsi="Palatino Linotype" w:cs="Arial"/>
        </w:rPr>
        <w:lastRenderedPageBreak/>
        <w:t>y Municipios, en el que funde y motive las razones sobre los datos que se supriman o eliminen dentro del soporte documental respectivo y se ponga a disposición del Recurrente.</w:t>
      </w:r>
    </w:p>
    <w:p w:rsidR="0019284A" w:rsidRPr="0019284A" w:rsidRDefault="0019284A" w:rsidP="00502301">
      <w:pPr>
        <w:pStyle w:val="Sinespaciado"/>
        <w:spacing w:line="360" w:lineRule="auto"/>
        <w:jc w:val="both"/>
        <w:rPr>
          <w:rFonts w:ascii="Palatino Linotype" w:hAnsi="Palatino Linotype" w:cs="Arial"/>
        </w:rPr>
      </w:pPr>
    </w:p>
    <w:p w:rsidR="0019284A" w:rsidRPr="0019284A" w:rsidRDefault="0019284A" w:rsidP="00502301">
      <w:pPr>
        <w:pStyle w:val="Sinespaciado"/>
        <w:spacing w:line="360" w:lineRule="auto"/>
        <w:jc w:val="both"/>
        <w:rPr>
          <w:rFonts w:ascii="Palatino Linotype" w:hAnsi="Palatino Linotype"/>
        </w:rPr>
      </w:pPr>
      <w:r w:rsidRPr="0019284A">
        <w:rPr>
          <w:rFonts w:ascii="Palatino Linotype" w:hAnsi="Palatino Linotype" w:cs="Arial"/>
        </w:rPr>
        <w:t>Respecto del inciso b), en el supuesto de que el Sujeto Obligado no h</w:t>
      </w:r>
      <w:r w:rsidR="008A69B9">
        <w:rPr>
          <w:rFonts w:ascii="Palatino Linotype" w:hAnsi="Palatino Linotype" w:cs="Arial"/>
        </w:rPr>
        <w:t>aya contratado personal bajo la modalidad referida</w:t>
      </w:r>
      <w:r w:rsidRPr="0019284A">
        <w:rPr>
          <w:rFonts w:ascii="Palatino Linotype" w:hAnsi="Palatino Linotype" w:cs="Arial"/>
        </w:rPr>
        <w:t xml:space="preserve"> en el periodo cuya entrega se ordena, bastará con que lo haga del conocimiento de</w:t>
      </w:r>
      <w:r>
        <w:rPr>
          <w:rFonts w:ascii="Palatino Linotype" w:hAnsi="Palatino Linotype" w:cs="Arial"/>
        </w:rPr>
        <w:t>l</w:t>
      </w:r>
      <w:r w:rsidRPr="0019284A">
        <w:rPr>
          <w:rFonts w:ascii="Palatino Linotype" w:hAnsi="Palatino Linotype" w:cs="Arial"/>
        </w:rPr>
        <w:t xml:space="preserve"> Recurrente al momento en que dé cumplimiento a la presente resolución.</w:t>
      </w:r>
    </w:p>
    <w:p w:rsidR="001F1DDC" w:rsidRPr="0019284A" w:rsidRDefault="001F1DDC" w:rsidP="00F1574A">
      <w:pPr>
        <w:pStyle w:val="Sinespaciado"/>
        <w:spacing w:line="360" w:lineRule="auto"/>
        <w:jc w:val="both"/>
        <w:rPr>
          <w:rFonts w:ascii="Palatino Linotype" w:eastAsiaTheme="minorHAnsi" w:hAnsi="Palatino Linotype"/>
          <w:lang w:eastAsia="en-US"/>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 xml:space="preserve">oficio al Titular de la Contraloría Interna y Órgano de Control y Vigilancia de este Instituto, de conformidad con el artículo 190 de la Ley de </w:t>
      </w:r>
      <w:r w:rsidRPr="00C24D80">
        <w:rPr>
          <w:rFonts w:ascii="Palatino Linotype" w:hAnsi="Palatino Linotype"/>
        </w:rPr>
        <w:lastRenderedPageBreak/>
        <w:t>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5C7BFB">
        <w:rPr>
          <w:rFonts w:ascii="Palatino Linotype" w:eastAsia="Arial Unicode MS" w:hAnsi="Palatino Linotype"/>
        </w:rPr>
        <w:t xml:space="preserve"> CON VOTO 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(CON AUSENCIA JUSTIFICADA)</w:t>
      </w:r>
      <w:r w:rsidR="00C7544D">
        <w:rPr>
          <w:rFonts w:ascii="Palatino Linotype" w:eastAsia="Arial Unicode MS" w:hAnsi="Palatino Linotype"/>
        </w:rPr>
        <w:t xml:space="preserve"> Y LUIS GUSTAVO PARRA NORIEGA</w:t>
      </w:r>
      <w:r w:rsidR="001D3A90">
        <w:rPr>
          <w:rFonts w:ascii="Palatino Linotype" w:eastAsia="Arial Unicode MS" w:hAnsi="Palatino Linotype"/>
        </w:rPr>
        <w:t xml:space="preserve"> (CON AUSENCIA JUSTIFICADA)</w:t>
      </w:r>
      <w:r w:rsidRPr="00C24D80">
        <w:rPr>
          <w:rFonts w:ascii="Palatino Linotype" w:eastAsia="Arial Unicode MS" w:hAnsi="Palatino Linotype"/>
        </w:rPr>
        <w:t xml:space="preserve">, EN LA </w:t>
      </w:r>
      <w:r w:rsidR="001E7B5C">
        <w:rPr>
          <w:rFonts w:ascii="Palatino Linotype" w:eastAsia="Arial Unicode MS" w:hAnsi="Palatino Linotype"/>
        </w:rPr>
        <w:t xml:space="preserve">DÉCIMA </w:t>
      </w:r>
      <w:r w:rsidR="001D3A90">
        <w:rPr>
          <w:rFonts w:ascii="Palatino Linotype" w:eastAsia="Arial Unicode MS" w:hAnsi="Palatino Linotype"/>
        </w:rPr>
        <w:t>NOVENA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1D3A90">
        <w:rPr>
          <w:rFonts w:ascii="Palatino Linotype" w:hAnsi="Palatino Linotype"/>
        </w:rPr>
        <w:t>VEINTIDÓS</w:t>
      </w:r>
      <w:r w:rsidR="008A69B9">
        <w:rPr>
          <w:rFonts w:ascii="Palatino Linotype" w:hAnsi="Palatino Linotype"/>
        </w:rPr>
        <w:t xml:space="preserve"> DE MAYO </w:t>
      </w:r>
      <w:r w:rsidR="00C7544D">
        <w:rPr>
          <w:rFonts w:ascii="Palatino Linotype" w:hAnsi="Palatino Linotype"/>
        </w:rPr>
        <w:t>DE 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8A69B9">
        <w:rPr>
          <w:rFonts w:ascii="Palatino Linotype" w:hAnsi="Palatino Linotype"/>
        </w:rPr>
        <w:t>----</w:t>
      </w:r>
      <w:r w:rsidR="001D3A90">
        <w:rPr>
          <w:rFonts w:ascii="Palatino Linotype" w:hAnsi="Palatino Linotype"/>
        </w:rPr>
        <w:t>--------------------------------------------------------------------------------------------------------------------------------------------------------------------------------------------------------------------------------------------------------------------------------------------------------------------------------------------------------------------------------------------------------------------------------------------------------------</w:t>
      </w:r>
      <w:r w:rsidR="005C7BFB">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1D3A90" w:rsidP="003839FF">
            <w:pPr>
              <w:pStyle w:val="Sinespaciado"/>
              <w:jc w:val="center"/>
              <w:rPr>
                <w:rFonts w:ascii="Palatino Linotype" w:hAnsi="Palatino Linotype"/>
                <w:b/>
              </w:rPr>
            </w:pPr>
            <w:r>
              <w:rPr>
                <w:rFonts w:ascii="Palatino Linotype" w:hAnsi="Palatino Linotype"/>
              </w:rPr>
              <w:t>(Ausencia justificada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1D3A90" w:rsidP="003839FF">
            <w:pPr>
              <w:pStyle w:val="Sinespaciado"/>
              <w:jc w:val="center"/>
              <w:rPr>
                <w:rFonts w:ascii="Palatino Linotype" w:hAnsi="Palatino Linotype"/>
              </w:rPr>
            </w:pPr>
            <w:r>
              <w:rPr>
                <w:rFonts w:ascii="Palatino Linotype" w:hAnsi="Palatino Linotype"/>
              </w:rPr>
              <w:t>(Ausencia justificada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Default="00AE4AAC" w:rsidP="006A3AFB">
      <w:pPr>
        <w:spacing w:after="0" w:line="276" w:lineRule="auto"/>
        <w:jc w:val="both"/>
        <w:rPr>
          <w:rFonts w:ascii="Palatino Linotype" w:hAnsi="Palatino Linotype" w:cs="Arial"/>
          <w:sz w:val="20"/>
          <w:szCs w:val="20"/>
        </w:rPr>
      </w:pPr>
    </w:p>
    <w:p w:rsidR="00B76A01" w:rsidRPr="00C7544D"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1D3A90">
        <w:rPr>
          <w:rFonts w:ascii="Palatino Linotype" w:hAnsi="Palatino Linotype" w:cs="Arial"/>
          <w:sz w:val="20"/>
          <w:szCs w:val="20"/>
        </w:rPr>
        <w:t>veintidós</w:t>
      </w:r>
      <w:r w:rsidR="00A06F37">
        <w:rPr>
          <w:rFonts w:ascii="Palatino Linotype" w:hAnsi="Palatino Linotype" w:cs="Arial"/>
          <w:sz w:val="20"/>
          <w:szCs w:val="20"/>
        </w:rPr>
        <w:t xml:space="preserve"> de mayo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A06F37">
        <w:rPr>
          <w:rFonts w:ascii="Palatino Linotype" w:hAnsi="Palatino Linotype" w:cs="Arial"/>
          <w:sz w:val="20"/>
          <w:szCs w:val="20"/>
        </w:rPr>
        <w:t>001340/INFOEM/IP/RR/2019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F9" w:rsidRDefault="005272F9" w:rsidP="001032D4">
      <w:pPr>
        <w:spacing w:after="0" w:line="240" w:lineRule="auto"/>
      </w:pPr>
      <w:r>
        <w:separator/>
      </w:r>
    </w:p>
  </w:endnote>
  <w:endnote w:type="continuationSeparator" w:id="0">
    <w:p w:rsidR="005272F9" w:rsidRDefault="005272F9"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F9" w:rsidRPr="000B69FA" w:rsidRDefault="005272F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6F8C">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6F8C">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F9" w:rsidRPr="000B69FA" w:rsidRDefault="005272F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6F8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6F8C">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F9" w:rsidRDefault="005272F9" w:rsidP="001032D4">
      <w:pPr>
        <w:spacing w:after="0" w:line="240" w:lineRule="auto"/>
      </w:pPr>
      <w:r>
        <w:separator/>
      </w:r>
    </w:p>
  </w:footnote>
  <w:footnote w:type="continuationSeparator" w:id="0">
    <w:p w:rsidR="005272F9" w:rsidRDefault="005272F9" w:rsidP="001032D4">
      <w:pPr>
        <w:spacing w:after="0" w:line="240" w:lineRule="auto"/>
      </w:pPr>
      <w:r>
        <w:continuationSeparator/>
      </w:r>
    </w:p>
  </w:footnote>
  <w:footnote w:id="1">
    <w:p w:rsidR="005272F9" w:rsidRPr="00946E1F" w:rsidRDefault="005272F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272F9" w:rsidRPr="00946E1F" w:rsidRDefault="005272F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272F9" w:rsidRPr="00AF509D" w:rsidRDefault="005272F9">
      <w:pPr>
        <w:pStyle w:val="Textonotapie"/>
        <w:rPr>
          <w:rFonts w:ascii="Palatino Linotype" w:hAnsi="Palatino Linotype"/>
          <w:i/>
          <w:sz w:val="18"/>
          <w:szCs w:val="18"/>
        </w:rPr>
      </w:pPr>
      <w:r w:rsidRPr="00AF509D">
        <w:rPr>
          <w:rStyle w:val="Refdenotaalpie"/>
          <w:rFonts w:ascii="Palatino Linotype" w:hAnsi="Palatino Linotype"/>
          <w:i/>
          <w:sz w:val="18"/>
          <w:szCs w:val="18"/>
        </w:rPr>
        <w:footnoteRef/>
      </w:r>
      <w:r w:rsidRPr="00AF509D">
        <w:rPr>
          <w:rFonts w:ascii="Palatino Linotype" w:hAnsi="Palatino Linotype"/>
          <w:i/>
          <w:sz w:val="18"/>
          <w:szCs w:val="18"/>
        </w:rPr>
        <w:t xml:space="preserve"> </w:t>
      </w:r>
      <w:r w:rsidRPr="00AF509D">
        <w:rPr>
          <w:rFonts w:ascii="Palatino Linotype" w:hAnsi="Palatino Linotype"/>
          <w:b/>
          <w:bCs/>
          <w:i/>
          <w:sz w:val="18"/>
          <w:szCs w:val="18"/>
        </w:rPr>
        <w:t xml:space="preserve">Artículo 13. </w:t>
      </w:r>
      <w:r w:rsidRPr="00AF509D">
        <w:rPr>
          <w:rFonts w:ascii="Palatino Linotype" w:hAnsi="Palatino Linotype"/>
          <w:i/>
          <w:sz w:val="18"/>
          <w:szCs w:val="18"/>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F9" w:rsidRDefault="005272F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72F9" w:rsidTr="0068162E">
      <w:trPr>
        <w:trHeight w:val="227"/>
      </w:trPr>
      <w:tc>
        <w:tcPr>
          <w:tcW w:w="6521" w:type="dxa"/>
          <w:hideMark/>
        </w:tcPr>
        <w:p w:rsidR="005272F9" w:rsidRDefault="005272F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72F9" w:rsidRDefault="005272F9" w:rsidP="003839FF">
          <w:pPr>
            <w:spacing w:after="120" w:line="256" w:lineRule="auto"/>
            <w:ind w:right="214"/>
            <w:jc w:val="right"/>
            <w:rPr>
              <w:rFonts w:ascii="Palatino Linotype" w:hAnsi="Palatino Linotype" w:cs="Arial"/>
              <w:szCs w:val="20"/>
            </w:rPr>
          </w:pPr>
          <w:r>
            <w:rPr>
              <w:rFonts w:ascii="Palatino Linotype" w:hAnsi="Palatino Linotype" w:cs="Arial"/>
              <w:szCs w:val="20"/>
            </w:rPr>
            <w:t>01340/</w:t>
          </w:r>
          <w:r w:rsidRPr="00201139">
            <w:rPr>
              <w:rFonts w:ascii="Palatino Linotype" w:hAnsi="Palatino Linotype" w:cs="Arial"/>
              <w:szCs w:val="20"/>
            </w:rPr>
            <w:t>INFOEM/IP/RR/201</w:t>
          </w:r>
          <w:r>
            <w:rPr>
              <w:rFonts w:ascii="Palatino Linotype" w:hAnsi="Palatino Linotype" w:cs="Arial"/>
              <w:szCs w:val="20"/>
            </w:rPr>
            <w:t>9</w:t>
          </w:r>
        </w:p>
      </w:tc>
    </w:tr>
    <w:tr w:rsidR="005272F9" w:rsidTr="0068162E">
      <w:trPr>
        <w:trHeight w:val="242"/>
      </w:trPr>
      <w:tc>
        <w:tcPr>
          <w:tcW w:w="6521" w:type="dxa"/>
          <w:hideMark/>
        </w:tcPr>
        <w:p w:rsidR="005272F9" w:rsidRDefault="005272F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72F9" w:rsidRDefault="005272F9"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Morelos</w:t>
          </w:r>
        </w:p>
      </w:tc>
    </w:tr>
    <w:tr w:rsidR="005272F9" w:rsidTr="0068162E">
      <w:trPr>
        <w:trHeight w:val="342"/>
      </w:trPr>
      <w:tc>
        <w:tcPr>
          <w:tcW w:w="6521" w:type="dxa"/>
          <w:hideMark/>
        </w:tcPr>
        <w:p w:rsidR="005272F9" w:rsidRDefault="005272F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72F9" w:rsidRDefault="005272F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72F9" w:rsidRDefault="005272F9">
    <w:pPr>
      <w:pStyle w:val="Encabezado"/>
    </w:pPr>
  </w:p>
  <w:p w:rsidR="005272F9" w:rsidRDefault="005272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72F9" w:rsidRPr="00633CD9" w:rsidTr="00452BE0">
      <w:trPr>
        <w:trHeight w:val="227"/>
      </w:trPr>
      <w:tc>
        <w:tcPr>
          <w:tcW w:w="6521" w:type="dxa"/>
          <w:hideMark/>
        </w:tcPr>
        <w:p w:rsidR="005272F9" w:rsidRDefault="005272F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72F9" w:rsidRPr="00B4142F" w:rsidRDefault="005272F9"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01340/INFOEM/IP/RR/2019 </w:t>
          </w:r>
        </w:p>
      </w:tc>
    </w:tr>
    <w:tr w:rsidR="005272F9" w:rsidRPr="00633CD9" w:rsidTr="00452BE0">
      <w:trPr>
        <w:trHeight w:val="196"/>
      </w:trPr>
      <w:tc>
        <w:tcPr>
          <w:tcW w:w="6521" w:type="dxa"/>
          <w:hideMark/>
        </w:tcPr>
        <w:p w:rsidR="005272F9" w:rsidRDefault="005272F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72F9" w:rsidRPr="00840752" w:rsidRDefault="005272F9"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xxxxx xxxxxx </w:t>
          </w:r>
        </w:p>
      </w:tc>
    </w:tr>
    <w:tr w:rsidR="005272F9" w:rsidRPr="00633CD9" w:rsidTr="00452BE0">
      <w:trPr>
        <w:trHeight w:val="242"/>
      </w:trPr>
      <w:tc>
        <w:tcPr>
          <w:tcW w:w="6521" w:type="dxa"/>
          <w:hideMark/>
        </w:tcPr>
        <w:p w:rsidR="005272F9" w:rsidRDefault="005272F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72F9" w:rsidRDefault="005272F9"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Morelos </w:t>
          </w:r>
        </w:p>
      </w:tc>
    </w:tr>
    <w:tr w:rsidR="005272F9" w:rsidTr="00452BE0">
      <w:trPr>
        <w:trHeight w:val="342"/>
      </w:trPr>
      <w:tc>
        <w:tcPr>
          <w:tcW w:w="6521" w:type="dxa"/>
          <w:hideMark/>
        </w:tcPr>
        <w:p w:rsidR="005272F9" w:rsidRDefault="005272F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72F9" w:rsidRDefault="005272F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72F9" w:rsidRDefault="005272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8"/>
  </w:num>
  <w:num w:numId="6">
    <w:abstractNumId w:val="1"/>
  </w:num>
  <w:num w:numId="7">
    <w:abstractNumId w:val="2"/>
  </w:num>
  <w:num w:numId="8">
    <w:abstractNumId w:val="5"/>
  </w:num>
  <w:num w:numId="9">
    <w:abstractNumId w:val="6"/>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4046"/>
    <w:rsid w:val="00046B1E"/>
    <w:rsid w:val="00050D46"/>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3104"/>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221F"/>
    <w:rsid w:val="0011355F"/>
    <w:rsid w:val="00113767"/>
    <w:rsid w:val="00113B6C"/>
    <w:rsid w:val="00114C21"/>
    <w:rsid w:val="00120D25"/>
    <w:rsid w:val="001226DA"/>
    <w:rsid w:val="001229B9"/>
    <w:rsid w:val="00123880"/>
    <w:rsid w:val="00123A68"/>
    <w:rsid w:val="00124A15"/>
    <w:rsid w:val="001266BB"/>
    <w:rsid w:val="001273C5"/>
    <w:rsid w:val="00132ED0"/>
    <w:rsid w:val="00134E8C"/>
    <w:rsid w:val="00136DE7"/>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6B47"/>
    <w:rsid w:val="002B3BE7"/>
    <w:rsid w:val="002B4ADB"/>
    <w:rsid w:val="002B6AFE"/>
    <w:rsid w:val="002C2D7A"/>
    <w:rsid w:val="002C4298"/>
    <w:rsid w:val="002C468E"/>
    <w:rsid w:val="002C7DF8"/>
    <w:rsid w:val="002D06A4"/>
    <w:rsid w:val="002D0865"/>
    <w:rsid w:val="002D1BB7"/>
    <w:rsid w:val="002D5206"/>
    <w:rsid w:val="002D6B7D"/>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4587"/>
    <w:rsid w:val="004263FF"/>
    <w:rsid w:val="004267DA"/>
    <w:rsid w:val="004319FA"/>
    <w:rsid w:val="00432B26"/>
    <w:rsid w:val="00441BBA"/>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6142"/>
    <w:rsid w:val="004E760A"/>
    <w:rsid w:val="004F21BD"/>
    <w:rsid w:val="004F3B37"/>
    <w:rsid w:val="004F52E8"/>
    <w:rsid w:val="004F65D5"/>
    <w:rsid w:val="004F78AF"/>
    <w:rsid w:val="00501577"/>
    <w:rsid w:val="00502301"/>
    <w:rsid w:val="005028CF"/>
    <w:rsid w:val="005058A5"/>
    <w:rsid w:val="005071AA"/>
    <w:rsid w:val="005107EA"/>
    <w:rsid w:val="005129C4"/>
    <w:rsid w:val="00512C18"/>
    <w:rsid w:val="00512E56"/>
    <w:rsid w:val="00514740"/>
    <w:rsid w:val="00515319"/>
    <w:rsid w:val="0051636B"/>
    <w:rsid w:val="0052032F"/>
    <w:rsid w:val="005208CA"/>
    <w:rsid w:val="0052294F"/>
    <w:rsid w:val="00522D3C"/>
    <w:rsid w:val="00526858"/>
    <w:rsid w:val="005272F9"/>
    <w:rsid w:val="0053199B"/>
    <w:rsid w:val="00532884"/>
    <w:rsid w:val="00535D04"/>
    <w:rsid w:val="005365F2"/>
    <w:rsid w:val="005408D2"/>
    <w:rsid w:val="00541210"/>
    <w:rsid w:val="0054166E"/>
    <w:rsid w:val="00542662"/>
    <w:rsid w:val="005453EA"/>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5C18"/>
    <w:rsid w:val="0088755C"/>
    <w:rsid w:val="00887C54"/>
    <w:rsid w:val="008907E1"/>
    <w:rsid w:val="00890F00"/>
    <w:rsid w:val="00894205"/>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3683"/>
    <w:rsid w:val="00996DE7"/>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A0690"/>
    <w:rsid w:val="00AA08CA"/>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06F8C"/>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729D"/>
    <w:rsid w:val="00C0080F"/>
    <w:rsid w:val="00C0288D"/>
    <w:rsid w:val="00C04048"/>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6A18"/>
    <w:rsid w:val="00CC6D07"/>
    <w:rsid w:val="00CD37A6"/>
    <w:rsid w:val="00CF0626"/>
    <w:rsid w:val="00CF3873"/>
    <w:rsid w:val="00CF3C8B"/>
    <w:rsid w:val="00CF40BB"/>
    <w:rsid w:val="00CF43D9"/>
    <w:rsid w:val="00CF78B5"/>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5993"/>
    <w:rsid w:val="00EB1888"/>
    <w:rsid w:val="00EB2EA0"/>
    <w:rsid w:val="00EB3459"/>
    <w:rsid w:val="00EB3AB6"/>
    <w:rsid w:val="00EB5862"/>
    <w:rsid w:val="00EC09BF"/>
    <w:rsid w:val="00EC1B06"/>
    <w:rsid w:val="00EC2EA7"/>
    <w:rsid w:val="00EC390B"/>
    <w:rsid w:val="00EC3D4F"/>
    <w:rsid w:val="00EC4689"/>
    <w:rsid w:val="00EC5D5F"/>
    <w:rsid w:val="00EC6CD9"/>
    <w:rsid w:val="00EC72D1"/>
    <w:rsid w:val="00EC7AC8"/>
    <w:rsid w:val="00ED0189"/>
    <w:rsid w:val="00ED13C3"/>
    <w:rsid w:val="00ED3A3C"/>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0C6E-1890-4741-B80A-8BE591A9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12812</Words>
  <Characters>70470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2018-08-01T23:51:00Z</cp:lastPrinted>
  <dcterms:created xsi:type="dcterms:W3CDTF">2019-06-07T17:54:00Z</dcterms:created>
  <dcterms:modified xsi:type="dcterms:W3CDTF">2019-06-07T17:54:00Z</dcterms:modified>
</cp:coreProperties>
</file>