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047499">
        <w:rPr>
          <w:rFonts w:ascii="Palatino Linotype" w:hAnsi="Palatino Linotype" w:cs="Arial"/>
          <w:b/>
          <w:bCs/>
          <w:lang w:eastAsia="es-MX"/>
        </w:rPr>
        <w:t>12210</w:t>
      </w:r>
      <w:r w:rsidR="004B2880">
        <w:rPr>
          <w:rFonts w:ascii="Palatino Linotype" w:hAnsi="Palatino Linotype" w:cs="Arial"/>
          <w:b/>
          <w:bCs/>
          <w:lang w:eastAsia="es-MX"/>
        </w:rPr>
        <w:t>/INFOEM/IP/RR/2019</w:t>
      </w:r>
      <w:r w:rsidR="00EF674D">
        <w:rPr>
          <w:rFonts w:ascii="Palatino Linotype" w:hAnsi="Palatino Linotype" w:cs="Arial"/>
        </w:rPr>
        <w:t xml:space="preserve"> y</w:t>
      </w:r>
      <w:r w:rsidR="00B00245">
        <w:rPr>
          <w:rFonts w:ascii="Palatino Linotype" w:hAnsi="Palatino Linotype" w:cs="Arial"/>
        </w:rPr>
        <w:t xml:space="preserve"> </w:t>
      </w:r>
      <w:r w:rsidR="00047499">
        <w:rPr>
          <w:rFonts w:ascii="Palatino Linotype" w:hAnsi="Palatino Linotype" w:cs="Arial"/>
          <w:b/>
          <w:bCs/>
          <w:lang w:eastAsia="es-MX"/>
        </w:rPr>
        <w:t>12212</w:t>
      </w:r>
      <w:r w:rsidR="00EF674D">
        <w:rPr>
          <w:rFonts w:ascii="Palatino Linotype" w:hAnsi="Palatino Linotype" w:cs="Arial"/>
          <w:b/>
          <w:bCs/>
          <w:lang w:eastAsia="es-MX"/>
        </w:rPr>
        <w:t xml:space="preserve">/INFOEM/IP/RR/2019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732809">
        <w:rPr>
          <w:rFonts w:ascii="Palatino Linotype" w:hAnsi="Palatino Linotype" w:cs="Arial"/>
          <w:b/>
          <w:szCs w:val="24"/>
        </w:rPr>
        <w:t xml:space="preserve">      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Pr="00AC0CA2">
        <w:rPr>
          <w:rFonts w:ascii="Palatino Linotype" w:hAnsi="Palatino Linotype" w:cs="Arial"/>
          <w:szCs w:val="24"/>
        </w:rPr>
        <w:t xml:space="preserve"> del </w:t>
      </w:r>
      <w:r w:rsidR="00047499" w:rsidRPr="00047499">
        <w:rPr>
          <w:rFonts w:ascii="Palatino Linotype" w:hAnsi="Palatino Linotype" w:cs="Arial"/>
          <w:b/>
          <w:szCs w:val="24"/>
        </w:rPr>
        <w:t>Ayuntamiento de Ecatzingo</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047499">
        <w:rPr>
          <w:rFonts w:ascii="Palatino Linotype" w:hAnsi="Palatino Linotype" w:cs="Arial"/>
        </w:rPr>
        <w:t>veintiséis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047499" w:rsidRPr="00047499">
        <w:rPr>
          <w:rFonts w:ascii="Palatino Linotype" w:hAnsi="Palatino Linotype" w:cs="Arial"/>
          <w:b/>
          <w:sz w:val="24"/>
          <w:szCs w:val="24"/>
        </w:rPr>
        <w:t>00539/ECATZIN/IP/2019</w:t>
      </w:r>
      <w:r w:rsidR="00AD479B" w:rsidRPr="00AD479B">
        <w:rPr>
          <w:rFonts w:ascii="Palatino Linotype" w:hAnsi="Palatino Linotype" w:cs="Arial"/>
          <w:b/>
          <w:sz w:val="24"/>
          <w:szCs w:val="24"/>
        </w:rPr>
        <w:t xml:space="preserve"> </w:t>
      </w:r>
      <w:r w:rsidR="00EF674D">
        <w:rPr>
          <w:rFonts w:ascii="Palatino Linotype" w:hAnsi="Palatino Linotype" w:cs="Arial"/>
          <w:b/>
        </w:rPr>
        <w:t>y</w:t>
      </w:r>
      <w:r w:rsidR="00E67266">
        <w:rPr>
          <w:rFonts w:ascii="Palatino Linotype" w:hAnsi="Palatino Linotype" w:cs="Arial"/>
          <w:b/>
        </w:rPr>
        <w:t xml:space="preserve"> </w:t>
      </w:r>
      <w:r w:rsidR="00047499" w:rsidRPr="00047499">
        <w:rPr>
          <w:rFonts w:ascii="Palatino Linotype" w:hAnsi="Palatino Linotype" w:cs="Arial"/>
          <w:b/>
          <w:sz w:val="24"/>
        </w:rPr>
        <w:t>00540/ECATZIN/IP/2019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047499" w:rsidRDefault="00047499" w:rsidP="00A944BC">
      <w:pPr>
        <w:ind w:left="851" w:right="850"/>
        <w:jc w:val="both"/>
        <w:rPr>
          <w:rFonts w:ascii="Palatino Linotype" w:hAnsi="Palatino Linotype" w:cs="Arial"/>
          <w:b/>
          <w:sz w:val="24"/>
          <w:szCs w:val="24"/>
        </w:rPr>
      </w:pPr>
      <w:r w:rsidRPr="00047499">
        <w:rPr>
          <w:rFonts w:ascii="Palatino Linotype" w:hAnsi="Palatino Linotype" w:cs="Arial"/>
          <w:b/>
          <w:sz w:val="24"/>
          <w:szCs w:val="24"/>
        </w:rPr>
        <w:t>00539/ECATZIN/IP/2019</w:t>
      </w:r>
      <w:r w:rsidRPr="00AD479B">
        <w:rPr>
          <w:rFonts w:ascii="Palatino Linotype" w:hAnsi="Palatino Linotype" w:cs="Arial"/>
          <w:b/>
          <w:sz w:val="24"/>
          <w:szCs w:val="24"/>
        </w:rPr>
        <w:t xml:space="preserve"> </w:t>
      </w:r>
    </w:p>
    <w:p w:rsidR="002745B9"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D479B" w:rsidRPr="00AD479B">
        <w:rPr>
          <w:rFonts w:ascii="Palatino Linotype" w:eastAsia="Times New Roman" w:hAnsi="Palatino Linotype" w:cs="Times New Roman"/>
          <w:i/>
          <w:lang w:val="es-ES_tradnl" w:eastAsia="es-ES"/>
        </w:rPr>
        <w:t>Solicito los gafetes institucionales del personal que trabaja en la Dirección de Obras Públicas.</w:t>
      </w:r>
      <w:r w:rsidR="00A944BC">
        <w:rPr>
          <w:rFonts w:ascii="Palatino Linotype" w:eastAsia="Times New Roman" w:hAnsi="Palatino Linotype" w:cs="Times New Roman"/>
          <w:i/>
          <w:lang w:val="es-ES_tradnl" w:eastAsia="es-ES"/>
        </w:rPr>
        <w:t>” [Sic]</w:t>
      </w:r>
    </w:p>
    <w:p w:rsidR="00A944BC" w:rsidRPr="00A944BC" w:rsidRDefault="00A944BC" w:rsidP="00A944BC">
      <w:pPr>
        <w:ind w:left="851" w:right="850"/>
        <w:jc w:val="both"/>
        <w:rPr>
          <w:rFonts w:ascii="Palatino Linotype" w:eastAsia="Times New Roman" w:hAnsi="Palatino Linotype" w:cs="Times New Roman"/>
          <w:i/>
          <w:lang w:val="es-ES_tradnl" w:eastAsia="es-ES"/>
        </w:rPr>
      </w:pPr>
    </w:p>
    <w:p w:rsidR="00047499" w:rsidRDefault="00047499" w:rsidP="00A944BC">
      <w:pPr>
        <w:ind w:left="851" w:right="850"/>
        <w:jc w:val="both"/>
        <w:rPr>
          <w:rFonts w:ascii="Palatino Linotype" w:eastAsia="Times New Roman" w:hAnsi="Palatino Linotype" w:cs="Times New Roman"/>
          <w:i/>
          <w:lang w:val="es-ES_tradnl" w:eastAsia="es-ES"/>
        </w:rPr>
      </w:pPr>
      <w:r w:rsidRPr="00047499">
        <w:rPr>
          <w:rFonts w:ascii="Palatino Linotype" w:hAnsi="Palatino Linotype" w:cs="Arial"/>
          <w:b/>
          <w:sz w:val="24"/>
        </w:rPr>
        <w:t>00540/ECATZIN/IP/2019</w:t>
      </w:r>
      <w:r>
        <w:rPr>
          <w:rFonts w:ascii="Palatino Linotype" w:eastAsia="Times New Roman" w:hAnsi="Palatino Linotype" w:cs="Times New Roman"/>
          <w:i/>
          <w:lang w:val="es-ES_tradnl" w:eastAsia="es-ES"/>
        </w:rPr>
        <w:t xml:space="preserve"> </w:t>
      </w:r>
    </w:p>
    <w:p w:rsidR="00A944BC" w:rsidRDefault="00A944B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E6781A" w:rsidRPr="00E6781A">
        <w:rPr>
          <w:rFonts w:ascii="Palatino Linotype" w:eastAsia="Times New Roman" w:hAnsi="Palatino Linotype" w:cs="Times New Roman"/>
          <w:i/>
          <w:lang w:val="es-ES_tradnl" w:eastAsia="es-ES"/>
        </w:rPr>
        <w:t>Solicito los gafetes institucionales del personal que trabaja en la Dirección de Administración.</w:t>
      </w:r>
      <w:r>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De la</w:t>
      </w:r>
      <w:r w:rsidR="00047499">
        <w:rPr>
          <w:rFonts w:ascii="Palatino Linotype" w:hAnsi="Palatino Linotype" w:cs="Arial"/>
          <w:b/>
          <w:sz w:val="28"/>
        </w:rPr>
        <w:t>s</w:t>
      </w:r>
      <w:r w:rsidR="00E82558">
        <w:rPr>
          <w:rFonts w:ascii="Palatino Linotype" w:hAnsi="Palatino Linotype" w:cs="Arial"/>
          <w:b/>
          <w:sz w:val="28"/>
        </w:rPr>
        <w:t xml:space="preserve"> respuesta</w:t>
      </w:r>
      <w:r w:rsidR="00047499">
        <w:rPr>
          <w:rFonts w:ascii="Palatino Linotype" w:hAnsi="Palatino Linotype" w:cs="Arial"/>
          <w:b/>
          <w:sz w:val="28"/>
        </w:rPr>
        <w:t>s</w:t>
      </w:r>
      <w:r w:rsidR="00E82558">
        <w:rPr>
          <w:rFonts w:ascii="Palatino Linotype" w:hAnsi="Palatino Linotype" w:cs="Arial"/>
          <w:b/>
          <w:sz w:val="28"/>
        </w:rPr>
        <w:t xml:space="preserve"> del Sujeto Obligado </w:t>
      </w:r>
    </w:p>
    <w:p w:rsidR="00326F0B" w:rsidRDefault="00C75866" w:rsidP="00047499">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47499">
        <w:rPr>
          <w:rFonts w:ascii="Palatino Linotype" w:hAnsi="Palatino Linotype" w:cs="Arial"/>
        </w:rPr>
        <w:t xml:space="preserve"> omitió proporcionar las respuestas correspondientes a las solicitudes de información refer</w:t>
      </w:r>
      <w:r w:rsidR="005C1B07">
        <w:rPr>
          <w:rFonts w:ascii="Palatino Linotype" w:hAnsi="Palatino Linotype" w:cs="Arial"/>
        </w:rPr>
        <w:t>idas en el antecedente anterior.</w:t>
      </w:r>
      <w:r w:rsidR="0071506B">
        <w:rPr>
          <w:rFonts w:ascii="Palatino Linotype" w:hAnsi="Palatino Linotype" w:cs="Arial"/>
        </w:rPr>
        <w:t xml:space="preserve"> </w:t>
      </w:r>
    </w:p>
    <w:p w:rsidR="00047499" w:rsidRPr="00DD53BB" w:rsidRDefault="00047499" w:rsidP="00047499">
      <w:pPr>
        <w:spacing w:before="240" w:line="360" w:lineRule="auto"/>
        <w:jc w:val="both"/>
        <w:rPr>
          <w:rFonts w:ascii="Palatino Linotype" w:hAnsi="Palatino Linotype" w:cs="Arial"/>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047499">
        <w:rPr>
          <w:rFonts w:ascii="Palatino Linotype" w:hAnsi="Palatino Linotype" w:cs="Arial"/>
          <w:b/>
          <w:sz w:val="28"/>
        </w:rPr>
        <w:t xml:space="preserve"> De los</w:t>
      </w:r>
      <w:r w:rsidR="00E82558">
        <w:rPr>
          <w:rFonts w:ascii="Palatino Linotype" w:hAnsi="Palatino Linotype" w:cs="Arial"/>
          <w:b/>
          <w:sz w:val="28"/>
        </w:rPr>
        <w:t xml:space="preserve"> recurso</w:t>
      </w:r>
      <w:r w:rsidR="00047499">
        <w:rPr>
          <w:rFonts w:ascii="Palatino Linotype" w:hAnsi="Palatino Linotype" w:cs="Arial"/>
          <w:b/>
          <w:sz w:val="28"/>
        </w:rPr>
        <w:t>s</w:t>
      </w:r>
      <w:r w:rsidR="00E82558">
        <w:rPr>
          <w:rFonts w:ascii="Palatino Linotype" w:hAnsi="Palatino Linotype" w:cs="Arial"/>
          <w:b/>
          <w:sz w:val="28"/>
        </w:rPr>
        <w:t xml:space="preserve">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047499">
        <w:rPr>
          <w:rFonts w:ascii="Palatino Linotype" w:hAnsi="Palatino Linotype" w:cs="Arial"/>
          <w:szCs w:val="24"/>
        </w:rPr>
        <w:t>diecinueve de diciembre</w:t>
      </w:r>
      <w:r w:rsidR="00E82558">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EF4493" w:rsidRPr="00AC0CA2">
        <w:rPr>
          <w:rFonts w:ascii="Palatino Linotype" w:hAnsi="Palatino Linotype" w:cs="Arial"/>
          <w:szCs w:val="24"/>
        </w:rPr>
        <w:t xml:space="preserve"> </w:t>
      </w:r>
      <w:r w:rsidR="00047499">
        <w:rPr>
          <w:rFonts w:ascii="Palatino Linotype" w:hAnsi="Palatino Linotype"/>
          <w:b/>
          <w:sz w:val="24"/>
          <w:szCs w:val="24"/>
        </w:rPr>
        <w:t>12210</w:t>
      </w:r>
      <w:r w:rsidR="001F72E7" w:rsidRPr="002076B5">
        <w:rPr>
          <w:rFonts w:ascii="Palatino Linotype" w:hAnsi="Palatino Linotype"/>
          <w:b/>
          <w:sz w:val="24"/>
          <w:szCs w:val="24"/>
        </w:rPr>
        <w:t>/INFOEM/IP/RR/2019</w:t>
      </w:r>
      <w:r>
        <w:rPr>
          <w:rFonts w:ascii="Palatino Linotype" w:hAnsi="Palatino Linotype"/>
          <w:b/>
          <w:sz w:val="24"/>
          <w:szCs w:val="24"/>
        </w:rPr>
        <w:t xml:space="preserve"> y</w:t>
      </w:r>
      <w:r w:rsidR="00047499">
        <w:rPr>
          <w:rFonts w:ascii="Palatino Linotype" w:hAnsi="Palatino Linotype"/>
          <w:b/>
          <w:sz w:val="24"/>
          <w:szCs w:val="24"/>
        </w:rPr>
        <w:t xml:space="preserve"> 12212</w:t>
      </w:r>
      <w:r w:rsidR="00F21AB0"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Default="00047499" w:rsidP="00EF4493">
      <w:pPr>
        <w:spacing w:before="240" w:line="360" w:lineRule="auto"/>
        <w:jc w:val="both"/>
        <w:rPr>
          <w:rFonts w:ascii="Palatino Linotype" w:hAnsi="Palatino Linotype"/>
          <w:b/>
          <w:sz w:val="24"/>
          <w:szCs w:val="24"/>
        </w:rPr>
      </w:pPr>
      <w:r>
        <w:rPr>
          <w:rFonts w:ascii="Palatino Linotype" w:hAnsi="Palatino Linotype"/>
          <w:b/>
          <w:sz w:val="24"/>
          <w:szCs w:val="24"/>
        </w:rPr>
        <w:t>12210</w:t>
      </w:r>
      <w:r w:rsidR="00F21AB0" w:rsidRPr="002076B5">
        <w:rPr>
          <w:rFonts w:ascii="Palatino Linotype" w:hAnsi="Palatino Linotype"/>
          <w:b/>
          <w:sz w:val="24"/>
          <w:szCs w:val="24"/>
        </w:rPr>
        <w:t>/INFOEM/IP/RR/2019</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047499" w:rsidRPr="00047499">
        <w:rPr>
          <w:rFonts w:ascii="Palatino Linotype" w:hAnsi="Palatino Linotype" w:cs="Arial"/>
          <w:i/>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8A0849" w:rsidRPr="008A0849">
        <w:rPr>
          <w:rFonts w:ascii="Palatino Linotype" w:hAnsi="Palatino Linotype" w:cs="Arial"/>
          <w:i/>
        </w:rPr>
        <w:t>.</w:t>
      </w:r>
      <w:r w:rsidR="00D66256">
        <w:rPr>
          <w:rFonts w:ascii="Palatino Linotype" w:hAnsi="Palatino Linotype" w:cs="Arial"/>
          <w:i/>
        </w:rPr>
        <w:t>” (</w:t>
      </w:r>
      <w:r>
        <w:rPr>
          <w:rFonts w:ascii="Palatino Linotype" w:hAnsi="Palatino Linotype" w:cs="Arial"/>
          <w:i/>
        </w:rPr>
        <w:t>sic)</w:t>
      </w:r>
    </w:p>
    <w:p w:rsidR="00F21AB0" w:rsidRDefault="00F21AB0" w:rsidP="00EF4493">
      <w:pPr>
        <w:spacing w:before="240" w:line="360" w:lineRule="auto"/>
        <w:jc w:val="both"/>
        <w:rPr>
          <w:rFonts w:ascii="Palatino Linotype" w:hAnsi="Palatino Linotype"/>
          <w:b/>
          <w:sz w:val="24"/>
          <w:szCs w:val="24"/>
        </w:rPr>
      </w:pPr>
    </w:p>
    <w:p w:rsidR="00F21AB0" w:rsidRDefault="00047499" w:rsidP="00EF4493">
      <w:pPr>
        <w:spacing w:before="240" w:line="360" w:lineRule="auto"/>
        <w:jc w:val="both"/>
        <w:rPr>
          <w:rFonts w:ascii="Palatino Linotype" w:hAnsi="Palatino Linotype"/>
          <w:b/>
          <w:sz w:val="24"/>
          <w:szCs w:val="24"/>
        </w:rPr>
      </w:pPr>
      <w:r>
        <w:rPr>
          <w:rFonts w:ascii="Palatino Linotype" w:hAnsi="Palatino Linotype"/>
          <w:b/>
          <w:sz w:val="24"/>
          <w:szCs w:val="24"/>
        </w:rPr>
        <w:t>12212</w:t>
      </w:r>
      <w:r w:rsidR="00F21AB0" w:rsidRPr="002076B5">
        <w:rPr>
          <w:rFonts w:ascii="Palatino Linotype" w:hAnsi="Palatino Linotype"/>
          <w:b/>
          <w:sz w:val="24"/>
          <w:szCs w:val="24"/>
        </w:rPr>
        <w:t>/INFOEM/IP/RR/2019</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lastRenderedPageBreak/>
        <w:t>“</w:t>
      </w:r>
      <w:r w:rsidR="00047499" w:rsidRPr="00047499">
        <w:rPr>
          <w:rFonts w:ascii="Palatino Linotype" w:hAnsi="Palatino Linotype" w:cs="Arial"/>
          <w:i/>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8A0849" w:rsidRPr="008A0849">
        <w:rPr>
          <w:rFonts w:ascii="Palatino Linotype" w:hAnsi="Palatino Linotype" w:cs="Arial"/>
          <w:i/>
        </w:rPr>
        <w:t>.</w:t>
      </w:r>
      <w:r>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F21AB0" w:rsidRDefault="00047499" w:rsidP="00F21AB0">
      <w:pPr>
        <w:spacing w:before="240" w:line="360" w:lineRule="auto"/>
        <w:jc w:val="both"/>
        <w:rPr>
          <w:rFonts w:ascii="Palatino Linotype" w:hAnsi="Palatino Linotype"/>
          <w:b/>
          <w:sz w:val="24"/>
          <w:szCs w:val="24"/>
        </w:rPr>
      </w:pPr>
      <w:r>
        <w:rPr>
          <w:rFonts w:ascii="Palatino Linotype" w:hAnsi="Palatino Linotype"/>
          <w:b/>
          <w:sz w:val="24"/>
          <w:szCs w:val="24"/>
        </w:rPr>
        <w:t>12210</w:t>
      </w:r>
      <w:r w:rsidR="00F21AB0" w:rsidRPr="002076B5">
        <w:rPr>
          <w:rFonts w:ascii="Palatino Linotype" w:hAnsi="Palatino Linotype"/>
          <w:b/>
          <w:sz w:val="24"/>
          <w:szCs w:val="24"/>
        </w:rPr>
        <w:t>/INFOEM/IP/RR/2019</w:t>
      </w:r>
    </w:p>
    <w:p w:rsidR="00732820" w:rsidRPr="00732820" w:rsidRDefault="00732820" w:rsidP="009A304B">
      <w:pPr>
        <w:ind w:left="851" w:right="850"/>
        <w:jc w:val="both"/>
        <w:rPr>
          <w:rFonts w:ascii="Palatino Linotype" w:hAnsi="Palatino Linotype" w:cs="Arial"/>
          <w:i/>
        </w:rPr>
      </w:pPr>
      <w:r w:rsidRPr="00B15A94">
        <w:rPr>
          <w:rFonts w:ascii="Palatino Linotype" w:hAnsi="Palatino Linotype" w:cs="Arial"/>
          <w:i/>
        </w:rPr>
        <w:t>“</w:t>
      </w:r>
      <w:r w:rsidR="00047499" w:rsidRPr="00047499">
        <w:rPr>
          <w:rFonts w:ascii="Palatino Linotype" w:hAnsi="Palatino Linotype" w:cs="Arial"/>
          <w:i/>
        </w:rPr>
        <w:t>No propor</w:t>
      </w:r>
      <w:r w:rsidR="00047499">
        <w:rPr>
          <w:rFonts w:ascii="Palatino Linotype" w:hAnsi="Palatino Linotype" w:cs="Arial"/>
          <w:i/>
        </w:rPr>
        <w:t>cionan la información requerida.</w:t>
      </w:r>
      <w:r>
        <w:rPr>
          <w:rFonts w:ascii="Palatino Linotype" w:hAnsi="Palatino Linotype" w:cs="Arial"/>
          <w:i/>
        </w:rPr>
        <w:t>” (sic)</w:t>
      </w:r>
    </w:p>
    <w:p w:rsidR="00F21AB0" w:rsidRDefault="00047499" w:rsidP="00F21AB0">
      <w:pPr>
        <w:spacing w:before="240" w:line="360" w:lineRule="auto"/>
        <w:jc w:val="both"/>
        <w:rPr>
          <w:rFonts w:ascii="Palatino Linotype" w:hAnsi="Palatino Linotype"/>
          <w:b/>
          <w:sz w:val="24"/>
          <w:szCs w:val="24"/>
        </w:rPr>
      </w:pPr>
      <w:r>
        <w:rPr>
          <w:rFonts w:ascii="Palatino Linotype" w:hAnsi="Palatino Linotype"/>
          <w:b/>
          <w:sz w:val="24"/>
          <w:szCs w:val="24"/>
        </w:rPr>
        <w:t>12212</w:t>
      </w:r>
      <w:r w:rsidR="00F21AB0" w:rsidRPr="002076B5">
        <w:rPr>
          <w:rFonts w:ascii="Palatino Linotype" w:hAnsi="Palatino Linotype"/>
          <w:b/>
          <w:sz w:val="24"/>
          <w:szCs w:val="24"/>
        </w:rPr>
        <w:t>/INFOEM/IP/RR/2019</w:t>
      </w:r>
    </w:p>
    <w:p w:rsidR="00F21AB0" w:rsidRDefault="009A304B" w:rsidP="006F3C31">
      <w:pPr>
        <w:ind w:left="851" w:right="850"/>
        <w:jc w:val="both"/>
        <w:rPr>
          <w:rFonts w:ascii="Palatino Linotype" w:hAnsi="Palatino Linotype" w:cs="Arial"/>
          <w:i/>
        </w:rPr>
      </w:pPr>
      <w:r w:rsidRPr="00B15A94">
        <w:rPr>
          <w:rFonts w:ascii="Palatino Linotype" w:hAnsi="Palatino Linotype" w:cs="Arial"/>
          <w:i/>
        </w:rPr>
        <w:t>“</w:t>
      </w:r>
      <w:r w:rsidR="00047499" w:rsidRPr="00047499">
        <w:rPr>
          <w:rFonts w:ascii="Palatino Linotype" w:hAnsi="Palatino Linotype" w:cs="Arial"/>
          <w:i/>
        </w:rPr>
        <w:t>No proporcionan la información requerida.</w:t>
      </w:r>
      <w:r>
        <w:rPr>
          <w:rFonts w:ascii="Palatino Linotype" w:hAnsi="Palatino Linotype" w:cs="Arial"/>
          <w:i/>
        </w:rPr>
        <w:t>” (sic)</w:t>
      </w:r>
    </w:p>
    <w:p w:rsidR="006F3C31" w:rsidRPr="006F3C31" w:rsidRDefault="006F3C31" w:rsidP="006F3C31">
      <w:pPr>
        <w:ind w:left="851" w:right="850"/>
        <w:jc w:val="both"/>
        <w:rPr>
          <w:rFonts w:ascii="Palatino Linotype" w:hAnsi="Palatino Linotype" w:cs="Arial"/>
          <w:i/>
          <w:sz w:val="10"/>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Medios de impugnación que le fueron turnados a la Comi</w:t>
      </w:r>
      <w:r w:rsidR="00ED5591">
        <w:rPr>
          <w:rFonts w:ascii="Palatino Linotype" w:hAnsi="Palatino Linotype" w:cs="Arial"/>
          <w:sz w:val="24"/>
          <w:szCs w:val="24"/>
        </w:rPr>
        <w:t>sionada Zulema Martínez Sánchez y</w:t>
      </w:r>
      <w:r w:rsidR="00047499">
        <w:rPr>
          <w:rFonts w:ascii="Palatino Linotype" w:hAnsi="Palatino Linotype" w:cs="Arial"/>
          <w:sz w:val="24"/>
          <w:szCs w:val="24"/>
        </w:rPr>
        <w:t xml:space="preserve"> a la</w:t>
      </w:r>
      <w:r w:rsidRPr="00134121">
        <w:rPr>
          <w:rFonts w:ascii="Palatino Linotype" w:hAnsi="Palatino Linotype" w:cs="Arial"/>
          <w:sz w:val="24"/>
          <w:szCs w:val="24"/>
        </w:rPr>
        <w:t xml:space="preserve"> Comision</w:t>
      </w:r>
      <w:r w:rsidR="00047499">
        <w:rPr>
          <w:rFonts w:ascii="Palatino Linotype" w:hAnsi="Palatino Linotype" w:cs="Arial"/>
          <w:sz w:val="24"/>
          <w:szCs w:val="24"/>
        </w:rPr>
        <w:t>ada</w:t>
      </w:r>
      <w:r w:rsidR="00ED5591">
        <w:rPr>
          <w:rFonts w:ascii="Palatino Linotype" w:hAnsi="Palatino Linotype" w:cs="Arial"/>
          <w:sz w:val="24"/>
          <w:szCs w:val="24"/>
        </w:rPr>
        <w:t xml:space="preserve"> </w:t>
      </w:r>
      <w:r w:rsidR="00047499">
        <w:rPr>
          <w:rFonts w:ascii="Palatino Linotype" w:hAnsi="Palatino Linotype" w:cs="Arial"/>
          <w:sz w:val="24"/>
          <w:szCs w:val="24"/>
        </w:rPr>
        <w:t xml:space="preserve">Eva Abaid </w:t>
      </w:r>
      <w:r w:rsidR="007E14DD">
        <w:rPr>
          <w:rFonts w:ascii="Palatino Linotype" w:hAnsi="Palatino Linotype" w:cs="Arial"/>
          <w:sz w:val="24"/>
          <w:szCs w:val="24"/>
        </w:rPr>
        <w:t>Yapur</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w:t>
      </w:r>
      <w:r w:rsidR="00ED5591">
        <w:rPr>
          <w:rFonts w:ascii="Palatino Linotype" w:hAnsi="Palatino Linotype" w:cs="Arial"/>
          <w:sz w:val="24"/>
          <w:szCs w:val="24"/>
        </w:rPr>
        <w:t xml:space="preserve">admisión en fecha </w:t>
      </w:r>
      <w:r w:rsidR="007E14DD">
        <w:rPr>
          <w:rFonts w:ascii="Palatino Linotype" w:hAnsi="Palatino Linotype" w:cs="Arial"/>
          <w:sz w:val="24"/>
          <w:szCs w:val="24"/>
        </w:rPr>
        <w:t>diez de enero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F66687"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lastRenderedPageBreak/>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ED5591">
        <w:rPr>
          <w:rFonts w:ascii="Palatino Linotype" w:hAnsi="Palatino Linotype" w:cs="Arial"/>
          <w:sz w:val="24"/>
          <w:szCs w:val="24"/>
        </w:rPr>
        <w:t>que</w:t>
      </w:r>
      <w:r w:rsidR="00364724">
        <w:rPr>
          <w:rFonts w:ascii="Palatino Linotype" w:hAnsi="Palatino Linotype" w:cs="Arial"/>
          <w:sz w:val="24"/>
          <w:szCs w:val="24"/>
        </w:rPr>
        <w:t xml:space="preserve"> tanto</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364724">
        <w:rPr>
          <w:rFonts w:ascii="Palatino Linotype" w:hAnsi="Palatino Linotype" w:cs="Arial"/>
          <w:sz w:val="24"/>
          <w:szCs w:val="24"/>
        </w:rPr>
        <w:t xml:space="preserve">como </w:t>
      </w:r>
      <w:r w:rsidR="00364724">
        <w:rPr>
          <w:rFonts w:ascii="Palatino Linotype" w:hAnsi="Palatino Linotype" w:cs="Arial"/>
          <w:b/>
          <w:sz w:val="24"/>
          <w:szCs w:val="24"/>
        </w:rPr>
        <w:t>El Recurrente,</w:t>
      </w:r>
      <w:r w:rsidR="00364724">
        <w:rPr>
          <w:rFonts w:ascii="Palatino Linotype" w:hAnsi="Palatino Linotype" w:cs="Arial"/>
          <w:sz w:val="24"/>
          <w:szCs w:val="24"/>
        </w:rPr>
        <w:t xml:space="preserve"> fueron omisos en </w:t>
      </w:r>
      <w:r w:rsidR="00C8176F">
        <w:rPr>
          <w:rFonts w:ascii="Palatino Linotype" w:hAnsi="Palatino Linotype" w:cs="Arial"/>
          <w:sz w:val="24"/>
          <w:szCs w:val="24"/>
        </w:rPr>
        <w:t>presentar informe justificado y manifestaciones respectivamente.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7E14DD">
        <w:rPr>
          <w:rFonts w:ascii="Palatino Linotype" w:hAnsi="Palatino Linotype" w:cs="Arial"/>
          <w:sz w:val="24"/>
          <w:szCs w:val="24"/>
        </w:rPr>
        <w:t>once</w:t>
      </w:r>
      <w:r w:rsidR="00124474">
        <w:rPr>
          <w:rFonts w:ascii="Palatino Linotype" w:hAnsi="Palatino Linotype" w:cs="Arial"/>
          <w:sz w:val="24"/>
          <w:szCs w:val="24"/>
        </w:rPr>
        <w:t xml:space="preserve"> de febrero</w:t>
      </w:r>
      <w:r w:rsidR="00EF4493" w:rsidRPr="00DC3C2C">
        <w:rPr>
          <w:rFonts w:ascii="Palatino Linotype" w:hAnsi="Palatino Linotype" w:cs="Arial"/>
          <w:sz w:val="24"/>
          <w:szCs w:val="24"/>
        </w:rPr>
        <w:t xml:space="preserve"> del presente</w:t>
      </w:r>
      <w:r w:rsidR="007E14DD">
        <w:rPr>
          <w:rFonts w:ascii="Palatino Linotype" w:hAnsi="Palatino Linotype" w:cs="Arial"/>
          <w:sz w:val="24"/>
          <w:szCs w:val="24"/>
        </w:rPr>
        <w:t xml:space="preserve"> año</w:t>
      </w:r>
      <w:r w:rsidR="00EF4493" w:rsidRPr="00DC3C2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E14DD">
        <w:rPr>
          <w:rFonts w:ascii="Palatino Linotype" w:hAnsi="Palatino Linotype" w:cs="Arial"/>
          <w:sz w:val="24"/>
          <w:szCs w:val="24"/>
        </w:rPr>
        <w:t xml:space="preserve"> y III, 176, 178, 179 fracción VII</w:t>
      </w:r>
      <w:r w:rsidRPr="008F797B">
        <w:rPr>
          <w:rFonts w:ascii="Palatino Linotype" w:hAnsi="Palatino Linotype" w:cs="Arial"/>
          <w:sz w:val="24"/>
          <w:szCs w:val="24"/>
        </w:rPr>
        <w:t xml:space="preserve">, 181 párrafo tercero, 182, 185, 188 y 194 de la Ley de Transparencia y Acceso a la Información Pública del Estado de </w:t>
      </w:r>
      <w:r w:rsidRPr="008F797B">
        <w:rPr>
          <w:rFonts w:ascii="Palatino Linotype" w:hAnsi="Palatino Linotype" w:cs="Arial"/>
          <w:sz w:val="24"/>
          <w:szCs w:val="24"/>
        </w:rPr>
        <w:lastRenderedPageBreak/>
        <w:t>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Se considera importante abordar el análisis de los requisitos de procedibilidad del Recurso de Revisión; así tenemos que el artículo 180 de la Ley de transparencia y </w:t>
      </w:r>
      <w:r>
        <w:rPr>
          <w:rFonts w:ascii="Palatino Linotype" w:hAnsi="Palatino Linotype"/>
          <w:sz w:val="24"/>
          <w:szCs w:val="28"/>
        </w:rPr>
        <w:lastRenderedPageBreak/>
        <w:t>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xml:space="preserve">, en ejercicio de su derecho de acceso a la información pública, no proporcionó su nombre completo para que sea identificada, ni se tiene la certeza sobre </w:t>
      </w:r>
      <w:r>
        <w:rPr>
          <w:rFonts w:ascii="Palatino Linotype" w:hAnsi="Palatino Linotype"/>
          <w:sz w:val="24"/>
          <w:szCs w:val="28"/>
        </w:rPr>
        <w:lastRenderedPageBreak/>
        <w:t>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 xml:space="preserve">El Estado garantizará el derecho de acceso a las tecnologías de la información y comunicación, así como a los servicios de radiodifusión y telecomunicaciones, incluido </w:t>
      </w:r>
      <w:r w:rsidRPr="004902C5">
        <w:rPr>
          <w:rFonts w:ascii="Palatino Linotype" w:hAnsi="Palatino Linotype"/>
          <w:i/>
          <w:szCs w:val="28"/>
        </w:rPr>
        <w:lastRenderedPageBreak/>
        <w:t>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lastRenderedPageBreak/>
        <w:t>La Ley establecerá aquella información que se considere reservada o confidencial”</w:t>
      </w:r>
    </w:p>
    <w:p w:rsidR="00490653" w:rsidRPr="007E14DD" w:rsidRDefault="00490653" w:rsidP="00490653">
      <w:pPr>
        <w:tabs>
          <w:tab w:val="left" w:pos="709"/>
        </w:tabs>
        <w:spacing w:before="240" w:line="240" w:lineRule="auto"/>
        <w:jc w:val="both"/>
        <w:rPr>
          <w:rFonts w:ascii="Palatino Linotype" w:hAnsi="Palatino Linotype"/>
          <w:sz w:val="24"/>
          <w:szCs w:val="28"/>
        </w:rPr>
      </w:pPr>
      <w:r w:rsidRPr="007E14DD">
        <w:rPr>
          <w:rFonts w:ascii="Palatino Linotype" w:hAnsi="Palatino Linotype"/>
          <w:sz w:val="24"/>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w:t>
      </w:r>
      <w:r>
        <w:rPr>
          <w:rFonts w:ascii="Palatino Linotype" w:hAnsi="Palatino Linotype"/>
          <w:sz w:val="24"/>
          <w:szCs w:val="28"/>
        </w:rPr>
        <w:lastRenderedPageBreak/>
        <w:t xml:space="preserve">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w:t>
      </w:r>
      <w:r w:rsidRPr="006F251D">
        <w:rPr>
          <w:rFonts w:ascii="Palatino Linotype" w:hAnsi="Palatino Linotype"/>
          <w:sz w:val="24"/>
          <w:szCs w:val="28"/>
        </w:rPr>
        <w:lastRenderedPageBreak/>
        <w:t xml:space="preserve">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A3726F" w:rsidRDefault="00A3726F" w:rsidP="00EF4493">
      <w:pPr>
        <w:tabs>
          <w:tab w:val="left" w:pos="709"/>
        </w:tabs>
        <w:spacing w:before="240" w:line="360" w:lineRule="auto"/>
        <w:ind w:right="51"/>
        <w:jc w:val="both"/>
        <w:rPr>
          <w:rFonts w:ascii="Palatino Linotype" w:hAnsi="Palatino Linotype"/>
          <w:b/>
          <w:sz w:val="28"/>
          <w:szCs w:val="28"/>
        </w:rPr>
      </w:pPr>
    </w:p>
    <w:p w:rsidR="00EF4493"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A3726F" w:rsidRPr="00B230B3" w:rsidRDefault="00A3726F" w:rsidP="00A3726F">
      <w:pPr>
        <w:pStyle w:val="Sinespaciado"/>
        <w:spacing w:line="360" w:lineRule="auto"/>
        <w:jc w:val="both"/>
        <w:rPr>
          <w:rFonts w:ascii="Palatino Linotype" w:hAnsi="Palatino Linotype"/>
        </w:rPr>
      </w:pPr>
      <w:r w:rsidRPr="00B230B3">
        <w:rPr>
          <w:rFonts w:ascii="Palatino Linotype" w:hAnsi="Palatino Linotype"/>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3726F" w:rsidRPr="00B230B3" w:rsidRDefault="00A3726F" w:rsidP="00A3726F">
      <w:pPr>
        <w:pStyle w:val="Sinespaciado"/>
        <w:spacing w:line="360" w:lineRule="auto"/>
        <w:jc w:val="both"/>
        <w:rPr>
          <w:rFonts w:ascii="Palatino Linotype" w:hAnsi="Palatino Linotype"/>
        </w:rPr>
      </w:pPr>
    </w:p>
    <w:p w:rsidR="00A3726F" w:rsidRPr="00B230B3" w:rsidRDefault="00A3726F" w:rsidP="00A3726F">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A3726F" w:rsidRPr="00407282" w:rsidRDefault="00A3726F" w:rsidP="00A3726F">
      <w:pPr>
        <w:pStyle w:val="Sinespaciado"/>
        <w:spacing w:line="360" w:lineRule="auto"/>
        <w:jc w:val="both"/>
        <w:rPr>
          <w:rFonts w:ascii="Palatino Linotype" w:hAnsi="Palatino Linotype"/>
          <w:color w:val="000000"/>
        </w:rPr>
      </w:pPr>
    </w:p>
    <w:p w:rsidR="00A3726F" w:rsidRPr="004E6B5B" w:rsidRDefault="00A3726F" w:rsidP="00A3726F">
      <w:pPr>
        <w:pStyle w:val="Sinespaciado"/>
        <w:ind w:left="567" w:right="567"/>
        <w:jc w:val="both"/>
        <w:rPr>
          <w:rFonts w:ascii="Palatino Linotype" w:hAnsi="Palatino Linotype"/>
          <w:b/>
          <w:i/>
        </w:rPr>
      </w:pPr>
      <w:r w:rsidRPr="004E6B5B">
        <w:rPr>
          <w:rFonts w:ascii="Palatino Linotype" w:hAnsi="Palatino Linotype"/>
          <w:b/>
          <w:i/>
        </w:rPr>
        <w:t>Artículo 6</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3726F" w:rsidRPr="004E6B5B" w:rsidRDefault="00A3726F" w:rsidP="00A3726F">
      <w:pPr>
        <w:pStyle w:val="Sinespaciado"/>
        <w:ind w:left="567" w:right="567"/>
        <w:jc w:val="both"/>
        <w:rPr>
          <w:rFonts w:ascii="Palatino Linotype" w:hAnsi="Palatino Linotype"/>
          <w:i/>
        </w:rPr>
      </w:pPr>
    </w:p>
    <w:p w:rsidR="00A3726F" w:rsidRPr="004C43AA" w:rsidRDefault="00A3726F" w:rsidP="00A3726F">
      <w:pPr>
        <w:pStyle w:val="Sinespaciado"/>
        <w:ind w:left="993" w:right="567"/>
        <w:jc w:val="both"/>
        <w:rPr>
          <w:rFonts w:ascii="Palatino Linotype" w:hAnsi="Palatino Linotype"/>
          <w:i/>
        </w:rPr>
      </w:pPr>
      <w:r w:rsidRPr="004E6B5B">
        <w:rPr>
          <w:rFonts w:ascii="Palatino Linotype" w:hAnsi="Palatino Linotype"/>
          <w:i/>
        </w:rPr>
        <w:t>Toda la información</w:t>
      </w:r>
      <w:r>
        <w:rPr>
          <w:rFonts w:ascii="Palatino Linotype" w:hAnsi="Palatino Linotype"/>
          <w:i/>
        </w:rPr>
        <w:t xml:space="preserve"> </w:t>
      </w:r>
      <w:r w:rsidRPr="004C43AA">
        <w:rPr>
          <w:rFonts w:ascii="Palatino Linotype" w:hAnsi="Palatino Linotype"/>
          <w:i/>
        </w:rPr>
        <w:t xml:space="preserve">en posesión de cualquier autoridad, entidad, órgano y organismo de los Poderes Ejecutivo, Legislativo y Judicial, órganos autónomos, </w:t>
      </w:r>
      <w:r w:rsidRPr="004C43AA">
        <w:rPr>
          <w:rFonts w:ascii="Palatino Linotype" w:hAnsi="Palatino Linotype"/>
          <w:i/>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726F" w:rsidRPr="00407282" w:rsidRDefault="00A3726F" w:rsidP="00A3726F">
      <w:pPr>
        <w:pStyle w:val="Sinespaciado"/>
        <w:spacing w:line="360" w:lineRule="auto"/>
        <w:jc w:val="both"/>
        <w:rPr>
          <w:rFonts w:ascii="Palatino Linotype" w:hAnsi="Palatino Linotype"/>
        </w:rPr>
      </w:pPr>
    </w:p>
    <w:p w:rsidR="00A3726F" w:rsidRPr="00407282" w:rsidRDefault="00A3726F" w:rsidP="00A3726F">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A3726F" w:rsidRPr="00407282" w:rsidRDefault="00A3726F" w:rsidP="00A3726F">
      <w:pPr>
        <w:pStyle w:val="Sinespaciado"/>
        <w:ind w:left="567" w:right="567"/>
        <w:jc w:val="both"/>
        <w:rPr>
          <w:rFonts w:ascii="Palatino Linotype" w:hAnsi="Palatino Linotype"/>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i/>
        </w:rPr>
        <w:t>…</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726F" w:rsidRPr="006376FA" w:rsidRDefault="00A3726F" w:rsidP="00A3726F">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6376FA">
        <w:rPr>
          <w:rFonts w:ascii="Palatino Linotype" w:hAnsi="Palatino Linotype"/>
          <w:bCs/>
          <w:i/>
        </w:rPr>
        <w:lastRenderedPageBreak/>
        <w:t>como reservada temporalmente por razones de interés público, en los términos de las causas legítimas y estrictamente necesarias previstas por esta Ley.</w:t>
      </w:r>
    </w:p>
    <w:p w:rsidR="00A3726F" w:rsidRPr="006376FA" w:rsidRDefault="00A3726F" w:rsidP="00A3726F">
      <w:pPr>
        <w:pStyle w:val="Sinespaciado"/>
        <w:ind w:left="567" w:right="567"/>
        <w:jc w:val="both"/>
        <w:rPr>
          <w:rFonts w:ascii="Palatino Linotype" w:hAnsi="Palatino Linotype"/>
          <w:bCs/>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3726F" w:rsidRPr="006376FA" w:rsidRDefault="00A3726F" w:rsidP="00A3726F">
      <w:pPr>
        <w:pStyle w:val="Sinespaciado"/>
        <w:ind w:left="567" w:right="567"/>
        <w:jc w:val="both"/>
        <w:rPr>
          <w:rFonts w:ascii="Palatino Linotype" w:hAnsi="Palatino Linotype"/>
          <w:i/>
        </w:rPr>
      </w:pPr>
    </w:p>
    <w:p w:rsidR="00A3726F" w:rsidRPr="004E6B5B" w:rsidRDefault="00A3726F" w:rsidP="00A3726F">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3726F" w:rsidRPr="00407282" w:rsidRDefault="00A3726F" w:rsidP="00A3726F">
      <w:pPr>
        <w:pStyle w:val="Sinespaciado"/>
        <w:spacing w:line="360" w:lineRule="auto"/>
        <w:jc w:val="both"/>
        <w:rPr>
          <w:rFonts w:ascii="Palatino Linotype" w:hAnsi="Palatino Linotype"/>
        </w:rPr>
      </w:pPr>
    </w:p>
    <w:p w:rsidR="00A3726F" w:rsidRDefault="00A3726F" w:rsidP="00A3726F">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3726F" w:rsidRPr="006010FE" w:rsidRDefault="00A3726F" w:rsidP="00A3726F">
      <w:pPr>
        <w:pStyle w:val="Prrafodelista"/>
        <w:autoSpaceDE w:val="0"/>
        <w:autoSpaceDN w:val="0"/>
        <w:adjustRightInd w:val="0"/>
        <w:spacing w:line="360" w:lineRule="auto"/>
        <w:ind w:left="0"/>
        <w:jc w:val="both"/>
        <w:rPr>
          <w:rFonts w:ascii="Palatino Linotype" w:hAnsi="Palatino Linotype" w:cs="Arial"/>
        </w:rPr>
      </w:pP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sidR="007E14DD">
        <w:rPr>
          <w:rFonts w:ascii="Palatino Linotype" w:hAnsi="Palatino Linotype"/>
        </w:rPr>
        <w:t>Tercera</w:t>
      </w:r>
      <w:r>
        <w:rPr>
          <w:rFonts w:ascii="Palatino Linotype" w:hAnsi="Palatino Linotype"/>
        </w:rPr>
        <w:t xml:space="preserve"> </w:t>
      </w:r>
      <w:r w:rsidRPr="0096591D">
        <w:rPr>
          <w:rFonts w:ascii="Palatino Linotype" w:hAnsi="Palatino Linotype"/>
        </w:rPr>
        <w:t xml:space="preserve">Sesión Ordinaria celebrada el </w:t>
      </w:r>
      <w:r w:rsidR="007E14DD">
        <w:rPr>
          <w:rFonts w:ascii="Palatino Linotype" w:hAnsi="Palatino Linotype"/>
        </w:rPr>
        <w:t>veintinueve de enero de dos mil veinte</w:t>
      </w:r>
      <w:r w:rsidRPr="0096591D">
        <w:rPr>
          <w:rFonts w:ascii="Palatino Linotype" w:hAnsi="Palatino Linotype"/>
        </w:rPr>
        <w:t>,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 xml:space="preserve">artículo 195 de la Ley de </w:t>
      </w:r>
      <w:r>
        <w:rPr>
          <w:rFonts w:ascii="Palatino Linotype" w:hAnsi="Palatino Linotype"/>
        </w:rPr>
        <w:lastRenderedPageBreak/>
        <w:t>Transparencia y Acceso a la información Pública del Estado de México y Municipios, y con el artículo 18 del Código de Procedimientos Administrativos del Estado de México, los cuales establecen respectivamente:</w:t>
      </w: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1826FF" w:rsidRPr="00A25E7C" w:rsidRDefault="001826FF" w:rsidP="001826FF">
      <w:pPr>
        <w:spacing w:after="0" w:line="360" w:lineRule="auto"/>
        <w:jc w:val="both"/>
        <w:rPr>
          <w:rFonts w:ascii="Palatino Linotype" w:hAnsi="Palatino Linotype" w:cs="Arial"/>
          <w:b/>
          <w:sz w:val="24"/>
          <w:szCs w:val="24"/>
        </w:rPr>
      </w:pPr>
      <w:r w:rsidRPr="00A25E7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826FF" w:rsidRPr="00A25E7C" w:rsidRDefault="001826FF" w:rsidP="001826FF">
      <w:pPr>
        <w:spacing w:after="0" w:line="360" w:lineRule="auto"/>
        <w:jc w:val="both"/>
        <w:rPr>
          <w:rFonts w:ascii="Palatino Linotype" w:hAnsi="Palatino Linotype" w:cs="Arial"/>
          <w:b/>
          <w:sz w:val="24"/>
          <w:szCs w:val="24"/>
        </w:rPr>
      </w:pP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En primera instancia, al referirnos al acto impugnado por el </w:t>
      </w:r>
      <w:r w:rsidRPr="00A25E7C">
        <w:rPr>
          <w:rFonts w:ascii="Palatino Linotype" w:hAnsi="Palatino Linotype" w:cs="Arial"/>
          <w:b/>
        </w:rPr>
        <w:t>Recurrente</w:t>
      </w:r>
      <w:r w:rsidRPr="00A25E7C">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w:t>
      </w:r>
      <w:r w:rsidRPr="00A25E7C">
        <w:rPr>
          <w:rFonts w:ascii="Palatino Linotype" w:hAnsi="Palatino Linotype" w:cs="Arial"/>
        </w:rPr>
        <w:lastRenderedPageBreak/>
        <w:t xml:space="preserve">actualizando con ello lo </w:t>
      </w:r>
      <w:r w:rsidRPr="00A25E7C">
        <w:rPr>
          <w:rFonts w:ascii="Palatino Linotype" w:eastAsia="Calibri" w:hAnsi="Palatino Linotype" w:cs="Arial"/>
          <w:color w:val="000000" w:themeColor="text1"/>
        </w:rPr>
        <w:t xml:space="preserve">establecido en la fracción VII del artículo 179 de la </w:t>
      </w:r>
      <w:r w:rsidRPr="00A25E7C">
        <w:rPr>
          <w:rFonts w:ascii="Palatino Linotype" w:eastAsia="Calibri" w:hAnsi="Palatino Linotype" w:cs="Arial"/>
          <w:b/>
          <w:color w:val="000000" w:themeColor="text1"/>
        </w:rPr>
        <w:t>Ley de Transparencia y Acceso a la Información Pública del Estado de México y Municipios</w:t>
      </w:r>
      <w:r w:rsidRPr="00A25E7C">
        <w:rPr>
          <w:rFonts w:ascii="Palatino Linotype" w:eastAsia="Calibri" w:hAnsi="Palatino Linotype" w:cs="Arial"/>
          <w:color w:val="000000" w:themeColor="text1"/>
        </w:rPr>
        <w:t>,</w:t>
      </w:r>
      <w:r w:rsidRPr="00A25E7C">
        <w:rPr>
          <w:rFonts w:ascii="Palatino Linotype" w:eastAsia="Calibri" w:hAnsi="Palatino Linotype" w:cs="Arial"/>
          <w:b/>
          <w:color w:val="000000" w:themeColor="text1"/>
        </w:rPr>
        <w:t xml:space="preserve"> </w:t>
      </w:r>
      <w:r w:rsidRPr="00A25E7C">
        <w:rPr>
          <w:rFonts w:ascii="Palatino Linotype" w:hAnsi="Palatino Linotype" w:cs="Arial"/>
        </w:rPr>
        <w:t>resultando procedente la interposición del recurso de revisión cuando no se dé respuesta a una solicitud de información.</w:t>
      </w: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Establecido lo anterior, resulta evidente que las razones o motivos de </w:t>
      </w:r>
      <w:r w:rsidRPr="00A25E7C">
        <w:rPr>
          <w:rFonts w:ascii="Palatino Linotype" w:hAnsi="Palatino Linotype"/>
        </w:rPr>
        <w:t xml:space="preserve">inconformidad hechos valer, resultan </w:t>
      </w:r>
      <w:r w:rsidRPr="00A25E7C">
        <w:rPr>
          <w:rFonts w:ascii="Palatino Linotype" w:hAnsi="Palatino Linotype"/>
          <w:b/>
        </w:rPr>
        <w:t>fundadas y procedentes</w:t>
      </w:r>
      <w:r w:rsidRPr="00A25E7C">
        <w:rPr>
          <w:rFonts w:ascii="Palatino Linotype" w:hAnsi="Palatino Linotype"/>
        </w:rPr>
        <w:t xml:space="preserve">, en virtud de que como consta en las constancias que obran en el expediente electrónico SAIMEX, se acredita que el </w:t>
      </w:r>
      <w:r w:rsidRPr="00A25E7C">
        <w:rPr>
          <w:rFonts w:ascii="Palatino Linotype" w:hAnsi="Palatino Linotype" w:cs="Arial"/>
          <w:b/>
          <w:lang w:eastAsia="es-MX"/>
        </w:rPr>
        <w:t>sujeto obligado</w:t>
      </w:r>
      <w:r w:rsidRPr="00A25E7C">
        <w:rPr>
          <w:rFonts w:ascii="Palatino Linotype" w:hAnsi="Palatino Linotype" w:cs="Arial"/>
          <w:lang w:eastAsia="es-MX"/>
        </w:rPr>
        <w:t xml:space="preserve"> fue omiso en responder la solicitud de información hecha por el </w:t>
      </w:r>
      <w:r w:rsidRPr="00A25E7C">
        <w:rPr>
          <w:rFonts w:ascii="Palatino Linotype" w:hAnsi="Palatino Linotype" w:cs="Arial"/>
          <w:b/>
          <w:lang w:eastAsia="es-MX"/>
        </w:rPr>
        <w:t>recurrente</w:t>
      </w:r>
      <w:r w:rsidRPr="00A25E7C">
        <w:rPr>
          <w:rFonts w:ascii="Palatino Linotype" w:hAnsi="Palatino Linotype" w:cs="Arial"/>
          <w:lang w:eastAsia="es-MX"/>
        </w:rPr>
        <w:t>.</w:t>
      </w: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A25E7C" w:rsidRDefault="001826FF" w:rsidP="001826FF">
      <w:pPr>
        <w:pStyle w:val="Prrafodelista"/>
        <w:spacing w:line="360" w:lineRule="auto"/>
        <w:ind w:left="0"/>
        <w:contextualSpacing/>
        <w:jc w:val="both"/>
        <w:rPr>
          <w:rFonts w:ascii="Palatino Linotype" w:hAnsi="Palatino Linotype" w:cs="Arial"/>
          <w:lang w:eastAsia="es-MX"/>
        </w:rPr>
      </w:pPr>
      <w:r w:rsidRPr="00A25E7C">
        <w:rPr>
          <w:rFonts w:ascii="Palatino Linotype" w:hAnsi="Palatino Linotype"/>
          <w:lang w:eastAsia="es-MX"/>
        </w:rPr>
        <w:t xml:space="preserve">De tal manera que se hace patente que la falta de respuesta del </w:t>
      </w:r>
      <w:r w:rsidRPr="00A25E7C">
        <w:rPr>
          <w:rFonts w:ascii="Palatino Linotype" w:hAnsi="Palatino Linotype"/>
          <w:b/>
          <w:lang w:eastAsia="es-MX"/>
        </w:rPr>
        <w:t>sujeto obligado</w:t>
      </w:r>
      <w:r w:rsidRPr="00A25E7C">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1826FF" w:rsidRPr="00296F63" w:rsidRDefault="001826FF" w:rsidP="001826FF">
      <w:pPr>
        <w:spacing w:after="0" w:line="360" w:lineRule="auto"/>
        <w:jc w:val="both"/>
        <w:rPr>
          <w:rFonts w:ascii="Palatino Linotype" w:hAnsi="Palatino Linotype"/>
          <w:sz w:val="24"/>
          <w:szCs w:val="24"/>
          <w:lang w:eastAsia="es-MX"/>
        </w:rPr>
      </w:pPr>
    </w:p>
    <w:p w:rsidR="001826FF" w:rsidRPr="0094156D" w:rsidRDefault="001826FF" w:rsidP="001826FF">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1826FF" w:rsidRPr="00BA2D24" w:rsidRDefault="001826FF" w:rsidP="001826FF">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1826FF" w:rsidRDefault="001826FF" w:rsidP="001826FF">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CE48BA">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1826FF" w:rsidRPr="00CE48BA" w:rsidRDefault="001826FF" w:rsidP="001826FF">
      <w:pPr>
        <w:spacing w:before="240" w:after="360" w:line="360" w:lineRule="auto"/>
        <w:ind w:left="426"/>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1826FF" w:rsidRDefault="001826FF" w:rsidP="001826FF">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rsidR="001826FF" w:rsidRDefault="001826FF" w:rsidP="001826FF">
      <w:pPr>
        <w:pStyle w:val="Prrafodelista"/>
        <w:spacing w:line="360" w:lineRule="auto"/>
        <w:ind w:left="0"/>
        <w:contextualSpacing/>
        <w:jc w:val="both"/>
        <w:rPr>
          <w:rFonts w:ascii="Palatino Linotype" w:hAnsi="Palatino Linotype"/>
          <w:lang w:eastAsia="es-MX"/>
        </w:rPr>
      </w:pPr>
    </w:p>
    <w:p w:rsidR="001826FF" w:rsidRPr="00296F63" w:rsidRDefault="001826FF" w:rsidP="001826FF">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1826FF" w:rsidRPr="00296F63" w:rsidRDefault="001826FF" w:rsidP="001826FF">
      <w:pPr>
        <w:spacing w:after="0" w:line="360" w:lineRule="auto"/>
        <w:jc w:val="both"/>
        <w:rPr>
          <w:rFonts w:ascii="Palatino Linotype" w:hAnsi="Palatino Linotype" w:cs="Arial"/>
          <w:b/>
          <w:sz w:val="24"/>
          <w:szCs w:val="24"/>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1826FF" w:rsidRDefault="001826FF" w:rsidP="001826FF">
      <w:pPr>
        <w:pStyle w:val="Prrafodelista"/>
        <w:autoSpaceDE w:val="0"/>
        <w:autoSpaceDN w:val="0"/>
        <w:adjustRightInd w:val="0"/>
        <w:spacing w:line="360" w:lineRule="auto"/>
        <w:ind w:left="0"/>
        <w:jc w:val="both"/>
        <w:rPr>
          <w:rFonts w:ascii="Palatino Linotype" w:eastAsia="Calibri" w:hAnsi="Palatino Linotype"/>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w:t>
      </w:r>
      <w:r>
        <w:rPr>
          <w:rFonts w:ascii="Palatino Linotype" w:hAnsi="Palatino Linotype" w:cs="Arial"/>
        </w:rPr>
        <w:lastRenderedPageBreak/>
        <w:t>turnando la solicitud a todas las área competentes que cuenten o deban tener la información, con objeto de que realicen una búsqueda exhaustiva y razonable de la información solicitada.</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826FF" w:rsidRDefault="001826FF" w:rsidP="001826FF">
      <w:pPr>
        <w:pStyle w:val="Prrafodelista"/>
        <w:numPr>
          <w:ilvl w:val="0"/>
          <w:numId w:val="45"/>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1826FF" w:rsidRPr="00497964" w:rsidRDefault="001826FF" w:rsidP="001826FF">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0F724D" w:rsidRDefault="001826FF" w:rsidP="000F724D">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0752E0"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0752E0">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lastRenderedPageBreak/>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1826FF" w:rsidRDefault="001826FF" w:rsidP="001826FF">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143 y </w:t>
      </w:r>
      <w:r w:rsidRPr="006C2CD9">
        <w:rPr>
          <w:rFonts w:ascii="Palatino Linotype" w:hAnsi="Palatino Linotype" w:cs="Arial"/>
        </w:rPr>
        <w:lastRenderedPageBreak/>
        <w:t>149 de la Ley de Transparencia y Acceso a la Información Pública del Estado de México y Municipios</w:t>
      </w:r>
      <w:r w:rsidRPr="006C2CD9">
        <w:rPr>
          <w:rFonts w:ascii="Palatino Linotype" w:hAnsi="Palatino Linotype" w:cs="Arial"/>
          <w:i/>
          <w:iCs/>
        </w:rPr>
        <w:t>.</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D16A6F" w:rsidRDefault="001826FF" w:rsidP="001826FF">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1826FF" w:rsidRPr="006B740B" w:rsidRDefault="001826FF" w:rsidP="001826FF">
      <w:pPr>
        <w:keepNext/>
        <w:keepLines/>
        <w:spacing w:after="0" w:line="360" w:lineRule="auto"/>
        <w:jc w:val="both"/>
        <w:outlineLvl w:val="1"/>
        <w:rPr>
          <w:rFonts w:ascii="Palatino Linotype" w:eastAsia="Calibri" w:hAnsi="Palatino Linotype" w:cs="Arial"/>
          <w:sz w:val="24"/>
          <w:szCs w:val="24"/>
        </w:rPr>
      </w:pPr>
    </w:p>
    <w:p w:rsidR="001826FF" w:rsidRPr="001D520D" w:rsidRDefault="001826FF" w:rsidP="001826FF">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1826FF" w:rsidRPr="006010FE" w:rsidRDefault="001826FF" w:rsidP="001826FF">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1826FF" w:rsidRPr="006010FE" w:rsidRDefault="001826FF" w:rsidP="001826FF">
      <w:pPr>
        <w:spacing w:before="240" w:after="240" w:line="360" w:lineRule="auto"/>
        <w:contextualSpacing/>
        <w:jc w:val="both"/>
        <w:rPr>
          <w:rFonts w:ascii="Palatino Linotype" w:eastAsia="MS Mincho" w:hAnsi="Palatino Linotype"/>
        </w:rPr>
      </w:pPr>
    </w:p>
    <w:p w:rsidR="001826FF" w:rsidRPr="006010FE" w:rsidRDefault="001826FF" w:rsidP="001826FF">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826FF" w:rsidRPr="006010FE" w:rsidRDefault="001826FF" w:rsidP="001826FF">
      <w:pPr>
        <w:spacing w:before="240" w:after="240" w:line="360" w:lineRule="auto"/>
        <w:contextualSpacing/>
        <w:jc w:val="both"/>
        <w:rPr>
          <w:rFonts w:ascii="Palatino Linotype" w:eastAsia="MS Mincho" w:hAnsi="Palatino Linotype"/>
          <w:sz w:val="16"/>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1826FF" w:rsidRPr="006010FE" w:rsidRDefault="001826FF" w:rsidP="001826FF">
      <w:pPr>
        <w:spacing w:before="240" w:after="240" w:line="360" w:lineRule="auto"/>
        <w:contextualSpacing/>
        <w:jc w:val="both"/>
        <w:rPr>
          <w:rFonts w:ascii="Palatino Linotype" w:eastAsia="MS Mincho" w:hAnsi="Palatino Linotype"/>
          <w:sz w:val="16"/>
        </w:rPr>
      </w:pPr>
    </w:p>
    <w:p w:rsidR="001826FF" w:rsidRPr="006010FE" w:rsidRDefault="001826FF" w:rsidP="001826F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826FF" w:rsidRPr="006010FE" w:rsidRDefault="001826FF" w:rsidP="001826FF">
      <w:pPr>
        <w:pStyle w:val="Sinespaciado"/>
        <w:rPr>
          <w:sz w:val="8"/>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975EB7" w:rsidRDefault="001826FF" w:rsidP="001826FF">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26FF" w:rsidRPr="006010FE" w:rsidRDefault="001826FF" w:rsidP="001826FF">
      <w:pPr>
        <w:spacing w:before="240" w:after="240" w:line="360" w:lineRule="auto"/>
        <w:contextualSpacing/>
        <w:jc w:val="both"/>
        <w:rPr>
          <w:rFonts w:ascii="Palatino Linotype" w:eastAsia="Calibri" w:hAnsi="Palatino Linotype" w:cs="Arial"/>
          <w:color w:val="000000"/>
          <w:lang w:eastAsia="es-MX"/>
        </w:rPr>
      </w:pPr>
    </w:p>
    <w:p w:rsidR="001826FF" w:rsidRPr="006010FE" w:rsidRDefault="001826FF" w:rsidP="001826FF">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w:t>
      </w:r>
      <w:r w:rsidRPr="006010FE">
        <w:rPr>
          <w:rFonts w:ascii="Palatino Linotype" w:hAnsi="Palatino Linotype" w:cs="Arial"/>
          <w:color w:val="222222"/>
          <w:sz w:val="24"/>
          <w:lang w:eastAsia="es-MX"/>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826FF" w:rsidRDefault="001826FF" w:rsidP="001826FF">
      <w:pPr>
        <w:tabs>
          <w:tab w:val="left" w:pos="8931"/>
        </w:tabs>
        <w:spacing w:before="240" w:line="360" w:lineRule="auto"/>
        <w:ind w:right="51"/>
        <w:jc w:val="both"/>
        <w:rPr>
          <w:rFonts w:ascii="Palatino Linotype" w:hAnsi="Palatino Linotype"/>
          <w:sz w:val="24"/>
          <w:szCs w:val="24"/>
        </w:rPr>
      </w:pPr>
    </w:p>
    <w:p w:rsidR="001826FF" w:rsidRDefault="001826FF" w:rsidP="001826F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Pr>
          <w:rFonts w:ascii="Palatino Linotype" w:hAnsi="Palatino Linotype"/>
        </w:rPr>
        <w:t xml:space="preserve"> </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203AEC" w:rsidRDefault="00B50D8C" w:rsidP="001826FF">
      <w:pPr>
        <w:spacing w:before="240" w:line="360" w:lineRule="auto"/>
        <w:jc w:val="both"/>
        <w:rPr>
          <w:rFonts w:ascii="Palatino Linotype" w:hAnsi="Palatino Linotype" w:cs="Arial"/>
          <w:sz w:val="24"/>
          <w:szCs w:val="24"/>
        </w:rPr>
      </w:pPr>
      <w:r w:rsidRPr="00434359">
        <w:rPr>
          <w:rFonts w:ascii="Palatino Linotype" w:hAnsi="Palatino Linotype" w:cs="Arial"/>
          <w:b/>
          <w:sz w:val="24"/>
          <w:szCs w:val="24"/>
          <w:lang w:val="es-ES_tradnl"/>
        </w:rPr>
        <w:t>PRIMERO.</w:t>
      </w:r>
      <w:r w:rsidRPr="00434359">
        <w:rPr>
          <w:rFonts w:ascii="Palatino Linotype" w:hAnsi="Palatino Linotype" w:cs="Arial"/>
          <w:sz w:val="24"/>
          <w:szCs w:val="24"/>
          <w:lang w:val="es-ES_tradnl"/>
        </w:rPr>
        <w:t xml:space="preserve"> </w:t>
      </w:r>
      <w:r w:rsidR="001826FF">
        <w:rPr>
          <w:rFonts w:ascii="Palatino Linotype" w:hAnsi="Palatino Linotype" w:cs="Arial"/>
          <w:sz w:val="24"/>
          <w:szCs w:val="24"/>
        </w:rPr>
        <w:t>Resultan fundadas las razones y motivos de inconformidad hechos valer por el Recurrente en términos del considerando quinto de la presente resolución.</w:t>
      </w:r>
    </w:p>
    <w:p w:rsidR="001826FF" w:rsidRPr="001826FF" w:rsidRDefault="001826FF" w:rsidP="001826FF">
      <w:pPr>
        <w:spacing w:before="240" w:line="360" w:lineRule="auto"/>
        <w:jc w:val="both"/>
        <w:rPr>
          <w:rFonts w:ascii="Palatino Linotype" w:hAnsi="Palatino Linotype" w:cs="Arial"/>
          <w:sz w:val="24"/>
          <w:szCs w:val="24"/>
        </w:rPr>
      </w:pPr>
    </w:p>
    <w:p w:rsidR="001826FF" w:rsidRDefault="00456601" w:rsidP="001826FF">
      <w:pPr>
        <w:autoSpaceDE w:val="0"/>
        <w:autoSpaceDN w:val="0"/>
        <w:adjustRightInd w:val="0"/>
        <w:spacing w:before="240" w:line="360" w:lineRule="auto"/>
        <w:ind w:right="49"/>
        <w:jc w:val="both"/>
        <w:rPr>
          <w:rFonts w:ascii="Palatino Linotype" w:hAnsi="Palatino Linotype" w:cs="Arial"/>
          <w:sz w:val="24"/>
          <w:szCs w:val="24"/>
        </w:rPr>
      </w:pPr>
      <w:r w:rsidRPr="00456601">
        <w:rPr>
          <w:rFonts w:ascii="Palatino Linotype" w:hAnsi="Palatino Linotype" w:cs="Arial"/>
          <w:b/>
          <w:sz w:val="24"/>
          <w:szCs w:val="24"/>
          <w:lang w:val="es-ES_tradnl"/>
        </w:rPr>
        <w:t>SEGUNDO</w:t>
      </w:r>
      <w:r w:rsidRPr="00456601">
        <w:rPr>
          <w:rFonts w:ascii="Palatino Linotype" w:hAnsi="Palatino Linotype" w:cs="Arial"/>
          <w:sz w:val="24"/>
          <w:szCs w:val="24"/>
          <w:lang w:val="es-ES_tradnl"/>
        </w:rPr>
        <w:t xml:space="preserve">. </w:t>
      </w:r>
      <w:r w:rsidR="001826FF">
        <w:rPr>
          <w:rFonts w:ascii="Palatino Linotype" w:hAnsi="Palatino Linotype" w:cs="Arial"/>
          <w:sz w:val="24"/>
          <w:szCs w:val="24"/>
        </w:rPr>
        <w:t xml:space="preserve">Se </w:t>
      </w:r>
      <w:r w:rsidR="001826FF" w:rsidRPr="00C13482">
        <w:rPr>
          <w:rFonts w:ascii="Palatino Linotype" w:hAnsi="Palatino Linotype" w:cs="Arial"/>
          <w:b/>
          <w:sz w:val="24"/>
          <w:szCs w:val="24"/>
        </w:rPr>
        <w:t>ORDENA</w:t>
      </w:r>
      <w:r w:rsidR="001826FF">
        <w:rPr>
          <w:rFonts w:ascii="Palatino Linotype" w:hAnsi="Palatino Linotype" w:cs="Arial"/>
          <w:sz w:val="24"/>
          <w:szCs w:val="24"/>
        </w:rPr>
        <w:t xml:space="preserve"> al </w:t>
      </w:r>
      <w:r w:rsidR="001826FF">
        <w:rPr>
          <w:rFonts w:ascii="Palatino Linotype" w:hAnsi="Palatino Linotype" w:cs="Arial"/>
          <w:b/>
          <w:sz w:val="24"/>
          <w:szCs w:val="24"/>
        </w:rPr>
        <w:t>sujeto obligado,</w:t>
      </w:r>
      <w:r w:rsidR="001826FF">
        <w:rPr>
          <w:rFonts w:ascii="Palatino Linotype" w:hAnsi="Palatino Linotype" w:cs="Arial"/>
          <w:sz w:val="24"/>
          <w:szCs w:val="24"/>
        </w:rPr>
        <w:t xml:space="preserve"> atienda las solicitudes de información números </w:t>
      </w:r>
      <w:r w:rsidR="001826FF" w:rsidRPr="006166F7">
        <w:rPr>
          <w:rFonts w:ascii="Palatino Linotype" w:hAnsi="Palatino Linotype" w:cs="Arial"/>
          <w:b/>
          <w:sz w:val="24"/>
          <w:szCs w:val="24"/>
        </w:rPr>
        <w:t xml:space="preserve"> </w:t>
      </w:r>
      <w:r w:rsidR="001826FF" w:rsidRPr="001826FF">
        <w:rPr>
          <w:rFonts w:ascii="Palatino Linotype" w:hAnsi="Palatino Linotype" w:cs="Arial"/>
          <w:b/>
          <w:sz w:val="24"/>
          <w:szCs w:val="24"/>
        </w:rPr>
        <w:t>00539/ECATZIN/IP/2019</w:t>
      </w:r>
      <w:r w:rsidR="001826FF">
        <w:rPr>
          <w:rFonts w:ascii="Palatino Linotype" w:hAnsi="Palatino Linotype" w:cs="Arial"/>
          <w:b/>
          <w:sz w:val="24"/>
          <w:szCs w:val="24"/>
        </w:rPr>
        <w:t xml:space="preserve"> y </w:t>
      </w:r>
      <w:r w:rsidR="001826FF" w:rsidRPr="001826FF">
        <w:rPr>
          <w:rFonts w:ascii="Palatino Linotype" w:hAnsi="Palatino Linotype" w:cs="Arial"/>
          <w:b/>
          <w:sz w:val="24"/>
          <w:szCs w:val="24"/>
        </w:rPr>
        <w:t>00540/ECATZIN/IP/2019</w:t>
      </w:r>
      <w:r w:rsidR="001826FF">
        <w:rPr>
          <w:rFonts w:ascii="Palatino Linotype" w:hAnsi="Palatino Linotype" w:cs="Arial"/>
          <w:sz w:val="24"/>
          <w:szCs w:val="24"/>
        </w:rPr>
        <w:t>, en términos del</w:t>
      </w:r>
      <w:r w:rsidR="001826FF" w:rsidRPr="00343200">
        <w:rPr>
          <w:rFonts w:ascii="Palatino Linotype" w:hAnsi="Palatino Linotype" w:cs="Arial"/>
          <w:sz w:val="24"/>
          <w:szCs w:val="24"/>
        </w:rPr>
        <w:t xml:space="preserve"> </w:t>
      </w:r>
      <w:r w:rsidR="001826FF" w:rsidRPr="00D16A6F">
        <w:rPr>
          <w:rFonts w:ascii="Palatino Linotype" w:hAnsi="Palatino Linotype" w:cs="Arial"/>
          <w:sz w:val="24"/>
          <w:szCs w:val="24"/>
        </w:rPr>
        <w:t xml:space="preserve">Considerando </w:t>
      </w:r>
      <w:r w:rsidR="001826FF">
        <w:rPr>
          <w:rFonts w:ascii="Palatino Linotype" w:hAnsi="Palatino Linotype" w:cs="Arial"/>
          <w:b/>
          <w:sz w:val="24"/>
          <w:szCs w:val="24"/>
        </w:rPr>
        <w:t>QUINTO,</w:t>
      </w:r>
      <w:r w:rsidR="001826FF">
        <w:rPr>
          <w:rFonts w:ascii="Palatino Linotype" w:hAnsi="Palatino Linotype" w:cs="Arial"/>
          <w:sz w:val="24"/>
          <w:szCs w:val="24"/>
        </w:rPr>
        <w:t xml:space="preserve"> vía Sistema de Acceso a la Información Mexiquense (SAIMEX).</w:t>
      </w:r>
    </w:p>
    <w:p w:rsidR="001826FF" w:rsidRPr="001826FF" w:rsidRDefault="001826FF" w:rsidP="001826FF">
      <w:pPr>
        <w:tabs>
          <w:tab w:val="left" w:pos="8647"/>
        </w:tabs>
        <w:spacing w:after="0" w:line="360" w:lineRule="auto"/>
        <w:ind w:right="51"/>
        <w:jc w:val="both"/>
        <w:rPr>
          <w:rFonts w:ascii="Palatino Linotype" w:hAnsi="Palatino Linotype" w:cs="Arial"/>
          <w:sz w:val="24"/>
          <w:szCs w:val="24"/>
        </w:rPr>
      </w:pPr>
    </w:p>
    <w:p w:rsidR="000136A4" w:rsidRDefault="00D022A9"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001826FF" w:rsidRPr="00226C6A">
        <w:rPr>
          <w:rFonts w:ascii="Palatino Linotype" w:hAnsi="Palatino Linotype" w:cs="Arial"/>
          <w:b/>
          <w:sz w:val="24"/>
          <w:szCs w:val="24"/>
        </w:rPr>
        <w:t>Notifíquese</w:t>
      </w:r>
      <w:r w:rsidR="001826FF" w:rsidRPr="00226C6A">
        <w:rPr>
          <w:rFonts w:ascii="Palatino Linotype" w:hAnsi="Palatino Linotype" w:cs="Arial"/>
          <w:b/>
          <w:i/>
          <w:sz w:val="24"/>
          <w:szCs w:val="24"/>
        </w:rPr>
        <w:t xml:space="preserve"> </w:t>
      </w:r>
      <w:r w:rsidR="001826FF" w:rsidRPr="00226C6A">
        <w:rPr>
          <w:rFonts w:ascii="Palatino Linotype" w:hAnsi="Palatino Linotype" w:cs="Arial"/>
          <w:sz w:val="24"/>
          <w:szCs w:val="24"/>
        </w:rPr>
        <w:t>al Titular de la Unidad de Transparencia del</w:t>
      </w:r>
      <w:r w:rsidR="001826FF" w:rsidRPr="00226C6A">
        <w:rPr>
          <w:rFonts w:ascii="Palatino Linotype" w:hAnsi="Palatino Linotype" w:cs="Arial"/>
          <w:b/>
          <w:sz w:val="24"/>
          <w:szCs w:val="24"/>
        </w:rPr>
        <w:t xml:space="preserve"> Sujeto Obligado</w:t>
      </w:r>
      <w:r w:rsidR="001826FF"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F724D" w:rsidRPr="000F724D" w:rsidRDefault="000F724D" w:rsidP="00EF4493">
      <w:pPr>
        <w:autoSpaceDE w:val="0"/>
        <w:autoSpaceDN w:val="0"/>
        <w:adjustRightInd w:val="0"/>
        <w:spacing w:before="240" w:line="360" w:lineRule="auto"/>
        <w:jc w:val="both"/>
        <w:rPr>
          <w:rFonts w:ascii="Palatino Linotype" w:eastAsia="Times New Roman" w:hAnsi="Palatino Linotype" w:cs="Arial"/>
          <w:bCs/>
          <w:sz w:val="12"/>
          <w:szCs w:val="24"/>
        </w:rPr>
      </w:pPr>
    </w:p>
    <w:p w:rsidR="001826FF" w:rsidRDefault="00D022A9" w:rsidP="00EF4493">
      <w:pPr>
        <w:autoSpaceDE w:val="0"/>
        <w:autoSpaceDN w:val="0"/>
        <w:adjustRightInd w:val="0"/>
        <w:spacing w:before="240" w:line="360" w:lineRule="auto"/>
        <w:jc w:val="both"/>
        <w:rPr>
          <w:rFonts w:ascii="Palatino Linotype" w:hAnsi="Palatino Linotype" w:cs="Arial"/>
          <w:sz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1826FF" w:rsidRPr="00F227CA">
        <w:rPr>
          <w:rFonts w:ascii="Palatino Linotype" w:hAnsi="Palatino Linotype" w:cs="Arial"/>
          <w:sz w:val="24"/>
        </w:rPr>
        <w:t xml:space="preserve">Notifíquese </w:t>
      </w:r>
      <w:r w:rsidR="001826FF" w:rsidRPr="00F227CA">
        <w:rPr>
          <w:rFonts w:ascii="Palatino Linotype" w:hAnsi="Palatino Linotype" w:cs="Arial"/>
          <w:b/>
          <w:sz w:val="24"/>
        </w:rPr>
        <w:t>al recurrente</w:t>
      </w:r>
      <w:r w:rsidR="001826FF"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F724D" w:rsidRPr="000F724D" w:rsidRDefault="000F724D" w:rsidP="00EF4493">
      <w:pPr>
        <w:autoSpaceDE w:val="0"/>
        <w:autoSpaceDN w:val="0"/>
        <w:adjustRightInd w:val="0"/>
        <w:spacing w:before="240" w:line="360" w:lineRule="auto"/>
        <w:jc w:val="both"/>
        <w:rPr>
          <w:rFonts w:ascii="Palatino Linotype" w:hAnsi="Palatino Linotype" w:cs="Arial"/>
          <w:sz w:val="12"/>
        </w:rPr>
      </w:pPr>
    </w:p>
    <w:p w:rsidR="001826FF" w:rsidRDefault="001826FF"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Pr="00605501">
        <w:rPr>
          <w:rFonts w:ascii="Palatino Linotype" w:hAnsi="Palatino Linotype" w:cs="Arial"/>
          <w:sz w:val="24"/>
          <w:szCs w:val="24"/>
        </w:rPr>
        <w:t xml:space="preserve"> de la presente resolución.</w:t>
      </w:r>
    </w:p>
    <w:p w:rsidR="000F724D" w:rsidRPr="000F724D" w:rsidRDefault="000F724D" w:rsidP="00EF4493">
      <w:pPr>
        <w:autoSpaceDE w:val="0"/>
        <w:autoSpaceDN w:val="0"/>
        <w:adjustRightInd w:val="0"/>
        <w:spacing w:before="240" w:line="360" w:lineRule="auto"/>
        <w:jc w:val="both"/>
        <w:rPr>
          <w:rFonts w:ascii="Palatino Linotype" w:hAnsi="Palatino Linotype" w:cs="Arial"/>
          <w:sz w:val="10"/>
          <w:szCs w:val="24"/>
        </w:rPr>
      </w:pPr>
    </w:p>
    <w:p w:rsidR="000F724D" w:rsidRDefault="000F724D"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w:t>
      </w:r>
      <w:r w:rsidRPr="00EA72A7">
        <w:rPr>
          <w:rFonts w:ascii="Palatino Linotype" w:hAnsi="Palatino Linotype" w:cs="Arial"/>
          <w:sz w:val="24"/>
          <w:szCs w:val="24"/>
        </w:rPr>
        <w:lastRenderedPageBreak/>
        <w:t>nuevamente Recurso de Revisión ante este Instituto, por la respuesta que proporcione el Sujeto Obligado, en cumplimiento a esta Resolución.</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p>
    <w:p w:rsidR="00D022A9" w:rsidRDefault="00D022A9" w:rsidP="00EF4493">
      <w:pPr>
        <w:autoSpaceDE w:val="0"/>
        <w:autoSpaceDN w:val="0"/>
        <w:adjustRightInd w:val="0"/>
        <w:spacing w:before="240" w:line="480" w:lineRule="auto"/>
        <w:jc w:val="both"/>
        <w:rPr>
          <w:rFonts w:ascii="Palatino Linotype" w:hAnsi="Palatino Linotype" w:cs="Arial"/>
          <w:sz w:val="24"/>
          <w:szCs w:val="24"/>
        </w:rPr>
      </w:pPr>
    </w:p>
    <w:p w:rsidR="00D022A9"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1826FF">
        <w:rPr>
          <w:rFonts w:ascii="Palatino Linotype" w:hAnsi="Palatino Linotype" w:cs="Arial"/>
          <w:bCs/>
          <w:sz w:val="16"/>
          <w:szCs w:val="16"/>
          <w:lang w:eastAsia="es-MX"/>
        </w:rPr>
        <w:t>12210</w:t>
      </w:r>
      <w:r w:rsidR="00025E59">
        <w:rPr>
          <w:rFonts w:ascii="Palatino Linotype" w:hAnsi="Palatino Linotype" w:cs="Arial"/>
          <w:bCs/>
          <w:sz w:val="16"/>
          <w:szCs w:val="16"/>
          <w:lang w:eastAsia="es-MX"/>
        </w:rPr>
        <w:t>/INFOEM/IP/RR/2019</w:t>
      </w:r>
      <w:r w:rsidR="001826FF">
        <w:rPr>
          <w:rFonts w:ascii="Palatino Linotype" w:hAnsi="Palatino Linotype" w:cs="Arial"/>
          <w:bCs/>
          <w:sz w:val="16"/>
          <w:szCs w:val="16"/>
          <w:lang w:eastAsia="es-MX"/>
        </w:rPr>
        <w:t xml:space="preserve"> y acumulado</w:t>
      </w:r>
      <w:r>
        <w:rPr>
          <w:rFonts w:ascii="Palatino Linotype" w:hAnsi="Palatino Linotype" w:cs="Arial"/>
          <w:bCs/>
          <w:sz w:val="16"/>
          <w:szCs w:val="16"/>
          <w:lang w:eastAsia="es-MX"/>
        </w:rPr>
        <w:t xml:space="preserve">.   </w:t>
      </w:r>
    </w:p>
    <w:p w:rsidR="00696FBF" w:rsidRPr="00C50F69" w:rsidRDefault="00D022A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D4" w:rsidRDefault="005720D4" w:rsidP="00EF4493">
      <w:pPr>
        <w:spacing w:after="0" w:line="240" w:lineRule="auto"/>
      </w:pPr>
      <w:r>
        <w:separator/>
      </w:r>
    </w:p>
  </w:endnote>
  <w:endnote w:type="continuationSeparator" w:id="0">
    <w:p w:rsidR="005720D4" w:rsidRDefault="005720D4"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280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2809">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28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2809">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D4" w:rsidRDefault="005720D4" w:rsidP="00EF4493">
      <w:pPr>
        <w:spacing w:after="0" w:line="240" w:lineRule="auto"/>
      </w:pPr>
      <w:r>
        <w:separator/>
      </w:r>
    </w:p>
  </w:footnote>
  <w:footnote w:type="continuationSeparator" w:id="0">
    <w:p w:rsidR="005720D4" w:rsidRDefault="005720D4"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047499"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12210</w:t>
          </w:r>
          <w:r w:rsidR="00E26222">
            <w:rPr>
              <w:rFonts w:ascii="Palatino Linotype" w:hAnsi="Palatino Linotype" w:cs="Arial"/>
              <w:bCs/>
              <w:sz w:val="24"/>
              <w:lang w:eastAsia="es-MX"/>
            </w:rPr>
            <w:t>/INFOEM/IP/RR/2019</w:t>
          </w:r>
          <w:r w:rsidR="00EF7BB0">
            <w:rPr>
              <w:rFonts w:ascii="Palatino Linotype" w:hAnsi="Palatino Linotype" w:cs="Arial"/>
              <w:bCs/>
              <w:sz w:val="24"/>
              <w:lang w:eastAsia="es-MX"/>
            </w:rPr>
            <w:t xml:space="preserve"> y acumulado</w:t>
          </w:r>
          <w:r w:rsidR="00761D7D">
            <w:rPr>
              <w:rFonts w:ascii="Palatino Linotype" w:hAnsi="Palatino Linotype" w:cs="Arial"/>
              <w:bCs/>
              <w:sz w:val="24"/>
              <w:lang w:eastAsia="es-MX"/>
            </w:rPr>
            <w:t>.</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047499" w:rsidP="00761D7D">
          <w:pPr>
            <w:spacing w:after="120" w:line="256" w:lineRule="auto"/>
            <w:ind w:right="214"/>
            <w:jc w:val="both"/>
            <w:rPr>
              <w:rFonts w:ascii="Palatino Linotype" w:hAnsi="Palatino Linotype" w:cs="Arial"/>
            </w:rPr>
          </w:pPr>
          <w:r w:rsidRPr="00047499">
            <w:rPr>
              <w:rFonts w:ascii="Palatino Linotype" w:hAnsi="Palatino Linotype" w:cs="Arial"/>
              <w:szCs w:val="20"/>
            </w:rPr>
            <w:t>Ayuntamiento de Ecatzingo</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047499"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12210</w:t>
          </w:r>
          <w:r w:rsidR="00E26222">
            <w:rPr>
              <w:rFonts w:ascii="Palatino Linotype" w:hAnsi="Palatino Linotype" w:cs="Arial"/>
              <w:bCs/>
              <w:sz w:val="24"/>
              <w:lang w:eastAsia="es-MX"/>
            </w:rPr>
            <w:t>/INFOEM/IP/RR/2019</w:t>
          </w:r>
          <w:r w:rsidR="00EF674D">
            <w:rPr>
              <w:rFonts w:ascii="Palatino Linotype" w:hAnsi="Palatino Linotype" w:cs="Arial"/>
              <w:bCs/>
              <w:sz w:val="24"/>
              <w:lang w:eastAsia="es-MX"/>
            </w:rPr>
            <w:t xml:space="preserve"> y acumulado</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732809" w:rsidP="003C3CA3">
          <w:pPr>
            <w:spacing w:after="120" w:line="256" w:lineRule="auto"/>
            <w:ind w:right="214"/>
            <w:jc w:val="both"/>
            <w:rPr>
              <w:rFonts w:ascii="Palatino Linotype" w:hAnsi="Palatino Linotype" w:cs="Arial"/>
            </w:rPr>
          </w:pPr>
          <w:r>
            <w:rPr>
              <w:rFonts w:ascii="Palatino Linotype" w:hAnsi="Palatino Linotype" w:cs="Arial"/>
            </w:rPr>
            <w:t>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047499" w:rsidP="003C3CA3">
          <w:pPr>
            <w:spacing w:after="120" w:line="256" w:lineRule="auto"/>
            <w:ind w:right="214"/>
            <w:jc w:val="both"/>
            <w:rPr>
              <w:rFonts w:ascii="Palatino Linotype" w:hAnsi="Palatino Linotype" w:cs="Arial"/>
              <w:szCs w:val="20"/>
            </w:rPr>
          </w:pPr>
          <w:r w:rsidRPr="00047499">
            <w:rPr>
              <w:rFonts w:ascii="Palatino Linotype" w:hAnsi="Palatino Linotype" w:cs="Arial"/>
              <w:szCs w:val="20"/>
            </w:rPr>
            <w:t>Ayuntamiento de Ecatzingo</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514C13"/>
    <w:multiLevelType w:val="hybridMultilevel"/>
    <w:tmpl w:val="71A2D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790B51"/>
    <w:multiLevelType w:val="hybridMultilevel"/>
    <w:tmpl w:val="94C4A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31"/>
  </w:num>
  <w:num w:numId="5">
    <w:abstractNumId w:val="16"/>
  </w:num>
  <w:num w:numId="6">
    <w:abstractNumId w:val="41"/>
  </w:num>
  <w:num w:numId="7">
    <w:abstractNumId w:val="3"/>
  </w:num>
  <w:num w:numId="8">
    <w:abstractNumId w:val="17"/>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2"/>
  </w:num>
  <w:num w:numId="23">
    <w:abstractNumId w:val="13"/>
  </w:num>
  <w:num w:numId="24">
    <w:abstractNumId w:val="38"/>
  </w:num>
  <w:num w:numId="25">
    <w:abstractNumId w:val="36"/>
  </w:num>
  <w:num w:numId="26">
    <w:abstractNumId w:val="5"/>
  </w:num>
  <w:num w:numId="27">
    <w:abstractNumId w:val="23"/>
  </w:num>
  <w:num w:numId="28">
    <w:abstractNumId w:val="35"/>
  </w:num>
  <w:num w:numId="29">
    <w:abstractNumId w:val="44"/>
  </w:num>
  <w:num w:numId="30">
    <w:abstractNumId w:val="26"/>
  </w:num>
  <w:num w:numId="31">
    <w:abstractNumId w:val="28"/>
  </w:num>
  <w:num w:numId="32">
    <w:abstractNumId w:val="40"/>
  </w:num>
  <w:num w:numId="33">
    <w:abstractNumId w:val="30"/>
  </w:num>
  <w:num w:numId="34">
    <w:abstractNumId w:val="19"/>
  </w:num>
  <w:num w:numId="35">
    <w:abstractNumId w:val="15"/>
  </w:num>
  <w:num w:numId="36">
    <w:abstractNumId w:val="10"/>
  </w:num>
  <w:num w:numId="37">
    <w:abstractNumId w:val="11"/>
  </w:num>
  <w:num w:numId="38">
    <w:abstractNumId w:val="37"/>
  </w:num>
  <w:num w:numId="39">
    <w:abstractNumId w:val="21"/>
  </w:num>
  <w:num w:numId="40">
    <w:abstractNumId w:val="27"/>
  </w:num>
  <w:num w:numId="41">
    <w:abstractNumId w:val="4"/>
  </w:num>
  <w:num w:numId="42">
    <w:abstractNumId w:val="14"/>
  </w:num>
  <w:num w:numId="43">
    <w:abstractNumId w:val="43"/>
  </w:num>
  <w:num w:numId="44">
    <w:abstractNumId w:val="1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47499"/>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0F724D"/>
    <w:rsid w:val="00106352"/>
    <w:rsid w:val="00106E8D"/>
    <w:rsid w:val="001141ED"/>
    <w:rsid w:val="00114686"/>
    <w:rsid w:val="00124474"/>
    <w:rsid w:val="00124810"/>
    <w:rsid w:val="00124E05"/>
    <w:rsid w:val="00124E16"/>
    <w:rsid w:val="001267CD"/>
    <w:rsid w:val="001278E0"/>
    <w:rsid w:val="001501CA"/>
    <w:rsid w:val="001633F9"/>
    <w:rsid w:val="00166EC3"/>
    <w:rsid w:val="00170204"/>
    <w:rsid w:val="001826FF"/>
    <w:rsid w:val="00185C3A"/>
    <w:rsid w:val="00187FF4"/>
    <w:rsid w:val="00190B39"/>
    <w:rsid w:val="001C0EB8"/>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94D5A"/>
    <w:rsid w:val="002A33CE"/>
    <w:rsid w:val="002A44E0"/>
    <w:rsid w:val="002A5ADB"/>
    <w:rsid w:val="002A7D7A"/>
    <w:rsid w:val="002D04E8"/>
    <w:rsid w:val="002F7FF2"/>
    <w:rsid w:val="00306529"/>
    <w:rsid w:val="00325503"/>
    <w:rsid w:val="00326F0B"/>
    <w:rsid w:val="00344DF6"/>
    <w:rsid w:val="00355864"/>
    <w:rsid w:val="0036453F"/>
    <w:rsid w:val="00364724"/>
    <w:rsid w:val="0036658A"/>
    <w:rsid w:val="00370AE0"/>
    <w:rsid w:val="00394381"/>
    <w:rsid w:val="003A3011"/>
    <w:rsid w:val="003C3CA3"/>
    <w:rsid w:val="003E33B1"/>
    <w:rsid w:val="003E6C68"/>
    <w:rsid w:val="00400282"/>
    <w:rsid w:val="00400E96"/>
    <w:rsid w:val="00400F71"/>
    <w:rsid w:val="00401F93"/>
    <w:rsid w:val="0041352A"/>
    <w:rsid w:val="00430260"/>
    <w:rsid w:val="004307AA"/>
    <w:rsid w:val="00452C0E"/>
    <w:rsid w:val="004560BF"/>
    <w:rsid w:val="00456601"/>
    <w:rsid w:val="00461E98"/>
    <w:rsid w:val="004625C7"/>
    <w:rsid w:val="00463292"/>
    <w:rsid w:val="004644B4"/>
    <w:rsid w:val="004674BE"/>
    <w:rsid w:val="004826F4"/>
    <w:rsid w:val="004840D7"/>
    <w:rsid w:val="004901C7"/>
    <w:rsid w:val="004902C5"/>
    <w:rsid w:val="00490653"/>
    <w:rsid w:val="004B13E8"/>
    <w:rsid w:val="004B1F1A"/>
    <w:rsid w:val="004B2880"/>
    <w:rsid w:val="004C1447"/>
    <w:rsid w:val="004C565B"/>
    <w:rsid w:val="004F4459"/>
    <w:rsid w:val="005075CF"/>
    <w:rsid w:val="00513367"/>
    <w:rsid w:val="00515E81"/>
    <w:rsid w:val="00526446"/>
    <w:rsid w:val="00540B2F"/>
    <w:rsid w:val="00545C18"/>
    <w:rsid w:val="00546BD1"/>
    <w:rsid w:val="0055089B"/>
    <w:rsid w:val="005569D6"/>
    <w:rsid w:val="005649E2"/>
    <w:rsid w:val="005720D4"/>
    <w:rsid w:val="00583579"/>
    <w:rsid w:val="00586B5A"/>
    <w:rsid w:val="005A5CE2"/>
    <w:rsid w:val="005A7CA3"/>
    <w:rsid w:val="005B3EB0"/>
    <w:rsid w:val="005B4B11"/>
    <w:rsid w:val="005C1B07"/>
    <w:rsid w:val="005D137B"/>
    <w:rsid w:val="005D72CE"/>
    <w:rsid w:val="005E56B2"/>
    <w:rsid w:val="0060353E"/>
    <w:rsid w:val="00604565"/>
    <w:rsid w:val="006046ED"/>
    <w:rsid w:val="00673D0A"/>
    <w:rsid w:val="00684514"/>
    <w:rsid w:val="00696FBF"/>
    <w:rsid w:val="00697A1C"/>
    <w:rsid w:val="006B11C6"/>
    <w:rsid w:val="006B2A06"/>
    <w:rsid w:val="006B740B"/>
    <w:rsid w:val="006D6D37"/>
    <w:rsid w:val="006E6052"/>
    <w:rsid w:val="006F251D"/>
    <w:rsid w:val="006F2DE7"/>
    <w:rsid w:val="006F3C31"/>
    <w:rsid w:val="006F63D2"/>
    <w:rsid w:val="007136D6"/>
    <w:rsid w:val="0071506B"/>
    <w:rsid w:val="0072323C"/>
    <w:rsid w:val="00732809"/>
    <w:rsid w:val="00732820"/>
    <w:rsid w:val="00733917"/>
    <w:rsid w:val="007370D5"/>
    <w:rsid w:val="00741959"/>
    <w:rsid w:val="00755B41"/>
    <w:rsid w:val="00757C64"/>
    <w:rsid w:val="00761D7D"/>
    <w:rsid w:val="00770A89"/>
    <w:rsid w:val="0077428B"/>
    <w:rsid w:val="00784619"/>
    <w:rsid w:val="00791E63"/>
    <w:rsid w:val="0079621F"/>
    <w:rsid w:val="007B5341"/>
    <w:rsid w:val="007B70F6"/>
    <w:rsid w:val="007B7A90"/>
    <w:rsid w:val="007D0F08"/>
    <w:rsid w:val="007D4E9E"/>
    <w:rsid w:val="007E14DD"/>
    <w:rsid w:val="007F011C"/>
    <w:rsid w:val="0080077B"/>
    <w:rsid w:val="00803304"/>
    <w:rsid w:val="00815A0F"/>
    <w:rsid w:val="00817E7B"/>
    <w:rsid w:val="008229F9"/>
    <w:rsid w:val="00830C9E"/>
    <w:rsid w:val="008626E3"/>
    <w:rsid w:val="00877591"/>
    <w:rsid w:val="008860FD"/>
    <w:rsid w:val="00893572"/>
    <w:rsid w:val="008938CF"/>
    <w:rsid w:val="008A0849"/>
    <w:rsid w:val="008D16FA"/>
    <w:rsid w:val="008E67E9"/>
    <w:rsid w:val="009017C6"/>
    <w:rsid w:val="00903DAE"/>
    <w:rsid w:val="00921823"/>
    <w:rsid w:val="009404A3"/>
    <w:rsid w:val="0097766B"/>
    <w:rsid w:val="00983BC6"/>
    <w:rsid w:val="009900EC"/>
    <w:rsid w:val="009A304B"/>
    <w:rsid w:val="009A7AB8"/>
    <w:rsid w:val="009B5455"/>
    <w:rsid w:val="009D55B4"/>
    <w:rsid w:val="009E56E2"/>
    <w:rsid w:val="009F286E"/>
    <w:rsid w:val="00A01611"/>
    <w:rsid w:val="00A3726F"/>
    <w:rsid w:val="00A5380A"/>
    <w:rsid w:val="00A56558"/>
    <w:rsid w:val="00A62BC0"/>
    <w:rsid w:val="00A719CB"/>
    <w:rsid w:val="00A944BC"/>
    <w:rsid w:val="00AB45A4"/>
    <w:rsid w:val="00AC0CA2"/>
    <w:rsid w:val="00AC1824"/>
    <w:rsid w:val="00AD479B"/>
    <w:rsid w:val="00AE6BF4"/>
    <w:rsid w:val="00AF41F9"/>
    <w:rsid w:val="00B00245"/>
    <w:rsid w:val="00B071B9"/>
    <w:rsid w:val="00B26705"/>
    <w:rsid w:val="00B469C1"/>
    <w:rsid w:val="00B50D8C"/>
    <w:rsid w:val="00B53142"/>
    <w:rsid w:val="00B61C99"/>
    <w:rsid w:val="00B64DAF"/>
    <w:rsid w:val="00B82722"/>
    <w:rsid w:val="00B82D5C"/>
    <w:rsid w:val="00B84C69"/>
    <w:rsid w:val="00B85928"/>
    <w:rsid w:val="00B85B37"/>
    <w:rsid w:val="00B86F58"/>
    <w:rsid w:val="00B94AF5"/>
    <w:rsid w:val="00BB502B"/>
    <w:rsid w:val="00BC02DE"/>
    <w:rsid w:val="00BD0523"/>
    <w:rsid w:val="00BE1CF1"/>
    <w:rsid w:val="00BE6F62"/>
    <w:rsid w:val="00BF4A39"/>
    <w:rsid w:val="00C07D1E"/>
    <w:rsid w:val="00C11C06"/>
    <w:rsid w:val="00C2405E"/>
    <w:rsid w:val="00C2663F"/>
    <w:rsid w:val="00C318E7"/>
    <w:rsid w:val="00C45378"/>
    <w:rsid w:val="00C47430"/>
    <w:rsid w:val="00C501FC"/>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022A9"/>
    <w:rsid w:val="00D110B7"/>
    <w:rsid w:val="00D27AC6"/>
    <w:rsid w:val="00D317E2"/>
    <w:rsid w:val="00D35DCB"/>
    <w:rsid w:val="00D43C37"/>
    <w:rsid w:val="00D449DB"/>
    <w:rsid w:val="00D50082"/>
    <w:rsid w:val="00D53106"/>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E026B4"/>
    <w:rsid w:val="00E15DE0"/>
    <w:rsid w:val="00E250DA"/>
    <w:rsid w:val="00E26222"/>
    <w:rsid w:val="00E31056"/>
    <w:rsid w:val="00E31918"/>
    <w:rsid w:val="00E47967"/>
    <w:rsid w:val="00E506CA"/>
    <w:rsid w:val="00E6268F"/>
    <w:rsid w:val="00E67266"/>
    <w:rsid w:val="00E6781A"/>
    <w:rsid w:val="00E80EC3"/>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260">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008855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325910533">
      <w:bodyDiv w:val="1"/>
      <w:marLeft w:val="0"/>
      <w:marRight w:val="0"/>
      <w:marTop w:val="0"/>
      <w:marBottom w:val="0"/>
      <w:divBdr>
        <w:top w:val="none" w:sz="0" w:space="0" w:color="auto"/>
        <w:left w:val="none" w:sz="0" w:space="0" w:color="auto"/>
        <w:bottom w:val="none" w:sz="0" w:space="0" w:color="auto"/>
        <w:right w:val="none" w:sz="0" w:space="0" w:color="auto"/>
      </w:divBdr>
    </w:div>
    <w:div w:id="383255414">
      <w:bodyDiv w:val="1"/>
      <w:marLeft w:val="0"/>
      <w:marRight w:val="0"/>
      <w:marTop w:val="0"/>
      <w:marBottom w:val="0"/>
      <w:divBdr>
        <w:top w:val="none" w:sz="0" w:space="0" w:color="auto"/>
        <w:left w:val="none" w:sz="0" w:space="0" w:color="auto"/>
        <w:bottom w:val="none" w:sz="0" w:space="0" w:color="auto"/>
        <w:right w:val="none" w:sz="0" w:space="0" w:color="auto"/>
      </w:divBdr>
    </w:div>
    <w:div w:id="391007316">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692924126">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75063212">
      <w:bodyDiv w:val="1"/>
      <w:marLeft w:val="0"/>
      <w:marRight w:val="0"/>
      <w:marTop w:val="0"/>
      <w:marBottom w:val="0"/>
      <w:divBdr>
        <w:top w:val="none" w:sz="0" w:space="0" w:color="auto"/>
        <w:left w:val="none" w:sz="0" w:space="0" w:color="auto"/>
        <w:bottom w:val="none" w:sz="0" w:space="0" w:color="auto"/>
        <w:right w:val="none" w:sz="0" w:space="0" w:color="auto"/>
      </w:divBdr>
    </w:div>
    <w:div w:id="1249576658">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414661154">
      <w:bodyDiv w:val="1"/>
      <w:marLeft w:val="0"/>
      <w:marRight w:val="0"/>
      <w:marTop w:val="0"/>
      <w:marBottom w:val="0"/>
      <w:divBdr>
        <w:top w:val="none" w:sz="0" w:space="0" w:color="auto"/>
        <w:left w:val="none" w:sz="0" w:space="0" w:color="auto"/>
        <w:bottom w:val="none" w:sz="0" w:space="0" w:color="auto"/>
        <w:right w:val="none" w:sz="0" w:space="0" w:color="auto"/>
      </w:divBdr>
    </w:div>
    <w:div w:id="1582789615">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21423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178E-77B2-41A4-9D12-B5842A3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8269</Words>
  <Characters>45483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2020-04-10T05:46:00Z</dcterms:created>
  <dcterms:modified xsi:type="dcterms:W3CDTF">2020-04-28T04:36:00Z</dcterms:modified>
</cp:coreProperties>
</file>