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2B65EE" w14:textId="094D60CF" w:rsidR="001B26AA" w:rsidRPr="00437FA3" w:rsidRDefault="001B26AA" w:rsidP="00437FA3">
      <w:pPr>
        <w:tabs>
          <w:tab w:val="left" w:pos="567"/>
        </w:tabs>
        <w:spacing w:line="360" w:lineRule="auto"/>
        <w:jc w:val="center"/>
        <w:rPr>
          <w:rFonts w:ascii="Palatino Linotype" w:eastAsia="Times New Roman" w:hAnsi="Palatino Linotype" w:cs="Times New Roman"/>
          <w:b/>
        </w:rPr>
      </w:pPr>
      <w:r w:rsidRPr="00437FA3">
        <w:rPr>
          <w:rFonts w:ascii="Palatino Linotype" w:eastAsia="Times New Roman" w:hAnsi="Palatino Linotype" w:cs="Times New Roman"/>
          <w:b/>
        </w:rPr>
        <w:t>LÍNEAS ARGUMENTATIVAS</w:t>
      </w:r>
    </w:p>
    <w:p w14:paraId="7B893EAF" w14:textId="77777777" w:rsidR="0000092F" w:rsidRPr="00437FA3" w:rsidRDefault="0000092F" w:rsidP="00437FA3">
      <w:pPr>
        <w:tabs>
          <w:tab w:val="left" w:pos="567"/>
        </w:tabs>
        <w:spacing w:line="360" w:lineRule="auto"/>
        <w:jc w:val="center"/>
        <w:rPr>
          <w:rFonts w:ascii="Palatino Linotype" w:eastAsia="Times New Roman" w:hAnsi="Palatino Linotype" w:cs="Times New Roman"/>
          <w:b/>
        </w:rPr>
      </w:pPr>
    </w:p>
    <w:p w14:paraId="1E314B59" w14:textId="77777777" w:rsidR="007A53F1" w:rsidRPr="00437FA3" w:rsidRDefault="007A53F1" w:rsidP="00437FA3">
      <w:pPr>
        <w:spacing w:line="360" w:lineRule="auto"/>
        <w:jc w:val="both"/>
        <w:rPr>
          <w:rFonts w:ascii="Palatino Linotype" w:hAnsi="Palatino Linotype"/>
          <w:b/>
        </w:rPr>
      </w:pPr>
    </w:p>
    <w:p w14:paraId="2A7470F0" w14:textId="77777777" w:rsidR="00265381" w:rsidRPr="00437FA3" w:rsidRDefault="00265381" w:rsidP="00437FA3">
      <w:pPr>
        <w:spacing w:line="360" w:lineRule="auto"/>
        <w:jc w:val="both"/>
        <w:rPr>
          <w:rFonts w:ascii="Palatino Linotype" w:hAnsi="Palatino Linotype"/>
        </w:rPr>
      </w:pPr>
      <w:r w:rsidRPr="00437FA3">
        <w:rPr>
          <w:rFonts w:ascii="Palatino Linotype" w:hAnsi="Palatino Linotype"/>
          <w:b/>
        </w:rPr>
        <w:t xml:space="preserve">INFORMACIÓN CONFIDENCIAL, CLASIFICACIÓN DE LA. </w:t>
      </w:r>
      <w:r w:rsidRPr="00437FA3">
        <w:rPr>
          <w:rFonts w:ascii="Palatino Linotype" w:hAnsi="Palatino Linotype"/>
        </w:rPr>
        <w:t>Si la información, con la que se pueda responder a una solicitud de información, contiene datos personales se deberá de realizar su clasificación como información confidencial, atendiendo las formalidades establecidas por la Ley de la materia y los lineamientos generales en materia de clasificación y desclasificación de la información, así como para la elaboración de versiones públicas, de manera previa a su entrega al solicitante, de lo contrario los servidores públicos involucrados incurrirán en responsabilidad.</w:t>
      </w:r>
    </w:p>
    <w:p w14:paraId="3820B62E" w14:textId="3D5BAC87" w:rsidR="00D172C0" w:rsidRPr="00437FA3" w:rsidRDefault="00437FA3" w:rsidP="00437FA3">
      <w:pPr>
        <w:tabs>
          <w:tab w:val="left" w:pos="567"/>
        </w:tabs>
        <w:spacing w:line="360" w:lineRule="auto"/>
        <w:rPr>
          <w:rFonts w:ascii="Palatino Linotype" w:eastAsia="Times New Roman" w:hAnsi="Palatino Linotype" w:cs="Times New Roman"/>
          <w:b/>
        </w:rPr>
      </w:pPr>
      <w:r>
        <w:rPr>
          <w:rFonts w:ascii="Palatino Linotype" w:eastAsia="Times New Roman" w:hAnsi="Palatino Linotype" w:cs="Times New Roman"/>
          <w:b/>
          <w:noProof/>
          <w:lang w:val="es-MX" w:eastAsia="es-MX"/>
        </w:rPr>
        <mc:AlternateContent>
          <mc:Choice Requires="wps">
            <w:drawing>
              <wp:anchor distT="0" distB="0" distL="114300" distR="114300" simplePos="0" relativeHeight="251665408" behindDoc="0" locked="0" layoutInCell="1" allowOverlap="1" wp14:anchorId="00F696BB" wp14:editId="61E66019">
                <wp:simplePos x="0" y="0"/>
                <wp:positionH relativeFrom="column">
                  <wp:posOffset>62865</wp:posOffset>
                </wp:positionH>
                <wp:positionV relativeFrom="paragraph">
                  <wp:posOffset>69849</wp:posOffset>
                </wp:positionV>
                <wp:extent cx="5429250" cy="3305175"/>
                <wp:effectExtent l="38100" t="19050" r="76200" b="85725"/>
                <wp:wrapNone/>
                <wp:docPr id="39" name="Conector recto 39"/>
                <wp:cNvGraphicFramePr/>
                <a:graphic xmlns:a="http://schemas.openxmlformats.org/drawingml/2006/main">
                  <a:graphicData uri="http://schemas.microsoft.com/office/word/2010/wordprocessingShape">
                    <wps:wsp>
                      <wps:cNvCnPr/>
                      <wps:spPr>
                        <a:xfrm>
                          <a:off x="0" y="0"/>
                          <a:ext cx="5429250" cy="33051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A5D52B7" id="Conector recto 39"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95pt,5.5pt" to="432.45pt,2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" strokecolor="#4f81bd [3204]" strokeweight="2pt">
                <v:shadow on="t" color="black" opacity="24903f" origin=",.5" offset="0,.55556mm"/>
              </v:line>
            </w:pict>
          </mc:Fallback>
        </mc:AlternateContent>
      </w:r>
    </w:p>
    <w:p w14:paraId="501D630E" w14:textId="77777777" w:rsidR="00265381" w:rsidRPr="00437FA3" w:rsidRDefault="00265381" w:rsidP="00437FA3">
      <w:pPr>
        <w:tabs>
          <w:tab w:val="left" w:pos="567"/>
        </w:tabs>
        <w:spacing w:line="360" w:lineRule="auto"/>
        <w:rPr>
          <w:rFonts w:ascii="Palatino Linotype" w:eastAsia="Times New Roman" w:hAnsi="Palatino Linotype" w:cs="Times New Roman"/>
          <w:b/>
        </w:rPr>
      </w:pPr>
    </w:p>
    <w:p w14:paraId="126DEEF3" w14:textId="77777777" w:rsidR="00265381" w:rsidRPr="00437FA3" w:rsidRDefault="00265381" w:rsidP="00437FA3">
      <w:pPr>
        <w:tabs>
          <w:tab w:val="left" w:pos="567"/>
        </w:tabs>
        <w:spacing w:line="360" w:lineRule="auto"/>
        <w:rPr>
          <w:rFonts w:ascii="Palatino Linotype" w:eastAsia="Times New Roman" w:hAnsi="Palatino Linotype" w:cs="Times New Roman"/>
          <w:b/>
        </w:rPr>
      </w:pPr>
    </w:p>
    <w:p w14:paraId="1E74921B" w14:textId="77777777" w:rsidR="00265381" w:rsidRPr="00437FA3" w:rsidRDefault="00265381" w:rsidP="00437FA3">
      <w:pPr>
        <w:tabs>
          <w:tab w:val="left" w:pos="567"/>
        </w:tabs>
        <w:spacing w:line="360" w:lineRule="auto"/>
        <w:rPr>
          <w:rFonts w:ascii="Palatino Linotype" w:eastAsia="Times New Roman" w:hAnsi="Palatino Linotype" w:cs="Times New Roman"/>
          <w:b/>
        </w:rPr>
      </w:pPr>
    </w:p>
    <w:p w14:paraId="7915E7A1" w14:textId="77777777" w:rsidR="00265381" w:rsidRPr="00437FA3" w:rsidRDefault="00265381" w:rsidP="00437FA3">
      <w:pPr>
        <w:tabs>
          <w:tab w:val="left" w:pos="567"/>
        </w:tabs>
        <w:spacing w:line="360" w:lineRule="auto"/>
        <w:rPr>
          <w:rFonts w:ascii="Palatino Linotype" w:eastAsia="Times New Roman" w:hAnsi="Palatino Linotype" w:cs="Times New Roman"/>
          <w:b/>
        </w:rPr>
      </w:pPr>
    </w:p>
    <w:p w14:paraId="5863F2D0" w14:textId="77777777" w:rsidR="00265381" w:rsidRPr="00437FA3" w:rsidRDefault="00265381" w:rsidP="00437FA3">
      <w:pPr>
        <w:tabs>
          <w:tab w:val="left" w:pos="567"/>
        </w:tabs>
        <w:spacing w:line="360" w:lineRule="auto"/>
        <w:rPr>
          <w:rFonts w:ascii="Palatino Linotype" w:eastAsia="Times New Roman" w:hAnsi="Palatino Linotype" w:cs="Times New Roman"/>
          <w:b/>
        </w:rPr>
      </w:pPr>
    </w:p>
    <w:p w14:paraId="722B7275" w14:textId="77777777" w:rsidR="00505269" w:rsidRPr="00437FA3" w:rsidRDefault="00505269" w:rsidP="00437FA3">
      <w:pPr>
        <w:tabs>
          <w:tab w:val="left" w:pos="567"/>
        </w:tabs>
        <w:spacing w:line="360" w:lineRule="auto"/>
        <w:rPr>
          <w:rFonts w:ascii="Palatino Linotype" w:eastAsia="Times New Roman" w:hAnsi="Palatino Linotype" w:cs="Times New Roman"/>
          <w:b/>
        </w:rPr>
      </w:pPr>
    </w:p>
    <w:p w14:paraId="07D2EBF7" w14:textId="77777777" w:rsidR="00505269" w:rsidRPr="00437FA3" w:rsidRDefault="00505269" w:rsidP="00437FA3">
      <w:pPr>
        <w:tabs>
          <w:tab w:val="left" w:pos="567"/>
        </w:tabs>
        <w:spacing w:line="360" w:lineRule="auto"/>
        <w:rPr>
          <w:rFonts w:ascii="Palatino Linotype" w:eastAsia="Times New Roman" w:hAnsi="Palatino Linotype" w:cs="Times New Roman"/>
          <w:b/>
        </w:rPr>
      </w:pPr>
    </w:p>
    <w:p w14:paraId="3B13E076" w14:textId="77777777" w:rsidR="00505269" w:rsidRPr="00437FA3" w:rsidRDefault="00505269" w:rsidP="00437FA3">
      <w:pPr>
        <w:tabs>
          <w:tab w:val="left" w:pos="567"/>
        </w:tabs>
        <w:spacing w:line="360" w:lineRule="auto"/>
        <w:rPr>
          <w:rFonts w:ascii="Palatino Linotype" w:eastAsia="Times New Roman" w:hAnsi="Palatino Linotype" w:cs="Times New Roman"/>
          <w:b/>
        </w:rPr>
      </w:pPr>
    </w:p>
    <w:sdt>
      <w:sdtPr>
        <w:rPr>
          <w:rFonts w:asciiTheme="minorHAnsi" w:eastAsiaTheme="minorEastAsia" w:hAnsiTheme="minorHAnsi" w:cstheme="minorBidi"/>
          <w:b w:val="0"/>
          <w:color w:val="auto"/>
          <w:szCs w:val="24"/>
          <w:lang w:val="es-ES" w:eastAsia="es-ES"/>
        </w:rPr>
        <w:id w:val="-859809631"/>
        <w:docPartObj>
          <w:docPartGallery w:val="Table of Contents"/>
          <w:docPartUnique/>
        </w:docPartObj>
      </w:sdtPr>
      <w:sdtEndPr>
        <w:rPr>
          <w:bCs/>
        </w:rPr>
      </w:sdtEndPr>
      <w:sdtContent>
        <w:p w14:paraId="54D7BD84" w14:textId="0929F659" w:rsidR="008826F4" w:rsidRDefault="00C220D2" w:rsidP="00437FA3">
          <w:pPr>
            <w:pStyle w:val="TtulodeTDC"/>
            <w:spacing w:line="360" w:lineRule="auto"/>
            <w:jc w:val="center"/>
            <w:rPr>
              <w:szCs w:val="24"/>
              <w:lang w:val="es-ES"/>
            </w:rPr>
          </w:pPr>
          <w:r w:rsidRPr="00437FA3">
            <w:rPr>
              <w:szCs w:val="24"/>
              <w:lang w:val="es-ES"/>
            </w:rPr>
            <w:t>ÍNDICE</w:t>
          </w:r>
        </w:p>
        <w:p w14:paraId="5218F8B9" w14:textId="77777777" w:rsidR="00437FA3" w:rsidRPr="00437FA3" w:rsidRDefault="00437FA3" w:rsidP="00437FA3">
          <w:pPr>
            <w:spacing w:before="240"/>
            <w:rPr>
              <w:lang w:val="es-ES" w:eastAsia="es-MX"/>
            </w:rPr>
          </w:pPr>
        </w:p>
        <w:p w14:paraId="6240BE44" w14:textId="77777777" w:rsidR="00860B69" w:rsidRPr="00437FA3" w:rsidRDefault="0011338C" w:rsidP="00437FA3">
          <w:pPr>
            <w:pStyle w:val="TDC1"/>
            <w:spacing w:before="240"/>
            <w:rPr>
              <w:rFonts w:ascii="Palatino Linotype" w:hAnsi="Palatino Linotype"/>
              <w:noProof/>
              <w:lang w:val="es-MX" w:eastAsia="es-MX"/>
            </w:rPr>
          </w:pPr>
          <w:r w:rsidRPr="00437FA3">
            <w:rPr>
              <w:rFonts w:ascii="Palatino Linotype" w:hAnsi="Palatino Linotype"/>
            </w:rPr>
            <w:fldChar w:fldCharType="begin"/>
          </w:r>
          <w:r w:rsidRPr="00437FA3">
            <w:rPr>
              <w:rFonts w:ascii="Palatino Linotype" w:hAnsi="Palatino Linotype"/>
            </w:rPr>
            <w:instrText xml:space="preserve"> TOC \o "1-3" \h \z \u </w:instrText>
          </w:r>
          <w:r w:rsidRPr="00437FA3">
            <w:rPr>
              <w:rFonts w:ascii="Palatino Linotype" w:hAnsi="Palatino Linotype"/>
            </w:rPr>
            <w:fldChar w:fldCharType="separate"/>
          </w:r>
          <w:hyperlink w:anchor="_Toc7787162" w:history="1">
            <w:r w:rsidR="00860B69" w:rsidRPr="00437FA3">
              <w:rPr>
                <w:rStyle w:val="Hipervnculo"/>
                <w:rFonts w:ascii="Palatino Linotype" w:hAnsi="Palatino Linotype"/>
                <w:noProof/>
              </w:rPr>
              <w:t>ANTECEDENTES</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_Toc7787162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4</w:t>
            </w:r>
            <w:r w:rsidR="00860B69" w:rsidRPr="00437FA3">
              <w:rPr>
                <w:rFonts w:ascii="Palatino Linotype" w:hAnsi="Palatino Linotype"/>
                <w:noProof/>
                <w:webHidden/>
              </w:rPr>
              <w:fldChar w:fldCharType="end"/>
            </w:r>
          </w:hyperlink>
        </w:p>
        <w:p w14:paraId="68D02AC4" w14:textId="77777777" w:rsidR="00860B69" w:rsidRPr="00437FA3" w:rsidRDefault="00FF0E51" w:rsidP="00437FA3">
          <w:pPr>
            <w:pStyle w:val="TDC2"/>
            <w:spacing w:before="240"/>
            <w:rPr>
              <w:rFonts w:ascii="Palatino Linotype" w:hAnsi="Palatino Linotype"/>
              <w:noProof/>
              <w:lang w:val="es-MX" w:eastAsia="es-MX"/>
            </w:rPr>
          </w:pPr>
          <w:hyperlink w:anchor="_Toc7787163" w:history="1">
            <w:r w:rsidR="00860B69" w:rsidRPr="00437FA3">
              <w:rPr>
                <w:rStyle w:val="Hipervnculo"/>
                <w:rFonts w:ascii="Palatino Linotype" w:hAnsi="Palatino Linotype"/>
                <w:noProof/>
                <w:lang w:val="es-ES"/>
              </w:rPr>
              <w:t>a) Acto impugnado:</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_Toc7787163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7</w:t>
            </w:r>
            <w:r w:rsidR="00860B69" w:rsidRPr="00437FA3">
              <w:rPr>
                <w:rFonts w:ascii="Palatino Linotype" w:hAnsi="Palatino Linotype"/>
                <w:noProof/>
                <w:webHidden/>
              </w:rPr>
              <w:fldChar w:fldCharType="end"/>
            </w:r>
          </w:hyperlink>
        </w:p>
        <w:p w14:paraId="150588E8" w14:textId="77777777" w:rsidR="00860B69" w:rsidRPr="00437FA3" w:rsidRDefault="00FF0E51" w:rsidP="00437FA3">
          <w:pPr>
            <w:pStyle w:val="TDC2"/>
            <w:spacing w:before="240"/>
            <w:rPr>
              <w:rFonts w:ascii="Palatino Linotype" w:hAnsi="Palatino Linotype"/>
              <w:noProof/>
              <w:lang w:val="es-MX" w:eastAsia="es-MX"/>
            </w:rPr>
          </w:pPr>
          <w:hyperlink w:anchor="_Toc7787164" w:history="1">
            <w:r w:rsidR="00860B69" w:rsidRPr="00437FA3">
              <w:rPr>
                <w:rStyle w:val="Hipervnculo"/>
                <w:rFonts w:ascii="Palatino Linotype" w:hAnsi="Palatino Linotype"/>
                <w:noProof/>
                <w:lang w:val="es-ES"/>
              </w:rPr>
              <w:t>b) Razones o Motivos de inconformidad:</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_Toc7787164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8</w:t>
            </w:r>
            <w:r w:rsidR="00860B69" w:rsidRPr="00437FA3">
              <w:rPr>
                <w:rFonts w:ascii="Palatino Linotype" w:hAnsi="Palatino Linotype"/>
                <w:noProof/>
                <w:webHidden/>
              </w:rPr>
              <w:fldChar w:fldCharType="end"/>
            </w:r>
          </w:hyperlink>
        </w:p>
        <w:p w14:paraId="1061EEBF" w14:textId="77777777" w:rsidR="00860B69" w:rsidRPr="00437FA3" w:rsidRDefault="00FF0E51" w:rsidP="00437FA3">
          <w:pPr>
            <w:pStyle w:val="TDC1"/>
            <w:spacing w:before="240"/>
            <w:rPr>
              <w:rFonts w:ascii="Palatino Linotype" w:hAnsi="Palatino Linotype"/>
              <w:noProof/>
              <w:lang w:val="es-MX" w:eastAsia="es-MX"/>
            </w:rPr>
          </w:pPr>
          <w:hyperlink w:anchor="_Toc7787165" w:history="1">
            <w:r w:rsidR="00860B69" w:rsidRPr="00437FA3">
              <w:rPr>
                <w:rStyle w:val="Hipervnculo"/>
                <w:rFonts w:ascii="Palatino Linotype" w:hAnsi="Palatino Linotype"/>
                <w:noProof/>
              </w:rPr>
              <w:t>CONSIDERANDO</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_Toc7787165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w:t>
            </w:r>
            <w:r w:rsidR="00860B69" w:rsidRPr="00437FA3">
              <w:rPr>
                <w:rFonts w:ascii="Palatino Linotype" w:hAnsi="Palatino Linotype"/>
                <w:noProof/>
                <w:webHidden/>
              </w:rPr>
              <w:fldChar w:fldCharType="end"/>
            </w:r>
          </w:hyperlink>
        </w:p>
        <w:p w14:paraId="1810CD49" w14:textId="77777777" w:rsidR="00860B69" w:rsidRPr="00437FA3" w:rsidRDefault="00FF0E51" w:rsidP="00437FA3">
          <w:pPr>
            <w:pStyle w:val="TDC1"/>
            <w:spacing w:before="240"/>
            <w:rPr>
              <w:rFonts w:ascii="Palatino Linotype" w:hAnsi="Palatino Linotype"/>
              <w:noProof/>
              <w:lang w:val="es-MX" w:eastAsia="es-MX"/>
            </w:rPr>
          </w:pPr>
          <w:hyperlink w:anchor="_Toc7787166" w:history="1">
            <w:r w:rsidR="00860B69" w:rsidRPr="00437FA3">
              <w:rPr>
                <w:rStyle w:val="Hipervnculo"/>
                <w:rFonts w:ascii="Palatino Linotype" w:hAnsi="Palatino Linotype"/>
                <w:noProof/>
              </w:rPr>
              <w:t>PRIMERO. De la competencia</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_Toc7787166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w:t>
            </w:r>
            <w:r w:rsidR="00860B69" w:rsidRPr="00437FA3">
              <w:rPr>
                <w:rFonts w:ascii="Palatino Linotype" w:hAnsi="Palatino Linotype"/>
                <w:noProof/>
                <w:webHidden/>
              </w:rPr>
              <w:fldChar w:fldCharType="end"/>
            </w:r>
          </w:hyperlink>
        </w:p>
        <w:p w14:paraId="57A03053" w14:textId="77777777" w:rsidR="00860B69" w:rsidRPr="00437FA3" w:rsidRDefault="00FF0E51" w:rsidP="00437FA3">
          <w:pPr>
            <w:pStyle w:val="TDC1"/>
            <w:spacing w:before="240"/>
            <w:rPr>
              <w:rFonts w:ascii="Palatino Linotype" w:hAnsi="Palatino Linotype"/>
              <w:noProof/>
              <w:lang w:val="es-MX" w:eastAsia="es-MX"/>
            </w:rPr>
          </w:pPr>
          <w:hyperlink w:anchor="_Toc7787167" w:history="1">
            <w:r w:rsidR="00860B69" w:rsidRPr="00437FA3">
              <w:rPr>
                <w:rStyle w:val="Hipervnculo"/>
                <w:rFonts w:ascii="Palatino Linotype" w:hAnsi="Palatino Linotype"/>
                <w:noProof/>
              </w:rPr>
              <w:t>SEGUNDO. De la oportunidad y procedencia.</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_Toc7787167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12</w:t>
            </w:r>
            <w:r w:rsidR="00860B69" w:rsidRPr="00437FA3">
              <w:rPr>
                <w:rFonts w:ascii="Palatino Linotype" w:hAnsi="Palatino Linotype"/>
                <w:noProof/>
                <w:webHidden/>
              </w:rPr>
              <w:fldChar w:fldCharType="end"/>
            </w:r>
          </w:hyperlink>
        </w:p>
        <w:p w14:paraId="376AD2F1" w14:textId="77777777" w:rsidR="00860B69" w:rsidRPr="00437FA3" w:rsidRDefault="00FF0E51" w:rsidP="00437FA3">
          <w:pPr>
            <w:pStyle w:val="TDC2"/>
            <w:spacing w:before="240"/>
            <w:rPr>
              <w:rFonts w:ascii="Palatino Linotype" w:hAnsi="Palatino Linotype"/>
              <w:noProof/>
              <w:lang w:val="es-MX" w:eastAsia="es-MX"/>
            </w:rPr>
          </w:pPr>
          <w:hyperlink w:anchor="_Toc7787168" w:history="1">
            <w:r w:rsidR="00860B69" w:rsidRPr="00437FA3">
              <w:rPr>
                <w:rStyle w:val="Hipervnculo"/>
                <w:rFonts w:ascii="Palatino Linotype" w:hAnsi="Palatino Linotype"/>
                <w:noProof/>
              </w:rPr>
              <w:t>TERCERO. Del planteamiento de la litis.</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_Toc7787168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17</w:t>
            </w:r>
            <w:r w:rsidR="00860B69" w:rsidRPr="00437FA3">
              <w:rPr>
                <w:rFonts w:ascii="Palatino Linotype" w:hAnsi="Palatino Linotype"/>
                <w:noProof/>
                <w:webHidden/>
              </w:rPr>
              <w:fldChar w:fldCharType="end"/>
            </w:r>
          </w:hyperlink>
        </w:p>
        <w:p w14:paraId="182B4BE2" w14:textId="77777777" w:rsidR="00860B69" w:rsidRPr="00437FA3" w:rsidRDefault="00FF0E51" w:rsidP="00437FA3">
          <w:pPr>
            <w:pStyle w:val="TDC2"/>
            <w:spacing w:before="240"/>
            <w:rPr>
              <w:rFonts w:ascii="Palatino Linotype" w:hAnsi="Palatino Linotype"/>
              <w:noProof/>
              <w:lang w:val="es-MX" w:eastAsia="es-MX"/>
            </w:rPr>
          </w:pPr>
          <w:hyperlink w:anchor="_Toc7787169" w:history="1">
            <w:r w:rsidR="00860B69" w:rsidRPr="00437FA3">
              <w:rPr>
                <w:rStyle w:val="Hipervnculo"/>
                <w:rFonts w:ascii="Palatino Linotype" w:hAnsi="Palatino Linotype"/>
                <w:noProof/>
              </w:rPr>
              <w:t>CUARTO. Del estudio y resolución del asunto.</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_Toc7787169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18</w:t>
            </w:r>
            <w:r w:rsidR="00860B69" w:rsidRPr="00437FA3">
              <w:rPr>
                <w:rFonts w:ascii="Palatino Linotype" w:hAnsi="Palatino Linotype"/>
                <w:noProof/>
                <w:webHidden/>
              </w:rPr>
              <w:fldChar w:fldCharType="end"/>
            </w:r>
          </w:hyperlink>
        </w:p>
        <w:p w14:paraId="500AD8E5" w14:textId="77777777" w:rsidR="00860B69" w:rsidRPr="00437FA3" w:rsidRDefault="00FF0E51" w:rsidP="00437FA3">
          <w:pPr>
            <w:pStyle w:val="TDC2"/>
            <w:tabs>
              <w:tab w:val="left" w:pos="660"/>
            </w:tabs>
            <w:spacing w:before="240"/>
            <w:rPr>
              <w:rFonts w:ascii="Palatino Linotype" w:hAnsi="Palatino Linotype"/>
              <w:noProof/>
              <w:lang w:val="es-MX" w:eastAsia="es-MX"/>
            </w:rPr>
          </w:pPr>
          <w:hyperlink w:anchor="_Toc7787170" w:history="1">
            <w:r w:rsidR="00860B69" w:rsidRPr="00437FA3">
              <w:rPr>
                <w:rStyle w:val="Hipervnculo"/>
                <w:rFonts w:ascii="Palatino Linotype" w:eastAsia="MS Gothic" w:hAnsi="Palatino Linotype" w:cs="Times New Roman"/>
                <w:b/>
                <w:noProof/>
              </w:rPr>
              <w:t>I.</w:t>
            </w:r>
            <w:r w:rsidR="00860B69" w:rsidRPr="00437FA3">
              <w:rPr>
                <w:rFonts w:ascii="Palatino Linotype" w:hAnsi="Palatino Linotype"/>
                <w:noProof/>
                <w:lang w:val="es-MX" w:eastAsia="es-MX"/>
              </w:rPr>
              <w:tab/>
            </w:r>
            <w:r w:rsidR="00860B69" w:rsidRPr="00437FA3">
              <w:rPr>
                <w:rStyle w:val="Hipervnculo"/>
                <w:rFonts w:ascii="Palatino Linotype" w:eastAsia="MS Gothic" w:hAnsi="Palatino Linotype" w:cs="Times New Roman"/>
                <w:b/>
                <w:noProof/>
              </w:rPr>
              <w:t>Del deber de las autoridades de promover, respetar, proteger y garantizar el derecho de acceso a la información pública.</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_Toc7787170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18</w:t>
            </w:r>
            <w:r w:rsidR="00860B69" w:rsidRPr="00437FA3">
              <w:rPr>
                <w:rFonts w:ascii="Palatino Linotype" w:hAnsi="Palatino Linotype"/>
                <w:noProof/>
                <w:webHidden/>
              </w:rPr>
              <w:fldChar w:fldCharType="end"/>
            </w:r>
          </w:hyperlink>
        </w:p>
        <w:p w14:paraId="4B2FA115" w14:textId="77777777" w:rsidR="00860B69" w:rsidRPr="00437FA3" w:rsidRDefault="00FF0E51" w:rsidP="00437FA3">
          <w:pPr>
            <w:pStyle w:val="TDC2"/>
            <w:spacing w:before="240"/>
            <w:rPr>
              <w:rFonts w:ascii="Palatino Linotype" w:hAnsi="Palatino Linotype"/>
              <w:noProof/>
              <w:lang w:val="es-MX" w:eastAsia="es-MX"/>
            </w:rPr>
          </w:pPr>
          <w:hyperlink w:anchor="_Toc7787171" w:history="1">
            <w:r w:rsidR="00860B69" w:rsidRPr="00437FA3">
              <w:rPr>
                <w:rStyle w:val="Hipervnculo"/>
                <w:rFonts w:ascii="Palatino Linotype" w:hAnsi="Palatino Linotype"/>
                <w:noProof/>
              </w:rPr>
              <w:t>II. De la falta de respuesta a la solicitud de información.</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_Toc7787171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21</w:t>
            </w:r>
            <w:r w:rsidR="00860B69" w:rsidRPr="00437FA3">
              <w:rPr>
                <w:rFonts w:ascii="Palatino Linotype" w:hAnsi="Palatino Linotype"/>
                <w:noProof/>
                <w:webHidden/>
              </w:rPr>
              <w:fldChar w:fldCharType="end"/>
            </w:r>
          </w:hyperlink>
        </w:p>
        <w:p w14:paraId="7D437EF0" w14:textId="77777777" w:rsidR="00860B69" w:rsidRPr="00437FA3" w:rsidRDefault="00FF0E51" w:rsidP="00437FA3">
          <w:pPr>
            <w:pStyle w:val="TDC2"/>
            <w:spacing w:before="240"/>
            <w:rPr>
              <w:rFonts w:ascii="Palatino Linotype" w:hAnsi="Palatino Linotype"/>
              <w:noProof/>
              <w:lang w:val="es-MX" w:eastAsia="es-MX"/>
            </w:rPr>
          </w:pPr>
          <w:hyperlink w:anchor="_Toc7787172" w:history="1">
            <w:r w:rsidR="00860B69" w:rsidRPr="00437FA3">
              <w:rPr>
                <w:rStyle w:val="Hipervnculo"/>
                <w:rFonts w:ascii="Palatino Linotype" w:hAnsi="Palatino Linotype"/>
                <w:noProof/>
              </w:rPr>
              <w:t>III. De la versión pública.</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_Toc7787172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110</w:t>
            </w:r>
            <w:r w:rsidR="00860B69" w:rsidRPr="00437FA3">
              <w:rPr>
                <w:rFonts w:ascii="Palatino Linotype" w:hAnsi="Palatino Linotype"/>
                <w:noProof/>
                <w:webHidden/>
              </w:rPr>
              <w:fldChar w:fldCharType="end"/>
            </w:r>
          </w:hyperlink>
        </w:p>
        <w:p w14:paraId="2169B500" w14:textId="77777777" w:rsidR="00860B69" w:rsidRDefault="00FF0E51" w:rsidP="00437FA3">
          <w:pPr>
            <w:pStyle w:val="TDC2"/>
            <w:spacing w:before="240"/>
            <w:rPr>
              <w:rFonts w:ascii="Palatino Linotype" w:hAnsi="Palatino Linotype"/>
              <w:noProof/>
            </w:rPr>
          </w:pPr>
          <w:hyperlink w:anchor="_Toc7787173" w:history="1">
            <w:r w:rsidR="00860B69" w:rsidRPr="00437FA3">
              <w:rPr>
                <w:rStyle w:val="Hipervnculo"/>
                <w:rFonts w:ascii="Palatino Linotype" w:hAnsi="Palatino Linotype"/>
                <w:noProof/>
              </w:rPr>
              <w:t>IV. Requisitos previos.</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_Toc7787173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113</w:t>
            </w:r>
            <w:r w:rsidR="00860B69" w:rsidRPr="00437FA3">
              <w:rPr>
                <w:rFonts w:ascii="Palatino Linotype" w:hAnsi="Palatino Linotype"/>
                <w:noProof/>
                <w:webHidden/>
              </w:rPr>
              <w:fldChar w:fldCharType="end"/>
            </w:r>
          </w:hyperlink>
        </w:p>
        <w:p w14:paraId="4561D00D" w14:textId="77777777" w:rsidR="00437FA3" w:rsidRDefault="00437FA3" w:rsidP="00437FA3">
          <w:pPr>
            <w:rPr>
              <w:noProof/>
            </w:rPr>
          </w:pPr>
        </w:p>
        <w:p w14:paraId="03156741" w14:textId="77777777" w:rsidR="00437FA3" w:rsidRPr="00437FA3" w:rsidRDefault="00437FA3" w:rsidP="00437FA3">
          <w:pPr>
            <w:rPr>
              <w:noProof/>
            </w:rPr>
          </w:pPr>
        </w:p>
        <w:p w14:paraId="6F51858F" w14:textId="77777777" w:rsidR="00860B69" w:rsidRPr="00437FA3" w:rsidRDefault="00FF0E51" w:rsidP="00437FA3">
          <w:pPr>
            <w:pStyle w:val="TDC2"/>
            <w:spacing w:before="240"/>
            <w:rPr>
              <w:rFonts w:ascii="Palatino Linotype" w:hAnsi="Palatino Linotype"/>
              <w:noProof/>
              <w:lang w:val="es-MX" w:eastAsia="es-MX"/>
            </w:rPr>
          </w:pPr>
          <w:hyperlink w:anchor="_Toc7787174" w:history="1">
            <w:r w:rsidR="00860B69" w:rsidRPr="00437FA3">
              <w:rPr>
                <w:rStyle w:val="Hipervnculo"/>
                <w:rFonts w:ascii="Palatino Linotype" w:hAnsi="Palatino Linotype"/>
                <w:noProof/>
              </w:rPr>
              <w:t xml:space="preserve">IV. </w:t>
            </w:r>
            <w:r w:rsidR="00860B69" w:rsidRPr="00437FA3">
              <w:rPr>
                <w:rStyle w:val="Hipervnculo"/>
                <w:rFonts w:ascii="Palatino Linotype" w:eastAsia="MS Mincho" w:hAnsi="Palatino Linotype" w:cs="Times New Roman"/>
                <w:noProof/>
              </w:rPr>
              <w:t>Supuestos de clasificación.</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_Toc7787174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114</w:t>
            </w:r>
            <w:r w:rsidR="00860B69" w:rsidRPr="00437FA3">
              <w:rPr>
                <w:rFonts w:ascii="Palatino Linotype" w:hAnsi="Palatino Linotype"/>
                <w:noProof/>
                <w:webHidden/>
              </w:rPr>
              <w:fldChar w:fldCharType="end"/>
            </w:r>
          </w:hyperlink>
        </w:p>
        <w:p w14:paraId="257DA082" w14:textId="77777777" w:rsidR="00860B69" w:rsidRPr="00437FA3" w:rsidRDefault="00FF0E51" w:rsidP="00437FA3">
          <w:pPr>
            <w:pStyle w:val="TDC2"/>
            <w:spacing w:before="240"/>
            <w:rPr>
              <w:rFonts w:ascii="Palatino Linotype" w:hAnsi="Palatino Linotype"/>
              <w:noProof/>
              <w:lang w:val="es-MX" w:eastAsia="es-MX"/>
            </w:rPr>
          </w:pPr>
          <w:hyperlink w:anchor="_Toc7787175" w:history="1">
            <w:r w:rsidR="00860B69" w:rsidRPr="00437FA3">
              <w:rPr>
                <w:rStyle w:val="Hipervnculo"/>
                <w:rFonts w:ascii="Palatino Linotype" w:hAnsi="Palatino Linotype"/>
                <w:noProof/>
              </w:rPr>
              <w:t>V. La intervención del Comité de Transparencia.</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_Toc7787175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116</w:t>
            </w:r>
            <w:r w:rsidR="00860B69" w:rsidRPr="00437FA3">
              <w:rPr>
                <w:rFonts w:ascii="Palatino Linotype" w:hAnsi="Palatino Linotype"/>
                <w:noProof/>
                <w:webHidden/>
              </w:rPr>
              <w:fldChar w:fldCharType="end"/>
            </w:r>
          </w:hyperlink>
        </w:p>
        <w:p w14:paraId="5F8361E2" w14:textId="77777777" w:rsidR="00860B69" w:rsidRPr="00437FA3" w:rsidRDefault="00FF0E51" w:rsidP="00437FA3">
          <w:pPr>
            <w:pStyle w:val="TDC3"/>
            <w:tabs>
              <w:tab w:val="right" w:leader="dot" w:pos="8779"/>
            </w:tabs>
            <w:spacing w:before="240" w:line="360" w:lineRule="auto"/>
            <w:rPr>
              <w:rFonts w:ascii="Palatino Linotype" w:hAnsi="Palatino Linotype"/>
              <w:noProof/>
              <w:lang w:val="es-MX" w:eastAsia="es-MX"/>
            </w:rPr>
          </w:pPr>
          <w:hyperlink w:anchor="_Toc7787176" w:history="1">
            <w:r w:rsidR="00860B69" w:rsidRPr="00437FA3">
              <w:rPr>
                <w:rStyle w:val="Hipervnculo"/>
                <w:rFonts w:ascii="Palatino Linotype" w:hAnsi="Palatino Linotype"/>
                <w:b/>
                <w:noProof/>
                <w:lang w:val="es-MX" w:eastAsia="en-US"/>
              </w:rPr>
              <w:t>A. Formalidades para emitir el acuerdo de clasificación.</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_Toc7787176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117</w:t>
            </w:r>
            <w:r w:rsidR="00860B69" w:rsidRPr="00437FA3">
              <w:rPr>
                <w:rFonts w:ascii="Palatino Linotype" w:hAnsi="Palatino Linotype"/>
                <w:noProof/>
                <w:webHidden/>
              </w:rPr>
              <w:fldChar w:fldCharType="end"/>
            </w:r>
          </w:hyperlink>
        </w:p>
        <w:p w14:paraId="4E4EFFF4" w14:textId="77777777" w:rsidR="00860B69" w:rsidRPr="00437FA3" w:rsidRDefault="00FF0E51" w:rsidP="00437FA3">
          <w:pPr>
            <w:pStyle w:val="TDC3"/>
            <w:tabs>
              <w:tab w:val="right" w:leader="dot" w:pos="8779"/>
            </w:tabs>
            <w:spacing w:before="240" w:line="360" w:lineRule="auto"/>
            <w:rPr>
              <w:rFonts w:ascii="Palatino Linotype" w:hAnsi="Palatino Linotype"/>
              <w:noProof/>
              <w:lang w:val="es-MX" w:eastAsia="es-MX"/>
            </w:rPr>
          </w:pPr>
          <w:hyperlink w:anchor="_Toc7787177" w:history="1">
            <w:r w:rsidR="00860B69" w:rsidRPr="00437FA3">
              <w:rPr>
                <w:rStyle w:val="Hipervnculo"/>
                <w:rFonts w:ascii="Palatino Linotype" w:hAnsi="Palatino Linotype"/>
                <w:b/>
                <w:noProof/>
              </w:rPr>
              <w:t>B. Requisitos de fondo del acuerdo de clasificación.</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_Toc7787177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118</w:t>
            </w:r>
            <w:r w:rsidR="00860B69" w:rsidRPr="00437FA3">
              <w:rPr>
                <w:rFonts w:ascii="Palatino Linotype" w:hAnsi="Palatino Linotype"/>
                <w:noProof/>
                <w:webHidden/>
              </w:rPr>
              <w:fldChar w:fldCharType="end"/>
            </w:r>
          </w:hyperlink>
        </w:p>
        <w:p w14:paraId="47BE2036" w14:textId="77777777" w:rsidR="00860B69" w:rsidRPr="00437FA3" w:rsidRDefault="00FF0E51" w:rsidP="00437FA3">
          <w:pPr>
            <w:pStyle w:val="TDC1"/>
            <w:spacing w:before="240"/>
            <w:rPr>
              <w:rFonts w:ascii="Palatino Linotype" w:hAnsi="Palatino Linotype"/>
              <w:noProof/>
              <w:lang w:val="es-MX" w:eastAsia="es-MX"/>
            </w:rPr>
          </w:pPr>
          <w:hyperlink w:anchor="_Toc7787178" w:history="1">
            <w:r w:rsidR="00860B69" w:rsidRPr="00437FA3">
              <w:rPr>
                <w:rStyle w:val="Hipervnculo"/>
                <w:rFonts w:ascii="Palatino Linotype" w:eastAsia="MS Gothic" w:hAnsi="Palatino Linotype"/>
                <w:noProof/>
              </w:rPr>
              <w:t>QUINTO. Vista a los órganos de control interno.</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_Toc7787178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124</w:t>
            </w:r>
            <w:r w:rsidR="00860B69" w:rsidRPr="00437FA3">
              <w:rPr>
                <w:rFonts w:ascii="Palatino Linotype" w:hAnsi="Palatino Linotype"/>
                <w:noProof/>
                <w:webHidden/>
              </w:rPr>
              <w:fldChar w:fldCharType="end"/>
            </w:r>
          </w:hyperlink>
        </w:p>
        <w:p w14:paraId="63E69906" w14:textId="77777777" w:rsidR="00860B69" w:rsidRPr="00437FA3" w:rsidRDefault="00FF0E51" w:rsidP="00437FA3">
          <w:pPr>
            <w:pStyle w:val="TDC1"/>
            <w:spacing w:before="240"/>
            <w:rPr>
              <w:rFonts w:ascii="Palatino Linotype" w:hAnsi="Palatino Linotype"/>
              <w:noProof/>
              <w:lang w:val="es-MX" w:eastAsia="es-MX"/>
            </w:rPr>
          </w:pPr>
          <w:hyperlink w:anchor="_Toc7787179" w:history="1">
            <w:r w:rsidR="00860B69" w:rsidRPr="00437FA3">
              <w:rPr>
                <w:rStyle w:val="Hipervnculo"/>
                <w:rFonts w:ascii="Palatino Linotype" w:eastAsia="Calibri" w:hAnsi="Palatino Linotype"/>
                <w:noProof/>
                <w:lang w:val="es-ES"/>
              </w:rPr>
              <w:t>R E S O L U T I V O S</w:t>
            </w:r>
            <w:r w:rsidR="00860B69" w:rsidRPr="00437FA3">
              <w:rPr>
                <w:rFonts w:ascii="Palatino Linotype" w:hAnsi="Palatino Linotype"/>
                <w:noProof/>
                <w:webHidden/>
              </w:rPr>
              <w:tab/>
            </w:r>
            <w:r w:rsidR="00860B69" w:rsidRPr="00437FA3">
              <w:rPr>
                <w:rFonts w:ascii="Palatino Linotype" w:hAnsi="Palatino Linotype"/>
                <w:noProof/>
                <w:webHidden/>
              </w:rPr>
              <w:fldChar w:fldCharType="begin"/>
            </w:r>
            <w:r w:rsidR="00860B69" w:rsidRPr="00437FA3">
              <w:rPr>
                <w:rFonts w:ascii="Palatino Linotype" w:hAnsi="Palatino Linotype"/>
                <w:noProof/>
                <w:webHidden/>
              </w:rPr>
              <w:instrText xml:space="preserve"> PAGEREF _Toc7787179 \h </w:instrText>
            </w:r>
            <w:r w:rsidR="00860B69" w:rsidRPr="00437FA3">
              <w:rPr>
                <w:rFonts w:ascii="Palatino Linotype" w:hAnsi="Palatino Linotype"/>
                <w:noProof/>
                <w:webHidden/>
              </w:rPr>
            </w:r>
            <w:r w:rsidR="00860B69" w:rsidRPr="00437FA3">
              <w:rPr>
                <w:rFonts w:ascii="Palatino Linotype" w:hAnsi="Palatino Linotype"/>
                <w:noProof/>
                <w:webHidden/>
              </w:rPr>
              <w:fldChar w:fldCharType="separate"/>
            </w:r>
            <w:r w:rsidR="000B524B">
              <w:rPr>
                <w:rFonts w:ascii="Palatino Linotype" w:hAnsi="Palatino Linotype"/>
                <w:noProof/>
                <w:webHidden/>
              </w:rPr>
              <w:t>128</w:t>
            </w:r>
            <w:r w:rsidR="00860B69" w:rsidRPr="00437FA3">
              <w:rPr>
                <w:rFonts w:ascii="Palatino Linotype" w:hAnsi="Palatino Linotype"/>
                <w:noProof/>
                <w:webHidden/>
              </w:rPr>
              <w:fldChar w:fldCharType="end"/>
            </w:r>
          </w:hyperlink>
        </w:p>
        <w:p w14:paraId="28ADAC5A" w14:textId="0A0065B4" w:rsidR="00C220D2" w:rsidRPr="00437FA3" w:rsidRDefault="0011338C" w:rsidP="00437FA3">
          <w:pPr>
            <w:spacing w:before="240" w:line="360" w:lineRule="auto"/>
            <w:rPr>
              <w:rFonts w:ascii="Palatino Linotype" w:hAnsi="Palatino Linotype"/>
              <w:bCs/>
              <w:lang w:val="es-ES"/>
            </w:rPr>
          </w:pPr>
          <w:r w:rsidRPr="00437FA3">
            <w:rPr>
              <w:rFonts w:ascii="Palatino Linotype" w:hAnsi="Palatino Linotype"/>
              <w:bCs/>
              <w:lang w:val="es-ES"/>
            </w:rPr>
            <w:fldChar w:fldCharType="end"/>
          </w:r>
        </w:p>
        <w:p w14:paraId="32D2BD27" w14:textId="0AFB4460" w:rsidR="00F41E88" w:rsidRPr="00437FA3" w:rsidRDefault="00FF0E51" w:rsidP="00437FA3">
          <w:pPr>
            <w:spacing w:line="360" w:lineRule="auto"/>
            <w:rPr>
              <w:rFonts w:ascii="Palatino Linotype" w:hAnsi="Palatino Linotype"/>
              <w:bCs/>
              <w:lang w:val="es-ES"/>
            </w:rPr>
          </w:pPr>
        </w:p>
      </w:sdtContent>
    </w:sdt>
    <w:p w14:paraId="20FF1BF2" w14:textId="23AD4A55" w:rsidR="00437FA3" w:rsidRDefault="00437FA3" w:rsidP="00437FA3">
      <w:pPr>
        <w:tabs>
          <w:tab w:val="left" w:pos="567"/>
        </w:tabs>
        <w:spacing w:before="240" w:after="240" w:line="360" w:lineRule="auto"/>
        <w:jc w:val="both"/>
        <w:rPr>
          <w:rFonts w:ascii="Palatino Linotype" w:hAnsi="Palatino Linotype"/>
        </w:rPr>
      </w:pPr>
      <w:r>
        <w:rPr>
          <w:rFonts w:ascii="Palatino Linotype" w:hAnsi="Palatino Linotype"/>
          <w:noProof/>
          <w:lang w:val="es-MX" w:eastAsia="es-MX"/>
        </w:rPr>
        <mc:AlternateContent>
          <mc:Choice Requires="wps">
            <w:drawing>
              <wp:anchor distT="0" distB="0" distL="114300" distR="114300" simplePos="0" relativeHeight="251666432" behindDoc="0" locked="0" layoutInCell="1" allowOverlap="1" wp14:anchorId="4A095C65" wp14:editId="59746FF5">
                <wp:simplePos x="0" y="0"/>
                <wp:positionH relativeFrom="margin">
                  <wp:align>left</wp:align>
                </wp:positionH>
                <wp:positionV relativeFrom="paragraph">
                  <wp:posOffset>22860</wp:posOffset>
                </wp:positionV>
                <wp:extent cx="5514975" cy="3228975"/>
                <wp:effectExtent l="38100" t="19050" r="66675" b="85725"/>
                <wp:wrapNone/>
                <wp:docPr id="40" name="Conector recto 40"/>
                <wp:cNvGraphicFramePr/>
                <a:graphic xmlns:a="http://schemas.openxmlformats.org/drawingml/2006/main">
                  <a:graphicData uri="http://schemas.microsoft.com/office/word/2010/wordprocessingShape">
                    <wps:wsp>
                      <wps:cNvCnPr/>
                      <wps:spPr>
                        <a:xfrm>
                          <a:off x="0" y="0"/>
                          <a:ext cx="5514975" cy="32289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C9944" id="Conector recto 40" o:spid="_x0000_s1026" style="position:absolute;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pt" to="434.25pt,2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" strokecolor="#4f81bd [3204]" strokeweight="2pt">
                <v:shadow on="t" color="black" opacity="24903f" origin=",.5" offset="0,.55556mm"/>
                <w10:wrap anchorx="margin"/>
              </v:line>
            </w:pict>
          </mc:Fallback>
        </mc:AlternateContent>
      </w:r>
    </w:p>
    <w:p w14:paraId="75DFD932" w14:textId="77777777" w:rsidR="00437FA3" w:rsidRDefault="00437FA3" w:rsidP="00437FA3">
      <w:pPr>
        <w:tabs>
          <w:tab w:val="left" w:pos="567"/>
        </w:tabs>
        <w:spacing w:before="240" w:after="240" w:line="360" w:lineRule="auto"/>
        <w:jc w:val="both"/>
        <w:rPr>
          <w:rFonts w:ascii="Palatino Linotype" w:hAnsi="Palatino Linotype"/>
        </w:rPr>
      </w:pPr>
    </w:p>
    <w:p w14:paraId="279C3B8A" w14:textId="77777777" w:rsidR="00437FA3" w:rsidRDefault="00437FA3" w:rsidP="00437FA3">
      <w:pPr>
        <w:tabs>
          <w:tab w:val="left" w:pos="567"/>
        </w:tabs>
        <w:spacing w:before="240" w:after="240" w:line="360" w:lineRule="auto"/>
        <w:jc w:val="both"/>
        <w:rPr>
          <w:rFonts w:ascii="Palatino Linotype" w:hAnsi="Palatino Linotype"/>
        </w:rPr>
      </w:pPr>
    </w:p>
    <w:p w14:paraId="2FA4F806" w14:textId="77777777" w:rsidR="00437FA3" w:rsidRDefault="00437FA3" w:rsidP="00437FA3">
      <w:pPr>
        <w:tabs>
          <w:tab w:val="left" w:pos="567"/>
        </w:tabs>
        <w:spacing w:before="240" w:after="240" w:line="360" w:lineRule="auto"/>
        <w:jc w:val="both"/>
        <w:rPr>
          <w:rFonts w:ascii="Palatino Linotype" w:hAnsi="Palatino Linotype"/>
        </w:rPr>
      </w:pPr>
    </w:p>
    <w:p w14:paraId="66CBBE51" w14:textId="77777777" w:rsidR="00437FA3" w:rsidRDefault="00437FA3" w:rsidP="00437FA3">
      <w:pPr>
        <w:tabs>
          <w:tab w:val="left" w:pos="567"/>
        </w:tabs>
        <w:spacing w:before="240" w:after="240" w:line="360" w:lineRule="auto"/>
        <w:jc w:val="both"/>
        <w:rPr>
          <w:rFonts w:ascii="Palatino Linotype" w:hAnsi="Palatino Linotype"/>
        </w:rPr>
      </w:pPr>
    </w:p>
    <w:p w14:paraId="315115D9" w14:textId="77777777" w:rsidR="00437FA3" w:rsidRDefault="00437FA3" w:rsidP="00437FA3">
      <w:pPr>
        <w:tabs>
          <w:tab w:val="left" w:pos="567"/>
        </w:tabs>
        <w:spacing w:before="240" w:after="240" w:line="360" w:lineRule="auto"/>
        <w:jc w:val="both"/>
        <w:rPr>
          <w:rFonts w:ascii="Palatino Linotype" w:hAnsi="Palatino Linotype"/>
        </w:rPr>
      </w:pPr>
    </w:p>
    <w:p w14:paraId="0EBFF94E" w14:textId="77777777" w:rsidR="00437FA3" w:rsidRDefault="00437FA3" w:rsidP="00437FA3">
      <w:pPr>
        <w:tabs>
          <w:tab w:val="left" w:pos="567"/>
        </w:tabs>
        <w:spacing w:before="240" w:after="240" w:line="360" w:lineRule="auto"/>
        <w:jc w:val="both"/>
        <w:rPr>
          <w:rFonts w:ascii="Palatino Linotype" w:hAnsi="Palatino Linotype"/>
        </w:rPr>
      </w:pPr>
    </w:p>
    <w:p w14:paraId="7BA9DE57" w14:textId="48702FEF" w:rsidR="00EB4847" w:rsidRPr="00437FA3" w:rsidRDefault="001B26AA" w:rsidP="00437FA3">
      <w:pPr>
        <w:tabs>
          <w:tab w:val="left" w:pos="567"/>
        </w:tabs>
        <w:spacing w:before="240" w:after="240" w:line="360" w:lineRule="auto"/>
        <w:jc w:val="both"/>
        <w:rPr>
          <w:rFonts w:ascii="Palatino Linotype" w:hAnsi="Palatino Linotype"/>
          <w:lang w:val="es-MX"/>
        </w:rPr>
      </w:pPr>
      <w:r w:rsidRPr="00437FA3">
        <w:rPr>
          <w:rFonts w:ascii="Palatino Linotype" w:hAnsi="Palatino Linotype"/>
        </w:rPr>
        <w:t>R</w:t>
      </w:r>
      <w:proofErr w:type="spellStart"/>
      <w:r w:rsidR="00662C69" w:rsidRPr="00437FA3">
        <w:rPr>
          <w:rFonts w:ascii="Palatino Linotype" w:hAnsi="Palatino Linotype"/>
          <w:lang w:val="es-MX"/>
        </w:rPr>
        <w:t>esolución</w:t>
      </w:r>
      <w:proofErr w:type="spellEnd"/>
      <w:r w:rsidR="00662C69" w:rsidRPr="00437FA3">
        <w:rPr>
          <w:rFonts w:ascii="Palatino Linotype" w:hAnsi="Palatino Linotype"/>
          <w:lang w:val="es-MX"/>
        </w:rPr>
        <w:t xml:space="preserve"> del Pleno del Instituto de Transparencia, Acceso a la Información Pública y Protección de Datos Personales del Estado de México y Municipios, con domicilio en Metepec, Estado de México; de </w:t>
      </w:r>
      <w:r w:rsidR="00084FD5" w:rsidRPr="00437FA3">
        <w:rPr>
          <w:rFonts w:ascii="Palatino Linotype" w:hAnsi="Palatino Linotype"/>
          <w:lang w:val="es-MX"/>
        </w:rPr>
        <w:t xml:space="preserve">fecha </w:t>
      </w:r>
      <w:r w:rsidR="0079559C" w:rsidRPr="00437FA3">
        <w:rPr>
          <w:rFonts w:ascii="Palatino Linotype" w:hAnsi="Palatino Linotype"/>
          <w:lang w:val="es-MX"/>
        </w:rPr>
        <w:t>nueve (</w:t>
      </w:r>
      <w:r w:rsidR="00437FA3">
        <w:rPr>
          <w:rFonts w:ascii="Palatino Linotype" w:hAnsi="Palatino Linotype"/>
          <w:lang w:val="es-MX"/>
        </w:rPr>
        <w:t>0</w:t>
      </w:r>
      <w:r w:rsidR="0079559C" w:rsidRPr="00437FA3">
        <w:rPr>
          <w:rFonts w:ascii="Palatino Linotype" w:hAnsi="Palatino Linotype"/>
          <w:lang w:val="es-MX"/>
        </w:rPr>
        <w:t xml:space="preserve">9) </w:t>
      </w:r>
      <w:r w:rsidR="00D755D6" w:rsidRPr="00437FA3">
        <w:rPr>
          <w:rFonts w:ascii="Palatino Linotype" w:hAnsi="Palatino Linotype"/>
          <w:lang w:val="es-MX"/>
        </w:rPr>
        <w:t xml:space="preserve">de </w:t>
      </w:r>
      <w:r w:rsidR="00E63EE9" w:rsidRPr="00437FA3">
        <w:rPr>
          <w:rFonts w:ascii="Palatino Linotype" w:hAnsi="Palatino Linotype"/>
          <w:lang w:val="es-MX"/>
        </w:rPr>
        <w:t>may</w:t>
      </w:r>
      <w:r w:rsidR="00FA053B" w:rsidRPr="00437FA3">
        <w:rPr>
          <w:rFonts w:ascii="Palatino Linotype" w:hAnsi="Palatino Linotype"/>
          <w:lang w:val="es-MX"/>
        </w:rPr>
        <w:t>o</w:t>
      </w:r>
      <w:r w:rsidR="008A334C" w:rsidRPr="00437FA3">
        <w:rPr>
          <w:rFonts w:ascii="Palatino Linotype" w:hAnsi="Palatino Linotype"/>
          <w:lang w:val="es-MX"/>
        </w:rPr>
        <w:t xml:space="preserve"> </w:t>
      </w:r>
      <w:r w:rsidR="00662C69" w:rsidRPr="00437FA3">
        <w:rPr>
          <w:rFonts w:ascii="Palatino Linotype" w:hAnsi="Palatino Linotype"/>
          <w:lang w:val="es-MX"/>
        </w:rPr>
        <w:t xml:space="preserve">de dos mil </w:t>
      </w:r>
      <w:r w:rsidR="00B10987" w:rsidRPr="00437FA3">
        <w:rPr>
          <w:rFonts w:ascii="Palatino Linotype" w:hAnsi="Palatino Linotype"/>
          <w:lang w:val="es-MX"/>
        </w:rPr>
        <w:t>dieci</w:t>
      </w:r>
      <w:r w:rsidR="008A334C" w:rsidRPr="00437FA3">
        <w:rPr>
          <w:rFonts w:ascii="Palatino Linotype" w:hAnsi="Palatino Linotype"/>
          <w:lang w:val="es-MX"/>
        </w:rPr>
        <w:t>nueve</w:t>
      </w:r>
      <w:r w:rsidR="00662C69" w:rsidRPr="00437FA3">
        <w:rPr>
          <w:rFonts w:ascii="Palatino Linotype" w:hAnsi="Palatino Linotype"/>
          <w:lang w:val="es-MX"/>
        </w:rPr>
        <w:t>.</w:t>
      </w:r>
    </w:p>
    <w:p w14:paraId="678D20AB" w14:textId="7314F8F8" w:rsidR="009B359D" w:rsidRPr="00437FA3" w:rsidRDefault="00924CEA" w:rsidP="00437FA3">
      <w:pPr>
        <w:pStyle w:val="Encabezado"/>
        <w:spacing w:line="360" w:lineRule="auto"/>
        <w:jc w:val="both"/>
        <w:rPr>
          <w:rFonts w:ascii="Palatino Linotype" w:eastAsia="Times New Roman" w:hAnsi="Palatino Linotype" w:cs="Times New Roman"/>
          <w:b/>
        </w:rPr>
      </w:pPr>
      <w:r w:rsidRPr="00437FA3">
        <w:rPr>
          <w:rFonts w:ascii="Palatino Linotype" w:eastAsia="Times New Roman" w:hAnsi="Palatino Linotype" w:cs="Times New Roman"/>
          <w:b/>
        </w:rPr>
        <w:t>VISTO</w:t>
      </w:r>
      <w:r w:rsidR="003122CE" w:rsidRPr="00437FA3">
        <w:rPr>
          <w:rFonts w:ascii="Palatino Linotype" w:eastAsia="Times New Roman" w:hAnsi="Palatino Linotype" w:cs="Times New Roman"/>
        </w:rPr>
        <w:t xml:space="preserve"> </w:t>
      </w:r>
      <w:r w:rsidRPr="00437FA3">
        <w:rPr>
          <w:rFonts w:ascii="Palatino Linotype" w:eastAsia="Times New Roman" w:hAnsi="Palatino Linotype" w:cs="Times New Roman"/>
        </w:rPr>
        <w:t>el expediente</w:t>
      </w:r>
      <w:r w:rsidR="003122CE" w:rsidRPr="00437FA3">
        <w:rPr>
          <w:rFonts w:ascii="Palatino Linotype" w:eastAsia="Times New Roman" w:hAnsi="Palatino Linotype" w:cs="Times New Roman"/>
        </w:rPr>
        <w:t xml:space="preserve"> electrón</w:t>
      </w:r>
      <w:r w:rsidRPr="00437FA3">
        <w:rPr>
          <w:rFonts w:ascii="Palatino Linotype" w:eastAsia="Times New Roman" w:hAnsi="Palatino Linotype" w:cs="Times New Roman"/>
        </w:rPr>
        <w:t>ico formado</w:t>
      </w:r>
      <w:r w:rsidR="00417E0F" w:rsidRPr="00437FA3">
        <w:rPr>
          <w:rFonts w:ascii="Palatino Linotype" w:eastAsia="Times New Roman" w:hAnsi="Palatino Linotype" w:cs="Times New Roman"/>
        </w:rPr>
        <w:t xml:space="preserve"> con motivo del recurso de revisión número</w:t>
      </w:r>
      <w:r w:rsidRPr="00437FA3">
        <w:rPr>
          <w:rFonts w:ascii="Palatino Linotype" w:eastAsia="Times New Roman" w:hAnsi="Palatino Linotype" w:cs="Times New Roman"/>
        </w:rPr>
        <w:t xml:space="preserve"> </w:t>
      </w:r>
      <w:r w:rsidR="00E63EE9" w:rsidRPr="00437FA3">
        <w:rPr>
          <w:rFonts w:ascii="Palatino Linotype" w:hAnsi="Palatino Linotype" w:cs="Arial"/>
          <w:b/>
          <w:bCs/>
          <w:lang w:eastAsia="es-MX"/>
        </w:rPr>
        <w:t>00778/INFOEM/IP/RR/2019</w:t>
      </w:r>
      <w:r w:rsidR="003122CE" w:rsidRPr="00437FA3">
        <w:rPr>
          <w:rFonts w:ascii="Palatino Linotype" w:eastAsia="Times New Roman" w:hAnsi="Palatino Linotype" w:cs="Arial"/>
          <w:bCs/>
        </w:rPr>
        <w:t xml:space="preserve">, </w:t>
      </w:r>
      <w:r w:rsidR="00417E0F" w:rsidRPr="00437FA3">
        <w:rPr>
          <w:rFonts w:ascii="Palatino Linotype" w:eastAsia="Times New Roman" w:hAnsi="Palatino Linotype" w:cs="Times New Roman"/>
        </w:rPr>
        <w:t>promovido</w:t>
      </w:r>
      <w:r w:rsidR="003122CE" w:rsidRPr="00437FA3">
        <w:rPr>
          <w:rFonts w:ascii="Palatino Linotype" w:eastAsia="Times New Roman" w:hAnsi="Palatino Linotype" w:cs="Times New Roman"/>
        </w:rPr>
        <w:t xml:space="preserve"> por</w:t>
      </w:r>
      <w:r w:rsidR="00CE6F37" w:rsidRPr="00437FA3">
        <w:rPr>
          <w:rFonts w:ascii="Palatino Linotype" w:eastAsia="Times New Roman" w:hAnsi="Palatino Linotype" w:cs="Times New Roman"/>
          <w:b/>
        </w:rPr>
        <w:t xml:space="preserve"> </w:t>
      </w:r>
      <w:r w:rsidR="009C19E2" w:rsidRPr="009C19E2">
        <w:rPr>
          <w:rFonts w:ascii="Palatino Linotype" w:eastAsia="Times New Roman" w:hAnsi="Palatino Linotype" w:cs="Times New Roman"/>
          <w:b/>
          <w:highlight w:val="black"/>
        </w:rPr>
        <w:t>---------------</w:t>
      </w:r>
      <w:r w:rsidR="003122CE" w:rsidRPr="00437FA3">
        <w:rPr>
          <w:rFonts w:ascii="Palatino Linotype" w:eastAsia="Times New Roman" w:hAnsi="Palatino Linotype" w:cs="Times New Roman"/>
          <w:b/>
        </w:rPr>
        <w:t xml:space="preserve">, </w:t>
      </w:r>
      <w:r w:rsidR="003122CE" w:rsidRPr="00437FA3">
        <w:rPr>
          <w:rFonts w:ascii="Palatino Linotype" w:eastAsia="Times New Roman" w:hAnsi="Palatino Linotype" w:cs="Arial"/>
        </w:rPr>
        <w:t xml:space="preserve">en su calidad de </w:t>
      </w:r>
      <w:r w:rsidR="003122CE" w:rsidRPr="00437FA3">
        <w:rPr>
          <w:rFonts w:ascii="Palatino Linotype" w:eastAsia="Times New Roman" w:hAnsi="Palatino Linotype" w:cs="Arial"/>
          <w:b/>
        </w:rPr>
        <w:t>RECURRENTE</w:t>
      </w:r>
      <w:r w:rsidR="003122CE" w:rsidRPr="00437FA3">
        <w:rPr>
          <w:rFonts w:ascii="Palatino Linotype" w:eastAsia="Times New Roman" w:hAnsi="Palatino Linotype" w:cs="Arial"/>
        </w:rPr>
        <w:t>, en contra de la</w:t>
      </w:r>
      <w:r w:rsidR="00505269" w:rsidRPr="00437FA3">
        <w:rPr>
          <w:rFonts w:ascii="Palatino Linotype" w:eastAsia="Times New Roman" w:hAnsi="Palatino Linotype" w:cs="Arial"/>
        </w:rPr>
        <w:t xml:space="preserve"> falta de</w:t>
      </w:r>
      <w:r w:rsidR="003122CE" w:rsidRPr="00437FA3">
        <w:rPr>
          <w:rFonts w:ascii="Palatino Linotype" w:eastAsia="Times New Roman" w:hAnsi="Palatino Linotype" w:cs="Arial"/>
        </w:rPr>
        <w:t xml:space="preserve"> respuesta</w:t>
      </w:r>
      <w:r w:rsidRPr="00437FA3">
        <w:rPr>
          <w:rFonts w:ascii="Palatino Linotype" w:eastAsia="Times New Roman" w:hAnsi="Palatino Linotype" w:cs="Arial"/>
        </w:rPr>
        <w:t xml:space="preserve"> </w:t>
      </w:r>
      <w:r w:rsidR="00EC2D3F" w:rsidRPr="00437FA3">
        <w:rPr>
          <w:rFonts w:ascii="Palatino Linotype" w:eastAsia="Times New Roman" w:hAnsi="Palatino Linotype" w:cs="Arial"/>
        </w:rPr>
        <w:t xml:space="preserve">del </w:t>
      </w:r>
      <w:r w:rsidR="00E63EE9" w:rsidRPr="00437FA3">
        <w:rPr>
          <w:rFonts w:ascii="Palatino Linotype" w:eastAsia="Times New Roman" w:hAnsi="Palatino Linotype" w:cs="Arial"/>
          <w:b/>
        </w:rPr>
        <w:t>Organismo Público Descentralizado para la Prestación de los Servicios de Agua Potable Alcantarillado y Saneamiento de Nicolás Romero</w:t>
      </w:r>
      <w:r w:rsidR="003122CE" w:rsidRPr="00437FA3">
        <w:rPr>
          <w:rFonts w:ascii="Palatino Linotype" w:eastAsia="Calibri" w:hAnsi="Palatino Linotype" w:cs="Arial"/>
          <w:lang w:val="es-ES"/>
        </w:rPr>
        <w:t xml:space="preserve">, </w:t>
      </w:r>
      <w:r w:rsidR="003122CE" w:rsidRPr="00437FA3">
        <w:rPr>
          <w:rFonts w:ascii="Palatino Linotype" w:eastAsia="Times New Roman" w:hAnsi="Palatino Linotype" w:cs="Times New Roman"/>
        </w:rPr>
        <w:t>en lo sucesivo el</w:t>
      </w:r>
      <w:r w:rsidR="003122CE" w:rsidRPr="00437FA3">
        <w:rPr>
          <w:rFonts w:ascii="Palatino Linotype" w:eastAsia="Times New Roman" w:hAnsi="Palatino Linotype" w:cs="Times New Roman"/>
          <w:b/>
        </w:rPr>
        <w:t xml:space="preserve"> SUJETO OBLIGADO, </w:t>
      </w:r>
      <w:r w:rsidR="003122CE" w:rsidRPr="00437FA3">
        <w:rPr>
          <w:rFonts w:ascii="Palatino Linotype" w:eastAsia="Times New Roman" w:hAnsi="Palatino Linotype" w:cs="Times New Roman"/>
        </w:rPr>
        <w:t>se procede a dictar la presente resolución, con base en los siguientes:</w:t>
      </w:r>
      <w:bookmarkStart w:id="0" w:name="_Toc466418172"/>
      <w:bookmarkStart w:id="1" w:name="_Toc462402153"/>
    </w:p>
    <w:p w14:paraId="586CB612" w14:textId="77777777" w:rsidR="00BD5ACF" w:rsidRPr="00437FA3" w:rsidRDefault="00BD5ACF" w:rsidP="00437FA3">
      <w:pPr>
        <w:tabs>
          <w:tab w:val="left" w:pos="567"/>
        </w:tabs>
        <w:spacing w:line="360" w:lineRule="auto"/>
        <w:jc w:val="both"/>
        <w:rPr>
          <w:rFonts w:ascii="Palatino Linotype" w:eastAsia="Times New Roman" w:hAnsi="Palatino Linotype" w:cs="Times New Roman"/>
        </w:rPr>
      </w:pPr>
    </w:p>
    <w:p w14:paraId="02320B65" w14:textId="77777777" w:rsidR="00F34201" w:rsidRPr="00437FA3" w:rsidRDefault="00F34201" w:rsidP="00437FA3">
      <w:pPr>
        <w:pStyle w:val="Ttulo1"/>
        <w:tabs>
          <w:tab w:val="left" w:pos="567"/>
        </w:tabs>
        <w:spacing w:line="360" w:lineRule="auto"/>
        <w:jc w:val="center"/>
        <w:rPr>
          <w:b w:val="0"/>
          <w:color w:val="auto"/>
          <w:szCs w:val="24"/>
        </w:rPr>
      </w:pPr>
      <w:bookmarkStart w:id="2" w:name="_Toc473812222"/>
      <w:bookmarkStart w:id="3" w:name="_Toc495430765"/>
      <w:bookmarkStart w:id="4" w:name="_Toc7787162"/>
      <w:r w:rsidRPr="00437FA3">
        <w:rPr>
          <w:color w:val="auto"/>
          <w:szCs w:val="24"/>
        </w:rPr>
        <w:t>ANTECEDENTES</w:t>
      </w:r>
      <w:bookmarkEnd w:id="2"/>
      <w:bookmarkEnd w:id="3"/>
      <w:bookmarkEnd w:id="4"/>
    </w:p>
    <w:p w14:paraId="54EBC941" w14:textId="77777777" w:rsidR="00F34201" w:rsidRPr="00437FA3" w:rsidRDefault="00F34201" w:rsidP="00437FA3">
      <w:pPr>
        <w:tabs>
          <w:tab w:val="left" w:pos="567"/>
        </w:tabs>
        <w:spacing w:line="360" w:lineRule="auto"/>
        <w:rPr>
          <w:rFonts w:ascii="Palatino Linotype" w:hAnsi="Palatino Linotype"/>
          <w:lang w:val="es-MX" w:eastAsia="en-US"/>
        </w:rPr>
      </w:pPr>
    </w:p>
    <w:p w14:paraId="749498DB" w14:textId="1BBE266A" w:rsidR="00F34201" w:rsidRPr="00437FA3" w:rsidRDefault="00F34201" w:rsidP="00437FA3">
      <w:pPr>
        <w:pStyle w:val="Prrafodelista"/>
        <w:numPr>
          <w:ilvl w:val="0"/>
          <w:numId w:val="1"/>
        </w:numPr>
        <w:tabs>
          <w:tab w:val="left" w:pos="426"/>
          <w:tab w:val="left" w:pos="567"/>
        </w:tabs>
        <w:spacing w:line="360" w:lineRule="auto"/>
        <w:ind w:left="0" w:firstLine="0"/>
        <w:jc w:val="both"/>
        <w:rPr>
          <w:rFonts w:ascii="Palatino Linotype" w:eastAsia="Calibri" w:hAnsi="Palatino Linotype" w:cs="Arial"/>
          <w:color w:val="000000" w:themeColor="text1"/>
          <w:lang w:val="es-ES"/>
        </w:rPr>
      </w:pPr>
      <w:r w:rsidRPr="00437FA3">
        <w:rPr>
          <w:rFonts w:ascii="Palatino Linotype" w:eastAsia="Calibri" w:hAnsi="Palatino Linotype" w:cs="Arial"/>
          <w:color w:val="000000" w:themeColor="text1"/>
          <w:lang w:val="es-ES"/>
        </w:rPr>
        <w:t xml:space="preserve">El día </w:t>
      </w:r>
      <w:r w:rsidR="007511D8" w:rsidRPr="00437FA3">
        <w:rPr>
          <w:rFonts w:ascii="Palatino Linotype" w:eastAsia="Calibri" w:hAnsi="Palatino Linotype" w:cs="Arial"/>
          <w:color w:val="000000" w:themeColor="text1"/>
          <w:lang w:val="es-ES"/>
        </w:rPr>
        <w:t>veintidós</w:t>
      </w:r>
      <w:r w:rsidR="00F41E88" w:rsidRPr="00437FA3">
        <w:rPr>
          <w:rFonts w:ascii="Palatino Linotype" w:eastAsia="Calibri" w:hAnsi="Palatino Linotype" w:cs="Arial"/>
          <w:color w:val="000000" w:themeColor="text1"/>
          <w:lang w:val="es-ES"/>
        </w:rPr>
        <w:t xml:space="preserve"> </w:t>
      </w:r>
      <w:r w:rsidRPr="00437FA3">
        <w:rPr>
          <w:rFonts w:ascii="Palatino Linotype" w:eastAsia="Calibri" w:hAnsi="Palatino Linotype" w:cs="Arial"/>
          <w:color w:val="000000" w:themeColor="text1"/>
          <w:lang w:val="es-ES"/>
        </w:rPr>
        <w:t>(</w:t>
      </w:r>
      <w:r w:rsidR="007511D8" w:rsidRPr="00437FA3">
        <w:rPr>
          <w:rFonts w:ascii="Palatino Linotype" w:eastAsia="Calibri" w:hAnsi="Palatino Linotype" w:cs="Arial"/>
          <w:color w:val="000000" w:themeColor="text1"/>
          <w:lang w:val="es-ES"/>
        </w:rPr>
        <w:t>22</w:t>
      </w:r>
      <w:r w:rsidRPr="00437FA3">
        <w:rPr>
          <w:rFonts w:ascii="Palatino Linotype" w:eastAsia="Calibri" w:hAnsi="Palatino Linotype" w:cs="Arial"/>
          <w:color w:val="000000" w:themeColor="text1"/>
          <w:lang w:val="es-ES"/>
        </w:rPr>
        <w:t xml:space="preserve">) de </w:t>
      </w:r>
      <w:r w:rsidR="00824AF6" w:rsidRPr="00437FA3">
        <w:rPr>
          <w:rFonts w:ascii="Palatino Linotype" w:eastAsia="Calibri" w:hAnsi="Palatino Linotype" w:cs="Arial"/>
          <w:color w:val="000000" w:themeColor="text1"/>
          <w:lang w:val="es-ES"/>
        </w:rPr>
        <w:t>enero</w:t>
      </w:r>
      <w:r w:rsidRPr="00437FA3">
        <w:rPr>
          <w:rFonts w:ascii="Palatino Linotype" w:eastAsia="Calibri" w:hAnsi="Palatino Linotype" w:cs="Arial"/>
          <w:color w:val="000000" w:themeColor="text1"/>
          <w:lang w:val="es-ES"/>
        </w:rPr>
        <w:t xml:space="preserve"> de dos mil </w:t>
      </w:r>
      <w:r w:rsidR="00F523D6" w:rsidRPr="00437FA3">
        <w:rPr>
          <w:rFonts w:ascii="Palatino Linotype" w:eastAsia="Calibri" w:hAnsi="Palatino Linotype" w:cs="Arial"/>
          <w:color w:val="000000" w:themeColor="text1"/>
          <w:lang w:val="es-ES"/>
        </w:rPr>
        <w:t>diecinueve</w:t>
      </w:r>
      <w:r w:rsidRPr="00437FA3">
        <w:rPr>
          <w:rFonts w:ascii="Palatino Linotype" w:eastAsia="Calibri" w:hAnsi="Palatino Linotype" w:cs="Arial"/>
          <w:color w:val="000000" w:themeColor="text1"/>
          <w:lang w:val="es-ES"/>
        </w:rPr>
        <w:t>,</w:t>
      </w:r>
      <w:r w:rsidRPr="00437FA3">
        <w:rPr>
          <w:rFonts w:ascii="Palatino Linotype" w:eastAsia="Calibri" w:hAnsi="Palatino Linotype" w:cs="Times New Roman"/>
          <w:color w:val="000000" w:themeColor="text1"/>
          <w:lang w:val="es-ES"/>
        </w:rPr>
        <w:t xml:space="preserve"> </w:t>
      </w:r>
      <w:r w:rsidR="00F523D6" w:rsidRPr="00437FA3">
        <w:rPr>
          <w:rFonts w:ascii="Palatino Linotype" w:eastAsia="Calibri" w:hAnsi="Palatino Linotype" w:cs="Arial"/>
          <w:lang w:val="es-ES"/>
        </w:rPr>
        <w:t>se</w:t>
      </w:r>
      <w:r w:rsidR="002F768F" w:rsidRPr="00437FA3">
        <w:rPr>
          <w:rFonts w:ascii="Palatino Linotype" w:eastAsia="Calibri" w:hAnsi="Palatino Linotype" w:cs="Arial"/>
          <w:b/>
          <w:lang w:val="es-ES"/>
        </w:rPr>
        <w:t xml:space="preserve"> </w:t>
      </w:r>
      <w:r w:rsidRPr="00437FA3">
        <w:rPr>
          <w:rFonts w:ascii="Palatino Linotype" w:hAnsi="Palatino Linotype"/>
          <w:color w:val="000000" w:themeColor="text1"/>
        </w:rPr>
        <w:t>presentó</w:t>
      </w:r>
      <w:r w:rsidRPr="00437FA3">
        <w:rPr>
          <w:rFonts w:ascii="Palatino Linotype" w:hAnsi="Palatino Linotype"/>
          <w:b/>
          <w:color w:val="000000" w:themeColor="text1"/>
        </w:rPr>
        <w:t xml:space="preserve"> </w:t>
      </w:r>
      <w:r w:rsidRPr="00437FA3">
        <w:rPr>
          <w:rFonts w:ascii="Palatino Linotype" w:eastAsia="Calibri" w:hAnsi="Palatino Linotype" w:cs="Arial"/>
          <w:color w:val="000000" w:themeColor="text1"/>
        </w:rPr>
        <w:t xml:space="preserve">vía </w:t>
      </w:r>
      <w:r w:rsidRPr="00437FA3">
        <w:rPr>
          <w:rFonts w:ascii="Palatino Linotype" w:eastAsia="Calibri" w:hAnsi="Palatino Linotype" w:cs="Arial"/>
          <w:color w:val="000000" w:themeColor="text1"/>
          <w:lang w:val="es-ES"/>
        </w:rPr>
        <w:t xml:space="preserve">Sistema de Acceso a la Información Mexiquense </w:t>
      </w:r>
      <w:r w:rsidRPr="00437FA3">
        <w:rPr>
          <w:rFonts w:ascii="Palatino Linotype" w:eastAsia="Calibri" w:hAnsi="Palatino Linotype" w:cs="Arial"/>
          <w:b/>
          <w:color w:val="000000" w:themeColor="text1"/>
          <w:lang w:val="es-ES"/>
        </w:rPr>
        <w:t>(SAIMEX)</w:t>
      </w:r>
      <w:r w:rsidRPr="00437FA3">
        <w:rPr>
          <w:rFonts w:ascii="Palatino Linotype" w:eastAsia="Calibri" w:hAnsi="Palatino Linotype" w:cs="Arial"/>
          <w:color w:val="000000" w:themeColor="text1"/>
          <w:lang w:val="es-ES"/>
        </w:rPr>
        <w:t>, la solicitud de información p</w:t>
      </w:r>
      <w:r w:rsidR="00924CEA" w:rsidRPr="00437FA3">
        <w:rPr>
          <w:rFonts w:ascii="Palatino Linotype" w:eastAsia="Calibri" w:hAnsi="Palatino Linotype" w:cs="Arial"/>
          <w:color w:val="000000" w:themeColor="text1"/>
          <w:lang w:val="es-ES"/>
        </w:rPr>
        <w:t>ública registrada con el número</w:t>
      </w:r>
      <w:r w:rsidR="00305279" w:rsidRPr="00437FA3">
        <w:rPr>
          <w:rFonts w:ascii="Palatino Linotype" w:hAnsi="Palatino Linotype"/>
          <w:b/>
          <w:bCs/>
          <w:color w:val="000000" w:themeColor="text1"/>
        </w:rPr>
        <w:t xml:space="preserve"> </w:t>
      </w:r>
      <w:r w:rsidR="00C61DCA" w:rsidRPr="00437FA3">
        <w:rPr>
          <w:rFonts w:ascii="Palatino Linotype" w:eastAsia="Calibri" w:hAnsi="Palatino Linotype" w:cs="Arial"/>
          <w:b/>
          <w:color w:val="000000" w:themeColor="text1"/>
          <w:lang w:val="es-ES"/>
        </w:rPr>
        <w:t>00003/OASNICOROM/IP/2019</w:t>
      </w:r>
      <w:r w:rsidRPr="00437FA3">
        <w:rPr>
          <w:rFonts w:ascii="Palatino Linotype" w:hAnsi="Palatino Linotype"/>
          <w:b/>
          <w:bCs/>
          <w:color w:val="000000" w:themeColor="text1"/>
        </w:rPr>
        <w:t>,</w:t>
      </w:r>
      <w:r w:rsidRPr="00437FA3">
        <w:rPr>
          <w:rFonts w:ascii="Palatino Linotype" w:eastAsia="Calibri" w:hAnsi="Palatino Linotype" w:cs="Arial"/>
          <w:color w:val="000000" w:themeColor="text1"/>
          <w:lang w:val="es-ES"/>
        </w:rPr>
        <w:t xml:space="preserve"> mediante la cual </w:t>
      </w:r>
      <w:r w:rsidR="00097D8A" w:rsidRPr="00437FA3">
        <w:rPr>
          <w:rFonts w:ascii="Palatino Linotype" w:eastAsia="Calibri" w:hAnsi="Palatino Linotype" w:cs="Arial"/>
          <w:color w:val="000000" w:themeColor="text1"/>
          <w:lang w:val="es-ES"/>
        </w:rPr>
        <w:t xml:space="preserve">se </w:t>
      </w:r>
      <w:r w:rsidR="00924CEA" w:rsidRPr="00437FA3">
        <w:rPr>
          <w:rFonts w:ascii="Palatino Linotype" w:eastAsia="Calibri" w:hAnsi="Palatino Linotype" w:cs="Arial"/>
          <w:color w:val="000000" w:themeColor="text1"/>
          <w:lang w:val="es-ES"/>
        </w:rPr>
        <w:t>requirió</w:t>
      </w:r>
      <w:r w:rsidRPr="00437FA3">
        <w:rPr>
          <w:rFonts w:ascii="Palatino Linotype" w:eastAsia="Calibri" w:hAnsi="Palatino Linotype" w:cs="Arial"/>
          <w:color w:val="000000" w:themeColor="text1"/>
          <w:lang w:val="es-ES"/>
        </w:rPr>
        <w:t>:</w:t>
      </w:r>
    </w:p>
    <w:p w14:paraId="63C0E7CB" w14:textId="77777777" w:rsidR="00E269C7" w:rsidRPr="00437FA3" w:rsidRDefault="00E269C7" w:rsidP="00437FA3">
      <w:pPr>
        <w:pStyle w:val="Prrafodelista"/>
        <w:tabs>
          <w:tab w:val="left" w:pos="426"/>
          <w:tab w:val="left" w:pos="567"/>
        </w:tabs>
        <w:spacing w:line="360" w:lineRule="auto"/>
        <w:ind w:left="0"/>
        <w:jc w:val="both"/>
        <w:rPr>
          <w:rFonts w:ascii="Palatino Linotype" w:eastAsia="Calibri" w:hAnsi="Palatino Linotype" w:cs="Arial"/>
          <w:color w:val="000000" w:themeColor="text1"/>
          <w:lang w:val="es-ES"/>
        </w:rPr>
      </w:pPr>
    </w:p>
    <w:p w14:paraId="7F27FE85" w14:textId="2372FA3F" w:rsidR="00800647" w:rsidRPr="00437FA3" w:rsidRDefault="00252C4D" w:rsidP="00437FA3">
      <w:pPr>
        <w:spacing w:line="360" w:lineRule="auto"/>
        <w:ind w:left="567" w:right="567"/>
        <w:jc w:val="both"/>
        <w:rPr>
          <w:rFonts w:ascii="Palatino Linotype" w:eastAsia="Times New Roman" w:hAnsi="Palatino Linotype" w:cs="Times New Roman"/>
          <w:i/>
          <w:lang w:val="es-MX" w:eastAsia="es-MX"/>
        </w:rPr>
      </w:pPr>
      <w:r w:rsidRPr="00437FA3">
        <w:rPr>
          <w:rFonts w:ascii="Palatino Linotype" w:hAnsi="Palatino Linotype"/>
          <w:i/>
          <w:color w:val="000000"/>
        </w:rPr>
        <w:lastRenderedPageBreak/>
        <w:t>“</w:t>
      </w:r>
      <w:r w:rsidR="00C61DCA" w:rsidRPr="00437FA3">
        <w:rPr>
          <w:rFonts w:ascii="Palatino Linotype" w:eastAsia="Times New Roman" w:hAnsi="Palatino Linotype" w:cs="Times New Roman"/>
          <w:i/>
          <w:lang w:val="es-MX" w:eastAsia="es-MX"/>
        </w:rPr>
        <w:t xml:space="preserve">COPIA DIGITALI O PDF DE LA PRIMERA SESIÓN DEL CONSEJO DIRECTIVO DEL ORGANISMO PUBLICO DESCENTRALIZADO PARA LA PRESTACIÓN DE LOS SERVICIOS DE AGUA POTABLE, ALCANTARILLADO Y SANEAMIENTO DEL MUNICIPIO DE NICOLAS ROMERO, CORRESPONDIENTE A LA ADMINISTRACION PÚBLICA DEL PERIODO 2019-2021; DE IGUAL FORMA DE LA SESION DEL CONSEJO DIRECTIVO DE DICHA INSTITUCIÓN PÚBLICA, DONDE SE HAYAN NOMBRADO A LOS TITULARES DE LAS ÁREAS JURÍDICO, CONTRALORIA INTERNA, ADMINISTRACIÓN Y FINANZAS, UNIDAD DE TRANSPARENCIA,, SISTEMAS, COMERCIAL, RECURSOS HUMANOS, CAJAS, JEFE DE RECUPERACIÓN DE ADEUDOS Y EJECUCIÓN FISCAL; ASÍ MISMO, EL GRADO DE ESTUDIOS QUE ACREDITE CON CERTIFICADO DE ESTUDIO, TITULO PROFESIONAL O CEDULA Y, ESCUELA DE DONDE SEA EGRESADO; TAMBIÉN SUS INGRESOS BRUTOS QUINCENALES Y MENSUALES, DE CADA UNO DE LOS TITULARES DE LAS ÁREAS ANTES MENCIONADOS, DE IGUAL MANERA BAJO QUE ACTO JURÍDICO FUERON CONTRATADOS, SI SON DE CONFIANZA, BASE O SINDICALIZADOS, TIEMPO DE DURANCION DE LA RELACION CONTRATUAL, POR TIEMPO DETERMINADO, INDETERMINADO U OBRA.. DE IGUAL FORMA A LA FECHA REMITIR LA RELACIÓN DEL </w:t>
      </w:r>
      <w:r w:rsidR="00C61DCA" w:rsidRPr="00437FA3">
        <w:rPr>
          <w:rFonts w:ascii="Palatino Linotype" w:eastAsia="Times New Roman" w:hAnsi="Palatino Linotype" w:cs="Times New Roman"/>
          <w:i/>
          <w:lang w:val="es-MX" w:eastAsia="es-MX"/>
        </w:rPr>
        <w:lastRenderedPageBreak/>
        <w:t xml:space="preserve">PERSONAL QUE CAUSO BAJA A PARTIR DEL DÍA PRIMERO DE ENERO DEL AÑO 2019 A LA FECHA DE LA PRESENTE, INFORMANDO LA CAUSA O MOTIVO DE SU BAJA, SI FUE RENUNCIA, DESPIDO JUSTIFICADO O INJUSTIFICADO,QUIENES EN LA FECHA SE LES HA INDEMINIZADO O FINIQUITADO CONFORME A LA LEY FEDERAL DEL TRABAJO Y LEY DE LOS TRABAJADORES AL SERVICIO DEL ESTADO DE MEXICO Y MUNICIPIOS; ASÍ MISMO SI LOS DESPIDOS FUERON CONFORME A DERECHO Y CUAL ES EL IMPORTE TOTAL PAGADO Y PENDIENTE POR PAGAR, A QUIENES YA SE LE PAGO Y QUIENES ESTAN PENDIENTES, DETALLANDO LAS CAUSAS O MOTIVOS DE POR QUE NO SE HA PAGADO, ESTO EN RELACIÓN A LAS CAUSAS DE BAJA MENCIONADAS CON ANTERIORIDAD; TAMBIÉN CUAL ES EL IMPORTE QUE SE TIENE PRESUPUESTADO PARA EL EJERCICIO FISCAL 2019, PARA ATENDER Y DAR CUMPLIMIENTO A LAS OBLIGACIONES CONTRAÍDAS POR LAS RENUNCIAS Y DESPIDOS EFECTUADOS, LUGAR DE RESIDENCIA QUE SE ACREDITE DE LOS NUEVOS TITULARES DE LAS AREAS DE DICHO ORGANISMO, MENCIONANDO CALLE, COLONIA, MUNICIPIO O ALCALDIA, ENTIDAD FEDERATIVA. INFORME DEL NUMERO TOTAL DE PERSONAL POR ÁREA, DETALLANDO IMPORTE A PAGAR DE </w:t>
      </w:r>
      <w:r w:rsidR="00C61DCA" w:rsidRPr="00437FA3">
        <w:rPr>
          <w:rFonts w:ascii="Palatino Linotype" w:eastAsia="Times New Roman" w:hAnsi="Palatino Linotype" w:cs="Times New Roman"/>
          <w:i/>
          <w:lang w:val="es-MX" w:eastAsia="es-MX"/>
        </w:rPr>
        <w:lastRenderedPageBreak/>
        <w:t>NOMINA POR CADA SERVIDOR PÚBLICO, CON CORTE AL 31 DE DICIEMBRE DEL AÑO 2019 Y, NUMERO TOTAL DE PERSONAL POR ÁREA, DETALLANDO IMPORTE POR CADA SERVIDOR PÚBLICO A PAGAR DE NOMINA, CON CORTE A LA FECHA DE LA PRESENTE. AMBAS INFORMES DETALLANDO SU GRADO DE ESTUDIO DE CADA UNO DE ELLOS</w:t>
      </w:r>
      <w:r w:rsidRPr="00437FA3">
        <w:rPr>
          <w:rFonts w:ascii="Palatino Linotype" w:hAnsi="Palatino Linotype"/>
          <w:i/>
          <w:color w:val="000000"/>
        </w:rPr>
        <w:t>”</w:t>
      </w:r>
      <w:r w:rsidR="00F34201" w:rsidRPr="00437FA3">
        <w:rPr>
          <w:rFonts w:ascii="Palatino Linotype" w:hAnsi="Palatino Linotype"/>
          <w:i/>
          <w:color w:val="000000"/>
        </w:rPr>
        <w:t xml:space="preserve"> (Sic)</w:t>
      </w:r>
    </w:p>
    <w:p w14:paraId="734CA5E4" w14:textId="77777777" w:rsidR="00916840" w:rsidRPr="00437FA3" w:rsidRDefault="00916840" w:rsidP="00437FA3">
      <w:pPr>
        <w:pStyle w:val="Prrafodelista"/>
        <w:spacing w:line="360" w:lineRule="auto"/>
        <w:ind w:left="567" w:right="567"/>
        <w:jc w:val="both"/>
        <w:rPr>
          <w:rFonts w:ascii="Palatino Linotype" w:eastAsia="Calibri" w:hAnsi="Palatino Linotype" w:cs="Arial"/>
          <w:i/>
          <w:color w:val="000000" w:themeColor="text1"/>
          <w:lang w:val="es-ES"/>
        </w:rPr>
      </w:pPr>
    </w:p>
    <w:p w14:paraId="085851FE" w14:textId="77777777" w:rsidR="00824AF6" w:rsidRPr="00437FA3" w:rsidRDefault="00824AF6" w:rsidP="00437FA3">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color w:val="000000" w:themeColor="text1"/>
        </w:rPr>
      </w:pPr>
      <w:r w:rsidRPr="00437FA3">
        <w:rPr>
          <w:rFonts w:ascii="Palatino Linotype" w:hAnsi="Palatino Linotype" w:cs="Arial"/>
          <w:color w:val="000000" w:themeColor="text1"/>
        </w:rPr>
        <w:t xml:space="preserve">Se hace constar que </w:t>
      </w:r>
      <w:r w:rsidRPr="00437FA3">
        <w:rPr>
          <w:rFonts w:ascii="Palatino Linotype" w:eastAsia="Times New Roman" w:hAnsi="Palatino Linotype" w:cs="Arial"/>
          <w:color w:val="000000" w:themeColor="text1"/>
          <w:lang w:val="es-ES"/>
        </w:rPr>
        <w:t>se señaló como modalidad de entrega de la información</w:t>
      </w:r>
      <w:r w:rsidRPr="00437FA3">
        <w:rPr>
          <w:rFonts w:ascii="Palatino Linotype" w:eastAsia="Times New Roman" w:hAnsi="Palatino Linotype" w:cs="Arial"/>
          <w:b/>
          <w:color w:val="000000" w:themeColor="text1"/>
          <w:lang w:val="es-ES"/>
        </w:rPr>
        <w:t>:</w:t>
      </w:r>
      <w:r w:rsidRPr="00437FA3">
        <w:rPr>
          <w:rFonts w:ascii="Palatino Linotype" w:eastAsia="Times New Roman" w:hAnsi="Palatino Linotype" w:cs="Arial"/>
          <w:color w:val="000000" w:themeColor="text1"/>
          <w:lang w:val="es-ES"/>
        </w:rPr>
        <w:t xml:space="preserve"> a través </w:t>
      </w:r>
      <w:r w:rsidRPr="00437FA3">
        <w:rPr>
          <w:rFonts w:ascii="Palatino Linotype" w:hAnsi="Palatino Linotype"/>
          <w:color w:val="000000" w:themeColor="text1"/>
        </w:rPr>
        <w:t xml:space="preserve">del </w:t>
      </w:r>
      <w:r w:rsidRPr="00437FA3">
        <w:rPr>
          <w:rFonts w:ascii="Palatino Linotype" w:hAnsi="Palatino Linotype"/>
          <w:color w:val="000000" w:themeColor="text1"/>
          <w:shd w:val="clear" w:color="auto" w:fill="FFFFFF"/>
        </w:rPr>
        <w:t xml:space="preserve">Sistema de Acceso a la Información Mexiquense </w:t>
      </w:r>
      <w:r w:rsidRPr="00437FA3">
        <w:rPr>
          <w:rFonts w:ascii="Palatino Linotype" w:hAnsi="Palatino Linotype"/>
          <w:b/>
          <w:bCs/>
          <w:color w:val="000000" w:themeColor="text1"/>
          <w:shd w:val="clear" w:color="auto" w:fill="FFFFFF"/>
        </w:rPr>
        <w:t>(SAIMEX).</w:t>
      </w:r>
    </w:p>
    <w:p w14:paraId="34C0047D" w14:textId="77777777" w:rsidR="00812549" w:rsidRPr="00437FA3" w:rsidRDefault="00812549" w:rsidP="00437FA3">
      <w:pPr>
        <w:pStyle w:val="Prrafodelista"/>
        <w:tabs>
          <w:tab w:val="left" w:pos="567"/>
        </w:tabs>
        <w:spacing w:before="100" w:beforeAutospacing="1" w:after="100" w:afterAutospacing="1" w:line="360" w:lineRule="auto"/>
        <w:ind w:left="0"/>
        <w:jc w:val="both"/>
        <w:rPr>
          <w:rFonts w:ascii="Palatino Linotype" w:hAnsi="Palatino Linotype" w:cs="Arial"/>
          <w:color w:val="000000" w:themeColor="text1"/>
        </w:rPr>
      </w:pPr>
    </w:p>
    <w:p w14:paraId="78A34637" w14:textId="77777777" w:rsidR="00505269" w:rsidRPr="00437FA3" w:rsidRDefault="00505269" w:rsidP="00437FA3">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color w:val="000000" w:themeColor="text1"/>
        </w:rPr>
      </w:pPr>
      <w:r w:rsidRPr="00437FA3">
        <w:rPr>
          <w:rFonts w:ascii="Palatino Linotype" w:eastAsia="Calibri" w:hAnsi="Palatino Linotype" w:cs="Arial"/>
          <w:lang w:val="es-AR"/>
        </w:rPr>
        <w:t xml:space="preserve">El </w:t>
      </w:r>
      <w:r w:rsidRPr="00437FA3">
        <w:rPr>
          <w:rFonts w:ascii="Palatino Linotype" w:eastAsia="Times New Roman" w:hAnsi="Palatino Linotype" w:cs="Arial"/>
          <w:b/>
          <w:lang w:val="es-ES"/>
        </w:rPr>
        <w:t xml:space="preserve">SUJETO OBLIGADO </w:t>
      </w:r>
      <w:r w:rsidRPr="00437FA3">
        <w:rPr>
          <w:rFonts w:ascii="Palatino Linotype" w:eastAsia="Times New Roman" w:hAnsi="Palatino Linotype" w:cs="Arial"/>
          <w:lang w:val="es-ES"/>
        </w:rPr>
        <w:t xml:space="preserve">no </w:t>
      </w:r>
      <w:r w:rsidRPr="00437FA3">
        <w:rPr>
          <w:rFonts w:ascii="Palatino Linotype" w:eastAsia="Times New Roman" w:hAnsi="Palatino Linotype" w:cs="Arial"/>
          <w:color w:val="000000" w:themeColor="text1"/>
          <w:lang w:val="es-ES"/>
        </w:rPr>
        <w:t>respondió a la solicitud de información.</w:t>
      </w:r>
    </w:p>
    <w:p w14:paraId="2AC99867" w14:textId="77777777" w:rsidR="00505269" w:rsidRPr="00437FA3" w:rsidRDefault="00505269" w:rsidP="00437FA3">
      <w:pPr>
        <w:pStyle w:val="Prrafodelista"/>
        <w:tabs>
          <w:tab w:val="left" w:pos="567"/>
        </w:tabs>
        <w:spacing w:before="100" w:beforeAutospacing="1" w:after="100" w:afterAutospacing="1" w:line="360" w:lineRule="auto"/>
        <w:ind w:left="0"/>
        <w:jc w:val="both"/>
        <w:rPr>
          <w:rFonts w:ascii="Palatino Linotype" w:hAnsi="Palatino Linotype" w:cs="Arial"/>
          <w:color w:val="000000" w:themeColor="text1"/>
        </w:rPr>
      </w:pPr>
    </w:p>
    <w:p w14:paraId="3F623FA6" w14:textId="3BB43C51" w:rsidR="00505269" w:rsidRPr="00437FA3" w:rsidRDefault="00505269" w:rsidP="00437FA3">
      <w:pPr>
        <w:pStyle w:val="Prrafodelista"/>
        <w:numPr>
          <w:ilvl w:val="0"/>
          <w:numId w:val="1"/>
        </w:numPr>
        <w:tabs>
          <w:tab w:val="left" w:pos="567"/>
        </w:tabs>
        <w:spacing w:line="360" w:lineRule="auto"/>
        <w:ind w:left="0" w:firstLine="0"/>
        <w:jc w:val="both"/>
        <w:rPr>
          <w:rFonts w:ascii="Palatino Linotype" w:hAnsi="Palatino Linotype" w:cs="Arial"/>
          <w:color w:val="000000" w:themeColor="text1"/>
        </w:rPr>
      </w:pPr>
      <w:r w:rsidRPr="00437FA3">
        <w:rPr>
          <w:rFonts w:ascii="Palatino Linotype" w:eastAsia="Times New Roman" w:hAnsi="Palatino Linotype" w:cs="Arial"/>
          <w:lang w:val="es-ES"/>
        </w:rPr>
        <w:t xml:space="preserve">El día </w:t>
      </w:r>
      <w:r w:rsidR="004216FE" w:rsidRPr="00437FA3">
        <w:rPr>
          <w:rFonts w:ascii="Palatino Linotype" w:eastAsia="Times New Roman" w:hAnsi="Palatino Linotype" w:cs="Arial"/>
          <w:lang w:val="es-ES"/>
        </w:rPr>
        <w:t>dieciocho</w:t>
      </w:r>
      <w:r w:rsidRPr="00437FA3">
        <w:rPr>
          <w:rFonts w:ascii="Palatino Linotype" w:eastAsia="Times New Roman" w:hAnsi="Palatino Linotype" w:cs="Arial"/>
          <w:lang w:val="es-ES"/>
        </w:rPr>
        <w:t xml:space="preserve"> (18) de febrero de dos mil diecinueve, </w:t>
      </w:r>
      <w:r w:rsidRPr="00437FA3">
        <w:rPr>
          <w:rFonts w:ascii="Palatino Linotype" w:hAnsi="Palatino Linotype"/>
          <w:color w:val="000000"/>
        </w:rPr>
        <w:t xml:space="preserve">se </w:t>
      </w:r>
      <w:r w:rsidRPr="00437FA3">
        <w:rPr>
          <w:rFonts w:ascii="Palatino Linotype" w:eastAsia="Times New Roman" w:hAnsi="Palatino Linotype" w:cs="Arial"/>
          <w:lang w:val="es-ES"/>
        </w:rPr>
        <w:t>interpuso el recurso de revisión, en contra de la falta de respuesta, señalando como:</w:t>
      </w:r>
    </w:p>
    <w:p w14:paraId="37309AD2" w14:textId="77777777" w:rsidR="00505269" w:rsidRPr="00437FA3" w:rsidRDefault="00505269" w:rsidP="00437FA3">
      <w:pPr>
        <w:pStyle w:val="Prrafodelista"/>
        <w:tabs>
          <w:tab w:val="left" w:pos="567"/>
        </w:tabs>
        <w:spacing w:line="360" w:lineRule="auto"/>
        <w:ind w:left="0"/>
        <w:jc w:val="both"/>
        <w:rPr>
          <w:rFonts w:ascii="Palatino Linotype" w:hAnsi="Palatino Linotype"/>
        </w:rPr>
      </w:pPr>
    </w:p>
    <w:p w14:paraId="59970600" w14:textId="0FBD8DB5" w:rsidR="00F34201" w:rsidRPr="00437FA3" w:rsidRDefault="006711DB" w:rsidP="00437FA3">
      <w:pPr>
        <w:spacing w:line="360" w:lineRule="auto"/>
        <w:ind w:left="567" w:right="567"/>
        <w:jc w:val="both"/>
        <w:rPr>
          <w:rFonts w:ascii="Palatino Linotype" w:eastAsia="Calibri" w:hAnsi="Palatino Linotype" w:cs="Arial"/>
          <w:i/>
          <w:lang w:val="es-ES"/>
        </w:rPr>
      </w:pPr>
      <w:bookmarkStart w:id="5" w:name="_Toc464139197"/>
      <w:bookmarkStart w:id="6" w:name="_Toc471981162"/>
      <w:bookmarkStart w:id="7" w:name="_Toc471981317"/>
      <w:bookmarkStart w:id="8" w:name="_Toc472780344"/>
      <w:bookmarkStart w:id="9" w:name="_Toc473229705"/>
      <w:bookmarkStart w:id="10" w:name="_Toc473651751"/>
      <w:bookmarkStart w:id="11" w:name="_Toc476135272"/>
      <w:bookmarkStart w:id="12" w:name="_Toc476135581"/>
      <w:bookmarkStart w:id="13" w:name="_Toc476765027"/>
      <w:bookmarkStart w:id="14" w:name="_Toc476766283"/>
      <w:bookmarkStart w:id="15" w:name="_Toc476766378"/>
      <w:bookmarkStart w:id="16" w:name="_Toc478584831"/>
      <w:bookmarkStart w:id="17" w:name="_Toc481092627"/>
      <w:bookmarkStart w:id="18" w:name="_Toc487053684"/>
      <w:bookmarkStart w:id="19" w:name="_Toc487053879"/>
      <w:bookmarkStart w:id="20" w:name="_Toc494915459"/>
      <w:bookmarkStart w:id="21" w:name="_Toc494920818"/>
      <w:bookmarkStart w:id="22" w:name="_Toc494920990"/>
      <w:bookmarkStart w:id="23" w:name="_Toc7787163"/>
      <w:bookmarkStart w:id="24" w:name="_Toc473812223"/>
      <w:bookmarkStart w:id="25" w:name="_Toc477277064"/>
      <w:bookmarkStart w:id="26" w:name="_Toc477279481"/>
      <w:bookmarkStart w:id="27" w:name="_Toc479274980"/>
      <w:bookmarkStart w:id="28" w:name="_Toc479275048"/>
      <w:bookmarkStart w:id="29" w:name="_Toc479275094"/>
      <w:bookmarkStart w:id="30" w:name="_Toc494998348"/>
      <w:bookmarkStart w:id="31" w:name="_Toc495430766"/>
      <w:r w:rsidRPr="00437FA3">
        <w:rPr>
          <w:rStyle w:val="Ttulo2Car"/>
          <w:color w:val="auto"/>
          <w:szCs w:val="24"/>
          <w:lang w:val="es-ES"/>
        </w:rPr>
        <w:t xml:space="preserve">a) </w:t>
      </w:r>
      <w:r w:rsidR="00F34201" w:rsidRPr="00437FA3">
        <w:rPr>
          <w:rStyle w:val="Ttulo2Car"/>
          <w:color w:val="auto"/>
          <w:szCs w:val="24"/>
          <w:lang w:val="es-ES"/>
        </w:rPr>
        <w:t>Acto impugnado:</w:t>
      </w:r>
      <w:bookmarkStart w:id="32" w:name="_Toc464139198"/>
      <w:bookmarkStart w:id="33" w:name="_Toc471981163"/>
      <w:bookmarkStart w:id="34" w:name="_Toc471981318"/>
      <w:bookmarkStart w:id="35" w:name="_Toc472780345"/>
      <w:bookmarkStart w:id="36" w:name="_Toc473229706"/>
      <w:bookmarkStart w:id="37" w:name="_Toc473651752"/>
      <w:bookmarkStart w:id="38" w:name="_Toc476135273"/>
      <w:bookmarkStart w:id="39" w:name="_Toc476135582"/>
      <w:bookmarkStart w:id="40" w:name="_Toc476765028"/>
      <w:bookmarkStart w:id="41" w:name="_Toc476766284"/>
      <w:bookmarkStart w:id="42" w:name="_Toc476766379"/>
      <w:bookmarkStart w:id="43" w:name="_Toc478584832"/>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0038315E" w:rsidRPr="00437FA3">
        <w:rPr>
          <w:rStyle w:val="Ttulo2Car"/>
          <w:color w:val="auto"/>
          <w:szCs w:val="24"/>
          <w:lang w:val="es-ES"/>
        </w:rPr>
        <w:t xml:space="preserve"> </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003B0860" w:rsidRPr="00437FA3">
        <w:rPr>
          <w:rFonts w:ascii="Palatino Linotype" w:hAnsi="Palatino Linotype"/>
          <w:i/>
        </w:rPr>
        <w:t>“</w:t>
      </w:r>
      <w:r w:rsidR="00CE6F37" w:rsidRPr="00437FA3">
        <w:rPr>
          <w:rFonts w:ascii="Palatino Linotype" w:hAnsi="Palatino Linotype"/>
          <w:i/>
          <w:color w:val="000000"/>
        </w:rPr>
        <w:t xml:space="preserve">Negativa a la solicitud de requerimiento de información con </w:t>
      </w:r>
      <w:proofErr w:type="spellStart"/>
      <w:r w:rsidR="00CE6F37" w:rsidRPr="00437FA3">
        <w:rPr>
          <w:rFonts w:ascii="Palatino Linotype" w:hAnsi="Palatino Linotype"/>
          <w:i/>
          <w:color w:val="000000"/>
        </w:rPr>
        <w:t>numero</w:t>
      </w:r>
      <w:proofErr w:type="spellEnd"/>
      <w:r w:rsidR="00CE6F37" w:rsidRPr="00437FA3">
        <w:rPr>
          <w:rFonts w:ascii="Palatino Linotype" w:hAnsi="Palatino Linotype"/>
          <w:i/>
          <w:color w:val="000000"/>
        </w:rPr>
        <w:t xml:space="preserve"> de folio 00003/OASNICOROM/IP/2019, que se efectuó al Organismo Público Descentralizado para la prestación de los servicios de Agua Potable, Alcantarillado y Saneamiento del Municipio de </w:t>
      </w:r>
      <w:proofErr w:type="spellStart"/>
      <w:r w:rsidR="00CE6F37" w:rsidRPr="00437FA3">
        <w:rPr>
          <w:rFonts w:ascii="Palatino Linotype" w:hAnsi="Palatino Linotype"/>
          <w:i/>
          <w:color w:val="000000"/>
        </w:rPr>
        <w:t>Nicolas</w:t>
      </w:r>
      <w:proofErr w:type="spellEnd"/>
      <w:r w:rsidR="00CE6F37" w:rsidRPr="00437FA3">
        <w:rPr>
          <w:rFonts w:ascii="Palatino Linotype" w:hAnsi="Palatino Linotype"/>
          <w:i/>
          <w:color w:val="000000"/>
        </w:rPr>
        <w:t xml:space="preserve"> Romero</w:t>
      </w:r>
      <w:r w:rsidR="00451EB6" w:rsidRPr="00437FA3">
        <w:rPr>
          <w:rFonts w:ascii="Palatino Linotype" w:eastAsia="Times New Roman" w:hAnsi="Palatino Linotype" w:cs="Times New Roman"/>
          <w:i/>
          <w:lang w:val="es-MX" w:eastAsia="es-MX"/>
        </w:rPr>
        <w:t>"</w:t>
      </w:r>
      <w:r w:rsidR="00451EB6" w:rsidRPr="00437FA3">
        <w:rPr>
          <w:rFonts w:ascii="Palatino Linotype" w:eastAsia="Calibri" w:hAnsi="Palatino Linotype" w:cs="Arial"/>
          <w:i/>
          <w:lang w:val="es-ES"/>
        </w:rPr>
        <w:t xml:space="preserve"> </w:t>
      </w:r>
      <w:r w:rsidR="00AC6585" w:rsidRPr="00437FA3">
        <w:rPr>
          <w:rFonts w:ascii="Palatino Linotype" w:eastAsia="Calibri" w:hAnsi="Palatino Linotype" w:cs="Arial"/>
          <w:i/>
          <w:lang w:val="es-ES"/>
        </w:rPr>
        <w:t>(Sic)</w:t>
      </w:r>
    </w:p>
    <w:p w14:paraId="49011773" w14:textId="77777777" w:rsidR="009F65DD" w:rsidRPr="00437FA3" w:rsidRDefault="009F65DD" w:rsidP="00437FA3">
      <w:pPr>
        <w:spacing w:line="360" w:lineRule="auto"/>
        <w:ind w:right="567"/>
        <w:jc w:val="both"/>
        <w:rPr>
          <w:rStyle w:val="Ttulo2Car"/>
          <w:b w:val="0"/>
          <w:color w:val="auto"/>
          <w:szCs w:val="24"/>
          <w:lang w:val="es-ES"/>
        </w:rPr>
      </w:pPr>
    </w:p>
    <w:p w14:paraId="7F7A068C" w14:textId="04E54F34" w:rsidR="00437FA3" w:rsidRDefault="006711DB" w:rsidP="00437FA3">
      <w:pPr>
        <w:spacing w:line="360" w:lineRule="auto"/>
        <w:ind w:left="567" w:right="567"/>
        <w:jc w:val="both"/>
        <w:rPr>
          <w:rFonts w:ascii="Palatino Linotype" w:hAnsi="Palatino Linotype"/>
          <w:i/>
          <w:color w:val="000000"/>
        </w:rPr>
      </w:pPr>
      <w:bookmarkStart w:id="44" w:name="_Toc478584833"/>
      <w:bookmarkStart w:id="45" w:name="_Toc479274981"/>
      <w:bookmarkStart w:id="46" w:name="_Toc479275049"/>
      <w:bookmarkStart w:id="47" w:name="_Toc479275095"/>
      <w:bookmarkStart w:id="48" w:name="_Toc481092629"/>
      <w:bookmarkStart w:id="49" w:name="_Toc487053686"/>
      <w:bookmarkStart w:id="50" w:name="_Toc487053881"/>
      <w:bookmarkStart w:id="51" w:name="_Toc494915461"/>
      <w:bookmarkStart w:id="52" w:name="_Toc494920992"/>
      <w:bookmarkStart w:id="53" w:name="_Toc494998349"/>
      <w:bookmarkStart w:id="54" w:name="_Toc495430767"/>
      <w:bookmarkStart w:id="55" w:name="_Toc7787164"/>
      <w:r w:rsidRPr="00437FA3">
        <w:rPr>
          <w:rStyle w:val="Ttulo2Car"/>
          <w:color w:val="auto"/>
          <w:szCs w:val="24"/>
          <w:lang w:val="es-ES"/>
        </w:rPr>
        <w:lastRenderedPageBreak/>
        <w:t xml:space="preserve">b) </w:t>
      </w:r>
      <w:r w:rsidR="00F34201" w:rsidRPr="00437FA3">
        <w:rPr>
          <w:rStyle w:val="Ttulo2Car"/>
          <w:color w:val="auto"/>
          <w:szCs w:val="24"/>
          <w:lang w:val="es-ES"/>
        </w:rPr>
        <w:t>Razones o Motivos de inconformidad:</w:t>
      </w:r>
      <w:bookmarkEnd w:id="44"/>
      <w:bookmarkEnd w:id="45"/>
      <w:bookmarkEnd w:id="46"/>
      <w:bookmarkEnd w:id="47"/>
      <w:bookmarkEnd w:id="48"/>
      <w:bookmarkEnd w:id="49"/>
      <w:bookmarkEnd w:id="50"/>
      <w:bookmarkEnd w:id="51"/>
      <w:bookmarkEnd w:id="52"/>
      <w:bookmarkEnd w:id="53"/>
      <w:bookmarkEnd w:id="54"/>
      <w:bookmarkEnd w:id="55"/>
      <w:r w:rsidR="00F34201" w:rsidRPr="00437FA3">
        <w:rPr>
          <w:rFonts w:ascii="Palatino Linotype" w:hAnsi="Palatino Linotype"/>
        </w:rPr>
        <w:t xml:space="preserve"> </w:t>
      </w:r>
      <w:r w:rsidR="00F34201" w:rsidRPr="00437FA3">
        <w:rPr>
          <w:rFonts w:ascii="Palatino Linotype" w:hAnsi="Palatino Linotype"/>
          <w:i/>
        </w:rPr>
        <w:t>“</w:t>
      </w:r>
      <w:r w:rsidR="00501CFD" w:rsidRPr="00437FA3">
        <w:rPr>
          <w:rFonts w:ascii="Palatino Linotype" w:hAnsi="Palatino Linotype"/>
          <w:i/>
          <w:color w:val="000000"/>
        </w:rPr>
        <w:t xml:space="preserve">Por este medio vengo a interponer formal recurso en contra de la negativa a la información solicitada, mediante mi solicitud con número de folio 00003/OASNICOROM/IP/2019 de fecha 22 de Enero del año 2019, hecha en este portal y la cual venció el plazo establecido en la ley, el día 13 de febrero del año en curso, esto por parte del Organismo Público Descentralizado para la prestación de los servicios de Agua Potable, Alcantarillado y Saneamiento del Municipio de </w:t>
      </w:r>
      <w:proofErr w:type="spellStart"/>
      <w:r w:rsidR="00501CFD" w:rsidRPr="00437FA3">
        <w:rPr>
          <w:rFonts w:ascii="Palatino Linotype" w:hAnsi="Palatino Linotype"/>
          <w:i/>
          <w:color w:val="000000"/>
        </w:rPr>
        <w:t>Nicolas</w:t>
      </w:r>
      <w:proofErr w:type="spellEnd"/>
      <w:r w:rsidR="00501CFD" w:rsidRPr="00437FA3">
        <w:rPr>
          <w:rFonts w:ascii="Palatino Linotype" w:hAnsi="Palatino Linotype"/>
          <w:i/>
          <w:color w:val="000000"/>
        </w:rPr>
        <w:t xml:space="preserve"> Romero. Lo anterior, en virtud que se me violenta y afecta mi derecho de acceso a la información pública, toda vez como se ha expuesto, existe una total omisión de respuesta a mi solicitud, cabe mencionar que en ningún momento, se manifestó el Sujeto Obligado en cuanto al formal requerimiento que se efectuó, excediéndose a todas luces del plazo legal previsto en la ley aplicable en la materia, dejándome en un total estado de indefensión, luego entonces, solicito se aplique a mi favor la suplencia de la queja en el presente recurso. En el momento procesal, se emita la resolución a través de la cual se obligue al Sujeto Obligado de cabal cumplimiento en los términos de la información requerida por la suscrita, respuesta debidamente fundad y motivada que atienda todos los puntos o requerimientos que fueron señalados en mi solicitud. De continuar en la negativa de entregar la información solicitada, se le apliquen las medidas de apremio, sanciones y demás que en derecho proceda, por estar estrictamente </w:t>
      </w:r>
      <w:r w:rsidR="00501CFD" w:rsidRPr="00437FA3">
        <w:rPr>
          <w:rFonts w:ascii="Palatino Linotype" w:hAnsi="Palatino Linotype"/>
          <w:i/>
          <w:color w:val="000000"/>
        </w:rPr>
        <w:lastRenderedPageBreak/>
        <w:t>apegada a lo establecido en la Ley de Transparencia y Acceso a la Información Pública del Estado de México y Municipios.</w:t>
      </w:r>
      <w:r w:rsidR="00F34201" w:rsidRPr="00437FA3">
        <w:rPr>
          <w:rFonts w:ascii="Palatino Linotype" w:hAnsi="Palatino Linotype"/>
          <w:i/>
          <w:color w:val="000000"/>
        </w:rPr>
        <w:t>” (Sic)</w:t>
      </w:r>
      <w:bookmarkStart w:id="56" w:name="_Toc463524052"/>
      <w:bookmarkStart w:id="57" w:name="_Toc468394898"/>
    </w:p>
    <w:p w14:paraId="0D7A4AFE" w14:textId="77777777" w:rsidR="00437FA3" w:rsidRPr="00437FA3" w:rsidRDefault="00437FA3" w:rsidP="00437FA3">
      <w:pPr>
        <w:spacing w:line="360" w:lineRule="auto"/>
        <w:ind w:left="567" w:right="567"/>
        <w:jc w:val="both"/>
        <w:rPr>
          <w:rFonts w:ascii="Palatino Linotype" w:hAnsi="Palatino Linotype"/>
          <w:i/>
          <w:color w:val="000000"/>
        </w:rPr>
      </w:pPr>
    </w:p>
    <w:p w14:paraId="0A9E4CEC" w14:textId="77777777" w:rsidR="00505269" w:rsidRPr="00437FA3" w:rsidRDefault="00505269" w:rsidP="00437FA3">
      <w:pPr>
        <w:pStyle w:val="Prrafodelista"/>
        <w:numPr>
          <w:ilvl w:val="0"/>
          <w:numId w:val="1"/>
        </w:numPr>
        <w:tabs>
          <w:tab w:val="left" w:pos="426"/>
          <w:tab w:val="left" w:pos="567"/>
        </w:tabs>
        <w:spacing w:before="240" w:line="360" w:lineRule="auto"/>
        <w:ind w:left="0" w:firstLine="0"/>
        <w:jc w:val="both"/>
        <w:rPr>
          <w:rFonts w:ascii="Palatino Linotype" w:hAnsi="Palatino Linotype"/>
          <w:b/>
          <w:i/>
          <w:color w:val="000000" w:themeColor="text1"/>
        </w:rPr>
      </w:pPr>
      <w:r w:rsidRPr="00437FA3">
        <w:rPr>
          <w:rFonts w:ascii="Palatino Linotype" w:eastAsia="Times New Roman" w:hAnsi="Palatino Linotype" w:cs="Arial"/>
          <w:lang w:val="es-ES"/>
        </w:rPr>
        <w:t xml:space="preserve">Se registró el recurso de revisión bajo el número de expediente </w:t>
      </w:r>
      <w:r w:rsidRPr="00437FA3">
        <w:rPr>
          <w:rFonts w:ascii="Palatino Linotype" w:hAnsi="Palatino Linotype" w:cs="Arial"/>
          <w:bCs/>
        </w:rPr>
        <w:t xml:space="preserve">al rubro indicado, así mismo con fundamento en lo dispuesto por el </w:t>
      </w:r>
      <w:r w:rsidRPr="00437FA3">
        <w:rPr>
          <w:rFonts w:ascii="Palatino Linotype" w:eastAsia="Calibri" w:hAnsi="Palatino Linotype" w:cs="Arial"/>
          <w:lang w:val="es-ES"/>
        </w:rPr>
        <w:t xml:space="preserve">artículo 185 fracción I de la </w:t>
      </w:r>
      <w:r w:rsidRPr="00437FA3">
        <w:rPr>
          <w:rFonts w:ascii="Palatino Linotype" w:eastAsia="Calibri" w:hAnsi="Palatino Linotype" w:cs="Arial"/>
          <w:b/>
          <w:lang w:val="es-ES"/>
        </w:rPr>
        <w:t xml:space="preserve">Ley de Transparencia y Acceso a la Información Pública del Estado de México y Municipios </w:t>
      </w:r>
      <w:r w:rsidRPr="00437FA3">
        <w:rPr>
          <w:rFonts w:ascii="Palatino Linotype" w:eastAsia="Times New Roman" w:hAnsi="Palatino Linotype" w:cs="Arial"/>
          <w:lang w:val="es-ES"/>
        </w:rPr>
        <w:t xml:space="preserve">se turnó al </w:t>
      </w:r>
      <w:r w:rsidRPr="00437FA3">
        <w:rPr>
          <w:rFonts w:ascii="Palatino Linotype" w:eastAsia="Times New Roman" w:hAnsi="Palatino Linotype" w:cs="Arial"/>
          <w:b/>
          <w:lang w:val="es-ES"/>
        </w:rPr>
        <w:t xml:space="preserve">Comisionado José Guadalupe Luna Hernández, </w:t>
      </w:r>
      <w:r w:rsidRPr="00437FA3">
        <w:rPr>
          <w:rFonts w:ascii="Palatino Linotype" w:eastAsia="Times New Roman" w:hAnsi="Palatino Linotype" w:cs="Arial"/>
          <w:lang w:val="es-ES"/>
        </w:rPr>
        <w:t xml:space="preserve">con el objeto de </w:t>
      </w:r>
      <w:r w:rsidRPr="00437FA3">
        <w:rPr>
          <w:rFonts w:ascii="Palatino Linotype" w:eastAsia="Times New Roman" w:hAnsi="Palatino Linotype" w:cs="Arial"/>
          <w:lang w:val="es-MX"/>
        </w:rPr>
        <w:t>su análisis.</w:t>
      </w:r>
    </w:p>
    <w:p w14:paraId="75F9A604" w14:textId="77777777" w:rsidR="00505269" w:rsidRPr="00437FA3" w:rsidRDefault="00505269" w:rsidP="00437FA3">
      <w:pPr>
        <w:pStyle w:val="Prrafodelista"/>
        <w:tabs>
          <w:tab w:val="left" w:pos="426"/>
          <w:tab w:val="left" w:pos="567"/>
        </w:tabs>
        <w:spacing w:line="360" w:lineRule="auto"/>
        <w:ind w:left="0"/>
        <w:jc w:val="both"/>
        <w:rPr>
          <w:rFonts w:ascii="Palatino Linotype" w:hAnsi="Palatino Linotype"/>
          <w:color w:val="000000"/>
        </w:rPr>
      </w:pPr>
    </w:p>
    <w:p w14:paraId="0562CEB5" w14:textId="06F6166C" w:rsidR="00505269" w:rsidRPr="00437FA3" w:rsidRDefault="00505269" w:rsidP="00437FA3">
      <w:pPr>
        <w:pStyle w:val="Prrafodelista"/>
        <w:numPr>
          <w:ilvl w:val="0"/>
          <w:numId w:val="1"/>
        </w:numPr>
        <w:tabs>
          <w:tab w:val="left" w:pos="426"/>
          <w:tab w:val="left" w:pos="567"/>
        </w:tabs>
        <w:spacing w:before="240" w:after="240" w:line="360" w:lineRule="auto"/>
        <w:ind w:left="0" w:firstLine="0"/>
        <w:jc w:val="both"/>
        <w:rPr>
          <w:rFonts w:ascii="Palatino Linotype" w:hAnsi="Palatino Linotype"/>
          <w:b/>
          <w:color w:val="000000" w:themeColor="text1"/>
        </w:rPr>
      </w:pPr>
      <w:r w:rsidRPr="00437FA3">
        <w:rPr>
          <w:rFonts w:ascii="Palatino Linotype" w:eastAsia="Calibri" w:hAnsi="Palatino Linotype" w:cs="Arial"/>
          <w:lang w:val="es-ES"/>
        </w:rPr>
        <w:t xml:space="preserve">El Comisionado Ponente con fundamento en lo dispuesto por el artículo 185 fracción II de la ley de la materia, a través del acuerdo de admisión de fecha </w:t>
      </w:r>
      <w:r w:rsidR="006C4B8C" w:rsidRPr="00437FA3">
        <w:rPr>
          <w:rFonts w:ascii="Palatino Linotype" w:eastAsia="Calibri" w:hAnsi="Palatino Linotype" w:cs="Arial"/>
          <w:lang w:val="es-ES"/>
        </w:rPr>
        <w:t>veintidós</w:t>
      </w:r>
      <w:r w:rsidRPr="00437FA3">
        <w:rPr>
          <w:rFonts w:ascii="Palatino Linotype" w:eastAsia="Calibri" w:hAnsi="Palatino Linotype" w:cs="Arial"/>
          <w:lang w:val="es-ES"/>
        </w:rPr>
        <w:t xml:space="preserve"> (</w:t>
      </w:r>
      <w:r w:rsidR="006C4B8C" w:rsidRPr="00437FA3">
        <w:rPr>
          <w:rFonts w:ascii="Palatino Linotype" w:eastAsia="Calibri" w:hAnsi="Palatino Linotype" w:cs="Arial"/>
          <w:lang w:val="es-ES"/>
        </w:rPr>
        <w:t>22</w:t>
      </w:r>
      <w:r w:rsidRPr="00437FA3">
        <w:rPr>
          <w:rFonts w:ascii="Palatino Linotype" w:eastAsia="Calibri" w:hAnsi="Palatino Linotype" w:cs="Arial"/>
          <w:lang w:val="es-ES"/>
        </w:rPr>
        <w:t xml:space="preserve">) de febrero de dos mil diecinueve, puso a disposición de las partes el expediente electrónico </w:t>
      </w:r>
      <w:r w:rsidRPr="00437FA3">
        <w:rPr>
          <w:rFonts w:ascii="Palatino Linotype" w:eastAsia="Calibri" w:hAnsi="Palatino Linotype" w:cs="Arial"/>
        </w:rPr>
        <w:t xml:space="preserve">vía </w:t>
      </w:r>
      <w:r w:rsidRPr="00437FA3">
        <w:rPr>
          <w:rFonts w:ascii="Palatino Linotype" w:eastAsia="Calibri" w:hAnsi="Palatino Linotype" w:cs="Arial"/>
          <w:lang w:val="es-ES"/>
        </w:rPr>
        <w:t xml:space="preserve">Sistema de Acceso a la Información Mexiquense </w:t>
      </w:r>
      <w:r w:rsidRPr="00437FA3">
        <w:rPr>
          <w:rFonts w:ascii="Palatino Linotype" w:eastAsia="Calibri" w:hAnsi="Palatino Linotype" w:cs="Arial"/>
          <w:b/>
          <w:lang w:val="es-ES"/>
        </w:rPr>
        <w:t xml:space="preserve">(SAIMEX) </w:t>
      </w:r>
      <w:r w:rsidRPr="00437FA3">
        <w:rPr>
          <w:rFonts w:ascii="Palatino Linotype" w:eastAsia="Calibri" w:hAnsi="Palatino Linotype" w:cs="Arial"/>
          <w:lang w:val="es-ES"/>
        </w:rPr>
        <w:t xml:space="preserve">a efecto de que en un plazo máximo de siete días manifestaran lo que a derecho convinieran, ofrecieran pruebas y alegatos según corresponda al caso concreto, </w:t>
      </w:r>
      <w:r w:rsidRPr="00437FA3">
        <w:rPr>
          <w:rFonts w:ascii="Palatino Linotype" w:eastAsia="Calibri" w:hAnsi="Palatino Linotype" w:cs="Arial"/>
          <w:color w:val="000000" w:themeColor="text1"/>
          <w:lang w:val="es-ES"/>
        </w:rPr>
        <w:t xml:space="preserve">de esta forma para que el </w:t>
      </w:r>
      <w:r w:rsidRPr="00437FA3">
        <w:rPr>
          <w:rFonts w:ascii="Palatino Linotype" w:eastAsia="Calibri" w:hAnsi="Palatino Linotype" w:cs="Arial"/>
          <w:b/>
          <w:color w:val="000000" w:themeColor="text1"/>
          <w:lang w:val="es-ES"/>
        </w:rPr>
        <w:t>SUJETO OBLIGADO</w:t>
      </w:r>
      <w:r w:rsidRPr="00437FA3">
        <w:rPr>
          <w:rFonts w:ascii="Palatino Linotype" w:eastAsia="Calibri" w:hAnsi="Palatino Linotype" w:cs="Arial"/>
          <w:color w:val="000000" w:themeColor="text1"/>
          <w:lang w:val="es-ES"/>
        </w:rPr>
        <w:t xml:space="preserve"> presentará el Informe Justificado procedente.</w:t>
      </w:r>
    </w:p>
    <w:p w14:paraId="55925F6A" w14:textId="77777777" w:rsidR="006C4B8C" w:rsidRPr="00437FA3" w:rsidRDefault="006C4B8C" w:rsidP="00437FA3">
      <w:pPr>
        <w:pStyle w:val="Prrafodelista"/>
        <w:tabs>
          <w:tab w:val="left" w:pos="426"/>
          <w:tab w:val="left" w:pos="567"/>
        </w:tabs>
        <w:spacing w:before="240" w:after="240" w:line="360" w:lineRule="auto"/>
        <w:ind w:left="0"/>
        <w:jc w:val="both"/>
        <w:rPr>
          <w:rFonts w:ascii="Palatino Linotype" w:hAnsi="Palatino Linotype"/>
          <w:b/>
          <w:color w:val="000000" w:themeColor="text1"/>
        </w:rPr>
      </w:pPr>
    </w:p>
    <w:p w14:paraId="3AA0B4EB" w14:textId="35B62771" w:rsidR="00505269" w:rsidRPr="00437FA3" w:rsidRDefault="009B7CD2" w:rsidP="00437FA3">
      <w:pPr>
        <w:pStyle w:val="Prrafodelista"/>
        <w:numPr>
          <w:ilvl w:val="0"/>
          <w:numId w:val="1"/>
        </w:numPr>
        <w:tabs>
          <w:tab w:val="left" w:pos="567"/>
        </w:tabs>
        <w:spacing w:before="100" w:beforeAutospacing="1" w:after="100" w:afterAutospacing="1" w:line="360" w:lineRule="auto"/>
        <w:ind w:left="0" w:firstLine="0"/>
        <w:jc w:val="both"/>
        <w:rPr>
          <w:rFonts w:ascii="Palatino Linotype" w:hAnsi="Palatino Linotype" w:cs="Arial"/>
          <w:i/>
          <w:color w:val="000000" w:themeColor="text1"/>
        </w:rPr>
      </w:pPr>
      <w:r w:rsidRPr="00437FA3">
        <w:rPr>
          <w:rFonts w:ascii="Palatino Linotype" w:eastAsia="Calibri" w:hAnsi="Palatino Linotype" w:cs="Arial"/>
          <w:color w:val="000000" w:themeColor="text1"/>
          <w:lang w:val="es-ES"/>
        </w:rPr>
        <w:t>Los días</w:t>
      </w:r>
      <w:r w:rsidR="00505269" w:rsidRPr="00437FA3">
        <w:rPr>
          <w:rFonts w:ascii="Palatino Linotype" w:eastAsia="Calibri" w:hAnsi="Palatino Linotype" w:cs="Arial"/>
          <w:color w:val="000000" w:themeColor="text1"/>
          <w:lang w:val="es-ES"/>
        </w:rPr>
        <w:t xml:space="preserve"> </w:t>
      </w:r>
      <w:r w:rsidRPr="00437FA3">
        <w:rPr>
          <w:rFonts w:ascii="Palatino Linotype" w:eastAsia="Calibri" w:hAnsi="Palatino Linotype" w:cs="Arial"/>
          <w:color w:val="000000" w:themeColor="text1"/>
          <w:lang w:val="es-ES"/>
        </w:rPr>
        <w:t>veintiséis</w:t>
      </w:r>
      <w:r w:rsidR="00505269" w:rsidRPr="00437FA3">
        <w:rPr>
          <w:rFonts w:ascii="Palatino Linotype" w:eastAsia="Calibri" w:hAnsi="Palatino Linotype" w:cs="Arial"/>
          <w:color w:val="000000" w:themeColor="text1"/>
          <w:lang w:val="es-ES"/>
        </w:rPr>
        <w:t xml:space="preserve"> (</w:t>
      </w:r>
      <w:r w:rsidRPr="00437FA3">
        <w:rPr>
          <w:rFonts w:ascii="Palatino Linotype" w:eastAsia="Calibri" w:hAnsi="Palatino Linotype" w:cs="Arial"/>
          <w:color w:val="000000" w:themeColor="text1"/>
          <w:lang w:val="es-ES"/>
        </w:rPr>
        <w:t>26</w:t>
      </w:r>
      <w:r w:rsidR="00505269" w:rsidRPr="00437FA3">
        <w:rPr>
          <w:rFonts w:ascii="Palatino Linotype" w:eastAsia="Calibri" w:hAnsi="Palatino Linotype" w:cs="Arial"/>
          <w:color w:val="000000" w:themeColor="text1"/>
          <w:lang w:val="es-ES"/>
        </w:rPr>
        <w:t xml:space="preserve">) de febrero </w:t>
      </w:r>
      <w:r w:rsidRPr="00437FA3">
        <w:rPr>
          <w:rFonts w:ascii="Palatino Linotype" w:eastAsia="Calibri" w:hAnsi="Palatino Linotype" w:cs="Arial"/>
          <w:color w:val="000000" w:themeColor="text1"/>
          <w:lang w:val="es-ES"/>
        </w:rPr>
        <w:t xml:space="preserve">y cuatro (04) </w:t>
      </w:r>
      <w:r w:rsidR="00505269" w:rsidRPr="00437FA3">
        <w:rPr>
          <w:rFonts w:ascii="Palatino Linotype" w:eastAsia="Calibri" w:hAnsi="Palatino Linotype" w:cs="Arial"/>
          <w:color w:val="000000" w:themeColor="text1"/>
          <w:lang w:val="es-ES"/>
        </w:rPr>
        <w:t xml:space="preserve">de </w:t>
      </w:r>
      <w:r w:rsidRPr="00437FA3">
        <w:rPr>
          <w:rFonts w:ascii="Palatino Linotype" w:eastAsia="Calibri" w:hAnsi="Palatino Linotype" w:cs="Arial"/>
          <w:color w:val="000000" w:themeColor="text1"/>
          <w:lang w:val="es-ES"/>
        </w:rPr>
        <w:t xml:space="preserve">abril de </w:t>
      </w:r>
      <w:r w:rsidR="00505269" w:rsidRPr="00437FA3">
        <w:rPr>
          <w:rFonts w:ascii="Palatino Linotype" w:eastAsia="Calibri" w:hAnsi="Palatino Linotype" w:cs="Arial"/>
          <w:color w:val="000000" w:themeColor="text1"/>
          <w:lang w:val="es-ES"/>
        </w:rPr>
        <w:t xml:space="preserve">dos mil diecinueve el </w:t>
      </w:r>
      <w:r w:rsidR="00505269" w:rsidRPr="00437FA3">
        <w:rPr>
          <w:rFonts w:ascii="Palatino Linotype" w:eastAsia="Calibri" w:hAnsi="Palatino Linotype" w:cs="Arial"/>
          <w:b/>
          <w:color w:val="000000" w:themeColor="text1"/>
          <w:lang w:val="es-ES"/>
        </w:rPr>
        <w:t xml:space="preserve">SUJETO OBLIGADO, </w:t>
      </w:r>
      <w:r w:rsidR="00505269" w:rsidRPr="00437FA3">
        <w:rPr>
          <w:rFonts w:ascii="Palatino Linotype" w:eastAsia="Calibri" w:hAnsi="Palatino Linotype" w:cs="Arial"/>
          <w:color w:val="000000" w:themeColor="text1"/>
          <w:lang w:val="es-ES"/>
        </w:rPr>
        <w:t xml:space="preserve">rindió su informe justificado para manifestar lo que a su derecho le asistiera y conviniera mediante </w:t>
      </w:r>
      <w:r w:rsidR="006C4B8C" w:rsidRPr="00437FA3">
        <w:rPr>
          <w:rFonts w:ascii="Palatino Linotype" w:eastAsia="Calibri" w:hAnsi="Palatino Linotype" w:cs="Arial"/>
          <w:color w:val="000000" w:themeColor="text1"/>
          <w:lang w:val="es-ES"/>
        </w:rPr>
        <w:t xml:space="preserve">los </w:t>
      </w:r>
      <w:r w:rsidR="00505269" w:rsidRPr="00437FA3">
        <w:rPr>
          <w:rFonts w:ascii="Palatino Linotype" w:eastAsia="Calibri" w:hAnsi="Palatino Linotype" w:cs="Arial"/>
          <w:color w:val="000000" w:themeColor="text1"/>
          <w:lang w:val="es-ES"/>
        </w:rPr>
        <w:t>archivo</w:t>
      </w:r>
      <w:r w:rsidR="006C4B8C" w:rsidRPr="00437FA3">
        <w:rPr>
          <w:rFonts w:ascii="Palatino Linotype" w:eastAsia="Calibri" w:hAnsi="Palatino Linotype" w:cs="Arial"/>
          <w:color w:val="000000" w:themeColor="text1"/>
          <w:lang w:val="es-ES"/>
        </w:rPr>
        <w:t>s</w:t>
      </w:r>
      <w:r w:rsidR="00505269" w:rsidRPr="00437FA3">
        <w:rPr>
          <w:rFonts w:ascii="Palatino Linotype" w:eastAsia="Calibri" w:hAnsi="Palatino Linotype" w:cs="Arial"/>
          <w:color w:val="000000" w:themeColor="text1"/>
          <w:lang w:val="es-ES"/>
        </w:rPr>
        <w:t xml:space="preserve"> electrónico</w:t>
      </w:r>
      <w:r w:rsidR="006C4B8C" w:rsidRPr="00437FA3">
        <w:rPr>
          <w:rFonts w:ascii="Palatino Linotype" w:eastAsia="Calibri" w:hAnsi="Palatino Linotype" w:cs="Arial"/>
          <w:color w:val="000000" w:themeColor="text1"/>
          <w:lang w:val="es-ES"/>
        </w:rPr>
        <w:t>s</w:t>
      </w:r>
      <w:r w:rsidR="006C4B8C" w:rsidRPr="00437FA3">
        <w:rPr>
          <w:rFonts w:ascii="Palatino Linotype" w:hAnsi="Palatino Linotype" w:cs="Arial"/>
          <w:color w:val="000000" w:themeColor="text1"/>
        </w:rPr>
        <w:t xml:space="preserve"> “</w:t>
      </w:r>
      <w:hyperlink r:id="rId8" w:history="1">
        <w:r w:rsidR="006C4B8C" w:rsidRPr="00437FA3">
          <w:rPr>
            <w:rStyle w:val="Hipervnculo"/>
            <w:rFonts w:ascii="Palatino Linotype" w:hAnsi="Palatino Linotype" w:cs="Arial"/>
            <w:b/>
            <w:bCs/>
            <w:i/>
            <w:color w:val="000000" w:themeColor="text1"/>
            <w:u w:val="none"/>
          </w:rPr>
          <w:t xml:space="preserve">NOMINA </w:t>
        </w:r>
        <w:r w:rsidR="006C4B8C" w:rsidRPr="00437FA3">
          <w:rPr>
            <w:rStyle w:val="Hipervnculo"/>
            <w:rFonts w:ascii="Palatino Linotype" w:hAnsi="Palatino Linotype" w:cs="Arial"/>
            <w:b/>
            <w:bCs/>
            <w:i/>
            <w:color w:val="000000" w:themeColor="text1"/>
            <w:u w:val="none"/>
          </w:rPr>
          <w:lastRenderedPageBreak/>
          <w:t>GENERAL 1ra QNA.pdf</w:t>
        </w:r>
      </w:hyperlink>
      <w:r w:rsidR="006C4B8C" w:rsidRPr="00437FA3">
        <w:rPr>
          <w:rFonts w:ascii="Palatino Linotype" w:hAnsi="Palatino Linotype" w:cs="Arial"/>
          <w:i/>
          <w:color w:val="000000" w:themeColor="text1"/>
        </w:rPr>
        <w:t xml:space="preserve">, </w:t>
      </w:r>
      <w:hyperlink r:id="rId9" w:history="1">
        <w:r w:rsidR="006C4B8C" w:rsidRPr="00437FA3">
          <w:rPr>
            <w:rStyle w:val="Hipervnculo"/>
            <w:rFonts w:ascii="Palatino Linotype" w:hAnsi="Palatino Linotype" w:cs="Arial"/>
            <w:b/>
            <w:bCs/>
            <w:i/>
            <w:color w:val="000000" w:themeColor="text1"/>
            <w:u w:val="none"/>
          </w:rPr>
          <w:t>RESPUESTA.pdf</w:t>
        </w:r>
      </w:hyperlink>
      <w:r w:rsidR="00906800" w:rsidRPr="00437FA3">
        <w:rPr>
          <w:rFonts w:ascii="Palatino Linotype" w:hAnsi="Palatino Linotype" w:cs="Arial"/>
          <w:i/>
          <w:color w:val="000000" w:themeColor="text1"/>
        </w:rPr>
        <w:t xml:space="preserve">” </w:t>
      </w:r>
      <w:r w:rsidR="00906800" w:rsidRPr="00437FA3">
        <w:rPr>
          <w:rFonts w:ascii="Palatino Linotype" w:hAnsi="Palatino Linotype" w:cs="Arial"/>
          <w:color w:val="000000" w:themeColor="text1"/>
        </w:rPr>
        <w:t>en cuyo contenido se aprecia la nómina general del Organismo testada sin embargo el formato no permite observar el sueldo neto, las percepciones</w:t>
      </w:r>
      <w:r w:rsidR="00906800" w:rsidRPr="00437FA3">
        <w:rPr>
          <w:rFonts w:ascii="Palatino Linotype" w:hAnsi="Palatino Linotype" w:cs="Arial"/>
          <w:i/>
          <w:color w:val="000000" w:themeColor="text1"/>
        </w:rPr>
        <w:t>,</w:t>
      </w:r>
      <w:r w:rsidR="00906800" w:rsidRPr="00437FA3">
        <w:rPr>
          <w:rFonts w:ascii="Palatino Linotype" w:hAnsi="Palatino Linotype" w:cs="Arial"/>
          <w:color w:val="000000" w:themeColor="text1"/>
        </w:rPr>
        <w:t xml:space="preserve"> deducciones</w:t>
      </w:r>
      <w:r w:rsidR="00906800" w:rsidRPr="00437FA3">
        <w:rPr>
          <w:rFonts w:ascii="Palatino Linotype" w:hAnsi="Palatino Linotype" w:cs="Arial"/>
          <w:i/>
          <w:color w:val="000000" w:themeColor="text1"/>
        </w:rPr>
        <w:t xml:space="preserve"> </w:t>
      </w:r>
      <w:r w:rsidR="00906800" w:rsidRPr="00437FA3">
        <w:rPr>
          <w:rFonts w:ascii="Palatino Linotype" w:hAnsi="Palatino Linotype" w:cs="Arial"/>
          <w:color w:val="000000" w:themeColor="text1"/>
        </w:rPr>
        <w:t>y periodo de pago</w:t>
      </w:r>
      <w:r w:rsidR="006C4B8C" w:rsidRPr="00437FA3">
        <w:rPr>
          <w:rFonts w:ascii="Palatino Linotype" w:hAnsi="Palatino Linotype" w:cs="Arial"/>
          <w:i/>
          <w:color w:val="000000" w:themeColor="text1"/>
        </w:rPr>
        <w:t xml:space="preserve">, </w:t>
      </w:r>
      <w:r w:rsidR="00906800" w:rsidRPr="00437FA3">
        <w:rPr>
          <w:rFonts w:ascii="Palatino Linotype" w:hAnsi="Palatino Linotype" w:cs="Arial"/>
          <w:i/>
          <w:color w:val="000000" w:themeColor="text1"/>
        </w:rPr>
        <w:t>“</w:t>
      </w:r>
      <w:hyperlink r:id="rId10" w:history="1">
        <w:r w:rsidR="006C4B8C" w:rsidRPr="00437FA3">
          <w:rPr>
            <w:rStyle w:val="Hipervnculo"/>
            <w:rFonts w:ascii="Palatino Linotype" w:hAnsi="Palatino Linotype" w:cs="Arial"/>
            <w:b/>
            <w:bCs/>
            <w:i/>
            <w:color w:val="000000" w:themeColor="text1"/>
            <w:u w:val="none"/>
          </w:rPr>
          <w:t>ALTAS.pdf</w:t>
        </w:r>
      </w:hyperlink>
      <w:r w:rsidR="00906800" w:rsidRPr="00437FA3">
        <w:rPr>
          <w:rFonts w:ascii="Palatino Linotype" w:hAnsi="Palatino Linotype" w:cs="Arial"/>
          <w:i/>
          <w:color w:val="000000" w:themeColor="text1"/>
        </w:rPr>
        <w:t xml:space="preserve">” </w:t>
      </w:r>
      <w:r w:rsidR="00906800" w:rsidRPr="00437FA3">
        <w:rPr>
          <w:rFonts w:ascii="Palatino Linotype" w:hAnsi="Palatino Linotype" w:cs="Arial"/>
          <w:color w:val="000000" w:themeColor="text1"/>
        </w:rPr>
        <w:t>con el reporte de altas correspondientes del 1 al siete de enero de 2019</w:t>
      </w:r>
      <w:r w:rsidR="006C4B8C" w:rsidRPr="00437FA3">
        <w:rPr>
          <w:rFonts w:ascii="Palatino Linotype" w:hAnsi="Palatino Linotype" w:cs="Arial"/>
          <w:i/>
          <w:color w:val="000000" w:themeColor="text1"/>
        </w:rPr>
        <w:t xml:space="preserve">, </w:t>
      </w:r>
      <w:r w:rsidR="00906800" w:rsidRPr="00437FA3">
        <w:rPr>
          <w:rFonts w:ascii="Palatino Linotype" w:hAnsi="Palatino Linotype" w:cs="Arial"/>
          <w:i/>
          <w:color w:val="000000" w:themeColor="text1"/>
        </w:rPr>
        <w:t>“</w:t>
      </w:r>
      <w:hyperlink r:id="rId11" w:history="1">
        <w:r w:rsidR="006C4B8C" w:rsidRPr="00437FA3">
          <w:rPr>
            <w:rStyle w:val="Hipervnculo"/>
            <w:rFonts w:ascii="Palatino Linotype" w:hAnsi="Palatino Linotype" w:cs="Arial"/>
            <w:b/>
            <w:bCs/>
            <w:i/>
            <w:color w:val="000000" w:themeColor="text1"/>
            <w:u w:val="none"/>
          </w:rPr>
          <w:t>BAJAS.pdf</w:t>
        </w:r>
      </w:hyperlink>
      <w:r w:rsidR="00906800" w:rsidRPr="00437FA3">
        <w:rPr>
          <w:rFonts w:ascii="Palatino Linotype" w:hAnsi="Palatino Linotype" w:cs="Arial"/>
          <w:i/>
          <w:color w:val="000000" w:themeColor="text1"/>
        </w:rPr>
        <w:t xml:space="preserve">” </w:t>
      </w:r>
      <w:r w:rsidR="00906800" w:rsidRPr="00437FA3">
        <w:rPr>
          <w:rFonts w:ascii="Palatino Linotype" w:hAnsi="Palatino Linotype" w:cs="Arial"/>
          <w:color w:val="000000" w:themeColor="text1"/>
        </w:rPr>
        <w:t>con el reporte de bajas correspondiente al 1 de enero de 2019</w:t>
      </w:r>
      <w:r w:rsidR="006C4B8C" w:rsidRPr="00437FA3">
        <w:rPr>
          <w:rFonts w:ascii="Palatino Linotype" w:hAnsi="Palatino Linotype" w:cs="Arial"/>
          <w:i/>
          <w:color w:val="000000" w:themeColor="text1"/>
        </w:rPr>
        <w:t xml:space="preserve">, </w:t>
      </w:r>
      <w:r w:rsidR="00906800" w:rsidRPr="00437FA3">
        <w:rPr>
          <w:rFonts w:ascii="Palatino Linotype" w:hAnsi="Palatino Linotype" w:cs="Arial"/>
          <w:i/>
          <w:color w:val="000000" w:themeColor="text1"/>
        </w:rPr>
        <w:t>“</w:t>
      </w:r>
      <w:hyperlink r:id="rId12" w:history="1">
        <w:r w:rsidR="006C4B8C" w:rsidRPr="00437FA3">
          <w:rPr>
            <w:rStyle w:val="Hipervnculo"/>
            <w:rFonts w:ascii="Palatino Linotype" w:hAnsi="Palatino Linotype" w:cs="Arial"/>
            <w:b/>
            <w:bCs/>
            <w:i/>
            <w:color w:val="000000" w:themeColor="text1"/>
            <w:u w:val="none"/>
          </w:rPr>
          <w:t>ACTA.pdf</w:t>
        </w:r>
      </w:hyperlink>
      <w:r w:rsidR="00906800" w:rsidRPr="00437FA3">
        <w:rPr>
          <w:rFonts w:ascii="Palatino Linotype" w:hAnsi="Palatino Linotype" w:cs="Arial"/>
          <w:i/>
          <w:color w:val="000000" w:themeColor="text1"/>
        </w:rPr>
        <w:t>”</w:t>
      </w:r>
      <w:r w:rsidR="00906800" w:rsidRPr="00437FA3">
        <w:rPr>
          <w:rFonts w:ascii="Palatino Linotype" w:hAnsi="Palatino Linotype"/>
        </w:rPr>
        <w:t xml:space="preserve"> </w:t>
      </w:r>
      <w:r w:rsidR="00906800" w:rsidRPr="00437FA3">
        <w:rPr>
          <w:rFonts w:ascii="Palatino Linotype" w:hAnsi="Palatino Linotype" w:cs="Arial"/>
          <w:color w:val="000000" w:themeColor="text1"/>
        </w:rPr>
        <w:t xml:space="preserve">Segunda Sesión Extraordinaria del Comité de Transparencia </w:t>
      </w:r>
      <w:r w:rsidR="003801F6" w:rsidRPr="00437FA3">
        <w:rPr>
          <w:rFonts w:ascii="Palatino Linotype" w:hAnsi="Palatino Linotype" w:cs="Arial"/>
          <w:color w:val="000000" w:themeColor="text1"/>
        </w:rPr>
        <w:t>del</w:t>
      </w:r>
      <w:r w:rsidR="0082743C" w:rsidRPr="00437FA3">
        <w:rPr>
          <w:rFonts w:ascii="Palatino Linotype" w:hAnsi="Palatino Linotype" w:cs="Arial"/>
          <w:color w:val="000000" w:themeColor="text1"/>
        </w:rPr>
        <w:t xml:space="preserve"> </w:t>
      </w:r>
      <w:r w:rsidR="003801F6" w:rsidRPr="00437FA3">
        <w:rPr>
          <w:rFonts w:ascii="Palatino Linotype" w:hAnsi="Palatino Linotype" w:cs="Arial"/>
          <w:color w:val="000000" w:themeColor="text1"/>
        </w:rPr>
        <w:t>OPD SAPASNIR</w:t>
      </w:r>
      <w:r w:rsidR="003801F6" w:rsidRPr="00437FA3">
        <w:rPr>
          <w:rFonts w:ascii="Palatino Linotype" w:hAnsi="Palatino Linotype" w:cs="Arial"/>
          <w:i/>
          <w:color w:val="000000" w:themeColor="text1"/>
        </w:rPr>
        <w:t xml:space="preserve"> </w:t>
      </w:r>
      <w:r w:rsidR="003801F6" w:rsidRPr="00437FA3">
        <w:rPr>
          <w:rFonts w:ascii="Palatino Linotype" w:hAnsi="Palatino Linotype" w:cs="Arial"/>
          <w:color w:val="000000" w:themeColor="text1"/>
        </w:rPr>
        <w:t>de fecha 19 de febrero de 2019</w:t>
      </w:r>
      <w:r w:rsidR="006C4B8C" w:rsidRPr="00437FA3">
        <w:rPr>
          <w:rFonts w:ascii="Palatino Linotype" w:hAnsi="Palatino Linotype" w:cs="Arial"/>
          <w:i/>
          <w:color w:val="000000" w:themeColor="text1"/>
        </w:rPr>
        <w:t xml:space="preserve">, </w:t>
      </w:r>
      <w:hyperlink r:id="rId13" w:history="1">
        <w:r w:rsidR="006C4B8C" w:rsidRPr="00437FA3">
          <w:rPr>
            <w:rStyle w:val="Hipervnculo"/>
            <w:rFonts w:ascii="Palatino Linotype" w:hAnsi="Palatino Linotype" w:cs="Arial"/>
            <w:b/>
            <w:bCs/>
            <w:i/>
            <w:color w:val="000000" w:themeColor="text1"/>
            <w:u w:val="none"/>
          </w:rPr>
          <w:t>NOMINA GENERAL 2da QNA.pdf</w:t>
        </w:r>
      </w:hyperlink>
      <w:r w:rsidR="003801F6" w:rsidRPr="00437FA3">
        <w:rPr>
          <w:rFonts w:ascii="Palatino Linotype" w:hAnsi="Palatino Linotype" w:cs="Arial"/>
          <w:i/>
          <w:color w:val="000000" w:themeColor="text1"/>
        </w:rPr>
        <w:t xml:space="preserve"> </w:t>
      </w:r>
      <w:r w:rsidR="003801F6" w:rsidRPr="00437FA3">
        <w:rPr>
          <w:rFonts w:ascii="Palatino Linotype" w:hAnsi="Palatino Linotype" w:cs="Arial"/>
          <w:color w:val="000000" w:themeColor="text1"/>
        </w:rPr>
        <w:t>nómina general del Organismo testada correspondiente a la</w:t>
      </w:r>
      <w:r w:rsidR="00AC65DD" w:rsidRPr="00437FA3">
        <w:rPr>
          <w:rFonts w:ascii="Palatino Linotype" w:hAnsi="Palatino Linotype" w:cs="Arial"/>
          <w:color w:val="000000" w:themeColor="text1"/>
        </w:rPr>
        <w:t xml:space="preserve"> segunda quincena de diciembre de 2018 sin firmas</w:t>
      </w:r>
      <w:r w:rsidR="006C4B8C" w:rsidRPr="00437FA3">
        <w:rPr>
          <w:rFonts w:ascii="Palatino Linotype" w:hAnsi="Palatino Linotype" w:cs="Arial"/>
          <w:i/>
          <w:color w:val="000000" w:themeColor="text1"/>
        </w:rPr>
        <w:t xml:space="preserve">, </w:t>
      </w:r>
      <w:r w:rsidR="00AC65DD" w:rsidRPr="00437FA3">
        <w:rPr>
          <w:rFonts w:ascii="Palatino Linotype" w:hAnsi="Palatino Linotype" w:cs="Arial"/>
          <w:i/>
          <w:color w:val="000000" w:themeColor="text1"/>
        </w:rPr>
        <w:t>“</w:t>
      </w:r>
      <w:hyperlink r:id="rId14" w:history="1">
        <w:r w:rsidR="006C4B8C" w:rsidRPr="00437FA3">
          <w:rPr>
            <w:rStyle w:val="Hipervnculo"/>
            <w:rFonts w:ascii="Palatino Linotype" w:hAnsi="Palatino Linotype" w:cs="Arial"/>
            <w:b/>
            <w:bCs/>
            <w:i/>
            <w:color w:val="000000" w:themeColor="text1"/>
            <w:u w:val="none"/>
          </w:rPr>
          <w:t>TITULOS CEDULAS.pdf</w:t>
        </w:r>
      </w:hyperlink>
      <w:r w:rsidR="00AC65DD" w:rsidRPr="00437FA3">
        <w:rPr>
          <w:rFonts w:ascii="Palatino Linotype" w:hAnsi="Palatino Linotype" w:cs="Arial"/>
          <w:i/>
          <w:color w:val="000000" w:themeColor="text1"/>
        </w:rPr>
        <w:t xml:space="preserve">” </w:t>
      </w:r>
      <w:r w:rsidR="005342C8" w:rsidRPr="00437FA3">
        <w:rPr>
          <w:rFonts w:ascii="Palatino Linotype" w:hAnsi="Palatino Linotype" w:cs="Arial"/>
          <w:color w:val="000000" w:themeColor="text1"/>
        </w:rPr>
        <w:t>con títulos, cédulas, certificados e historiales académicos con calificaciones de algunos servidores públicos</w:t>
      </w:r>
      <w:r w:rsidR="006C4B8C" w:rsidRPr="00437FA3">
        <w:rPr>
          <w:rFonts w:ascii="Palatino Linotype" w:hAnsi="Palatino Linotype" w:cs="Arial"/>
          <w:i/>
          <w:color w:val="000000" w:themeColor="text1"/>
        </w:rPr>
        <w:t xml:space="preserve">, </w:t>
      </w:r>
      <w:hyperlink r:id="rId15" w:history="1">
        <w:r w:rsidR="006C4B8C" w:rsidRPr="00437FA3">
          <w:rPr>
            <w:rStyle w:val="Hipervnculo"/>
            <w:rFonts w:ascii="Palatino Linotype" w:hAnsi="Palatino Linotype" w:cs="Arial"/>
            <w:b/>
            <w:bCs/>
            <w:i/>
            <w:color w:val="000000" w:themeColor="text1"/>
            <w:u w:val="none"/>
          </w:rPr>
          <w:t>NOMINA GENERAL 2a Enero.xlsx</w:t>
        </w:r>
      </w:hyperlink>
      <w:r w:rsidR="006C4B8C" w:rsidRPr="00437FA3">
        <w:rPr>
          <w:rFonts w:ascii="Palatino Linotype" w:hAnsi="Palatino Linotype" w:cs="Arial"/>
          <w:i/>
          <w:color w:val="000000" w:themeColor="text1"/>
        </w:rPr>
        <w:t xml:space="preserve">, </w:t>
      </w:r>
      <w:hyperlink r:id="rId16" w:history="1">
        <w:r w:rsidR="006C4B8C" w:rsidRPr="00437FA3">
          <w:rPr>
            <w:rStyle w:val="Hipervnculo"/>
            <w:rFonts w:ascii="Palatino Linotype" w:hAnsi="Palatino Linotype" w:cs="Arial"/>
            <w:b/>
            <w:bCs/>
            <w:i/>
            <w:color w:val="000000" w:themeColor="text1"/>
            <w:u w:val="none"/>
          </w:rPr>
          <w:t>ANEXO 13 NOMINA GENERAL 2da QNA (2).</w:t>
        </w:r>
        <w:proofErr w:type="spellStart"/>
        <w:r w:rsidR="006C4B8C" w:rsidRPr="00437FA3">
          <w:rPr>
            <w:rStyle w:val="Hipervnculo"/>
            <w:rFonts w:ascii="Palatino Linotype" w:hAnsi="Palatino Linotype" w:cs="Arial"/>
            <w:b/>
            <w:bCs/>
            <w:i/>
            <w:color w:val="000000" w:themeColor="text1"/>
            <w:u w:val="none"/>
          </w:rPr>
          <w:t>pdf</w:t>
        </w:r>
        <w:proofErr w:type="spellEnd"/>
      </w:hyperlink>
      <w:r w:rsidR="006C4B8C" w:rsidRPr="00437FA3">
        <w:rPr>
          <w:rFonts w:ascii="Palatino Linotype" w:hAnsi="Palatino Linotype" w:cs="Arial"/>
          <w:i/>
          <w:color w:val="000000" w:themeColor="text1"/>
        </w:rPr>
        <w:t xml:space="preserve">, </w:t>
      </w:r>
      <w:hyperlink r:id="rId17" w:history="1">
        <w:r w:rsidR="006C4B8C" w:rsidRPr="00437FA3">
          <w:rPr>
            <w:rStyle w:val="Hipervnculo"/>
            <w:rFonts w:ascii="Palatino Linotype" w:hAnsi="Palatino Linotype" w:cs="Arial"/>
            <w:b/>
            <w:bCs/>
            <w:i/>
            <w:color w:val="000000" w:themeColor="text1"/>
            <w:u w:val="none"/>
          </w:rPr>
          <w:t>00778 2da.pdf</w:t>
        </w:r>
      </w:hyperlink>
      <w:r w:rsidR="006C4B8C" w:rsidRPr="00437FA3">
        <w:rPr>
          <w:rFonts w:ascii="Palatino Linotype" w:hAnsi="Palatino Linotype" w:cs="Arial"/>
          <w:i/>
          <w:color w:val="000000" w:themeColor="text1"/>
        </w:rPr>
        <w:t xml:space="preserve">, </w:t>
      </w:r>
      <w:hyperlink r:id="rId18" w:history="1">
        <w:r w:rsidR="006C4B8C" w:rsidRPr="00437FA3">
          <w:rPr>
            <w:rStyle w:val="Hipervnculo"/>
            <w:rFonts w:ascii="Palatino Linotype" w:hAnsi="Palatino Linotype" w:cs="Arial"/>
            <w:b/>
            <w:bCs/>
            <w:i/>
            <w:color w:val="000000" w:themeColor="text1"/>
            <w:u w:val="none"/>
          </w:rPr>
          <w:t>NOMINA GENERAL 1a enero.xlsx</w:t>
        </w:r>
      </w:hyperlink>
      <w:r w:rsidR="006C4B8C" w:rsidRPr="00437FA3">
        <w:rPr>
          <w:rFonts w:ascii="Palatino Linotype" w:hAnsi="Palatino Linotype" w:cs="Arial"/>
          <w:i/>
          <w:color w:val="000000" w:themeColor="text1"/>
        </w:rPr>
        <w:t xml:space="preserve">, </w:t>
      </w:r>
      <w:hyperlink r:id="rId19" w:history="1">
        <w:r w:rsidR="006C4B8C" w:rsidRPr="00437FA3">
          <w:rPr>
            <w:rStyle w:val="Hipervnculo"/>
            <w:rFonts w:ascii="Palatino Linotype" w:hAnsi="Palatino Linotype" w:cs="Arial"/>
            <w:b/>
            <w:bCs/>
            <w:i/>
            <w:color w:val="000000" w:themeColor="text1"/>
            <w:u w:val="none"/>
          </w:rPr>
          <w:t>ANEXO 9 RESPUESTA (4).</w:t>
        </w:r>
        <w:proofErr w:type="spellStart"/>
        <w:r w:rsidR="006C4B8C" w:rsidRPr="00437FA3">
          <w:rPr>
            <w:rStyle w:val="Hipervnculo"/>
            <w:rFonts w:ascii="Palatino Linotype" w:hAnsi="Palatino Linotype" w:cs="Arial"/>
            <w:b/>
            <w:bCs/>
            <w:i/>
            <w:color w:val="000000" w:themeColor="text1"/>
            <w:u w:val="none"/>
          </w:rPr>
          <w:t>pdf</w:t>
        </w:r>
        <w:proofErr w:type="spellEnd"/>
      </w:hyperlink>
      <w:r w:rsidR="006C4B8C" w:rsidRPr="00437FA3">
        <w:rPr>
          <w:rFonts w:ascii="Palatino Linotype" w:hAnsi="Palatino Linotype" w:cs="Arial"/>
          <w:i/>
          <w:color w:val="000000" w:themeColor="text1"/>
        </w:rPr>
        <w:t xml:space="preserve">, </w:t>
      </w:r>
      <w:hyperlink r:id="rId20" w:history="1">
        <w:r w:rsidR="006C4B8C" w:rsidRPr="00437FA3">
          <w:rPr>
            <w:rStyle w:val="Hipervnculo"/>
            <w:rFonts w:ascii="Palatino Linotype" w:hAnsi="Palatino Linotype" w:cs="Arial"/>
            <w:b/>
            <w:bCs/>
            <w:i/>
            <w:color w:val="000000" w:themeColor="text1"/>
            <w:u w:val="none"/>
          </w:rPr>
          <w:t>ANEXO 8 NOMINA GENERAL 1ra QNA (2).</w:t>
        </w:r>
        <w:proofErr w:type="spellStart"/>
        <w:r w:rsidR="006C4B8C" w:rsidRPr="00437FA3">
          <w:rPr>
            <w:rStyle w:val="Hipervnculo"/>
            <w:rFonts w:ascii="Palatino Linotype" w:hAnsi="Palatino Linotype" w:cs="Arial"/>
            <w:b/>
            <w:bCs/>
            <w:i/>
            <w:color w:val="000000" w:themeColor="text1"/>
            <w:u w:val="none"/>
          </w:rPr>
          <w:t>pdf</w:t>
        </w:r>
        <w:proofErr w:type="spellEnd"/>
      </w:hyperlink>
      <w:r w:rsidR="006C4B8C" w:rsidRPr="00437FA3">
        <w:rPr>
          <w:rFonts w:ascii="Palatino Linotype" w:hAnsi="Palatino Linotype" w:cs="Arial"/>
          <w:i/>
          <w:color w:val="000000" w:themeColor="text1"/>
        </w:rPr>
        <w:t xml:space="preserve">, </w:t>
      </w:r>
      <w:hyperlink r:id="rId21" w:history="1">
        <w:r w:rsidR="006C4B8C" w:rsidRPr="00437FA3">
          <w:rPr>
            <w:rStyle w:val="Hipervnculo"/>
            <w:rFonts w:ascii="Palatino Linotype" w:hAnsi="Palatino Linotype" w:cs="Arial"/>
            <w:b/>
            <w:bCs/>
            <w:i/>
            <w:color w:val="000000" w:themeColor="text1"/>
            <w:u w:val="none"/>
          </w:rPr>
          <w:t>CERTIFICADOS 2.pdf</w:t>
        </w:r>
      </w:hyperlink>
      <w:r w:rsidR="006C4B8C" w:rsidRPr="00437FA3">
        <w:rPr>
          <w:rFonts w:ascii="Palatino Linotype" w:hAnsi="Palatino Linotype" w:cs="Arial"/>
          <w:i/>
          <w:color w:val="000000" w:themeColor="text1"/>
        </w:rPr>
        <w:t xml:space="preserve">, </w:t>
      </w:r>
      <w:hyperlink r:id="rId22" w:history="1">
        <w:r w:rsidR="006C4B8C" w:rsidRPr="00437FA3">
          <w:rPr>
            <w:rStyle w:val="Hipervnculo"/>
            <w:rFonts w:ascii="Palatino Linotype" w:hAnsi="Palatino Linotype" w:cs="Arial"/>
            <w:b/>
            <w:bCs/>
            <w:i/>
            <w:color w:val="000000" w:themeColor="text1"/>
            <w:u w:val="none"/>
          </w:rPr>
          <w:t>00778 1ra.pdf</w:t>
        </w:r>
      </w:hyperlink>
      <w:r w:rsidR="006C4B8C" w:rsidRPr="00437FA3">
        <w:rPr>
          <w:rFonts w:ascii="Palatino Linotype" w:hAnsi="Palatino Linotype" w:cs="Arial"/>
          <w:i/>
          <w:color w:val="000000" w:themeColor="text1"/>
        </w:rPr>
        <w:t xml:space="preserve">, </w:t>
      </w:r>
      <w:hyperlink r:id="rId23" w:history="1">
        <w:r w:rsidR="006C4B8C" w:rsidRPr="00437FA3">
          <w:rPr>
            <w:rStyle w:val="Hipervnculo"/>
            <w:rFonts w:ascii="Palatino Linotype" w:hAnsi="Palatino Linotype" w:cs="Arial"/>
            <w:b/>
            <w:bCs/>
            <w:i/>
            <w:color w:val="000000" w:themeColor="text1"/>
            <w:u w:val="none"/>
          </w:rPr>
          <w:t>ANEXO 12 ACTA (6).</w:t>
        </w:r>
        <w:proofErr w:type="spellStart"/>
        <w:r w:rsidR="006C4B8C" w:rsidRPr="00437FA3">
          <w:rPr>
            <w:rStyle w:val="Hipervnculo"/>
            <w:rFonts w:ascii="Palatino Linotype" w:hAnsi="Palatino Linotype" w:cs="Arial"/>
            <w:b/>
            <w:bCs/>
            <w:i/>
            <w:color w:val="000000" w:themeColor="text1"/>
            <w:u w:val="none"/>
          </w:rPr>
          <w:t>pdf</w:t>
        </w:r>
        <w:proofErr w:type="spellEnd"/>
      </w:hyperlink>
      <w:r w:rsidR="006C4B8C" w:rsidRPr="00437FA3">
        <w:rPr>
          <w:rFonts w:ascii="Palatino Linotype" w:hAnsi="Palatino Linotype" w:cs="Arial"/>
          <w:i/>
          <w:color w:val="000000" w:themeColor="text1"/>
        </w:rPr>
        <w:t xml:space="preserve">, </w:t>
      </w:r>
      <w:hyperlink r:id="rId24" w:history="1">
        <w:r w:rsidR="006C4B8C" w:rsidRPr="00437FA3">
          <w:rPr>
            <w:rStyle w:val="Hipervnculo"/>
            <w:rFonts w:ascii="Palatino Linotype" w:hAnsi="Palatino Linotype" w:cs="Arial"/>
            <w:b/>
            <w:bCs/>
            <w:i/>
            <w:color w:val="000000" w:themeColor="text1"/>
            <w:u w:val="none"/>
          </w:rPr>
          <w:t>ANXO 10 ALTAS (2).</w:t>
        </w:r>
        <w:proofErr w:type="spellStart"/>
        <w:r w:rsidR="006C4B8C" w:rsidRPr="00437FA3">
          <w:rPr>
            <w:rStyle w:val="Hipervnculo"/>
            <w:rFonts w:ascii="Palatino Linotype" w:hAnsi="Palatino Linotype" w:cs="Arial"/>
            <w:b/>
            <w:bCs/>
            <w:i/>
            <w:color w:val="000000" w:themeColor="text1"/>
            <w:u w:val="none"/>
          </w:rPr>
          <w:t>pdf</w:t>
        </w:r>
        <w:proofErr w:type="spellEnd"/>
      </w:hyperlink>
      <w:r w:rsidR="006C4B8C" w:rsidRPr="00437FA3">
        <w:rPr>
          <w:rFonts w:ascii="Palatino Linotype" w:hAnsi="Palatino Linotype" w:cs="Arial"/>
          <w:i/>
          <w:color w:val="000000" w:themeColor="text1"/>
        </w:rPr>
        <w:t xml:space="preserve">, </w:t>
      </w:r>
      <w:hyperlink r:id="rId25" w:history="1">
        <w:r w:rsidR="006C4B8C" w:rsidRPr="00437FA3">
          <w:rPr>
            <w:rStyle w:val="Hipervnculo"/>
            <w:rFonts w:ascii="Palatino Linotype" w:hAnsi="Palatino Linotype" w:cs="Arial"/>
            <w:b/>
            <w:bCs/>
            <w:i/>
            <w:color w:val="000000" w:themeColor="text1"/>
            <w:u w:val="none"/>
          </w:rPr>
          <w:t>ANEXO 11 BAJAS (2).</w:t>
        </w:r>
        <w:proofErr w:type="spellStart"/>
        <w:r w:rsidR="006C4B8C" w:rsidRPr="00437FA3">
          <w:rPr>
            <w:rStyle w:val="Hipervnculo"/>
            <w:rFonts w:ascii="Palatino Linotype" w:hAnsi="Palatino Linotype" w:cs="Arial"/>
            <w:b/>
            <w:bCs/>
            <w:i/>
            <w:color w:val="000000" w:themeColor="text1"/>
            <w:u w:val="none"/>
          </w:rPr>
          <w:t>pdf</w:t>
        </w:r>
        <w:proofErr w:type="spellEnd"/>
      </w:hyperlink>
      <w:r w:rsidR="006C4B8C" w:rsidRPr="00437FA3">
        <w:rPr>
          <w:rFonts w:ascii="Palatino Linotype" w:hAnsi="Palatino Linotype" w:cs="Arial"/>
          <w:i/>
          <w:color w:val="000000" w:themeColor="text1"/>
        </w:rPr>
        <w:t xml:space="preserve">”, </w:t>
      </w:r>
      <w:r w:rsidR="00505269" w:rsidRPr="00437FA3">
        <w:rPr>
          <w:rFonts w:ascii="Palatino Linotype" w:hAnsi="Palatino Linotype"/>
          <w:bCs/>
          <w:color w:val="000000" w:themeColor="text1"/>
          <w:shd w:val="clear" w:color="auto" w:fill="FFFFFF"/>
        </w:rPr>
        <w:t xml:space="preserve">documentos que no fueron puestos a la vista del particular porque </w:t>
      </w:r>
      <w:r w:rsidRPr="00437FA3">
        <w:rPr>
          <w:rFonts w:ascii="Palatino Linotype" w:hAnsi="Palatino Linotype"/>
          <w:bCs/>
          <w:color w:val="000000" w:themeColor="text1"/>
          <w:shd w:val="clear" w:color="auto" w:fill="FFFFFF"/>
        </w:rPr>
        <w:t xml:space="preserve">contienen datos personales susceptibles de ser considerados como confidenciales como son las calificaciones de los servidores públicos, </w:t>
      </w:r>
      <w:r w:rsidR="005342C8" w:rsidRPr="00437FA3">
        <w:rPr>
          <w:rFonts w:ascii="Palatino Linotype" w:hAnsi="Palatino Linotype"/>
          <w:bCs/>
          <w:color w:val="000000" w:themeColor="text1"/>
          <w:shd w:val="clear" w:color="auto" w:fill="FFFFFF"/>
        </w:rPr>
        <w:t xml:space="preserve">CURP, RFC y número de </w:t>
      </w:r>
      <w:proofErr w:type="spellStart"/>
      <w:r w:rsidR="005342C8" w:rsidRPr="00437FA3">
        <w:rPr>
          <w:rFonts w:ascii="Palatino Linotype" w:hAnsi="Palatino Linotype"/>
          <w:bCs/>
          <w:color w:val="000000" w:themeColor="text1"/>
          <w:shd w:val="clear" w:color="auto" w:fill="FFFFFF"/>
        </w:rPr>
        <w:t>ISSEMyM</w:t>
      </w:r>
      <w:proofErr w:type="spellEnd"/>
      <w:r w:rsidR="005342C8" w:rsidRPr="00437FA3">
        <w:rPr>
          <w:rFonts w:ascii="Palatino Linotype" w:hAnsi="Palatino Linotype"/>
          <w:bCs/>
          <w:color w:val="000000" w:themeColor="text1"/>
          <w:shd w:val="clear" w:color="auto" w:fill="FFFFFF"/>
        </w:rPr>
        <w:t xml:space="preserve">, </w:t>
      </w:r>
      <w:r w:rsidRPr="00437FA3">
        <w:rPr>
          <w:rFonts w:ascii="Palatino Linotype" w:hAnsi="Palatino Linotype"/>
          <w:bCs/>
          <w:color w:val="000000" w:themeColor="text1"/>
          <w:shd w:val="clear" w:color="auto" w:fill="FFFFFF"/>
        </w:rPr>
        <w:t>sin embargo serán motivo de análisis en el cuerpo de la presente resolución</w:t>
      </w:r>
      <w:r w:rsidR="00505269" w:rsidRPr="00437FA3">
        <w:rPr>
          <w:rFonts w:ascii="Palatino Linotype" w:hAnsi="Palatino Linotype"/>
          <w:bCs/>
          <w:color w:val="000000" w:themeColor="text1"/>
          <w:shd w:val="clear" w:color="auto" w:fill="FFFFFF"/>
        </w:rPr>
        <w:t>.</w:t>
      </w:r>
    </w:p>
    <w:p w14:paraId="63678414" w14:textId="77777777" w:rsidR="000C30F8" w:rsidRPr="00437FA3" w:rsidRDefault="000C30F8" w:rsidP="00437FA3">
      <w:pPr>
        <w:pStyle w:val="Prrafodelista"/>
        <w:tabs>
          <w:tab w:val="left" w:pos="567"/>
        </w:tabs>
        <w:spacing w:before="100" w:beforeAutospacing="1" w:after="100" w:afterAutospacing="1" w:line="360" w:lineRule="auto"/>
        <w:ind w:left="0"/>
        <w:jc w:val="both"/>
        <w:rPr>
          <w:rFonts w:ascii="Palatino Linotype" w:hAnsi="Palatino Linotype" w:cs="Arial"/>
          <w:i/>
          <w:color w:val="000000" w:themeColor="text1"/>
        </w:rPr>
      </w:pPr>
    </w:p>
    <w:p w14:paraId="42046853" w14:textId="77777777" w:rsidR="000C30F8" w:rsidRPr="00437FA3" w:rsidRDefault="000C30F8" w:rsidP="00437FA3">
      <w:pPr>
        <w:pStyle w:val="Prrafodelista"/>
        <w:tabs>
          <w:tab w:val="left" w:pos="567"/>
        </w:tabs>
        <w:spacing w:before="100" w:beforeAutospacing="1" w:after="100" w:afterAutospacing="1" w:line="360" w:lineRule="auto"/>
        <w:ind w:left="0"/>
        <w:jc w:val="both"/>
        <w:rPr>
          <w:rFonts w:ascii="Palatino Linotype" w:hAnsi="Palatino Linotype" w:cs="Arial"/>
          <w:i/>
          <w:color w:val="000000" w:themeColor="text1"/>
        </w:rPr>
      </w:pPr>
    </w:p>
    <w:p w14:paraId="26BAF971" w14:textId="25B902E4" w:rsidR="006C1570" w:rsidRPr="00437FA3" w:rsidRDefault="006C1570" w:rsidP="00437FA3">
      <w:pPr>
        <w:pStyle w:val="Prrafodelista"/>
        <w:numPr>
          <w:ilvl w:val="0"/>
          <w:numId w:val="1"/>
        </w:numPr>
        <w:tabs>
          <w:tab w:val="left" w:pos="426"/>
        </w:tabs>
        <w:spacing w:line="360" w:lineRule="auto"/>
        <w:ind w:left="0" w:hanging="11"/>
        <w:jc w:val="both"/>
        <w:rPr>
          <w:rFonts w:ascii="Palatino Linotype" w:hAnsi="Palatino Linotype"/>
          <w:b/>
          <w:color w:val="000000" w:themeColor="text1"/>
        </w:rPr>
      </w:pPr>
      <w:r w:rsidRPr="00437FA3">
        <w:rPr>
          <w:rFonts w:ascii="Palatino Linotype" w:hAnsi="Palatino Linotype"/>
        </w:rPr>
        <w:lastRenderedPageBreak/>
        <w:t xml:space="preserve">El día once (11) de abril </w:t>
      </w:r>
      <w:r w:rsidRPr="00437FA3">
        <w:rPr>
          <w:rFonts w:ascii="Palatino Linotype" w:eastAsia="Calibri" w:hAnsi="Palatino Linotype" w:cs="Arial"/>
          <w:lang w:val="es-ES"/>
        </w:rPr>
        <w:t xml:space="preserve">de dos mil diecinueve, </w:t>
      </w:r>
      <w:r w:rsidRPr="00437FA3">
        <w:rPr>
          <w:rFonts w:ascii="Palatino Linotype" w:hAnsi="Palatino Linotype"/>
        </w:rPr>
        <w:t xml:space="preserve">con fundamento en el artículo 181 tercer párrafo de la Ley de Transparencia y Acceso a la Información Pública del Estado de México y Municipios, se notificó que plazo de 30 días para resolver cada recurso de revisión, sería ampliado por un periodo de 15 días hábiles adicionales; para un mejor </w:t>
      </w:r>
      <w:r w:rsidRPr="00437FA3">
        <w:rPr>
          <w:rFonts w:ascii="Palatino Linotype" w:hAnsi="Palatino Linotype"/>
          <w:color w:val="000000" w:themeColor="text1"/>
        </w:rPr>
        <w:t>estudio.</w:t>
      </w:r>
    </w:p>
    <w:p w14:paraId="74D160B2" w14:textId="77777777" w:rsidR="006C1570" w:rsidRPr="00437FA3" w:rsidRDefault="006C1570" w:rsidP="00437FA3">
      <w:pPr>
        <w:pStyle w:val="Prrafodelista"/>
        <w:tabs>
          <w:tab w:val="left" w:pos="426"/>
        </w:tabs>
        <w:spacing w:line="360" w:lineRule="auto"/>
        <w:ind w:left="0"/>
        <w:jc w:val="both"/>
        <w:rPr>
          <w:rFonts w:ascii="Palatino Linotype" w:hAnsi="Palatino Linotype"/>
          <w:b/>
          <w:color w:val="000000" w:themeColor="text1"/>
        </w:rPr>
      </w:pPr>
    </w:p>
    <w:p w14:paraId="685E390D" w14:textId="4914D298" w:rsidR="00505269" w:rsidRPr="00437FA3" w:rsidRDefault="00505269" w:rsidP="00437FA3">
      <w:pPr>
        <w:pStyle w:val="Prrafodelista"/>
        <w:numPr>
          <w:ilvl w:val="0"/>
          <w:numId w:val="1"/>
        </w:numPr>
        <w:tabs>
          <w:tab w:val="left" w:pos="426"/>
        </w:tabs>
        <w:spacing w:line="360" w:lineRule="auto"/>
        <w:ind w:left="0" w:hanging="11"/>
        <w:jc w:val="both"/>
        <w:rPr>
          <w:rFonts w:ascii="Palatino Linotype" w:hAnsi="Palatino Linotype"/>
          <w:b/>
          <w:color w:val="000000" w:themeColor="text1"/>
        </w:rPr>
      </w:pPr>
      <w:r w:rsidRPr="00437FA3">
        <w:rPr>
          <w:rFonts w:ascii="Palatino Linotype" w:hAnsi="Palatino Linotype"/>
        </w:rPr>
        <w:t>Comisionado Ponente decretó el cierre de instrucción</w:t>
      </w:r>
      <w:r w:rsidRPr="00437FA3">
        <w:rPr>
          <w:rFonts w:ascii="Palatino Linotype" w:hAnsi="Palatino Linotype" w:cs="Arial"/>
        </w:rPr>
        <w:t xml:space="preserve"> </w:t>
      </w:r>
      <w:r w:rsidRPr="00437FA3">
        <w:rPr>
          <w:rFonts w:ascii="Palatino Linotype" w:hAnsi="Palatino Linotype"/>
        </w:rPr>
        <w:t xml:space="preserve">mediante acuerdo de fecha </w:t>
      </w:r>
      <w:r w:rsidR="006C1570" w:rsidRPr="00437FA3">
        <w:rPr>
          <w:rFonts w:ascii="Palatino Linotype" w:hAnsi="Palatino Linotype"/>
        </w:rPr>
        <w:t>veintidós</w:t>
      </w:r>
      <w:r w:rsidRPr="00437FA3">
        <w:rPr>
          <w:rFonts w:ascii="Palatino Linotype" w:hAnsi="Palatino Linotype"/>
        </w:rPr>
        <w:t xml:space="preserve"> (</w:t>
      </w:r>
      <w:r w:rsidR="006C1570" w:rsidRPr="00437FA3">
        <w:rPr>
          <w:rFonts w:ascii="Palatino Linotype" w:hAnsi="Palatino Linotype"/>
        </w:rPr>
        <w:t>22</w:t>
      </w:r>
      <w:r w:rsidRPr="00437FA3">
        <w:rPr>
          <w:rFonts w:ascii="Palatino Linotype" w:hAnsi="Palatino Linotype"/>
        </w:rPr>
        <w:t xml:space="preserve">) </w:t>
      </w:r>
      <w:r w:rsidR="006C1570" w:rsidRPr="00437FA3">
        <w:rPr>
          <w:rFonts w:ascii="Palatino Linotype" w:hAnsi="Palatino Linotype"/>
        </w:rPr>
        <w:t xml:space="preserve">de abril </w:t>
      </w:r>
      <w:r w:rsidRPr="00437FA3">
        <w:rPr>
          <w:rFonts w:ascii="Palatino Linotype" w:hAnsi="Palatino Linotype"/>
        </w:rPr>
        <w:t xml:space="preserve">de dos mil diecinueve, </w:t>
      </w:r>
      <w:r w:rsidRPr="00437FA3">
        <w:rPr>
          <w:rFonts w:ascii="Palatino Linotype" w:hAnsi="Palatino Linotype" w:cs="Arial"/>
        </w:rPr>
        <w:t>por lo que ordenó turnar el expediente a resolución.</w:t>
      </w:r>
    </w:p>
    <w:p w14:paraId="5D098AAA" w14:textId="77777777" w:rsidR="00437FA3" w:rsidRPr="00437FA3" w:rsidRDefault="00437FA3" w:rsidP="00437FA3">
      <w:pPr>
        <w:pStyle w:val="Prrafodelista"/>
        <w:rPr>
          <w:rFonts w:ascii="Palatino Linotype" w:hAnsi="Palatino Linotype"/>
          <w:b/>
          <w:color w:val="000000" w:themeColor="text1"/>
        </w:rPr>
      </w:pPr>
    </w:p>
    <w:p w14:paraId="58482FB9" w14:textId="77777777" w:rsidR="00437FA3" w:rsidRPr="00437FA3" w:rsidRDefault="00437FA3" w:rsidP="00437FA3">
      <w:pPr>
        <w:pStyle w:val="Prrafodelista"/>
        <w:tabs>
          <w:tab w:val="left" w:pos="426"/>
        </w:tabs>
        <w:spacing w:line="360" w:lineRule="auto"/>
        <w:ind w:left="0"/>
        <w:jc w:val="both"/>
        <w:rPr>
          <w:rFonts w:ascii="Palatino Linotype" w:hAnsi="Palatino Linotype"/>
          <w:b/>
          <w:color w:val="000000" w:themeColor="text1"/>
        </w:rPr>
      </w:pPr>
    </w:p>
    <w:p w14:paraId="01BFA0BC" w14:textId="77777777" w:rsidR="00505269" w:rsidRPr="00437FA3" w:rsidRDefault="00505269" w:rsidP="00437FA3">
      <w:pPr>
        <w:pStyle w:val="Ttulo1"/>
        <w:tabs>
          <w:tab w:val="left" w:pos="567"/>
        </w:tabs>
        <w:spacing w:before="0" w:line="360" w:lineRule="auto"/>
        <w:jc w:val="center"/>
        <w:rPr>
          <w:b w:val="0"/>
          <w:szCs w:val="24"/>
        </w:rPr>
      </w:pPr>
      <w:bookmarkStart w:id="58" w:name="_Toc495430768"/>
      <w:bookmarkStart w:id="59" w:name="_Toc4103439"/>
      <w:bookmarkStart w:id="60" w:name="_Toc7787165"/>
      <w:r w:rsidRPr="00437FA3">
        <w:rPr>
          <w:szCs w:val="24"/>
        </w:rPr>
        <w:t>CONSIDERANDO</w:t>
      </w:r>
      <w:bookmarkEnd w:id="58"/>
      <w:bookmarkEnd w:id="59"/>
      <w:bookmarkEnd w:id="60"/>
    </w:p>
    <w:p w14:paraId="2F860D30" w14:textId="77777777" w:rsidR="00505269" w:rsidRPr="00437FA3" w:rsidRDefault="00505269" w:rsidP="00437FA3">
      <w:pPr>
        <w:pStyle w:val="Ttulo1"/>
        <w:tabs>
          <w:tab w:val="left" w:pos="567"/>
        </w:tabs>
        <w:spacing w:line="360" w:lineRule="auto"/>
        <w:rPr>
          <w:b w:val="0"/>
          <w:bCs/>
          <w:spacing w:val="60"/>
          <w:szCs w:val="24"/>
        </w:rPr>
      </w:pPr>
      <w:bookmarkStart w:id="61" w:name="_Toc473812224"/>
      <w:bookmarkStart w:id="62" w:name="_Toc495430769"/>
      <w:bookmarkStart w:id="63" w:name="_Toc4103440"/>
      <w:bookmarkStart w:id="64" w:name="_Toc7787166"/>
      <w:r w:rsidRPr="00437FA3">
        <w:rPr>
          <w:szCs w:val="24"/>
        </w:rPr>
        <w:t>PRIMERO. De la competencia</w:t>
      </w:r>
      <w:bookmarkEnd w:id="61"/>
      <w:bookmarkEnd w:id="62"/>
      <w:bookmarkEnd w:id="63"/>
      <w:bookmarkEnd w:id="64"/>
    </w:p>
    <w:p w14:paraId="44B4A974" w14:textId="77777777" w:rsidR="00505269" w:rsidRPr="00437FA3" w:rsidRDefault="00505269" w:rsidP="00437FA3">
      <w:pPr>
        <w:pStyle w:val="Prrafodelista"/>
        <w:tabs>
          <w:tab w:val="left" w:pos="567"/>
        </w:tabs>
        <w:spacing w:line="360" w:lineRule="auto"/>
        <w:ind w:left="0"/>
        <w:jc w:val="both"/>
        <w:rPr>
          <w:rFonts w:ascii="Palatino Linotype" w:hAnsi="Palatino Linotype"/>
          <w:color w:val="000000"/>
        </w:rPr>
      </w:pPr>
    </w:p>
    <w:p w14:paraId="61D5AEC4" w14:textId="77777777" w:rsidR="00505269" w:rsidRPr="00437FA3" w:rsidRDefault="00505269" w:rsidP="00437FA3">
      <w:pPr>
        <w:pStyle w:val="Prrafodelista"/>
        <w:numPr>
          <w:ilvl w:val="0"/>
          <w:numId w:val="1"/>
        </w:numPr>
        <w:tabs>
          <w:tab w:val="left" w:pos="426"/>
          <w:tab w:val="left" w:pos="567"/>
        </w:tabs>
        <w:spacing w:line="360" w:lineRule="auto"/>
        <w:ind w:left="0" w:firstLine="0"/>
        <w:jc w:val="both"/>
        <w:rPr>
          <w:rFonts w:ascii="Palatino Linotype" w:hAnsi="Palatino Linotype"/>
          <w:color w:val="000000"/>
        </w:rPr>
      </w:pPr>
      <w:r w:rsidRPr="00437FA3">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437FA3">
        <w:rPr>
          <w:rFonts w:ascii="Palatino Linotype" w:eastAsia="Calibri" w:hAnsi="Palatino Linotype" w:cs="Times New Roman"/>
          <w:b/>
          <w:lang w:val="es-ES"/>
        </w:rPr>
        <w:t>Constitución Política de los Estados Unidos Mexicanos</w:t>
      </w:r>
      <w:r w:rsidRPr="00437FA3">
        <w:rPr>
          <w:rFonts w:ascii="Palatino Linotype" w:eastAsia="Calibri" w:hAnsi="Palatino Linotype" w:cs="Times New Roman"/>
          <w:lang w:val="es-ES"/>
        </w:rPr>
        <w:t xml:space="preserve">; 5, párrafos vigésimo primero y vigésimo segundo fracciones IV y V de la </w:t>
      </w:r>
      <w:r w:rsidRPr="00437FA3">
        <w:rPr>
          <w:rFonts w:ascii="Palatino Linotype" w:eastAsia="Calibri" w:hAnsi="Palatino Linotype" w:cs="Times New Roman"/>
          <w:b/>
          <w:lang w:val="es-ES"/>
        </w:rPr>
        <w:t>Constitución Política del Estado Libre y Soberano de México</w:t>
      </w:r>
      <w:r w:rsidRPr="00437FA3">
        <w:rPr>
          <w:rFonts w:ascii="Palatino Linotype" w:eastAsia="Calibri" w:hAnsi="Palatino Linotype" w:cs="Times New Roman"/>
          <w:lang w:val="es-ES"/>
        </w:rPr>
        <w:t xml:space="preserve">; artículos 1, 2 fracción II, 13, 29, 36 fracciones I y II, 176, 178, 179, 181 párrafo tercero y 185 </w:t>
      </w:r>
      <w:r w:rsidRPr="00437FA3">
        <w:rPr>
          <w:rFonts w:ascii="Palatino Linotype" w:eastAsia="Calibri" w:hAnsi="Palatino Linotype" w:cs="Arial"/>
          <w:lang w:val="es-ES"/>
        </w:rPr>
        <w:t xml:space="preserve">de la </w:t>
      </w:r>
      <w:r w:rsidRPr="00437FA3">
        <w:rPr>
          <w:rFonts w:ascii="Palatino Linotype" w:eastAsia="Calibri" w:hAnsi="Palatino Linotype" w:cs="Arial"/>
          <w:b/>
          <w:lang w:val="es-ES"/>
        </w:rPr>
        <w:t xml:space="preserve">Ley de Transparencia </w:t>
      </w:r>
      <w:r w:rsidRPr="00437FA3">
        <w:rPr>
          <w:rFonts w:ascii="Palatino Linotype" w:eastAsia="Calibri" w:hAnsi="Palatino Linotype" w:cs="Arial"/>
          <w:b/>
          <w:lang w:val="es-ES"/>
        </w:rPr>
        <w:lastRenderedPageBreak/>
        <w:t>y Acceso a la Información Pública del Estado de México y Municipios</w:t>
      </w:r>
      <w:r w:rsidRPr="00437FA3">
        <w:rPr>
          <w:rFonts w:ascii="Palatino Linotype" w:eastAsia="Calibri" w:hAnsi="Palatino Linotype" w:cs="Arial"/>
          <w:lang w:val="es-ES"/>
        </w:rPr>
        <w:t xml:space="preserve">; y 10, 7, 9 fracciones I y XXIV, y 11 del </w:t>
      </w:r>
      <w:r w:rsidRPr="00437FA3">
        <w:rPr>
          <w:rFonts w:ascii="Palatino Linotype" w:eastAsia="Calibri" w:hAnsi="Palatino Linotype" w:cs="Arial"/>
          <w:b/>
          <w:lang w:val="es-ES"/>
        </w:rPr>
        <w:t>Reglamento Interior del Instituto de Transparencia, Acceso a la Información Pública y Protección de Datos Personales del Estado de México y Municipios</w:t>
      </w:r>
      <w:r w:rsidRPr="00437FA3">
        <w:rPr>
          <w:rFonts w:ascii="Palatino Linotype" w:hAnsi="Palatino Linotype"/>
        </w:rPr>
        <w:t>.</w:t>
      </w:r>
    </w:p>
    <w:p w14:paraId="5D9E770F" w14:textId="77777777" w:rsidR="00505269" w:rsidRPr="00437FA3" w:rsidRDefault="00505269" w:rsidP="00437FA3">
      <w:pPr>
        <w:pStyle w:val="Prrafodelista"/>
        <w:tabs>
          <w:tab w:val="left" w:pos="426"/>
          <w:tab w:val="left" w:pos="567"/>
        </w:tabs>
        <w:spacing w:line="360" w:lineRule="auto"/>
        <w:ind w:left="0"/>
        <w:jc w:val="both"/>
        <w:rPr>
          <w:rFonts w:ascii="Palatino Linotype" w:hAnsi="Palatino Linotype"/>
          <w:color w:val="000000"/>
        </w:rPr>
      </w:pPr>
    </w:p>
    <w:p w14:paraId="234A5CD5" w14:textId="77777777" w:rsidR="00505269" w:rsidRPr="00437FA3" w:rsidRDefault="00505269" w:rsidP="00437FA3">
      <w:pPr>
        <w:pStyle w:val="Ttulo1"/>
        <w:tabs>
          <w:tab w:val="left" w:pos="567"/>
        </w:tabs>
        <w:spacing w:before="0" w:line="360" w:lineRule="auto"/>
        <w:rPr>
          <w:szCs w:val="24"/>
        </w:rPr>
      </w:pPr>
      <w:bookmarkStart w:id="65" w:name="_Toc471845444"/>
      <w:bookmarkStart w:id="66" w:name="_Toc473812225"/>
      <w:bookmarkStart w:id="67" w:name="_Toc495430770"/>
      <w:bookmarkStart w:id="68" w:name="_Toc4103441"/>
      <w:bookmarkStart w:id="69" w:name="_Toc7787167"/>
      <w:r w:rsidRPr="00437FA3">
        <w:rPr>
          <w:szCs w:val="24"/>
        </w:rPr>
        <w:t>SEGUNDO. De la oportunidad y procedencia.</w:t>
      </w:r>
      <w:bookmarkEnd w:id="65"/>
      <w:bookmarkEnd w:id="66"/>
      <w:bookmarkEnd w:id="67"/>
      <w:bookmarkEnd w:id="68"/>
      <w:bookmarkEnd w:id="69"/>
    </w:p>
    <w:p w14:paraId="76D81DCF" w14:textId="77777777" w:rsidR="00505269" w:rsidRPr="00437FA3" w:rsidRDefault="00505269" w:rsidP="00437FA3">
      <w:pPr>
        <w:pStyle w:val="Prrafodelista"/>
        <w:tabs>
          <w:tab w:val="left" w:pos="567"/>
        </w:tabs>
        <w:spacing w:line="360" w:lineRule="auto"/>
        <w:ind w:left="0"/>
        <w:jc w:val="both"/>
        <w:rPr>
          <w:rFonts w:ascii="Palatino Linotype" w:hAnsi="Palatino Linotype"/>
          <w:b/>
          <w:color w:val="000000" w:themeColor="text1"/>
        </w:rPr>
      </w:pPr>
    </w:p>
    <w:p w14:paraId="5BFC8482" w14:textId="77777777" w:rsidR="00505269" w:rsidRPr="00437FA3" w:rsidRDefault="00505269" w:rsidP="00437FA3">
      <w:pPr>
        <w:pStyle w:val="Prrafodelista"/>
        <w:numPr>
          <w:ilvl w:val="0"/>
          <w:numId w:val="1"/>
        </w:numPr>
        <w:spacing w:before="240" w:after="240" w:line="360" w:lineRule="auto"/>
        <w:ind w:left="0" w:firstLine="0"/>
        <w:jc w:val="both"/>
        <w:rPr>
          <w:rFonts w:ascii="Palatino Linotype" w:eastAsia="Times New Roman" w:hAnsi="Palatino Linotype" w:cs="Arial"/>
          <w:color w:val="000000" w:themeColor="text1"/>
        </w:rPr>
      </w:pPr>
      <w:r w:rsidRPr="00437FA3">
        <w:rPr>
          <w:rFonts w:ascii="Palatino Linotype" w:eastAsia="Calibri" w:hAnsi="Palatino Linotype" w:cs="Arial"/>
          <w:color w:val="000000" w:themeColor="text1"/>
          <w:lang w:val="es-ES"/>
        </w:rPr>
        <w:t xml:space="preserve">Es de precisar, que la </w:t>
      </w:r>
      <w:r w:rsidRPr="00437FA3">
        <w:rPr>
          <w:rFonts w:ascii="Palatino Linotype" w:eastAsia="Calibri" w:hAnsi="Palatino Linotype" w:cs="Arial"/>
          <w:b/>
          <w:color w:val="000000" w:themeColor="text1"/>
          <w:lang w:val="es-ES"/>
        </w:rPr>
        <w:t>Ley de Transparencia y Acceso a la Información Pública del Estado de México y Municipios</w:t>
      </w:r>
      <w:r w:rsidRPr="00437FA3">
        <w:rPr>
          <w:rFonts w:ascii="Palatino Linotype" w:eastAsia="Calibri" w:hAnsi="Palatino Linotype" w:cs="Arial"/>
          <w:color w:val="000000" w:themeColor="text1"/>
          <w:lang w:val="es-ES"/>
        </w:rPr>
        <w:t xml:space="preserve">, en el artículo 178 describe la procedencia del recurso de revisión, así mismo señala que el plazo del </w:t>
      </w:r>
      <w:r w:rsidRPr="00437FA3">
        <w:rPr>
          <w:rFonts w:ascii="Palatino Linotype" w:eastAsia="Calibri" w:hAnsi="Palatino Linotype" w:cs="Arial"/>
          <w:b/>
          <w:color w:val="000000" w:themeColor="text1"/>
          <w:lang w:val="es-ES"/>
        </w:rPr>
        <w:t>SUJETO OBLIGADO</w:t>
      </w:r>
      <w:r w:rsidRPr="00437FA3">
        <w:rPr>
          <w:rFonts w:ascii="Palatino Linotype" w:eastAsia="Calibri" w:hAnsi="Palatino Linotype" w:cs="Arial"/>
          <w:color w:val="000000" w:themeColor="text1"/>
          <w:lang w:val="es-ES"/>
        </w:rPr>
        <w:t xml:space="preserve"> para entregar la respuesta a una solicitud de información pública, es de quince días hábiles posteriores a la presentación de ésta; por lo que, transcurrido este término, cuando no entregue la respuesta a la solicitud dentro del plazo previsto en la Ley, la solicitud se entenderá negada y el solicitante podrá interponer el recurso de revisión previsto en el ordenamiento en cita.</w:t>
      </w:r>
    </w:p>
    <w:p w14:paraId="0174683D" w14:textId="77777777" w:rsidR="00505269" w:rsidRPr="00437FA3" w:rsidRDefault="00505269" w:rsidP="00437FA3">
      <w:pPr>
        <w:pStyle w:val="Prrafodelista"/>
        <w:spacing w:before="240" w:after="240" w:line="360" w:lineRule="auto"/>
        <w:ind w:left="0"/>
        <w:jc w:val="both"/>
        <w:rPr>
          <w:rFonts w:ascii="Palatino Linotype" w:eastAsia="Times New Roman" w:hAnsi="Palatino Linotype" w:cs="Arial"/>
          <w:color w:val="000000" w:themeColor="text1"/>
        </w:rPr>
      </w:pPr>
    </w:p>
    <w:p w14:paraId="2DF07FA4" w14:textId="04DD891F" w:rsidR="006C1570" w:rsidRPr="00437FA3" w:rsidRDefault="00505269" w:rsidP="00437FA3">
      <w:pPr>
        <w:pStyle w:val="Prrafodelista"/>
        <w:numPr>
          <w:ilvl w:val="0"/>
          <w:numId w:val="1"/>
        </w:numPr>
        <w:spacing w:before="240" w:after="240" w:line="360" w:lineRule="auto"/>
        <w:ind w:left="0" w:firstLine="0"/>
        <w:jc w:val="both"/>
        <w:rPr>
          <w:rFonts w:ascii="Palatino Linotype" w:eastAsia="Times New Roman" w:hAnsi="Palatino Linotype" w:cs="Arial"/>
          <w:color w:val="000000" w:themeColor="text1"/>
        </w:rPr>
      </w:pPr>
      <w:r w:rsidRPr="00437FA3">
        <w:rPr>
          <w:rFonts w:ascii="Palatino Linotype" w:eastAsia="Calibri" w:hAnsi="Palatino Linotype" w:cs="Arial"/>
          <w:color w:val="000000" w:themeColor="text1"/>
          <w:lang w:val="es-ES"/>
        </w:rPr>
        <w:t xml:space="preserve">Por ende, se constituye la figura jurídica de la </w:t>
      </w:r>
      <w:r w:rsidRPr="00437FA3">
        <w:rPr>
          <w:rFonts w:ascii="Palatino Linotype" w:eastAsia="Calibri" w:hAnsi="Palatino Linotype" w:cs="Arial"/>
          <w:i/>
          <w:color w:val="000000" w:themeColor="text1"/>
          <w:lang w:val="es-ES"/>
        </w:rPr>
        <w:t>negativa ficta</w:t>
      </w:r>
      <w:r w:rsidRPr="00437FA3">
        <w:rPr>
          <w:rFonts w:ascii="Palatino Linotype" w:eastAsia="Calibri" w:hAnsi="Palatino Linotype" w:cs="Arial"/>
          <w:color w:val="000000" w:themeColor="text1"/>
          <w:lang w:val="es-ES"/>
        </w:rPr>
        <w:t xml:space="preserve">, cuya esencia es atribuir un efecto negativo al silencio de la autoridad administrativa frente a las instancias y solicitudes que hagan los particulares, lo cual encuentra sustento en lo que establece el artículo </w:t>
      </w:r>
      <w:r w:rsidRPr="00437FA3">
        <w:rPr>
          <w:rFonts w:ascii="Palatino Linotype" w:eastAsia="Calibri" w:hAnsi="Palatino Linotype" w:cs="Arial"/>
          <w:b/>
          <w:color w:val="000000" w:themeColor="text1"/>
          <w:lang w:val="es-ES"/>
        </w:rPr>
        <w:t>178</w:t>
      </w:r>
      <w:r w:rsidRPr="00437FA3">
        <w:rPr>
          <w:rFonts w:ascii="Palatino Linotype" w:eastAsia="Calibri" w:hAnsi="Palatino Linotype" w:cs="Arial"/>
          <w:color w:val="000000" w:themeColor="text1"/>
          <w:lang w:val="es-ES"/>
        </w:rPr>
        <w:t xml:space="preserve"> segundo párrafo de </w:t>
      </w:r>
      <w:r w:rsidRPr="00437FA3">
        <w:rPr>
          <w:rFonts w:ascii="Palatino Linotype" w:eastAsia="Calibri" w:hAnsi="Palatino Linotype" w:cs="Arial"/>
          <w:b/>
          <w:color w:val="000000" w:themeColor="text1"/>
          <w:lang w:val="es-ES"/>
        </w:rPr>
        <w:t>Ley de Transparencia y Acceso a la Información Pública del Estado de México y Municipios</w:t>
      </w:r>
      <w:r w:rsidRPr="00437FA3">
        <w:rPr>
          <w:rFonts w:ascii="Palatino Linotype" w:eastAsia="Calibri" w:hAnsi="Palatino Linotype" w:cs="Times New Roman"/>
          <w:color w:val="000000" w:themeColor="text1"/>
          <w:shd w:val="clear" w:color="auto" w:fill="FFFFFF"/>
          <w:lang w:val="es-MX" w:eastAsia="en-US"/>
        </w:rPr>
        <w:t xml:space="preserve">, que dispone; ante la </w:t>
      </w:r>
      <w:r w:rsidRPr="00437FA3">
        <w:rPr>
          <w:rFonts w:ascii="Palatino Linotype" w:eastAsia="Calibri" w:hAnsi="Palatino Linotype" w:cs="Times New Roman"/>
          <w:color w:val="000000" w:themeColor="text1"/>
          <w:shd w:val="clear" w:color="auto" w:fill="FFFFFF"/>
          <w:lang w:val="es-MX" w:eastAsia="en-US"/>
        </w:rPr>
        <w:lastRenderedPageBreak/>
        <w:t xml:space="preserve">falta de respuesta del </w:t>
      </w:r>
      <w:r w:rsidRPr="00437FA3">
        <w:rPr>
          <w:rFonts w:ascii="Palatino Linotype" w:eastAsia="Calibri" w:hAnsi="Palatino Linotype" w:cs="Times New Roman"/>
          <w:b/>
          <w:color w:val="000000" w:themeColor="text1"/>
          <w:shd w:val="clear" w:color="auto" w:fill="FFFFFF"/>
          <w:lang w:val="es-MX" w:eastAsia="en-US"/>
        </w:rPr>
        <w:t>SUJETO OBLIGADO,</w:t>
      </w:r>
      <w:r w:rsidRPr="00437FA3">
        <w:rPr>
          <w:rFonts w:ascii="Palatino Linotype" w:eastAsia="Calibri" w:hAnsi="Palatino Linotype" w:cs="Times New Roman"/>
          <w:color w:val="000000" w:themeColor="text1"/>
          <w:shd w:val="clear" w:color="auto" w:fill="FFFFFF"/>
          <w:lang w:val="es-MX" w:eastAsia="en-US"/>
        </w:rPr>
        <w:t xml:space="preserve"> dentro de los plazos establecidos en esta Ley, a una solicitud de acceso a la información pública, el recurso </w:t>
      </w:r>
      <w:r w:rsidRPr="00437FA3">
        <w:rPr>
          <w:rFonts w:ascii="Palatino Linotype" w:eastAsia="Calibri" w:hAnsi="Palatino Linotype" w:cs="Times New Roman"/>
          <w:b/>
          <w:color w:val="000000" w:themeColor="text1"/>
          <w:shd w:val="clear" w:color="auto" w:fill="FFFFFF"/>
          <w:lang w:val="es-MX" w:eastAsia="en-US"/>
        </w:rPr>
        <w:t>podrá ser in</w:t>
      </w:r>
      <w:r w:rsidR="006C1570" w:rsidRPr="00437FA3">
        <w:rPr>
          <w:rFonts w:ascii="Palatino Linotype" w:eastAsia="Calibri" w:hAnsi="Palatino Linotype" w:cs="Times New Roman"/>
          <w:b/>
          <w:color w:val="000000" w:themeColor="text1"/>
          <w:shd w:val="clear" w:color="auto" w:fill="FFFFFF"/>
          <w:lang w:val="es-MX" w:eastAsia="en-US"/>
        </w:rPr>
        <w:t>terpuesto en cualquier momento.</w:t>
      </w:r>
    </w:p>
    <w:p w14:paraId="5F2E8ABD" w14:textId="77777777" w:rsidR="00505269" w:rsidRPr="00437FA3" w:rsidRDefault="00505269" w:rsidP="00437FA3">
      <w:pPr>
        <w:pStyle w:val="Prrafodelista"/>
        <w:spacing w:line="360" w:lineRule="auto"/>
        <w:ind w:left="0"/>
        <w:rPr>
          <w:rFonts w:ascii="Palatino Linotype" w:eastAsia="Times New Roman" w:hAnsi="Palatino Linotype" w:cs="Arial"/>
          <w:color w:val="000000" w:themeColor="text1"/>
        </w:rPr>
      </w:pPr>
    </w:p>
    <w:p w14:paraId="178D50C0" w14:textId="77777777" w:rsidR="00505269" w:rsidRPr="00437FA3" w:rsidRDefault="00505269" w:rsidP="00437FA3">
      <w:pPr>
        <w:pStyle w:val="Prrafodelista"/>
        <w:numPr>
          <w:ilvl w:val="0"/>
          <w:numId w:val="1"/>
        </w:numPr>
        <w:spacing w:before="240" w:after="240" w:line="360" w:lineRule="auto"/>
        <w:ind w:left="0" w:firstLine="0"/>
        <w:jc w:val="both"/>
        <w:rPr>
          <w:rFonts w:ascii="Palatino Linotype" w:eastAsia="Times New Roman" w:hAnsi="Palatino Linotype" w:cs="Arial"/>
          <w:color w:val="000000" w:themeColor="text1"/>
        </w:rPr>
      </w:pPr>
      <w:r w:rsidRPr="00437FA3">
        <w:rPr>
          <w:rFonts w:ascii="Palatino Linotype" w:eastAsia="Calibri" w:hAnsi="Palatino Linotype" w:cs="Arial"/>
          <w:color w:val="000000" w:themeColor="text1"/>
          <w:lang w:val="es-ES"/>
        </w:rPr>
        <w:t xml:space="preserve">Por lo que, tratándose de la </w:t>
      </w:r>
      <w:r w:rsidRPr="00437FA3">
        <w:rPr>
          <w:rFonts w:ascii="Palatino Linotype" w:eastAsia="Calibri" w:hAnsi="Palatino Linotype" w:cs="Arial"/>
          <w:i/>
          <w:color w:val="000000" w:themeColor="text1"/>
          <w:lang w:val="es-ES"/>
        </w:rPr>
        <w:t>negativa ficta</w:t>
      </w:r>
      <w:r w:rsidRPr="00437FA3">
        <w:rPr>
          <w:rFonts w:ascii="Palatino Linotype" w:eastAsia="Calibri" w:hAnsi="Palatino Linotype" w:cs="Arial"/>
          <w:color w:val="000000" w:themeColor="text1"/>
          <w:lang w:val="es-ES"/>
        </w:rPr>
        <w:t xml:space="preserve"> no existe respuesta que se haga del conocimiento al particular, a partir de la cual pueda computarse el plazo legal establecido, por tal motivo es pertinente señalar que no existe plazo para la interposición del recurso de revisión, sirviendo de apoyo a lo anterior lo que dispone el Criterio de Interpretación en el orden administrativo número 001-15, emitido por el Pleno del Instituto de Transparencia y Acceso a la Información Pública del Estado de México y Municipios, en la Sexta Sesión Ordinaria, y publicada en el Periódico Oficial “Gaceta del Gobierno” el veintitrés de abril de dos mil quince, relativo a la interposición del recurso de revisión en cualquier tiempo cuando exista </w:t>
      </w:r>
      <w:r w:rsidRPr="00437FA3">
        <w:rPr>
          <w:rFonts w:ascii="Palatino Linotype" w:eastAsia="Calibri" w:hAnsi="Palatino Linotype" w:cs="Arial"/>
          <w:i/>
          <w:color w:val="000000" w:themeColor="text1"/>
          <w:lang w:val="es-ES"/>
        </w:rPr>
        <w:t>negativa ficta</w:t>
      </w:r>
      <w:r w:rsidRPr="00437FA3">
        <w:rPr>
          <w:rFonts w:ascii="Palatino Linotype" w:eastAsia="Calibri" w:hAnsi="Palatino Linotype" w:cs="Arial"/>
          <w:color w:val="000000" w:themeColor="text1"/>
          <w:lang w:val="es-ES"/>
        </w:rPr>
        <w:t>, que señala:</w:t>
      </w:r>
    </w:p>
    <w:p w14:paraId="41E229F3" w14:textId="77777777" w:rsidR="006C1570" w:rsidRPr="00437FA3" w:rsidRDefault="006C1570" w:rsidP="00437FA3">
      <w:pPr>
        <w:pStyle w:val="Prrafodelista"/>
        <w:spacing w:before="240" w:after="240" w:line="360" w:lineRule="auto"/>
        <w:ind w:left="0"/>
        <w:jc w:val="both"/>
        <w:rPr>
          <w:rFonts w:ascii="Palatino Linotype" w:eastAsia="Times New Roman" w:hAnsi="Palatino Linotype" w:cs="Arial"/>
          <w:color w:val="000000" w:themeColor="text1"/>
        </w:rPr>
      </w:pPr>
    </w:p>
    <w:p w14:paraId="235F924B" w14:textId="77777777" w:rsidR="00505269" w:rsidRPr="00437FA3" w:rsidRDefault="00505269" w:rsidP="00437FA3">
      <w:pPr>
        <w:spacing w:before="240" w:after="240" w:line="360" w:lineRule="auto"/>
        <w:ind w:left="567" w:right="567"/>
        <w:jc w:val="center"/>
        <w:rPr>
          <w:rFonts w:ascii="Palatino Linotype" w:eastAsia="Calibri" w:hAnsi="Palatino Linotype" w:cs="Arial"/>
          <w:color w:val="000000" w:themeColor="text1"/>
          <w:lang w:val="es-ES"/>
        </w:rPr>
      </w:pPr>
      <w:r w:rsidRPr="00437FA3">
        <w:rPr>
          <w:rFonts w:ascii="Palatino Linotype" w:eastAsia="Calibri" w:hAnsi="Palatino Linotype" w:cs="Arial"/>
          <w:b/>
          <w:color w:val="000000" w:themeColor="text1"/>
          <w:lang w:val="es-ES"/>
        </w:rPr>
        <w:t>“</w:t>
      </w:r>
      <w:r w:rsidRPr="00437FA3">
        <w:rPr>
          <w:rFonts w:ascii="Palatino Linotype" w:eastAsia="Calibri" w:hAnsi="Palatino Linotype" w:cs="Arial"/>
          <w:color w:val="000000" w:themeColor="text1"/>
          <w:lang w:val="es-ES"/>
        </w:rPr>
        <w:t>Criterio 0001-15</w:t>
      </w:r>
    </w:p>
    <w:p w14:paraId="47B52A2F" w14:textId="3AFF420F" w:rsidR="00505269" w:rsidRPr="00437FA3" w:rsidRDefault="00505269" w:rsidP="00437FA3">
      <w:pPr>
        <w:spacing w:before="240" w:after="240" w:line="360" w:lineRule="auto"/>
        <w:ind w:left="567" w:right="567"/>
        <w:jc w:val="both"/>
        <w:rPr>
          <w:rFonts w:ascii="Palatino Linotype" w:eastAsia="Calibri" w:hAnsi="Palatino Linotype" w:cs="Arial"/>
          <w:b/>
          <w:i/>
          <w:color w:val="000000" w:themeColor="text1"/>
          <w:lang w:val="es-ES"/>
        </w:rPr>
      </w:pPr>
      <w:r w:rsidRPr="00437FA3">
        <w:rPr>
          <w:rFonts w:ascii="Palatino Linotype" w:eastAsia="Calibri" w:hAnsi="Palatino Linotype" w:cs="Arial"/>
          <w:b/>
          <w:i/>
          <w:color w:val="000000" w:themeColor="text1"/>
          <w:lang w:val="es-ES"/>
        </w:rPr>
        <w:t>NEGATIVA FICTA. PLAZO PARA INTERPONER EL RECURSO DE REVISIÓN TRATÁNDOSE DE.</w:t>
      </w:r>
      <w:r w:rsidRPr="00437FA3">
        <w:rPr>
          <w:rFonts w:ascii="Palatino Linotype" w:eastAsia="Calibri" w:hAnsi="Palatino Linotype" w:cs="Arial"/>
          <w:i/>
          <w:color w:val="000000" w:themeColor="text1"/>
          <w:lang w:val="es-ES"/>
        </w:rPr>
        <w:t xml:space="preserve"> El artículo 48, párrafo tercero de la Ley de Transparencia y Acceso a la Información Pública del Estado de México y Municipios establece que, cuando no se entregue la respuesta a la solicitud </w:t>
      </w:r>
      <w:r w:rsidRPr="00437FA3">
        <w:rPr>
          <w:rFonts w:ascii="Palatino Linotype" w:eastAsia="Calibri" w:hAnsi="Palatino Linotype" w:cs="Arial"/>
          <w:i/>
          <w:color w:val="000000" w:themeColor="text1"/>
          <w:lang w:val="es-ES"/>
        </w:rPr>
        <w:lastRenderedPageBreak/>
        <w:t>dentro del plazo de 15 días establecidos en el artículo 46 de la Ley de la materia, se entenderá por negada la solicitud y podrá interponerse el recurso correspondiente.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r w:rsidRPr="00437FA3">
        <w:rPr>
          <w:rFonts w:ascii="Palatino Linotype" w:eastAsia="Calibri" w:hAnsi="Palatino Linotype" w:cs="Arial"/>
          <w:b/>
          <w:i/>
          <w:color w:val="000000" w:themeColor="text1"/>
          <w:lang w:val="es-ES"/>
        </w:rPr>
        <w:t>”</w:t>
      </w:r>
    </w:p>
    <w:p w14:paraId="0C202245" w14:textId="77777777" w:rsidR="00505269" w:rsidRPr="00437FA3" w:rsidRDefault="00505269" w:rsidP="00437FA3">
      <w:pPr>
        <w:pStyle w:val="Prrafodelista"/>
        <w:numPr>
          <w:ilvl w:val="0"/>
          <w:numId w:val="1"/>
        </w:numPr>
        <w:spacing w:before="240" w:after="240" w:line="360" w:lineRule="auto"/>
        <w:ind w:left="0" w:firstLine="0"/>
        <w:jc w:val="both"/>
        <w:rPr>
          <w:rFonts w:ascii="Palatino Linotype" w:eastAsia="Times New Roman" w:hAnsi="Palatino Linotype" w:cs="Arial"/>
          <w:color w:val="000000" w:themeColor="text1"/>
          <w:lang w:val="es-ES" w:eastAsia="es-MX"/>
        </w:rPr>
      </w:pPr>
      <w:r w:rsidRPr="00437FA3">
        <w:rPr>
          <w:rFonts w:ascii="Palatino Linotype" w:eastAsia="Times New Roman" w:hAnsi="Palatino Linotype" w:cs="Arial"/>
          <w:color w:val="000000" w:themeColor="text1"/>
          <w:lang w:val="es-ES" w:eastAsia="es-MX"/>
        </w:rPr>
        <w:t xml:space="preserve">Lo anterior, se explica porque la ausencia de una respuesta en la solicitud constituye un acto que vulnera el derecho de manera continua y actualizable cada día en tanto, no se emita la respuesta a la que esté impuesto el </w:t>
      </w:r>
      <w:r w:rsidRPr="00437FA3">
        <w:rPr>
          <w:rFonts w:ascii="Palatino Linotype" w:eastAsia="Times New Roman" w:hAnsi="Palatino Linotype" w:cs="Arial"/>
          <w:b/>
          <w:color w:val="000000" w:themeColor="text1"/>
          <w:lang w:val="es-ES" w:eastAsia="es-MX"/>
        </w:rPr>
        <w:t>SUJETO OBLIGADO</w:t>
      </w:r>
      <w:r w:rsidRPr="00437FA3">
        <w:rPr>
          <w:rFonts w:ascii="Palatino Linotype" w:eastAsia="Times New Roman" w:hAnsi="Palatino Linotype" w:cs="Arial"/>
          <w:color w:val="000000" w:themeColor="text1"/>
          <w:lang w:val="es-ES" w:eastAsia="es-MX"/>
        </w:rPr>
        <w:t>.</w:t>
      </w:r>
    </w:p>
    <w:p w14:paraId="47CF78B3" w14:textId="77777777" w:rsidR="00505269" w:rsidRPr="00437FA3" w:rsidRDefault="00505269" w:rsidP="00437FA3">
      <w:pPr>
        <w:pStyle w:val="Prrafodelista"/>
        <w:spacing w:before="240" w:after="240" w:line="360" w:lineRule="auto"/>
        <w:ind w:left="0"/>
        <w:jc w:val="both"/>
        <w:rPr>
          <w:rFonts w:ascii="Palatino Linotype" w:eastAsia="Times New Roman" w:hAnsi="Palatino Linotype" w:cs="Arial"/>
          <w:color w:val="000000" w:themeColor="text1"/>
          <w:lang w:val="es-ES" w:eastAsia="es-MX"/>
        </w:rPr>
      </w:pPr>
    </w:p>
    <w:p w14:paraId="7D563760" w14:textId="77777777" w:rsidR="00505269" w:rsidRPr="00437FA3" w:rsidRDefault="00505269" w:rsidP="00437FA3">
      <w:pPr>
        <w:pStyle w:val="Prrafodelista"/>
        <w:numPr>
          <w:ilvl w:val="0"/>
          <w:numId w:val="1"/>
        </w:numPr>
        <w:spacing w:before="240" w:after="240" w:line="360" w:lineRule="auto"/>
        <w:ind w:left="0" w:firstLine="0"/>
        <w:jc w:val="both"/>
        <w:rPr>
          <w:rFonts w:ascii="Palatino Linotype" w:eastAsia="Times New Roman" w:hAnsi="Palatino Linotype" w:cs="Arial"/>
          <w:color w:val="000000" w:themeColor="text1"/>
          <w:lang w:val="es-ES" w:eastAsia="es-MX"/>
        </w:rPr>
      </w:pPr>
      <w:r w:rsidRPr="00437FA3">
        <w:rPr>
          <w:rFonts w:ascii="Palatino Linotype" w:hAnsi="Palatino Linotype"/>
          <w:color w:val="000000" w:themeColor="text1"/>
        </w:rPr>
        <w:t>Por consiguiente, tratándose</w:t>
      </w:r>
      <w:r w:rsidRPr="00437FA3">
        <w:rPr>
          <w:rFonts w:ascii="Palatino Linotype" w:eastAsia="Times New Roman" w:hAnsi="Palatino Linotype" w:cs="Arial"/>
          <w:color w:val="000000" w:themeColor="text1"/>
          <w:lang w:val="es-ES" w:eastAsia="es-MX"/>
        </w:rPr>
        <w:t xml:space="preserve"> de negativa ficta no existe plazo para la interposición del recurso de revisión por tratarse de una afectación continua al Derecho de Acceso a la Información Pública.</w:t>
      </w:r>
    </w:p>
    <w:p w14:paraId="6F976199" w14:textId="77777777" w:rsidR="00505269" w:rsidRPr="00437FA3" w:rsidRDefault="00505269" w:rsidP="00437FA3">
      <w:pPr>
        <w:pStyle w:val="Prrafodelista"/>
        <w:tabs>
          <w:tab w:val="left" w:pos="567"/>
        </w:tabs>
        <w:spacing w:line="360" w:lineRule="auto"/>
        <w:ind w:left="0"/>
        <w:jc w:val="both"/>
        <w:rPr>
          <w:rFonts w:ascii="Palatino Linotype" w:hAnsi="Palatino Linotype"/>
          <w:b/>
          <w:color w:val="000000" w:themeColor="text1"/>
        </w:rPr>
      </w:pPr>
    </w:p>
    <w:p w14:paraId="1D881103" w14:textId="361AE2BA" w:rsidR="00505269" w:rsidRPr="00437FA3" w:rsidRDefault="006C1570" w:rsidP="00437FA3">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437FA3">
        <w:rPr>
          <w:rFonts w:ascii="Palatino Linotype" w:hAnsi="Palatino Linotype" w:cs="Arial"/>
          <w:lang w:val="es-ES"/>
        </w:rPr>
        <w:lastRenderedPageBreak/>
        <w:t>Así mismo, d</w:t>
      </w:r>
      <w:r w:rsidR="00505269" w:rsidRPr="00437FA3">
        <w:rPr>
          <w:rFonts w:ascii="Palatino Linotype" w:hAnsi="Palatino Linotype" w:cs="Arial"/>
          <w:lang w:val="es-ES"/>
        </w:rPr>
        <w:t xml:space="preserve">e la revisión al expediente electrónico del Sistema de Acceso a la Información Mexiquense (SAIMEX) se desprende que la parte solicitante en ejercicio de su derecho de acceso a la información pública, en el expediente que se revisa, tanto en la solicitud de información como en el recurso de revisión no proporciona su nombre completo para que sea identificado, ni se tiene la certeza sobre su identidad, sin embargo, es importante señalar también que </w:t>
      </w:r>
      <w:r w:rsidR="00505269" w:rsidRPr="00437FA3">
        <w:rPr>
          <w:rFonts w:ascii="Palatino Linotype" w:hAnsi="Palatino Linotype" w:cs="Arial"/>
        </w:rPr>
        <w:t xml:space="preserve">el nombre de los solicitantes y recurrentes no es requisito indispensable para la tramitación del acto procesal específico en materia de acceso a la información, ello en estricto apego al numeral 155 párrafo tercero de la Ley de la materia, en concatenación con el </w:t>
      </w:r>
      <w:r w:rsidR="00505269" w:rsidRPr="00437FA3">
        <w:rPr>
          <w:rFonts w:ascii="Palatino Linotype" w:hAnsi="Palatino Linotype" w:cs="Arial"/>
          <w:lang w:val="es-ES_tradnl"/>
        </w:rPr>
        <w:t>artículo</w:t>
      </w:r>
      <w:r w:rsidR="00505269" w:rsidRPr="00437FA3">
        <w:rPr>
          <w:rFonts w:ascii="Palatino Linotype" w:hAnsi="Palatino Linotype" w:cs="Arial"/>
        </w:rPr>
        <w:t xml:space="preserve"> 180 del mismo ordenamiento.</w:t>
      </w:r>
    </w:p>
    <w:p w14:paraId="08015F42" w14:textId="77777777" w:rsidR="00505269" w:rsidRPr="00437FA3" w:rsidRDefault="00505269" w:rsidP="00437FA3">
      <w:pPr>
        <w:pStyle w:val="Prrafodelista"/>
        <w:tabs>
          <w:tab w:val="left" w:pos="567"/>
        </w:tabs>
        <w:spacing w:line="360" w:lineRule="auto"/>
        <w:ind w:left="0"/>
        <w:jc w:val="both"/>
        <w:rPr>
          <w:rFonts w:ascii="Palatino Linotype" w:hAnsi="Palatino Linotype"/>
          <w:b/>
        </w:rPr>
      </w:pPr>
    </w:p>
    <w:p w14:paraId="37B01F2C" w14:textId="77777777" w:rsidR="00505269" w:rsidRPr="00437FA3" w:rsidRDefault="00505269" w:rsidP="00437FA3">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437FA3">
        <w:rPr>
          <w:rFonts w:ascii="Palatino Linotype" w:hAnsi="Palatino Linotype" w:cs="Arial"/>
          <w:lang w:val="es-ES"/>
        </w:rPr>
        <w:t>Esto es así, ya que de conformidad con los artículos 6, Apartado A, fracciones III y IV de la Constitución Política de los Estados Unidos Mexicanos y 5 párrafos vigésimo, vigésimo primero y vigésimo segundo, fracciones I, III, IV y V de la Constitución Política del Estado Libre y Soberano de México,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7AA8BDA9" w14:textId="77777777" w:rsidR="00505269" w:rsidRPr="00437FA3" w:rsidRDefault="00505269" w:rsidP="00437FA3">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36810511" w14:textId="77777777" w:rsidR="00505269" w:rsidRPr="00437FA3" w:rsidRDefault="00505269" w:rsidP="00437FA3">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437FA3">
        <w:rPr>
          <w:rFonts w:ascii="Palatino Linotype" w:hAnsi="Palatino Linotype" w:cs="Arial"/>
          <w:lang w:val="es-ES"/>
        </w:rPr>
        <w:t>Por 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0EAC1CA5" w14:textId="77777777" w:rsidR="00505269" w:rsidRPr="00437FA3" w:rsidRDefault="00505269" w:rsidP="00437FA3">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7BD393A5" w14:textId="77777777" w:rsidR="00505269" w:rsidRPr="00437FA3" w:rsidRDefault="00505269" w:rsidP="00437FA3">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437FA3">
        <w:rPr>
          <w:rFonts w:ascii="Palatino Linotype" w:hAnsi="Palatino Linotype" w:cs="Arial"/>
          <w:lang w:val="es-ES"/>
        </w:rPr>
        <w:t>En ese entendido, se omite un análisis más profundo en torno a los conceptos de interés jurídico y legitimación, debido a que se estima que a ningún efecto práctico conduciría, puesto que la propia estructura del derecho fundamental bajo análisis no lo exige.</w:t>
      </w:r>
    </w:p>
    <w:p w14:paraId="7ED4197F" w14:textId="77777777" w:rsidR="00505269" w:rsidRPr="00437FA3" w:rsidRDefault="00505269" w:rsidP="00437FA3">
      <w:pPr>
        <w:pStyle w:val="m3468294172500300143gmail-msolistparagraph"/>
        <w:shd w:val="clear" w:color="auto" w:fill="FFFFFF"/>
        <w:spacing w:before="0" w:beforeAutospacing="0" w:after="0" w:afterAutospacing="0" w:line="360" w:lineRule="auto"/>
        <w:jc w:val="both"/>
        <w:rPr>
          <w:rFonts w:ascii="Palatino Linotype" w:hAnsi="Palatino Linotype" w:cs="Arial"/>
        </w:rPr>
      </w:pPr>
    </w:p>
    <w:p w14:paraId="29E32762" w14:textId="77777777" w:rsidR="00505269" w:rsidRPr="00437FA3" w:rsidRDefault="00505269" w:rsidP="00437FA3">
      <w:pPr>
        <w:pStyle w:val="m3468294172500300143gmail-msolistparagraph"/>
        <w:numPr>
          <w:ilvl w:val="0"/>
          <w:numId w:val="1"/>
        </w:numPr>
        <w:shd w:val="clear" w:color="auto" w:fill="FFFFFF"/>
        <w:spacing w:before="0" w:beforeAutospacing="0" w:after="0" w:afterAutospacing="0" w:line="360" w:lineRule="auto"/>
        <w:ind w:left="0" w:firstLine="0"/>
        <w:jc w:val="both"/>
        <w:rPr>
          <w:rFonts w:ascii="Palatino Linotype" w:hAnsi="Palatino Linotype" w:cs="Arial"/>
        </w:rPr>
      </w:pPr>
      <w:r w:rsidRPr="00437FA3">
        <w:rPr>
          <w:rFonts w:ascii="Palatino Linotype" w:hAnsi="Palatino Linotype" w:cs="Arial"/>
          <w:lang w:val="es-ES"/>
        </w:rPr>
        <w:t xml:space="preserve">Por lo que el nombre del solicitando y recurrente no puede ser considerado un requisito indispensable de procedencia del recurso de revisión que nos ocupa, ya que el acceso a la información no está condicionado a acreditar algún interés ya sea jurídico o legítimo, máxime que es un elemento subsanable por este Órgano Garante, </w:t>
      </w:r>
      <w:r w:rsidRPr="00437FA3">
        <w:rPr>
          <w:rFonts w:ascii="Palatino Linotype" w:eastAsia="Calibri" w:hAnsi="Palatino Linotype" w:cs="Arial"/>
        </w:rPr>
        <w:t xml:space="preserve">por lo que es procedente que este Instituto de Transparencia, Acceso a la </w:t>
      </w:r>
      <w:r w:rsidRPr="00437FA3">
        <w:rPr>
          <w:rFonts w:ascii="Palatino Linotype" w:eastAsia="Calibri" w:hAnsi="Palatino Linotype" w:cs="Arial"/>
        </w:rPr>
        <w:lastRenderedPageBreak/>
        <w:t>Información Pública y Protección de Datos Personales del Estado de México y Municipios, conozca y resuelva el presente recurso.</w:t>
      </w:r>
    </w:p>
    <w:p w14:paraId="0A6A9307" w14:textId="77777777" w:rsidR="00505269" w:rsidRPr="00437FA3" w:rsidRDefault="00505269" w:rsidP="00437FA3">
      <w:pPr>
        <w:pStyle w:val="Prrafodelista"/>
        <w:tabs>
          <w:tab w:val="left" w:pos="567"/>
        </w:tabs>
        <w:spacing w:line="360" w:lineRule="auto"/>
        <w:ind w:left="0"/>
        <w:jc w:val="both"/>
        <w:rPr>
          <w:rFonts w:ascii="Palatino Linotype" w:hAnsi="Palatino Linotype"/>
          <w:b/>
          <w:color w:val="000000" w:themeColor="text1"/>
        </w:rPr>
      </w:pPr>
    </w:p>
    <w:p w14:paraId="35971E67" w14:textId="77777777" w:rsidR="00505269" w:rsidRPr="00437FA3" w:rsidRDefault="00505269" w:rsidP="00437FA3">
      <w:pPr>
        <w:pStyle w:val="Ttulo2"/>
        <w:spacing w:before="0" w:line="360" w:lineRule="auto"/>
        <w:rPr>
          <w:b w:val="0"/>
          <w:szCs w:val="24"/>
        </w:rPr>
      </w:pPr>
      <w:bookmarkStart w:id="70" w:name="_Toc473812226"/>
      <w:bookmarkStart w:id="71" w:name="_Toc482887019"/>
      <w:bookmarkStart w:id="72" w:name="_Toc4103442"/>
      <w:bookmarkStart w:id="73" w:name="_Toc7787168"/>
      <w:r w:rsidRPr="00437FA3">
        <w:rPr>
          <w:szCs w:val="24"/>
        </w:rPr>
        <w:t xml:space="preserve">TERCERO. Del planteamiento de la </w:t>
      </w:r>
      <w:proofErr w:type="spellStart"/>
      <w:r w:rsidRPr="00437FA3">
        <w:rPr>
          <w:szCs w:val="24"/>
        </w:rPr>
        <w:t>litis</w:t>
      </w:r>
      <w:proofErr w:type="spellEnd"/>
      <w:r w:rsidRPr="00437FA3">
        <w:rPr>
          <w:szCs w:val="24"/>
        </w:rPr>
        <w:t>.</w:t>
      </w:r>
      <w:bookmarkEnd w:id="70"/>
      <w:bookmarkEnd w:id="71"/>
      <w:bookmarkEnd w:id="72"/>
      <w:bookmarkEnd w:id="73"/>
    </w:p>
    <w:p w14:paraId="01762B5D" w14:textId="77777777" w:rsidR="00505269" w:rsidRPr="00437FA3" w:rsidRDefault="00505269" w:rsidP="00437FA3">
      <w:pPr>
        <w:pStyle w:val="Prrafodelista"/>
        <w:spacing w:line="360" w:lineRule="auto"/>
        <w:ind w:left="0"/>
        <w:jc w:val="both"/>
        <w:rPr>
          <w:rFonts w:ascii="Palatino Linotype" w:hAnsi="Palatino Linotype"/>
          <w:b/>
          <w:color w:val="000000" w:themeColor="text1"/>
        </w:rPr>
      </w:pPr>
    </w:p>
    <w:p w14:paraId="2D6A4F60" w14:textId="0E944127" w:rsidR="00505269" w:rsidRPr="00437FA3" w:rsidRDefault="00505269" w:rsidP="00437FA3">
      <w:pPr>
        <w:pStyle w:val="Prrafodelista"/>
        <w:numPr>
          <w:ilvl w:val="0"/>
          <w:numId w:val="1"/>
        </w:numPr>
        <w:spacing w:line="360" w:lineRule="auto"/>
        <w:ind w:left="0" w:right="49" w:firstLine="0"/>
        <w:jc w:val="both"/>
        <w:rPr>
          <w:rFonts w:ascii="Palatino Linotype" w:hAnsi="Palatino Linotype"/>
          <w:color w:val="000000" w:themeColor="text1"/>
        </w:rPr>
      </w:pPr>
      <w:r w:rsidRPr="00437FA3">
        <w:rPr>
          <w:rFonts w:ascii="Palatino Linotype" w:hAnsi="Palatino Linotype"/>
          <w:color w:val="000000" w:themeColor="text1"/>
        </w:rPr>
        <w:t xml:space="preserve">En términos generales </w:t>
      </w:r>
      <w:r w:rsidR="009C19E2" w:rsidRPr="009C19E2">
        <w:rPr>
          <w:rFonts w:ascii="Palatino Linotype" w:hAnsi="Palatino Linotype" w:cs="Arial"/>
          <w:b/>
          <w:color w:val="000000" w:themeColor="text1"/>
          <w:highlight w:val="black"/>
        </w:rPr>
        <w:t>-------------------</w:t>
      </w:r>
      <w:r w:rsidRPr="00437FA3">
        <w:rPr>
          <w:rFonts w:ascii="Palatino Linotype" w:hAnsi="Palatino Linotype" w:cs="Arial"/>
          <w:color w:val="000000" w:themeColor="text1"/>
        </w:rPr>
        <w:t xml:space="preserve"> </w:t>
      </w:r>
      <w:r w:rsidRPr="00437FA3">
        <w:rPr>
          <w:rFonts w:ascii="Palatino Linotype" w:hAnsi="Palatino Linotype"/>
          <w:color w:val="000000" w:themeColor="text1"/>
        </w:rPr>
        <w:t xml:space="preserve">se inconforma porque el </w:t>
      </w:r>
      <w:r w:rsidRPr="00437FA3">
        <w:rPr>
          <w:rFonts w:ascii="Palatino Linotype" w:hAnsi="Palatino Linotype"/>
          <w:b/>
          <w:color w:val="000000" w:themeColor="text1"/>
        </w:rPr>
        <w:t>SUJETO OBLIGADO</w:t>
      </w:r>
      <w:r w:rsidRPr="00437FA3">
        <w:rPr>
          <w:rFonts w:ascii="Palatino Linotype" w:hAnsi="Palatino Linotype"/>
          <w:color w:val="000000" w:themeColor="text1"/>
        </w:rPr>
        <w:t xml:space="preserve"> </w:t>
      </w:r>
      <w:r w:rsidRPr="00437FA3">
        <w:rPr>
          <w:rFonts w:ascii="Palatino Linotype" w:eastAsia="Calibri" w:hAnsi="Palatino Linotype" w:cs="Times New Roman"/>
          <w:color w:val="000000" w:themeColor="text1"/>
          <w:lang w:val="es-ES"/>
        </w:rPr>
        <w:t xml:space="preserve">no hace entrega de la información solicitada, </w:t>
      </w:r>
      <w:r w:rsidRPr="00437FA3">
        <w:rPr>
          <w:rFonts w:ascii="Palatino Linotype" w:hAnsi="Palatino Linotype" w:cs="Arial"/>
          <w:color w:val="000000" w:themeColor="text1"/>
        </w:rPr>
        <w:t xml:space="preserve">de este modo, se actualiza la causa de procedencia del recurso de revisión establecida en el artículo 179 fracción VII de la </w:t>
      </w:r>
      <w:r w:rsidRPr="00437FA3">
        <w:rPr>
          <w:rFonts w:ascii="Palatino Linotype" w:hAnsi="Palatino Linotype" w:cs="Arial"/>
          <w:b/>
          <w:color w:val="000000" w:themeColor="text1"/>
        </w:rPr>
        <w:t>Ley de Transparencia y Acceso a la Información Pública del Estado de México y Municipios.</w:t>
      </w:r>
    </w:p>
    <w:p w14:paraId="6273DF61" w14:textId="77777777" w:rsidR="00505269" w:rsidRPr="00437FA3" w:rsidRDefault="00505269" w:rsidP="00437FA3">
      <w:pPr>
        <w:pStyle w:val="Prrafodelista"/>
        <w:spacing w:line="360" w:lineRule="auto"/>
        <w:ind w:left="0" w:right="49"/>
        <w:jc w:val="both"/>
        <w:rPr>
          <w:rFonts w:ascii="Palatino Linotype" w:hAnsi="Palatino Linotype"/>
          <w:color w:val="000000" w:themeColor="text1"/>
        </w:rPr>
      </w:pPr>
    </w:p>
    <w:p w14:paraId="124D78DA" w14:textId="26335E84" w:rsidR="00505269" w:rsidRPr="00437FA3" w:rsidRDefault="00505269" w:rsidP="00437FA3">
      <w:pPr>
        <w:pStyle w:val="Prrafodelista"/>
        <w:numPr>
          <w:ilvl w:val="0"/>
          <w:numId w:val="1"/>
        </w:numPr>
        <w:spacing w:line="360" w:lineRule="auto"/>
        <w:ind w:left="0" w:right="49" w:firstLine="0"/>
        <w:jc w:val="both"/>
        <w:rPr>
          <w:rFonts w:ascii="Palatino Linotype" w:hAnsi="Palatino Linotype"/>
          <w:color w:val="000000" w:themeColor="text1"/>
        </w:rPr>
      </w:pPr>
      <w:r w:rsidRPr="00437FA3">
        <w:rPr>
          <w:rFonts w:ascii="Palatino Linotype" w:eastAsia="Calibri" w:hAnsi="Palatino Linotype" w:cs="Arial"/>
          <w:color w:val="000000" w:themeColor="text1"/>
        </w:rPr>
        <w:t xml:space="preserve">Cabe señalar </w:t>
      </w:r>
      <w:r w:rsidRPr="00437FA3">
        <w:rPr>
          <w:rFonts w:ascii="Palatino Linotype" w:hAnsi="Palatino Linotype" w:cs="Arial"/>
          <w:color w:val="000000" w:themeColor="text1"/>
        </w:rPr>
        <w:t xml:space="preserve">que </w:t>
      </w:r>
      <w:r w:rsidRPr="00437FA3">
        <w:rPr>
          <w:rFonts w:ascii="Palatino Linotype" w:eastAsia="Times New Roman" w:hAnsi="Palatino Linotype" w:cs="Arial"/>
          <w:color w:val="000000" w:themeColor="text1"/>
          <w:lang w:val="es-ES"/>
        </w:rPr>
        <w:t>e</w:t>
      </w:r>
      <w:r w:rsidRPr="00437FA3">
        <w:rPr>
          <w:rFonts w:ascii="Palatino Linotype" w:eastAsia="Calibri" w:hAnsi="Palatino Linotype" w:cs="Arial"/>
          <w:color w:val="000000" w:themeColor="text1"/>
          <w:lang w:val="es-ES"/>
        </w:rPr>
        <w:t xml:space="preserve">l </w:t>
      </w:r>
      <w:r w:rsidRPr="00437FA3">
        <w:rPr>
          <w:rFonts w:ascii="Palatino Linotype" w:hAnsi="Palatino Linotype" w:cs="Arial"/>
          <w:b/>
          <w:color w:val="000000" w:themeColor="text1"/>
        </w:rPr>
        <w:t>SUJETO OBLIGADO</w:t>
      </w:r>
      <w:r w:rsidRPr="00437FA3">
        <w:rPr>
          <w:rFonts w:ascii="Palatino Linotype" w:hAnsi="Palatino Linotype" w:cs="Arial"/>
          <w:color w:val="000000" w:themeColor="text1"/>
        </w:rPr>
        <w:t xml:space="preserve"> rindió su Informe Justificado </w:t>
      </w:r>
      <w:r w:rsidRPr="00437FA3">
        <w:rPr>
          <w:rFonts w:ascii="Palatino Linotype" w:hAnsi="Palatino Linotype"/>
          <w:color w:val="000000" w:themeColor="text1"/>
        </w:rPr>
        <w:t xml:space="preserve">para manifestar lo que a su derecho asistiera y conviniera, sin embargo </w:t>
      </w:r>
      <w:r w:rsidRPr="00437FA3">
        <w:rPr>
          <w:rFonts w:ascii="Palatino Linotype" w:eastAsia="Calibri" w:hAnsi="Palatino Linotype" w:cs="Times New Roman"/>
          <w:color w:val="000000" w:themeColor="text1"/>
          <w:lang w:val="es-ES"/>
        </w:rPr>
        <w:t xml:space="preserve">NO fue notificado toda vez que </w:t>
      </w:r>
      <w:r w:rsidR="006C1570" w:rsidRPr="00437FA3">
        <w:rPr>
          <w:rFonts w:ascii="Palatino Linotype" w:eastAsia="Calibri" w:hAnsi="Palatino Linotype" w:cs="Times New Roman"/>
          <w:color w:val="000000" w:themeColor="text1"/>
          <w:lang w:val="es-ES"/>
        </w:rPr>
        <w:t>contiene datos personales susceptibles de ser considerados como confidenciales</w:t>
      </w:r>
      <w:r w:rsidRPr="00437FA3">
        <w:rPr>
          <w:rFonts w:ascii="Palatino Linotype" w:eastAsia="Calibri" w:hAnsi="Palatino Linotype" w:cs="Times New Roman"/>
          <w:color w:val="000000" w:themeColor="text1"/>
          <w:lang w:val="es-ES"/>
        </w:rPr>
        <w:t>, tema que será abordado en un apartado posterior.</w:t>
      </w:r>
    </w:p>
    <w:p w14:paraId="4121EE81" w14:textId="77777777" w:rsidR="00505269" w:rsidRPr="00437FA3" w:rsidRDefault="00505269" w:rsidP="00437FA3">
      <w:pPr>
        <w:pStyle w:val="Prrafodelista"/>
        <w:spacing w:line="360" w:lineRule="auto"/>
        <w:ind w:left="0" w:right="49"/>
        <w:jc w:val="both"/>
        <w:rPr>
          <w:rFonts w:ascii="Palatino Linotype" w:hAnsi="Palatino Linotype"/>
          <w:color w:val="000000" w:themeColor="text1"/>
        </w:rPr>
      </w:pPr>
    </w:p>
    <w:p w14:paraId="4DC7A441" w14:textId="77777777" w:rsidR="00505269" w:rsidRPr="00437FA3" w:rsidRDefault="00505269" w:rsidP="00437FA3">
      <w:pPr>
        <w:pStyle w:val="Prrafodelista"/>
        <w:numPr>
          <w:ilvl w:val="0"/>
          <w:numId w:val="1"/>
        </w:numPr>
        <w:spacing w:line="360" w:lineRule="auto"/>
        <w:ind w:left="0" w:right="49" w:firstLine="0"/>
        <w:jc w:val="both"/>
        <w:rPr>
          <w:rFonts w:ascii="Palatino Linotype" w:hAnsi="Palatino Linotype"/>
          <w:color w:val="000000" w:themeColor="text1"/>
        </w:rPr>
      </w:pPr>
      <w:r w:rsidRPr="00437FA3">
        <w:rPr>
          <w:rFonts w:ascii="Palatino Linotype" w:eastAsia="Times New Roman" w:hAnsi="Palatino Linotype" w:cs="Arial"/>
          <w:color w:val="000000" w:themeColor="text1"/>
        </w:rPr>
        <w:t xml:space="preserve">En dichas condiciones, la </w:t>
      </w:r>
      <w:proofErr w:type="spellStart"/>
      <w:r w:rsidRPr="00437FA3">
        <w:rPr>
          <w:rFonts w:ascii="Palatino Linotype" w:eastAsia="Times New Roman" w:hAnsi="Palatino Linotype" w:cs="Arial"/>
          <w:i/>
          <w:color w:val="000000" w:themeColor="text1"/>
        </w:rPr>
        <w:t>litis</w:t>
      </w:r>
      <w:proofErr w:type="spellEnd"/>
      <w:r w:rsidRPr="00437FA3">
        <w:rPr>
          <w:rFonts w:ascii="Palatino Linotype" w:eastAsia="Times New Roman" w:hAnsi="Palatino Linotype" w:cs="Arial"/>
          <w:color w:val="000000" w:themeColor="text1"/>
        </w:rPr>
        <w:t xml:space="preserve"> a resolver en este recurso se circunscribe a determinar si son fundados las razones o motivos de inconformidad, y si es dable ordenar al </w:t>
      </w:r>
      <w:r w:rsidRPr="00437FA3">
        <w:rPr>
          <w:rFonts w:ascii="Palatino Linotype" w:eastAsia="Times New Roman" w:hAnsi="Palatino Linotype" w:cs="Arial"/>
          <w:b/>
          <w:color w:val="000000" w:themeColor="text1"/>
        </w:rPr>
        <w:t xml:space="preserve">SUJETO OBLIGADO </w:t>
      </w:r>
      <w:r w:rsidRPr="00437FA3">
        <w:rPr>
          <w:rFonts w:ascii="Palatino Linotype" w:eastAsia="Times New Roman" w:hAnsi="Palatino Linotype" w:cs="Arial"/>
          <w:color w:val="000000" w:themeColor="text1"/>
        </w:rPr>
        <w:t>la entrega de la información previa elaboración de una v</w:t>
      </w:r>
      <w:r w:rsidRPr="00437FA3">
        <w:rPr>
          <w:rFonts w:ascii="Palatino Linotype" w:hAnsi="Palatino Linotype"/>
          <w:color w:val="000000" w:themeColor="text1"/>
        </w:rPr>
        <w:t>ersión pública.</w:t>
      </w:r>
    </w:p>
    <w:p w14:paraId="7EF51FD6" w14:textId="77777777" w:rsidR="00505269" w:rsidRPr="00437FA3" w:rsidRDefault="00505269" w:rsidP="00437FA3">
      <w:pPr>
        <w:pStyle w:val="Prrafodelista"/>
        <w:spacing w:line="360" w:lineRule="auto"/>
        <w:ind w:left="0" w:right="49"/>
        <w:jc w:val="both"/>
        <w:rPr>
          <w:rFonts w:ascii="Palatino Linotype" w:hAnsi="Palatino Linotype"/>
          <w:color w:val="000000" w:themeColor="text1"/>
        </w:rPr>
      </w:pPr>
    </w:p>
    <w:p w14:paraId="1CD346DC" w14:textId="77777777" w:rsidR="00505269" w:rsidRPr="00437FA3" w:rsidRDefault="00505269" w:rsidP="00437FA3">
      <w:pPr>
        <w:pStyle w:val="Ttulo2"/>
        <w:spacing w:line="360" w:lineRule="auto"/>
        <w:rPr>
          <w:szCs w:val="24"/>
        </w:rPr>
      </w:pPr>
      <w:bookmarkStart w:id="74" w:name="_Toc503429775"/>
      <w:bookmarkStart w:id="75" w:name="_Toc505889807"/>
      <w:bookmarkStart w:id="76" w:name="_Toc508908146"/>
      <w:bookmarkStart w:id="77" w:name="_Toc4103443"/>
      <w:bookmarkStart w:id="78" w:name="_Toc7787169"/>
      <w:bookmarkStart w:id="79" w:name="_Toc482887020"/>
      <w:r w:rsidRPr="00437FA3">
        <w:rPr>
          <w:szCs w:val="24"/>
        </w:rPr>
        <w:lastRenderedPageBreak/>
        <w:t>CUARTO. Del estudio y resolución del asunto.</w:t>
      </w:r>
      <w:bookmarkEnd w:id="74"/>
      <w:bookmarkEnd w:id="75"/>
      <w:bookmarkEnd w:id="76"/>
      <w:bookmarkEnd w:id="77"/>
      <w:bookmarkEnd w:id="78"/>
    </w:p>
    <w:p w14:paraId="705231F9" w14:textId="77777777" w:rsidR="00505269" w:rsidRPr="00437FA3" w:rsidRDefault="00505269" w:rsidP="00437FA3">
      <w:pPr>
        <w:spacing w:line="360" w:lineRule="auto"/>
        <w:rPr>
          <w:rFonts w:ascii="Palatino Linotype" w:hAnsi="Palatino Linotype"/>
          <w:color w:val="000000" w:themeColor="text1"/>
          <w:lang w:val="es-MX" w:eastAsia="en-US"/>
        </w:rPr>
      </w:pPr>
    </w:p>
    <w:p w14:paraId="1C54054F" w14:textId="77777777" w:rsidR="00505269" w:rsidRPr="00437FA3" w:rsidRDefault="00505269" w:rsidP="00437FA3">
      <w:pPr>
        <w:pStyle w:val="Prrafodelista"/>
        <w:keepNext/>
        <w:keepLines/>
        <w:numPr>
          <w:ilvl w:val="0"/>
          <w:numId w:val="36"/>
        </w:numPr>
        <w:spacing w:before="40" w:line="360" w:lineRule="auto"/>
        <w:ind w:left="0" w:firstLine="0"/>
        <w:outlineLvl w:val="1"/>
        <w:rPr>
          <w:rFonts w:ascii="Palatino Linotype" w:eastAsia="MS Gothic" w:hAnsi="Palatino Linotype" w:cs="Times New Roman"/>
          <w:b/>
        </w:rPr>
      </w:pPr>
      <w:bookmarkStart w:id="80" w:name="_Toc499059271"/>
      <w:bookmarkStart w:id="81" w:name="_Toc500414659"/>
      <w:bookmarkStart w:id="82" w:name="_Toc503891602"/>
      <w:bookmarkStart w:id="83" w:name="_Toc2798143"/>
      <w:bookmarkStart w:id="84" w:name="_Toc2878593"/>
      <w:bookmarkStart w:id="85" w:name="_Toc4103444"/>
      <w:bookmarkStart w:id="86" w:name="_Toc7787170"/>
      <w:r w:rsidRPr="00437FA3">
        <w:rPr>
          <w:rFonts w:ascii="Palatino Linotype" w:eastAsia="MS Gothic" w:hAnsi="Palatino Linotype" w:cs="Times New Roman"/>
          <w:b/>
        </w:rPr>
        <w:t>Del deber de las autoridades de promover, respetar, proteger y garantizar el derecho de acceso a la información pública.</w:t>
      </w:r>
      <w:bookmarkEnd w:id="80"/>
      <w:bookmarkEnd w:id="81"/>
      <w:bookmarkEnd w:id="82"/>
      <w:bookmarkEnd w:id="83"/>
      <w:bookmarkEnd w:id="84"/>
      <w:bookmarkEnd w:id="85"/>
      <w:bookmarkEnd w:id="86"/>
      <w:r w:rsidRPr="00437FA3">
        <w:rPr>
          <w:rFonts w:ascii="Palatino Linotype" w:eastAsia="MS Gothic" w:hAnsi="Palatino Linotype" w:cs="Times New Roman"/>
          <w:b/>
        </w:rPr>
        <w:t xml:space="preserve"> </w:t>
      </w:r>
    </w:p>
    <w:p w14:paraId="5E5C783F" w14:textId="77777777" w:rsidR="00505269" w:rsidRPr="00437FA3" w:rsidRDefault="00505269" w:rsidP="00437FA3">
      <w:pPr>
        <w:spacing w:line="360" w:lineRule="auto"/>
        <w:rPr>
          <w:rFonts w:ascii="Palatino Linotype" w:hAnsi="Palatino Linotype"/>
          <w:lang w:val="es-MX" w:eastAsia="en-US"/>
        </w:rPr>
      </w:pPr>
    </w:p>
    <w:p w14:paraId="1C7DECD8" w14:textId="77777777" w:rsidR="00505269" w:rsidRPr="00437FA3" w:rsidRDefault="00505269" w:rsidP="00437FA3">
      <w:pPr>
        <w:pStyle w:val="Prrafodelista"/>
        <w:numPr>
          <w:ilvl w:val="0"/>
          <w:numId w:val="1"/>
        </w:numPr>
        <w:tabs>
          <w:tab w:val="left" w:pos="0"/>
        </w:tabs>
        <w:spacing w:line="360" w:lineRule="auto"/>
        <w:ind w:left="0" w:right="49" w:firstLine="0"/>
        <w:jc w:val="both"/>
        <w:rPr>
          <w:rFonts w:ascii="Palatino Linotype" w:eastAsia="MS Mincho" w:hAnsi="Palatino Linotype" w:cs="Times New Roman"/>
          <w:color w:val="000000"/>
        </w:rPr>
      </w:pPr>
      <w:r w:rsidRPr="00437FA3">
        <w:rPr>
          <w:rFonts w:ascii="Palatino Linotype" w:hAnsi="Palatino Linotype"/>
        </w:rPr>
        <w:t xml:space="preserve">Es menester precisar que este </w:t>
      </w:r>
      <w:r w:rsidRPr="00437FA3">
        <w:rPr>
          <w:rFonts w:ascii="Palatino Linotype" w:eastAsia="MS Mincho" w:hAnsi="Palatino Linotype" w:cs="Times New Roman"/>
          <w:color w:val="000000"/>
        </w:rPr>
        <w:t xml:space="preserve">Órgano Garante parte de que </w:t>
      </w:r>
      <w:r w:rsidRPr="00437FA3">
        <w:rPr>
          <w:rFonts w:ascii="Palatino Linotype" w:eastAsia="Times New Roman" w:hAnsi="Palatino Linotype" w:cs="Arial"/>
          <w:color w:val="000000"/>
          <w:lang w:eastAsia="es-MX"/>
        </w:rPr>
        <w:t>el Derecho de Acceso a la Información Pública, es un derecho humano reconocido en el Pacto de Derechos Civiles y Políticos en su artículo 19, numeral 2; en la Convención Americana sobre Derechos Humanos en su artículo 13, numeral 1; en el artículo sexto de la Constitución Política de los Estados Unidos Mexicanos y en el artículo 5° de la Particular del Estado de México, por lo que al respecto el</w:t>
      </w:r>
      <w:r w:rsidRPr="00437FA3">
        <w:rPr>
          <w:rFonts w:ascii="Palatino Linotype" w:eastAsia="Times New Roman" w:hAnsi="Palatino Linotype" w:cs="Arial"/>
          <w:color w:val="000000"/>
        </w:rPr>
        <w:t xml:space="preserve"> </w:t>
      </w:r>
      <w:r w:rsidRPr="00437FA3">
        <w:rPr>
          <w:rFonts w:ascii="Palatino Linotype" w:eastAsia="Times New Roman" w:hAnsi="Palatino Linotype" w:cs="Arial"/>
          <w:b/>
          <w:color w:val="000000"/>
        </w:rPr>
        <w:t>SUJETO OBLIGADO</w:t>
      </w:r>
      <w:r w:rsidRPr="00437FA3">
        <w:rPr>
          <w:rFonts w:ascii="Palatino Linotype" w:eastAsia="Times New Roman" w:hAnsi="Palatino Linotype" w:cs="Arial"/>
          <w:color w:val="000000"/>
        </w:rPr>
        <w:t xml:space="preserve"> debe ser cuidadoso del debido cumplimiento de las obligaciones constitucionales que se le imponen, en consecuencia, a todas las autoridades, en el ámbito de su competencia, según lo dispone el tercer párrafo del artículo primero de la </w:t>
      </w:r>
      <w:r w:rsidRPr="00437FA3">
        <w:rPr>
          <w:rFonts w:ascii="Palatino Linotype" w:eastAsia="Times New Roman" w:hAnsi="Palatino Linotype" w:cs="Arial"/>
          <w:b/>
          <w:color w:val="000000"/>
        </w:rPr>
        <w:t xml:space="preserve">Constitución Política de los Estados Unidos Mexicanos </w:t>
      </w:r>
      <w:r w:rsidRPr="00437FA3">
        <w:rPr>
          <w:rFonts w:ascii="Palatino Linotype" w:eastAsia="Times New Roman" w:hAnsi="Palatino Linotype" w:cs="Arial"/>
          <w:color w:val="000000"/>
        </w:rPr>
        <w:t xml:space="preserve">al señalar la obligación de “promover, </w:t>
      </w:r>
      <w:r w:rsidRPr="00437FA3">
        <w:rPr>
          <w:rFonts w:ascii="Palatino Linotype" w:eastAsia="Times New Roman" w:hAnsi="Palatino Linotype" w:cs="Arial"/>
          <w:b/>
          <w:color w:val="000000"/>
        </w:rPr>
        <w:t>respetar</w:t>
      </w:r>
      <w:r w:rsidRPr="00437FA3">
        <w:rPr>
          <w:rFonts w:ascii="Palatino Linotype" w:eastAsia="Times New Roman" w:hAnsi="Palatino Linotype" w:cs="Arial"/>
          <w:color w:val="000000"/>
        </w:rPr>
        <w:t xml:space="preserve">, proteger y </w:t>
      </w:r>
      <w:r w:rsidRPr="00437FA3">
        <w:rPr>
          <w:rFonts w:ascii="Palatino Linotype" w:eastAsia="Times New Roman" w:hAnsi="Palatino Linotype" w:cs="Arial"/>
          <w:b/>
          <w:color w:val="000000"/>
        </w:rPr>
        <w:t>garantizar</w:t>
      </w:r>
      <w:r w:rsidRPr="00437FA3">
        <w:rPr>
          <w:rFonts w:ascii="Palatino Linotype" w:eastAsia="Times New Roman" w:hAnsi="Palatino Linotype" w:cs="Arial"/>
          <w:color w:val="000000"/>
        </w:rPr>
        <w:t xml:space="preserve"> los derechos humanos”, entre los cuales se encuentra dicho derecho.</w:t>
      </w:r>
    </w:p>
    <w:p w14:paraId="25F3D9C9" w14:textId="77777777" w:rsidR="00505269" w:rsidRPr="00437FA3" w:rsidRDefault="00505269" w:rsidP="00437FA3">
      <w:pPr>
        <w:pStyle w:val="Prrafodelista"/>
        <w:tabs>
          <w:tab w:val="left" w:pos="0"/>
        </w:tabs>
        <w:spacing w:line="360" w:lineRule="auto"/>
        <w:ind w:left="0" w:right="49"/>
        <w:jc w:val="both"/>
        <w:rPr>
          <w:rFonts w:ascii="Palatino Linotype" w:eastAsia="MS Mincho" w:hAnsi="Palatino Linotype" w:cs="Times New Roman"/>
          <w:color w:val="000000"/>
        </w:rPr>
      </w:pPr>
    </w:p>
    <w:p w14:paraId="16F6BA28" w14:textId="77777777" w:rsidR="00505269" w:rsidRPr="00437FA3" w:rsidRDefault="00505269" w:rsidP="00437FA3">
      <w:pPr>
        <w:pStyle w:val="Prrafodelista"/>
        <w:numPr>
          <w:ilvl w:val="0"/>
          <w:numId w:val="1"/>
        </w:numPr>
        <w:tabs>
          <w:tab w:val="left" w:pos="0"/>
        </w:tabs>
        <w:spacing w:line="360" w:lineRule="auto"/>
        <w:ind w:left="0" w:right="49" w:firstLine="0"/>
        <w:jc w:val="both"/>
        <w:rPr>
          <w:rFonts w:ascii="Palatino Linotype" w:eastAsia="MS Mincho" w:hAnsi="Palatino Linotype" w:cs="Times New Roman"/>
          <w:color w:val="000000"/>
        </w:rPr>
      </w:pPr>
      <w:r w:rsidRPr="00437FA3">
        <w:rPr>
          <w:rFonts w:ascii="Palatino Linotype" w:eastAsia="Times New Roman" w:hAnsi="Palatino Linotype"/>
        </w:rPr>
        <w:lastRenderedPageBreak/>
        <w:t xml:space="preserve">Ahora bien, el Derecho de Acceso a la Información Pública se define como: </w:t>
      </w:r>
      <w:r w:rsidRPr="00437FA3">
        <w:rPr>
          <w:rFonts w:ascii="Palatino Linotype" w:hAnsi="Palatino Linotype"/>
          <w:i/>
          <w:color w:val="000000"/>
        </w:rPr>
        <w:t>La igualdad de oportunidades para recibir, buscar e impartir información</w:t>
      </w:r>
      <w:r w:rsidRPr="00437FA3">
        <w:rPr>
          <w:rStyle w:val="Refdenotaalpie"/>
          <w:rFonts w:ascii="Palatino Linotype" w:hAnsi="Palatino Linotype"/>
          <w:i/>
          <w:color w:val="000000"/>
        </w:rPr>
        <w:footnoteReference w:id="1"/>
      </w:r>
      <w:r w:rsidRPr="00437FA3">
        <w:rPr>
          <w:rFonts w:ascii="Palatino Linotype" w:hAnsi="Palatino Linotype"/>
          <w:i/>
          <w:color w:val="000000"/>
        </w:rPr>
        <w:t>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sidRPr="00437FA3">
        <w:rPr>
          <w:rStyle w:val="Refdenotaalpie"/>
          <w:rFonts w:ascii="Palatino Linotype" w:hAnsi="Palatino Linotype"/>
          <w:i/>
          <w:color w:val="000000"/>
        </w:rPr>
        <w:footnoteReference w:id="2"/>
      </w:r>
      <w:r w:rsidRPr="00437FA3">
        <w:rPr>
          <w:rFonts w:ascii="Palatino Linotype" w:hAnsi="Palatino Linotype"/>
          <w:color w:val="000000"/>
        </w:rPr>
        <w:t>que se constituye como una herramienta fundamental para ejercer</w:t>
      </w:r>
      <w:r w:rsidRPr="00437FA3">
        <w:rPr>
          <w:rFonts w:ascii="Palatino Linotype" w:hAnsi="Palatino Linotype"/>
          <w:i/>
          <w:color w:val="000000"/>
        </w:rPr>
        <w:t xml:space="preserve"> el control democrático de las gestiones estatales, de forma tal que puedan cuestionar, indagar y considerar si se está dando un adecuado cumplimiento a las funciones públicas,</w:t>
      </w:r>
      <w:r w:rsidRPr="00437FA3">
        <w:rPr>
          <w:rStyle w:val="Refdenotaalpie"/>
          <w:rFonts w:ascii="Palatino Linotype" w:hAnsi="Palatino Linotype"/>
          <w:i/>
          <w:color w:val="000000"/>
        </w:rPr>
        <w:footnoteReference w:id="3"/>
      </w:r>
      <w:r w:rsidRPr="00437FA3">
        <w:rPr>
          <w:rFonts w:ascii="Palatino Linotype" w:hAnsi="Palatino Linotype"/>
          <w:color w:val="000000"/>
        </w:rPr>
        <w:t>fomentando</w:t>
      </w:r>
      <w:r w:rsidRPr="00437FA3">
        <w:rPr>
          <w:rFonts w:ascii="Palatino Linotype" w:hAnsi="Palatino Linotype"/>
          <w:i/>
          <w:color w:val="000000"/>
        </w:rPr>
        <w:t xml:space="preserve"> la transparencia de las actividades estatales y </w:t>
      </w:r>
      <w:r w:rsidRPr="00437FA3">
        <w:rPr>
          <w:rFonts w:ascii="Palatino Linotype" w:hAnsi="Palatino Linotype"/>
          <w:color w:val="000000"/>
        </w:rPr>
        <w:t>promoviendo</w:t>
      </w:r>
      <w:r w:rsidRPr="00437FA3">
        <w:rPr>
          <w:rFonts w:ascii="Palatino Linotype" w:hAnsi="Palatino Linotype"/>
          <w:i/>
          <w:color w:val="000000"/>
        </w:rPr>
        <w:t xml:space="preserve"> la responsabilidad de los funcionarios sobre su gestión pública,</w:t>
      </w:r>
      <w:r w:rsidRPr="00437FA3">
        <w:rPr>
          <w:rStyle w:val="Refdenotaalpie"/>
          <w:rFonts w:ascii="Palatino Linotype" w:hAnsi="Palatino Linotype"/>
          <w:i/>
          <w:color w:val="000000"/>
        </w:rPr>
        <w:footnoteReference w:id="4"/>
      </w:r>
      <w:r w:rsidRPr="00437FA3">
        <w:rPr>
          <w:rFonts w:ascii="Palatino Linotype" w:hAnsi="Palatino Linotype"/>
          <w:color w:val="000000"/>
        </w:rPr>
        <w:t>que permite</w:t>
      </w:r>
      <w:r w:rsidRPr="00437FA3">
        <w:rPr>
          <w:rFonts w:ascii="Palatino Linotype" w:hAnsi="Palatino Linotype"/>
          <w:i/>
          <w:color w:val="000000"/>
        </w:rPr>
        <w:t xml:space="preserve"> saber qué están haciendo los gobiernos por sus pueblos, sin lo cual la verdad languidecería y la participación en el gobierno permanecería fragmentada.</w:t>
      </w:r>
    </w:p>
    <w:p w14:paraId="1250449C" w14:textId="77777777" w:rsidR="00505269" w:rsidRPr="00437FA3" w:rsidRDefault="00505269" w:rsidP="00437FA3">
      <w:pPr>
        <w:pStyle w:val="Prrafodelista"/>
        <w:tabs>
          <w:tab w:val="left" w:pos="0"/>
        </w:tabs>
        <w:spacing w:line="360" w:lineRule="auto"/>
        <w:ind w:left="0" w:right="49"/>
        <w:jc w:val="both"/>
        <w:rPr>
          <w:rFonts w:ascii="Palatino Linotype" w:eastAsia="MS Mincho" w:hAnsi="Palatino Linotype" w:cs="Times New Roman"/>
          <w:color w:val="000000"/>
        </w:rPr>
      </w:pPr>
    </w:p>
    <w:p w14:paraId="2C64D15E" w14:textId="77777777" w:rsidR="00505269" w:rsidRPr="00437FA3" w:rsidRDefault="00505269" w:rsidP="00437FA3">
      <w:pPr>
        <w:pStyle w:val="Prrafodelista"/>
        <w:numPr>
          <w:ilvl w:val="0"/>
          <w:numId w:val="1"/>
        </w:numPr>
        <w:tabs>
          <w:tab w:val="left" w:pos="0"/>
        </w:tabs>
        <w:spacing w:line="360" w:lineRule="auto"/>
        <w:ind w:left="0" w:right="49" w:firstLine="0"/>
        <w:jc w:val="both"/>
        <w:rPr>
          <w:rFonts w:ascii="Palatino Linotype" w:eastAsia="MS Mincho" w:hAnsi="Palatino Linotype" w:cs="Times New Roman"/>
          <w:color w:val="000000"/>
        </w:rPr>
      </w:pPr>
      <w:r w:rsidRPr="00437FA3">
        <w:rPr>
          <w:rFonts w:ascii="Palatino Linotype" w:eastAsia="Times New Roman" w:hAnsi="Palatino Linotype"/>
        </w:rPr>
        <w:t>Por lo anterior, se deduce que el derecho de acceso a la información pública es un derecho humano constitucionalmente reconocido; en consecuencia, todas las autoridades en el ámbito de sus competencias, funciones y atribuciones tienen la obligación de respetarlo, protegerlo y garantizarlo.</w:t>
      </w:r>
    </w:p>
    <w:p w14:paraId="32C0BB92" w14:textId="77777777" w:rsidR="00505269" w:rsidRPr="00437FA3" w:rsidRDefault="00505269" w:rsidP="00437FA3">
      <w:pPr>
        <w:pStyle w:val="Prrafodelista"/>
        <w:tabs>
          <w:tab w:val="left" w:pos="0"/>
        </w:tabs>
        <w:spacing w:line="360" w:lineRule="auto"/>
        <w:ind w:left="0" w:right="49"/>
        <w:jc w:val="both"/>
        <w:rPr>
          <w:rFonts w:ascii="Palatino Linotype" w:eastAsia="MS Mincho" w:hAnsi="Palatino Linotype" w:cs="Times New Roman"/>
          <w:color w:val="000000"/>
        </w:rPr>
      </w:pPr>
    </w:p>
    <w:p w14:paraId="26E8A143" w14:textId="1AD4A58D" w:rsidR="00505269" w:rsidRPr="00437FA3" w:rsidRDefault="00505269" w:rsidP="00437FA3">
      <w:pPr>
        <w:pStyle w:val="Prrafodelista"/>
        <w:numPr>
          <w:ilvl w:val="0"/>
          <w:numId w:val="1"/>
        </w:numPr>
        <w:tabs>
          <w:tab w:val="left" w:pos="0"/>
        </w:tabs>
        <w:spacing w:line="360" w:lineRule="auto"/>
        <w:ind w:left="0" w:right="49" w:firstLine="0"/>
        <w:jc w:val="both"/>
        <w:rPr>
          <w:rFonts w:ascii="Palatino Linotype" w:eastAsia="MS Mincho" w:hAnsi="Palatino Linotype" w:cs="Times New Roman"/>
          <w:color w:val="000000"/>
        </w:rPr>
      </w:pPr>
      <w:r w:rsidRPr="00437FA3">
        <w:rPr>
          <w:rFonts w:ascii="Palatino Linotype" w:eastAsia="Times New Roman" w:hAnsi="Palatino Linotype"/>
        </w:rPr>
        <w:t xml:space="preserve">En el caso concreto que nos ocupa analizar, el </w:t>
      </w:r>
      <w:r w:rsidRPr="00437FA3">
        <w:rPr>
          <w:rFonts w:ascii="Palatino Linotype" w:eastAsia="Times New Roman" w:hAnsi="Palatino Linotype"/>
          <w:b/>
        </w:rPr>
        <w:t>SUJETO OBLIGADO</w:t>
      </w:r>
      <w:r w:rsidRPr="00437FA3">
        <w:rPr>
          <w:rFonts w:ascii="Palatino Linotype" w:hAnsi="Palatino Linotype" w:cs="Arial"/>
        </w:rPr>
        <w:t xml:space="preserve"> omitió responder a las solicitudes de información, situación que constituye una afectación indiscutible al derecho humano de acceso a la información pública y en este sentido, el artículo primero Constitucional de forma clara y precisa dispone que como consecuencia de la obligación que tienen las autoridades de promover, respetar, proteger y garantizar el derecho humano, el Estado deberá </w:t>
      </w:r>
      <w:r w:rsidRPr="00437FA3">
        <w:rPr>
          <w:rFonts w:ascii="Palatino Linotype" w:hAnsi="Palatino Linotype" w:cs="Arial"/>
          <w:u w:val="single"/>
        </w:rPr>
        <w:t>prevenir, investigar, sancionar y reparar las violaciones a los derechos humanos</w:t>
      </w:r>
      <w:r w:rsidRPr="00437FA3">
        <w:rPr>
          <w:rFonts w:ascii="Palatino Linotype" w:hAnsi="Palatino Linotype" w:cs="Arial"/>
        </w:rPr>
        <w:t>.</w:t>
      </w:r>
    </w:p>
    <w:p w14:paraId="457F5D48" w14:textId="77777777" w:rsidR="00505269" w:rsidRPr="00437FA3" w:rsidRDefault="00505269" w:rsidP="00437FA3">
      <w:pPr>
        <w:pStyle w:val="Prrafodelista"/>
        <w:tabs>
          <w:tab w:val="left" w:pos="0"/>
        </w:tabs>
        <w:spacing w:line="360" w:lineRule="auto"/>
        <w:ind w:left="0" w:right="49"/>
        <w:jc w:val="both"/>
        <w:rPr>
          <w:rFonts w:ascii="Palatino Linotype" w:eastAsia="MS Mincho" w:hAnsi="Palatino Linotype" w:cs="Times New Roman"/>
          <w:color w:val="000000"/>
        </w:rPr>
      </w:pPr>
    </w:p>
    <w:p w14:paraId="422A7A1C" w14:textId="77777777" w:rsidR="00505269" w:rsidRPr="00437FA3" w:rsidRDefault="00505269" w:rsidP="00437FA3">
      <w:pPr>
        <w:pStyle w:val="Prrafodelista"/>
        <w:numPr>
          <w:ilvl w:val="0"/>
          <w:numId w:val="1"/>
        </w:numPr>
        <w:tabs>
          <w:tab w:val="left" w:pos="0"/>
        </w:tabs>
        <w:spacing w:line="360" w:lineRule="auto"/>
        <w:ind w:left="0" w:right="49" w:firstLine="0"/>
        <w:jc w:val="both"/>
        <w:rPr>
          <w:rFonts w:ascii="Palatino Linotype" w:eastAsia="MS Mincho" w:hAnsi="Palatino Linotype" w:cs="Times New Roman"/>
          <w:color w:val="000000"/>
        </w:rPr>
      </w:pPr>
      <w:r w:rsidRPr="00437FA3">
        <w:rPr>
          <w:rFonts w:ascii="Palatino Linotype" w:eastAsia="Times New Roman" w:hAnsi="Palatino Linotype"/>
        </w:rPr>
        <w:t xml:space="preserve">En este orden de ideas, la </w:t>
      </w:r>
      <w:r w:rsidRPr="00437FA3">
        <w:rPr>
          <w:rFonts w:ascii="Palatino Linotype" w:eastAsia="Times New Roman" w:hAnsi="Palatino Linotype"/>
          <w:b/>
        </w:rPr>
        <w:t xml:space="preserve">Ley de Transparencia y Acceso a la Información Pública del Estado de México y Municipios, </w:t>
      </w:r>
      <w:r w:rsidRPr="00437FA3">
        <w:rPr>
          <w:rFonts w:ascii="Palatino Linotype" w:eastAsia="Times New Roman" w:hAnsi="Palatino Linotype"/>
        </w:rPr>
        <w:t>cuyo objeto es establecer principios, bases generales y procedimientos para tutelar y garantizar la transparencia y el derecho humano de acceso a la información pública en posesión de los sujetos obligados; en su artículo 176</w:t>
      </w:r>
      <w:r w:rsidRPr="00437FA3">
        <w:rPr>
          <w:rFonts w:ascii="Palatino Linotype" w:eastAsia="Times New Roman" w:hAnsi="Palatino Linotype"/>
          <w:b/>
        </w:rPr>
        <w:t xml:space="preserve"> </w:t>
      </w:r>
      <w:r w:rsidRPr="00437FA3">
        <w:rPr>
          <w:rFonts w:ascii="Palatino Linotype" w:eastAsia="Times New Roman" w:hAnsi="Palatino Linotype"/>
        </w:rPr>
        <w:t xml:space="preserve">establece que </w:t>
      </w:r>
      <w:r w:rsidRPr="00437FA3">
        <w:rPr>
          <w:rFonts w:ascii="Palatino Linotype" w:eastAsia="Times New Roman" w:hAnsi="Palatino Linotype"/>
          <w:i/>
        </w:rPr>
        <w:t xml:space="preserve">el </w:t>
      </w:r>
      <w:r w:rsidRPr="00437FA3">
        <w:rPr>
          <w:rFonts w:ascii="Palatino Linotype" w:eastAsia="Times New Roman" w:hAnsi="Palatino Linotype"/>
          <w:i/>
          <w:u w:val="single"/>
        </w:rPr>
        <w:t>recurso de revisión</w:t>
      </w:r>
      <w:r w:rsidRPr="00437FA3">
        <w:rPr>
          <w:rFonts w:ascii="Palatino Linotype" w:eastAsia="Times New Roman" w:hAnsi="Palatino Linotype"/>
          <w:i/>
        </w:rPr>
        <w:t xml:space="preserve"> es la garantía secundaria mediante la cual se pretende reparar cualquier posible afectación al derecho de acceso a la información pública</w:t>
      </w:r>
      <w:r w:rsidRPr="00437FA3">
        <w:rPr>
          <w:rFonts w:ascii="Palatino Linotype" w:eastAsia="Times New Roman" w:hAnsi="Palatino Linotype"/>
        </w:rPr>
        <w:t>, siendo éste el medio a través del cual, este Órgano Garante después de realizar el análisis al procedimiento de acceso a la información, podrá determinar la posible afectación y, de ser el caso, ordenar la reparación a la violación del derecho en cuestión.</w:t>
      </w:r>
    </w:p>
    <w:p w14:paraId="4AFFC6F4" w14:textId="77777777" w:rsidR="00505269" w:rsidRPr="00437FA3" w:rsidRDefault="00505269" w:rsidP="00437FA3">
      <w:pPr>
        <w:spacing w:line="360" w:lineRule="auto"/>
        <w:rPr>
          <w:rFonts w:ascii="Palatino Linotype" w:hAnsi="Palatino Linotype"/>
          <w:lang w:val="es-MX" w:eastAsia="en-US"/>
        </w:rPr>
      </w:pPr>
    </w:p>
    <w:p w14:paraId="46251D75" w14:textId="2DF30493" w:rsidR="00505269" w:rsidRDefault="00505269" w:rsidP="00437FA3">
      <w:pPr>
        <w:pStyle w:val="Ttulo2"/>
        <w:numPr>
          <w:ilvl w:val="0"/>
          <w:numId w:val="36"/>
        </w:numPr>
        <w:spacing w:line="360" w:lineRule="auto"/>
        <w:rPr>
          <w:szCs w:val="24"/>
        </w:rPr>
      </w:pPr>
      <w:bookmarkStart w:id="87" w:name="_Toc1646408"/>
      <w:bookmarkStart w:id="88" w:name="_Toc4103445"/>
      <w:bookmarkStart w:id="89" w:name="_Toc7787171"/>
      <w:bookmarkEnd w:id="79"/>
      <w:r w:rsidRPr="00437FA3">
        <w:rPr>
          <w:szCs w:val="24"/>
        </w:rPr>
        <w:lastRenderedPageBreak/>
        <w:t>De la falta de respuesta a la solicitud de información.</w:t>
      </w:r>
      <w:bookmarkEnd w:id="87"/>
      <w:bookmarkEnd w:id="88"/>
      <w:bookmarkEnd w:id="89"/>
    </w:p>
    <w:p w14:paraId="3A536FC1" w14:textId="77777777" w:rsidR="00437FA3" w:rsidRPr="00437FA3" w:rsidRDefault="00437FA3" w:rsidP="00437FA3">
      <w:pPr>
        <w:ind w:left="360"/>
        <w:rPr>
          <w:lang w:val="es-MX" w:eastAsia="en-US"/>
        </w:rPr>
      </w:pPr>
    </w:p>
    <w:p w14:paraId="2BEBA40B" w14:textId="52256D2E" w:rsidR="009E3808" w:rsidRPr="00437FA3" w:rsidRDefault="00505269" w:rsidP="00437FA3">
      <w:pPr>
        <w:pStyle w:val="Prrafodelista"/>
        <w:numPr>
          <w:ilvl w:val="0"/>
          <w:numId w:val="1"/>
        </w:numPr>
        <w:spacing w:before="240" w:after="240" w:line="360" w:lineRule="auto"/>
        <w:ind w:left="0" w:right="49" w:firstLine="0"/>
        <w:jc w:val="both"/>
        <w:rPr>
          <w:rFonts w:ascii="Palatino Linotype" w:hAnsi="Palatino Linotype" w:cs="Arial"/>
          <w:i/>
          <w:color w:val="000000" w:themeColor="text1"/>
        </w:rPr>
      </w:pPr>
      <w:r w:rsidRPr="00437FA3">
        <w:rPr>
          <w:rFonts w:ascii="Palatino Linotype" w:hAnsi="Palatino Linotype" w:cs="Arial"/>
        </w:rPr>
        <w:t xml:space="preserve">En primer término es necesario reiterar que </w:t>
      </w:r>
      <w:r w:rsidR="009E3808" w:rsidRPr="00437FA3">
        <w:rPr>
          <w:rFonts w:ascii="Palatino Linotype" w:hAnsi="Palatino Linotype" w:cs="Arial"/>
        </w:rPr>
        <w:t xml:space="preserve">si bien es cierto que </w:t>
      </w:r>
      <w:r w:rsidRPr="00437FA3">
        <w:rPr>
          <w:rFonts w:ascii="Palatino Linotype" w:hAnsi="Palatino Linotype" w:cs="Arial"/>
        </w:rPr>
        <w:t xml:space="preserve">en la solicitud </w:t>
      </w:r>
      <w:r w:rsidR="009D1B88" w:rsidRPr="00437FA3">
        <w:rPr>
          <w:rFonts w:ascii="Palatino Linotype" w:hAnsi="Palatino Linotype"/>
          <w:b/>
          <w:bCs/>
          <w:color w:val="000000" w:themeColor="text1"/>
        </w:rPr>
        <w:t>00003/OASNICOROM/IP/2019</w:t>
      </w:r>
      <w:r w:rsidRPr="00437FA3">
        <w:rPr>
          <w:rFonts w:ascii="Palatino Linotype" w:eastAsia="Calibri" w:hAnsi="Palatino Linotype" w:cs="Arial"/>
          <w:b/>
          <w:color w:val="000000" w:themeColor="text1"/>
          <w:lang w:val="es-ES"/>
        </w:rPr>
        <w:t xml:space="preserve"> </w:t>
      </w:r>
      <w:r w:rsidR="009E3808" w:rsidRPr="00437FA3">
        <w:rPr>
          <w:rFonts w:ascii="Palatino Linotype" w:hAnsi="Palatino Linotype" w:cs="Arial"/>
        </w:rPr>
        <w:t xml:space="preserve">se requirió </w:t>
      </w:r>
      <w:r w:rsidR="009E3808" w:rsidRPr="00437FA3">
        <w:rPr>
          <w:rFonts w:ascii="Palatino Linotype" w:hAnsi="Palatino Linotype"/>
        </w:rPr>
        <w:t xml:space="preserve">información a través de planteamientos </w:t>
      </w:r>
      <w:r w:rsidR="009E3808" w:rsidRPr="00437FA3">
        <w:rPr>
          <w:rFonts w:ascii="Palatino Linotype" w:eastAsia="Calibri" w:hAnsi="Palatino Linotype" w:cs="Arial"/>
          <w:b/>
          <w:u w:val="single"/>
          <w:lang w:val="es-ES"/>
        </w:rPr>
        <w:t>también lo es</w:t>
      </w:r>
      <w:r w:rsidR="009E3808" w:rsidRPr="00437FA3">
        <w:rPr>
          <w:rFonts w:ascii="Palatino Linotype" w:eastAsia="Calibri" w:hAnsi="Palatino Linotype" w:cs="Arial"/>
          <w:i/>
          <w:lang w:val="es-ES"/>
        </w:rPr>
        <w:t xml:space="preserve"> </w:t>
      </w:r>
      <w:r w:rsidR="009E3808" w:rsidRPr="00437FA3">
        <w:rPr>
          <w:rFonts w:ascii="Palatino Linotype" w:eastAsia="Calibri" w:hAnsi="Palatino Linotype" w:cs="Arial"/>
          <w:lang w:val="es-ES"/>
        </w:rPr>
        <w:t xml:space="preserve">que </w:t>
      </w:r>
      <w:r w:rsidR="009E3808" w:rsidRPr="00437FA3">
        <w:rPr>
          <w:rFonts w:ascii="Palatino Linotype" w:hAnsi="Palatino Linotype"/>
          <w:lang w:eastAsia="es-MX"/>
        </w:rPr>
        <w:t xml:space="preserve">resulta procedente suplir la deficiencia de la queja en términos de la </w:t>
      </w:r>
      <w:r w:rsidR="009E3808" w:rsidRPr="00437FA3">
        <w:rPr>
          <w:rFonts w:ascii="Palatino Linotype" w:hAnsi="Palatino Linotype"/>
          <w:b/>
          <w:lang w:eastAsia="es-MX"/>
        </w:rPr>
        <w:t>Ley de Transparencia y Acceso a la Información Pública del Estado de México y Municipios</w:t>
      </w:r>
      <w:r w:rsidR="009E3808" w:rsidRPr="00437FA3">
        <w:rPr>
          <w:rFonts w:ascii="Palatino Linotype" w:hAnsi="Palatino Linotype"/>
          <w:lang w:eastAsia="es-MX"/>
        </w:rPr>
        <w:t>, concretamente en su artículo 13, donde se señala el deber de este Instituto de suplir cualquier deficiencia para garantizar el derecho de acceso a la información a favor de los recurrentes sin cambiar los hechos expuestos; tal y como se lee a continuación:</w:t>
      </w:r>
    </w:p>
    <w:p w14:paraId="0A0109CC" w14:textId="77777777" w:rsidR="009E3808" w:rsidRPr="00437FA3" w:rsidRDefault="009E3808" w:rsidP="00437FA3">
      <w:pPr>
        <w:pStyle w:val="Prrafodelista"/>
        <w:shd w:val="clear" w:color="auto" w:fill="FFFFFF"/>
        <w:spacing w:line="360" w:lineRule="auto"/>
        <w:ind w:left="0"/>
        <w:jc w:val="both"/>
        <w:rPr>
          <w:rFonts w:ascii="Palatino Linotype" w:hAnsi="Palatino Linotype"/>
          <w:color w:val="000000" w:themeColor="text1"/>
        </w:rPr>
      </w:pPr>
    </w:p>
    <w:p w14:paraId="69C6BBB0" w14:textId="081B30A6" w:rsidR="00437FA3" w:rsidRDefault="009E3808" w:rsidP="00437FA3">
      <w:pPr>
        <w:shd w:val="clear" w:color="auto" w:fill="FFFFFF"/>
        <w:spacing w:before="240" w:after="240" w:line="360" w:lineRule="auto"/>
        <w:ind w:left="567" w:right="567"/>
        <w:jc w:val="both"/>
        <w:rPr>
          <w:rFonts w:ascii="Palatino Linotype" w:hAnsi="Palatino Linotype"/>
          <w:i/>
          <w:iCs/>
          <w:lang w:eastAsia="es-MX"/>
        </w:rPr>
      </w:pPr>
      <w:r w:rsidRPr="00437FA3">
        <w:rPr>
          <w:rFonts w:ascii="Palatino Linotype" w:hAnsi="Palatino Linotype"/>
          <w:b/>
          <w:bCs/>
          <w:i/>
          <w:iCs/>
          <w:lang w:eastAsia="es-MX"/>
        </w:rPr>
        <w:t>Artículo 13</w:t>
      </w:r>
      <w:r w:rsidRPr="00437FA3">
        <w:rPr>
          <w:rFonts w:ascii="Palatino Linotype" w:hAnsi="Palatino Linotype"/>
          <w:i/>
          <w:iCs/>
          <w:lang w:eastAsia="es-MX"/>
        </w:rPr>
        <w:t>. El Instituto, en el ámbito de sus atribuciones, deberá suplir cualquier deficiencia para garantizar el ejercicio del derecho de acceso a la información.</w:t>
      </w:r>
    </w:p>
    <w:p w14:paraId="1625FE63" w14:textId="77777777" w:rsidR="00437FA3" w:rsidRPr="00437FA3" w:rsidRDefault="00437FA3" w:rsidP="00437FA3">
      <w:pPr>
        <w:shd w:val="clear" w:color="auto" w:fill="FFFFFF"/>
        <w:spacing w:before="240" w:after="240" w:line="360" w:lineRule="auto"/>
        <w:ind w:left="567" w:right="567"/>
        <w:jc w:val="both"/>
        <w:rPr>
          <w:rFonts w:ascii="Palatino Linotype" w:hAnsi="Palatino Linotype"/>
          <w:i/>
          <w:iCs/>
          <w:sz w:val="12"/>
          <w:lang w:eastAsia="es-MX"/>
        </w:rPr>
      </w:pPr>
    </w:p>
    <w:p w14:paraId="5C407D36" w14:textId="1433ED2A" w:rsidR="009E3808" w:rsidRPr="00437FA3" w:rsidRDefault="009E3808" w:rsidP="00437FA3">
      <w:pPr>
        <w:pStyle w:val="Prrafodelista"/>
        <w:numPr>
          <w:ilvl w:val="0"/>
          <w:numId w:val="1"/>
        </w:numPr>
        <w:shd w:val="clear" w:color="auto" w:fill="FFFFFF"/>
        <w:tabs>
          <w:tab w:val="left" w:pos="567"/>
        </w:tabs>
        <w:spacing w:line="360" w:lineRule="auto"/>
        <w:ind w:left="0" w:firstLine="0"/>
        <w:jc w:val="both"/>
        <w:rPr>
          <w:rFonts w:ascii="Palatino Linotype" w:hAnsi="Palatino Linotype" w:cs="Arial"/>
        </w:rPr>
      </w:pPr>
      <w:r w:rsidRPr="00437FA3">
        <w:rPr>
          <w:rFonts w:ascii="Palatino Linotype" w:hAnsi="Palatino Linotype"/>
          <w:color w:val="000000"/>
        </w:rPr>
        <w:t xml:space="preserve">Ahora bien, una vez precisado lo anterior cabe reiterar </w:t>
      </w:r>
      <w:r w:rsidRPr="00437FA3">
        <w:rPr>
          <w:rFonts w:ascii="Palatino Linotype" w:hAnsi="Palatino Linotype" w:cs="Arial"/>
        </w:rPr>
        <w:t xml:space="preserve">que </w:t>
      </w:r>
      <w:r w:rsidRPr="00437FA3">
        <w:rPr>
          <w:rFonts w:ascii="Palatino Linotype" w:hAnsi="Palatino Linotype"/>
          <w:color w:val="000000"/>
        </w:rPr>
        <w:t xml:space="preserve">a través de la solicitud de información </w:t>
      </w:r>
      <w:r w:rsidRPr="00437FA3">
        <w:rPr>
          <w:rFonts w:ascii="Palatino Linotype" w:hAnsi="Palatino Linotype"/>
          <w:b/>
          <w:bCs/>
          <w:color w:val="000000" w:themeColor="text1"/>
        </w:rPr>
        <w:t>00482/UAEM/IP/2017</w:t>
      </w:r>
      <w:r w:rsidRPr="00437FA3">
        <w:rPr>
          <w:rFonts w:ascii="Palatino Linotype" w:hAnsi="Palatino Linotype"/>
          <w:i/>
          <w:color w:val="000000"/>
        </w:rPr>
        <w:t xml:space="preserve"> </w:t>
      </w:r>
      <w:r w:rsidRPr="00437FA3">
        <w:rPr>
          <w:rFonts w:ascii="Palatino Linotype" w:hAnsi="Palatino Linotype" w:cs="Arial"/>
        </w:rPr>
        <w:t xml:space="preserve">se requirió </w:t>
      </w:r>
      <w:r w:rsidRPr="00437FA3">
        <w:rPr>
          <w:rFonts w:ascii="Palatino Linotype" w:hAnsi="Palatino Linotype"/>
        </w:rPr>
        <w:t xml:space="preserve">información a través de los planteamientos </w:t>
      </w:r>
      <w:r w:rsidR="00164A5D" w:rsidRPr="00437FA3">
        <w:rPr>
          <w:rFonts w:ascii="Palatino Linotype" w:hAnsi="Palatino Linotype"/>
        </w:rPr>
        <w:t xml:space="preserve">y cuestionamientos </w:t>
      </w:r>
      <w:r w:rsidRPr="00437FA3">
        <w:rPr>
          <w:rFonts w:ascii="Palatino Linotype" w:hAnsi="Palatino Linotype"/>
        </w:rPr>
        <w:t>que medularmente se puntualizan a continuación</w:t>
      </w:r>
      <w:r w:rsidRPr="00437FA3">
        <w:rPr>
          <w:rFonts w:ascii="Palatino Linotype" w:eastAsia="Arial Unicode MS" w:hAnsi="Palatino Linotype" w:cs="Arial"/>
        </w:rPr>
        <w:t>:</w:t>
      </w:r>
    </w:p>
    <w:p w14:paraId="5E030E4D" w14:textId="77777777" w:rsidR="009E3808" w:rsidRPr="00437FA3" w:rsidRDefault="009E3808" w:rsidP="00437FA3">
      <w:pPr>
        <w:pStyle w:val="Prrafodelista"/>
        <w:shd w:val="clear" w:color="auto" w:fill="FFFFFF"/>
        <w:tabs>
          <w:tab w:val="left" w:pos="567"/>
        </w:tabs>
        <w:spacing w:line="360" w:lineRule="auto"/>
        <w:ind w:left="0"/>
        <w:jc w:val="both"/>
        <w:rPr>
          <w:rFonts w:ascii="Palatino Linotype" w:hAnsi="Palatino Linotype" w:cs="Arial"/>
        </w:rPr>
      </w:pPr>
    </w:p>
    <w:p w14:paraId="7BD65AAB" w14:textId="14C2AD00" w:rsidR="009D1B88" w:rsidRPr="00437FA3" w:rsidRDefault="009E3808"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lastRenderedPageBreak/>
        <w:t xml:space="preserve">a) </w:t>
      </w:r>
      <w:r w:rsidR="00BE64E4" w:rsidRPr="00437FA3">
        <w:rPr>
          <w:rFonts w:ascii="Palatino Linotype" w:hAnsi="Palatino Linotype"/>
          <w:color w:val="000000"/>
        </w:rPr>
        <w:t xml:space="preserve">Copia digital o en formato </w:t>
      </w:r>
      <w:proofErr w:type="spellStart"/>
      <w:r w:rsidR="00BE64E4" w:rsidRPr="00437FA3">
        <w:rPr>
          <w:rFonts w:ascii="Palatino Linotype" w:hAnsi="Palatino Linotype"/>
          <w:color w:val="000000"/>
        </w:rPr>
        <w:t>p</w:t>
      </w:r>
      <w:r w:rsidR="009D1B88" w:rsidRPr="00437FA3">
        <w:rPr>
          <w:rFonts w:ascii="Palatino Linotype" w:hAnsi="Palatino Linotype"/>
          <w:color w:val="000000"/>
        </w:rPr>
        <w:t>df</w:t>
      </w:r>
      <w:proofErr w:type="spellEnd"/>
      <w:r w:rsidR="009D1B88" w:rsidRPr="00437FA3">
        <w:rPr>
          <w:rFonts w:ascii="Palatino Linotype" w:hAnsi="Palatino Linotype"/>
          <w:color w:val="000000"/>
        </w:rPr>
        <w:t xml:space="preserve"> de</w:t>
      </w:r>
      <w:r w:rsidR="00C26A5C" w:rsidRPr="00437FA3">
        <w:rPr>
          <w:rFonts w:ascii="Palatino Linotype" w:hAnsi="Palatino Linotype"/>
          <w:color w:val="000000"/>
        </w:rPr>
        <w:t xml:space="preserve">l </w:t>
      </w:r>
      <w:r w:rsidRPr="00437FA3">
        <w:rPr>
          <w:rFonts w:ascii="Palatino Linotype" w:hAnsi="Palatino Linotype"/>
          <w:color w:val="000000"/>
        </w:rPr>
        <w:t>documento</w:t>
      </w:r>
      <w:r w:rsidR="00C26A5C" w:rsidRPr="00437FA3">
        <w:rPr>
          <w:rFonts w:ascii="Palatino Linotype" w:hAnsi="Palatino Linotype"/>
          <w:color w:val="000000"/>
        </w:rPr>
        <w:t xml:space="preserve"> donde conste</w:t>
      </w:r>
      <w:r w:rsidR="009D1B88" w:rsidRPr="00437FA3">
        <w:rPr>
          <w:rFonts w:ascii="Palatino Linotype" w:hAnsi="Palatino Linotype"/>
          <w:color w:val="000000"/>
        </w:rPr>
        <w:t xml:space="preserve"> la primera sesión del </w:t>
      </w:r>
      <w:r w:rsidRPr="00437FA3">
        <w:rPr>
          <w:rFonts w:ascii="Palatino Linotype" w:hAnsi="Palatino Linotype"/>
          <w:color w:val="000000"/>
        </w:rPr>
        <w:t>Consejo Directivo</w:t>
      </w:r>
      <w:r w:rsidR="009D1B88" w:rsidRPr="00437FA3">
        <w:rPr>
          <w:rFonts w:ascii="Palatino Linotype" w:hAnsi="Palatino Linotype"/>
          <w:color w:val="000000"/>
        </w:rPr>
        <w:t xml:space="preserve"> del </w:t>
      </w:r>
      <w:r w:rsidR="00C26A5C" w:rsidRPr="00437FA3">
        <w:rPr>
          <w:rFonts w:ascii="Palatino Linotype" w:hAnsi="Palatino Linotype"/>
          <w:color w:val="000000"/>
        </w:rPr>
        <w:t xml:space="preserve">Organismo Público Descentralizado </w:t>
      </w:r>
      <w:r w:rsidRPr="00437FA3">
        <w:rPr>
          <w:rFonts w:ascii="Palatino Linotype" w:hAnsi="Palatino Linotype"/>
          <w:color w:val="000000"/>
        </w:rPr>
        <w:t xml:space="preserve">para la </w:t>
      </w:r>
      <w:r w:rsidR="00C26A5C" w:rsidRPr="00437FA3">
        <w:rPr>
          <w:rFonts w:ascii="Palatino Linotype" w:hAnsi="Palatino Linotype"/>
          <w:color w:val="000000"/>
        </w:rPr>
        <w:t xml:space="preserve">Prestación </w:t>
      </w:r>
      <w:r w:rsidRPr="00437FA3">
        <w:rPr>
          <w:rFonts w:ascii="Palatino Linotype" w:hAnsi="Palatino Linotype"/>
          <w:color w:val="000000"/>
        </w:rPr>
        <w:t xml:space="preserve">de los </w:t>
      </w:r>
      <w:r w:rsidR="00C26A5C" w:rsidRPr="00437FA3">
        <w:rPr>
          <w:rFonts w:ascii="Palatino Linotype" w:hAnsi="Palatino Linotype"/>
          <w:color w:val="000000"/>
        </w:rPr>
        <w:t xml:space="preserve">Servicios </w:t>
      </w:r>
      <w:r w:rsidRPr="00437FA3">
        <w:rPr>
          <w:rFonts w:ascii="Palatino Linotype" w:hAnsi="Palatino Linotype"/>
          <w:color w:val="000000"/>
        </w:rPr>
        <w:t>de</w:t>
      </w:r>
      <w:r w:rsidR="00C26A5C" w:rsidRPr="00437FA3">
        <w:rPr>
          <w:rFonts w:ascii="Palatino Linotype" w:hAnsi="Palatino Linotype"/>
          <w:color w:val="000000"/>
        </w:rPr>
        <w:t xml:space="preserve"> Agua Potable, Alcantarillado </w:t>
      </w:r>
      <w:r w:rsidRPr="00437FA3">
        <w:rPr>
          <w:rFonts w:ascii="Palatino Linotype" w:hAnsi="Palatino Linotype"/>
          <w:color w:val="000000"/>
        </w:rPr>
        <w:t xml:space="preserve">y </w:t>
      </w:r>
      <w:r w:rsidR="00C26A5C" w:rsidRPr="00437FA3">
        <w:rPr>
          <w:rFonts w:ascii="Palatino Linotype" w:hAnsi="Palatino Linotype"/>
          <w:color w:val="000000"/>
        </w:rPr>
        <w:t xml:space="preserve">Saneamiento </w:t>
      </w:r>
      <w:r w:rsidRPr="00437FA3">
        <w:rPr>
          <w:rFonts w:ascii="Palatino Linotype" w:hAnsi="Palatino Linotype"/>
          <w:color w:val="000000"/>
        </w:rPr>
        <w:t>del</w:t>
      </w:r>
      <w:r w:rsidR="00C26A5C" w:rsidRPr="00437FA3">
        <w:rPr>
          <w:rFonts w:ascii="Palatino Linotype" w:hAnsi="Palatino Linotype"/>
          <w:color w:val="000000"/>
        </w:rPr>
        <w:t xml:space="preserve"> Municipio </w:t>
      </w:r>
      <w:r w:rsidRPr="00437FA3">
        <w:rPr>
          <w:rFonts w:ascii="Palatino Linotype" w:hAnsi="Palatino Linotype"/>
          <w:color w:val="000000"/>
        </w:rPr>
        <w:t>de</w:t>
      </w:r>
      <w:r w:rsidR="00C26A5C" w:rsidRPr="00437FA3">
        <w:rPr>
          <w:rFonts w:ascii="Palatino Linotype" w:hAnsi="Palatino Linotype"/>
          <w:color w:val="000000"/>
        </w:rPr>
        <w:t xml:space="preserve"> Nicolás Romero</w:t>
      </w:r>
      <w:r w:rsidR="009D1B88" w:rsidRPr="00437FA3">
        <w:rPr>
          <w:rFonts w:ascii="Palatino Linotype" w:hAnsi="Palatino Linotype"/>
          <w:color w:val="000000"/>
        </w:rPr>
        <w:t xml:space="preserve">, correspondiente a la </w:t>
      </w:r>
      <w:r w:rsidR="00C26A5C" w:rsidRPr="00437FA3">
        <w:rPr>
          <w:rFonts w:ascii="Palatino Linotype" w:hAnsi="Palatino Linotype"/>
          <w:color w:val="000000"/>
        </w:rPr>
        <w:t>administración</w:t>
      </w:r>
      <w:r w:rsidRPr="00437FA3">
        <w:rPr>
          <w:rFonts w:ascii="Palatino Linotype" w:hAnsi="Palatino Linotype"/>
          <w:color w:val="000000"/>
        </w:rPr>
        <w:t xml:space="preserve"> pública del periodo 2019-2021, </w:t>
      </w:r>
    </w:p>
    <w:p w14:paraId="1B182728" w14:textId="2F99168F" w:rsidR="009D1B88" w:rsidRPr="00437FA3" w:rsidRDefault="009E3808"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 xml:space="preserve">b) Copia digital o en formato </w:t>
      </w:r>
      <w:proofErr w:type="spellStart"/>
      <w:r w:rsidRPr="00437FA3">
        <w:rPr>
          <w:rFonts w:ascii="Palatino Linotype" w:hAnsi="Palatino Linotype"/>
          <w:color w:val="000000"/>
        </w:rPr>
        <w:t>pdf</w:t>
      </w:r>
      <w:proofErr w:type="spellEnd"/>
      <w:r w:rsidRPr="00437FA3">
        <w:rPr>
          <w:rFonts w:ascii="Palatino Linotype" w:hAnsi="Palatino Linotype"/>
          <w:color w:val="000000"/>
        </w:rPr>
        <w:t xml:space="preserve"> del documento donde conste </w:t>
      </w:r>
      <w:r w:rsidR="009D1B88" w:rsidRPr="00437FA3">
        <w:rPr>
          <w:rFonts w:ascii="Palatino Linotype" w:hAnsi="Palatino Linotype"/>
          <w:color w:val="000000"/>
        </w:rPr>
        <w:t xml:space="preserve">la </w:t>
      </w:r>
      <w:r w:rsidRPr="00437FA3">
        <w:rPr>
          <w:rFonts w:ascii="Palatino Linotype" w:hAnsi="Palatino Linotype"/>
          <w:color w:val="000000"/>
        </w:rPr>
        <w:t>sesión</w:t>
      </w:r>
      <w:r w:rsidR="009D1B88" w:rsidRPr="00437FA3">
        <w:rPr>
          <w:rFonts w:ascii="Palatino Linotype" w:hAnsi="Palatino Linotype"/>
          <w:color w:val="000000"/>
        </w:rPr>
        <w:t xml:space="preserve"> del </w:t>
      </w:r>
      <w:r w:rsidRPr="00437FA3">
        <w:rPr>
          <w:rFonts w:ascii="Palatino Linotype" w:hAnsi="Palatino Linotype"/>
          <w:color w:val="000000"/>
        </w:rPr>
        <w:t xml:space="preserve">Consejo Directivo </w:t>
      </w:r>
      <w:r w:rsidR="009D1B88" w:rsidRPr="00437FA3">
        <w:rPr>
          <w:rFonts w:ascii="Palatino Linotype" w:hAnsi="Palatino Linotype"/>
          <w:color w:val="000000"/>
        </w:rPr>
        <w:t xml:space="preserve">de dicha institución pública, donde se hayan nombrado a los titulares de las áreas </w:t>
      </w:r>
      <w:r w:rsidRPr="00437FA3">
        <w:rPr>
          <w:rFonts w:ascii="Palatino Linotype" w:hAnsi="Palatino Linotype"/>
          <w:color w:val="000000"/>
        </w:rPr>
        <w:t xml:space="preserve">Jurídico, Contraloría Interna, Administración y Finanzas, Unidad de Transparencia, Sistemas, Comercial, Recursos Humanos, Cajas, Jefe </w:t>
      </w:r>
      <w:r w:rsidR="00164A5D" w:rsidRPr="00437FA3">
        <w:rPr>
          <w:rFonts w:ascii="Palatino Linotype" w:hAnsi="Palatino Linotype"/>
          <w:color w:val="000000"/>
        </w:rPr>
        <w:t>d</w:t>
      </w:r>
      <w:r w:rsidRPr="00437FA3">
        <w:rPr>
          <w:rFonts w:ascii="Palatino Linotype" w:hAnsi="Palatino Linotype"/>
          <w:color w:val="000000"/>
        </w:rPr>
        <w:t xml:space="preserve">e Recuperación </w:t>
      </w:r>
      <w:r w:rsidR="00164A5D" w:rsidRPr="00437FA3">
        <w:rPr>
          <w:rFonts w:ascii="Palatino Linotype" w:hAnsi="Palatino Linotype"/>
          <w:color w:val="000000"/>
        </w:rPr>
        <w:t>d</w:t>
      </w:r>
      <w:r w:rsidRPr="00437FA3">
        <w:rPr>
          <w:rFonts w:ascii="Palatino Linotype" w:hAnsi="Palatino Linotype"/>
          <w:color w:val="000000"/>
        </w:rPr>
        <w:t xml:space="preserve">e Adeudos </w:t>
      </w:r>
      <w:r w:rsidR="00164A5D" w:rsidRPr="00437FA3">
        <w:rPr>
          <w:rFonts w:ascii="Palatino Linotype" w:hAnsi="Palatino Linotype"/>
          <w:color w:val="000000"/>
        </w:rPr>
        <w:t>y</w:t>
      </w:r>
      <w:r w:rsidRPr="00437FA3">
        <w:rPr>
          <w:rFonts w:ascii="Palatino Linotype" w:hAnsi="Palatino Linotype"/>
          <w:color w:val="000000"/>
        </w:rPr>
        <w:t xml:space="preserve"> Ejecución Fiscal</w:t>
      </w:r>
      <w:r w:rsidR="00164A5D" w:rsidRPr="00437FA3">
        <w:rPr>
          <w:rFonts w:ascii="Palatino Linotype" w:hAnsi="Palatino Linotype"/>
          <w:color w:val="000000"/>
        </w:rPr>
        <w:t>,</w:t>
      </w:r>
    </w:p>
    <w:p w14:paraId="6F8BD347" w14:textId="6A3513A5" w:rsidR="009D1B88" w:rsidRPr="00437FA3" w:rsidRDefault="00164A5D"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 xml:space="preserve">c) Copia digital o en formato </w:t>
      </w:r>
      <w:proofErr w:type="spellStart"/>
      <w:r w:rsidRPr="00437FA3">
        <w:rPr>
          <w:rFonts w:ascii="Palatino Linotype" w:hAnsi="Palatino Linotype"/>
          <w:color w:val="000000"/>
        </w:rPr>
        <w:t>pdf</w:t>
      </w:r>
      <w:proofErr w:type="spellEnd"/>
      <w:r w:rsidRPr="00437FA3">
        <w:rPr>
          <w:rFonts w:ascii="Palatino Linotype" w:hAnsi="Palatino Linotype"/>
          <w:color w:val="000000"/>
        </w:rPr>
        <w:t xml:space="preserve"> del documento donde conste </w:t>
      </w:r>
      <w:r w:rsidR="009D1B88" w:rsidRPr="00437FA3">
        <w:rPr>
          <w:rFonts w:ascii="Palatino Linotype" w:hAnsi="Palatino Linotype"/>
          <w:color w:val="000000"/>
        </w:rPr>
        <w:t xml:space="preserve">el grado de estudios </w:t>
      </w:r>
      <w:r w:rsidRPr="00437FA3">
        <w:rPr>
          <w:rFonts w:ascii="Palatino Linotype" w:hAnsi="Palatino Linotype"/>
          <w:color w:val="000000"/>
        </w:rPr>
        <w:t>de cada uno de ellos como son:</w:t>
      </w:r>
      <w:r w:rsidR="009D1B88" w:rsidRPr="00437FA3">
        <w:rPr>
          <w:rFonts w:ascii="Palatino Linotype" w:hAnsi="Palatino Linotype"/>
          <w:color w:val="000000"/>
        </w:rPr>
        <w:t xml:space="preserve"> certificado de estudio, </w:t>
      </w:r>
      <w:r w:rsidRPr="00437FA3">
        <w:rPr>
          <w:rFonts w:ascii="Palatino Linotype" w:hAnsi="Palatino Linotype"/>
          <w:color w:val="000000"/>
        </w:rPr>
        <w:t>título profesional o cé</w:t>
      </w:r>
      <w:r w:rsidR="009D1B88" w:rsidRPr="00437FA3">
        <w:rPr>
          <w:rFonts w:ascii="Palatino Linotype" w:hAnsi="Palatino Linotype"/>
          <w:color w:val="000000"/>
        </w:rPr>
        <w:t xml:space="preserve">dula </w:t>
      </w:r>
      <w:r w:rsidRPr="00437FA3">
        <w:rPr>
          <w:rFonts w:ascii="Palatino Linotype" w:hAnsi="Palatino Linotype"/>
          <w:color w:val="000000"/>
        </w:rPr>
        <w:t>así como</w:t>
      </w:r>
      <w:r w:rsidR="009D1B88" w:rsidRPr="00437FA3">
        <w:rPr>
          <w:rFonts w:ascii="Palatino Linotype" w:hAnsi="Palatino Linotype"/>
          <w:color w:val="000000"/>
        </w:rPr>
        <w:t xml:space="preserve"> </w:t>
      </w:r>
      <w:r w:rsidRPr="00437FA3">
        <w:rPr>
          <w:rFonts w:ascii="Palatino Linotype" w:hAnsi="Palatino Linotype"/>
          <w:color w:val="000000"/>
        </w:rPr>
        <w:t xml:space="preserve">la </w:t>
      </w:r>
      <w:r w:rsidR="009D1B88" w:rsidRPr="00437FA3">
        <w:rPr>
          <w:rFonts w:ascii="Palatino Linotype" w:hAnsi="Palatino Linotype"/>
          <w:color w:val="000000"/>
        </w:rPr>
        <w:t xml:space="preserve">escuela de donde </w:t>
      </w:r>
      <w:r w:rsidRPr="00437FA3">
        <w:rPr>
          <w:rFonts w:ascii="Palatino Linotype" w:hAnsi="Palatino Linotype"/>
          <w:color w:val="000000"/>
        </w:rPr>
        <w:t xml:space="preserve">cada uno sea egresado, </w:t>
      </w:r>
    </w:p>
    <w:p w14:paraId="6E0DC325" w14:textId="77777777" w:rsidR="00164A5D" w:rsidRPr="00437FA3" w:rsidRDefault="00164A5D"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d) Los</w:t>
      </w:r>
      <w:r w:rsidR="009D1B88" w:rsidRPr="00437FA3">
        <w:rPr>
          <w:rFonts w:ascii="Palatino Linotype" w:hAnsi="Palatino Linotype"/>
          <w:color w:val="000000"/>
        </w:rPr>
        <w:t xml:space="preserve"> ingresos brutos quincenales y mensuales, de cada uno de los titulares de las áreas antes mencionados,</w:t>
      </w:r>
    </w:p>
    <w:p w14:paraId="74A99508" w14:textId="31D7217F" w:rsidR="009D1B88" w:rsidRPr="00437FA3" w:rsidRDefault="00164A5D"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e)</w:t>
      </w:r>
      <w:r w:rsidR="009D1B88" w:rsidRPr="00437FA3">
        <w:rPr>
          <w:rFonts w:ascii="Palatino Linotype" w:hAnsi="Palatino Linotype"/>
          <w:color w:val="000000"/>
        </w:rPr>
        <w:t xml:space="preserve"> </w:t>
      </w:r>
      <w:r w:rsidRPr="00437FA3">
        <w:rPr>
          <w:rFonts w:ascii="Palatino Linotype" w:hAnsi="Palatino Linotype"/>
          <w:color w:val="000000"/>
        </w:rPr>
        <w:t xml:space="preserve">Documento donde conste </w:t>
      </w:r>
      <w:r w:rsidR="009D1B88" w:rsidRPr="00437FA3">
        <w:rPr>
          <w:rFonts w:ascii="Palatino Linotype" w:hAnsi="Palatino Linotype"/>
          <w:color w:val="000000"/>
        </w:rPr>
        <w:t xml:space="preserve">bajo </w:t>
      </w:r>
      <w:r w:rsidRPr="00437FA3">
        <w:rPr>
          <w:rFonts w:ascii="Palatino Linotype" w:hAnsi="Palatino Linotype"/>
          <w:color w:val="000000"/>
        </w:rPr>
        <w:t>qué</w:t>
      </w:r>
      <w:r w:rsidR="009D1B88" w:rsidRPr="00437FA3">
        <w:rPr>
          <w:rFonts w:ascii="Palatino Linotype" w:hAnsi="Palatino Linotype"/>
          <w:color w:val="000000"/>
        </w:rPr>
        <w:t xml:space="preserve"> acto jurídico fueron contratados, si son de confianza, base o sindicalizados, tiempo de </w:t>
      </w:r>
      <w:r w:rsidRPr="00437FA3">
        <w:rPr>
          <w:rFonts w:ascii="Palatino Linotype" w:hAnsi="Palatino Linotype"/>
          <w:color w:val="000000"/>
        </w:rPr>
        <w:t>duración</w:t>
      </w:r>
      <w:r w:rsidR="009D1B88" w:rsidRPr="00437FA3">
        <w:rPr>
          <w:rFonts w:ascii="Palatino Linotype" w:hAnsi="Palatino Linotype"/>
          <w:color w:val="000000"/>
        </w:rPr>
        <w:t xml:space="preserve"> de la </w:t>
      </w:r>
      <w:r w:rsidRPr="00437FA3">
        <w:rPr>
          <w:rFonts w:ascii="Palatino Linotype" w:hAnsi="Palatino Linotype"/>
          <w:color w:val="000000"/>
        </w:rPr>
        <w:t>relación</w:t>
      </w:r>
      <w:r w:rsidR="009D1B88" w:rsidRPr="00437FA3">
        <w:rPr>
          <w:rFonts w:ascii="Palatino Linotype" w:hAnsi="Palatino Linotype"/>
          <w:color w:val="000000"/>
        </w:rPr>
        <w:t xml:space="preserve"> </w:t>
      </w:r>
      <w:r w:rsidRPr="00437FA3">
        <w:rPr>
          <w:rFonts w:ascii="Palatino Linotype" w:hAnsi="Palatino Linotype"/>
          <w:color w:val="000000"/>
        </w:rPr>
        <w:t>contractual</w:t>
      </w:r>
      <w:r w:rsidR="009D1B88" w:rsidRPr="00437FA3">
        <w:rPr>
          <w:rFonts w:ascii="Palatino Linotype" w:hAnsi="Palatino Linotype"/>
          <w:color w:val="000000"/>
        </w:rPr>
        <w:t>, por tiempo dete</w:t>
      </w:r>
      <w:r w:rsidRPr="00437FA3">
        <w:rPr>
          <w:rFonts w:ascii="Palatino Linotype" w:hAnsi="Palatino Linotype"/>
          <w:color w:val="000000"/>
        </w:rPr>
        <w:t xml:space="preserve">rminado, indeterminado u obra, </w:t>
      </w:r>
    </w:p>
    <w:p w14:paraId="627448CA" w14:textId="02545714" w:rsidR="009D1B88" w:rsidRPr="00437FA3" w:rsidRDefault="00164A5D"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lastRenderedPageBreak/>
        <w:t xml:space="preserve">c) </w:t>
      </w:r>
      <w:r w:rsidR="009D1B88" w:rsidRPr="00437FA3">
        <w:rPr>
          <w:rFonts w:ascii="Palatino Linotype" w:hAnsi="Palatino Linotype"/>
          <w:color w:val="000000"/>
        </w:rPr>
        <w:t xml:space="preserve">La relación del personal que causo baja a partir del día primero de enero del año 2019 a la fecha de la presente, informando </w:t>
      </w:r>
      <w:r w:rsidRPr="00437FA3">
        <w:rPr>
          <w:rFonts w:ascii="Palatino Linotype" w:hAnsi="Palatino Linotype"/>
          <w:color w:val="000000"/>
        </w:rPr>
        <w:t>l</w:t>
      </w:r>
      <w:r w:rsidR="009D1B88" w:rsidRPr="00437FA3">
        <w:rPr>
          <w:rFonts w:ascii="Palatino Linotype" w:hAnsi="Palatino Linotype"/>
          <w:color w:val="000000"/>
        </w:rPr>
        <w:t xml:space="preserve">a causa o motivo de su baja, </w:t>
      </w:r>
      <w:r w:rsidRPr="00437FA3">
        <w:rPr>
          <w:rFonts w:ascii="Palatino Linotype" w:hAnsi="Palatino Linotype"/>
          <w:color w:val="000000"/>
        </w:rPr>
        <w:t>s</w:t>
      </w:r>
      <w:r w:rsidR="009D1B88" w:rsidRPr="00437FA3">
        <w:rPr>
          <w:rFonts w:ascii="Palatino Linotype" w:hAnsi="Palatino Linotype"/>
          <w:color w:val="000000"/>
        </w:rPr>
        <w:t>i fue renuncia, despido justificado o injustificado,</w:t>
      </w:r>
    </w:p>
    <w:p w14:paraId="2BBC8A20" w14:textId="77777777" w:rsidR="00606CB5" w:rsidRPr="00437FA3" w:rsidRDefault="00164A5D"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d) Documento donde conste ¿Quiénes</w:t>
      </w:r>
      <w:r w:rsidR="009D1B88" w:rsidRPr="00437FA3">
        <w:rPr>
          <w:rFonts w:ascii="Palatino Linotype" w:hAnsi="Palatino Linotype"/>
          <w:color w:val="000000"/>
        </w:rPr>
        <w:t xml:space="preserve"> </w:t>
      </w:r>
      <w:r w:rsidRPr="00437FA3">
        <w:rPr>
          <w:rFonts w:ascii="Palatino Linotype" w:hAnsi="Palatino Linotype"/>
          <w:color w:val="000000"/>
        </w:rPr>
        <w:t>a partir del día primero de enero del año 2019 a</w:t>
      </w:r>
      <w:r w:rsidR="009D1B88" w:rsidRPr="00437FA3">
        <w:rPr>
          <w:rFonts w:ascii="Palatino Linotype" w:hAnsi="Palatino Linotype"/>
          <w:color w:val="000000"/>
        </w:rPr>
        <w:t xml:space="preserve"> la fecha se les ha </w:t>
      </w:r>
      <w:r w:rsidRPr="00437FA3">
        <w:rPr>
          <w:rFonts w:ascii="Palatino Linotype" w:hAnsi="Palatino Linotype"/>
          <w:color w:val="000000"/>
        </w:rPr>
        <w:t>indemnizado</w:t>
      </w:r>
      <w:r w:rsidR="009D1B88" w:rsidRPr="00437FA3">
        <w:rPr>
          <w:rFonts w:ascii="Palatino Linotype" w:hAnsi="Palatino Linotype"/>
          <w:color w:val="000000"/>
        </w:rPr>
        <w:t xml:space="preserve"> o finiquitado conforme a la </w:t>
      </w:r>
      <w:r w:rsidRPr="00437FA3">
        <w:rPr>
          <w:rFonts w:ascii="Palatino Linotype" w:hAnsi="Palatino Linotype"/>
          <w:color w:val="000000"/>
        </w:rPr>
        <w:t xml:space="preserve">Ley Federal del Trabajo y Ley de los Trabajadores al Servicio del Estado de México y Municipios?, </w:t>
      </w:r>
    </w:p>
    <w:p w14:paraId="1BC24ADD" w14:textId="3C761DA7" w:rsidR="009D1B88" w:rsidRPr="00437FA3" w:rsidRDefault="00606CB5"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e) Documento donde conste s</w:t>
      </w:r>
      <w:r w:rsidR="009D1B88" w:rsidRPr="00437FA3">
        <w:rPr>
          <w:rFonts w:ascii="Palatino Linotype" w:hAnsi="Palatino Linotype"/>
          <w:color w:val="000000"/>
        </w:rPr>
        <w:t xml:space="preserve">i los despidos fueron conforme a derecho y </w:t>
      </w:r>
      <w:proofErr w:type="gramStart"/>
      <w:r w:rsidR="00164A5D" w:rsidRPr="00437FA3">
        <w:rPr>
          <w:rFonts w:ascii="Palatino Linotype" w:hAnsi="Palatino Linotype"/>
          <w:color w:val="000000"/>
        </w:rPr>
        <w:t>¿</w:t>
      </w:r>
      <w:proofErr w:type="gramEnd"/>
      <w:r w:rsidR="00164A5D" w:rsidRPr="00437FA3">
        <w:rPr>
          <w:rFonts w:ascii="Palatino Linotype" w:hAnsi="Palatino Linotype"/>
          <w:color w:val="000000"/>
        </w:rPr>
        <w:t>Cuál</w:t>
      </w:r>
      <w:r w:rsidR="009D1B88" w:rsidRPr="00437FA3">
        <w:rPr>
          <w:rFonts w:ascii="Palatino Linotype" w:hAnsi="Palatino Linotype"/>
          <w:color w:val="000000"/>
        </w:rPr>
        <w:t xml:space="preserve"> es el importe total pagado y pendiente por pagar</w:t>
      </w:r>
      <w:r w:rsidR="00164A5D" w:rsidRPr="00437FA3">
        <w:rPr>
          <w:rFonts w:ascii="Palatino Linotype" w:hAnsi="Palatino Linotype"/>
          <w:color w:val="000000"/>
        </w:rPr>
        <w:t>?</w:t>
      </w:r>
      <w:r w:rsidR="009D1B88" w:rsidRPr="00437FA3">
        <w:rPr>
          <w:rFonts w:ascii="Palatino Linotype" w:hAnsi="Palatino Linotype"/>
          <w:color w:val="000000"/>
        </w:rPr>
        <w:t>,</w:t>
      </w:r>
      <w:r w:rsidRPr="00437FA3">
        <w:rPr>
          <w:rFonts w:ascii="Palatino Linotype" w:hAnsi="Palatino Linotype"/>
          <w:color w:val="000000"/>
        </w:rPr>
        <w:t xml:space="preserve"> </w:t>
      </w:r>
      <w:r w:rsidR="00164A5D" w:rsidRPr="00437FA3">
        <w:rPr>
          <w:rFonts w:ascii="Palatino Linotype" w:hAnsi="Palatino Linotype"/>
          <w:color w:val="000000"/>
        </w:rPr>
        <w:t>¿</w:t>
      </w:r>
      <w:r w:rsidRPr="00437FA3">
        <w:rPr>
          <w:rFonts w:ascii="Palatino Linotype" w:hAnsi="Palatino Linotype"/>
          <w:color w:val="000000"/>
        </w:rPr>
        <w:t>A</w:t>
      </w:r>
      <w:r w:rsidR="009D1B88" w:rsidRPr="00437FA3">
        <w:rPr>
          <w:rFonts w:ascii="Palatino Linotype" w:hAnsi="Palatino Linotype"/>
          <w:color w:val="000000"/>
        </w:rPr>
        <w:t xml:space="preserve"> </w:t>
      </w:r>
      <w:proofErr w:type="spellStart"/>
      <w:r w:rsidR="009D1B88" w:rsidRPr="00437FA3">
        <w:rPr>
          <w:rFonts w:ascii="Palatino Linotype" w:hAnsi="Palatino Linotype"/>
          <w:color w:val="000000"/>
        </w:rPr>
        <w:t>quienes</w:t>
      </w:r>
      <w:proofErr w:type="spellEnd"/>
      <w:r w:rsidR="009D1B88" w:rsidRPr="00437FA3">
        <w:rPr>
          <w:rFonts w:ascii="Palatino Linotype" w:hAnsi="Palatino Linotype"/>
          <w:color w:val="000000"/>
        </w:rPr>
        <w:t xml:space="preserve"> ya se le pago y quienes </w:t>
      </w:r>
      <w:r w:rsidRPr="00437FA3">
        <w:rPr>
          <w:rFonts w:ascii="Palatino Linotype" w:hAnsi="Palatino Linotype"/>
          <w:color w:val="000000"/>
        </w:rPr>
        <w:t>están</w:t>
      </w:r>
      <w:r w:rsidR="009D1B88" w:rsidRPr="00437FA3">
        <w:rPr>
          <w:rFonts w:ascii="Palatino Linotype" w:hAnsi="Palatino Linotype"/>
          <w:color w:val="000000"/>
        </w:rPr>
        <w:t xml:space="preserve"> pendientes, detallando:</w:t>
      </w:r>
      <w:r w:rsidRPr="00437FA3">
        <w:rPr>
          <w:rFonts w:ascii="Palatino Linotype" w:hAnsi="Palatino Linotype"/>
          <w:color w:val="000000"/>
        </w:rPr>
        <w:t xml:space="preserve"> </w:t>
      </w:r>
      <w:r w:rsidR="009D1B88" w:rsidRPr="00437FA3">
        <w:rPr>
          <w:rFonts w:ascii="Palatino Linotype" w:hAnsi="Palatino Linotype"/>
          <w:color w:val="000000"/>
        </w:rPr>
        <w:t xml:space="preserve">las causas o motivos de </w:t>
      </w:r>
      <w:r w:rsidRPr="00437FA3">
        <w:rPr>
          <w:rFonts w:ascii="Palatino Linotype" w:hAnsi="Palatino Linotype"/>
          <w:color w:val="000000"/>
        </w:rPr>
        <w:t>¿Por qué</w:t>
      </w:r>
      <w:r w:rsidR="009D1B88" w:rsidRPr="00437FA3">
        <w:rPr>
          <w:rFonts w:ascii="Palatino Linotype" w:hAnsi="Palatino Linotype"/>
          <w:color w:val="000000"/>
        </w:rPr>
        <w:t xml:space="preserve"> no </w:t>
      </w:r>
      <w:r w:rsidRPr="00437FA3">
        <w:rPr>
          <w:rFonts w:ascii="Palatino Linotype" w:hAnsi="Palatino Linotype"/>
          <w:color w:val="000000"/>
        </w:rPr>
        <w:t>se ha pagado?</w:t>
      </w:r>
      <w:r w:rsidR="009D1B88" w:rsidRPr="00437FA3">
        <w:rPr>
          <w:rFonts w:ascii="Palatino Linotype" w:hAnsi="Palatino Linotype"/>
          <w:color w:val="000000"/>
        </w:rPr>
        <w:t xml:space="preserve"> esto en relación a las causas de baja mencionadas con anterioridad; </w:t>
      </w:r>
    </w:p>
    <w:p w14:paraId="10ACBA8D" w14:textId="387AA3B1" w:rsidR="009D1B88" w:rsidRPr="00437FA3" w:rsidRDefault="00606CB5"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e) Documento donde conste ¿Cuá</w:t>
      </w:r>
      <w:r w:rsidR="009D1B88" w:rsidRPr="00437FA3">
        <w:rPr>
          <w:rFonts w:ascii="Palatino Linotype" w:hAnsi="Palatino Linotype"/>
          <w:color w:val="000000"/>
        </w:rPr>
        <w:t>l es el importe que se tiene presupuestado para el ejercicio fiscal 2019, para atender y dar cumplimiento a las obligaciones contraídas por las renuncias y despidos efectu</w:t>
      </w:r>
      <w:r w:rsidRPr="00437FA3">
        <w:rPr>
          <w:rFonts w:ascii="Palatino Linotype" w:hAnsi="Palatino Linotype"/>
          <w:color w:val="000000"/>
        </w:rPr>
        <w:t>ados?</w:t>
      </w:r>
      <w:r w:rsidR="009D1B88" w:rsidRPr="00437FA3">
        <w:rPr>
          <w:rFonts w:ascii="Palatino Linotype" w:hAnsi="Palatino Linotype"/>
          <w:color w:val="000000"/>
        </w:rPr>
        <w:t xml:space="preserve"> </w:t>
      </w:r>
    </w:p>
    <w:p w14:paraId="625D6A38" w14:textId="1A6A4CBE" w:rsidR="009D1B88" w:rsidRPr="00437FA3" w:rsidRDefault="00606CB5"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f) Documento donde conste el l</w:t>
      </w:r>
      <w:r w:rsidR="009D1B88" w:rsidRPr="00437FA3">
        <w:rPr>
          <w:rFonts w:ascii="Palatino Linotype" w:hAnsi="Palatino Linotype"/>
          <w:color w:val="000000"/>
        </w:rPr>
        <w:t xml:space="preserve">ugar de residencia que se acredite de los nuevos titulares de las </w:t>
      </w:r>
      <w:r w:rsidRPr="00437FA3">
        <w:rPr>
          <w:rFonts w:ascii="Palatino Linotype" w:hAnsi="Palatino Linotype"/>
          <w:color w:val="000000"/>
        </w:rPr>
        <w:t>áreas de dicho O</w:t>
      </w:r>
      <w:r w:rsidR="009D1B88" w:rsidRPr="00437FA3">
        <w:rPr>
          <w:rFonts w:ascii="Palatino Linotype" w:hAnsi="Palatino Linotype"/>
          <w:color w:val="000000"/>
        </w:rPr>
        <w:t xml:space="preserve">rganismo, mencionando calle, colonia, municipio o </w:t>
      </w:r>
      <w:r w:rsidRPr="00437FA3">
        <w:rPr>
          <w:rFonts w:ascii="Palatino Linotype" w:hAnsi="Palatino Linotype"/>
          <w:color w:val="000000"/>
        </w:rPr>
        <w:t>alcaldía y entidad federativa,</w:t>
      </w:r>
    </w:p>
    <w:p w14:paraId="1BE17013" w14:textId="1D5762AF" w:rsidR="009D1B88" w:rsidRPr="00437FA3" w:rsidRDefault="00606CB5"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lastRenderedPageBreak/>
        <w:t xml:space="preserve">g) </w:t>
      </w:r>
      <w:r w:rsidR="009D1B88" w:rsidRPr="00437FA3">
        <w:rPr>
          <w:rFonts w:ascii="Palatino Linotype" w:hAnsi="Palatino Linotype"/>
          <w:color w:val="000000"/>
        </w:rPr>
        <w:t xml:space="preserve">Informe del </w:t>
      </w:r>
      <w:r w:rsidRPr="00437FA3">
        <w:rPr>
          <w:rFonts w:ascii="Palatino Linotype" w:hAnsi="Palatino Linotype"/>
          <w:color w:val="000000"/>
        </w:rPr>
        <w:t>número</w:t>
      </w:r>
      <w:r w:rsidR="009D1B88" w:rsidRPr="00437FA3">
        <w:rPr>
          <w:rFonts w:ascii="Palatino Linotype" w:hAnsi="Palatino Linotype"/>
          <w:color w:val="000000"/>
        </w:rPr>
        <w:t xml:space="preserve"> total de personal por área, detallando</w:t>
      </w:r>
      <w:r w:rsidRPr="00437FA3">
        <w:rPr>
          <w:rFonts w:ascii="Palatino Linotype" w:hAnsi="Palatino Linotype"/>
          <w:color w:val="000000"/>
        </w:rPr>
        <w:t xml:space="preserve"> el i</w:t>
      </w:r>
      <w:r w:rsidR="009D1B88" w:rsidRPr="00437FA3">
        <w:rPr>
          <w:rFonts w:ascii="Palatino Linotype" w:hAnsi="Palatino Linotype"/>
          <w:color w:val="000000"/>
        </w:rPr>
        <w:t xml:space="preserve">mporte a pagar de </w:t>
      </w:r>
      <w:r w:rsidRPr="00437FA3">
        <w:rPr>
          <w:rFonts w:ascii="Palatino Linotype" w:hAnsi="Palatino Linotype"/>
          <w:color w:val="000000"/>
        </w:rPr>
        <w:t>nómina</w:t>
      </w:r>
      <w:r w:rsidR="009D1B88" w:rsidRPr="00437FA3">
        <w:rPr>
          <w:rFonts w:ascii="Palatino Linotype" w:hAnsi="Palatino Linotype"/>
          <w:color w:val="000000"/>
        </w:rPr>
        <w:t xml:space="preserve"> por cada servidor público, con corte al</w:t>
      </w:r>
      <w:r w:rsidRPr="00437FA3">
        <w:rPr>
          <w:rFonts w:ascii="Palatino Linotype" w:hAnsi="Palatino Linotype"/>
          <w:color w:val="000000"/>
        </w:rPr>
        <w:t xml:space="preserve"> 31 de diciembre del año 2019 y;</w:t>
      </w:r>
    </w:p>
    <w:p w14:paraId="048585CD" w14:textId="77777777" w:rsidR="00606CB5" w:rsidRPr="00437FA3" w:rsidRDefault="00606CB5"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h) Documento donde conste el número</w:t>
      </w:r>
      <w:r w:rsidR="009D1B88" w:rsidRPr="00437FA3">
        <w:rPr>
          <w:rFonts w:ascii="Palatino Linotype" w:hAnsi="Palatino Linotype"/>
          <w:color w:val="000000"/>
        </w:rPr>
        <w:t xml:space="preserve"> total de personal por área, detallando importe por cada servidor público a pagar de </w:t>
      </w:r>
      <w:r w:rsidRPr="00437FA3">
        <w:rPr>
          <w:rFonts w:ascii="Palatino Linotype" w:hAnsi="Palatino Linotype"/>
          <w:color w:val="000000"/>
        </w:rPr>
        <w:t>nómina</w:t>
      </w:r>
      <w:r w:rsidR="009D1B88" w:rsidRPr="00437FA3">
        <w:rPr>
          <w:rFonts w:ascii="Palatino Linotype" w:hAnsi="Palatino Linotype"/>
          <w:color w:val="000000"/>
        </w:rPr>
        <w:t>, con corte</w:t>
      </w:r>
      <w:r w:rsidRPr="00437FA3">
        <w:rPr>
          <w:rFonts w:ascii="Palatino Linotype" w:hAnsi="Palatino Linotype"/>
          <w:color w:val="000000"/>
        </w:rPr>
        <w:t xml:space="preserve"> a la fecha de la presente. </w:t>
      </w:r>
    </w:p>
    <w:p w14:paraId="6520B7EB" w14:textId="5EA76F40" w:rsidR="009D1B88" w:rsidRPr="00437FA3" w:rsidRDefault="00606CB5" w:rsidP="00437FA3">
      <w:pPr>
        <w:pStyle w:val="Prrafodelista"/>
        <w:spacing w:line="360" w:lineRule="auto"/>
        <w:ind w:left="567" w:right="567"/>
        <w:jc w:val="both"/>
        <w:rPr>
          <w:rFonts w:ascii="Palatino Linotype" w:hAnsi="Palatino Linotype"/>
          <w:color w:val="000000"/>
        </w:rPr>
      </w:pPr>
      <w:r w:rsidRPr="00437FA3">
        <w:rPr>
          <w:rFonts w:ascii="Palatino Linotype" w:hAnsi="Palatino Linotype"/>
          <w:color w:val="000000"/>
        </w:rPr>
        <w:t>Ambo</w:t>
      </w:r>
      <w:r w:rsidR="009D1B88" w:rsidRPr="00437FA3">
        <w:rPr>
          <w:rFonts w:ascii="Palatino Linotype" w:hAnsi="Palatino Linotype"/>
          <w:color w:val="000000"/>
        </w:rPr>
        <w:t xml:space="preserve">s informes detallando </w:t>
      </w:r>
      <w:r w:rsidRPr="00437FA3">
        <w:rPr>
          <w:rFonts w:ascii="Palatino Linotype" w:hAnsi="Palatino Linotype"/>
          <w:color w:val="000000"/>
        </w:rPr>
        <w:t>el</w:t>
      </w:r>
      <w:r w:rsidR="009D1B88" w:rsidRPr="00437FA3">
        <w:rPr>
          <w:rFonts w:ascii="Palatino Linotype" w:hAnsi="Palatino Linotype"/>
          <w:color w:val="000000"/>
        </w:rPr>
        <w:t xml:space="preserve"> grado de estudio de cada uno de ellos</w:t>
      </w:r>
      <w:r w:rsidRPr="00437FA3">
        <w:rPr>
          <w:rFonts w:ascii="Palatino Linotype" w:hAnsi="Palatino Linotype"/>
          <w:color w:val="000000"/>
        </w:rPr>
        <w:t>.</w:t>
      </w:r>
    </w:p>
    <w:p w14:paraId="1231382E" w14:textId="77777777" w:rsidR="00505269" w:rsidRPr="00437FA3" w:rsidRDefault="00505269" w:rsidP="00437FA3">
      <w:pPr>
        <w:pStyle w:val="Prrafodelista"/>
        <w:spacing w:line="360" w:lineRule="auto"/>
        <w:ind w:left="0"/>
        <w:jc w:val="both"/>
        <w:rPr>
          <w:rFonts w:ascii="Palatino Linotype" w:hAnsi="Palatino Linotype"/>
          <w:color w:val="000000"/>
        </w:rPr>
      </w:pPr>
    </w:p>
    <w:p w14:paraId="554570C7" w14:textId="448D040C" w:rsidR="000C6D16" w:rsidRPr="00437FA3" w:rsidRDefault="009E3808" w:rsidP="00437FA3">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437FA3">
        <w:rPr>
          <w:rFonts w:ascii="Palatino Linotype" w:hAnsi="Palatino Linotype"/>
          <w:color w:val="000000"/>
        </w:rPr>
        <w:t xml:space="preserve">En dicha solicitud se observa en primer lugar que la información fue formulada parcialmente a través de </w:t>
      </w:r>
      <w:r w:rsidR="000C6D16" w:rsidRPr="00437FA3">
        <w:rPr>
          <w:rFonts w:ascii="Palatino Linotype" w:hAnsi="Palatino Linotype"/>
          <w:color w:val="000000"/>
        </w:rPr>
        <w:t xml:space="preserve">cuestionamientos y </w:t>
      </w:r>
      <w:r w:rsidRPr="00437FA3">
        <w:rPr>
          <w:rFonts w:ascii="Palatino Linotype" w:hAnsi="Palatino Linotype"/>
          <w:color w:val="000000"/>
        </w:rPr>
        <w:t xml:space="preserve">planteamientos en donde </w:t>
      </w:r>
      <w:r w:rsidRPr="00437FA3">
        <w:rPr>
          <w:rFonts w:ascii="Palatino Linotype" w:hAnsi="Palatino Linotype" w:cs="Arial"/>
          <w:bCs/>
          <w:iCs/>
          <w:color w:val="222222"/>
        </w:rPr>
        <w:t>no se identifica un documento en específico</w:t>
      </w:r>
      <w:r w:rsidRPr="00437FA3">
        <w:rPr>
          <w:rFonts w:ascii="Palatino Linotype" w:hAnsi="Palatino Linotype"/>
          <w:color w:val="000000"/>
        </w:rPr>
        <w:t xml:space="preserve">, </w:t>
      </w:r>
      <w:r w:rsidR="000C6D16" w:rsidRPr="00437FA3">
        <w:rPr>
          <w:rFonts w:ascii="Palatino Linotype" w:hAnsi="Palatino Linotype"/>
          <w:color w:val="000000"/>
        </w:rPr>
        <w:t xml:space="preserve">sin embargo se </w:t>
      </w:r>
      <w:r w:rsidR="000C6D16" w:rsidRPr="00437FA3">
        <w:rPr>
          <w:rFonts w:ascii="Palatino Linotype" w:hAnsi="Palatino Linotype" w:cs="Arial"/>
        </w:rPr>
        <w:t xml:space="preserve">debe recordar que el particular no es experto en la materia pero a contrario sensu el </w:t>
      </w:r>
      <w:r w:rsidR="000C6D16" w:rsidRPr="00437FA3">
        <w:rPr>
          <w:rFonts w:ascii="Palatino Linotype" w:hAnsi="Palatino Linotype" w:cs="Arial"/>
          <w:b/>
        </w:rPr>
        <w:t>SUJETO OBLIGADO</w:t>
      </w:r>
      <w:r w:rsidR="000C6D16" w:rsidRPr="00437FA3">
        <w:rPr>
          <w:rFonts w:ascii="Palatino Linotype" w:hAnsi="Palatino Linotype" w:cs="Arial"/>
        </w:rPr>
        <w:t xml:space="preserve"> si lo es y conoce perfectamente los documentos que pueden colmar cada requerimiento realizado, de acuerdo a las atribuciones que le son conferidas.</w:t>
      </w:r>
    </w:p>
    <w:p w14:paraId="39ED5A96" w14:textId="1683B1B7" w:rsidR="009E3808" w:rsidRPr="00437FA3" w:rsidRDefault="009E3808" w:rsidP="00437FA3">
      <w:pPr>
        <w:pStyle w:val="Prrafodelista"/>
        <w:spacing w:line="360" w:lineRule="auto"/>
        <w:ind w:left="0"/>
        <w:jc w:val="both"/>
        <w:rPr>
          <w:rFonts w:ascii="Palatino Linotype" w:hAnsi="Palatino Linotype"/>
          <w:lang w:val="es-MX" w:eastAsia="en-US"/>
        </w:rPr>
      </w:pPr>
    </w:p>
    <w:p w14:paraId="61B907D4" w14:textId="77777777" w:rsidR="009E3808" w:rsidRPr="00437FA3" w:rsidRDefault="009E3808" w:rsidP="00437FA3">
      <w:pPr>
        <w:pStyle w:val="Prrafodelista"/>
        <w:numPr>
          <w:ilvl w:val="0"/>
          <w:numId w:val="1"/>
        </w:numPr>
        <w:autoSpaceDE w:val="0"/>
        <w:autoSpaceDN w:val="0"/>
        <w:adjustRightInd w:val="0"/>
        <w:spacing w:line="360" w:lineRule="auto"/>
        <w:ind w:left="0" w:firstLine="0"/>
        <w:jc w:val="both"/>
        <w:rPr>
          <w:rFonts w:ascii="Palatino Linotype" w:hAnsi="Palatino Linotype" w:cs="Arial"/>
          <w:lang w:val="es-MX"/>
        </w:rPr>
      </w:pPr>
      <w:r w:rsidRPr="00437FA3">
        <w:rPr>
          <w:rFonts w:ascii="Palatino Linotype" w:hAnsi="Palatino Linotype"/>
        </w:rPr>
        <w:t xml:space="preserve">Bajo éste tenor cabe aclarar que cuando los planteamientos que formulen los particulares se pueda colmar con la entrega de </w:t>
      </w:r>
      <w:r w:rsidRPr="00437FA3">
        <w:rPr>
          <w:rFonts w:ascii="Palatino Linotype" w:hAnsi="Palatino Linotype" w:cs="Arial"/>
        </w:rPr>
        <w:t xml:space="preserve">documentos que los Sujetos Obligados generen, posean o administren en ejercicio de sus atribuciones, se está en presencia del derecho fundamental de acceso a la información, previsto en el artículo 6, Apartado </w:t>
      </w:r>
      <w:r w:rsidRPr="00437FA3">
        <w:rPr>
          <w:rFonts w:ascii="Palatino Linotype" w:hAnsi="Palatino Linotype"/>
        </w:rPr>
        <w:t xml:space="preserve">A, fracción IV de la Constitución Política de los Estados Unidos </w:t>
      </w:r>
      <w:r w:rsidRPr="00437FA3">
        <w:rPr>
          <w:rFonts w:ascii="Palatino Linotype" w:hAnsi="Palatino Linotype"/>
        </w:rPr>
        <w:lastRenderedPageBreak/>
        <w:t>Mexicanos, el cual deberá garantizarse ordenando la entrega de tales documentales, siempre y cuando éstas sean de acceso público.</w:t>
      </w:r>
    </w:p>
    <w:p w14:paraId="126E39F8" w14:textId="77777777" w:rsidR="009E3808" w:rsidRPr="00437FA3" w:rsidRDefault="009E3808" w:rsidP="00437FA3">
      <w:pPr>
        <w:pStyle w:val="Prrafodelista"/>
        <w:autoSpaceDE w:val="0"/>
        <w:autoSpaceDN w:val="0"/>
        <w:adjustRightInd w:val="0"/>
        <w:spacing w:line="360" w:lineRule="auto"/>
        <w:ind w:left="0"/>
        <w:jc w:val="both"/>
        <w:rPr>
          <w:rFonts w:ascii="Palatino Linotype" w:hAnsi="Palatino Linotype" w:cs="Arial"/>
          <w:lang w:val="es-MX"/>
        </w:rPr>
      </w:pPr>
    </w:p>
    <w:p w14:paraId="29B28C6D" w14:textId="77777777" w:rsidR="009E3808" w:rsidRPr="00437FA3" w:rsidRDefault="009E3808" w:rsidP="00437FA3">
      <w:pPr>
        <w:pStyle w:val="Prrafodelista"/>
        <w:numPr>
          <w:ilvl w:val="0"/>
          <w:numId w:val="1"/>
        </w:numPr>
        <w:autoSpaceDE w:val="0"/>
        <w:autoSpaceDN w:val="0"/>
        <w:adjustRightInd w:val="0"/>
        <w:spacing w:line="360" w:lineRule="auto"/>
        <w:ind w:left="0" w:firstLine="0"/>
        <w:jc w:val="both"/>
        <w:rPr>
          <w:rFonts w:ascii="Palatino Linotype" w:hAnsi="Palatino Linotype" w:cs="Arial"/>
          <w:color w:val="000000" w:themeColor="text1"/>
          <w:lang w:val="es-MX"/>
        </w:rPr>
      </w:pPr>
      <w:r w:rsidRPr="00437FA3">
        <w:rPr>
          <w:rFonts w:ascii="Palatino Linotype" w:hAnsi="Palatino Linotype" w:cs="Arial"/>
          <w:color w:val="000000" w:themeColor="text1"/>
        </w:rPr>
        <w:t>Sirve de sustento a lo anterior, el</w:t>
      </w:r>
      <w:r w:rsidRPr="00437FA3">
        <w:rPr>
          <w:rStyle w:val="apple-converted-space"/>
          <w:rFonts w:ascii="Palatino Linotype" w:hAnsi="Palatino Linotype" w:cs="Arial"/>
          <w:color w:val="000000" w:themeColor="text1"/>
        </w:rPr>
        <w:t xml:space="preserve"> </w:t>
      </w:r>
      <w:r w:rsidRPr="00437FA3">
        <w:rPr>
          <w:rStyle w:val="il"/>
          <w:rFonts w:ascii="Palatino Linotype" w:hAnsi="Palatino Linotype" w:cs="Arial"/>
          <w:b/>
          <w:color w:val="000000" w:themeColor="text1"/>
        </w:rPr>
        <w:t>Criterio</w:t>
      </w:r>
      <w:r w:rsidRPr="00437FA3">
        <w:rPr>
          <w:rStyle w:val="apple-converted-space"/>
          <w:rFonts w:ascii="Palatino Linotype" w:hAnsi="Palatino Linotype" w:cs="Arial"/>
          <w:b/>
          <w:color w:val="000000" w:themeColor="text1"/>
        </w:rPr>
        <w:t xml:space="preserve"> </w:t>
      </w:r>
      <w:r w:rsidRPr="00437FA3">
        <w:rPr>
          <w:rStyle w:val="il"/>
          <w:rFonts w:ascii="Palatino Linotype" w:hAnsi="Palatino Linotype" w:cs="Arial"/>
          <w:b/>
          <w:color w:val="000000" w:themeColor="text1"/>
        </w:rPr>
        <w:t>028</w:t>
      </w:r>
      <w:r w:rsidRPr="00437FA3">
        <w:rPr>
          <w:rFonts w:ascii="Palatino Linotype" w:hAnsi="Palatino Linotype" w:cs="Arial"/>
          <w:b/>
          <w:color w:val="000000" w:themeColor="text1"/>
        </w:rPr>
        <w:t>-</w:t>
      </w:r>
      <w:r w:rsidRPr="00437FA3">
        <w:rPr>
          <w:rStyle w:val="il"/>
          <w:rFonts w:ascii="Palatino Linotype" w:hAnsi="Palatino Linotype" w:cs="Arial"/>
          <w:b/>
          <w:color w:val="000000" w:themeColor="text1"/>
        </w:rPr>
        <w:t>10</w:t>
      </w:r>
      <w:r w:rsidRPr="00437FA3">
        <w:rPr>
          <w:rStyle w:val="apple-converted-space"/>
          <w:rFonts w:ascii="Palatino Linotype" w:hAnsi="Palatino Linotype" w:cs="Arial"/>
          <w:color w:val="000000" w:themeColor="text1"/>
        </w:rPr>
        <w:t xml:space="preserve"> </w:t>
      </w:r>
      <w:r w:rsidRPr="00437FA3">
        <w:rPr>
          <w:rFonts w:ascii="Palatino Linotype" w:hAnsi="Palatino Linotype" w:cs="Arial"/>
          <w:color w:val="000000" w:themeColor="text1"/>
        </w:rPr>
        <w:t>emitido por el Pleno del entonces llamado</w:t>
      </w:r>
      <w:r w:rsidRPr="00437FA3">
        <w:rPr>
          <w:rStyle w:val="apple-converted-space"/>
          <w:rFonts w:ascii="Palatino Linotype" w:hAnsi="Palatino Linotype" w:cs="Arial"/>
          <w:color w:val="000000" w:themeColor="text1"/>
        </w:rPr>
        <w:t xml:space="preserve"> </w:t>
      </w:r>
      <w:r w:rsidRPr="00437FA3">
        <w:rPr>
          <w:rFonts w:ascii="Palatino Linotype" w:hAnsi="Palatino Linotype" w:cs="Arial"/>
          <w:color w:val="000000" w:themeColor="text1"/>
        </w:rPr>
        <w:t>Instituto Federal de Acceso a la Información y Protección de Datos, ahora Instituto Nacional de Transparencia, Acceso a la Información y Protección de Datos Personales que establece que se deberá garantizar</w:t>
      </w:r>
      <w:r w:rsidRPr="00437FA3">
        <w:rPr>
          <w:rStyle w:val="apple-converted-space"/>
          <w:rFonts w:ascii="Palatino Linotype" w:hAnsi="Palatino Linotype" w:cs="Arial"/>
          <w:color w:val="000000" w:themeColor="text1"/>
        </w:rPr>
        <w:t xml:space="preserve"> </w:t>
      </w:r>
      <w:r w:rsidRPr="00437FA3">
        <w:rPr>
          <w:rFonts w:ascii="Palatino Linotype" w:hAnsi="Palatino Linotype" w:cs="Arial"/>
          <w:color w:val="000000" w:themeColor="text1"/>
        </w:rPr>
        <w:t>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w:t>
      </w:r>
      <w:r w:rsidRPr="00437FA3">
        <w:rPr>
          <w:rStyle w:val="apple-converted-space"/>
          <w:rFonts w:ascii="Palatino Linotype" w:hAnsi="Palatino Linotype" w:cs="Arial"/>
          <w:i/>
          <w:iCs/>
          <w:color w:val="000000" w:themeColor="text1"/>
        </w:rPr>
        <w:t xml:space="preserve"> </w:t>
      </w:r>
      <w:r w:rsidRPr="00437FA3">
        <w:rPr>
          <w:rFonts w:ascii="Palatino Linotype" w:hAnsi="Palatino Linotype" w:cs="Arial"/>
          <w:color w:val="000000" w:themeColor="text1"/>
        </w:rPr>
        <w:t>aunque el particular lleve a cabo una solicitud de información sin identificar de forma precisa la documentación, el Sujeto Obligado</w:t>
      </w:r>
      <w:r w:rsidRPr="00437FA3">
        <w:rPr>
          <w:rStyle w:val="apple-converted-space"/>
          <w:rFonts w:ascii="Palatino Linotype" w:hAnsi="Palatino Linotype" w:cs="Arial"/>
          <w:color w:val="000000" w:themeColor="text1"/>
        </w:rPr>
        <w:t xml:space="preserve"> </w:t>
      </w:r>
      <w:r w:rsidRPr="00437FA3">
        <w:rPr>
          <w:rFonts w:ascii="Palatino Linotype" w:hAnsi="Palatino Linotype" w:cs="Arial"/>
          <w:color w:val="000000" w:themeColor="text1"/>
        </w:rPr>
        <w:t>deberá hacer entrega del mismo al solicitante</w:t>
      </w:r>
      <w:r w:rsidRPr="00437FA3">
        <w:rPr>
          <w:rStyle w:val="apple-converted-space"/>
          <w:rFonts w:ascii="Palatino Linotype" w:hAnsi="Palatino Linotype" w:cs="Arial"/>
          <w:color w:val="000000" w:themeColor="text1"/>
        </w:rPr>
        <w:t xml:space="preserve"> </w:t>
      </w:r>
      <w:r w:rsidRPr="00437FA3">
        <w:rPr>
          <w:rFonts w:ascii="Palatino Linotype" w:hAnsi="Palatino Linotype" w:cs="Arial"/>
          <w:color w:val="000000" w:themeColor="text1"/>
        </w:rPr>
        <w:t>mismo que a continuación se cita:</w:t>
      </w:r>
    </w:p>
    <w:p w14:paraId="4A9CEAA4" w14:textId="77777777" w:rsidR="00437FA3" w:rsidRPr="00437FA3" w:rsidRDefault="00437FA3" w:rsidP="00437FA3">
      <w:pPr>
        <w:pStyle w:val="Prrafodelista"/>
        <w:autoSpaceDE w:val="0"/>
        <w:autoSpaceDN w:val="0"/>
        <w:adjustRightInd w:val="0"/>
        <w:spacing w:line="360" w:lineRule="auto"/>
        <w:ind w:left="0"/>
        <w:jc w:val="both"/>
        <w:rPr>
          <w:rFonts w:ascii="Palatino Linotype" w:hAnsi="Palatino Linotype" w:cs="Arial"/>
          <w:color w:val="000000" w:themeColor="text1"/>
          <w:lang w:val="es-MX"/>
        </w:rPr>
      </w:pPr>
    </w:p>
    <w:p w14:paraId="37E6B6D9" w14:textId="4F621B97" w:rsidR="009E3808" w:rsidRPr="00437FA3" w:rsidRDefault="009E3808" w:rsidP="00437FA3">
      <w:pPr>
        <w:pStyle w:val="m7640689326625126977gmail-msolistparagraph"/>
        <w:shd w:val="clear" w:color="auto" w:fill="FFFFFF"/>
        <w:spacing w:before="240" w:beforeAutospacing="0" w:after="360" w:afterAutospacing="0" w:line="360" w:lineRule="auto"/>
        <w:ind w:left="567" w:right="567"/>
        <w:jc w:val="both"/>
        <w:rPr>
          <w:rFonts w:ascii="Palatino Linotype" w:hAnsi="Palatino Linotype" w:cs="Arial"/>
          <w:color w:val="000000" w:themeColor="text1"/>
        </w:rPr>
      </w:pPr>
      <w:r w:rsidRPr="00437FA3">
        <w:rPr>
          <w:rFonts w:ascii="Palatino Linotype" w:hAnsi="Palatino Linotype" w:cs="Arial"/>
          <w:b/>
          <w:bCs/>
          <w:i/>
          <w:iCs/>
          <w:color w:val="000000" w:themeColor="text1"/>
          <w:lang w:val="es-ES_tradnl"/>
        </w:rPr>
        <w:t>“Cuando en una solicitud de información no se identifique un documento en específico, si ésta tiene una expresión documental, el sujeto obligado deberá entregar al particular el documento en específico.</w:t>
      </w:r>
      <w:r w:rsidRPr="00437FA3">
        <w:rPr>
          <w:rStyle w:val="apple-converted-space"/>
          <w:rFonts w:ascii="Palatino Linotype" w:hAnsi="Palatino Linotype" w:cs="Arial"/>
          <w:i/>
          <w:iCs/>
          <w:color w:val="000000" w:themeColor="text1"/>
          <w:lang w:val="es-ES_tradnl"/>
        </w:rPr>
        <w:t xml:space="preserve"> </w:t>
      </w:r>
      <w:r w:rsidRPr="00437FA3">
        <w:rPr>
          <w:rFonts w:ascii="Palatino Linotype" w:hAnsi="Palatino Linotype" w:cs="Arial"/>
          <w:i/>
          <w:iCs/>
          <w:color w:val="000000" w:themeColor="text1"/>
          <w:lang w:val="es-ES_tradnl"/>
        </w:rPr>
        <w:t xml:space="preserve">La Ley Federal de Transparencia y Acceso a la Información Pública Gubernamental tiene por objeto garantizar el acceso a la información contenida en documentos que los sujetos obligados generen, obtengan, adquieran, transformen o conserven por </w:t>
      </w:r>
      <w:r w:rsidRPr="00437FA3">
        <w:rPr>
          <w:rFonts w:ascii="Palatino Linotype" w:hAnsi="Palatino Linotype" w:cs="Arial"/>
          <w:i/>
          <w:iCs/>
          <w:color w:val="000000" w:themeColor="text1"/>
          <w:lang w:val="es-ES_tradnl"/>
        </w:rPr>
        <w:lastRenderedPageBreak/>
        <w:t>cualquier título; que se entienden como cualquier registro que documente el ejercicio de las facultades o la actividad de los sujetos obligados sin importar su fuente o fecha de elaboración. En este sentido, cuando el particular lleve a cabo una solicitud de información sin identificar 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 Es decir, si la respuesta a la solicitud obra en algún documento en poder de la autoridad, pero el particular no hace referencia específica a tal documento, se deberá hacer entrega del mismo al solicitante.”</w:t>
      </w:r>
    </w:p>
    <w:p w14:paraId="054504DF" w14:textId="7C9C7F82" w:rsidR="00505269" w:rsidRPr="00437FA3" w:rsidRDefault="00C41F8A" w:rsidP="00437FA3">
      <w:pPr>
        <w:pStyle w:val="Prrafodelista"/>
        <w:numPr>
          <w:ilvl w:val="0"/>
          <w:numId w:val="1"/>
        </w:numPr>
        <w:spacing w:line="360" w:lineRule="auto"/>
        <w:ind w:left="0" w:firstLine="0"/>
        <w:jc w:val="both"/>
        <w:rPr>
          <w:rFonts w:ascii="Palatino Linotype" w:hAnsi="Palatino Linotype"/>
        </w:rPr>
      </w:pPr>
      <w:r w:rsidRPr="00437FA3">
        <w:rPr>
          <w:rFonts w:ascii="Palatino Linotype" w:hAnsi="Palatino Linotype"/>
          <w:color w:val="000000"/>
        </w:rPr>
        <w:t xml:space="preserve">No se soslaya destacar </w:t>
      </w:r>
      <w:r w:rsidR="008C533D" w:rsidRPr="00437FA3">
        <w:rPr>
          <w:rFonts w:ascii="Palatino Linotype" w:hAnsi="Palatino Linotype"/>
          <w:color w:val="000000"/>
        </w:rPr>
        <w:t xml:space="preserve">que de las constancias que obran en la plataforma del Sistema de Acceso a la Información Mexiquense (SAIMEX) se desprende que ante la solicitud de información </w:t>
      </w:r>
      <w:r w:rsidR="008C533D" w:rsidRPr="00437FA3">
        <w:rPr>
          <w:rFonts w:ascii="Palatino Linotype" w:hAnsi="Palatino Linotype"/>
          <w:b/>
          <w:bCs/>
          <w:color w:val="000000" w:themeColor="text1"/>
        </w:rPr>
        <w:t>00482/UAEM/IP/2017</w:t>
      </w:r>
      <w:r w:rsidR="00E33A5A" w:rsidRPr="00437FA3">
        <w:rPr>
          <w:rFonts w:ascii="Palatino Linotype" w:hAnsi="Palatino Linotype"/>
        </w:rPr>
        <w:t xml:space="preserve"> </w:t>
      </w:r>
      <w:r w:rsidR="00505269" w:rsidRPr="00437FA3">
        <w:rPr>
          <w:rFonts w:ascii="Palatino Linotype" w:hAnsi="Palatino Linotype"/>
        </w:rPr>
        <w:t xml:space="preserve">el </w:t>
      </w:r>
      <w:r w:rsidR="00505269" w:rsidRPr="00437FA3">
        <w:rPr>
          <w:rFonts w:ascii="Palatino Linotype" w:hAnsi="Palatino Linotype"/>
          <w:b/>
        </w:rPr>
        <w:t>SUJETO OBLIGADO</w:t>
      </w:r>
      <w:r w:rsidR="00505269" w:rsidRPr="00437FA3">
        <w:rPr>
          <w:rFonts w:ascii="Palatino Linotype" w:hAnsi="Palatino Linotype"/>
        </w:rPr>
        <w:t xml:space="preserve"> omitió hacer entrega de la información </w:t>
      </w:r>
      <w:r w:rsidR="000C6D16" w:rsidRPr="00437FA3">
        <w:rPr>
          <w:rFonts w:ascii="Palatino Linotype" w:hAnsi="Palatino Linotype"/>
        </w:rPr>
        <w:t>solicitada y tampoco hizo los requerimientos correspondientes a cada servidor público habilitado.</w:t>
      </w:r>
    </w:p>
    <w:p w14:paraId="43D88F6A" w14:textId="77777777" w:rsidR="00505269" w:rsidRPr="00437FA3" w:rsidRDefault="00505269" w:rsidP="00437FA3">
      <w:pPr>
        <w:pStyle w:val="Prrafodelista"/>
        <w:spacing w:line="360" w:lineRule="auto"/>
        <w:ind w:left="0"/>
        <w:jc w:val="both"/>
        <w:rPr>
          <w:rFonts w:ascii="Palatino Linotype" w:hAnsi="Palatino Linotype"/>
        </w:rPr>
      </w:pPr>
    </w:p>
    <w:p w14:paraId="217B687C" w14:textId="1131312F" w:rsidR="00C41F8A" w:rsidRPr="00437FA3" w:rsidRDefault="00C41F8A" w:rsidP="00437FA3">
      <w:pPr>
        <w:pStyle w:val="Prrafodelista"/>
        <w:numPr>
          <w:ilvl w:val="0"/>
          <w:numId w:val="1"/>
        </w:numPr>
        <w:spacing w:before="240" w:after="240" w:line="360" w:lineRule="auto"/>
        <w:ind w:left="0" w:firstLine="0"/>
        <w:jc w:val="both"/>
        <w:rPr>
          <w:rFonts w:ascii="Palatino Linotype" w:hAnsi="Palatino Linotype"/>
        </w:rPr>
      </w:pPr>
      <w:r w:rsidRPr="00437FA3">
        <w:rPr>
          <w:rFonts w:ascii="Palatino Linotype" w:hAnsi="Palatino Linotype"/>
        </w:rPr>
        <w:t>Es imprescindible resaltar</w:t>
      </w:r>
      <w:r w:rsidR="00505269" w:rsidRPr="00437FA3">
        <w:rPr>
          <w:rFonts w:ascii="Palatino Linotype" w:hAnsi="Palatino Linotype"/>
        </w:rPr>
        <w:t xml:space="preserve"> que el </w:t>
      </w:r>
      <w:r w:rsidR="00505269" w:rsidRPr="00437FA3">
        <w:rPr>
          <w:rFonts w:ascii="Palatino Linotype" w:hAnsi="Palatino Linotype"/>
          <w:b/>
        </w:rPr>
        <w:t>SUJETO OBLIGADO</w:t>
      </w:r>
      <w:r w:rsidR="00505269" w:rsidRPr="00437FA3">
        <w:rPr>
          <w:rFonts w:ascii="Palatino Linotype" w:hAnsi="Palatino Linotype"/>
        </w:rPr>
        <w:t xml:space="preserve"> rindió su informe justificado, para manifestar lo que a su derecho asistiera y conviniera, </w:t>
      </w:r>
      <w:r w:rsidRPr="00437FA3">
        <w:rPr>
          <w:rFonts w:ascii="Palatino Linotype" w:hAnsi="Palatino Linotype"/>
        </w:rPr>
        <w:t xml:space="preserve">sin embargo el mismo contiene datos personales susceptibles de ser considerados como </w:t>
      </w:r>
      <w:r w:rsidRPr="00437FA3">
        <w:rPr>
          <w:rFonts w:ascii="Palatino Linotype" w:hAnsi="Palatino Linotype"/>
        </w:rPr>
        <w:lastRenderedPageBreak/>
        <w:t xml:space="preserve">confidenciales como son las </w:t>
      </w:r>
      <w:r w:rsidRPr="00437FA3">
        <w:rPr>
          <w:rFonts w:ascii="Palatino Linotype" w:hAnsi="Palatino Linotype"/>
          <w:b/>
          <w:u w:val="single"/>
        </w:rPr>
        <w:t>calificaciones</w:t>
      </w:r>
      <w:r w:rsidRPr="00437FA3">
        <w:rPr>
          <w:rFonts w:ascii="Palatino Linotype" w:hAnsi="Palatino Linotype"/>
        </w:rPr>
        <w:t xml:space="preserve"> de los servidores públicos, motivo por el cual ningún archivo se puso a disposición de la parte recurrente, tema que será abordado en un apartado posterior.</w:t>
      </w:r>
    </w:p>
    <w:p w14:paraId="06FAFF9D" w14:textId="77777777" w:rsidR="00183D74" w:rsidRPr="00437FA3" w:rsidRDefault="00183D74" w:rsidP="00437FA3">
      <w:pPr>
        <w:pStyle w:val="Prrafodelista"/>
        <w:spacing w:before="240" w:after="240" w:line="360" w:lineRule="auto"/>
        <w:ind w:left="0"/>
        <w:jc w:val="both"/>
        <w:rPr>
          <w:rFonts w:ascii="Palatino Linotype" w:hAnsi="Palatino Linotype"/>
        </w:rPr>
      </w:pPr>
    </w:p>
    <w:p w14:paraId="467CC1DC" w14:textId="77777777" w:rsidR="00183D74" w:rsidRPr="00437FA3" w:rsidRDefault="00183D74" w:rsidP="00437FA3">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437FA3">
        <w:rPr>
          <w:rFonts w:ascii="Palatino Linotype" w:hAnsi="Palatino Linotype"/>
          <w:color w:val="000000" w:themeColor="text1"/>
        </w:rPr>
        <w:t xml:space="preserve">En efecto, el hecho de que el </w:t>
      </w:r>
      <w:r w:rsidRPr="00437FA3">
        <w:rPr>
          <w:rFonts w:ascii="Palatino Linotype" w:hAnsi="Palatino Linotype"/>
          <w:b/>
          <w:color w:val="000000" w:themeColor="text1"/>
        </w:rPr>
        <w:t>SUJETO OBLIGADO</w:t>
      </w:r>
      <w:r w:rsidRPr="00437FA3">
        <w:rPr>
          <w:rFonts w:ascii="Palatino Linotype" w:hAnsi="Palatino Linotype"/>
          <w:color w:val="000000" w:themeColor="text1"/>
        </w:rPr>
        <w:t xml:space="preserve"> haya hecho entrega de acepta que la posee y administra para el ejercicio de sus funciones de derecho público, motivo por el cual se actualiza el supuesto jurídico previsto en el artículo 12 de la </w:t>
      </w:r>
      <w:r w:rsidRPr="00437FA3">
        <w:rPr>
          <w:rFonts w:ascii="Palatino Linotype" w:hAnsi="Palatino Linotype"/>
          <w:b/>
          <w:color w:val="000000" w:themeColor="text1"/>
        </w:rPr>
        <w:t>Ley de Transparencia y Acceso a la Información Pública del Estado de México y Municipios</w:t>
      </w:r>
      <w:r w:rsidRPr="00437FA3">
        <w:rPr>
          <w:rFonts w:ascii="Palatino Linotype" w:hAnsi="Palatino Linotype"/>
          <w:color w:val="000000" w:themeColor="text1"/>
        </w:rPr>
        <w:t>.</w:t>
      </w:r>
    </w:p>
    <w:p w14:paraId="3B25F68E" w14:textId="77777777" w:rsidR="00183D74" w:rsidRPr="00437FA3" w:rsidRDefault="00183D74" w:rsidP="00437FA3">
      <w:pPr>
        <w:pStyle w:val="Prrafodelista"/>
        <w:spacing w:before="240" w:after="240" w:line="360" w:lineRule="auto"/>
        <w:ind w:left="0"/>
        <w:jc w:val="both"/>
        <w:rPr>
          <w:rFonts w:ascii="Palatino Linotype" w:hAnsi="Palatino Linotype"/>
          <w:color w:val="000000" w:themeColor="text1"/>
        </w:rPr>
      </w:pPr>
    </w:p>
    <w:p w14:paraId="3A707310" w14:textId="77777777" w:rsidR="00183D74" w:rsidRPr="00437FA3" w:rsidRDefault="00183D74" w:rsidP="00437FA3">
      <w:pPr>
        <w:pStyle w:val="Prrafodelista"/>
        <w:numPr>
          <w:ilvl w:val="0"/>
          <w:numId w:val="1"/>
        </w:numPr>
        <w:autoSpaceDE w:val="0"/>
        <w:autoSpaceDN w:val="0"/>
        <w:adjustRightInd w:val="0"/>
        <w:spacing w:before="240" w:after="240" w:line="360" w:lineRule="auto"/>
        <w:ind w:left="0" w:firstLine="0"/>
        <w:jc w:val="both"/>
        <w:rPr>
          <w:rFonts w:ascii="Palatino Linotype" w:hAnsi="Palatino Linotype" w:cs="Arial"/>
          <w:color w:val="000000" w:themeColor="text1"/>
          <w:lang w:val="es-ES"/>
        </w:rPr>
      </w:pPr>
      <w:r w:rsidRPr="00437FA3">
        <w:rPr>
          <w:rFonts w:ascii="Palatino Linotype" w:hAnsi="Palatino Linotype"/>
          <w:color w:val="000000" w:themeColor="text1"/>
        </w:rPr>
        <w:t xml:space="preserve">De hecho el estudio de la naturaleza jurídica, tiene por objeto determinar si el </w:t>
      </w:r>
      <w:r w:rsidRPr="00437FA3">
        <w:rPr>
          <w:rFonts w:ascii="Palatino Linotype" w:hAnsi="Palatino Linotype"/>
          <w:b/>
          <w:color w:val="000000" w:themeColor="text1"/>
        </w:rPr>
        <w:t>SUJETO OBLIGADO</w:t>
      </w:r>
      <w:r w:rsidRPr="00437FA3">
        <w:rPr>
          <w:rFonts w:ascii="Palatino Linotype" w:hAnsi="Palatino Linotype"/>
          <w:color w:val="000000" w:themeColor="text1"/>
        </w:rPr>
        <w:t xml:space="preserve"> genera, posee o administra la información pública solicitada; sin embargo, en aquellos casos en que éste la asume, ello implica que la genera, posee o administra; por consiguiente, a nada práctico nos conduciría su estudio, ya que se insiste la información pública solicitada, ya fue asumida por el </w:t>
      </w:r>
      <w:r w:rsidRPr="00437FA3">
        <w:rPr>
          <w:rFonts w:ascii="Palatino Linotype" w:hAnsi="Palatino Linotype"/>
          <w:b/>
          <w:color w:val="000000" w:themeColor="text1"/>
        </w:rPr>
        <w:t>SUJETO OBLIGADO.</w:t>
      </w:r>
    </w:p>
    <w:p w14:paraId="6896BD09" w14:textId="77777777" w:rsidR="00C41F8A" w:rsidRPr="00437FA3" w:rsidRDefault="00C41F8A" w:rsidP="00437FA3">
      <w:pPr>
        <w:pStyle w:val="Prrafodelista"/>
        <w:spacing w:before="240" w:after="240" w:line="360" w:lineRule="auto"/>
        <w:ind w:left="0"/>
        <w:jc w:val="both"/>
        <w:rPr>
          <w:rFonts w:ascii="Palatino Linotype" w:hAnsi="Palatino Linotype"/>
        </w:rPr>
      </w:pPr>
    </w:p>
    <w:p w14:paraId="300FB7A5" w14:textId="49A4374E" w:rsidR="00C41F8A" w:rsidRPr="00437FA3" w:rsidRDefault="00C41F8A" w:rsidP="00437FA3">
      <w:pPr>
        <w:pStyle w:val="Prrafodelista"/>
        <w:numPr>
          <w:ilvl w:val="0"/>
          <w:numId w:val="1"/>
        </w:numPr>
        <w:spacing w:before="240" w:after="240" w:line="360" w:lineRule="auto"/>
        <w:ind w:left="0" w:firstLine="0"/>
        <w:jc w:val="both"/>
        <w:rPr>
          <w:rFonts w:ascii="Palatino Linotype" w:hAnsi="Palatino Linotype"/>
        </w:rPr>
      </w:pPr>
      <w:r w:rsidRPr="00437FA3">
        <w:rPr>
          <w:rFonts w:ascii="Palatino Linotype" w:hAnsi="Palatino Linotype"/>
        </w:rPr>
        <w:t xml:space="preserve">También cabe hacer notar que se pretendió colmar un punto de la solicitud relativo a nómina con un archivo en formato Excel testado en celdas, sin embargo </w:t>
      </w:r>
      <w:r w:rsidR="007A6B9A" w:rsidRPr="00437FA3">
        <w:rPr>
          <w:rFonts w:ascii="Palatino Linotype" w:hAnsi="Palatino Linotype"/>
        </w:rPr>
        <w:t xml:space="preserve">al seleccionar cada celda, en la barra de fórmulas se aprecian datos como son CURP, RFC y Clave de </w:t>
      </w:r>
      <w:proofErr w:type="spellStart"/>
      <w:r w:rsidR="007A6B9A" w:rsidRPr="00437FA3">
        <w:rPr>
          <w:rFonts w:ascii="Palatino Linotype" w:hAnsi="Palatino Linotype"/>
        </w:rPr>
        <w:t>ISSEMyM</w:t>
      </w:r>
      <w:proofErr w:type="spellEnd"/>
      <w:r w:rsidR="007A6B9A" w:rsidRPr="00437FA3">
        <w:rPr>
          <w:rFonts w:ascii="Palatino Linotype" w:hAnsi="Palatino Linotype"/>
        </w:rPr>
        <w:t xml:space="preserve">; por lo que a fin de explicar de manera breve el error </w:t>
      </w:r>
      <w:r w:rsidR="007A6B9A" w:rsidRPr="00437FA3">
        <w:rPr>
          <w:rFonts w:ascii="Palatino Linotype" w:hAnsi="Palatino Linotype"/>
        </w:rPr>
        <w:lastRenderedPageBreak/>
        <w:t xml:space="preserve">cometido </w:t>
      </w:r>
      <w:r w:rsidR="007A6B9A" w:rsidRPr="00437FA3">
        <w:rPr>
          <w:rFonts w:ascii="Palatino Linotype" w:hAnsi="Palatino Linotype"/>
          <w:b/>
          <w:u w:val="single"/>
        </w:rPr>
        <w:t>a manera de ejemplo</w:t>
      </w:r>
      <w:r w:rsidR="007A6B9A" w:rsidRPr="00437FA3">
        <w:rPr>
          <w:rFonts w:ascii="Palatino Linotype" w:hAnsi="Palatino Linotype"/>
        </w:rPr>
        <w:t xml:space="preserve"> se inserta un extracto de imagen con un nombre y datos ficticios a continuación:</w:t>
      </w:r>
    </w:p>
    <w:p w14:paraId="45F23E49" w14:textId="77777777" w:rsidR="007A6B9A" w:rsidRPr="00437FA3" w:rsidRDefault="007A6B9A" w:rsidP="00437FA3">
      <w:pPr>
        <w:pStyle w:val="Prrafodelista"/>
        <w:spacing w:before="240" w:after="240" w:line="360" w:lineRule="auto"/>
        <w:ind w:left="0"/>
        <w:jc w:val="both"/>
        <w:rPr>
          <w:rFonts w:ascii="Palatino Linotype" w:hAnsi="Palatino Linotype"/>
        </w:rPr>
      </w:pPr>
    </w:p>
    <w:p w14:paraId="1664115A" w14:textId="030BDCCC" w:rsidR="00C41F8A" w:rsidRDefault="00183D74" w:rsidP="00437FA3">
      <w:pPr>
        <w:pStyle w:val="Prrafodelista"/>
        <w:spacing w:before="240" w:after="240" w:line="360" w:lineRule="auto"/>
        <w:ind w:left="567"/>
        <w:jc w:val="both"/>
        <w:rPr>
          <w:rFonts w:ascii="Palatino Linotype" w:hAnsi="Palatino Linotype"/>
        </w:rPr>
      </w:pPr>
      <w:r w:rsidRPr="00437FA3">
        <w:rPr>
          <w:rFonts w:ascii="Palatino Linotype" w:hAnsi="Palatino Linotype"/>
          <w:noProof/>
          <w:color w:val="FF0000"/>
          <w:lang w:val="es-MX" w:eastAsia="es-MX"/>
        </w:rPr>
        <mc:AlternateContent>
          <mc:Choice Requires="wps">
            <w:drawing>
              <wp:anchor distT="0" distB="0" distL="114300" distR="114300" simplePos="0" relativeHeight="251660288" behindDoc="0" locked="0" layoutInCell="1" allowOverlap="1" wp14:anchorId="332E1250" wp14:editId="11C96292">
                <wp:simplePos x="0" y="0"/>
                <wp:positionH relativeFrom="column">
                  <wp:posOffset>2739390</wp:posOffset>
                </wp:positionH>
                <wp:positionV relativeFrom="paragraph">
                  <wp:posOffset>2261870</wp:posOffset>
                </wp:positionV>
                <wp:extent cx="561975" cy="0"/>
                <wp:effectExtent l="38100" t="76200" r="28575" b="133350"/>
                <wp:wrapNone/>
                <wp:docPr id="3" name="Conector recto de flecha 3"/>
                <wp:cNvGraphicFramePr/>
                <a:graphic xmlns:a="http://schemas.openxmlformats.org/drawingml/2006/main">
                  <a:graphicData uri="http://schemas.microsoft.com/office/word/2010/wordprocessingShape">
                    <wps:wsp>
                      <wps:cNvCnPr/>
                      <wps:spPr>
                        <a:xfrm>
                          <a:off x="0" y="0"/>
                          <a:ext cx="561975" cy="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305999CB" id="_x0000_t32" coordsize="21600,21600" o:spt="32" o:oned="t" path="m,l21600,21600e" filled="f">
                <v:path arrowok="t" fillok="f" o:connecttype="none"/>
                <o:lock v:ext="edit" shapetype="t"/>
              </v:shapetype>
              <v:shape id="Conector recto de flecha 3" o:spid="_x0000_s1026" type="#_x0000_t32" style="position:absolute;margin-left:215.7pt;margin-top:178.1pt;width:44.25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" strokecolor="red" strokeweight="2pt">
                <v:stroke endarrow="block"/>
                <v:shadow on="t" color="black" opacity="24903f" origin=",.5" offset="0,.55556mm"/>
              </v:shape>
            </w:pict>
          </mc:Fallback>
        </mc:AlternateContent>
      </w:r>
      <w:r w:rsidR="007A6B9A" w:rsidRPr="00437FA3">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4521B580" wp14:editId="79222DE9">
                <wp:simplePos x="0" y="0"/>
                <wp:positionH relativeFrom="column">
                  <wp:posOffset>1815465</wp:posOffset>
                </wp:positionH>
                <wp:positionV relativeFrom="paragraph">
                  <wp:posOffset>1166495</wp:posOffset>
                </wp:positionV>
                <wp:extent cx="695325" cy="19050"/>
                <wp:effectExtent l="38100" t="57150" r="28575" b="133350"/>
                <wp:wrapNone/>
                <wp:docPr id="4" name="Conector recto de flecha 4"/>
                <wp:cNvGraphicFramePr/>
                <a:graphic xmlns:a="http://schemas.openxmlformats.org/drawingml/2006/main">
                  <a:graphicData uri="http://schemas.microsoft.com/office/word/2010/wordprocessingShape">
                    <wps:wsp>
                      <wps:cNvCnPr/>
                      <wps:spPr>
                        <a:xfrm>
                          <a:off x="0" y="0"/>
                          <a:ext cx="695325" cy="1905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9F287CD" id="Conector recto de flecha 4" o:spid="_x0000_s1026" type="#_x0000_t32" style="position:absolute;margin-left:142.95pt;margin-top:91.85pt;width:54.75pt;height:1.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" strokecolor="red" strokeweight="2pt">
                <v:stroke endarrow="block"/>
                <v:shadow on="t" color="black" opacity="24903f" origin=",.5" offset="0,.55556mm"/>
              </v:shape>
            </w:pict>
          </mc:Fallback>
        </mc:AlternateContent>
      </w:r>
      <w:r w:rsidR="007A6B9A" w:rsidRPr="00437FA3">
        <w:rPr>
          <w:rFonts w:ascii="Palatino Linotype" w:hAnsi="Palatino Linotype"/>
          <w:noProof/>
          <w:lang w:val="es-MX" w:eastAsia="es-MX"/>
        </w:rPr>
        <mc:AlternateContent>
          <mc:Choice Requires="wps">
            <w:drawing>
              <wp:anchor distT="0" distB="0" distL="114300" distR="114300" simplePos="0" relativeHeight="251659264" behindDoc="0" locked="0" layoutInCell="1" allowOverlap="1" wp14:anchorId="2BE47233" wp14:editId="050BC5E8">
                <wp:simplePos x="0" y="0"/>
                <wp:positionH relativeFrom="column">
                  <wp:posOffset>2510790</wp:posOffset>
                </wp:positionH>
                <wp:positionV relativeFrom="paragraph">
                  <wp:posOffset>842645</wp:posOffset>
                </wp:positionV>
                <wp:extent cx="1285875" cy="571500"/>
                <wp:effectExtent l="57150" t="38100" r="85725" b="95250"/>
                <wp:wrapNone/>
                <wp:docPr id="2" name="Rectángulo 2"/>
                <wp:cNvGraphicFramePr/>
                <a:graphic xmlns:a="http://schemas.openxmlformats.org/drawingml/2006/main">
                  <a:graphicData uri="http://schemas.microsoft.com/office/word/2010/wordprocessingShape">
                    <wps:wsp>
                      <wps:cNvSpPr/>
                      <wps:spPr>
                        <a:xfrm>
                          <a:off x="0" y="0"/>
                          <a:ext cx="1285875" cy="57150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EA51D1" id="Rectángulo 2" o:spid="_x0000_s1026" style="position:absolute;margin-left:197.7pt;margin-top:66.35pt;width:101.25pt;height: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" filled="f" strokecolor="red" strokeweight="3pt">
                <v:shadow on="t" color="black" opacity="22937f" origin=",.5" offset="0,.63889mm"/>
              </v:rect>
            </w:pict>
          </mc:Fallback>
        </mc:AlternateContent>
      </w:r>
      <w:r w:rsidR="007A6B9A" w:rsidRPr="00437FA3">
        <w:rPr>
          <w:rFonts w:ascii="Palatino Linotype" w:hAnsi="Palatino Linotype"/>
          <w:noProof/>
          <w:lang w:val="es-MX" w:eastAsia="es-MX"/>
        </w:rPr>
        <w:drawing>
          <wp:inline distT="0" distB="0" distL="0" distR="0" wp14:anchorId="2A7CFC6D" wp14:editId="272F66E8">
            <wp:extent cx="4781550" cy="25622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481" r="65139" b="60862"/>
                    <a:stretch/>
                  </pic:blipFill>
                  <pic:spPr bwMode="auto">
                    <a:xfrm>
                      <a:off x="0" y="0"/>
                      <a:ext cx="4781550" cy="2562225"/>
                    </a:xfrm>
                    <a:prstGeom prst="rect">
                      <a:avLst/>
                    </a:prstGeom>
                    <a:ln>
                      <a:noFill/>
                    </a:ln>
                    <a:extLst>
                      <a:ext uri="{53640926-AAD7-44D8-BBD7-CCE9431645EC}">
                        <a14:shadowObscured xmlns:a14="http://schemas.microsoft.com/office/drawing/2010/main"/>
                      </a:ext>
                    </a:extLst>
                  </pic:spPr>
                </pic:pic>
              </a:graphicData>
            </a:graphic>
          </wp:inline>
        </w:drawing>
      </w:r>
    </w:p>
    <w:p w14:paraId="20AA2605" w14:textId="77777777" w:rsidR="00437FA3" w:rsidRPr="00437FA3" w:rsidRDefault="00437FA3" w:rsidP="00437FA3">
      <w:pPr>
        <w:pStyle w:val="Prrafodelista"/>
        <w:spacing w:before="240" w:after="240" w:line="360" w:lineRule="auto"/>
        <w:ind w:left="567"/>
        <w:jc w:val="both"/>
        <w:rPr>
          <w:rFonts w:ascii="Palatino Linotype" w:hAnsi="Palatino Linotype"/>
        </w:rPr>
      </w:pPr>
    </w:p>
    <w:p w14:paraId="2D00B899" w14:textId="77777777" w:rsidR="007A6B9A" w:rsidRPr="00437FA3" w:rsidRDefault="007A6B9A" w:rsidP="00437FA3">
      <w:pPr>
        <w:pStyle w:val="Prrafodelista"/>
        <w:spacing w:before="240" w:after="240" w:line="360" w:lineRule="auto"/>
        <w:ind w:left="0"/>
        <w:jc w:val="both"/>
        <w:rPr>
          <w:rFonts w:ascii="Palatino Linotype" w:hAnsi="Palatino Linotype"/>
        </w:rPr>
      </w:pPr>
    </w:p>
    <w:p w14:paraId="228A5F37" w14:textId="2F1224A0" w:rsidR="009F37A1" w:rsidRPr="00437FA3" w:rsidRDefault="009F37A1" w:rsidP="00437FA3">
      <w:pPr>
        <w:pStyle w:val="Prrafodelista"/>
        <w:numPr>
          <w:ilvl w:val="0"/>
          <w:numId w:val="1"/>
        </w:numPr>
        <w:spacing w:before="240" w:after="240" w:line="360" w:lineRule="auto"/>
        <w:ind w:left="0" w:firstLine="0"/>
        <w:jc w:val="both"/>
        <w:rPr>
          <w:rFonts w:ascii="Palatino Linotype" w:hAnsi="Palatino Linotype"/>
        </w:rPr>
      </w:pPr>
      <w:r w:rsidRPr="00437FA3">
        <w:rPr>
          <w:rFonts w:ascii="Palatino Linotype" w:hAnsi="Palatino Linotype"/>
        </w:rPr>
        <w:t xml:space="preserve">De la misma forma el </w:t>
      </w:r>
      <w:r w:rsidRPr="00437FA3">
        <w:rPr>
          <w:rFonts w:ascii="Palatino Linotype" w:hAnsi="Palatino Linotype"/>
          <w:b/>
        </w:rPr>
        <w:t>SUJETO OBLIGADO</w:t>
      </w:r>
      <w:r w:rsidRPr="00437FA3">
        <w:rPr>
          <w:rFonts w:ascii="Palatino Linotype" w:hAnsi="Palatino Linotype"/>
        </w:rPr>
        <w:t xml:space="preserve"> adjunta en formato Excel el archivo electrónico denominado “</w:t>
      </w:r>
      <w:r w:rsidRPr="00437FA3">
        <w:rPr>
          <w:rFonts w:ascii="Palatino Linotype" w:hAnsi="Palatino Linotype"/>
          <w:b/>
          <w:i/>
        </w:rPr>
        <w:t xml:space="preserve">NOMINA GENERAL 1ª enero. </w:t>
      </w:r>
      <w:proofErr w:type="spellStart"/>
      <w:r w:rsidRPr="00437FA3">
        <w:rPr>
          <w:rFonts w:ascii="Palatino Linotype" w:hAnsi="Palatino Linotype"/>
          <w:b/>
          <w:i/>
        </w:rPr>
        <w:t>xlsx</w:t>
      </w:r>
      <w:proofErr w:type="spellEnd"/>
      <w:r w:rsidRPr="00437FA3">
        <w:rPr>
          <w:rFonts w:ascii="Palatino Linotype" w:hAnsi="Palatino Linotype"/>
        </w:rPr>
        <w:t>”, mismo que se encuentra protegido para su visualización y edición tal como se muestra:</w:t>
      </w:r>
    </w:p>
    <w:p w14:paraId="3A7D422B" w14:textId="315C017F" w:rsidR="009F37A1" w:rsidRDefault="009F37A1" w:rsidP="00437FA3">
      <w:pPr>
        <w:pStyle w:val="Prrafodelista"/>
        <w:spacing w:before="240" w:after="240" w:line="360" w:lineRule="auto"/>
        <w:ind w:left="0"/>
        <w:jc w:val="both"/>
        <w:rPr>
          <w:rFonts w:ascii="Palatino Linotype" w:hAnsi="Palatino Linotype"/>
        </w:rPr>
      </w:pPr>
      <w:r w:rsidRPr="00437FA3">
        <w:rPr>
          <w:rFonts w:ascii="Palatino Linotype" w:hAnsi="Palatino Linotype"/>
          <w:noProof/>
          <w:lang w:val="es-MX" w:eastAsia="es-MX"/>
        </w:rPr>
        <w:lastRenderedPageBreak/>
        <mc:AlternateContent>
          <mc:Choice Requires="wps">
            <w:drawing>
              <wp:anchor distT="0" distB="0" distL="114300" distR="114300" simplePos="0" relativeHeight="251664384" behindDoc="0" locked="0" layoutInCell="1" allowOverlap="1" wp14:anchorId="31B23FE0" wp14:editId="2D8C528C">
                <wp:simplePos x="0" y="0"/>
                <wp:positionH relativeFrom="column">
                  <wp:posOffset>777240</wp:posOffset>
                </wp:positionH>
                <wp:positionV relativeFrom="paragraph">
                  <wp:posOffset>1835150</wp:posOffset>
                </wp:positionV>
                <wp:extent cx="1200150" cy="361950"/>
                <wp:effectExtent l="57150" t="38100" r="38100" b="95250"/>
                <wp:wrapNone/>
                <wp:docPr id="15" name="Flecha derecha 15"/>
                <wp:cNvGraphicFramePr/>
                <a:graphic xmlns:a="http://schemas.openxmlformats.org/drawingml/2006/main">
                  <a:graphicData uri="http://schemas.microsoft.com/office/word/2010/wordprocessingShape">
                    <wps:wsp>
                      <wps:cNvSpPr/>
                      <wps:spPr>
                        <a:xfrm>
                          <a:off x="0" y="0"/>
                          <a:ext cx="1200150" cy="361950"/>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675E93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5" o:spid="_x0000_s1026" type="#_x0000_t13" style="position:absolute;margin-left:61.2pt;margin-top:144.5pt;width:94.5pt;height:2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" adj="18343" fillcolor="red" strokecolor="red">
                <v:shadow on="t" color="black" opacity="22937f" origin=",.5" offset="0,.63889mm"/>
              </v:shape>
            </w:pict>
          </mc:Fallback>
        </mc:AlternateContent>
      </w:r>
      <w:r w:rsidRPr="00437FA3">
        <w:rPr>
          <w:rFonts w:ascii="Palatino Linotype" w:hAnsi="Palatino Linotype"/>
          <w:noProof/>
          <w:lang w:val="es-MX" w:eastAsia="es-MX"/>
        </w:rPr>
        <mc:AlternateContent>
          <mc:Choice Requires="wps">
            <w:drawing>
              <wp:anchor distT="0" distB="0" distL="114300" distR="114300" simplePos="0" relativeHeight="251663360" behindDoc="0" locked="0" layoutInCell="1" allowOverlap="1" wp14:anchorId="1FF92AFE" wp14:editId="51540CB2">
                <wp:simplePos x="0" y="0"/>
                <wp:positionH relativeFrom="column">
                  <wp:posOffset>862964</wp:posOffset>
                </wp:positionH>
                <wp:positionV relativeFrom="paragraph">
                  <wp:posOffset>1939925</wp:posOffset>
                </wp:positionV>
                <wp:extent cx="1114425" cy="57150"/>
                <wp:effectExtent l="38100" t="38100" r="85725" b="133350"/>
                <wp:wrapNone/>
                <wp:docPr id="14" name="Conector recto de flecha 14"/>
                <wp:cNvGraphicFramePr/>
                <a:graphic xmlns:a="http://schemas.openxmlformats.org/drawingml/2006/main">
                  <a:graphicData uri="http://schemas.microsoft.com/office/word/2010/wordprocessingShape">
                    <wps:wsp>
                      <wps:cNvCnPr/>
                      <wps:spPr>
                        <a:xfrm>
                          <a:off x="0" y="0"/>
                          <a:ext cx="1114425" cy="571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21CF2122" id="_x0000_t32" coordsize="21600,21600" o:spt="32" o:oned="t" path="m,l21600,21600e" filled="f">
                <v:path arrowok="t" fillok="f" o:connecttype="none"/>
                <o:lock v:ext="edit" shapetype="t"/>
              </v:shapetype>
              <v:shape id="Conector recto de flecha 14" o:spid="_x0000_s1026" type="#_x0000_t32" style="position:absolute;margin-left:67.95pt;margin-top:152.75pt;width:87.75pt;height:4.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" strokecolor="#4f81bd [3204]" strokeweight="2pt">
                <v:stroke endarrow="block"/>
                <v:shadow on="t" color="black" opacity="24903f" origin=",.5" offset="0,.55556mm"/>
              </v:shape>
            </w:pict>
          </mc:Fallback>
        </mc:AlternateContent>
      </w:r>
      <w:r w:rsidRPr="00437FA3">
        <w:rPr>
          <w:rFonts w:ascii="Palatino Linotype" w:hAnsi="Palatino Linotype"/>
          <w:noProof/>
          <w:lang w:val="es-MX" w:eastAsia="es-MX"/>
        </w:rPr>
        <w:drawing>
          <wp:inline distT="0" distB="0" distL="0" distR="0" wp14:anchorId="5A78B394" wp14:editId="4B91F045">
            <wp:extent cx="5610225" cy="24765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275" t="16079" r="53578" b="35380"/>
                    <a:stretch/>
                  </pic:blipFill>
                  <pic:spPr bwMode="auto">
                    <a:xfrm>
                      <a:off x="0" y="0"/>
                      <a:ext cx="5610225" cy="2476500"/>
                    </a:xfrm>
                    <a:prstGeom prst="rect">
                      <a:avLst/>
                    </a:prstGeom>
                    <a:ln>
                      <a:noFill/>
                    </a:ln>
                    <a:extLst>
                      <a:ext uri="{53640926-AAD7-44D8-BBD7-CCE9431645EC}">
                        <a14:shadowObscured xmlns:a14="http://schemas.microsoft.com/office/drawing/2010/main"/>
                      </a:ext>
                    </a:extLst>
                  </pic:spPr>
                </pic:pic>
              </a:graphicData>
            </a:graphic>
          </wp:inline>
        </w:drawing>
      </w:r>
    </w:p>
    <w:p w14:paraId="3A814603" w14:textId="77777777" w:rsidR="00437FA3" w:rsidRPr="00437FA3" w:rsidRDefault="00437FA3" w:rsidP="00437FA3">
      <w:pPr>
        <w:pStyle w:val="Prrafodelista"/>
        <w:spacing w:before="240" w:after="240" w:line="360" w:lineRule="auto"/>
        <w:ind w:left="0"/>
        <w:jc w:val="both"/>
        <w:rPr>
          <w:rFonts w:ascii="Palatino Linotype" w:hAnsi="Palatino Linotype"/>
        </w:rPr>
      </w:pPr>
    </w:p>
    <w:p w14:paraId="277F1FDD" w14:textId="077B504C" w:rsidR="000C6D16" w:rsidRPr="00437FA3" w:rsidRDefault="00FE46D3" w:rsidP="00437FA3">
      <w:pPr>
        <w:pStyle w:val="Prrafodelista"/>
        <w:numPr>
          <w:ilvl w:val="0"/>
          <w:numId w:val="1"/>
        </w:numPr>
        <w:spacing w:before="240" w:after="240" w:line="360" w:lineRule="auto"/>
        <w:ind w:left="0" w:firstLine="0"/>
        <w:jc w:val="both"/>
        <w:rPr>
          <w:rFonts w:ascii="Palatino Linotype" w:hAnsi="Palatino Linotype"/>
        </w:rPr>
      </w:pPr>
      <w:r w:rsidRPr="00437FA3">
        <w:rPr>
          <w:rFonts w:ascii="Palatino Linotype" w:hAnsi="Palatino Linotype"/>
        </w:rPr>
        <w:t xml:space="preserve">Finalmente, es muy importante advertir que en dicho informe justificado el </w:t>
      </w:r>
      <w:r w:rsidRPr="00437FA3">
        <w:rPr>
          <w:rFonts w:ascii="Palatino Linotype" w:hAnsi="Palatino Linotype"/>
          <w:b/>
        </w:rPr>
        <w:t>SUJETO OBLIGADO</w:t>
      </w:r>
      <w:r w:rsidRPr="00437FA3">
        <w:rPr>
          <w:rFonts w:ascii="Palatino Linotype" w:hAnsi="Palatino Linotype"/>
        </w:rPr>
        <w:t xml:space="preserve"> excusa su falta de respuesta señalando medularmente que “</w:t>
      </w:r>
      <w:r w:rsidRPr="00437FA3">
        <w:rPr>
          <w:rFonts w:ascii="Palatino Linotype" w:hAnsi="Palatino Linotype"/>
          <w:i/>
        </w:rPr>
        <w:t>manifestando a usted en este acto y bajo protesta de decir verdad que por un error involuntario en el uso del Sistema de Acceso a la Información Mexiquense (SAIMEX) no se cargó debidamente la etapa de prorroga autorizada, habilitándose el rubro"( REQUERIMIENTO)", por lo que se consideró que al contar con la aprobación de la misma por parte del Comité de Transparencia y estando en tiempo se emitió la respuesta, la cual por el volumen de información no se cargó de forma inmediata por parte del sistema y se viera reflejada en día diverso, sin embargo y atentos a que el particular había interpuesto recurso de revisión se me explico por parte del área de Sistemas de ese Instituto que la misma se encuentra reflejada en el apartado de "Manifestaciones" en el mes de febrero y no así como una respuesta a la solicitud.</w:t>
      </w:r>
      <w:r w:rsidRPr="00437FA3">
        <w:rPr>
          <w:rFonts w:ascii="Palatino Linotype" w:hAnsi="Palatino Linotype"/>
        </w:rPr>
        <w:t>”</w:t>
      </w:r>
    </w:p>
    <w:p w14:paraId="1118B5DA" w14:textId="77777777" w:rsidR="00BE64E4" w:rsidRPr="00437FA3" w:rsidRDefault="00BE64E4" w:rsidP="00437FA3">
      <w:pPr>
        <w:pStyle w:val="Prrafodelista"/>
        <w:spacing w:before="240" w:after="240" w:line="360" w:lineRule="auto"/>
        <w:ind w:left="0"/>
        <w:jc w:val="both"/>
        <w:rPr>
          <w:rFonts w:ascii="Palatino Linotype" w:hAnsi="Palatino Linotype"/>
        </w:rPr>
      </w:pPr>
    </w:p>
    <w:p w14:paraId="7EC0669F" w14:textId="18E45C36" w:rsidR="00BE64E4" w:rsidRPr="00437FA3" w:rsidRDefault="00505269" w:rsidP="00437FA3">
      <w:pPr>
        <w:pStyle w:val="Prrafodelista"/>
        <w:numPr>
          <w:ilvl w:val="0"/>
          <w:numId w:val="1"/>
        </w:numPr>
        <w:spacing w:before="240" w:after="240" w:line="360" w:lineRule="auto"/>
        <w:ind w:left="0" w:firstLine="0"/>
        <w:jc w:val="both"/>
        <w:rPr>
          <w:rFonts w:ascii="Palatino Linotype" w:hAnsi="Palatino Linotype"/>
        </w:rPr>
      </w:pPr>
      <w:r w:rsidRPr="00437FA3">
        <w:rPr>
          <w:rFonts w:ascii="Palatino Linotype" w:hAnsi="Palatino Linotype"/>
          <w:bCs/>
          <w:color w:val="000000" w:themeColor="text1"/>
          <w:shd w:val="clear" w:color="auto" w:fill="FFFFFF"/>
        </w:rPr>
        <w:t xml:space="preserve">En atención a ello ésta ponencia procedió </w:t>
      </w:r>
      <w:r w:rsidR="00BE64E4" w:rsidRPr="00437FA3">
        <w:rPr>
          <w:rFonts w:ascii="Palatino Linotype" w:hAnsi="Palatino Linotype" w:cs="Arial"/>
        </w:rPr>
        <w:t xml:space="preserve">a solicitar vía correo electrónico a la Dirección de Informática, información respecto a la capacidad máxima que soporta el </w:t>
      </w:r>
      <w:r w:rsidR="00BE64E4" w:rsidRPr="00437FA3">
        <w:rPr>
          <w:rFonts w:ascii="Palatino Linotype" w:hAnsi="Palatino Linotype" w:cs="Arial"/>
          <w:b/>
        </w:rPr>
        <w:t>SAIMEX</w:t>
      </w:r>
      <w:r w:rsidR="00BE64E4" w:rsidRPr="00437FA3">
        <w:rPr>
          <w:rFonts w:ascii="Palatino Linotype" w:hAnsi="Palatino Linotype" w:cs="Arial"/>
        </w:rPr>
        <w:t xml:space="preserve"> para adjuntar archivos electrónicos, y verificar si existe registro de incidencias por parte del </w:t>
      </w:r>
      <w:r w:rsidR="00BE64E4" w:rsidRPr="00437FA3">
        <w:rPr>
          <w:rFonts w:ascii="Palatino Linotype" w:hAnsi="Palatino Linotype" w:cs="Arial"/>
          <w:b/>
        </w:rPr>
        <w:t>Organismo Público Descentralizado para la Prestación de los Servicios de Agua Potable Alcantarillado y Saneamiento de Nicolás Romero</w:t>
      </w:r>
      <w:r w:rsidR="00BE64E4" w:rsidRPr="00437FA3">
        <w:rPr>
          <w:rFonts w:ascii="Palatino Linotype" w:hAnsi="Palatino Linotype" w:cs="Arial"/>
        </w:rPr>
        <w:t>, para constatar lo anterior se muestra la respuesta:</w:t>
      </w:r>
    </w:p>
    <w:p w14:paraId="1F87ABCB" w14:textId="77777777" w:rsidR="00262126" w:rsidRPr="00437FA3" w:rsidRDefault="00262126" w:rsidP="00437FA3">
      <w:pPr>
        <w:pStyle w:val="Prrafodelista"/>
        <w:spacing w:before="240" w:after="240" w:line="360" w:lineRule="auto"/>
        <w:ind w:left="0"/>
        <w:jc w:val="both"/>
        <w:rPr>
          <w:rFonts w:ascii="Palatino Linotype" w:hAnsi="Palatino Linotype"/>
        </w:rPr>
      </w:pPr>
    </w:p>
    <w:p w14:paraId="20C419C0" w14:textId="0E3554FC" w:rsidR="00FE46D3" w:rsidRPr="00437FA3" w:rsidRDefault="00422DF3" w:rsidP="00437FA3">
      <w:pPr>
        <w:pStyle w:val="Prrafodelista"/>
        <w:spacing w:before="240" w:after="240" w:line="360" w:lineRule="auto"/>
        <w:ind w:left="0"/>
        <w:jc w:val="both"/>
        <w:rPr>
          <w:rFonts w:ascii="Palatino Linotype" w:hAnsi="Palatino Linotype"/>
          <w:highlight w:val="yellow"/>
        </w:rPr>
      </w:pPr>
      <w:r w:rsidRPr="00437FA3">
        <w:rPr>
          <w:rFonts w:ascii="Palatino Linotype" w:hAnsi="Palatino Linotype"/>
          <w:noProof/>
          <w:color w:val="FF0000"/>
          <w:lang w:val="es-MX" w:eastAsia="es-MX"/>
        </w:rPr>
        <mc:AlternateContent>
          <mc:Choice Requires="wps">
            <w:drawing>
              <wp:anchor distT="0" distB="0" distL="114300" distR="114300" simplePos="0" relativeHeight="251662336" behindDoc="0" locked="0" layoutInCell="1" allowOverlap="1" wp14:anchorId="7DA44D74" wp14:editId="47C0C2E4">
                <wp:simplePos x="0" y="0"/>
                <wp:positionH relativeFrom="column">
                  <wp:posOffset>3339464</wp:posOffset>
                </wp:positionH>
                <wp:positionV relativeFrom="paragraph">
                  <wp:posOffset>554354</wp:posOffset>
                </wp:positionV>
                <wp:extent cx="1895475" cy="0"/>
                <wp:effectExtent l="38100" t="38100" r="66675" b="95250"/>
                <wp:wrapNone/>
                <wp:docPr id="8" name="Conector recto 8"/>
                <wp:cNvGraphicFramePr/>
                <a:graphic xmlns:a="http://schemas.openxmlformats.org/drawingml/2006/main">
                  <a:graphicData uri="http://schemas.microsoft.com/office/word/2010/wordprocessingShape">
                    <wps:wsp>
                      <wps:cNvCnPr/>
                      <wps:spPr>
                        <a:xfrm flipV="1">
                          <a:off x="0" y="0"/>
                          <a:ext cx="1895475"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36EC00" id="Conector recto 8"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95pt,43.65pt" to="412.2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" strokecolor="red" strokeweight="2pt">
                <v:shadow on="t" color="black" opacity="24903f" origin=",.5" offset="0,.55556mm"/>
              </v:line>
            </w:pict>
          </mc:Fallback>
        </mc:AlternateContent>
      </w:r>
      <w:r w:rsidR="00262126" w:rsidRPr="00437FA3">
        <w:rPr>
          <w:rFonts w:ascii="Palatino Linotype" w:hAnsi="Palatino Linotype"/>
          <w:noProof/>
          <w:lang w:val="es-MX" w:eastAsia="es-MX"/>
        </w:rPr>
        <w:drawing>
          <wp:inline distT="0" distB="0" distL="0" distR="0" wp14:anchorId="17D3BB93" wp14:editId="2F0C841F">
            <wp:extent cx="5610225" cy="195262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580" t="34546" r="4935" b="50867"/>
                    <a:stretch/>
                  </pic:blipFill>
                  <pic:spPr bwMode="auto">
                    <a:xfrm>
                      <a:off x="0" y="0"/>
                      <a:ext cx="5627626" cy="1958681"/>
                    </a:xfrm>
                    <a:prstGeom prst="rect">
                      <a:avLst/>
                    </a:prstGeom>
                    <a:ln>
                      <a:noFill/>
                    </a:ln>
                    <a:extLst>
                      <a:ext uri="{53640926-AAD7-44D8-BBD7-CCE9431645EC}">
                        <a14:shadowObscured xmlns:a14="http://schemas.microsoft.com/office/drawing/2010/main"/>
                      </a:ext>
                    </a:extLst>
                  </pic:spPr>
                </pic:pic>
              </a:graphicData>
            </a:graphic>
          </wp:inline>
        </w:drawing>
      </w:r>
    </w:p>
    <w:p w14:paraId="32D64D0F" w14:textId="77777777" w:rsidR="00262126" w:rsidRPr="00437FA3" w:rsidRDefault="00262126" w:rsidP="00437FA3">
      <w:pPr>
        <w:pStyle w:val="Prrafodelista"/>
        <w:spacing w:before="240" w:after="240" w:line="360" w:lineRule="auto"/>
        <w:ind w:left="0"/>
        <w:jc w:val="both"/>
        <w:rPr>
          <w:rFonts w:ascii="Palatino Linotype" w:hAnsi="Palatino Linotype"/>
          <w:highlight w:val="yellow"/>
        </w:rPr>
      </w:pPr>
    </w:p>
    <w:p w14:paraId="649E664A" w14:textId="7D43D49C" w:rsidR="00D91506" w:rsidRPr="00437FA3" w:rsidRDefault="00BE64E4" w:rsidP="00437FA3">
      <w:pPr>
        <w:pStyle w:val="Prrafodelista"/>
        <w:numPr>
          <w:ilvl w:val="0"/>
          <w:numId w:val="1"/>
        </w:numPr>
        <w:spacing w:before="240" w:after="240" w:line="360" w:lineRule="auto"/>
        <w:ind w:left="0" w:firstLine="0"/>
        <w:jc w:val="both"/>
        <w:rPr>
          <w:rFonts w:ascii="Palatino Linotype" w:hAnsi="Palatino Linotype" w:cs="Arial"/>
        </w:rPr>
      </w:pPr>
      <w:r w:rsidRPr="00437FA3">
        <w:rPr>
          <w:rFonts w:ascii="Palatino Linotype" w:hAnsi="Palatino Linotype" w:cs="Arial"/>
        </w:rPr>
        <w:t xml:space="preserve">Por lo anteriormente observado, cabe precisar </w:t>
      </w:r>
      <w:r w:rsidR="00422DF3" w:rsidRPr="00437FA3">
        <w:rPr>
          <w:rFonts w:ascii="Palatino Linotype" w:hAnsi="Palatino Linotype" w:cs="Arial"/>
          <w:b/>
          <w:u w:val="single"/>
        </w:rPr>
        <w:t>NO</w:t>
      </w:r>
      <w:r w:rsidRPr="00437FA3">
        <w:rPr>
          <w:rFonts w:ascii="Palatino Linotype" w:hAnsi="Palatino Linotype" w:cs="Arial"/>
        </w:rPr>
        <w:t xml:space="preserve"> se tienen registros de incidencias mediante los cuales se hayan asentado las llamadas por parte del </w:t>
      </w:r>
      <w:r w:rsidRPr="00437FA3">
        <w:rPr>
          <w:rFonts w:ascii="Palatino Linotype" w:hAnsi="Palatino Linotype" w:cs="Arial"/>
          <w:b/>
        </w:rPr>
        <w:t>Organismo Público Descentralizado para la Prestación de los Servicios de Agua Potable Alcantarillado y Saneamiento de Nicolás Romero</w:t>
      </w:r>
      <w:r w:rsidRPr="00437FA3">
        <w:rPr>
          <w:rFonts w:ascii="Palatino Linotype" w:hAnsi="Palatino Linotype" w:cs="Arial"/>
        </w:rPr>
        <w:t>, referentes al apoyo técnico para agregar los archivos electrónicos al Sistema de Acceso a la Información Mexiquense (SAIMEX)</w:t>
      </w:r>
      <w:r w:rsidRPr="00437FA3">
        <w:rPr>
          <w:rFonts w:ascii="Palatino Linotype" w:hAnsi="Palatino Linotype" w:cs="Arial"/>
          <w:b/>
        </w:rPr>
        <w:t xml:space="preserve">, </w:t>
      </w:r>
      <w:r w:rsidRPr="00437FA3">
        <w:rPr>
          <w:rFonts w:ascii="Palatino Linotype" w:hAnsi="Palatino Linotype" w:cs="Arial"/>
        </w:rPr>
        <w:t xml:space="preserve">además cabe señalar que el máximo de archivos que soporta </w:t>
      </w:r>
      <w:r w:rsidRPr="00437FA3">
        <w:rPr>
          <w:rFonts w:ascii="Palatino Linotype" w:hAnsi="Palatino Linotype" w:cs="Arial"/>
        </w:rPr>
        <w:lastRenderedPageBreak/>
        <w:t xml:space="preserve">el SAIMEX para adjuntar información es de hasta </w:t>
      </w:r>
      <w:r w:rsidR="00D91506" w:rsidRPr="00437FA3">
        <w:rPr>
          <w:rFonts w:ascii="Palatino Linotype" w:hAnsi="Palatino Linotype" w:cs="Arial"/>
        </w:rPr>
        <w:t>8000 hojas o peso aproximado de 500 Mb, por lo que en el presente asunto el volumen no es óbice para que entregue la información por medio de la modalidad solicitada de forma oportuna.</w:t>
      </w:r>
    </w:p>
    <w:p w14:paraId="4F6E23D9" w14:textId="5249646C" w:rsidR="00E33A5A" w:rsidRPr="00437FA3" w:rsidRDefault="00E33A5A" w:rsidP="00437FA3">
      <w:pPr>
        <w:pStyle w:val="Prrafodelista"/>
        <w:spacing w:before="240" w:after="240" w:line="360" w:lineRule="auto"/>
        <w:ind w:left="0"/>
        <w:jc w:val="both"/>
        <w:rPr>
          <w:rFonts w:ascii="Palatino Linotype" w:hAnsi="Palatino Linotype"/>
          <w:highlight w:val="yellow"/>
        </w:rPr>
      </w:pPr>
    </w:p>
    <w:p w14:paraId="5D71B39E" w14:textId="77777777" w:rsidR="00505269" w:rsidRPr="00437FA3" w:rsidRDefault="00505269" w:rsidP="00437FA3">
      <w:pPr>
        <w:pStyle w:val="Prrafodelista"/>
        <w:numPr>
          <w:ilvl w:val="0"/>
          <w:numId w:val="1"/>
        </w:numPr>
        <w:spacing w:before="240" w:after="240" w:line="360" w:lineRule="auto"/>
        <w:ind w:left="0" w:firstLine="0"/>
        <w:jc w:val="both"/>
        <w:rPr>
          <w:rFonts w:ascii="Palatino Linotype" w:hAnsi="Palatino Linotype" w:cs="Arial"/>
        </w:rPr>
      </w:pPr>
      <w:r w:rsidRPr="00437FA3">
        <w:rPr>
          <w:rFonts w:ascii="Palatino Linotype" w:hAnsi="Palatino Linotype" w:cs="Arial"/>
        </w:rPr>
        <w:t xml:space="preserve">En primer lugar, todo </w:t>
      </w:r>
      <w:r w:rsidRPr="00437FA3">
        <w:rPr>
          <w:rFonts w:ascii="Palatino Linotype" w:hAnsi="Palatino Linotype" w:cs="Arial"/>
          <w:b/>
        </w:rPr>
        <w:t xml:space="preserve">SUJETO OBLIGADO, </w:t>
      </w:r>
      <w:r w:rsidRPr="00437FA3">
        <w:rPr>
          <w:rFonts w:ascii="Palatino Linotype" w:hAnsi="Palatino Linotype" w:cs="Arial"/>
        </w:rPr>
        <w:t xml:space="preserve">debe tener presente que la </w:t>
      </w:r>
      <w:r w:rsidRPr="00437FA3">
        <w:rPr>
          <w:rFonts w:ascii="Palatino Linotype" w:hAnsi="Palatino Linotype" w:cs="Arial"/>
          <w:b/>
        </w:rPr>
        <w:t xml:space="preserve">Ley de Transparencia y Acceso a la Información Pública del Estado de México y Municipios, </w:t>
      </w:r>
      <w:r w:rsidRPr="00437FA3">
        <w:rPr>
          <w:rFonts w:ascii="Palatino Linotype" w:hAnsi="Palatino Linotype" w:cs="Arial"/>
        </w:rPr>
        <w:t xml:space="preserve">establece principios, bases generales y procedimientos para tutelar y garantizar la transparencia y el derecho humano de acceso a la información pública que generan, administran o poseen, y asimismo establece que todo procedimiento en materia de acceso a la información deberá sustanciares de manera sencilla y expedita propiciando loas condiciones para el acceso, entrega y publicación de información, procedimiento que hasta en ese momento la Unidad de Trasparencia se apegó a lo dispuesto  en el artículo 162 de la Ley de Transparencia y Acceso a la Información Pública del Estado de México y Municipios, el cual establece que las Unidades de Transparencia deberán garantizar que las </w:t>
      </w:r>
      <w:r w:rsidRPr="00437FA3">
        <w:rPr>
          <w:rFonts w:ascii="Palatino Linotype" w:hAnsi="Palatino Linotype" w:cs="Arial"/>
          <w:b/>
        </w:rPr>
        <w:t>solicitudes se turnen a todas la Áreas competentes</w:t>
      </w:r>
      <w:r w:rsidRPr="00437FA3">
        <w:rPr>
          <w:rFonts w:ascii="Palatino Linotype" w:hAnsi="Palatino Linotype" w:cs="Arial"/>
        </w:rPr>
        <w:t xml:space="preserve"> que cuenten con la información de acuerdo a sus  </w:t>
      </w:r>
      <w:r w:rsidRPr="00437FA3">
        <w:rPr>
          <w:rFonts w:ascii="Palatino Linotype" w:hAnsi="Palatino Linotype"/>
        </w:rPr>
        <w:t>facultades, competencias y funciones, con el objeto de que realicen una búsqueda exhaustiva y razonable de la información solicitada.</w:t>
      </w:r>
    </w:p>
    <w:p w14:paraId="6E04A7B6" w14:textId="77777777" w:rsidR="00505269" w:rsidRPr="00437FA3" w:rsidRDefault="00505269" w:rsidP="00437FA3">
      <w:pPr>
        <w:pStyle w:val="Prrafodelista"/>
        <w:spacing w:line="360" w:lineRule="auto"/>
        <w:ind w:left="0"/>
        <w:jc w:val="both"/>
        <w:rPr>
          <w:rFonts w:ascii="Palatino Linotype" w:hAnsi="Palatino Linotype" w:cs="Arial"/>
        </w:rPr>
      </w:pPr>
    </w:p>
    <w:p w14:paraId="43A2DFDC" w14:textId="77777777" w:rsidR="00505269" w:rsidRPr="00437FA3" w:rsidRDefault="00505269" w:rsidP="00437FA3">
      <w:pPr>
        <w:pStyle w:val="Prrafodelista"/>
        <w:numPr>
          <w:ilvl w:val="0"/>
          <w:numId w:val="1"/>
        </w:numPr>
        <w:spacing w:line="360" w:lineRule="auto"/>
        <w:ind w:left="0" w:firstLine="0"/>
        <w:jc w:val="both"/>
        <w:rPr>
          <w:rFonts w:ascii="Palatino Linotype" w:hAnsi="Palatino Linotype" w:cs="Arial"/>
        </w:rPr>
      </w:pPr>
      <w:r w:rsidRPr="00437FA3">
        <w:rPr>
          <w:rFonts w:ascii="Palatino Linotype" w:hAnsi="Palatino Linotype" w:cs="Arial"/>
        </w:rPr>
        <w:t xml:space="preserve">Sin embargo, una vez que el Servidor Público Habilitado en ejercicio de sus funciones, atiende la solicitud de información la Unidad de Transparencia deberá </w:t>
      </w:r>
      <w:r w:rsidRPr="00437FA3">
        <w:rPr>
          <w:rFonts w:ascii="Palatino Linotype" w:hAnsi="Palatino Linotype" w:cs="Arial"/>
        </w:rPr>
        <w:lastRenderedPageBreak/>
        <w:t xml:space="preserve">notificar la respuesta a la solicitud de información al interesado en el menor tiempo posible, de acuerdo a lo dispuesto en el artículo 163 de la Ley en la materia. </w:t>
      </w:r>
    </w:p>
    <w:p w14:paraId="5A72E6BE" w14:textId="77777777" w:rsidR="00505269" w:rsidRPr="00437FA3" w:rsidRDefault="00505269" w:rsidP="00437FA3">
      <w:pPr>
        <w:pStyle w:val="Prrafodelista"/>
        <w:spacing w:line="360" w:lineRule="auto"/>
        <w:rPr>
          <w:rFonts w:ascii="Palatino Linotype" w:hAnsi="Palatino Linotype" w:cs="Arial"/>
        </w:rPr>
      </w:pPr>
    </w:p>
    <w:p w14:paraId="050AEF7A" w14:textId="77777777" w:rsidR="00505269" w:rsidRPr="00437FA3" w:rsidRDefault="00505269" w:rsidP="00437FA3">
      <w:pPr>
        <w:pStyle w:val="Prrafodelista"/>
        <w:numPr>
          <w:ilvl w:val="0"/>
          <w:numId w:val="1"/>
        </w:numPr>
        <w:spacing w:line="360" w:lineRule="auto"/>
        <w:ind w:left="0" w:firstLine="0"/>
        <w:jc w:val="both"/>
        <w:rPr>
          <w:rFonts w:ascii="Palatino Linotype" w:hAnsi="Palatino Linotype" w:cs="Arial"/>
        </w:rPr>
      </w:pPr>
      <w:r w:rsidRPr="00437FA3">
        <w:rPr>
          <w:rFonts w:ascii="Palatino Linotype" w:hAnsi="Palatino Linotype" w:cs="Arial"/>
        </w:rPr>
        <w:t xml:space="preserve">Toda vez que el artículo 166 del ordenamiento jurídico citado, claramente también señala que: “La obligación de acceso a la información pública se tendrá por cumplida </w:t>
      </w:r>
      <w:r w:rsidRPr="00437FA3">
        <w:rPr>
          <w:rFonts w:ascii="Palatino Linotype" w:hAnsi="Palatino Linotype" w:cs="Arial"/>
          <w:b/>
          <w:i/>
        </w:rPr>
        <w:t>cuando el solicitante tenga a su disposición la información requerida</w:t>
      </w:r>
      <w:r w:rsidRPr="00437FA3">
        <w:rPr>
          <w:rFonts w:ascii="Palatino Linotype" w:hAnsi="Palatino Linotype" w:cs="Arial"/>
        </w:rPr>
        <w:t xml:space="preserve">, o cuando realice la consulta de la misma en el lugar en el que ésta se localice. </w:t>
      </w:r>
    </w:p>
    <w:p w14:paraId="0F91D6BE" w14:textId="77777777" w:rsidR="00505269" w:rsidRPr="00437FA3" w:rsidRDefault="00505269" w:rsidP="00437FA3">
      <w:pPr>
        <w:pStyle w:val="Prrafodelista"/>
        <w:spacing w:line="360" w:lineRule="auto"/>
        <w:ind w:left="0"/>
        <w:jc w:val="both"/>
        <w:rPr>
          <w:rFonts w:ascii="Palatino Linotype" w:hAnsi="Palatino Linotype" w:cs="Arial"/>
        </w:rPr>
      </w:pPr>
    </w:p>
    <w:p w14:paraId="68E7EC12" w14:textId="4D20521F" w:rsidR="00505269" w:rsidRPr="00437FA3" w:rsidRDefault="00505269" w:rsidP="00437FA3">
      <w:pPr>
        <w:pStyle w:val="Prrafodelista"/>
        <w:numPr>
          <w:ilvl w:val="0"/>
          <w:numId w:val="1"/>
        </w:numPr>
        <w:spacing w:line="360" w:lineRule="auto"/>
        <w:ind w:left="0" w:firstLine="0"/>
        <w:jc w:val="both"/>
        <w:rPr>
          <w:rFonts w:ascii="Palatino Linotype" w:hAnsi="Palatino Linotype" w:cs="Arial"/>
        </w:rPr>
      </w:pPr>
      <w:r w:rsidRPr="00437FA3">
        <w:rPr>
          <w:rFonts w:ascii="Palatino Linotype" w:hAnsi="Palatino Linotype" w:cs="Arial"/>
        </w:rPr>
        <w:t xml:space="preserve">Por lo tanto de los preceptos jurídicos citados, se colige, que </w:t>
      </w:r>
      <w:r w:rsidR="00D91506" w:rsidRPr="00437FA3">
        <w:rPr>
          <w:rFonts w:ascii="Palatino Linotype" w:hAnsi="Palatino Linotype" w:cs="Arial"/>
        </w:rPr>
        <w:t>suponiendo sin conceder que</w:t>
      </w:r>
      <w:r w:rsidRPr="00437FA3">
        <w:rPr>
          <w:rFonts w:ascii="Palatino Linotype" w:hAnsi="Palatino Linotype" w:cs="Arial"/>
        </w:rPr>
        <w:t xml:space="preserve"> en un primer momento la Unidad de Transparencia en aras de garantizar el derecho de acceso a la información remite </w:t>
      </w:r>
      <w:r w:rsidR="00D91506" w:rsidRPr="00437FA3">
        <w:rPr>
          <w:rFonts w:ascii="Palatino Linotype" w:hAnsi="Palatino Linotype" w:cs="Arial"/>
        </w:rPr>
        <w:t xml:space="preserve">de forma física </w:t>
      </w:r>
      <w:r w:rsidRPr="00437FA3">
        <w:rPr>
          <w:rFonts w:ascii="Palatino Linotype" w:hAnsi="Palatino Linotype" w:cs="Arial"/>
        </w:rPr>
        <w:t xml:space="preserve">la solicitud de información al Servidor Público Habilitado y este responde, </w:t>
      </w:r>
      <w:r w:rsidRPr="00437FA3">
        <w:rPr>
          <w:rFonts w:ascii="Palatino Linotype" w:hAnsi="Palatino Linotype" w:cs="Arial"/>
          <w:u w:val="single"/>
        </w:rPr>
        <w:t>no se tiene por cumplida la obligación de acceso a la información pública</w:t>
      </w:r>
      <w:r w:rsidRPr="00437FA3">
        <w:rPr>
          <w:rFonts w:ascii="Palatino Linotype" w:hAnsi="Palatino Linotype" w:cs="Arial"/>
        </w:rPr>
        <w:t xml:space="preserve"> toda vez, que </w:t>
      </w:r>
      <w:r w:rsidRPr="00437FA3">
        <w:rPr>
          <w:rFonts w:ascii="Palatino Linotype" w:hAnsi="Palatino Linotype" w:cs="Arial"/>
          <w:b/>
        </w:rPr>
        <w:t xml:space="preserve">NO </w:t>
      </w:r>
      <w:r w:rsidRPr="00437FA3">
        <w:rPr>
          <w:rFonts w:ascii="Palatino Linotype" w:hAnsi="Palatino Linotype" w:cs="Arial"/>
        </w:rPr>
        <w:t>fue notificado, en la respuesta a la solicitud, el pronunciamiento hecho por el Área competente, por lo tanto el particular no tuvo a su disposición de manera expedita y sencilla la información, sino que, se vio en la necesidad de interponer el recurso de revisión.</w:t>
      </w:r>
    </w:p>
    <w:p w14:paraId="24585F75" w14:textId="77777777" w:rsidR="00505269" w:rsidRPr="00437FA3" w:rsidRDefault="00505269" w:rsidP="00437FA3">
      <w:pPr>
        <w:pStyle w:val="Prrafodelista"/>
        <w:spacing w:line="360" w:lineRule="auto"/>
        <w:ind w:left="0"/>
        <w:jc w:val="both"/>
        <w:rPr>
          <w:rFonts w:ascii="Palatino Linotype" w:hAnsi="Palatino Linotype" w:cs="Arial"/>
        </w:rPr>
      </w:pPr>
    </w:p>
    <w:p w14:paraId="6D52DB13" w14:textId="77777777" w:rsidR="00505269" w:rsidRPr="00437FA3" w:rsidRDefault="00505269" w:rsidP="00437FA3">
      <w:pPr>
        <w:pStyle w:val="Prrafodelista"/>
        <w:numPr>
          <w:ilvl w:val="0"/>
          <w:numId w:val="1"/>
        </w:numPr>
        <w:spacing w:line="360" w:lineRule="auto"/>
        <w:ind w:left="0" w:firstLine="0"/>
        <w:jc w:val="both"/>
        <w:rPr>
          <w:rFonts w:ascii="Palatino Linotype" w:hAnsi="Palatino Linotype" w:cs="Arial"/>
        </w:rPr>
      </w:pPr>
      <w:r w:rsidRPr="00437FA3">
        <w:rPr>
          <w:rFonts w:ascii="Palatino Linotype" w:hAnsi="Palatino Linotype" w:cs="Arial"/>
        </w:rPr>
        <w:t xml:space="preserve">Por ello es necesario hacer saber al </w:t>
      </w:r>
      <w:r w:rsidRPr="00437FA3">
        <w:rPr>
          <w:rFonts w:ascii="Palatino Linotype" w:hAnsi="Palatino Linotype" w:cs="Arial"/>
          <w:b/>
        </w:rPr>
        <w:t xml:space="preserve">SUJETO OBLIGADO </w:t>
      </w:r>
      <w:r w:rsidRPr="00437FA3">
        <w:rPr>
          <w:rFonts w:ascii="Palatino Linotype" w:hAnsi="Palatino Linotype" w:cs="Arial"/>
        </w:rPr>
        <w:t xml:space="preserve">que debe tener especial cuidado y observar cada uno de los pasos a seguir en el procedimiento para atender la solicitud de información, ya que de lo contrario, en forma reiterada </w:t>
      </w:r>
      <w:r w:rsidRPr="00437FA3">
        <w:rPr>
          <w:rFonts w:ascii="Palatino Linotype" w:hAnsi="Palatino Linotype" w:cs="Arial"/>
        </w:rPr>
        <w:lastRenderedPageBreak/>
        <w:t>sucederá lo ocurrido en el presente asunto y esto implica no se dé cabal cumplimiento a los principios, bases y procedimientos, establecidos en la Ley de la materia, encaminados a tutelar y garantizar el Derecho de Acceso a la Información Pública.</w:t>
      </w:r>
    </w:p>
    <w:p w14:paraId="7B479DB9" w14:textId="77777777" w:rsidR="009F37A1" w:rsidRPr="00437FA3" w:rsidRDefault="009F37A1" w:rsidP="00437FA3">
      <w:pPr>
        <w:pStyle w:val="Prrafodelista"/>
        <w:spacing w:line="360" w:lineRule="auto"/>
        <w:ind w:left="0"/>
        <w:jc w:val="both"/>
        <w:rPr>
          <w:rFonts w:ascii="Palatino Linotype" w:hAnsi="Palatino Linotype" w:cs="Arial"/>
        </w:rPr>
      </w:pPr>
    </w:p>
    <w:p w14:paraId="72EFFCC4" w14:textId="6BFB4607" w:rsidR="00146A83" w:rsidRPr="00437FA3" w:rsidRDefault="00146A83" w:rsidP="00437FA3">
      <w:pPr>
        <w:pStyle w:val="Prrafodelista"/>
        <w:numPr>
          <w:ilvl w:val="0"/>
          <w:numId w:val="1"/>
        </w:numPr>
        <w:spacing w:line="360" w:lineRule="auto"/>
        <w:ind w:left="0" w:firstLine="0"/>
        <w:jc w:val="both"/>
        <w:rPr>
          <w:rFonts w:ascii="Palatino Linotype" w:hAnsi="Palatino Linotype"/>
        </w:rPr>
      </w:pPr>
      <w:r w:rsidRPr="00437FA3">
        <w:rPr>
          <w:rFonts w:ascii="Palatino Linotype" w:hAnsi="Palatino Linotype" w:cs="Arial"/>
        </w:rPr>
        <w:t xml:space="preserve">Por </w:t>
      </w:r>
      <w:r w:rsidR="00D91506" w:rsidRPr="00437FA3">
        <w:rPr>
          <w:rFonts w:ascii="Palatino Linotype" w:hAnsi="Palatino Linotype" w:cs="Arial"/>
        </w:rPr>
        <w:t xml:space="preserve">otra parte y por </w:t>
      </w:r>
      <w:r w:rsidRPr="00437FA3">
        <w:rPr>
          <w:rFonts w:ascii="Palatino Linotype" w:hAnsi="Palatino Linotype" w:cs="Arial"/>
        </w:rPr>
        <w:t>cuestiones de técnica jurídica,</w:t>
      </w:r>
      <w:r w:rsidRPr="00437FA3">
        <w:rPr>
          <w:rFonts w:ascii="Palatino Linotype" w:hAnsi="Palatino Linotype"/>
        </w:rPr>
        <w:t xml:space="preserve"> este Pleno para </w:t>
      </w:r>
      <w:r w:rsidRPr="00437FA3">
        <w:rPr>
          <w:rFonts w:ascii="Palatino Linotype" w:hAnsi="Palatino Linotype" w:cs="Arial"/>
        </w:rPr>
        <w:t xml:space="preserve">determinar si </w:t>
      </w:r>
      <w:r w:rsidR="00E33A5A" w:rsidRPr="00437FA3">
        <w:rPr>
          <w:rFonts w:ascii="Palatino Linotype" w:hAnsi="Palatino Linotype"/>
        </w:rPr>
        <w:t>el informe justificado enviado</w:t>
      </w:r>
      <w:r w:rsidRPr="00437FA3">
        <w:rPr>
          <w:rFonts w:ascii="Palatino Linotype" w:hAnsi="Palatino Linotype"/>
        </w:rPr>
        <w:t xml:space="preserve"> </w:t>
      </w:r>
      <w:r w:rsidRPr="00437FA3">
        <w:rPr>
          <w:rFonts w:ascii="Palatino Linotype" w:eastAsia="Arial Unicode MS" w:hAnsi="Palatino Linotype" w:cs="Arial"/>
        </w:rPr>
        <w:t xml:space="preserve">por </w:t>
      </w:r>
      <w:r w:rsidRPr="00437FA3">
        <w:rPr>
          <w:rFonts w:ascii="Palatino Linotype" w:hAnsi="Palatino Linotype"/>
        </w:rPr>
        <w:t xml:space="preserve">el </w:t>
      </w:r>
      <w:r w:rsidRPr="00437FA3">
        <w:rPr>
          <w:rFonts w:ascii="Palatino Linotype" w:hAnsi="Palatino Linotype"/>
          <w:b/>
        </w:rPr>
        <w:t>SUJETO OBLIGADO</w:t>
      </w:r>
      <w:r w:rsidRPr="00437FA3">
        <w:rPr>
          <w:rFonts w:ascii="Palatino Linotype" w:hAnsi="Palatino Linotype"/>
        </w:rPr>
        <w:t xml:space="preserve"> atendió puntualmente a todos y cada uno de los requerimientos formulados por el recurrente, </w:t>
      </w:r>
      <w:r w:rsidRPr="00437FA3">
        <w:rPr>
          <w:rFonts w:ascii="Palatino Linotype" w:hAnsi="Palatino Linotype"/>
          <w:color w:val="000000" w:themeColor="text1"/>
        </w:rPr>
        <w:t>consideró pertinente elaborar un cuadro de análisis</w:t>
      </w:r>
      <w:r w:rsidRPr="00437FA3">
        <w:rPr>
          <w:rStyle w:val="Refdenotaalpie"/>
          <w:rFonts w:ascii="Palatino Linotype" w:hAnsi="Palatino Linotype"/>
          <w:color w:val="000000" w:themeColor="text1"/>
        </w:rPr>
        <w:footnoteReference w:id="5"/>
      </w:r>
      <w:r w:rsidRPr="00437FA3">
        <w:rPr>
          <w:rFonts w:ascii="Palatino Linotype" w:hAnsi="Palatino Linotype"/>
          <w:color w:val="000000" w:themeColor="text1"/>
        </w:rPr>
        <w:t xml:space="preserve"> mismo que se inserta a continuación:</w:t>
      </w:r>
    </w:p>
    <w:p w14:paraId="7BC0E57C" w14:textId="772BF4D6" w:rsidR="00146A83" w:rsidRPr="00437FA3" w:rsidRDefault="00146A83" w:rsidP="00437FA3">
      <w:pPr>
        <w:pStyle w:val="Prrafodelista"/>
        <w:spacing w:line="360" w:lineRule="auto"/>
        <w:ind w:left="142" w:right="567"/>
        <w:jc w:val="both"/>
        <w:rPr>
          <w:rFonts w:ascii="Palatino Linotype" w:hAnsi="Palatino Linotype"/>
        </w:rPr>
      </w:pPr>
    </w:p>
    <w:tbl>
      <w:tblPr>
        <w:tblStyle w:val="Tablaconcuadrcula"/>
        <w:tblW w:w="8075" w:type="dxa"/>
        <w:jc w:val="center"/>
        <w:tblLayout w:type="fixed"/>
        <w:tblLook w:val="04A0" w:firstRow="1" w:lastRow="0" w:firstColumn="1" w:lastColumn="0" w:noHBand="0" w:noVBand="1"/>
      </w:tblPr>
      <w:tblGrid>
        <w:gridCol w:w="3266"/>
        <w:gridCol w:w="3533"/>
        <w:gridCol w:w="1276"/>
      </w:tblGrid>
      <w:tr w:rsidR="00640A0B" w:rsidRPr="00437FA3" w14:paraId="3043EEE2" w14:textId="77777777" w:rsidTr="002A14A7">
        <w:trPr>
          <w:trHeight w:val="766"/>
          <w:jc w:val="center"/>
        </w:trPr>
        <w:tc>
          <w:tcPr>
            <w:tcW w:w="3266" w:type="dxa"/>
            <w:shd w:val="clear" w:color="auto" w:fill="DAEEF3" w:themeFill="accent5" w:themeFillTint="33"/>
          </w:tcPr>
          <w:p w14:paraId="3230B0AC" w14:textId="77777777" w:rsidR="00640A0B" w:rsidRPr="00437FA3" w:rsidRDefault="00640A0B" w:rsidP="00437FA3">
            <w:pPr>
              <w:tabs>
                <w:tab w:val="left" w:pos="7655"/>
              </w:tabs>
              <w:spacing w:line="360" w:lineRule="auto"/>
              <w:jc w:val="center"/>
              <w:rPr>
                <w:rFonts w:ascii="Palatino Linotype" w:hAnsi="Palatino Linotype"/>
                <w:b/>
                <w:color w:val="000000" w:themeColor="text1"/>
              </w:rPr>
            </w:pPr>
            <w:r w:rsidRPr="00437FA3">
              <w:rPr>
                <w:rFonts w:ascii="Palatino Linotype" w:hAnsi="Palatino Linotype"/>
                <w:b/>
                <w:color w:val="000000" w:themeColor="text1"/>
              </w:rPr>
              <w:t>Requerimientos:</w:t>
            </w:r>
          </w:p>
        </w:tc>
        <w:tc>
          <w:tcPr>
            <w:tcW w:w="3533" w:type="dxa"/>
            <w:shd w:val="clear" w:color="auto" w:fill="DAEEF3" w:themeFill="accent5" w:themeFillTint="33"/>
          </w:tcPr>
          <w:p w14:paraId="5B09347B" w14:textId="77777777" w:rsidR="00640A0B" w:rsidRPr="00437FA3" w:rsidRDefault="00640A0B" w:rsidP="00437FA3">
            <w:pPr>
              <w:tabs>
                <w:tab w:val="left" w:pos="7655"/>
              </w:tabs>
              <w:spacing w:line="360" w:lineRule="auto"/>
              <w:jc w:val="center"/>
              <w:rPr>
                <w:rFonts w:ascii="Palatino Linotype" w:hAnsi="Palatino Linotype"/>
                <w:b/>
                <w:color w:val="000000" w:themeColor="text1"/>
              </w:rPr>
            </w:pPr>
            <w:r w:rsidRPr="00437FA3">
              <w:rPr>
                <w:rFonts w:ascii="Palatino Linotype" w:hAnsi="Palatino Linotype"/>
                <w:b/>
                <w:color w:val="000000" w:themeColor="text1"/>
              </w:rPr>
              <w:t>Informe Justificado</w:t>
            </w:r>
          </w:p>
        </w:tc>
        <w:tc>
          <w:tcPr>
            <w:tcW w:w="1276" w:type="dxa"/>
            <w:shd w:val="clear" w:color="auto" w:fill="DAEEF3" w:themeFill="accent5" w:themeFillTint="33"/>
          </w:tcPr>
          <w:p w14:paraId="0B2F4A59" w14:textId="77777777" w:rsidR="00640A0B" w:rsidRPr="00437FA3" w:rsidRDefault="00640A0B" w:rsidP="00437FA3">
            <w:pPr>
              <w:tabs>
                <w:tab w:val="left" w:pos="7655"/>
              </w:tabs>
              <w:spacing w:line="360" w:lineRule="auto"/>
              <w:jc w:val="center"/>
              <w:rPr>
                <w:rFonts w:ascii="Palatino Linotype" w:hAnsi="Palatino Linotype"/>
                <w:b/>
                <w:color w:val="000000" w:themeColor="text1"/>
              </w:rPr>
            </w:pPr>
            <w:r w:rsidRPr="00437FA3">
              <w:rPr>
                <w:rFonts w:ascii="Palatino Linotype" w:hAnsi="Palatino Linotype"/>
                <w:b/>
                <w:color w:val="000000" w:themeColor="text1"/>
              </w:rPr>
              <w:t>¿Satisface la solicitud de información?</w:t>
            </w:r>
          </w:p>
        </w:tc>
      </w:tr>
      <w:tr w:rsidR="00640A0B" w:rsidRPr="00437FA3" w14:paraId="5B7BFECE" w14:textId="77777777" w:rsidTr="002A14A7">
        <w:trPr>
          <w:trHeight w:val="1849"/>
          <w:jc w:val="center"/>
        </w:trPr>
        <w:tc>
          <w:tcPr>
            <w:tcW w:w="3266" w:type="dxa"/>
            <w:shd w:val="clear" w:color="auto" w:fill="auto"/>
            <w:vAlign w:val="center"/>
          </w:tcPr>
          <w:p w14:paraId="39301092" w14:textId="08FC3E02" w:rsidR="00640A0B" w:rsidRPr="00437FA3" w:rsidRDefault="00640A0B"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a) Copia digital o en formato </w:t>
            </w:r>
            <w:proofErr w:type="spellStart"/>
            <w:r w:rsidRPr="00437FA3">
              <w:rPr>
                <w:rFonts w:ascii="Palatino Linotype" w:hAnsi="Palatino Linotype"/>
                <w:color w:val="000000"/>
              </w:rPr>
              <w:t>pdf</w:t>
            </w:r>
            <w:proofErr w:type="spellEnd"/>
            <w:r w:rsidRPr="00437FA3">
              <w:rPr>
                <w:rFonts w:ascii="Palatino Linotype" w:hAnsi="Palatino Linotype"/>
                <w:color w:val="000000"/>
              </w:rPr>
              <w:t xml:space="preserve"> del documento donde conste la primera sesión del Consejo Directivo del Organismo Público Descentralizado para la Prestación de los Servicios de Agua Potable, Alcantarillado y Saneamiento del Municipio de Nicolás Romero, correspondiente a la administración pública del periodo 2019-2021, </w:t>
            </w:r>
          </w:p>
        </w:tc>
        <w:tc>
          <w:tcPr>
            <w:tcW w:w="3533" w:type="dxa"/>
            <w:vAlign w:val="center"/>
          </w:tcPr>
          <w:p w14:paraId="6E9066F4" w14:textId="0BD06972" w:rsidR="00640A0B" w:rsidRPr="00437FA3" w:rsidRDefault="00FD34D4" w:rsidP="00437FA3">
            <w:pPr>
              <w:pStyle w:val="Prrafodelista"/>
              <w:spacing w:before="240" w:after="240" w:line="360" w:lineRule="auto"/>
              <w:ind w:left="0"/>
              <w:jc w:val="both"/>
              <w:rPr>
                <w:rFonts w:ascii="Palatino Linotype" w:hAnsi="Palatino Linotype"/>
              </w:rPr>
            </w:pPr>
            <w:r w:rsidRPr="00437FA3">
              <w:rPr>
                <w:rFonts w:ascii="Palatino Linotype" w:hAnsi="Palatino Linotype"/>
                <w:color w:val="000000" w:themeColor="text1"/>
              </w:rPr>
              <w:t xml:space="preserve">Remite en formato </w:t>
            </w:r>
            <w:proofErr w:type="spellStart"/>
            <w:r w:rsidRPr="00437FA3">
              <w:rPr>
                <w:rFonts w:ascii="Palatino Linotype" w:hAnsi="Palatino Linotype"/>
                <w:color w:val="000000" w:themeColor="text1"/>
              </w:rPr>
              <w:t>pdf</w:t>
            </w:r>
            <w:proofErr w:type="spellEnd"/>
            <w:r w:rsidRPr="00437FA3">
              <w:rPr>
                <w:rFonts w:ascii="Palatino Linotype" w:hAnsi="Palatino Linotype"/>
                <w:color w:val="000000" w:themeColor="text1"/>
              </w:rPr>
              <w:t xml:space="preserve"> el acta denominada “</w:t>
            </w:r>
            <w:r w:rsidRPr="00437FA3">
              <w:rPr>
                <w:rFonts w:ascii="Palatino Linotype" w:hAnsi="Palatino Linotype"/>
              </w:rPr>
              <w:t>Primera Sesión Ordinaria del Consejo Directivo del OPD SAPASNIR Administración 2019- 2021</w:t>
            </w:r>
            <w:r w:rsidR="00072F25" w:rsidRPr="00437FA3">
              <w:rPr>
                <w:rFonts w:ascii="Palatino Linotype" w:hAnsi="Palatino Linotype"/>
              </w:rPr>
              <w:t>.</w:t>
            </w:r>
          </w:p>
        </w:tc>
        <w:tc>
          <w:tcPr>
            <w:tcW w:w="1276" w:type="dxa"/>
            <w:shd w:val="clear" w:color="auto" w:fill="auto"/>
            <w:vAlign w:val="center"/>
          </w:tcPr>
          <w:p w14:paraId="34CA99D3" w14:textId="52F38FE7" w:rsidR="00640A0B" w:rsidRPr="00437FA3" w:rsidRDefault="00FD34D4" w:rsidP="00437FA3">
            <w:pPr>
              <w:tabs>
                <w:tab w:val="left" w:pos="7655"/>
              </w:tabs>
              <w:spacing w:before="240" w:after="240" w:line="360" w:lineRule="auto"/>
              <w:ind w:left="-250" w:right="-108"/>
              <w:jc w:val="center"/>
              <w:rPr>
                <w:rFonts w:ascii="Palatino Linotype" w:hAnsi="Palatino Linotype"/>
                <w:color w:val="000000" w:themeColor="text1"/>
              </w:rPr>
            </w:pPr>
            <w:r w:rsidRPr="00437FA3">
              <w:rPr>
                <w:rFonts w:ascii="Palatino Linotype" w:hAnsi="Palatino Linotype"/>
                <w:color w:val="000000" w:themeColor="text1"/>
              </w:rPr>
              <w:t>Sí</w:t>
            </w:r>
          </w:p>
        </w:tc>
      </w:tr>
      <w:tr w:rsidR="00640A0B" w:rsidRPr="00437FA3" w14:paraId="6475C0FD" w14:textId="77777777" w:rsidTr="002A14A7">
        <w:trPr>
          <w:trHeight w:val="399"/>
          <w:jc w:val="center"/>
        </w:trPr>
        <w:tc>
          <w:tcPr>
            <w:tcW w:w="3266" w:type="dxa"/>
            <w:shd w:val="clear" w:color="auto" w:fill="auto"/>
            <w:vAlign w:val="center"/>
          </w:tcPr>
          <w:p w14:paraId="3EEB05CB" w14:textId="3AF6600B" w:rsidR="00640A0B" w:rsidRPr="00437FA3" w:rsidRDefault="00640A0B" w:rsidP="00437FA3">
            <w:pPr>
              <w:spacing w:line="360" w:lineRule="auto"/>
              <w:jc w:val="both"/>
              <w:rPr>
                <w:rFonts w:ascii="Palatino Linotype" w:hAnsi="Palatino Linotype"/>
                <w:color w:val="000000"/>
              </w:rPr>
            </w:pPr>
            <w:r w:rsidRPr="00437FA3">
              <w:rPr>
                <w:rFonts w:ascii="Palatino Linotype" w:hAnsi="Palatino Linotype"/>
                <w:color w:val="000000"/>
              </w:rPr>
              <w:t xml:space="preserve">b) Copia digital o en formato </w:t>
            </w:r>
            <w:proofErr w:type="spellStart"/>
            <w:r w:rsidRPr="00437FA3">
              <w:rPr>
                <w:rFonts w:ascii="Palatino Linotype" w:hAnsi="Palatino Linotype"/>
                <w:color w:val="000000"/>
              </w:rPr>
              <w:t>pdf</w:t>
            </w:r>
            <w:proofErr w:type="spellEnd"/>
            <w:r w:rsidRPr="00437FA3">
              <w:rPr>
                <w:rFonts w:ascii="Palatino Linotype" w:hAnsi="Palatino Linotype"/>
                <w:color w:val="000000"/>
              </w:rPr>
              <w:t xml:space="preserve"> del documento donde conste la sesión del Consejo Directivo de dicha institución pública, donde se hayan nombrado a los titulares de las áreas </w:t>
            </w:r>
            <w:r w:rsidRPr="00437FA3">
              <w:rPr>
                <w:rFonts w:ascii="Palatino Linotype" w:hAnsi="Palatino Linotype"/>
                <w:color w:val="000000"/>
              </w:rPr>
              <w:lastRenderedPageBreak/>
              <w:t>Jurídico, Contraloría Interna, Administración y Finanzas, Unidad de Transparencia, Sistemas, Comercial, Recursos Humanos, Cajas, Jefe de Recuperació</w:t>
            </w:r>
            <w:r w:rsidR="009078EE" w:rsidRPr="00437FA3">
              <w:rPr>
                <w:rFonts w:ascii="Palatino Linotype" w:hAnsi="Palatino Linotype"/>
                <w:color w:val="000000"/>
              </w:rPr>
              <w:t>n de Adeudos y Ejecución Fiscal.</w:t>
            </w:r>
          </w:p>
        </w:tc>
        <w:tc>
          <w:tcPr>
            <w:tcW w:w="3533" w:type="dxa"/>
            <w:vAlign w:val="center"/>
          </w:tcPr>
          <w:p w14:paraId="6EDB6B8F" w14:textId="1914DCBF" w:rsidR="00640A0B" w:rsidRPr="00437FA3" w:rsidRDefault="00955AAF" w:rsidP="00437FA3">
            <w:pPr>
              <w:pStyle w:val="Prrafodelista"/>
              <w:spacing w:line="360" w:lineRule="auto"/>
              <w:ind w:left="29"/>
              <w:jc w:val="both"/>
              <w:rPr>
                <w:rFonts w:ascii="Palatino Linotype" w:hAnsi="Palatino Linotype"/>
                <w:i/>
              </w:rPr>
            </w:pPr>
            <w:r w:rsidRPr="00437FA3">
              <w:rPr>
                <w:rFonts w:ascii="Palatino Linotype" w:hAnsi="Palatino Linotype"/>
              </w:rPr>
              <w:lastRenderedPageBreak/>
              <w:t>El SUJETO OBLIGADO r</w:t>
            </w:r>
            <w:r w:rsidR="006969DF" w:rsidRPr="00437FA3">
              <w:rPr>
                <w:rFonts w:ascii="Palatino Linotype" w:hAnsi="Palatino Linotype"/>
              </w:rPr>
              <w:t xml:space="preserve">esponde: </w:t>
            </w:r>
            <w:r w:rsidRPr="00437FA3">
              <w:rPr>
                <w:rFonts w:ascii="Palatino Linotype" w:hAnsi="Palatino Linotype"/>
              </w:rPr>
              <w:t>“</w:t>
            </w:r>
            <w:r w:rsidRPr="00437FA3">
              <w:rPr>
                <w:rFonts w:ascii="Palatino Linotype" w:hAnsi="Palatino Linotype"/>
                <w:i/>
              </w:rPr>
              <w:t xml:space="preserve">Es importante mencionar que no se cuenta con dicha información, atentos a que las atribuciones del Consejo Directivo que marca el Reglamento Interior del </w:t>
            </w:r>
            <w:r w:rsidRPr="00437FA3">
              <w:rPr>
                <w:rFonts w:ascii="Palatino Linotype" w:hAnsi="Palatino Linotype"/>
                <w:i/>
              </w:rPr>
              <w:lastRenderedPageBreak/>
              <w:t xml:space="preserve">Organismo Público Descentralizado para la Prestación de los Servicios de Agua Potable, Alcantarillado y Saneamiento del Municipio de Nicolás Romero, Estado de México, son las que a continuación se describen, por lo que el Consejo Directivo no tiene la atribución de nombrar a los Titulares de las Áreas administrativas; conforme al </w:t>
            </w:r>
            <w:r w:rsidR="006969DF" w:rsidRPr="00437FA3">
              <w:rPr>
                <w:rFonts w:ascii="Palatino Linotype" w:hAnsi="Palatino Linotype"/>
                <w:i/>
              </w:rPr>
              <w:t>artículo</w:t>
            </w:r>
            <w:r w:rsidRPr="00437FA3">
              <w:rPr>
                <w:rFonts w:ascii="Palatino Linotype" w:hAnsi="Palatino Linotype"/>
                <w:i/>
              </w:rPr>
              <w:t xml:space="preserve"> siguiente:</w:t>
            </w:r>
          </w:p>
          <w:p w14:paraId="24F5EFDE" w14:textId="77777777" w:rsidR="00955AAF" w:rsidRPr="00437FA3" w:rsidRDefault="00955AAF" w:rsidP="00437FA3">
            <w:pPr>
              <w:pStyle w:val="Prrafodelista"/>
              <w:spacing w:line="360" w:lineRule="auto"/>
              <w:ind w:left="29"/>
              <w:jc w:val="both"/>
              <w:rPr>
                <w:rFonts w:ascii="Palatino Linotype" w:hAnsi="Palatino Linotype"/>
                <w:i/>
              </w:rPr>
            </w:pPr>
            <w:r w:rsidRPr="00437FA3">
              <w:rPr>
                <w:rFonts w:ascii="Palatino Linotype" w:hAnsi="Palatino Linotype"/>
                <w:i/>
              </w:rPr>
              <w:t>Artículo 7. El Consejo resolverá los asuntos o conflictos que estén dentro de su competencia; los cuales se resolverán, mediante las Sesiones Ordinarias y en su caso Extraordinarias, para lo cual tendrá las siguientes atribuciones:</w:t>
            </w:r>
          </w:p>
          <w:p w14:paraId="1CA6E0FC" w14:textId="77777777" w:rsidR="00955AAF" w:rsidRPr="00437FA3" w:rsidRDefault="00955AAF" w:rsidP="00437FA3">
            <w:pPr>
              <w:pStyle w:val="Prrafodelista"/>
              <w:spacing w:line="360" w:lineRule="auto"/>
              <w:ind w:left="29"/>
              <w:jc w:val="both"/>
              <w:rPr>
                <w:rFonts w:ascii="Palatino Linotype" w:hAnsi="Palatino Linotype"/>
                <w:i/>
              </w:rPr>
            </w:pPr>
            <w:r w:rsidRPr="00437FA3">
              <w:rPr>
                <w:rFonts w:ascii="Palatino Linotype" w:hAnsi="Palatino Linotype"/>
                <w:i/>
              </w:rPr>
              <w:lastRenderedPageBreak/>
              <w:t>I. Designar al Director del Organismo.</w:t>
            </w:r>
          </w:p>
          <w:p w14:paraId="0E29761B" w14:textId="77777777" w:rsidR="00955AAF" w:rsidRPr="00437FA3" w:rsidRDefault="00955AAF" w:rsidP="00437FA3">
            <w:pPr>
              <w:pStyle w:val="Prrafodelista"/>
              <w:spacing w:line="360" w:lineRule="auto"/>
              <w:ind w:left="29"/>
              <w:jc w:val="both"/>
              <w:rPr>
                <w:rFonts w:ascii="Palatino Linotype" w:hAnsi="Palatino Linotype"/>
                <w:i/>
              </w:rPr>
            </w:pPr>
            <w:r w:rsidRPr="00437FA3">
              <w:rPr>
                <w:rFonts w:ascii="Palatino Linotype" w:hAnsi="Palatino Linotype"/>
                <w:i/>
              </w:rPr>
              <w:t>II. Aprobar las Políticas, normas y criterios técnicos de organización y administración que orienten a las actividades del Organismo.</w:t>
            </w:r>
          </w:p>
          <w:p w14:paraId="387ACDDC" w14:textId="77777777" w:rsidR="00955AAF" w:rsidRPr="00437FA3" w:rsidRDefault="00955AAF" w:rsidP="00437FA3">
            <w:pPr>
              <w:pStyle w:val="Prrafodelista"/>
              <w:spacing w:line="360" w:lineRule="auto"/>
              <w:ind w:left="29"/>
              <w:jc w:val="both"/>
              <w:rPr>
                <w:rFonts w:ascii="Palatino Linotype" w:hAnsi="Palatino Linotype"/>
                <w:i/>
              </w:rPr>
            </w:pPr>
            <w:r w:rsidRPr="00437FA3">
              <w:rPr>
                <w:rFonts w:ascii="Palatino Linotype" w:hAnsi="Palatino Linotype"/>
                <w:i/>
              </w:rPr>
              <w:t>III Revisar modificar y en su caso, aprobar los planes y programas de trabajo.</w:t>
            </w:r>
          </w:p>
          <w:p w14:paraId="7640C4F1" w14:textId="77777777" w:rsidR="00955AAF" w:rsidRPr="00437FA3" w:rsidRDefault="00955AAF" w:rsidP="00437FA3">
            <w:pPr>
              <w:pStyle w:val="Prrafodelista"/>
              <w:tabs>
                <w:tab w:val="left" w:pos="170"/>
                <w:tab w:val="left" w:pos="312"/>
              </w:tabs>
              <w:spacing w:line="360" w:lineRule="auto"/>
              <w:ind w:left="29"/>
              <w:jc w:val="both"/>
              <w:rPr>
                <w:rFonts w:ascii="Palatino Linotype" w:hAnsi="Palatino Linotype"/>
                <w:i/>
              </w:rPr>
            </w:pPr>
            <w:r w:rsidRPr="00437FA3">
              <w:rPr>
                <w:rFonts w:ascii="Palatino Linotype" w:hAnsi="Palatino Linotype"/>
                <w:i/>
              </w:rPr>
              <w:t>IV.</w:t>
            </w:r>
            <w:r w:rsidRPr="00437FA3">
              <w:rPr>
                <w:rFonts w:ascii="Palatino Linotype" w:hAnsi="Palatino Linotype"/>
                <w:i/>
              </w:rPr>
              <w:tab/>
              <w:t>Analizar, aprobar, modificar y ratificar el Presupuesto de Ingresos y Egresos correspondiente al ejercicio Fiscal de cada año, que presente el Director del Organismo</w:t>
            </w:r>
          </w:p>
          <w:p w14:paraId="2DD04504" w14:textId="77777777" w:rsidR="00955AAF" w:rsidRPr="00437FA3" w:rsidRDefault="00955AAF" w:rsidP="00437FA3">
            <w:pPr>
              <w:pStyle w:val="Prrafodelista"/>
              <w:tabs>
                <w:tab w:val="left" w:pos="312"/>
              </w:tabs>
              <w:spacing w:line="360" w:lineRule="auto"/>
              <w:ind w:left="29"/>
              <w:jc w:val="both"/>
              <w:rPr>
                <w:rFonts w:ascii="Palatino Linotype" w:hAnsi="Palatino Linotype"/>
                <w:i/>
              </w:rPr>
            </w:pPr>
            <w:r w:rsidRPr="00437FA3">
              <w:rPr>
                <w:rFonts w:ascii="Palatino Linotype" w:hAnsi="Palatino Linotype"/>
                <w:i/>
              </w:rPr>
              <w:t>V.</w:t>
            </w:r>
            <w:r w:rsidRPr="00437FA3">
              <w:rPr>
                <w:rFonts w:ascii="Palatino Linotype" w:hAnsi="Palatino Linotype"/>
                <w:i/>
              </w:rPr>
              <w:tab/>
              <w:t xml:space="preserve">Analizar, revisar, </w:t>
            </w:r>
            <w:proofErr w:type="spellStart"/>
            <w:r w:rsidRPr="00437FA3">
              <w:rPr>
                <w:rFonts w:ascii="Palatino Linotype" w:hAnsi="Palatino Linotype"/>
                <w:i/>
              </w:rPr>
              <w:t>modiricar</w:t>
            </w:r>
            <w:proofErr w:type="spellEnd"/>
            <w:r w:rsidRPr="00437FA3">
              <w:rPr>
                <w:rFonts w:ascii="Palatino Linotype" w:hAnsi="Palatino Linotype"/>
                <w:i/>
              </w:rPr>
              <w:t xml:space="preserve"> y aprobar la reglamentación, acuerdos y disposiciones generales.</w:t>
            </w:r>
          </w:p>
          <w:p w14:paraId="29F480D9" w14:textId="77777777" w:rsidR="00955AAF" w:rsidRPr="00437FA3" w:rsidRDefault="00955AAF" w:rsidP="00437FA3">
            <w:pPr>
              <w:pStyle w:val="Prrafodelista"/>
              <w:tabs>
                <w:tab w:val="left" w:pos="170"/>
                <w:tab w:val="left" w:pos="312"/>
              </w:tabs>
              <w:spacing w:line="360" w:lineRule="auto"/>
              <w:ind w:left="29"/>
              <w:jc w:val="both"/>
              <w:rPr>
                <w:rFonts w:ascii="Palatino Linotype" w:hAnsi="Palatino Linotype"/>
                <w:i/>
              </w:rPr>
            </w:pPr>
            <w:r w:rsidRPr="00437FA3">
              <w:rPr>
                <w:rFonts w:ascii="Palatino Linotype" w:hAnsi="Palatino Linotype"/>
                <w:i/>
              </w:rPr>
              <w:t>VI.</w:t>
            </w:r>
            <w:r w:rsidRPr="00437FA3">
              <w:rPr>
                <w:rFonts w:ascii="Palatino Linotype" w:hAnsi="Palatino Linotype"/>
                <w:i/>
              </w:rPr>
              <w:tab/>
              <w:t xml:space="preserve">Aprobar los convenios y contratos que celebre el </w:t>
            </w:r>
            <w:r w:rsidRPr="00437FA3">
              <w:rPr>
                <w:rFonts w:ascii="Palatino Linotype" w:hAnsi="Palatino Linotype"/>
                <w:i/>
              </w:rPr>
              <w:lastRenderedPageBreak/>
              <w:t>Organismo, con Autoridades Federales, Estatales, Municipales o particulares sean personas físicas o morales, cuando as/ lo solicite el Director.</w:t>
            </w:r>
          </w:p>
          <w:p w14:paraId="23FFC8DE" w14:textId="77777777" w:rsidR="00955AAF" w:rsidRPr="00437FA3" w:rsidRDefault="00955AAF" w:rsidP="00437FA3">
            <w:pPr>
              <w:pStyle w:val="Prrafodelista"/>
              <w:tabs>
                <w:tab w:val="left" w:pos="454"/>
              </w:tabs>
              <w:spacing w:line="360" w:lineRule="auto"/>
              <w:ind w:left="29"/>
              <w:jc w:val="both"/>
              <w:rPr>
                <w:rFonts w:ascii="Palatino Linotype" w:hAnsi="Palatino Linotype"/>
                <w:i/>
              </w:rPr>
            </w:pPr>
            <w:r w:rsidRPr="00437FA3">
              <w:rPr>
                <w:rFonts w:ascii="Palatino Linotype" w:hAnsi="Palatino Linotype"/>
                <w:i/>
              </w:rPr>
              <w:t>VII.</w:t>
            </w:r>
            <w:r w:rsidRPr="00437FA3">
              <w:rPr>
                <w:rFonts w:ascii="Palatino Linotype" w:hAnsi="Palatino Linotype"/>
                <w:i/>
              </w:rPr>
              <w:tab/>
              <w:t>Aprobar la cancelación de cuentas incobrables.</w:t>
            </w:r>
          </w:p>
          <w:p w14:paraId="26C9C3CB" w14:textId="77777777" w:rsidR="00955AAF" w:rsidRPr="00437FA3" w:rsidRDefault="00955AAF" w:rsidP="00437FA3">
            <w:pPr>
              <w:pStyle w:val="Prrafodelista"/>
              <w:tabs>
                <w:tab w:val="left" w:pos="454"/>
              </w:tabs>
              <w:spacing w:line="360" w:lineRule="auto"/>
              <w:ind w:left="29"/>
              <w:jc w:val="both"/>
              <w:rPr>
                <w:rFonts w:ascii="Palatino Linotype" w:hAnsi="Palatino Linotype"/>
                <w:i/>
              </w:rPr>
            </w:pPr>
            <w:r w:rsidRPr="00437FA3">
              <w:rPr>
                <w:rFonts w:ascii="Palatino Linotype" w:hAnsi="Palatino Linotype"/>
                <w:i/>
              </w:rPr>
              <w:t>VIII.</w:t>
            </w:r>
            <w:r w:rsidRPr="00437FA3">
              <w:rPr>
                <w:rFonts w:ascii="Palatino Linotype" w:hAnsi="Palatino Linotype"/>
                <w:i/>
              </w:rPr>
              <w:tab/>
              <w:t>Aprobar la propuesta de cuotas y tarifas para el cobro de /os derechos por la prestación de los servicios de Agua Potable, Alcantarillado y Saneamiento.</w:t>
            </w:r>
          </w:p>
          <w:p w14:paraId="2568FFBD" w14:textId="77777777" w:rsidR="00955AAF" w:rsidRPr="00437FA3" w:rsidRDefault="00955AAF" w:rsidP="00437FA3">
            <w:pPr>
              <w:pStyle w:val="Prrafodelista"/>
              <w:tabs>
                <w:tab w:val="left" w:pos="312"/>
              </w:tabs>
              <w:spacing w:line="360" w:lineRule="auto"/>
              <w:ind w:left="29"/>
              <w:jc w:val="both"/>
              <w:rPr>
                <w:rFonts w:ascii="Palatino Linotype" w:hAnsi="Palatino Linotype"/>
                <w:i/>
              </w:rPr>
            </w:pPr>
            <w:r w:rsidRPr="00437FA3">
              <w:rPr>
                <w:rFonts w:ascii="Palatino Linotype" w:hAnsi="Palatino Linotype"/>
                <w:i/>
              </w:rPr>
              <w:t>IX.</w:t>
            </w:r>
            <w:r w:rsidRPr="00437FA3">
              <w:rPr>
                <w:rFonts w:ascii="Palatino Linotype" w:hAnsi="Palatino Linotype"/>
                <w:i/>
              </w:rPr>
              <w:tab/>
              <w:t>Aprobar en su caso, /as políticas de financiamiento y la contratación de empréstitos y créditos, necesarios para cumplir con los objetivos del Organismo, de conformidad con la normatividad aplicable en la materia.</w:t>
            </w:r>
          </w:p>
          <w:p w14:paraId="4827C9F4" w14:textId="77777777" w:rsidR="00955AAF" w:rsidRPr="00437FA3" w:rsidRDefault="00955AAF" w:rsidP="00437FA3">
            <w:pPr>
              <w:pStyle w:val="Prrafodelista"/>
              <w:tabs>
                <w:tab w:val="left" w:pos="312"/>
              </w:tabs>
              <w:spacing w:line="360" w:lineRule="auto"/>
              <w:ind w:left="29"/>
              <w:jc w:val="both"/>
              <w:rPr>
                <w:rFonts w:ascii="Palatino Linotype" w:hAnsi="Palatino Linotype"/>
                <w:i/>
              </w:rPr>
            </w:pPr>
            <w:r w:rsidRPr="00437FA3">
              <w:rPr>
                <w:rFonts w:ascii="Palatino Linotype" w:hAnsi="Palatino Linotype"/>
                <w:i/>
              </w:rPr>
              <w:lastRenderedPageBreak/>
              <w:t>X.</w:t>
            </w:r>
            <w:r w:rsidRPr="00437FA3">
              <w:rPr>
                <w:rFonts w:ascii="Palatino Linotype" w:hAnsi="Palatino Linotype"/>
                <w:i/>
              </w:rPr>
              <w:tab/>
              <w:t xml:space="preserve">Aprobar las </w:t>
            </w:r>
            <w:proofErr w:type="spellStart"/>
            <w:r w:rsidRPr="00437FA3">
              <w:rPr>
                <w:rFonts w:ascii="Palatino Linotype" w:hAnsi="Palatino Linotype"/>
                <w:i/>
              </w:rPr>
              <w:t>pollticas</w:t>
            </w:r>
            <w:proofErr w:type="spellEnd"/>
            <w:r w:rsidRPr="00437FA3">
              <w:rPr>
                <w:rFonts w:ascii="Palatino Linotype" w:hAnsi="Palatino Linotype"/>
                <w:i/>
              </w:rPr>
              <w:t xml:space="preserve"> y programas para la condonación, bonificación, subsidio y exención el pago de contribuciones en términos de Ley.</w:t>
            </w:r>
          </w:p>
          <w:p w14:paraId="397B7CBE" w14:textId="77777777" w:rsidR="00955AAF" w:rsidRPr="00437FA3" w:rsidRDefault="00955AAF" w:rsidP="00437FA3">
            <w:pPr>
              <w:pStyle w:val="Prrafodelista"/>
              <w:tabs>
                <w:tab w:val="left" w:pos="312"/>
              </w:tabs>
              <w:spacing w:line="360" w:lineRule="auto"/>
              <w:ind w:left="29"/>
              <w:jc w:val="both"/>
              <w:rPr>
                <w:rFonts w:ascii="Palatino Linotype" w:hAnsi="Palatino Linotype"/>
                <w:i/>
              </w:rPr>
            </w:pPr>
            <w:r w:rsidRPr="00437FA3">
              <w:rPr>
                <w:rFonts w:ascii="Palatino Linotype" w:hAnsi="Palatino Linotype"/>
                <w:i/>
              </w:rPr>
              <w:t>XI.</w:t>
            </w:r>
            <w:r w:rsidRPr="00437FA3">
              <w:rPr>
                <w:rFonts w:ascii="Palatino Linotype" w:hAnsi="Palatino Linotype"/>
                <w:i/>
              </w:rPr>
              <w:tab/>
              <w:t>Nombrar a propuesta del Presidente o del Director del Organismo, a un Secretario.</w:t>
            </w:r>
          </w:p>
          <w:p w14:paraId="516D5C77" w14:textId="77777777" w:rsidR="00955AAF" w:rsidRPr="00437FA3" w:rsidRDefault="00955AAF" w:rsidP="00437FA3">
            <w:pPr>
              <w:pStyle w:val="Prrafodelista"/>
              <w:tabs>
                <w:tab w:val="left" w:pos="454"/>
              </w:tabs>
              <w:spacing w:line="360" w:lineRule="auto"/>
              <w:ind w:left="29"/>
              <w:jc w:val="both"/>
              <w:rPr>
                <w:rFonts w:ascii="Palatino Linotype" w:hAnsi="Palatino Linotype"/>
                <w:i/>
              </w:rPr>
            </w:pPr>
            <w:r w:rsidRPr="00437FA3">
              <w:rPr>
                <w:rFonts w:ascii="Palatino Linotype" w:hAnsi="Palatino Linotype"/>
                <w:i/>
              </w:rPr>
              <w:t>XII.</w:t>
            </w:r>
            <w:r w:rsidRPr="00437FA3">
              <w:rPr>
                <w:rFonts w:ascii="Palatino Linotype" w:hAnsi="Palatino Linotype"/>
                <w:i/>
              </w:rPr>
              <w:tab/>
              <w:t>Aprobar el Calendario de Sesiones Ordinarias para cada año Fiscal.</w:t>
            </w:r>
          </w:p>
          <w:p w14:paraId="0A908753" w14:textId="6B811A18" w:rsidR="00955AAF" w:rsidRPr="00437FA3" w:rsidRDefault="00955AAF" w:rsidP="00437FA3">
            <w:pPr>
              <w:pStyle w:val="Prrafodelista"/>
              <w:tabs>
                <w:tab w:val="left" w:pos="312"/>
                <w:tab w:val="left" w:pos="454"/>
              </w:tabs>
              <w:spacing w:line="360" w:lineRule="auto"/>
              <w:ind w:left="29"/>
              <w:jc w:val="both"/>
              <w:rPr>
                <w:rFonts w:ascii="Palatino Linotype" w:hAnsi="Palatino Linotype"/>
              </w:rPr>
            </w:pPr>
            <w:r w:rsidRPr="00437FA3">
              <w:rPr>
                <w:rFonts w:ascii="Palatino Linotype" w:hAnsi="Palatino Linotype"/>
                <w:i/>
              </w:rPr>
              <w:t>XIII.</w:t>
            </w:r>
            <w:r w:rsidRPr="00437FA3">
              <w:rPr>
                <w:rFonts w:ascii="Palatino Linotype" w:hAnsi="Palatino Linotype"/>
                <w:i/>
              </w:rPr>
              <w:tab/>
              <w:t>Las demás que le otorguen el presente Reglamento y otras disposiciones legales aplicables.</w:t>
            </w:r>
          </w:p>
        </w:tc>
        <w:tc>
          <w:tcPr>
            <w:tcW w:w="1276" w:type="dxa"/>
            <w:shd w:val="clear" w:color="auto" w:fill="auto"/>
            <w:vAlign w:val="center"/>
          </w:tcPr>
          <w:p w14:paraId="65A4203D" w14:textId="3A201640" w:rsidR="00640A0B" w:rsidRPr="00437FA3" w:rsidRDefault="009078EE" w:rsidP="00437FA3">
            <w:pPr>
              <w:tabs>
                <w:tab w:val="left" w:pos="7655"/>
              </w:tabs>
              <w:spacing w:before="240" w:after="240" w:line="360" w:lineRule="auto"/>
              <w:ind w:left="-108" w:right="-108"/>
              <w:jc w:val="center"/>
              <w:rPr>
                <w:rFonts w:ascii="Palatino Linotype" w:hAnsi="Palatino Linotype"/>
                <w:color w:val="000000" w:themeColor="text1"/>
              </w:rPr>
            </w:pPr>
            <w:r w:rsidRPr="00437FA3">
              <w:rPr>
                <w:rFonts w:ascii="Palatino Linotype" w:hAnsi="Palatino Linotype"/>
                <w:color w:val="000000"/>
              </w:rPr>
              <w:lastRenderedPageBreak/>
              <w:t>Parcialmente</w:t>
            </w:r>
          </w:p>
        </w:tc>
      </w:tr>
      <w:tr w:rsidR="00640A0B" w:rsidRPr="00437FA3" w14:paraId="34D34877" w14:textId="77777777" w:rsidTr="002A14A7">
        <w:trPr>
          <w:trHeight w:val="510"/>
          <w:jc w:val="center"/>
        </w:trPr>
        <w:tc>
          <w:tcPr>
            <w:tcW w:w="3266" w:type="dxa"/>
            <w:shd w:val="clear" w:color="auto" w:fill="auto"/>
            <w:vAlign w:val="center"/>
          </w:tcPr>
          <w:p w14:paraId="14799B48" w14:textId="04F6273F" w:rsidR="00640A0B" w:rsidRPr="00437FA3" w:rsidRDefault="00640A0B"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c) Copia digital o en formato </w:t>
            </w:r>
            <w:proofErr w:type="spellStart"/>
            <w:r w:rsidRPr="00437FA3">
              <w:rPr>
                <w:rFonts w:ascii="Palatino Linotype" w:hAnsi="Palatino Linotype"/>
                <w:color w:val="000000"/>
              </w:rPr>
              <w:t>pdf</w:t>
            </w:r>
            <w:proofErr w:type="spellEnd"/>
            <w:r w:rsidRPr="00437FA3">
              <w:rPr>
                <w:rFonts w:ascii="Palatino Linotype" w:hAnsi="Palatino Linotype"/>
                <w:color w:val="000000"/>
              </w:rPr>
              <w:t xml:space="preserve"> del documento donde conste el grado de estudios de cada uno de ellos como son: certificado de estudio, título profesional o cédula </w:t>
            </w:r>
            <w:r w:rsidRPr="00437FA3">
              <w:rPr>
                <w:rFonts w:ascii="Palatino Linotype" w:hAnsi="Palatino Linotype"/>
                <w:color w:val="000000"/>
              </w:rPr>
              <w:lastRenderedPageBreak/>
              <w:t xml:space="preserve">así como la escuela de donde cada uno sea egresado, </w:t>
            </w:r>
          </w:p>
        </w:tc>
        <w:tc>
          <w:tcPr>
            <w:tcW w:w="3533" w:type="dxa"/>
            <w:vAlign w:val="center"/>
          </w:tcPr>
          <w:p w14:paraId="28B2F8F2" w14:textId="77777777" w:rsidR="00640A0B" w:rsidRPr="00437FA3" w:rsidRDefault="006969DF" w:rsidP="00437FA3">
            <w:pPr>
              <w:tabs>
                <w:tab w:val="left" w:pos="7655"/>
              </w:tabs>
              <w:spacing w:before="240" w:after="240" w:line="360" w:lineRule="auto"/>
              <w:jc w:val="both"/>
              <w:rPr>
                <w:rFonts w:ascii="Palatino Linotype" w:hAnsi="Palatino Linotype"/>
                <w:color w:val="000000" w:themeColor="text1"/>
              </w:rPr>
            </w:pPr>
            <w:r w:rsidRPr="00437FA3">
              <w:rPr>
                <w:rFonts w:ascii="Palatino Linotype" w:hAnsi="Palatino Linotype"/>
                <w:color w:val="000000" w:themeColor="text1"/>
              </w:rPr>
              <w:lastRenderedPageBreak/>
              <w:t>El SUJETO OBLIGADO elabora un cuadro ad hoc sobre la escuela de dónde son egresados los servidores públicos en comento, tal como se muestra:</w:t>
            </w:r>
          </w:p>
          <w:p w14:paraId="68A96F66" w14:textId="77777777" w:rsidR="002A14A7" w:rsidRPr="00437FA3" w:rsidRDefault="002A14A7" w:rsidP="00437FA3">
            <w:pPr>
              <w:tabs>
                <w:tab w:val="left" w:pos="7655"/>
              </w:tabs>
              <w:spacing w:before="240" w:after="240" w:line="360" w:lineRule="auto"/>
              <w:jc w:val="both"/>
              <w:rPr>
                <w:rFonts w:ascii="Palatino Linotype" w:hAnsi="Palatino Linotype"/>
                <w:color w:val="000000" w:themeColor="text1"/>
              </w:rPr>
            </w:pPr>
          </w:p>
          <w:p w14:paraId="3CCCB215" w14:textId="77777777" w:rsidR="006969DF" w:rsidRPr="00437FA3" w:rsidRDefault="006969DF" w:rsidP="00437FA3">
            <w:pPr>
              <w:tabs>
                <w:tab w:val="left" w:pos="7655"/>
              </w:tabs>
              <w:spacing w:before="240" w:after="240" w:line="360" w:lineRule="auto"/>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drawing>
                <wp:inline distT="0" distB="0" distL="0" distR="0" wp14:anchorId="523051D1" wp14:editId="5082964C">
                  <wp:extent cx="2021854" cy="33813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5946" b="3961"/>
                          <a:stretch/>
                        </pic:blipFill>
                        <pic:spPr bwMode="auto">
                          <a:xfrm>
                            <a:off x="0" y="0"/>
                            <a:ext cx="2027185" cy="3390291"/>
                          </a:xfrm>
                          <a:prstGeom prst="rect">
                            <a:avLst/>
                          </a:prstGeom>
                          <a:noFill/>
                          <a:ln>
                            <a:noFill/>
                          </a:ln>
                          <a:extLst>
                            <a:ext uri="{53640926-AAD7-44D8-BBD7-CCE9431645EC}">
                              <a14:shadowObscured xmlns:a14="http://schemas.microsoft.com/office/drawing/2010/main"/>
                            </a:ext>
                          </a:extLst>
                        </pic:spPr>
                      </pic:pic>
                    </a:graphicData>
                  </a:graphic>
                </wp:inline>
              </w:drawing>
            </w:r>
          </w:p>
          <w:p w14:paraId="6E1FA04A" w14:textId="09B2A090" w:rsidR="002A14A7" w:rsidRPr="00437FA3" w:rsidRDefault="002A14A7" w:rsidP="00437FA3">
            <w:pPr>
              <w:tabs>
                <w:tab w:val="left" w:pos="7655"/>
              </w:tabs>
              <w:spacing w:before="240" w:after="240" w:line="360" w:lineRule="auto"/>
              <w:jc w:val="both"/>
              <w:rPr>
                <w:rFonts w:ascii="Palatino Linotype" w:hAnsi="Palatino Linotype"/>
                <w:color w:val="000000" w:themeColor="text1"/>
              </w:rPr>
            </w:pPr>
            <w:r w:rsidRPr="00437FA3">
              <w:rPr>
                <w:rFonts w:ascii="Palatino Linotype" w:hAnsi="Palatino Linotype"/>
                <w:color w:val="000000" w:themeColor="text1"/>
              </w:rPr>
              <w:t>Así mismo hace entrega de los certificados, títulos, cédulas e historiales académicos de los servidores públicos que se muestran en el cuadro pero los correspondientes a Salvador Vargas Vidal (Subdirector de Sistemas), David Roa González</w:t>
            </w:r>
            <w:r w:rsidR="00130B97" w:rsidRPr="00437FA3">
              <w:rPr>
                <w:rFonts w:ascii="Palatino Linotype" w:hAnsi="Palatino Linotype"/>
                <w:color w:val="000000" w:themeColor="text1"/>
              </w:rPr>
              <w:t xml:space="preserve"> </w:t>
            </w:r>
            <w:r w:rsidR="00130B97" w:rsidRPr="00437FA3">
              <w:rPr>
                <w:rFonts w:ascii="Palatino Linotype" w:hAnsi="Palatino Linotype"/>
                <w:color w:val="000000" w:themeColor="text1"/>
              </w:rPr>
              <w:lastRenderedPageBreak/>
              <w:t xml:space="preserve">(Subdirector de Comercialización), y Mireya Hernández Ramírez </w:t>
            </w:r>
            <w:r w:rsidR="00915638" w:rsidRPr="00437FA3">
              <w:rPr>
                <w:rFonts w:ascii="Palatino Linotype" w:hAnsi="Palatino Linotype"/>
                <w:color w:val="000000" w:themeColor="text1"/>
              </w:rPr>
              <w:t>(</w:t>
            </w:r>
            <w:r w:rsidR="00BA1745" w:rsidRPr="00437FA3">
              <w:rPr>
                <w:rFonts w:ascii="Palatino Linotype" w:hAnsi="Palatino Linotype"/>
                <w:color w:val="000000" w:themeColor="text1"/>
              </w:rPr>
              <w:t>Recursos Humanos</w:t>
            </w:r>
            <w:r w:rsidR="00915638" w:rsidRPr="00437FA3">
              <w:rPr>
                <w:rFonts w:ascii="Palatino Linotype" w:hAnsi="Palatino Linotype"/>
                <w:color w:val="000000" w:themeColor="text1"/>
              </w:rPr>
              <w:t xml:space="preserve">) </w:t>
            </w:r>
            <w:r w:rsidR="00130B97" w:rsidRPr="00437FA3">
              <w:rPr>
                <w:rFonts w:ascii="Palatino Linotype" w:hAnsi="Palatino Linotype"/>
                <w:color w:val="000000" w:themeColor="text1"/>
              </w:rPr>
              <w:t>contienen las calificaciones de los servidores p</w:t>
            </w:r>
            <w:r w:rsidR="00915638" w:rsidRPr="00437FA3">
              <w:rPr>
                <w:rFonts w:ascii="Palatino Linotype" w:hAnsi="Palatino Linotype"/>
                <w:color w:val="000000" w:themeColor="text1"/>
              </w:rPr>
              <w:t>úblicos.</w:t>
            </w:r>
          </w:p>
        </w:tc>
        <w:tc>
          <w:tcPr>
            <w:tcW w:w="1276" w:type="dxa"/>
            <w:shd w:val="clear" w:color="auto" w:fill="auto"/>
            <w:vAlign w:val="center"/>
          </w:tcPr>
          <w:p w14:paraId="4E552E05" w14:textId="2E6F238C" w:rsidR="00640A0B" w:rsidRPr="00437FA3" w:rsidRDefault="003F13A1" w:rsidP="00437FA3">
            <w:pPr>
              <w:tabs>
                <w:tab w:val="left" w:pos="7655"/>
              </w:tabs>
              <w:spacing w:before="240"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Parcialmente</w:t>
            </w:r>
          </w:p>
        </w:tc>
      </w:tr>
      <w:tr w:rsidR="00640A0B" w:rsidRPr="00437FA3" w14:paraId="1952FC85" w14:textId="77777777" w:rsidTr="00506FA3">
        <w:trPr>
          <w:trHeight w:val="2243"/>
          <w:jc w:val="center"/>
        </w:trPr>
        <w:tc>
          <w:tcPr>
            <w:tcW w:w="3266" w:type="dxa"/>
            <w:shd w:val="clear" w:color="auto" w:fill="FBD4B4" w:themeFill="accent6" w:themeFillTint="66"/>
            <w:vAlign w:val="center"/>
          </w:tcPr>
          <w:p w14:paraId="288FBE1F" w14:textId="750525DE" w:rsidR="00640A0B" w:rsidRPr="00437FA3" w:rsidRDefault="00640A0B" w:rsidP="00437FA3">
            <w:pPr>
              <w:pStyle w:val="Prrafodelista"/>
              <w:spacing w:line="360" w:lineRule="auto"/>
              <w:ind w:left="0"/>
              <w:jc w:val="both"/>
              <w:rPr>
                <w:rFonts w:ascii="Palatino Linotype" w:hAnsi="Palatino Linotype"/>
                <w:color w:val="000000"/>
              </w:rPr>
            </w:pPr>
            <w:r w:rsidRPr="00437FA3">
              <w:rPr>
                <w:rFonts w:ascii="Palatino Linotype" w:hAnsi="Palatino Linotype"/>
                <w:color w:val="000000"/>
              </w:rPr>
              <w:lastRenderedPageBreak/>
              <w:t>d) Los ingresos brutos quincenales y mensuales, de cada uno de los titulares de las áreas antes mencionados,</w:t>
            </w:r>
          </w:p>
        </w:tc>
        <w:tc>
          <w:tcPr>
            <w:tcW w:w="3533" w:type="dxa"/>
            <w:shd w:val="clear" w:color="auto" w:fill="FBD4B4" w:themeFill="accent6" w:themeFillTint="66"/>
            <w:vAlign w:val="center"/>
          </w:tcPr>
          <w:p w14:paraId="3F62F66B" w14:textId="1116BECB" w:rsidR="00640A0B" w:rsidRPr="00437FA3" w:rsidRDefault="00130B97"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 xml:space="preserve">Entrega nómina general pero de forma ilegible, sin precisar la sueldo neto, las percepciones, deducciones y periodo de pago, entrega la nómina general del Organismo testada correspondiente a la segunda quincena de diciembre de 2018 sin firmas y envía nómina con un archivo en formato Excel testado en celdas, sin embargo al seleccionar cada celda, en la barra de fórmulas se aprecian </w:t>
            </w:r>
            <w:r w:rsidRPr="00437FA3">
              <w:rPr>
                <w:rFonts w:ascii="Palatino Linotype" w:hAnsi="Palatino Linotype"/>
                <w:color w:val="000000" w:themeColor="text1"/>
              </w:rPr>
              <w:lastRenderedPageBreak/>
              <w:t xml:space="preserve">datos como son CURP, RFC y Clave de </w:t>
            </w:r>
            <w:proofErr w:type="spellStart"/>
            <w:r w:rsidRPr="00437FA3">
              <w:rPr>
                <w:rFonts w:ascii="Palatino Linotype" w:hAnsi="Palatino Linotype"/>
                <w:color w:val="000000" w:themeColor="text1"/>
              </w:rPr>
              <w:t>ISSEMyM</w:t>
            </w:r>
            <w:proofErr w:type="spellEnd"/>
            <w:r w:rsidRPr="00437FA3">
              <w:rPr>
                <w:rFonts w:ascii="Palatino Linotype" w:hAnsi="Palatino Linotype"/>
                <w:color w:val="000000" w:themeColor="text1"/>
              </w:rPr>
              <w:t>.</w:t>
            </w:r>
          </w:p>
        </w:tc>
        <w:tc>
          <w:tcPr>
            <w:tcW w:w="1276" w:type="dxa"/>
            <w:shd w:val="clear" w:color="auto" w:fill="FBD4B4" w:themeFill="accent6" w:themeFillTint="66"/>
            <w:vAlign w:val="center"/>
          </w:tcPr>
          <w:p w14:paraId="52942B6E" w14:textId="06A5BA78"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No</w:t>
            </w:r>
          </w:p>
        </w:tc>
      </w:tr>
      <w:tr w:rsidR="00640A0B" w:rsidRPr="00437FA3" w14:paraId="4C6CEE06" w14:textId="77777777" w:rsidTr="00030CC8">
        <w:trPr>
          <w:trHeight w:val="402"/>
          <w:jc w:val="center"/>
        </w:trPr>
        <w:tc>
          <w:tcPr>
            <w:tcW w:w="3266" w:type="dxa"/>
            <w:shd w:val="clear" w:color="auto" w:fill="CCC0D9" w:themeFill="accent4" w:themeFillTint="66"/>
            <w:vAlign w:val="center"/>
          </w:tcPr>
          <w:p w14:paraId="1FAE40D4" w14:textId="0444C25D" w:rsidR="00640A0B" w:rsidRPr="00437FA3" w:rsidRDefault="00640A0B"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e) Documento donde conste bajo qué acto jurídico fueron contratados, si son de confianza, base o sindicalizados, tiempo de duración de la relación contractual, por tiempo determinado, indeterminado u obra, </w:t>
            </w:r>
          </w:p>
        </w:tc>
        <w:tc>
          <w:tcPr>
            <w:tcW w:w="3533" w:type="dxa"/>
            <w:shd w:val="clear" w:color="auto" w:fill="CCC0D9" w:themeFill="accent4" w:themeFillTint="66"/>
            <w:vAlign w:val="center"/>
          </w:tcPr>
          <w:p w14:paraId="0FED6DB3" w14:textId="2CFBDFCD" w:rsidR="00640A0B" w:rsidRPr="00437FA3" w:rsidRDefault="00130B97"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w:t>
            </w:r>
            <w:r w:rsidRPr="00437FA3">
              <w:rPr>
                <w:rFonts w:ascii="Palatino Linotype" w:hAnsi="Palatino Linotype"/>
                <w:i/>
                <w:color w:val="000000" w:themeColor="text1"/>
              </w:rPr>
              <w:t xml:space="preserve">En relación a este punto, a efecto de atender su solicitud, anexo al presente encontrará la Nómina General de la primera y segunda quincena del mes de enero de 2019 en versión pública aprobada en el Acuerdo </w:t>
            </w:r>
            <w:proofErr w:type="spellStart"/>
            <w:r w:rsidRPr="00437FA3">
              <w:rPr>
                <w:rFonts w:ascii="Palatino Linotype" w:hAnsi="Palatino Linotype"/>
                <w:i/>
                <w:color w:val="000000" w:themeColor="text1"/>
              </w:rPr>
              <w:t>numero</w:t>
            </w:r>
            <w:proofErr w:type="spellEnd"/>
            <w:r w:rsidRPr="00437FA3">
              <w:rPr>
                <w:rFonts w:ascii="Palatino Linotype" w:hAnsi="Palatino Linotype"/>
                <w:i/>
                <w:color w:val="000000" w:themeColor="text1"/>
              </w:rPr>
              <w:t xml:space="preserve"> CT/EXORD2/003/2019 de la Segunda Sesión Extraordinaria del Comité de Transparencia de este Organismo con fecha 19 de febrero del presente año, en la cual contesta la información solicitada</w:t>
            </w:r>
            <w:r w:rsidRPr="00437FA3">
              <w:rPr>
                <w:rFonts w:ascii="Palatino Linotype" w:hAnsi="Palatino Linotype"/>
                <w:color w:val="000000" w:themeColor="text1"/>
              </w:rPr>
              <w:t>”.</w:t>
            </w:r>
          </w:p>
          <w:p w14:paraId="58B7707D" w14:textId="1E5E5EBA" w:rsidR="00130B97" w:rsidRPr="00437FA3" w:rsidRDefault="00130B97"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 xml:space="preserve">A su vez entrega nómina general pero de forma ilegible, </w:t>
            </w:r>
            <w:r w:rsidRPr="00437FA3">
              <w:rPr>
                <w:rFonts w:ascii="Palatino Linotype" w:hAnsi="Palatino Linotype"/>
                <w:color w:val="000000" w:themeColor="text1"/>
              </w:rPr>
              <w:lastRenderedPageBreak/>
              <w:t xml:space="preserve">sin precisar la sueldo neto, las percepciones, deducciones y periodo de pago, entrega la nómina general del Organismo testada correspondiente a la segunda quincena de diciembre de 2018 sin firmas y envía nómina con un archivo en formato Excel testado en celdas, sin embargo al seleccionar cada celda, en la barra de fórmulas se aprecian datos como son CURP, RFC y Clave de </w:t>
            </w:r>
            <w:proofErr w:type="spellStart"/>
            <w:r w:rsidRPr="00437FA3">
              <w:rPr>
                <w:rFonts w:ascii="Palatino Linotype" w:hAnsi="Palatino Linotype"/>
                <w:color w:val="000000" w:themeColor="text1"/>
              </w:rPr>
              <w:t>ISSEMyM</w:t>
            </w:r>
            <w:proofErr w:type="spellEnd"/>
            <w:r w:rsidRPr="00437FA3">
              <w:rPr>
                <w:rFonts w:ascii="Palatino Linotype" w:hAnsi="Palatino Linotype"/>
                <w:color w:val="000000" w:themeColor="text1"/>
              </w:rPr>
              <w:t>.</w:t>
            </w:r>
          </w:p>
        </w:tc>
        <w:tc>
          <w:tcPr>
            <w:tcW w:w="1276" w:type="dxa"/>
            <w:shd w:val="clear" w:color="auto" w:fill="CCC0D9" w:themeFill="accent4" w:themeFillTint="66"/>
            <w:vAlign w:val="center"/>
          </w:tcPr>
          <w:p w14:paraId="10634C25" w14:textId="46C650ED"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No</w:t>
            </w:r>
          </w:p>
        </w:tc>
      </w:tr>
      <w:tr w:rsidR="00640A0B" w:rsidRPr="00437FA3" w14:paraId="5F3E2FE6" w14:textId="77777777" w:rsidTr="002A14A7">
        <w:trPr>
          <w:trHeight w:val="624"/>
          <w:jc w:val="center"/>
        </w:trPr>
        <w:tc>
          <w:tcPr>
            <w:tcW w:w="3266" w:type="dxa"/>
            <w:shd w:val="clear" w:color="auto" w:fill="auto"/>
            <w:vAlign w:val="center"/>
          </w:tcPr>
          <w:p w14:paraId="2651AC85" w14:textId="1845B416"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f) </w:t>
            </w:r>
            <w:r w:rsidR="00640A0B" w:rsidRPr="00437FA3">
              <w:rPr>
                <w:rFonts w:ascii="Palatino Linotype" w:hAnsi="Palatino Linotype"/>
                <w:color w:val="000000"/>
              </w:rPr>
              <w:t xml:space="preserve">La relación del personal que causo baja a partir del día primero de enero del año 2019 a la fecha de la presente, informando la causa o motivo de su baja, si fue </w:t>
            </w:r>
            <w:r w:rsidR="00640A0B" w:rsidRPr="00437FA3">
              <w:rPr>
                <w:rFonts w:ascii="Palatino Linotype" w:hAnsi="Palatino Linotype"/>
                <w:color w:val="000000"/>
              </w:rPr>
              <w:lastRenderedPageBreak/>
              <w:t>renuncia, desp</w:t>
            </w:r>
            <w:r w:rsidR="00A53EDE" w:rsidRPr="00437FA3">
              <w:rPr>
                <w:rFonts w:ascii="Palatino Linotype" w:hAnsi="Palatino Linotype"/>
                <w:color w:val="000000"/>
              </w:rPr>
              <w:t>ido justificado o injustificado.</w:t>
            </w:r>
          </w:p>
        </w:tc>
        <w:tc>
          <w:tcPr>
            <w:tcW w:w="3533" w:type="dxa"/>
            <w:vAlign w:val="center"/>
          </w:tcPr>
          <w:p w14:paraId="4CBA2F60" w14:textId="52D41379" w:rsidR="00640A0B" w:rsidRPr="00437FA3" w:rsidRDefault="00A53EDE"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lastRenderedPageBreak/>
              <w:t xml:space="preserve"> “</w:t>
            </w:r>
            <w:r w:rsidRPr="00437FA3">
              <w:rPr>
                <w:rFonts w:ascii="Palatino Linotype" w:hAnsi="Palatino Linotype"/>
                <w:i/>
                <w:color w:val="000000" w:themeColor="text1"/>
              </w:rPr>
              <w:t xml:space="preserve">En este orden de ideas y a efecto de atender su solicitud, me permito anexar al presente el Reporte de Altas y Bajas que se informa a la Secretaría de la Contraloría, en versión pública, aprobada en el </w:t>
            </w:r>
            <w:r w:rsidRPr="00437FA3">
              <w:rPr>
                <w:rFonts w:ascii="Palatino Linotype" w:hAnsi="Palatino Linotype"/>
                <w:i/>
                <w:color w:val="000000" w:themeColor="text1"/>
              </w:rPr>
              <w:lastRenderedPageBreak/>
              <w:t>Acuerdo número CT/EXORD2/002/2019 de la Segunda Sesión Extraordinaria del Comité de Transparencia de este Organismo con fecha 19 de febrero del presente año</w:t>
            </w:r>
            <w:r w:rsidRPr="00437FA3">
              <w:rPr>
                <w:rFonts w:ascii="Palatino Linotype" w:hAnsi="Palatino Linotype"/>
                <w:color w:val="000000" w:themeColor="text1"/>
              </w:rPr>
              <w:t>”.</w:t>
            </w:r>
          </w:p>
          <w:p w14:paraId="1E259DE1" w14:textId="061AF275" w:rsidR="00A53EDE" w:rsidRPr="00437FA3" w:rsidRDefault="00A53EDE"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 xml:space="preserve"> “</w:t>
            </w:r>
            <w:r w:rsidRPr="00437FA3">
              <w:rPr>
                <w:rFonts w:ascii="Palatino Linotype" w:hAnsi="Palatino Linotype"/>
                <w:i/>
                <w:color w:val="000000" w:themeColor="text1"/>
              </w:rPr>
              <w:t xml:space="preserve">En ese sentido el Comité de Transparencia determinó que la información solicitada en este sentido se trata de un dato personal - laboral, cuya entrega sin duda afecta su intimidad y su espacio de privacidad, por lo tanto, se concluye que esta información clasificada en su modalidad de confidencial en términos del ACUERDO CT/EXORD2/004/2019 aprobado en la Segunda Sesión </w:t>
            </w:r>
            <w:r w:rsidRPr="00437FA3">
              <w:rPr>
                <w:rFonts w:ascii="Palatino Linotype" w:hAnsi="Palatino Linotype"/>
                <w:i/>
                <w:color w:val="000000" w:themeColor="text1"/>
              </w:rPr>
              <w:lastRenderedPageBreak/>
              <w:t>Extraordinaria del Comité de Transparencia</w:t>
            </w:r>
            <w:r w:rsidRPr="00437FA3">
              <w:rPr>
                <w:rFonts w:ascii="Palatino Linotype" w:hAnsi="Palatino Linotype"/>
                <w:color w:val="000000" w:themeColor="text1"/>
              </w:rPr>
              <w:t>”.</w:t>
            </w:r>
          </w:p>
          <w:p w14:paraId="06356D55" w14:textId="75FF88B7" w:rsidR="00A53EDE" w:rsidRPr="00437FA3" w:rsidRDefault="00A53EDE"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 xml:space="preserve">Finalmente no se omite señalar que entrego el reporte de bajas </w:t>
            </w:r>
          </w:p>
        </w:tc>
        <w:tc>
          <w:tcPr>
            <w:tcW w:w="1276" w:type="dxa"/>
            <w:shd w:val="clear" w:color="auto" w:fill="auto"/>
            <w:vAlign w:val="center"/>
          </w:tcPr>
          <w:p w14:paraId="4AB00F0D" w14:textId="74D28B0F" w:rsidR="00640A0B" w:rsidRPr="00437FA3" w:rsidRDefault="003F13A1"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Parcialmente</w:t>
            </w:r>
          </w:p>
        </w:tc>
      </w:tr>
      <w:tr w:rsidR="00640A0B" w:rsidRPr="00437FA3" w14:paraId="55FEEEC7" w14:textId="77777777" w:rsidTr="002A14A7">
        <w:trPr>
          <w:trHeight w:val="624"/>
          <w:jc w:val="center"/>
        </w:trPr>
        <w:tc>
          <w:tcPr>
            <w:tcW w:w="3266" w:type="dxa"/>
            <w:shd w:val="clear" w:color="auto" w:fill="auto"/>
            <w:vAlign w:val="center"/>
          </w:tcPr>
          <w:p w14:paraId="690DEDDE" w14:textId="451A650B"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g) </w:t>
            </w:r>
            <w:r w:rsidR="00640A0B" w:rsidRPr="00437FA3">
              <w:rPr>
                <w:rFonts w:ascii="Palatino Linotype" w:hAnsi="Palatino Linotype"/>
                <w:color w:val="000000"/>
              </w:rPr>
              <w:t xml:space="preserve">Documento donde conste ¿Quiénes a partir del día primero de enero del año 2019 a la fecha se les ha indemnizado o finiquitado conforme a la Ley Federal del Trabajo y Ley de los Trabajadores al Servicio del Estado de México y Municipios?, </w:t>
            </w:r>
          </w:p>
        </w:tc>
        <w:tc>
          <w:tcPr>
            <w:tcW w:w="3533" w:type="dxa"/>
            <w:vAlign w:val="center"/>
          </w:tcPr>
          <w:p w14:paraId="6FDCA74A" w14:textId="4E6B93FB" w:rsidR="00640A0B" w:rsidRPr="00437FA3" w:rsidRDefault="00915638" w:rsidP="00437FA3">
            <w:pPr>
              <w:tabs>
                <w:tab w:val="left" w:pos="7655"/>
              </w:tabs>
              <w:spacing w:after="240" w:line="360" w:lineRule="auto"/>
              <w:jc w:val="both"/>
              <w:rPr>
                <w:rFonts w:ascii="Palatino Linotype" w:hAnsi="Palatino Linotype"/>
                <w:i/>
                <w:color w:val="000000" w:themeColor="text1"/>
              </w:rPr>
            </w:pPr>
            <w:r w:rsidRPr="00437FA3">
              <w:rPr>
                <w:rFonts w:ascii="Palatino Linotype" w:hAnsi="Palatino Linotype"/>
                <w:i/>
                <w:color w:val="000000" w:themeColor="text1"/>
              </w:rPr>
              <w:t>En este tenor es importante mencionar que respecto al personal que causó baja, en todo momento se actuó conforme a derecho y a las leyes aplicables en la materia, así mismo informo a usted que se ha pagado en su totalidad sin adeudar monto alguno.</w:t>
            </w:r>
          </w:p>
        </w:tc>
        <w:tc>
          <w:tcPr>
            <w:tcW w:w="1276" w:type="dxa"/>
            <w:shd w:val="clear" w:color="auto" w:fill="auto"/>
            <w:vAlign w:val="center"/>
          </w:tcPr>
          <w:p w14:paraId="7F0AA23D" w14:textId="19C33C0E"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t>No</w:t>
            </w:r>
          </w:p>
        </w:tc>
      </w:tr>
      <w:tr w:rsidR="00640A0B" w:rsidRPr="00437FA3" w14:paraId="018144E3" w14:textId="77777777" w:rsidTr="002A14A7">
        <w:trPr>
          <w:trHeight w:val="624"/>
          <w:jc w:val="center"/>
        </w:trPr>
        <w:tc>
          <w:tcPr>
            <w:tcW w:w="3266" w:type="dxa"/>
            <w:shd w:val="clear" w:color="auto" w:fill="auto"/>
            <w:vAlign w:val="center"/>
          </w:tcPr>
          <w:p w14:paraId="4D3582AE" w14:textId="20A3218D"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t xml:space="preserve">h) </w:t>
            </w:r>
            <w:r w:rsidR="00640A0B" w:rsidRPr="00437FA3">
              <w:rPr>
                <w:rFonts w:ascii="Palatino Linotype" w:hAnsi="Palatino Linotype"/>
                <w:color w:val="000000"/>
              </w:rPr>
              <w:t xml:space="preserve">Documento donde conste si los despidos fueron conforme a derecho y ¿Cuál es el importe total pagado y pendiente por pagar?, ¿A quiénes ya se le pago y </w:t>
            </w:r>
            <w:r w:rsidR="00640A0B" w:rsidRPr="00437FA3">
              <w:rPr>
                <w:rFonts w:ascii="Palatino Linotype" w:hAnsi="Palatino Linotype"/>
                <w:color w:val="000000"/>
              </w:rPr>
              <w:lastRenderedPageBreak/>
              <w:t>quienes están pendientes, detallando: las causas o motivos de ¿Por qué no se ha pagado? esto en relación a las causas de baja mencionadas con anterioridad;</w:t>
            </w:r>
          </w:p>
        </w:tc>
        <w:tc>
          <w:tcPr>
            <w:tcW w:w="3533" w:type="dxa"/>
            <w:vAlign w:val="center"/>
          </w:tcPr>
          <w:p w14:paraId="5FEA7209" w14:textId="569C7294" w:rsidR="00640A0B" w:rsidRPr="00437FA3" w:rsidRDefault="00915638" w:rsidP="00437FA3">
            <w:pPr>
              <w:pStyle w:val="Prrafodelista"/>
              <w:spacing w:before="240" w:after="240" w:line="360" w:lineRule="auto"/>
              <w:ind w:left="0"/>
              <w:jc w:val="both"/>
              <w:rPr>
                <w:rFonts w:ascii="Palatino Linotype" w:hAnsi="Palatino Linotype"/>
                <w:i/>
                <w:color w:val="000000" w:themeColor="text1"/>
              </w:rPr>
            </w:pPr>
            <w:r w:rsidRPr="00437FA3">
              <w:rPr>
                <w:rFonts w:ascii="Palatino Linotype" w:hAnsi="Palatino Linotype"/>
                <w:i/>
                <w:color w:val="000000" w:themeColor="text1"/>
              </w:rPr>
              <w:lastRenderedPageBreak/>
              <w:t xml:space="preserve">En este tenor es importante mencionar que respecto al personal que causó baja, en todo momento se actuó conforme a derecho y a las leyes aplicables en la materia, así </w:t>
            </w:r>
            <w:r w:rsidRPr="00437FA3">
              <w:rPr>
                <w:rFonts w:ascii="Palatino Linotype" w:hAnsi="Palatino Linotype"/>
                <w:i/>
                <w:color w:val="000000" w:themeColor="text1"/>
              </w:rPr>
              <w:lastRenderedPageBreak/>
              <w:t>mismo informo a usted que se ha pagado en su totalidad sin adeudar monto alguno.</w:t>
            </w:r>
          </w:p>
        </w:tc>
        <w:tc>
          <w:tcPr>
            <w:tcW w:w="1276" w:type="dxa"/>
            <w:shd w:val="clear" w:color="auto" w:fill="auto"/>
            <w:vAlign w:val="center"/>
          </w:tcPr>
          <w:p w14:paraId="4025B443" w14:textId="71E3AC57"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No</w:t>
            </w:r>
          </w:p>
        </w:tc>
      </w:tr>
      <w:tr w:rsidR="00640A0B" w:rsidRPr="00437FA3" w14:paraId="4DBA56C7" w14:textId="77777777" w:rsidTr="002A14A7">
        <w:trPr>
          <w:trHeight w:val="624"/>
          <w:jc w:val="center"/>
        </w:trPr>
        <w:tc>
          <w:tcPr>
            <w:tcW w:w="3266" w:type="dxa"/>
            <w:shd w:val="clear" w:color="auto" w:fill="auto"/>
            <w:vAlign w:val="center"/>
          </w:tcPr>
          <w:p w14:paraId="70FA37EE" w14:textId="2D4AEDCC"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i) </w:t>
            </w:r>
            <w:r w:rsidR="00640A0B" w:rsidRPr="00437FA3">
              <w:rPr>
                <w:rFonts w:ascii="Palatino Linotype" w:hAnsi="Palatino Linotype"/>
                <w:color w:val="000000"/>
              </w:rPr>
              <w:t xml:space="preserve">Documento donde conste ¿Cuál es el importe que se tiene presupuestado para el ejercicio fiscal 2019, para atender y dar cumplimiento a las obligaciones contraídas por las renuncias y despidos efectuados? </w:t>
            </w:r>
          </w:p>
        </w:tc>
        <w:tc>
          <w:tcPr>
            <w:tcW w:w="3533" w:type="dxa"/>
            <w:vAlign w:val="center"/>
          </w:tcPr>
          <w:p w14:paraId="2A31FE56" w14:textId="3AB18C87" w:rsidR="00640A0B" w:rsidRPr="00437FA3" w:rsidRDefault="00915638" w:rsidP="00437FA3">
            <w:pPr>
              <w:tabs>
                <w:tab w:val="left" w:pos="7655"/>
              </w:tabs>
              <w:spacing w:after="240" w:line="360" w:lineRule="auto"/>
              <w:jc w:val="both"/>
              <w:rPr>
                <w:rFonts w:ascii="Palatino Linotype" w:hAnsi="Palatino Linotype"/>
                <w:i/>
                <w:color w:val="000000" w:themeColor="text1"/>
              </w:rPr>
            </w:pPr>
            <w:r w:rsidRPr="00437FA3">
              <w:rPr>
                <w:rFonts w:ascii="Palatino Linotype" w:hAnsi="Palatino Linotype"/>
                <w:i/>
                <w:color w:val="000000" w:themeColor="text1"/>
              </w:rPr>
              <w:t>En referencia al importe presupuestado para el Ejercicio Fiscal 2019 le informo que aún no se cuenta con el monto asignado, debido a que dicho presupuesto de ingresos-egresos, está en construcción y aprobación, conforme a lo dispuesto por el artículo 47 de la Ley de Fiscalización del Estado de México.</w:t>
            </w:r>
          </w:p>
        </w:tc>
        <w:tc>
          <w:tcPr>
            <w:tcW w:w="1276" w:type="dxa"/>
            <w:shd w:val="clear" w:color="auto" w:fill="auto"/>
            <w:vAlign w:val="center"/>
          </w:tcPr>
          <w:p w14:paraId="5AF6EBA1" w14:textId="46577BD8"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t>No</w:t>
            </w:r>
          </w:p>
        </w:tc>
      </w:tr>
      <w:tr w:rsidR="00640A0B" w:rsidRPr="00437FA3" w14:paraId="353BA091" w14:textId="77777777" w:rsidTr="002A14A7">
        <w:trPr>
          <w:trHeight w:val="624"/>
          <w:jc w:val="center"/>
        </w:trPr>
        <w:tc>
          <w:tcPr>
            <w:tcW w:w="3266" w:type="dxa"/>
            <w:shd w:val="clear" w:color="auto" w:fill="auto"/>
            <w:vAlign w:val="center"/>
          </w:tcPr>
          <w:p w14:paraId="1BB6B11A" w14:textId="2E918134"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t xml:space="preserve">j) </w:t>
            </w:r>
            <w:r w:rsidR="00640A0B" w:rsidRPr="00437FA3">
              <w:rPr>
                <w:rFonts w:ascii="Palatino Linotype" w:hAnsi="Palatino Linotype"/>
                <w:color w:val="000000"/>
              </w:rPr>
              <w:t xml:space="preserve">Documento donde conste el lugar de residencia que se </w:t>
            </w:r>
            <w:r w:rsidR="00640A0B" w:rsidRPr="00437FA3">
              <w:rPr>
                <w:rFonts w:ascii="Palatino Linotype" w:hAnsi="Palatino Linotype"/>
                <w:color w:val="000000"/>
              </w:rPr>
              <w:lastRenderedPageBreak/>
              <w:t>acredite de los nuevos titulares de las áreas de dicho Organismo, mencionando calle, colonia, municipio o alcaldía y entidad federativa,</w:t>
            </w:r>
          </w:p>
        </w:tc>
        <w:tc>
          <w:tcPr>
            <w:tcW w:w="3533" w:type="dxa"/>
            <w:vAlign w:val="center"/>
          </w:tcPr>
          <w:p w14:paraId="1BF61D1A" w14:textId="6B8F8F63" w:rsidR="00640A0B" w:rsidRPr="00437FA3" w:rsidRDefault="00915638" w:rsidP="00437FA3">
            <w:pPr>
              <w:tabs>
                <w:tab w:val="left" w:pos="7655"/>
              </w:tabs>
              <w:spacing w:after="240" w:line="360" w:lineRule="auto"/>
              <w:jc w:val="both"/>
              <w:rPr>
                <w:rFonts w:ascii="Palatino Linotype" w:hAnsi="Palatino Linotype"/>
                <w:i/>
                <w:color w:val="000000" w:themeColor="text1"/>
              </w:rPr>
            </w:pPr>
            <w:r w:rsidRPr="00437FA3">
              <w:rPr>
                <w:rFonts w:ascii="Palatino Linotype" w:hAnsi="Palatino Linotype"/>
                <w:i/>
                <w:color w:val="000000" w:themeColor="text1"/>
              </w:rPr>
              <w:lastRenderedPageBreak/>
              <w:t xml:space="preserve">Por lo que respecta a la información de residencia de los </w:t>
            </w:r>
            <w:r w:rsidRPr="00437FA3">
              <w:rPr>
                <w:rFonts w:ascii="Palatino Linotype" w:hAnsi="Palatino Linotype"/>
                <w:i/>
                <w:color w:val="000000" w:themeColor="text1"/>
              </w:rPr>
              <w:lastRenderedPageBreak/>
              <w:t xml:space="preserve">Titulares de las Áreas del Organismo y con fundamento en el artículo 1, 2 fracción 111 y 3 de la Ley de Protección de Datos Personales del Estado de México; 143 fracción I de la Ley de Transparencia y Acceso a la Información Pública del Estado de México y Municipios, me es imposible proporcionar dicha información por ser de carácter confidencial, lo cual está señalado en el Acuerdo </w:t>
            </w:r>
            <w:proofErr w:type="spellStart"/>
            <w:r w:rsidRPr="00437FA3">
              <w:rPr>
                <w:rFonts w:ascii="Palatino Linotype" w:hAnsi="Palatino Linotype"/>
                <w:i/>
                <w:color w:val="000000" w:themeColor="text1"/>
              </w:rPr>
              <w:t>numero</w:t>
            </w:r>
            <w:proofErr w:type="spellEnd"/>
            <w:r w:rsidRPr="00437FA3">
              <w:rPr>
                <w:rFonts w:ascii="Palatino Linotype" w:hAnsi="Palatino Linotype"/>
                <w:i/>
                <w:color w:val="000000" w:themeColor="text1"/>
              </w:rPr>
              <w:t xml:space="preserve"> CT/EXORD2/002/2019 de la Segunda Sesión Extraordinaria del Comité de Transparencia de este Organismo.</w:t>
            </w:r>
          </w:p>
        </w:tc>
        <w:tc>
          <w:tcPr>
            <w:tcW w:w="1276" w:type="dxa"/>
            <w:shd w:val="clear" w:color="auto" w:fill="auto"/>
            <w:vAlign w:val="center"/>
          </w:tcPr>
          <w:p w14:paraId="4BC73B52" w14:textId="2536D939"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No</w:t>
            </w:r>
          </w:p>
        </w:tc>
      </w:tr>
      <w:tr w:rsidR="00640A0B" w:rsidRPr="00437FA3" w14:paraId="37A215B7" w14:textId="77777777" w:rsidTr="00506FA3">
        <w:trPr>
          <w:trHeight w:val="624"/>
          <w:jc w:val="center"/>
        </w:trPr>
        <w:tc>
          <w:tcPr>
            <w:tcW w:w="3266" w:type="dxa"/>
            <w:shd w:val="clear" w:color="auto" w:fill="FBD4B4" w:themeFill="accent6" w:themeFillTint="66"/>
            <w:vAlign w:val="center"/>
          </w:tcPr>
          <w:p w14:paraId="1B58A1A3" w14:textId="1F16766B"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k) </w:t>
            </w:r>
            <w:r w:rsidR="00640A0B" w:rsidRPr="00437FA3">
              <w:rPr>
                <w:rFonts w:ascii="Palatino Linotype" w:hAnsi="Palatino Linotype"/>
                <w:color w:val="000000"/>
              </w:rPr>
              <w:t xml:space="preserve">Informe del número total de personal por área, detallando el importe a </w:t>
            </w:r>
            <w:r w:rsidR="00640A0B" w:rsidRPr="00437FA3">
              <w:rPr>
                <w:rFonts w:ascii="Palatino Linotype" w:hAnsi="Palatino Linotype"/>
                <w:color w:val="000000"/>
              </w:rPr>
              <w:lastRenderedPageBreak/>
              <w:t>pagar de nómina por cada servidor público, con corte al 31 de diciembre del año 2019 y;</w:t>
            </w:r>
          </w:p>
          <w:p w14:paraId="09EB8CA8" w14:textId="66D358FA" w:rsidR="00640A0B" w:rsidRPr="00437FA3" w:rsidRDefault="00640A0B" w:rsidP="00437FA3">
            <w:pPr>
              <w:spacing w:line="360" w:lineRule="auto"/>
              <w:jc w:val="both"/>
              <w:rPr>
                <w:rFonts w:ascii="Palatino Linotype" w:hAnsi="Palatino Linotype"/>
                <w:color w:val="000000"/>
              </w:rPr>
            </w:pPr>
            <w:r w:rsidRPr="00437FA3">
              <w:rPr>
                <w:rFonts w:ascii="Palatino Linotype" w:hAnsi="Palatino Linotype"/>
                <w:color w:val="000000"/>
              </w:rPr>
              <w:t xml:space="preserve">Documento donde conste el número total de personal por área, detallando importe por cada servidor público a pagar de nómina, con corte a la fecha de la presente. </w:t>
            </w:r>
          </w:p>
        </w:tc>
        <w:tc>
          <w:tcPr>
            <w:tcW w:w="3533" w:type="dxa"/>
            <w:shd w:val="clear" w:color="auto" w:fill="FBD4B4" w:themeFill="accent6" w:themeFillTint="66"/>
            <w:vAlign w:val="center"/>
          </w:tcPr>
          <w:p w14:paraId="3CF68750" w14:textId="341E366E" w:rsidR="00640A0B" w:rsidRPr="00437FA3" w:rsidRDefault="00915638" w:rsidP="00437FA3">
            <w:pPr>
              <w:tabs>
                <w:tab w:val="left" w:pos="7655"/>
              </w:tabs>
              <w:spacing w:after="240" w:line="360" w:lineRule="auto"/>
              <w:jc w:val="both"/>
              <w:rPr>
                <w:rFonts w:ascii="Palatino Linotype" w:hAnsi="Palatino Linotype"/>
                <w:i/>
                <w:color w:val="000000" w:themeColor="text1"/>
              </w:rPr>
            </w:pPr>
            <w:r w:rsidRPr="00437FA3">
              <w:rPr>
                <w:rFonts w:ascii="Palatino Linotype" w:hAnsi="Palatino Linotype"/>
                <w:i/>
                <w:color w:val="000000" w:themeColor="text1"/>
              </w:rPr>
              <w:lastRenderedPageBreak/>
              <w:t xml:space="preserve">En relación al informe del número total de personal por área, detallando importe a pagar de </w:t>
            </w:r>
            <w:r w:rsidRPr="00437FA3">
              <w:rPr>
                <w:rFonts w:ascii="Palatino Linotype" w:hAnsi="Palatino Linotype"/>
                <w:i/>
                <w:color w:val="000000" w:themeColor="text1"/>
              </w:rPr>
              <w:lastRenderedPageBreak/>
              <w:t xml:space="preserve">nómina por cada servidor público, con corte al 31 de diciembre del año 2019, a la fecha aún no se cuenta con esa información, siendo, imposible conocerla y por tanto proporcionarla toda vez que actualmente está transcurriendo el mes de febrero 2019, lo anterior declarado en acuerdo de inexistencia </w:t>
            </w:r>
            <w:proofErr w:type="spellStart"/>
            <w:r w:rsidRPr="00437FA3">
              <w:rPr>
                <w:rFonts w:ascii="Palatino Linotype" w:hAnsi="Palatino Linotype"/>
                <w:i/>
                <w:color w:val="000000" w:themeColor="text1"/>
              </w:rPr>
              <w:t>numero</w:t>
            </w:r>
            <w:proofErr w:type="spellEnd"/>
            <w:r w:rsidRPr="00437FA3">
              <w:rPr>
                <w:rFonts w:ascii="Palatino Linotype" w:hAnsi="Palatino Linotype"/>
                <w:i/>
                <w:color w:val="000000" w:themeColor="text1"/>
              </w:rPr>
              <w:t xml:space="preserve"> CT/EXORD2/006/2019, sin embargo, a efecto de atender su solicitud, se le proporciona, anexo al presente la Nómina General de la primera y segunda quincena del mes de enero de 2019, en versión pública aprobada en el Acuerdo </w:t>
            </w:r>
            <w:proofErr w:type="spellStart"/>
            <w:r w:rsidRPr="00437FA3">
              <w:rPr>
                <w:rFonts w:ascii="Palatino Linotype" w:hAnsi="Palatino Linotype"/>
                <w:i/>
                <w:color w:val="000000" w:themeColor="text1"/>
              </w:rPr>
              <w:t>numero</w:t>
            </w:r>
            <w:proofErr w:type="spellEnd"/>
            <w:r w:rsidRPr="00437FA3">
              <w:rPr>
                <w:rFonts w:ascii="Palatino Linotype" w:hAnsi="Palatino Linotype"/>
                <w:i/>
                <w:color w:val="000000" w:themeColor="text1"/>
              </w:rPr>
              <w:t xml:space="preserve"> CT/EXORD2/003/2019 de la Segunda Sesión Extraordinaria del Comité de Transparencia de este Organismo </w:t>
            </w:r>
            <w:r w:rsidRPr="00437FA3">
              <w:rPr>
                <w:rFonts w:ascii="Palatino Linotype" w:hAnsi="Palatino Linotype"/>
                <w:i/>
                <w:color w:val="000000" w:themeColor="text1"/>
              </w:rPr>
              <w:lastRenderedPageBreak/>
              <w:t>con fecha 19 de febrero del presente año. Información con la que se cuenta hasta el momento.</w:t>
            </w:r>
          </w:p>
        </w:tc>
        <w:tc>
          <w:tcPr>
            <w:tcW w:w="1276" w:type="dxa"/>
            <w:shd w:val="clear" w:color="auto" w:fill="FBD4B4" w:themeFill="accent6" w:themeFillTint="66"/>
            <w:vAlign w:val="center"/>
          </w:tcPr>
          <w:p w14:paraId="58B1CA13" w14:textId="44382BAF"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No</w:t>
            </w:r>
          </w:p>
        </w:tc>
      </w:tr>
      <w:tr w:rsidR="00640A0B" w:rsidRPr="00437FA3" w14:paraId="6FCCEA89" w14:textId="77777777" w:rsidTr="002A14A7">
        <w:trPr>
          <w:trHeight w:val="624"/>
          <w:jc w:val="center"/>
        </w:trPr>
        <w:tc>
          <w:tcPr>
            <w:tcW w:w="3266" w:type="dxa"/>
            <w:shd w:val="clear" w:color="auto" w:fill="auto"/>
            <w:vAlign w:val="center"/>
          </w:tcPr>
          <w:p w14:paraId="69FCF68E" w14:textId="3BC9A822" w:rsidR="00640A0B" w:rsidRPr="00437FA3" w:rsidRDefault="00506FA3" w:rsidP="00437FA3">
            <w:pPr>
              <w:spacing w:line="360" w:lineRule="auto"/>
              <w:jc w:val="both"/>
              <w:rPr>
                <w:rFonts w:ascii="Palatino Linotype" w:hAnsi="Palatino Linotype"/>
                <w:color w:val="000000"/>
              </w:rPr>
            </w:pPr>
            <w:r w:rsidRPr="00437FA3">
              <w:rPr>
                <w:rFonts w:ascii="Palatino Linotype" w:hAnsi="Palatino Linotype"/>
                <w:color w:val="000000"/>
              </w:rPr>
              <w:lastRenderedPageBreak/>
              <w:t xml:space="preserve">l) </w:t>
            </w:r>
            <w:r w:rsidR="00640A0B" w:rsidRPr="00437FA3">
              <w:rPr>
                <w:rFonts w:ascii="Palatino Linotype" w:hAnsi="Palatino Linotype"/>
                <w:color w:val="000000"/>
              </w:rPr>
              <w:t>Ambos informes detallando el grado de estudio de cada uno de ellos.</w:t>
            </w:r>
          </w:p>
        </w:tc>
        <w:tc>
          <w:tcPr>
            <w:tcW w:w="3533" w:type="dxa"/>
            <w:vAlign w:val="center"/>
          </w:tcPr>
          <w:p w14:paraId="0CACA94D" w14:textId="77777777" w:rsidR="00640A0B" w:rsidRPr="00437FA3" w:rsidRDefault="00915638"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 xml:space="preserve">El Sujeto Obligado únicamente entrega </w:t>
            </w:r>
            <w:r w:rsidR="00BA1745" w:rsidRPr="00437FA3">
              <w:rPr>
                <w:rFonts w:ascii="Palatino Linotype" w:hAnsi="Palatino Linotype"/>
                <w:color w:val="000000" w:themeColor="text1"/>
              </w:rPr>
              <w:t>los certificados, títulos, cédulas e historiales académicos de los servidores públicos que se muestran en el cuadro pero los correspondientes a Salvador Vargas Vidal (Subdirector de Sistemas), David Roa González (Subdirector de Comercialización), y Mireya Hernández Ramírez (Recursos Humanos) contienen las calificaciones de los servidores públicos.</w:t>
            </w:r>
          </w:p>
          <w:p w14:paraId="0EBA9B33" w14:textId="3558E04E" w:rsidR="00BA1745" w:rsidRPr="00437FA3" w:rsidRDefault="00BA1745" w:rsidP="00437FA3">
            <w:pPr>
              <w:tabs>
                <w:tab w:val="left" w:pos="7655"/>
              </w:tabs>
              <w:spacing w:after="240" w:line="360" w:lineRule="auto"/>
              <w:jc w:val="both"/>
              <w:rPr>
                <w:rFonts w:ascii="Palatino Linotype" w:hAnsi="Palatino Linotype"/>
                <w:color w:val="000000" w:themeColor="text1"/>
              </w:rPr>
            </w:pPr>
            <w:r w:rsidRPr="00437FA3">
              <w:rPr>
                <w:rFonts w:ascii="Palatino Linotype" w:hAnsi="Palatino Linotype"/>
                <w:color w:val="000000" w:themeColor="text1"/>
              </w:rPr>
              <w:t xml:space="preserve">El Sujeto Obligado no entregó los documentos que acrediten </w:t>
            </w:r>
            <w:r w:rsidRPr="00437FA3">
              <w:rPr>
                <w:rFonts w:ascii="Palatino Linotype" w:hAnsi="Palatino Linotype"/>
                <w:color w:val="000000" w:themeColor="text1"/>
              </w:rPr>
              <w:lastRenderedPageBreak/>
              <w:t>el último grado de estudios del resto de los servidores públicos adscritos a su Organismo.</w:t>
            </w:r>
          </w:p>
        </w:tc>
        <w:tc>
          <w:tcPr>
            <w:tcW w:w="1276" w:type="dxa"/>
            <w:shd w:val="clear" w:color="auto" w:fill="auto"/>
            <w:vAlign w:val="center"/>
          </w:tcPr>
          <w:p w14:paraId="27E0A2A9" w14:textId="39F0B975" w:rsidR="00640A0B" w:rsidRPr="00437FA3" w:rsidRDefault="00BA1745" w:rsidP="00437FA3">
            <w:pPr>
              <w:tabs>
                <w:tab w:val="left" w:pos="7655"/>
              </w:tabs>
              <w:spacing w:after="240" w:line="360" w:lineRule="auto"/>
              <w:jc w:val="center"/>
              <w:rPr>
                <w:rFonts w:ascii="Palatino Linotype" w:hAnsi="Palatino Linotype"/>
                <w:color w:val="000000" w:themeColor="text1"/>
              </w:rPr>
            </w:pPr>
            <w:r w:rsidRPr="00437FA3">
              <w:rPr>
                <w:rFonts w:ascii="Palatino Linotype" w:hAnsi="Palatino Linotype"/>
                <w:color w:val="000000" w:themeColor="text1"/>
              </w:rPr>
              <w:lastRenderedPageBreak/>
              <w:t>No</w:t>
            </w:r>
          </w:p>
        </w:tc>
      </w:tr>
    </w:tbl>
    <w:p w14:paraId="175728BA" w14:textId="77777777" w:rsidR="00915638" w:rsidRPr="00437FA3" w:rsidRDefault="00915638" w:rsidP="00437FA3">
      <w:pPr>
        <w:pStyle w:val="Prrafodelista"/>
        <w:spacing w:before="240" w:after="240" w:line="360" w:lineRule="auto"/>
        <w:ind w:left="0"/>
        <w:jc w:val="both"/>
        <w:rPr>
          <w:rFonts w:ascii="Palatino Linotype" w:hAnsi="Palatino Linotype"/>
          <w:color w:val="000000" w:themeColor="text1"/>
        </w:rPr>
      </w:pPr>
    </w:p>
    <w:p w14:paraId="79646880" w14:textId="44EA059A" w:rsidR="00146A83" w:rsidRPr="00437FA3" w:rsidRDefault="00146A83" w:rsidP="00437FA3">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437FA3">
        <w:rPr>
          <w:rFonts w:ascii="Palatino Linotype" w:hAnsi="Palatino Linotype"/>
          <w:color w:val="000000"/>
        </w:rPr>
        <w:t xml:space="preserve">Es preciso señalar que como resultado de la elaboración del cuadro de análisis se observó que el </w:t>
      </w:r>
      <w:r w:rsidRPr="00437FA3">
        <w:rPr>
          <w:rFonts w:ascii="Palatino Linotype" w:hAnsi="Palatino Linotype"/>
          <w:b/>
          <w:color w:val="000000"/>
        </w:rPr>
        <w:t>SUJETO OBLIGADO</w:t>
      </w:r>
      <w:r w:rsidRPr="00437FA3">
        <w:rPr>
          <w:rFonts w:ascii="Palatino Linotype" w:hAnsi="Palatino Linotype"/>
          <w:color w:val="000000"/>
        </w:rPr>
        <w:t xml:space="preserve"> no </w:t>
      </w:r>
      <w:r w:rsidR="00BA1745" w:rsidRPr="00437FA3">
        <w:rPr>
          <w:rFonts w:ascii="Palatino Linotype" w:hAnsi="Palatino Linotype"/>
          <w:color w:val="000000"/>
        </w:rPr>
        <w:t>colmó</w:t>
      </w:r>
      <w:r w:rsidRPr="00437FA3">
        <w:rPr>
          <w:rFonts w:ascii="Palatino Linotype" w:hAnsi="Palatino Linotype"/>
          <w:color w:val="000000"/>
        </w:rPr>
        <w:t xml:space="preserve"> cada requerimiento</w:t>
      </w:r>
      <w:r w:rsidR="00BA1745" w:rsidRPr="00437FA3">
        <w:rPr>
          <w:rFonts w:ascii="Palatino Linotype" w:hAnsi="Palatino Linotype"/>
          <w:color w:val="000000"/>
        </w:rPr>
        <w:t xml:space="preserve"> realizado y además deja a la vista datos personales susceptibles de ser considerados como confidenciales</w:t>
      </w:r>
      <w:r w:rsidR="00FE07B1" w:rsidRPr="00437FA3">
        <w:rPr>
          <w:rFonts w:ascii="Palatino Linotype" w:hAnsi="Palatino Linotype"/>
          <w:color w:val="000000"/>
        </w:rPr>
        <w:t xml:space="preserve"> como son C</w:t>
      </w:r>
      <w:r w:rsidR="00BA1745" w:rsidRPr="00437FA3">
        <w:rPr>
          <w:rFonts w:ascii="Palatino Linotype" w:hAnsi="Palatino Linotype"/>
          <w:color w:val="000000"/>
        </w:rPr>
        <w:t>alificaciones, C</w:t>
      </w:r>
      <w:r w:rsidR="00A8677E" w:rsidRPr="00437FA3">
        <w:rPr>
          <w:rFonts w:ascii="Palatino Linotype" w:hAnsi="Palatino Linotype"/>
          <w:color w:val="000000"/>
        </w:rPr>
        <w:t xml:space="preserve">lave </w:t>
      </w:r>
      <w:r w:rsidR="00764286" w:rsidRPr="00437FA3">
        <w:rPr>
          <w:rFonts w:ascii="Palatino Linotype" w:hAnsi="Palatino Linotype"/>
          <w:color w:val="000000"/>
        </w:rPr>
        <w:t>Única de</w:t>
      </w:r>
      <w:r w:rsidR="00A8677E" w:rsidRPr="00437FA3">
        <w:rPr>
          <w:rFonts w:ascii="Palatino Linotype" w:hAnsi="Palatino Linotype"/>
          <w:color w:val="000000"/>
        </w:rPr>
        <w:t xml:space="preserve"> </w:t>
      </w:r>
      <w:r w:rsidR="00BA1745" w:rsidRPr="00437FA3">
        <w:rPr>
          <w:rFonts w:ascii="Palatino Linotype" w:hAnsi="Palatino Linotype"/>
          <w:color w:val="000000"/>
        </w:rPr>
        <w:t>R</w:t>
      </w:r>
      <w:r w:rsidR="00A8677E" w:rsidRPr="00437FA3">
        <w:rPr>
          <w:rFonts w:ascii="Palatino Linotype" w:hAnsi="Palatino Linotype"/>
          <w:color w:val="000000"/>
        </w:rPr>
        <w:t xml:space="preserve">egistro de </w:t>
      </w:r>
      <w:r w:rsidR="00BA1745" w:rsidRPr="00437FA3">
        <w:rPr>
          <w:rFonts w:ascii="Palatino Linotype" w:hAnsi="Palatino Linotype"/>
          <w:color w:val="000000"/>
        </w:rPr>
        <w:t>P</w:t>
      </w:r>
      <w:r w:rsidR="00A8677E" w:rsidRPr="00437FA3">
        <w:rPr>
          <w:rFonts w:ascii="Palatino Linotype" w:hAnsi="Palatino Linotype"/>
          <w:color w:val="000000"/>
        </w:rPr>
        <w:t>oblación (CURP)</w:t>
      </w:r>
      <w:r w:rsidR="00764286" w:rsidRPr="00437FA3">
        <w:rPr>
          <w:rFonts w:ascii="Palatino Linotype" w:hAnsi="Palatino Linotype"/>
          <w:color w:val="000000"/>
        </w:rPr>
        <w:t xml:space="preserve"> y </w:t>
      </w:r>
      <w:r w:rsidR="00BA1745" w:rsidRPr="00437FA3">
        <w:rPr>
          <w:rFonts w:ascii="Palatino Linotype" w:hAnsi="Palatino Linotype"/>
          <w:color w:val="000000"/>
        </w:rPr>
        <w:t xml:space="preserve">Clave de </w:t>
      </w:r>
      <w:proofErr w:type="spellStart"/>
      <w:r w:rsidR="00BA1745" w:rsidRPr="00437FA3">
        <w:rPr>
          <w:rFonts w:ascii="Palatino Linotype" w:hAnsi="Palatino Linotype"/>
          <w:color w:val="000000"/>
        </w:rPr>
        <w:t>ISSEMyM</w:t>
      </w:r>
      <w:proofErr w:type="spellEnd"/>
      <w:r w:rsidRPr="00437FA3">
        <w:rPr>
          <w:rFonts w:ascii="Palatino Linotype" w:hAnsi="Palatino Linotype"/>
          <w:color w:val="000000"/>
        </w:rPr>
        <w:t>, por lo que</w:t>
      </w:r>
      <w:r w:rsidRPr="00437FA3">
        <w:rPr>
          <w:rFonts w:ascii="Palatino Linotype" w:hAnsi="Palatino Linotype"/>
          <w:color w:val="000000" w:themeColor="text1"/>
        </w:rPr>
        <w:t xml:space="preserve"> no se está respetando el Derecho humano de Acceso a la información toda vez que las autoridades satisfacen</w:t>
      </w:r>
      <w:r w:rsidRPr="00437FA3">
        <w:rPr>
          <w:rFonts w:ascii="Palatino Linotype" w:hAnsi="Palatino Linotype"/>
        </w:rPr>
        <w:t xml:space="preserve"> ésta obligación cuando el solicitante tenga a su disposición la información requerida, o cuando realice la consulta de la misma en el lugar en el que ésta se localice, lo anterior de conformidad con el artículo 166 párrafo primero de la </w:t>
      </w:r>
      <w:r w:rsidRPr="00437FA3">
        <w:rPr>
          <w:rFonts w:ascii="Palatino Linotype" w:eastAsia="Calibri" w:hAnsi="Palatino Linotype" w:cs="Arial"/>
          <w:b/>
          <w:lang w:val="es-ES"/>
        </w:rPr>
        <w:t>Ley de Transparencia y Acceso a la Información Pública del Estado de México y Municipios.</w:t>
      </w:r>
    </w:p>
    <w:p w14:paraId="0C67C3C6" w14:textId="77777777" w:rsidR="00437FA3" w:rsidRPr="00437FA3" w:rsidRDefault="00437FA3" w:rsidP="00437FA3">
      <w:pPr>
        <w:pStyle w:val="Prrafodelista"/>
        <w:spacing w:before="240" w:after="240" w:line="360" w:lineRule="auto"/>
        <w:ind w:left="0"/>
        <w:jc w:val="both"/>
        <w:rPr>
          <w:rFonts w:ascii="Palatino Linotype" w:hAnsi="Palatino Linotype"/>
          <w:color w:val="000000" w:themeColor="text1"/>
        </w:rPr>
      </w:pPr>
    </w:p>
    <w:p w14:paraId="6CFA81BE" w14:textId="255A2BE2" w:rsidR="008556F6" w:rsidRPr="00437FA3" w:rsidRDefault="00787C28" w:rsidP="00437FA3">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437FA3">
        <w:rPr>
          <w:rFonts w:ascii="Palatino Linotype" w:hAnsi="Palatino Linotype"/>
          <w:color w:val="000000" w:themeColor="text1"/>
        </w:rPr>
        <w:t>En cuanto</w:t>
      </w:r>
      <w:r w:rsidR="008556F6" w:rsidRPr="00437FA3">
        <w:rPr>
          <w:rFonts w:ascii="Palatino Linotype" w:hAnsi="Palatino Linotype"/>
          <w:color w:val="000000" w:themeColor="text1"/>
        </w:rPr>
        <w:t xml:space="preserve"> al punto identificado para mejor proveer con el inciso </w:t>
      </w:r>
      <w:r w:rsidR="008556F6" w:rsidRPr="00437FA3">
        <w:rPr>
          <w:rFonts w:ascii="Palatino Linotype" w:hAnsi="Palatino Linotype"/>
          <w:b/>
          <w:color w:val="000000" w:themeColor="text1"/>
        </w:rPr>
        <w:t xml:space="preserve">a) </w:t>
      </w:r>
      <w:r w:rsidR="008556F6" w:rsidRPr="00437FA3">
        <w:rPr>
          <w:rFonts w:ascii="Palatino Linotype" w:hAnsi="Palatino Linotype"/>
          <w:color w:val="000000" w:themeColor="text1"/>
        </w:rPr>
        <w:t xml:space="preserve">el requerimiento a todas luces fue colmado, toda vez que se pudo identificar entre los archivos enviados que el </w:t>
      </w:r>
      <w:r w:rsidR="008556F6" w:rsidRPr="00437FA3">
        <w:rPr>
          <w:rFonts w:ascii="Palatino Linotype" w:hAnsi="Palatino Linotype"/>
          <w:b/>
          <w:color w:val="000000" w:themeColor="text1"/>
        </w:rPr>
        <w:t>SUJETO OBLIGADO</w:t>
      </w:r>
      <w:r w:rsidR="008556F6" w:rsidRPr="00437FA3">
        <w:rPr>
          <w:rFonts w:ascii="Palatino Linotype" w:hAnsi="Palatino Linotype"/>
          <w:color w:val="000000" w:themeColor="text1"/>
        </w:rPr>
        <w:t xml:space="preserve"> remite en formato </w:t>
      </w:r>
      <w:proofErr w:type="spellStart"/>
      <w:r w:rsidR="008556F6" w:rsidRPr="00437FA3">
        <w:rPr>
          <w:rFonts w:ascii="Palatino Linotype" w:hAnsi="Palatino Linotype"/>
          <w:color w:val="000000" w:themeColor="text1"/>
        </w:rPr>
        <w:t>pdf</w:t>
      </w:r>
      <w:proofErr w:type="spellEnd"/>
      <w:r w:rsidR="008556F6" w:rsidRPr="00437FA3">
        <w:rPr>
          <w:rFonts w:ascii="Palatino Linotype" w:hAnsi="Palatino Linotype"/>
          <w:color w:val="000000" w:themeColor="text1"/>
        </w:rPr>
        <w:t xml:space="preserve"> el acta denominada “</w:t>
      </w:r>
      <w:r w:rsidR="008556F6" w:rsidRPr="00437FA3">
        <w:rPr>
          <w:rFonts w:ascii="Palatino Linotype" w:hAnsi="Palatino Linotype"/>
        </w:rPr>
        <w:t>Primera Sesión Ordinaria del Consejo Directivo del OPD SAPASNIR Administración 2019- 2021, misma que se inserta en su totalidad a continuación:</w:t>
      </w:r>
    </w:p>
    <w:p w14:paraId="4029ACAA" w14:textId="47479681"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5D4392B6" wp14:editId="6291B9FB">
            <wp:extent cx="4542790" cy="5562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5625" cy="5566072"/>
                    </a:xfrm>
                    <a:prstGeom prst="rect">
                      <a:avLst/>
                    </a:prstGeom>
                    <a:noFill/>
                    <a:ln>
                      <a:noFill/>
                    </a:ln>
                  </pic:spPr>
                </pic:pic>
              </a:graphicData>
            </a:graphic>
          </wp:inline>
        </w:drawing>
      </w:r>
    </w:p>
    <w:p w14:paraId="0B98C25B" w14:textId="6A196A7C"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4DB8968E" wp14:editId="0EBA786B">
            <wp:extent cx="4876800" cy="713295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6921" cy="7133132"/>
                    </a:xfrm>
                    <a:prstGeom prst="rect">
                      <a:avLst/>
                    </a:prstGeom>
                    <a:noFill/>
                    <a:ln>
                      <a:noFill/>
                    </a:ln>
                  </pic:spPr>
                </pic:pic>
              </a:graphicData>
            </a:graphic>
          </wp:inline>
        </w:drawing>
      </w:r>
    </w:p>
    <w:p w14:paraId="1BFC423F" w14:textId="7D3B4735"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6E1E933D" wp14:editId="133D319E">
            <wp:extent cx="4914900" cy="707674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9544" cy="7083428"/>
                    </a:xfrm>
                    <a:prstGeom prst="rect">
                      <a:avLst/>
                    </a:prstGeom>
                    <a:noFill/>
                    <a:ln>
                      <a:noFill/>
                    </a:ln>
                  </pic:spPr>
                </pic:pic>
              </a:graphicData>
            </a:graphic>
          </wp:inline>
        </w:drawing>
      </w:r>
    </w:p>
    <w:p w14:paraId="22AA58FF" w14:textId="4902A4F7"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63DD484E" wp14:editId="284775E2">
            <wp:extent cx="4924425" cy="7117715"/>
            <wp:effectExtent l="0" t="0" r="9525"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4637" cy="7118021"/>
                    </a:xfrm>
                    <a:prstGeom prst="rect">
                      <a:avLst/>
                    </a:prstGeom>
                    <a:noFill/>
                    <a:ln>
                      <a:noFill/>
                    </a:ln>
                  </pic:spPr>
                </pic:pic>
              </a:graphicData>
            </a:graphic>
          </wp:inline>
        </w:drawing>
      </w:r>
    </w:p>
    <w:p w14:paraId="58821A38" w14:textId="6BFFDF4F"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69645B4" wp14:editId="055243ED">
            <wp:extent cx="4886325" cy="69151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6731" cy="6915725"/>
                    </a:xfrm>
                    <a:prstGeom prst="rect">
                      <a:avLst/>
                    </a:prstGeom>
                    <a:noFill/>
                    <a:ln>
                      <a:noFill/>
                    </a:ln>
                  </pic:spPr>
                </pic:pic>
              </a:graphicData>
            </a:graphic>
          </wp:inline>
        </w:drawing>
      </w:r>
    </w:p>
    <w:p w14:paraId="40047BC4" w14:textId="4E3B10F7"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3E70B0C4" wp14:editId="22B88A4C">
            <wp:extent cx="4867275" cy="70104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7448" cy="7010649"/>
                    </a:xfrm>
                    <a:prstGeom prst="rect">
                      <a:avLst/>
                    </a:prstGeom>
                    <a:noFill/>
                    <a:ln>
                      <a:noFill/>
                    </a:ln>
                  </pic:spPr>
                </pic:pic>
              </a:graphicData>
            </a:graphic>
          </wp:inline>
        </w:drawing>
      </w:r>
    </w:p>
    <w:p w14:paraId="1C9E5303" w14:textId="2899927B" w:rsidR="008556F6" w:rsidRPr="00437FA3" w:rsidRDefault="008556F6"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44F904CB" wp14:editId="11D0A6F2">
            <wp:extent cx="4914900" cy="6781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5142" cy="6782134"/>
                    </a:xfrm>
                    <a:prstGeom prst="rect">
                      <a:avLst/>
                    </a:prstGeom>
                    <a:noFill/>
                    <a:ln>
                      <a:noFill/>
                    </a:ln>
                  </pic:spPr>
                </pic:pic>
              </a:graphicData>
            </a:graphic>
          </wp:inline>
        </w:drawing>
      </w:r>
    </w:p>
    <w:p w14:paraId="7E244774" w14:textId="77C32D6A"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7C55AE37" wp14:editId="26281618">
            <wp:extent cx="4886325" cy="69246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86580" cy="6925036"/>
                    </a:xfrm>
                    <a:prstGeom prst="rect">
                      <a:avLst/>
                    </a:prstGeom>
                    <a:noFill/>
                    <a:ln>
                      <a:noFill/>
                    </a:ln>
                  </pic:spPr>
                </pic:pic>
              </a:graphicData>
            </a:graphic>
          </wp:inline>
        </w:drawing>
      </w:r>
    </w:p>
    <w:p w14:paraId="6AE460BF" w14:textId="62368F82"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36644645" wp14:editId="05F9ADAE">
            <wp:extent cx="4876800" cy="696023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8451" cy="6962591"/>
                    </a:xfrm>
                    <a:prstGeom prst="rect">
                      <a:avLst/>
                    </a:prstGeom>
                    <a:noFill/>
                    <a:ln>
                      <a:noFill/>
                    </a:ln>
                  </pic:spPr>
                </pic:pic>
              </a:graphicData>
            </a:graphic>
          </wp:inline>
        </w:drawing>
      </w:r>
    </w:p>
    <w:p w14:paraId="25818689" w14:textId="2B4D859F"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F065383" wp14:editId="2FFC2935">
            <wp:extent cx="4886325" cy="7061835"/>
            <wp:effectExtent l="0" t="0" r="9525"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88143" cy="7064463"/>
                    </a:xfrm>
                    <a:prstGeom prst="rect">
                      <a:avLst/>
                    </a:prstGeom>
                    <a:noFill/>
                    <a:ln>
                      <a:noFill/>
                    </a:ln>
                  </pic:spPr>
                </pic:pic>
              </a:graphicData>
            </a:graphic>
          </wp:inline>
        </w:drawing>
      </w:r>
    </w:p>
    <w:p w14:paraId="4A747B87" w14:textId="598511DC"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0AC07D4" wp14:editId="5EE6889A">
            <wp:extent cx="4907915" cy="699135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4041" cy="7000077"/>
                    </a:xfrm>
                    <a:prstGeom prst="rect">
                      <a:avLst/>
                    </a:prstGeom>
                    <a:noFill/>
                    <a:ln>
                      <a:noFill/>
                    </a:ln>
                  </pic:spPr>
                </pic:pic>
              </a:graphicData>
            </a:graphic>
          </wp:inline>
        </w:drawing>
      </w:r>
    </w:p>
    <w:p w14:paraId="4D135748" w14:textId="72ECA255"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1D5997BA" wp14:editId="10A5BAED">
            <wp:extent cx="4914900" cy="7085985"/>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7464" cy="7089681"/>
                    </a:xfrm>
                    <a:prstGeom prst="rect">
                      <a:avLst/>
                    </a:prstGeom>
                    <a:noFill/>
                    <a:ln>
                      <a:noFill/>
                    </a:ln>
                  </pic:spPr>
                </pic:pic>
              </a:graphicData>
            </a:graphic>
          </wp:inline>
        </w:drawing>
      </w:r>
    </w:p>
    <w:p w14:paraId="4100DCE8" w14:textId="1304A2E5"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678159B3" wp14:editId="7E17F6A6">
            <wp:extent cx="4838700" cy="70485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39099" cy="7049081"/>
                    </a:xfrm>
                    <a:prstGeom prst="rect">
                      <a:avLst/>
                    </a:prstGeom>
                    <a:noFill/>
                    <a:ln>
                      <a:noFill/>
                    </a:ln>
                  </pic:spPr>
                </pic:pic>
              </a:graphicData>
            </a:graphic>
          </wp:inline>
        </w:drawing>
      </w:r>
    </w:p>
    <w:p w14:paraId="785E3E81" w14:textId="6D90BF9A"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5708620" wp14:editId="4706DF6D">
            <wp:extent cx="4924425" cy="693420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24665" cy="6934538"/>
                    </a:xfrm>
                    <a:prstGeom prst="rect">
                      <a:avLst/>
                    </a:prstGeom>
                    <a:noFill/>
                    <a:ln>
                      <a:noFill/>
                    </a:ln>
                  </pic:spPr>
                </pic:pic>
              </a:graphicData>
            </a:graphic>
          </wp:inline>
        </w:drawing>
      </w:r>
    </w:p>
    <w:p w14:paraId="6DB62C5D" w14:textId="6F1481B2"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3C7F5BC1" wp14:editId="35F508BA">
            <wp:extent cx="4657725" cy="693443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57886" cy="6934670"/>
                    </a:xfrm>
                    <a:prstGeom prst="rect">
                      <a:avLst/>
                    </a:prstGeom>
                    <a:noFill/>
                    <a:ln>
                      <a:noFill/>
                    </a:ln>
                  </pic:spPr>
                </pic:pic>
              </a:graphicData>
            </a:graphic>
          </wp:inline>
        </w:drawing>
      </w:r>
    </w:p>
    <w:p w14:paraId="145C865D" w14:textId="32BB6B9D" w:rsidR="00E050EB" w:rsidRPr="00437FA3" w:rsidRDefault="00E050EB"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47BDF8C7" wp14:editId="5B45FF10">
            <wp:extent cx="4867275" cy="6889115"/>
            <wp:effectExtent l="0" t="0" r="9525"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5">
                      <a:extLst>
                        <a:ext uri="{28A0092B-C50C-407E-A947-70E740481C1C}">
                          <a14:useLocalDpi xmlns:a14="http://schemas.microsoft.com/office/drawing/2010/main" val="0"/>
                        </a:ext>
                      </a:extLst>
                    </a:blip>
                    <a:srcRect r="1346"/>
                    <a:stretch/>
                  </pic:blipFill>
                  <pic:spPr bwMode="auto">
                    <a:xfrm>
                      <a:off x="0" y="0"/>
                      <a:ext cx="4868314" cy="6890586"/>
                    </a:xfrm>
                    <a:prstGeom prst="rect">
                      <a:avLst/>
                    </a:prstGeom>
                    <a:noFill/>
                    <a:ln>
                      <a:noFill/>
                    </a:ln>
                    <a:extLst>
                      <a:ext uri="{53640926-AAD7-44D8-BBD7-CCE9431645EC}">
                        <a14:shadowObscured xmlns:a14="http://schemas.microsoft.com/office/drawing/2010/main"/>
                      </a:ext>
                    </a:extLst>
                  </pic:spPr>
                </pic:pic>
              </a:graphicData>
            </a:graphic>
          </wp:inline>
        </w:drawing>
      </w:r>
    </w:p>
    <w:p w14:paraId="28E78641" w14:textId="702AC977"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7F9C1E7E" wp14:editId="6BF55026">
            <wp:extent cx="4781550" cy="7065147"/>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83647" cy="7068245"/>
                    </a:xfrm>
                    <a:prstGeom prst="rect">
                      <a:avLst/>
                    </a:prstGeom>
                    <a:noFill/>
                    <a:ln>
                      <a:noFill/>
                    </a:ln>
                  </pic:spPr>
                </pic:pic>
              </a:graphicData>
            </a:graphic>
          </wp:inline>
        </w:drawing>
      </w:r>
    </w:p>
    <w:p w14:paraId="3D10B3C5" w14:textId="5A202774"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0A11E56" wp14:editId="209ACC60">
            <wp:extent cx="4810125" cy="711462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0375" cy="7114996"/>
                    </a:xfrm>
                    <a:prstGeom prst="rect">
                      <a:avLst/>
                    </a:prstGeom>
                    <a:noFill/>
                    <a:ln>
                      <a:noFill/>
                    </a:ln>
                  </pic:spPr>
                </pic:pic>
              </a:graphicData>
            </a:graphic>
          </wp:inline>
        </w:drawing>
      </w:r>
    </w:p>
    <w:p w14:paraId="2756F071" w14:textId="55B8BA0D" w:rsidR="00E050EB"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1CF5C7A8" wp14:editId="61AD9B1D">
            <wp:extent cx="4723765" cy="6962775"/>
            <wp:effectExtent l="0" t="0" r="63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25686" cy="6965607"/>
                    </a:xfrm>
                    <a:prstGeom prst="rect">
                      <a:avLst/>
                    </a:prstGeom>
                    <a:noFill/>
                    <a:ln>
                      <a:noFill/>
                    </a:ln>
                  </pic:spPr>
                </pic:pic>
              </a:graphicData>
            </a:graphic>
          </wp:inline>
        </w:drawing>
      </w:r>
    </w:p>
    <w:p w14:paraId="5C2492FB" w14:textId="556F9F12"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7BD558C9" wp14:editId="098C68D0">
            <wp:extent cx="4857750" cy="715174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58239" cy="7152460"/>
                    </a:xfrm>
                    <a:prstGeom prst="rect">
                      <a:avLst/>
                    </a:prstGeom>
                    <a:noFill/>
                    <a:ln>
                      <a:noFill/>
                    </a:ln>
                  </pic:spPr>
                </pic:pic>
              </a:graphicData>
            </a:graphic>
          </wp:inline>
        </w:drawing>
      </w:r>
    </w:p>
    <w:p w14:paraId="6A9DB486" w14:textId="6ACED00A"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5708D63" wp14:editId="040CD64D">
            <wp:extent cx="4943475" cy="7174230"/>
            <wp:effectExtent l="0" t="0" r="9525"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45001" cy="7176445"/>
                    </a:xfrm>
                    <a:prstGeom prst="rect">
                      <a:avLst/>
                    </a:prstGeom>
                    <a:noFill/>
                    <a:ln>
                      <a:noFill/>
                    </a:ln>
                  </pic:spPr>
                </pic:pic>
              </a:graphicData>
            </a:graphic>
          </wp:inline>
        </w:drawing>
      </w:r>
    </w:p>
    <w:p w14:paraId="7B85EF62" w14:textId="19195E47"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7AD73703" wp14:editId="6204AC43">
            <wp:extent cx="4838700" cy="6983730"/>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39524" cy="6984919"/>
                    </a:xfrm>
                    <a:prstGeom prst="rect">
                      <a:avLst/>
                    </a:prstGeom>
                    <a:noFill/>
                    <a:ln>
                      <a:noFill/>
                    </a:ln>
                  </pic:spPr>
                </pic:pic>
              </a:graphicData>
            </a:graphic>
          </wp:inline>
        </w:drawing>
      </w:r>
    </w:p>
    <w:p w14:paraId="6851778E" w14:textId="3BEF94E4"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75660342" wp14:editId="108BA02C">
            <wp:extent cx="4867275" cy="7077075"/>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67660" cy="7077635"/>
                    </a:xfrm>
                    <a:prstGeom prst="rect">
                      <a:avLst/>
                    </a:prstGeom>
                    <a:noFill/>
                    <a:ln>
                      <a:noFill/>
                    </a:ln>
                  </pic:spPr>
                </pic:pic>
              </a:graphicData>
            </a:graphic>
          </wp:inline>
        </w:drawing>
      </w:r>
    </w:p>
    <w:p w14:paraId="578C7161" w14:textId="52AC6428"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874C503" wp14:editId="0F3D891C">
            <wp:extent cx="4867275" cy="70485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67522" cy="7048858"/>
                    </a:xfrm>
                    <a:prstGeom prst="rect">
                      <a:avLst/>
                    </a:prstGeom>
                    <a:noFill/>
                    <a:ln>
                      <a:noFill/>
                    </a:ln>
                  </pic:spPr>
                </pic:pic>
              </a:graphicData>
            </a:graphic>
          </wp:inline>
        </w:drawing>
      </w:r>
    </w:p>
    <w:p w14:paraId="46C1A601" w14:textId="4DF180E0" w:rsidR="009B6F32"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26B085CB" wp14:editId="58AB8638">
            <wp:extent cx="4867275" cy="7029450"/>
            <wp:effectExtent l="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67330" cy="7029529"/>
                    </a:xfrm>
                    <a:prstGeom prst="rect">
                      <a:avLst/>
                    </a:prstGeom>
                    <a:noFill/>
                    <a:ln>
                      <a:noFill/>
                    </a:ln>
                  </pic:spPr>
                </pic:pic>
              </a:graphicData>
            </a:graphic>
          </wp:inline>
        </w:drawing>
      </w:r>
    </w:p>
    <w:p w14:paraId="37AE0E49" w14:textId="30AC9A57" w:rsidR="00E050EB" w:rsidRPr="00437FA3" w:rsidRDefault="009B6F32" w:rsidP="00437FA3">
      <w:pPr>
        <w:pStyle w:val="Prrafodelista"/>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lastRenderedPageBreak/>
        <w:drawing>
          <wp:inline distT="0" distB="0" distL="0" distR="0" wp14:anchorId="400FA644" wp14:editId="428DD5C4">
            <wp:extent cx="4867275" cy="70389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67659" cy="7039530"/>
                    </a:xfrm>
                    <a:prstGeom prst="rect">
                      <a:avLst/>
                    </a:prstGeom>
                    <a:noFill/>
                    <a:ln>
                      <a:noFill/>
                    </a:ln>
                  </pic:spPr>
                </pic:pic>
              </a:graphicData>
            </a:graphic>
          </wp:inline>
        </w:drawing>
      </w:r>
    </w:p>
    <w:p w14:paraId="4051ADF9" w14:textId="2215FA22" w:rsidR="00AB091A" w:rsidRPr="00437FA3" w:rsidRDefault="00AB091A" w:rsidP="00437FA3">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437FA3">
        <w:rPr>
          <w:rFonts w:ascii="Palatino Linotype" w:eastAsia="Calibri" w:hAnsi="Palatino Linotype" w:cs="Arial"/>
          <w:lang w:val="es-ES"/>
        </w:rPr>
        <w:lastRenderedPageBreak/>
        <w:t xml:space="preserve">Por otra parte </w:t>
      </w:r>
      <w:r w:rsidR="00764286" w:rsidRPr="00437FA3">
        <w:rPr>
          <w:rFonts w:ascii="Palatino Linotype" w:eastAsia="Calibri" w:hAnsi="Palatino Linotype" w:cs="Arial"/>
          <w:lang w:val="es-ES"/>
        </w:rPr>
        <w:t xml:space="preserve">si bien </w:t>
      </w:r>
      <w:r w:rsidR="009078EE" w:rsidRPr="00437FA3">
        <w:rPr>
          <w:rFonts w:ascii="Palatino Linotype" w:eastAsia="Calibri" w:hAnsi="Palatino Linotype" w:cs="Arial"/>
          <w:lang w:val="es-ES"/>
        </w:rPr>
        <w:t xml:space="preserve">pudiera ser que los titulares enunciados por la parte recurrente no fueron nombrados mediante </w:t>
      </w:r>
      <w:r w:rsidR="00764286" w:rsidRPr="00437FA3">
        <w:rPr>
          <w:rFonts w:ascii="Palatino Linotype" w:hAnsi="Palatino Linotype"/>
          <w:color w:val="000000"/>
        </w:rPr>
        <w:t>sesión del Consejo Directivo de</w:t>
      </w:r>
      <w:r w:rsidR="009078EE" w:rsidRPr="00437FA3">
        <w:rPr>
          <w:rFonts w:ascii="Palatino Linotype" w:hAnsi="Palatino Linotype"/>
          <w:color w:val="000000"/>
        </w:rPr>
        <w:t>l Organismo</w:t>
      </w:r>
      <w:r w:rsidR="00764286" w:rsidRPr="00437FA3">
        <w:rPr>
          <w:rFonts w:ascii="Palatino Linotype" w:hAnsi="Palatino Linotype"/>
          <w:color w:val="000000"/>
        </w:rPr>
        <w:t xml:space="preserve">, </w:t>
      </w:r>
      <w:r w:rsidR="009078EE" w:rsidRPr="00437FA3">
        <w:rPr>
          <w:rFonts w:ascii="Palatino Linotype" w:hAnsi="Palatino Linotype"/>
          <w:color w:val="000000"/>
        </w:rPr>
        <w:t>también lo es que dichos servidores públicos cuentan con un nombramiento.</w:t>
      </w:r>
    </w:p>
    <w:p w14:paraId="681D9515" w14:textId="77777777" w:rsidR="009078EE" w:rsidRPr="00437FA3" w:rsidRDefault="009078EE" w:rsidP="00437FA3">
      <w:pPr>
        <w:pStyle w:val="Prrafodelista"/>
        <w:spacing w:before="240" w:after="240" w:line="360" w:lineRule="auto"/>
        <w:ind w:left="0"/>
        <w:jc w:val="both"/>
        <w:rPr>
          <w:rFonts w:ascii="Palatino Linotype" w:hAnsi="Palatino Linotype"/>
          <w:color w:val="000000" w:themeColor="text1"/>
        </w:rPr>
      </w:pPr>
    </w:p>
    <w:p w14:paraId="717A01B8" w14:textId="64451901" w:rsidR="00A8677E" w:rsidRPr="00437FA3" w:rsidRDefault="009078EE" w:rsidP="00437FA3">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437FA3">
        <w:rPr>
          <w:rFonts w:ascii="Palatino Linotype" w:hAnsi="Palatino Linotype"/>
          <w:color w:val="000000" w:themeColor="text1"/>
        </w:rPr>
        <w:t xml:space="preserve">En atención a lo antes expuesto </w:t>
      </w:r>
      <w:r w:rsidR="00A8677E" w:rsidRPr="00437FA3">
        <w:rPr>
          <w:rFonts w:ascii="Palatino Linotype" w:eastAsia="Arial Unicode MS" w:hAnsi="Palatino Linotype" w:cs="Arial"/>
        </w:rPr>
        <w:t xml:space="preserve">es conveniente citar la fracción VI del artículo 48 de la </w:t>
      </w:r>
      <w:r w:rsidR="00A8677E" w:rsidRPr="00437FA3">
        <w:rPr>
          <w:rFonts w:ascii="Palatino Linotype" w:eastAsia="Arial Unicode MS" w:hAnsi="Palatino Linotype" w:cs="Arial"/>
          <w:b/>
        </w:rPr>
        <w:t>Ley Orgánica Municipal del Estado de México y Municipios</w:t>
      </w:r>
      <w:r w:rsidR="00A8677E" w:rsidRPr="00437FA3">
        <w:rPr>
          <w:rFonts w:ascii="Palatino Linotype" w:eastAsia="Arial Unicode MS" w:hAnsi="Palatino Linotype" w:cs="Arial"/>
        </w:rPr>
        <w:t xml:space="preserve">, la cual dispone lo siguiente: </w:t>
      </w:r>
    </w:p>
    <w:p w14:paraId="70A0EA46" w14:textId="77777777" w:rsidR="00A8677E" w:rsidRPr="00437FA3" w:rsidRDefault="00A8677E" w:rsidP="00437FA3">
      <w:pPr>
        <w:spacing w:line="360" w:lineRule="auto"/>
        <w:jc w:val="both"/>
        <w:rPr>
          <w:rFonts w:ascii="Palatino Linotype" w:eastAsia="Arial Unicode MS" w:hAnsi="Palatino Linotype" w:cs="Arial"/>
        </w:rPr>
      </w:pPr>
    </w:p>
    <w:p w14:paraId="68487823"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b/>
          <w:i/>
          <w:color w:val="000000"/>
        </w:rPr>
        <w:t>Artículo 48.-</w:t>
      </w:r>
      <w:r w:rsidRPr="00437FA3">
        <w:rPr>
          <w:rFonts w:ascii="Palatino Linotype" w:hAnsi="Palatino Linotype" w:cs="Arial"/>
          <w:i/>
          <w:color w:val="000000"/>
        </w:rPr>
        <w:t xml:space="preserve"> El presidente municipal tiene las siguientes atribuciones:</w:t>
      </w:r>
    </w:p>
    <w:p w14:paraId="3F35C888"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w:t>
      </w:r>
    </w:p>
    <w:p w14:paraId="0D5ADFE0"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VI. Proponer al ayuntamiento los nombramientos de secretario, tesorero y titulares de las dependencias y organismos auxiliares de la administración pública municipal, favoreciendo para tal efecto el principio de igualdad y equidad de género;</w:t>
      </w:r>
    </w:p>
    <w:p w14:paraId="724B5F60" w14:textId="77777777" w:rsidR="00A8677E" w:rsidRPr="00437FA3" w:rsidRDefault="00A8677E" w:rsidP="00437FA3">
      <w:pPr>
        <w:spacing w:line="360" w:lineRule="auto"/>
        <w:jc w:val="both"/>
        <w:rPr>
          <w:rFonts w:ascii="Palatino Linotype" w:eastAsia="Arial Unicode MS" w:hAnsi="Palatino Linotype" w:cs="Arial"/>
        </w:rPr>
      </w:pPr>
    </w:p>
    <w:p w14:paraId="5096DF42" w14:textId="77777777" w:rsidR="00A8677E" w:rsidRPr="00437FA3" w:rsidRDefault="00A8677E" w:rsidP="00437FA3">
      <w:pPr>
        <w:spacing w:line="360" w:lineRule="auto"/>
        <w:jc w:val="both"/>
        <w:rPr>
          <w:rFonts w:ascii="Palatino Linotype" w:hAnsi="Palatino Linotype" w:cs="Arial"/>
          <w:bCs/>
        </w:rPr>
      </w:pPr>
      <w:r w:rsidRPr="00437FA3">
        <w:rPr>
          <w:rFonts w:ascii="Palatino Linotype" w:eastAsia="Arial Unicode MS" w:hAnsi="Palatino Linotype" w:cs="Arial"/>
        </w:rPr>
        <w:t xml:space="preserve">Por otra parte los artículos 1 párrafo primero, 5, 45, 48 y 49 </w:t>
      </w:r>
      <w:r w:rsidRPr="00437FA3">
        <w:rPr>
          <w:rFonts w:ascii="Palatino Linotype" w:hAnsi="Palatino Linotype" w:cs="Arial"/>
          <w:bCs/>
        </w:rPr>
        <w:t xml:space="preserve">de la </w:t>
      </w:r>
      <w:r w:rsidRPr="00437FA3">
        <w:rPr>
          <w:rFonts w:ascii="Palatino Linotype" w:hAnsi="Palatino Linotype" w:cs="Arial"/>
          <w:b/>
          <w:bCs/>
        </w:rPr>
        <w:t>Ley del Trabajo de los Servidores Públicos del Estado y Municipios</w:t>
      </w:r>
      <w:r w:rsidRPr="00437FA3">
        <w:rPr>
          <w:rFonts w:ascii="Palatino Linotype" w:hAnsi="Palatino Linotype" w:cs="Arial"/>
          <w:bCs/>
        </w:rPr>
        <w:t xml:space="preserve">, disponen lo siguiente: </w:t>
      </w:r>
    </w:p>
    <w:p w14:paraId="46FFCAB5" w14:textId="77777777" w:rsidR="00A8677E" w:rsidRPr="00437FA3" w:rsidRDefault="00A8677E" w:rsidP="00437FA3">
      <w:pPr>
        <w:spacing w:line="360" w:lineRule="auto"/>
        <w:jc w:val="both"/>
        <w:rPr>
          <w:rFonts w:ascii="Palatino Linotype" w:hAnsi="Palatino Linotype" w:cs="Arial"/>
          <w:bCs/>
        </w:rPr>
      </w:pPr>
    </w:p>
    <w:p w14:paraId="5E105286"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b/>
          <w:i/>
          <w:color w:val="000000"/>
        </w:rPr>
        <w:lastRenderedPageBreak/>
        <w:t>ARTÍCULO 1.-</w:t>
      </w:r>
      <w:r w:rsidRPr="00437FA3">
        <w:rPr>
          <w:rFonts w:ascii="Palatino Linotype" w:hAnsi="Palatino Linotype" w:cs="Arial"/>
          <w:i/>
          <w:color w:val="000000"/>
        </w:rPr>
        <w:t xml:space="preserve"> Ésta ley es de orden público e interés social y tiene por objeto regular las relaciones de trabajo, comprendidas entre los poderes públicos del Estado y los Municipios y sus respectivos servidores públicos.</w:t>
      </w:r>
    </w:p>
    <w:p w14:paraId="333AD78A" w14:textId="77777777" w:rsidR="00A8677E" w:rsidRPr="00437FA3" w:rsidRDefault="00A8677E" w:rsidP="00437FA3">
      <w:pPr>
        <w:spacing w:line="360" w:lineRule="auto"/>
        <w:ind w:left="567" w:right="616"/>
        <w:jc w:val="both"/>
        <w:rPr>
          <w:rFonts w:ascii="Palatino Linotype" w:hAnsi="Palatino Linotype" w:cs="Arial"/>
          <w:i/>
          <w:color w:val="000000"/>
        </w:rPr>
      </w:pPr>
    </w:p>
    <w:p w14:paraId="736BA272"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b/>
          <w:i/>
          <w:color w:val="000000"/>
        </w:rPr>
        <w:t>ARTÍCULO 5.-</w:t>
      </w:r>
      <w:r w:rsidRPr="00437FA3">
        <w:rPr>
          <w:rFonts w:ascii="Palatino Linotype" w:hAnsi="Palatino Linotype" w:cs="Arial"/>
          <w:i/>
          <w:color w:val="000000"/>
        </w:rPr>
        <w:t xml:space="preserve"> La relación de trabajo entre las instituciones públicas y </w:t>
      </w:r>
      <w:r w:rsidRPr="00437FA3">
        <w:rPr>
          <w:rFonts w:ascii="Palatino Linotype" w:hAnsi="Palatino Linotype" w:cs="Arial"/>
          <w:b/>
          <w:i/>
          <w:color w:val="000000"/>
        </w:rPr>
        <w:t>sus servidores públicos</w:t>
      </w:r>
      <w:r w:rsidRPr="00437FA3">
        <w:rPr>
          <w:rFonts w:ascii="Palatino Linotype" w:hAnsi="Palatino Linotype" w:cs="Arial"/>
          <w:i/>
          <w:color w:val="000000"/>
        </w:rPr>
        <w:t xml:space="preserve"> se entiende establecida mediante </w:t>
      </w:r>
      <w:r w:rsidRPr="00437FA3">
        <w:rPr>
          <w:rFonts w:ascii="Palatino Linotype" w:hAnsi="Palatino Linotype" w:cs="Arial"/>
          <w:b/>
          <w:i/>
          <w:color w:val="000000"/>
        </w:rPr>
        <w:t>nombramiento,</w:t>
      </w:r>
      <w:r w:rsidRPr="00437FA3">
        <w:rPr>
          <w:rFonts w:ascii="Palatino Linotype" w:hAnsi="Palatino Linotype" w:cs="Arial"/>
          <w:i/>
          <w:color w:val="000000"/>
        </w:rPr>
        <w:t xml:space="preserve"> formato único de movimiento de personal, contrato o por cualquier otro acto que tenga como consecuencia la prestación personal subordinada del servicio y la percepción de un sueldo.</w:t>
      </w:r>
    </w:p>
    <w:p w14:paraId="0343DD0A" w14:textId="77777777" w:rsidR="00A8677E" w:rsidRPr="00437FA3" w:rsidRDefault="00A8677E" w:rsidP="00437FA3">
      <w:pPr>
        <w:spacing w:line="360" w:lineRule="auto"/>
        <w:ind w:left="567" w:right="616"/>
        <w:jc w:val="both"/>
        <w:rPr>
          <w:rFonts w:ascii="Palatino Linotype" w:hAnsi="Palatino Linotype" w:cs="Arial"/>
          <w:i/>
          <w:color w:val="000000"/>
        </w:rPr>
      </w:pPr>
    </w:p>
    <w:p w14:paraId="5D837237"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b/>
          <w:i/>
          <w:color w:val="000000"/>
        </w:rPr>
        <w:t>ARTÍCULO 45.-</w:t>
      </w:r>
      <w:r w:rsidRPr="00437FA3">
        <w:rPr>
          <w:rFonts w:ascii="Palatino Linotype" w:hAnsi="Palatino Linotype" w:cs="Arial"/>
          <w:i/>
          <w:color w:val="000000"/>
        </w:rPr>
        <w:t xml:space="preserve"> Los servidores públicos prestarán sus servicios mediante </w:t>
      </w:r>
      <w:r w:rsidRPr="00437FA3">
        <w:rPr>
          <w:rFonts w:ascii="Palatino Linotype" w:hAnsi="Palatino Linotype" w:cs="Arial"/>
          <w:b/>
          <w:i/>
          <w:color w:val="000000"/>
        </w:rPr>
        <w:t>nombramiento</w:t>
      </w:r>
      <w:r w:rsidRPr="00437FA3">
        <w:rPr>
          <w:rFonts w:ascii="Palatino Linotype" w:hAnsi="Palatino Linotype" w:cs="Arial"/>
          <w:i/>
          <w:color w:val="000000"/>
        </w:rPr>
        <w:t xml:space="preserve">, contrato o formato único de Movimientos de Personal expedidos por quien estuviere facultado legalmente para extenderlo. </w:t>
      </w:r>
    </w:p>
    <w:p w14:paraId="16C1A0EB" w14:textId="77777777" w:rsidR="00A8677E" w:rsidRPr="00437FA3" w:rsidRDefault="00A8677E" w:rsidP="00437FA3">
      <w:pPr>
        <w:spacing w:line="360" w:lineRule="auto"/>
        <w:ind w:left="567" w:right="616"/>
        <w:jc w:val="both"/>
        <w:rPr>
          <w:rFonts w:ascii="Palatino Linotype" w:hAnsi="Palatino Linotype" w:cs="Arial"/>
          <w:i/>
          <w:color w:val="000000"/>
        </w:rPr>
      </w:pPr>
    </w:p>
    <w:p w14:paraId="1D47284C"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b/>
          <w:i/>
          <w:color w:val="000000"/>
        </w:rPr>
        <w:t>ARTÍCULO 48</w:t>
      </w:r>
      <w:r w:rsidRPr="00437FA3">
        <w:rPr>
          <w:rFonts w:ascii="Palatino Linotype" w:hAnsi="Palatino Linotype" w:cs="Arial"/>
          <w:i/>
          <w:color w:val="000000"/>
        </w:rPr>
        <w:t xml:space="preserve">. Para iniciar la prestación de los servicios se requiere: </w:t>
      </w:r>
    </w:p>
    <w:p w14:paraId="4DE1A5AE" w14:textId="77777777" w:rsidR="00A8677E" w:rsidRPr="00437FA3" w:rsidRDefault="00A8677E" w:rsidP="00437FA3">
      <w:pPr>
        <w:spacing w:line="360" w:lineRule="auto"/>
        <w:ind w:left="567" w:right="616"/>
        <w:jc w:val="both"/>
        <w:rPr>
          <w:rFonts w:ascii="Palatino Linotype" w:hAnsi="Palatino Linotype" w:cs="Arial"/>
          <w:b/>
          <w:i/>
          <w:color w:val="000000"/>
        </w:rPr>
      </w:pPr>
      <w:r w:rsidRPr="00437FA3">
        <w:rPr>
          <w:rFonts w:ascii="Palatino Linotype" w:hAnsi="Palatino Linotype" w:cs="Arial"/>
          <w:b/>
          <w:i/>
          <w:color w:val="000000"/>
        </w:rPr>
        <w:t xml:space="preserve">I. Tener conferido el nombramiento, contrato respectivo o formato único de Movimientos de Personal; </w:t>
      </w:r>
    </w:p>
    <w:p w14:paraId="649DD548"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II. </w:t>
      </w:r>
      <w:r w:rsidRPr="00437FA3">
        <w:rPr>
          <w:rFonts w:ascii="Palatino Linotype" w:hAnsi="Palatino Linotype" w:cs="Arial"/>
          <w:b/>
          <w:i/>
          <w:color w:val="000000"/>
        </w:rPr>
        <w:t>Rendir la protesta de ley en caso de nombramiento</w:t>
      </w:r>
      <w:r w:rsidRPr="00437FA3">
        <w:rPr>
          <w:rFonts w:ascii="Palatino Linotype" w:hAnsi="Palatino Linotype" w:cs="Arial"/>
          <w:i/>
          <w:color w:val="000000"/>
        </w:rPr>
        <w:t xml:space="preserve">; y </w:t>
      </w:r>
    </w:p>
    <w:p w14:paraId="160C1987"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III. Tomar posesión del cargo. </w:t>
      </w:r>
    </w:p>
    <w:p w14:paraId="693C18DF" w14:textId="77777777" w:rsidR="00A8677E" w:rsidRDefault="00A8677E" w:rsidP="00437FA3">
      <w:pPr>
        <w:spacing w:line="360" w:lineRule="auto"/>
        <w:ind w:left="851" w:right="850"/>
        <w:jc w:val="both"/>
        <w:rPr>
          <w:rFonts w:ascii="Palatino Linotype" w:hAnsi="Palatino Linotype" w:cs="Arial"/>
          <w:i/>
          <w:color w:val="000000"/>
        </w:rPr>
      </w:pPr>
    </w:p>
    <w:p w14:paraId="580C01E5" w14:textId="77777777" w:rsidR="00437FA3" w:rsidRPr="00437FA3" w:rsidRDefault="00437FA3" w:rsidP="00437FA3">
      <w:pPr>
        <w:spacing w:line="360" w:lineRule="auto"/>
        <w:ind w:left="851" w:right="850"/>
        <w:jc w:val="both"/>
        <w:rPr>
          <w:rFonts w:ascii="Palatino Linotype" w:hAnsi="Palatino Linotype" w:cs="Arial"/>
          <w:i/>
          <w:color w:val="000000"/>
        </w:rPr>
      </w:pPr>
    </w:p>
    <w:p w14:paraId="41931221" w14:textId="77777777" w:rsidR="00A8677E" w:rsidRPr="00437FA3" w:rsidRDefault="00A8677E" w:rsidP="00437FA3">
      <w:pPr>
        <w:spacing w:line="360" w:lineRule="auto"/>
        <w:ind w:left="567" w:right="616"/>
        <w:jc w:val="center"/>
        <w:rPr>
          <w:rFonts w:ascii="Palatino Linotype" w:hAnsi="Palatino Linotype" w:cs="Arial"/>
          <w:b/>
          <w:i/>
          <w:color w:val="000000"/>
        </w:rPr>
      </w:pPr>
      <w:r w:rsidRPr="00437FA3">
        <w:rPr>
          <w:rFonts w:ascii="Palatino Linotype" w:hAnsi="Palatino Linotype" w:cs="Arial"/>
          <w:b/>
          <w:i/>
          <w:color w:val="000000"/>
        </w:rPr>
        <w:lastRenderedPageBreak/>
        <w:t>CAPITULO II</w:t>
      </w:r>
    </w:p>
    <w:p w14:paraId="422B6424" w14:textId="77777777" w:rsidR="00A8677E" w:rsidRPr="00437FA3" w:rsidRDefault="00A8677E" w:rsidP="00437FA3">
      <w:pPr>
        <w:spacing w:line="360" w:lineRule="auto"/>
        <w:ind w:left="567" w:right="616"/>
        <w:jc w:val="center"/>
        <w:rPr>
          <w:rFonts w:ascii="Palatino Linotype" w:hAnsi="Palatino Linotype" w:cs="Arial"/>
          <w:b/>
          <w:i/>
          <w:color w:val="000000"/>
        </w:rPr>
      </w:pPr>
      <w:r w:rsidRPr="00437FA3">
        <w:rPr>
          <w:rFonts w:ascii="Palatino Linotype" w:hAnsi="Palatino Linotype" w:cs="Arial"/>
          <w:b/>
          <w:i/>
          <w:color w:val="000000"/>
        </w:rPr>
        <w:t>De los Nombramientos</w:t>
      </w:r>
    </w:p>
    <w:p w14:paraId="15AD7EFD" w14:textId="77777777" w:rsidR="00A8677E" w:rsidRPr="00437FA3" w:rsidRDefault="00A8677E" w:rsidP="00437FA3">
      <w:pPr>
        <w:spacing w:line="360" w:lineRule="auto"/>
        <w:ind w:left="567" w:right="616"/>
        <w:jc w:val="center"/>
        <w:rPr>
          <w:rFonts w:ascii="Palatino Linotype" w:hAnsi="Palatino Linotype" w:cs="Arial"/>
          <w:b/>
          <w:i/>
          <w:color w:val="000000"/>
        </w:rPr>
      </w:pPr>
    </w:p>
    <w:p w14:paraId="3BED7572"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b/>
          <w:i/>
          <w:color w:val="000000"/>
        </w:rPr>
        <w:t>ARTÍCULO 49.-</w:t>
      </w:r>
      <w:r w:rsidRPr="00437FA3">
        <w:rPr>
          <w:rFonts w:ascii="Palatino Linotype" w:hAnsi="Palatino Linotype" w:cs="Arial"/>
          <w:i/>
          <w:color w:val="000000"/>
        </w:rPr>
        <w:t xml:space="preserve"> Los nombramientos, contratos o formato único de Movimientos de Personal de los servidores públicos deberán contener: </w:t>
      </w:r>
    </w:p>
    <w:p w14:paraId="1FBF5F79"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I. Nombre completo del servidor público; </w:t>
      </w:r>
    </w:p>
    <w:p w14:paraId="0BBE5C42"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II. Cargo para el que es designado, fecha de inicio de sus servicios y lugar de adscripción; </w:t>
      </w:r>
    </w:p>
    <w:p w14:paraId="20E60567"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III. Carácter del nombramiento, ya sea de servidores públicos generales o de confianza, así como la temporalidad del mismo; </w:t>
      </w:r>
    </w:p>
    <w:p w14:paraId="336A0773"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IV. Remuneración correspondiente al puesto; </w:t>
      </w:r>
    </w:p>
    <w:p w14:paraId="05ACA81D"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V. Jornada de trabajo; </w:t>
      </w:r>
    </w:p>
    <w:p w14:paraId="4BBA1223"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 xml:space="preserve">VI. Derogada; </w:t>
      </w:r>
    </w:p>
    <w:p w14:paraId="3C56ABFF" w14:textId="77777777" w:rsidR="00A8677E" w:rsidRPr="00437FA3" w:rsidRDefault="00A8677E" w:rsidP="00437FA3">
      <w:pPr>
        <w:spacing w:line="360" w:lineRule="auto"/>
        <w:ind w:left="567" w:right="616"/>
        <w:jc w:val="both"/>
        <w:rPr>
          <w:rFonts w:ascii="Palatino Linotype" w:hAnsi="Palatino Linotype" w:cs="Arial"/>
          <w:i/>
          <w:color w:val="000000"/>
        </w:rPr>
      </w:pPr>
      <w:r w:rsidRPr="00437FA3">
        <w:rPr>
          <w:rFonts w:ascii="Palatino Linotype" w:hAnsi="Palatino Linotype" w:cs="Arial"/>
          <w:i/>
          <w:color w:val="000000"/>
        </w:rPr>
        <w:t>VII. Firma del servidor público autorizado para emitir el nombramiento, contrato o formato único de Movimientos de Personal, así como el fundamento legal de esa atribución.</w:t>
      </w:r>
    </w:p>
    <w:p w14:paraId="641122F6" w14:textId="77777777" w:rsidR="00A8677E" w:rsidRPr="00437FA3" w:rsidRDefault="00A8677E" w:rsidP="00437FA3">
      <w:pPr>
        <w:spacing w:line="360" w:lineRule="auto"/>
        <w:jc w:val="both"/>
        <w:rPr>
          <w:rFonts w:ascii="Palatino Linotype" w:eastAsia="Arial Unicode MS" w:hAnsi="Palatino Linotype" w:cs="Arial"/>
        </w:rPr>
      </w:pPr>
    </w:p>
    <w:p w14:paraId="00772298" w14:textId="04C47C70" w:rsidR="00A8677E" w:rsidRPr="00437FA3" w:rsidRDefault="00A8677E"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eastAsia="Arial Unicode MS" w:hAnsi="Palatino Linotype" w:cs="Arial"/>
        </w:rPr>
        <w:t>Conforme a lo anterior,</w:t>
      </w:r>
      <w:r w:rsidRPr="00437FA3">
        <w:rPr>
          <w:rFonts w:ascii="Palatino Linotype" w:hAnsi="Palatino Linotype" w:cs="Arial"/>
          <w:bCs/>
        </w:rPr>
        <w:t xml:space="preserve"> los servidores públicos deben prestar sus servicios mediante nombramiento expedido por quien estuviere facultado legalmente para extenderlo; asimismo, para iniciar la prestación de los servicios se requiere tener conferido el </w:t>
      </w:r>
      <w:r w:rsidRPr="00437FA3">
        <w:rPr>
          <w:rFonts w:ascii="Palatino Linotype" w:hAnsi="Palatino Linotype" w:cs="Arial"/>
          <w:b/>
          <w:bCs/>
        </w:rPr>
        <w:t>nombramiento</w:t>
      </w:r>
      <w:r w:rsidRPr="00437FA3">
        <w:rPr>
          <w:rFonts w:ascii="Palatino Linotype" w:hAnsi="Palatino Linotype" w:cs="Arial"/>
          <w:bCs/>
        </w:rPr>
        <w:t xml:space="preserve">, contrato o </w:t>
      </w:r>
      <w:r w:rsidR="009078EE" w:rsidRPr="00437FA3">
        <w:rPr>
          <w:rFonts w:ascii="Palatino Linotype" w:hAnsi="Palatino Linotype" w:cs="Arial"/>
          <w:bCs/>
        </w:rPr>
        <w:t>Formato Ú</w:t>
      </w:r>
      <w:r w:rsidRPr="00437FA3">
        <w:rPr>
          <w:rFonts w:ascii="Palatino Linotype" w:hAnsi="Palatino Linotype" w:cs="Arial"/>
          <w:bCs/>
        </w:rPr>
        <w:t xml:space="preserve">nico de Movimientos de Personal </w:t>
      </w:r>
      <w:r w:rsidRPr="00437FA3">
        <w:rPr>
          <w:rFonts w:ascii="Palatino Linotype" w:hAnsi="Palatino Linotype" w:cs="Arial"/>
          <w:bCs/>
        </w:rPr>
        <w:lastRenderedPageBreak/>
        <w:t>de los servidores públicos, los cuales deberán contener el nombre completo del servidor público, el cargo para el que es designado, fecha de inicio de sus servicios y lugar de adscripción, el carácter del nombramiento, ya sea de servidores públicos generales o de confianza, así como la temporalidad del mismo, la remuneración correspondiente al puesto, la partida presupuestal a la que deberá cargarse la remuneración y la firma del servidor público autorizado para emitir el nombramiento, así como el fundamento legal de esa atribución.</w:t>
      </w:r>
    </w:p>
    <w:p w14:paraId="39D19C95" w14:textId="77777777" w:rsidR="009078EE" w:rsidRPr="00437FA3" w:rsidRDefault="009078EE" w:rsidP="00437FA3">
      <w:pPr>
        <w:pStyle w:val="Prrafodelista"/>
        <w:spacing w:line="360" w:lineRule="auto"/>
        <w:ind w:left="0"/>
        <w:jc w:val="both"/>
        <w:rPr>
          <w:rFonts w:ascii="Palatino Linotype" w:hAnsi="Palatino Linotype" w:cs="Arial"/>
          <w:bCs/>
        </w:rPr>
      </w:pPr>
    </w:p>
    <w:p w14:paraId="15E71EB2" w14:textId="70B994E7" w:rsidR="009078EE" w:rsidRPr="00437FA3" w:rsidRDefault="00A8677E"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s="Arial"/>
          <w:bCs/>
        </w:rPr>
        <w:t xml:space="preserve">Conforme a lo anteriormente expuesto, se entiende que toda persona que ingrese al servicio público debe tener un nombramiento, contrato o </w:t>
      </w:r>
      <w:r w:rsidR="009078EE" w:rsidRPr="00437FA3">
        <w:rPr>
          <w:rFonts w:ascii="Palatino Linotype" w:hAnsi="Palatino Linotype" w:cs="Arial"/>
          <w:bCs/>
        </w:rPr>
        <w:t>Formato Ú</w:t>
      </w:r>
      <w:r w:rsidRPr="00437FA3">
        <w:rPr>
          <w:rFonts w:ascii="Palatino Linotype" w:hAnsi="Palatino Linotype" w:cs="Arial"/>
          <w:bCs/>
        </w:rPr>
        <w:t>nico de Movimientos de Personal de los servidores públicos, para poder iniciar el ejercicio de sus funciones</w:t>
      </w:r>
      <w:r w:rsidR="009078EE" w:rsidRPr="00437FA3">
        <w:rPr>
          <w:rFonts w:ascii="Palatino Linotype" w:hAnsi="Palatino Linotype" w:cs="Arial"/>
          <w:bCs/>
        </w:rPr>
        <w:t>.</w:t>
      </w:r>
    </w:p>
    <w:p w14:paraId="2B43ABD2" w14:textId="77777777" w:rsidR="009078EE" w:rsidRPr="00437FA3" w:rsidRDefault="009078EE" w:rsidP="00437FA3">
      <w:pPr>
        <w:pStyle w:val="Prrafodelista"/>
        <w:spacing w:line="360" w:lineRule="auto"/>
        <w:ind w:left="0"/>
        <w:jc w:val="both"/>
        <w:rPr>
          <w:rFonts w:ascii="Palatino Linotype" w:hAnsi="Palatino Linotype" w:cs="Arial"/>
          <w:bCs/>
        </w:rPr>
      </w:pPr>
    </w:p>
    <w:p w14:paraId="2AC5632A" w14:textId="2C11AD22" w:rsidR="00A8677E" w:rsidRPr="00437FA3" w:rsidRDefault="00ED5AFF"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s="Arial"/>
          <w:bCs/>
        </w:rPr>
        <w:t xml:space="preserve">Aunado a todo lo antes expuesto, </w:t>
      </w:r>
      <w:r w:rsidR="009078EE" w:rsidRPr="00437FA3">
        <w:rPr>
          <w:rFonts w:ascii="Palatino Linotype" w:hAnsi="Palatino Linotype"/>
          <w:color w:val="000000"/>
        </w:rPr>
        <w:t xml:space="preserve">el Consejo Directivo del Organismo tiene la facultad de </w:t>
      </w:r>
      <w:r w:rsidR="009078EE" w:rsidRPr="00437FA3">
        <w:rPr>
          <w:rFonts w:ascii="Palatino Linotype" w:hAnsi="Palatino Linotype"/>
        </w:rPr>
        <w:t xml:space="preserve">designar al Director del Organismo, aprobar las políticas, normas y criterios técnicos de organización y administración que orienten a las actividades del Organismo y éste a su vez tiene la facultad de proponer a un Secretario, cargos que si fueron nombrados o designados mediante una sesión del Consejo, cuya acta también fue entregada para satisfacer el punto identificado con el inciso </w:t>
      </w:r>
      <w:r w:rsidR="009078EE" w:rsidRPr="00437FA3">
        <w:rPr>
          <w:rFonts w:ascii="Palatino Linotype" w:hAnsi="Palatino Linotype"/>
          <w:b/>
          <w:u w:val="single"/>
        </w:rPr>
        <w:t>b)</w:t>
      </w:r>
      <w:r w:rsidRPr="00437FA3">
        <w:rPr>
          <w:rFonts w:ascii="Palatino Linotype" w:hAnsi="Palatino Linotype"/>
          <w:b/>
        </w:rPr>
        <w:t xml:space="preserve">, </w:t>
      </w:r>
      <w:r w:rsidRPr="00437FA3">
        <w:rPr>
          <w:rFonts w:ascii="Palatino Linotype" w:hAnsi="Palatino Linotype"/>
        </w:rPr>
        <w:t xml:space="preserve">tal como se observa en los acuerdos 4, 5, 6, 7 del acta correspondiente a la Primera Sesión Ordinaria del Consejo Directivo del OPD SAPASNIR Administración 2019-2021, </w:t>
      </w:r>
      <w:r w:rsidR="00342262" w:rsidRPr="00437FA3">
        <w:rPr>
          <w:rFonts w:ascii="Palatino Linotype" w:hAnsi="Palatino Linotype"/>
        </w:rPr>
        <w:t xml:space="preserve">en </w:t>
      </w:r>
      <w:r w:rsidR="00342262" w:rsidRPr="00437FA3">
        <w:rPr>
          <w:rFonts w:ascii="Palatino Linotype" w:hAnsi="Palatino Linotype"/>
        </w:rPr>
        <w:lastRenderedPageBreak/>
        <w:t xml:space="preserve">la que se aprecia que el Presidente Municipal Constitucional es Presidente del Consejo Directivo, el Director General del SAPASNIR es Secretario Técnico del Consejo, por lo que </w:t>
      </w:r>
      <w:r w:rsidR="00F6714B" w:rsidRPr="00437FA3">
        <w:rPr>
          <w:rFonts w:ascii="Palatino Linotype" w:hAnsi="Palatino Linotype"/>
        </w:rPr>
        <w:t>si bien es cierto</w:t>
      </w:r>
      <w:r w:rsidR="00342262" w:rsidRPr="00437FA3">
        <w:rPr>
          <w:rFonts w:ascii="Palatino Linotype" w:hAnsi="Palatino Linotype"/>
        </w:rPr>
        <w:t xml:space="preserve"> que los servidores públicos enunciados por el particular no </w:t>
      </w:r>
      <w:r w:rsidR="00F6714B" w:rsidRPr="00437FA3">
        <w:rPr>
          <w:rFonts w:ascii="Palatino Linotype" w:hAnsi="Palatino Linotype"/>
        </w:rPr>
        <w:t>fueron</w:t>
      </w:r>
      <w:r w:rsidR="00342262" w:rsidRPr="00437FA3">
        <w:rPr>
          <w:rFonts w:ascii="Palatino Linotype" w:hAnsi="Palatino Linotype"/>
        </w:rPr>
        <w:t xml:space="preserve"> designados o nombrados por el Presidente Municipal o el Director General de dicho Organismo mediante Sesión de Consejo té</w:t>
      </w:r>
      <w:r w:rsidR="00F6714B" w:rsidRPr="00437FA3">
        <w:rPr>
          <w:rFonts w:ascii="Palatino Linotype" w:hAnsi="Palatino Linotype"/>
        </w:rPr>
        <w:t xml:space="preserve">cnico por resultar incompetente el cuerpo colegiado para ello de conformidad con sus atribuciones, también lo es que el Director General y el Presidente Municipal si cuentan con la atribución de establecer una relación laboral mediante nombramiento, contrato o Formato Único de Personal, por lo que al no tenerse la certeza jurídica de ello, es procedente ordenar el documento donde conste el nombramiento o designación al cargo de los Titulares de las áreas de </w:t>
      </w:r>
      <w:r w:rsidR="00F6714B" w:rsidRPr="00437FA3">
        <w:rPr>
          <w:rFonts w:ascii="Palatino Linotype" w:hAnsi="Palatino Linotype"/>
          <w:color w:val="000000"/>
        </w:rPr>
        <w:t>Jurídico, Contraloría Interna, Administración y Finanzas, Unidad de Transparencia, Sistemas, Subdirección de Comercialización, Recursos Humanos, Cajas, Jefe de Recuperación de Adeudos y Ejecución Fiscal.</w:t>
      </w:r>
    </w:p>
    <w:p w14:paraId="192CFA62" w14:textId="77777777" w:rsidR="002452B8" w:rsidRPr="00437FA3" w:rsidRDefault="002452B8" w:rsidP="00437FA3">
      <w:pPr>
        <w:pStyle w:val="Prrafodelista"/>
        <w:spacing w:line="360" w:lineRule="auto"/>
        <w:ind w:left="0"/>
        <w:jc w:val="both"/>
        <w:rPr>
          <w:rFonts w:ascii="Palatino Linotype" w:hAnsi="Palatino Linotype" w:cs="Arial"/>
          <w:bCs/>
        </w:rPr>
      </w:pPr>
    </w:p>
    <w:p w14:paraId="19C579E0" w14:textId="1E7E2E93" w:rsidR="002452B8" w:rsidRPr="00437FA3" w:rsidRDefault="002452B8"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olor w:val="000000"/>
        </w:rPr>
        <w:t xml:space="preserve">Correlativo a ello se pretende colmar el punto identificado con el inciso e) con el reporte de altas que se llevaron a cabo del uno (01) al siete (07) de enero del presente año, precisándose en el mismo que dichos servidores públicos son de confianza, también lo es que en dicho documento no se pronuncia respecto al acto jurídico bajo el cual fueron contratados, el tiempo de duración de la relación </w:t>
      </w:r>
      <w:r w:rsidRPr="00437FA3">
        <w:rPr>
          <w:rFonts w:ascii="Palatino Linotype" w:hAnsi="Palatino Linotype"/>
          <w:color w:val="000000"/>
        </w:rPr>
        <w:lastRenderedPageBreak/>
        <w:t>contractual, si es por tiempo determinado, indeterminado u obra, por lo que dicha información es dable de ordenarse su entrega.</w:t>
      </w:r>
    </w:p>
    <w:p w14:paraId="77DC45C4" w14:textId="77777777" w:rsidR="002452B8" w:rsidRPr="00437FA3" w:rsidRDefault="002452B8" w:rsidP="00437FA3">
      <w:pPr>
        <w:pStyle w:val="Prrafodelista"/>
        <w:spacing w:line="360" w:lineRule="auto"/>
        <w:ind w:left="0"/>
        <w:jc w:val="both"/>
        <w:rPr>
          <w:rFonts w:ascii="Palatino Linotype" w:hAnsi="Palatino Linotype" w:cs="Arial"/>
          <w:bCs/>
        </w:rPr>
      </w:pPr>
    </w:p>
    <w:p w14:paraId="4535F890" w14:textId="428D919E" w:rsidR="002452B8" w:rsidRPr="00437FA3" w:rsidRDefault="002452B8"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olor w:val="000000"/>
        </w:rPr>
        <w:t>relativo al acto jurídico fueron contratados, si son de confianza, base o sindicalizados, tiempo de duración de la relación contractual, por tiempo determinado, indeterminado u obra,</w:t>
      </w:r>
    </w:p>
    <w:p w14:paraId="37D6BF6D" w14:textId="77777777" w:rsidR="00506FA3" w:rsidRPr="00437FA3" w:rsidRDefault="00506FA3" w:rsidP="00437FA3">
      <w:pPr>
        <w:pStyle w:val="Prrafodelista"/>
        <w:spacing w:line="360" w:lineRule="auto"/>
        <w:ind w:left="0"/>
        <w:jc w:val="both"/>
        <w:rPr>
          <w:rFonts w:ascii="Palatino Linotype" w:hAnsi="Palatino Linotype" w:cs="Arial"/>
          <w:bCs/>
        </w:rPr>
      </w:pPr>
    </w:p>
    <w:p w14:paraId="5FB1A5ED" w14:textId="1D401C8E" w:rsidR="00437FA3" w:rsidRDefault="00506FA3"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s="Arial"/>
          <w:bCs/>
        </w:rPr>
        <w:t xml:space="preserve">Por otra parte </w:t>
      </w:r>
      <w:r w:rsidRPr="00437FA3">
        <w:rPr>
          <w:rFonts w:ascii="Palatino Linotype" w:hAnsi="Palatino Linotype"/>
          <w:color w:val="000000" w:themeColor="text1"/>
        </w:rPr>
        <w:t xml:space="preserve">el </w:t>
      </w:r>
      <w:r w:rsidRPr="00437FA3">
        <w:rPr>
          <w:rFonts w:ascii="Palatino Linotype" w:hAnsi="Palatino Linotype"/>
          <w:b/>
          <w:color w:val="000000" w:themeColor="text1"/>
        </w:rPr>
        <w:t>SUJETO OBLIGADO</w:t>
      </w:r>
      <w:r w:rsidRPr="00437FA3">
        <w:rPr>
          <w:rFonts w:ascii="Palatino Linotype" w:hAnsi="Palatino Linotype"/>
          <w:color w:val="000000" w:themeColor="text1"/>
        </w:rPr>
        <w:t xml:space="preserve"> para satisfacer el punto identificado con el inciso </w:t>
      </w:r>
      <w:r w:rsidRPr="00437FA3">
        <w:rPr>
          <w:rFonts w:ascii="Palatino Linotype" w:hAnsi="Palatino Linotype"/>
          <w:b/>
          <w:color w:val="000000" w:themeColor="text1"/>
          <w:u w:val="single"/>
        </w:rPr>
        <w:t>c)</w:t>
      </w:r>
      <w:r w:rsidRPr="00437FA3">
        <w:rPr>
          <w:rFonts w:ascii="Palatino Linotype" w:hAnsi="Palatino Linotype"/>
          <w:color w:val="000000" w:themeColor="text1"/>
        </w:rPr>
        <w:t xml:space="preserve"> elabora un cuadro ad hoc sobre la escuela de dónde son egresados los servidores públicos en comento, tal como se muestra:</w:t>
      </w:r>
    </w:p>
    <w:p w14:paraId="33B0CB35" w14:textId="77777777" w:rsidR="00437FA3" w:rsidRPr="00437FA3" w:rsidRDefault="00437FA3" w:rsidP="00437FA3">
      <w:pPr>
        <w:pStyle w:val="Prrafodelista"/>
        <w:rPr>
          <w:rFonts w:ascii="Palatino Linotype" w:hAnsi="Palatino Linotype" w:cs="Arial"/>
          <w:bCs/>
        </w:rPr>
      </w:pPr>
    </w:p>
    <w:p w14:paraId="3F94348D" w14:textId="77777777" w:rsidR="00437FA3" w:rsidRPr="00437FA3" w:rsidRDefault="00437FA3" w:rsidP="00437FA3">
      <w:pPr>
        <w:pStyle w:val="Prrafodelista"/>
        <w:spacing w:line="360" w:lineRule="auto"/>
        <w:ind w:left="0"/>
        <w:jc w:val="both"/>
        <w:rPr>
          <w:rFonts w:ascii="Palatino Linotype" w:hAnsi="Palatino Linotype" w:cs="Arial"/>
          <w:bCs/>
        </w:rPr>
      </w:pPr>
    </w:p>
    <w:p w14:paraId="649EF0FC" w14:textId="77777777" w:rsidR="00506FA3" w:rsidRPr="00437FA3" w:rsidRDefault="00506FA3" w:rsidP="00437FA3">
      <w:pPr>
        <w:tabs>
          <w:tab w:val="left" w:pos="7655"/>
        </w:tabs>
        <w:spacing w:before="240" w:after="240" w:line="360" w:lineRule="auto"/>
        <w:ind w:left="567"/>
        <w:jc w:val="both"/>
        <w:rPr>
          <w:rFonts w:ascii="Palatino Linotype" w:hAnsi="Palatino Linotype"/>
          <w:color w:val="000000" w:themeColor="text1"/>
        </w:rPr>
      </w:pPr>
      <w:r w:rsidRPr="00437FA3">
        <w:rPr>
          <w:rFonts w:ascii="Palatino Linotype" w:hAnsi="Palatino Linotype"/>
          <w:noProof/>
          <w:color w:val="000000" w:themeColor="text1"/>
          <w:lang w:val="es-MX" w:eastAsia="es-MX"/>
        </w:rPr>
        <w:drawing>
          <wp:inline distT="0" distB="0" distL="0" distR="0" wp14:anchorId="698D4C33" wp14:editId="27DD9E17">
            <wp:extent cx="5085080" cy="2847975"/>
            <wp:effectExtent l="0" t="0" r="127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5946" b="3961"/>
                    <a:stretch/>
                  </pic:blipFill>
                  <pic:spPr bwMode="auto">
                    <a:xfrm>
                      <a:off x="0" y="0"/>
                      <a:ext cx="5120279" cy="2867689"/>
                    </a:xfrm>
                    <a:prstGeom prst="rect">
                      <a:avLst/>
                    </a:prstGeom>
                    <a:noFill/>
                    <a:ln>
                      <a:noFill/>
                    </a:ln>
                    <a:extLst>
                      <a:ext uri="{53640926-AAD7-44D8-BBD7-CCE9431645EC}">
                        <a14:shadowObscured xmlns:a14="http://schemas.microsoft.com/office/drawing/2010/main"/>
                      </a:ext>
                    </a:extLst>
                  </pic:spPr>
                </pic:pic>
              </a:graphicData>
            </a:graphic>
          </wp:inline>
        </w:drawing>
      </w:r>
    </w:p>
    <w:p w14:paraId="195FC51F" w14:textId="77777777" w:rsidR="00244231" w:rsidRPr="00437FA3" w:rsidRDefault="00244231" w:rsidP="00437FA3">
      <w:pPr>
        <w:numPr>
          <w:ilvl w:val="0"/>
          <w:numId w:val="1"/>
        </w:numPr>
        <w:spacing w:after="160" w:line="360" w:lineRule="auto"/>
        <w:ind w:left="0" w:firstLine="0"/>
        <w:contextualSpacing/>
        <w:jc w:val="both"/>
        <w:rPr>
          <w:rFonts w:ascii="Palatino Linotype" w:eastAsia="Times New Roman" w:hAnsi="Palatino Linotype" w:cs="Arial"/>
          <w:bCs/>
        </w:rPr>
      </w:pPr>
      <w:r w:rsidRPr="00437FA3">
        <w:rPr>
          <w:rFonts w:ascii="Palatino Linotype" w:eastAsia="Times New Roman" w:hAnsi="Palatino Linotype" w:cs="Arial"/>
          <w:bCs/>
        </w:rPr>
        <w:lastRenderedPageBreak/>
        <w:t xml:space="preserve">En ese sentido, se aprecia que el </w:t>
      </w:r>
      <w:r w:rsidRPr="00437FA3">
        <w:rPr>
          <w:rFonts w:ascii="Palatino Linotype" w:eastAsia="Times New Roman" w:hAnsi="Palatino Linotype" w:cs="Arial"/>
          <w:b/>
          <w:bCs/>
        </w:rPr>
        <w:t>SUJETO OBLIGADO</w:t>
      </w:r>
      <w:r w:rsidRPr="00437FA3">
        <w:rPr>
          <w:rFonts w:ascii="Palatino Linotype" w:eastAsia="Times New Roman" w:hAnsi="Palatino Linotype" w:cs="Arial"/>
          <w:bCs/>
        </w:rPr>
        <w:t xml:space="preserve"> a través de un cuadro que presente diversos rubros que informan sobre uno de los requerimientos, no se hizo de forma completa, si bien, elaboró un documento ad hoc, es decir, un documento que se realizó para atender la solicitud; sin embargo, aunque de acuerdo al artículo 12 de la ley de la materia que señala:</w:t>
      </w:r>
    </w:p>
    <w:p w14:paraId="0A19F14F" w14:textId="77777777" w:rsidR="00244231" w:rsidRPr="00437FA3" w:rsidRDefault="00244231" w:rsidP="00437FA3">
      <w:pPr>
        <w:spacing w:line="360" w:lineRule="auto"/>
        <w:contextualSpacing/>
        <w:jc w:val="both"/>
        <w:rPr>
          <w:rFonts w:ascii="Palatino Linotype" w:eastAsia="Times New Roman" w:hAnsi="Palatino Linotype" w:cs="Arial"/>
          <w:bCs/>
        </w:rPr>
      </w:pPr>
    </w:p>
    <w:p w14:paraId="204B1C46" w14:textId="77777777" w:rsidR="00244231" w:rsidRPr="00437FA3" w:rsidRDefault="00244231" w:rsidP="00437FA3">
      <w:pPr>
        <w:spacing w:line="360" w:lineRule="auto"/>
        <w:ind w:left="720"/>
        <w:contextualSpacing/>
        <w:jc w:val="both"/>
        <w:rPr>
          <w:rFonts w:ascii="Palatino Linotype" w:eastAsia="Times New Roman" w:hAnsi="Palatino Linotype" w:cs="Arial"/>
          <w:bCs/>
          <w:i/>
          <w:lang w:val="es-MX"/>
        </w:rPr>
      </w:pPr>
      <w:r w:rsidRPr="00437FA3">
        <w:rPr>
          <w:rFonts w:ascii="Palatino Linotype" w:eastAsia="Times New Roman" w:hAnsi="Palatino Linotype" w:cs="Arial"/>
          <w:b/>
          <w:bCs/>
          <w:i/>
          <w:lang w:val="es-MX"/>
        </w:rPr>
        <w:t xml:space="preserve">Artículo 12. </w:t>
      </w:r>
      <w:r w:rsidRPr="00437FA3">
        <w:rPr>
          <w:rFonts w:ascii="Palatino Linotype" w:eastAsia="Times New Roman" w:hAnsi="Palatino Linotype" w:cs="Arial"/>
          <w:bCs/>
          <w:i/>
          <w:lang w:val="es-MX"/>
        </w:rPr>
        <w:t>Quienes generen, recopilen, administren, manejen, procesen, archiven o conserven información pública serán responsables de la misma en los términos de las disposiciones jurídicas aplicables.</w:t>
      </w:r>
    </w:p>
    <w:p w14:paraId="7C886239" w14:textId="77777777" w:rsidR="00244231" w:rsidRPr="00437FA3" w:rsidRDefault="00244231" w:rsidP="00437FA3">
      <w:pPr>
        <w:spacing w:line="360" w:lineRule="auto"/>
        <w:ind w:left="720"/>
        <w:contextualSpacing/>
        <w:jc w:val="both"/>
        <w:rPr>
          <w:rFonts w:ascii="Palatino Linotype" w:eastAsia="Times New Roman" w:hAnsi="Palatino Linotype" w:cs="Arial"/>
          <w:bCs/>
          <w:i/>
          <w:lang w:val="es-MX"/>
        </w:rPr>
      </w:pPr>
    </w:p>
    <w:p w14:paraId="172D18C6" w14:textId="77777777" w:rsidR="00244231" w:rsidRPr="00437FA3" w:rsidRDefault="00244231" w:rsidP="00437FA3">
      <w:pPr>
        <w:spacing w:line="360" w:lineRule="auto"/>
        <w:ind w:left="720"/>
        <w:contextualSpacing/>
        <w:jc w:val="both"/>
        <w:rPr>
          <w:rFonts w:ascii="Palatino Linotype" w:eastAsia="Times New Roman" w:hAnsi="Palatino Linotype" w:cs="Arial"/>
          <w:bCs/>
          <w:i/>
          <w:lang w:val="es-MX"/>
        </w:rPr>
      </w:pPr>
      <w:r w:rsidRPr="00437FA3">
        <w:rPr>
          <w:rFonts w:ascii="Palatino Linotype" w:eastAsia="Times New Roman" w:hAnsi="Palatino Linotype" w:cs="Arial"/>
          <w:bCs/>
          <w:i/>
          <w:lang w:val="es-MX"/>
        </w:rPr>
        <w:t xml:space="preserve">Los sujetos obligados </w:t>
      </w:r>
      <w:r w:rsidRPr="00437FA3">
        <w:rPr>
          <w:rFonts w:ascii="Palatino Linotype" w:eastAsia="Times New Roman" w:hAnsi="Palatino Linotype" w:cs="Arial"/>
          <w:b/>
          <w:bCs/>
          <w:i/>
          <w:lang w:val="es-MX"/>
        </w:rPr>
        <w:t>sólo proporcionarán la información pública que se les requiera y que obre en sus archivos</w:t>
      </w:r>
      <w:r w:rsidRPr="00437FA3">
        <w:rPr>
          <w:rFonts w:ascii="Palatino Linotype" w:eastAsia="Times New Roman" w:hAnsi="Palatino Linotype" w:cs="Arial"/>
          <w:bCs/>
          <w:i/>
          <w:lang w:val="es-MX"/>
        </w:rPr>
        <w:t xml:space="preserve"> </w:t>
      </w:r>
      <w:r w:rsidRPr="00437FA3">
        <w:rPr>
          <w:rFonts w:ascii="Palatino Linotype" w:eastAsia="Times New Roman" w:hAnsi="Palatino Linotype" w:cs="Arial"/>
          <w:b/>
          <w:bCs/>
          <w:i/>
          <w:lang w:val="es-MX"/>
        </w:rPr>
        <w:t xml:space="preserve">y en el </w:t>
      </w:r>
      <w:r w:rsidRPr="00437FA3">
        <w:rPr>
          <w:rFonts w:ascii="Palatino Linotype" w:eastAsia="Times New Roman" w:hAnsi="Palatino Linotype" w:cs="Arial"/>
          <w:b/>
          <w:bCs/>
          <w:i/>
          <w:u w:val="single"/>
          <w:lang w:val="es-MX"/>
        </w:rPr>
        <w:t>estado en que ésta se encuentre.</w:t>
      </w:r>
      <w:r w:rsidRPr="00437FA3">
        <w:rPr>
          <w:rFonts w:ascii="Palatino Linotype" w:eastAsia="Times New Roman" w:hAnsi="Palatino Linotype" w:cs="Arial"/>
          <w:bCs/>
          <w:i/>
          <w:lang w:val="es-MX"/>
        </w:rPr>
        <w:t xml:space="preserve"> La obligación de proporcionar información </w:t>
      </w:r>
      <w:r w:rsidRPr="00437FA3">
        <w:rPr>
          <w:rFonts w:ascii="Palatino Linotype" w:eastAsia="Times New Roman" w:hAnsi="Palatino Linotype" w:cs="Arial"/>
          <w:b/>
          <w:bCs/>
          <w:i/>
          <w:lang w:val="es-MX"/>
        </w:rPr>
        <w:t>no comprende</w:t>
      </w:r>
      <w:r w:rsidRPr="00437FA3">
        <w:rPr>
          <w:rFonts w:ascii="Palatino Linotype" w:eastAsia="Times New Roman" w:hAnsi="Palatino Linotype" w:cs="Arial"/>
          <w:bCs/>
          <w:i/>
          <w:lang w:val="es-MX"/>
        </w:rPr>
        <w:t xml:space="preserve"> el procesamiento de la misma, ni el presentarla conforme al interés del solicitante; no estarán obligados a generarla, resumirla, efectuar cálculos o práctica investigaciones.</w:t>
      </w:r>
    </w:p>
    <w:p w14:paraId="381C2558" w14:textId="77777777" w:rsidR="00244231" w:rsidRPr="00437FA3" w:rsidRDefault="00244231" w:rsidP="00437FA3">
      <w:pPr>
        <w:spacing w:after="160" w:line="360" w:lineRule="auto"/>
        <w:jc w:val="both"/>
        <w:rPr>
          <w:rFonts w:ascii="Palatino Linotype" w:eastAsia="Calibri" w:hAnsi="Palatino Linotype" w:cs="Arial"/>
          <w:bCs/>
          <w:lang w:val="es-MX" w:eastAsia="en-US"/>
        </w:rPr>
      </w:pPr>
    </w:p>
    <w:p w14:paraId="2AD16A66" w14:textId="77777777" w:rsidR="00244231" w:rsidRPr="00437FA3" w:rsidRDefault="00244231" w:rsidP="00437FA3">
      <w:pPr>
        <w:numPr>
          <w:ilvl w:val="0"/>
          <w:numId w:val="1"/>
        </w:numPr>
        <w:spacing w:after="160" w:line="360" w:lineRule="auto"/>
        <w:ind w:left="0" w:firstLine="0"/>
        <w:contextualSpacing/>
        <w:jc w:val="both"/>
        <w:rPr>
          <w:rFonts w:ascii="Palatino Linotype" w:eastAsia="Times New Roman" w:hAnsi="Palatino Linotype" w:cs="Arial"/>
          <w:bCs/>
          <w:lang w:val="es-MX"/>
        </w:rPr>
      </w:pPr>
      <w:r w:rsidRPr="00437FA3">
        <w:rPr>
          <w:rFonts w:ascii="Palatino Linotype" w:eastAsia="Times New Roman" w:hAnsi="Palatino Linotype" w:cs="Arial"/>
          <w:bCs/>
          <w:lang w:val="es-MX"/>
        </w:rPr>
        <w:t xml:space="preserve">Se señala que no están obligados a procesar, ni presentarla conforme al interés del solicitante, resumirla, efectuar cálculos o generar nuevos documentos para atender una solicitud, la ley tampoco lo prohíbe, es decir, los </w:t>
      </w:r>
      <w:r w:rsidRPr="00437FA3">
        <w:rPr>
          <w:rFonts w:ascii="Palatino Linotype" w:eastAsia="Times New Roman" w:hAnsi="Palatino Linotype" w:cs="Arial"/>
          <w:b/>
          <w:bCs/>
          <w:lang w:val="es-MX"/>
        </w:rPr>
        <w:t>SUJETOS OBLIGADOS</w:t>
      </w:r>
      <w:r w:rsidRPr="00437FA3">
        <w:rPr>
          <w:rFonts w:ascii="Palatino Linotype" w:eastAsia="Times New Roman" w:hAnsi="Palatino Linotype" w:cs="Arial"/>
          <w:bCs/>
          <w:lang w:val="es-MX"/>
        </w:rPr>
        <w:t xml:space="preserve"> pueden adoptar como buena práctica para atender las solicitudes de acceso a información pública la elaboración de documentos que satisfagan el </w:t>
      </w:r>
      <w:r w:rsidRPr="00437FA3">
        <w:rPr>
          <w:rFonts w:ascii="Palatino Linotype" w:eastAsia="Times New Roman" w:hAnsi="Palatino Linotype" w:cs="Arial"/>
          <w:bCs/>
          <w:lang w:val="es-MX"/>
        </w:rPr>
        <w:lastRenderedPageBreak/>
        <w:t xml:space="preserve">derecho, dicho de otro modo, pueden proporcionar la información que atienda las solicitudes, proporcionando aquella información que atienda de manera  exacta, concreta y completa dado que no están impedidos y no es una prohibición que la ley contemple, por ello, la generación de documentos </w:t>
      </w:r>
      <w:r w:rsidRPr="00437FA3">
        <w:rPr>
          <w:rFonts w:ascii="Palatino Linotype" w:eastAsia="Times New Roman" w:hAnsi="Palatino Linotype" w:cs="Arial"/>
          <w:b/>
          <w:bCs/>
          <w:lang w:val="es-MX"/>
        </w:rPr>
        <w:t>ad hoc</w:t>
      </w:r>
      <w:r w:rsidRPr="00437FA3">
        <w:rPr>
          <w:rFonts w:ascii="Palatino Linotype" w:eastAsia="Times New Roman" w:hAnsi="Palatino Linotype" w:cs="Arial"/>
          <w:bCs/>
          <w:lang w:val="es-MX"/>
        </w:rPr>
        <w:t>, puede llevar a cabo siempre y cuando se haga garantice el derecho.</w:t>
      </w:r>
    </w:p>
    <w:p w14:paraId="3EEBA532" w14:textId="77777777" w:rsidR="00244231" w:rsidRPr="00437FA3" w:rsidRDefault="00244231" w:rsidP="00437FA3">
      <w:pPr>
        <w:spacing w:line="360" w:lineRule="auto"/>
        <w:contextualSpacing/>
        <w:jc w:val="both"/>
        <w:rPr>
          <w:rFonts w:ascii="Palatino Linotype" w:eastAsia="Times New Roman" w:hAnsi="Palatino Linotype" w:cs="Arial"/>
          <w:bCs/>
          <w:lang w:val="es-MX"/>
        </w:rPr>
      </w:pPr>
    </w:p>
    <w:p w14:paraId="297A671E" w14:textId="10D33A89" w:rsidR="00244231" w:rsidRPr="00437FA3" w:rsidRDefault="00244231" w:rsidP="00437FA3">
      <w:pPr>
        <w:numPr>
          <w:ilvl w:val="0"/>
          <w:numId w:val="1"/>
        </w:numPr>
        <w:spacing w:after="160" w:line="360" w:lineRule="auto"/>
        <w:ind w:left="0" w:firstLine="0"/>
        <w:contextualSpacing/>
        <w:jc w:val="both"/>
        <w:rPr>
          <w:rFonts w:ascii="Palatino Linotype" w:eastAsia="Times New Roman" w:hAnsi="Palatino Linotype" w:cs="Arial"/>
          <w:bCs/>
          <w:lang w:val="es-MX"/>
        </w:rPr>
      </w:pPr>
      <w:r w:rsidRPr="00437FA3">
        <w:rPr>
          <w:rFonts w:ascii="Palatino Linotype" w:eastAsia="Times New Roman" w:hAnsi="Palatino Linotype" w:cs="Arial"/>
          <w:bCs/>
          <w:lang w:val="es-MX"/>
        </w:rPr>
        <w:t>Y bajo la óptica de que este órgano garante no puede dudar de la veracidad de la información que se proporcione, aquellos datos que se informen no serán sujetos a dudar de los mismos, sin embargo aunque en este asunto, se trató de atender la solicitud, dicha situación no se logró.</w:t>
      </w:r>
    </w:p>
    <w:p w14:paraId="50DD6F58" w14:textId="77777777" w:rsidR="00244231" w:rsidRPr="00437FA3" w:rsidRDefault="00244231" w:rsidP="00437FA3">
      <w:pPr>
        <w:pStyle w:val="Prrafodelista"/>
        <w:spacing w:line="360" w:lineRule="auto"/>
        <w:rPr>
          <w:rFonts w:ascii="Palatino Linotype" w:eastAsia="Times New Roman" w:hAnsi="Palatino Linotype" w:cs="Arial"/>
          <w:bCs/>
          <w:lang w:val="es-MX"/>
        </w:rPr>
      </w:pPr>
    </w:p>
    <w:p w14:paraId="01D84165" w14:textId="6353C059" w:rsidR="00DA6CB2" w:rsidRPr="00437FA3" w:rsidRDefault="00506FA3"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olor w:val="000000" w:themeColor="text1"/>
        </w:rPr>
        <w:t xml:space="preserve">Así mismo hace entrega de los certificados, títulos, cédulas e historiales académicos de los servidores públicos que se muestran en el cuadro pero los correspondientes a Salvador Vargas Vidal (Subdirector de Sistemas), David Roa González (Subdirector de Comercialización), y Mireya Hernández Ramírez (Recursos Humanos) contienen las calificaciones otorgadas a ellos por diversas Instituciones educativas, </w:t>
      </w:r>
      <w:r w:rsidR="00DA6CB2" w:rsidRPr="00437FA3">
        <w:rPr>
          <w:rFonts w:ascii="Palatino Linotype" w:hAnsi="Palatino Linotype"/>
          <w:color w:val="000000" w:themeColor="text1"/>
        </w:rPr>
        <w:t>toda vez que son datos susceptibles de ser considerad</w:t>
      </w:r>
      <w:r w:rsidR="00030CC8" w:rsidRPr="00437FA3">
        <w:rPr>
          <w:rFonts w:ascii="Palatino Linotype" w:hAnsi="Palatino Linotype"/>
          <w:color w:val="000000" w:themeColor="text1"/>
        </w:rPr>
        <w:t xml:space="preserve">os como confidenciales porque </w:t>
      </w:r>
      <w:r w:rsidR="00030CC8" w:rsidRPr="00437FA3">
        <w:rPr>
          <w:rFonts w:ascii="Palatino Linotype" w:hAnsi="Palatino Linotype"/>
        </w:rPr>
        <w:t>revelan el aprovechamiento académico de una persona, así como los avances de créditos, tipos de exámenes, promedio y trayectoria académica.</w:t>
      </w:r>
    </w:p>
    <w:p w14:paraId="291CE800" w14:textId="77777777" w:rsidR="00030CC8" w:rsidRPr="00437FA3" w:rsidRDefault="00030CC8" w:rsidP="00437FA3">
      <w:pPr>
        <w:pStyle w:val="Prrafodelista"/>
        <w:spacing w:line="360" w:lineRule="auto"/>
        <w:ind w:left="0"/>
        <w:jc w:val="both"/>
        <w:rPr>
          <w:rFonts w:ascii="Palatino Linotype" w:hAnsi="Palatino Linotype" w:cs="Arial"/>
          <w:bCs/>
        </w:rPr>
      </w:pPr>
    </w:p>
    <w:p w14:paraId="708F982F" w14:textId="49F348BB" w:rsidR="00030CC8" w:rsidRPr="00437FA3" w:rsidRDefault="00030CC8"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color w:val="000000" w:themeColor="text1"/>
        </w:rPr>
        <w:lastRenderedPageBreak/>
        <w:t xml:space="preserve">En ese sentido al revelarse las calificaciones otorgadas a dichos servidores públicos </w:t>
      </w:r>
      <w:r w:rsidRPr="00437FA3">
        <w:rPr>
          <w:rFonts w:ascii="Palatino Linotype" w:hAnsi="Palatino Linotype" w:cs="Arial"/>
          <w:color w:val="000000" w:themeColor="text1"/>
          <w:lang w:val="es-ES"/>
        </w:rPr>
        <w:t>representa el grado de conocimientos que adquirió el estudiante por lo que si se deja a la vista puede dar lugar a discriminación, aunado a que atañe únicamente a la vida privada del particular.</w:t>
      </w:r>
    </w:p>
    <w:p w14:paraId="2D063CB5" w14:textId="77777777" w:rsidR="00030CC8" w:rsidRPr="00437FA3" w:rsidRDefault="00030CC8" w:rsidP="00437FA3">
      <w:pPr>
        <w:pStyle w:val="Prrafodelista"/>
        <w:spacing w:line="360" w:lineRule="auto"/>
        <w:ind w:left="0"/>
        <w:jc w:val="both"/>
        <w:rPr>
          <w:rFonts w:ascii="Palatino Linotype" w:hAnsi="Palatino Linotype" w:cs="Arial"/>
          <w:bCs/>
        </w:rPr>
      </w:pPr>
    </w:p>
    <w:p w14:paraId="223E5408" w14:textId="0DB55556" w:rsidR="00DA6CB2" w:rsidRPr="00437FA3" w:rsidRDefault="00030CC8" w:rsidP="00437FA3">
      <w:pPr>
        <w:pStyle w:val="Prrafodelista"/>
        <w:numPr>
          <w:ilvl w:val="0"/>
          <w:numId w:val="1"/>
        </w:numPr>
        <w:spacing w:line="360" w:lineRule="auto"/>
        <w:ind w:left="0" w:firstLine="0"/>
        <w:jc w:val="both"/>
        <w:rPr>
          <w:rFonts w:ascii="Palatino Linotype" w:hAnsi="Palatino Linotype" w:cs="Arial"/>
          <w:b/>
          <w:bCs/>
        </w:rPr>
      </w:pPr>
      <w:r w:rsidRPr="00437FA3">
        <w:rPr>
          <w:rFonts w:ascii="Palatino Linotype" w:hAnsi="Palatino Linotype" w:cs="Arial"/>
          <w:color w:val="000000" w:themeColor="text1"/>
          <w:lang w:val="es-ES"/>
        </w:rPr>
        <w:t>Por ello n</w:t>
      </w:r>
      <w:r w:rsidR="00DA6CB2" w:rsidRPr="00437FA3">
        <w:rPr>
          <w:rFonts w:ascii="Palatino Linotype" w:hAnsi="Palatino Linotype" w:cs="Arial"/>
          <w:color w:val="000000" w:themeColor="text1"/>
          <w:lang w:val="es-ES"/>
        </w:rPr>
        <w:t xml:space="preserve">o debe perderse de vista la información correspondiente a calificaciones es susceptible de clasificarse como confidencial por actualizar los supuestos del artículo 143 de la </w:t>
      </w:r>
      <w:r w:rsidR="00DA6CB2" w:rsidRPr="00437FA3">
        <w:rPr>
          <w:rFonts w:ascii="Palatino Linotype" w:hAnsi="Palatino Linotype" w:cs="Arial"/>
          <w:b/>
          <w:color w:val="000000" w:themeColor="text1"/>
          <w:lang w:val="es-ES"/>
        </w:rPr>
        <w:t xml:space="preserve">Ley </w:t>
      </w:r>
      <w:r w:rsidRPr="00437FA3">
        <w:rPr>
          <w:rFonts w:ascii="Palatino Linotype" w:hAnsi="Palatino Linotype" w:cs="Arial"/>
          <w:b/>
          <w:color w:val="000000" w:themeColor="text1"/>
          <w:lang w:val="es-ES"/>
        </w:rPr>
        <w:t>de Transparencia y Acceso a la Información Pública del Estado de México y Municipios.</w:t>
      </w:r>
    </w:p>
    <w:p w14:paraId="23726F1D" w14:textId="77777777" w:rsidR="00030CC8" w:rsidRPr="00437FA3" w:rsidRDefault="00030CC8" w:rsidP="00437FA3">
      <w:pPr>
        <w:pStyle w:val="Prrafodelista"/>
        <w:spacing w:line="360" w:lineRule="auto"/>
        <w:ind w:left="0"/>
        <w:jc w:val="both"/>
        <w:rPr>
          <w:rFonts w:ascii="Palatino Linotype" w:hAnsi="Palatino Linotype" w:cs="Arial"/>
          <w:bCs/>
        </w:rPr>
      </w:pPr>
    </w:p>
    <w:p w14:paraId="144D21C5" w14:textId="4EEF5ABF" w:rsidR="00030CC8" w:rsidRPr="00437FA3" w:rsidRDefault="00030CC8"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rPr>
        <w:t>Lo anterior es así porque las calificaciones revelan datos sobre el aprovechamiento escolar o académico de una persona física identificada o identificable, en tanto atañen a su vida privada se trata de un dato personal, que debe ser protegido.</w:t>
      </w:r>
    </w:p>
    <w:p w14:paraId="30429CB1" w14:textId="77777777" w:rsidR="00030CC8" w:rsidRPr="00437FA3" w:rsidRDefault="00030CC8" w:rsidP="00437FA3">
      <w:pPr>
        <w:pStyle w:val="Prrafodelista"/>
        <w:spacing w:line="360" w:lineRule="auto"/>
        <w:ind w:left="0"/>
        <w:jc w:val="both"/>
        <w:rPr>
          <w:rFonts w:ascii="Palatino Linotype" w:hAnsi="Palatino Linotype" w:cs="Arial"/>
          <w:bCs/>
        </w:rPr>
      </w:pPr>
    </w:p>
    <w:p w14:paraId="2DB98172" w14:textId="68388B36" w:rsidR="00DA6CB2" w:rsidRPr="00437FA3" w:rsidRDefault="00030CC8" w:rsidP="00437FA3">
      <w:pPr>
        <w:pStyle w:val="Prrafodelista"/>
        <w:numPr>
          <w:ilvl w:val="0"/>
          <w:numId w:val="1"/>
        </w:numPr>
        <w:spacing w:line="360" w:lineRule="auto"/>
        <w:ind w:left="0" w:firstLine="0"/>
        <w:jc w:val="both"/>
        <w:rPr>
          <w:rFonts w:ascii="Palatino Linotype" w:hAnsi="Palatino Linotype" w:cs="Arial"/>
          <w:bCs/>
        </w:rPr>
      </w:pPr>
      <w:r w:rsidRPr="00437FA3">
        <w:rPr>
          <w:rFonts w:ascii="Palatino Linotype" w:hAnsi="Palatino Linotype"/>
        </w:rPr>
        <w:t>Es decir, l</w:t>
      </w:r>
      <w:r w:rsidR="00DA6CB2" w:rsidRPr="00437FA3">
        <w:rPr>
          <w:rFonts w:ascii="Palatino Linotype" w:hAnsi="Palatino Linotype" w:cs="Arial"/>
          <w:color w:val="000000" w:themeColor="text1"/>
          <w:lang w:val="es-ES"/>
        </w:rPr>
        <w:t xml:space="preserve">os anteriores datos deben ser clasificados como confidenciales conforme a lo establecido en el artículo 4 fracciones XI y XII de la </w:t>
      </w:r>
      <w:r w:rsidR="00DA6CB2" w:rsidRPr="00437FA3">
        <w:rPr>
          <w:rFonts w:ascii="Palatino Linotype" w:hAnsi="Palatino Linotype" w:cs="Arial"/>
          <w:b/>
          <w:color w:val="000000" w:themeColor="text1"/>
          <w:lang w:val="es-ES"/>
        </w:rPr>
        <w:t>Ley de Protección de Datos en Posesión de los Sujetos Obligados del Estado de México y Municipios</w:t>
      </w:r>
      <w:r w:rsidRPr="00437FA3">
        <w:rPr>
          <w:rFonts w:ascii="Palatino Linotype" w:hAnsi="Palatino Linotype" w:cs="Arial"/>
          <w:color w:val="000000" w:themeColor="text1"/>
          <w:lang w:val="es-ES"/>
        </w:rPr>
        <w:t>:</w:t>
      </w:r>
    </w:p>
    <w:p w14:paraId="40A7C536" w14:textId="77777777" w:rsidR="00DA6CB2" w:rsidRPr="00437FA3" w:rsidRDefault="00DA6CB2" w:rsidP="00437FA3">
      <w:pPr>
        <w:pStyle w:val="Prrafodelista"/>
        <w:spacing w:line="360" w:lineRule="auto"/>
        <w:ind w:left="0"/>
        <w:jc w:val="both"/>
        <w:rPr>
          <w:rFonts w:ascii="Palatino Linotype" w:hAnsi="Palatino Linotype" w:cs="Arial"/>
          <w:color w:val="000000" w:themeColor="text1"/>
          <w:lang w:val="es-ES"/>
        </w:rPr>
      </w:pPr>
    </w:p>
    <w:p w14:paraId="7F457770" w14:textId="77777777" w:rsidR="00DA6CB2" w:rsidRPr="00437FA3" w:rsidRDefault="00DA6CB2" w:rsidP="00437FA3">
      <w:pPr>
        <w:pStyle w:val="Prrafodelista"/>
        <w:spacing w:line="360" w:lineRule="auto"/>
        <w:ind w:left="567"/>
        <w:jc w:val="both"/>
        <w:rPr>
          <w:rFonts w:ascii="Palatino Linotype" w:hAnsi="Palatino Linotype" w:cs="Arial"/>
          <w:i/>
          <w:color w:val="000000" w:themeColor="text1"/>
          <w:lang w:val="es-ES"/>
        </w:rPr>
      </w:pPr>
      <w:r w:rsidRPr="00437FA3">
        <w:rPr>
          <w:rFonts w:ascii="Palatino Linotype" w:eastAsiaTheme="minorHAnsi" w:hAnsi="Palatino Linotype" w:cs="Arial"/>
          <w:b/>
          <w:bCs/>
          <w:i/>
          <w:lang w:val="es-ES"/>
        </w:rPr>
        <w:t xml:space="preserve">Artículo 4. </w:t>
      </w:r>
      <w:r w:rsidRPr="00437FA3">
        <w:rPr>
          <w:rFonts w:ascii="Palatino Linotype" w:eastAsiaTheme="minorHAnsi" w:hAnsi="Palatino Linotype" w:cs="Arial"/>
          <w:i/>
          <w:lang w:val="es-ES"/>
        </w:rPr>
        <w:t>Para los efectos de esta Ley se entenderá por:</w:t>
      </w:r>
    </w:p>
    <w:p w14:paraId="27040730" w14:textId="77777777" w:rsidR="00DA6CB2" w:rsidRPr="00437FA3" w:rsidRDefault="00DA6CB2" w:rsidP="00437FA3">
      <w:pPr>
        <w:autoSpaceDE w:val="0"/>
        <w:autoSpaceDN w:val="0"/>
        <w:adjustRightInd w:val="0"/>
        <w:spacing w:line="360" w:lineRule="auto"/>
        <w:ind w:left="567" w:right="616"/>
        <w:jc w:val="both"/>
        <w:rPr>
          <w:rFonts w:ascii="Palatino Linotype" w:eastAsiaTheme="minorHAnsi" w:hAnsi="Palatino Linotype" w:cs="Arial"/>
          <w:i/>
          <w:lang w:val="es-ES"/>
        </w:rPr>
      </w:pPr>
      <w:r w:rsidRPr="00437FA3">
        <w:rPr>
          <w:rFonts w:ascii="Palatino Linotype" w:eastAsiaTheme="minorHAnsi" w:hAnsi="Palatino Linotype" w:cs="Arial"/>
          <w:b/>
          <w:bCs/>
          <w:i/>
          <w:lang w:val="es-ES"/>
        </w:rPr>
        <w:lastRenderedPageBreak/>
        <w:t xml:space="preserve">XI. Datos personales: </w:t>
      </w:r>
      <w:r w:rsidRPr="00437FA3">
        <w:rPr>
          <w:rFonts w:ascii="Palatino Linotype" w:eastAsiaTheme="minorHAnsi" w:hAnsi="Palatino Linotype" w:cs="Arial"/>
          <w:i/>
          <w:lang w:val="es-ES"/>
        </w:rPr>
        <w:t>a la información concerniente a una persona física o jurídica colectiva identificada o identificable, establecida en cualquier formato o modalidad, y que esté almacenada en los sistemas y bases de datos, se considerará que una persona es identificable cuando su identidad pueda determinarse directa o indirectamente a través de cualquier documento informativo físico o electrónico.</w:t>
      </w:r>
    </w:p>
    <w:p w14:paraId="60948DE2" w14:textId="77777777" w:rsidR="00DA6CB2" w:rsidRPr="00437FA3" w:rsidRDefault="00DA6CB2" w:rsidP="00437FA3">
      <w:pPr>
        <w:autoSpaceDE w:val="0"/>
        <w:autoSpaceDN w:val="0"/>
        <w:adjustRightInd w:val="0"/>
        <w:spacing w:line="360" w:lineRule="auto"/>
        <w:ind w:left="567" w:right="616"/>
        <w:jc w:val="both"/>
        <w:rPr>
          <w:rFonts w:ascii="Palatino Linotype" w:eastAsiaTheme="minorHAnsi" w:hAnsi="Palatino Linotype" w:cs="Arial"/>
          <w:i/>
          <w:lang w:val="es-ES"/>
        </w:rPr>
      </w:pPr>
    </w:p>
    <w:p w14:paraId="3E1401F3" w14:textId="77777777" w:rsidR="00DA6CB2" w:rsidRPr="00437FA3" w:rsidRDefault="00DA6CB2" w:rsidP="00437FA3">
      <w:pPr>
        <w:autoSpaceDE w:val="0"/>
        <w:autoSpaceDN w:val="0"/>
        <w:adjustRightInd w:val="0"/>
        <w:spacing w:line="360" w:lineRule="auto"/>
        <w:ind w:left="567" w:right="616"/>
        <w:jc w:val="both"/>
        <w:rPr>
          <w:rFonts w:ascii="Palatino Linotype" w:eastAsiaTheme="minorHAnsi" w:hAnsi="Palatino Linotype" w:cs="Arial"/>
          <w:i/>
          <w:lang w:val="es-ES"/>
        </w:rPr>
      </w:pPr>
      <w:r w:rsidRPr="00437FA3">
        <w:rPr>
          <w:rFonts w:ascii="Palatino Linotype" w:eastAsiaTheme="minorHAnsi" w:hAnsi="Palatino Linotype" w:cs="Arial"/>
          <w:b/>
          <w:bCs/>
          <w:i/>
          <w:lang w:val="es-ES"/>
        </w:rPr>
        <w:t xml:space="preserve">XII. Datos personales sensibles: </w:t>
      </w:r>
      <w:r w:rsidRPr="00437FA3">
        <w:rPr>
          <w:rFonts w:ascii="Palatino Linotype" w:eastAsiaTheme="minorHAnsi" w:hAnsi="Palatino Linotype" w:cs="Arial"/>
          <w:i/>
          <w:lang w:val="es-ES"/>
        </w:rPr>
        <w:t>a las referentes de la esfera de su titular cuya utilización indebida pueda dar origen a discriminación o conlleve un riesgo grave para éste. 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w:t>
      </w:r>
    </w:p>
    <w:p w14:paraId="209BA1DE" w14:textId="77777777" w:rsidR="00DA6CB2" w:rsidRPr="00437FA3" w:rsidRDefault="00DA6CB2" w:rsidP="00437FA3">
      <w:pPr>
        <w:pStyle w:val="Prrafodelista"/>
        <w:spacing w:line="360" w:lineRule="auto"/>
        <w:ind w:left="0"/>
        <w:jc w:val="both"/>
        <w:rPr>
          <w:rFonts w:ascii="Palatino Linotype" w:hAnsi="Palatino Linotype" w:cs="Arial"/>
          <w:color w:val="000000" w:themeColor="text1"/>
          <w:lang w:val="es-ES"/>
        </w:rPr>
      </w:pPr>
    </w:p>
    <w:p w14:paraId="0D9D8C48" w14:textId="4F6031FB" w:rsidR="00DA6CB2" w:rsidRPr="00437FA3" w:rsidRDefault="00030CC8" w:rsidP="00437FA3">
      <w:pPr>
        <w:pStyle w:val="Prrafodelista"/>
        <w:numPr>
          <w:ilvl w:val="0"/>
          <w:numId w:val="1"/>
        </w:numPr>
        <w:spacing w:line="360" w:lineRule="auto"/>
        <w:ind w:left="0" w:firstLine="0"/>
        <w:jc w:val="both"/>
        <w:rPr>
          <w:rFonts w:ascii="Palatino Linotype" w:hAnsi="Palatino Linotype" w:cs="Arial"/>
          <w:color w:val="000000" w:themeColor="text1"/>
          <w:lang w:val="es-ES"/>
        </w:rPr>
      </w:pPr>
      <w:r w:rsidRPr="00437FA3">
        <w:rPr>
          <w:rFonts w:ascii="Palatino Linotype" w:hAnsi="Palatino Linotype" w:cs="Arial"/>
          <w:color w:val="000000" w:themeColor="text1"/>
          <w:lang w:val="es-ES"/>
        </w:rPr>
        <w:t>Por lo tanto l</w:t>
      </w:r>
      <w:r w:rsidR="00DA6CB2" w:rsidRPr="00437FA3">
        <w:rPr>
          <w:rFonts w:ascii="Palatino Linotype" w:hAnsi="Palatino Linotype" w:cs="Arial"/>
          <w:color w:val="000000" w:themeColor="text1"/>
          <w:lang w:val="es-ES"/>
        </w:rPr>
        <w:t xml:space="preserve">os datos personales </w:t>
      </w:r>
      <w:r w:rsidRPr="00437FA3">
        <w:rPr>
          <w:rFonts w:ascii="Palatino Linotype" w:hAnsi="Palatino Linotype" w:cs="Arial"/>
          <w:color w:val="000000" w:themeColor="text1"/>
          <w:lang w:val="es-ES"/>
        </w:rPr>
        <w:t>como son las calificaciones</w:t>
      </w:r>
      <w:r w:rsidR="00DA6CB2" w:rsidRPr="00437FA3">
        <w:rPr>
          <w:rFonts w:ascii="Palatino Linotype" w:hAnsi="Palatino Linotype" w:cs="Arial"/>
          <w:color w:val="000000" w:themeColor="text1"/>
          <w:lang w:val="es-ES"/>
        </w:rPr>
        <w:t xml:space="preserve"> dada la naturaleza, </w:t>
      </w:r>
      <w:r w:rsidRPr="00437FA3">
        <w:rPr>
          <w:rFonts w:ascii="Palatino Linotype" w:hAnsi="Palatino Linotype" w:cs="Arial"/>
          <w:color w:val="000000" w:themeColor="text1"/>
          <w:lang w:val="es-ES"/>
        </w:rPr>
        <w:t xml:space="preserve">y </w:t>
      </w:r>
      <w:r w:rsidR="00DA6CB2" w:rsidRPr="00437FA3">
        <w:rPr>
          <w:rFonts w:ascii="Palatino Linotype" w:hAnsi="Palatino Linotype" w:cs="Arial"/>
          <w:color w:val="000000" w:themeColor="text1"/>
          <w:lang w:val="es-ES"/>
        </w:rPr>
        <w:t>que guardan relación directa con el titular, deben ser omitidos a razón de que no pueda ser identificado.</w:t>
      </w:r>
    </w:p>
    <w:p w14:paraId="18656033" w14:textId="77777777" w:rsidR="000C30F8" w:rsidRPr="00437FA3" w:rsidRDefault="000C30F8" w:rsidP="00437FA3">
      <w:pPr>
        <w:pStyle w:val="Prrafodelista"/>
        <w:spacing w:line="360" w:lineRule="auto"/>
        <w:ind w:left="0"/>
        <w:jc w:val="both"/>
        <w:rPr>
          <w:rFonts w:ascii="Palatino Linotype" w:hAnsi="Palatino Linotype" w:cs="Arial"/>
          <w:color w:val="000000" w:themeColor="text1"/>
          <w:lang w:val="es-ES"/>
        </w:rPr>
      </w:pPr>
    </w:p>
    <w:p w14:paraId="1B10CC30" w14:textId="39E60E0E" w:rsidR="000C30F8" w:rsidRPr="00437FA3" w:rsidRDefault="00030CC8" w:rsidP="00437FA3">
      <w:pPr>
        <w:pStyle w:val="Prrafodelista"/>
        <w:numPr>
          <w:ilvl w:val="0"/>
          <w:numId w:val="1"/>
        </w:numPr>
        <w:spacing w:line="360" w:lineRule="auto"/>
        <w:ind w:left="0" w:firstLine="0"/>
        <w:jc w:val="both"/>
        <w:rPr>
          <w:rFonts w:ascii="Palatino Linotype" w:hAnsi="Palatino Linotype" w:cs="Arial"/>
          <w:color w:val="000000" w:themeColor="text1"/>
          <w:lang w:val="es-ES"/>
        </w:rPr>
      </w:pPr>
      <w:r w:rsidRPr="00437FA3">
        <w:rPr>
          <w:rFonts w:ascii="Palatino Linotype" w:hAnsi="Palatino Linotype"/>
        </w:rPr>
        <w:t xml:space="preserve">En cuanto a los puntos identificados con los incisos </w:t>
      </w:r>
      <w:r w:rsidRPr="00437FA3">
        <w:rPr>
          <w:rFonts w:ascii="Palatino Linotype" w:hAnsi="Palatino Linotype"/>
          <w:b/>
          <w:u w:val="single"/>
        </w:rPr>
        <w:t>d)</w:t>
      </w:r>
      <w:r w:rsidRPr="00437FA3">
        <w:rPr>
          <w:rFonts w:ascii="Palatino Linotype" w:hAnsi="Palatino Linotype"/>
        </w:rPr>
        <w:t xml:space="preserve"> y </w:t>
      </w:r>
      <w:r w:rsidRPr="00437FA3">
        <w:rPr>
          <w:rFonts w:ascii="Palatino Linotype" w:hAnsi="Palatino Linotype"/>
          <w:b/>
          <w:u w:val="single"/>
        </w:rPr>
        <w:t>k</w:t>
      </w:r>
      <w:r w:rsidRPr="00437FA3">
        <w:rPr>
          <w:rFonts w:ascii="Palatino Linotype" w:hAnsi="Palatino Linotype"/>
        </w:rPr>
        <w:t>)</w:t>
      </w:r>
      <w:r w:rsidR="000C30F8" w:rsidRPr="00437FA3">
        <w:rPr>
          <w:rFonts w:ascii="Palatino Linotype" w:hAnsi="Palatino Linotype"/>
        </w:rPr>
        <w:t xml:space="preserve"> el </w:t>
      </w:r>
      <w:r w:rsidR="000C30F8" w:rsidRPr="00437FA3">
        <w:rPr>
          <w:rFonts w:ascii="Palatino Linotype" w:hAnsi="Palatino Linotype"/>
          <w:b/>
        </w:rPr>
        <w:t>SUJETO OBLIGADO</w:t>
      </w:r>
      <w:r w:rsidR="000C30F8" w:rsidRPr="00437FA3">
        <w:rPr>
          <w:rFonts w:ascii="Palatino Linotype" w:hAnsi="Palatino Linotype"/>
        </w:rPr>
        <w:t xml:space="preserve"> entrega </w:t>
      </w:r>
      <w:r w:rsidR="000C30F8" w:rsidRPr="00437FA3">
        <w:rPr>
          <w:rFonts w:ascii="Palatino Linotype" w:hAnsi="Palatino Linotype" w:cs="Arial"/>
          <w:color w:val="000000" w:themeColor="text1"/>
        </w:rPr>
        <w:t xml:space="preserve">la nómina general testada sin embargo el formato es </w:t>
      </w:r>
      <w:r w:rsidR="000C30F8" w:rsidRPr="00437FA3">
        <w:rPr>
          <w:rFonts w:ascii="Palatino Linotype" w:hAnsi="Palatino Linotype" w:cs="Arial"/>
          <w:b/>
          <w:color w:val="000000" w:themeColor="text1"/>
          <w:u w:val="single"/>
        </w:rPr>
        <w:t xml:space="preserve">ilegible </w:t>
      </w:r>
      <w:r w:rsidR="000C30F8" w:rsidRPr="00437FA3">
        <w:rPr>
          <w:rFonts w:ascii="Palatino Linotype" w:hAnsi="Palatino Linotype" w:cs="Arial"/>
          <w:color w:val="000000" w:themeColor="text1"/>
        </w:rPr>
        <w:lastRenderedPageBreak/>
        <w:t>no permite observar el sueldo neto, las percepciones</w:t>
      </w:r>
      <w:r w:rsidR="000C30F8" w:rsidRPr="00437FA3">
        <w:rPr>
          <w:rFonts w:ascii="Palatino Linotype" w:hAnsi="Palatino Linotype" w:cs="Arial"/>
          <w:i/>
          <w:color w:val="000000" w:themeColor="text1"/>
        </w:rPr>
        <w:t>,</w:t>
      </w:r>
      <w:r w:rsidR="000C30F8" w:rsidRPr="00437FA3">
        <w:rPr>
          <w:rFonts w:ascii="Palatino Linotype" w:hAnsi="Palatino Linotype" w:cs="Arial"/>
          <w:color w:val="000000" w:themeColor="text1"/>
        </w:rPr>
        <w:t xml:space="preserve"> deducciones</w:t>
      </w:r>
      <w:r w:rsidR="000C30F8" w:rsidRPr="00437FA3">
        <w:rPr>
          <w:rFonts w:ascii="Palatino Linotype" w:hAnsi="Palatino Linotype" w:cs="Arial"/>
          <w:i/>
          <w:color w:val="000000" w:themeColor="text1"/>
        </w:rPr>
        <w:t xml:space="preserve"> </w:t>
      </w:r>
      <w:r w:rsidR="000C30F8" w:rsidRPr="00437FA3">
        <w:rPr>
          <w:rFonts w:ascii="Palatino Linotype" w:hAnsi="Palatino Linotype" w:cs="Arial"/>
          <w:color w:val="000000" w:themeColor="text1"/>
        </w:rPr>
        <w:t xml:space="preserve">y periodo de pago, así mismo entrega la nómina general del Organismo testada correspondiente a la segunda quincena de diciembre de 2018 sin firmas, y </w:t>
      </w:r>
      <w:r w:rsidR="009F37A1" w:rsidRPr="00437FA3">
        <w:rPr>
          <w:rFonts w:ascii="Palatino Linotype" w:hAnsi="Palatino Linotype" w:cs="Arial"/>
          <w:color w:val="000000" w:themeColor="text1"/>
        </w:rPr>
        <w:t>dos</w:t>
      </w:r>
      <w:r w:rsidR="000C30F8" w:rsidRPr="00437FA3">
        <w:rPr>
          <w:rFonts w:ascii="Palatino Linotype" w:hAnsi="Palatino Linotype" w:cs="Arial"/>
          <w:color w:val="000000" w:themeColor="text1"/>
        </w:rPr>
        <w:t xml:space="preserve"> </w:t>
      </w:r>
      <w:r w:rsidR="000C30F8" w:rsidRPr="00437FA3">
        <w:rPr>
          <w:rFonts w:ascii="Palatino Linotype" w:hAnsi="Palatino Linotype"/>
        </w:rPr>
        <w:t>archivo</w:t>
      </w:r>
      <w:r w:rsidR="009F37A1" w:rsidRPr="00437FA3">
        <w:rPr>
          <w:rFonts w:ascii="Palatino Linotype" w:hAnsi="Palatino Linotype"/>
        </w:rPr>
        <w:t>s</w:t>
      </w:r>
      <w:r w:rsidR="000C30F8" w:rsidRPr="00437FA3">
        <w:rPr>
          <w:rFonts w:ascii="Palatino Linotype" w:hAnsi="Palatino Linotype"/>
        </w:rPr>
        <w:t xml:space="preserve"> en formato Excel </w:t>
      </w:r>
      <w:r w:rsidR="009F37A1" w:rsidRPr="00437FA3">
        <w:rPr>
          <w:rFonts w:ascii="Palatino Linotype" w:hAnsi="Palatino Linotype"/>
        </w:rPr>
        <w:t>el primero de ellos denominado “</w:t>
      </w:r>
      <w:r w:rsidR="009F37A1" w:rsidRPr="00437FA3">
        <w:rPr>
          <w:rFonts w:ascii="Palatino Linotype" w:hAnsi="Palatino Linotype"/>
          <w:b/>
          <w:i/>
        </w:rPr>
        <w:t>NOMINA GENERAL 2ª Enero.xlsx</w:t>
      </w:r>
      <w:r w:rsidR="009F37A1" w:rsidRPr="00437FA3">
        <w:rPr>
          <w:rFonts w:ascii="Palatino Linotype" w:hAnsi="Palatino Linotype"/>
        </w:rPr>
        <w:t xml:space="preserve">” protegida con contraseña y el segundo </w:t>
      </w:r>
      <w:r w:rsidR="000C30F8" w:rsidRPr="00437FA3">
        <w:rPr>
          <w:rFonts w:ascii="Palatino Linotype" w:hAnsi="Palatino Linotype"/>
        </w:rPr>
        <w:t xml:space="preserve">testado en celdas, sin embargo al seleccionar cada celda, en la barra de fórmulas se aprecian datos como son CURP, RFC y Clave de </w:t>
      </w:r>
      <w:proofErr w:type="spellStart"/>
      <w:r w:rsidR="000C30F8" w:rsidRPr="00437FA3">
        <w:rPr>
          <w:rFonts w:ascii="Palatino Linotype" w:hAnsi="Palatino Linotype"/>
        </w:rPr>
        <w:t>ISSEMyM</w:t>
      </w:r>
      <w:proofErr w:type="spellEnd"/>
      <w:r w:rsidR="000C30F8" w:rsidRPr="00437FA3">
        <w:rPr>
          <w:rFonts w:ascii="Palatino Linotype" w:hAnsi="Palatino Linotype"/>
        </w:rPr>
        <w:t xml:space="preserve">, por lo que dichos documentos deberán entregarse nuevamente sin testar las firmas de los servidores públicos, en formato </w:t>
      </w:r>
      <w:proofErr w:type="spellStart"/>
      <w:r w:rsidR="000C30F8" w:rsidRPr="00437FA3">
        <w:rPr>
          <w:rFonts w:ascii="Palatino Linotype" w:hAnsi="Palatino Linotype"/>
        </w:rPr>
        <w:t>pdf</w:t>
      </w:r>
      <w:proofErr w:type="spellEnd"/>
      <w:r w:rsidR="000C30F8" w:rsidRPr="00437FA3">
        <w:rPr>
          <w:rFonts w:ascii="Palatino Linotype" w:hAnsi="Palatino Linotype"/>
        </w:rPr>
        <w:t xml:space="preserve"> y tomando las precauciones necesarias en la elaboración de las versiones públicas para no dejar a la vista los datos referidos.</w:t>
      </w:r>
    </w:p>
    <w:p w14:paraId="5207C094" w14:textId="77777777" w:rsidR="000C30F8" w:rsidRPr="00437FA3" w:rsidRDefault="000C30F8" w:rsidP="00437FA3">
      <w:pPr>
        <w:pStyle w:val="Prrafodelista"/>
        <w:spacing w:line="360" w:lineRule="auto"/>
        <w:ind w:left="0"/>
        <w:jc w:val="both"/>
        <w:rPr>
          <w:rFonts w:ascii="Palatino Linotype" w:hAnsi="Palatino Linotype" w:cs="Arial"/>
          <w:color w:val="000000" w:themeColor="text1"/>
          <w:lang w:val="es-ES"/>
        </w:rPr>
      </w:pPr>
    </w:p>
    <w:p w14:paraId="09C928FC" w14:textId="77777777" w:rsidR="000C30F8" w:rsidRPr="00437FA3" w:rsidRDefault="000C30F8" w:rsidP="00437FA3">
      <w:pPr>
        <w:pStyle w:val="Prrafodelista"/>
        <w:numPr>
          <w:ilvl w:val="0"/>
          <w:numId w:val="1"/>
        </w:numPr>
        <w:spacing w:line="360" w:lineRule="auto"/>
        <w:ind w:left="0" w:firstLine="0"/>
        <w:jc w:val="both"/>
        <w:rPr>
          <w:rFonts w:ascii="Palatino Linotype" w:hAnsi="Palatino Linotype" w:cs="Arial"/>
          <w:color w:val="000000" w:themeColor="text1"/>
          <w:lang w:val="es-ES"/>
        </w:rPr>
      </w:pPr>
      <w:r w:rsidRPr="00437FA3">
        <w:rPr>
          <w:rFonts w:ascii="Palatino Linotype" w:hAnsi="Palatino Linotype" w:cs="Arial"/>
        </w:rPr>
        <w:t xml:space="preserve">En relación a los descuentos o deducciones al sueldo de los servidores públicos, es oportuno recurrir al artículo 84 de la </w:t>
      </w:r>
      <w:r w:rsidRPr="00437FA3">
        <w:rPr>
          <w:rFonts w:ascii="Palatino Linotype" w:hAnsi="Palatino Linotype" w:cs="Arial"/>
          <w:b/>
        </w:rPr>
        <w:t>Ley del Trabajo de los Servidores Públicos del Estado y Municipios</w:t>
      </w:r>
      <w:r w:rsidRPr="00437FA3">
        <w:rPr>
          <w:rFonts w:ascii="Palatino Linotype" w:hAnsi="Palatino Linotype" w:cs="Arial"/>
        </w:rPr>
        <w:t>:</w:t>
      </w:r>
    </w:p>
    <w:p w14:paraId="0E73D565" w14:textId="77777777" w:rsidR="000C30F8" w:rsidRPr="00437FA3" w:rsidRDefault="000C30F8" w:rsidP="00437FA3">
      <w:pPr>
        <w:pStyle w:val="Prrafodelista"/>
        <w:spacing w:line="360" w:lineRule="auto"/>
        <w:ind w:left="0"/>
        <w:jc w:val="both"/>
        <w:rPr>
          <w:rFonts w:ascii="Palatino Linotype" w:hAnsi="Palatino Linotype" w:cs="Arial"/>
          <w:color w:val="000000" w:themeColor="text1"/>
          <w:lang w:val="es-ES"/>
        </w:rPr>
      </w:pPr>
    </w:p>
    <w:p w14:paraId="0535F7D5" w14:textId="77777777" w:rsidR="000C30F8" w:rsidRPr="00437FA3" w:rsidRDefault="000C30F8" w:rsidP="00437FA3">
      <w:pPr>
        <w:spacing w:line="360" w:lineRule="auto"/>
        <w:ind w:left="567" w:right="567"/>
        <w:jc w:val="both"/>
        <w:rPr>
          <w:rFonts w:ascii="Palatino Linotype" w:hAnsi="Palatino Linotype" w:cs="Arial"/>
          <w:b/>
          <w:bCs/>
          <w:i/>
          <w:noProof/>
        </w:rPr>
      </w:pPr>
      <w:r w:rsidRPr="00437FA3">
        <w:rPr>
          <w:rFonts w:ascii="Palatino Linotype" w:hAnsi="Palatino Linotype" w:cs="Arial"/>
          <w:b/>
          <w:bCs/>
          <w:i/>
          <w:noProof/>
        </w:rPr>
        <w:t xml:space="preserve">ARTÍCULO 84. </w:t>
      </w:r>
      <w:r w:rsidRPr="00437FA3">
        <w:rPr>
          <w:rFonts w:ascii="Palatino Linotype" w:hAnsi="Palatino Linotype" w:cs="Arial"/>
          <w:bCs/>
          <w:i/>
          <w:noProof/>
        </w:rPr>
        <w:t>Sólo podrán hacerse retenciones, descuentos o deducciones al sueldo de los servidores públicos por concepto de:</w:t>
      </w:r>
    </w:p>
    <w:p w14:paraId="02716745"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I. Gravámenes fiscales relacionados con el sueldo;</w:t>
      </w:r>
    </w:p>
    <w:p w14:paraId="53938115"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II. Deudas contraídas con las instituciones públicas o dependencias por concepto de anticipos de sueldo, pagos hechos con exceso, errores o pérdidas debidamente comprobados;</w:t>
      </w:r>
    </w:p>
    <w:p w14:paraId="5CCBD341"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lastRenderedPageBreak/>
        <w:t>III. Cuotas sindicales;</w:t>
      </w:r>
    </w:p>
    <w:p w14:paraId="1274402E"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IV. Cuotas de aportación a fondos para la constitución de cooperativas y de cajas de ahorro, siempre que el servidor público hubiese manifestado previamente, de manera expresa, su conformidad;</w:t>
      </w:r>
    </w:p>
    <w:p w14:paraId="10CED6D7"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V. Descuentos ordenados por el Instituto de Seguridad Social del Estado de México y Municipios, con motivo de cuotas y obligaciones contraídas con éste por los servidores públicos;</w:t>
      </w:r>
    </w:p>
    <w:p w14:paraId="6A14BD6F"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VI. Obligaciones a cargo del servidor público con las que haya consentido, derivadas de la adquisición o del uso de habitaciones consideradas como de interés social;</w:t>
      </w:r>
    </w:p>
    <w:p w14:paraId="38B44888"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VII. Faltas de puntualidad o de asistencia injustificadas;</w:t>
      </w:r>
    </w:p>
    <w:p w14:paraId="774F50E3"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VIII. Pensiones alimenticias ordenadas por la autoridad judicial; o</w:t>
      </w:r>
    </w:p>
    <w:p w14:paraId="38DEF93F" w14:textId="77777777" w:rsidR="000C30F8" w:rsidRPr="00437FA3" w:rsidRDefault="000C30F8" w:rsidP="00437FA3">
      <w:pPr>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IX. Cualquier otro convenido con instituciones de servicios y aceptado por el servidor público.</w:t>
      </w:r>
    </w:p>
    <w:p w14:paraId="5D0CA533" w14:textId="77777777" w:rsidR="000C30F8" w:rsidRPr="00437FA3" w:rsidRDefault="000C30F8" w:rsidP="00437FA3">
      <w:pPr>
        <w:pStyle w:val="Prrafodelista"/>
        <w:spacing w:line="360" w:lineRule="auto"/>
        <w:ind w:left="567" w:right="567"/>
        <w:jc w:val="both"/>
        <w:rPr>
          <w:rFonts w:ascii="Palatino Linotype" w:hAnsi="Palatino Linotype" w:cs="Arial"/>
          <w:bCs/>
          <w:i/>
          <w:noProof/>
        </w:rPr>
      </w:pPr>
      <w:r w:rsidRPr="00437FA3">
        <w:rPr>
          <w:rFonts w:ascii="Palatino Linotype" w:hAnsi="Palatino Linotype" w:cs="Arial"/>
          <w:bCs/>
          <w:i/>
          <w:noProof/>
        </w:rPr>
        <w:t xml:space="preserve">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 </w:t>
      </w:r>
    </w:p>
    <w:p w14:paraId="492A8206" w14:textId="77777777" w:rsidR="000C30F8" w:rsidRPr="00437FA3" w:rsidRDefault="000C30F8" w:rsidP="00437FA3">
      <w:pPr>
        <w:pStyle w:val="Prrafodelista"/>
        <w:spacing w:line="360" w:lineRule="auto"/>
        <w:ind w:left="567" w:right="567"/>
        <w:jc w:val="both"/>
        <w:rPr>
          <w:rFonts w:ascii="Palatino Linotype" w:hAnsi="Palatino Linotype" w:cs="Arial"/>
          <w:bCs/>
          <w:noProof/>
        </w:rPr>
      </w:pPr>
    </w:p>
    <w:p w14:paraId="7ECAFA9D" w14:textId="77777777" w:rsidR="000C30F8" w:rsidRPr="00437FA3" w:rsidRDefault="000C30F8"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hAnsi="Palatino Linotype" w:cs="Arial"/>
        </w:rPr>
        <w:t>Como se puede observar, la Ley del Trabajo de mérito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que no se relacionen con el gasto público, son información que debe clasificarse como confidencial.</w:t>
      </w:r>
    </w:p>
    <w:p w14:paraId="4BFD6274" w14:textId="77777777" w:rsidR="000C30F8" w:rsidRPr="00437FA3" w:rsidRDefault="000C30F8" w:rsidP="00437FA3">
      <w:pPr>
        <w:pStyle w:val="Sinespaciado"/>
        <w:spacing w:line="360" w:lineRule="auto"/>
        <w:jc w:val="both"/>
        <w:rPr>
          <w:rFonts w:ascii="Palatino Linotype" w:hAnsi="Palatino Linotype" w:cs="Arial"/>
        </w:rPr>
      </w:pPr>
    </w:p>
    <w:p w14:paraId="52B6DB13" w14:textId="77777777" w:rsidR="000C30F8" w:rsidRPr="00437FA3" w:rsidRDefault="000C30F8"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hAnsi="Palatino Linotype"/>
        </w:rPr>
        <w:t xml:space="preserve">Ahora bien, en razón a las deducciones </w:t>
      </w:r>
      <w:r w:rsidRPr="00437FA3">
        <w:rPr>
          <w:rFonts w:ascii="Palatino Linotype" w:hAnsi="Palatino Linotype" w:cs="Arial"/>
        </w:rPr>
        <w:t>que directamente se relacionan con las obligaciones adquiridas como servidores públicos</w:t>
      </w:r>
      <w:r w:rsidRPr="00437FA3">
        <w:rPr>
          <w:rFonts w:ascii="Palatino Linotype" w:hAnsi="Palatino Linotype"/>
        </w:rPr>
        <w:t xml:space="preserve"> estas son de interés general y de alcance público, puesto que la ciudadanía tiene derecho a saber cuál es el gasto ejercido para el pago de gravámenes fiscales relacionados con el sueldo, así como descuentos ordenados por el Instituto de Seguridad Social del Estado de México y Municipios, con motivo de cuotas y obligaciones contraídas con éste por los servidores públicos; pues permite transparentar la aplicación de los recursos públicos que son otorgados para el cumplimiento de sus funciones ello conforme a lo dispuesto por el artículo 23, fracción XI, párrafos segundo y tercero de la </w:t>
      </w:r>
      <w:r w:rsidRPr="00437FA3">
        <w:rPr>
          <w:rFonts w:ascii="Palatino Linotype" w:hAnsi="Palatino Linotype"/>
          <w:b/>
        </w:rPr>
        <w:t>Ley de Transparencia y Acceso a la Información Pública del Estado de México y Municipios</w:t>
      </w:r>
      <w:r w:rsidRPr="00437FA3">
        <w:rPr>
          <w:rFonts w:ascii="Palatino Linotype" w:hAnsi="Palatino Linotype"/>
        </w:rPr>
        <w:t xml:space="preserve">, que establece como deber de los Sujetos Obligados el hacer pública toda la información respecto a los montos y nombres de las personas a quienes se </w:t>
      </w:r>
      <w:r w:rsidRPr="00437FA3">
        <w:rPr>
          <w:rFonts w:ascii="Palatino Linotype" w:hAnsi="Palatino Linotype"/>
        </w:rPr>
        <w:lastRenderedPageBreak/>
        <w:t>entreguen recursos públicos y con ello transparentar la forma, términos, causas y finalidad en la disposición de esos recursos.</w:t>
      </w:r>
    </w:p>
    <w:p w14:paraId="4BFF4710" w14:textId="77777777" w:rsidR="000C30F8" w:rsidRPr="00437FA3" w:rsidRDefault="000C30F8" w:rsidP="00437FA3">
      <w:pPr>
        <w:pStyle w:val="Sinespaciado"/>
        <w:spacing w:line="360" w:lineRule="auto"/>
        <w:jc w:val="both"/>
        <w:rPr>
          <w:rFonts w:ascii="Palatino Linotype" w:hAnsi="Palatino Linotype" w:cs="Arial"/>
        </w:rPr>
      </w:pPr>
    </w:p>
    <w:p w14:paraId="1B55FE84" w14:textId="77777777" w:rsidR="000C30F8" w:rsidRPr="00437FA3" w:rsidRDefault="000C30F8"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hAnsi="Palatino Linotype" w:cs="Arial"/>
        </w:rPr>
        <w:t>Respecto de los préstamos o descuentos de carácter personal, en virtud de no tener relación con la prestación del servicio y al no involucrar instituciones públicas, se consideran datos confidenciales.</w:t>
      </w:r>
    </w:p>
    <w:p w14:paraId="4D11CF4A" w14:textId="77777777" w:rsidR="000C30F8" w:rsidRPr="00437FA3" w:rsidRDefault="000C30F8" w:rsidP="00437FA3">
      <w:pPr>
        <w:pStyle w:val="Sinespaciado"/>
        <w:spacing w:line="360" w:lineRule="auto"/>
        <w:jc w:val="both"/>
        <w:rPr>
          <w:rFonts w:ascii="Palatino Linotype" w:hAnsi="Palatino Linotype" w:cs="Arial"/>
        </w:rPr>
      </w:pPr>
    </w:p>
    <w:p w14:paraId="3F4A32B5" w14:textId="77777777" w:rsidR="000C30F8" w:rsidRPr="00437FA3" w:rsidRDefault="000C30F8"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hAnsi="Palatino Linotype"/>
        </w:rPr>
        <w:t>En virtud de lo anterior, se advierte que las deducciones por concepto de pago de gravámenes fiscales relacionados con el sueldo, así como descuentos ordenados por el Instituto de Seguridad Social del Estado de México y Municipios, con motivo de cuotas y obligaciones contraídas con éste por los servidores públicos, contenidas en la nómina general no actualiza algún supuesto de clasificación, pues la ciudadanía puede conocer el monto que se le deduce a cada servidor público en relación al pago que se le efectúa.</w:t>
      </w:r>
    </w:p>
    <w:p w14:paraId="1C882804" w14:textId="77777777" w:rsidR="000C30F8" w:rsidRPr="00437FA3" w:rsidRDefault="000C30F8" w:rsidP="00437FA3">
      <w:pPr>
        <w:pStyle w:val="Sinespaciado"/>
        <w:spacing w:line="360" w:lineRule="auto"/>
        <w:jc w:val="both"/>
        <w:rPr>
          <w:rFonts w:ascii="Palatino Linotype" w:hAnsi="Palatino Linotype" w:cs="Arial"/>
        </w:rPr>
      </w:pPr>
    </w:p>
    <w:p w14:paraId="2E73E843" w14:textId="77777777" w:rsidR="000C30F8" w:rsidRPr="00437FA3" w:rsidRDefault="000C30F8" w:rsidP="00437FA3">
      <w:pPr>
        <w:pStyle w:val="Prrafodelista"/>
        <w:numPr>
          <w:ilvl w:val="0"/>
          <w:numId w:val="1"/>
        </w:numPr>
        <w:spacing w:line="360" w:lineRule="auto"/>
        <w:ind w:left="0" w:right="49" w:firstLine="0"/>
        <w:jc w:val="both"/>
        <w:rPr>
          <w:rFonts w:ascii="Palatino Linotype" w:hAnsi="Palatino Linotype"/>
        </w:rPr>
      </w:pPr>
      <w:r w:rsidRPr="00437FA3">
        <w:rPr>
          <w:rFonts w:ascii="Palatino Linotype" w:hAnsi="Palatino Linotype"/>
        </w:rPr>
        <w:t xml:space="preserve">En lo referente a la firma se debe precisar que los artículos del 7.6 y 7.8 del </w:t>
      </w:r>
      <w:r w:rsidRPr="00437FA3">
        <w:rPr>
          <w:rFonts w:ascii="Palatino Linotype" w:hAnsi="Palatino Linotype"/>
          <w:b/>
          <w:color w:val="000000"/>
          <w:lang w:val="es-MX"/>
        </w:rPr>
        <w:t xml:space="preserve">Código Civil del Estado de México </w:t>
      </w:r>
      <w:r w:rsidRPr="00437FA3">
        <w:rPr>
          <w:rFonts w:ascii="Palatino Linotype" w:hAnsi="Palatino Linotype"/>
          <w:color w:val="000000"/>
          <w:lang w:val="es-MX"/>
        </w:rPr>
        <w:t>establecen que un acto jurídico es</w:t>
      </w:r>
      <w:r w:rsidRPr="00437FA3">
        <w:rPr>
          <w:rFonts w:ascii="Palatino Linotype" w:hAnsi="Palatino Linotype"/>
        </w:rPr>
        <w:t xml:space="preserve"> toda declaración o manifestación de voluntad hecha con el objeto de producir consecuencias de derecho y </w:t>
      </w:r>
      <w:r w:rsidRPr="00437FA3">
        <w:rPr>
          <w:rFonts w:ascii="Palatino Linotype" w:hAnsi="Palatino Linotype"/>
          <w:color w:val="000000"/>
          <w:lang w:val="es-MX"/>
        </w:rPr>
        <w:t>para que un acto jurídico tenga validez deberá cumplir con los requisitos que a continuación se transcriben:</w:t>
      </w:r>
    </w:p>
    <w:p w14:paraId="2FA21EC5" w14:textId="77777777" w:rsidR="000C30F8" w:rsidRPr="00437FA3" w:rsidRDefault="000C30F8" w:rsidP="00437FA3">
      <w:pPr>
        <w:pStyle w:val="Prrafodelista"/>
        <w:spacing w:before="240" w:after="240" w:line="360" w:lineRule="auto"/>
        <w:ind w:left="0" w:right="49"/>
        <w:jc w:val="both"/>
        <w:rPr>
          <w:rFonts w:ascii="Palatino Linotype" w:hAnsi="Palatino Linotype"/>
        </w:rPr>
      </w:pPr>
    </w:p>
    <w:p w14:paraId="79832987" w14:textId="77777777" w:rsidR="000C30F8" w:rsidRPr="00437FA3" w:rsidRDefault="000C30F8" w:rsidP="00437FA3">
      <w:pPr>
        <w:pStyle w:val="Prrafodelista"/>
        <w:spacing w:before="240" w:after="240" w:line="360" w:lineRule="auto"/>
        <w:ind w:left="567" w:right="567"/>
        <w:jc w:val="both"/>
        <w:rPr>
          <w:rFonts w:ascii="Palatino Linotype" w:hAnsi="Palatino Linotype"/>
          <w:i/>
        </w:rPr>
      </w:pPr>
      <w:r w:rsidRPr="00437FA3">
        <w:rPr>
          <w:rFonts w:ascii="Palatino Linotype" w:hAnsi="Palatino Linotype"/>
          <w:i/>
        </w:rPr>
        <w:lastRenderedPageBreak/>
        <w:t xml:space="preserve">Artículo 7.8.- Para que el acto jurídico sea válido se requiere: </w:t>
      </w:r>
    </w:p>
    <w:p w14:paraId="37DD2890" w14:textId="77777777" w:rsidR="000C30F8" w:rsidRPr="00437FA3" w:rsidRDefault="000C30F8" w:rsidP="00437FA3">
      <w:pPr>
        <w:pStyle w:val="Prrafodelista"/>
        <w:spacing w:before="240" w:after="240" w:line="360" w:lineRule="auto"/>
        <w:ind w:left="567" w:right="567"/>
        <w:jc w:val="both"/>
        <w:rPr>
          <w:rFonts w:ascii="Palatino Linotype" w:hAnsi="Palatino Linotype"/>
          <w:i/>
        </w:rPr>
      </w:pPr>
      <w:r w:rsidRPr="00437FA3">
        <w:rPr>
          <w:rFonts w:ascii="Palatino Linotype" w:hAnsi="Palatino Linotype"/>
          <w:i/>
        </w:rPr>
        <w:t>I. Capacidad;</w:t>
      </w:r>
    </w:p>
    <w:p w14:paraId="3A69F45B" w14:textId="77777777" w:rsidR="000C30F8" w:rsidRPr="00437FA3" w:rsidRDefault="000C30F8" w:rsidP="00437FA3">
      <w:pPr>
        <w:pStyle w:val="Prrafodelista"/>
        <w:spacing w:before="240" w:after="240" w:line="360" w:lineRule="auto"/>
        <w:ind w:left="567" w:right="567"/>
        <w:jc w:val="both"/>
        <w:rPr>
          <w:rFonts w:ascii="Palatino Linotype" w:hAnsi="Palatino Linotype"/>
          <w:i/>
        </w:rPr>
      </w:pPr>
      <w:r w:rsidRPr="00437FA3">
        <w:rPr>
          <w:rFonts w:ascii="Palatino Linotype" w:hAnsi="Palatino Linotype"/>
          <w:i/>
        </w:rPr>
        <w:t xml:space="preserve">II. Ausencia de vicios en el consentimiento; </w:t>
      </w:r>
    </w:p>
    <w:p w14:paraId="0DD00AF2" w14:textId="77777777" w:rsidR="000C30F8" w:rsidRPr="00437FA3" w:rsidRDefault="000C30F8" w:rsidP="00437FA3">
      <w:pPr>
        <w:pStyle w:val="Prrafodelista"/>
        <w:spacing w:before="240" w:after="240" w:line="360" w:lineRule="auto"/>
        <w:ind w:left="567" w:right="567"/>
        <w:jc w:val="both"/>
        <w:rPr>
          <w:rFonts w:ascii="Palatino Linotype" w:hAnsi="Palatino Linotype"/>
          <w:i/>
        </w:rPr>
      </w:pPr>
      <w:r w:rsidRPr="00437FA3">
        <w:rPr>
          <w:rFonts w:ascii="Palatino Linotype" w:hAnsi="Palatino Linotype"/>
          <w:i/>
        </w:rPr>
        <w:t xml:space="preserve">III. Que el objeto, motivo o fin sea lícito; </w:t>
      </w:r>
    </w:p>
    <w:p w14:paraId="0140AF20" w14:textId="77777777" w:rsidR="000C30F8" w:rsidRPr="00437FA3" w:rsidRDefault="000C30F8" w:rsidP="00437FA3">
      <w:pPr>
        <w:pStyle w:val="Prrafodelista"/>
        <w:spacing w:before="240" w:after="240" w:line="360" w:lineRule="auto"/>
        <w:ind w:left="567" w:right="567"/>
        <w:jc w:val="both"/>
        <w:rPr>
          <w:rFonts w:ascii="Palatino Linotype" w:hAnsi="Palatino Linotype"/>
          <w:b/>
          <w:i/>
        </w:rPr>
      </w:pPr>
      <w:r w:rsidRPr="00437FA3">
        <w:rPr>
          <w:rFonts w:ascii="Palatino Linotype" w:hAnsi="Palatino Linotype"/>
          <w:b/>
          <w:i/>
        </w:rPr>
        <w:t>IV. Formalidades, salvo las excepciones establecidas por la ley.</w:t>
      </w:r>
    </w:p>
    <w:p w14:paraId="298AFD7F" w14:textId="77777777" w:rsidR="000C30F8" w:rsidRPr="00437FA3" w:rsidRDefault="000C30F8" w:rsidP="00437FA3">
      <w:pPr>
        <w:pStyle w:val="Prrafodelista"/>
        <w:autoSpaceDE w:val="0"/>
        <w:autoSpaceDN w:val="0"/>
        <w:adjustRightInd w:val="0"/>
        <w:spacing w:before="240" w:after="360" w:line="360" w:lineRule="auto"/>
        <w:ind w:left="0"/>
        <w:jc w:val="both"/>
        <w:rPr>
          <w:rFonts w:ascii="Palatino Linotype" w:hAnsi="Palatino Linotype" w:cs="Arial"/>
          <w:color w:val="000000"/>
          <w:lang w:val="es-MX"/>
        </w:rPr>
      </w:pPr>
    </w:p>
    <w:p w14:paraId="542BC4AF" w14:textId="32979BF9" w:rsidR="000C30F8" w:rsidRPr="00437FA3" w:rsidRDefault="000C30F8" w:rsidP="00437FA3">
      <w:pPr>
        <w:pStyle w:val="Prrafodelista"/>
        <w:numPr>
          <w:ilvl w:val="0"/>
          <w:numId w:val="1"/>
        </w:numPr>
        <w:autoSpaceDE w:val="0"/>
        <w:autoSpaceDN w:val="0"/>
        <w:adjustRightInd w:val="0"/>
        <w:spacing w:before="240" w:after="360" w:line="360" w:lineRule="auto"/>
        <w:ind w:left="0" w:firstLine="0"/>
        <w:jc w:val="both"/>
        <w:rPr>
          <w:rFonts w:ascii="Palatino Linotype" w:hAnsi="Palatino Linotype"/>
        </w:rPr>
      </w:pPr>
      <w:r w:rsidRPr="00437FA3">
        <w:rPr>
          <w:rFonts w:ascii="Palatino Linotype" w:hAnsi="Palatino Linotype"/>
        </w:rPr>
        <w:t xml:space="preserve">Ahora bien, el </w:t>
      </w:r>
      <w:r w:rsidRPr="00437FA3">
        <w:rPr>
          <w:rFonts w:ascii="Palatino Linotype" w:hAnsi="Palatino Linotype"/>
          <w:b/>
          <w:color w:val="000000"/>
          <w:lang w:val="es-MX"/>
        </w:rPr>
        <w:t xml:space="preserve">Código Civil del Estado de México </w:t>
      </w:r>
      <w:r w:rsidRPr="00437FA3">
        <w:rPr>
          <w:rFonts w:ascii="Palatino Linotype" w:hAnsi="Palatino Linotype"/>
          <w:color w:val="000000"/>
          <w:lang w:val="es-MX"/>
        </w:rPr>
        <w:t>citado</w:t>
      </w:r>
      <w:r w:rsidRPr="00437FA3">
        <w:rPr>
          <w:rFonts w:ascii="Palatino Linotype" w:hAnsi="Palatino Linotype"/>
          <w:b/>
          <w:color w:val="000000"/>
          <w:lang w:val="es-MX"/>
        </w:rPr>
        <w:t xml:space="preserve"> </w:t>
      </w:r>
      <w:r w:rsidRPr="00437FA3">
        <w:rPr>
          <w:rFonts w:ascii="Palatino Linotype" w:hAnsi="Palatino Linotype"/>
        </w:rPr>
        <w:t>en el párrafo anterior también establece en su artículo 7.10 que “</w:t>
      </w:r>
      <w:r w:rsidRPr="00437FA3">
        <w:rPr>
          <w:rFonts w:ascii="Palatino Linotype" w:hAnsi="Palatino Linotype"/>
          <w:i/>
        </w:rPr>
        <w:t xml:space="preserve">Es inexistente el acto jurídico </w:t>
      </w:r>
      <w:r w:rsidRPr="00437FA3">
        <w:rPr>
          <w:rFonts w:ascii="Palatino Linotype" w:hAnsi="Palatino Linotype"/>
          <w:b/>
          <w:i/>
          <w:u w:val="single"/>
        </w:rPr>
        <w:t>cuando no contiene una declaración de voluntad</w:t>
      </w:r>
      <w:r w:rsidRPr="00437FA3">
        <w:rPr>
          <w:rFonts w:ascii="Palatino Linotype" w:hAnsi="Palatino Linotype"/>
          <w:i/>
        </w:rPr>
        <w:t>, por falta de objeto que pueda ser materia de él, o de la solemnidad requerida por la ley…</w:t>
      </w:r>
      <w:r w:rsidRPr="00437FA3">
        <w:rPr>
          <w:rFonts w:ascii="Palatino Linotype" w:hAnsi="Palatino Linotype"/>
        </w:rPr>
        <w:t>” y toda vez que la nómina manifiesta expresamente</w:t>
      </w:r>
      <w:r w:rsidRPr="00437FA3">
        <w:rPr>
          <w:rFonts w:ascii="Palatino Linotype" w:hAnsi="Palatino Linotype"/>
          <w:lang w:val="es-MX"/>
        </w:rPr>
        <w:t xml:space="preserve"> la declaración de voluntad de una autoridad de emitirla y así </w:t>
      </w:r>
      <w:r w:rsidRPr="00437FA3">
        <w:rPr>
          <w:rFonts w:ascii="Palatino Linotype" w:hAnsi="Palatino Linotype"/>
        </w:rPr>
        <w:t>producir consecuencias de derecho, el mismo deberá cumplir con las formalidades exigidas, para que sea válido.</w:t>
      </w:r>
    </w:p>
    <w:p w14:paraId="2E2540DC" w14:textId="77777777" w:rsidR="000C30F8" w:rsidRPr="00437FA3" w:rsidRDefault="000C30F8" w:rsidP="00437FA3">
      <w:pPr>
        <w:pStyle w:val="Prrafodelista"/>
        <w:autoSpaceDE w:val="0"/>
        <w:autoSpaceDN w:val="0"/>
        <w:adjustRightInd w:val="0"/>
        <w:spacing w:before="240" w:after="360" w:line="360" w:lineRule="auto"/>
        <w:ind w:left="0"/>
        <w:jc w:val="both"/>
        <w:rPr>
          <w:rFonts w:ascii="Palatino Linotype" w:hAnsi="Palatino Linotype"/>
        </w:rPr>
      </w:pPr>
    </w:p>
    <w:p w14:paraId="6635FA75" w14:textId="77777777" w:rsidR="000C30F8" w:rsidRPr="00437FA3" w:rsidRDefault="000C30F8" w:rsidP="00437FA3">
      <w:pPr>
        <w:pStyle w:val="Prrafodelista"/>
        <w:numPr>
          <w:ilvl w:val="0"/>
          <w:numId w:val="1"/>
        </w:numPr>
        <w:autoSpaceDE w:val="0"/>
        <w:autoSpaceDN w:val="0"/>
        <w:adjustRightInd w:val="0"/>
        <w:spacing w:before="240" w:after="360" w:line="360" w:lineRule="auto"/>
        <w:ind w:left="0" w:firstLine="0"/>
        <w:jc w:val="both"/>
        <w:rPr>
          <w:rFonts w:ascii="Palatino Linotype" w:hAnsi="Palatino Linotype"/>
        </w:rPr>
      </w:pPr>
      <w:r w:rsidRPr="00437FA3">
        <w:rPr>
          <w:rFonts w:ascii="Palatino Linotype" w:hAnsi="Palatino Linotype"/>
        </w:rPr>
        <w:t>Por otra parte tenemos que el artículo 7.9 del precepto legal citado señala que “</w:t>
      </w:r>
      <w:r w:rsidRPr="00437FA3">
        <w:rPr>
          <w:rFonts w:ascii="Palatino Linotype" w:hAnsi="Palatino Linotype"/>
          <w:i/>
        </w:rPr>
        <w:t>El autor o autores del acto jurídico, adquieren derechos y contraen o imponen obligaciones</w:t>
      </w:r>
      <w:r w:rsidRPr="00437FA3">
        <w:rPr>
          <w:rFonts w:ascii="Palatino Linotype" w:hAnsi="Palatino Linotype"/>
        </w:rPr>
        <w:t xml:space="preserve">”, en ese sentido si los autores de un acto jurídico adquieren derechos y contraen obligaciones entonces </w:t>
      </w:r>
      <w:r w:rsidRPr="00437FA3">
        <w:rPr>
          <w:rFonts w:ascii="Palatino Linotype" w:hAnsi="Palatino Linotype" w:cs="Arial"/>
        </w:rPr>
        <w:t xml:space="preserve">los servidores públicos tienen el derecho de recibir remuneraciones por el desempeño de un empleo, cargo o comisión, en función de las responsabilidades asumidas, las cuales abarcan el sueldo, compensaciones, </w:t>
      </w:r>
      <w:r w:rsidRPr="00437FA3">
        <w:rPr>
          <w:rFonts w:ascii="Palatino Linotype" w:hAnsi="Palatino Linotype" w:cs="Arial"/>
        </w:rPr>
        <w:lastRenderedPageBreak/>
        <w:t>gratificaciones, comisiones, prestaciones en especie y cualquier otra percepción entregada con motivo del cargo desempeñado; remuneraciones que serán públicas.</w:t>
      </w:r>
    </w:p>
    <w:p w14:paraId="3FD63FBB" w14:textId="77777777" w:rsidR="000C30F8" w:rsidRPr="00437FA3" w:rsidRDefault="000C30F8" w:rsidP="00437FA3">
      <w:pPr>
        <w:pStyle w:val="Prrafodelista"/>
        <w:autoSpaceDE w:val="0"/>
        <w:autoSpaceDN w:val="0"/>
        <w:adjustRightInd w:val="0"/>
        <w:spacing w:before="240" w:after="360" w:line="360" w:lineRule="auto"/>
        <w:ind w:left="0"/>
        <w:jc w:val="both"/>
        <w:rPr>
          <w:rFonts w:ascii="Palatino Linotype" w:hAnsi="Palatino Linotype"/>
        </w:rPr>
      </w:pPr>
    </w:p>
    <w:p w14:paraId="1957D1FC" w14:textId="6B0FFB4C" w:rsidR="000C30F8" w:rsidRPr="00437FA3" w:rsidRDefault="000C30F8" w:rsidP="00437FA3">
      <w:pPr>
        <w:pStyle w:val="Prrafodelista"/>
        <w:numPr>
          <w:ilvl w:val="0"/>
          <w:numId w:val="1"/>
        </w:numPr>
        <w:spacing w:before="240" w:after="240" w:line="360" w:lineRule="auto"/>
        <w:ind w:left="0" w:right="49" w:firstLine="0"/>
        <w:jc w:val="both"/>
        <w:rPr>
          <w:rFonts w:ascii="Palatino Linotype" w:hAnsi="Palatino Linotype"/>
        </w:rPr>
      </w:pPr>
      <w:r w:rsidRPr="00437FA3">
        <w:rPr>
          <w:rFonts w:ascii="Palatino Linotype" w:hAnsi="Palatino Linotype"/>
        </w:rPr>
        <w:t>Por cuanto respecta a la firma o firmas que consten en la nómina, éstas también obedecen a la finalidad de ellas, pues en ese punto la misma no reviste un dato que lo haga identificable sino un requisito que otorga legalidad al acto.</w:t>
      </w:r>
    </w:p>
    <w:p w14:paraId="591F7D59" w14:textId="77777777" w:rsidR="000C30F8" w:rsidRPr="00437FA3" w:rsidRDefault="000C30F8" w:rsidP="00437FA3">
      <w:pPr>
        <w:pStyle w:val="Prrafodelista"/>
        <w:spacing w:line="360" w:lineRule="auto"/>
        <w:ind w:left="0"/>
        <w:jc w:val="both"/>
        <w:rPr>
          <w:rFonts w:ascii="Palatino Linotype" w:hAnsi="Palatino Linotype"/>
        </w:rPr>
      </w:pPr>
    </w:p>
    <w:p w14:paraId="2818A024" w14:textId="77777777" w:rsidR="000C30F8" w:rsidRPr="00437FA3" w:rsidRDefault="000C30F8" w:rsidP="00437FA3">
      <w:pPr>
        <w:pStyle w:val="Prrafodelista"/>
        <w:numPr>
          <w:ilvl w:val="0"/>
          <w:numId w:val="1"/>
        </w:numPr>
        <w:spacing w:line="360" w:lineRule="auto"/>
        <w:ind w:left="0" w:firstLine="0"/>
        <w:jc w:val="both"/>
        <w:rPr>
          <w:rFonts w:ascii="Palatino Linotype" w:hAnsi="Palatino Linotype"/>
        </w:rPr>
      </w:pPr>
      <w:r w:rsidRPr="00437FA3">
        <w:rPr>
          <w:rFonts w:ascii="Palatino Linotype" w:hAnsi="Palatino Linotype"/>
        </w:rPr>
        <w:t xml:space="preserve">Robustecen lo anterior expuesto los </w:t>
      </w:r>
      <w:r w:rsidRPr="00437FA3">
        <w:rPr>
          <w:rFonts w:ascii="Palatino Linotype" w:eastAsia="Times New Roman" w:hAnsi="Palatino Linotype" w:cs="Arial"/>
          <w:b/>
        </w:rPr>
        <w:t xml:space="preserve">Lineamientos Generales en Materia de Clasificación y Desclasificación de la Información, así como para la Elaboración de Versiones Públicas </w:t>
      </w:r>
      <w:r w:rsidRPr="00437FA3">
        <w:rPr>
          <w:rFonts w:ascii="Palatino Linotype" w:eastAsia="Times New Roman" w:hAnsi="Palatino Linotype" w:cs="Arial"/>
        </w:rPr>
        <w:t>que señalan lo siguiente:</w:t>
      </w:r>
    </w:p>
    <w:p w14:paraId="53C452A1" w14:textId="77777777" w:rsidR="000C30F8" w:rsidRPr="00437FA3" w:rsidRDefault="000C30F8" w:rsidP="00437FA3">
      <w:pPr>
        <w:pStyle w:val="Prrafodelista"/>
        <w:spacing w:line="360" w:lineRule="auto"/>
        <w:ind w:left="0"/>
        <w:jc w:val="both"/>
        <w:rPr>
          <w:rFonts w:ascii="Palatino Linotype" w:hAnsi="Palatino Linotype"/>
        </w:rPr>
      </w:pPr>
    </w:p>
    <w:p w14:paraId="2DA2C441" w14:textId="77777777" w:rsidR="000C30F8" w:rsidRPr="00437FA3" w:rsidRDefault="000C30F8" w:rsidP="00437FA3">
      <w:pPr>
        <w:shd w:val="clear" w:color="auto" w:fill="FFFFFF"/>
        <w:spacing w:after="200" w:line="360" w:lineRule="auto"/>
        <w:ind w:left="567" w:right="567"/>
        <w:jc w:val="both"/>
        <w:rPr>
          <w:rFonts w:ascii="Palatino Linotype" w:eastAsia="Times New Roman" w:hAnsi="Palatino Linotype" w:cs="Arial"/>
          <w:i/>
        </w:rPr>
      </w:pPr>
      <w:r w:rsidRPr="00437FA3">
        <w:rPr>
          <w:rFonts w:ascii="Palatino Linotype" w:eastAsia="Times New Roman" w:hAnsi="Palatino Linotype" w:cs="Arial"/>
          <w:b/>
          <w:i/>
        </w:rPr>
        <w:t>Quincuagésimo séptimo</w:t>
      </w:r>
      <w:r w:rsidRPr="00437FA3">
        <w:rPr>
          <w:rFonts w:ascii="Palatino Linotype" w:eastAsia="Times New Roman" w:hAnsi="Palatino Linotype" w:cs="Arial"/>
          <w:i/>
        </w:rPr>
        <w:t xml:space="preserve">. </w:t>
      </w:r>
      <w:r w:rsidRPr="00437FA3">
        <w:rPr>
          <w:rFonts w:ascii="Palatino Linotype" w:eastAsia="Times New Roman" w:hAnsi="Palatino Linotype" w:cs="Arial"/>
          <w:b/>
          <w:i/>
          <w:u w:val="single"/>
        </w:rPr>
        <w:t>Se considera, en principio, como información pública</w:t>
      </w:r>
      <w:r w:rsidRPr="00437FA3">
        <w:rPr>
          <w:rFonts w:ascii="Palatino Linotype" w:eastAsia="Times New Roman" w:hAnsi="Palatino Linotype" w:cs="Arial"/>
          <w:i/>
        </w:rPr>
        <w:t xml:space="preserve"> y no podrá omitirse de las versiones públicas la siguiente:</w:t>
      </w:r>
    </w:p>
    <w:p w14:paraId="584FBC51" w14:textId="77777777" w:rsidR="000C30F8" w:rsidRPr="00437FA3" w:rsidRDefault="000C30F8" w:rsidP="00437FA3">
      <w:pPr>
        <w:shd w:val="clear" w:color="auto" w:fill="FFFFFF"/>
        <w:spacing w:after="200" w:line="360" w:lineRule="auto"/>
        <w:ind w:left="567" w:right="567"/>
        <w:jc w:val="both"/>
        <w:rPr>
          <w:rFonts w:ascii="Palatino Linotype" w:eastAsia="Times New Roman" w:hAnsi="Palatino Linotype" w:cs="Arial"/>
          <w:i/>
        </w:rPr>
      </w:pPr>
      <w:r w:rsidRPr="00437FA3">
        <w:rPr>
          <w:rFonts w:ascii="Palatino Linotype" w:eastAsia="Times New Roman" w:hAnsi="Palatino Linotype" w:cs="Arial"/>
          <w:i/>
        </w:rPr>
        <w:t>La relativa a las Obligaciones de Transparencia que contempla el Título V de la Ley General y las demás disposiciones legales aplicables;</w:t>
      </w:r>
    </w:p>
    <w:p w14:paraId="05F84CF1" w14:textId="77777777" w:rsidR="000C30F8" w:rsidRPr="00437FA3" w:rsidRDefault="000C30F8" w:rsidP="00437FA3">
      <w:pPr>
        <w:shd w:val="clear" w:color="auto" w:fill="FFFFFF"/>
        <w:spacing w:after="200" w:line="360" w:lineRule="auto"/>
        <w:ind w:left="567" w:right="567"/>
        <w:jc w:val="both"/>
        <w:rPr>
          <w:rFonts w:ascii="Palatino Linotype" w:eastAsia="Times New Roman" w:hAnsi="Palatino Linotype" w:cs="Arial"/>
          <w:b/>
          <w:i/>
        </w:rPr>
      </w:pPr>
      <w:r w:rsidRPr="00437FA3">
        <w:rPr>
          <w:rFonts w:ascii="Palatino Linotype" w:eastAsia="Times New Roman" w:hAnsi="Palatino Linotype" w:cs="Arial"/>
          <w:b/>
          <w:i/>
        </w:rPr>
        <w:t xml:space="preserve">El nombre de los servidores públicos en los documentos, </w:t>
      </w:r>
      <w:r w:rsidRPr="00437FA3">
        <w:rPr>
          <w:rFonts w:ascii="Palatino Linotype" w:eastAsia="Times New Roman" w:hAnsi="Palatino Linotype" w:cs="Arial"/>
          <w:b/>
          <w:i/>
          <w:u w:val="single"/>
        </w:rPr>
        <w:t>y sus firmas autógrafas, cuando sean utilizados en el ejercicio de las facultades conferidas para el desempeño del servicio público</w:t>
      </w:r>
      <w:r w:rsidRPr="00437FA3">
        <w:rPr>
          <w:rFonts w:ascii="Palatino Linotype" w:eastAsia="Times New Roman" w:hAnsi="Palatino Linotype" w:cs="Arial"/>
          <w:b/>
          <w:i/>
        </w:rPr>
        <w:t>, y</w:t>
      </w:r>
    </w:p>
    <w:p w14:paraId="21AC610A" w14:textId="77777777" w:rsidR="000C30F8" w:rsidRPr="00437FA3" w:rsidRDefault="000C30F8" w:rsidP="00437FA3">
      <w:pPr>
        <w:shd w:val="clear" w:color="auto" w:fill="FFFFFF"/>
        <w:spacing w:after="200" w:line="360" w:lineRule="auto"/>
        <w:ind w:left="567" w:right="567"/>
        <w:jc w:val="both"/>
        <w:rPr>
          <w:rFonts w:ascii="Palatino Linotype" w:eastAsia="Times New Roman" w:hAnsi="Palatino Linotype" w:cs="Arial"/>
          <w:b/>
          <w:i/>
        </w:rPr>
      </w:pPr>
      <w:r w:rsidRPr="00437FA3">
        <w:rPr>
          <w:rFonts w:ascii="Palatino Linotype" w:eastAsia="Times New Roman" w:hAnsi="Palatino Linotype" w:cs="Arial"/>
          <w:b/>
          <w:i/>
          <w:u w:val="single"/>
        </w:rPr>
        <w:t>La información que documente decisiones y los actos de autoridad concluidos de los sujetos obligados,</w:t>
      </w:r>
      <w:r w:rsidRPr="00437FA3">
        <w:rPr>
          <w:rFonts w:ascii="Palatino Linotype" w:eastAsia="Times New Roman" w:hAnsi="Palatino Linotype" w:cs="Arial"/>
          <w:b/>
          <w:i/>
        </w:rPr>
        <w:t xml:space="preserve"> así como el ejercicio de las </w:t>
      </w:r>
      <w:r w:rsidRPr="00437FA3">
        <w:rPr>
          <w:rFonts w:ascii="Palatino Linotype" w:eastAsia="Times New Roman" w:hAnsi="Palatino Linotype" w:cs="Arial"/>
          <w:b/>
          <w:i/>
        </w:rPr>
        <w:lastRenderedPageBreak/>
        <w:t>facultades o actividades de los servidores públicos, de manera que se pueda valorar el desempeño de los mismos.</w:t>
      </w:r>
    </w:p>
    <w:p w14:paraId="6D138BE8" w14:textId="77777777" w:rsidR="000C30F8" w:rsidRPr="00437FA3" w:rsidRDefault="000C30F8" w:rsidP="00437FA3">
      <w:pPr>
        <w:shd w:val="clear" w:color="auto" w:fill="FFFFFF"/>
        <w:spacing w:after="200" w:line="360" w:lineRule="auto"/>
        <w:ind w:left="567" w:right="567"/>
        <w:jc w:val="both"/>
        <w:rPr>
          <w:rFonts w:ascii="Palatino Linotype" w:eastAsia="Times New Roman" w:hAnsi="Palatino Linotype" w:cs="Arial"/>
          <w:i/>
        </w:rPr>
      </w:pPr>
      <w:r w:rsidRPr="00437FA3">
        <w:rPr>
          <w:rFonts w:ascii="Palatino Linotype" w:eastAsia="Times New Roman" w:hAnsi="Palatino Linotype" w:cs="Arial"/>
          <w:i/>
        </w:rPr>
        <w:t>Lo anterior, siempre y cuando no se acredite alguna causal de clasificación, prevista en las leyes o en los tratados internaciones suscritos por el Estado mexicano.</w:t>
      </w:r>
    </w:p>
    <w:p w14:paraId="21EB23DE" w14:textId="77777777" w:rsidR="000C30F8" w:rsidRPr="00437FA3" w:rsidRDefault="000C30F8" w:rsidP="00437FA3">
      <w:pPr>
        <w:pStyle w:val="Prrafodelista"/>
        <w:spacing w:line="360" w:lineRule="auto"/>
        <w:ind w:left="0"/>
        <w:jc w:val="both"/>
        <w:rPr>
          <w:rFonts w:ascii="Palatino Linotype" w:hAnsi="Palatino Linotype"/>
        </w:rPr>
      </w:pPr>
    </w:p>
    <w:p w14:paraId="54CBB45E" w14:textId="48F31614" w:rsidR="000C30F8" w:rsidRPr="00437FA3" w:rsidRDefault="000C30F8" w:rsidP="00437FA3">
      <w:pPr>
        <w:pStyle w:val="Prrafodelista"/>
        <w:numPr>
          <w:ilvl w:val="0"/>
          <w:numId w:val="1"/>
        </w:numPr>
        <w:spacing w:line="360" w:lineRule="auto"/>
        <w:ind w:left="0" w:firstLine="0"/>
        <w:jc w:val="both"/>
        <w:rPr>
          <w:rFonts w:ascii="Palatino Linotype" w:hAnsi="Palatino Linotype"/>
        </w:rPr>
      </w:pPr>
      <w:r w:rsidRPr="00437FA3">
        <w:rPr>
          <w:rFonts w:ascii="Palatino Linotype" w:hAnsi="Palatino Linotype"/>
        </w:rPr>
        <w:t xml:space="preserve">Por lo tanto, si la firma contenida en la nómina, corresponde a un servidor público del </w:t>
      </w:r>
      <w:r w:rsidRPr="00437FA3">
        <w:rPr>
          <w:rFonts w:ascii="Palatino Linotype" w:hAnsi="Palatino Linotype"/>
          <w:b/>
        </w:rPr>
        <w:t>SUJETO OBLIGADO</w:t>
      </w:r>
      <w:r w:rsidRPr="00437FA3">
        <w:rPr>
          <w:rFonts w:ascii="Palatino Linotype" w:hAnsi="Palatino Linotype"/>
        </w:rPr>
        <w:t xml:space="preserve"> que emite o da validez a dicha identificación, la misma será pública pues su finalidad es la de dar certeza de un acto jurídico y administrativo.</w:t>
      </w:r>
    </w:p>
    <w:p w14:paraId="25D3673F" w14:textId="77777777" w:rsidR="000C30F8" w:rsidRPr="00437FA3" w:rsidRDefault="000C30F8" w:rsidP="00437FA3">
      <w:pPr>
        <w:pStyle w:val="Prrafodelista"/>
        <w:spacing w:line="360" w:lineRule="auto"/>
        <w:ind w:left="0"/>
        <w:jc w:val="both"/>
        <w:rPr>
          <w:rFonts w:ascii="Palatino Linotype" w:hAnsi="Palatino Linotype"/>
        </w:rPr>
      </w:pPr>
    </w:p>
    <w:p w14:paraId="3A2CA159" w14:textId="5739B647" w:rsidR="000C30F8" w:rsidRPr="00437FA3" w:rsidRDefault="000C30F8"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hAnsi="Palatino Linotype"/>
        </w:rPr>
        <w:t xml:space="preserve">En ese contexto la entrega de dichos documentos deberá ser en situaciones posteriores en versión pública pero sin testar los nombres y las firmas correspondientes a los </w:t>
      </w:r>
      <w:r w:rsidR="009F37A1" w:rsidRPr="00437FA3">
        <w:rPr>
          <w:rFonts w:ascii="Palatino Linotype" w:hAnsi="Palatino Linotype"/>
        </w:rPr>
        <w:t>servidores públicos</w:t>
      </w:r>
      <w:r w:rsidRPr="00437FA3">
        <w:rPr>
          <w:rFonts w:ascii="Palatino Linotype" w:hAnsi="Palatino Linotype"/>
        </w:rPr>
        <w:t xml:space="preserve"> del </w:t>
      </w:r>
      <w:r w:rsidRPr="00437FA3">
        <w:rPr>
          <w:rFonts w:ascii="Palatino Linotype" w:hAnsi="Palatino Linotype"/>
          <w:b/>
        </w:rPr>
        <w:t>SUJETO OBLIGADO</w:t>
      </w:r>
      <w:r w:rsidRPr="00437FA3">
        <w:rPr>
          <w:rFonts w:ascii="Palatino Linotype" w:hAnsi="Palatino Linotype"/>
        </w:rPr>
        <w:t>.</w:t>
      </w:r>
    </w:p>
    <w:p w14:paraId="4A164BA4" w14:textId="77777777" w:rsidR="009F4284" w:rsidRPr="00437FA3" w:rsidRDefault="009F4284" w:rsidP="00437FA3">
      <w:pPr>
        <w:pStyle w:val="Sinespaciado"/>
        <w:spacing w:line="360" w:lineRule="auto"/>
        <w:jc w:val="both"/>
        <w:rPr>
          <w:rFonts w:ascii="Palatino Linotype" w:hAnsi="Palatino Linotype" w:cs="Arial"/>
        </w:rPr>
      </w:pPr>
    </w:p>
    <w:p w14:paraId="67B6DE48" w14:textId="2D881D21" w:rsidR="00E73F81" w:rsidRPr="00437FA3" w:rsidRDefault="009F4284"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hAnsi="Palatino Linotype"/>
          <w:color w:val="000000" w:themeColor="text1"/>
        </w:rPr>
        <w:t xml:space="preserve">En relación a los </w:t>
      </w:r>
      <w:r w:rsidR="00E73F81" w:rsidRPr="00437FA3">
        <w:rPr>
          <w:rFonts w:ascii="Palatino Linotype" w:hAnsi="Palatino Linotype"/>
          <w:color w:val="000000" w:themeColor="text1"/>
        </w:rPr>
        <w:t xml:space="preserve">cuestionamientos identificados en los incisos </w:t>
      </w:r>
      <w:r w:rsidR="00E73F81" w:rsidRPr="00437FA3">
        <w:rPr>
          <w:rFonts w:ascii="Palatino Linotype" w:hAnsi="Palatino Linotype"/>
          <w:b/>
          <w:color w:val="000000" w:themeColor="text1"/>
          <w:u w:val="single"/>
        </w:rPr>
        <w:t>g)</w:t>
      </w:r>
      <w:r w:rsidR="00E73F81" w:rsidRPr="00437FA3">
        <w:rPr>
          <w:rFonts w:ascii="Palatino Linotype" w:hAnsi="Palatino Linotype"/>
          <w:color w:val="000000" w:themeColor="text1"/>
        </w:rPr>
        <w:t xml:space="preserve">, </w:t>
      </w:r>
      <w:r w:rsidR="00E73F81" w:rsidRPr="00437FA3">
        <w:rPr>
          <w:rFonts w:ascii="Palatino Linotype" w:hAnsi="Palatino Linotype"/>
          <w:b/>
          <w:color w:val="000000" w:themeColor="text1"/>
          <w:u w:val="single"/>
        </w:rPr>
        <w:t>h)</w:t>
      </w:r>
      <w:r w:rsidR="00E73F81" w:rsidRPr="00437FA3">
        <w:rPr>
          <w:rFonts w:ascii="Palatino Linotype" w:hAnsi="Palatino Linotype"/>
          <w:color w:val="000000" w:themeColor="text1"/>
        </w:rPr>
        <w:t xml:space="preserve"> e </w:t>
      </w:r>
      <w:r w:rsidR="00E73F81" w:rsidRPr="00437FA3">
        <w:rPr>
          <w:rFonts w:ascii="Palatino Linotype" w:hAnsi="Palatino Linotype"/>
          <w:b/>
          <w:color w:val="000000" w:themeColor="text1"/>
          <w:u w:val="single"/>
        </w:rPr>
        <w:t>i)</w:t>
      </w:r>
      <w:r w:rsidR="00E73F81" w:rsidRPr="00437FA3">
        <w:rPr>
          <w:rFonts w:ascii="Palatino Linotype" w:hAnsi="Palatino Linotype"/>
          <w:color w:val="000000" w:themeColor="text1"/>
        </w:rPr>
        <w:t xml:space="preserve"> correspondientes a los </w:t>
      </w:r>
      <w:r w:rsidRPr="00437FA3">
        <w:rPr>
          <w:rFonts w:ascii="Palatino Linotype" w:hAnsi="Palatino Linotype"/>
          <w:color w:val="000000" w:themeColor="text1"/>
        </w:rPr>
        <w:t xml:space="preserve">documentos en donde conste </w:t>
      </w:r>
      <w:r w:rsidR="00E73F81" w:rsidRPr="00437FA3">
        <w:rPr>
          <w:rFonts w:ascii="Palatino Linotype" w:hAnsi="Palatino Linotype"/>
          <w:color w:val="000000" w:themeColor="text1"/>
        </w:rPr>
        <w:t xml:space="preserve">el nombre de los servidores públicos que </w:t>
      </w:r>
      <w:r w:rsidR="00E73F81" w:rsidRPr="00437FA3">
        <w:rPr>
          <w:rFonts w:ascii="Palatino Linotype" w:hAnsi="Palatino Linotype"/>
          <w:color w:val="000000"/>
        </w:rPr>
        <w:t xml:space="preserve">a partir del día primero de enero del año 2019 se les ha indemnizado o finiquitado conforme a la Ley Federal del Trabajo y Ley de los Trabajadores al Servicio del Estado de México y Municipios, si los despidos fueron conforme a derecho y ¿Cuál es el importe total pagado y pendiente por pagar?, ¿A quiénes ya </w:t>
      </w:r>
      <w:r w:rsidR="00E73F81" w:rsidRPr="00437FA3">
        <w:rPr>
          <w:rFonts w:ascii="Palatino Linotype" w:hAnsi="Palatino Linotype"/>
          <w:color w:val="000000"/>
        </w:rPr>
        <w:lastRenderedPageBreak/>
        <w:t>se le pago y quienes están pendientes, detallando: las causas o motivos de ¿Por qué no se ha pagado? ¿Cuál es el importe que se tiene presupuestado para el ejercicio fiscal 2019, para atender y dar cumplimiento a las obligaciones contraídas por las renuncias y despidos efectuados? , no basta con señalar que en todo momento se actuó conforme a derecho, y que se ha pagado en su totalidad sin adeudar monto alguno, por ello es imprescindible dejar en claro lo siguiente:</w:t>
      </w:r>
    </w:p>
    <w:p w14:paraId="4DAB9A55" w14:textId="77777777" w:rsidR="00E73F81" w:rsidRPr="00437FA3" w:rsidRDefault="00E73F81" w:rsidP="00437FA3">
      <w:pPr>
        <w:pStyle w:val="Sinespaciado"/>
        <w:spacing w:line="360" w:lineRule="auto"/>
        <w:jc w:val="both"/>
        <w:rPr>
          <w:rFonts w:ascii="Palatino Linotype" w:hAnsi="Palatino Linotype" w:cs="Arial"/>
        </w:rPr>
      </w:pPr>
    </w:p>
    <w:p w14:paraId="6520ACE2" w14:textId="02FFB652" w:rsidR="009F4284" w:rsidRPr="00437FA3" w:rsidRDefault="00E73F81"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eastAsia="Calibri" w:hAnsi="Palatino Linotype" w:cs="Tahoma"/>
          <w:bCs/>
          <w:iCs/>
          <w:lang w:val="es-MX" w:eastAsia="es-ES_tradnl"/>
        </w:rPr>
        <w:t>L</w:t>
      </w:r>
      <w:r w:rsidR="009F4284" w:rsidRPr="00437FA3">
        <w:rPr>
          <w:rFonts w:ascii="Palatino Linotype" w:eastAsia="Calibri" w:hAnsi="Palatino Linotype" w:cs="Tahoma"/>
          <w:bCs/>
          <w:iCs/>
          <w:lang w:val="es-MX" w:eastAsia="es-ES_tradnl"/>
        </w:rPr>
        <w:t xml:space="preserve">a </w:t>
      </w:r>
      <w:r w:rsidR="009F4284" w:rsidRPr="00437FA3">
        <w:rPr>
          <w:rFonts w:ascii="Palatino Linotype" w:eastAsia="Calibri" w:hAnsi="Palatino Linotype" w:cs="Tahoma"/>
          <w:b/>
          <w:bCs/>
          <w:iCs/>
          <w:lang w:val="es-MX" w:eastAsia="es-ES_tradnl"/>
        </w:rPr>
        <w:t>Ley del Trabajo de los Servidores Públicos del Estado y Municipios</w:t>
      </w:r>
      <w:r w:rsidR="009F4284" w:rsidRPr="00437FA3">
        <w:rPr>
          <w:rFonts w:ascii="Palatino Linotype" w:eastAsia="Calibri" w:hAnsi="Palatino Linotype" w:cs="Tahoma"/>
          <w:bCs/>
          <w:iCs/>
          <w:lang w:val="es-MX" w:eastAsia="es-ES_tradnl"/>
        </w:rPr>
        <w:t xml:space="preserve">, determina en su artículo 98, las obligaciones de las instituciones públicas, entre las que se encuentra </w:t>
      </w:r>
      <w:r w:rsidR="009F4284" w:rsidRPr="00437FA3">
        <w:rPr>
          <w:rFonts w:ascii="Palatino Linotype" w:eastAsia="Calibri" w:hAnsi="Palatino Linotype" w:cs="Tahoma"/>
          <w:b/>
          <w:bCs/>
          <w:iCs/>
          <w:lang w:val="es-MX" w:eastAsia="es-ES_tradnl"/>
        </w:rPr>
        <w:t>cumplir</w:t>
      </w:r>
      <w:r w:rsidR="009F4284" w:rsidRPr="00437FA3">
        <w:rPr>
          <w:rFonts w:ascii="Palatino Linotype" w:eastAsia="Calibri" w:hAnsi="Palatino Linotype" w:cs="Tahoma"/>
          <w:bCs/>
          <w:iCs/>
          <w:lang w:val="es-MX" w:eastAsia="es-ES_tradnl"/>
        </w:rPr>
        <w:t xml:space="preserve"> oportunamente </w:t>
      </w:r>
      <w:r w:rsidR="009F4284" w:rsidRPr="00437FA3">
        <w:rPr>
          <w:rFonts w:ascii="Palatino Linotype" w:eastAsia="Calibri" w:hAnsi="Palatino Linotype" w:cs="Tahoma"/>
          <w:b/>
          <w:bCs/>
          <w:iCs/>
          <w:u w:val="single"/>
          <w:lang w:val="es-MX" w:eastAsia="es-ES_tradnl"/>
        </w:rPr>
        <w:t>los laudos</w:t>
      </w:r>
      <w:r w:rsidR="009F4284" w:rsidRPr="00437FA3">
        <w:rPr>
          <w:rFonts w:ascii="Palatino Linotype" w:eastAsia="Calibri" w:hAnsi="Palatino Linotype" w:cs="Tahoma"/>
          <w:bCs/>
          <w:iCs/>
          <w:lang w:val="es-MX" w:eastAsia="es-ES_tradnl"/>
        </w:rPr>
        <w:t xml:space="preserve"> que dicte el Tribunal o la Sala, </w:t>
      </w:r>
      <w:r w:rsidR="009F4284" w:rsidRPr="00437FA3">
        <w:rPr>
          <w:rFonts w:ascii="Palatino Linotype" w:eastAsia="Calibri" w:hAnsi="Palatino Linotype" w:cs="Tahoma"/>
          <w:b/>
          <w:bCs/>
          <w:iCs/>
          <w:u w:val="single"/>
          <w:lang w:val="es-MX" w:eastAsia="es-ES_tradnl"/>
        </w:rPr>
        <w:t>y pagar el monto</w:t>
      </w:r>
      <w:r w:rsidR="009F4284" w:rsidRPr="00437FA3">
        <w:rPr>
          <w:rFonts w:ascii="Palatino Linotype" w:eastAsia="Calibri" w:hAnsi="Palatino Linotype" w:cs="Tahoma"/>
          <w:bCs/>
          <w:iCs/>
          <w:lang w:val="es-MX" w:eastAsia="es-ES_tradnl"/>
        </w:rPr>
        <w:t xml:space="preserve"> de las </w:t>
      </w:r>
      <w:r w:rsidR="009F4284" w:rsidRPr="00437FA3">
        <w:rPr>
          <w:rFonts w:ascii="Palatino Linotype" w:eastAsia="Calibri" w:hAnsi="Palatino Linotype" w:cs="Tahoma"/>
          <w:b/>
          <w:bCs/>
          <w:iCs/>
          <w:u w:val="single"/>
          <w:lang w:val="es-MX" w:eastAsia="es-ES_tradnl"/>
        </w:rPr>
        <w:t>indemnizaciones</w:t>
      </w:r>
      <w:r w:rsidR="009F4284" w:rsidRPr="00437FA3">
        <w:rPr>
          <w:rFonts w:ascii="Palatino Linotype" w:eastAsia="Calibri" w:hAnsi="Palatino Linotype" w:cs="Tahoma"/>
          <w:bCs/>
          <w:iCs/>
          <w:lang w:val="es-MX" w:eastAsia="es-ES_tradnl"/>
        </w:rPr>
        <w:t xml:space="preserve"> y demás prestaciones a que tenga derecho el servidor público.</w:t>
      </w:r>
    </w:p>
    <w:p w14:paraId="282AE7E1" w14:textId="77777777" w:rsidR="00437FA3" w:rsidRPr="00437FA3" w:rsidRDefault="00437FA3" w:rsidP="00437FA3">
      <w:pPr>
        <w:pStyle w:val="Sinespaciado"/>
        <w:spacing w:line="360" w:lineRule="auto"/>
        <w:jc w:val="both"/>
        <w:rPr>
          <w:rFonts w:ascii="Palatino Linotype" w:hAnsi="Palatino Linotype" w:cs="Arial"/>
        </w:rPr>
      </w:pPr>
    </w:p>
    <w:p w14:paraId="48B93F63" w14:textId="77777777" w:rsidR="009F4284" w:rsidRPr="00437FA3" w:rsidRDefault="009F4284"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eastAsia="Calibri" w:hAnsi="Palatino Linotype" w:cs="Tahoma"/>
          <w:bCs/>
          <w:iCs/>
          <w:lang w:val="es-MX" w:eastAsia="es-ES_tradnl"/>
        </w:rPr>
        <w:t>De lo anterior, se advierte, que el laudo corresponde a la resolución dictada por autoridad competente para poner fin a la controversia en materia laboral y que puede condenar al pago de un monto económico.</w:t>
      </w:r>
    </w:p>
    <w:p w14:paraId="6A84575E" w14:textId="77777777" w:rsidR="00E73F81" w:rsidRPr="00437FA3" w:rsidRDefault="00E73F81" w:rsidP="00437FA3">
      <w:pPr>
        <w:pStyle w:val="Sinespaciado"/>
        <w:spacing w:line="360" w:lineRule="auto"/>
        <w:jc w:val="both"/>
        <w:rPr>
          <w:rFonts w:ascii="Palatino Linotype" w:hAnsi="Palatino Linotype" w:cs="Arial"/>
        </w:rPr>
      </w:pPr>
    </w:p>
    <w:p w14:paraId="70B35D47" w14:textId="67F69A9A" w:rsidR="009F4284" w:rsidRPr="00437FA3" w:rsidRDefault="009F4284"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eastAsia="Calibri" w:hAnsi="Palatino Linotype" w:cs="Tahoma"/>
          <w:bCs/>
          <w:iCs/>
          <w:lang w:val="es-MX" w:eastAsia="es-ES_tradnl"/>
        </w:rPr>
        <w:t xml:space="preserve">Por lo cual, la información solicitada por el Particular, se refiere a asuntos que ya tienen una resolución final emitida por la autoridad; es decir, aquellos que ya han sido resueltos, por lo que dar a conocer el monto que el Sujeto Obligado debe </w:t>
      </w:r>
      <w:r w:rsidRPr="00437FA3">
        <w:rPr>
          <w:rFonts w:ascii="Palatino Linotype" w:eastAsia="Calibri" w:hAnsi="Palatino Linotype" w:cs="Tahoma"/>
          <w:bCs/>
          <w:iCs/>
          <w:lang w:val="es-MX" w:eastAsia="es-ES_tradnl"/>
        </w:rPr>
        <w:lastRenderedPageBreak/>
        <w:t>pagar en nada afecta el curso del procedimiento, toda vez que éste ya ha sido concluido a través de la emi</w:t>
      </w:r>
      <w:r w:rsidR="00E73F81" w:rsidRPr="00437FA3">
        <w:rPr>
          <w:rFonts w:ascii="Palatino Linotype" w:eastAsia="Calibri" w:hAnsi="Palatino Linotype" w:cs="Tahoma"/>
          <w:bCs/>
          <w:iCs/>
          <w:lang w:val="es-MX" w:eastAsia="es-ES_tradnl"/>
        </w:rPr>
        <w:t>sión del laudo correspondiente.</w:t>
      </w:r>
    </w:p>
    <w:p w14:paraId="5FFC21C2" w14:textId="77777777" w:rsidR="00E73F81" w:rsidRPr="00437FA3" w:rsidRDefault="00E73F81" w:rsidP="00437FA3">
      <w:pPr>
        <w:pStyle w:val="Sinespaciado"/>
        <w:spacing w:line="360" w:lineRule="auto"/>
        <w:jc w:val="both"/>
        <w:rPr>
          <w:rFonts w:ascii="Palatino Linotype" w:hAnsi="Palatino Linotype" w:cs="Arial"/>
        </w:rPr>
      </w:pPr>
    </w:p>
    <w:p w14:paraId="3ECED786" w14:textId="2C5E5BDC" w:rsidR="009F4284" w:rsidRPr="00437FA3" w:rsidRDefault="009F4284" w:rsidP="00437FA3">
      <w:pPr>
        <w:pStyle w:val="Sinespaciado"/>
        <w:numPr>
          <w:ilvl w:val="0"/>
          <w:numId w:val="1"/>
        </w:numPr>
        <w:spacing w:line="360" w:lineRule="auto"/>
        <w:ind w:left="0" w:firstLine="0"/>
        <w:jc w:val="both"/>
        <w:rPr>
          <w:rFonts w:ascii="Palatino Linotype" w:hAnsi="Palatino Linotype" w:cs="Arial"/>
        </w:rPr>
      </w:pPr>
      <w:r w:rsidRPr="00437FA3">
        <w:rPr>
          <w:rFonts w:ascii="Palatino Linotype" w:eastAsia="Calibri" w:hAnsi="Palatino Linotype" w:cs="Tahoma"/>
          <w:bCs/>
          <w:iCs/>
          <w:lang w:val="es-MX" w:eastAsia="es-ES_tradnl"/>
        </w:rPr>
        <w:t xml:space="preserve">En este sentido, los montos económicos que el </w:t>
      </w:r>
      <w:r w:rsidR="00E73F81" w:rsidRPr="00437FA3">
        <w:rPr>
          <w:rFonts w:ascii="Palatino Linotype" w:eastAsia="Calibri" w:hAnsi="Palatino Linotype" w:cs="Tahoma"/>
          <w:b/>
          <w:bCs/>
          <w:iCs/>
          <w:lang w:val="es-MX" w:eastAsia="es-ES_tradnl"/>
        </w:rPr>
        <w:t>SUJETO OBLIGADO</w:t>
      </w:r>
      <w:r w:rsidRPr="00437FA3">
        <w:rPr>
          <w:rFonts w:ascii="Palatino Linotype" w:eastAsia="Calibri" w:hAnsi="Palatino Linotype" w:cs="Tahoma"/>
          <w:bCs/>
          <w:iCs/>
          <w:lang w:val="es-MX" w:eastAsia="es-ES_tradnl"/>
        </w:rPr>
        <w:t xml:space="preserve"> está obligado a pagar derivado de los laudos emitidos, es información de interés público y que abona a la trasparencia y la rendición de cuentas, además, debe tenerse en cuenta lo estipulado en el artículo 23 de la Ley de Transparencia y Acceso a la Información Pública del Estado de México y Municipios, el cual determina el deber que tienen los sujetos obligados de </w:t>
      </w:r>
      <w:r w:rsidRPr="00437FA3">
        <w:rPr>
          <w:rFonts w:ascii="Palatino Linotype" w:eastAsia="Calibri" w:hAnsi="Palatino Linotype" w:cs="Tahoma"/>
          <w:b/>
          <w:bCs/>
          <w:iCs/>
          <w:lang w:val="es-MX" w:eastAsia="es-ES_tradnl"/>
        </w:rPr>
        <w:t>hacer pública toda aquella información relativa a los montos</w:t>
      </w:r>
      <w:r w:rsidRPr="00437FA3">
        <w:rPr>
          <w:rFonts w:ascii="Palatino Linotype" w:eastAsia="Calibri" w:hAnsi="Palatino Linotype" w:cs="Tahoma"/>
          <w:bCs/>
          <w:iCs/>
          <w:lang w:val="es-MX" w:eastAsia="es-ES_tradnl"/>
        </w:rPr>
        <w:t xml:space="preserve"> y las personas a quienes entreguen, por cualquier motivo, </w:t>
      </w:r>
      <w:r w:rsidRPr="00437FA3">
        <w:rPr>
          <w:rFonts w:ascii="Palatino Linotype" w:eastAsia="Calibri" w:hAnsi="Palatino Linotype" w:cs="Tahoma"/>
          <w:b/>
          <w:bCs/>
          <w:iCs/>
          <w:lang w:val="es-MX" w:eastAsia="es-ES_tradnl"/>
        </w:rPr>
        <w:t>recursos públicos</w:t>
      </w:r>
      <w:r w:rsidRPr="00437FA3">
        <w:rPr>
          <w:rFonts w:ascii="Palatino Linotype" w:eastAsia="Calibri" w:hAnsi="Palatino Linotype" w:cs="Tahoma"/>
          <w:bCs/>
          <w:iCs/>
          <w:lang w:val="es-MX" w:eastAsia="es-ES_tradnl"/>
        </w:rPr>
        <w:t>, así como los informes que dichas personas les entreguen sobre el uso y destino de dichos recursos.</w:t>
      </w:r>
    </w:p>
    <w:p w14:paraId="10E114C6" w14:textId="77777777" w:rsidR="00E73F81" w:rsidRPr="00437FA3" w:rsidRDefault="00E73F81" w:rsidP="00437FA3">
      <w:pPr>
        <w:pStyle w:val="Sinespaciado"/>
        <w:spacing w:line="360" w:lineRule="auto"/>
        <w:jc w:val="both"/>
        <w:rPr>
          <w:rFonts w:ascii="Palatino Linotype" w:hAnsi="Palatino Linotype" w:cs="Arial"/>
        </w:rPr>
      </w:pPr>
    </w:p>
    <w:p w14:paraId="0C0D9ECD" w14:textId="3BBAE48A"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hAnsi="Palatino Linotype"/>
        </w:rPr>
        <w:t xml:space="preserve">Por cuanto hace al documento donde conste la causa </w:t>
      </w:r>
      <w:r w:rsidRPr="00437FA3">
        <w:rPr>
          <w:rFonts w:ascii="Palatino Linotype" w:eastAsia="Times New Roman" w:hAnsi="Palatino Linotype" w:cs="Times New Roman"/>
          <w:lang w:val="es-ES"/>
        </w:rPr>
        <w:t xml:space="preserve">de la terminación de la relación laboral, es de referir que puede ser de diversa índole y atingentes a diferentes naturalezas dependiendo de la causa que le dio origen a la terminación de la relación laboral, pues ésta no concluye de forma homogénea y en los mismos tiempos y términos para todos los servidores públicos, cada caso es único e independiente, por ello es que el documento donde consten las causas de la terminación de la relación laboral de cada servidor público obedecerá siempre a las particularidades de cada caso, pues dependiendo de la hipótesis legal que actualice </w:t>
      </w:r>
      <w:r w:rsidRPr="00437FA3">
        <w:rPr>
          <w:rFonts w:ascii="Palatino Linotype" w:eastAsia="Times New Roman" w:hAnsi="Palatino Linotype" w:cs="Times New Roman"/>
          <w:lang w:val="es-ES"/>
        </w:rPr>
        <w:lastRenderedPageBreak/>
        <w:t>derivado de su desempeño o actuar dentro del servicio podrá instrumentarse la correspondiente acta administrativa, donde conste la falta omisión en que haya incurrido el servidor público, pues los supuestos son muy variados, puede ser el caso de que el servidor público no haya asistido más de tres veces consecutivas sin causa justificada, o que simplemente renunció, o que llegó tarde más de los días a que tiene derecho en un mes; o porque así lo contemplaba el contrato, etc. en fin, la causa de la terminación de la relación laboral puede constar en cualquier documento.</w:t>
      </w:r>
    </w:p>
    <w:p w14:paraId="6F508057" w14:textId="77777777" w:rsidR="00E73F81" w:rsidRPr="00437FA3" w:rsidRDefault="00E73F81" w:rsidP="00437FA3">
      <w:pPr>
        <w:pStyle w:val="Prrafodelista"/>
        <w:spacing w:line="360" w:lineRule="auto"/>
        <w:ind w:left="0"/>
        <w:jc w:val="both"/>
        <w:rPr>
          <w:rFonts w:ascii="Palatino Linotype" w:eastAsia="Times New Roman" w:hAnsi="Palatino Linotype" w:cs="Times New Roman"/>
          <w:lang w:val="es-ES"/>
        </w:rPr>
      </w:pPr>
    </w:p>
    <w:p w14:paraId="0BDE4C17" w14:textId="1C6B5D33"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Es de referir que una vez que se termina la relación laboral dependiendo si justificado o injustificado o es renuncia, el trabajador tiene derecho a una indemnización o finiquito respectivamente, es necesario entonces, establecer que ocurre cuando la terminación de la relación laboral es imputable al patrón y cuando es al trabajador, ya que reciben distinto trato.</w:t>
      </w:r>
    </w:p>
    <w:p w14:paraId="6A19CC8B"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7AC8E78E"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 xml:space="preserve">Entonces comenzaremos aludiendo a la terminación de la relación laboral por causas imputables al servidor público, no sin antes decir que aquellas, son varias de acuerdo al artículo 47 de la </w:t>
      </w:r>
      <w:r w:rsidRPr="00437FA3">
        <w:rPr>
          <w:rFonts w:ascii="Palatino Linotype" w:eastAsia="Times New Roman" w:hAnsi="Palatino Linotype" w:cs="Times New Roman"/>
          <w:b/>
          <w:lang w:val="es-ES"/>
        </w:rPr>
        <w:t>Ley Federal del Trabajo</w:t>
      </w:r>
      <w:r w:rsidRPr="00437FA3">
        <w:rPr>
          <w:rFonts w:ascii="Palatino Linotype" w:eastAsia="Times New Roman" w:hAnsi="Palatino Linotype" w:cs="Times New Roman"/>
          <w:lang w:val="es-ES"/>
        </w:rPr>
        <w:t xml:space="preserve"> y 93 de la L</w:t>
      </w:r>
      <w:r w:rsidRPr="00437FA3">
        <w:rPr>
          <w:rFonts w:ascii="Palatino Linotype" w:eastAsia="Times New Roman" w:hAnsi="Palatino Linotype" w:cs="Times New Roman"/>
          <w:b/>
          <w:lang w:val="es-ES"/>
        </w:rPr>
        <w:t>ey del Trabajo de los Servidores Públicos del Estado de México y Municipios</w:t>
      </w:r>
      <w:r w:rsidRPr="00437FA3">
        <w:rPr>
          <w:rFonts w:ascii="Palatino Linotype" w:eastAsia="Times New Roman" w:hAnsi="Palatino Linotype" w:cs="Times New Roman"/>
          <w:lang w:val="es-ES"/>
        </w:rPr>
        <w:t xml:space="preserve">, en el presente caso no implica que se haga referencia a las causales que en estos ordenamientos legales se enuncian, refiriéndonos a las renuncias, que si bien no está </w:t>
      </w:r>
      <w:r w:rsidRPr="00437FA3">
        <w:rPr>
          <w:rFonts w:ascii="Palatino Linotype" w:eastAsia="Times New Roman" w:hAnsi="Palatino Linotype" w:cs="Times New Roman"/>
          <w:lang w:val="es-ES"/>
        </w:rPr>
        <w:lastRenderedPageBreak/>
        <w:t>considerada como causa de recisión de la relación laboral sin responsabilidad para las instituciones públicas, si lo es que a través de ella se tiene por terminada dicha relación sin que sea atribuible al patrón (en este caso el sujeto obligado).</w:t>
      </w:r>
    </w:p>
    <w:p w14:paraId="0868247B"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1E4C39C2"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En esa tesitura es que se considera que el finiquito está relacionado con la recisión de la relación laboral por causas no atribuibles al patrón (como lo pudiera ser un despido injustificado), más adelante se estudiara lo atingente a la indemnización que es de diversa naturaleza y de origen distinto, dícese del despido injustificado.</w:t>
      </w:r>
    </w:p>
    <w:p w14:paraId="6D508E5B" w14:textId="77777777" w:rsidR="00E73F81" w:rsidRPr="00437FA3" w:rsidRDefault="00E73F81" w:rsidP="00437FA3">
      <w:pPr>
        <w:pStyle w:val="Prrafodelista"/>
        <w:spacing w:line="360" w:lineRule="auto"/>
        <w:ind w:left="0"/>
        <w:jc w:val="both"/>
        <w:rPr>
          <w:rFonts w:ascii="Palatino Linotype" w:eastAsia="Times New Roman" w:hAnsi="Palatino Linotype" w:cs="Times New Roman"/>
          <w:lang w:val="es-ES"/>
        </w:rPr>
      </w:pPr>
    </w:p>
    <w:p w14:paraId="467232D1"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Ahora, lo que corresponde es demostrar que el sujeto obligado tiene como obligación, a partir de su fuente obligacional, la de generar, administrar o poseer la información que requiere el hoy recurrente, así, finiquito significa de acuerdo al Diccionario de la Real Academia de la Lengua Española como: “</w:t>
      </w:r>
      <w:r w:rsidRPr="00437FA3">
        <w:rPr>
          <w:rFonts w:ascii="Palatino Linotype" w:eastAsia="Times New Roman" w:hAnsi="Palatino Linotype" w:cs="Times New Roman"/>
          <w:i/>
          <w:lang w:val="es-ES"/>
        </w:rPr>
        <w:t>Remate de las cuentas, o certificación que se da para constancia de que están ajustadas y satisfecho el alcance que resulta de ellas</w:t>
      </w:r>
      <w:r w:rsidRPr="00437FA3">
        <w:rPr>
          <w:rFonts w:ascii="Palatino Linotype" w:eastAsia="Times New Roman" w:hAnsi="Palatino Linotype" w:cs="Times New Roman"/>
          <w:lang w:val="es-ES"/>
        </w:rPr>
        <w:t xml:space="preserve">”, podemos decir entonces, que finiquito es acabar con una cuestión (la relación laboral) hasta su último trámite (el pago de las prestaciones que tiene reconocidas por ley el servidor público); ahora bien, si ya ha sido resuelto lo que requiere el hoy recurrente, es necesario colocar la acepción de la palabra “finiquito” a la luz del marco normativo que rige el pago final por la terminación de una relación laboral, ya que pudiera ser el caso que se tenga una concepción de lo que </w:t>
      </w:r>
      <w:r w:rsidRPr="00437FA3">
        <w:rPr>
          <w:rFonts w:ascii="Palatino Linotype" w:eastAsia="Times New Roman" w:hAnsi="Palatino Linotype" w:cs="Times New Roman"/>
          <w:lang w:val="es-ES"/>
        </w:rPr>
        <w:lastRenderedPageBreak/>
        <w:t>es el finiquito pero que esa abstracción en el derecho positivo vigente sea denominada de otra forma, así, la naturaleza a partir de un juicio analítico a posteriori que se tenga, es cuestión diversa de la palabra que la legislación usa para concretizarla en un concepto, y que derivada de su aplicabilidad sea apodíctico para le generación de la información solicitada.</w:t>
      </w:r>
    </w:p>
    <w:p w14:paraId="26145C36" w14:textId="77777777" w:rsidR="00E73F81" w:rsidRPr="00437FA3" w:rsidRDefault="00E73F81" w:rsidP="00437FA3">
      <w:pPr>
        <w:pStyle w:val="Prrafodelista"/>
        <w:spacing w:line="360" w:lineRule="auto"/>
        <w:ind w:left="0"/>
        <w:jc w:val="both"/>
        <w:rPr>
          <w:rFonts w:ascii="Palatino Linotype" w:eastAsia="Times New Roman" w:hAnsi="Palatino Linotype" w:cs="Times New Roman"/>
          <w:lang w:val="es-ES"/>
        </w:rPr>
      </w:pPr>
    </w:p>
    <w:p w14:paraId="762246C0"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 xml:space="preserve">Debemos decir que cuando una relación laboral se termina por una renuncia el trabajador no por ello también renuncia a las prestaciones a que tiene derecho por haber servido al ente público, sino que de acuerdo a las leyes que regulan la materia hay diversas prestaciones que han de calcularse cuando se dé por finalizada ésta, así la </w:t>
      </w:r>
      <w:r w:rsidRPr="00437FA3">
        <w:rPr>
          <w:rFonts w:ascii="Palatino Linotype" w:eastAsia="Times New Roman" w:hAnsi="Palatino Linotype" w:cs="Times New Roman"/>
          <w:b/>
          <w:lang w:val="es-ES"/>
        </w:rPr>
        <w:t>Ley del Trabajo de los Servidores Públicos del Estado de México y Municipios</w:t>
      </w:r>
      <w:r w:rsidRPr="00437FA3">
        <w:rPr>
          <w:rFonts w:ascii="Palatino Linotype" w:eastAsia="Times New Roman" w:hAnsi="Palatino Linotype" w:cs="Times New Roman"/>
          <w:lang w:val="es-ES"/>
        </w:rPr>
        <w:t>, establece:</w:t>
      </w:r>
    </w:p>
    <w:p w14:paraId="1C012A5D"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73C2F9F0" w14:textId="0C8C8B35"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ARTÍCULO 78. Los servidores públicos tendrán derecho a un aguinaldo anual, equivalente a 40 días de sueldo base, cuando menos, sin deducción alguna, y estará comprendido en el presupuesto de egresos correspondiente. </w:t>
      </w:r>
    </w:p>
    <w:p w14:paraId="19FB6952" w14:textId="77777777" w:rsidR="00E73F81" w:rsidRPr="00437FA3" w:rsidRDefault="00E73F81" w:rsidP="00437FA3">
      <w:pPr>
        <w:spacing w:line="360" w:lineRule="auto"/>
        <w:ind w:left="567" w:right="567"/>
        <w:jc w:val="both"/>
        <w:rPr>
          <w:rFonts w:ascii="Palatino Linotype" w:hAnsi="Palatino Linotype"/>
          <w:i/>
        </w:rPr>
      </w:pPr>
    </w:p>
    <w:p w14:paraId="5D042F73"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Dicho aguinaldo deberá pagarse en dos entregas, la primera de ellas previo al primer período vacacional y la segunda a más tardar el día 15 de diciembre. </w:t>
      </w:r>
    </w:p>
    <w:p w14:paraId="049D459E" w14:textId="77777777" w:rsidR="00E73F81" w:rsidRPr="00437FA3" w:rsidRDefault="00E73F81" w:rsidP="00437FA3">
      <w:pPr>
        <w:spacing w:line="360" w:lineRule="auto"/>
        <w:ind w:left="567" w:right="567"/>
        <w:jc w:val="both"/>
        <w:rPr>
          <w:rFonts w:ascii="Palatino Linotype" w:hAnsi="Palatino Linotype"/>
          <w:i/>
        </w:rPr>
      </w:pPr>
    </w:p>
    <w:p w14:paraId="20847506" w14:textId="77777777" w:rsidR="00E73F81" w:rsidRPr="00437FA3" w:rsidRDefault="00E73F81" w:rsidP="00437FA3">
      <w:pPr>
        <w:spacing w:line="360" w:lineRule="auto"/>
        <w:ind w:left="567" w:right="567"/>
        <w:jc w:val="both"/>
        <w:rPr>
          <w:rFonts w:ascii="Palatino Linotype" w:hAnsi="Palatino Linotype"/>
          <w:b/>
          <w:i/>
          <w:u w:val="single"/>
        </w:rPr>
      </w:pPr>
      <w:r w:rsidRPr="00437FA3">
        <w:rPr>
          <w:rFonts w:ascii="Palatino Linotype" w:hAnsi="Palatino Linotype"/>
          <w:b/>
          <w:i/>
          <w:u w:val="single"/>
        </w:rPr>
        <w:lastRenderedPageBreak/>
        <w:t>Los servidores públicos que hayan prestado sus servicios por un lapso menor a un año, tendrán derecho a que se les pague la parte proporcional del aguinaldo de acuerdo a los días efectivamente trabajados.</w:t>
      </w:r>
    </w:p>
    <w:p w14:paraId="148A2A9E"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w:t>
      </w:r>
    </w:p>
    <w:p w14:paraId="1391B529"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ARTÍCULO 81. En los días de descanso obligatorio y en las vacaciones a que se refieren los artículos 66 y 68 de esta ley, los servidores públicos recibirán sueldo íntegro. Cuando el sueldo se pague por unidad de obra, se promediará el sueldo base presupuestal del último mes. </w:t>
      </w:r>
    </w:p>
    <w:p w14:paraId="57DF9D7D" w14:textId="77777777" w:rsidR="00E73F81" w:rsidRPr="00437FA3" w:rsidRDefault="00E73F81" w:rsidP="00437FA3">
      <w:pPr>
        <w:pStyle w:val="Prrafodelista"/>
        <w:spacing w:line="360" w:lineRule="auto"/>
        <w:ind w:left="567" w:right="567"/>
        <w:jc w:val="both"/>
        <w:rPr>
          <w:rFonts w:ascii="Palatino Linotype" w:hAnsi="Palatino Linotype"/>
          <w:i/>
        </w:rPr>
      </w:pPr>
    </w:p>
    <w:p w14:paraId="38A9BC12"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t xml:space="preserve">Los servidores públicos que presten sus servicios durante el día domingo tendrán derecho al pago adicional de un 25% sobre el monto de su sueldo base presupuestal de los días ordinarios de trabajo. </w:t>
      </w:r>
    </w:p>
    <w:p w14:paraId="62A0DB73" w14:textId="77777777" w:rsidR="00E73F81" w:rsidRPr="00437FA3" w:rsidRDefault="00E73F81" w:rsidP="00437FA3">
      <w:pPr>
        <w:pStyle w:val="Prrafodelista"/>
        <w:spacing w:line="360" w:lineRule="auto"/>
        <w:ind w:left="567" w:right="567"/>
        <w:jc w:val="both"/>
        <w:rPr>
          <w:rFonts w:ascii="Palatino Linotype" w:hAnsi="Palatino Linotype"/>
          <w:i/>
        </w:rPr>
      </w:pPr>
    </w:p>
    <w:p w14:paraId="500FAD9B"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b/>
          <w:i/>
          <w:u w:val="single"/>
        </w:rPr>
        <w:t>Los servidores públicos que, conforme al artículo 66 de esta ley, tengan derecho a disfrutar de los períodos vacacionales, percibirán una prima de un 25% como mínimo, sobre el sueldo base presupuestal que les corresponda durante los mismos</w:t>
      </w:r>
      <w:r w:rsidRPr="00437FA3">
        <w:rPr>
          <w:rFonts w:ascii="Palatino Linotype" w:hAnsi="Palatino Linotype"/>
          <w:i/>
        </w:rPr>
        <w:t>.</w:t>
      </w:r>
    </w:p>
    <w:p w14:paraId="0484038E"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t>…</w:t>
      </w:r>
    </w:p>
    <w:p w14:paraId="578915CF"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t>ARTÍCULO 220 K.- La institución o dependencia pública tiene la obligación de conservar y exhibir en el proceso los documentos que a continuación se precisan:</w:t>
      </w:r>
    </w:p>
    <w:p w14:paraId="41167B05"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t>…</w:t>
      </w:r>
    </w:p>
    <w:p w14:paraId="167A39F9"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lastRenderedPageBreak/>
        <w:t xml:space="preserve">IV. Recibos o las constancias de </w:t>
      </w:r>
      <w:proofErr w:type="spellStart"/>
      <w:r w:rsidRPr="00437FA3">
        <w:rPr>
          <w:rFonts w:ascii="Palatino Linotype" w:hAnsi="Palatino Linotype"/>
          <w:i/>
        </w:rPr>
        <w:t>deposito</w:t>
      </w:r>
      <w:proofErr w:type="spellEnd"/>
      <w:r w:rsidRPr="00437FA3">
        <w:rPr>
          <w:rFonts w:ascii="Palatino Linotype" w:hAnsi="Palatino Linotype"/>
          <w:i/>
        </w:rPr>
        <w:t xml:space="preserve"> o del medio de información magnética o electrónica que sean utilizadas para el pago de salarios, </w:t>
      </w:r>
      <w:r w:rsidRPr="00437FA3">
        <w:rPr>
          <w:rFonts w:ascii="Palatino Linotype" w:hAnsi="Palatino Linotype"/>
          <w:b/>
          <w:i/>
          <w:u w:val="single"/>
        </w:rPr>
        <w:t>prima vacacional, aguinaldo</w:t>
      </w:r>
      <w:r w:rsidRPr="00437FA3">
        <w:rPr>
          <w:rFonts w:ascii="Palatino Linotype" w:hAnsi="Palatino Linotype"/>
          <w:i/>
        </w:rPr>
        <w:t xml:space="preserve"> </w:t>
      </w:r>
      <w:r w:rsidRPr="00437FA3">
        <w:rPr>
          <w:rFonts w:ascii="Palatino Linotype" w:hAnsi="Palatino Linotype"/>
          <w:b/>
          <w:i/>
          <w:u w:val="single"/>
        </w:rPr>
        <w:t>y demás prestaciones</w:t>
      </w:r>
      <w:r w:rsidRPr="00437FA3">
        <w:rPr>
          <w:rFonts w:ascii="Palatino Linotype" w:hAnsi="Palatino Linotype"/>
          <w:i/>
        </w:rPr>
        <w:t xml:space="preserve"> establecidas en la presente ley; y</w:t>
      </w:r>
    </w:p>
    <w:p w14:paraId="6A0EC00C"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t>…</w:t>
      </w:r>
    </w:p>
    <w:p w14:paraId="52EA8E36" w14:textId="77777777" w:rsidR="00E73F81" w:rsidRPr="00437FA3" w:rsidRDefault="00E73F81" w:rsidP="00437FA3">
      <w:pPr>
        <w:pStyle w:val="Prrafodelista"/>
        <w:spacing w:line="360" w:lineRule="auto"/>
        <w:ind w:left="567" w:right="567"/>
        <w:jc w:val="both"/>
        <w:rPr>
          <w:rFonts w:ascii="Palatino Linotype" w:hAnsi="Palatino Linotype"/>
          <w:i/>
        </w:rPr>
      </w:pPr>
      <w:r w:rsidRPr="00437FA3">
        <w:rPr>
          <w:rFonts w:ascii="Palatino Linotype" w:hAnsi="Palatino Linotype"/>
          <w:i/>
        </w:rPr>
        <w:t>Los documentos señalados en la fracción I de este artículo, deberán conservarse mientras dure la relación laboral y hasta un año después; los señalados por las fracciones II, III, IV durante el último año y un año después de que se extinga la relación laboral, y los mencionados en la fracción V, conforme lo señalen las leyes que los rijan. Los documentos y constancias aquí señalados, la institución o dependencia podrá conservarlos por medio de los sistemas de digitalización o de información magnética o electrónica o cualquier medio descubierto por la ciencia y las constancias expedidas por el encargado del área de personal de éstas, harán prueba plena.”</w:t>
      </w:r>
    </w:p>
    <w:p w14:paraId="0B5E7F25"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43405388"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 xml:space="preserve">Así, de forma enunciativa más no limitativa podemos ver que existen prestaciones accesorias como la prima vacacional y el aguinaldo, que deben ser liquidadas en su forma proporcional por los días laborados cuando se termine la relación laboral antes de un año y que como se ha dicho, no sea imputable al patrón dicha recisión, o por renuncia, ahora, si bien las leyes que rigen estas prestaciones, cuyos pagos deben hacerse al finalizar la relación laboral no definen la palabra </w:t>
      </w:r>
      <w:r w:rsidRPr="00437FA3">
        <w:rPr>
          <w:rFonts w:ascii="Palatino Linotype" w:eastAsia="Times New Roman" w:hAnsi="Palatino Linotype" w:cs="Times New Roman"/>
          <w:lang w:val="es-ES"/>
        </w:rPr>
        <w:lastRenderedPageBreak/>
        <w:t>finiquito, si es una acepción usada en el argot jurídico, de forma ejemplificativa se cita la siguiente jurisprudencia:</w:t>
      </w:r>
    </w:p>
    <w:p w14:paraId="15D15EE0" w14:textId="77777777" w:rsidR="00E73F81" w:rsidRPr="00437FA3" w:rsidRDefault="00E73F81" w:rsidP="00437FA3">
      <w:pPr>
        <w:pStyle w:val="Prrafodelista"/>
        <w:spacing w:line="360" w:lineRule="auto"/>
        <w:ind w:left="0"/>
        <w:jc w:val="both"/>
        <w:rPr>
          <w:rFonts w:ascii="Palatino Linotype" w:eastAsia="Times New Roman" w:hAnsi="Palatino Linotype" w:cs="Times New Roman"/>
          <w:lang w:val="es-ES"/>
        </w:rPr>
      </w:pPr>
    </w:p>
    <w:p w14:paraId="1C318261" w14:textId="3A12126F"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RECIBO FINIQUITO ANEXO A LA RENUNCIA. ES IDÓNEO PARA ACREDITAR LA CONTINUIDAD DE LA RELACIÓN LABORAL ENTRE EL DÍA EN QUE EL TRABAJADOR SE DIJO DESPEDIDO Y EL POSTERIOR EN EL QUE EL PATRÓN MANIFESTÓ QUE AQUÉL RENUNCIÓ.</w:t>
      </w:r>
    </w:p>
    <w:p w14:paraId="31273C64" w14:textId="77777777" w:rsidR="00E73F81" w:rsidRPr="00437FA3" w:rsidRDefault="00E73F81" w:rsidP="00437FA3">
      <w:pPr>
        <w:spacing w:line="360" w:lineRule="auto"/>
        <w:ind w:left="567" w:right="567"/>
        <w:jc w:val="both"/>
        <w:rPr>
          <w:rFonts w:ascii="Palatino Linotype" w:hAnsi="Palatino Linotype"/>
          <w:i/>
        </w:rPr>
      </w:pPr>
    </w:p>
    <w:p w14:paraId="318845B5" w14:textId="5417B31D"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La Segunda Sala de la Suprema Corte de Justicia de la Nación en la jurisprudencia 2a./J. 27/2001 (*) estableció que corresponde al patrón acreditar la subsistencia de la relación laboral entre el día en que se afirma ocurrió el despido y el posterior en el que se dice se produjo la renuncia, sin que baste para ello la sola exhibición del escrito que la contiene, sino que se requiere que tal hecho esté reforzado con diversos elementos directamente relacionados con el momento hasta el cual el trabajador acudió a laborar; en el mismo sentido, en la jurisprudencia 2a./J. 58/2003 (**) determinó que corresponde al patrón acreditar la subsistencia de la relación laboral, cuando el trabajador demanda la reinstalación o la indemnización constitucional por despido, y aquél la niega, aduciendo abandono o inasistencias posteriores por parte del actor; asimismo, por identidad jurídica, en la jurisprudencia 2a./J. 206/2009 (***) sostuvo que la </w:t>
      </w:r>
      <w:r w:rsidRPr="00437FA3">
        <w:rPr>
          <w:rFonts w:ascii="Palatino Linotype" w:hAnsi="Palatino Linotype"/>
          <w:i/>
        </w:rPr>
        <w:lastRenderedPageBreak/>
        <w:t xml:space="preserve">jornada de labores puede acreditarse con el escrito de renuncia, conforme a las reglas de la prueba documental. </w:t>
      </w:r>
      <w:r w:rsidRPr="00437FA3">
        <w:rPr>
          <w:rFonts w:ascii="Palatino Linotype" w:hAnsi="Palatino Linotype"/>
          <w:b/>
          <w:i/>
          <w:u w:val="single"/>
        </w:rPr>
        <w:t>Ahora bien, cuando en el juicio laboral el patrón exhibe, además de la renuncia, el recibo finiquito de la misma fecha de aquélla, con el desglose de las prestaciones pagadas hasta ese día, entre otras, el pago del salario hasta la fecha de la dimisión y tal documento se encuentra suscrito por el trabajador y por el patrón, se convierte en un acto bilateral, equiparable a un convenio que resulta válido</w:t>
      </w:r>
      <w:r w:rsidRPr="00437FA3">
        <w:rPr>
          <w:rFonts w:ascii="Palatino Linotype" w:hAnsi="Palatino Linotype"/>
          <w:i/>
        </w:rPr>
        <w:t>, salvo que se hubiere aducido su nulidad por contener algún vicio en el consentimiento, como error, violencia y/o dolo, por lo cual deben tenerse por confesión expresa los hechos ahí consignados por las partes, tales como que el trabajador recibió el salario correspondiente hasta la fecha en que la patronal adujo que había subsistido la relación laboral, por tal razón debe estimarse que el recibo finiquito constituye una prueba eficaz para acreditar la continuidad de la relación de trabajo después del día en que el trabajador se dijo despedido, porque es un elemento directamente relacionado con el momento hasta el cual el trabajador acudió a laborar, ya que si en el juicio se acredita que dicho recibo fue firmado por éste, ese hecho le da validez y reconocimiento al documento y a lo consignado en la renuncia, y por ello puede servirle al patrón para acreditar su defensa, acorde con la jurisprudencia 2a./J. 89/2012 (10a.)</w:t>
      </w:r>
    </w:p>
    <w:p w14:paraId="53E70187" w14:textId="77777777" w:rsidR="00E73F81" w:rsidRPr="00437FA3" w:rsidRDefault="00E73F81" w:rsidP="00437FA3">
      <w:pPr>
        <w:spacing w:line="360" w:lineRule="auto"/>
        <w:ind w:right="851"/>
        <w:jc w:val="both"/>
        <w:rPr>
          <w:rFonts w:ascii="Palatino Linotype" w:hAnsi="Palatino Linotype"/>
          <w:i/>
        </w:rPr>
      </w:pPr>
    </w:p>
    <w:p w14:paraId="60326A8A"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b/>
          <w:i/>
          <w:u w:val="single"/>
        </w:rPr>
        <w:lastRenderedPageBreak/>
        <w:t>Contradicción de tesis 172/2015</w:t>
      </w:r>
      <w:r w:rsidRPr="00437FA3">
        <w:rPr>
          <w:rFonts w:ascii="Palatino Linotype" w:hAnsi="Palatino Linotype"/>
          <w:i/>
        </w:rPr>
        <w:t xml:space="preserve">. Entre las sustentadas por los Tribunales Colegiados Segundo en Materias Penal y de Trabajo del Décimo Noveno Circuito y Décimo Tercero en Materia de Trabajo del Primer Circuito. 23 de septiembre de 2015. Cinco votos de los Ministros Eduardo Medina Mora I., Juan N. Silva Meza, José Fernando Franco González Salas, Margarita Beatriz Luna Ramos y Alberto Pérez </w:t>
      </w:r>
      <w:proofErr w:type="spellStart"/>
      <w:r w:rsidRPr="00437FA3">
        <w:rPr>
          <w:rFonts w:ascii="Palatino Linotype" w:hAnsi="Palatino Linotype"/>
          <w:i/>
        </w:rPr>
        <w:t>Dayán</w:t>
      </w:r>
      <w:proofErr w:type="spellEnd"/>
      <w:r w:rsidRPr="00437FA3">
        <w:rPr>
          <w:rFonts w:ascii="Palatino Linotype" w:hAnsi="Palatino Linotype"/>
          <w:i/>
        </w:rPr>
        <w:t>. Ponente: Margarita Beatriz Luna Ramos. Secretaria: Teresa Sánchez Medellín.</w:t>
      </w:r>
    </w:p>
    <w:p w14:paraId="092E0973"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Tesis y criterio contendientes:</w:t>
      </w:r>
    </w:p>
    <w:p w14:paraId="0ECF046D" w14:textId="77777777" w:rsidR="00E73F81" w:rsidRPr="00437FA3" w:rsidRDefault="00E73F81" w:rsidP="00437FA3">
      <w:pPr>
        <w:spacing w:line="360" w:lineRule="auto"/>
        <w:ind w:left="567" w:right="567"/>
        <w:jc w:val="both"/>
        <w:rPr>
          <w:rFonts w:ascii="Palatino Linotype" w:hAnsi="Palatino Linotype"/>
          <w:i/>
        </w:rPr>
      </w:pPr>
    </w:p>
    <w:p w14:paraId="52315124" w14:textId="553791F4"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Tesis I.13o.T.17 L (10a.), de rubro: "RELACIÓN LABORAL. EL VALOR INDICIARIO DE LA RENUNCIA NO PUEDE ROBUSTECERSE CON EL RECIBO FINIQUITO PARA ACREDITAR LA SUBSISTENCIA DE AQUÉLLA, AUN CUANDO ÉSTE LO HAYA FIRMADO EL TRABAJADOR.", aprobada por el Décimo Tercer Tribunal Colegiado en Materia de Trabajo del Primer Circuito y publicada en el Semanario Judicial de la Federación y su Gaceta, Décima Época, Libro VI, Tomo 2, marzo de 2012, página 1390, y El sustentado por el Segundo Tribunal Colegiado en Materias Penal y de Trabajo del Décimo Noveno Circuito, al resolver el amparo directo 1307/2014.</w:t>
      </w:r>
    </w:p>
    <w:p w14:paraId="4902C40B"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Tesis de jurisprudencia 143/2015 (10a.). Aprobada por la Segunda Sala de este Alto Tribunal, en sesión privada del catorce de octubre de dos mil quince.”</w:t>
      </w:r>
    </w:p>
    <w:p w14:paraId="0A27BE67"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31C0382E"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Por su parte en la doctrina podemos hallar que Rodolfo Gómez Aranda en su obra Derecho laboral I, en su glosario de términos define al finiquito como “</w:t>
      </w:r>
      <w:r w:rsidRPr="00437FA3">
        <w:rPr>
          <w:rFonts w:ascii="Palatino Linotype" w:eastAsia="Times New Roman" w:hAnsi="Palatino Linotype" w:cs="Times New Roman"/>
          <w:i/>
          <w:lang w:val="es-ES"/>
        </w:rPr>
        <w:t>FINIQUITO: Certificado o recibo que se expide a favor del patrón para hacer constar que se ha saldado toda cuenta o prestación pendiente con el trabajador</w:t>
      </w:r>
      <w:r w:rsidRPr="00437FA3">
        <w:rPr>
          <w:rFonts w:ascii="Palatino Linotype" w:eastAsia="Times New Roman" w:hAnsi="Palatino Linotype" w:cs="Times New Roman"/>
          <w:lang w:val="es-ES"/>
        </w:rPr>
        <w:t>.”</w:t>
      </w:r>
      <w:r w:rsidRPr="00437FA3">
        <w:rPr>
          <w:rStyle w:val="Refdenotaalpie"/>
          <w:rFonts w:ascii="Palatino Linotype" w:eastAsia="Times New Roman" w:hAnsi="Palatino Linotype" w:cs="Times New Roman"/>
          <w:b/>
          <w:lang w:val="es-ES"/>
        </w:rPr>
        <w:footnoteReference w:id="6"/>
      </w:r>
      <w:r w:rsidRPr="00437FA3">
        <w:rPr>
          <w:rFonts w:ascii="Palatino Linotype" w:eastAsia="Times New Roman" w:hAnsi="Palatino Linotype" w:cs="Times New Roman"/>
          <w:lang w:val="es-ES"/>
        </w:rPr>
        <w:t>.</w:t>
      </w:r>
    </w:p>
    <w:p w14:paraId="3638107B"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1FDD1B5F"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En tal sentido el sujeto obligado deberá hacer entrega de los pagos por concepto de finiquitos o documentos donde consten los pagos por las prestaciones que se tiene reconocidas por ley, que de forma proporcional han de darse al trabajador, por los días laborados cuando haya sido dado por renuncia o por causa imputable al trabajador.</w:t>
      </w:r>
    </w:p>
    <w:p w14:paraId="006FD971"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5DF573EE"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Por otro lado está la terminación de la relación laboral atribuible al patrón (es decir, sin responsabilidad para el servidor público) en ese caso la Ley si es clara al establecer una figura jurídica que reconoce en ella diversos derechos, y es que precisamente la Ley del Trabajo de los Servidores Públicos del Estado de México y Municipios que establece, respecto a la indemnización lo siguiente:</w:t>
      </w:r>
    </w:p>
    <w:p w14:paraId="2C6D4DED"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78534194"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lastRenderedPageBreak/>
        <w:t>ARTÍCULO 95. Son causas de rescisión de la relación laboral, sin responsabilidad para el servidor público:</w:t>
      </w:r>
    </w:p>
    <w:p w14:paraId="2D07CBB8"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w:t>
      </w:r>
    </w:p>
    <w:p w14:paraId="1F1F1C8D"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I. Engañarlo la institución pública o dependencia en relación a las condiciones en que se le ofreció el trabajo. Esta causa dejará de tener efecto después de 30 días naturales a partir de su incorporación al servicio; </w:t>
      </w:r>
    </w:p>
    <w:p w14:paraId="07970460"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II. Incurrir alguno de sus superiores jerárquicos o personal directivo, o bien familiares de éstos, en faltas de probidad u honradez, actos de violencia, amenazas, injurias, malos tratos, violencia laboral u otros análogos, en contra del servidor público, su cónyuge, concubina o concubinario, padres, hijos o hermanos; </w:t>
      </w:r>
    </w:p>
    <w:p w14:paraId="478F7E5D"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III. Incumplir la institución pública o dependencia las condiciones laborales y salariales acordadas para el desempeño de sus funciones y las que estipula esta ley; </w:t>
      </w:r>
    </w:p>
    <w:p w14:paraId="66EF850F"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IV. Existir peligro grave para la seguridad o salud del servidor público por carecer de condiciones higiénicas en su lugar de trabajo o no cumplirse las medidas preventivas y de seguridad que las leyes establezcan; </w:t>
      </w:r>
    </w:p>
    <w:p w14:paraId="0DD07109"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V. No inscribirlo en el Instituto de Seguridad Social del Estado de México y Municipios o no cubrir a éste las aportaciones que le correspondan; y </w:t>
      </w:r>
    </w:p>
    <w:p w14:paraId="108D1EEB"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VI. Las análogas a las establecidas en las fracciones anteriores, de </w:t>
      </w:r>
      <w:proofErr w:type="gramStart"/>
      <w:r w:rsidRPr="00437FA3">
        <w:rPr>
          <w:rFonts w:ascii="Palatino Linotype" w:hAnsi="Palatino Linotype"/>
          <w:i/>
        </w:rPr>
        <w:t>igual manera graves</w:t>
      </w:r>
      <w:proofErr w:type="gramEnd"/>
      <w:r w:rsidRPr="00437FA3">
        <w:rPr>
          <w:rFonts w:ascii="Palatino Linotype" w:hAnsi="Palatino Linotype"/>
          <w:i/>
        </w:rPr>
        <w:t xml:space="preserve"> y de consecuencias semejantes. </w:t>
      </w:r>
    </w:p>
    <w:p w14:paraId="10E7DD23"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lastRenderedPageBreak/>
        <w:t xml:space="preserve">En estos casos, </w:t>
      </w:r>
      <w:r w:rsidRPr="00437FA3">
        <w:rPr>
          <w:rFonts w:ascii="Palatino Linotype" w:hAnsi="Palatino Linotype"/>
          <w:b/>
          <w:i/>
        </w:rPr>
        <w:t>el servidor público</w:t>
      </w:r>
      <w:r w:rsidRPr="00437FA3">
        <w:rPr>
          <w:rFonts w:ascii="Palatino Linotype" w:hAnsi="Palatino Linotype"/>
          <w:i/>
        </w:rPr>
        <w:t xml:space="preserve"> podrá separarse de su trabajo dentro de los treinta días siguientes a la fecha en que se dé cualquiera de las causas y </w:t>
      </w:r>
      <w:r w:rsidRPr="00437FA3">
        <w:rPr>
          <w:rFonts w:ascii="Palatino Linotype" w:hAnsi="Palatino Linotype"/>
          <w:b/>
          <w:i/>
          <w:u w:val="single"/>
        </w:rPr>
        <w:t xml:space="preserve">tendrá </w:t>
      </w:r>
      <w:r w:rsidRPr="00437FA3">
        <w:rPr>
          <w:rFonts w:ascii="Palatino Linotype" w:hAnsi="Palatino Linotype"/>
          <w:b/>
          <w:i/>
        </w:rPr>
        <w:t>derecho a que la institución pública</w:t>
      </w:r>
      <w:r w:rsidRPr="00437FA3">
        <w:rPr>
          <w:rFonts w:ascii="Palatino Linotype" w:hAnsi="Palatino Linotype"/>
          <w:b/>
          <w:i/>
          <w:u w:val="single"/>
        </w:rPr>
        <w:t xml:space="preserve"> lo indemnice</w:t>
      </w:r>
      <w:r w:rsidRPr="00437FA3">
        <w:rPr>
          <w:rFonts w:ascii="Palatino Linotype" w:hAnsi="Palatino Linotype"/>
          <w:i/>
        </w:rPr>
        <w:t xml:space="preserve"> con el importe de </w:t>
      </w:r>
      <w:r w:rsidRPr="00437FA3">
        <w:rPr>
          <w:rFonts w:ascii="Palatino Linotype" w:hAnsi="Palatino Linotype"/>
          <w:b/>
          <w:i/>
          <w:u w:val="single"/>
        </w:rPr>
        <w:t>tres meses de sueldo base, veinte días por cada año devengado y cubriéndole las prestaciones a que tenga derecho, así como los salarios vencidos desde la fecha en que el Servidor Público se haya separado de su trabajo hasta por un periodo máximo de doce meses o hasta que el servidor público se incorpore a laborar en un municipio o institución pública de los poderes del Estado o cualquier organismo estatal</w:t>
      </w:r>
      <w:r w:rsidRPr="00437FA3">
        <w:rPr>
          <w:rFonts w:ascii="Palatino Linotype" w:hAnsi="Palatino Linotype"/>
          <w:i/>
        </w:rPr>
        <w:t xml:space="preserve">, siempre y cuando esto último ocurra en un plazo no mayor a los doce meses antes mencionados, independientemente del tiempo que dure el proceso. </w:t>
      </w:r>
    </w:p>
    <w:p w14:paraId="2A1B514C"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Si al término del plazo de los doce meses señalados en los artículos 95, 96 y 97 no ha concluido el procedimiento o no se ha dado cumplimiento al laudo, se pagarán también al trabajador los intereses que se generen sobre el importe del adeudo, a razón del nueve por ciento anual capitalizable al momento del pago. </w:t>
      </w:r>
    </w:p>
    <w:p w14:paraId="750A9252"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Cuando el sueldo base del servidor público exceda del doble del salario mínimo general del área geográfica que corresponda al lugar en donde presta sus servicios, se considerará para efectos del pago de los veinte días por año, hasta un máximo de dos salarios mínimos generales. </w:t>
      </w:r>
    </w:p>
    <w:p w14:paraId="319C3918"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lastRenderedPageBreak/>
        <w:t>Para el pago de cualquier indemnización que se genere por las relaciones laborales entre las instituciones o dependencias y sus servidores públicos señaladas en esta ley no generarán ningún tipo de interés.</w:t>
      </w:r>
    </w:p>
    <w:p w14:paraId="5147175F" w14:textId="77777777" w:rsidR="00E73F81" w:rsidRPr="00437FA3" w:rsidRDefault="00E73F81" w:rsidP="00437FA3">
      <w:pPr>
        <w:spacing w:line="360" w:lineRule="auto"/>
        <w:ind w:left="567" w:right="567"/>
        <w:jc w:val="both"/>
        <w:rPr>
          <w:rFonts w:ascii="Palatino Linotype" w:hAnsi="Palatino Linotype"/>
          <w:i/>
        </w:rPr>
      </w:pPr>
    </w:p>
    <w:p w14:paraId="2F58868F"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ARTÍCULO 96.- El servidor público podrá solicitar ante el Tribunal o la Sala correspondiente, que se le reinstale en el trabajo que desempeñaba, o </w:t>
      </w:r>
      <w:r w:rsidRPr="00437FA3">
        <w:rPr>
          <w:rFonts w:ascii="Palatino Linotype" w:hAnsi="Palatino Linotype"/>
          <w:b/>
          <w:i/>
          <w:u w:val="single"/>
        </w:rPr>
        <w:t>que se le indemnice</w:t>
      </w:r>
      <w:r w:rsidRPr="00437FA3">
        <w:rPr>
          <w:rFonts w:ascii="Palatino Linotype" w:hAnsi="Palatino Linotype"/>
          <w:i/>
        </w:rPr>
        <w:t xml:space="preserve">. Cuando el servidor público considere </w:t>
      </w:r>
      <w:r w:rsidRPr="00437FA3">
        <w:rPr>
          <w:rFonts w:ascii="Palatino Linotype" w:hAnsi="Palatino Linotype"/>
          <w:b/>
          <w:i/>
          <w:u w:val="single"/>
        </w:rPr>
        <w:t>injustificada la causa de rescisión de la relación laboral, o bien lo injustificado del despido</w:t>
      </w:r>
      <w:r w:rsidRPr="00437FA3">
        <w:rPr>
          <w:rFonts w:ascii="Palatino Linotype" w:hAnsi="Palatino Linotype"/>
          <w:i/>
        </w:rPr>
        <w:t xml:space="preserve"> podrá demandar ante el Tribunal o en la Sala que se le cubra la </w:t>
      </w:r>
      <w:r w:rsidRPr="00437FA3">
        <w:rPr>
          <w:rFonts w:ascii="Palatino Linotype" w:hAnsi="Palatino Linotype"/>
          <w:b/>
          <w:i/>
          <w:u w:val="single"/>
        </w:rPr>
        <w:t>indemnización</w:t>
      </w:r>
      <w:r w:rsidRPr="00437FA3">
        <w:rPr>
          <w:rFonts w:ascii="Palatino Linotype" w:hAnsi="Palatino Linotype"/>
          <w:i/>
        </w:rPr>
        <w:t xml:space="preserve"> de tres meses de su salario base, así como los salarios vencidos desde la fecha del despido hasta por un periodo máximo de doce meses o que se le reinstale en el trabajo que desempeñaba con el pago de los salarios vencidos desde la fecha del despido hasta por un periodo máximo de doce meses, independientemente del tiempo que , dure el proceso.”</w:t>
      </w:r>
    </w:p>
    <w:p w14:paraId="09F20D99"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26006BBE"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 xml:space="preserve">Como podemos ver la indemnización está relacionada con el despido injustificado o recisión de la relación laboral por causas no imputables al trabajador, en el cual se detallan diversas especificaciones a las que puede llevar un finiquito por una renuncia que como se ha visto anteriormente no tiene relación con despido injustificado, en ese mismo orden de ideas, de forma enunciativa más no limitativa </w:t>
      </w:r>
      <w:r w:rsidRPr="00437FA3">
        <w:rPr>
          <w:rFonts w:ascii="Palatino Linotype" w:eastAsia="Times New Roman" w:hAnsi="Palatino Linotype" w:cs="Times New Roman"/>
          <w:lang w:val="es-ES"/>
        </w:rPr>
        <w:lastRenderedPageBreak/>
        <w:t>se refiere otra prestación que se da en la indemnización, que es la contenida en el artículo 80 que dice:</w:t>
      </w:r>
    </w:p>
    <w:p w14:paraId="79322499"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13B2F3DA" w14:textId="3BA64028"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ARTÍCULO 80. Los servidores públicos que optaren por separarse del servicio habiendo cumplido 15 años en el mismo, tendrán derecho al pago de una prima de antigüedad consistente en el importe de 12 días de su sueldo base, por cada año de servicios prestados. </w:t>
      </w:r>
    </w:p>
    <w:p w14:paraId="5341A5D2"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Cuando el sueldo base del servidor público exceda del doble del salario mínimo general del área geográfica que corresponda al lugar en donde presta sus servicios, se considerará para efectos del pago de la prima de antigüedad, hasta un máximo de dos salarios mínimos generales. </w:t>
      </w:r>
    </w:p>
    <w:p w14:paraId="188348E6"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b/>
          <w:i/>
          <w:u w:val="single"/>
        </w:rPr>
        <w:t>Esta prima se pagará, igualmente, en caso de</w:t>
      </w:r>
      <w:r w:rsidRPr="00437FA3">
        <w:rPr>
          <w:rFonts w:ascii="Palatino Linotype" w:hAnsi="Palatino Linotype"/>
          <w:i/>
        </w:rPr>
        <w:t xml:space="preserve"> muerte o </w:t>
      </w:r>
      <w:r w:rsidRPr="00437FA3">
        <w:rPr>
          <w:rFonts w:ascii="Palatino Linotype" w:hAnsi="Palatino Linotype"/>
          <w:b/>
          <w:i/>
          <w:u w:val="single"/>
        </w:rPr>
        <w:t>rescisión de la relación laboral por causas no imputables al servidor público, cualquiera que sea su antigüedad</w:t>
      </w:r>
      <w:r w:rsidRPr="00437FA3">
        <w:rPr>
          <w:rFonts w:ascii="Palatino Linotype" w:hAnsi="Palatino Linotype"/>
          <w:i/>
        </w:rPr>
        <w:t xml:space="preserve">. </w:t>
      </w:r>
    </w:p>
    <w:p w14:paraId="7F9070B3"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En caso de muerte del servidor público, la prima se pagará a sus beneficiarios, conforme a la prelación que establece el artículo 136 de la presente Ley.</w:t>
      </w:r>
    </w:p>
    <w:p w14:paraId="6340785D" w14:textId="77777777" w:rsidR="00E73F81" w:rsidRPr="00437FA3" w:rsidRDefault="00E73F81" w:rsidP="00437FA3">
      <w:pPr>
        <w:spacing w:line="360" w:lineRule="auto"/>
        <w:ind w:left="567" w:right="567"/>
        <w:jc w:val="both"/>
        <w:rPr>
          <w:rFonts w:ascii="Palatino Linotype" w:hAnsi="Palatino Linotype"/>
          <w:i/>
        </w:rPr>
      </w:pPr>
      <w:r w:rsidRPr="00437FA3">
        <w:rPr>
          <w:rFonts w:ascii="Palatino Linotype" w:hAnsi="Palatino Linotype"/>
          <w:i/>
        </w:rPr>
        <w:t xml:space="preserve">Cuando las instituciones públicas tengan establecidos en sus condiciones generales de trabajo programas o fondos de retiro en los que no existieran aportaciones de los servidores públicos, y el monto que, en su caso, correspondiera por este concepto a los servidores públicos sea superior al </w:t>
      </w:r>
      <w:r w:rsidRPr="00437FA3">
        <w:rPr>
          <w:rFonts w:ascii="Palatino Linotype" w:hAnsi="Palatino Linotype"/>
          <w:i/>
        </w:rPr>
        <w:lastRenderedPageBreak/>
        <w:t>señalado en el segundo párrafo de este artículo, las instituciones públicas estarán obligadas a otorgar al servidor público sólo la prestación que más lo favorezca.”</w:t>
      </w:r>
    </w:p>
    <w:p w14:paraId="7E86EACA" w14:textId="77777777" w:rsidR="00E73F81" w:rsidRPr="00437FA3" w:rsidRDefault="00E73F81" w:rsidP="00437FA3">
      <w:pPr>
        <w:spacing w:line="360" w:lineRule="auto"/>
        <w:jc w:val="both"/>
        <w:rPr>
          <w:rFonts w:ascii="Palatino Linotype" w:eastAsia="Times New Roman" w:hAnsi="Palatino Linotype" w:cs="Times New Roman"/>
          <w:lang w:val="es-ES"/>
        </w:rPr>
      </w:pPr>
    </w:p>
    <w:p w14:paraId="18EA4A23"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En tal sentido el sujeto obligado deberá hacer una búsqueda minuciosa y exhaustiva en los archivos de las unidades administrativas que por sus funciones lleven a cabo las erogaciones por concepto de indemnizaciones.</w:t>
      </w:r>
    </w:p>
    <w:p w14:paraId="6F2AD2D7" w14:textId="77777777" w:rsidR="00E73F81" w:rsidRPr="00437FA3" w:rsidRDefault="00E73F81" w:rsidP="00437FA3">
      <w:pPr>
        <w:pStyle w:val="Prrafodelista"/>
        <w:spacing w:line="360" w:lineRule="auto"/>
        <w:ind w:left="0"/>
        <w:jc w:val="both"/>
        <w:rPr>
          <w:rFonts w:ascii="Palatino Linotype" w:eastAsia="Times New Roman" w:hAnsi="Palatino Linotype" w:cs="Times New Roman"/>
          <w:lang w:val="es-ES"/>
        </w:rPr>
      </w:pPr>
    </w:p>
    <w:p w14:paraId="58E76FCD" w14:textId="77777777" w:rsidR="00E73F81" w:rsidRPr="00437FA3" w:rsidRDefault="00E73F81"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t>Es decir, de existir despidos injustificados o terminaciones laborales no atribuibles al servidor público, en cuyo caso recibe el nombre de indemnizaciones, por tal motivo es que al ser este órgano protector del derecho fundamental del acceso a la información pública, y en aras de no dilatar al particular la entrega de la información también, deberá entregarse al particular lo relativo a las indemnizaciones que el sujeto obligado haya hecho.</w:t>
      </w:r>
    </w:p>
    <w:p w14:paraId="41B8E251" w14:textId="77777777" w:rsidR="00E73F81" w:rsidRPr="00437FA3" w:rsidRDefault="00E73F81" w:rsidP="00437FA3">
      <w:pPr>
        <w:pStyle w:val="Prrafodelista"/>
        <w:spacing w:line="360" w:lineRule="auto"/>
        <w:ind w:left="0"/>
        <w:jc w:val="both"/>
        <w:rPr>
          <w:rFonts w:ascii="Palatino Linotype" w:eastAsia="Times New Roman" w:hAnsi="Palatino Linotype" w:cs="Times New Roman"/>
          <w:lang w:val="es-ES"/>
        </w:rPr>
      </w:pPr>
    </w:p>
    <w:p w14:paraId="6CCF04E8" w14:textId="77777777" w:rsidR="00E73F81" w:rsidRPr="00437FA3" w:rsidRDefault="00E73F81" w:rsidP="00437FA3">
      <w:pPr>
        <w:pStyle w:val="Prrafodelista"/>
        <w:numPr>
          <w:ilvl w:val="0"/>
          <w:numId w:val="1"/>
        </w:numPr>
        <w:spacing w:line="360" w:lineRule="auto"/>
        <w:ind w:left="0" w:right="51" w:firstLine="0"/>
        <w:jc w:val="both"/>
        <w:rPr>
          <w:rFonts w:ascii="Palatino Linotype" w:hAnsi="Palatino Linotype" w:cs="Arial"/>
        </w:rPr>
      </w:pPr>
      <w:r w:rsidRPr="00437FA3">
        <w:rPr>
          <w:rFonts w:ascii="Palatino Linotype" w:hAnsi="Palatino Linotype" w:cs="Arial"/>
        </w:rPr>
        <w:t xml:space="preserve">Por ello, se ordena al Sujeto Obligado la entrega en </w:t>
      </w:r>
      <w:r w:rsidRPr="00437FA3">
        <w:rPr>
          <w:rFonts w:ascii="Palatino Linotype" w:hAnsi="Palatino Linotype" w:cs="Arial"/>
          <w:b/>
        </w:rPr>
        <w:t>versión pública</w:t>
      </w:r>
      <w:r w:rsidRPr="00437FA3">
        <w:rPr>
          <w:rFonts w:ascii="Palatino Linotype" w:hAnsi="Palatino Linotype" w:cs="Arial"/>
        </w:rPr>
        <w:t xml:space="preserve"> de los finiquitos, indemnizaciones o </w:t>
      </w:r>
      <w:r w:rsidRPr="00437FA3">
        <w:rPr>
          <w:rFonts w:ascii="Palatino Linotype" w:eastAsia="Times New Roman" w:hAnsi="Palatino Linotype" w:cs="Times New Roman"/>
          <w:lang w:val="es-ES"/>
        </w:rPr>
        <w:t>documentos donde consten los pagos por las prestaciones que se tiene reconocidas por ley, que de forma proporcional han de darse al trabajador, por los días laborados cuando haya sido dado por renuncia o despido.</w:t>
      </w:r>
    </w:p>
    <w:p w14:paraId="0F50A7EB" w14:textId="77777777" w:rsidR="00183D74" w:rsidRPr="00437FA3" w:rsidRDefault="00183D74" w:rsidP="00437FA3">
      <w:pPr>
        <w:pStyle w:val="Prrafodelista"/>
        <w:spacing w:line="360" w:lineRule="auto"/>
        <w:ind w:left="0" w:right="51"/>
        <w:jc w:val="both"/>
        <w:rPr>
          <w:rFonts w:ascii="Palatino Linotype" w:hAnsi="Palatino Linotype" w:cs="Arial"/>
        </w:rPr>
      </w:pPr>
    </w:p>
    <w:p w14:paraId="385F1CA4" w14:textId="2AFD3EAA" w:rsidR="00E73F81" w:rsidRPr="00437FA3" w:rsidRDefault="00183D74" w:rsidP="00437FA3">
      <w:pPr>
        <w:pStyle w:val="Prrafodelista"/>
        <w:numPr>
          <w:ilvl w:val="0"/>
          <w:numId w:val="1"/>
        </w:numPr>
        <w:spacing w:line="360" w:lineRule="auto"/>
        <w:ind w:left="0" w:firstLine="0"/>
        <w:jc w:val="both"/>
        <w:rPr>
          <w:rFonts w:ascii="Palatino Linotype" w:eastAsia="Times New Roman" w:hAnsi="Palatino Linotype" w:cs="Times New Roman"/>
          <w:lang w:val="es-ES"/>
        </w:rPr>
      </w:pPr>
      <w:r w:rsidRPr="00437FA3">
        <w:rPr>
          <w:rFonts w:ascii="Palatino Linotype" w:eastAsia="Times New Roman" w:hAnsi="Palatino Linotype" w:cs="Times New Roman"/>
          <w:lang w:val="es-ES"/>
        </w:rPr>
        <w:lastRenderedPageBreak/>
        <w:t xml:space="preserve">Finalmente en lo que respecta al inciso </w:t>
      </w:r>
      <w:r w:rsidRPr="00437FA3">
        <w:rPr>
          <w:rFonts w:ascii="Palatino Linotype" w:eastAsia="Times New Roman" w:hAnsi="Palatino Linotype" w:cs="Times New Roman"/>
          <w:b/>
          <w:u w:val="single"/>
          <w:lang w:val="es-ES"/>
        </w:rPr>
        <w:t>f)</w:t>
      </w:r>
      <w:r w:rsidRPr="00437FA3">
        <w:rPr>
          <w:rFonts w:ascii="Palatino Linotype" w:eastAsia="Times New Roman" w:hAnsi="Palatino Linotype" w:cs="Times New Roman"/>
          <w:lang w:val="es-ES"/>
        </w:rPr>
        <w:t xml:space="preserve"> </w:t>
      </w:r>
      <w:r w:rsidRPr="00437FA3">
        <w:rPr>
          <w:rFonts w:ascii="Palatino Linotype" w:hAnsi="Palatino Linotype"/>
          <w:color w:val="000000"/>
        </w:rPr>
        <w:t>referente al documento donde conste el lugar de residencia de los nuevos titulares de las áreas de dicho Organismo, mencionando calle, colonia, municipio o alcaldía y entidad federativa, no es dable de ordenarse en virtud de los siguiente:</w:t>
      </w:r>
    </w:p>
    <w:p w14:paraId="14F99F32" w14:textId="77777777" w:rsidR="00183D74" w:rsidRPr="00437FA3" w:rsidRDefault="00183D74" w:rsidP="00437FA3">
      <w:pPr>
        <w:pStyle w:val="Prrafodelista"/>
        <w:spacing w:line="360" w:lineRule="auto"/>
        <w:ind w:left="0"/>
        <w:jc w:val="both"/>
        <w:rPr>
          <w:rFonts w:ascii="Palatino Linotype" w:eastAsia="Times New Roman" w:hAnsi="Palatino Linotype" w:cs="Times New Roman"/>
          <w:lang w:val="es-ES"/>
        </w:rPr>
      </w:pPr>
    </w:p>
    <w:p w14:paraId="339C1E30" w14:textId="77777777" w:rsidR="00183D74" w:rsidRPr="00437FA3" w:rsidRDefault="00183D74" w:rsidP="00437FA3">
      <w:pPr>
        <w:pStyle w:val="Prrafodelista"/>
        <w:numPr>
          <w:ilvl w:val="0"/>
          <w:numId w:val="1"/>
        </w:numPr>
        <w:spacing w:line="360" w:lineRule="auto"/>
        <w:ind w:left="0" w:firstLine="0"/>
        <w:jc w:val="both"/>
        <w:rPr>
          <w:rFonts w:ascii="Palatino Linotype" w:eastAsia="Calibri" w:hAnsi="Palatino Linotype" w:cs="Tahoma"/>
          <w:bCs/>
          <w:lang w:eastAsia="en-US"/>
        </w:rPr>
      </w:pPr>
      <w:r w:rsidRPr="00437FA3">
        <w:rPr>
          <w:rFonts w:ascii="Palatino Linotype" w:eastAsia="Calibri" w:hAnsi="Palatino Linotype" w:cs="Tahoma"/>
          <w:bCs/>
          <w:lang w:eastAsia="en-US"/>
        </w:rPr>
        <w:t xml:space="preserve">En cuanto al domicilio y datos familiares, en términos del artículo 16 de la Constitución Política de los Estados Unidos Mexicanos </w:t>
      </w:r>
      <w:r w:rsidRPr="00437FA3">
        <w:rPr>
          <w:rFonts w:ascii="Palatino Linotype" w:eastAsia="Calibri" w:hAnsi="Palatino Linotype" w:cs="Tahoma"/>
          <w:b/>
          <w:bCs/>
          <w:lang w:eastAsia="en-US"/>
        </w:rPr>
        <w:t>nadie puede ser molestado en</w:t>
      </w:r>
      <w:r w:rsidRPr="00437FA3">
        <w:rPr>
          <w:rFonts w:ascii="Palatino Linotype" w:eastAsia="Calibri" w:hAnsi="Palatino Linotype" w:cs="Tahoma"/>
          <w:bCs/>
          <w:lang w:eastAsia="en-US"/>
        </w:rPr>
        <w:t xml:space="preserve"> </w:t>
      </w:r>
      <w:r w:rsidRPr="00437FA3">
        <w:rPr>
          <w:rFonts w:ascii="Palatino Linotype" w:eastAsia="Calibri" w:hAnsi="Palatino Linotype" w:cs="Tahoma"/>
          <w:b/>
          <w:bCs/>
          <w:lang w:eastAsia="en-US"/>
        </w:rPr>
        <w:t>su</w:t>
      </w:r>
      <w:r w:rsidRPr="00437FA3">
        <w:rPr>
          <w:rFonts w:ascii="Palatino Linotype" w:eastAsia="Calibri" w:hAnsi="Palatino Linotype" w:cs="Tahoma"/>
          <w:bCs/>
          <w:lang w:eastAsia="en-US"/>
        </w:rPr>
        <w:t xml:space="preserve"> persona, familia, </w:t>
      </w:r>
      <w:r w:rsidRPr="00437FA3">
        <w:rPr>
          <w:rFonts w:ascii="Palatino Linotype" w:eastAsia="Calibri" w:hAnsi="Palatino Linotype" w:cs="Tahoma"/>
          <w:b/>
          <w:bCs/>
          <w:u w:val="single"/>
          <w:lang w:eastAsia="en-US"/>
        </w:rPr>
        <w:t>domicilio</w:t>
      </w:r>
      <w:r w:rsidRPr="00437FA3">
        <w:rPr>
          <w:rFonts w:ascii="Palatino Linotype" w:eastAsia="Calibri" w:hAnsi="Palatino Linotype" w:cs="Tahoma"/>
          <w:bCs/>
          <w:lang w:eastAsia="en-US"/>
        </w:rPr>
        <w:t>, papeles o posesiones, sino en virtud de mandamiento escrito de la autoridad competente, que funde y motive la causa legal del procedimiento.</w:t>
      </w:r>
    </w:p>
    <w:p w14:paraId="073ED5A2" w14:textId="77777777" w:rsidR="00183D74" w:rsidRPr="00437FA3" w:rsidRDefault="00183D74" w:rsidP="00437FA3">
      <w:pPr>
        <w:pStyle w:val="Prrafodelista"/>
        <w:spacing w:line="360" w:lineRule="auto"/>
        <w:ind w:left="0"/>
        <w:jc w:val="both"/>
        <w:rPr>
          <w:rFonts w:ascii="Palatino Linotype" w:eastAsia="Calibri" w:hAnsi="Palatino Linotype" w:cs="Tahoma"/>
          <w:bCs/>
          <w:lang w:eastAsia="en-US"/>
        </w:rPr>
      </w:pPr>
    </w:p>
    <w:p w14:paraId="10965230" w14:textId="77777777" w:rsidR="00183D74" w:rsidRPr="00437FA3" w:rsidRDefault="00183D74" w:rsidP="00437FA3">
      <w:pPr>
        <w:pStyle w:val="Prrafodelista"/>
        <w:numPr>
          <w:ilvl w:val="0"/>
          <w:numId w:val="1"/>
        </w:numPr>
        <w:spacing w:line="360" w:lineRule="auto"/>
        <w:ind w:left="0" w:firstLine="0"/>
        <w:jc w:val="both"/>
        <w:rPr>
          <w:rFonts w:ascii="Palatino Linotype" w:eastAsia="Calibri" w:hAnsi="Palatino Linotype" w:cs="Tahoma"/>
          <w:bCs/>
          <w:lang w:eastAsia="en-US"/>
        </w:rPr>
      </w:pPr>
      <w:r w:rsidRPr="00437FA3">
        <w:rPr>
          <w:rFonts w:ascii="Palatino Linotype" w:eastAsia="Calibri" w:hAnsi="Palatino Linotype" w:cs="Tahoma"/>
          <w:bCs/>
          <w:lang w:eastAsia="en-US"/>
        </w:rPr>
        <w:t>En concatenación, los artículos 2.3 y 2.5 del Código Civil del Estado de México, refiere que uno de los atributos de la personalidad es el domicilio y toda persona tiene derecho a él. Adicionalmente, el diverso artículo 2.17 del mismo ordenamiento legal refiere que el domicilio de una persona física es el lugar donde reside con el propósito de establecerse en él.</w:t>
      </w:r>
    </w:p>
    <w:p w14:paraId="71DBC6F6" w14:textId="77777777" w:rsidR="00183D74" w:rsidRPr="00437FA3" w:rsidRDefault="00183D74" w:rsidP="00437FA3">
      <w:pPr>
        <w:pStyle w:val="Prrafodelista"/>
        <w:spacing w:line="360" w:lineRule="auto"/>
        <w:ind w:left="0"/>
        <w:jc w:val="both"/>
        <w:rPr>
          <w:rFonts w:ascii="Palatino Linotype" w:eastAsia="Calibri" w:hAnsi="Palatino Linotype" w:cs="Tahoma"/>
          <w:bCs/>
          <w:lang w:eastAsia="en-US"/>
        </w:rPr>
      </w:pPr>
    </w:p>
    <w:p w14:paraId="176CCF2B" w14:textId="77777777" w:rsidR="00183D74" w:rsidRPr="00437FA3" w:rsidRDefault="00183D74" w:rsidP="00437FA3">
      <w:pPr>
        <w:pStyle w:val="Prrafodelista"/>
        <w:numPr>
          <w:ilvl w:val="0"/>
          <w:numId w:val="1"/>
        </w:numPr>
        <w:spacing w:line="360" w:lineRule="auto"/>
        <w:ind w:left="0" w:firstLine="0"/>
        <w:jc w:val="both"/>
        <w:rPr>
          <w:rFonts w:ascii="Palatino Linotype" w:eastAsia="Calibri" w:hAnsi="Palatino Linotype" w:cs="Tahoma"/>
          <w:bCs/>
          <w:lang w:eastAsia="en-US"/>
        </w:rPr>
      </w:pPr>
      <w:r w:rsidRPr="00437FA3">
        <w:rPr>
          <w:rFonts w:ascii="Palatino Linotype" w:eastAsia="Calibri" w:hAnsi="Palatino Linotype" w:cs="Tahoma"/>
          <w:bCs/>
          <w:lang w:val="es-ES" w:eastAsia="en-US"/>
        </w:rPr>
        <w:t xml:space="preserve">Es decir, el domicilio tiene como propósito que una persona pueda establecerse temporal o permanentemente en un lugar determinado, para habitar, establecer su centro de trabajo o negocios; ahora bien, su inclusión en el currículo sólo tiene como objetivo brindar elementos que permitan conocer y hacer </w:t>
      </w:r>
      <w:r w:rsidRPr="00437FA3">
        <w:rPr>
          <w:rFonts w:ascii="Palatino Linotype" w:eastAsia="Calibri" w:hAnsi="Palatino Linotype" w:cs="Tahoma"/>
          <w:bCs/>
          <w:lang w:val="es-ES" w:eastAsia="en-US"/>
        </w:rPr>
        <w:lastRenderedPageBreak/>
        <w:t>identificable a la persona que solicita un empleo, sin que esta información sea de relevancia para el interés público, así como tampoco tiene relevancia en el ejercicio de atribuciones de los servidores públicos.</w:t>
      </w:r>
      <w:r w:rsidRPr="00437FA3">
        <w:rPr>
          <w:rFonts w:ascii="Palatino Linotype" w:hAnsi="Palatino Linotype" w:cs="Tahoma"/>
          <w:lang w:val="es-ES"/>
        </w:rPr>
        <w:t xml:space="preserve"> </w:t>
      </w:r>
      <w:r w:rsidRPr="00437FA3">
        <w:rPr>
          <w:rFonts w:ascii="Palatino Linotype" w:eastAsia="Calibri" w:hAnsi="Palatino Linotype" w:cs="Tahoma"/>
          <w:bCs/>
          <w:lang w:val="es-ES" w:eastAsia="en-US"/>
        </w:rPr>
        <w:t>Por lo que procede ordenar al Sujeto Obligado la clasificación del domicilio particular de los servidores públicos solicitados, por tratarse de un dato personal confidencial.</w:t>
      </w:r>
    </w:p>
    <w:p w14:paraId="44546B94" w14:textId="77777777" w:rsidR="00183D74" w:rsidRPr="00437FA3" w:rsidRDefault="00183D74" w:rsidP="00437FA3">
      <w:pPr>
        <w:pStyle w:val="Prrafodelista"/>
        <w:spacing w:line="360" w:lineRule="auto"/>
        <w:ind w:left="0"/>
        <w:jc w:val="both"/>
        <w:rPr>
          <w:rFonts w:ascii="Palatino Linotype" w:eastAsia="Calibri" w:hAnsi="Palatino Linotype" w:cs="Tahoma"/>
          <w:bCs/>
          <w:lang w:eastAsia="en-US"/>
        </w:rPr>
      </w:pPr>
    </w:p>
    <w:p w14:paraId="75AFE720" w14:textId="77777777" w:rsidR="00183D74" w:rsidRPr="00437FA3" w:rsidRDefault="00183D74" w:rsidP="00437FA3">
      <w:pPr>
        <w:pStyle w:val="Prrafodelista"/>
        <w:numPr>
          <w:ilvl w:val="0"/>
          <w:numId w:val="1"/>
        </w:numPr>
        <w:spacing w:line="360" w:lineRule="auto"/>
        <w:ind w:left="0" w:firstLine="0"/>
        <w:jc w:val="both"/>
        <w:rPr>
          <w:rFonts w:ascii="Palatino Linotype" w:eastAsia="Calibri" w:hAnsi="Palatino Linotype" w:cs="Tahoma"/>
          <w:bCs/>
          <w:lang w:eastAsia="en-US"/>
        </w:rPr>
      </w:pPr>
      <w:r w:rsidRPr="00437FA3">
        <w:rPr>
          <w:rFonts w:ascii="Palatino Linotype" w:eastAsia="Calibri" w:hAnsi="Palatino Linotype" w:cs="Tahoma"/>
          <w:bCs/>
          <w:lang w:eastAsia="en-US"/>
        </w:rPr>
        <w:t xml:space="preserve">Por tanto, el domicilio de una persona que ha sido identificada es un dato personal susceptible de clasificarse como confidencial en términos del artículo 143, fracción I, de la </w:t>
      </w:r>
      <w:r w:rsidRPr="00437FA3">
        <w:rPr>
          <w:rFonts w:ascii="Palatino Linotype" w:eastAsia="Calibri" w:hAnsi="Palatino Linotype" w:cs="Tahoma"/>
          <w:b/>
          <w:bCs/>
          <w:lang w:eastAsia="en-US"/>
        </w:rPr>
        <w:t>Ley de Transparencia y Acceso a la Información Pública del Estado de México</w:t>
      </w:r>
      <w:r w:rsidRPr="00437FA3">
        <w:rPr>
          <w:rFonts w:ascii="Palatino Linotype" w:eastAsia="Calibri" w:hAnsi="Palatino Linotype" w:cs="Tahoma"/>
          <w:bCs/>
          <w:lang w:eastAsia="en-US"/>
        </w:rPr>
        <w:t>, puesto que ninguna persona puede ser molestada en él, aunado a que darlo a conocer no contribuye a transparentar la gestión pública.</w:t>
      </w:r>
    </w:p>
    <w:p w14:paraId="3C3DA297" w14:textId="77777777" w:rsidR="001B71E0" w:rsidRPr="00437FA3" w:rsidRDefault="001B71E0" w:rsidP="00437FA3">
      <w:pPr>
        <w:pStyle w:val="Prrafodelista"/>
        <w:widowControl w:val="0"/>
        <w:shd w:val="clear" w:color="auto" w:fill="FFFFFF"/>
        <w:spacing w:after="120" w:line="360" w:lineRule="auto"/>
        <w:ind w:left="0" w:right="45"/>
        <w:jc w:val="both"/>
        <w:rPr>
          <w:rFonts w:ascii="Palatino Linotype" w:hAnsi="Palatino Linotype" w:cs="Arial"/>
        </w:rPr>
      </w:pPr>
      <w:bookmarkStart w:id="90" w:name="_Toc458528990"/>
      <w:bookmarkStart w:id="91" w:name="_Toc473812227"/>
      <w:bookmarkEnd w:id="56"/>
      <w:bookmarkEnd w:id="57"/>
    </w:p>
    <w:p w14:paraId="037159B3" w14:textId="752B370D" w:rsidR="00BA1C5A" w:rsidRPr="00437FA3" w:rsidRDefault="00D91BFE" w:rsidP="00437FA3">
      <w:pPr>
        <w:pStyle w:val="Ttulo2"/>
        <w:spacing w:line="360" w:lineRule="auto"/>
        <w:rPr>
          <w:szCs w:val="24"/>
        </w:rPr>
      </w:pPr>
      <w:bookmarkStart w:id="92" w:name="_Toc465246434"/>
      <w:bookmarkStart w:id="93" w:name="_Toc7787172"/>
      <w:r w:rsidRPr="00437FA3">
        <w:rPr>
          <w:szCs w:val="24"/>
        </w:rPr>
        <w:t>I</w:t>
      </w:r>
      <w:r w:rsidR="00B7450B" w:rsidRPr="00437FA3">
        <w:rPr>
          <w:szCs w:val="24"/>
        </w:rPr>
        <w:t>I</w:t>
      </w:r>
      <w:r w:rsidR="00A957FE" w:rsidRPr="00437FA3">
        <w:rPr>
          <w:szCs w:val="24"/>
        </w:rPr>
        <w:t>I</w:t>
      </w:r>
      <w:r w:rsidR="00BA1C5A" w:rsidRPr="00437FA3">
        <w:rPr>
          <w:szCs w:val="24"/>
        </w:rPr>
        <w:t>. De la versión pública.</w:t>
      </w:r>
      <w:bookmarkEnd w:id="92"/>
      <w:bookmarkEnd w:id="93"/>
    </w:p>
    <w:p w14:paraId="6CEAD1C8" w14:textId="77777777" w:rsidR="00790D17" w:rsidRPr="00437FA3" w:rsidRDefault="00790D17" w:rsidP="00437FA3">
      <w:pPr>
        <w:spacing w:line="360" w:lineRule="auto"/>
        <w:rPr>
          <w:rFonts w:ascii="Palatino Linotype" w:hAnsi="Palatino Linotype"/>
        </w:rPr>
      </w:pPr>
    </w:p>
    <w:p w14:paraId="2BBE850E" w14:textId="77777777" w:rsidR="00123DB0" w:rsidRPr="00437FA3" w:rsidRDefault="00123DB0" w:rsidP="00437FA3">
      <w:pPr>
        <w:pStyle w:val="Prrafodelista"/>
        <w:numPr>
          <w:ilvl w:val="0"/>
          <w:numId w:val="1"/>
        </w:numPr>
        <w:spacing w:line="360" w:lineRule="auto"/>
        <w:ind w:left="0" w:firstLine="0"/>
        <w:jc w:val="both"/>
        <w:rPr>
          <w:rFonts w:ascii="Palatino Linotype" w:hAnsi="Palatino Linotype" w:cs="Arial"/>
          <w:i/>
          <w:color w:val="000000" w:themeColor="text1"/>
        </w:rPr>
      </w:pPr>
      <w:r w:rsidRPr="00437FA3">
        <w:rPr>
          <w:rFonts w:ascii="Palatino Linotype" w:eastAsia="Calibri" w:hAnsi="Palatino Linotype" w:cs="Arial"/>
          <w:color w:val="000000" w:themeColor="text1"/>
          <w:lang w:val="es-ES" w:eastAsia="es-MX"/>
        </w:rPr>
        <w:t xml:space="preserve">Es de señalar, que por lo que hace a las versiones públicas, el </w:t>
      </w:r>
      <w:r w:rsidRPr="00437FA3">
        <w:rPr>
          <w:rFonts w:ascii="Palatino Linotype" w:eastAsia="Calibri" w:hAnsi="Palatino Linotype" w:cs="Arial"/>
          <w:b/>
          <w:color w:val="000000" w:themeColor="text1"/>
          <w:lang w:val="es-ES" w:eastAsia="es-MX"/>
        </w:rPr>
        <w:t>SUJETO OBLIGADO</w:t>
      </w:r>
      <w:r w:rsidRPr="00437FA3">
        <w:rPr>
          <w:rFonts w:ascii="Palatino Linotype" w:eastAsia="Calibri" w:hAnsi="Palatino Linotype" w:cs="Arial"/>
          <w:color w:val="000000" w:themeColor="text1"/>
          <w:lang w:val="es-ES" w:eastAsia="es-MX"/>
        </w:rPr>
        <w:t xml:space="preserve"> debe cumplir con las formalidades exigidas en la Ley, por lo que </w:t>
      </w:r>
      <w:r w:rsidRPr="00437FA3">
        <w:rPr>
          <w:rFonts w:ascii="Palatino Linotype" w:eastAsia="Times New Roman" w:hAnsi="Palatino Linotype" w:cs="Arial"/>
          <w:color w:val="000000" w:themeColor="text1"/>
          <w:lang w:eastAsia="es-MX"/>
        </w:rPr>
        <w:t xml:space="preserve">para tal efecto emitirá el </w:t>
      </w:r>
      <w:r w:rsidRPr="00437FA3">
        <w:rPr>
          <w:rFonts w:ascii="Palatino Linotype" w:eastAsia="Calibri" w:hAnsi="Palatino Linotype" w:cs="Arial"/>
          <w:color w:val="000000" w:themeColor="text1"/>
          <w:lang w:val="es-ES" w:eastAsia="es-MX"/>
        </w:rPr>
        <w:t xml:space="preserve">Acuerdo del Comité de Transparencia en términos de los </w:t>
      </w:r>
      <w:r w:rsidRPr="00437FA3">
        <w:rPr>
          <w:rFonts w:ascii="Palatino Linotype" w:eastAsia="Calibri" w:hAnsi="Palatino Linotype" w:cs="Arial"/>
          <w:color w:val="000000" w:themeColor="text1"/>
          <w:lang w:val="es-ES" w:eastAsia="es-MX"/>
        </w:rPr>
        <w:lastRenderedPageBreak/>
        <w:t>artículos 49 fracción</w:t>
      </w:r>
      <w:r w:rsidRPr="00437FA3">
        <w:rPr>
          <w:rFonts w:ascii="Palatino Linotype" w:eastAsia="Calibri" w:hAnsi="Palatino Linotype" w:cs="Arial"/>
          <w:bCs/>
          <w:color w:val="000000" w:themeColor="text1"/>
        </w:rPr>
        <w:t xml:space="preserve"> VIII,</w:t>
      </w:r>
      <w:r w:rsidRPr="00437FA3">
        <w:rPr>
          <w:rFonts w:ascii="Palatino Linotype" w:eastAsia="Calibri" w:hAnsi="Palatino Linotype" w:cs="Arial"/>
          <w:color w:val="000000" w:themeColor="text1"/>
          <w:lang w:val="es-ES" w:eastAsia="es-MX"/>
        </w:rPr>
        <w:t xml:space="preserve"> 122</w:t>
      </w:r>
      <w:r w:rsidRPr="00437FA3">
        <w:rPr>
          <w:rFonts w:ascii="Palatino Linotype" w:hAnsi="Palatino Linotype" w:cs="Times New Roman"/>
          <w:vertAlign w:val="superscript"/>
          <w:lang w:val="es-ES" w:eastAsia="es-MX"/>
        </w:rPr>
        <w:footnoteReference w:id="7"/>
      </w:r>
      <w:r w:rsidRPr="00437FA3">
        <w:rPr>
          <w:rFonts w:ascii="Palatino Linotype" w:eastAsia="Calibri" w:hAnsi="Palatino Linotype" w:cs="Arial"/>
          <w:color w:val="000000" w:themeColor="text1"/>
          <w:lang w:val="es-ES" w:eastAsia="es-MX"/>
        </w:rPr>
        <w:t>, 135</w:t>
      </w:r>
      <w:r w:rsidRPr="00437FA3">
        <w:rPr>
          <w:rFonts w:ascii="Palatino Linotype" w:hAnsi="Palatino Linotype" w:cs="Times New Roman"/>
          <w:vertAlign w:val="superscript"/>
          <w:lang w:val="es-ES" w:eastAsia="es-MX"/>
        </w:rPr>
        <w:footnoteReference w:id="8"/>
      </w:r>
      <w:r w:rsidRPr="00437FA3">
        <w:rPr>
          <w:rFonts w:ascii="Palatino Linotype" w:eastAsia="Calibri" w:hAnsi="Palatino Linotype" w:cs="Arial"/>
          <w:color w:val="000000" w:themeColor="text1"/>
          <w:lang w:val="es-ES" w:eastAsia="es-MX"/>
        </w:rPr>
        <w:t xml:space="preserve"> y 149 de la </w:t>
      </w:r>
      <w:r w:rsidRPr="00437FA3">
        <w:rPr>
          <w:rFonts w:ascii="Palatino Linotype" w:eastAsia="Calibri" w:hAnsi="Palatino Linotype" w:cs="Arial"/>
          <w:b/>
          <w:color w:val="000000" w:themeColor="text1"/>
          <w:lang w:val="es-ES" w:eastAsia="es-MX"/>
        </w:rPr>
        <w:t>Ley de Transparencia y Acceso a la Información Pública del Estado de México y Municipios</w:t>
      </w:r>
      <w:r w:rsidRPr="00437FA3">
        <w:rPr>
          <w:rFonts w:ascii="Palatino Linotype" w:eastAsia="Calibri" w:hAnsi="Palatino Linotype" w:cs="Arial"/>
          <w:color w:val="000000" w:themeColor="text1"/>
          <w:lang w:val="es-ES" w:eastAsia="es-MX"/>
        </w:rPr>
        <w:t>, con el cual sustentara de forma fundada y motivada la clasificación de datos y con ello la "versión pública" de los documentos materia de la solicitud.</w:t>
      </w:r>
    </w:p>
    <w:p w14:paraId="47033B3C"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62043BC5"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La </w:t>
      </w:r>
      <w:r w:rsidRPr="00437FA3">
        <w:rPr>
          <w:rFonts w:ascii="Palatino Linotype" w:eastAsia="MS Mincho" w:hAnsi="Palatino Linotype" w:cs="Times New Roman"/>
          <w:b/>
          <w:color w:val="000000"/>
          <w:u w:val="single"/>
        </w:rPr>
        <w:t>clasificación total o parcial</w:t>
      </w:r>
      <w:r w:rsidRPr="00437FA3">
        <w:rPr>
          <w:rFonts w:ascii="Palatino Linotype" w:eastAsia="MS Mincho" w:hAnsi="Palatino Linotype" w:cs="Times New Roman"/>
          <w:color w:val="000000"/>
        </w:rPr>
        <w:t xml:space="preserve"> de la información requerida, mediante solicitud de acceso a la información pública, constituye una restricción al derecho humano de acceso a la información. Como reiteradamente han dicho, diversos órganos jurisdiccionales, ningún derecho es absoluto</w:t>
      </w:r>
      <w:r w:rsidRPr="00437FA3">
        <w:rPr>
          <w:rFonts w:ascii="Palatino Linotype" w:hAnsi="Palatino Linotype"/>
        </w:rPr>
        <w:footnoteReference w:id="9"/>
      </w:r>
      <w:r w:rsidRPr="00437FA3">
        <w:rPr>
          <w:rFonts w:ascii="Palatino Linotype" w:eastAsia="MS Mincho" w:hAnsi="Palatino Linotype" w:cs="Times New Roman"/>
          <w:color w:val="000000"/>
        </w:rPr>
        <w:t xml:space="preserve"> aunque cualquier límite o </w:t>
      </w:r>
      <w:r w:rsidRPr="00437FA3">
        <w:rPr>
          <w:rFonts w:ascii="Palatino Linotype" w:eastAsia="MS Mincho" w:hAnsi="Palatino Linotype" w:cs="Times New Roman"/>
          <w:color w:val="000000"/>
        </w:rPr>
        <w:lastRenderedPageBreak/>
        <w:t>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437FA3">
        <w:rPr>
          <w:rFonts w:ascii="Palatino Linotype" w:hAnsi="Palatino Linotype"/>
        </w:rPr>
        <w:footnoteReference w:id="10"/>
      </w:r>
      <w:r w:rsidRPr="00437FA3">
        <w:rPr>
          <w:rFonts w:ascii="Palatino Linotype" w:eastAsia="MS Mincho" w:hAnsi="Palatino Linotype" w:cs="Times New Roman"/>
          <w:color w:val="000000"/>
        </w:rPr>
        <w:t xml:space="preserve"> En este caso, la clasificación total o parcial de la información </w:t>
      </w:r>
      <w:r w:rsidRPr="00437FA3">
        <w:rPr>
          <w:rFonts w:ascii="Palatino Linotype" w:eastAsia="MS Mincho" w:hAnsi="Palatino Linotype" w:cs="Times New Roman"/>
          <w:color w:val="000000"/>
        </w:rPr>
        <w:lastRenderedPageBreak/>
        <w:t>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5775DFA3"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60115FB5" w14:textId="1FFB6BEA" w:rsidR="00123DB0" w:rsidRPr="00437FA3" w:rsidRDefault="00123DB0" w:rsidP="00437FA3">
      <w:pPr>
        <w:pStyle w:val="Ttulo2"/>
        <w:spacing w:line="360" w:lineRule="auto"/>
        <w:rPr>
          <w:szCs w:val="24"/>
        </w:rPr>
      </w:pPr>
      <w:bookmarkStart w:id="94" w:name="_Toc500422379"/>
      <w:bookmarkStart w:id="95" w:name="_Toc504070607"/>
      <w:bookmarkStart w:id="96" w:name="_Toc505173986"/>
      <w:bookmarkStart w:id="97" w:name="_Toc7787173"/>
      <w:r w:rsidRPr="00437FA3">
        <w:rPr>
          <w:szCs w:val="24"/>
        </w:rPr>
        <w:t>I</w:t>
      </w:r>
      <w:r w:rsidR="00FB2CB2" w:rsidRPr="00437FA3">
        <w:rPr>
          <w:szCs w:val="24"/>
        </w:rPr>
        <w:t>V</w:t>
      </w:r>
      <w:r w:rsidRPr="00437FA3">
        <w:rPr>
          <w:szCs w:val="24"/>
        </w:rPr>
        <w:t>. Requisitos previos</w:t>
      </w:r>
      <w:bookmarkEnd w:id="94"/>
      <w:r w:rsidRPr="00437FA3">
        <w:rPr>
          <w:szCs w:val="24"/>
        </w:rPr>
        <w:t>.</w:t>
      </w:r>
      <w:bookmarkEnd w:id="95"/>
      <w:bookmarkEnd w:id="96"/>
      <w:bookmarkEnd w:id="97"/>
    </w:p>
    <w:p w14:paraId="15918763" w14:textId="77777777" w:rsidR="00123DB0" w:rsidRPr="00437FA3" w:rsidRDefault="00123DB0" w:rsidP="00437FA3">
      <w:pPr>
        <w:spacing w:line="360" w:lineRule="auto"/>
        <w:ind w:left="360"/>
        <w:contextualSpacing/>
        <w:jc w:val="both"/>
        <w:rPr>
          <w:rFonts w:ascii="Palatino Linotype" w:eastAsia="MS Mincho" w:hAnsi="Palatino Linotype" w:cs="Times New Roman"/>
          <w:color w:val="000000"/>
        </w:rPr>
      </w:pPr>
    </w:p>
    <w:p w14:paraId="0B039245" w14:textId="77777777" w:rsidR="00123DB0" w:rsidRPr="00437FA3" w:rsidRDefault="00123DB0" w:rsidP="00437FA3">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Los 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230F287A"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179087C5" w14:textId="77777777" w:rsidR="00123DB0" w:rsidRPr="00437FA3" w:rsidRDefault="00123DB0" w:rsidP="00437FA3">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Además, se debe señalar el procedimiento, de los tres que establecen los artículos 132 y 106 de la Ley Estatal y General, respectivamente, por el que se realiza </w:t>
      </w:r>
      <w:r w:rsidRPr="00437FA3">
        <w:rPr>
          <w:rFonts w:ascii="Palatino Linotype" w:eastAsia="MS Mincho" w:hAnsi="Palatino Linotype" w:cs="Times New Roman"/>
          <w:color w:val="000000"/>
        </w:rPr>
        <w:lastRenderedPageBreak/>
        <w:t>dicha clasificación, a saber, cuando se atiende una solicitud de acceso a la información, porque lo determina una autoridad competente o porque se va a generar una versión pública para cumplir con sus obligaciones.</w:t>
      </w:r>
    </w:p>
    <w:p w14:paraId="1EB553EE"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2D619041" w14:textId="77777777" w:rsidR="00123DB0" w:rsidRPr="00437FA3" w:rsidRDefault="00123DB0" w:rsidP="00437FA3">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El último de estos requisitos previos consiste en que no se pueden emitir acuerdos de carácter general ni particular, según lo disponen los artículos 134 y 108 de la Ley Estatal y de la Ley General,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12E7C956"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612392CD" w14:textId="20895A1E" w:rsidR="00123DB0" w:rsidRPr="00437FA3" w:rsidRDefault="00123DB0" w:rsidP="00437FA3">
      <w:pPr>
        <w:pStyle w:val="Ttulo2"/>
        <w:spacing w:line="360" w:lineRule="auto"/>
        <w:rPr>
          <w:szCs w:val="24"/>
        </w:rPr>
      </w:pPr>
      <w:bookmarkStart w:id="98" w:name="_Toc500422380"/>
      <w:bookmarkStart w:id="99" w:name="_Toc504070608"/>
      <w:bookmarkStart w:id="100" w:name="_Toc505173987"/>
      <w:bookmarkStart w:id="101" w:name="_Toc7787174"/>
      <w:r w:rsidRPr="00437FA3">
        <w:rPr>
          <w:szCs w:val="24"/>
        </w:rPr>
        <w:t xml:space="preserve">V. </w:t>
      </w:r>
      <w:r w:rsidRPr="00437FA3">
        <w:rPr>
          <w:rFonts w:eastAsia="MS Mincho" w:cs="Times New Roman"/>
          <w:color w:val="000000"/>
          <w:szCs w:val="24"/>
        </w:rPr>
        <w:t>Supuestos de clasificación</w:t>
      </w:r>
      <w:bookmarkEnd w:id="98"/>
      <w:r w:rsidRPr="00437FA3">
        <w:rPr>
          <w:rFonts w:eastAsia="MS Mincho" w:cs="Times New Roman"/>
          <w:color w:val="000000"/>
          <w:szCs w:val="24"/>
        </w:rPr>
        <w:t>.</w:t>
      </w:r>
      <w:bookmarkEnd w:id="99"/>
      <w:bookmarkEnd w:id="100"/>
      <w:bookmarkEnd w:id="101"/>
    </w:p>
    <w:p w14:paraId="2CC3A2E8"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Las disposiciones constitucionales y legales en la materia establecen los dos supuestos generales para clasificar la información: por reserva y por confidencialidad.</w:t>
      </w:r>
    </w:p>
    <w:p w14:paraId="684D6F5A"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7DB5BE10"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Mientras que los artículos 143 y 116 de la Ley Estatal y de la Ley General, respectivamente, señalan los supuestos para que la información pueda ser clasificada como confidencial:</w:t>
      </w:r>
    </w:p>
    <w:p w14:paraId="40495B02" w14:textId="77777777" w:rsidR="00123DB0" w:rsidRPr="00437FA3" w:rsidRDefault="00123DB0" w:rsidP="00437FA3">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lastRenderedPageBreak/>
        <w:t xml:space="preserve">I. Se refiera a la información privada y los datos personales concernientes a una persona física o </w:t>
      </w:r>
      <w:proofErr w:type="gramStart"/>
      <w:r w:rsidRPr="00437FA3">
        <w:rPr>
          <w:rFonts w:ascii="Palatino Linotype" w:eastAsia="MS Mincho" w:hAnsi="Palatino Linotype" w:cs="Times New Roman"/>
          <w:i/>
          <w:color w:val="000000"/>
        </w:rPr>
        <w:t>jurídico</w:t>
      </w:r>
      <w:proofErr w:type="gramEnd"/>
      <w:r w:rsidRPr="00437FA3">
        <w:rPr>
          <w:rFonts w:ascii="Palatino Linotype" w:eastAsia="MS Mincho" w:hAnsi="Palatino Linotype" w:cs="Times New Roman"/>
          <w:i/>
          <w:color w:val="000000"/>
        </w:rPr>
        <w:t xml:space="preserve"> colectiva identificada o identificable; </w:t>
      </w:r>
    </w:p>
    <w:p w14:paraId="5935247B" w14:textId="77777777" w:rsidR="00123DB0" w:rsidRPr="00437FA3" w:rsidRDefault="00123DB0" w:rsidP="00437FA3">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II. Los secretos bancario, fiduciario, industrial, comercial, fiscal, bursátil y postal, cuya titularidad corresponda a particulares, sujetos de derecho internacional o a sujetos obligados cuando no involucren el ejercicio de recursos públicos; y </w:t>
      </w:r>
    </w:p>
    <w:p w14:paraId="66C56AD5" w14:textId="77777777" w:rsidR="00123DB0" w:rsidRPr="00437FA3" w:rsidRDefault="00123DB0" w:rsidP="00437FA3">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III. La que presenten los particulares a los sujetos obligados, de conformidad con lo dispuesto por las leyes o los tratados internacionales. </w:t>
      </w:r>
    </w:p>
    <w:p w14:paraId="3EA059A7" w14:textId="77777777" w:rsidR="00123DB0" w:rsidRPr="00437FA3" w:rsidRDefault="00123DB0" w:rsidP="00437FA3">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La información confidencial no estará sujeta a temporalidad alguna y sólo podrán tener acceso a ella los titulares de la misma, sus representantes y los servidores públicos facultados para ello. </w:t>
      </w:r>
    </w:p>
    <w:p w14:paraId="289C2134" w14:textId="77777777" w:rsidR="00123DB0" w:rsidRPr="00437FA3" w:rsidRDefault="00123DB0" w:rsidP="00437FA3">
      <w:pPr>
        <w:widowControl w:val="0"/>
        <w:autoSpaceDE w:val="0"/>
        <w:autoSpaceDN w:val="0"/>
        <w:adjustRightInd w:val="0"/>
        <w:spacing w:after="240" w:line="360" w:lineRule="auto"/>
        <w:ind w:left="567" w:right="567"/>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No se considerará confidencial la información que se encuentre en los registros públicos o en fuentes de acceso público, ni tampoco la que sea considerada por la presente ley como información pública. </w:t>
      </w:r>
    </w:p>
    <w:p w14:paraId="08B290F3"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456F7193"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5F64F030"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Como consecuencia de lo anterior, el sujeto obligado debe identificar claramente el tipo de información y hacer un juicio de subsunción o encaje</w:t>
      </w:r>
      <w:r w:rsidRPr="00437FA3">
        <w:rPr>
          <w:rFonts w:ascii="Palatino Linotype" w:hAnsi="Palatino Linotype"/>
        </w:rPr>
        <w:footnoteReference w:id="11"/>
      </w:r>
      <w:r w:rsidRPr="00437FA3">
        <w:rPr>
          <w:rFonts w:ascii="Palatino Linotype" w:eastAsia="MS Mincho" w:hAnsi="Palatino Linotype" w:cs="Times New Roman"/>
          <w:color w:val="000000"/>
        </w:rPr>
        <w:t xml:space="preserve"> para acreditar que el supuesto de hecho corresponde estrictamente con la hipótesis jurídica. Esto también lo debe de realizar el servidor público habilitado y el titular del área que administra la información.</w:t>
      </w:r>
    </w:p>
    <w:p w14:paraId="3E5F4ED5"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696022B5"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Una vez hecho lo anterior, se remite la información al Titular de la Unidad de Transparencia, con el acuerdo de clasificación correspondiente, para que sea sometido al conocimiento del Comité de Transparencia.</w:t>
      </w:r>
    </w:p>
    <w:p w14:paraId="28207816" w14:textId="500E99DE" w:rsidR="00123DB0" w:rsidRDefault="00123DB0" w:rsidP="00437FA3">
      <w:pPr>
        <w:pStyle w:val="Ttulo2"/>
        <w:spacing w:line="360" w:lineRule="auto"/>
        <w:rPr>
          <w:szCs w:val="24"/>
        </w:rPr>
      </w:pPr>
      <w:bookmarkStart w:id="102" w:name="_Toc500422381"/>
      <w:bookmarkStart w:id="103" w:name="_Toc504070609"/>
      <w:bookmarkStart w:id="104" w:name="_Toc505173988"/>
      <w:bookmarkStart w:id="105" w:name="_Toc7787175"/>
      <w:r w:rsidRPr="00437FA3">
        <w:rPr>
          <w:szCs w:val="24"/>
        </w:rPr>
        <w:t>V</w:t>
      </w:r>
      <w:r w:rsidR="002711BA" w:rsidRPr="00437FA3">
        <w:rPr>
          <w:szCs w:val="24"/>
        </w:rPr>
        <w:t>I</w:t>
      </w:r>
      <w:r w:rsidRPr="00437FA3">
        <w:rPr>
          <w:szCs w:val="24"/>
        </w:rPr>
        <w:t>. La intervención del Comité de Transparencia.</w:t>
      </w:r>
      <w:bookmarkEnd w:id="102"/>
      <w:bookmarkEnd w:id="103"/>
      <w:bookmarkEnd w:id="104"/>
      <w:bookmarkEnd w:id="105"/>
    </w:p>
    <w:p w14:paraId="70E2AD0F" w14:textId="77777777" w:rsidR="00437FA3" w:rsidRPr="00437FA3" w:rsidRDefault="00437FA3" w:rsidP="00437FA3">
      <w:pPr>
        <w:rPr>
          <w:lang w:val="es-MX" w:eastAsia="en-US"/>
        </w:rPr>
      </w:pPr>
    </w:p>
    <w:p w14:paraId="00ABA0EA" w14:textId="77777777" w:rsidR="00123DB0" w:rsidRPr="00437FA3" w:rsidRDefault="00123DB0" w:rsidP="00437FA3">
      <w:pPr>
        <w:pStyle w:val="Ttulo3"/>
        <w:spacing w:line="360" w:lineRule="auto"/>
        <w:rPr>
          <w:rFonts w:ascii="Palatino Linotype" w:hAnsi="Palatino Linotype"/>
          <w:b/>
          <w:color w:val="000000" w:themeColor="text1"/>
          <w:lang w:val="es-MX" w:eastAsia="en-US"/>
        </w:rPr>
      </w:pPr>
      <w:bookmarkStart w:id="106" w:name="_Toc500422382"/>
      <w:bookmarkStart w:id="107" w:name="_Toc504070610"/>
      <w:bookmarkStart w:id="108" w:name="_Toc505173989"/>
      <w:bookmarkStart w:id="109" w:name="_Toc7787176"/>
      <w:r w:rsidRPr="00437FA3">
        <w:rPr>
          <w:rFonts w:ascii="Palatino Linotype" w:hAnsi="Palatino Linotype"/>
          <w:b/>
          <w:color w:val="000000" w:themeColor="text1"/>
          <w:lang w:val="es-MX" w:eastAsia="en-US"/>
        </w:rPr>
        <w:lastRenderedPageBreak/>
        <w:t>A. Formalidades para emitir el acuerdo de clasificación.</w:t>
      </w:r>
      <w:bookmarkEnd w:id="106"/>
      <w:bookmarkEnd w:id="107"/>
      <w:bookmarkEnd w:id="108"/>
      <w:bookmarkEnd w:id="109"/>
    </w:p>
    <w:p w14:paraId="5348D7F8"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2C923052"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El 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7F5475F4"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663E0C5F"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Evidentemente, 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w:t>
      </w:r>
      <w:r w:rsidRPr="00437FA3">
        <w:rPr>
          <w:rFonts w:ascii="Palatino Linotype" w:eastAsia="MS Mincho" w:hAnsi="Palatino Linotype" w:cs="Times New Roman"/>
          <w:color w:val="000000"/>
        </w:rPr>
        <w:lastRenderedPageBreak/>
        <w:t>que no debe de existir dependencia jerárquica entre sus integrantes. Cualquier otra composición del Comité puede generar vicios de legalidad de origen en el acto que restringe un derecho humano.</w:t>
      </w:r>
    </w:p>
    <w:p w14:paraId="756D86BA"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05D69532"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La 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142649F3"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1BEFBE41" w14:textId="77777777" w:rsidR="00123DB0" w:rsidRPr="00437FA3" w:rsidRDefault="00123DB0" w:rsidP="00437FA3">
      <w:pPr>
        <w:pStyle w:val="Ttulo3"/>
        <w:spacing w:line="360" w:lineRule="auto"/>
        <w:rPr>
          <w:rFonts w:ascii="Palatino Linotype" w:hAnsi="Palatino Linotype"/>
          <w:b/>
          <w:color w:val="000000" w:themeColor="text1"/>
        </w:rPr>
      </w:pPr>
      <w:bookmarkStart w:id="110" w:name="_Toc500422383"/>
      <w:bookmarkStart w:id="111" w:name="_Toc504070611"/>
      <w:bookmarkStart w:id="112" w:name="_Toc505173990"/>
      <w:bookmarkStart w:id="113" w:name="_Toc7787177"/>
      <w:r w:rsidRPr="00437FA3">
        <w:rPr>
          <w:rFonts w:ascii="Palatino Linotype" w:hAnsi="Palatino Linotype"/>
          <w:b/>
          <w:color w:val="000000" w:themeColor="text1"/>
        </w:rPr>
        <w:t>B. Requisitos de fondo del acuerdo de clasificación.</w:t>
      </w:r>
      <w:bookmarkEnd w:id="110"/>
      <w:bookmarkEnd w:id="111"/>
      <w:bookmarkEnd w:id="112"/>
      <w:bookmarkEnd w:id="113"/>
    </w:p>
    <w:p w14:paraId="57628852"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w:t>
      </w:r>
      <w:r w:rsidRPr="00437FA3">
        <w:rPr>
          <w:rFonts w:ascii="Palatino Linotype" w:eastAsia="MS Mincho" w:hAnsi="Palatino Linotype" w:cs="Times New Roman"/>
          <w:color w:val="000000"/>
        </w:rPr>
        <w:lastRenderedPageBreak/>
        <w:t xml:space="preserve">prueba, para justificar las restricciones, corresponde a los sujetos obligados, por lo que deberán fundar y motivar debidamente la clasificación. </w:t>
      </w:r>
    </w:p>
    <w:p w14:paraId="7A14A147"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047C2BCA"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De 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2AA895C3"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20862838"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w:t>
      </w:r>
      <w:r w:rsidRPr="00437FA3">
        <w:rPr>
          <w:rFonts w:ascii="Palatino Linotype" w:eastAsia="MS Mincho" w:hAnsi="Palatino Linotype" w:cs="Times New Roman"/>
          <w:color w:val="000000"/>
        </w:rPr>
        <w:lastRenderedPageBreak/>
        <w:t>del análisis de las pruebas, lo cual se debe exteriorizar en una argumentación o juicio de hecho....”</w:t>
      </w:r>
      <w:r w:rsidRPr="00437FA3">
        <w:rPr>
          <w:rFonts w:ascii="Palatino Linotype" w:hAnsi="Palatino Linotype"/>
        </w:rPr>
        <w:footnoteReference w:id="12"/>
      </w:r>
    </w:p>
    <w:p w14:paraId="55C19FAB"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00174D39" w14:textId="77777777" w:rsidR="00123DB0" w:rsidRPr="00437FA3" w:rsidRDefault="00123DB0" w:rsidP="00437FA3">
      <w:pPr>
        <w:pStyle w:val="Prrafodelista"/>
        <w:numPr>
          <w:ilvl w:val="0"/>
          <w:numId w:val="1"/>
        </w:numPr>
        <w:spacing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Por su parte, el intérprete judicial del país ha establecido una jurisprudencia respecto a qué debe entenderse por fundamentación y motivación, en los siguientes términos:</w:t>
      </w:r>
    </w:p>
    <w:p w14:paraId="18FA3EFA" w14:textId="77777777" w:rsidR="00123DB0" w:rsidRPr="00437FA3" w:rsidRDefault="00123DB0" w:rsidP="00437FA3">
      <w:pPr>
        <w:spacing w:line="360" w:lineRule="auto"/>
        <w:ind w:left="426"/>
        <w:contextualSpacing/>
        <w:jc w:val="both"/>
        <w:rPr>
          <w:rFonts w:ascii="Palatino Linotype" w:eastAsia="MS Mincho" w:hAnsi="Palatino Linotype" w:cs="Times New Roman"/>
          <w:color w:val="000000"/>
        </w:rPr>
      </w:pPr>
    </w:p>
    <w:p w14:paraId="534ECA4C"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b/>
          <w:i/>
          <w:color w:val="000000"/>
        </w:rPr>
        <w:t>FUNDAMENTACIÓN Y MOTIVACIÓN.</w:t>
      </w:r>
      <w:r w:rsidRPr="00437FA3">
        <w:rPr>
          <w:rFonts w:ascii="Palatino Linotype" w:eastAsia="MS Mincho" w:hAnsi="Palatino Linotype" w:cs="Times New Roman"/>
          <w:i/>
          <w:color w:val="000000"/>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10B3A610"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SEGUNDO TRIBUNAL COLEGIADO DEL SEXTO CIRCUITO.</w:t>
      </w:r>
    </w:p>
    <w:p w14:paraId="56F67D04"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Amparo directo 194/88. Bufete Industrial Construcciones, S.A. de C.V. 28 de junio de 1988. Unanimidad de votos. Ponente: Gustavo Calvillo Rangel. Secretario: Jorge Alberto González Álvarez.</w:t>
      </w:r>
    </w:p>
    <w:p w14:paraId="4926EE0D"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lastRenderedPageBreak/>
        <w:t xml:space="preserve">Revisión fiscal 103/88. Instituto Mexicano del Seguro Social. 18 de octubre de 1988. Unanimidad de votos. Ponente: Arnoldo Nájera Virgen. Secretario: Alejandro </w:t>
      </w:r>
      <w:proofErr w:type="spellStart"/>
      <w:r w:rsidRPr="00437FA3">
        <w:rPr>
          <w:rFonts w:ascii="Palatino Linotype" w:eastAsia="MS Mincho" w:hAnsi="Palatino Linotype" w:cs="Times New Roman"/>
          <w:i/>
          <w:color w:val="000000"/>
        </w:rPr>
        <w:t>Esponda</w:t>
      </w:r>
      <w:proofErr w:type="spellEnd"/>
      <w:r w:rsidRPr="00437FA3">
        <w:rPr>
          <w:rFonts w:ascii="Palatino Linotype" w:eastAsia="MS Mincho" w:hAnsi="Palatino Linotype" w:cs="Times New Roman"/>
          <w:i/>
          <w:color w:val="000000"/>
        </w:rPr>
        <w:t xml:space="preserve"> Rincón.</w:t>
      </w:r>
    </w:p>
    <w:p w14:paraId="75873C44"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Amparo en revisión 333/88. </w:t>
      </w:r>
      <w:proofErr w:type="spellStart"/>
      <w:r w:rsidRPr="00437FA3">
        <w:rPr>
          <w:rFonts w:ascii="Palatino Linotype" w:eastAsia="MS Mincho" w:hAnsi="Palatino Linotype" w:cs="Times New Roman"/>
          <w:i/>
          <w:color w:val="000000"/>
        </w:rPr>
        <w:t>Adilia</w:t>
      </w:r>
      <w:proofErr w:type="spellEnd"/>
      <w:r w:rsidRPr="00437FA3">
        <w:rPr>
          <w:rFonts w:ascii="Palatino Linotype" w:eastAsia="MS Mincho" w:hAnsi="Palatino Linotype" w:cs="Times New Roman"/>
          <w:i/>
          <w:color w:val="000000"/>
        </w:rPr>
        <w:t xml:space="preserve"> Romero. 26 de octubre de 1988. Unanimidad de votos. Ponente: Arnoldo Nájera Virgen. Secretario: Enrique Crispín Campos Ramírez.</w:t>
      </w:r>
    </w:p>
    <w:p w14:paraId="601FEAD9"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Amparo en revisión 597/95. Emilio Maurer Bretón. 15 de noviembre de 1995. Unanimidad de votos. Ponente: Clementina Ramírez Moguel </w:t>
      </w:r>
      <w:proofErr w:type="spellStart"/>
      <w:r w:rsidRPr="00437FA3">
        <w:rPr>
          <w:rFonts w:ascii="Palatino Linotype" w:eastAsia="MS Mincho" w:hAnsi="Palatino Linotype" w:cs="Times New Roman"/>
          <w:i/>
          <w:color w:val="000000"/>
        </w:rPr>
        <w:t>Goyzueta</w:t>
      </w:r>
      <w:proofErr w:type="spellEnd"/>
      <w:r w:rsidRPr="00437FA3">
        <w:rPr>
          <w:rFonts w:ascii="Palatino Linotype" w:eastAsia="MS Mincho" w:hAnsi="Palatino Linotype" w:cs="Times New Roman"/>
          <w:i/>
          <w:color w:val="000000"/>
        </w:rPr>
        <w:t>. Secretario: Gonzalo Carrera Molina.</w:t>
      </w:r>
    </w:p>
    <w:p w14:paraId="43816145" w14:textId="77777777" w:rsidR="00123DB0" w:rsidRPr="00437FA3" w:rsidRDefault="00123DB0" w:rsidP="00437FA3">
      <w:pPr>
        <w:spacing w:line="360" w:lineRule="auto"/>
        <w:ind w:left="851" w:right="618"/>
        <w:contextualSpacing/>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Amparo directo 7/96. Pedro Vicente López Miro. 21 de febrero de 1996. Unanimidad de votos. Ponente: María Eugenia Estela Martínez Cardiel. Secretario: Enrique </w:t>
      </w:r>
      <w:proofErr w:type="spellStart"/>
      <w:r w:rsidRPr="00437FA3">
        <w:rPr>
          <w:rFonts w:ascii="Palatino Linotype" w:eastAsia="MS Mincho" w:hAnsi="Palatino Linotype" w:cs="Times New Roman"/>
          <w:i/>
          <w:color w:val="000000"/>
        </w:rPr>
        <w:t>Baigts</w:t>
      </w:r>
      <w:proofErr w:type="spellEnd"/>
      <w:r w:rsidRPr="00437FA3">
        <w:rPr>
          <w:rFonts w:ascii="Palatino Linotype" w:eastAsia="MS Mincho" w:hAnsi="Palatino Linotype" w:cs="Times New Roman"/>
          <w:i/>
          <w:color w:val="000000"/>
        </w:rPr>
        <w:t xml:space="preserve"> Muñoz.</w:t>
      </w:r>
    </w:p>
    <w:p w14:paraId="557D771F"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494FBF0C"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13610096"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En consecuencia, la fundamentación y motivación implica que, en el acto de autoridad, además de contenerse los supuestos jurídicos aplicables se expliquen claramente por qué a través de la utilización de la norma se emitió el acto. De este </w:t>
      </w:r>
      <w:r w:rsidRPr="00437FA3">
        <w:rPr>
          <w:rFonts w:ascii="Palatino Linotype" w:eastAsia="MS Mincho" w:hAnsi="Palatino Linotype" w:cs="Times New Roman"/>
          <w:color w:val="000000"/>
        </w:rPr>
        <w:lastRenderedPageBreak/>
        <w:t>modo, la persona que se sienta afectada pueda impugnar la decisión, permitiéndole una real y auténtica defensa.</w:t>
      </w:r>
    </w:p>
    <w:p w14:paraId="0B602A13"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033ADB7F"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En ese mismo sentido, el numeral trigésimo tercero fracción V de los Lineamientos Generales, precisa que para motivar la clasificación se deben acreditar las circunstancias de tiempo, modo y lugar.</w:t>
      </w:r>
    </w:p>
    <w:p w14:paraId="1FDA2CA4" w14:textId="77777777" w:rsidR="00123DB0" w:rsidRPr="00437FA3" w:rsidRDefault="00123DB0" w:rsidP="00437FA3">
      <w:pPr>
        <w:pStyle w:val="Prrafodelista"/>
        <w:spacing w:line="360" w:lineRule="auto"/>
        <w:ind w:left="0"/>
        <w:jc w:val="both"/>
        <w:rPr>
          <w:rFonts w:ascii="Palatino Linotype" w:eastAsia="MS Mincho" w:hAnsi="Palatino Linotype" w:cs="Times New Roman"/>
          <w:color w:val="000000"/>
        </w:rPr>
      </w:pPr>
    </w:p>
    <w:p w14:paraId="0FEF5AF6" w14:textId="77777777" w:rsidR="00123DB0" w:rsidRDefault="00123DB0" w:rsidP="00437FA3">
      <w:pPr>
        <w:pStyle w:val="Ttulo4"/>
        <w:spacing w:line="360" w:lineRule="auto"/>
        <w:jc w:val="both"/>
        <w:rPr>
          <w:rFonts w:ascii="Palatino Linotype" w:hAnsi="Palatino Linotype"/>
          <w:b/>
          <w:i w:val="0"/>
          <w:color w:val="000000" w:themeColor="text1"/>
        </w:rPr>
      </w:pPr>
      <w:r w:rsidRPr="00437FA3">
        <w:rPr>
          <w:rFonts w:ascii="Palatino Linotype" w:hAnsi="Palatino Linotype"/>
          <w:b/>
          <w:i w:val="0"/>
          <w:color w:val="000000" w:themeColor="text1"/>
        </w:rPr>
        <w:t>a) Condiciones especiales de la clasificación de la información como confidencial.</w:t>
      </w:r>
    </w:p>
    <w:p w14:paraId="7244703C" w14:textId="77777777" w:rsidR="00437FA3" w:rsidRPr="00437FA3" w:rsidRDefault="00437FA3" w:rsidP="00437FA3"/>
    <w:p w14:paraId="6C813880"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 xml:space="preserve">Los artículos 148 y 120 de la Ley Estatal y de la Ley General, respectivamente, establecen que aun tratándose de datos personales, se podrán proporcionar, incluso sin solicitar el consentimiento de su titular, cuando dichos datos correspondan a los siguientes supuestos: </w:t>
      </w:r>
    </w:p>
    <w:p w14:paraId="34617BFD" w14:textId="77777777" w:rsidR="00123DB0" w:rsidRPr="00437FA3" w:rsidRDefault="00123DB0" w:rsidP="00437FA3">
      <w:pPr>
        <w:spacing w:line="360" w:lineRule="auto"/>
        <w:ind w:left="851" w:right="333"/>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I. La información se encuentre en registros públicos o fuentes de acceso público;</w:t>
      </w:r>
    </w:p>
    <w:p w14:paraId="1ADE6B8F" w14:textId="77777777" w:rsidR="00123DB0" w:rsidRPr="00437FA3" w:rsidRDefault="00123DB0" w:rsidP="00437FA3">
      <w:pPr>
        <w:spacing w:line="360" w:lineRule="auto"/>
        <w:ind w:left="851" w:right="333"/>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II. Por Ley tenga el carácter de pública;</w:t>
      </w:r>
    </w:p>
    <w:p w14:paraId="61D10DD6" w14:textId="77777777" w:rsidR="00123DB0" w:rsidRPr="00437FA3" w:rsidRDefault="00123DB0" w:rsidP="00437FA3">
      <w:pPr>
        <w:spacing w:line="360" w:lineRule="auto"/>
        <w:ind w:left="851" w:right="333"/>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III. Exista una orden judicial; </w:t>
      </w:r>
    </w:p>
    <w:p w14:paraId="2C0CB01F" w14:textId="77777777" w:rsidR="00123DB0" w:rsidRPr="00437FA3" w:rsidRDefault="00123DB0" w:rsidP="00437FA3">
      <w:pPr>
        <w:spacing w:line="360" w:lineRule="auto"/>
        <w:ind w:left="851" w:right="333"/>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IV. Por razones de seguridad pública, o para proteger los derechos de terceros, se requiera su publicación; o </w:t>
      </w:r>
    </w:p>
    <w:p w14:paraId="7DCD65E2" w14:textId="77777777" w:rsidR="00123DB0" w:rsidRPr="00437FA3" w:rsidRDefault="00123DB0" w:rsidP="00437FA3">
      <w:pPr>
        <w:spacing w:line="360" w:lineRule="auto"/>
        <w:ind w:left="851" w:right="333"/>
        <w:jc w:val="both"/>
        <w:rPr>
          <w:rFonts w:ascii="Palatino Linotype" w:eastAsia="MS Mincho" w:hAnsi="Palatino Linotype" w:cs="Times New Roman"/>
          <w:i/>
          <w:color w:val="000000"/>
        </w:rPr>
      </w:pPr>
      <w:r w:rsidRPr="00437FA3">
        <w:rPr>
          <w:rFonts w:ascii="Palatino Linotype" w:eastAsia="MS Mincho" w:hAnsi="Palatino Linotype" w:cs="Times New Roman"/>
          <w:i/>
          <w:color w:val="000000"/>
        </w:rPr>
        <w:t xml:space="preserve">V. Cuando se transmita entre sujetos obligados y entre éstos y los sujetos de derecho internacional, en términos de los tratados y los acuerdos </w:t>
      </w:r>
      <w:r w:rsidRPr="00437FA3">
        <w:rPr>
          <w:rFonts w:ascii="Palatino Linotype" w:eastAsia="MS Mincho" w:hAnsi="Palatino Linotype" w:cs="Times New Roman"/>
          <w:i/>
          <w:color w:val="000000"/>
        </w:rPr>
        <w:lastRenderedPageBreak/>
        <w:t xml:space="preserve">interinstitucionales, siempre y cuando la información se utilice para el ejercicio de facultades propias de los mismos. </w:t>
      </w:r>
    </w:p>
    <w:p w14:paraId="4BCA7A06"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w:t>
      </w:r>
    </w:p>
    <w:p w14:paraId="31B819D0"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7EC30E09" w14:textId="77777777" w:rsidR="00123DB0"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MS Mincho" w:hAnsi="Palatino Linotype" w:cs="Times New Roman"/>
          <w:color w:val="000000"/>
        </w:rPr>
        <w:t>Pero si la información que se pretende clasificar como confidencial no se encuentra en los supuestos antes señalados y es posible, se deberá consultar al titular de los datos si permite o no el acceso. De no ser posible, la realización de la consulta, procede, fundando y motivando, la clasificación.</w:t>
      </w:r>
    </w:p>
    <w:p w14:paraId="1BFE686E" w14:textId="77777777" w:rsidR="00123DB0" w:rsidRPr="00437FA3" w:rsidRDefault="00123DB0" w:rsidP="00437FA3">
      <w:pPr>
        <w:pStyle w:val="Prrafodelista"/>
        <w:spacing w:before="240" w:after="240" w:line="360" w:lineRule="auto"/>
        <w:ind w:left="0"/>
        <w:jc w:val="both"/>
        <w:rPr>
          <w:rFonts w:ascii="Palatino Linotype" w:eastAsia="MS Mincho" w:hAnsi="Palatino Linotype" w:cs="Times New Roman"/>
          <w:color w:val="000000"/>
        </w:rPr>
      </w:pPr>
    </w:p>
    <w:p w14:paraId="7043DF2A" w14:textId="4892FE4B" w:rsidR="00662B3D" w:rsidRPr="00437FA3" w:rsidRDefault="00123DB0" w:rsidP="00437FA3">
      <w:pPr>
        <w:pStyle w:val="Prrafodelista"/>
        <w:numPr>
          <w:ilvl w:val="0"/>
          <w:numId w:val="1"/>
        </w:numPr>
        <w:spacing w:before="240" w:after="240" w:line="360" w:lineRule="auto"/>
        <w:ind w:left="0" w:firstLine="0"/>
        <w:jc w:val="both"/>
        <w:rPr>
          <w:rFonts w:ascii="Palatino Linotype" w:eastAsia="MS Mincho" w:hAnsi="Palatino Linotype" w:cs="Times New Roman"/>
          <w:color w:val="000000"/>
        </w:rPr>
      </w:pPr>
      <w:r w:rsidRPr="00437FA3">
        <w:rPr>
          <w:rFonts w:ascii="Palatino Linotype" w:eastAsia="Times New Roman" w:hAnsi="Palatino Linotype" w:cs="Arial"/>
          <w:color w:val="222222"/>
          <w:lang w:val="es-ES" w:eastAsia="es-MX"/>
        </w:rPr>
        <w:t xml:space="preserve">Lo anterior, es de suma importancia, ya que los </w:t>
      </w:r>
      <w:r w:rsidRPr="00437FA3">
        <w:rPr>
          <w:rFonts w:ascii="Palatino Linotype" w:eastAsia="Times New Roman" w:hAnsi="Palatino Linotype" w:cs="Arial"/>
          <w:b/>
          <w:color w:val="222222"/>
          <w:lang w:val="es-ES" w:eastAsia="es-MX"/>
        </w:rPr>
        <w:t>SUJETOS OBLIGADOS</w:t>
      </w:r>
      <w:r w:rsidRPr="00437FA3">
        <w:rPr>
          <w:rFonts w:ascii="Palatino Linotype" w:eastAsia="Times New Roman" w:hAnsi="Palatino Linotype" w:cs="Arial"/>
          <w:color w:val="222222"/>
          <w:lang w:val="es-ES" w:eastAsia="es-MX"/>
        </w:rPr>
        <w:t xml:space="preserve">, deben proteger los datos personales que consten en las documentales que entregan, toda vez que es su responsabilidad elaborar las versiones públicas de la información en ellos contenida y a su vez los documentos que se ponen a la vista, en ese sentido, todos los documentos que proporcionan desde su respuesta, en su informe o en alcance al mismo hasta el cumplimiento de la resolución misma, deben de ser revisados y analizados con detenimiento para que en caso de contener información susceptible de ser clasificada, se elaboren las versiones públicas correspondientes tal y como lo dispone la normatividad aplicable, de tal manera que en una correcta </w:t>
      </w:r>
      <w:r w:rsidRPr="00437FA3">
        <w:rPr>
          <w:rFonts w:ascii="Palatino Linotype" w:eastAsia="Times New Roman" w:hAnsi="Palatino Linotype" w:cs="Arial"/>
          <w:color w:val="222222"/>
          <w:lang w:val="es-ES" w:eastAsia="es-MX"/>
        </w:rPr>
        <w:lastRenderedPageBreak/>
        <w:t>ponderación del derecho al acceso a la información pública y el derecho a la protección de datos personales ambos prevalezcan.</w:t>
      </w:r>
    </w:p>
    <w:p w14:paraId="6F721F26" w14:textId="4A326A59" w:rsidR="00662B3D" w:rsidRDefault="00662B3D" w:rsidP="00437FA3">
      <w:pPr>
        <w:pStyle w:val="Ttulo1"/>
        <w:spacing w:line="360" w:lineRule="auto"/>
        <w:rPr>
          <w:rFonts w:eastAsia="MS Gothic"/>
          <w:szCs w:val="24"/>
        </w:rPr>
      </w:pPr>
      <w:bookmarkStart w:id="114" w:name="_Toc487739452"/>
      <w:bookmarkStart w:id="115" w:name="_Toc534716573"/>
      <w:bookmarkStart w:id="116" w:name="_Toc2798146"/>
      <w:bookmarkStart w:id="117" w:name="_Toc2878597"/>
      <w:bookmarkStart w:id="118" w:name="_Toc7780681"/>
      <w:bookmarkStart w:id="119" w:name="_Toc7787178"/>
      <w:r w:rsidRPr="00437FA3">
        <w:rPr>
          <w:rFonts w:eastAsia="MS Gothic"/>
          <w:szCs w:val="24"/>
        </w:rPr>
        <w:t>QUINTO. Vista a los órganos de control interno</w:t>
      </w:r>
      <w:bookmarkEnd w:id="114"/>
      <w:r w:rsidRPr="00437FA3">
        <w:rPr>
          <w:rFonts w:eastAsia="MS Gothic"/>
          <w:szCs w:val="24"/>
        </w:rPr>
        <w:t>.</w:t>
      </w:r>
      <w:bookmarkEnd w:id="115"/>
      <w:bookmarkEnd w:id="116"/>
      <w:bookmarkEnd w:id="117"/>
      <w:bookmarkEnd w:id="118"/>
      <w:bookmarkEnd w:id="119"/>
    </w:p>
    <w:p w14:paraId="0B26AFC7" w14:textId="77777777" w:rsidR="00437FA3" w:rsidRPr="00437FA3" w:rsidRDefault="00437FA3" w:rsidP="00437FA3">
      <w:pPr>
        <w:rPr>
          <w:lang w:val="es-MX" w:eastAsia="en-US"/>
        </w:rPr>
      </w:pPr>
    </w:p>
    <w:p w14:paraId="0821D8B0" w14:textId="663217CB" w:rsidR="00662B3D" w:rsidRPr="00437FA3" w:rsidRDefault="00437FA3" w:rsidP="00437FA3">
      <w:pPr>
        <w:tabs>
          <w:tab w:val="left" w:pos="0"/>
        </w:tabs>
        <w:spacing w:line="360" w:lineRule="auto"/>
        <w:ind w:right="49"/>
        <w:contextualSpacing/>
        <w:jc w:val="both"/>
        <w:rPr>
          <w:rFonts w:ascii="Palatino Linotype" w:eastAsia="Times New Roman" w:hAnsi="Palatino Linotype"/>
        </w:rPr>
      </w:pPr>
      <w:r>
        <w:rPr>
          <w:rFonts w:ascii="Palatino Linotype" w:eastAsia="Times New Roman" w:hAnsi="Palatino Linotype"/>
        </w:rPr>
        <w:t xml:space="preserve">129. </w:t>
      </w:r>
      <w:r w:rsidR="00662B3D" w:rsidRPr="00437FA3">
        <w:rPr>
          <w:rFonts w:ascii="Palatino Linotype" w:eastAsia="Times New Roman" w:hAnsi="Palatino Linotype"/>
        </w:rPr>
        <w:t xml:space="preserve">Por último, es necesario resaltar que el recurso de revisión previsto en la Ley de la materia no es el medio para investigar y en su caso, sancionar a servidores públicos </w:t>
      </w:r>
      <w:r w:rsidR="00662B3D" w:rsidRPr="00437FA3">
        <w:rPr>
          <w:rFonts w:ascii="Palatino Linotype" w:eastAsia="Times New Roman" w:hAnsi="Palatino Linotype"/>
          <w:b/>
          <w:u w:val="single"/>
        </w:rPr>
        <w:t>por la omisión de la entrega de información pública</w:t>
      </w:r>
      <w:r w:rsidR="00662B3D" w:rsidRPr="00437FA3">
        <w:rPr>
          <w:rFonts w:ascii="Palatino Linotype" w:eastAsia="Times New Roman" w:hAnsi="Palatino Linotype"/>
        </w:rPr>
        <w:t xml:space="preserve"> o en la atención a solicitudes de información; sin embargo, dados los planteamientos que se formularon al presentarse los recursos de revisión, se dará vista al área competente para que en ejercicio de sus atribuciones realice las investigaciones pertinentes por las omisiones detectadas atribuibles al </w:t>
      </w:r>
      <w:r w:rsidR="00662B3D" w:rsidRPr="00437FA3">
        <w:rPr>
          <w:rFonts w:ascii="Palatino Linotype" w:eastAsia="Times New Roman" w:hAnsi="Palatino Linotype"/>
          <w:b/>
        </w:rPr>
        <w:t>SUJETO OBLIGADO</w:t>
      </w:r>
      <w:r w:rsidR="00662B3D" w:rsidRPr="00437FA3">
        <w:rPr>
          <w:rFonts w:ascii="Palatino Linotype" w:eastAsia="Times New Roman" w:hAnsi="Palatino Linotype"/>
        </w:rPr>
        <w:t>.</w:t>
      </w:r>
    </w:p>
    <w:p w14:paraId="1582905D" w14:textId="77777777" w:rsidR="00662B3D" w:rsidRPr="00437FA3" w:rsidRDefault="00662B3D" w:rsidP="00437FA3">
      <w:pPr>
        <w:spacing w:before="240" w:after="240" w:line="360" w:lineRule="auto"/>
        <w:ind w:left="426"/>
        <w:contextualSpacing/>
        <w:jc w:val="both"/>
        <w:rPr>
          <w:rFonts w:ascii="Palatino Linotype" w:eastAsia="Times New Roman" w:hAnsi="Palatino Linotype"/>
        </w:rPr>
      </w:pPr>
    </w:p>
    <w:p w14:paraId="4CE8EAA5" w14:textId="1C8D09B2" w:rsidR="00662B3D" w:rsidRPr="00437FA3" w:rsidRDefault="00437FA3" w:rsidP="000030D8">
      <w:pPr>
        <w:tabs>
          <w:tab w:val="left" w:pos="0"/>
        </w:tabs>
        <w:spacing w:line="360" w:lineRule="auto"/>
        <w:ind w:right="49"/>
        <w:contextualSpacing/>
        <w:jc w:val="both"/>
        <w:rPr>
          <w:rFonts w:ascii="Palatino Linotype" w:eastAsia="Times New Roman" w:hAnsi="Palatino Linotype"/>
        </w:rPr>
      </w:pPr>
      <w:r>
        <w:rPr>
          <w:rFonts w:ascii="Palatino Linotype" w:eastAsia="Times New Roman" w:hAnsi="Palatino Linotype"/>
        </w:rPr>
        <w:t xml:space="preserve">130. </w:t>
      </w:r>
      <w:r w:rsidR="00662B3D" w:rsidRPr="00437FA3">
        <w:rPr>
          <w:rFonts w:ascii="Palatino Linotype" w:eastAsia="Times New Roman" w:hAnsi="Palatino Linotype"/>
        </w:rPr>
        <w:t>Por ello, es conveniente señalar la fracción X, del artículo 36, de la Ley de Transparencia y Acceso a la Información Pública del Estado de México y Municipios, que establece:</w:t>
      </w:r>
    </w:p>
    <w:p w14:paraId="1E7E91E3" w14:textId="77777777" w:rsidR="00662B3D" w:rsidRPr="00437FA3" w:rsidRDefault="00662B3D" w:rsidP="00437FA3">
      <w:pPr>
        <w:spacing w:before="240" w:after="240" w:line="360" w:lineRule="auto"/>
        <w:contextualSpacing/>
        <w:jc w:val="both"/>
        <w:rPr>
          <w:rFonts w:ascii="Palatino Linotype" w:eastAsia="Times New Roman" w:hAnsi="Palatino Linotype"/>
        </w:rPr>
      </w:pPr>
    </w:p>
    <w:p w14:paraId="78AF720D"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t>Artículo 36. El Instituto tendrá, en el ámbito de su competencia, las siguientes atribuciones:</w:t>
      </w:r>
    </w:p>
    <w:p w14:paraId="7DB74C96"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t>(…)</w:t>
      </w:r>
    </w:p>
    <w:p w14:paraId="7C021E09"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t xml:space="preserve">X. Hacer del conocimiento del órgano de control interno o equivalente de cada Sujeto Obligado las infracciones a esta Ley; </w:t>
      </w:r>
    </w:p>
    <w:p w14:paraId="78472FBC"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lastRenderedPageBreak/>
        <w:t>(…)</w:t>
      </w:r>
    </w:p>
    <w:p w14:paraId="5DFF31DC" w14:textId="77777777" w:rsidR="00662B3D" w:rsidRPr="00437FA3" w:rsidRDefault="00662B3D" w:rsidP="00437FA3">
      <w:pPr>
        <w:spacing w:before="240" w:after="240" w:line="360" w:lineRule="auto"/>
        <w:ind w:left="426"/>
        <w:contextualSpacing/>
        <w:jc w:val="both"/>
        <w:rPr>
          <w:rFonts w:ascii="Palatino Linotype" w:eastAsia="MS Mincho" w:hAnsi="Palatino Linotype" w:cs="Arial"/>
        </w:rPr>
      </w:pPr>
    </w:p>
    <w:p w14:paraId="2228BAC9" w14:textId="6534A2ED" w:rsidR="00662B3D" w:rsidRPr="000030D8" w:rsidRDefault="00662B3D" w:rsidP="000030D8">
      <w:pPr>
        <w:pStyle w:val="Prrafodelista"/>
        <w:numPr>
          <w:ilvl w:val="0"/>
          <w:numId w:val="43"/>
        </w:numPr>
        <w:tabs>
          <w:tab w:val="left" w:pos="0"/>
        </w:tabs>
        <w:spacing w:line="360" w:lineRule="auto"/>
        <w:ind w:left="0" w:right="49" w:firstLine="0"/>
        <w:jc w:val="both"/>
        <w:rPr>
          <w:rFonts w:ascii="Palatino Linotype" w:eastAsia="MS Mincho" w:hAnsi="Palatino Linotype" w:cs="Arial"/>
        </w:rPr>
      </w:pPr>
      <w:r w:rsidRPr="000030D8">
        <w:rPr>
          <w:rFonts w:ascii="Palatino Linotype" w:eastAsia="Times New Roman" w:hAnsi="Palatino Linotype"/>
        </w:rPr>
        <w:t xml:space="preserve">Asimismo, este Pleno hará del conocimiento del órgano de control de este Instituto de las infracciones en que el </w:t>
      </w:r>
      <w:r w:rsidRPr="000030D8">
        <w:rPr>
          <w:rFonts w:ascii="Palatino Linotype" w:eastAsia="Times New Roman" w:hAnsi="Palatino Linotype"/>
          <w:b/>
        </w:rPr>
        <w:t>SUJETO OBLIGADO</w:t>
      </w:r>
      <w:r w:rsidRPr="000030D8">
        <w:rPr>
          <w:rFonts w:ascii="Palatino Linotype" w:eastAsia="Times New Roman" w:hAnsi="Palatino Linotype"/>
        </w:rPr>
        <w:t xml:space="preserve"> incurrió, toda vez que la naturaleza de investigar y sancionar corresponde a un ente distinto a éste a través de un procedimiento diferente al recurso de revisión, lo cual se encuentra previsto </w:t>
      </w:r>
      <w:r w:rsidRPr="000030D8">
        <w:rPr>
          <w:rFonts w:ascii="Palatino Linotype" w:eastAsia="MS Mincho" w:hAnsi="Palatino Linotype" w:cs="Arial"/>
        </w:rPr>
        <w:t>en la Ley de Transparencia Acceso a la Información Pública del Estado de México y Municipios específicamente en sus artículos 190, 222 y 223 que señalan lo siguiente:</w:t>
      </w:r>
    </w:p>
    <w:p w14:paraId="0F928026" w14:textId="77777777" w:rsidR="00662B3D" w:rsidRPr="00437FA3" w:rsidRDefault="00662B3D" w:rsidP="00437FA3">
      <w:pPr>
        <w:spacing w:before="240" w:after="240" w:line="360" w:lineRule="auto"/>
        <w:ind w:left="426"/>
        <w:contextualSpacing/>
        <w:jc w:val="both"/>
        <w:rPr>
          <w:rFonts w:ascii="Palatino Linotype" w:eastAsia="MS Mincho" w:hAnsi="Palatino Linotype" w:cs="Arial"/>
        </w:rPr>
      </w:pPr>
    </w:p>
    <w:p w14:paraId="024ADE17"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t>“Artículo 190. Cuando el Instituto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0D36D93F"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p>
    <w:p w14:paraId="0C3904E8"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lastRenderedPageBreak/>
        <w:t>“Artículo 222. Son causas de responsabilidad administrativa de los servidores públicos de los sujetos obligados, por incumplimiento de las obligaciones establecidas en la materia de la presente Ley, las siguientes:</w:t>
      </w:r>
    </w:p>
    <w:p w14:paraId="027DF98A"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t>…</w:t>
      </w:r>
    </w:p>
    <w:p w14:paraId="35DACF5F"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b/>
          <w:i/>
        </w:rPr>
        <w:t>I. Cualquier acto u omisión que provoque la suspensión o deficiencia en la atención de las solicitudes de información</w:t>
      </w:r>
      <w:r w:rsidRPr="00437FA3">
        <w:rPr>
          <w:rFonts w:ascii="Palatino Linotype" w:eastAsia="Times New Roman" w:hAnsi="Palatino Linotype" w:cs="Times New Roman"/>
          <w:i/>
        </w:rPr>
        <w:t>;</w:t>
      </w:r>
    </w:p>
    <w:p w14:paraId="265230D8"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b/>
          <w:i/>
        </w:rPr>
        <w:t>II. La falta de respuesta a las solicitudes de información en los plazos señalados en la normatividad aplicable</w:t>
      </w:r>
      <w:r w:rsidRPr="00437FA3">
        <w:rPr>
          <w:rFonts w:ascii="Palatino Linotype" w:eastAsia="Times New Roman" w:hAnsi="Palatino Linotype" w:cs="Times New Roman"/>
          <w:i/>
        </w:rPr>
        <w:t>;</w:t>
      </w:r>
    </w:p>
    <w:p w14:paraId="3A2898A6" w14:textId="77777777" w:rsidR="00662B3D" w:rsidRPr="00437FA3" w:rsidRDefault="00662B3D" w:rsidP="00437FA3">
      <w:pPr>
        <w:spacing w:line="360" w:lineRule="auto"/>
        <w:ind w:left="567" w:right="567"/>
        <w:contextualSpacing/>
        <w:jc w:val="both"/>
        <w:rPr>
          <w:rFonts w:ascii="Palatino Linotype" w:eastAsia="Times New Roman" w:hAnsi="Palatino Linotype" w:cs="Times New Roman"/>
          <w:i/>
        </w:rPr>
      </w:pPr>
      <w:r w:rsidRPr="00437FA3">
        <w:rPr>
          <w:rFonts w:ascii="Palatino Linotype" w:eastAsia="Times New Roman" w:hAnsi="Palatino Linotype" w:cs="Times New Roman"/>
          <w:i/>
        </w:rPr>
        <w:t>…”</w:t>
      </w:r>
    </w:p>
    <w:p w14:paraId="4274EB66" w14:textId="77777777" w:rsidR="00662B3D" w:rsidRPr="00437FA3" w:rsidRDefault="00662B3D" w:rsidP="00437FA3">
      <w:pPr>
        <w:spacing w:line="360" w:lineRule="auto"/>
        <w:ind w:left="567" w:right="567"/>
        <w:contextualSpacing/>
        <w:jc w:val="both"/>
        <w:rPr>
          <w:rFonts w:ascii="Palatino Linotype" w:hAnsi="Palatino Linotype"/>
          <w:i/>
        </w:rPr>
      </w:pPr>
      <w:r w:rsidRPr="00437FA3">
        <w:rPr>
          <w:rFonts w:ascii="Palatino Linotype" w:eastAsia="Times New Roman" w:hAnsi="Palatino Linotype" w:cs="Times New Roman"/>
          <w:i/>
        </w:rPr>
        <w:t>“Artículo 223.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r w:rsidRPr="00437FA3">
        <w:rPr>
          <w:rFonts w:ascii="Palatino Linotype" w:hAnsi="Palatino Linotype"/>
          <w:i/>
        </w:rPr>
        <w:t xml:space="preserve"> (De Acuerdo al Decreto N°207, Publicado el 30 de mayo de 2017)</w:t>
      </w:r>
    </w:p>
    <w:p w14:paraId="1A7792C1" w14:textId="77777777" w:rsidR="00662B3D" w:rsidRPr="00437FA3" w:rsidRDefault="00662B3D" w:rsidP="00437FA3">
      <w:pPr>
        <w:spacing w:line="360" w:lineRule="auto"/>
        <w:ind w:left="567" w:right="567"/>
        <w:contextualSpacing/>
        <w:jc w:val="both"/>
        <w:rPr>
          <w:rFonts w:ascii="Palatino Linotype" w:hAnsi="Palatino Linotype"/>
          <w:i/>
        </w:rPr>
      </w:pPr>
      <w:r w:rsidRPr="00437FA3">
        <w:rPr>
          <w:rFonts w:ascii="Palatino Linotype" w:hAnsi="Palatino Linotype"/>
          <w:i/>
        </w:rPr>
        <w:t>…”</w:t>
      </w:r>
    </w:p>
    <w:p w14:paraId="7845C2C3" w14:textId="77777777" w:rsidR="00662B3D" w:rsidRPr="00437FA3" w:rsidRDefault="00662B3D" w:rsidP="00437FA3">
      <w:pPr>
        <w:pStyle w:val="Prrafodelista"/>
        <w:spacing w:line="360" w:lineRule="auto"/>
        <w:ind w:left="0"/>
        <w:jc w:val="both"/>
        <w:rPr>
          <w:rFonts w:ascii="Palatino Linotype" w:hAnsi="Palatino Linotype"/>
          <w:color w:val="000000" w:themeColor="text1"/>
        </w:rPr>
      </w:pPr>
    </w:p>
    <w:p w14:paraId="274DAC13" w14:textId="085DBC73" w:rsidR="00662B3D" w:rsidRPr="00437FA3" w:rsidRDefault="00662B3D" w:rsidP="000030D8">
      <w:pPr>
        <w:pStyle w:val="Prrafodelista"/>
        <w:numPr>
          <w:ilvl w:val="0"/>
          <w:numId w:val="43"/>
        </w:numPr>
        <w:shd w:val="clear" w:color="auto" w:fill="FFFFFF"/>
        <w:spacing w:after="120" w:line="360" w:lineRule="auto"/>
        <w:ind w:left="0" w:firstLine="0"/>
        <w:jc w:val="both"/>
        <w:rPr>
          <w:rFonts w:ascii="Palatino Linotype" w:hAnsi="Palatino Linotype" w:cs="Arial"/>
          <w:color w:val="000000" w:themeColor="text1"/>
        </w:rPr>
      </w:pPr>
      <w:r w:rsidRPr="00437FA3">
        <w:rPr>
          <w:rFonts w:ascii="Palatino Linotype" w:eastAsia="Times New Roman" w:hAnsi="Palatino Linotype" w:cs="Arial"/>
          <w:color w:val="000000" w:themeColor="text1"/>
          <w:lang w:val="es-ES"/>
        </w:rPr>
        <w:t xml:space="preserve">Además </w:t>
      </w:r>
      <w:r w:rsidRPr="00437FA3">
        <w:rPr>
          <w:rFonts w:ascii="Palatino Linotype" w:eastAsia="Calibri" w:hAnsi="Palatino Linotype" w:cs="Arial"/>
          <w:color w:val="000000" w:themeColor="text1"/>
          <w:lang w:val="es-ES" w:eastAsia="es-MX"/>
        </w:rPr>
        <w:t xml:space="preserve">antes de concluir el presente asunto, es necesario señalar que el </w:t>
      </w:r>
      <w:r w:rsidRPr="00437FA3">
        <w:rPr>
          <w:rFonts w:ascii="Palatino Linotype" w:eastAsia="Calibri" w:hAnsi="Palatino Linotype" w:cs="Arial"/>
          <w:b/>
          <w:color w:val="000000" w:themeColor="text1"/>
          <w:lang w:val="es-ES" w:eastAsia="es-MX"/>
        </w:rPr>
        <w:t>SUJETO OBLIGADO</w:t>
      </w:r>
      <w:r w:rsidRPr="00437FA3">
        <w:rPr>
          <w:rFonts w:ascii="Palatino Linotype" w:eastAsia="Calibri" w:hAnsi="Palatino Linotype" w:cs="Arial"/>
          <w:color w:val="000000" w:themeColor="text1"/>
          <w:lang w:val="es-ES" w:eastAsia="es-MX"/>
        </w:rPr>
        <w:t xml:space="preserve"> a través de su informe justificado proporcionó información que contiene datos personales que debieron ser protegidos y realizar una versión pública de estos, situación que no ocurrió. es así que se advierte que entre los archivos que fueron proporcionados, se detectó que algunos de ellos podían </w:t>
      </w:r>
      <w:r w:rsidRPr="00437FA3">
        <w:rPr>
          <w:rFonts w:ascii="Palatino Linotype" w:eastAsia="Calibri" w:hAnsi="Palatino Linotype" w:cs="Arial"/>
          <w:color w:val="000000" w:themeColor="text1"/>
          <w:lang w:val="es-ES" w:eastAsia="es-MX"/>
        </w:rPr>
        <w:lastRenderedPageBreak/>
        <w:t xml:space="preserve">satisfacer la solicitud del particular sin embargo no pudieron ser de su conocimiento porque el archivo incluía documentos que contienen datos personales susceptibles de ser considerados como confidenciales como son calificaciones, clave </w:t>
      </w:r>
      <w:proofErr w:type="spellStart"/>
      <w:r w:rsidRPr="00437FA3">
        <w:rPr>
          <w:rFonts w:ascii="Palatino Linotype" w:eastAsia="Calibri" w:hAnsi="Palatino Linotype" w:cs="Arial"/>
          <w:color w:val="000000" w:themeColor="text1"/>
          <w:lang w:val="es-ES" w:eastAsia="es-MX"/>
        </w:rPr>
        <w:t>Issemym</w:t>
      </w:r>
      <w:proofErr w:type="spellEnd"/>
      <w:r w:rsidRPr="00437FA3">
        <w:rPr>
          <w:rFonts w:ascii="Palatino Linotype" w:eastAsia="Calibri" w:hAnsi="Palatino Linotype" w:cs="Arial"/>
          <w:color w:val="000000" w:themeColor="text1"/>
          <w:lang w:val="es-ES" w:eastAsia="es-MX"/>
        </w:rPr>
        <w:t xml:space="preserve"> y RFC y CURP, por lo que es menester dar vista al Órgano de Control Interno de este Instituto para que en ejercicio de sus atribuciones atienda las directivas marcadas en la propia Ley de la materia, con fundamento en el artículo 190 de la ley de la materia, el cual señala que  </w:t>
      </w:r>
      <w:r w:rsidRPr="00437FA3">
        <w:rPr>
          <w:rFonts w:ascii="Palatino Linotype" w:eastAsia="MS Mincho" w:hAnsi="Palatino Linotype" w:cs="Arial"/>
          <w:color w:val="000000" w:themeColor="text1"/>
        </w:rPr>
        <w:t>cuando este órgano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14:paraId="0F134A64" w14:textId="77777777" w:rsidR="00662B3D" w:rsidRPr="00437FA3" w:rsidRDefault="00662B3D" w:rsidP="00437FA3">
      <w:pPr>
        <w:pStyle w:val="Prrafodelista"/>
        <w:shd w:val="clear" w:color="auto" w:fill="FFFFFF"/>
        <w:spacing w:after="120" w:line="360" w:lineRule="auto"/>
        <w:ind w:left="0"/>
        <w:jc w:val="both"/>
        <w:rPr>
          <w:rFonts w:ascii="Palatino Linotype" w:hAnsi="Palatino Linotype" w:cs="Arial"/>
          <w:color w:val="000000" w:themeColor="text1"/>
        </w:rPr>
      </w:pPr>
    </w:p>
    <w:p w14:paraId="41E9B9B1" w14:textId="77777777" w:rsidR="00BA1C5A" w:rsidRPr="00437FA3" w:rsidRDefault="00BA1C5A" w:rsidP="000030D8">
      <w:pPr>
        <w:pStyle w:val="Prrafodelista"/>
        <w:numPr>
          <w:ilvl w:val="0"/>
          <w:numId w:val="43"/>
        </w:numPr>
        <w:spacing w:before="240" w:after="240" w:line="360" w:lineRule="auto"/>
        <w:ind w:left="0" w:right="49" w:firstLine="0"/>
        <w:jc w:val="both"/>
        <w:rPr>
          <w:rFonts w:ascii="Palatino Linotype" w:hAnsi="Palatino Linotype"/>
        </w:rPr>
      </w:pPr>
      <w:r w:rsidRPr="00437FA3">
        <w:rPr>
          <w:rFonts w:ascii="Palatino Linotype" w:eastAsia="Times New Roman" w:hAnsi="Palatino Linotype" w:cs="Arial"/>
          <w:color w:val="222222"/>
          <w:lang w:eastAsia="es-MX"/>
        </w:rPr>
        <w:t xml:space="preserve">Por lo anteriormente expuesto y fundado, este </w:t>
      </w:r>
      <w:r w:rsidRPr="00437FA3">
        <w:rPr>
          <w:rFonts w:ascii="Palatino Linotype" w:eastAsia="Times New Roman" w:hAnsi="Palatino Linotype" w:cs="Arial"/>
          <w:b/>
          <w:bCs/>
          <w:color w:val="222222"/>
          <w:lang w:eastAsia="es-MX"/>
        </w:rPr>
        <w:t>ÓRGANO GARANTE</w:t>
      </w:r>
      <w:r w:rsidRPr="00437FA3">
        <w:rPr>
          <w:rFonts w:ascii="Palatino Linotype" w:eastAsia="Times New Roman" w:hAnsi="Palatino Linotype" w:cs="Arial"/>
          <w:color w:val="222222"/>
          <w:lang w:eastAsia="es-MX"/>
        </w:rPr>
        <w:t xml:space="preserve"> emite los siguientes:</w:t>
      </w:r>
    </w:p>
    <w:p w14:paraId="69117210" w14:textId="77777777" w:rsidR="00D9641E" w:rsidRPr="00437FA3" w:rsidRDefault="00D9641E" w:rsidP="00437FA3">
      <w:pPr>
        <w:pStyle w:val="Prrafodelista"/>
        <w:spacing w:before="240" w:after="240" w:line="360" w:lineRule="auto"/>
        <w:ind w:left="0"/>
        <w:jc w:val="both"/>
        <w:rPr>
          <w:rFonts w:ascii="Palatino Linotype" w:eastAsia="MS Mincho" w:hAnsi="Palatino Linotype" w:cs="Times New Roman"/>
          <w:color w:val="000000"/>
        </w:rPr>
      </w:pPr>
    </w:p>
    <w:p w14:paraId="7219A429" w14:textId="77777777" w:rsidR="00662B3D" w:rsidRPr="00437FA3" w:rsidRDefault="00662B3D" w:rsidP="00437FA3">
      <w:pPr>
        <w:pStyle w:val="Prrafodelista"/>
        <w:spacing w:before="240" w:after="240" w:line="360" w:lineRule="auto"/>
        <w:ind w:left="0"/>
        <w:jc w:val="both"/>
        <w:rPr>
          <w:rFonts w:ascii="Palatino Linotype" w:eastAsia="MS Mincho" w:hAnsi="Palatino Linotype" w:cs="Times New Roman"/>
          <w:color w:val="000000"/>
        </w:rPr>
      </w:pPr>
    </w:p>
    <w:p w14:paraId="5CBB9DD2" w14:textId="77777777" w:rsidR="00662B3D" w:rsidRPr="00437FA3" w:rsidRDefault="00662B3D" w:rsidP="00437FA3">
      <w:pPr>
        <w:pStyle w:val="Prrafodelista"/>
        <w:spacing w:before="240" w:after="240" w:line="360" w:lineRule="auto"/>
        <w:ind w:left="0"/>
        <w:jc w:val="both"/>
        <w:rPr>
          <w:rFonts w:ascii="Palatino Linotype" w:eastAsia="MS Mincho" w:hAnsi="Palatino Linotype" w:cs="Times New Roman"/>
          <w:color w:val="000000"/>
        </w:rPr>
      </w:pPr>
    </w:p>
    <w:p w14:paraId="24A274E8" w14:textId="77777777" w:rsidR="00662B3D" w:rsidRPr="00437FA3" w:rsidRDefault="00662B3D" w:rsidP="00437FA3">
      <w:pPr>
        <w:pStyle w:val="Prrafodelista"/>
        <w:spacing w:before="240" w:after="240" w:line="360" w:lineRule="auto"/>
        <w:ind w:left="0"/>
        <w:jc w:val="both"/>
        <w:rPr>
          <w:rFonts w:ascii="Palatino Linotype" w:eastAsia="MS Mincho" w:hAnsi="Palatino Linotype" w:cs="Times New Roman"/>
          <w:color w:val="000000"/>
        </w:rPr>
      </w:pPr>
    </w:p>
    <w:p w14:paraId="73370EB3" w14:textId="77777777" w:rsidR="002C38C9" w:rsidRPr="00437FA3" w:rsidRDefault="002C38C9" w:rsidP="00437FA3">
      <w:pPr>
        <w:pStyle w:val="Ttulo1"/>
        <w:spacing w:line="360" w:lineRule="auto"/>
        <w:ind w:left="2912"/>
        <w:rPr>
          <w:rFonts w:eastAsia="Calibri"/>
          <w:b w:val="0"/>
          <w:color w:val="auto"/>
          <w:szCs w:val="24"/>
          <w:lang w:val="es-ES" w:eastAsia="es-ES"/>
        </w:rPr>
      </w:pPr>
      <w:bookmarkStart w:id="120" w:name="_Toc475014715"/>
      <w:bookmarkStart w:id="121" w:name="_Toc475381194"/>
      <w:bookmarkStart w:id="122" w:name="_Toc490155969"/>
      <w:bookmarkStart w:id="123" w:name="_Toc490734332"/>
      <w:bookmarkStart w:id="124" w:name="_Toc491854740"/>
      <w:bookmarkStart w:id="125" w:name="_Toc494991893"/>
      <w:bookmarkStart w:id="126" w:name="_Toc513664628"/>
      <w:bookmarkStart w:id="127" w:name="_Toc7787179"/>
      <w:r w:rsidRPr="00437FA3">
        <w:rPr>
          <w:rFonts w:eastAsia="Calibri"/>
          <w:color w:val="auto"/>
          <w:szCs w:val="24"/>
          <w:lang w:val="es-ES" w:eastAsia="es-ES"/>
        </w:rPr>
        <w:lastRenderedPageBreak/>
        <w:t>R E S O L U T I V O S</w:t>
      </w:r>
      <w:bookmarkEnd w:id="120"/>
      <w:bookmarkEnd w:id="121"/>
      <w:bookmarkEnd w:id="122"/>
      <w:bookmarkEnd w:id="123"/>
      <w:bookmarkEnd w:id="124"/>
      <w:bookmarkEnd w:id="125"/>
      <w:bookmarkEnd w:id="126"/>
      <w:bookmarkEnd w:id="127"/>
    </w:p>
    <w:p w14:paraId="223BD30E" w14:textId="77777777" w:rsidR="002C38C9" w:rsidRPr="00437FA3" w:rsidRDefault="002C38C9" w:rsidP="00437FA3">
      <w:pPr>
        <w:spacing w:line="360" w:lineRule="auto"/>
        <w:rPr>
          <w:rFonts w:ascii="Palatino Linotype" w:hAnsi="Palatino Linotype"/>
          <w:lang w:val="es-ES"/>
        </w:rPr>
      </w:pPr>
    </w:p>
    <w:p w14:paraId="3C8FEE19" w14:textId="78AE0D45" w:rsidR="000030D8" w:rsidRPr="000030D8" w:rsidRDefault="00662B3D" w:rsidP="00437FA3">
      <w:pPr>
        <w:spacing w:line="360" w:lineRule="auto"/>
        <w:jc w:val="both"/>
        <w:rPr>
          <w:rFonts w:ascii="Palatino Linotype" w:hAnsi="Palatino Linotype" w:cs="Arial"/>
          <w:bCs/>
          <w:lang w:eastAsia="es-MX"/>
        </w:rPr>
      </w:pPr>
      <w:r w:rsidRPr="00437FA3">
        <w:rPr>
          <w:rFonts w:ascii="Palatino Linotype" w:eastAsia="Times New Roman" w:hAnsi="Palatino Linotype" w:cs="Arial"/>
          <w:b/>
        </w:rPr>
        <w:t xml:space="preserve">PRIMERO. </w:t>
      </w:r>
      <w:r w:rsidRPr="00437FA3">
        <w:rPr>
          <w:rFonts w:ascii="Palatino Linotype" w:eastAsia="Times New Roman" w:hAnsi="Palatino Linotype" w:cs="Arial"/>
        </w:rPr>
        <w:t>Resultan fundadas las</w:t>
      </w:r>
      <w:r w:rsidRPr="00437FA3">
        <w:rPr>
          <w:rFonts w:ascii="Palatino Linotype" w:eastAsia="Times New Roman" w:hAnsi="Palatino Linotype" w:cs="Arial"/>
          <w:b/>
        </w:rPr>
        <w:t xml:space="preserve"> </w:t>
      </w:r>
      <w:r w:rsidRPr="00437FA3">
        <w:rPr>
          <w:rFonts w:ascii="Palatino Linotype" w:eastAsia="Times New Roman" w:hAnsi="Palatino Linotype" w:cs="Arial"/>
          <w:lang w:val="es-ES"/>
        </w:rPr>
        <w:t xml:space="preserve">razones o motivos de inconformidad hechos valer </w:t>
      </w:r>
      <w:r w:rsidRPr="00437FA3">
        <w:rPr>
          <w:rFonts w:ascii="Palatino Linotype" w:eastAsia="Calibri" w:hAnsi="Palatino Linotype" w:cs="Arial"/>
          <w:lang w:val="es-ES"/>
        </w:rPr>
        <w:t xml:space="preserve">en el recurso de revisión </w:t>
      </w:r>
      <w:r w:rsidRPr="00437FA3">
        <w:rPr>
          <w:rFonts w:ascii="Palatino Linotype" w:hAnsi="Palatino Linotype" w:cs="Arial"/>
          <w:b/>
          <w:bCs/>
        </w:rPr>
        <w:t>00778/INFOEM/IP/RR/2019</w:t>
      </w:r>
      <w:r w:rsidRPr="00437FA3">
        <w:rPr>
          <w:rFonts w:ascii="Palatino Linotype" w:hAnsi="Palatino Linotype" w:cs="Arial"/>
          <w:b/>
          <w:bCs/>
          <w:lang w:eastAsia="es-MX"/>
        </w:rPr>
        <w:t xml:space="preserve"> </w:t>
      </w:r>
      <w:r w:rsidRPr="00437FA3">
        <w:rPr>
          <w:rFonts w:ascii="Palatino Linotype" w:hAnsi="Palatino Linotype" w:cs="Arial"/>
          <w:bCs/>
          <w:lang w:eastAsia="es-MX"/>
        </w:rPr>
        <w:t xml:space="preserve">en términos del </w:t>
      </w:r>
      <w:r w:rsidRPr="00437FA3">
        <w:rPr>
          <w:rFonts w:ascii="Palatino Linotype" w:hAnsi="Palatino Linotype" w:cs="Arial"/>
          <w:b/>
          <w:bCs/>
          <w:lang w:eastAsia="es-MX"/>
        </w:rPr>
        <w:t xml:space="preserve">Considerando CUARTO </w:t>
      </w:r>
      <w:r w:rsidRPr="00437FA3">
        <w:rPr>
          <w:rFonts w:ascii="Palatino Linotype" w:hAnsi="Palatino Linotype" w:cs="Arial"/>
          <w:bCs/>
          <w:lang w:eastAsia="es-MX"/>
        </w:rPr>
        <w:t>de la presente resolución.</w:t>
      </w:r>
    </w:p>
    <w:p w14:paraId="1C345905" w14:textId="52EAE76E" w:rsidR="00662B3D" w:rsidRDefault="00662B3D" w:rsidP="00437FA3">
      <w:pPr>
        <w:spacing w:before="240" w:after="240" w:line="360" w:lineRule="auto"/>
        <w:jc w:val="both"/>
        <w:rPr>
          <w:rFonts w:ascii="Palatino Linotype" w:eastAsia="Calibri" w:hAnsi="Palatino Linotype" w:cs="Arial"/>
          <w:lang w:val="es-ES"/>
        </w:rPr>
      </w:pPr>
      <w:r w:rsidRPr="00437FA3">
        <w:rPr>
          <w:rFonts w:ascii="Palatino Linotype" w:hAnsi="Palatino Linotype"/>
          <w:b/>
        </w:rPr>
        <w:t>SEGUNDO.</w:t>
      </w:r>
      <w:r w:rsidRPr="00437FA3">
        <w:rPr>
          <w:rStyle w:val="Ttulo2Car"/>
          <w:b w:val="0"/>
          <w:szCs w:val="24"/>
        </w:rPr>
        <w:t xml:space="preserve"> </w:t>
      </w:r>
      <w:r w:rsidRPr="00437FA3">
        <w:rPr>
          <w:rFonts w:ascii="Palatino Linotype" w:eastAsia="Calibri" w:hAnsi="Palatino Linotype" w:cs="Arial"/>
          <w:lang w:val="es-ES"/>
        </w:rPr>
        <w:t>Se</w:t>
      </w:r>
      <w:r w:rsidRPr="00437FA3">
        <w:rPr>
          <w:rFonts w:ascii="Palatino Linotype" w:eastAsia="Calibri" w:hAnsi="Palatino Linotype" w:cs="Arial"/>
          <w:b/>
          <w:lang w:val="es-ES"/>
        </w:rPr>
        <w:t xml:space="preserve"> ORDENA </w:t>
      </w:r>
      <w:r w:rsidRPr="00437FA3">
        <w:rPr>
          <w:rFonts w:ascii="Palatino Linotype" w:eastAsia="Calibri" w:hAnsi="Palatino Linotype" w:cs="Arial"/>
          <w:lang w:val="es-ES"/>
        </w:rPr>
        <w:t>al</w:t>
      </w:r>
      <w:r w:rsidRPr="00437FA3">
        <w:rPr>
          <w:rFonts w:ascii="Palatino Linotype" w:eastAsia="Calibri" w:hAnsi="Palatino Linotype" w:cs="Arial"/>
          <w:b/>
          <w:lang w:val="es-ES"/>
        </w:rPr>
        <w:t xml:space="preserve"> </w:t>
      </w:r>
      <w:r w:rsidRPr="00437FA3">
        <w:rPr>
          <w:rFonts w:ascii="Palatino Linotype" w:hAnsi="Palatino Linotype"/>
          <w:b/>
          <w:bCs/>
          <w:color w:val="000000"/>
        </w:rPr>
        <w:t>Organismo Público Descentralizado para la Prestación de los Servicios</w:t>
      </w:r>
      <w:r w:rsidRPr="00437FA3">
        <w:rPr>
          <w:rFonts w:ascii="Palatino Linotype" w:eastAsia="Calibri" w:hAnsi="Palatino Linotype" w:cs="Arial"/>
          <w:b/>
          <w:lang w:val="es-ES"/>
        </w:rPr>
        <w:t xml:space="preserve"> </w:t>
      </w:r>
      <w:r w:rsidRPr="00437FA3">
        <w:rPr>
          <w:rFonts w:ascii="Palatino Linotype" w:hAnsi="Palatino Linotype"/>
          <w:b/>
          <w:bCs/>
          <w:color w:val="000000"/>
        </w:rPr>
        <w:t>de Agua Potable Alcantarillado y Saneamiento de Nicolás Romero</w:t>
      </w:r>
      <w:r w:rsidRPr="00437FA3">
        <w:rPr>
          <w:rFonts w:ascii="Palatino Linotype" w:eastAsia="Calibri" w:hAnsi="Palatino Linotype" w:cs="Arial"/>
          <w:b/>
          <w:lang w:val="es-ES"/>
        </w:rPr>
        <w:t xml:space="preserve"> </w:t>
      </w:r>
      <w:r w:rsidRPr="00437FA3">
        <w:rPr>
          <w:rFonts w:ascii="Palatino Linotype" w:eastAsia="Calibri" w:hAnsi="Palatino Linotype" w:cs="Arial"/>
          <w:lang w:val="es-ES"/>
        </w:rPr>
        <w:t xml:space="preserve">entregar vía Sistema de Acceso a la Información Mexiquense </w:t>
      </w:r>
      <w:r w:rsidRPr="00437FA3">
        <w:rPr>
          <w:rFonts w:ascii="Palatino Linotype" w:eastAsia="Calibri" w:hAnsi="Palatino Linotype" w:cs="Arial"/>
          <w:b/>
          <w:lang w:val="es-ES"/>
        </w:rPr>
        <w:t xml:space="preserve">(SAIMEX), </w:t>
      </w:r>
      <w:r w:rsidRPr="00437FA3">
        <w:rPr>
          <w:rFonts w:ascii="Palatino Linotype" w:eastAsia="Calibri" w:hAnsi="Palatino Linotype" w:cs="Arial"/>
          <w:lang w:val="es-ES"/>
        </w:rPr>
        <w:t>en versión pública, la siguiente información:</w:t>
      </w:r>
    </w:p>
    <w:p w14:paraId="62323E61" w14:textId="77777777" w:rsidR="000030D8" w:rsidRPr="000030D8" w:rsidRDefault="000030D8" w:rsidP="00437FA3">
      <w:pPr>
        <w:spacing w:before="240" w:after="240" w:line="360" w:lineRule="auto"/>
        <w:jc w:val="both"/>
        <w:rPr>
          <w:rFonts w:ascii="Palatino Linotype" w:eastAsia="Calibri" w:hAnsi="Palatino Linotype" w:cs="Arial"/>
          <w:b/>
          <w:sz w:val="12"/>
          <w:lang w:val="es-ES"/>
        </w:rPr>
      </w:pPr>
    </w:p>
    <w:p w14:paraId="1A1D13FD" w14:textId="621D14DC" w:rsidR="00D44181" w:rsidRPr="00437FA3" w:rsidRDefault="00662B3D" w:rsidP="00437FA3">
      <w:pPr>
        <w:pStyle w:val="Prrafodelista"/>
        <w:spacing w:line="360" w:lineRule="auto"/>
        <w:ind w:left="567" w:right="567"/>
        <w:jc w:val="both"/>
        <w:rPr>
          <w:rFonts w:ascii="Palatino Linotype" w:hAnsi="Palatino Linotype"/>
          <w:b/>
          <w:color w:val="000000"/>
        </w:rPr>
      </w:pPr>
      <w:r w:rsidRPr="00437FA3">
        <w:rPr>
          <w:rFonts w:ascii="Palatino Linotype" w:eastAsia="Calibri" w:hAnsi="Palatino Linotype" w:cs="Arial"/>
          <w:b/>
          <w:lang w:val="es-ES"/>
        </w:rPr>
        <w:t xml:space="preserve">a) </w:t>
      </w:r>
      <w:r w:rsidR="00D44181" w:rsidRPr="00437FA3">
        <w:rPr>
          <w:rFonts w:ascii="Palatino Linotype" w:hAnsi="Palatino Linotype"/>
          <w:b/>
        </w:rPr>
        <w:t xml:space="preserve">El documento donde conste el nombramiento o designación al cargo de los Titulares de las áreas de </w:t>
      </w:r>
      <w:r w:rsidR="00D44181" w:rsidRPr="00437FA3">
        <w:rPr>
          <w:rFonts w:ascii="Palatino Linotype" w:hAnsi="Palatino Linotype"/>
          <w:b/>
          <w:color w:val="000000"/>
        </w:rPr>
        <w:t>Jurídico, Contraloría Interna, Administración y Finanzas, Unidad de Transparencia, Sistemas, Subdirección de Comercialización, Recursos Humanos, Cajas, Jefe de Recuperación de Adeudos y Ejecución Fiscal en la presente administración pública 2019-2021.</w:t>
      </w:r>
    </w:p>
    <w:p w14:paraId="33D3E17B" w14:textId="77777777" w:rsidR="00D44181" w:rsidRPr="00437FA3" w:rsidRDefault="00D44181" w:rsidP="00437FA3">
      <w:pPr>
        <w:spacing w:line="360" w:lineRule="auto"/>
        <w:ind w:right="567"/>
        <w:jc w:val="both"/>
        <w:rPr>
          <w:rFonts w:ascii="Palatino Linotype" w:hAnsi="Palatino Linotype"/>
          <w:b/>
          <w:color w:val="000000"/>
        </w:rPr>
      </w:pPr>
    </w:p>
    <w:p w14:paraId="1F18BBC8" w14:textId="48400840" w:rsidR="00D44181" w:rsidRDefault="00D44181" w:rsidP="000030D8">
      <w:pPr>
        <w:pStyle w:val="Prrafodelista"/>
        <w:spacing w:line="360" w:lineRule="auto"/>
        <w:ind w:left="567" w:right="567"/>
        <w:jc w:val="both"/>
        <w:rPr>
          <w:rFonts w:ascii="Palatino Linotype" w:hAnsi="Palatino Linotype"/>
          <w:b/>
          <w:bCs/>
        </w:rPr>
      </w:pPr>
      <w:r w:rsidRPr="00437FA3">
        <w:rPr>
          <w:rFonts w:ascii="Palatino Linotype" w:hAnsi="Palatino Linotype"/>
          <w:b/>
          <w:color w:val="000000"/>
        </w:rPr>
        <w:t xml:space="preserve">b) El documento donde conste el último grado de estudios de </w:t>
      </w:r>
      <w:r w:rsidRPr="00437FA3">
        <w:rPr>
          <w:rFonts w:ascii="Palatino Linotype" w:hAnsi="Palatino Linotype"/>
          <w:b/>
        </w:rPr>
        <w:t xml:space="preserve">los Titulares de las </w:t>
      </w:r>
      <w:r w:rsidR="0079559C" w:rsidRPr="00437FA3">
        <w:rPr>
          <w:rFonts w:ascii="Palatino Linotype" w:hAnsi="Palatino Linotype"/>
          <w:b/>
        </w:rPr>
        <w:t xml:space="preserve">distintas áreas que integran al </w:t>
      </w:r>
      <w:r w:rsidR="0079559C" w:rsidRPr="00437FA3">
        <w:rPr>
          <w:rFonts w:ascii="Palatino Linotype" w:hAnsi="Palatino Linotype"/>
          <w:b/>
          <w:bCs/>
        </w:rPr>
        <w:t xml:space="preserve">Organismo Público </w:t>
      </w:r>
      <w:r w:rsidR="0079559C" w:rsidRPr="00437FA3">
        <w:rPr>
          <w:rFonts w:ascii="Palatino Linotype" w:hAnsi="Palatino Linotype"/>
          <w:b/>
          <w:bCs/>
        </w:rPr>
        <w:lastRenderedPageBreak/>
        <w:t>Descentralizado  para la Prestación de los Servicios  de Agua Potable Alcantarillado y Saneamiento de Nicolás Romero;</w:t>
      </w:r>
    </w:p>
    <w:p w14:paraId="5B896693" w14:textId="77777777" w:rsidR="000030D8" w:rsidRPr="000030D8" w:rsidRDefault="000030D8" w:rsidP="000030D8">
      <w:pPr>
        <w:pStyle w:val="Prrafodelista"/>
        <w:spacing w:line="360" w:lineRule="auto"/>
        <w:ind w:left="567" w:right="567"/>
        <w:jc w:val="both"/>
        <w:rPr>
          <w:rFonts w:ascii="Palatino Linotype" w:hAnsi="Palatino Linotype"/>
          <w:b/>
          <w:bCs/>
        </w:rPr>
      </w:pPr>
    </w:p>
    <w:p w14:paraId="7DBAA992" w14:textId="2B1AC65E" w:rsidR="00F331ED" w:rsidRPr="00437FA3" w:rsidRDefault="00D44181" w:rsidP="00437FA3">
      <w:pPr>
        <w:pStyle w:val="Prrafodelista"/>
        <w:spacing w:line="360" w:lineRule="auto"/>
        <w:ind w:left="567" w:right="567"/>
        <w:jc w:val="both"/>
        <w:rPr>
          <w:rFonts w:ascii="Palatino Linotype" w:hAnsi="Palatino Linotype"/>
          <w:b/>
          <w:color w:val="000000"/>
        </w:rPr>
      </w:pPr>
      <w:r w:rsidRPr="00437FA3">
        <w:rPr>
          <w:rFonts w:ascii="Palatino Linotype" w:hAnsi="Palatino Linotype"/>
          <w:b/>
          <w:color w:val="000000"/>
        </w:rPr>
        <w:t xml:space="preserve">c) El reporte de bajas correspondientes del uno (01) de enero del año 2019 al veintidós </w:t>
      </w:r>
      <w:r w:rsidR="00F331ED" w:rsidRPr="00437FA3">
        <w:rPr>
          <w:rFonts w:ascii="Palatino Linotype" w:hAnsi="Palatino Linotype"/>
          <w:b/>
          <w:color w:val="000000"/>
        </w:rPr>
        <w:t>(</w:t>
      </w:r>
      <w:r w:rsidRPr="00437FA3">
        <w:rPr>
          <w:rFonts w:ascii="Palatino Linotype" w:hAnsi="Palatino Linotype"/>
          <w:b/>
          <w:color w:val="000000"/>
        </w:rPr>
        <w:t>22</w:t>
      </w:r>
      <w:r w:rsidR="00F331ED" w:rsidRPr="00437FA3">
        <w:rPr>
          <w:rFonts w:ascii="Palatino Linotype" w:hAnsi="Palatino Linotype"/>
          <w:b/>
          <w:color w:val="000000"/>
        </w:rPr>
        <w:t>)</w:t>
      </w:r>
      <w:r w:rsidRPr="00437FA3">
        <w:rPr>
          <w:rFonts w:ascii="Palatino Linotype" w:hAnsi="Palatino Linotype"/>
          <w:b/>
          <w:color w:val="000000"/>
        </w:rPr>
        <w:t xml:space="preserve"> de enero de 2019</w:t>
      </w:r>
      <w:r w:rsidR="00F331ED" w:rsidRPr="00437FA3">
        <w:rPr>
          <w:rFonts w:ascii="Palatino Linotype" w:hAnsi="Palatino Linotype"/>
          <w:b/>
          <w:color w:val="000000"/>
        </w:rPr>
        <w:t xml:space="preserve"> sin testar firmas.</w:t>
      </w:r>
    </w:p>
    <w:p w14:paraId="31CFE834" w14:textId="77777777" w:rsidR="00F331ED" w:rsidRPr="00437FA3" w:rsidRDefault="00F331ED" w:rsidP="00437FA3">
      <w:pPr>
        <w:pStyle w:val="Prrafodelista"/>
        <w:spacing w:line="360" w:lineRule="auto"/>
        <w:ind w:left="567" w:right="567"/>
        <w:jc w:val="both"/>
        <w:rPr>
          <w:rFonts w:ascii="Palatino Linotype" w:hAnsi="Palatino Linotype"/>
          <w:b/>
          <w:color w:val="000000"/>
        </w:rPr>
      </w:pPr>
    </w:p>
    <w:p w14:paraId="12F8573E" w14:textId="3D4BDDD1" w:rsidR="00F331ED" w:rsidRPr="00437FA3" w:rsidRDefault="00F331ED" w:rsidP="00437FA3">
      <w:pPr>
        <w:pStyle w:val="Prrafodelista"/>
        <w:spacing w:line="360" w:lineRule="auto"/>
        <w:ind w:left="567" w:right="567"/>
        <w:jc w:val="both"/>
        <w:rPr>
          <w:rFonts w:ascii="Palatino Linotype" w:hAnsi="Palatino Linotype"/>
          <w:b/>
          <w:color w:val="000000"/>
        </w:rPr>
      </w:pPr>
      <w:r w:rsidRPr="00437FA3">
        <w:rPr>
          <w:rFonts w:ascii="Palatino Linotype" w:hAnsi="Palatino Linotype"/>
          <w:b/>
          <w:color w:val="000000"/>
        </w:rPr>
        <w:t>d) Documento donde consten</w:t>
      </w:r>
      <w:r w:rsidR="00D44181" w:rsidRPr="00437FA3">
        <w:rPr>
          <w:rFonts w:ascii="Palatino Linotype" w:hAnsi="Palatino Linotype"/>
          <w:b/>
          <w:color w:val="000000"/>
        </w:rPr>
        <w:t xml:space="preserve"> la</w:t>
      </w:r>
      <w:r w:rsidRPr="00437FA3">
        <w:rPr>
          <w:rFonts w:ascii="Palatino Linotype" w:hAnsi="Palatino Linotype"/>
          <w:b/>
          <w:color w:val="000000"/>
        </w:rPr>
        <w:t>s</w:t>
      </w:r>
      <w:r w:rsidR="00D44181" w:rsidRPr="00437FA3">
        <w:rPr>
          <w:rFonts w:ascii="Palatino Linotype" w:hAnsi="Palatino Linotype"/>
          <w:b/>
          <w:color w:val="000000"/>
        </w:rPr>
        <w:t xml:space="preserve"> causa</w:t>
      </w:r>
      <w:r w:rsidRPr="00437FA3">
        <w:rPr>
          <w:rFonts w:ascii="Palatino Linotype" w:hAnsi="Palatino Linotype"/>
          <w:b/>
          <w:color w:val="000000"/>
        </w:rPr>
        <w:t>s</w:t>
      </w:r>
      <w:r w:rsidR="00D44181" w:rsidRPr="00437FA3">
        <w:rPr>
          <w:rFonts w:ascii="Palatino Linotype" w:hAnsi="Palatino Linotype"/>
          <w:b/>
          <w:color w:val="000000"/>
        </w:rPr>
        <w:t xml:space="preserve"> o motivo de </w:t>
      </w:r>
      <w:r w:rsidRPr="00437FA3">
        <w:rPr>
          <w:rFonts w:ascii="Palatino Linotype" w:hAnsi="Palatino Linotype"/>
          <w:b/>
          <w:color w:val="000000"/>
        </w:rPr>
        <w:t>las bajas realizadas del uno (01) de enero del año 2019 al veintidós (22) de enero de 2019, es decir</w:t>
      </w:r>
      <w:r w:rsidR="00D44181" w:rsidRPr="00437FA3">
        <w:rPr>
          <w:rFonts w:ascii="Palatino Linotype" w:hAnsi="Palatino Linotype"/>
          <w:b/>
          <w:color w:val="000000"/>
        </w:rPr>
        <w:t xml:space="preserve"> </w:t>
      </w:r>
      <w:r w:rsidRPr="00437FA3">
        <w:rPr>
          <w:rFonts w:ascii="Palatino Linotype" w:hAnsi="Palatino Linotype"/>
          <w:b/>
          <w:color w:val="000000"/>
        </w:rPr>
        <w:t>precisando si fueron renuncia o despidos.</w:t>
      </w:r>
    </w:p>
    <w:p w14:paraId="19DB0803" w14:textId="77777777" w:rsidR="00F331ED" w:rsidRPr="00437FA3" w:rsidRDefault="00F331ED" w:rsidP="00437FA3">
      <w:pPr>
        <w:pStyle w:val="Prrafodelista"/>
        <w:spacing w:line="360" w:lineRule="auto"/>
        <w:ind w:left="567" w:right="567"/>
        <w:jc w:val="both"/>
        <w:rPr>
          <w:rFonts w:ascii="Palatino Linotype" w:hAnsi="Palatino Linotype"/>
          <w:b/>
          <w:color w:val="000000"/>
        </w:rPr>
      </w:pPr>
    </w:p>
    <w:p w14:paraId="36D78F45" w14:textId="4D93461F" w:rsidR="00F331ED" w:rsidRPr="00437FA3" w:rsidRDefault="00F331ED" w:rsidP="00437FA3">
      <w:pPr>
        <w:pStyle w:val="Prrafodelista"/>
        <w:spacing w:line="360" w:lineRule="auto"/>
        <w:ind w:left="567" w:right="51"/>
        <w:jc w:val="both"/>
        <w:rPr>
          <w:rFonts w:ascii="Palatino Linotype" w:hAnsi="Palatino Linotype"/>
          <w:b/>
          <w:color w:val="000000"/>
        </w:rPr>
      </w:pPr>
      <w:r w:rsidRPr="00437FA3">
        <w:rPr>
          <w:rFonts w:ascii="Palatino Linotype" w:hAnsi="Palatino Linotype"/>
          <w:b/>
          <w:color w:val="000000"/>
        </w:rPr>
        <w:t>e</w:t>
      </w:r>
      <w:r w:rsidR="00D44181" w:rsidRPr="00437FA3">
        <w:rPr>
          <w:rFonts w:ascii="Palatino Linotype" w:hAnsi="Palatino Linotype"/>
          <w:b/>
          <w:color w:val="000000"/>
        </w:rPr>
        <w:t xml:space="preserve">) Documento donde conste </w:t>
      </w:r>
      <w:r w:rsidRPr="00437FA3">
        <w:rPr>
          <w:rFonts w:ascii="Palatino Linotype" w:hAnsi="Palatino Linotype" w:cs="Arial"/>
          <w:b/>
        </w:rPr>
        <w:t xml:space="preserve">los finiquitos o indemnizaciones </w:t>
      </w:r>
      <w:r w:rsidRPr="00437FA3">
        <w:rPr>
          <w:rFonts w:ascii="Palatino Linotype" w:hAnsi="Palatino Linotype"/>
          <w:b/>
          <w:color w:val="000000"/>
        </w:rPr>
        <w:t>realizadas del uno (01) de enero del año 2019 al veintidós (22) de enero de 2019.</w:t>
      </w:r>
    </w:p>
    <w:p w14:paraId="059C05B3" w14:textId="77777777" w:rsidR="00F331ED" w:rsidRPr="00437FA3" w:rsidRDefault="00F331ED" w:rsidP="00437FA3">
      <w:pPr>
        <w:pStyle w:val="Prrafodelista"/>
        <w:spacing w:line="360" w:lineRule="auto"/>
        <w:ind w:left="567" w:right="51"/>
        <w:jc w:val="both"/>
        <w:rPr>
          <w:rFonts w:ascii="Palatino Linotype" w:hAnsi="Palatino Linotype" w:cs="Arial"/>
          <w:b/>
        </w:rPr>
      </w:pPr>
    </w:p>
    <w:p w14:paraId="125273D5" w14:textId="0A3C6AD0" w:rsidR="00F331ED" w:rsidRPr="00437FA3" w:rsidRDefault="00F331ED" w:rsidP="00437FA3">
      <w:pPr>
        <w:pStyle w:val="Prrafodelista"/>
        <w:spacing w:line="360" w:lineRule="auto"/>
        <w:ind w:left="567" w:right="567"/>
        <w:jc w:val="both"/>
        <w:rPr>
          <w:rFonts w:ascii="Palatino Linotype" w:hAnsi="Palatino Linotype"/>
          <w:b/>
          <w:bCs/>
          <w:color w:val="000000"/>
        </w:rPr>
      </w:pPr>
      <w:r w:rsidRPr="00437FA3">
        <w:rPr>
          <w:rFonts w:ascii="Palatino Linotype" w:hAnsi="Palatino Linotype"/>
          <w:b/>
          <w:color w:val="000000"/>
        </w:rPr>
        <w:t>f</w:t>
      </w:r>
      <w:r w:rsidR="00D44181" w:rsidRPr="00437FA3">
        <w:rPr>
          <w:rFonts w:ascii="Palatino Linotype" w:hAnsi="Palatino Linotype"/>
          <w:b/>
          <w:color w:val="000000"/>
        </w:rPr>
        <w:t xml:space="preserve">) </w:t>
      </w:r>
      <w:r w:rsidR="0079559C" w:rsidRPr="00437FA3">
        <w:rPr>
          <w:rFonts w:ascii="Palatino Linotype" w:hAnsi="Palatino Linotype"/>
          <w:b/>
          <w:color w:val="000000"/>
        </w:rPr>
        <w:t>L</w:t>
      </w:r>
      <w:r w:rsidRPr="00437FA3">
        <w:rPr>
          <w:rFonts w:ascii="Palatino Linotype" w:hAnsi="Palatino Linotype"/>
          <w:b/>
          <w:color w:val="000000"/>
        </w:rPr>
        <w:t xml:space="preserve">a nómina </w:t>
      </w:r>
      <w:r w:rsidR="0079559C" w:rsidRPr="00437FA3">
        <w:rPr>
          <w:rFonts w:ascii="Palatino Linotype" w:hAnsi="Palatino Linotype"/>
          <w:b/>
          <w:color w:val="000000"/>
        </w:rPr>
        <w:t xml:space="preserve">general </w:t>
      </w:r>
      <w:r w:rsidRPr="00437FA3">
        <w:rPr>
          <w:rFonts w:ascii="Palatino Linotype" w:hAnsi="Palatino Linotype"/>
          <w:b/>
          <w:color w:val="000000"/>
        </w:rPr>
        <w:t xml:space="preserve">de todo el personal que integra el </w:t>
      </w:r>
      <w:r w:rsidRPr="00437FA3">
        <w:rPr>
          <w:rFonts w:ascii="Palatino Linotype" w:hAnsi="Palatino Linotype"/>
          <w:b/>
          <w:bCs/>
          <w:color w:val="000000"/>
        </w:rPr>
        <w:t>Organismo Público Descentralizado para la Prestación de los Servicios</w:t>
      </w:r>
      <w:r w:rsidRPr="00437FA3">
        <w:rPr>
          <w:rFonts w:ascii="Palatino Linotype" w:eastAsia="Calibri" w:hAnsi="Palatino Linotype" w:cs="Arial"/>
          <w:b/>
          <w:lang w:val="es-ES"/>
        </w:rPr>
        <w:t xml:space="preserve"> </w:t>
      </w:r>
      <w:r w:rsidRPr="00437FA3">
        <w:rPr>
          <w:rFonts w:ascii="Palatino Linotype" w:hAnsi="Palatino Linotype"/>
          <w:b/>
          <w:bCs/>
          <w:color w:val="000000"/>
        </w:rPr>
        <w:t xml:space="preserve">de Agua Potable Alcantarillado y Saneamiento de Nicolás Romero </w:t>
      </w:r>
      <w:r w:rsidR="00DC3A65" w:rsidRPr="00437FA3">
        <w:rPr>
          <w:rFonts w:ascii="Palatino Linotype" w:hAnsi="Palatino Linotype"/>
          <w:b/>
          <w:bCs/>
          <w:color w:val="000000"/>
        </w:rPr>
        <w:t xml:space="preserve">correspondiente al periodo comprendido del </w:t>
      </w:r>
      <w:r w:rsidR="00DC3A65" w:rsidRPr="00437FA3">
        <w:rPr>
          <w:rFonts w:ascii="Palatino Linotype" w:hAnsi="Palatino Linotype"/>
          <w:b/>
          <w:color w:val="000000"/>
        </w:rPr>
        <w:t xml:space="preserve">veintidós (22) de enero </w:t>
      </w:r>
      <w:r w:rsidR="00DC3A65" w:rsidRPr="00437FA3">
        <w:rPr>
          <w:rFonts w:ascii="Palatino Linotype" w:hAnsi="Palatino Linotype"/>
          <w:b/>
          <w:bCs/>
          <w:color w:val="000000"/>
        </w:rPr>
        <w:t xml:space="preserve">de 2018 al </w:t>
      </w:r>
      <w:r w:rsidR="00DC3A65" w:rsidRPr="00437FA3">
        <w:rPr>
          <w:rFonts w:ascii="Palatino Linotype" w:hAnsi="Palatino Linotype"/>
          <w:b/>
          <w:color w:val="000000"/>
        </w:rPr>
        <w:t xml:space="preserve">veintidós (22) de enero </w:t>
      </w:r>
      <w:r w:rsidR="00DC3A65" w:rsidRPr="00437FA3">
        <w:rPr>
          <w:rFonts w:ascii="Palatino Linotype" w:hAnsi="Palatino Linotype"/>
          <w:b/>
          <w:bCs/>
          <w:color w:val="000000"/>
        </w:rPr>
        <w:t xml:space="preserve">de 2019 </w:t>
      </w:r>
      <w:r w:rsidR="00DC3A65" w:rsidRPr="00437FA3">
        <w:rPr>
          <w:rFonts w:ascii="Palatino Linotype" w:hAnsi="Palatino Linotype"/>
          <w:b/>
          <w:color w:val="000000"/>
        </w:rPr>
        <w:t>sin testar firmas</w:t>
      </w:r>
      <w:r w:rsidR="00DC3A65" w:rsidRPr="00437FA3">
        <w:rPr>
          <w:rFonts w:ascii="Palatino Linotype" w:hAnsi="Palatino Linotype"/>
          <w:b/>
          <w:bCs/>
          <w:color w:val="000000"/>
        </w:rPr>
        <w:t>.</w:t>
      </w:r>
    </w:p>
    <w:p w14:paraId="5AAD64DB" w14:textId="77777777" w:rsidR="00662B3D" w:rsidRPr="00437FA3" w:rsidRDefault="00662B3D" w:rsidP="00437FA3">
      <w:pPr>
        <w:spacing w:line="360" w:lineRule="auto"/>
        <w:jc w:val="both"/>
        <w:rPr>
          <w:rFonts w:ascii="Palatino Linotype" w:eastAsia="Calibri" w:hAnsi="Palatino Linotype" w:cs="Arial"/>
        </w:rPr>
      </w:pPr>
    </w:p>
    <w:p w14:paraId="49031593" w14:textId="77777777" w:rsidR="00662B3D" w:rsidRPr="00437FA3" w:rsidRDefault="00662B3D" w:rsidP="00437FA3">
      <w:pPr>
        <w:spacing w:line="360" w:lineRule="auto"/>
        <w:jc w:val="both"/>
        <w:rPr>
          <w:rFonts w:ascii="Palatino Linotype" w:eastAsia="Calibri" w:hAnsi="Palatino Linotype" w:cs="Arial"/>
          <w:lang w:val="es-ES"/>
        </w:rPr>
      </w:pPr>
      <w:r w:rsidRPr="00437FA3">
        <w:rPr>
          <w:rFonts w:ascii="Palatino Linotype" w:eastAsia="Calibri" w:hAnsi="Palatino Linotype" w:cs="Arial"/>
        </w:rPr>
        <w:t xml:space="preserve">Para efectos de lo anterior se deberá emitir el Acuerdo del Comité de Transparencia en términos de los artículos 49 fracción VIII y 132 fracción II de la Ley de </w:t>
      </w:r>
      <w:r w:rsidRPr="00437FA3">
        <w:rPr>
          <w:rFonts w:ascii="Palatino Linotype" w:eastAsia="Calibri" w:hAnsi="Palatino Linotype" w:cs="Arial"/>
        </w:rPr>
        <w:lastRenderedPageBreak/>
        <w:t>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del recurrente.</w:t>
      </w:r>
    </w:p>
    <w:p w14:paraId="165F9773" w14:textId="77777777" w:rsidR="00662B3D" w:rsidRPr="00437FA3" w:rsidRDefault="00662B3D" w:rsidP="00437FA3">
      <w:pPr>
        <w:tabs>
          <w:tab w:val="left" w:pos="8080"/>
        </w:tabs>
        <w:spacing w:line="360" w:lineRule="auto"/>
        <w:ind w:right="49"/>
        <w:contextualSpacing/>
        <w:jc w:val="both"/>
        <w:rPr>
          <w:rFonts w:ascii="Palatino Linotype" w:eastAsia="Palatino Linotype" w:hAnsi="Palatino Linotype" w:cs="Palatino Linotype"/>
          <w:b/>
        </w:rPr>
      </w:pPr>
    </w:p>
    <w:p w14:paraId="6C41D198" w14:textId="77777777" w:rsidR="00662B3D" w:rsidRPr="00437FA3" w:rsidRDefault="00662B3D" w:rsidP="00437FA3">
      <w:pPr>
        <w:tabs>
          <w:tab w:val="left" w:pos="8080"/>
        </w:tabs>
        <w:spacing w:line="360" w:lineRule="auto"/>
        <w:ind w:right="49"/>
        <w:contextualSpacing/>
        <w:jc w:val="both"/>
        <w:rPr>
          <w:rFonts w:ascii="Palatino Linotype" w:eastAsia="Palatino Linotype" w:hAnsi="Palatino Linotype" w:cs="Palatino Linotype"/>
          <w:b/>
        </w:rPr>
      </w:pPr>
      <w:r w:rsidRPr="00437FA3">
        <w:rPr>
          <w:rFonts w:ascii="Palatino Linotype" w:eastAsia="Palatino Linotype" w:hAnsi="Palatino Linotype" w:cs="Palatino Linotype"/>
          <w:b/>
        </w:rPr>
        <w:t xml:space="preserve">TERCERO. Notifíquese </w:t>
      </w:r>
      <w:r w:rsidRPr="00437FA3">
        <w:rPr>
          <w:rFonts w:ascii="Palatino Linotype" w:eastAsia="Palatino Linotype" w:hAnsi="Palatino Linotype" w:cs="Palatino Linotype"/>
        </w:rPr>
        <w:t xml:space="preserve">al Titular de la Unidad de Transparencia del </w:t>
      </w:r>
      <w:r w:rsidRPr="00437FA3">
        <w:rPr>
          <w:rFonts w:ascii="Palatino Linotype" w:eastAsia="Palatino Linotype" w:hAnsi="Palatino Linotype" w:cs="Palatino Linotype"/>
          <w:b/>
        </w:rPr>
        <w:t>SUJETO OBLIGADO</w:t>
      </w:r>
      <w:r w:rsidRPr="00437FA3">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437FA3">
        <w:rPr>
          <w:rFonts w:ascii="Palatino Linotype" w:hAnsi="Palatino Linotype"/>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3412A49D" w14:textId="77777777" w:rsidR="00662B3D" w:rsidRPr="00437FA3" w:rsidRDefault="00662B3D" w:rsidP="00437FA3">
      <w:pPr>
        <w:shd w:val="clear" w:color="auto" w:fill="FFFFFF"/>
        <w:spacing w:line="360" w:lineRule="auto"/>
        <w:jc w:val="both"/>
        <w:rPr>
          <w:rFonts w:ascii="Palatino Linotype" w:eastAsia="Times New Roman" w:hAnsi="Palatino Linotype" w:cs="Arial"/>
          <w:b/>
        </w:rPr>
      </w:pPr>
    </w:p>
    <w:p w14:paraId="4A41E032" w14:textId="67A15BA4" w:rsidR="00662B3D" w:rsidRPr="00437FA3" w:rsidRDefault="00662B3D" w:rsidP="00437FA3">
      <w:pPr>
        <w:shd w:val="clear" w:color="auto" w:fill="FFFFFF"/>
        <w:spacing w:line="360" w:lineRule="auto"/>
        <w:jc w:val="both"/>
        <w:rPr>
          <w:rFonts w:ascii="Palatino Linotype" w:hAnsi="Palatino Linotype"/>
        </w:rPr>
      </w:pPr>
      <w:r w:rsidRPr="00437FA3">
        <w:rPr>
          <w:rFonts w:ascii="Palatino Linotype" w:eastAsia="Times New Roman" w:hAnsi="Palatino Linotype" w:cs="Arial"/>
          <w:b/>
        </w:rPr>
        <w:t xml:space="preserve">CUARTO. </w:t>
      </w:r>
      <w:r w:rsidRPr="00437FA3">
        <w:rPr>
          <w:rFonts w:ascii="Palatino Linotype" w:eastAsia="Times New Roman" w:hAnsi="Palatino Linotype" w:cs="Times New Roman"/>
          <w:b/>
          <w:bCs/>
          <w:color w:val="222222"/>
          <w:lang w:val="es-ES"/>
        </w:rPr>
        <w:t>Notifíquese a</w:t>
      </w:r>
      <w:r w:rsidRPr="00437FA3">
        <w:rPr>
          <w:rFonts w:ascii="Palatino Linotype" w:hAnsi="Palatino Linotype"/>
          <w:b/>
        </w:rPr>
        <w:t xml:space="preserve"> </w:t>
      </w:r>
      <w:r w:rsidR="00203283" w:rsidRPr="00203283">
        <w:rPr>
          <w:rFonts w:ascii="Palatino Linotype" w:eastAsia="Times New Roman" w:hAnsi="Palatino Linotype" w:cs="Times New Roman"/>
          <w:b/>
          <w:highlight w:val="black"/>
        </w:rPr>
        <w:t>----------------</w:t>
      </w:r>
      <w:r w:rsidR="00DC3A65" w:rsidRPr="00437FA3">
        <w:rPr>
          <w:rFonts w:ascii="Palatino Linotype" w:eastAsia="Times New Roman" w:hAnsi="Palatino Linotype" w:cs="Times New Roman"/>
          <w:b/>
        </w:rPr>
        <w:t xml:space="preserve"> </w:t>
      </w:r>
      <w:r w:rsidRPr="00437FA3">
        <w:rPr>
          <w:rFonts w:ascii="Palatino Linotype" w:hAnsi="Palatino Linotype"/>
        </w:rPr>
        <w:t>la presente resolución.</w:t>
      </w:r>
    </w:p>
    <w:p w14:paraId="5C42AABD" w14:textId="77777777" w:rsidR="00662B3D" w:rsidRPr="00437FA3" w:rsidRDefault="00662B3D" w:rsidP="00437FA3">
      <w:pPr>
        <w:shd w:val="clear" w:color="auto" w:fill="FFFFFF"/>
        <w:spacing w:line="360" w:lineRule="auto"/>
        <w:jc w:val="both"/>
        <w:rPr>
          <w:rFonts w:ascii="Palatino Linotype" w:hAnsi="Palatino Linotype"/>
        </w:rPr>
      </w:pPr>
    </w:p>
    <w:p w14:paraId="049D06EE" w14:textId="338D8087" w:rsidR="00662B3D" w:rsidRPr="00437FA3" w:rsidRDefault="00662B3D" w:rsidP="00437FA3">
      <w:pPr>
        <w:shd w:val="clear" w:color="auto" w:fill="FFFFFF"/>
        <w:spacing w:line="360" w:lineRule="auto"/>
        <w:jc w:val="both"/>
        <w:rPr>
          <w:rFonts w:ascii="Palatino Linotype" w:eastAsia="MS Mincho" w:hAnsi="Palatino Linotype" w:cs="Times New Roman"/>
          <w:lang w:val="es-ES"/>
        </w:rPr>
      </w:pPr>
      <w:r w:rsidRPr="00437FA3">
        <w:rPr>
          <w:rFonts w:ascii="Palatino Linotype" w:eastAsia="MS Mincho" w:hAnsi="Palatino Linotype" w:cs="Times New Roman"/>
          <w:b/>
          <w:lang w:val="es-MX"/>
        </w:rPr>
        <w:t>QUINTO.</w:t>
      </w:r>
      <w:r w:rsidRPr="00437FA3">
        <w:rPr>
          <w:rFonts w:ascii="Palatino Linotype" w:eastAsia="MS Mincho" w:hAnsi="Palatino Linotype" w:cs="Times New Roman"/>
          <w:lang w:val="es-MX"/>
        </w:rPr>
        <w:t xml:space="preserve"> </w:t>
      </w:r>
      <w:r w:rsidRPr="00437FA3">
        <w:rPr>
          <w:rFonts w:ascii="Palatino Linotype" w:eastAsia="MS Mincho" w:hAnsi="Palatino Linotype" w:cs="Times New Roman"/>
          <w:lang w:val="es-ES"/>
        </w:rPr>
        <w:t xml:space="preserve">Se hace del conocimiento de </w:t>
      </w:r>
      <w:r w:rsidR="00203283" w:rsidRPr="00203283">
        <w:rPr>
          <w:rFonts w:ascii="Palatino Linotype" w:eastAsia="Times New Roman" w:hAnsi="Palatino Linotype" w:cs="Times New Roman"/>
          <w:b/>
          <w:highlight w:val="black"/>
        </w:rPr>
        <w:t>---------------------</w:t>
      </w:r>
      <w:r w:rsidR="00DC3A65" w:rsidRPr="00437FA3">
        <w:rPr>
          <w:rFonts w:ascii="Palatino Linotype" w:eastAsia="Times New Roman" w:hAnsi="Palatino Linotype" w:cs="Times New Roman"/>
          <w:b/>
        </w:rPr>
        <w:t xml:space="preserve"> </w:t>
      </w:r>
      <w:r w:rsidRPr="00437FA3">
        <w:rPr>
          <w:rFonts w:ascii="Palatino Linotype" w:eastAsia="MS Mincho" w:hAnsi="Palatino Linotype" w:cs="Times New Roman"/>
          <w:lang w:val="es-ES"/>
        </w:rPr>
        <w:t>que, de conformidad con lo establecido en el artículo 196 de la Ley de Transparencia y Acceso a la Información Pública del Estado de México y Municipios, en caso de que considere que la resolución le cause algún perjuicio podrá impugnarla </w:t>
      </w:r>
      <w:r w:rsidRPr="00437FA3">
        <w:rPr>
          <w:rFonts w:ascii="Palatino Linotype" w:eastAsia="MS Mincho" w:hAnsi="Palatino Linotype" w:cs="Times New Roman"/>
          <w:bCs/>
          <w:lang w:val="es-ES"/>
        </w:rPr>
        <w:t>vía juicio de amparo</w:t>
      </w:r>
      <w:r w:rsidRPr="00437FA3">
        <w:rPr>
          <w:rFonts w:ascii="Palatino Linotype" w:eastAsia="MS Mincho" w:hAnsi="Palatino Linotype" w:cs="Times New Roman"/>
          <w:lang w:val="es-ES"/>
        </w:rPr>
        <w:t> en los términos de las leyes aplicables.</w:t>
      </w:r>
    </w:p>
    <w:p w14:paraId="171F8C04" w14:textId="77777777" w:rsidR="00662B3D" w:rsidRPr="00437FA3" w:rsidRDefault="00662B3D" w:rsidP="00437FA3">
      <w:pPr>
        <w:shd w:val="clear" w:color="auto" w:fill="FFFFFF"/>
        <w:spacing w:line="360" w:lineRule="auto"/>
        <w:jc w:val="both"/>
        <w:rPr>
          <w:rFonts w:ascii="Palatino Linotype" w:eastAsia="MS Mincho" w:hAnsi="Palatino Linotype" w:cs="Times New Roman"/>
          <w:lang w:val="es-ES"/>
        </w:rPr>
      </w:pPr>
    </w:p>
    <w:p w14:paraId="304B27BB" w14:textId="77777777" w:rsidR="00662B3D" w:rsidRPr="00437FA3" w:rsidRDefault="00662B3D" w:rsidP="00437FA3">
      <w:pPr>
        <w:spacing w:line="360" w:lineRule="auto"/>
        <w:jc w:val="both"/>
        <w:rPr>
          <w:rFonts w:ascii="Palatino Linotype" w:eastAsia="MS Mincho" w:hAnsi="Palatino Linotype" w:cs="Times New Roman"/>
        </w:rPr>
      </w:pPr>
      <w:r w:rsidRPr="00437FA3">
        <w:rPr>
          <w:rFonts w:ascii="Palatino Linotype" w:eastAsia="MS Mincho" w:hAnsi="Palatino Linotype" w:cs="Times New Roman"/>
          <w:b/>
        </w:rPr>
        <w:lastRenderedPageBreak/>
        <w:t xml:space="preserve">SEXTO. </w:t>
      </w:r>
      <w:r w:rsidRPr="00437FA3">
        <w:rPr>
          <w:rFonts w:ascii="Palatino Linotype" w:eastAsia="MS Mincho" w:hAnsi="Palatino Linotype" w:cs="Times New Roman"/>
        </w:rPr>
        <w:t xml:space="preserve">Gírese oficio al Contralor Interno y Órgano 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del </w:t>
      </w:r>
      <w:r w:rsidRPr="00437FA3">
        <w:rPr>
          <w:rFonts w:ascii="Palatino Linotype" w:eastAsia="MS Mincho" w:hAnsi="Palatino Linotype" w:cs="Times New Roman"/>
          <w:b/>
        </w:rPr>
        <w:t>Considerando QUINTO</w:t>
      </w:r>
      <w:r w:rsidRPr="00437FA3">
        <w:rPr>
          <w:rFonts w:ascii="Palatino Linotype" w:eastAsia="MS Mincho" w:hAnsi="Palatino Linotype" w:cs="Times New Roman"/>
        </w:rPr>
        <w:t>.</w:t>
      </w:r>
    </w:p>
    <w:p w14:paraId="1C3FD619" w14:textId="77777777" w:rsidR="002B67B2" w:rsidRDefault="002B67B2" w:rsidP="00437FA3">
      <w:pPr>
        <w:shd w:val="clear" w:color="auto" w:fill="FFFFFF"/>
        <w:tabs>
          <w:tab w:val="left" w:pos="567"/>
        </w:tabs>
        <w:spacing w:line="360" w:lineRule="auto"/>
        <w:jc w:val="both"/>
        <w:rPr>
          <w:rFonts w:ascii="Palatino Linotype" w:eastAsia="Times New Roman" w:hAnsi="Palatino Linotype" w:cs="Arial"/>
          <w:color w:val="222222"/>
          <w:lang w:val="es-ES" w:eastAsia="es-MX"/>
        </w:rPr>
      </w:pPr>
    </w:p>
    <w:p w14:paraId="5C29874B" w14:textId="77777777" w:rsidR="000030D8" w:rsidRPr="000030D8" w:rsidRDefault="000030D8" w:rsidP="00437FA3">
      <w:pPr>
        <w:shd w:val="clear" w:color="auto" w:fill="FFFFFF"/>
        <w:tabs>
          <w:tab w:val="left" w:pos="567"/>
        </w:tabs>
        <w:spacing w:line="360" w:lineRule="auto"/>
        <w:jc w:val="both"/>
        <w:rPr>
          <w:rFonts w:ascii="Palatino Linotype" w:eastAsia="Times New Roman" w:hAnsi="Palatino Linotype" w:cs="Arial"/>
          <w:color w:val="222222"/>
          <w:sz w:val="14"/>
          <w:lang w:val="es-ES" w:eastAsia="es-MX"/>
        </w:rPr>
      </w:pPr>
    </w:p>
    <w:p w14:paraId="7BC13723" w14:textId="221447AA" w:rsidR="00A957FE" w:rsidRPr="00437FA3" w:rsidRDefault="00A957FE" w:rsidP="00437FA3">
      <w:pPr>
        <w:tabs>
          <w:tab w:val="left" w:pos="0"/>
        </w:tabs>
        <w:spacing w:line="360" w:lineRule="auto"/>
        <w:ind w:firstLine="1"/>
        <w:jc w:val="both"/>
        <w:rPr>
          <w:rFonts w:ascii="Palatino Linotype" w:hAnsi="Palatino Linotype"/>
        </w:rPr>
      </w:pPr>
      <w:r w:rsidRPr="00437FA3">
        <w:rPr>
          <w:rFonts w:ascii="Palatino Linotype" w:hAnsi="Palatino Linotype"/>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w:t>
      </w:r>
      <w:r w:rsidR="000030D8">
        <w:rPr>
          <w:rFonts w:ascii="Palatino Linotype" w:hAnsi="Palatino Linotype"/>
        </w:rPr>
        <w:t>JOSÉ GUADALUPE LUNA HERNÁNDEZ; JAVIER MARTÍNEZ CRUZ Y LUIS GUSTAVO PARRA NORIEGA;</w:t>
      </w:r>
      <w:r w:rsidRPr="00437FA3">
        <w:rPr>
          <w:rFonts w:ascii="Palatino Linotype" w:hAnsi="Palatino Linotype"/>
        </w:rPr>
        <w:t xml:space="preserve"> EN LA </w:t>
      </w:r>
      <w:r w:rsidR="00662B3D" w:rsidRPr="00437FA3">
        <w:rPr>
          <w:rFonts w:ascii="Palatino Linotype" w:hAnsi="Palatino Linotype"/>
        </w:rPr>
        <w:t>DÉCIMA</w:t>
      </w:r>
      <w:r w:rsidRPr="00437FA3">
        <w:rPr>
          <w:rFonts w:ascii="Palatino Linotype" w:hAnsi="Palatino Linotype"/>
        </w:rPr>
        <w:t xml:space="preserve"> </w:t>
      </w:r>
      <w:r w:rsidRPr="000030D8">
        <w:rPr>
          <w:rFonts w:ascii="Palatino Linotype" w:hAnsi="Palatino Linotype"/>
        </w:rPr>
        <w:t>SÉPTIMA</w:t>
      </w:r>
      <w:r w:rsidRPr="00437FA3">
        <w:rPr>
          <w:rFonts w:ascii="Palatino Linotype" w:hAnsi="Palatino Linotype"/>
        </w:rPr>
        <w:t xml:space="preserve"> SESIÓN</w:t>
      </w:r>
      <w:r w:rsidR="000030D8">
        <w:rPr>
          <w:rFonts w:ascii="Palatino Linotype" w:hAnsi="Palatino Linotype"/>
        </w:rPr>
        <w:t xml:space="preserve"> ORDINARIA CELEBRADA EL DÍA NUEVE</w:t>
      </w:r>
      <w:r w:rsidRPr="00437FA3">
        <w:rPr>
          <w:rFonts w:ascii="Palatino Linotype" w:hAnsi="Palatino Linotype"/>
        </w:rPr>
        <w:t xml:space="preserve"> DE MA</w:t>
      </w:r>
      <w:r w:rsidR="00662B3D" w:rsidRPr="00437FA3">
        <w:rPr>
          <w:rFonts w:ascii="Palatino Linotype" w:hAnsi="Palatino Linotype"/>
        </w:rPr>
        <w:t>Y</w:t>
      </w:r>
      <w:r w:rsidRPr="00437FA3">
        <w:rPr>
          <w:rFonts w:ascii="Palatino Linotype" w:hAnsi="Palatino Linotype"/>
        </w:rPr>
        <w:t>O DE DOS MIL DIECI</w:t>
      </w:r>
      <w:r w:rsidR="00662B3D" w:rsidRPr="00437FA3">
        <w:rPr>
          <w:rFonts w:ascii="Palatino Linotype" w:hAnsi="Palatino Linotype"/>
        </w:rPr>
        <w:t>NUEVE</w:t>
      </w:r>
      <w:r w:rsidRPr="00437FA3">
        <w:rPr>
          <w:rFonts w:ascii="Palatino Linotype" w:hAnsi="Palatino Linotype"/>
        </w:rPr>
        <w:t>, ANTE EL SECRETARIO TÉCNICO DEL PLENO, ALEXIS TAPIA RAMÍREZ.</w:t>
      </w:r>
    </w:p>
    <w:tbl>
      <w:tblPr>
        <w:tblW w:w="10368" w:type="dxa"/>
        <w:jc w:val="center"/>
        <w:tblLayout w:type="fixed"/>
        <w:tblLook w:val="04A0" w:firstRow="1" w:lastRow="0" w:firstColumn="1" w:lastColumn="0" w:noHBand="0" w:noVBand="1"/>
      </w:tblPr>
      <w:tblGrid>
        <w:gridCol w:w="5184"/>
        <w:gridCol w:w="5184"/>
      </w:tblGrid>
      <w:tr w:rsidR="00A957FE" w:rsidRPr="00437FA3" w14:paraId="73E65994" w14:textId="77777777" w:rsidTr="002B3D68">
        <w:trPr>
          <w:jc w:val="center"/>
        </w:trPr>
        <w:tc>
          <w:tcPr>
            <w:tcW w:w="10368" w:type="dxa"/>
            <w:gridSpan w:val="2"/>
          </w:tcPr>
          <w:p w14:paraId="3E6D2BC2" w14:textId="45E7C780" w:rsidR="00A957FE" w:rsidRPr="00437FA3" w:rsidRDefault="000030D8" w:rsidP="00437FA3">
            <w:pPr>
              <w:spacing w:line="360" w:lineRule="auto"/>
              <w:rPr>
                <w:rFonts w:ascii="Palatino Linotype" w:hAnsi="Palatino Linotype"/>
              </w:rPr>
            </w:pPr>
            <w:r>
              <w:rPr>
                <w:rFonts w:ascii="Palatino Linotype" w:hAnsi="Palatino Linotype"/>
                <w:noProof/>
                <w:lang w:val="es-MX" w:eastAsia="es-MX"/>
              </w:rPr>
              <mc:AlternateContent>
                <mc:Choice Requires="wps">
                  <w:drawing>
                    <wp:anchor distT="0" distB="0" distL="114300" distR="114300" simplePos="0" relativeHeight="251667456" behindDoc="0" locked="0" layoutInCell="1" allowOverlap="1" wp14:anchorId="67DD427A" wp14:editId="6CA3B881">
                      <wp:simplePos x="0" y="0"/>
                      <wp:positionH relativeFrom="column">
                        <wp:posOffset>438786</wp:posOffset>
                      </wp:positionH>
                      <wp:positionV relativeFrom="paragraph">
                        <wp:posOffset>108585</wp:posOffset>
                      </wp:positionV>
                      <wp:extent cx="5505450" cy="2228850"/>
                      <wp:effectExtent l="38100" t="38100" r="76200" b="95250"/>
                      <wp:wrapNone/>
                      <wp:docPr id="41" name="Conector recto 41"/>
                      <wp:cNvGraphicFramePr/>
                      <a:graphic xmlns:a="http://schemas.openxmlformats.org/drawingml/2006/main">
                        <a:graphicData uri="http://schemas.microsoft.com/office/word/2010/wordprocessingShape">
                          <wps:wsp>
                            <wps:cNvCnPr/>
                            <wps:spPr>
                              <a:xfrm>
                                <a:off x="0" y="0"/>
                                <a:ext cx="5505450" cy="22288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A96726" id="Conector recto 4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5pt,8.55pt" to="468.05pt,1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" strokecolor="#4f81bd [3204]" strokeweight="2pt">
                      <v:shadow on="t" color="black" opacity="24903f" origin=",.5" offset="0,.55556mm"/>
                    </v:line>
                  </w:pict>
                </mc:Fallback>
              </mc:AlternateContent>
            </w:r>
          </w:p>
          <w:tbl>
            <w:tblPr>
              <w:tblW w:w="10365" w:type="dxa"/>
              <w:jc w:val="center"/>
              <w:tblLayout w:type="fixed"/>
              <w:tblLook w:val="04A0" w:firstRow="1" w:lastRow="0" w:firstColumn="1" w:lastColumn="0" w:noHBand="0" w:noVBand="1"/>
            </w:tblPr>
            <w:tblGrid>
              <w:gridCol w:w="5182"/>
              <w:gridCol w:w="5183"/>
            </w:tblGrid>
            <w:tr w:rsidR="00A957FE" w:rsidRPr="00437FA3" w14:paraId="5E0C44C4" w14:textId="77777777" w:rsidTr="002B3D68">
              <w:trPr>
                <w:jc w:val="center"/>
              </w:trPr>
              <w:tc>
                <w:tcPr>
                  <w:tcW w:w="10365" w:type="dxa"/>
                  <w:gridSpan w:val="2"/>
                  <w:shd w:val="clear" w:color="auto" w:fill="auto"/>
                </w:tcPr>
                <w:p w14:paraId="52EFFD8E" w14:textId="77777777" w:rsidR="00A957FE" w:rsidRPr="00437FA3" w:rsidRDefault="00A957FE" w:rsidP="00437FA3">
                  <w:pPr>
                    <w:spacing w:line="360" w:lineRule="auto"/>
                    <w:rPr>
                      <w:rFonts w:ascii="Palatino Linotype" w:hAnsi="Palatino Linotype" w:cs="Arial"/>
                      <w:b/>
                    </w:rPr>
                  </w:pPr>
                </w:p>
                <w:p w14:paraId="5BDF15AA" w14:textId="77777777" w:rsidR="00A957FE" w:rsidRDefault="00A957FE" w:rsidP="00437FA3">
                  <w:pPr>
                    <w:spacing w:line="360" w:lineRule="auto"/>
                    <w:jc w:val="center"/>
                    <w:rPr>
                      <w:rFonts w:ascii="Palatino Linotype" w:hAnsi="Palatino Linotype" w:cs="Arial"/>
                      <w:b/>
                    </w:rPr>
                  </w:pPr>
                </w:p>
                <w:p w14:paraId="413101C0" w14:textId="77777777" w:rsidR="000030D8" w:rsidRDefault="000030D8" w:rsidP="00437FA3">
                  <w:pPr>
                    <w:spacing w:line="360" w:lineRule="auto"/>
                    <w:jc w:val="center"/>
                    <w:rPr>
                      <w:rFonts w:ascii="Palatino Linotype" w:hAnsi="Palatino Linotype" w:cs="Arial"/>
                      <w:b/>
                    </w:rPr>
                  </w:pPr>
                </w:p>
                <w:p w14:paraId="101CEF41" w14:textId="77777777" w:rsidR="000030D8" w:rsidRDefault="000030D8" w:rsidP="00437FA3">
                  <w:pPr>
                    <w:spacing w:line="360" w:lineRule="auto"/>
                    <w:jc w:val="center"/>
                    <w:rPr>
                      <w:rFonts w:ascii="Palatino Linotype" w:hAnsi="Palatino Linotype" w:cs="Arial"/>
                      <w:b/>
                    </w:rPr>
                  </w:pPr>
                </w:p>
                <w:p w14:paraId="4113558C" w14:textId="77777777" w:rsidR="000030D8" w:rsidRDefault="000030D8" w:rsidP="00437FA3">
                  <w:pPr>
                    <w:spacing w:line="360" w:lineRule="auto"/>
                    <w:jc w:val="center"/>
                    <w:rPr>
                      <w:rFonts w:ascii="Palatino Linotype" w:hAnsi="Palatino Linotype" w:cs="Arial"/>
                      <w:b/>
                    </w:rPr>
                  </w:pPr>
                  <w:bookmarkStart w:id="128" w:name="_GoBack"/>
                  <w:bookmarkEnd w:id="128"/>
                </w:p>
                <w:p w14:paraId="3F79F730" w14:textId="77777777" w:rsidR="000030D8" w:rsidRPr="004F786F" w:rsidRDefault="000030D8" w:rsidP="000030D8">
                  <w:pPr>
                    <w:spacing w:line="360" w:lineRule="auto"/>
                    <w:rPr>
                      <w:rFonts w:ascii="Palatino Linotype" w:hAnsi="Palatino Linotype" w:cs="Arial"/>
                      <w:b/>
                      <w:sz w:val="32"/>
                    </w:rPr>
                  </w:pPr>
                </w:p>
                <w:p w14:paraId="60B817CA"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Zulema Martínez Sánchez</w:t>
                  </w:r>
                </w:p>
                <w:p w14:paraId="117592CD"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rPr>
                    <w:t>Comisionada Presidenta</w:t>
                  </w:r>
                </w:p>
                <w:p w14:paraId="668D83F5"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 xml:space="preserve">(RÚBRICA) </w:t>
                  </w:r>
                </w:p>
              </w:tc>
            </w:tr>
            <w:tr w:rsidR="00A957FE" w:rsidRPr="00437FA3" w14:paraId="7423BDDF" w14:textId="77777777" w:rsidTr="002B3D68">
              <w:trPr>
                <w:jc w:val="center"/>
              </w:trPr>
              <w:tc>
                <w:tcPr>
                  <w:tcW w:w="5182" w:type="dxa"/>
                  <w:shd w:val="clear" w:color="auto" w:fill="auto"/>
                </w:tcPr>
                <w:p w14:paraId="1BA3B117" w14:textId="77777777" w:rsidR="00A957FE" w:rsidRPr="004F786F" w:rsidRDefault="00A957FE" w:rsidP="000030D8">
                  <w:pPr>
                    <w:spacing w:line="360" w:lineRule="auto"/>
                    <w:rPr>
                      <w:rFonts w:ascii="Palatino Linotype" w:hAnsi="Palatino Linotype" w:cs="Arial"/>
                      <w:b/>
                      <w:sz w:val="32"/>
                    </w:rPr>
                  </w:pPr>
                </w:p>
                <w:p w14:paraId="71CD7A79"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 xml:space="preserve">Eva </w:t>
                  </w:r>
                  <w:proofErr w:type="spellStart"/>
                  <w:r w:rsidRPr="00437FA3">
                    <w:rPr>
                      <w:rFonts w:ascii="Palatino Linotype" w:hAnsi="Palatino Linotype" w:cs="Arial"/>
                      <w:b/>
                    </w:rPr>
                    <w:t>Abaid</w:t>
                  </w:r>
                  <w:proofErr w:type="spellEnd"/>
                  <w:r w:rsidRPr="00437FA3">
                    <w:rPr>
                      <w:rFonts w:ascii="Palatino Linotype" w:hAnsi="Palatino Linotype" w:cs="Arial"/>
                      <w:b/>
                    </w:rPr>
                    <w:t xml:space="preserve"> </w:t>
                  </w:r>
                  <w:proofErr w:type="spellStart"/>
                  <w:r w:rsidRPr="00437FA3">
                    <w:rPr>
                      <w:rFonts w:ascii="Palatino Linotype" w:hAnsi="Palatino Linotype" w:cs="Arial"/>
                      <w:b/>
                    </w:rPr>
                    <w:t>Yapur</w:t>
                  </w:r>
                  <w:proofErr w:type="spellEnd"/>
                </w:p>
                <w:p w14:paraId="72E059DB"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rPr>
                    <w:t>Comisionada</w:t>
                  </w:r>
                </w:p>
                <w:p w14:paraId="23E427F6"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(RÚBRICA)</w:t>
                  </w:r>
                </w:p>
              </w:tc>
              <w:tc>
                <w:tcPr>
                  <w:tcW w:w="5183" w:type="dxa"/>
                  <w:shd w:val="clear" w:color="auto" w:fill="auto"/>
                </w:tcPr>
                <w:p w14:paraId="01AEC28D" w14:textId="77777777" w:rsidR="00A957FE" w:rsidRPr="004F786F" w:rsidRDefault="00A957FE" w:rsidP="000030D8">
                  <w:pPr>
                    <w:spacing w:line="360" w:lineRule="auto"/>
                    <w:rPr>
                      <w:rFonts w:ascii="Palatino Linotype" w:hAnsi="Palatino Linotype" w:cs="Arial"/>
                      <w:b/>
                      <w:sz w:val="32"/>
                    </w:rPr>
                  </w:pPr>
                </w:p>
                <w:p w14:paraId="286A4602"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José Guadalupe Luna Hernández</w:t>
                  </w:r>
                </w:p>
                <w:p w14:paraId="100C89B5"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rPr>
                    <w:t>Comisionado</w:t>
                  </w:r>
                </w:p>
                <w:p w14:paraId="4C0B9A1A"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(RÚBRICA)</w:t>
                  </w:r>
                </w:p>
              </w:tc>
            </w:tr>
            <w:tr w:rsidR="00A957FE" w:rsidRPr="00437FA3" w14:paraId="5D3DF405" w14:textId="77777777" w:rsidTr="002B3D68">
              <w:trPr>
                <w:jc w:val="center"/>
              </w:trPr>
              <w:tc>
                <w:tcPr>
                  <w:tcW w:w="5182" w:type="dxa"/>
                  <w:shd w:val="clear" w:color="auto" w:fill="auto"/>
                </w:tcPr>
                <w:p w14:paraId="32A61BD5" w14:textId="77777777" w:rsidR="00A957FE" w:rsidRPr="004F786F" w:rsidRDefault="00A957FE" w:rsidP="000030D8">
                  <w:pPr>
                    <w:spacing w:line="360" w:lineRule="auto"/>
                    <w:rPr>
                      <w:rFonts w:ascii="Palatino Linotype" w:hAnsi="Palatino Linotype" w:cs="Arial"/>
                      <w:b/>
                      <w:sz w:val="32"/>
                    </w:rPr>
                  </w:pPr>
                </w:p>
                <w:p w14:paraId="29869438"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Javier Martínez Cruz</w:t>
                  </w:r>
                </w:p>
                <w:p w14:paraId="2AF0FA04"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rPr>
                    <w:t>Comisionado</w:t>
                  </w:r>
                </w:p>
                <w:p w14:paraId="79B444D7"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b/>
                    </w:rPr>
                    <w:t>(RÚBRICA)</w:t>
                  </w:r>
                </w:p>
              </w:tc>
              <w:tc>
                <w:tcPr>
                  <w:tcW w:w="5183" w:type="dxa"/>
                  <w:shd w:val="clear" w:color="auto" w:fill="auto"/>
                </w:tcPr>
                <w:p w14:paraId="19DC4CDA" w14:textId="77777777" w:rsidR="00A957FE" w:rsidRPr="004F786F" w:rsidRDefault="00A957FE" w:rsidP="00437FA3">
                  <w:pPr>
                    <w:spacing w:line="360" w:lineRule="auto"/>
                    <w:rPr>
                      <w:rFonts w:ascii="Palatino Linotype" w:hAnsi="Palatino Linotype" w:cs="Arial"/>
                      <w:b/>
                      <w:sz w:val="32"/>
                    </w:rPr>
                  </w:pPr>
                </w:p>
                <w:p w14:paraId="337D01B7"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Luis Gustavo Parra Noriega</w:t>
                  </w:r>
                </w:p>
                <w:p w14:paraId="5DB79E00"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rPr>
                    <w:t>Comisionado</w:t>
                  </w:r>
                </w:p>
                <w:p w14:paraId="68353BA4"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(RÚBRICA)</w:t>
                  </w:r>
                </w:p>
              </w:tc>
            </w:tr>
            <w:tr w:rsidR="00A957FE" w:rsidRPr="00437FA3" w14:paraId="4F1E5E2A" w14:textId="77777777" w:rsidTr="002B3D68">
              <w:trPr>
                <w:jc w:val="center"/>
              </w:trPr>
              <w:tc>
                <w:tcPr>
                  <w:tcW w:w="10365" w:type="dxa"/>
                  <w:gridSpan w:val="2"/>
                  <w:shd w:val="clear" w:color="auto" w:fill="auto"/>
                </w:tcPr>
                <w:p w14:paraId="3BADD190" w14:textId="28B7329A" w:rsidR="00A957FE" w:rsidRPr="004F786F" w:rsidRDefault="000030D8" w:rsidP="000030D8">
                  <w:pPr>
                    <w:tabs>
                      <w:tab w:val="left" w:pos="3720"/>
                    </w:tabs>
                    <w:spacing w:line="360" w:lineRule="auto"/>
                    <w:rPr>
                      <w:rFonts w:ascii="Palatino Linotype" w:hAnsi="Palatino Linotype" w:cs="Arial"/>
                      <w:b/>
                      <w:sz w:val="28"/>
                    </w:rPr>
                  </w:pPr>
                  <w:r>
                    <w:rPr>
                      <w:rFonts w:ascii="Palatino Linotype" w:hAnsi="Palatino Linotype" w:cs="Arial"/>
                      <w:b/>
                    </w:rPr>
                    <w:tab/>
                  </w:r>
                </w:p>
                <w:p w14:paraId="164D505D" w14:textId="77777777" w:rsidR="00A957FE" w:rsidRPr="00437FA3" w:rsidRDefault="00A957FE" w:rsidP="00437FA3">
                  <w:pPr>
                    <w:spacing w:line="360" w:lineRule="auto"/>
                    <w:jc w:val="center"/>
                    <w:rPr>
                      <w:rFonts w:ascii="Palatino Linotype" w:hAnsi="Palatino Linotype" w:cs="Arial"/>
                      <w:b/>
                    </w:rPr>
                  </w:pPr>
                  <w:r w:rsidRPr="00437FA3">
                    <w:rPr>
                      <w:rFonts w:ascii="Palatino Linotype" w:hAnsi="Palatino Linotype" w:cs="Arial"/>
                      <w:b/>
                    </w:rPr>
                    <w:t>Alexis Tapia Ramírez</w:t>
                  </w:r>
                </w:p>
                <w:p w14:paraId="2F10CB77"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rPr>
                    <w:t>Secretario Técnico del Pleno</w:t>
                  </w:r>
                </w:p>
                <w:p w14:paraId="325A593E" w14:textId="77777777" w:rsidR="00A957FE" w:rsidRPr="00437FA3" w:rsidRDefault="00A957FE" w:rsidP="00437FA3">
                  <w:pPr>
                    <w:spacing w:line="360" w:lineRule="auto"/>
                    <w:jc w:val="center"/>
                    <w:rPr>
                      <w:rFonts w:ascii="Palatino Linotype" w:hAnsi="Palatino Linotype" w:cs="Arial"/>
                    </w:rPr>
                  </w:pPr>
                  <w:r w:rsidRPr="00437FA3">
                    <w:rPr>
                      <w:rFonts w:ascii="Palatino Linotype" w:hAnsi="Palatino Linotype" w:cs="Arial"/>
                      <w:b/>
                    </w:rPr>
                    <w:t>(RÚBRICA)</w:t>
                  </w:r>
                  <w:r w:rsidRPr="00437FA3">
                    <w:rPr>
                      <w:rFonts w:ascii="Palatino Linotype" w:hAnsi="Palatino Linotype" w:cs="Arial"/>
                    </w:rPr>
                    <w:t xml:space="preserve"> </w:t>
                  </w:r>
                </w:p>
              </w:tc>
            </w:tr>
          </w:tbl>
          <w:p w14:paraId="5B0F4567" w14:textId="77777777" w:rsidR="00A957FE" w:rsidRPr="00437FA3" w:rsidRDefault="00A957FE" w:rsidP="00437FA3">
            <w:pPr>
              <w:spacing w:line="360" w:lineRule="auto"/>
              <w:jc w:val="both"/>
              <w:rPr>
                <w:rFonts w:ascii="Palatino Linotype" w:hAnsi="Palatino Linotype" w:cs="Arial"/>
                <w:lang w:val="es-ES"/>
              </w:rPr>
            </w:pPr>
          </w:p>
        </w:tc>
      </w:tr>
      <w:tr w:rsidR="00A957FE" w:rsidRPr="00437FA3" w14:paraId="6EEA9CEF" w14:textId="77777777" w:rsidTr="002B3D68">
        <w:trPr>
          <w:jc w:val="center"/>
        </w:trPr>
        <w:tc>
          <w:tcPr>
            <w:tcW w:w="5184" w:type="dxa"/>
            <w:hideMark/>
          </w:tcPr>
          <w:p w14:paraId="670788CF" w14:textId="77777777" w:rsidR="00A957FE" w:rsidRPr="004F786F" w:rsidRDefault="00A957FE" w:rsidP="00437FA3">
            <w:pPr>
              <w:spacing w:line="360" w:lineRule="auto"/>
              <w:jc w:val="both"/>
              <w:rPr>
                <w:rFonts w:ascii="Palatino Linotype" w:hAnsi="Palatino Linotype" w:cs="Arial"/>
                <w:sz w:val="12"/>
                <w:lang w:val="es-ES"/>
              </w:rPr>
            </w:pPr>
          </w:p>
        </w:tc>
        <w:tc>
          <w:tcPr>
            <w:tcW w:w="5184" w:type="dxa"/>
          </w:tcPr>
          <w:p w14:paraId="27186BC1" w14:textId="77777777" w:rsidR="00A957FE" w:rsidRPr="00437FA3" w:rsidRDefault="00A957FE" w:rsidP="00437FA3">
            <w:pPr>
              <w:spacing w:line="360" w:lineRule="auto"/>
              <w:jc w:val="center"/>
              <w:rPr>
                <w:rFonts w:ascii="Palatino Linotype" w:hAnsi="Palatino Linotype" w:cs="Arial"/>
                <w:b/>
              </w:rPr>
            </w:pPr>
          </w:p>
        </w:tc>
      </w:tr>
    </w:tbl>
    <w:bookmarkEnd w:id="0"/>
    <w:bookmarkEnd w:id="1"/>
    <w:bookmarkEnd w:id="90"/>
    <w:bookmarkEnd w:id="91"/>
    <w:p w14:paraId="0CFE34E2" w14:textId="48F6E24C" w:rsidR="007914E4" w:rsidRPr="00437FA3" w:rsidRDefault="0033477F" w:rsidP="00437FA3">
      <w:pPr>
        <w:tabs>
          <w:tab w:val="left" w:pos="567"/>
        </w:tabs>
        <w:spacing w:before="240" w:after="240" w:line="360" w:lineRule="auto"/>
        <w:jc w:val="both"/>
        <w:rPr>
          <w:rFonts w:ascii="Palatino Linotype" w:hAnsi="Palatino Linotype" w:cs="Arial"/>
          <w:lang w:val="es-MX"/>
        </w:rPr>
      </w:pPr>
      <w:r w:rsidRPr="00437FA3">
        <w:rPr>
          <w:rFonts w:ascii="Palatino Linotype" w:eastAsia="Times New Roman" w:hAnsi="Palatino Linotype" w:cs="Arial"/>
          <w:lang w:val="es-MX"/>
        </w:rPr>
        <w:t>Esta hoja cor</w:t>
      </w:r>
      <w:r w:rsidR="000030D8">
        <w:rPr>
          <w:rFonts w:ascii="Palatino Linotype" w:eastAsia="Times New Roman" w:hAnsi="Palatino Linotype" w:cs="Arial"/>
          <w:lang w:val="es-MX"/>
        </w:rPr>
        <w:t xml:space="preserve">responde a la resolución de fecha nueve (09) de mayo </w:t>
      </w:r>
      <w:r w:rsidRPr="00437FA3">
        <w:rPr>
          <w:rFonts w:ascii="Palatino Linotype" w:eastAsia="Times New Roman" w:hAnsi="Palatino Linotype" w:cs="Arial"/>
          <w:lang w:val="es-MX"/>
        </w:rPr>
        <w:t>de dos mil dieci</w:t>
      </w:r>
      <w:r w:rsidR="000030D8">
        <w:rPr>
          <w:rFonts w:ascii="Palatino Linotype" w:eastAsia="Times New Roman" w:hAnsi="Palatino Linotype" w:cs="Arial"/>
          <w:lang w:val="es-MX"/>
        </w:rPr>
        <w:t>nueve</w:t>
      </w:r>
      <w:r w:rsidRPr="00437FA3">
        <w:rPr>
          <w:rFonts w:ascii="Palatino Linotype" w:eastAsia="Times New Roman" w:hAnsi="Palatino Linotype" w:cs="Arial"/>
          <w:lang w:val="es-MX"/>
        </w:rPr>
        <w:t xml:space="preserve">, emitida en el recurso de revisión </w:t>
      </w:r>
      <w:r w:rsidR="00882DE1" w:rsidRPr="00437FA3">
        <w:rPr>
          <w:rFonts w:ascii="Palatino Linotype" w:hAnsi="Palatino Linotype" w:cs="Arial"/>
          <w:b/>
          <w:bCs/>
          <w:lang w:val="es-MX" w:eastAsia="es-MX"/>
        </w:rPr>
        <w:t>0</w:t>
      </w:r>
      <w:r w:rsidR="00FA053B" w:rsidRPr="00437FA3">
        <w:rPr>
          <w:rFonts w:ascii="Palatino Linotype" w:hAnsi="Palatino Linotype" w:cs="Arial"/>
          <w:b/>
          <w:bCs/>
          <w:lang w:val="es-MX" w:eastAsia="es-MX"/>
        </w:rPr>
        <w:t>00</w:t>
      </w:r>
      <w:r w:rsidR="00DC3A65" w:rsidRPr="00437FA3">
        <w:rPr>
          <w:rFonts w:ascii="Palatino Linotype" w:hAnsi="Palatino Linotype" w:cs="Arial"/>
          <w:b/>
          <w:bCs/>
          <w:lang w:val="es-MX" w:eastAsia="es-MX"/>
        </w:rPr>
        <w:t>778</w:t>
      </w:r>
      <w:r w:rsidR="00FA053B" w:rsidRPr="00437FA3">
        <w:rPr>
          <w:rFonts w:ascii="Palatino Linotype" w:hAnsi="Palatino Linotype" w:cs="Arial"/>
          <w:b/>
          <w:bCs/>
          <w:lang w:val="es-MX" w:eastAsia="es-MX"/>
        </w:rPr>
        <w:t>/INFOEM/IP/RR/2019</w:t>
      </w:r>
      <w:r w:rsidR="00417E0F" w:rsidRPr="00437FA3">
        <w:rPr>
          <w:rFonts w:ascii="Palatino Linotype" w:hAnsi="Palatino Linotype" w:cs="Arial"/>
          <w:b/>
          <w:bCs/>
          <w:lang w:val="es-MX" w:eastAsia="es-MX"/>
        </w:rPr>
        <w:t>.</w:t>
      </w:r>
    </w:p>
    <w:sectPr w:rsidR="007914E4" w:rsidRPr="00437FA3" w:rsidSect="00437FA3">
      <w:headerReference w:type="default" r:id="rId56"/>
      <w:footerReference w:type="default" r:id="rId57"/>
      <w:headerReference w:type="first" r:id="rId58"/>
      <w:footerReference w:type="first" r:id="rId59"/>
      <w:pgSz w:w="12240" w:h="15840"/>
      <w:pgMar w:top="2552" w:right="1752" w:bottom="2552"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EE167A" w14:textId="77777777" w:rsidR="009C19E2" w:rsidRDefault="009C19E2" w:rsidP="00587366">
      <w:r>
        <w:separator/>
      </w:r>
    </w:p>
    <w:p w14:paraId="45E106C2" w14:textId="77777777" w:rsidR="009C19E2" w:rsidRDefault="009C19E2"/>
  </w:endnote>
  <w:endnote w:type="continuationSeparator" w:id="0">
    <w:p w14:paraId="2CADD922" w14:textId="77777777" w:rsidR="009C19E2" w:rsidRDefault="009C19E2" w:rsidP="00587366">
      <w:r>
        <w:continuationSeparator/>
      </w:r>
    </w:p>
    <w:p w14:paraId="246FAFAA" w14:textId="77777777" w:rsidR="009C19E2" w:rsidRDefault="009C19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20813738"/>
      <w:docPartObj>
        <w:docPartGallery w:val="Page Numbers (Bottom of Page)"/>
        <w:docPartUnique/>
      </w:docPartObj>
    </w:sdtPr>
    <w:sdtEndPr/>
    <w:sdtContent>
      <w:sdt>
        <w:sdtPr>
          <w:rPr>
            <w:rFonts w:ascii="Palatino Linotype" w:hAnsi="Palatino Linotype"/>
            <w:sz w:val="28"/>
          </w:rPr>
          <w:id w:val="2028050644"/>
          <w:docPartObj>
            <w:docPartGallery w:val="Page Numbers (Top of Page)"/>
            <w:docPartUnique/>
          </w:docPartObj>
        </w:sdtPr>
        <w:sdtEndPr/>
        <w:sdtContent>
          <w:p w14:paraId="43E44DEB" w14:textId="77777777" w:rsidR="009C19E2" w:rsidRDefault="009C19E2" w:rsidP="00437FA3">
            <w:pPr>
              <w:pStyle w:val="Piedepgina"/>
              <w:jc w:val="right"/>
              <w:rPr>
                <w:rFonts w:ascii="Palatino Linotype" w:hAnsi="Palatino Linotype"/>
                <w:b/>
                <w:bCs/>
                <w:sz w:val="22"/>
                <w:szCs w:val="20"/>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FF0E51">
              <w:rPr>
                <w:rFonts w:ascii="Palatino Linotype" w:hAnsi="Palatino Linotype"/>
                <w:b/>
                <w:bCs/>
                <w:noProof/>
                <w:sz w:val="22"/>
                <w:szCs w:val="20"/>
              </w:rPr>
              <w:t>132</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FF0E51">
              <w:rPr>
                <w:rFonts w:ascii="Palatino Linotype" w:hAnsi="Palatino Linotype"/>
                <w:b/>
                <w:bCs/>
                <w:noProof/>
                <w:sz w:val="22"/>
                <w:szCs w:val="20"/>
              </w:rPr>
              <w:t>132</w:t>
            </w:r>
            <w:r w:rsidRPr="00883450">
              <w:rPr>
                <w:rFonts w:ascii="Palatino Linotype" w:hAnsi="Palatino Linotype"/>
                <w:b/>
                <w:bCs/>
                <w:sz w:val="22"/>
                <w:szCs w:val="20"/>
              </w:rPr>
              <w:fldChar w:fldCharType="end"/>
            </w:r>
          </w:p>
          <w:p w14:paraId="187818B4" w14:textId="42E0FFCB" w:rsidR="009C19E2" w:rsidRDefault="00FF0E51" w:rsidP="00985DA6">
            <w:pPr>
              <w:pStyle w:val="Piedepgina"/>
              <w:rPr>
                <w:rFonts w:ascii="Palatino Linotype" w:hAnsi="Palatino Linotype"/>
                <w:sz w:val="28"/>
              </w:rPr>
            </w:pPr>
          </w:p>
        </w:sdtContent>
      </w:sdt>
    </w:sdtContent>
  </w:sdt>
  <w:p w14:paraId="1AED78E8" w14:textId="77777777" w:rsidR="009C19E2" w:rsidRDefault="009C19E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9C19E2" w:rsidRPr="00883450" w:rsidRDefault="009C19E2"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FF0E51" w:rsidRPr="00FF0E51">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FF0E51" w:rsidRPr="00FF0E51">
      <w:rPr>
        <w:rFonts w:ascii="Palatino Linotype" w:hAnsi="Palatino Linotype"/>
        <w:noProof/>
        <w:sz w:val="22"/>
        <w:szCs w:val="22"/>
        <w:lang w:val="es-ES"/>
      </w:rPr>
      <w:t>132</w:t>
    </w:r>
    <w:r w:rsidRPr="00883450">
      <w:rPr>
        <w:rFonts w:ascii="Palatino Linotype" w:hAnsi="Palatino Linotype"/>
        <w:sz w:val="22"/>
        <w:szCs w:val="22"/>
      </w:rPr>
      <w:fldChar w:fldCharType="end"/>
    </w:r>
  </w:p>
  <w:p w14:paraId="5F5C4865" w14:textId="77777777" w:rsidR="009C19E2" w:rsidRPr="00883450" w:rsidRDefault="009C19E2">
    <w:pPr>
      <w:pStyle w:val="Piedepgina"/>
      <w:rPr>
        <w:rFonts w:ascii="Palatino Linotype" w:hAnsi="Palatino Linotype"/>
        <w:sz w:val="22"/>
        <w:szCs w:val="22"/>
      </w:rPr>
    </w:pPr>
  </w:p>
  <w:p w14:paraId="2E09EA83" w14:textId="77777777" w:rsidR="009C19E2" w:rsidRDefault="009C19E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3AEA15" w14:textId="77777777" w:rsidR="009C19E2" w:rsidRDefault="009C19E2" w:rsidP="00587366">
      <w:r>
        <w:separator/>
      </w:r>
    </w:p>
    <w:p w14:paraId="66330DFB" w14:textId="77777777" w:rsidR="009C19E2" w:rsidRDefault="009C19E2"/>
  </w:footnote>
  <w:footnote w:type="continuationSeparator" w:id="0">
    <w:p w14:paraId="1C6D5FD6" w14:textId="77777777" w:rsidR="009C19E2" w:rsidRDefault="009C19E2" w:rsidP="00587366">
      <w:r>
        <w:continuationSeparator/>
      </w:r>
    </w:p>
    <w:p w14:paraId="2B0254CF" w14:textId="77777777" w:rsidR="009C19E2" w:rsidRDefault="009C19E2"/>
  </w:footnote>
  <w:footnote w:id="1">
    <w:p w14:paraId="2280F00D" w14:textId="77777777" w:rsidR="009C19E2" w:rsidRDefault="009C19E2" w:rsidP="00505269">
      <w:pPr>
        <w:pStyle w:val="Textonotapie"/>
      </w:pPr>
      <w:r>
        <w:rPr>
          <w:rStyle w:val="Refdenotaalpie"/>
        </w:rPr>
        <w:footnoteRef/>
      </w:r>
      <w:r>
        <w:t xml:space="preserve"> Convención Americana sobre Derechos Humanos. Artículo 13.</w:t>
      </w:r>
    </w:p>
  </w:footnote>
  <w:footnote w:id="2">
    <w:p w14:paraId="4785DE24" w14:textId="77777777" w:rsidR="009C19E2" w:rsidRDefault="009C19E2" w:rsidP="00505269">
      <w:pPr>
        <w:pStyle w:val="Textonotapie"/>
      </w:pPr>
      <w:r>
        <w:rPr>
          <w:rStyle w:val="Refdenotaalpie"/>
        </w:rPr>
        <w:footnoteRef/>
      </w:r>
      <w:r>
        <w:t xml:space="preserve"> Constitución Política de los Estados Unidos Mexicanos. Artículo sexto, sección A, fracción I.</w:t>
      </w:r>
    </w:p>
  </w:footnote>
  <w:footnote w:id="3">
    <w:p w14:paraId="75A7E67D" w14:textId="77777777" w:rsidR="009C19E2" w:rsidRDefault="009C19E2" w:rsidP="00505269">
      <w:pPr>
        <w:pStyle w:val="Textonotapie"/>
      </w:pPr>
      <w:r>
        <w:rPr>
          <w:rStyle w:val="Refdenotaalpie"/>
        </w:rPr>
        <w:footnoteRef/>
      </w:r>
      <w:r>
        <w:t xml:space="preserve"> Corte Interamericana de Derechos Humanos. Caso Claude Reyes y otros vs. Chile. Sentencia de 19 de septiembre de 2006. Serie C. No. 151. Párr. 86.</w:t>
      </w:r>
    </w:p>
  </w:footnote>
  <w:footnote w:id="4">
    <w:p w14:paraId="45423A54" w14:textId="77777777" w:rsidR="009C19E2" w:rsidRDefault="009C19E2" w:rsidP="00505269">
      <w:pPr>
        <w:pStyle w:val="Textonotapie"/>
      </w:pPr>
      <w:r>
        <w:rPr>
          <w:rStyle w:val="Refdenotaalpie"/>
        </w:rPr>
        <w:footnoteRef/>
      </w:r>
      <w:r>
        <w:t xml:space="preserve"> Ibídem. </w:t>
      </w:r>
      <w:proofErr w:type="spellStart"/>
      <w:r>
        <w:t>Parr</w:t>
      </w:r>
      <w:proofErr w:type="spellEnd"/>
      <w:r>
        <w:t>. 87.</w:t>
      </w:r>
    </w:p>
  </w:footnote>
  <w:footnote w:id="5">
    <w:p w14:paraId="465E1CB9" w14:textId="77777777" w:rsidR="009C19E2" w:rsidRPr="00C102FA" w:rsidRDefault="009C19E2" w:rsidP="00146A83">
      <w:pPr>
        <w:pStyle w:val="Textonotapie"/>
        <w:ind w:left="142"/>
        <w:jc w:val="both"/>
        <w:rPr>
          <w:rFonts w:asciiTheme="majorHAnsi" w:hAnsiTheme="majorHAnsi"/>
        </w:rPr>
      </w:pPr>
      <w:r>
        <w:rPr>
          <w:rStyle w:val="Refdenotaalpie"/>
        </w:rPr>
        <w:footnoteRef/>
      </w:r>
      <w:r>
        <w:t xml:space="preserve"> </w:t>
      </w:r>
      <w:r w:rsidRPr="00C102FA">
        <w:rPr>
          <w:rFonts w:asciiTheme="majorHAnsi" w:eastAsia="Calibri" w:hAnsiTheme="majorHAnsi" w:cs="Times New Roman"/>
        </w:rPr>
        <w:t xml:space="preserve">Para garantizar el Derecho de Acceso a la Información Pública en recursos de revisión en los que </w:t>
      </w:r>
      <w:r w:rsidRPr="00C102FA">
        <w:rPr>
          <w:rFonts w:asciiTheme="majorHAnsi" w:eastAsia="Calibri" w:hAnsiTheme="majorHAnsi" w:cs="Times New Roman"/>
          <w:b/>
        </w:rPr>
        <w:t>la solicitud inicial</w:t>
      </w:r>
      <w:r w:rsidRPr="00C102FA">
        <w:rPr>
          <w:rFonts w:asciiTheme="majorHAnsi" w:eastAsia="Calibri" w:hAnsiTheme="majorHAnsi" w:cs="Times New Roman"/>
        </w:rPr>
        <w:t xml:space="preserve">, el acto impugnado o los motivos de inconformidad </w:t>
      </w:r>
      <w:r w:rsidRPr="002A37CB">
        <w:rPr>
          <w:rFonts w:asciiTheme="majorHAnsi" w:eastAsia="Calibri" w:hAnsiTheme="majorHAnsi" w:cs="Times New Roman"/>
        </w:rPr>
        <w:t>son abundantes</w:t>
      </w:r>
      <w:r>
        <w:rPr>
          <w:rFonts w:asciiTheme="majorHAnsi" w:eastAsia="Calibri" w:hAnsiTheme="majorHAnsi" w:cs="Times New Roman"/>
        </w:rPr>
        <w:t>,</w:t>
      </w:r>
      <w:r w:rsidRPr="00C102FA">
        <w:rPr>
          <w:rFonts w:asciiTheme="majorHAnsi" w:eastAsia="Calibri" w:hAnsiTheme="majorHAnsi" w:cs="Times New Roman"/>
        </w:rPr>
        <w:t xml:space="preserve"> complejos</w:t>
      </w:r>
      <w:r>
        <w:rPr>
          <w:rFonts w:asciiTheme="majorHAnsi" w:eastAsia="Calibri" w:hAnsiTheme="majorHAnsi" w:cs="Times New Roman"/>
        </w:rPr>
        <w:t xml:space="preserve"> o diversos</w:t>
      </w:r>
      <w:r w:rsidRPr="00C102FA">
        <w:rPr>
          <w:rFonts w:asciiTheme="majorHAnsi" w:eastAsia="Calibri" w:hAnsiTheme="majorHAnsi" w:cs="Times New Roman"/>
        </w:rPr>
        <w:t>, el órgano garante puede adoptar instrumentos de exposición que sistematicen todos los elementos. Criterio utilizado en las resoluciones 01863/INFOEM/IP/RR/2015, 00048/INFOEM/IP/RR/2016 y acumulados.</w:t>
      </w:r>
    </w:p>
  </w:footnote>
  <w:footnote w:id="6">
    <w:p w14:paraId="5CFC1D0F" w14:textId="77777777" w:rsidR="009C19E2" w:rsidRDefault="009C19E2" w:rsidP="00E73F81">
      <w:pPr>
        <w:pStyle w:val="Textonotapie"/>
        <w:jc w:val="both"/>
        <w:rPr>
          <w:rFonts w:ascii="Palatino Linotype" w:hAnsi="Palatino Linotype"/>
        </w:rPr>
      </w:pPr>
      <w:r w:rsidRPr="00377880">
        <w:rPr>
          <w:rStyle w:val="Refdenotaalpie"/>
          <w:rFonts w:ascii="Palatino Linotype" w:hAnsi="Palatino Linotype"/>
        </w:rPr>
        <w:footnoteRef/>
      </w:r>
      <w:r w:rsidRPr="00377880">
        <w:rPr>
          <w:rFonts w:ascii="Palatino Linotype" w:hAnsi="Palatino Linotype"/>
        </w:rPr>
        <w:t xml:space="preserve"> Rodolfo Gómez Aranda, Derecho laboral I, ISBN 978-607-733-127-8, Ed. RED TERCER MILENIO S.C., primera edición 2012</w:t>
      </w:r>
      <w:r>
        <w:rPr>
          <w:rFonts w:ascii="Palatino Linotype" w:hAnsi="Palatino Linotype"/>
        </w:rPr>
        <w:t xml:space="preserve"> pág. 140</w:t>
      </w:r>
      <w:r w:rsidRPr="00377880">
        <w:rPr>
          <w:rFonts w:ascii="Palatino Linotype" w:hAnsi="Palatino Linotype"/>
        </w:rPr>
        <w:t>, México.</w:t>
      </w:r>
    </w:p>
    <w:p w14:paraId="4EF3AE20" w14:textId="77777777" w:rsidR="009C19E2" w:rsidRDefault="009C19E2" w:rsidP="00E73F81">
      <w:pPr>
        <w:pStyle w:val="Textonotapie"/>
        <w:jc w:val="both"/>
        <w:rPr>
          <w:rFonts w:ascii="Palatino Linotype" w:hAnsi="Palatino Linotype"/>
        </w:rPr>
      </w:pPr>
      <w:r>
        <w:rPr>
          <w:rFonts w:ascii="Palatino Linotype" w:hAnsi="Palatino Linotype"/>
        </w:rPr>
        <w:t>Página en la red:</w:t>
      </w:r>
    </w:p>
    <w:p w14:paraId="756BEE1E" w14:textId="77777777" w:rsidR="009C19E2" w:rsidRPr="00377880" w:rsidRDefault="009C19E2" w:rsidP="00E73F81">
      <w:pPr>
        <w:pStyle w:val="Textonotapie"/>
        <w:jc w:val="both"/>
        <w:rPr>
          <w:rFonts w:ascii="Palatino Linotype" w:hAnsi="Palatino Linotype"/>
        </w:rPr>
      </w:pPr>
      <w:r w:rsidRPr="0019122B">
        <w:rPr>
          <w:rFonts w:ascii="Palatino Linotype" w:hAnsi="Palatino Linotype"/>
        </w:rPr>
        <w:t>http://www.aliat.org.mx/BibliotecasDigitales/derecho_y_ciencias_sociales/Derecho_laboral_I.pdf</w:t>
      </w:r>
    </w:p>
  </w:footnote>
  <w:footnote w:id="7">
    <w:p w14:paraId="33556607" w14:textId="77777777" w:rsidR="009C19E2" w:rsidRPr="00446878" w:rsidRDefault="009C19E2" w:rsidP="00123DB0">
      <w:pPr>
        <w:autoSpaceDE w:val="0"/>
        <w:autoSpaceDN w:val="0"/>
        <w:adjustRightInd w:val="0"/>
        <w:spacing w:line="276" w:lineRule="auto"/>
        <w:jc w:val="both"/>
        <w:rPr>
          <w:rFonts w:asciiTheme="majorHAnsi" w:hAnsiTheme="majorHAnsi" w:cs="Arial"/>
          <w:sz w:val="20"/>
          <w:szCs w:val="20"/>
        </w:rPr>
      </w:pPr>
      <w:r>
        <w:rPr>
          <w:rStyle w:val="Refdenotaalpie"/>
        </w:rPr>
        <w:footnoteRef/>
      </w:r>
      <w:r>
        <w:t xml:space="preserve"> </w:t>
      </w:r>
      <w:r w:rsidRPr="00446878">
        <w:rPr>
          <w:rFonts w:asciiTheme="majorHAnsi" w:hAnsiTheme="majorHAnsi" w:cs="Arial"/>
          <w:b/>
          <w:bCs/>
          <w:sz w:val="20"/>
          <w:szCs w:val="20"/>
        </w:rPr>
        <w:t xml:space="preserve">Artículo 122. </w:t>
      </w:r>
      <w:r w:rsidRPr="00446878">
        <w:rPr>
          <w:rFonts w:asciiTheme="majorHAnsi" w:hAnsiTheme="majorHAnsi" w:cs="Arial"/>
          <w:sz w:val="20"/>
          <w:szCs w:val="20"/>
        </w:rPr>
        <w:t xml:space="preserve">La clasificación es el proceso mediante el cual el sujeto obligado determina que la información en su poder </w:t>
      </w:r>
      <w:proofErr w:type="spellStart"/>
      <w:r w:rsidRPr="00446878">
        <w:rPr>
          <w:rFonts w:asciiTheme="majorHAnsi" w:hAnsiTheme="majorHAnsi" w:cs="Arial"/>
          <w:sz w:val="20"/>
          <w:szCs w:val="20"/>
        </w:rPr>
        <w:t>actualiza</w:t>
      </w:r>
      <w:proofErr w:type="spellEnd"/>
      <w:r w:rsidRPr="00446878">
        <w:rPr>
          <w:rFonts w:asciiTheme="majorHAnsi" w:hAnsiTheme="majorHAnsi" w:cs="Arial"/>
          <w:sz w:val="20"/>
          <w:szCs w:val="20"/>
        </w:rPr>
        <w:t xml:space="preserve"> alguno de los supuestos de reserva o confidencialidad, de conformidad con lo dispuesto en el presente título.</w:t>
      </w:r>
    </w:p>
    <w:p w14:paraId="6E37E7CB" w14:textId="77777777" w:rsidR="009C19E2" w:rsidRPr="00446878" w:rsidRDefault="009C19E2" w:rsidP="00123DB0">
      <w:pPr>
        <w:autoSpaceDE w:val="0"/>
        <w:autoSpaceDN w:val="0"/>
        <w:adjustRightInd w:val="0"/>
        <w:spacing w:line="276" w:lineRule="auto"/>
        <w:jc w:val="both"/>
        <w:rPr>
          <w:rFonts w:asciiTheme="majorHAnsi" w:hAnsiTheme="majorHAnsi" w:cs="Arial"/>
          <w:sz w:val="20"/>
          <w:szCs w:val="20"/>
        </w:rPr>
      </w:pPr>
      <w:r w:rsidRPr="00446878">
        <w:rPr>
          <w:rFonts w:asciiTheme="majorHAnsi" w:hAnsiTheme="majorHAnsi" w:cs="Arial"/>
          <w:sz w:val="20"/>
          <w:szCs w:val="20"/>
        </w:rPr>
        <w:t>Los supuestos de reserva o confidencialidad previstos en las leyes deberán ser acordes con las bases, principios y disposiciones establecidos en la Ley General y, en ningún caso, podrán contravenirla.</w:t>
      </w:r>
    </w:p>
    <w:p w14:paraId="71C43AFF" w14:textId="77777777" w:rsidR="009C19E2" w:rsidRPr="00446878" w:rsidRDefault="009C19E2" w:rsidP="00123DB0">
      <w:pPr>
        <w:autoSpaceDE w:val="0"/>
        <w:autoSpaceDN w:val="0"/>
        <w:adjustRightInd w:val="0"/>
        <w:spacing w:line="276" w:lineRule="auto"/>
        <w:jc w:val="both"/>
        <w:rPr>
          <w:rFonts w:asciiTheme="majorHAnsi" w:hAnsiTheme="majorHAnsi" w:cs="Arial"/>
          <w:sz w:val="20"/>
          <w:szCs w:val="20"/>
        </w:rPr>
      </w:pPr>
      <w:r w:rsidRPr="00446878">
        <w:rPr>
          <w:rFonts w:asciiTheme="majorHAnsi" w:hAnsiTheme="majorHAnsi" w:cs="Arial"/>
          <w:sz w:val="20"/>
          <w:szCs w:val="20"/>
        </w:rPr>
        <w:t>Los titulares de las áreas de los sujetos obligados serán los responsables de clasificar la información, de conformidad con lo dispuesto en la presente Ley y demás disposiciones jurídicas aplicables.</w:t>
      </w:r>
    </w:p>
    <w:p w14:paraId="10184A57" w14:textId="77777777" w:rsidR="009C19E2" w:rsidRPr="00446878" w:rsidRDefault="009C19E2" w:rsidP="00123DB0">
      <w:pPr>
        <w:autoSpaceDE w:val="0"/>
        <w:autoSpaceDN w:val="0"/>
        <w:adjustRightInd w:val="0"/>
        <w:spacing w:line="276" w:lineRule="auto"/>
        <w:jc w:val="both"/>
        <w:rPr>
          <w:rFonts w:asciiTheme="majorHAnsi" w:hAnsiTheme="majorHAnsi"/>
          <w:sz w:val="20"/>
          <w:szCs w:val="20"/>
        </w:rPr>
      </w:pPr>
    </w:p>
  </w:footnote>
  <w:footnote w:id="8">
    <w:p w14:paraId="0EE8AF45" w14:textId="77777777" w:rsidR="009C19E2" w:rsidRPr="00446878" w:rsidRDefault="009C19E2" w:rsidP="00123DB0">
      <w:pPr>
        <w:autoSpaceDE w:val="0"/>
        <w:autoSpaceDN w:val="0"/>
        <w:adjustRightInd w:val="0"/>
        <w:spacing w:line="276" w:lineRule="auto"/>
        <w:jc w:val="both"/>
        <w:rPr>
          <w:rFonts w:asciiTheme="majorHAnsi" w:hAnsiTheme="majorHAnsi" w:cs="Arial"/>
          <w:sz w:val="20"/>
          <w:szCs w:val="20"/>
        </w:rPr>
      </w:pPr>
      <w:r w:rsidRPr="00446878">
        <w:rPr>
          <w:rStyle w:val="Refdenotaalpie"/>
          <w:rFonts w:asciiTheme="majorHAnsi" w:hAnsiTheme="majorHAnsi"/>
          <w:sz w:val="20"/>
          <w:szCs w:val="20"/>
        </w:rPr>
        <w:footnoteRef/>
      </w:r>
      <w:r w:rsidRPr="00446878">
        <w:rPr>
          <w:rFonts w:asciiTheme="majorHAnsi" w:hAnsiTheme="majorHAnsi"/>
          <w:sz w:val="20"/>
          <w:szCs w:val="20"/>
        </w:rPr>
        <w:t xml:space="preserve"> </w:t>
      </w:r>
      <w:r w:rsidRPr="00446878">
        <w:rPr>
          <w:rFonts w:asciiTheme="majorHAnsi" w:hAnsiTheme="majorHAnsi" w:cs="Arial"/>
          <w:b/>
          <w:sz w:val="20"/>
          <w:szCs w:val="20"/>
        </w:rPr>
        <w:t>Artículo 135.</w:t>
      </w:r>
      <w:r w:rsidRPr="00446878">
        <w:rPr>
          <w:rFonts w:asciiTheme="majorHAnsi" w:hAnsiTheme="majorHAnsi" w:cs="Arial"/>
          <w:sz w:val="20"/>
          <w:szCs w:val="20"/>
        </w:rPr>
        <w:t xml:space="preserve"> Los lineamientos generales que se emitan al respecto en materia de clasificación de la información reservada y confidencial y, para la elaboración de versiones públicas, serán de observancia obligatoria para los sujetos obligados.</w:t>
      </w:r>
    </w:p>
  </w:footnote>
  <w:footnote w:id="9">
    <w:p w14:paraId="0F989E5F" w14:textId="77777777" w:rsidR="009C19E2" w:rsidRPr="00426457" w:rsidRDefault="009C19E2" w:rsidP="00123DB0">
      <w:pPr>
        <w:pStyle w:val="Textonotapie"/>
        <w:spacing w:line="360" w:lineRule="auto"/>
        <w:jc w:val="both"/>
        <w:rPr>
          <w:sz w:val="18"/>
          <w:szCs w:val="18"/>
        </w:rPr>
      </w:pPr>
      <w:r w:rsidRPr="00426457">
        <w:rPr>
          <w:rStyle w:val="Refdenotaalpie"/>
          <w:sz w:val="14"/>
        </w:rPr>
        <w:footnoteRef/>
      </w:r>
      <w:r w:rsidRPr="00426457">
        <w:rPr>
          <w:sz w:val="14"/>
          <w:lang w:val="es-ES"/>
        </w:rPr>
        <w:t xml:space="preserve"> </w:t>
      </w:r>
      <w:r w:rsidRPr="00426457">
        <w:rPr>
          <w:b/>
          <w:sz w:val="18"/>
          <w:szCs w:val="18"/>
        </w:rPr>
        <w:t>RESTRICCIONES A LOS DERECHOS FUNDAMENTALES. ELEMENTOS QUE EL JUEZ CONSTITUCIONAL DEBE TOMAR EN CUENTA PARA CONSIDERARLAS VÁLIDAS.</w:t>
      </w:r>
      <w:r w:rsidRPr="00426457">
        <w:rPr>
          <w:sz w:val="18"/>
          <w:szCs w:val="18"/>
        </w:rPr>
        <w:t xml:space="preserve"> Ningún derecho fundamental es absoluto y en esa medida todos admiten restricciones. Sin embargo, la regulación de dichas restricciones no puede ser arbitraria. Para que las medidas emitidas por el legislador ordinario con el propósito de restringir los derechos fundamentales sean válidas, deben satisfacer al menos los siguientes requisitos: a) ser admisibles dentro del ámbito constitucional, esto es, el legislador ordinario sólo puede restringir o suspender el ejercicio de las garantías individuales con objetivos que puedan enmarcarse dentro de las previsiones de la Carta Magna; b) ser necesarias para asegurar la obtención de los fines que fundamentan la restricción constitucional, es decir, no basta que la restricción sea en términos amplios útil para la obtención de esos objetivos, sino que debe ser la idónea para su realización,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persecución de un objetivo constitucional no puede hacerse a costa de una afectación innecesaria o desmedida a otros bienes y derechos constitucionalmente protegidos. Así́, el juzgador debe determinar en cada caso si la restricción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distinción legislativa se encuentra dentro de las opciones de tratamiento que pueden considerarse proporcionales. De igual manera, las restricciones deberán estar en consonancia con la ley, incluidas las normas internacionales de derechos humanos, y ser compatibles con la naturaleza de los derechos amparados por la Constitución, en aras de la consecución de los objetivos legítimos perseguidos, y ser estrictamente necesarias para promover el bienestar general en una sociedad democrática. </w:t>
      </w:r>
    </w:p>
    <w:p w14:paraId="6D004DBE" w14:textId="77777777" w:rsidR="009C19E2" w:rsidRPr="00426457" w:rsidRDefault="009C19E2" w:rsidP="00123DB0">
      <w:pPr>
        <w:pStyle w:val="Textonotapie"/>
        <w:spacing w:line="360" w:lineRule="auto"/>
        <w:jc w:val="both"/>
        <w:rPr>
          <w:sz w:val="18"/>
          <w:szCs w:val="18"/>
        </w:rPr>
      </w:pPr>
      <w:r w:rsidRPr="00426457">
        <w:rPr>
          <w:sz w:val="18"/>
          <w:szCs w:val="18"/>
        </w:rPr>
        <w:t>1a</w:t>
      </w:r>
      <w:proofErr w:type="gramStart"/>
      <w:r w:rsidRPr="00426457">
        <w:rPr>
          <w:sz w:val="18"/>
          <w:szCs w:val="18"/>
        </w:rPr>
        <w:t>./</w:t>
      </w:r>
      <w:proofErr w:type="gramEnd"/>
      <w:r w:rsidRPr="00426457">
        <w:rPr>
          <w:sz w:val="18"/>
          <w:szCs w:val="18"/>
        </w:rPr>
        <w:t xml:space="preserve">J. 2/2012 (9a.). Primera Sala. Decima Época. Semanario Judicial de la Federación y su Gaceta. Libro V, Febrero de 2012, Pág. 533.  </w:t>
      </w:r>
    </w:p>
  </w:footnote>
  <w:footnote w:id="10">
    <w:p w14:paraId="3FB36ACF" w14:textId="77777777" w:rsidR="009C19E2" w:rsidRPr="00426457" w:rsidRDefault="009C19E2" w:rsidP="00123DB0">
      <w:pPr>
        <w:pStyle w:val="Textonotapie"/>
        <w:spacing w:line="360" w:lineRule="auto"/>
        <w:jc w:val="both"/>
        <w:rPr>
          <w:sz w:val="18"/>
          <w:szCs w:val="18"/>
          <w:lang w:val="es-ES"/>
        </w:rPr>
      </w:pPr>
      <w:r w:rsidRPr="00426457">
        <w:rPr>
          <w:rStyle w:val="Refdenotaalpie"/>
          <w:sz w:val="18"/>
          <w:szCs w:val="18"/>
        </w:rPr>
        <w:footnoteRef/>
      </w:r>
      <w:r w:rsidRPr="00426457">
        <w:rPr>
          <w:sz w:val="18"/>
          <w:szCs w:val="18"/>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426457">
        <w:rPr>
          <w:i/>
          <w:sz w:val="18"/>
          <w:szCs w:val="18"/>
        </w:rPr>
        <w:t>Marco jurídico interamericano sobre el derecho a la libertad de expresión</w:t>
      </w:r>
      <w:r w:rsidRPr="00426457">
        <w:rPr>
          <w:sz w:val="18"/>
          <w:szCs w:val="18"/>
        </w:rPr>
        <w:t xml:space="preserve">. Párr. 67. </w:t>
      </w:r>
    </w:p>
  </w:footnote>
  <w:footnote w:id="11">
    <w:p w14:paraId="6115598B" w14:textId="77777777" w:rsidR="009C19E2" w:rsidRPr="00034B44" w:rsidRDefault="009C19E2" w:rsidP="00123DB0">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0B191B3E" w14:textId="77777777" w:rsidR="009C19E2" w:rsidRPr="00034B44" w:rsidRDefault="009C19E2" w:rsidP="00123DB0">
      <w:pPr>
        <w:pStyle w:val="Textonotapie"/>
        <w:jc w:val="both"/>
        <w:rPr>
          <w:rFonts w:ascii="Palatino Linotype" w:hAnsi="Palatino Linotype"/>
          <w:sz w:val="18"/>
          <w:lang w:val="es-ES"/>
        </w:rPr>
      </w:pPr>
      <w:r w:rsidRPr="00034B44">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5D36C2A8" w14:textId="77777777" w:rsidR="009C19E2" w:rsidRPr="00034B44" w:rsidRDefault="009C19E2" w:rsidP="00123DB0">
      <w:pPr>
        <w:pStyle w:val="Textonotapie"/>
        <w:jc w:val="both"/>
        <w:rPr>
          <w:rFonts w:ascii="Palatino Linotype" w:hAnsi="Palatino Linotype"/>
          <w:sz w:val="18"/>
          <w:lang w:val="es-ES"/>
        </w:rPr>
      </w:pPr>
      <w:r w:rsidRPr="00034B44">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sidRPr="00034B44">
        <w:rPr>
          <w:rFonts w:ascii="Palatino Linotype" w:hAnsi="Palatino Linotype"/>
          <w:sz w:val="18"/>
          <w:lang w:val="es-ES"/>
        </w:rPr>
        <w:t>Pp</w:t>
      </w:r>
      <w:proofErr w:type="spellEnd"/>
      <w:r w:rsidRPr="00034B44">
        <w:rPr>
          <w:rFonts w:ascii="Palatino Linotype" w:hAnsi="Palatino Linotype"/>
          <w:sz w:val="18"/>
          <w:lang w:val="es-ES"/>
        </w:rPr>
        <w:t xml:space="preserve"> 1-19. </w:t>
      </w:r>
    </w:p>
  </w:footnote>
  <w:footnote w:id="12">
    <w:p w14:paraId="18D69C86" w14:textId="77777777" w:rsidR="009C19E2" w:rsidRPr="00034B44" w:rsidRDefault="009C19E2" w:rsidP="00123DB0">
      <w:pPr>
        <w:pStyle w:val="Textonotapie"/>
        <w:jc w:val="both"/>
        <w:rPr>
          <w:rFonts w:ascii="Palatino Linotype" w:hAnsi="Palatino Linotype"/>
          <w:sz w:val="18"/>
          <w:lang w:val="es-ES"/>
        </w:rPr>
      </w:pPr>
      <w:r w:rsidRPr="00034B44">
        <w:rPr>
          <w:rStyle w:val="Refdenotaalpie"/>
          <w:rFonts w:ascii="Palatino Linotype" w:hAnsi="Palatino Linotype"/>
          <w:sz w:val="18"/>
        </w:rPr>
        <w:footnoteRef/>
      </w:r>
      <w:r w:rsidRPr="00034B44">
        <w:rPr>
          <w:rFonts w:ascii="Palatino Linotype" w:hAnsi="Palatino Linotype"/>
          <w:sz w:val="18"/>
        </w:rPr>
        <w:t xml:space="preserve"> </w:t>
      </w:r>
      <w:r w:rsidRPr="00034B44">
        <w:rPr>
          <w:rFonts w:ascii="Palatino Linotype" w:hAnsi="Palatino Linotype"/>
          <w:sz w:val="18"/>
          <w:lang w:val="es-ES"/>
        </w:rPr>
        <w:t xml:space="preserve">Tribunales Colegiados de Circuito. Novena </w:t>
      </w:r>
      <w:proofErr w:type="spellStart"/>
      <w:r w:rsidRPr="00034B44">
        <w:rPr>
          <w:rFonts w:ascii="Palatino Linotype" w:hAnsi="Palatino Linotype"/>
          <w:sz w:val="18"/>
          <w:lang w:val="es-ES"/>
        </w:rPr>
        <w:t>Epoca</w:t>
      </w:r>
      <w:proofErr w:type="spellEnd"/>
      <w:r w:rsidRPr="00034B44">
        <w:rPr>
          <w:rFonts w:ascii="Palatino Linotype" w:hAnsi="Palatino Linotype"/>
          <w:sz w:val="18"/>
          <w:lang w:val="es-ES"/>
        </w:rPr>
        <w:t xml:space="preserve">. Semanario Judicial de la Federación y su Gaceta. Tomo III, marzo de 1996. </w:t>
      </w:r>
      <w:proofErr w:type="spellStart"/>
      <w:r w:rsidRPr="00034B44">
        <w:rPr>
          <w:rFonts w:ascii="Palatino Linotype" w:hAnsi="Palatino Linotype"/>
          <w:sz w:val="18"/>
          <w:lang w:val="es-ES"/>
        </w:rPr>
        <w:t>Pág</w:t>
      </w:r>
      <w:proofErr w:type="spellEnd"/>
      <w:r w:rsidRPr="00034B44">
        <w:rPr>
          <w:rFonts w:ascii="Palatino Linotype" w:hAnsi="Palatino Linotype"/>
          <w:sz w:val="18"/>
          <w:lang w:val="es-ES"/>
        </w:rPr>
        <w:t xml:space="preserve"> 769. Consultado en http://sjf.scjn.gob.mx/sjfsist/Documentos/Tesis/203/203143.pdf  el viernes 16 de junio de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5F23E" w14:textId="390690E5" w:rsidR="009C19E2" w:rsidRDefault="009C19E2">
    <w:pPr>
      <w:pStyle w:val="Encabezado"/>
    </w:pPr>
  </w:p>
  <w:tbl>
    <w:tblPr>
      <w:tblStyle w:val="Tablaconcuadrcula"/>
      <w:tblW w:w="637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3826"/>
    </w:tblGrid>
    <w:tr w:rsidR="009C19E2" w:rsidRPr="00E84957" w14:paraId="07F2896E" w14:textId="77777777" w:rsidTr="003116A6">
      <w:trPr>
        <w:trHeight w:val="138"/>
        <w:jc w:val="right"/>
      </w:trPr>
      <w:tc>
        <w:tcPr>
          <w:tcW w:w="2552" w:type="dxa"/>
          <w:vAlign w:val="center"/>
        </w:tcPr>
        <w:p w14:paraId="4A5B1974" w14:textId="77777777" w:rsidR="009C19E2" w:rsidRPr="00E84957" w:rsidRDefault="009C19E2" w:rsidP="00587366">
          <w:pPr>
            <w:rPr>
              <w:rFonts w:ascii="Palatino Linotype" w:hAnsi="Palatino Linotype"/>
              <w:b/>
              <w:sz w:val="22"/>
              <w:szCs w:val="22"/>
            </w:rPr>
          </w:pPr>
          <w:r w:rsidRPr="00E84957">
            <w:rPr>
              <w:rFonts w:ascii="Palatino Linotype" w:hAnsi="Palatino Linotype"/>
              <w:b/>
              <w:sz w:val="22"/>
              <w:szCs w:val="22"/>
            </w:rPr>
            <w:t>Recurso de revisión:</w:t>
          </w:r>
        </w:p>
      </w:tc>
      <w:tc>
        <w:tcPr>
          <w:tcW w:w="3826" w:type="dxa"/>
          <w:vAlign w:val="center"/>
        </w:tcPr>
        <w:p w14:paraId="3A05B4B6" w14:textId="544CF80B" w:rsidR="009C19E2" w:rsidRPr="002D0ECC" w:rsidRDefault="009C19E2" w:rsidP="00D75A42">
          <w:pPr>
            <w:pStyle w:val="Encabezado"/>
            <w:jc w:val="right"/>
            <w:rPr>
              <w:rFonts w:ascii="Palatino Linotype" w:hAnsi="Palatino Linotype"/>
              <w:b/>
              <w:sz w:val="20"/>
              <w:szCs w:val="20"/>
            </w:rPr>
          </w:pPr>
          <w:r>
            <w:rPr>
              <w:rFonts w:ascii="Palatino Linotype" w:hAnsi="Palatino Linotype" w:cs="Arial"/>
              <w:b/>
              <w:bCs/>
              <w:sz w:val="20"/>
              <w:szCs w:val="20"/>
              <w:lang w:eastAsia="es-MX"/>
            </w:rPr>
            <w:t>00778/INFOEM/IP/RR/2019</w:t>
          </w:r>
        </w:p>
      </w:tc>
    </w:tr>
    <w:tr w:rsidR="009C19E2" w:rsidRPr="00E84957" w14:paraId="095EB01B" w14:textId="77777777" w:rsidTr="003116A6">
      <w:trPr>
        <w:trHeight w:val="321"/>
        <w:jc w:val="right"/>
      </w:trPr>
      <w:tc>
        <w:tcPr>
          <w:tcW w:w="2552" w:type="dxa"/>
          <w:vAlign w:val="center"/>
        </w:tcPr>
        <w:p w14:paraId="6E000A51" w14:textId="4DA3E277" w:rsidR="009C19E2" w:rsidRPr="00E84957" w:rsidRDefault="009C19E2" w:rsidP="00114C6B">
          <w:pPr>
            <w:rPr>
              <w:rFonts w:ascii="Palatino Linotype" w:hAnsi="Palatino Linotype"/>
              <w:b/>
              <w:sz w:val="22"/>
              <w:szCs w:val="22"/>
            </w:rPr>
          </w:pPr>
          <w:r w:rsidRPr="00E84957">
            <w:rPr>
              <w:rFonts w:ascii="Palatino Linotype" w:hAnsi="Palatino Linotype"/>
              <w:b/>
              <w:sz w:val="22"/>
              <w:szCs w:val="22"/>
            </w:rPr>
            <w:t>Sujeto obligado:</w:t>
          </w:r>
        </w:p>
      </w:tc>
      <w:tc>
        <w:tcPr>
          <w:tcW w:w="3826" w:type="dxa"/>
          <w:vAlign w:val="center"/>
        </w:tcPr>
        <w:p w14:paraId="592ED8E8" w14:textId="77777777" w:rsidR="009C19E2" w:rsidRDefault="009C19E2" w:rsidP="009B03E9">
          <w:pPr>
            <w:pStyle w:val="Encabezado"/>
            <w:jc w:val="right"/>
            <w:rPr>
              <w:rFonts w:ascii="Verdana" w:hAnsi="Verdana"/>
              <w:b/>
              <w:bCs/>
              <w:color w:val="000000"/>
              <w:sz w:val="14"/>
              <w:szCs w:val="14"/>
            </w:rPr>
          </w:pPr>
          <w:r>
            <w:rPr>
              <w:rFonts w:ascii="Verdana" w:hAnsi="Verdana"/>
              <w:b/>
              <w:bCs/>
              <w:color w:val="000000"/>
              <w:sz w:val="14"/>
              <w:szCs w:val="14"/>
            </w:rPr>
            <w:t xml:space="preserve">Organismo Público Descentralizado </w:t>
          </w:r>
        </w:p>
        <w:p w14:paraId="243FF6C1" w14:textId="77777777" w:rsidR="009C19E2" w:rsidRDefault="009C19E2" w:rsidP="009B03E9">
          <w:pPr>
            <w:pStyle w:val="Encabezado"/>
            <w:jc w:val="right"/>
            <w:rPr>
              <w:rFonts w:ascii="Verdana" w:hAnsi="Verdana"/>
              <w:b/>
              <w:bCs/>
              <w:color w:val="000000"/>
              <w:sz w:val="14"/>
              <w:szCs w:val="14"/>
            </w:rPr>
          </w:pPr>
          <w:r>
            <w:rPr>
              <w:rFonts w:ascii="Verdana" w:hAnsi="Verdana"/>
              <w:b/>
              <w:bCs/>
              <w:color w:val="000000"/>
              <w:sz w:val="14"/>
              <w:szCs w:val="14"/>
            </w:rPr>
            <w:t xml:space="preserve">para la Prestación de los Servicios </w:t>
          </w:r>
        </w:p>
        <w:p w14:paraId="07560085" w14:textId="44EA1F75" w:rsidR="009C19E2" w:rsidRPr="009B03E9" w:rsidRDefault="009C19E2" w:rsidP="009B03E9">
          <w:pPr>
            <w:pStyle w:val="Encabezado"/>
            <w:jc w:val="right"/>
            <w:rPr>
              <w:rFonts w:ascii="Palatino Linotype" w:hAnsi="Palatino Linotype"/>
              <w:b/>
              <w:sz w:val="20"/>
              <w:szCs w:val="20"/>
            </w:rPr>
          </w:pPr>
          <w:r>
            <w:rPr>
              <w:rFonts w:ascii="Verdana" w:hAnsi="Verdana"/>
              <w:b/>
              <w:bCs/>
              <w:color w:val="000000"/>
              <w:sz w:val="14"/>
              <w:szCs w:val="14"/>
            </w:rPr>
            <w:t>de Agua Potable Alcantarillado y Saneamiento de Nicolás Romero</w:t>
          </w:r>
        </w:p>
      </w:tc>
    </w:tr>
    <w:tr w:rsidR="009C19E2" w:rsidRPr="00E84957" w14:paraId="14F3CE0D" w14:textId="77777777" w:rsidTr="003116A6">
      <w:trPr>
        <w:trHeight w:val="321"/>
        <w:jc w:val="right"/>
      </w:trPr>
      <w:tc>
        <w:tcPr>
          <w:tcW w:w="2552" w:type="dxa"/>
          <w:vAlign w:val="center"/>
        </w:tcPr>
        <w:p w14:paraId="12248485" w14:textId="081B3348" w:rsidR="009C19E2" w:rsidRPr="00E84957" w:rsidRDefault="009C19E2" w:rsidP="00114C6B">
          <w:pPr>
            <w:rPr>
              <w:rFonts w:ascii="Palatino Linotype" w:hAnsi="Palatino Linotype"/>
              <w:b/>
              <w:sz w:val="22"/>
              <w:szCs w:val="22"/>
            </w:rPr>
          </w:pPr>
          <w:r w:rsidRPr="00E84957">
            <w:rPr>
              <w:rFonts w:ascii="Palatino Linotype" w:hAnsi="Palatino Linotype"/>
              <w:b/>
              <w:sz w:val="22"/>
              <w:szCs w:val="22"/>
            </w:rPr>
            <w:t>Comisionado ponente:</w:t>
          </w:r>
        </w:p>
      </w:tc>
      <w:tc>
        <w:tcPr>
          <w:tcW w:w="3826" w:type="dxa"/>
          <w:vAlign w:val="center"/>
        </w:tcPr>
        <w:p w14:paraId="7F810D9A" w14:textId="492F93C6" w:rsidR="009C19E2" w:rsidRPr="002D0ECC" w:rsidRDefault="009C19E2" w:rsidP="00114C6B">
          <w:pPr>
            <w:pStyle w:val="Encabezado"/>
            <w:jc w:val="right"/>
            <w:rPr>
              <w:rFonts w:ascii="Palatino Linotype" w:hAnsi="Palatino Linotype"/>
              <w:b/>
              <w:sz w:val="20"/>
              <w:szCs w:val="20"/>
            </w:rPr>
          </w:pPr>
          <w:r w:rsidRPr="002D0ECC">
            <w:rPr>
              <w:rFonts w:ascii="Palatino Linotype" w:hAnsi="Palatino Linotype"/>
              <w:b/>
              <w:sz w:val="20"/>
              <w:szCs w:val="20"/>
            </w:rPr>
            <w:t>José Guadalupe Luna Hernández</w:t>
          </w:r>
        </w:p>
      </w:tc>
    </w:tr>
  </w:tbl>
  <w:p w14:paraId="1096C1B8" w14:textId="77777777" w:rsidR="009C19E2" w:rsidRDefault="009C19E2" w:rsidP="00587366">
    <w:pPr>
      <w:pStyle w:val="Encabezado"/>
    </w:pPr>
  </w:p>
  <w:p w14:paraId="01FCACBC" w14:textId="77777777" w:rsidR="009C19E2" w:rsidRDefault="009C19E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17C796" w14:textId="5AC2D56D" w:rsidR="009C19E2" w:rsidRDefault="009C19E2" w:rsidP="000B5D79">
    <w:pPr>
      <w:pStyle w:val="Encabezado"/>
      <w:tabs>
        <w:tab w:val="clear" w:pos="4252"/>
        <w:tab w:val="clear" w:pos="8504"/>
        <w:tab w:val="left" w:pos="3103"/>
      </w:tabs>
    </w:pPr>
    <w:r>
      <w:tab/>
    </w:r>
    <w:r>
      <w:tab/>
    </w:r>
  </w:p>
  <w:tbl>
    <w:tblPr>
      <w:tblStyle w:val="Tablaconcuadrcula"/>
      <w:tblW w:w="6029" w:type="dxa"/>
      <w:tblInd w:w="27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32"/>
      <w:gridCol w:w="236"/>
      <w:gridCol w:w="3261"/>
    </w:tblGrid>
    <w:tr w:rsidR="009C19E2" w:rsidRPr="00182113" w14:paraId="665387B4" w14:textId="77777777" w:rsidTr="000B5D79">
      <w:trPr>
        <w:trHeight w:val="138"/>
      </w:trPr>
      <w:tc>
        <w:tcPr>
          <w:tcW w:w="2532" w:type="dxa"/>
          <w:vAlign w:val="center"/>
        </w:tcPr>
        <w:p w14:paraId="01509DD6" w14:textId="77777777" w:rsidR="009C19E2" w:rsidRPr="00182113" w:rsidRDefault="009C19E2" w:rsidP="000B5D79">
          <w:pPr>
            <w:rPr>
              <w:rFonts w:ascii="Palatino Linotype" w:hAnsi="Palatino Linotype"/>
              <w:b/>
              <w:sz w:val="22"/>
              <w:szCs w:val="22"/>
            </w:rPr>
          </w:pPr>
          <w:r w:rsidRPr="00182113">
            <w:rPr>
              <w:rFonts w:ascii="Palatino Linotype" w:hAnsi="Palatino Linotype"/>
              <w:b/>
              <w:sz w:val="22"/>
              <w:szCs w:val="22"/>
            </w:rPr>
            <w:t>Recurso de revisión:</w:t>
          </w:r>
        </w:p>
      </w:tc>
      <w:tc>
        <w:tcPr>
          <w:tcW w:w="236" w:type="dxa"/>
          <w:vAlign w:val="center"/>
        </w:tcPr>
        <w:p w14:paraId="0CC3D424" w14:textId="77777777" w:rsidR="009C19E2" w:rsidRPr="00182113" w:rsidRDefault="009C19E2" w:rsidP="000B5D79">
          <w:pPr>
            <w:pStyle w:val="Encabezado"/>
            <w:jc w:val="center"/>
            <w:rPr>
              <w:rFonts w:ascii="Palatino Linotype" w:hAnsi="Palatino Linotype"/>
              <w:b/>
              <w:sz w:val="22"/>
              <w:szCs w:val="22"/>
            </w:rPr>
          </w:pPr>
        </w:p>
      </w:tc>
      <w:tc>
        <w:tcPr>
          <w:tcW w:w="3261" w:type="dxa"/>
          <w:vAlign w:val="center"/>
        </w:tcPr>
        <w:p w14:paraId="4FAE21CD" w14:textId="53AB9692" w:rsidR="009C19E2" w:rsidRPr="00182113" w:rsidRDefault="009C19E2" w:rsidP="008F7071">
          <w:pPr>
            <w:pStyle w:val="Encabezado"/>
            <w:rPr>
              <w:rFonts w:ascii="Palatino Linotype" w:hAnsi="Palatino Linotype"/>
              <w:b/>
              <w:sz w:val="22"/>
              <w:szCs w:val="22"/>
            </w:rPr>
          </w:pPr>
          <w:r>
            <w:rPr>
              <w:rFonts w:ascii="Palatino Linotype" w:hAnsi="Palatino Linotype" w:cs="Arial"/>
              <w:b/>
              <w:bCs/>
              <w:sz w:val="20"/>
              <w:szCs w:val="20"/>
              <w:lang w:eastAsia="es-MX"/>
            </w:rPr>
            <w:t>00778/INFOEM/IP/RR/2019</w:t>
          </w:r>
        </w:p>
      </w:tc>
    </w:tr>
    <w:tr w:rsidR="009C19E2" w:rsidRPr="00182113" w14:paraId="78C9F2F4" w14:textId="77777777" w:rsidTr="000B5D79">
      <w:trPr>
        <w:trHeight w:val="227"/>
      </w:trPr>
      <w:tc>
        <w:tcPr>
          <w:tcW w:w="2532" w:type="dxa"/>
          <w:vAlign w:val="center"/>
        </w:tcPr>
        <w:p w14:paraId="2D89FED3" w14:textId="77777777" w:rsidR="009C19E2" w:rsidRPr="00182113" w:rsidRDefault="009C19E2" w:rsidP="000B5D79">
          <w:pPr>
            <w:rPr>
              <w:rFonts w:ascii="Palatino Linotype" w:hAnsi="Palatino Linotype"/>
              <w:b/>
              <w:sz w:val="22"/>
              <w:szCs w:val="22"/>
            </w:rPr>
          </w:pPr>
          <w:r w:rsidRPr="00182113">
            <w:rPr>
              <w:rFonts w:ascii="Palatino Linotype" w:hAnsi="Palatino Linotype"/>
              <w:b/>
              <w:sz w:val="22"/>
              <w:szCs w:val="22"/>
            </w:rPr>
            <w:t>Recurrente:</w:t>
          </w:r>
        </w:p>
      </w:tc>
      <w:tc>
        <w:tcPr>
          <w:tcW w:w="236" w:type="dxa"/>
          <w:vAlign w:val="center"/>
        </w:tcPr>
        <w:p w14:paraId="2201B6DA" w14:textId="77777777" w:rsidR="009C19E2" w:rsidRPr="00182113" w:rsidRDefault="009C19E2" w:rsidP="000B5D79">
          <w:pPr>
            <w:pStyle w:val="Encabezado"/>
            <w:jc w:val="center"/>
            <w:rPr>
              <w:rFonts w:ascii="Palatino Linotype" w:hAnsi="Palatino Linotype"/>
              <w:b/>
              <w:sz w:val="22"/>
              <w:szCs w:val="22"/>
            </w:rPr>
          </w:pPr>
        </w:p>
      </w:tc>
      <w:tc>
        <w:tcPr>
          <w:tcW w:w="3261" w:type="dxa"/>
          <w:vAlign w:val="center"/>
        </w:tcPr>
        <w:p w14:paraId="36D086A3" w14:textId="0C477829" w:rsidR="009C19E2" w:rsidRPr="00F801DD" w:rsidRDefault="009C19E2" w:rsidP="009B03E9">
          <w:pPr>
            <w:pStyle w:val="Encabezado"/>
            <w:rPr>
              <w:rFonts w:ascii="Palatino Linotype" w:hAnsi="Palatino Linotype"/>
              <w:b/>
              <w:sz w:val="20"/>
              <w:szCs w:val="20"/>
            </w:rPr>
          </w:pPr>
          <w:r w:rsidRPr="009C19E2">
            <w:rPr>
              <w:rFonts w:ascii="Palatino Linotype" w:hAnsi="Palatino Linotype"/>
              <w:b/>
              <w:sz w:val="20"/>
              <w:szCs w:val="20"/>
              <w:highlight w:val="black"/>
            </w:rPr>
            <w:t>---------------</w:t>
          </w:r>
        </w:p>
      </w:tc>
    </w:tr>
    <w:tr w:rsidR="009C19E2" w:rsidRPr="00182113" w14:paraId="1A862673" w14:textId="77777777" w:rsidTr="000B5D79">
      <w:trPr>
        <w:trHeight w:val="232"/>
      </w:trPr>
      <w:tc>
        <w:tcPr>
          <w:tcW w:w="2532" w:type="dxa"/>
          <w:vAlign w:val="center"/>
        </w:tcPr>
        <w:p w14:paraId="767A6F60" w14:textId="77777777" w:rsidR="009C19E2" w:rsidRPr="00182113" w:rsidRDefault="009C19E2" w:rsidP="000B5D79">
          <w:pPr>
            <w:rPr>
              <w:rFonts w:ascii="Palatino Linotype" w:hAnsi="Palatino Linotype"/>
              <w:b/>
              <w:sz w:val="22"/>
              <w:szCs w:val="22"/>
            </w:rPr>
          </w:pPr>
          <w:r w:rsidRPr="00182113">
            <w:rPr>
              <w:rFonts w:ascii="Palatino Linotype" w:hAnsi="Palatino Linotype"/>
              <w:b/>
              <w:sz w:val="22"/>
              <w:szCs w:val="22"/>
            </w:rPr>
            <w:t>Sujeto obligado:</w:t>
          </w:r>
        </w:p>
      </w:tc>
      <w:tc>
        <w:tcPr>
          <w:tcW w:w="236" w:type="dxa"/>
          <w:vAlign w:val="center"/>
        </w:tcPr>
        <w:p w14:paraId="520FB614" w14:textId="77777777" w:rsidR="009C19E2" w:rsidRPr="00182113" w:rsidRDefault="009C19E2" w:rsidP="000B5D79">
          <w:pPr>
            <w:pStyle w:val="Encabezado"/>
            <w:jc w:val="center"/>
            <w:rPr>
              <w:rFonts w:ascii="Palatino Linotype" w:hAnsi="Palatino Linotype"/>
              <w:b/>
              <w:sz w:val="22"/>
              <w:szCs w:val="22"/>
            </w:rPr>
          </w:pPr>
        </w:p>
      </w:tc>
      <w:tc>
        <w:tcPr>
          <w:tcW w:w="3261" w:type="dxa"/>
          <w:vAlign w:val="center"/>
        </w:tcPr>
        <w:p w14:paraId="3FC8EF03" w14:textId="30D663C6" w:rsidR="009C19E2" w:rsidRPr="00E63EE9" w:rsidRDefault="009C19E2" w:rsidP="00E63EE9">
          <w:pPr>
            <w:pStyle w:val="Encabezado"/>
            <w:rPr>
              <w:rFonts w:ascii="Palatino Linotype" w:hAnsi="Palatino Linotype"/>
              <w:b/>
              <w:sz w:val="18"/>
              <w:szCs w:val="18"/>
            </w:rPr>
          </w:pPr>
          <w:r w:rsidRPr="00E63EE9">
            <w:rPr>
              <w:rFonts w:ascii="Palatino Linotype" w:hAnsi="Palatino Linotype"/>
              <w:b/>
              <w:bCs/>
              <w:color w:val="000000"/>
              <w:sz w:val="18"/>
              <w:szCs w:val="18"/>
            </w:rPr>
            <w:t>Organismo Público Descent</w:t>
          </w:r>
          <w:r>
            <w:rPr>
              <w:rFonts w:ascii="Palatino Linotype" w:hAnsi="Palatino Linotype"/>
              <w:b/>
              <w:bCs/>
              <w:color w:val="000000"/>
              <w:sz w:val="18"/>
              <w:szCs w:val="18"/>
            </w:rPr>
            <w:t>ralizado para la Prestación de l</w:t>
          </w:r>
          <w:r w:rsidRPr="00E63EE9">
            <w:rPr>
              <w:rFonts w:ascii="Palatino Linotype" w:hAnsi="Palatino Linotype"/>
              <w:b/>
              <w:bCs/>
              <w:color w:val="000000"/>
              <w:sz w:val="18"/>
              <w:szCs w:val="18"/>
            </w:rPr>
            <w:t>os Servicios de Agua Potable Alcantarillado y Saneamiento de Nicolás Romero</w:t>
          </w:r>
        </w:p>
      </w:tc>
    </w:tr>
    <w:tr w:rsidR="009C19E2" w:rsidRPr="00182113" w14:paraId="4416531B" w14:textId="77777777" w:rsidTr="000B5D79">
      <w:trPr>
        <w:trHeight w:val="320"/>
      </w:trPr>
      <w:tc>
        <w:tcPr>
          <w:tcW w:w="2532" w:type="dxa"/>
          <w:vAlign w:val="center"/>
        </w:tcPr>
        <w:p w14:paraId="277DD3E2" w14:textId="7989BCC5" w:rsidR="009C19E2" w:rsidRPr="00182113" w:rsidRDefault="009C19E2" w:rsidP="000B5D79">
          <w:pPr>
            <w:rPr>
              <w:rFonts w:ascii="Palatino Linotype" w:hAnsi="Palatino Linotype"/>
              <w:b/>
              <w:sz w:val="22"/>
              <w:szCs w:val="22"/>
            </w:rPr>
          </w:pPr>
          <w:r w:rsidRPr="00182113">
            <w:rPr>
              <w:rFonts w:ascii="Palatino Linotype" w:hAnsi="Palatino Linotype"/>
              <w:b/>
              <w:sz w:val="22"/>
              <w:szCs w:val="22"/>
            </w:rPr>
            <w:t>Comisionado ponente:</w:t>
          </w:r>
        </w:p>
      </w:tc>
      <w:tc>
        <w:tcPr>
          <w:tcW w:w="236" w:type="dxa"/>
          <w:vAlign w:val="center"/>
        </w:tcPr>
        <w:p w14:paraId="2136513B" w14:textId="77777777" w:rsidR="009C19E2" w:rsidRPr="00182113" w:rsidRDefault="009C19E2" w:rsidP="000B5D79">
          <w:pPr>
            <w:pStyle w:val="Encabezado"/>
            <w:jc w:val="center"/>
            <w:rPr>
              <w:rFonts w:ascii="Palatino Linotype" w:hAnsi="Palatino Linotype"/>
              <w:b/>
              <w:sz w:val="22"/>
              <w:szCs w:val="22"/>
            </w:rPr>
          </w:pPr>
        </w:p>
      </w:tc>
      <w:tc>
        <w:tcPr>
          <w:tcW w:w="3261" w:type="dxa"/>
          <w:vAlign w:val="center"/>
        </w:tcPr>
        <w:p w14:paraId="3BD70CE4" w14:textId="61A13249" w:rsidR="009C19E2" w:rsidRPr="00182113" w:rsidRDefault="009C19E2" w:rsidP="000B5D79">
          <w:pPr>
            <w:pStyle w:val="Encabezado"/>
            <w:rPr>
              <w:rFonts w:ascii="Palatino Linotype" w:hAnsi="Palatino Linotype"/>
              <w:b/>
              <w:sz w:val="22"/>
              <w:szCs w:val="22"/>
            </w:rPr>
          </w:pPr>
          <w:r w:rsidRPr="002D0ECC">
            <w:rPr>
              <w:rFonts w:ascii="Palatino Linotype" w:hAnsi="Palatino Linotype"/>
              <w:b/>
              <w:sz w:val="20"/>
              <w:szCs w:val="20"/>
            </w:rPr>
            <w:t>José Guadalupe Luna Hernández</w:t>
          </w:r>
        </w:p>
      </w:tc>
    </w:tr>
  </w:tbl>
  <w:p w14:paraId="156B5574" w14:textId="35A2B07E" w:rsidR="009C19E2" w:rsidRDefault="009C19E2">
    <w:pPr>
      <w:pStyle w:val="Encabezado"/>
    </w:pPr>
  </w:p>
  <w:p w14:paraId="2C496126" w14:textId="77777777" w:rsidR="009C19E2" w:rsidRDefault="009C19E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C77E3"/>
    <w:multiLevelType w:val="hybridMultilevel"/>
    <w:tmpl w:val="01FA142E"/>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5676F33"/>
    <w:multiLevelType w:val="hybridMultilevel"/>
    <w:tmpl w:val="6F72D3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B3E01EF"/>
    <w:multiLevelType w:val="hybridMultilevel"/>
    <w:tmpl w:val="9EE40904"/>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
    <w:nsid w:val="0D10491B"/>
    <w:multiLevelType w:val="hybridMultilevel"/>
    <w:tmpl w:val="955C5B6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7294218"/>
    <w:multiLevelType w:val="hybridMultilevel"/>
    <w:tmpl w:val="A6D82D0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8047B1B"/>
    <w:multiLevelType w:val="hybridMultilevel"/>
    <w:tmpl w:val="69AE91D0"/>
    <w:lvl w:ilvl="0" w:tplc="069E2FE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A956961"/>
    <w:multiLevelType w:val="multilevel"/>
    <w:tmpl w:val="DAC0888A"/>
    <w:lvl w:ilvl="0">
      <w:start w:val="62"/>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nsid w:val="1D865789"/>
    <w:multiLevelType w:val="multilevel"/>
    <w:tmpl w:val="F4DC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A874E8"/>
    <w:multiLevelType w:val="hybridMultilevel"/>
    <w:tmpl w:val="C0586988"/>
    <w:lvl w:ilvl="0" w:tplc="080A000F">
      <w:start w:val="1"/>
      <w:numFmt w:val="decimal"/>
      <w:lvlText w:val="%1."/>
      <w:lvlJc w:val="left"/>
      <w:pPr>
        <w:ind w:left="4897"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E08423C"/>
    <w:multiLevelType w:val="hybridMultilevel"/>
    <w:tmpl w:val="6E80B7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2289292C"/>
    <w:multiLevelType w:val="hybridMultilevel"/>
    <w:tmpl w:val="64C69DB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4871917"/>
    <w:multiLevelType w:val="hybridMultilevel"/>
    <w:tmpl w:val="0E74E816"/>
    <w:lvl w:ilvl="0" w:tplc="521A2B46">
      <w:start w:val="1"/>
      <w:numFmt w:val="upperLetter"/>
      <w:lvlText w:val="%1)"/>
      <w:lvlJc w:val="left"/>
      <w:pPr>
        <w:ind w:left="720" w:hanging="360"/>
      </w:pPr>
      <w:rPr>
        <w:rFonts w:ascii="Palatino Linotype" w:hAnsi="Palatino Linotype" w:hint="default"/>
        <w:b/>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3B5691"/>
    <w:multiLevelType w:val="hybridMultilevel"/>
    <w:tmpl w:val="7C6A72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E3D064B"/>
    <w:multiLevelType w:val="hybridMultilevel"/>
    <w:tmpl w:val="3A3A40CE"/>
    <w:lvl w:ilvl="0" w:tplc="080A000D">
      <w:start w:val="1"/>
      <w:numFmt w:val="bullet"/>
      <w:lvlText w:val=""/>
      <w:lvlJc w:val="left"/>
      <w:pPr>
        <w:ind w:left="749" w:hanging="360"/>
      </w:pPr>
      <w:rPr>
        <w:rFonts w:ascii="Wingdings" w:hAnsi="Wingdings" w:hint="default"/>
      </w:rPr>
    </w:lvl>
    <w:lvl w:ilvl="1" w:tplc="080A0003" w:tentative="1">
      <w:start w:val="1"/>
      <w:numFmt w:val="bullet"/>
      <w:lvlText w:val="o"/>
      <w:lvlJc w:val="left"/>
      <w:pPr>
        <w:ind w:left="1469" w:hanging="360"/>
      </w:pPr>
      <w:rPr>
        <w:rFonts w:ascii="Courier New" w:hAnsi="Courier New" w:cs="Courier New" w:hint="default"/>
      </w:rPr>
    </w:lvl>
    <w:lvl w:ilvl="2" w:tplc="080A0005" w:tentative="1">
      <w:start w:val="1"/>
      <w:numFmt w:val="bullet"/>
      <w:lvlText w:val=""/>
      <w:lvlJc w:val="left"/>
      <w:pPr>
        <w:ind w:left="2189" w:hanging="360"/>
      </w:pPr>
      <w:rPr>
        <w:rFonts w:ascii="Wingdings" w:hAnsi="Wingdings" w:hint="default"/>
      </w:rPr>
    </w:lvl>
    <w:lvl w:ilvl="3" w:tplc="080A0001" w:tentative="1">
      <w:start w:val="1"/>
      <w:numFmt w:val="bullet"/>
      <w:lvlText w:val=""/>
      <w:lvlJc w:val="left"/>
      <w:pPr>
        <w:ind w:left="2909" w:hanging="360"/>
      </w:pPr>
      <w:rPr>
        <w:rFonts w:ascii="Symbol" w:hAnsi="Symbol" w:hint="default"/>
      </w:rPr>
    </w:lvl>
    <w:lvl w:ilvl="4" w:tplc="080A0003" w:tentative="1">
      <w:start w:val="1"/>
      <w:numFmt w:val="bullet"/>
      <w:lvlText w:val="o"/>
      <w:lvlJc w:val="left"/>
      <w:pPr>
        <w:ind w:left="3629" w:hanging="360"/>
      </w:pPr>
      <w:rPr>
        <w:rFonts w:ascii="Courier New" w:hAnsi="Courier New" w:cs="Courier New" w:hint="default"/>
      </w:rPr>
    </w:lvl>
    <w:lvl w:ilvl="5" w:tplc="080A0005" w:tentative="1">
      <w:start w:val="1"/>
      <w:numFmt w:val="bullet"/>
      <w:lvlText w:val=""/>
      <w:lvlJc w:val="left"/>
      <w:pPr>
        <w:ind w:left="4349" w:hanging="360"/>
      </w:pPr>
      <w:rPr>
        <w:rFonts w:ascii="Wingdings" w:hAnsi="Wingdings" w:hint="default"/>
      </w:rPr>
    </w:lvl>
    <w:lvl w:ilvl="6" w:tplc="080A0001" w:tentative="1">
      <w:start w:val="1"/>
      <w:numFmt w:val="bullet"/>
      <w:lvlText w:val=""/>
      <w:lvlJc w:val="left"/>
      <w:pPr>
        <w:ind w:left="5069" w:hanging="360"/>
      </w:pPr>
      <w:rPr>
        <w:rFonts w:ascii="Symbol" w:hAnsi="Symbol" w:hint="default"/>
      </w:rPr>
    </w:lvl>
    <w:lvl w:ilvl="7" w:tplc="080A0003" w:tentative="1">
      <w:start w:val="1"/>
      <w:numFmt w:val="bullet"/>
      <w:lvlText w:val="o"/>
      <w:lvlJc w:val="left"/>
      <w:pPr>
        <w:ind w:left="5789" w:hanging="360"/>
      </w:pPr>
      <w:rPr>
        <w:rFonts w:ascii="Courier New" w:hAnsi="Courier New" w:cs="Courier New" w:hint="default"/>
      </w:rPr>
    </w:lvl>
    <w:lvl w:ilvl="8" w:tplc="080A0005" w:tentative="1">
      <w:start w:val="1"/>
      <w:numFmt w:val="bullet"/>
      <w:lvlText w:val=""/>
      <w:lvlJc w:val="left"/>
      <w:pPr>
        <w:ind w:left="6509" w:hanging="360"/>
      </w:pPr>
      <w:rPr>
        <w:rFonts w:ascii="Wingdings" w:hAnsi="Wingdings" w:hint="default"/>
      </w:rPr>
    </w:lvl>
  </w:abstractNum>
  <w:abstractNum w:abstractNumId="14">
    <w:nsid w:val="2F5A59BF"/>
    <w:multiLevelType w:val="hybridMultilevel"/>
    <w:tmpl w:val="8F76122E"/>
    <w:lvl w:ilvl="0" w:tplc="17825064">
      <w:start w:val="131"/>
      <w:numFmt w:val="decimal"/>
      <w:lvlText w:val="%1."/>
      <w:lvlJc w:val="left"/>
      <w:pPr>
        <w:ind w:left="780" w:hanging="420"/>
      </w:pPr>
      <w:rPr>
        <w:rFonts w:eastAsia="Times New Roman"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FA807DD"/>
    <w:multiLevelType w:val="hybridMultilevel"/>
    <w:tmpl w:val="CD12D5C4"/>
    <w:lvl w:ilvl="0" w:tplc="7F5A3C40">
      <w:start w:val="4"/>
      <w:numFmt w:val="upperRoman"/>
      <w:lvlText w:val="%1."/>
      <w:lvlJc w:val="left"/>
      <w:pPr>
        <w:ind w:left="845" w:hanging="612"/>
      </w:pPr>
      <w:rPr>
        <w:rFonts w:ascii="Arial Unicode MS" w:eastAsia="Arial Unicode MS" w:hAnsi="Arial Unicode MS" w:hint="default"/>
        <w:color w:val="121212"/>
        <w:spacing w:val="-1"/>
        <w:w w:val="100"/>
        <w:sz w:val="20"/>
        <w:szCs w:val="20"/>
      </w:rPr>
    </w:lvl>
    <w:lvl w:ilvl="1" w:tplc="C1882812">
      <w:start w:val="1"/>
      <w:numFmt w:val="bullet"/>
      <w:lvlText w:val="•"/>
      <w:lvlJc w:val="left"/>
      <w:pPr>
        <w:ind w:left="1666" w:hanging="612"/>
      </w:pPr>
      <w:rPr>
        <w:rFonts w:hint="default"/>
      </w:rPr>
    </w:lvl>
    <w:lvl w:ilvl="2" w:tplc="8B0CE8B8">
      <w:start w:val="1"/>
      <w:numFmt w:val="bullet"/>
      <w:lvlText w:val="•"/>
      <w:lvlJc w:val="left"/>
      <w:pPr>
        <w:ind w:left="2492" w:hanging="612"/>
      </w:pPr>
      <w:rPr>
        <w:rFonts w:hint="default"/>
      </w:rPr>
    </w:lvl>
    <w:lvl w:ilvl="3" w:tplc="74BCCA82">
      <w:start w:val="1"/>
      <w:numFmt w:val="bullet"/>
      <w:lvlText w:val="•"/>
      <w:lvlJc w:val="left"/>
      <w:pPr>
        <w:ind w:left="3318" w:hanging="612"/>
      </w:pPr>
      <w:rPr>
        <w:rFonts w:hint="default"/>
      </w:rPr>
    </w:lvl>
    <w:lvl w:ilvl="4" w:tplc="8B9EBCFE">
      <w:start w:val="1"/>
      <w:numFmt w:val="bullet"/>
      <w:lvlText w:val="•"/>
      <w:lvlJc w:val="left"/>
      <w:pPr>
        <w:ind w:left="4144" w:hanging="612"/>
      </w:pPr>
      <w:rPr>
        <w:rFonts w:hint="default"/>
      </w:rPr>
    </w:lvl>
    <w:lvl w:ilvl="5" w:tplc="09742874">
      <w:start w:val="1"/>
      <w:numFmt w:val="bullet"/>
      <w:lvlText w:val="•"/>
      <w:lvlJc w:val="left"/>
      <w:pPr>
        <w:ind w:left="4970" w:hanging="612"/>
      </w:pPr>
      <w:rPr>
        <w:rFonts w:hint="default"/>
      </w:rPr>
    </w:lvl>
    <w:lvl w:ilvl="6" w:tplc="2DB04786">
      <w:start w:val="1"/>
      <w:numFmt w:val="bullet"/>
      <w:lvlText w:val="•"/>
      <w:lvlJc w:val="left"/>
      <w:pPr>
        <w:ind w:left="5796" w:hanging="612"/>
      </w:pPr>
      <w:rPr>
        <w:rFonts w:hint="default"/>
      </w:rPr>
    </w:lvl>
    <w:lvl w:ilvl="7" w:tplc="53E008CC">
      <w:start w:val="1"/>
      <w:numFmt w:val="bullet"/>
      <w:lvlText w:val="•"/>
      <w:lvlJc w:val="left"/>
      <w:pPr>
        <w:ind w:left="6622" w:hanging="612"/>
      </w:pPr>
      <w:rPr>
        <w:rFonts w:hint="default"/>
      </w:rPr>
    </w:lvl>
    <w:lvl w:ilvl="8" w:tplc="BE66CB60">
      <w:start w:val="1"/>
      <w:numFmt w:val="bullet"/>
      <w:lvlText w:val="•"/>
      <w:lvlJc w:val="left"/>
      <w:pPr>
        <w:ind w:left="7448" w:hanging="612"/>
      </w:pPr>
      <w:rPr>
        <w:rFonts w:hint="default"/>
      </w:rPr>
    </w:lvl>
  </w:abstractNum>
  <w:abstractNum w:abstractNumId="16">
    <w:nsid w:val="34317490"/>
    <w:multiLevelType w:val="hybridMultilevel"/>
    <w:tmpl w:val="E8046886"/>
    <w:lvl w:ilvl="0" w:tplc="5EFE98EE">
      <w:start w:val="1"/>
      <w:numFmt w:val="decimal"/>
      <w:lvlText w:val="%1."/>
      <w:lvlJc w:val="left"/>
      <w:pPr>
        <w:ind w:left="5180" w:hanging="360"/>
      </w:pPr>
      <w:rPr>
        <w:rFonts w:hint="default"/>
        <w:b/>
        <w:i w:val="0"/>
        <w:sz w:val="24"/>
      </w:rPr>
    </w:lvl>
    <w:lvl w:ilvl="1" w:tplc="29E0ED4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3DC31D68"/>
    <w:multiLevelType w:val="hybridMultilevel"/>
    <w:tmpl w:val="A8C4D29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3F107F6D"/>
    <w:multiLevelType w:val="hybridMultilevel"/>
    <w:tmpl w:val="D4AC87D6"/>
    <w:lvl w:ilvl="0" w:tplc="E25A2FEE">
      <w:start w:val="1"/>
      <w:numFmt w:val="upperRoman"/>
      <w:lvlText w:val="%1."/>
      <w:lvlJc w:val="left"/>
      <w:pPr>
        <w:ind w:left="1347" w:hanging="720"/>
      </w:pPr>
      <w:rPr>
        <w:rFonts w:hint="default"/>
      </w:rPr>
    </w:lvl>
    <w:lvl w:ilvl="1" w:tplc="7F2E68BC">
      <w:start w:val="1"/>
      <w:numFmt w:val="lowerLetter"/>
      <w:lvlText w:val="%2)"/>
      <w:lvlJc w:val="left"/>
      <w:pPr>
        <w:ind w:left="1707" w:hanging="360"/>
      </w:pPr>
      <w:rPr>
        <w:rFonts w:hint="default"/>
      </w:r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19">
    <w:nsid w:val="40012B0A"/>
    <w:multiLevelType w:val="hybridMultilevel"/>
    <w:tmpl w:val="C300591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40C755F4"/>
    <w:multiLevelType w:val="hybridMultilevel"/>
    <w:tmpl w:val="5CD485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5C84911"/>
    <w:multiLevelType w:val="hybridMultilevel"/>
    <w:tmpl w:val="C2BAFF40"/>
    <w:lvl w:ilvl="0" w:tplc="080A000F">
      <w:start w:val="1"/>
      <w:numFmt w:val="decimal"/>
      <w:lvlText w:val="%1."/>
      <w:lvlJc w:val="left"/>
      <w:pPr>
        <w:ind w:left="4897"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68933BB"/>
    <w:multiLevelType w:val="hybridMultilevel"/>
    <w:tmpl w:val="74DEDD16"/>
    <w:lvl w:ilvl="0" w:tplc="27E4C9F6">
      <w:start w:val="6"/>
      <w:numFmt w:val="upperRoman"/>
      <w:lvlText w:val="%1."/>
      <w:lvlJc w:val="left"/>
      <w:pPr>
        <w:ind w:left="2400" w:hanging="610"/>
        <w:jc w:val="right"/>
      </w:pPr>
      <w:rPr>
        <w:rFonts w:ascii="Arial" w:eastAsia="Arial" w:hAnsi="Arial" w:hint="default"/>
        <w:color w:val="111111"/>
        <w:w w:val="99"/>
        <w:sz w:val="20"/>
        <w:szCs w:val="20"/>
      </w:rPr>
    </w:lvl>
    <w:lvl w:ilvl="1" w:tplc="89481F30">
      <w:start w:val="1"/>
      <w:numFmt w:val="bullet"/>
      <w:lvlText w:val="•"/>
      <w:lvlJc w:val="left"/>
      <w:pPr>
        <w:ind w:left="3228" w:hanging="610"/>
      </w:pPr>
      <w:rPr>
        <w:rFonts w:hint="default"/>
      </w:rPr>
    </w:lvl>
    <w:lvl w:ilvl="2" w:tplc="C4CEAFB8">
      <w:start w:val="1"/>
      <w:numFmt w:val="bullet"/>
      <w:lvlText w:val="•"/>
      <w:lvlJc w:val="left"/>
      <w:pPr>
        <w:ind w:left="4056" w:hanging="610"/>
      </w:pPr>
      <w:rPr>
        <w:rFonts w:hint="default"/>
      </w:rPr>
    </w:lvl>
    <w:lvl w:ilvl="3" w:tplc="C5C475EE">
      <w:start w:val="1"/>
      <w:numFmt w:val="bullet"/>
      <w:lvlText w:val="•"/>
      <w:lvlJc w:val="left"/>
      <w:pPr>
        <w:ind w:left="4884" w:hanging="610"/>
      </w:pPr>
      <w:rPr>
        <w:rFonts w:hint="default"/>
      </w:rPr>
    </w:lvl>
    <w:lvl w:ilvl="4" w:tplc="A2008876">
      <w:start w:val="1"/>
      <w:numFmt w:val="bullet"/>
      <w:lvlText w:val="•"/>
      <w:lvlJc w:val="left"/>
      <w:pPr>
        <w:ind w:left="5712" w:hanging="610"/>
      </w:pPr>
      <w:rPr>
        <w:rFonts w:hint="default"/>
      </w:rPr>
    </w:lvl>
    <w:lvl w:ilvl="5" w:tplc="AE7679C6">
      <w:start w:val="1"/>
      <w:numFmt w:val="bullet"/>
      <w:lvlText w:val="•"/>
      <w:lvlJc w:val="left"/>
      <w:pPr>
        <w:ind w:left="6540" w:hanging="610"/>
      </w:pPr>
      <w:rPr>
        <w:rFonts w:hint="default"/>
      </w:rPr>
    </w:lvl>
    <w:lvl w:ilvl="6" w:tplc="1CD0A7BC">
      <w:start w:val="1"/>
      <w:numFmt w:val="bullet"/>
      <w:lvlText w:val="•"/>
      <w:lvlJc w:val="left"/>
      <w:pPr>
        <w:ind w:left="7368" w:hanging="610"/>
      </w:pPr>
      <w:rPr>
        <w:rFonts w:hint="default"/>
      </w:rPr>
    </w:lvl>
    <w:lvl w:ilvl="7" w:tplc="71FC3CA2">
      <w:start w:val="1"/>
      <w:numFmt w:val="bullet"/>
      <w:lvlText w:val="•"/>
      <w:lvlJc w:val="left"/>
      <w:pPr>
        <w:ind w:left="8196" w:hanging="610"/>
      </w:pPr>
      <w:rPr>
        <w:rFonts w:hint="default"/>
      </w:rPr>
    </w:lvl>
    <w:lvl w:ilvl="8" w:tplc="88E8C5D6">
      <w:start w:val="1"/>
      <w:numFmt w:val="bullet"/>
      <w:lvlText w:val="•"/>
      <w:lvlJc w:val="left"/>
      <w:pPr>
        <w:ind w:left="9024" w:hanging="610"/>
      </w:pPr>
      <w:rPr>
        <w:rFonts w:hint="default"/>
      </w:rPr>
    </w:lvl>
  </w:abstractNum>
  <w:abstractNum w:abstractNumId="23">
    <w:nsid w:val="47AC5D89"/>
    <w:multiLevelType w:val="hybridMultilevel"/>
    <w:tmpl w:val="C554C61C"/>
    <w:lvl w:ilvl="0" w:tplc="281E5080">
      <w:start w:val="1"/>
      <w:numFmt w:val="decimal"/>
      <w:lvlText w:val="%1."/>
      <w:lvlJc w:val="left"/>
      <w:pPr>
        <w:ind w:left="426" w:hanging="360"/>
      </w:pPr>
    </w:lvl>
    <w:lvl w:ilvl="1" w:tplc="080A0019" w:tentative="1">
      <w:start w:val="1"/>
      <w:numFmt w:val="lowerLetter"/>
      <w:lvlText w:val="%2."/>
      <w:lvlJc w:val="left"/>
      <w:pPr>
        <w:ind w:left="1146" w:hanging="360"/>
      </w:pPr>
    </w:lvl>
    <w:lvl w:ilvl="2" w:tplc="080A001B" w:tentative="1">
      <w:start w:val="1"/>
      <w:numFmt w:val="lowerRoman"/>
      <w:lvlText w:val="%3."/>
      <w:lvlJc w:val="right"/>
      <w:pPr>
        <w:ind w:left="1866" w:hanging="180"/>
      </w:pPr>
    </w:lvl>
    <w:lvl w:ilvl="3" w:tplc="080A000F" w:tentative="1">
      <w:start w:val="1"/>
      <w:numFmt w:val="decimal"/>
      <w:lvlText w:val="%4."/>
      <w:lvlJc w:val="left"/>
      <w:pPr>
        <w:ind w:left="2586" w:hanging="360"/>
      </w:pPr>
    </w:lvl>
    <w:lvl w:ilvl="4" w:tplc="080A0019" w:tentative="1">
      <w:start w:val="1"/>
      <w:numFmt w:val="lowerLetter"/>
      <w:lvlText w:val="%5."/>
      <w:lvlJc w:val="left"/>
      <w:pPr>
        <w:ind w:left="3306" w:hanging="360"/>
      </w:pPr>
    </w:lvl>
    <w:lvl w:ilvl="5" w:tplc="080A001B" w:tentative="1">
      <w:start w:val="1"/>
      <w:numFmt w:val="lowerRoman"/>
      <w:lvlText w:val="%6."/>
      <w:lvlJc w:val="right"/>
      <w:pPr>
        <w:ind w:left="4026" w:hanging="180"/>
      </w:pPr>
    </w:lvl>
    <w:lvl w:ilvl="6" w:tplc="080A000F" w:tentative="1">
      <w:start w:val="1"/>
      <w:numFmt w:val="decimal"/>
      <w:lvlText w:val="%7."/>
      <w:lvlJc w:val="left"/>
      <w:pPr>
        <w:ind w:left="4746" w:hanging="360"/>
      </w:pPr>
    </w:lvl>
    <w:lvl w:ilvl="7" w:tplc="080A0019" w:tentative="1">
      <w:start w:val="1"/>
      <w:numFmt w:val="lowerLetter"/>
      <w:lvlText w:val="%8."/>
      <w:lvlJc w:val="left"/>
      <w:pPr>
        <w:ind w:left="5466" w:hanging="360"/>
      </w:pPr>
    </w:lvl>
    <w:lvl w:ilvl="8" w:tplc="080A001B" w:tentative="1">
      <w:start w:val="1"/>
      <w:numFmt w:val="lowerRoman"/>
      <w:lvlText w:val="%9."/>
      <w:lvlJc w:val="right"/>
      <w:pPr>
        <w:ind w:left="6186" w:hanging="180"/>
      </w:pPr>
    </w:lvl>
  </w:abstractNum>
  <w:abstractNum w:abstractNumId="24">
    <w:nsid w:val="47EF5393"/>
    <w:multiLevelType w:val="hybridMultilevel"/>
    <w:tmpl w:val="AAE6BCBA"/>
    <w:lvl w:ilvl="0" w:tplc="13969E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49DC4268"/>
    <w:multiLevelType w:val="hybridMultilevel"/>
    <w:tmpl w:val="B1BAE3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CC14D95"/>
    <w:multiLevelType w:val="hybridMultilevel"/>
    <w:tmpl w:val="39AAAA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553771CD"/>
    <w:multiLevelType w:val="hybridMultilevel"/>
    <w:tmpl w:val="0D7A52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C475270"/>
    <w:multiLevelType w:val="hybridMultilevel"/>
    <w:tmpl w:val="91DAC41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9">
    <w:nsid w:val="5D041CC5"/>
    <w:multiLevelType w:val="hybridMultilevel"/>
    <w:tmpl w:val="F26A4E9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FC5550B"/>
    <w:multiLevelType w:val="hybridMultilevel"/>
    <w:tmpl w:val="9302614E"/>
    <w:lvl w:ilvl="0" w:tplc="080A000F">
      <w:start w:val="1"/>
      <w:numFmt w:val="decimal"/>
      <w:lvlText w:val="%1."/>
      <w:lvlJc w:val="left"/>
      <w:pPr>
        <w:ind w:left="4897"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6FF0CD5"/>
    <w:multiLevelType w:val="hybridMultilevel"/>
    <w:tmpl w:val="E30AA7F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71E3AC3"/>
    <w:multiLevelType w:val="hybridMultilevel"/>
    <w:tmpl w:val="D94E0748"/>
    <w:lvl w:ilvl="0" w:tplc="28743300">
      <w:numFmt w:val="bullet"/>
      <w:lvlText w:val="-"/>
      <w:lvlJc w:val="left"/>
      <w:pPr>
        <w:ind w:left="720" w:hanging="360"/>
      </w:pPr>
      <w:rPr>
        <w:rFonts w:ascii="Palatino Linotype" w:eastAsia="Times New Roman"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8B529D4"/>
    <w:multiLevelType w:val="hybridMultilevel"/>
    <w:tmpl w:val="D15C5B2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690826BC"/>
    <w:multiLevelType w:val="hybridMultilevel"/>
    <w:tmpl w:val="2842E4E4"/>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A1B5784"/>
    <w:multiLevelType w:val="hybridMultilevel"/>
    <w:tmpl w:val="A1AE32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C152896"/>
    <w:multiLevelType w:val="hybridMultilevel"/>
    <w:tmpl w:val="8EC6B5BE"/>
    <w:lvl w:ilvl="0" w:tplc="696A9FF4">
      <w:start w:val="3"/>
      <w:numFmt w:val="decimal"/>
      <w:lvlText w:val="%1."/>
      <w:lvlJc w:val="left"/>
      <w:pPr>
        <w:ind w:left="720" w:hanging="360"/>
      </w:pPr>
      <w:rPr>
        <w:rFonts w:eastAsia="Times New Roman" w:hint="default"/>
        <w:b/>
      </w:rPr>
    </w:lvl>
    <w:lvl w:ilvl="1" w:tplc="B84EFAB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E9C22CB"/>
    <w:multiLevelType w:val="hybridMultilevel"/>
    <w:tmpl w:val="DB18E1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754950E1"/>
    <w:multiLevelType w:val="hybridMultilevel"/>
    <w:tmpl w:val="4562317C"/>
    <w:lvl w:ilvl="0" w:tplc="006454C8">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5D65E61"/>
    <w:multiLevelType w:val="hybridMultilevel"/>
    <w:tmpl w:val="DABC05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770136A0"/>
    <w:multiLevelType w:val="hybridMultilevel"/>
    <w:tmpl w:val="3DD0D64A"/>
    <w:lvl w:ilvl="0" w:tplc="4E38441E">
      <w:start w:val="1"/>
      <w:numFmt w:val="decimal"/>
      <w:lvlText w:val="%1."/>
      <w:lvlJc w:val="left"/>
      <w:pPr>
        <w:ind w:left="8582" w:hanging="360"/>
      </w:pPr>
      <w:rPr>
        <w:rFonts w:hint="default"/>
        <w:b/>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7BAA0069"/>
    <w:multiLevelType w:val="hybridMultilevel"/>
    <w:tmpl w:val="D52A27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7F327239"/>
    <w:multiLevelType w:val="hybridMultilevel"/>
    <w:tmpl w:val="9216F95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0"/>
  </w:num>
  <w:num w:numId="2">
    <w:abstractNumId w:val="16"/>
  </w:num>
  <w:num w:numId="3">
    <w:abstractNumId w:val="7"/>
  </w:num>
  <w:num w:numId="4">
    <w:abstractNumId w:val="8"/>
  </w:num>
  <w:num w:numId="5">
    <w:abstractNumId w:val="23"/>
  </w:num>
  <w:num w:numId="6">
    <w:abstractNumId w:val="17"/>
  </w:num>
  <w:num w:numId="7">
    <w:abstractNumId w:val="34"/>
  </w:num>
  <w:num w:numId="8">
    <w:abstractNumId w:val="41"/>
  </w:num>
  <w:num w:numId="9">
    <w:abstractNumId w:val="28"/>
  </w:num>
  <w:num w:numId="10">
    <w:abstractNumId w:val="1"/>
  </w:num>
  <w:num w:numId="11">
    <w:abstractNumId w:val="32"/>
  </w:num>
  <w:num w:numId="12">
    <w:abstractNumId w:val="27"/>
  </w:num>
  <w:num w:numId="13">
    <w:abstractNumId w:val="3"/>
  </w:num>
  <w:num w:numId="14">
    <w:abstractNumId w:val="21"/>
  </w:num>
  <w:num w:numId="15">
    <w:abstractNumId w:val="20"/>
  </w:num>
  <w:num w:numId="16">
    <w:abstractNumId w:val="15"/>
  </w:num>
  <w:num w:numId="17">
    <w:abstractNumId w:val="22"/>
  </w:num>
  <w:num w:numId="18">
    <w:abstractNumId w:val="35"/>
  </w:num>
  <w:num w:numId="19">
    <w:abstractNumId w:val="24"/>
  </w:num>
  <w:num w:numId="20">
    <w:abstractNumId w:val="11"/>
  </w:num>
  <w:num w:numId="21">
    <w:abstractNumId w:val="29"/>
  </w:num>
  <w:num w:numId="22">
    <w:abstractNumId w:val="42"/>
  </w:num>
  <w:num w:numId="23">
    <w:abstractNumId w:val="0"/>
  </w:num>
  <w:num w:numId="24">
    <w:abstractNumId w:val="18"/>
  </w:num>
  <w:num w:numId="25">
    <w:abstractNumId w:val="9"/>
  </w:num>
  <w:num w:numId="26">
    <w:abstractNumId w:val="19"/>
  </w:num>
  <w:num w:numId="27">
    <w:abstractNumId w:val="2"/>
  </w:num>
  <w:num w:numId="28">
    <w:abstractNumId w:val="13"/>
  </w:num>
  <w:num w:numId="29">
    <w:abstractNumId w:val="36"/>
  </w:num>
  <w:num w:numId="30">
    <w:abstractNumId w:val="31"/>
  </w:num>
  <w:num w:numId="31">
    <w:abstractNumId w:val="38"/>
  </w:num>
  <w:num w:numId="32">
    <w:abstractNumId w:val="37"/>
  </w:num>
  <w:num w:numId="33">
    <w:abstractNumId w:val="26"/>
  </w:num>
  <w:num w:numId="34">
    <w:abstractNumId w:val="12"/>
  </w:num>
  <w:num w:numId="35">
    <w:abstractNumId w:val="33"/>
  </w:num>
  <w:num w:numId="36">
    <w:abstractNumId w:val="5"/>
  </w:num>
  <w:num w:numId="37">
    <w:abstractNumId w:val="4"/>
  </w:num>
  <w:num w:numId="38">
    <w:abstractNumId w:val="25"/>
  </w:num>
  <w:num w:numId="39">
    <w:abstractNumId w:val="30"/>
  </w:num>
  <w:num w:numId="40">
    <w:abstractNumId w:val="10"/>
  </w:num>
  <w:num w:numId="41">
    <w:abstractNumId w:val="39"/>
  </w:num>
  <w:num w:numId="42">
    <w:abstractNumId w:val="6"/>
  </w:num>
  <w:num w:numId="43">
    <w:abstractNumId w:val="1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92F"/>
    <w:rsid w:val="00000ABA"/>
    <w:rsid w:val="0000198C"/>
    <w:rsid w:val="00002AB3"/>
    <w:rsid w:val="000030D8"/>
    <w:rsid w:val="0000315A"/>
    <w:rsid w:val="00007A8A"/>
    <w:rsid w:val="00011036"/>
    <w:rsid w:val="00011251"/>
    <w:rsid w:val="00011719"/>
    <w:rsid w:val="00012472"/>
    <w:rsid w:val="000135F5"/>
    <w:rsid w:val="00014154"/>
    <w:rsid w:val="00015690"/>
    <w:rsid w:val="000163B0"/>
    <w:rsid w:val="000164E7"/>
    <w:rsid w:val="00016A29"/>
    <w:rsid w:val="00020D45"/>
    <w:rsid w:val="0002117A"/>
    <w:rsid w:val="0002135B"/>
    <w:rsid w:val="000217BC"/>
    <w:rsid w:val="000218D7"/>
    <w:rsid w:val="0002264E"/>
    <w:rsid w:val="00022868"/>
    <w:rsid w:val="00022E10"/>
    <w:rsid w:val="00022EEF"/>
    <w:rsid w:val="00023547"/>
    <w:rsid w:val="0002392C"/>
    <w:rsid w:val="000240A5"/>
    <w:rsid w:val="00024548"/>
    <w:rsid w:val="0002623B"/>
    <w:rsid w:val="0003063D"/>
    <w:rsid w:val="00030CC8"/>
    <w:rsid w:val="00031C89"/>
    <w:rsid w:val="00032493"/>
    <w:rsid w:val="00032B32"/>
    <w:rsid w:val="00034578"/>
    <w:rsid w:val="000348AB"/>
    <w:rsid w:val="00034AEC"/>
    <w:rsid w:val="00035959"/>
    <w:rsid w:val="00036AC3"/>
    <w:rsid w:val="000370C1"/>
    <w:rsid w:val="00037177"/>
    <w:rsid w:val="00041206"/>
    <w:rsid w:val="0004133B"/>
    <w:rsid w:val="00041C72"/>
    <w:rsid w:val="0004277D"/>
    <w:rsid w:val="0004447D"/>
    <w:rsid w:val="00045BF1"/>
    <w:rsid w:val="00045EC8"/>
    <w:rsid w:val="00046211"/>
    <w:rsid w:val="000467C5"/>
    <w:rsid w:val="0004686A"/>
    <w:rsid w:val="000468E2"/>
    <w:rsid w:val="00046A5A"/>
    <w:rsid w:val="00050682"/>
    <w:rsid w:val="00050767"/>
    <w:rsid w:val="00050C57"/>
    <w:rsid w:val="00051730"/>
    <w:rsid w:val="00051F9D"/>
    <w:rsid w:val="00052007"/>
    <w:rsid w:val="000520C1"/>
    <w:rsid w:val="0005282A"/>
    <w:rsid w:val="000533EE"/>
    <w:rsid w:val="000536A4"/>
    <w:rsid w:val="000536C4"/>
    <w:rsid w:val="0005420C"/>
    <w:rsid w:val="00054220"/>
    <w:rsid w:val="00054A7C"/>
    <w:rsid w:val="00055B29"/>
    <w:rsid w:val="00055FF9"/>
    <w:rsid w:val="00056A79"/>
    <w:rsid w:val="000616D2"/>
    <w:rsid w:val="00061822"/>
    <w:rsid w:val="00062AC3"/>
    <w:rsid w:val="000634AC"/>
    <w:rsid w:val="00064750"/>
    <w:rsid w:val="00064822"/>
    <w:rsid w:val="00064B95"/>
    <w:rsid w:val="0007139C"/>
    <w:rsid w:val="000725E7"/>
    <w:rsid w:val="00072D85"/>
    <w:rsid w:val="00072F25"/>
    <w:rsid w:val="00073D21"/>
    <w:rsid w:val="00075505"/>
    <w:rsid w:val="000769BB"/>
    <w:rsid w:val="00076F07"/>
    <w:rsid w:val="00077456"/>
    <w:rsid w:val="000800AC"/>
    <w:rsid w:val="000802B8"/>
    <w:rsid w:val="00080AE2"/>
    <w:rsid w:val="00080FB9"/>
    <w:rsid w:val="000820A1"/>
    <w:rsid w:val="00082B75"/>
    <w:rsid w:val="000832AA"/>
    <w:rsid w:val="00084133"/>
    <w:rsid w:val="00084FD5"/>
    <w:rsid w:val="0008542A"/>
    <w:rsid w:val="00085FE0"/>
    <w:rsid w:val="00086A19"/>
    <w:rsid w:val="000877FD"/>
    <w:rsid w:val="00087F83"/>
    <w:rsid w:val="00091EC6"/>
    <w:rsid w:val="000946B6"/>
    <w:rsid w:val="00094CAC"/>
    <w:rsid w:val="000957B1"/>
    <w:rsid w:val="0009723C"/>
    <w:rsid w:val="00097D8A"/>
    <w:rsid w:val="000A09F5"/>
    <w:rsid w:val="000A0D7B"/>
    <w:rsid w:val="000A13A2"/>
    <w:rsid w:val="000A149C"/>
    <w:rsid w:val="000A1909"/>
    <w:rsid w:val="000A379E"/>
    <w:rsid w:val="000A4178"/>
    <w:rsid w:val="000A5102"/>
    <w:rsid w:val="000A69FC"/>
    <w:rsid w:val="000A6A59"/>
    <w:rsid w:val="000A736A"/>
    <w:rsid w:val="000A748D"/>
    <w:rsid w:val="000A77ED"/>
    <w:rsid w:val="000B1010"/>
    <w:rsid w:val="000B20A9"/>
    <w:rsid w:val="000B48D4"/>
    <w:rsid w:val="000B503E"/>
    <w:rsid w:val="000B524B"/>
    <w:rsid w:val="000B57E7"/>
    <w:rsid w:val="000B5D79"/>
    <w:rsid w:val="000B62CA"/>
    <w:rsid w:val="000B65F7"/>
    <w:rsid w:val="000C05FA"/>
    <w:rsid w:val="000C09CB"/>
    <w:rsid w:val="000C0CE1"/>
    <w:rsid w:val="000C0DC5"/>
    <w:rsid w:val="000C0FB1"/>
    <w:rsid w:val="000C10B9"/>
    <w:rsid w:val="000C210B"/>
    <w:rsid w:val="000C30F8"/>
    <w:rsid w:val="000C4A8E"/>
    <w:rsid w:val="000C555C"/>
    <w:rsid w:val="000C5A04"/>
    <w:rsid w:val="000C6D16"/>
    <w:rsid w:val="000C7734"/>
    <w:rsid w:val="000C7957"/>
    <w:rsid w:val="000D020C"/>
    <w:rsid w:val="000D0C47"/>
    <w:rsid w:val="000D0CA8"/>
    <w:rsid w:val="000D151D"/>
    <w:rsid w:val="000D17AB"/>
    <w:rsid w:val="000D466E"/>
    <w:rsid w:val="000D5248"/>
    <w:rsid w:val="000D5B08"/>
    <w:rsid w:val="000D5C91"/>
    <w:rsid w:val="000D5C96"/>
    <w:rsid w:val="000D5CC0"/>
    <w:rsid w:val="000E2013"/>
    <w:rsid w:val="000E41A9"/>
    <w:rsid w:val="000E48E7"/>
    <w:rsid w:val="000E5A4F"/>
    <w:rsid w:val="000E6BDE"/>
    <w:rsid w:val="000E7F64"/>
    <w:rsid w:val="000F1EFE"/>
    <w:rsid w:val="000F214D"/>
    <w:rsid w:val="000F2D38"/>
    <w:rsid w:val="000F366D"/>
    <w:rsid w:val="000F483B"/>
    <w:rsid w:val="000F6621"/>
    <w:rsid w:val="000F760A"/>
    <w:rsid w:val="000F773F"/>
    <w:rsid w:val="00100767"/>
    <w:rsid w:val="00100A1D"/>
    <w:rsid w:val="001012FE"/>
    <w:rsid w:val="00102ADC"/>
    <w:rsid w:val="00103B78"/>
    <w:rsid w:val="0010528C"/>
    <w:rsid w:val="001054A7"/>
    <w:rsid w:val="001064DB"/>
    <w:rsid w:val="0010722C"/>
    <w:rsid w:val="00110238"/>
    <w:rsid w:val="00110A12"/>
    <w:rsid w:val="0011102B"/>
    <w:rsid w:val="00112711"/>
    <w:rsid w:val="00112B02"/>
    <w:rsid w:val="00112B9A"/>
    <w:rsid w:val="0011338C"/>
    <w:rsid w:val="00114C6B"/>
    <w:rsid w:val="0011537F"/>
    <w:rsid w:val="001161CB"/>
    <w:rsid w:val="0011644C"/>
    <w:rsid w:val="0011671E"/>
    <w:rsid w:val="001174EC"/>
    <w:rsid w:val="00117A22"/>
    <w:rsid w:val="00117C43"/>
    <w:rsid w:val="00117E42"/>
    <w:rsid w:val="0012006D"/>
    <w:rsid w:val="00121EBE"/>
    <w:rsid w:val="00122C7C"/>
    <w:rsid w:val="00122D83"/>
    <w:rsid w:val="00123DB0"/>
    <w:rsid w:val="00123DF6"/>
    <w:rsid w:val="001248A0"/>
    <w:rsid w:val="0012592B"/>
    <w:rsid w:val="0012670D"/>
    <w:rsid w:val="001267F8"/>
    <w:rsid w:val="00127D56"/>
    <w:rsid w:val="00130B97"/>
    <w:rsid w:val="00130C63"/>
    <w:rsid w:val="001318D2"/>
    <w:rsid w:val="00132306"/>
    <w:rsid w:val="00132899"/>
    <w:rsid w:val="0013327A"/>
    <w:rsid w:val="001339E4"/>
    <w:rsid w:val="00133B79"/>
    <w:rsid w:val="0013492B"/>
    <w:rsid w:val="0013583D"/>
    <w:rsid w:val="001358E8"/>
    <w:rsid w:val="00136014"/>
    <w:rsid w:val="001365A4"/>
    <w:rsid w:val="001374A0"/>
    <w:rsid w:val="00140070"/>
    <w:rsid w:val="00140A4D"/>
    <w:rsid w:val="00140D44"/>
    <w:rsid w:val="001415F8"/>
    <w:rsid w:val="0014188A"/>
    <w:rsid w:val="0014190B"/>
    <w:rsid w:val="00143222"/>
    <w:rsid w:val="00143783"/>
    <w:rsid w:val="00144239"/>
    <w:rsid w:val="00144537"/>
    <w:rsid w:val="00144F08"/>
    <w:rsid w:val="00145FFA"/>
    <w:rsid w:val="00146524"/>
    <w:rsid w:val="00146A0A"/>
    <w:rsid w:val="00146A83"/>
    <w:rsid w:val="00146E2E"/>
    <w:rsid w:val="00147163"/>
    <w:rsid w:val="00147864"/>
    <w:rsid w:val="00150EC8"/>
    <w:rsid w:val="0015179D"/>
    <w:rsid w:val="00152EE8"/>
    <w:rsid w:val="001539A5"/>
    <w:rsid w:val="0015466E"/>
    <w:rsid w:val="00155C6D"/>
    <w:rsid w:val="001565C9"/>
    <w:rsid w:val="0015798B"/>
    <w:rsid w:val="00157A1E"/>
    <w:rsid w:val="00157C5A"/>
    <w:rsid w:val="00162712"/>
    <w:rsid w:val="001632E2"/>
    <w:rsid w:val="0016332D"/>
    <w:rsid w:val="00163D29"/>
    <w:rsid w:val="00164833"/>
    <w:rsid w:val="001648EE"/>
    <w:rsid w:val="00164A5D"/>
    <w:rsid w:val="00164B65"/>
    <w:rsid w:val="001652B4"/>
    <w:rsid w:val="0016539F"/>
    <w:rsid w:val="00165C02"/>
    <w:rsid w:val="00166794"/>
    <w:rsid w:val="001669E6"/>
    <w:rsid w:val="00166E88"/>
    <w:rsid w:val="00167CCF"/>
    <w:rsid w:val="00170323"/>
    <w:rsid w:val="0017146D"/>
    <w:rsid w:val="00171A4E"/>
    <w:rsid w:val="001721C4"/>
    <w:rsid w:val="00172B01"/>
    <w:rsid w:val="00173B92"/>
    <w:rsid w:val="00174F63"/>
    <w:rsid w:val="00175585"/>
    <w:rsid w:val="00175C30"/>
    <w:rsid w:val="00176DE7"/>
    <w:rsid w:val="001775DF"/>
    <w:rsid w:val="00181DC0"/>
    <w:rsid w:val="00183D74"/>
    <w:rsid w:val="001850D6"/>
    <w:rsid w:val="00186391"/>
    <w:rsid w:val="00186971"/>
    <w:rsid w:val="0018788D"/>
    <w:rsid w:val="001878A8"/>
    <w:rsid w:val="0019076C"/>
    <w:rsid w:val="0019358B"/>
    <w:rsid w:val="0019484F"/>
    <w:rsid w:val="001964AF"/>
    <w:rsid w:val="00196F89"/>
    <w:rsid w:val="00197168"/>
    <w:rsid w:val="00197318"/>
    <w:rsid w:val="00197709"/>
    <w:rsid w:val="001979C5"/>
    <w:rsid w:val="00197B63"/>
    <w:rsid w:val="001A04D3"/>
    <w:rsid w:val="001A0524"/>
    <w:rsid w:val="001A0AA2"/>
    <w:rsid w:val="001A0BE8"/>
    <w:rsid w:val="001A138D"/>
    <w:rsid w:val="001A230D"/>
    <w:rsid w:val="001A339A"/>
    <w:rsid w:val="001A3C17"/>
    <w:rsid w:val="001A4753"/>
    <w:rsid w:val="001A4764"/>
    <w:rsid w:val="001A513D"/>
    <w:rsid w:val="001A5277"/>
    <w:rsid w:val="001A6360"/>
    <w:rsid w:val="001B0EFF"/>
    <w:rsid w:val="001B26AA"/>
    <w:rsid w:val="001B53A0"/>
    <w:rsid w:val="001B57F2"/>
    <w:rsid w:val="001B5F70"/>
    <w:rsid w:val="001B66E3"/>
    <w:rsid w:val="001B6C18"/>
    <w:rsid w:val="001B71E0"/>
    <w:rsid w:val="001B7FFA"/>
    <w:rsid w:val="001C0C2E"/>
    <w:rsid w:val="001C13B1"/>
    <w:rsid w:val="001C16B6"/>
    <w:rsid w:val="001C1C2A"/>
    <w:rsid w:val="001C1FFF"/>
    <w:rsid w:val="001C572C"/>
    <w:rsid w:val="001C5D12"/>
    <w:rsid w:val="001C67B0"/>
    <w:rsid w:val="001C79FA"/>
    <w:rsid w:val="001D2662"/>
    <w:rsid w:val="001D3EEA"/>
    <w:rsid w:val="001D53FF"/>
    <w:rsid w:val="001D64F6"/>
    <w:rsid w:val="001E0EE9"/>
    <w:rsid w:val="001E18B8"/>
    <w:rsid w:val="001E2813"/>
    <w:rsid w:val="001E69E2"/>
    <w:rsid w:val="001E7B9E"/>
    <w:rsid w:val="001E7EE1"/>
    <w:rsid w:val="001F0B43"/>
    <w:rsid w:val="001F1ABA"/>
    <w:rsid w:val="001F2F13"/>
    <w:rsid w:val="001F3293"/>
    <w:rsid w:val="001F33D2"/>
    <w:rsid w:val="001F3453"/>
    <w:rsid w:val="001F39CE"/>
    <w:rsid w:val="001F3B5D"/>
    <w:rsid w:val="001F4083"/>
    <w:rsid w:val="001F4366"/>
    <w:rsid w:val="001F4EA5"/>
    <w:rsid w:val="001F59E6"/>
    <w:rsid w:val="001F61FC"/>
    <w:rsid w:val="00200562"/>
    <w:rsid w:val="00202556"/>
    <w:rsid w:val="002025F8"/>
    <w:rsid w:val="002029CB"/>
    <w:rsid w:val="002031F3"/>
    <w:rsid w:val="00203283"/>
    <w:rsid w:val="00204293"/>
    <w:rsid w:val="00204787"/>
    <w:rsid w:val="00204958"/>
    <w:rsid w:val="00205C02"/>
    <w:rsid w:val="00206DFD"/>
    <w:rsid w:val="002077BE"/>
    <w:rsid w:val="0021022A"/>
    <w:rsid w:val="00210263"/>
    <w:rsid w:val="00210FED"/>
    <w:rsid w:val="00211AB6"/>
    <w:rsid w:val="00212171"/>
    <w:rsid w:val="00212683"/>
    <w:rsid w:val="002126C6"/>
    <w:rsid w:val="002128E9"/>
    <w:rsid w:val="00212D39"/>
    <w:rsid w:val="0021369F"/>
    <w:rsid w:val="00213BA0"/>
    <w:rsid w:val="002144D4"/>
    <w:rsid w:val="0021496E"/>
    <w:rsid w:val="00215985"/>
    <w:rsid w:val="00215F3E"/>
    <w:rsid w:val="0021607D"/>
    <w:rsid w:val="00216355"/>
    <w:rsid w:val="0021700D"/>
    <w:rsid w:val="002179AC"/>
    <w:rsid w:val="00217BF5"/>
    <w:rsid w:val="002210A4"/>
    <w:rsid w:val="002217BA"/>
    <w:rsid w:val="00222D9F"/>
    <w:rsid w:val="0022359C"/>
    <w:rsid w:val="00225357"/>
    <w:rsid w:val="0022540B"/>
    <w:rsid w:val="00225CEA"/>
    <w:rsid w:val="00225D53"/>
    <w:rsid w:val="00225EA5"/>
    <w:rsid w:val="00225EEA"/>
    <w:rsid w:val="00226E61"/>
    <w:rsid w:val="002310A0"/>
    <w:rsid w:val="00231B40"/>
    <w:rsid w:val="002324E9"/>
    <w:rsid w:val="00232983"/>
    <w:rsid w:val="002345FF"/>
    <w:rsid w:val="00234D76"/>
    <w:rsid w:val="00235620"/>
    <w:rsid w:val="002366A2"/>
    <w:rsid w:val="00237428"/>
    <w:rsid w:val="0023784D"/>
    <w:rsid w:val="0023797E"/>
    <w:rsid w:val="00237F61"/>
    <w:rsid w:val="002419CB"/>
    <w:rsid w:val="00241C95"/>
    <w:rsid w:val="00241CB1"/>
    <w:rsid w:val="00242056"/>
    <w:rsid w:val="00243063"/>
    <w:rsid w:val="0024390D"/>
    <w:rsid w:val="00243AA0"/>
    <w:rsid w:val="00243E9C"/>
    <w:rsid w:val="00244231"/>
    <w:rsid w:val="00244FB1"/>
    <w:rsid w:val="002452B8"/>
    <w:rsid w:val="0024535A"/>
    <w:rsid w:val="002466A2"/>
    <w:rsid w:val="0024739F"/>
    <w:rsid w:val="002479E3"/>
    <w:rsid w:val="00250DF8"/>
    <w:rsid w:val="002519B8"/>
    <w:rsid w:val="00252174"/>
    <w:rsid w:val="00252BD0"/>
    <w:rsid w:val="00252C4D"/>
    <w:rsid w:val="002545BF"/>
    <w:rsid w:val="00260323"/>
    <w:rsid w:val="00261001"/>
    <w:rsid w:val="00261BB3"/>
    <w:rsid w:val="00261DA1"/>
    <w:rsid w:val="00262126"/>
    <w:rsid w:val="002632B3"/>
    <w:rsid w:val="00264510"/>
    <w:rsid w:val="002651CA"/>
    <w:rsid w:val="00265381"/>
    <w:rsid w:val="00265A4A"/>
    <w:rsid w:val="002665BD"/>
    <w:rsid w:val="00267441"/>
    <w:rsid w:val="00267487"/>
    <w:rsid w:val="00267710"/>
    <w:rsid w:val="00267B3D"/>
    <w:rsid w:val="00270AB9"/>
    <w:rsid w:val="00270F0A"/>
    <w:rsid w:val="002711BA"/>
    <w:rsid w:val="00271318"/>
    <w:rsid w:val="00271389"/>
    <w:rsid w:val="0027430D"/>
    <w:rsid w:val="0027468C"/>
    <w:rsid w:val="0027482D"/>
    <w:rsid w:val="00274BE9"/>
    <w:rsid w:val="0027645C"/>
    <w:rsid w:val="00277D3D"/>
    <w:rsid w:val="00280260"/>
    <w:rsid w:val="002802AC"/>
    <w:rsid w:val="00281389"/>
    <w:rsid w:val="00281E32"/>
    <w:rsid w:val="002823A0"/>
    <w:rsid w:val="0028429B"/>
    <w:rsid w:val="00286BCA"/>
    <w:rsid w:val="0028727E"/>
    <w:rsid w:val="0029059C"/>
    <w:rsid w:val="00292CBE"/>
    <w:rsid w:val="00293DE8"/>
    <w:rsid w:val="00294D5C"/>
    <w:rsid w:val="00295595"/>
    <w:rsid w:val="00295CAC"/>
    <w:rsid w:val="002A00A2"/>
    <w:rsid w:val="002A0C6D"/>
    <w:rsid w:val="002A13C4"/>
    <w:rsid w:val="002A14A7"/>
    <w:rsid w:val="002A2FBF"/>
    <w:rsid w:val="002A3FF7"/>
    <w:rsid w:val="002A48BE"/>
    <w:rsid w:val="002A65F6"/>
    <w:rsid w:val="002A6A1F"/>
    <w:rsid w:val="002A6CC3"/>
    <w:rsid w:val="002A7E83"/>
    <w:rsid w:val="002B07E8"/>
    <w:rsid w:val="002B085C"/>
    <w:rsid w:val="002B1D56"/>
    <w:rsid w:val="002B2A2E"/>
    <w:rsid w:val="002B3141"/>
    <w:rsid w:val="002B3565"/>
    <w:rsid w:val="002B3D68"/>
    <w:rsid w:val="002B45B9"/>
    <w:rsid w:val="002B4B37"/>
    <w:rsid w:val="002B55D1"/>
    <w:rsid w:val="002B66D8"/>
    <w:rsid w:val="002B67B2"/>
    <w:rsid w:val="002B7DDA"/>
    <w:rsid w:val="002C125D"/>
    <w:rsid w:val="002C30ED"/>
    <w:rsid w:val="002C38C9"/>
    <w:rsid w:val="002C42B6"/>
    <w:rsid w:val="002C47ED"/>
    <w:rsid w:val="002C6CCC"/>
    <w:rsid w:val="002C7827"/>
    <w:rsid w:val="002C7942"/>
    <w:rsid w:val="002C7CC7"/>
    <w:rsid w:val="002D0ECC"/>
    <w:rsid w:val="002D0F2C"/>
    <w:rsid w:val="002D1360"/>
    <w:rsid w:val="002D141D"/>
    <w:rsid w:val="002D15ED"/>
    <w:rsid w:val="002D1A38"/>
    <w:rsid w:val="002D2284"/>
    <w:rsid w:val="002D28FF"/>
    <w:rsid w:val="002D2A33"/>
    <w:rsid w:val="002D3714"/>
    <w:rsid w:val="002D373C"/>
    <w:rsid w:val="002D4559"/>
    <w:rsid w:val="002D4D92"/>
    <w:rsid w:val="002D5424"/>
    <w:rsid w:val="002D59A8"/>
    <w:rsid w:val="002D6F04"/>
    <w:rsid w:val="002D7363"/>
    <w:rsid w:val="002D77C8"/>
    <w:rsid w:val="002E14D4"/>
    <w:rsid w:val="002E2E98"/>
    <w:rsid w:val="002E3C8D"/>
    <w:rsid w:val="002E4871"/>
    <w:rsid w:val="002E5B3F"/>
    <w:rsid w:val="002E6A53"/>
    <w:rsid w:val="002E6E73"/>
    <w:rsid w:val="002E74CE"/>
    <w:rsid w:val="002E7D78"/>
    <w:rsid w:val="002F0536"/>
    <w:rsid w:val="002F14DE"/>
    <w:rsid w:val="002F3672"/>
    <w:rsid w:val="002F3693"/>
    <w:rsid w:val="002F397F"/>
    <w:rsid w:val="002F5BD8"/>
    <w:rsid w:val="002F6123"/>
    <w:rsid w:val="002F62A4"/>
    <w:rsid w:val="002F6F9C"/>
    <w:rsid w:val="002F768F"/>
    <w:rsid w:val="002F7E3E"/>
    <w:rsid w:val="00300E89"/>
    <w:rsid w:val="00300FA7"/>
    <w:rsid w:val="0030150B"/>
    <w:rsid w:val="00301782"/>
    <w:rsid w:val="0030255D"/>
    <w:rsid w:val="00302998"/>
    <w:rsid w:val="0030302B"/>
    <w:rsid w:val="00303717"/>
    <w:rsid w:val="00305279"/>
    <w:rsid w:val="003071F9"/>
    <w:rsid w:val="00307227"/>
    <w:rsid w:val="0030774A"/>
    <w:rsid w:val="00307E34"/>
    <w:rsid w:val="003102A6"/>
    <w:rsid w:val="0031056C"/>
    <w:rsid w:val="003105D0"/>
    <w:rsid w:val="00310962"/>
    <w:rsid w:val="003116A6"/>
    <w:rsid w:val="003118CB"/>
    <w:rsid w:val="003122CE"/>
    <w:rsid w:val="00313A95"/>
    <w:rsid w:val="0031421F"/>
    <w:rsid w:val="00314295"/>
    <w:rsid w:val="00314AE4"/>
    <w:rsid w:val="00315002"/>
    <w:rsid w:val="00316FED"/>
    <w:rsid w:val="00317266"/>
    <w:rsid w:val="00317CE0"/>
    <w:rsid w:val="00320D05"/>
    <w:rsid w:val="003210EB"/>
    <w:rsid w:val="00321AA3"/>
    <w:rsid w:val="00321CF1"/>
    <w:rsid w:val="00322C0C"/>
    <w:rsid w:val="00322E7D"/>
    <w:rsid w:val="003230CA"/>
    <w:rsid w:val="00323478"/>
    <w:rsid w:val="00323895"/>
    <w:rsid w:val="00326714"/>
    <w:rsid w:val="00330170"/>
    <w:rsid w:val="003306A9"/>
    <w:rsid w:val="003306E2"/>
    <w:rsid w:val="00330C9F"/>
    <w:rsid w:val="00330E0C"/>
    <w:rsid w:val="003311D6"/>
    <w:rsid w:val="00331A87"/>
    <w:rsid w:val="00332187"/>
    <w:rsid w:val="003326D1"/>
    <w:rsid w:val="00333BE8"/>
    <w:rsid w:val="0033477F"/>
    <w:rsid w:val="00334B20"/>
    <w:rsid w:val="00335541"/>
    <w:rsid w:val="0033557D"/>
    <w:rsid w:val="00337364"/>
    <w:rsid w:val="0034052A"/>
    <w:rsid w:val="003411ED"/>
    <w:rsid w:val="00341748"/>
    <w:rsid w:val="00342262"/>
    <w:rsid w:val="003429D1"/>
    <w:rsid w:val="00343990"/>
    <w:rsid w:val="00343B0D"/>
    <w:rsid w:val="003441A6"/>
    <w:rsid w:val="00344A14"/>
    <w:rsid w:val="003457AF"/>
    <w:rsid w:val="00345D0F"/>
    <w:rsid w:val="00347058"/>
    <w:rsid w:val="003472B3"/>
    <w:rsid w:val="003474AE"/>
    <w:rsid w:val="00350E15"/>
    <w:rsid w:val="00351895"/>
    <w:rsid w:val="003528EB"/>
    <w:rsid w:val="003532D0"/>
    <w:rsid w:val="003549F5"/>
    <w:rsid w:val="00356B99"/>
    <w:rsid w:val="003577BB"/>
    <w:rsid w:val="0036054B"/>
    <w:rsid w:val="0036073F"/>
    <w:rsid w:val="00360A7E"/>
    <w:rsid w:val="00361EC5"/>
    <w:rsid w:val="00362D92"/>
    <w:rsid w:val="00362F9C"/>
    <w:rsid w:val="00362FE6"/>
    <w:rsid w:val="00363F05"/>
    <w:rsid w:val="003645D3"/>
    <w:rsid w:val="00364627"/>
    <w:rsid w:val="00365E82"/>
    <w:rsid w:val="00367727"/>
    <w:rsid w:val="00370D40"/>
    <w:rsid w:val="003713DA"/>
    <w:rsid w:val="003718D7"/>
    <w:rsid w:val="003721B2"/>
    <w:rsid w:val="0037475B"/>
    <w:rsid w:val="00375C69"/>
    <w:rsid w:val="003773A4"/>
    <w:rsid w:val="00377556"/>
    <w:rsid w:val="003801F6"/>
    <w:rsid w:val="00380950"/>
    <w:rsid w:val="003819B3"/>
    <w:rsid w:val="003830A0"/>
    <w:rsid w:val="0038315E"/>
    <w:rsid w:val="00383318"/>
    <w:rsid w:val="0038394F"/>
    <w:rsid w:val="00383C5E"/>
    <w:rsid w:val="00384241"/>
    <w:rsid w:val="003848C2"/>
    <w:rsid w:val="003851DF"/>
    <w:rsid w:val="00387B0E"/>
    <w:rsid w:val="00387DC9"/>
    <w:rsid w:val="00391EDF"/>
    <w:rsid w:val="0039214C"/>
    <w:rsid w:val="00392447"/>
    <w:rsid w:val="00393859"/>
    <w:rsid w:val="00393B71"/>
    <w:rsid w:val="003947DD"/>
    <w:rsid w:val="00394886"/>
    <w:rsid w:val="00395C0B"/>
    <w:rsid w:val="00395D7D"/>
    <w:rsid w:val="00396732"/>
    <w:rsid w:val="00396885"/>
    <w:rsid w:val="003A00C8"/>
    <w:rsid w:val="003A05E1"/>
    <w:rsid w:val="003A11ED"/>
    <w:rsid w:val="003A1261"/>
    <w:rsid w:val="003A23D8"/>
    <w:rsid w:val="003A2508"/>
    <w:rsid w:val="003A320E"/>
    <w:rsid w:val="003A3B6F"/>
    <w:rsid w:val="003A3E6E"/>
    <w:rsid w:val="003A46C7"/>
    <w:rsid w:val="003A4A94"/>
    <w:rsid w:val="003A4C79"/>
    <w:rsid w:val="003A4DFA"/>
    <w:rsid w:val="003A5572"/>
    <w:rsid w:val="003A60AD"/>
    <w:rsid w:val="003A6367"/>
    <w:rsid w:val="003A6A5A"/>
    <w:rsid w:val="003A6BAD"/>
    <w:rsid w:val="003A7153"/>
    <w:rsid w:val="003A7574"/>
    <w:rsid w:val="003A75F1"/>
    <w:rsid w:val="003B0860"/>
    <w:rsid w:val="003B1589"/>
    <w:rsid w:val="003B187B"/>
    <w:rsid w:val="003B200A"/>
    <w:rsid w:val="003B4D2C"/>
    <w:rsid w:val="003B52C9"/>
    <w:rsid w:val="003B54D5"/>
    <w:rsid w:val="003B55AD"/>
    <w:rsid w:val="003B59CC"/>
    <w:rsid w:val="003B5E27"/>
    <w:rsid w:val="003B6D26"/>
    <w:rsid w:val="003B7403"/>
    <w:rsid w:val="003B7A7B"/>
    <w:rsid w:val="003C0117"/>
    <w:rsid w:val="003C06C5"/>
    <w:rsid w:val="003C0E06"/>
    <w:rsid w:val="003C2FC2"/>
    <w:rsid w:val="003C31E8"/>
    <w:rsid w:val="003C665B"/>
    <w:rsid w:val="003C66EF"/>
    <w:rsid w:val="003C7282"/>
    <w:rsid w:val="003D04B3"/>
    <w:rsid w:val="003D1343"/>
    <w:rsid w:val="003D1971"/>
    <w:rsid w:val="003D210D"/>
    <w:rsid w:val="003D2BDA"/>
    <w:rsid w:val="003D4544"/>
    <w:rsid w:val="003D46D0"/>
    <w:rsid w:val="003D5EE4"/>
    <w:rsid w:val="003D7850"/>
    <w:rsid w:val="003E0B0F"/>
    <w:rsid w:val="003E167A"/>
    <w:rsid w:val="003E1A65"/>
    <w:rsid w:val="003E1C5B"/>
    <w:rsid w:val="003E1DF9"/>
    <w:rsid w:val="003E2043"/>
    <w:rsid w:val="003E2871"/>
    <w:rsid w:val="003E3BCD"/>
    <w:rsid w:val="003E3DB3"/>
    <w:rsid w:val="003E4742"/>
    <w:rsid w:val="003E562F"/>
    <w:rsid w:val="003E64F3"/>
    <w:rsid w:val="003E6C90"/>
    <w:rsid w:val="003E720E"/>
    <w:rsid w:val="003F1143"/>
    <w:rsid w:val="003F11BF"/>
    <w:rsid w:val="003F13A1"/>
    <w:rsid w:val="003F15DB"/>
    <w:rsid w:val="003F2702"/>
    <w:rsid w:val="003F3245"/>
    <w:rsid w:val="003F380A"/>
    <w:rsid w:val="003F3908"/>
    <w:rsid w:val="003F4B66"/>
    <w:rsid w:val="003F6762"/>
    <w:rsid w:val="003F70CA"/>
    <w:rsid w:val="003F7E22"/>
    <w:rsid w:val="00401147"/>
    <w:rsid w:val="00401963"/>
    <w:rsid w:val="00401E22"/>
    <w:rsid w:val="0040278D"/>
    <w:rsid w:val="00402AAD"/>
    <w:rsid w:val="00402AB0"/>
    <w:rsid w:val="00402BF1"/>
    <w:rsid w:val="00402C25"/>
    <w:rsid w:val="00403031"/>
    <w:rsid w:val="0040489F"/>
    <w:rsid w:val="00407CCB"/>
    <w:rsid w:val="00410B83"/>
    <w:rsid w:val="00410CA2"/>
    <w:rsid w:val="00411936"/>
    <w:rsid w:val="004119DC"/>
    <w:rsid w:val="00413E8C"/>
    <w:rsid w:val="00415CEA"/>
    <w:rsid w:val="00415FDC"/>
    <w:rsid w:val="0041620D"/>
    <w:rsid w:val="00416BDB"/>
    <w:rsid w:val="0041703D"/>
    <w:rsid w:val="00417E0F"/>
    <w:rsid w:val="004205DB"/>
    <w:rsid w:val="00420646"/>
    <w:rsid w:val="0042068A"/>
    <w:rsid w:val="004211BA"/>
    <w:rsid w:val="004216FE"/>
    <w:rsid w:val="00421799"/>
    <w:rsid w:val="00421F72"/>
    <w:rsid w:val="00422367"/>
    <w:rsid w:val="00422DF3"/>
    <w:rsid w:val="00424901"/>
    <w:rsid w:val="00424F11"/>
    <w:rsid w:val="00425956"/>
    <w:rsid w:val="00426D7C"/>
    <w:rsid w:val="004301F6"/>
    <w:rsid w:val="00430B2E"/>
    <w:rsid w:val="00432621"/>
    <w:rsid w:val="00432A12"/>
    <w:rsid w:val="00432B72"/>
    <w:rsid w:val="00433016"/>
    <w:rsid w:val="00433C27"/>
    <w:rsid w:val="004342F1"/>
    <w:rsid w:val="00434710"/>
    <w:rsid w:val="00434EB9"/>
    <w:rsid w:val="00435C67"/>
    <w:rsid w:val="00437FA3"/>
    <w:rsid w:val="00441015"/>
    <w:rsid w:val="00441468"/>
    <w:rsid w:val="0044162C"/>
    <w:rsid w:val="00441E3B"/>
    <w:rsid w:val="00444435"/>
    <w:rsid w:val="00444F82"/>
    <w:rsid w:val="00446A9D"/>
    <w:rsid w:val="00447A56"/>
    <w:rsid w:val="004502A6"/>
    <w:rsid w:val="004507DB"/>
    <w:rsid w:val="00450A5F"/>
    <w:rsid w:val="00450AA0"/>
    <w:rsid w:val="00451514"/>
    <w:rsid w:val="00451CED"/>
    <w:rsid w:val="00451DA9"/>
    <w:rsid w:val="00451EB6"/>
    <w:rsid w:val="00452DF9"/>
    <w:rsid w:val="0045300D"/>
    <w:rsid w:val="00454C45"/>
    <w:rsid w:val="004554F7"/>
    <w:rsid w:val="004564AD"/>
    <w:rsid w:val="004567D6"/>
    <w:rsid w:val="00456A74"/>
    <w:rsid w:val="00456D61"/>
    <w:rsid w:val="00456F66"/>
    <w:rsid w:val="00457B29"/>
    <w:rsid w:val="00460E8A"/>
    <w:rsid w:val="004617F0"/>
    <w:rsid w:val="00461B98"/>
    <w:rsid w:val="00463308"/>
    <w:rsid w:val="00464131"/>
    <w:rsid w:val="00464384"/>
    <w:rsid w:val="004655C4"/>
    <w:rsid w:val="0046566E"/>
    <w:rsid w:val="004658E6"/>
    <w:rsid w:val="00466B5A"/>
    <w:rsid w:val="00466C21"/>
    <w:rsid w:val="0046701A"/>
    <w:rsid w:val="00467EB5"/>
    <w:rsid w:val="0047025A"/>
    <w:rsid w:val="0047344D"/>
    <w:rsid w:val="00473924"/>
    <w:rsid w:val="004739E8"/>
    <w:rsid w:val="00473D11"/>
    <w:rsid w:val="00477411"/>
    <w:rsid w:val="00477932"/>
    <w:rsid w:val="00480BA2"/>
    <w:rsid w:val="00481A7B"/>
    <w:rsid w:val="00481D42"/>
    <w:rsid w:val="0048344A"/>
    <w:rsid w:val="00483DB3"/>
    <w:rsid w:val="0048517E"/>
    <w:rsid w:val="00485348"/>
    <w:rsid w:val="00485C71"/>
    <w:rsid w:val="00486806"/>
    <w:rsid w:val="00486EDD"/>
    <w:rsid w:val="00487AF6"/>
    <w:rsid w:val="004908CE"/>
    <w:rsid w:val="00491A61"/>
    <w:rsid w:val="00491C96"/>
    <w:rsid w:val="00492E89"/>
    <w:rsid w:val="004936B3"/>
    <w:rsid w:val="00493CB9"/>
    <w:rsid w:val="00493FF9"/>
    <w:rsid w:val="004945E4"/>
    <w:rsid w:val="004945E8"/>
    <w:rsid w:val="00494DFB"/>
    <w:rsid w:val="00496359"/>
    <w:rsid w:val="00496650"/>
    <w:rsid w:val="0049695F"/>
    <w:rsid w:val="00497031"/>
    <w:rsid w:val="00497E8C"/>
    <w:rsid w:val="00497F63"/>
    <w:rsid w:val="004A00DC"/>
    <w:rsid w:val="004A14C2"/>
    <w:rsid w:val="004A2BF5"/>
    <w:rsid w:val="004A5B12"/>
    <w:rsid w:val="004A6B0A"/>
    <w:rsid w:val="004A7BE7"/>
    <w:rsid w:val="004B1D5D"/>
    <w:rsid w:val="004B293C"/>
    <w:rsid w:val="004B2AEB"/>
    <w:rsid w:val="004B31A6"/>
    <w:rsid w:val="004B3B1A"/>
    <w:rsid w:val="004B40BF"/>
    <w:rsid w:val="004B4396"/>
    <w:rsid w:val="004B4A7B"/>
    <w:rsid w:val="004B57A3"/>
    <w:rsid w:val="004B5AC8"/>
    <w:rsid w:val="004B607D"/>
    <w:rsid w:val="004B64D1"/>
    <w:rsid w:val="004B6F5C"/>
    <w:rsid w:val="004B7B21"/>
    <w:rsid w:val="004C00C8"/>
    <w:rsid w:val="004C3A91"/>
    <w:rsid w:val="004C3FBD"/>
    <w:rsid w:val="004C412C"/>
    <w:rsid w:val="004C494D"/>
    <w:rsid w:val="004C4A44"/>
    <w:rsid w:val="004C51CE"/>
    <w:rsid w:val="004C6780"/>
    <w:rsid w:val="004C6EFC"/>
    <w:rsid w:val="004C7579"/>
    <w:rsid w:val="004C75EE"/>
    <w:rsid w:val="004C78C3"/>
    <w:rsid w:val="004D00B3"/>
    <w:rsid w:val="004D0700"/>
    <w:rsid w:val="004D0BDC"/>
    <w:rsid w:val="004D11B8"/>
    <w:rsid w:val="004D1287"/>
    <w:rsid w:val="004D1332"/>
    <w:rsid w:val="004D215D"/>
    <w:rsid w:val="004D257A"/>
    <w:rsid w:val="004D3026"/>
    <w:rsid w:val="004D4DAD"/>
    <w:rsid w:val="004D5BF4"/>
    <w:rsid w:val="004D5E35"/>
    <w:rsid w:val="004D60AB"/>
    <w:rsid w:val="004E0333"/>
    <w:rsid w:val="004E0B2B"/>
    <w:rsid w:val="004E1166"/>
    <w:rsid w:val="004E1461"/>
    <w:rsid w:val="004E17C2"/>
    <w:rsid w:val="004E1BAF"/>
    <w:rsid w:val="004E2185"/>
    <w:rsid w:val="004E21A7"/>
    <w:rsid w:val="004E3E76"/>
    <w:rsid w:val="004E3E79"/>
    <w:rsid w:val="004E49CF"/>
    <w:rsid w:val="004E51D7"/>
    <w:rsid w:val="004E5482"/>
    <w:rsid w:val="004E6834"/>
    <w:rsid w:val="004E7AF3"/>
    <w:rsid w:val="004F3C08"/>
    <w:rsid w:val="004F44C7"/>
    <w:rsid w:val="004F489F"/>
    <w:rsid w:val="004F48F8"/>
    <w:rsid w:val="004F4915"/>
    <w:rsid w:val="004F6261"/>
    <w:rsid w:val="004F65D2"/>
    <w:rsid w:val="004F766F"/>
    <w:rsid w:val="004F786F"/>
    <w:rsid w:val="004F7944"/>
    <w:rsid w:val="004F7BF5"/>
    <w:rsid w:val="005010B6"/>
    <w:rsid w:val="0050190F"/>
    <w:rsid w:val="005019F7"/>
    <w:rsid w:val="00501BB6"/>
    <w:rsid w:val="00501CFD"/>
    <w:rsid w:val="005037B4"/>
    <w:rsid w:val="00504811"/>
    <w:rsid w:val="00504B5E"/>
    <w:rsid w:val="00505269"/>
    <w:rsid w:val="00505B93"/>
    <w:rsid w:val="00505CFF"/>
    <w:rsid w:val="00506FA3"/>
    <w:rsid w:val="00507E64"/>
    <w:rsid w:val="0051069C"/>
    <w:rsid w:val="005114D1"/>
    <w:rsid w:val="00511BD2"/>
    <w:rsid w:val="00511DF4"/>
    <w:rsid w:val="00512F22"/>
    <w:rsid w:val="00513165"/>
    <w:rsid w:val="00514311"/>
    <w:rsid w:val="00514404"/>
    <w:rsid w:val="005147B2"/>
    <w:rsid w:val="00515743"/>
    <w:rsid w:val="00515872"/>
    <w:rsid w:val="005167B1"/>
    <w:rsid w:val="0052064D"/>
    <w:rsid w:val="0052081F"/>
    <w:rsid w:val="00520B44"/>
    <w:rsid w:val="0052151F"/>
    <w:rsid w:val="005215EE"/>
    <w:rsid w:val="00521EBC"/>
    <w:rsid w:val="005221FA"/>
    <w:rsid w:val="005222CC"/>
    <w:rsid w:val="00522396"/>
    <w:rsid w:val="00522BDB"/>
    <w:rsid w:val="00524CC5"/>
    <w:rsid w:val="005255F2"/>
    <w:rsid w:val="00525B47"/>
    <w:rsid w:val="00525F9D"/>
    <w:rsid w:val="00526172"/>
    <w:rsid w:val="00526369"/>
    <w:rsid w:val="005263C4"/>
    <w:rsid w:val="00526E75"/>
    <w:rsid w:val="005272A8"/>
    <w:rsid w:val="005273EF"/>
    <w:rsid w:val="00530E3B"/>
    <w:rsid w:val="00531016"/>
    <w:rsid w:val="005311FA"/>
    <w:rsid w:val="00532551"/>
    <w:rsid w:val="005342C8"/>
    <w:rsid w:val="0053513D"/>
    <w:rsid w:val="00540029"/>
    <w:rsid w:val="00540F3C"/>
    <w:rsid w:val="005419B4"/>
    <w:rsid w:val="00542B3A"/>
    <w:rsid w:val="00544EC9"/>
    <w:rsid w:val="00545E6A"/>
    <w:rsid w:val="00550F81"/>
    <w:rsid w:val="00551714"/>
    <w:rsid w:val="005520BF"/>
    <w:rsid w:val="005527B6"/>
    <w:rsid w:val="00552811"/>
    <w:rsid w:val="00554431"/>
    <w:rsid w:val="00555C32"/>
    <w:rsid w:val="00556814"/>
    <w:rsid w:val="00557D6A"/>
    <w:rsid w:val="00562474"/>
    <w:rsid w:val="00563685"/>
    <w:rsid w:val="00563BDC"/>
    <w:rsid w:val="00563FE5"/>
    <w:rsid w:val="00564721"/>
    <w:rsid w:val="0056598A"/>
    <w:rsid w:val="005660F0"/>
    <w:rsid w:val="0056692A"/>
    <w:rsid w:val="00566997"/>
    <w:rsid w:val="00566F85"/>
    <w:rsid w:val="00567154"/>
    <w:rsid w:val="00570139"/>
    <w:rsid w:val="00570A27"/>
    <w:rsid w:val="00570A2E"/>
    <w:rsid w:val="00572195"/>
    <w:rsid w:val="00572B55"/>
    <w:rsid w:val="00573665"/>
    <w:rsid w:val="0057438B"/>
    <w:rsid w:val="00574B70"/>
    <w:rsid w:val="00575BB2"/>
    <w:rsid w:val="00577B42"/>
    <w:rsid w:val="00580512"/>
    <w:rsid w:val="00580FC0"/>
    <w:rsid w:val="00581C0F"/>
    <w:rsid w:val="00581D99"/>
    <w:rsid w:val="0058214A"/>
    <w:rsid w:val="00582919"/>
    <w:rsid w:val="005833AC"/>
    <w:rsid w:val="0058547C"/>
    <w:rsid w:val="00585902"/>
    <w:rsid w:val="00585A8F"/>
    <w:rsid w:val="00586760"/>
    <w:rsid w:val="00587366"/>
    <w:rsid w:val="005876AF"/>
    <w:rsid w:val="005878DD"/>
    <w:rsid w:val="00587A7A"/>
    <w:rsid w:val="00590BB3"/>
    <w:rsid w:val="00592B9F"/>
    <w:rsid w:val="00594258"/>
    <w:rsid w:val="00595511"/>
    <w:rsid w:val="00597448"/>
    <w:rsid w:val="00597A82"/>
    <w:rsid w:val="00597DE4"/>
    <w:rsid w:val="005A0F1D"/>
    <w:rsid w:val="005A113A"/>
    <w:rsid w:val="005A2A65"/>
    <w:rsid w:val="005A350D"/>
    <w:rsid w:val="005A3513"/>
    <w:rsid w:val="005A3BD7"/>
    <w:rsid w:val="005A51E1"/>
    <w:rsid w:val="005A60BC"/>
    <w:rsid w:val="005A6B67"/>
    <w:rsid w:val="005A7720"/>
    <w:rsid w:val="005A7C7B"/>
    <w:rsid w:val="005B0ABA"/>
    <w:rsid w:val="005B0EC2"/>
    <w:rsid w:val="005B2738"/>
    <w:rsid w:val="005B4711"/>
    <w:rsid w:val="005B4F63"/>
    <w:rsid w:val="005B5C5D"/>
    <w:rsid w:val="005B7C5D"/>
    <w:rsid w:val="005C02E9"/>
    <w:rsid w:val="005C1A74"/>
    <w:rsid w:val="005C1BFB"/>
    <w:rsid w:val="005C1D14"/>
    <w:rsid w:val="005C20B0"/>
    <w:rsid w:val="005C22B5"/>
    <w:rsid w:val="005C2C8B"/>
    <w:rsid w:val="005C3294"/>
    <w:rsid w:val="005C4072"/>
    <w:rsid w:val="005C4817"/>
    <w:rsid w:val="005C4EEC"/>
    <w:rsid w:val="005C540C"/>
    <w:rsid w:val="005C54EF"/>
    <w:rsid w:val="005C637A"/>
    <w:rsid w:val="005C6F55"/>
    <w:rsid w:val="005C74E1"/>
    <w:rsid w:val="005C7B7B"/>
    <w:rsid w:val="005C7CFF"/>
    <w:rsid w:val="005C7FE0"/>
    <w:rsid w:val="005D0083"/>
    <w:rsid w:val="005D00C9"/>
    <w:rsid w:val="005D06E1"/>
    <w:rsid w:val="005D08AC"/>
    <w:rsid w:val="005D115F"/>
    <w:rsid w:val="005D2757"/>
    <w:rsid w:val="005D27DD"/>
    <w:rsid w:val="005D3493"/>
    <w:rsid w:val="005D3845"/>
    <w:rsid w:val="005D3D76"/>
    <w:rsid w:val="005D524A"/>
    <w:rsid w:val="005D5658"/>
    <w:rsid w:val="005D6604"/>
    <w:rsid w:val="005D665B"/>
    <w:rsid w:val="005D78CD"/>
    <w:rsid w:val="005D7EC6"/>
    <w:rsid w:val="005E00EF"/>
    <w:rsid w:val="005E066A"/>
    <w:rsid w:val="005E079B"/>
    <w:rsid w:val="005E29F2"/>
    <w:rsid w:val="005E338F"/>
    <w:rsid w:val="005E4710"/>
    <w:rsid w:val="005E4B46"/>
    <w:rsid w:val="005E6F79"/>
    <w:rsid w:val="005F0812"/>
    <w:rsid w:val="005F0B21"/>
    <w:rsid w:val="005F1310"/>
    <w:rsid w:val="005F34C9"/>
    <w:rsid w:val="005F35E6"/>
    <w:rsid w:val="005F37F3"/>
    <w:rsid w:val="005F403D"/>
    <w:rsid w:val="005F4118"/>
    <w:rsid w:val="005F4746"/>
    <w:rsid w:val="005F5EB5"/>
    <w:rsid w:val="005F62B2"/>
    <w:rsid w:val="005F715E"/>
    <w:rsid w:val="005F7A58"/>
    <w:rsid w:val="006012DC"/>
    <w:rsid w:val="00601BAE"/>
    <w:rsid w:val="00601F5E"/>
    <w:rsid w:val="0060204C"/>
    <w:rsid w:val="006027AA"/>
    <w:rsid w:val="006037DA"/>
    <w:rsid w:val="00604626"/>
    <w:rsid w:val="00604AC3"/>
    <w:rsid w:val="00605D3E"/>
    <w:rsid w:val="0060655B"/>
    <w:rsid w:val="00606CB5"/>
    <w:rsid w:val="00606FE5"/>
    <w:rsid w:val="006071D8"/>
    <w:rsid w:val="0060753C"/>
    <w:rsid w:val="00611107"/>
    <w:rsid w:val="006116DE"/>
    <w:rsid w:val="00611921"/>
    <w:rsid w:val="00611FB6"/>
    <w:rsid w:val="006127AB"/>
    <w:rsid w:val="0061287F"/>
    <w:rsid w:val="00612CB2"/>
    <w:rsid w:val="00612E6D"/>
    <w:rsid w:val="00613297"/>
    <w:rsid w:val="00613980"/>
    <w:rsid w:val="00613B9E"/>
    <w:rsid w:val="00616B24"/>
    <w:rsid w:val="006174EC"/>
    <w:rsid w:val="00620179"/>
    <w:rsid w:val="00620D6C"/>
    <w:rsid w:val="006228BC"/>
    <w:rsid w:val="00622B06"/>
    <w:rsid w:val="0062357F"/>
    <w:rsid w:val="0062365A"/>
    <w:rsid w:val="006238D2"/>
    <w:rsid w:val="0062416F"/>
    <w:rsid w:val="00625557"/>
    <w:rsid w:val="0062622B"/>
    <w:rsid w:val="00627DF5"/>
    <w:rsid w:val="00630609"/>
    <w:rsid w:val="00631337"/>
    <w:rsid w:val="00631A28"/>
    <w:rsid w:val="00633171"/>
    <w:rsid w:val="0063422F"/>
    <w:rsid w:val="00637311"/>
    <w:rsid w:val="006402EE"/>
    <w:rsid w:val="00640A0B"/>
    <w:rsid w:val="006412FD"/>
    <w:rsid w:val="00641AB0"/>
    <w:rsid w:val="00641B7C"/>
    <w:rsid w:val="00642B18"/>
    <w:rsid w:val="00643B42"/>
    <w:rsid w:val="00643D5D"/>
    <w:rsid w:val="00644C6E"/>
    <w:rsid w:val="006460B5"/>
    <w:rsid w:val="00646A08"/>
    <w:rsid w:val="006508C1"/>
    <w:rsid w:val="00651B1B"/>
    <w:rsid w:val="0065212B"/>
    <w:rsid w:val="00654AB8"/>
    <w:rsid w:val="00654CFD"/>
    <w:rsid w:val="006556C8"/>
    <w:rsid w:val="00656B81"/>
    <w:rsid w:val="00657974"/>
    <w:rsid w:val="0066068C"/>
    <w:rsid w:val="00661C3C"/>
    <w:rsid w:val="006624DB"/>
    <w:rsid w:val="00662A48"/>
    <w:rsid w:val="00662B3D"/>
    <w:rsid w:val="00662C69"/>
    <w:rsid w:val="006635D8"/>
    <w:rsid w:val="006638FD"/>
    <w:rsid w:val="00664A70"/>
    <w:rsid w:val="00664F7B"/>
    <w:rsid w:val="006657E8"/>
    <w:rsid w:val="00667011"/>
    <w:rsid w:val="006711DB"/>
    <w:rsid w:val="0067245D"/>
    <w:rsid w:val="006751CA"/>
    <w:rsid w:val="00675AC5"/>
    <w:rsid w:val="006770E9"/>
    <w:rsid w:val="00677556"/>
    <w:rsid w:val="006776F3"/>
    <w:rsid w:val="006803E4"/>
    <w:rsid w:val="0068178C"/>
    <w:rsid w:val="00682B40"/>
    <w:rsid w:val="00684F0B"/>
    <w:rsid w:val="00685D21"/>
    <w:rsid w:val="00685D65"/>
    <w:rsid w:val="00686CD7"/>
    <w:rsid w:val="006870BD"/>
    <w:rsid w:val="00692B64"/>
    <w:rsid w:val="00693427"/>
    <w:rsid w:val="00693EF3"/>
    <w:rsid w:val="00694432"/>
    <w:rsid w:val="00694CAC"/>
    <w:rsid w:val="006950EE"/>
    <w:rsid w:val="0069518A"/>
    <w:rsid w:val="0069585C"/>
    <w:rsid w:val="00696990"/>
    <w:rsid w:val="006969CA"/>
    <w:rsid w:val="006969DF"/>
    <w:rsid w:val="00696EF8"/>
    <w:rsid w:val="006A1EE9"/>
    <w:rsid w:val="006A1FD4"/>
    <w:rsid w:val="006A2B11"/>
    <w:rsid w:val="006A3A04"/>
    <w:rsid w:val="006A430D"/>
    <w:rsid w:val="006A4D91"/>
    <w:rsid w:val="006A5558"/>
    <w:rsid w:val="006A56DE"/>
    <w:rsid w:val="006A6278"/>
    <w:rsid w:val="006A628C"/>
    <w:rsid w:val="006A6958"/>
    <w:rsid w:val="006A6F3A"/>
    <w:rsid w:val="006A78DC"/>
    <w:rsid w:val="006A7D36"/>
    <w:rsid w:val="006B0198"/>
    <w:rsid w:val="006B12E8"/>
    <w:rsid w:val="006B27E5"/>
    <w:rsid w:val="006B290F"/>
    <w:rsid w:val="006B2FD1"/>
    <w:rsid w:val="006B30A8"/>
    <w:rsid w:val="006B4A1C"/>
    <w:rsid w:val="006B52EC"/>
    <w:rsid w:val="006B5BB9"/>
    <w:rsid w:val="006B6E7D"/>
    <w:rsid w:val="006B76FD"/>
    <w:rsid w:val="006C078E"/>
    <w:rsid w:val="006C1570"/>
    <w:rsid w:val="006C2A0E"/>
    <w:rsid w:val="006C341B"/>
    <w:rsid w:val="006C34A4"/>
    <w:rsid w:val="006C3B64"/>
    <w:rsid w:val="006C49B4"/>
    <w:rsid w:val="006C4B8C"/>
    <w:rsid w:val="006C50C2"/>
    <w:rsid w:val="006C563A"/>
    <w:rsid w:val="006C6868"/>
    <w:rsid w:val="006C6AAB"/>
    <w:rsid w:val="006C7573"/>
    <w:rsid w:val="006C7A33"/>
    <w:rsid w:val="006C7BFE"/>
    <w:rsid w:val="006D0309"/>
    <w:rsid w:val="006D158E"/>
    <w:rsid w:val="006D223D"/>
    <w:rsid w:val="006D27EF"/>
    <w:rsid w:val="006D453F"/>
    <w:rsid w:val="006D45A3"/>
    <w:rsid w:val="006D473F"/>
    <w:rsid w:val="006D4B87"/>
    <w:rsid w:val="006D52D1"/>
    <w:rsid w:val="006E1056"/>
    <w:rsid w:val="006E21D4"/>
    <w:rsid w:val="006E27CA"/>
    <w:rsid w:val="006E4010"/>
    <w:rsid w:val="006E47E7"/>
    <w:rsid w:val="006E54D3"/>
    <w:rsid w:val="006E694E"/>
    <w:rsid w:val="006F07F8"/>
    <w:rsid w:val="006F1CC5"/>
    <w:rsid w:val="006F24D3"/>
    <w:rsid w:val="006F27F3"/>
    <w:rsid w:val="006F2894"/>
    <w:rsid w:val="006F2AE2"/>
    <w:rsid w:val="006F2C12"/>
    <w:rsid w:val="006F2F92"/>
    <w:rsid w:val="006F648B"/>
    <w:rsid w:val="006F6E1A"/>
    <w:rsid w:val="006F6FE0"/>
    <w:rsid w:val="006F7AF2"/>
    <w:rsid w:val="00700173"/>
    <w:rsid w:val="0070164E"/>
    <w:rsid w:val="00701F2C"/>
    <w:rsid w:val="007025D1"/>
    <w:rsid w:val="00702F7F"/>
    <w:rsid w:val="00703B76"/>
    <w:rsid w:val="0070401B"/>
    <w:rsid w:val="0070525F"/>
    <w:rsid w:val="00705544"/>
    <w:rsid w:val="00706175"/>
    <w:rsid w:val="00707096"/>
    <w:rsid w:val="007073D4"/>
    <w:rsid w:val="007076FF"/>
    <w:rsid w:val="00707731"/>
    <w:rsid w:val="00707B6F"/>
    <w:rsid w:val="0071011B"/>
    <w:rsid w:val="007114F2"/>
    <w:rsid w:val="0071231D"/>
    <w:rsid w:val="007127CA"/>
    <w:rsid w:val="007127D3"/>
    <w:rsid w:val="007129CF"/>
    <w:rsid w:val="0071459F"/>
    <w:rsid w:val="00714BE3"/>
    <w:rsid w:val="007150D6"/>
    <w:rsid w:val="00715525"/>
    <w:rsid w:val="00716D44"/>
    <w:rsid w:val="007179E1"/>
    <w:rsid w:val="00717B59"/>
    <w:rsid w:val="007207BB"/>
    <w:rsid w:val="00720926"/>
    <w:rsid w:val="00721767"/>
    <w:rsid w:val="00721F66"/>
    <w:rsid w:val="00722530"/>
    <w:rsid w:val="00723247"/>
    <w:rsid w:val="007237BF"/>
    <w:rsid w:val="00724054"/>
    <w:rsid w:val="0072483C"/>
    <w:rsid w:val="00725463"/>
    <w:rsid w:val="007301D7"/>
    <w:rsid w:val="00730D94"/>
    <w:rsid w:val="00731194"/>
    <w:rsid w:val="00731C85"/>
    <w:rsid w:val="00732469"/>
    <w:rsid w:val="00732EA5"/>
    <w:rsid w:val="007335A2"/>
    <w:rsid w:val="00735205"/>
    <w:rsid w:val="0073540B"/>
    <w:rsid w:val="00735965"/>
    <w:rsid w:val="00736B9E"/>
    <w:rsid w:val="00736D69"/>
    <w:rsid w:val="007377E3"/>
    <w:rsid w:val="00740719"/>
    <w:rsid w:val="007408CD"/>
    <w:rsid w:val="00740A75"/>
    <w:rsid w:val="00741C5B"/>
    <w:rsid w:val="007422EF"/>
    <w:rsid w:val="00742974"/>
    <w:rsid w:val="00743C9C"/>
    <w:rsid w:val="00744FE0"/>
    <w:rsid w:val="00746D8D"/>
    <w:rsid w:val="0074727C"/>
    <w:rsid w:val="007472FC"/>
    <w:rsid w:val="00747727"/>
    <w:rsid w:val="007479C2"/>
    <w:rsid w:val="00747F0B"/>
    <w:rsid w:val="00750A80"/>
    <w:rsid w:val="007511D8"/>
    <w:rsid w:val="0075151E"/>
    <w:rsid w:val="007518F2"/>
    <w:rsid w:val="0075265E"/>
    <w:rsid w:val="00752C5E"/>
    <w:rsid w:val="00753D43"/>
    <w:rsid w:val="00753E8F"/>
    <w:rsid w:val="0075440D"/>
    <w:rsid w:val="00755DFC"/>
    <w:rsid w:val="0075650E"/>
    <w:rsid w:val="00756F43"/>
    <w:rsid w:val="00757995"/>
    <w:rsid w:val="0076000F"/>
    <w:rsid w:val="0076072C"/>
    <w:rsid w:val="00760CCF"/>
    <w:rsid w:val="007617AE"/>
    <w:rsid w:val="00761A6A"/>
    <w:rsid w:val="00762E88"/>
    <w:rsid w:val="00764286"/>
    <w:rsid w:val="00764B90"/>
    <w:rsid w:val="00765686"/>
    <w:rsid w:val="00766A89"/>
    <w:rsid w:val="007671BB"/>
    <w:rsid w:val="007674CB"/>
    <w:rsid w:val="00767703"/>
    <w:rsid w:val="00770454"/>
    <w:rsid w:val="00770B33"/>
    <w:rsid w:val="00771243"/>
    <w:rsid w:val="00771337"/>
    <w:rsid w:val="00771FED"/>
    <w:rsid w:val="00772095"/>
    <w:rsid w:val="0077283C"/>
    <w:rsid w:val="00774459"/>
    <w:rsid w:val="00774DFD"/>
    <w:rsid w:val="00775353"/>
    <w:rsid w:val="007760C8"/>
    <w:rsid w:val="00776C3A"/>
    <w:rsid w:val="007805E0"/>
    <w:rsid w:val="0078099A"/>
    <w:rsid w:val="00780DDE"/>
    <w:rsid w:val="00780F1D"/>
    <w:rsid w:val="0078136D"/>
    <w:rsid w:val="00783320"/>
    <w:rsid w:val="007839E7"/>
    <w:rsid w:val="00784F9C"/>
    <w:rsid w:val="00785E0C"/>
    <w:rsid w:val="0078619D"/>
    <w:rsid w:val="00786828"/>
    <w:rsid w:val="00786841"/>
    <w:rsid w:val="00787364"/>
    <w:rsid w:val="00787C28"/>
    <w:rsid w:val="00787DAB"/>
    <w:rsid w:val="00790520"/>
    <w:rsid w:val="00790804"/>
    <w:rsid w:val="007908A0"/>
    <w:rsid w:val="00790D17"/>
    <w:rsid w:val="007914E4"/>
    <w:rsid w:val="007918F9"/>
    <w:rsid w:val="0079378F"/>
    <w:rsid w:val="00793864"/>
    <w:rsid w:val="007940E8"/>
    <w:rsid w:val="0079559C"/>
    <w:rsid w:val="00795745"/>
    <w:rsid w:val="00797148"/>
    <w:rsid w:val="007A1118"/>
    <w:rsid w:val="007A1303"/>
    <w:rsid w:val="007A2C34"/>
    <w:rsid w:val="007A52D0"/>
    <w:rsid w:val="007A53F1"/>
    <w:rsid w:val="007A6016"/>
    <w:rsid w:val="007A6979"/>
    <w:rsid w:val="007A6B9A"/>
    <w:rsid w:val="007A77F5"/>
    <w:rsid w:val="007A7B06"/>
    <w:rsid w:val="007B0020"/>
    <w:rsid w:val="007B0864"/>
    <w:rsid w:val="007B173E"/>
    <w:rsid w:val="007B215C"/>
    <w:rsid w:val="007B2228"/>
    <w:rsid w:val="007B30F3"/>
    <w:rsid w:val="007B3846"/>
    <w:rsid w:val="007B3C8F"/>
    <w:rsid w:val="007B78EF"/>
    <w:rsid w:val="007C0013"/>
    <w:rsid w:val="007C23C4"/>
    <w:rsid w:val="007C37D2"/>
    <w:rsid w:val="007C393A"/>
    <w:rsid w:val="007C3B22"/>
    <w:rsid w:val="007C6C5A"/>
    <w:rsid w:val="007D2A1A"/>
    <w:rsid w:val="007D2E5F"/>
    <w:rsid w:val="007D4253"/>
    <w:rsid w:val="007D4DF3"/>
    <w:rsid w:val="007D572F"/>
    <w:rsid w:val="007D5763"/>
    <w:rsid w:val="007D5DDE"/>
    <w:rsid w:val="007D7EF3"/>
    <w:rsid w:val="007E0A58"/>
    <w:rsid w:val="007E14CE"/>
    <w:rsid w:val="007E2264"/>
    <w:rsid w:val="007E303C"/>
    <w:rsid w:val="007E30F2"/>
    <w:rsid w:val="007E4081"/>
    <w:rsid w:val="007E4090"/>
    <w:rsid w:val="007E4EB2"/>
    <w:rsid w:val="007E5278"/>
    <w:rsid w:val="007E5A18"/>
    <w:rsid w:val="007E6158"/>
    <w:rsid w:val="007E659D"/>
    <w:rsid w:val="007E6643"/>
    <w:rsid w:val="007E68E3"/>
    <w:rsid w:val="007E70D8"/>
    <w:rsid w:val="007F06FB"/>
    <w:rsid w:val="007F0734"/>
    <w:rsid w:val="007F1FB3"/>
    <w:rsid w:val="007F2733"/>
    <w:rsid w:val="007F283E"/>
    <w:rsid w:val="007F3166"/>
    <w:rsid w:val="007F3B89"/>
    <w:rsid w:val="007F42D7"/>
    <w:rsid w:val="007F4490"/>
    <w:rsid w:val="007F4BCC"/>
    <w:rsid w:val="007F54FA"/>
    <w:rsid w:val="007F6CB3"/>
    <w:rsid w:val="007F7690"/>
    <w:rsid w:val="00800647"/>
    <w:rsid w:val="008006A4"/>
    <w:rsid w:val="00801802"/>
    <w:rsid w:val="00804680"/>
    <w:rsid w:val="008053A5"/>
    <w:rsid w:val="00806236"/>
    <w:rsid w:val="0080776C"/>
    <w:rsid w:val="00807C99"/>
    <w:rsid w:val="00807ED7"/>
    <w:rsid w:val="00807FF3"/>
    <w:rsid w:val="0081045B"/>
    <w:rsid w:val="00810508"/>
    <w:rsid w:val="00810C87"/>
    <w:rsid w:val="0081173D"/>
    <w:rsid w:val="00812549"/>
    <w:rsid w:val="00814548"/>
    <w:rsid w:val="008157CA"/>
    <w:rsid w:val="00815CCC"/>
    <w:rsid w:val="008164E8"/>
    <w:rsid w:val="008167F5"/>
    <w:rsid w:val="00816819"/>
    <w:rsid w:val="00817087"/>
    <w:rsid w:val="008200A3"/>
    <w:rsid w:val="0082054B"/>
    <w:rsid w:val="00822C7A"/>
    <w:rsid w:val="008231BF"/>
    <w:rsid w:val="008231DD"/>
    <w:rsid w:val="008231F8"/>
    <w:rsid w:val="00824AF6"/>
    <w:rsid w:val="008251B8"/>
    <w:rsid w:val="00825EAD"/>
    <w:rsid w:val="0082653B"/>
    <w:rsid w:val="0082700E"/>
    <w:rsid w:val="00827015"/>
    <w:rsid w:val="0082743C"/>
    <w:rsid w:val="00830431"/>
    <w:rsid w:val="0083049F"/>
    <w:rsid w:val="00830EF8"/>
    <w:rsid w:val="008314DC"/>
    <w:rsid w:val="0083273C"/>
    <w:rsid w:val="0083332B"/>
    <w:rsid w:val="008334FD"/>
    <w:rsid w:val="008346D3"/>
    <w:rsid w:val="00837056"/>
    <w:rsid w:val="0083780F"/>
    <w:rsid w:val="00837EFE"/>
    <w:rsid w:val="008403BB"/>
    <w:rsid w:val="00840559"/>
    <w:rsid w:val="00840DFB"/>
    <w:rsid w:val="008422B8"/>
    <w:rsid w:val="008424CA"/>
    <w:rsid w:val="00843238"/>
    <w:rsid w:val="00843FEB"/>
    <w:rsid w:val="008440D7"/>
    <w:rsid w:val="008442D9"/>
    <w:rsid w:val="008467A4"/>
    <w:rsid w:val="00846EF6"/>
    <w:rsid w:val="008473FA"/>
    <w:rsid w:val="008478DB"/>
    <w:rsid w:val="00847AE4"/>
    <w:rsid w:val="008505AC"/>
    <w:rsid w:val="0085214E"/>
    <w:rsid w:val="008523BA"/>
    <w:rsid w:val="00852BB9"/>
    <w:rsid w:val="00854F1E"/>
    <w:rsid w:val="008556F6"/>
    <w:rsid w:val="008560F4"/>
    <w:rsid w:val="0085624E"/>
    <w:rsid w:val="0085625E"/>
    <w:rsid w:val="00856E44"/>
    <w:rsid w:val="00857422"/>
    <w:rsid w:val="008601A5"/>
    <w:rsid w:val="008609B2"/>
    <w:rsid w:val="00860B69"/>
    <w:rsid w:val="008615F9"/>
    <w:rsid w:val="00862B5A"/>
    <w:rsid w:val="00862DB1"/>
    <w:rsid w:val="008637BA"/>
    <w:rsid w:val="00864B22"/>
    <w:rsid w:val="00866BC1"/>
    <w:rsid w:val="00866DE8"/>
    <w:rsid w:val="00866F1B"/>
    <w:rsid w:val="00867D0D"/>
    <w:rsid w:val="00870C2F"/>
    <w:rsid w:val="00870D08"/>
    <w:rsid w:val="0087111F"/>
    <w:rsid w:val="00872A7B"/>
    <w:rsid w:val="0087356C"/>
    <w:rsid w:val="00875167"/>
    <w:rsid w:val="008758C7"/>
    <w:rsid w:val="00877472"/>
    <w:rsid w:val="00880095"/>
    <w:rsid w:val="00880236"/>
    <w:rsid w:val="00880BA5"/>
    <w:rsid w:val="00881753"/>
    <w:rsid w:val="008826F4"/>
    <w:rsid w:val="00882DE1"/>
    <w:rsid w:val="00883450"/>
    <w:rsid w:val="008835C6"/>
    <w:rsid w:val="00883659"/>
    <w:rsid w:val="00884511"/>
    <w:rsid w:val="00886F55"/>
    <w:rsid w:val="00891563"/>
    <w:rsid w:val="00892281"/>
    <w:rsid w:val="00892282"/>
    <w:rsid w:val="008929DD"/>
    <w:rsid w:val="0089358F"/>
    <w:rsid w:val="00894303"/>
    <w:rsid w:val="00895D34"/>
    <w:rsid w:val="00896EE5"/>
    <w:rsid w:val="008A0E02"/>
    <w:rsid w:val="008A154E"/>
    <w:rsid w:val="008A2809"/>
    <w:rsid w:val="008A334C"/>
    <w:rsid w:val="008A4B5C"/>
    <w:rsid w:val="008A4B68"/>
    <w:rsid w:val="008A5473"/>
    <w:rsid w:val="008A56FC"/>
    <w:rsid w:val="008A6BCB"/>
    <w:rsid w:val="008A74C2"/>
    <w:rsid w:val="008A79BE"/>
    <w:rsid w:val="008B012D"/>
    <w:rsid w:val="008B2F14"/>
    <w:rsid w:val="008B3B06"/>
    <w:rsid w:val="008B533D"/>
    <w:rsid w:val="008B6281"/>
    <w:rsid w:val="008B6DE0"/>
    <w:rsid w:val="008C2B3C"/>
    <w:rsid w:val="008C41A7"/>
    <w:rsid w:val="008C46F3"/>
    <w:rsid w:val="008C48EB"/>
    <w:rsid w:val="008C52BE"/>
    <w:rsid w:val="008C533D"/>
    <w:rsid w:val="008C57F7"/>
    <w:rsid w:val="008C61EB"/>
    <w:rsid w:val="008C67D3"/>
    <w:rsid w:val="008C6F4D"/>
    <w:rsid w:val="008D02A3"/>
    <w:rsid w:val="008D10FA"/>
    <w:rsid w:val="008D1384"/>
    <w:rsid w:val="008D1DB9"/>
    <w:rsid w:val="008D3591"/>
    <w:rsid w:val="008D3CB5"/>
    <w:rsid w:val="008D6C8D"/>
    <w:rsid w:val="008D6ED2"/>
    <w:rsid w:val="008D6F99"/>
    <w:rsid w:val="008D7A78"/>
    <w:rsid w:val="008D7C45"/>
    <w:rsid w:val="008E022F"/>
    <w:rsid w:val="008E1098"/>
    <w:rsid w:val="008E11CC"/>
    <w:rsid w:val="008E1674"/>
    <w:rsid w:val="008E1E98"/>
    <w:rsid w:val="008E223E"/>
    <w:rsid w:val="008E2971"/>
    <w:rsid w:val="008E2A08"/>
    <w:rsid w:val="008E2E89"/>
    <w:rsid w:val="008E355D"/>
    <w:rsid w:val="008E3756"/>
    <w:rsid w:val="008E4A9E"/>
    <w:rsid w:val="008E4D9D"/>
    <w:rsid w:val="008E6986"/>
    <w:rsid w:val="008E6C1A"/>
    <w:rsid w:val="008E6D05"/>
    <w:rsid w:val="008E7A93"/>
    <w:rsid w:val="008E7F5C"/>
    <w:rsid w:val="008F12E6"/>
    <w:rsid w:val="008F1B10"/>
    <w:rsid w:val="008F4404"/>
    <w:rsid w:val="008F4921"/>
    <w:rsid w:val="008F5D01"/>
    <w:rsid w:val="008F6458"/>
    <w:rsid w:val="008F7071"/>
    <w:rsid w:val="00900350"/>
    <w:rsid w:val="009017D1"/>
    <w:rsid w:val="00902959"/>
    <w:rsid w:val="00902E5A"/>
    <w:rsid w:val="00903058"/>
    <w:rsid w:val="00903242"/>
    <w:rsid w:val="00903BBA"/>
    <w:rsid w:val="009055FD"/>
    <w:rsid w:val="009061D3"/>
    <w:rsid w:val="009062C0"/>
    <w:rsid w:val="00906800"/>
    <w:rsid w:val="009071FE"/>
    <w:rsid w:val="009078EE"/>
    <w:rsid w:val="0091079B"/>
    <w:rsid w:val="00910A8B"/>
    <w:rsid w:val="0091154D"/>
    <w:rsid w:val="0091369F"/>
    <w:rsid w:val="009145A9"/>
    <w:rsid w:val="00915245"/>
    <w:rsid w:val="00915638"/>
    <w:rsid w:val="00915778"/>
    <w:rsid w:val="00915C84"/>
    <w:rsid w:val="009164D0"/>
    <w:rsid w:val="009164DD"/>
    <w:rsid w:val="00916840"/>
    <w:rsid w:val="00917B05"/>
    <w:rsid w:val="009204FF"/>
    <w:rsid w:val="00920F93"/>
    <w:rsid w:val="00921C64"/>
    <w:rsid w:val="0092262C"/>
    <w:rsid w:val="00923DF0"/>
    <w:rsid w:val="00924CEA"/>
    <w:rsid w:val="009256FF"/>
    <w:rsid w:val="00925ED1"/>
    <w:rsid w:val="00925F38"/>
    <w:rsid w:val="009316E9"/>
    <w:rsid w:val="009337EC"/>
    <w:rsid w:val="00933835"/>
    <w:rsid w:val="00934F4D"/>
    <w:rsid w:val="00935B80"/>
    <w:rsid w:val="00935DA0"/>
    <w:rsid w:val="0093734D"/>
    <w:rsid w:val="00937767"/>
    <w:rsid w:val="00940F1B"/>
    <w:rsid w:val="00941637"/>
    <w:rsid w:val="009416A5"/>
    <w:rsid w:val="00941B55"/>
    <w:rsid w:val="00941EEA"/>
    <w:rsid w:val="00942865"/>
    <w:rsid w:val="00943598"/>
    <w:rsid w:val="00943C67"/>
    <w:rsid w:val="00943E93"/>
    <w:rsid w:val="00944729"/>
    <w:rsid w:val="00944E99"/>
    <w:rsid w:val="009466F2"/>
    <w:rsid w:val="00946F09"/>
    <w:rsid w:val="009479FB"/>
    <w:rsid w:val="00947C76"/>
    <w:rsid w:val="00950D1D"/>
    <w:rsid w:val="00951412"/>
    <w:rsid w:val="00951E3A"/>
    <w:rsid w:val="00952DAB"/>
    <w:rsid w:val="00953CDB"/>
    <w:rsid w:val="0095407C"/>
    <w:rsid w:val="0095592C"/>
    <w:rsid w:val="00955AAF"/>
    <w:rsid w:val="009560D1"/>
    <w:rsid w:val="009563A5"/>
    <w:rsid w:val="00957BEC"/>
    <w:rsid w:val="009603D4"/>
    <w:rsid w:val="009606E6"/>
    <w:rsid w:val="00962180"/>
    <w:rsid w:val="00962254"/>
    <w:rsid w:val="00962626"/>
    <w:rsid w:val="00962E79"/>
    <w:rsid w:val="00962F1C"/>
    <w:rsid w:val="00962F40"/>
    <w:rsid w:val="00962F74"/>
    <w:rsid w:val="0096330E"/>
    <w:rsid w:val="00964322"/>
    <w:rsid w:val="009650B1"/>
    <w:rsid w:val="009669BC"/>
    <w:rsid w:val="0096735F"/>
    <w:rsid w:val="00967CE6"/>
    <w:rsid w:val="00967CF8"/>
    <w:rsid w:val="00970865"/>
    <w:rsid w:val="0097117E"/>
    <w:rsid w:val="00971509"/>
    <w:rsid w:val="00971DDF"/>
    <w:rsid w:val="0097236F"/>
    <w:rsid w:val="00972668"/>
    <w:rsid w:val="009727B4"/>
    <w:rsid w:val="00973088"/>
    <w:rsid w:val="0097394F"/>
    <w:rsid w:val="00975311"/>
    <w:rsid w:val="00975AA1"/>
    <w:rsid w:val="00976FF9"/>
    <w:rsid w:val="0098098A"/>
    <w:rsid w:val="00981A0B"/>
    <w:rsid w:val="009824EC"/>
    <w:rsid w:val="00985DA6"/>
    <w:rsid w:val="00986102"/>
    <w:rsid w:val="00991076"/>
    <w:rsid w:val="009924D5"/>
    <w:rsid w:val="0099409F"/>
    <w:rsid w:val="0099482D"/>
    <w:rsid w:val="00995311"/>
    <w:rsid w:val="0099752D"/>
    <w:rsid w:val="009A11F0"/>
    <w:rsid w:val="009A12B4"/>
    <w:rsid w:val="009A1E1D"/>
    <w:rsid w:val="009A5191"/>
    <w:rsid w:val="009A5B51"/>
    <w:rsid w:val="009A6008"/>
    <w:rsid w:val="009A624F"/>
    <w:rsid w:val="009A6CF3"/>
    <w:rsid w:val="009A7623"/>
    <w:rsid w:val="009A7C0D"/>
    <w:rsid w:val="009A7F6A"/>
    <w:rsid w:val="009B03E9"/>
    <w:rsid w:val="009B0749"/>
    <w:rsid w:val="009B0A52"/>
    <w:rsid w:val="009B0F5C"/>
    <w:rsid w:val="009B11D6"/>
    <w:rsid w:val="009B174E"/>
    <w:rsid w:val="009B22B4"/>
    <w:rsid w:val="009B359D"/>
    <w:rsid w:val="009B3636"/>
    <w:rsid w:val="009B3E53"/>
    <w:rsid w:val="009B4043"/>
    <w:rsid w:val="009B4864"/>
    <w:rsid w:val="009B5179"/>
    <w:rsid w:val="009B63CB"/>
    <w:rsid w:val="009B6BB6"/>
    <w:rsid w:val="009B6F16"/>
    <w:rsid w:val="009B6F32"/>
    <w:rsid w:val="009B6F43"/>
    <w:rsid w:val="009B7490"/>
    <w:rsid w:val="009B7CD2"/>
    <w:rsid w:val="009B7E7A"/>
    <w:rsid w:val="009C113B"/>
    <w:rsid w:val="009C19E2"/>
    <w:rsid w:val="009C1E0F"/>
    <w:rsid w:val="009C3553"/>
    <w:rsid w:val="009C501E"/>
    <w:rsid w:val="009C5511"/>
    <w:rsid w:val="009C5718"/>
    <w:rsid w:val="009C573B"/>
    <w:rsid w:val="009C661B"/>
    <w:rsid w:val="009C69B3"/>
    <w:rsid w:val="009C77B3"/>
    <w:rsid w:val="009D12E0"/>
    <w:rsid w:val="009D1B88"/>
    <w:rsid w:val="009D1BD9"/>
    <w:rsid w:val="009D1DDF"/>
    <w:rsid w:val="009D340E"/>
    <w:rsid w:val="009D4727"/>
    <w:rsid w:val="009D4D4F"/>
    <w:rsid w:val="009D542A"/>
    <w:rsid w:val="009D61D9"/>
    <w:rsid w:val="009D76F0"/>
    <w:rsid w:val="009E011D"/>
    <w:rsid w:val="009E1584"/>
    <w:rsid w:val="009E1C30"/>
    <w:rsid w:val="009E3808"/>
    <w:rsid w:val="009E4942"/>
    <w:rsid w:val="009E5D70"/>
    <w:rsid w:val="009F124C"/>
    <w:rsid w:val="009F1480"/>
    <w:rsid w:val="009F1F30"/>
    <w:rsid w:val="009F263F"/>
    <w:rsid w:val="009F37A1"/>
    <w:rsid w:val="009F4284"/>
    <w:rsid w:val="009F50DE"/>
    <w:rsid w:val="009F5506"/>
    <w:rsid w:val="009F65DD"/>
    <w:rsid w:val="009F6F6A"/>
    <w:rsid w:val="009F7BB0"/>
    <w:rsid w:val="00A00BCF"/>
    <w:rsid w:val="00A02044"/>
    <w:rsid w:val="00A02593"/>
    <w:rsid w:val="00A02659"/>
    <w:rsid w:val="00A03005"/>
    <w:rsid w:val="00A050C0"/>
    <w:rsid w:val="00A0510D"/>
    <w:rsid w:val="00A05DE8"/>
    <w:rsid w:val="00A05E8C"/>
    <w:rsid w:val="00A07D84"/>
    <w:rsid w:val="00A1023E"/>
    <w:rsid w:val="00A11773"/>
    <w:rsid w:val="00A13811"/>
    <w:rsid w:val="00A14CAD"/>
    <w:rsid w:val="00A14F46"/>
    <w:rsid w:val="00A1734A"/>
    <w:rsid w:val="00A17BE8"/>
    <w:rsid w:val="00A213E7"/>
    <w:rsid w:val="00A218E5"/>
    <w:rsid w:val="00A219DA"/>
    <w:rsid w:val="00A22284"/>
    <w:rsid w:val="00A235D0"/>
    <w:rsid w:val="00A237F8"/>
    <w:rsid w:val="00A23AB7"/>
    <w:rsid w:val="00A23B93"/>
    <w:rsid w:val="00A2445C"/>
    <w:rsid w:val="00A270BA"/>
    <w:rsid w:val="00A274FA"/>
    <w:rsid w:val="00A30136"/>
    <w:rsid w:val="00A305AB"/>
    <w:rsid w:val="00A31FB2"/>
    <w:rsid w:val="00A325D3"/>
    <w:rsid w:val="00A32602"/>
    <w:rsid w:val="00A3276A"/>
    <w:rsid w:val="00A32959"/>
    <w:rsid w:val="00A3313A"/>
    <w:rsid w:val="00A34054"/>
    <w:rsid w:val="00A3443E"/>
    <w:rsid w:val="00A349D2"/>
    <w:rsid w:val="00A3543C"/>
    <w:rsid w:val="00A35DAF"/>
    <w:rsid w:val="00A36D9A"/>
    <w:rsid w:val="00A37925"/>
    <w:rsid w:val="00A40ACB"/>
    <w:rsid w:val="00A41E4A"/>
    <w:rsid w:val="00A42506"/>
    <w:rsid w:val="00A42BC6"/>
    <w:rsid w:val="00A4327F"/>
    <w:rsid w:val="00A43392"/>
    <w:rsid w:val="00A442C4"/>
    <w:rsid w:val="00A443C1"/>
    <w:rsid w:val="00A45CFF"/>
    <w:rsid w:val="00A462D5"/>
    <w:rsid w:val="00A46F7A"/>
    <w:rsid w:val="00A474C0"/>
    <w:rsid w:val="00A477D0"/>
    <w:rsid w:val="00A50234"/>
    <w:rsid w:val="00A50953"/>
    <w:rsid w:val="00A51747"/>
    <w:rsid w:val="00A518CE"/>
    <w:rsid w:val="00A537A8"/>
    <w:rsid w:val="00A53EDE"/>
    <w:rsid w:val="00A547F4"/>
    <w:rsid w:val="00A558E6"/>
    <w:rsid w:val="00A572BC"/>
    <w:rsid w:val="00A575AA"/>
    <w:rsid w:val="00A5798D"/>
    <w:rsid w:val="00A57F5F"/>
    <w:rsid w:val="00A60016"/>
    <w:rsid w:val="00A607ED"/>
    <w:rsid w:val="00A60F1F"/>
    <w:rsid w:val="00A60FB9"/>
    <w:rsid w:val="00A61E11"/>
    <w:rsid w:val="00A62A60"/>
    <w:rsid w:val="00A63B88"/>
    <w:rsid w:val="00A64EE3"/>
    <w:rsid w:val="00A6564B"/>
    <w:rsid w:val="00A67D28"/>
    <w:rsid w:val="00A70CF3"/>
    <w:rsid w:val="00A715B0"/>
    <w:rsid w:val="00A716C2"/>
    <w:rsid w:val="00A719DE"/>
    <w:rsid w:val="00A72690"/>
    <w:rsid w:val="00A72857"/>
    <w:rsid w:val="00A72A35"/>
    <w:rsid w:val="00A73AB4"/>
    <w:rsid w:val="00A73F54"/>
    <w:rsid w:val="00A743FB"/>
    <w:rsid w:val="00A74E9D"/>
    <w:rsid w:val="00A75EE4"/>
    <w:rsid w:val="00A76BEE"/>
    <w:rsid w:val="00A770CD"/>
    <w:rsid w:val="00A77CCE"/>
    <w:rsid w:val="00A77E4A"/>
    <w:rsid w:val="00A80057"/>
    <w:rsid w:val="00A80550"/>
    <w:rsid w:val="00A80EF4"/>
    <w:rsid w:val="00A81509"/>
    <w:rsid w:val="00A82724"/>
    <w:rsid w:val="00A85A3A"/>
    <w:rsid w:val="00A85DD3"/>
    <w:rsid w:val="00A86004"/>
    <w:rsid w:val="00A8620F"/>
    <w:rsid w:val="00A8677E"/>
    <w:rsid w:val="00A8769A"/>
    <w:rsid w:val="00A87F72"/>
    <w:rsid w:val="00A90030"/>
    <w:rsid w:val="00A9005D"/>
    <w:rsid w:val="00A90873"/>
    <w:rsid w:val="00A90C0A"/>
    <w:rsid w:val="00A91D16"/>
    <w:rsid w:val="00A92889"/>
    <w:rsid w:val="00A92D7D"/>
    <w:rsid w:val="00A941F5"/>
    <w:rsid w:val="00A94982"/>
    <w:rsid w:val="00A94D69"/>
    <w:rsid w:val="00A9576E"/>
    <w:rsid w:val="00A957FE"/>
    <w:rsid w:val="00A97EE2"/>
    <w:rsid w:val="00AA0660"/>
    <w:rsid w:val="00AA0C1B"/>
    <w:rsid w:val="00AA13C2"/>
    <w:rsid w:val="00AA218B"/>
    <w:rsid w:val="00AA223A"/>
    <w:rsid w:val="00AA22A7"/>
    <w:rsid w:val="00AA23F6"/>
    <w:rsid w:val="00AA2A0A"/>
    <w:rsid w:val="00AA384F"/>
    <w:rsid w:val="00AA41CF"/>
    <w:rsid w:val="00AA590E"/>
    <w:rsid w:val="00AA60EE"/>
    <w:rsid w:val="00AA6228"/>
    <w:rsid w:val="00AA69A4"/>
    <w:rsid w:val="00AA736D"/>
    <w:rsid w:val="00AB091A"/>
    <w:rsid w:val="00AB1761"/>
    <w:rsid w:val="00AB258C"/>
    <w:rsid w:val="00AB274F"/>
    <w:rsid w:val="00AB40F5"/>
    <w:rsid w:val="00AB5092"/>
    <w:rsid w:val="00AB6358"/>
    <w:rsid w:val="00AB6BE3"/>
    <w:rsid w:val="00AC07E5"/>
    <w:rsid w:val="00AC10C7"/>
    <w:rsid w:val="00AC13B7"/>
    <w:rsid w:val="00AC1518"/>
    <w:rsid w:val="00AC19BA"/>
    <w:rsid w:val="00AC36D2"/>
    <w:rsid w:val="00AC3F55"/>
    <w:rsid w:val="00AC3F60"/>
    <w:rsid w:val="00AC4137"/>
    <w:rsid w:val="00AC4933"/>
    <w:rsid w:val="00AC547F"/>
    <w:rsid w:val="00AC61A6"/>
    <w:rsid w:val="00AC6585"/>
    <w:rsid w:val="00AC65DD"/>
    <w:rsid w:val="00AC6747"/>
    <w:rsid w:val="00AC7118"/>
    <w:rsid w:val="00AD070E"/>
    <w:rsid w:val="00AD0B3C"/>
    <w:rsid w:val="00AD0E08"/>
    <w:rsid w:val="00AD1BA6"/>
    <w:rsid w:val="00AD4561"/>
    <w:rsid w:val="00AD4FD5"/>
    <w:rsid w:val="00AD51A1"/>
    <w:rsid w:val="00AD528A"/>
    <w:rsid w:val="00AD59D3"/>
    <w:rsid w:val="00AD623D"/>
    <w:rsid w:val="00AD6463"/>
    <w:rsid w:val="00AD7076"/>
    <w:rsid w:val="00AD712F"/>
    <w:rsid w:val="00AE1504"/>
    <w:rsid w:val="00AE28FE"/>
    <w:rsid w:val="00AE49DB"/>
    <w:rsid w:val="00AF1048"/>
    <w:rsid w:val="00AF1979"/>
    <w:rsid w:val="00AF1F04"/>
    <w:rsid w:val="00AF1FE0"/>
    <w:rsid w:val="00AF21E7"/>
    <w:rsid w:val="00AF2E4E"/>
    <w:rsid w:val="00AF3778"/>
    <w:rsid w:val="00AF51AD"/>
    <w:rsid w:val="00AF5838"/>
    <w:rsid w:val="00AF5900"/>
    <w:rsid w:val="00AF62E8"/>
    <w:rsid w:val="00AF6A1C"/>
    <w:rsid w:val="00AF6D87"/>
    <w:rsid w:val="00AF71BA"/>
    <w:rsid w:val="00AF7720"/>
    <w:rsid w:val="00AF77BD"/>
    <w:rsid w:val="00AF78EA"/>
    <w:rsid w:val="00B00E7A"/>
    <w:rsid w:val="00B016F7"/>
    <w:rsid w:val="00B02514"/>
    <w:rsid w:val="00B030C5"/>
    <w:rsid w:val="00B03B3A"/>
    <w:rsid w:val="00B055B9"/>
    <w:rsid w:val="00B061ED"/>
    <w:rsid w:val="00B106C0"/>
    <w:rsid w:val="00B10987"/>
    <w:rsid w:val="00B10BAD"/>
    <w:rsid w:val="00B119B6"/>
    <w:rsid w:val="00B11A97"/>
    <w:rsid w:val="00B124B4"/>
    <w:rsid w:val="00B129B4"/>
    <w:rsid w:val="00B13D85"/>
    <w:rsid w:val="00B1481E"/>
    <w:rsid w:val="00B14CBB"/>
    <w:rsid w:val="00B14D80"/>
    <w:rsid w:val="00B14E74"/>
    <w:rsid w:val="00B16108"/>
    <w:rsid w:val="00B1764D"/>
    <w:rsid w:val="00B177F6"/>
    <w:rsid w:val="00B1786A"/>
    <w:rsid w:val="00B206D8"/>
    <w:rsid w:val="00B2133E"/>
    <w:rsid w:val="00B235B5"/>
    <w:rsid w:val="00B23A7C"/>
    <w:rsid w:val="00B23CBF"/>
    <w:rsid w:val="00B24220"/>
    <w:rsid w:val="00B2441C"/>
    <w:rsid w:val="00B25407"/>
    <w:rsid w:val="00B25AF6"/>
    <w:rsid w:val="00B263B2"/>
    <w:rsid w:val="00B27684"/>
    <w:rsid w:val="00B27805"/>
    <w:rsid w:val="00B30A40"/>
    <w:rsid w:val="00B312C7"/>
    <w:rsid w:val="00B314D6"/>
    <w:rsid w:val="00B315EE"/>
    <w:rsid w:val="00B31E3B"/>
    <w:rsid w:val="00B3289B"/>
    <w:rsid w:val="00B330C8"/>
    <w:rsid w:val="00B33884"/>
    <w:rsid w:val="00B34922"/>
    <w:rsid w:val="00B34A5E"/>
    <w:rsid w:val="00B34BEC"/>
    <w:rsid w:val="00B35C18"/>
    <w:rsid w:val="00B36C00"/>
    <w:rsid w:val="00B37007"/>
    <w:rsid w:val="00B37405"/>
    <w:rsid w:val="00B379A0"/>
    <w:rsid w:val="00B37D77"/>
    <w:rsid w:val="00B401FC"/>
    <w:rsid w:val="00B4182C"/>
    <w:rsid w:val="00B41B33"/>
    <w:rsid w:val="00B42CA6"/>
    <w:rsid w:val="00B44755"/>
    <w:rsid w:val="00B45356"/>
    <w:rsid w:val="00B453A8"/>
    <w:rsid w:val="00B4563D"/>
    <w:rsid w:val="00B45BEB"/>
    <w:rsid w:val="00B477D1"/>
    <w:rsid w:val="00B5126B"/>
    <w:rsid w:val="00B51FEE"/>
    <w:rsid w:val="00B53D1A"/>
    <w:rsid w:val="00B549E4"/>
    <w:rsid w:val="00B54A5F"/>
    <w:rsid w:val="00B54D52"/>
    <w:rsid w:val="00B570AB"/>
    <w:rsid w:val="00B606B7"/>
    <w:rsid w:val="00B60E95"/>
    <w:rsid w:val="00B62B87"/>
    <w:rsid w:val="00B63502"/>
    <w:rsid w:val="00B63636"/>
    <w:rsid w:val="00B644C2"/>
    <w:rsid w:val="00B6455C"/>
    <w:rsid w:val="00B64D8A"/>
    <w:rsid w:val="00B64EF9"/>
    <w:rsid w:val="00B65204"/>
    <w:rsid w:val="00B66075"/>
    <w:rsid w:val="00B678B4"/>
    <w:rsid w:val="00B70791"/>
    <w:rsid w:val="00B71632"/>
    <w:rsid w:val="00B72A61"/>
    <w:rsid w:val="00B73838"/>
    <w:rsid w:val="00B7450B"/>
    <w:rsid w:val="00B74C84"/>
    <w:rsid w:val="00B74D9D"/>
    <w:rsid w:val="00B75548"/>
    <w:rsid w:val="00B77623"/>
    <w:rsid w:val="00B81371"/>
    <w:rsid w:val="00B8193E"/>
    <w:rsid w:val="00B8335E"/>
    <w:rsid w:val="00B83900"/>
    <w:rsid w:val="00B84FED"/>
    <w:rsid w:val="00B85B1C"/>
    <w:rsid w:val="00B8601B"/>
    <w:rsid w:val="00B86C2C"/>
    <w:rsid w:val="00B86D4B"/>
    <w:rsid w:val="00B86E90"/>
    <w:rsid w:val="00B90D3C"/>
    <w:rsid w:val="00B91835"/>
    <w:rsid w:val="00B91FA8"/>
    <w:rsid w:val="00B91FAB"/>
    <w:rsid w:val="00B924C9"/>
    <w:rsid w:val="00B92825"/>
    <w:rsid w:val="00B941D0"/>
    <w:rsid w:val="00B9556A"/>
    <w:rsid w:val="00B95A2F"/>
    <w:rsid w:val="00B95CD2"/>
    <w:rsid w:val="00B95D84"/>
    <w:rsid w:val="00B96464"/>
    <w:rsid w:val="00B96A20"/>
    <w:rsid w:val="00B96A5B"/>
    <w:rsid w:val="00B974B4"/>
    <w:rsid w:val="00BA0169"/>
    <w:rsid w:val="00BA069C"/>
    <w:rsid w:val="00BA0821"/>
    <w:rsid w:val="00BA0AD4"/>
    <w:rsid w:val="00BA10F4"/>
    <w:rsid w:val="00BA1745"/>
    <w:rsid w:val="00BA1C5A"/>
    <w:rsid w:val="00BA34F9"/>
    <w:rsid w:val="00BA3F66"/>
    <w:rsid w:val="00BA4A54"/>
    <w:rsid w:val="00BA56A8"/>
    <w:rsid w:val="00BA61BB"/>
    <w:rsid w:val="00BA62CB"/>
    <w:rsid w:val="00BA75C1"/>
    <w:rsid w:val="00BB17BF"/>
    <w:rsid w:val="00BB2B24"/>
    <w:rsid w:val="00BB30F0"/>
    <w:rsid w:val="00BB3156"/>
    <w:rsid w:val="00BB3E82"/>
    <w:rsid w:val="00BB56F5"/>
    <w:rsid w:val="00BB5B61"/>
    <w:rsid w:val="00BB6662"/>
    <w:rsid w:val="00BB68DC"/>
    <w:rsid w:val="00BC0493"/>
    <w:rsid w:val="00BC09E5"/>
    <w:rsid w:val="00BC0DA6"/>
    <w:rsid w:val="00BC13F7"/>
    <w:rsid w:val="00BC25C5"/>
    <w:rsid w:val="00BC2AAB"/>
    <w:rsid w:val="00BC3150"/>
    <w:rsid w:val="00BC45F2"/>
    <w:rsid w:val="00BC4E4B"/>
    <w:rsid w:val="00BC5BA0"/>
    <w:rsid w:val="00BC69B7"/>
    <w:rsid w:val="00BC755B"/>
    <w:rsid w:val="00BD1B67"/>
    <w:rsid w:val="00BD3BA2"/>
    <w:rsid w:val="00BD3FFB"/>
    <w:rsid w:val="00BD57F9"/>
    <w:rsid w:val="00BD5ACF"/>
    <w:rsid w:val="00BD5FC4"/>
    <w:rsid w:val="00BE00FA"/>
    <w:rsid w:val="00BE0B1A"/>
    <w:rsid w:val="00BE0C95"/>
    <w:rsid w:val="00BE1152"/>
    <w:rsid w:val="00BE15C4"/>
    <w:rsid w:val="00BE203D"/>
    <w:rsid w:val="00BE26B9"/>
    <w:rsid w:val="00BE38BC"/>
    <w:rsid w:val="00BE430D"/>
    <w:rsid w:val="00BE5B14"/>
    <w:rsid w:val="00BE5F02"/>
    <w:rsid w:val="00BE63DC"/>
    <w:rsid w:val="00BE64E4"/>
    <w:rsid w:val="00BE7363"/>
    <w:rsid w:val="00BF01CB"/>
    <w:rsid w:val="00BF0848"/>
    <w:rsid w:val="00BF2854"/>
    <w:rsid w:val="00BF2E2C"/>
    <w:rsid w:val="00BF310D"/>
    <w:rsid w:val="00BF5B19"/>
    <w:rsid w:val="00BF5B55"/>
    <w:rsid w:val="00BF6D83"/>
    <w:rsid w:val="00C00017"/>
    <w:rsid w:val="00C0131F"/>
    <w:rsid w:val="00C020B9"/>
    <w:rsid w:val="00C0217D"/>
    <w:rsid w:val="00C023F8"/>
    <w:rsid w:val="00C02746"/>
    <w:rsid w:val="00C02AAB"/>
    <w:rsid w:val="00C03887"/>
    <w:rsid w:val="00C0515E"/>
    <w:rsid w:val="00C0577F"/>
    <w:rsid w:val="00C05C75"/>
    <w:rsid w:val="00C06DE1"/>
    <w:rsid w:val="00C10372"/>
    <w:rsid w:val="00C126E3"/>
    <w:rsid w:val="00C12D36"/>
    <w:rsid w:val="00C13B9F"/>
    <w:rsid w:val="00C14542"/>
    <w:rsid w:val="00C15336"/>
    <w:rsid w:val="00C16AA8"/>
    <w:rsid w:val="00C16BBA"/>
    <w:rsid w:val="00C201C1"/>
    <w:rsid w:val="00C20722"/>
    <w:rsid w:val="00C21141"/>
    <w:rsid w:val="00C2139F"/>
    <w:rsid w:val="00C2181B"/>
    <w:rsid w:val="00C220D2"/>
    <w:rsid w:val="00C226DB"/>
    <w:rsid w:val="00C22F9F"/>
    <w:rsid w:val="00C23941"/>
    <w:rsid w:val="00C24339"/>
    <w:rsid w:val="00C24682"/>
    <w:rsid w:val="00C26954"/>
    <w:rsid w:val="00C26A5C"/>
    <w:rsid w:val="00C271AA"/>
    <w:rsid w:val="00C279AD"/>
    <w:rsid w:val="00C27CBC"/>
    <w:rsid w:val="00C3089B"/>
    <w:rsid w:val="00C30F98"/>
    <w:rsid w:val="00C3112A"/>
    <w:rsid w:val="00C318B7"/>
    <w:rsid w:val="00C31C9D"/>
    <w:rsid w:val="00C31CF1"/>
    <w:rsid w:val="00C34285"/>
    <w:rsid w:val="00C35103"/>
    <w:rsid w:val="00C35483"/>
    <w:rsid w:val="00C378D3"/>
    <w:rsid w:val="00C40C91"/>
    <w:rsid w:val="00C41F8A"/>
    <w:rsid w:val="00C42CAD"/>
    <w:rsid w:val="00C43270"/>
    <w:rsid w:val="00C43B2C"/>
    <w:rsid w:val="00C440BE"/>
    <w:rsid w:val="00C44212"/>
    <w:rsid w:val="00C45BF0"/>
    <w:rsid w:val="00C45FA0"/>
    <w:rsid w:val="00C46026"/>
    <w:rsid w:val="00C46471"/>
    <w:rsid w:val="00C50D78"/>
    <w:rsid w:val="00C5279D"/>
    <w:rsid w:val="00C5394F"/>
    <w:rsid w:val="00C53F0C"/>
    <w:rsid w:val="00C5487B"/>
    <w:rsid w:val="00C55302"/>
    <w:rsid w:val="00C553B6"/>
    <w:rsid w:val="00C559EF"/>
    <w:rsid w:val="00C55E7B"/>
    <w:rsid w:val="00C56C71"/>
    <w:rsid w:val="00C56FDA"/>
    <w:rsid w:val="00C571C2"/>
    <w:rsid w:val="00C57782"/>
    <w:rsid w:val="00C6051A"/>
    <w:rsid w:val="00C616EE"/>
    <w:rsid w:val="00C61DCA"/>
    <w:rsid w:val="00C61E8D"/>
    <w:rsid w:val="00C6220B"/>
    <w:rsid w:val="00C6469C"/>
    <w:rsid w:val="00C6595D"/>
    <w:rsid w:val="00C66059"/>
    <w:rsid w:val="00C66443"/>
    <w:rsid w:val="00C66C67"/>
    <w:rsid w:val="00C67920"/>
    <w:rsid w:val="00C7024C"/>
    <w:rsid w:val="00C7173D"/>
    <w:rsid w:val="00C71E96"/>
    <w:rsid w:val="00C733E9"/>
    <w:rsid w:val="00C73C25"/>
    <w:rsid w:val="00C74F56"/>
    <w:rsid w:val="00C750A0"/>
    <w:rsid w:val="00C76080"/>
    <w:rsid w:val="00C76498"/>
    <w:rsid w:val="00C76908"/>
    <w:rsid w:val="00C776E5"/>
    <w:rsid w:val="00C80542"/>
    <w:rsid w:val="00C80991"/>
    <w:rsid w:val="00C80BE8"/>
    <w:rsid w:val="00C80EFB"/>
    <w:rsid w:val="00C81097"/>
    <w:rsid w:val="00C82422"/>
    <w:rsid w:val="00C83A91"/>
    <w:rsid w:val="00C84237"/>
    <w:rsid w:val="00C84A05"/>
    <w:rsid w:val="00C851D9"/>
    <w:rsid w:val="00C86964"/>
    <w:rsid w:val="00C87160"/>
    <w:rsid w:val="00C90BE5"/>
    <w:rsid w:val="00C90C75"/>
    <w:rsid w:val="00C910AC"/>
    <w:rsid w:val="00C9357D"/>
    <w:rsid w:val="00C943C3"/>
    <w:rsid w:val="00C9486B"/>
    <w:rsid w:val="00C953BE"/>
    <w:rsid w:val="00C9545D"/>
    <w:rsid w:val="00C978B2"/>
    <w:rsid w:val="00CA063C"/>
    <w:rsid w:val="00CA06D5"/>
    <w:rsid w:val="00CA18ED"/>
    <w:rsid w:val="00CA1D49"/>
    <w:rsid w:val="00CA2180"/>
    <w:rsid w:val="00CA257C"/>
    <w:rsid w:val="00CA2A54"/>
    <w:rsid w:val="00CA2D3F"/>
    <w:rsid w:val="00CA414B"/>
    <w:rsid w:val="00CA4910"/>
    <w:rsid w:val="00CA5074"/>
    <w:rsid w:val="00CA5844"/>
    <w:rsid w:val="00CA5A42"/>
    <w:rsid w:val="00CA5B37"/>
    <w:rsid w:val="00CA6AD4"/>
    <w:rsid w:val="00CA7144"/>
    <w:rsid w:val="00CA7507"/>
    <w:rsid w:val="00CB00F7"/>
    <w:rsid w:val="00CB10EB"/>
    <w:rsid w:val="00CB1899"/>
    <w:rsid w:val="00CB1A83"/>
    <w:rsid w:val="00CB1FB3"/>
    <w:rsid w:val="00CB2B6B"/>
    <w:rsid w:val="00CB3600"/>
    <w:rsid w:val="00CB44F3"/>
    <w:rsid w:val="00CB4A46"/>
    <w:rsid w:val="00CB4AB4"/>
    <w:rsid w:val="00CB4C1C"/>
    <w:rsid w:val="00CB55FC"/>
    <w:rsid w:val="00CB6AAB"/>
    <w:rsid w:val="00CB7A22"/>
    <w:rsid w:val="00CC0815"/>
    <w:rsid w:val="00CC0EA9"/>
    <w:rsid w:val="00CC360E"/>
    <w:rsid w:val="00CC3656"/>
    <w:rsid w:val="00CC41A7"/>
    <w:rsid w:val="00CC5686"/>
    <w:rsid w:val="00CC5FB0"/>
    <w:rsid w:val="00CC6748"/>
    <w:rsid w:val="00CC75C5"/>
    <w:rsid w:val="00CD10E5"/>
    <w:rsid w:val="00CD1D4E"/>
    <w:rsid w:val="00CD2745"/>
    <w:rsid w:val="00CD3360"/>
    <w:rsid w:val="00CD3580"/>
    <w:rsid w:val="00CD39B5"/>
    <w:rsid w:val="00CD4082"/>
    <w:rsid w:val="00CD5B84"/>
    <w:rsid w:val="00CD5C1E"/>
    <w:rsid w:val="00CD641E"/>
    <w:rsid w:val="00CD7511"/>
    <w:rsid w:val="00CD76D4"/>
    <w:rsid w:val="00CD7893"/>
    <w:rsid w:val="00CD79C0"/>
    <w:rsid w:val="00CD7DDD"/>
    <w:rsid w:val="00CE270B"/>
    <w:rsid w:val="00CE3ACB"/>
    <w:rsid w:val="00CE40D1"/>
    <w:rsid w:val="00CE57DE"/>
    <w:rsid w:val="00CE630A"/>
    <w:rsid w:val="00CE6F37"/>
    <w:rsid w:val="00CE7E6A"/>
    <w:rsid w:val="00CF0074"/>
    <w:rsid w:val="00CF1291"/>
    <w:rsid w:val="00CF1ADD"/>
    <w:rsid w:val="00CF1F77"/>
    <w:rsid w:val="00CF26CB"/>
    <w:rsid w:val="00CF377E"/>
    <w:rsid w:val="00CF3B06"/>
    <w:rsid w:val="00CF6781"/>
    <w:rsid w:val="00CF6D7A"/>
    <w:rsid w:val="00CF7E7C"/>
    <w:rsid w:val="00D0063D"/>
    <w:rsid w:val="00D00672"/>
    <w:rsid w:val="00D0201A"/>
    <w:rsid w:val="00D02A31"/>
    <w:rsid w:val="00D0365A"/>
    <w:rsid w:val="00D03FEC"/>
    <w:rsid w:val="00D054ED"/>
    <w:rsid w:val="00D062B8"/>
    <w:rsid w:val="00D0686D"/>
    <w:rsid w:val="00D06C36"/>
    <w:rsid w:val="00D10089"/>
    <w:rsid w:val="00D11B56"/>
    <w:rsid w:val="00D12A22"/>
    <w:rsid w:val="00D13690"/>
    <w:rsid w:val="00D13CD2"/>
    <w:rsid w:val="00D143D7"/>
    <w:rsid w:val="00D1644D"/>
    <w:rsid w:val="00D16490"/>
    <w:rsid w:val="00D16EEC"/>
    <w:rsid w:val="00D1727F"/>
    <w:rsid w:val="00D172C0"/>
    <w:rsid w:val="00D216FA"/>
    <w:rsid w:val="00D23509"/>
    <w:rsid w:val="00D24775"/>
    <w:rsid w:val="00D24E56"/>
    <w:rsid w:val="00D250C4"/>
    <w:rsid w:val="00D25359"/>
    <w:rsid w:val="00D26A4E"/>
    <w:rsid w:val="00D270E2"/>
    <w:rsid w:val="00D2734A"/>
    <w:rsid w:val="00D273F8"/>
    <w:rsid w:val="00D30C4C"/>
    <w:rsid w:val="00D32A2E"/>
    <w:rsid w:val="00D341E6"/>
    <w:rsid w:val="00D3451C"/>
    <w:rsid w:val="00D3572E"/>
    <w:rsid w:val="00D35986"/>
    <w:rsid w:val="00D35E27"/>
    <w:rsid w:val="00D36173"/>
    <w:rsid w:val="00D36631"/>
    <w:rsid w:val="00D3789A"/>
    <w:rsid w:val="00D41301"/>
    <w:rsid w:val="00D41E2D"/>
    <w:rsid w:val="00D43146"/>
    <w:rsid w:val="00D4338A"/>
    <w:rsid w:val="00D43578"/>
    <w:rsid w:val="00D43AAD"/>
    <w:rsid w:val="00D44181"/>
    <w:rsid w:val="00D451D1"/>
    <w:rsid w:val="00D45B8C"/>
    <w:rsid w:val="00D46D9C"/>
    <w:rsid w:val="00D4793C"/>
    <w:rsid w:val="00D50842"/>
    <w:rsid w:val="00D521BF"/>
    <w:rsid w:val="00D5273B"/>
    <w:rsid w:val="00D53A58"/>
    <w:rsid w:val="00D53DA0"/>
    <w:rsid w:val="00D547D2"/>
    <w:rsid w:val="00D54CA2"/>
    <w:rsid w:val="00D5594A"/>
    <w:rsid w:val="00D55B7A"/>
    <w:rsid w:val="00D573A8"/>
    <w:rsid w:val="00D57969"/>
    <w:rsid w:val="00D57990"/>
    <w:rsid w:val="00D6024B"/>
    <w:rsid w:val="00D60281"/>
    <w:rsid w:val="00D608A1"/>
    <w:rsid w:val="00D60E1C"/>
    <w:rsid w:val="00D6131A"/>
    <w:rsid w:val="00D622AB"/>
    <w:rsid w:val="00D624E8"/>
    <w:rsid w:val="00D62A2E"/>
    <w:rsid w:val="00D6497C"/>
    <w:rsid w:val="00D64B5C"/>
    <w:rsid w:val="00D65068"/>
    <w:rsid w:val="00D67455"/>
    <w:rsid w:val="00D7234D"/>
    <w:rsid w:val="00D732AE"/>
    <w:rsid w:val="00D74208"/>
    <w:rsid w:val="00D74CC9"/>
    <w:rsid w:val="00D751F4"/>
    <w:rsid w:val="00D755D6"/>
    <w:rsid w:val="00D7574D"/>
    <w:rsid w:val="00D75A42"/>
    <w:rsid w:val="00D76A91"/>
    <w:rsid w:val="00D779DF"/>
    <w:rsid w:val="00D808C3"/>
    <w:rsid w:val="00D809C7"/>
    <w:rsid w:val="00D8144C"/>
    <w:rsid w:val="00D8246A"/>
    <w:rsid w:val="00D830A4"/>
    <w:rsid w:val="00D83C17"/>
    <w:rsid w:val="00D847AA"/>
    <w:rsid w:val="00D84CDE"/>
    <w:rsid w:val="00D85016"/>
    <w:rsid w:val="00D85797"/>
    <w:rsid w:val="00D85885"/>
    <w:rsid w:val="00D87652"/>
    <w:rsid w:val="00D9132D"/>
    <w:rsid w:val="00D91506"/>
    <w:rsid w:val="00D91522"/>
    <w:rsid w:val="00D91BFE"/>
    <w:rsid w:val="00D9298F"/>
    <w:rsid w:val="00D92AAF"/>
    <w:rsid w:val="00D954C6"/>
    <w:rsid w:val="00D9554E"/>
    <w:rsid w:val="00D9641E"/>
    <w:rsid w:val="00D96DB8"/>
    <w:rsid w:val="00D97019"/>
    <w:rsid w:val="00DA00B7"/>
    <w:rsid w:val="00DA13A4"/>
    <w:rsid w:val="00DA2BD5"/>
    <w:rsid w:val="00DA2F08"/>
    <w:rsid w:val="00DA3F70"/>
    <w:rsid w:val="00DA4776"/>
    <w:rsid w:val="00DA52E1"/>
    <w:rsid w:val="00DA5697"/>
    <w:rsid w:val="00DA59C7"/>
    <w:rsid w:val="00DA6CB2"/>
    <w:rsid w:val="00DA70CC"/>
    <w:rsid w:val="00DA7126"/>
    <w:rsid w:val="00DB372E"/>
    <w:rsid w:val="00DB39BF"/>
    <w:rsid w:val="00DB4BEF"/>
    <w:rsid w:val="00DB6CC6"/>
    <w:rsid w:val="00DB710F"/>
    <w:rsid w:val="00DB75A1"/>
    <w:rsid w:val="00DB7EEC"/>
    <w:rsid w:val="00DC0C55"/>
    <w:rsid w:val="00DC0C9A"/>
    <w:rsid w:val="00DC1000"/>
    <w:rsid w:val="00DC10FA"/>
    <w:rsid w:val="00DC121D"/>
    <w:rsid w:val="00DC2347"/>
    <w:rsid w:val="00DC3181"/>
    <w:rsid w:val="00DC34B2"/>
    <w:rsid w:val="00DC38AC"/>
    <w:rsid w:val="00DC3A65"/>
    <w:rsid w:val="00DC4246"/>
    <w:rsid w:val="00DC4550"/>
    <w:rsid w:val="00DC4FE1"/>
    <w:rsid w:val="00DC62F6"/>
    <w:rsid w:val="00DC6AEA"/>
    <w:rsid w:val="00DC6FF3"/>
    <w:rsid w:val="00DC77CE"/>
    <w:rsid w:val="00DD03D3"/>
    <w:rsid w:val="00DD11C6"/>
    <w:rsid w:val="00DD16BF"/>
    <w:rsid w:val="00DD25E2"/>
    <w:rsid w:val="00DD2628"/>
    <w:rsid w:val="00DD45C1"/>
    <w:rsid w:val="00DD5EC6"/>
    <w:rsid w:val="00DD6E22"/>
    <w:rsid w:val="00DE00D7"/>
    <w:rsid w:val="00DE015A"/>
    <w:rsid w:val="00DE156E"/>
    <w:rsid w:val="00DE236C"/>
    <w:rsid w:val="00DE28A7"/>
    <w:rsid w:val="00DE329E"/>
    <w:rsid w:val="00DE3ABB"/>
    <w:rsid w:val="00DE3D8D"/>
    <w:rsid w:val="00DE5DB4"/>
    <w:rsid w:val="00DE70DC"/>
    <w:rsid w:val="00DE74C8"/>
    <w:rsid w:val="00DF1D76"/>
    <w:rsid w:val="00DF2328"/>
    <w:rsid w:val="00DF241E"/>
    <w:rsid w:val="00DF2421"/>
    <w:rsid w:val="00DF265C"/>
    <w:rsid w:val="00DF32B0"/>
    <w:rsid w:val="00DF3FA2"/>
    <w:rsid w:val="00DF64E7"/>
    <w:rsid w:val="00DF6625"/>
    <w:rsid w:val="00DF6687"/>
    <w:rsid w:val="00DF7384"/>
    <w:rsid w:val="00E0068A"/>
    <w:rsid w:val="00E007C2"/>
    <w:rsid w:val="00E00812"/>
    <w:rsid w:val="00E01739"/>
    <w:rsid w:val="00E01CE3"/>
    <w:rsid w:val="00E02777"/>
    <w:rsid w:val="00E028C6"/>
    <w:rsid w:val="00E03246"/>
    <w:rsid w:val="00E03C0E"/>
    <w:rsid w:val="00E04848"/>
    <w:rsid w:val="00E050EB"/>
    <w:rsid w:val="00E05D8B"/>
    <w:rsid w:val="00E0682B"/>
    <w:rsid w:val="00E12D1C"/>
    <w:rsid w:val="00E1380C"/>
    <w:rsid w:val="00E15453"/>
    <w:rsid w:val="00E15875"/>
    <w:rsid w:val="00E15B5E"/>
    <w:rsid w:val="00E1688C"/>
    <w:rsid w:val="00E16A8F"/>
    <w:rsid w:val="00E16EE5"/>
    <w:rsid w:val="00E229C8"/>
    <w:rsid w:val="00E239DF"/>
    <w:rsid w:val="00E25E9A"/>
    <w:rsid w:val="00E269C7"/>
    <w:rsid w:val="00E26DF5"/>
    <w:rsid w:val="00E276BA"/>
    <w:rsid w:val="00E30BDE"/>
    <w:rsid w:val="00E3130C"/>
    <w:rsid w:val="00E31ED5"/>
    <w:rsid w:val="00E32A4E"/>
    <w:rsid w:val="00E32DDF"/>
    <w:rsid w:val="00E336A7"/>
    <w:rsid w:val="00E33A5A"/>
    <w:rsid w:val="00E3446C"/>
    <w:rsid w:val="00E3447E"/>
    <w:rsid w:val="00E348A7"/>
    <w:rsid w:val="00E349A0"/>
    <w:rsid w:val="00E34C57"/>
    <w:rsid w:val="00E34CE5"/>
    <w:rsid w:val="00E37DA6"/>
    <w:rsid w:val="00E412B2"/>
    <w:rsid w:val="00E41937"/>
    <w:rsid w:val="00E41B88"/>
    <w:rsid w:val="00E43ABE"/>
    <w:rsid w:val="00E44129"/>
    <w:rsid w:val="00E44326"/>
    <w:rsid w:val="00E445BD"/>
    <w:rsid w:val="00E4515A"/>
    <w:rsid w:val="00E4515C"/>
    <w:rsid w:val="00E46D50"/>
    <w:rsid w:val="00E46F12"/>
    <w:rsid w:val="00E479A1"/>
    <w:rsid w:val="00E47F13"/>
    <w:rsid w:val="00E50804"/>
    <w:rsid w:val="00E51942"/>
    <w:rsid w:val="00E519E1"/>
    <w:rsid w:val="00E53122"/>
    <w:rsid w:val="00E531DF"/>
    <w:rsid w:val="00E53334"/>
    <w:rsid w:val="00E53654"/>
    <w:rsid w:val="00E5461E"/>
    <w:rsid w:val="00E549F5"/>
    <w:rsid w:val="00E563A0"/>
    <w:rsid w:val="00E5713E"/>
    <w:rsid w:val="00E573EE"/>
    <w:rsid w:val="00E609BA"/>
    <w:rsid w:val="00E6120E"/>
    <w:rsid w:val="00E61CB9"/>
    <w:rsid w:val="00E62066"/>
    <w:rsid w:val="00E627D0"/>
    <w:rsid w:val="00E62DAE"/>
    <w:rsid w:val="00E63062"/>
    <w:rsid w:val="00E63879"/>
    <w:rsid w:val="00E63EE9"/>
    <w:rsid w:val="00E65E2E"/>
    <w:rsid w:val="00E67EB7"/>
    <w:rsid w:val="00E70E9E"/>
    <w:rsid w:val="00E70F06"/>
    <w:rsid w:val="00E70FF1"/>
    <w:rsid w:val="00E727B7"/>
    <w:rsid w:val="00E730AA"/>
    <w:rsid w:val="00E73F81"/>
    <w:rsid w:val="00E74768"/>
    <w:rsid w:val="00E74B72"/>
    <w:rsid w:val="00E7543C"/>
    <w:rsid w:val="00E76C6B"/>
    <w:rsid w:val="00E76CD1"/>
    <w:rsid w:val="00E76F52"/>
    <w:rsid w:val="00E76FF6"/>
    <w:rsid w:val="00E80A23"/>
    <w:rsid w:val="00E821D0"/>
    <w:rsid w:val="00E829E3"/>
    <w:rsid w:val="00E82C38"/>
    <w:rsid w:val="00E83DCC"/>
    <w:rsid w:val="00E83F4A"/>
    <w:rsid w:val="00E84957"/>
    <w:rsid w:val="00E850FE"/>
    <w:rsid w:val="00E863D2"/>
    <w:rsid w:val="00E866E1"/>
    <w:rsid w:val="00E86EF4"/>
    <w:rsid w:val="00E875D4"/>
    <w:rsid w:val="00E87C8A"/>
    <w:rsid w:val="00E90F63"/>
    <w:rsid w:val="00E916C4"/>
    <w:rsid w:val="00E91722"/>
    <w:rsid w:val="00E92247"/>
    <w:rsid w:val="00E92503"/>
    <w:rsid w:val="00E9259B"/>
    <w:rsid w:val="00E933E5"/>
    <w:rsid w:val="00E9344C"/>
    <w:rsid w:val="00E93AF1"/>
    <w:rsid w:val="00E93E0F"/>
    <w:rsid w:val="00E94AB9"/>
    <w:rsid w:val="00E96CC9"/>
    <w:rsid w:val="00E96ECF"/>
    <w:rsid w:val="00E9707E"/>
    <w:rsid w:val="00E97A45"/>
    <w:rsid w:val="00EA07CD"/>
    <w:rsid w:val="00EA0983"/>
    <w:rsid w:val="00EA3DBA"/>
    <w:rsid w:val="00EA3E0B"/>
    <w:rsid w:val="00EA4144"/>
    <w:rsid w:val="00EA5392"/>
    <w:rsid w:val="00EA5995"/>
    <w:rsid w:val="00EA5A2F"/>
    <w:rsid w:val="00EA5A8E"/>
    <w:rsid w:val="00EA6454"/>
    <w:rsid w:val="00EA6C23"/>
    <w:rsid w:val="00EA7936"/>
    <w:rsid w:val="00EA795F"/>
    <w:rsid w:val="00EB00DC"/>
    <w:rsid w:val="00EB10A3"/>
    <w:rsid w:val="00EB1559"/>
    <w:rsid w:val="00EB1B46"/>
    <w:rsid w:val="00EB1EF0"/>
    <w:rsid w:val="00EB249B"/>
    <w:rsid w:val="00EB291A"/>
    <w:rsid w:val="00EB407D"/>
    <w:rsid w:val="00EB40DC"/>
    <w:rsid w:val="00EB4847"/>
    <w:rsid w:val="00EC02B8"/>
    <w:rsid w:val="00EC1BBC"/>
    <w:rsid w:val="00EC2B2B"/>
    <w:rsid w:val="00EC2D3F"/>
    <w:rsid w:val="00EC336C"/>
    <w:rsid w:val="00EC3605"/>
    <w:rsid w:val="00EC3934"/>
    <w:rsid w:val="00EC393C"/>
    <w:rsid w:val="00EC3A5F"/>
    <w:rsid w:val="00EC45D5"/>
    <w:rsid w:val="00EC4C3A"/>
    <w:rsid w:val="00EC5429"/>
    <w:rsid w:val="00EC55D0"/>
    <w:rsid w:val="00EC5946"/>
    <w:rsid w:val="00EC5B7B"/>
    <w:rsid w:val="00EC6B26"/>
    <w:rsid w:val="00EC6B99"/>
    <w:rsid w:val="00EC7352"/>
    <w:rsid w:val="00ED03B7"/>
    <w:rsid w:val="00ED188B"/>
    <w:rsid w:val="00ED1E03"/>
    <w:rsid w:val="00ED24E7"/>
    <w:rsid w:val="00ED25C2"/>
    <w:rsid w:val="00ED27E8"/>
    <w:rsid w:val="00ED3F83"/>
    <w:rsid w:val="00ED49B6"/>
    <w:rsid w:val="00ED5AFF"/>
    <w:rsid w:val="00EE107C"/>
    <w:rsid w:val="00EE272C"/>
    <w:rsid w:val="00EE36EB"/>
    <w:rsid w:val="00EE38DA"/>
    <w:rsid w:val="00EE3E9C"/>
    <w:rsid w:val="00EE42CA"/>
    <w:rsid w:val="00EE4760"/>
    <w:rsid w:val="00EE4F6A"/>
    <w:rsid w:val="00EE5A21"/>
    <w:rsid w:val="00EE6E2F"/>
    <w:rsid w:val="00EE7F91"/>
    <w:rsid w:val="00EF026E"/>
    <w:rsid w:val="00EF13C1"/>
    <w:rsid w:val="00EF151B"/>
    <w:rsid w:val="00EF18EF"/>
    <w:rsid w:val="00EF1BA3"/>
    <w:rsid w:val="00EF285F"/>
    <w:rsid w:val="00EF58D4"/>
    <w:rsid w:val="00EF5E91"/>
    <w:rsid w:val="00EF6658"/>
    <w:rsid w:val="00EF740B"/>
    <w:rsid w:val="00EF74B6"/>
    <w:rsid w:val="00EF7758"/>
    <w:rsid w:val="00F00988"/>
    <w:rsid w:val="00F01C37"/>
    <w:rsid w:val="00F01EEC"/>
    <w:rsid w:val="00F03378"/>
    <w:rsid w:val="00F03EAB"/>
    <w:rsid w:val="00F04044"/>
    <w:rsid w:val="00F0417B"/>
    <w:rsid w:val="00F042F9"/>
    <w:rsid w:val="00F04547"/>
    <w:rsid w:val="00F046C8"/>
    <w:rsid w:val="00F05EAC"/>
    <w:rsid w:val="00F06AF6"/>
    <w:rsid w:val="00F0752D"/>
    <w:rsid w:val="00F076C4"/>
    <w:rsid w:val="00F0788E"/>
    <w:rsid w:val="00F079FA"/>
    <w:rsid w:val="00F07DFB"/>
    <w:rsid w:val="00F108EF"/>
    <w:rsid w:val="00F1111B"/>
    <w:rsid w:val="00F1131A"/>
    <w:rsid w:val="00F11BDE"/>
    <w:rsid w:val="00F147C6"/>
    <w:rsid w:val="00F16C21"/>
    <w:rsid w:val="00F20251"/>
    <w:rsid w:val="00F2045B"/>
    <w:rsid w:val="00F214E5"/>
    <w:rsid w:val="00F21DBF"/>
    <w:rsid w:val="00F21F44"/>
    <w:rsid w:val="00F22806"/>
    <w:rsid w:val="00F22F84"/>
    <w:rsid w:val="00F23C7C"/>
    <w:rsid w:val="00F2474A"/>
    <w:rsid w:val="00F24BC3"/>
    <w:rsid w:val="00F25266"/>
    <w:rsid w:val="00F26CAB"/>
    <w:rsid w:val="00F2706D"/>
    <w:rsid w:val="00F27C1E"/>
    <w:rsid w:val="00F27E74"/>
    <w:rsid w:val="00F30690"/>
    <w:rsid w:val="00F3166D"/>
    <w:rsid w:val="00F323E5"/>
    <w:rsid w:val="00F3265B"/>
    <w:rsid w:val="00F331ED"/>
    <w:rsid w:val="00F336C8"/>
    <w:rsid w:val="00F34201"/>
    <w:rsid w:val="00F34622"/>
    <w:rsid w:val="00F34BB7"/>
    <w:rsid w:val="00F366EA"/>
    <w:rsid w:val="00F3693F"/>
    <w:rsid w:val="00F36B6B"/>
    <w:rsid w:val="00F37C94"/>
    <w:rsid w:val="00F4003C"/>
    <w:rsid w:val="00F40DEF"/>
    <w:rsid w:val="00F41CC3"/>
    <w:rsid w:val="00F41E88"/>
    <w:rsid w:val="00F42D31"/>
    <w:rsid w:val="00F42FB3"/>
    <w:rsid w:val="00F452A0"/>
    <w:rsid w:val="00F458B2"/>
    <w:rsid w:val="00F468DB"/>
    <w:rsid w:val="00F469F5"/>
    <w:rsid w:val="00F46E03"/>
    <w:rsid w:val="00F474F9"/>
    <w:rsid w:val="00F51118"/>
    <w:rsid w:val="00F51D89"/>
    <w:rsid w:val="00F523D6"/>
    <w:rsid w:val="00F52DE5"/>
    <w:rsid w:val="00F5370B"/>
    <w:rsid w:val="00F53DA1"/>
    <w:rsid w:val="00F54C8D"/>
    <w:rsid w:val="00F56189"/>
    <w:rsid w:val="00F5623F"/>
    <w:rsid w:val="00F56F2D"/>
    <w:rsid w:val="00F5759B"/>
    <w:rsid w:val="00F6079C"/>
    <w:rsid w:val="00F60C62"/>
    <w:rsid w:val="00F617F1"/>
    <w:rsid w:val="00F62B08"/>
    <w:rsid w:val="00F6714B"/>
    <w:rsid w:val="00F67946"/>
    <w:rsid w:val="00F71078"/>
    <w:rsid w:val="00F71ECB"/>
    <w:rsid w:val="00F724B1"/>
    <w:rsid w:val="00F72CF5"/>
    <w:rsid w:val="00F739E9"/>
    <w:rsid w:val="00F73A6F"/>
    <w:rsid w:val="00F750A8"/>
    <w:rsid w:val="00F75720"/>
    <w:rsid w:val="00F760B3"/>
    <w:rsid w:val="00F763FC"/>
    <w:rsid w:val="00F76679"/>
    <w:rsid w:val="00F76F4F"/>
    <w:rsid w:val="00F77AAD"/>
    <w:rsid w:val="00F77F03"/>
    <w:rsid w:val="00F801DD"/>
    <w:rsid w:val="00F81D39"/>
    <w:rsid w:val="00F83DD3"/>
    <w:rsid w:val="00F85205"/>
    <w:rsid w:val="00F85237"/>
    <w:rsid w:val="00F86951"/>
    <w:rsid w:val="00F8702D"/>
    <w:rsid w:val="00F876BB"/>
    <w:rsid w:val="00F878C9"/>
    <w:rsid w:val="00F9000A"/>
    <w:rsid w:val="00F92781"/>
    <w:rsid w:val="00F936ED"/>
    <w:rsid w:val="00F93EBF"/>
    <w:rsid w:val="00F95826"/>
    <w:rsid w:val="00F959DA"/>
    <w:rsid w:val="00F97457"/>
    <w:rsid w:val="00F97ABA"/>
    <w:rsid w:val="00FA03E6"/>
    <w:rsid w:val="00FA053B"/>
    <w:rsid w:val="00FA11F7"/>
    <w:rsid w:val="00FA32A8"/>
    <w:rsid w:val="00FA5AE3"/>
    <w:rsid w:val="00FA6568"/>
    <w:rsid w:val="00FA71CA"/>
    <w:rsid w:val="00FA73DD"/>
    <w:rsid w:val="00FB095B"/>
    <w:rsid w:val="00FB104E"/>
    <w:rsid w:val="00FB13C2"/>
    <w:rsid w:val="00FB1EFB"/>
    <w:rsid w:val="00FB2637"/>
    <w:rsid w:val="00FB26A1"/>
    <w:rsid w:val="00FB2CB2"/>
    <w:rsid w:val="00FB3261"/>
    <w:rsid w:val="00FB33E4"/>
    <w:rsid w:val="00FB38D2"/>
    <w:rsid w:val="00FB68AC"/>
    <w:rsid w:val="00FB73E6"/>
    <w:rsid w:val="00FC03B8"/>
    <w:rsid w:val="00FC0874"/>
    <w:rsid w:val="00FC1719"/>
    <w:rsid w:val="00FC2005"/>
    <w:rsid w:val="00FC4456"/>
    <w:rsid w:val="00FC4A20"/>
    <w:rsid w:val="00FC5DF8"/>
    <w:rsid w:val="00FC6E56"/>
    <w:rsid w:val="00FC7E40"/>
    <w:rsid w:val="00FD0568"/>
    <w:rsid w:val="00FD09AE"/>
    <w:rsid w:val="00FD0F3D"/>
    <w:rsid w:val="00FD2612"/>
    <w:rsid w:val="00FD2EDF"/>
    <w:rsid w:val="00FD323A"/>
    <w:rsid w:val="00FD34D4"/>
    <w:rsid w:val="00FD37D4"/>
    <w:rsid w:val="00FD42D6"/>
    <w:rsid w:val="00FD6929"/>
    <w:rsid w:val="00FE07B1"/>
    <w:rsid w:val="00FE0A65"/>
    <w:rsid w:val="00FE2025"/>
    <w:rsid w:val="00FE2651"/>
    <w:rsid w:val="00FE2E18"/>
    <w:rsid w:val="00FE3061"/>
    <w:rsid w:val="00FE3472"/>
    <w:rsid w:val="00FE4107"/>
    <w:rsid w:val="00FE43FB"/>
    <w:rsid w:val="00FE4473"/>
    <w:rsid w:val="00FE46D3"/>
    <w:rsid w:val="00FE49E3"/>
    <w:rsid w:val="00FE6020"/>
    <w:rsid w:val="00FE64CC"/>
    <w:rsid w:val="00FE676C"/>
    <w:rsid w:val="00FE7BB2"/>
    <w:rsid w:val="00FE7E0D"/>
    <w:rsid w:val="00FF0101"/>
    <w:rsid w:val="00FF03C2"/>
    <w:rsid w:val="00FF0E51"/>
    <w:rsid w:val="00FF11A9"/>
    <w:rsid w:val="00FF21D2"/>
    <w:rsid w:val="00FF502B"/>
    <w:rsid w:val="00FF5310"/>
    <w:rsid w:val="00FF5374"/>
    <w:rsid w:val="00FF5C73"/>
    <w:rsid w:val="00FF5EE9"/>
    <w:rsid w:val="00FF69A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7A4418CD"/>
  <w15:docId w15:val="{E340492B-E509-4D59-BDAA-E69FDCD03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F214E5"/>
    <w:pPr>
      <w:keepNext/>
      <w:keepLines/>
      <w:spacing w:before="240" w:line="259" w:lineRule="auto"/>
      <w:outlineLvl w:val="0"/>
    </w:pPr>
    <w:rPr>
      <w:rFonts w:ascii="Palatino Linotype" w:eastAsiaTheme="majorEastAsia" w:hAnsi="Palatino Linotype" w:cstheme="majorBidi"/>
      <w:b/>
      <w:color w:val="000000" w:themeColor="text1"/>
      <w:szCs w:val="32"/>
      <w:lang w:val="es-MX" w:eastAsia="en-US"/>
    </w:rPr>
  </w:style>
  <w:style w:type="paragraph" w:styleId="Ttulo2">
    <w:name w:val="heading 2"/>
    <w:basedOn w:val="Normal"/>
    <w:next w:val="Normal"/>
    <w:link w:val="Ttulo2Car"/>
    <w:uiPriority w:val="9"/>
    <w:unhideWhenUsed/>
    <w:qFormat/>
    <w:rsid w:val="008E2E89"/>
    <w:pPr>
      <w:keepNext/>
      <w:keepLines/>
      <w:spacing w:before="40" w:line="259" w:lineRule="auto"/>
      <w:outlineLvl w:val="1"/>
    </w:pPr>
    <w:rPr>
      <w:rFonts w:ascii="Palatino Linotype" w:eastAsiaTheme="majorEastAsia" w:hAnsi="Palatino Linotype" w:cstheme="majorBidi"/>
      <w:b/>
      <w:color w:val="000000" w:themeColor="text1"/>
      <w:szCs w:val="26"/>
      <w:lang w:val="es-MX" w:eastAsia="en-US"/>
    </w:rPr>
  </w:style>
  <w:style w:type="paragraph" w:styleId="Ttulo3">
    <w:name w:val="heading 3"/>
    <w:basedOn w:val="Normal"/>
    <w:next w:val="Normal"/>
    <w:link w:val="Ttulo3Car"/>
    <w:uiPriority w:val="9"/>
    <w:unhideWhenUsed/>
    <w:qFormat/>
    <w:rsid w:val="004D215D"/>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D55B7A"/>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8826F4"/>
    <w:pPr>
      <w:tabs>
        <w:tab w:val="right" w:leader="dot" w:pos="8779"/>
      </w:tabs>
      <w:spacing w:after="100" w:line="360" w:lineRule="auto"/>
      <w:ind w:left="284"/>
    </w:pPr>
  </w:style>
  <w:style w:type="paragraph" w:styleId="TDC2">
    <w:name w:val="toc 2"/>
    <w:basedOn w:val="Normal"/>
    <w:next w:val="Normal"/>
    <w:autoRedefine/>
    <w:uiPriority w:val="39"/>
    <w:unhideWhenUsed/>
    <w:rsid w:val="00A60F1F"/>
    <w:pPr>
      <w:tabs>
        <w:tab w:val="right" w:leader="dot" w:pos="8779"/>
      </w:tabs>
      <w:spacing w:after="100" w:line="360" w:lineRule="auto"/>
      <w:ind w:left="284"/>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F214E5"/>
    <w:rPr>
      <w:rFonts w:ascii="Palatino Linotype" w:eastAsiaTheme="majorEastAsia" w:hAnsi="Palatino Linotype" w:cstheme="majorBidi"/>
      <w:b/>
      <w:color w:val="000000" w:themeColor="text1"/>
      <w:szCs w:val="32"/>
      <w:lang w:val="es-MX" w:eastAsia="en-US"/>
    </w:rPr>
  </w:style>
  <w:style w:type="character" w:customStyle="1" w:styleId="Ttulo2Car">
    <w:name w:val="Título 2 Car"/>
    <w:basedOn w:val="Fuentedeprrafopredeter"/>
    <w:link w:val="Ttulo2"/>
    <w:uiPriority w:val="9"/>
    <w:rsid w:val="008E2E89"/>
    <w:rPr>
      <w:rFonts w:ascii="Palatino Linotype" w:eastAsiaTheme="majorEastAsia" w:hAnsi="Palatino Linotype" w:cstheme="majorBidi"/>
      <w:b/>
      <w:color w:val="000000" w:themeColor="text1"/>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CD7893"/>
    <w:pPr>
      <w:outlineLvl w:val="9"/>
    </w:pPr>
    <w:rPr>
      <w:lang w:eastAsia="es-MX"/>
    </w:rPr>
  </w:style>
  <w:style w:type="character" w:styleId="Hipervnculovisitado">
    <w:name w:val="FollowedHyperlink"/>
    <w:basedOn w:val="Fuentedeprrafopredeter"/>
    <w:uiPriority w:val="99"/>
    <w:semiHidden/>
    <w:unhideWhenUsed/>
    <w:rsid w:val="00A575AA"/>
    <w:rPr>
      <w:color w:val="800080" w:themeColor="followedHyperlink"/>
      <w:u w:val="single"/>
    </w:rPr>
  </w:style>
  <w:style w:type="paragraph" w:customStyle="1" w:styleId="Default">
    <w:name w:val="Default"/>
    <w:rsid w:val="00946F09"/>
    <w:pPr>
      <w:autoSpaceDE w:val="0"/>
      <w:autoSpaceDN w:val="0"/>
      <w:adjustRightInd w:val="0"/>
    </w:pPr>
    <w:rPr>
      <w:rFonts w:ascii="Palatino Linotype" w:eastAsiaTheme="minorHAnsi" w:hAnsi="Palatino Linotype" w:cs="Palatino Linotype"/>
      <w:color w:val="000000"/>
      <w:lang w:val="es-MX" w:eastAsia="en-US"/>
    </w:rPr>
  </w:style>
  <w:style w:type="paragraph" w:styleId="NormalWeb">
    <w:name w:val="Normal (Web)"/>
    <w:basedOn w:val="Normal"/>
    <w:uiPriority w:val="99"/>
    <w:unhideWhenUsed/>
    <w:rsid w:val="0033477F"/>
    <w:pPr>
      <w:spacing w:before="100" w:beforeAutospacing="1" w:after="100" w:afterAutospacing="1"/>
    </w:pPr>
    <w:rPr>
      <w:rFonts w:ascii="Times New Roman" w:eastAsia="Times New Roman" w:hAnsi="Times New Roman" w:cs="Times New Roman"/>
      <w:lang w:val="es-ES"/>
    </w:rPr>
  </w:style>
  <w:style w:type="character" w:customStyle="1" w:styleId="nacep">
    <w:name w:val="n_acep"/>
    <w:basedOn w:val="Fuentedeprrafopredeter"/>
    <w:rsid w:val="0033477F"/>
  </w:style>
  <w:style w:type="character" w:customStyle="1" w:styleId="apple-style-span">
    <w:name w:val="apple-style-span"/>
    <w:rsid w:val="00E53334"/>
  </w:style>
  <w:style w:type="paragraph" w:customStyle="1" w:styleId="FootnoteTextCharCharChar1">
    <w:name w:val="Footnote Text Char Char Char1"/>
    <w:basedOn w:val="Normal"/>
    <w:next w:val="Textonotapie"/>
    <w:unhideWhenUsed/>
    <w:rsid w:val="00A4327F"/>
    <w:rPr>
      <w:rFonts w:eastAsia="Cambria"/>
      <w:sz w:val="20"/>
      <w:szCs w:val="20"/>
      <w:lang w:val="es-MX" w:eastAsia="en-US"/>
    </w:rPr>
  </w:style>
  <w:style w:type="character" w:customStyle="1" w:styleId="il">
    <w:name w:val="il"/>
    <w:basedOn w:val="Fuentedeprrafopredeter"/>
    <w:rsid w:val="0052151F"/>
  </w:style>
  <w:style w:type="character" w:customStyle="1" w:styleId="Ttulo3Car">
    <w:name w:val="Título 3 Car"/>
    <w:basedOn w:val="Fuentedeprrafopredeter"/>
    <w:link w:val="Ttulo3"/>
    <w:uiPriority w:val="9"/>
    <w:rsid w:val="004D215D"/>
    <w:rPr>
      <w:rFonts w:asciiTheme="majorHAnsi" w:eastAsiaTheme="majorEastAsia" w:hAnsiTheme="majorHAnsi" w:cstheme="majorBidi"/>
      <w:color w:val="243F60" w:themeColor="accent1" w:themeShade="7F"/>
    </w:rPr>
  </w:style>
  <w:style w:type="paragraph" w:styleId="TDC3">
    <w:name w:val="toc 3"/>
    <w:basedOn w:val="Normal"/>
    <w:next w:val="Normal"/>
    <w:autoRedefine/>
    <w:uiPriority w:val="39"/>
    <w:unhideWhenUsed/>
    <w:rsid w:val="00756F43"/>
    <w:pPr>
      <w:spacing w:after="100"/>
      <w:ind w:left="480"/>
    </w:pPr>
  </w:style>
  <w:style w:type="paragraph" w:styleId="Textoindependiente2">
    <w:name w:val="Body Text 2"/>
    <w:basedOn w:val="Normal"/>
    <w:link w:val="Textoindependiente2Car"/>
    <w:uiPriority w:val="99"/>
    <w:semiHidden/>
    <w:unhideWhenUsed/>
    <w:rsid w:val="00967CE6"/>
    <w:pPr>
      <w:spacing w:after="120" w:line="480" w:lineRule="auto"/>
    </w:pPr>
  </w:style>
  <w:style w:type="character" w:customStyle="1" w:styleId="Textoindependiente2Car">
    <w:name w:val="Texto independiente 2 Car"/>
    <w:basedOn w:val="Fuentedeprrafopredeter"/>
    <w:link w:val="Textoindependiente2"/>
    <w:uiPriority w:val="99"/>
    <w:semiHidden/>
    <w:rsid w:val="00967CE6"/>
  </w:style>
  <w:style w:type="character" w:styleId="Textoennegrita">
    <w:name w:val="Strong"/>
    <w:uiPriority w:val="22"/>
    <w:qFormat/>
    <w:rsid w:val="009C113B"/>
    <w:rPr>
      <w:b/>
      <w:bCs/>
    </w:rPr>
  </w:style>
  <w:style w:type="character" w:customStyle="1" w:styleId="SinespaciadoCar">
    <w:name w:val="Sin espaciado Car"/>
    <w:aliases w:val="Francesa Car"/>
    <w:link w:val="Sinespaciado"/>
    <w:uiPriority w:val="1"/>
    <w:locked/>
    <w:rsid w:val="009C113B"/>
  </w:style>
  <w:style w:type="paragraph" w:customStyle="1" w:styleId="q">
    <w:name w:val="q"/>
    <w:basedOn w:val="Normal"/>
    <w:rsid w:val="00732EA5"/>
    <w:pPr>
      <w:spacing w:before="100" w:beforeAutospacing="1" w:after="100" w:afterAutospacing="1"/>
    </w:pPr>
    <w:rPr>
      <w:rFonts w:ascii="Times New Roman" w:eastAsia="Times New Roman" w:hAnsi="Times New Roman" w:cs="Times New Roman"/>
      <w:lang w:val="es-MX" w:eastAsia="es-MX"/>
    </w:rPr>
  </w:style>
  <w:style w:type="character" w:customStyle="1" w:styleId="k">
    <w:name w:val="k"/>
    <w:basedOn w:val="Fuentedeprrafopredeter"/>
    <w:rsid w:val="00732EA5"/>
  </w:style>
  <w:style w:type="character" w:customStyle="1" w:styleId="h">
    <w:name w:val="h"/>
    <w:basedOn w:val="Fuentedeprrafopredeter"/>
    <w:rsid w:val="00732EA5"/>
  </w:style>
  <w:style w:type="character" w:customStyle="1" w:styleId="titulorubrolgt">
    <w:name w:val="titulorubrolgt"/>
    <w:basedOn w:val="Fuentedeprrafopredeter"/>
    <w:rsid w:val="00CA063C"/>
  </w:style>
  <w:style w:type="character" w:customStyle="1" w:styleId="ctr">
    <w:name w:val="ctr"/>
    <w:basedOn w:val="Fuentedeprrafopredeter"/>
    <w:rsid w:val="00CA063C"/>
  </w:style>
  <w:style w:type="paragraph" w:customStyle="1" w:styleId="Textonotapie1">
    <w:name w:val="Texto nota pie1"/>
    <w:basedOn w:val="Normal"/>
    <w:next w:val="Textonotapie"/>
    <w:uiPriority w:val="99"/>
    <w:unhideWhenUsed/>
    <w:rsid w:val="00EC6B99"/>
    <w:rPr>
      <w:rFonts w:eastAsia="Cambria"/>
      <w:sz w:val="20"/>
      <w:szCs w:val="20"/>
      <w:lang w:val="es-MX" w:eastAsia="en-US"/>
    </w:rPr>
  </w:style>
  <w:style w:type="paragraph" w:customStyle="1" w:styleId="n2">
    <w:name w:val="n2"/>
    <w:basedOn w:val="Normal"/>
    <w:rsid w:val="009E1584"/>
    <w:pPr>
      <w:spacing w:before="100" w:beforeAutospacing="1" w:after="100" w:afterAutospacing="1"/>
    </w:pPr>
    <w:rPr>
      <w:rFonts w:ascii="Times New Roman" w:eastAsia="Times New Roman" w:hAnsi="Times New Roman" w:cs="Times New Roman"/>
      <w:lang w:val="es-MX" w:eastAsia="es-MX"/>
    </w:rPr>
  </w:style>
  <w:style w:type="character" w:styleId="nfasis">
    <w:name w:val="Emphasis"/>
    <w:basedOn w:val="Fuentedeprrafopredeter"/>
    <w:uiPriority w:val="20"/>
    <w:qFormat/>
    <w:rsid w:val="009E1584"/>
    <w:rPr>
      <w:i/>
      <w:iCs/>
    </w:rPr>
  </w:style>
  <w:style w:type="paragraph" w:customStyle="1" w:styleId="j">
    <w:name w:val="j"/>
    <w:basedOn w:val="Normal"/>
    <w:rsid w:val="009E1584"/>
    <w:pPr>
      <w:spacing w:before="100" w:beforeAutospacing="1" w:after="100" w:afterAutospacing="1"/>
    </w:pPr>
    <w:rPr>
      <w:rFonts w:ascii="Times New Roman" w:eastAsia="Times New Roman" w:hAnsi="Times New Roman" w:cs="Times New Roman"/>
      <w:lang w:val="es-MX" w:eastAsia="es-MX"/>
    </w:rPr>
  </w:style>
  <w:style w:type="paragraph" w:customStyle="1" w:styleId="j1">
    <w:name w:val="j1"/>
    <w:basedOn w:val="Normal"/>
    <w:rsid w:val="009E1584"/>
    <w:pPr>
      <w:spacing w:before="100" w:beforeAutospacing="1" w:after="100" w:afterAutospacing="1"/>
    </w:pPr>
    <w:rPr>
      <w:rFonts w:ascii="Times New Roman" w:eastAsia="Times New Roman" w:hAnsi="Times New Roman" w:cs="Times New Roman"/>
      <w:lang w:val="es-MX" w:eastAsia="es-MX"/>
    </w:rPr>
  </w:style>
  <w:style w:type="table" w:customStyle="1" w:styleId="Cuadrculadetablaclara1">
    <w:name w:val="Cuadrícula de tabla clara1"/>
    <w:basedOn w:val="Tablanormal"/>
    <w:uiPriority w:val="40"/>
    <w:rsid w:val="00226E61"/>
    <w:rPr>
      <w:rFonts w:eastAsiaTheme="minorHAnsi"/>
      <w:sz w:val="22"/>
      <w:szCs w:val="22"/>
      <w:lang w:val="es-MX"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Texto">
    <w:name w:val="Texto"/>
    <w:basedOn w:val="Normal"/>
    <w:link w:val="TextoCar"/>
    <w:rsid w:val="00041C72"/>
    <w:pPr>
      <w:spacing w:after="101" w:line="216" w:lineRule="exact"/>
      <w:ind w:firstLine="288"/>
      <w:jc w:val="both"/>
    </w:pPr>
    <w:rPr>
      <w:rFonts w:ascii="Arial" w:eastAsia="Times New Roman" w:hAnsi="Arial" w:cs="Arial"/>
      <w:sz w:val="18"/>
      <w:szCs w:val="20"/>
      <w:lang w:val="es-ES"/>
    </w:rPr>
  </w:style>
  <w:style w:type="character" w:customStyle="1" w:styleId="TextoCar">
    <w:name w:val="Texto Car"/>
    <w:link w:val="Texto"/>
    <w:locked/>
    <w:rsid w:val="00041C72"/>
    <w:rPr>
      <w:rFonts w:ascii="Arial" w:eastAsia="Times New Roman" w:hAnsi="Arial" w:cs="Arial"/>
      <w:sz w:val="18"/>
      <w:szCs w:val="20"/>
      <w:lang w:val="es-ES"/>
    </w:rPr>
  </w:style>
  <w:style w:type="paragraph" w:styleId="Textosinformato">
    <w:name w:val="Plain Text"/>
    <w:basedOn w:val="Normal"/>
    <w:link w:val="TextosinformatoCar"/>
    <w:rsid w:val="00D4338A"/>
    <w:rPr>
      <w:rFonts w:ascii="Courier New" w:eastAsia="Times New Roman" w:hAnsi="Courier New" w:cs="Times New Roman"/>
      <w:sz w:val="20"/>
      <w:szCs w:val="20"/>
      <w:lang w:val="es-ES"/>
    </w:rPr>
  </w:style>
  <w:style w:type="character" w:customStyle="1" w:styleId="TextosinformatoCar">
    <w:name w:val="Texto sin formato Car"/>
    <w:basedOn w:val="Fuentedeprrafopredeter"/>
    <w:link w:val="Textosinformato"/>
    <w:uiPriority w:val="99"/>
    <w:rsid w:val="00D4338A"/>
    <w:rPr>
      <w:rFonts w:ascii="Courier New" w:eastAsia="Times New Roman" w:hAnsi="Courier New" w:cs="Times New Roman"/>
      <w:sz w:val="20"/>
      <w:szCs w:val="20"/>
      <w:lang w:val="es-ES"/>
    </w:rPr>
  </w:style>
  <w:style w:type="table" w:styleId="Tablanormal1">
    <w:name w:val="Plain Table 1"/>
    <w:basedOn w:val="Tablanormal"/>
    <w:uiPriority w:val="41"/>
    <w:rsid w:val="00962626"/>
    <w:rPr>
      <w:rFonts w:eastAsiaTheme="minorHAnsi"/>
      <w:sz w:val="22"/>
      <w:szCs w:val="22"/>
      <w:lang w:val="es-MX"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3468294172500300143gmail-msolistparagraph">
    <w:name w:val="m_3468294172500300143gmail-msolistparagraph"/>
    <w:basedOn w:val="Normal"/>
    <w:rsid w:val="00480BA2"/>
    <w:pPr>
      <w:spacing w:before="100" w:beforeAutospacing="1" w:after="100" w:afterAutospacing="1"/>
    </w:pPr>
    <w:rPr>
      <w:rFonts w:ascii="Times New Roman" w:eastAsia="Times New Roman" w:hAnsi="Times New Roman" w:cs="Times New Roman"/>
      <w:lang w:val="es-MX" w:eastAsia="es-MX"/>
    </w:rPr>
  </w:style>
  <w:style w:type="paragraph" w:customStyle="1" w:styleId="m7640689326625126977gmail-msolistparagraph">
    <w:name w:val="m_7640689326625126977gmail-msolistparagraph"/>
    <w:basedOn w:val="Normal"/>
    <w:rsid w:val="00631337"/>
    <w:pPr>
      <w:spacing w:before="100" w:beforeAutospacing="1" w:after="100" w:afterAutospacing="1"/>
    </w:pPr>
    <w:rPr>
      <w:rFonts w:ascii="Times New Roman" w:eastAsia="Times New Roman" w:hAnsi="Times New Roman" w:cs="Times New Roman"/>
      <w:lang w:val="es-MX" w:eastAsia="es-MX"/>
    </w:rPr>
  </w:style>
  <w:style w:type="character" w:customStyle="1" w:styleId="stytxtare">
    <w:name w:val="stytxtare"/>
    <w:rsid w:val="005B0EC2"/>
  </w:style>
  <w:style w:type="character" w:customStyle="1" w:styleId="Ttulo4Car">
    <w:name w:val="Título 4 Car"/>
    <w:basedOn w:val="Fuentedeprrafopredeter"/>
    <w:link w:val="Ttulo4"/>
    <w:uiPriority w:val="9"/>
    <w:rsid w:val="00D55B7A"/>
    <w:rPr>
      <w:rFonts w:asciiTheme="majorHAnsi" w:eastAsiaTheme="majorEastAsia" w:hAnsiTheme="majorHAnsi" w:cstheme="majorBidi"/>
      <w:i/>
      <w:iCs/>
      <w:color w:val="365F91" w:themeColor="accent1" w:themeShade="BF"/>
    </w:rPr>
  </w:style>
  <w:style w:type="paragraph" w:customStyle="1" w:styleId="paragraph">
    <w:name w:val="paragraph"/>
    <w:basedOn w:val="Normal"/>
    <w:rsid w:val="00BC13F7"/>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msolistparagraph">
    <w:name w:val="m_-698976158124685028gmail-msolistparagraph"/>
    <w:basedOn w:val="Normal"/>
    <w:rsid w:val="00580512"/>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default">
    <w:name w:val="m_-698976158124685028gmail-default"/>
    <w:basedOn w:val="Normal"/>
    <w:rsid w:val="00580512"/>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m483811427706604298gmail-msolistparagraph">
    <w:name w:val="m_-698976158124685028gmail-m483811427706604298gmail-msolistparagraph"/>
    <w:basedOn w:val="Normal"/>
    <w:rsid w:val="00580512"/>
    <w:pPr>
      <w:spacing w:before="100" w:beforeAutospacing="1" w:after="100" w:afterAutospacing="1"/>
    </w:pPr>
    <w:rPr>
      <w:rFonts w:ascii="Times New Roman" w:eastAsia="Times New Roman" w:hAnsi="Times New Roman" w:cs="Times New Roman"/>
      <w:lang w:val="es-MX" w:eastAsia="es-MX"/>
    </w:rPr>
  </w:style>
  <w:style w:type="paragraph" w:customStyle="1" w:styleId="m-698976158124685028gmail-msonormal">
    <w:name w:val="m_-698976158124685028gmail-msonormal"/>
    <w:basedOn w:val="Normal"/>
    <w:rsid w:val="00580512"/>
    <w:pPr>
      <w:spacing w:before="100" w:beforeAutospacing="1" w:after="100" w:afterAutospacing="1"/>
    </w:pPr>
    <w:rPr>
      <w:rFonts w:ascii="Times New Roman" w:eastAsia="Times New Roman" w:hAnsi="Times New Roman" w:cs="Times New Roman"/>
      <w:lang w:val="es-MX" w:eastAsia="es-MX"/>
    </w:rPr>
  </w:style>
  <w:style w:type="character" w:customStyle="1" w:styleId="m-698976158124685028gmail-apple-converted-space">
    <w:name w:val="m_-698976158124685028gmail-apple-converted-space"/>
    <w:basedOn w:val="Fuentedeprrafopredeter"/>
    <w:rsid w:val="005805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71494">
      <w:bodyDiv w:val="1"/>
      <w:marLeft w:val="0"/>
      <w:marRight w:val="0"/>
      <w:marTop w:val="0"/>
      <w:marBottom w:val="0"/>
      <w:divBdr>
        <w:top w:val="none" w:sz="0" w:space="0" w:color="auto"/>
        <w:left w:val="none" w:sz="0" w:space="0" w:color="auto"/>
        <w:bottom w:val="none" w:sz="0" w:space="0" w:color="auto"/>
        <w:right w:val="none" w:sz="0" w:space="0" w:color="auto"/>
      </w:divBdr>
      <w:divsChild>
        <w:div w:id="2014993391">
          <w:marLeft w:val="0"/>
          <w:marRight w:val="0"/>
          <w:marTop w:val="0"/>
          <w:marBottom w:val="240"/>
          <w:divBdr>
            <w:top w:val="none" w:sz="0" w:space="0" w:color="auto"/>
            <w:left w:val="none" w:sz="0" w:space="0" w:color="auto"/>
            <w:bottom w:val="none" w:sz="0" w:space="0" w:color="auto"/>
            <w:right w:val="none" w:sz="0" w:space="0" w:color="auto"/>
          </w:divBdr>
        </w:div>
      </w:divsChild>
    </w:div>
    <w:div w:id="25840027">
      <w:bodyDiv w:val="1"/>
      <w:marLeft w:val="0"/>
      <w:marRight w:val="0"/>
      <w:marTop w:val="0"/>
      <w:marBottom w:val="0"/>
      <w:divBdr>
        <w:top w:val="none" w:sz="0" w:space="0" w:color="auto"/>
        <w:left w:val="none" w:sz="0" w:space="0" w:color="auto"/>
        <w:bottom w:val="none" w:sz="0" w:space="0" w:color="auto"/>
        <w:right w:val="none" w:sz="0" w:space="0" w:color="auto"/>
      </w:divBdr>
    </w:div>
    <w:div w:id="42140087">
      <w:bodyDiv w:val="1"/>
      <w:marLeft w:val="0"/>
      <w:marRight w:val="0"/>
      <w:marTop w:val="0"/>
      <w:marBottom w:val="0"/>
      <w:divBdr>
        <w:top w:val="none" w:sz="0" w:space="0" w:color="auto"/>
        <w:left w:val="none" w:sz="0" w:space="0" w:color="auto"/>
        <w:bottom w:val="none" w:sz="0" w:space="0" w:color="auto"/>
        <w:right w:val="none" w:sz="0" w:space="0" w:color="auto"/>
      </w:divBdr>
    </w:div>
    <w:div w:id="60173860">
      <w:bodyDiv w:val="1"/>
      <w:marLeft w:val="0"/>
      <w:marRight w:val="0"/>
      <w:marTop w:val="0"/>
      <w:marBottom w:val="0"/>
      <w:divBdr>
        <w:top w:val="none" w:sz="0" w:space="0" w:color="auto"/>
        <w:left w:val="none" w:sz="0" w:space="0" w:color="auto"/>
        <w:bottom w:val="none" w:sz="0" w:space="0" w:color="auto"/>
        <w:right w:val="none" w:sz="0" w:space="0" w:color="auto"/>
      </w:divBdr>
    </w:div>
    <w:div w:id="73359516">
      <w:bodyDiv w:val="1"/>
      <w:marLeft w:val="0"/>
      <w:marRight w:val="0"/>
      <w:marTop w:val="0"/>
      <w:marBottom w:val="0"/>
      <w:divBdr>
        <w:top w:val="none" w:sz="0" w:space="0" w:color="auto"/>
        <w:left w:val="none" w:sz="0" w:space="0" w:color="auto"/>
        <w:bottom w:val="none" w:sz="0" w:space="0" w:color="auto"/>
        <w:right w:val="none" w:sz="0" w:space="0" w:color="auto"/>
      </w:divBdr>
    </w:div>
    <w:div w:id="89156663">
      <w:bodyDiv w:val="1"/>
      <w:marLeft w:val="0"/>
      <w:marRight w:val="0"/>
      <w:marTop w:val="0"/>
      <w:marBottom w:val="0"/>
      <w:divBdr>
        <w:top w:val="none" w:sz="0" w:space="0" w:color="auto"/>
        <w:left w:val="none" w:sz="0" w:space="0" w:color="auto"/>
        <w:bottom w:val="none" w:sz="0" w:space="0" w:color="auto"/>
        <w:right w:val="none" w:sz="0" w:space="0" w:color="auto"/>
      </w:divBdr>
    </w:div>
    <w:div w:id="96871179">
      <w:bodyDiv w:val="1"/>
      <w:marLeft w:val="0"/>
      <w:marRight w:val="0"/>
      <w:marTop w:val="0"/>
      <w:marBottom w:val="0"/>
      <w:divBdr>
        <w:top w:val="none" w:sz="0" w:space="0" w:color="auto"/>
        <w:left w:val="none" w:sz="0" w:space="0" w:color="auto"/>
        <w:bottom w:val="none" w:sz="0" w:space="0" w:color="auto"/>
        <w:right w:val="none" w:sz="0" w:space="0" w:color="auto"/>
      </w:divBdr>
    </w:div>
    <w:div w:id="145515303">
      <w:bodyDiv w:val="1"/>
      <w:marLeft w:val="0"/>
      <w:marRight w:val="0"/>
      <w:marTop w:val="0"/>
      <w:marBottom w:val="0"/>
      <w:divBdr>
        <w:top w:val="none" w:sz="0" w:space="0" w:color="auto"/>
        <w:left w:val="none" w:sz="0" w:space="0" w:color="auto"/>
        <w:bottom w:val="none" w:sz="0" w:space="0" w:color="auto"/>
        <w:right w:val="none" w:sz="0" w:space="0" w:color="auto"/>
      </w:divBdr>
    </w:div>
    <w:div w:id="157238611">
      <w:bodyDiv w:val="1"/>
      <w:marLeft w:val="0"/>
      <w:marRight w:val="0"/>
      <w:marTop w:val="0"/>
      <w:marBottom w:val="0"/>
      <w:divBdr>
        <w:top w:val="none" w:sz="0" w:space="0" w:color="auto"/>
        <w:left w:val="none" w:sz="0" w:space="0" w:color="auto"/>
        <w:bottom w:val="none" w:sz="0" w:space="0" w:color="auto"/>
        <w:right w:val="none" w:sz="0" w:space="0" w:color="auto"/>
      </w:divBdr>
    </w:div>
    <w:div w:id="172306900">
      <w:bodyDiv w:val="1"/>
      <w:marLeft w:val="0"/>
      <w:marRight w:val="0"/>
      <w:marTop w:val="0"/>
      <w:marBottom w:val="0"/>
      <w:divBdr>
        <w:top w:val="none" w:sz="0" w:space="0" w:color="auto"/>
        <w:left w:val="none" w:sz="0" w:space="0" w:color="auto"/>
        <w:bottom w:val="none" w:sz="0" w:space="0" w:color="auto"/>
        <w:right w:val="none" w:sz="0" w:space="0" w:color="auto"/>
      </w:divBdr>
    </w:div>
    <w:div w:id="188641317">
      <w:bodyDiv w:val="1"/>
      <w:marLeft w:val="0"/>
      <w:marRight w:val="0"/>
      <w:marTop w:val="0"/>
      <w:marBottom w:val="0"/>
      <w:divBdr>
        <w:top w:val="none" w:sz="0" w:space="0" w:color="auto"/>
        <w:left w:val="none" w:sz="0" w:space="0" w:color="auto"/>
        <w:bottom w:val="none" w:sz="0" w:space="0" w:color="auto"/>
        <w:right w:val="none" w:sz="0" w:space="0" w:color="auto"/>
      </w:divBdr>
    </w:div>
    <w:div w:id="214312963">
      <w:bodyDiv w:val="1"/>
      <w:marLeft w:val="0"/>
      <w:marRight w:val="0"/>
      <w:marTop w:val="0"/>
      <w:marBottom w:val="0"/>
      <w:divBdr>
        <w:top w:val="none" w:sz="0" w:space="0" w:color="auto"/>
        <w:left w:val="none" w:sz="0" w:space="0" w:color="auto"/>
        <w:bottom w:val="none" w:sz="0" w:space="0" w:color="auto"/>
        <w:right w:val="none" w:sz="0" w:space="0" w:color="auto"/>
      </w:divBdr>
    </w:div>
    <w:div w:id="234560416">
      <w:bodyDiv w:val="1"/>
      <w:marLeft w:val="0"/>
      <w:marRight w:val="0"/>
      <w:marTop w:val="0"/>
      <w:marBottom w:val="0"/>
      <w:divBdr>
        <w:top w:val="none" w:sz="0" w:space="0" w:color="auto"/>
        <w:left w:val="none" w:sz="0" w:space="0" w:color="auto"/>
        <w:bottom w:val="none" w:sz="0" w:space="0" w:color="auto"/>
        <w:right w:val="none" w:sz="0" w:space="0" w:color="auto"/>
      </w:divBdr>
    </w:div>
    <w:div w:id="290600236">
      <w:bodyDiv w:val="1"/>
      <w:marLeft w:val="0"/>
      <w:marRight w:val="0"/>
      <w:marTop w:val="0"/>
      <w:marBottom w:val="0"/>
      <w:divBdr>
        <w:top w:val="none" w:sz="0" w:space="0" w:color="auto"/>
        <w:left w:val="none" w:sz="0" w:space="0" w:color="auto"/>
        <w:bottom w:val="none" w:sz="0" w:space="0" w:color="auto"/>
        <w:right w:val="none" w:sz="0" w:space="0" w:color="auto"/>
      </w:divBdr>
    </w:div>
    <w:div w:id="291710151">
      <w:bodyDiv w:val="1"/>
      <w:marLeft w:val="0"/>
      <w:marRight w:val="0"/>
      <w:marTop w:val="0"/>
      <w:marBottom w:val="0"/>
      <w:divBdr>
        <w:top w:val="none" w:sz="0" w:space="0" w:color="auto"/>
        <w:left w:val="none" w:sz="0" w:space="0" w:color="auto"/>
        <w:bottom w:val="none" w:sz="0" w:space="0" w:color="auto"/>
        <w:right w:val="none" w:sz="0" w:space="0" w:color="auto"/>
      </w:divBdr>
    </w:div>
    <w:div w:id="358236013">
      <w:bodyDiv w:val="1"/>
      <w:marLeft w:val="0"/>
      <w:marRight w:val="0"/>
      <w:marTop w:val="0"/>
      <w:marBottom w:val="0"/>
      <w:divBdr>
        <w:top w:val="none" w:sz="0" w:space="0" w:color="auto"/>
        <w:left w:val="none" w:sz="0" w:space="0" w:color="auto"/>
        <w:bottom w:val="none" w:sz="0" w:space="0" w:color="auto"/>
        <w:right w:val="none" w:sz="0" w:space="0" w:color="auto"/>
      </w:divBdr>
    </w:div>
    <w:div w:id="372265870">
      <w:bodyDiv w:val="1"/>
      <w:marLeft w:val="0"/>
      <w:marRight w:val="0"/>
      <w:marTop w:val="0"/>
      <w:marBottom w:val="0"/>
      <w:divBdr>
        <w:top w:val="none" w:sz="0" w:space="0" w:color="auto"/>
        <w:left w:val="none" w:sz="0" w:space="0" w:color="auto"/>
        <w:bottom w:val="none" w:sz="0" w:space="0" w:color="auto"/>
        <w:right w:val="none" w:sz="0" w:space="0" w:color="auto"/>
      </w:divBdr>
    </w:div>
    <w:div w:id="373970172">
      <w:bodyDiv w:val="1"/>
      <w:marLeft w:val="0"/>
      <w:marRight w:val="0"/>
      <w:marTop w:val="0"/>
      <w:marBottom w:val="0"/>
      <w:divBdr>
        <w:top w:val="none" w:sz="0" w:space="0" w:color="auto"/>
        <w:left w:val="none" w:sz="0" w:space="0" w:color="auto"/>
        <w:bottom w:val="none" w:sz="0" w:space="0" w:color="auto"/>
        <w:right w:val="none" w:sz="0" w:space="0" w:color="auto"/>
      </w:divBdr>
    </w:div>
    <w:div w:id="407311184">
      <w:bodyDiv w:val="1"/>
      <w:marLeft w:val="0"/>
      <w:marRight w:val="0"/>
      <w:marTop w:val="0"/>
      <w:marBottom w:val="0"/>
      <w:divBdr>
        <w:top w:val="none" w:sz="0" w:space="0" w:color="auto"/>
        <w:left w:val="none" w:sz="0" w:space="0" w:color="auto"/>
        <w:bottom w:val="none" w:sz="0" w:space="0" w:color="auto"/>
        <w:right w:val="none" w:sz="0" w:space="0" w:color="auto"/>
      </w:divBdr>
    </w:div>
    <w:div w:id="421225819">
      <w:bodyDiv w:val="1"/>
      <w:marLeft w:val="0"/>
      <w:marRight w:val="0"/>
      <w:marTop w:val="0"/>
      <w:marBottom w:val="0"/>
      <w:divBdr>
        <w:top w:val="none" w:sz="0" w:space="0" w:color="auto"/>
        <w:left w:val="none" w:sz="0" w:space="0" w:color="auto"/>
        <w:bottom w:val="none" w:sz="0" w:space="0" w:color="auto"/>
        <w:right w:val="none" w:sz="0" w:space="0" w:color="auto"/>
      </w:divBdr>
    </w:div>
    <w:div w:id="440956453">
      <w:bodyDiv w:val="1"/>
      <w:marLeft w:val="0"/>
      <w:marRight w:val="0"/>
      <w:marTop w:val="0"/>
      <w:marBottom w:val="0"/>
      <w:divBdr>
        <w:top w:val="none" w:sz="0" w:space="0" w:color="auto"/>
        <w:left w:val="none" w:sz="0" w:space="0" w:color="auto"/>
        <w:bottom w:val="none" w:sz="0" w:space="0" w:color="auto"/>
        <w:right w:val="none" w:sz="0" w:space="0" w:color="auto"/>
      </w:divBdr>
    </w:div>
    <w:div w:id="467168296">
      <w:bodyDiv w:val="1"/>
      <w:marLeft w:val="0"/>
      <w:marRight w:val="0"/>
      <w:marTop w:val="0"/>
      <w:marBottom w:val="0"/>
      <w:divBdr>
        <w:top w:val="none" w:sz="0" w:space="0" w:color="auto"/>
        <w:left w:val="none" w:sz="0" w:space="0" w:color="auto"/>
        <w:bottom w:val="none" w:sz="0" w:space="0" w:color="auto"/>
        <w:right w:val="none" w:sz="0" w:space="0" w:color="auto"/>
      </w:divBdr>
    </w:div>
    <w:div w:id="483594491">
      <w:bodyDiv w:val="1"/>
      <w:marLeft w:val="0"/>
      <w:marRight w:val="0"/>
      <w:marTop w:val="0"/>
      <w:marBottom w:val="0"/>
      <w:divBdr>
        <w:top w:val="none" w:sz="0" w:space="0" w:color="auto"/>
        <w:left w:val="none" w:sz="0" w:space="0" w:color="auto"/>
        <w:bottom w:val="none" w:sz="0" w:space="0" w:color="auto"/>
        <w:right w:val="none" w:sz="0" w:space="0" w:color="auto"/>
      </w:divBdr>
    </w:div>
    <w:div w:id="492722697">
      <w:bodyDiv w:val="1"/>
      <w:marLeft w:val="0"/>
      <w:marRight w:val="0"/>
      <w:marTop w:val="0"/>
      <w:marBottom w:val="0"/>
      <w:divBdr>
        <w:top w:val="none" w:sz="0" w:space="0" w:color="auto"/>
        <w:left w:val="none" w:sz="0" w:space="0" w:color="auto"/>
        <w:bottom w:val="none" w:sz="0" w:space="0" w:color="auto"/>
        <w:right w:val="none" w:sz="0" w:space="0" w:color="auto"/>
      </w:divBdr>
    </w:div>
    <w:div w:id="495614794">
      <w:bodyDiv w:val="1"/>
      <w:marLeft w:val="0"/>
      <w:marRight w:val="0"/>
      <w:marTop w:val="0"/>
      <w:marBottom w:val="0"/>
      <w:divBdr>
        <w:top w:val="none" w:sz="0" w:space="0" w:color="auto"/>
        <w:left w:val="none" w:sz="0" w:space="0" w:color="auto"/>
        <w:bottom w:val="none" w:sz="0" w:space="0" w:color="auto"/>
        <w:right w:val="none" w:sz="0" w:space="0" w:color="auto"/>
      </w:divBdr>
    </w:div>
    <w:div w:id="548342245">
      <w:bodyDiv w:val="1"/>
      <w:marLeft w:val="0"/>
      <w:marRight w:val="0"/>
      <w:marTop w:val="0"/>
      <w:marBottom w:val="0"/>
      <w:divBdr>
        <w:top w:val="none" w:sz="0" w:space="0" w:color="auto"/>
        <w:left w:val="none" w:sz="0" w:space="0" w:color="auto"/>
        <w:bottom w:val="none" w:sz="0" w:space="0" w:color="auto"/>
        <w:right w:val="none" w:sz="0" w:space="0" w:color="auto"/>
      </w:divBdr>
    </w:div>
    <w:div w:id="571963297">
      <w:bodyDiv w:val="1"/>
      <w:marLeft w:val="0"/>
      <w:marRight w:val="0"/>
      <w:marTop w:val="0"/>
      <w:marBottom w:val="0"/>
      <w:divBdr>
        <w:top w:val="none" w:sz="0" w:space="0" w:color="auto"/>
        <w:left w:val="none" w:sz="0" w:space="0" w:color="auto"/>
        <w:bottom w:val="none" w:sz="0" w:space="0" w:color="auto"/>
        <w:right w:val="none" w:sz="0" w:space="0" w:color="auto"/>
      </w:divBdr>
    </w:div>
    <w:div w:id="588007889">
      <w:bodyDiv w:val="1"/>
      <w:marLeft w:val="0"/>
      <w:marRight w:val="0"/>
      <w:marTop w:val="0"/>
      <w:marBottom w:val="0"/>
      <w:divBdr>
        <w:top w:val="none" w:sz="0" w:space="0" w:color="auto"/>
        <w:left w:val="none" w:sz="0" w:space="0" w:color="auto"/>
        <w:bottom w:val="none" w:sz="0" w:space="0" w:color="auto"/>
        <w:right w:val="none" w:sz="0" w:space="0" w:color="auto"/>
      </w:divBdr>
    </w:div>
    <w:div w:id="624313785">
      <w:bodyDiv w:val="1"/>
      <w:marLeft w:val="0"/>
      <w:marRight w:val="0"/>
      <w:marTop w:val="0"/>
      <w:marBottom w:val="0"/>
      <w:divBdr>
        <w:top w:val="none" w:sz="0" w:space="0" w:color="auto"/>
        <w:left w:val="none" w:sz="0" w:space="0" w:color="auto"/>
        <w:bottom w:val="none" w:sz="0" w:space="0" w:color="auto"/>
        <w:right w:val="none" w:sz="0" w:space="0" w:color="auto"/>
      </w:divBdr>
    </w:div>
    <w:div w:id="721055107">
      <w:bodyDiv w:val="1"/>
      <w:marLeft w:val="0"/>
      <w:marRight w:val="0"/>
      <w:marTop w:val="0"/>
      <w:marBottom w:val="0"/>
      <w:divBdr>
        <w:top w:val="none" w:sz="0" w:space="0" w:color="auto"/>
        <w:left w:val="none" w:sz="0" w:space="0" w:color="auto"/>
        <w:bottom w:val="none" w:sz="0" w:space="0" w:color="auto"/>
        <w:right w:val="none" w:sz="0" w:space="0" w:color="auto"/>
      </w:divBdr>
    </w:div>
    <w:div w:id="724109121">
      <w:bodyDiv w:val="1"/>
      <w:marLeft w:val="0"/>
      <w:marRight w:val="0"/>
      <w:marTop w:val="0"/>
      <w:marBottom w:val="0"/>
      <w:divBdr>
        <w:top w:val="none" w:sz="0" w:space="0" w:color="auto"/>
        <w:left w:val="none" w:sz="0" w:space="0" w:color="auto"/>
        <w:bottom w:val="none" w:sz="0" w:space="0" w:color="auto"/>
        <w:right w:val="none" w:sz="0" w:space="0" w:color="auto"/>
      </w:divBdr>
      <w:divsChild>
        <w:div w:id="10842312">
          <w:marLeft w:val="-225"/>
          <w:marRight w:val="-225"/>
          <w:marTop w:val="0"/>
          <w:marBottom w:val="0"/>
          <w:divBdr>
            <w:top w:val="none" w:sz="0" w:space="0" w:color="auto"/>
            <w:left w:val="none" w:sz="0" w:space="0" w:color="auto"/>
            <w:bottom w:val="none" w:sz="0" w:space="0" w:color="auto"/>
            <w:right w:val="none" w:sz="0" w:space="0" w:color="auto"/>
          </w:divBdr>
          <w:divsChild>
            <w:div w:id="126627353">
              <w:marLeft w:val="0"/>
              <w:marRight w:val="0"/>
              <w:marTop w:val="0"/>
              <w:marBottom w:val="0"/>
              <w:divBdr>
                <w:top w:val="none" w:sz="0" w:space="0" w:color="auto"/>
                <w:left w:val="none" w:sz="0" w:space="0" w:color="auto"/>
                <w:bottom w:val="none" w:sz="0" w:space="0" w:color="auto"/>
                <w:right w:val="none" w:sz="0" w:space="0" w:color="auto"/>
              </w:divBdr>
              <w:divsChild>
                <w:div w:id="66076113">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31283422">
          <w:marLeft w:val="0"/>
          <w:marRight w:val="0"/>
          <w:marTop w:val="0"/>
          <w:marBottom w:val="0"/>
          <w:divBdr>
            <w:top w:val="none" w:sz="0" w:space="0" w:color="auto"/>
            <w:left w:val="none" w:sz="0" w:space="0" w:color="auto"/>
            <w:bottom w:val="none" w:sz="0" w:space="0" w:color="auto"/>
            <w:right w:val="none" w:sz="0" w:space="0" w:color="auto"/>
          </w:divBdr>
          <w:divsChild>
            <w:div w:id="1633485643">
              <w:marLeft w:val="0"/>
              <w:marRight w:val="0"/>
              <w:marTop w:val="0"/>
              <w:marBottom w:val="0"/>
              <w:divBdr>
                <w:top w:val="none" w:sz="0" w:space="0" w:color="auto"/>
                <w:left w:val="none" w:sz="0" w:space="0" w:color="auto"/>
                <w:bottom w:val="none" w:sz="0" w:space="0" w:color="auto"/>
                <w:right w:val="none" w:sz="0" w:space="0" w:color="auto"/>
              </w:divBdr>
              <w:divsChild>
                <w:div w:id="493376423">
                  <w:marLeft w:val="0"/>
                  <w:marRight w:val="0"/>
                  <w:marTop w:val="0"/>
                  <w:marBottom w:val="0"/>
                  <w:divBdr>
                    <w:top w:val="none" w:sz="0" w:space="0" w:color="auto"/>
                    <w:left w:val="none" w:sz="0" w:space="0" w:color="auto"/>
                    <w:bottom w:val="none" w:sz="0" w:space="0" w:color="auto"/>
                    <w:right w:val="none" w:sz="0" w:space="0" w:color="auto"/>
                  </w:divBdr>
                </w:div>
                <w:div w:id="141520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965009">
      <w:bodyDiv w:val="1"/>
      <w:marLeft w:val="0"/>
      <w:marRight w:val="0"/>
      <w:marTop w:val="0"/>
      <w:marBottom w:val="0"/>
      <w:divBdr>
        <w:top w:val="none" w:sz="0" w:space="0" w:color="auto"/>
        <w:left w:val="none" w:sz="0" w:space="0" w:color="auto"/>
        <w:bottom w:val="none" w:sz="0" w:space="0" w:color="auto"/>
        <w:right w:val="none" w:sz="0" w:space="0" w:color="auto"/>
      </w:divBdr>
    </w:div>
    <w:div w:id="739641771">
      <w:bodyDiv w:val="1"/>
      <w:marLeft w:val="0"/>
      <w:marRight w:val="0"/>
      <w:marTop w:val="0"/>
      <w:marBottom w:val="0"/>
      <w:divBdr>
        <w:top w:val="none" w:sz="0" w:space="0" w:color="auto"/>
        <w:left w:val="none" w:sz="0" w:space="0" w:color="auto"/>
        <w:bottom w:val="none" w:sz="0" w:space="0" w:color="auto"/>
        <w:right w:val="none" w:sz="0" w:space="0" w:color="auto"/>
      </w:divBdr>
    </w:div>
    <w:div w:id="745221650">
      <w:bodyDiv w:val="1"/>
      <w:marLeft w:val="0"/>
      <w:marRight w:val="0"/>
      <w:marTop w:val="0"/>
      <w:marBottom w:val="0"/>
      <w:divBdr>
        <w:top w:val="none" w:sz="0" w:space="0" w:color="auto"/>
        <w:left w:val="none" w:sz="0" w:space="0" w:color="auto"/>
        <w:bottom w:val="none" w:sz="0" w:space="0" w:color="auto"/>
        <w:right w:val="none" w:sz="0" w:space="0" w:color="auto"/>
      </w:divBdr>
    </w:div>
    <w:div w:id="747966204">
      <w:bodyDiv w:val="1"/>
      <w:marLeft w:val="0"/>
      <w:marRight w:val="0"/>
      <w:marTop w:val="0"/>
      <w:marBottom w:val="0"/>
      <w:divBdr>
        <w:top w:val="none" w:sz="0" w:space="0" w:color="auto"/>
        <w:left w:val="none" w:sz="0" w:space="0" w:color="auto"/>
        <w:bottom w:val="none" w:sz="0" w:space="0" w:color="auto"/>
        <w:right w:val="none" w:sz="0" w:space="0" w:color="auto"/>
      </w:divBdr>
    </w:div>
    <w:div w:id="749351024">
      <w:bodyDiv w:val="1"/>
      <w:marLeft w:val="0"/>
      <w:marRight w:val="0"/>
      <w:marTop w:val="0"/>
      <w:marBottom w:val="0"/>
      <w:divBdr>
        <w:top w:val="none" w:sz="0" w:space="0" w:color="auto"/>
        <w:left w:val="none" w:sz="0" w:space="0" w:color="auto"/>
        <w:bottom w:val="none" w:sz="0" w:space="0" w:color="auto"/>
        <w:right w:val="none" w:sz="0" w:space="0" w:color="auto"/>
      </w:divBdr>
    </w:div>
    <w:div w:id="773938865">
      <w:bodyDiv w:val="1"/>
      <w:marLeft w:val="0"/>
      <w:marRight w:val="0"/>
      <w:marTop w:val="0"/>
      <w:marBottom w:val="0"/>
      <w:divBdr>
        <w:top w:val="none" w:sz="0" w:space="0" w:color="auto"/>
        <w:left w:val="none" w:sz="0" w:space="0" w:color="auto"/>
        <w:bottom w:val="none" w:sz="0" w:space="0" w:color="auto"/>
        <w:right w:val="none" w:sz="0" w:space="0" w:color="auto"/>
      </w:divBdr>
    </w:div>
    <w:div w:id="792987936">
      <w:bodyDiv w:val="1"/>
      <w:marLeft w:val="0"/>
      <w:marRight w:val="0"/>
      <w:marTop w:val="0"/>
      <w:marBottom w:val="0"/>
      <w:divBdr>
        <w:top w:val="none" w:sz="0" w:space="0" w:color="auto"/>
        <w:left w:val="none" w:sz="0" w:space="0" w:color="auto"/>
        <w:bottom w:val="none" w:sz="0" w:space="0" w:color="auto"/>
        <w:right w:val="none" w:sz="0" w:space="0" w:color="auto"/>
      </w:divBdr>
    </w:div>
    <w:div w:id="794980672">
      <w:bodyDiv w:val="1"/>
      <w:marLeft w:val="0"/>
      <w:marRight w:val="0"/>
      <w:marTop w:val="0"/>
      <w:marBottom w:val="0"/>
      <w:divBdr>
        <w:top w:val="none" w:sz="0" w:space="0" w:color="auto"/>
        <w:left w:val="none" w:sz="0" w:space="0" w:color="auto"/>
        <w:bottom w:val="none" w:sz="0" w:space="0" w:color="auto"/>
        <w:right w:val="none" w:sz="0" w:space="0" w:color="auto"/>
      </w:divBdr>
    </w:div>
    <w:div w:id="798298270">
      <w:bodyDiv w:val="1"/>
      <w:marLeft w:val="0"/>
      <w:marRight w:val="0"/>
      <w:marTop w:val="0"/>
      <w:marBottom w:val="0"/>
      <w:divBdr>
        <w:top w:val="none" w:sz="0" w:space="0" w:color="auto"/>
        <w:left w:val="none" w:sz="0" w:space="0" w:color="auto"/>
        <w:bottom w:val="none" w:sz="0" w:space="0" w:color="auto"/>
        <w:right w:val="none" w:sz="0" w:space="0" w:color="auto"/>
      </w:divBdr>
    </w:div>
    <w:div w:id="800996557">
      <w:bodyDiv w:val="1"/>
      <w:marLeft w:val="0"/>
      <w:marRight w:val="0"/>
      <w:marTop w:val="0"/>
      <w:marBottom w:val="0"/>
      <w:divBdr>
        <w:top w:val="none" w:sz="0" w:space="0" w:color="auto"/>
        <w:left w:val="none" w:sz="0" w:space="0" w:color="auto"/>
        <w:bottom w:val="none" w:sz="0" w:space="0" w:color="auto"/>
        <w:right w:val="none" w:sz="0" w:space="0" w:color="auto"/>
      </w:divBdr>
      <w:divsChild>
        <w:div w:id="413744077">
          <w:marLeft w:val="0"/>
          <w:marRight w:val="0"/>
          <w:marTop w:val="0"/>
          <w:marBottom w:val="0"/>
          <w:divBdr>
            <w:top w:val="none" w:sz="0" w:space="0" w:color="auto"/>
            <w:left w:val="none" w:sz="0" w:space="0" w:color="auto"/>
            <w:bottom w:val="none" w:sz="0" w:space="0" w:color="auto"/>
            <w:right w:val="none" w:sz="0" w:space="0" w:color="auto"/>
          </w:divBdr>
        </w:div>
      </w:divsChild>
    </w:div>
    <w:div w:id="808132991">
      <w:bodyDiv w:val="1"/>
      <w:marLeft w:val="0"/>
      <w:marRight w:val="0"/>
      <w:marTop w:val="0"/>
      <w:marBottom w:val="0"/>
      <w:divBdr>
        <w:top w:val="none" w:sz="0" w:space="0" w:color="auto"/>
        <w:left w:val="none" w:sz="0" w:space="0" w:color="auto"/>
        <w:bottom w:val="none" w:sz="0" w:space="0" w:color="auto"/>
        <w:right w:val="none" w:sz="0" w:space="0" w:color="auto"/>
      </w:divBdr>
    </w:div>
    <w:div w:id="812450242">
      <w:bodyDiv w:val="1"/>
      <w:marLeft w:val="0"/>
      <w:marRight w:val="0"/>
      <w:marTop w:val="0"/>
      <w:marBottom w:val="0"/>
      <w:divBdr>
        <w:top w:val="none" w:sz="0" w:space="0" w:color="auto"/>
        <w:left w:val="none" w:sz="0" w:space="0" w:color="auto"/>
        <w:bottom w:val="none" w:sz="0" w:space="0" w:color="auto"/>
        <w:right w:val="none" w:sz="0" w:space="0" w:color="auto"/>
      </w:divBdr>
    </w:div>
    <w:div w:id="850071975">
      <w:bodyDiv w:val="1"/>
      <w:marLeft w:val="0"/>
      <w:marRight w:val="0"/>
      <w:marTop w:val="0"/>
      <w:marBottom w:val="0"/>
      <w:divBdr>
        <w:top w:val="none" w:sz="0" w:space="0" w:color="auto"/>
        <w:left w:val="none" w:sz="0" w:space="0" w:color="auto"/>
        <w:bottom w:val="none" w:sz="0" w:space="0" w:color="auto"/>
        <w:right w:val="none" w:sz="0" w:space="0" w:color="auto"/>
      </w:divBdr>
    </w:div>
    <w:div w:id="854073410">
      <w:bodyDiv w:val="1"/>
      <w:marLeft w:val="0"/>
      <w:marRight w:val="0"/>
      <w:marTop w:val="0"/>
      <w:marBottom w:val="0"/>
      <w:divBdr>
        <w:top w:val="none" w:sz="0" w:space="0" w:color="auto"/>
        <w:left w:val="none" w:sz="0" w:space="0" w:color="auto"/>
        <w:bottom w:val="none" w:sz="0" w:space="0" w:color="auto"/>
        <w:right w:val="none" w:sz="0" w:space="0" w:color="auto"/>
      </w:divBdr>
    </w:div>
    <w:div w:id="856890746">
      <w:bodyDiv w:val="1"/>
      <w:marLeft w:val="0"/>
      <w:marRight w:val="0"/>
      <w:marTop w:val="0"/>
      <w:marBottom w:val="0"/>
      <w:divBdr>
        <w:top w:val="none" w:sz="0" w:space="0" w:color="auto"/>
        <w:left w:val="none" w:sz="0" w:space="0" w:color="auto"/>
        <w:bottom w:val="none" w:sz="0" w:space="0" w:color="auto"/>
        <w:right w:val="none" w:sz="0" w:space="0" w:color="auto"/>
      </w:divBdr>
    </w:div>
    <w:div w:id="859274226">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28854901">
      <w:bodyDiv w:val="1"/>
      <w:marLeft w:val="0"/>
      <w:marRight w:val="0"/>
      <w:marTop w:val="0"/>
      <w:marBottom w:val="0"/>
      <w:divBdr>
        <w:top w:val="none" w:sz="0" w:space="0" w:color="auto"/>
        <w:left w:val="none" w:sz="0" w:space="0" w:color="auto"/>
        <w:bottom w:val="none" w:sz="0" w:space="0" w:color="auto"/>
        <w:right w:val="none" w:sz="0" w:space="0" w:color="auto"/>
      </w:divBdr>
    </w:div>
    <w:div w:id="937252519">
      <w:bodyDiv w:val="1"/>
      <w:marLeft w:val="0"/>
      <w:marRight w:val="0"/>
      <w:marTop w:val="0"/>
      <w:marBottom w:val="0"/>
      <w:divBdr>
        <w:top w:val="none" w:sz="0" w:space="0" w:color="auto"/>
        <w:left w:val="none" w:sz="0" w:space="0" w:color="auto"/>
        <w:bottom w:val="none" w:sz="0" w:space="0" w:color="auto"/>
        <w:right w:val="none" w:sz="0" w:space="0" w:color="auto"/>
      </w:divBdr>
    </w:div>
    <w:div w:id="944461968">
      <w:bodyDiv w:val="1"/>
      <w:marLeft w:val="0"/>
      <w:marRight w:val="0"/>
      <w:marTop w:val="0"/>
      <w:marBottom w:val="0"/>
      <w:divBdr>
        <w:top w:val="none" w:sz="0" w:space="0" w:color="auto"/>
        <w:left w:val="none" w:sz="0" w:space="0" w:color="auto"/>
        <w:bottom w:val="none" w:sz="0" w:space="0" w:color="auto"/>
        <w:right w:val="none" w:sz="0" w:space="0" w:color="auto"/>
      </w:divBdr>
    </w:div>
    <w:div w:id="953439293">
      <w:bodyDiv w:val="1"/>
      <w:marLeft w:val="0"/>
      <w:marRight w:val="0"/>
      <w:marTop w:val="0"/>
      <w:marBottom w:val="0"/>
      <w:divBdr>
        <w:top w:val="none" w:sz="0" w:space="0" w:color="auto"/>
        <w:left w:val="none" w:sz="0" w:space="0" w:color="auto"/>
        <w:bottom w:val="none" w:sz="0" w:space="0" w:color="auto"/>
        <w:right w:val="none" w:sz="0" w:space="0" w:color="auto"/>
      </w:divBdr>
    </w:div>
    <w:div w:id="958993342">
      <w:bodyDiv w:val="1"/>
      <w:marLeft w:val="0"/>
      <w:marRight w:val="0"/>
      <w:marTop w:val="0"/>
      <w:marBottom w:val="0"/>
      <w:divBdr>
        <w:top w:val="none" w:sz="0" w:space="0" w:color="auto"/>
        <w:left w:val="none" w:sz="0" w:space="0" w:color="auto"/>
        <w:bottom w:val="none" w:sz="0" w:space="0" w:color="auto"/>
        <w:right w:val="none" w:sz="0" w:space="0" w:color="auto"/>
      </w:divBdr>
    </w:div>
    <w:div w:id="1005940149">
      <w:bodyDiv w:val="1"/>
      <w:marLeft w:val="0"/>
      <w:marRight w:val="0"/>
      <w:marTop w:val="0"/>
      <w:marBottom w:val="0"/>
      <w:divBdr>
        <w:top w:val="none" w:sz="0" w:space="0" w:color="auto"/>
        <w:left w:val="none" w:sz="0" w:space="0" w:color="auto"/>
        <w:bottom w:val="none" w:sz="0" w:space="0" w:color="auto"/>
        <w:right w:val="none" w:sz="0" w:space="0" w:color="auto"/>
      </w:divBdr>
    </w:div>
    <w:div w:id="1032069431">
      <w:bodyDiv w:val="1"/>
      <w:marLeft w:val="0"/>
      <w:marRight w:val="0"/>
      <w:marTop w:val="0"/>
      <w:marBottom w:val="0"/>
      <w:divBdr>
        <w:top w:val="none" w:sz="0" w:space="0" w:color="auto"/>
        <w:left w:val="none" w:sz="0" w:space="0" w:color="auto"/>
        <w:bottom w:val="none" w:sz="0" w:space="0" w:color="auto"/>
        <w:right w:val="none" w:sz="0" w:space="0" w:color="auto"/>
      </w:divBdr>
    </w:div>
    <w:div w:id="1055851879">
      <w:bodyDiv w:val="1"/>
      <w:marLeft w:val="0"/>
      <w:marRight w:val="0"/>
      <w:marTop w:val="0"/>
      <w:marBottom w:val="0"/>
      <w:divBdr>
        <w:top w:val="none" w:sz="0" w:space="0" w:color="auto"/>
        <w:left w:val="none" w:sz="0" w:space="0" w:color="auto"/>
        <w:bottom w:val="none" w:sz="0" w:space="0" w:color="auto"/>
        <w:right w:val="none" w:sz="0" w:space="0" w:color="auto"/>
      </w:divBdr>
    </w:div>
    <w:div w:id="1105493564">
      <w:bodyDiv w:val="1"/>
      <w:marLeft w:val="0"/>
      <w:marRight w:val="0"/>
      <w:marTop w:val="0"/>
      <w:marBottom w:val="0"/>
      <w:divBdr>
        <w:top w:val="none" w:sz="0" w:space="0" w:color="auto"/>
        <w:left w:val="none" w:sz="0" w:space="0" w:color="auto"/>
        <w:bottom w:val="none" w:sz="0" w:space="0" w:color="auto"/>
        <w:right w:val="none" w:sz="0" w:space="0" w:color="auto"/>
      </w:divBdr>
    </w:div>
    <w:div w:id="1120805486">
      <w:bodyDiv w:val="1"/>
      <w:marLeft w:val="0"/>
      <w:marRight w:val="0"/>
      <w:marTop w:val="0"/>
      <w:marBottom w:val="0"/>
      <w:divBdr>
        <w:top w:val="none" w:sz="0" w:space="0" w:color="auto"/>
        <w:left w:val="none" w:sz="0" w:space="0" w:color="auto"/>
        <w:bottom w:val="none" w:sz="0" w:space="0" w:color="auto"/>
        <w:right w:val="none" w:sz="0" w:space="0" w:color="auto"/>
      </w:divBdr>
    </w:div>
    <w:div w:id="1160537720">
      <w:bodyDiv w:val="1"/>
      <w:marLeft w:val="0"/>
      <w:marRight w:val="0"/>
      <w:marTop w:val="0"/>
      <w:marBottom w:val="0"/>
      <w:divBdr>
        <w:top w:val="none" w:sz="0" w:space="0" w:color="auto"/>
        <w:left w:val="none" w:sz="0" w:space="0" w:color="auto"/>
        <w:bottom w:val="none" w:sz="0" w:space="0" w:color="auto"/>
        <w:right w:val="none" w:sz="0" w:space="0" w:color="auto"/>
      </w:divBdr>
    </w:div>
    <w:div w:id="1161651725">
      <w:bodyDiv w:val="1"/>
      <w:marLeft w:val="0"/>
      <w:marRight w:val="0"/>
      <w:marTop w:val="0"/>
      <w:marBottom w:val="0"/>
      <w:divBdr>
        <w:top w:val="none" w:sz="0" w:space="0" w:color="auto"/>
        <w:left w:val="none" w:sz="0" w:space="0" w:color="auto"/>
        <w:bottom w:val="none" w:sz="0" w:space="0" w:color="auto"/>
        <w:right w:val="none" w:sz="0" w:space="0" w:color="auto"/>
      </w:divBdr>
    </w:div>
    <w:div w:id="1167523898">
      <w:bodyDiv w:val="1"/>
      <w:marLeft w:val="0"/>
      <w:marRight w:val="0"/>
      <w:marTop w:val="0"/>
      <w:marBottom w:val="0"/>
      <w:divBdr>
        <w:top w:val="none" w:sz="0" w:space="0" w:color="auto"/>
        <w:left w:val="none" w:sz="0" w:space="0" w:color="auto"/>
        <w:bottom w:val="none" w:sz="0" w:space="0" w:color="auto"/>
        <w:right w:val="none" w:sz="0" w:space="0" w:color="auto"/>
      </w:divBdr>
    </w:div>
    <w:div w:id="1168984886">
      <w:bodyDiv w:val="1"/>
      <w:marLeft w:val="0"/>
      <w:marRight w:val="0"/>
      <w:marTop w:val="0"/>
      <w:marBottom w:val="0"/>
      <w:divBdr>
        <w:top w:val="none" w:sz="0" w:space="0" w:color="auto"/>
        <w:left w:val="none" w:sz="0" w:space="0" w:color="auto"/>
        <w:bottom w:val="none" w:sz="0" w:space="0" w:color="auto"/>
        <w:right w:val="none" w:sz="0" w:space="0" w:color="auto"/>
      </w:divBdr>
    </w:div>
    <w:div w:id="1197156718">
      <w:bodyDiv w:val="1"/>
      <w:marLeft w:val="0"/>
      <w:marRight w:val="0"/>
      <w:marTop w:val="0"/>
      <w:marBottom w:val="0"/>
      <w:divBdr>
        <w:top w:val="none" w:sz="0" w:space="0" w:color="auto"/>
        <w:left w:val="none" w:sz="0" w:space="0" w:color="auto"/>
        <w:bottom w:val="none" w:sz="0" w:space="0" w:color="auto"/>
        <w:right w:val="none" w:sz="0" w:space="0" w:color="auto"/>
      </w:divBdr>
    </w:div>
    <w:div w:id="1203322085">
      <w:bodyDiv w:val="1"/>
      <w:marLeft w:val="0"/>
      <w:marRight w:val="0"/>
      <w:marTop w:val="0"/>
      <w:marBottom w:val="0"/>
      <w:divBdr>
        <w:top w:val="none" w:sz="0" w:space="0" w:color="auto"/>
        <w:left w:val="none" w:sz="0" w:space="0" w:color="auto"/>
        <w:bottom w:val="none" w:sz="0" w:space="0" w:color="auto"/>
        <w:right w:val="none" w:sz="0" w:space="0" w:color="auto"/>
      </w:divBdr>
    </w:div>
    <w:div w:id="1263610430">
      <w:bodyDiv w:val="1"/>
      <w:marLeft w:val="0"/>
      <w:marRight w:val="0"/>
      <w:marTop w:val="0"/>
      <w:marBottom w:val="0"/>
      <w:divBdr>
        <w:top w:val="none" w:sz="0" w:space="0" w:color="auto"/>
        <w:left w:val="none" w:sz="0" w:space="0" w:color="auto"/>
        <w:bottom w:val="none" w:sz="0" w:space="0" w:color="auto"/>
        <w:right w:val="none" w:sz="0" w:space="0" w:color="auto"/>
      </w:divBdr>
    </w:div>
    <w:div w:id="1287278519">
      <w:bodyDiv w:val="1"/>
      <w:marLeft w:val="0"/>
      <w:marRight w:val="0"/>
      <w:marTop w:val="0"/>
      <w:marBottom w:val="0"/>
      <w:divBdr>
        <w:top w:val="none" w:sz="0" w:space="0" w:color="auto"/>
        <w:left w:val="none" w:sz="0" w:space="0" w:color="auto"/>
        <w:bottom w:val="none" w:sz="0" w:space="0" w:color="auto"/>
        <w:right w:val="none" w:sz="0" w:space="0" w:color="auto"/>
      </w:divBdr>
    </w:div>
    <w:div w:id="1308704300">
      <w:bodyDiv w:val="1"/>
      <w:marLeft w:val="0"/>
      <w:marRight w:val="0"/>
      <w:marTop w:val="0"/>
      <w:marBottom w:val="0"/>
      <w:divBdr>
        <w:top w:val="none" w:sz="0" w:space="0" w:color="auto"/>
        <w:left w:val="none" w:sz="0" w:space="0" w:color="auto"/>
        <w:bottom w:val="none" w:sz="0" w:space="0" w:color="auto"/>
        <w:right w:val="none" w:sz="0" w:space="0" w:color="auto"/>
      </w:divBdr>
    </w:div>
    <w:div w:id="1309550784">
      <w:bodyDiv w:val="1"/>
      <w:marLeft w:val="0"/>
      <w:marRight w:val="0"/>
      <w:marTop w:val="0"/>
      <w:marBottom w:val="0"/>
      <w:divBdr>
        <w:top w:val="none" w:sz="0" w:space="0" w:color="auto"/>
        <w:left w:val="none" w:sz="0" w:space="0" w:color="auto"/>
        <w:bottom w:val="none" w:sz="0" w:space="0" w:color="auto"/>
        <w:right w:val="none" w:sz="0" w:space="0" w:color="auto"/>
      </w:divBdr>
      <w:divsChild>
        <w:div w:id="2076397025">
          <w:marLeft w:val="0"/>
          <w:marRight w:val="0"/>
          <w:marTop w:val="0"/>
          <w:marBottom w:val="0"/>
          <w:divBdr>
            <w:top w:val="none" w:sz="0" w:space="0" w:color="auto"/>
            <w:left w:val="none" w:sz="0" w:space="0" w:color="auto"/>
            <w:bottom w:val="none" w:sz="0" w:space="0" w:color="auto"/>
            <w:right w:val="none" w:sz="0" w:space="0" w:color="auto"/>
          </w:divBdr>
        </w:div>
      </w:divsChild>
    </w:div>
    <w:div w:id="1311977313">
      <w:bodyDiv w:val="1"/>
      <w:marLeft w:val="0"/>
      <w:marRight w:val="0"/>
      <w:marTop w:val="0"/>
      <w:marBottom w:val="0"/>
      <w:divBdr>
        <w:top w:val="none" w:sz="0" w:space="0" w:color="auto"/>
        <w:left w:val="none" w:sz="0" w:space="0" w:color="auto"/>
        <w:bottom w:val="none" w:sz="0" w:space="0" w:color="auto"/>
        <w:right w:val="none" w:sz="0" w:space="0" w:color="auto"/>
      </w:divBdr>
    </w:div>
    <w:div w:id="1314213861">
      <w:bodyDiv w:val="1"/>
      <w:marLeft w:val="0"/>
      <w:marRight w:val="0"/>
      <w:marTop w:val="0"/>
      <w:marBottom w:val="0"/>
      <w:divBdr>
        <w:top w:val="none" w:sz="0" w:space="0" w:color="auto"/>
        <w:left w:val="none" w:sz="0" w:space="0" w:color="auto"/>
        <w:bottom w:val="none" w:sz="0" w:space="0" w:color="auto"/>
        <w:right w:val="none" w:sz="0" w:space="0" w:color="auto"/>
      </w:divBdr>
    </w:div>
    <w:div w:id="1325544195">
      <w:bodyDiv w:val="1"/>
      <w:marLeft w:val="0"/>
      <w:marRight w:val="0"/>
      <w:marTop w:val="0"/>
      <w:marBottom w:val="0"/>
      <w:divBdr>
        <w:top w:val="none" w:sz="0" w:space="0" w:color="auto"/>
        <w:left w:val="none" w:sz="0" w:space="0" w:color="auto"/>
        <w:bottom w:val="none" w:sz="0" w:space="0" w:color="auto"/>
        <w:right w:val="none" w:sz="0" w:space="0" w:color="auto"/>
      </w:divBdr>
    </w:div>
    <w:div w:id="1428503727">
      <w:bodyDiv w:val="1"/>
      <w:marLeft w:val="0"/>
      <w:marRight w:val="0"/>
      <w:marTop w:val="0"/>
      <w:marBottom w:val="0"/>
      <w:divBdr>
        <w:top w:val="none" w:sz="0" w:space="0" w:color="auto"/>
        <w:left w:val="none" w:sz="0" w:space="0" w:color="auto"/>
        <w:bottom w:val="none" w:sz="0" w:space="0" w:color="auto"/>
        <w:right w:val="none" w:sz="0" w:space="0" w:color="auto"/>
      </w:divBdr>
    </w:div>
    <w:div w:id="1437628383">
      <w:bodyDiv w:val="1"/>
      <w:marLeft w:val="0"/>
      <w:marRight w:val="0"/>
      <w:marTop w:val="0"/>
      <w:marBottom w:val="0"/>
      <w:divBdr>
        <w:top w:val="none" w:sz="0" w:space="0" w:color="auto"/>
        <w:left w:val="none" w:sz="0" w:space="0" w:color="auto"/>
        <w:bottom w:val="none" w:sz="0" w:space="0" w:color="auto"/>
        <w:right w:val="none" w:sz="0" w:space="0" w:color="auto"/>
      </w:divBdr>
    </w:div>
    <w:div w:id="1442534804">
      <w:bodyDiv w:val="1"/>
      <w:marLeft w:val="0"/>
      <w:marRight w:val="0"/>
      <w:marTop w:val="0"/>
      <w:marBottom w:val="0"/>
      <w:divBdr>
        <w:top w:val="none" w:sz="0" w:space="0" w:color="auto"/>
        <w:left w:val="none" w:sz="0" w:space="0" w:color="auto"/>
        <w:bottom w:val="none" w:sz="0" w:space="0" w:color="auto"/>
        <w:right w:val="none" w:sz="0" w:space="0" w:color="auto"/>
      </w:divBdr>
    </w:div>
    <w:div w:id="1455249920">
      <w:bodyDiv w:val="1"/>
      <w:marLeft w:val="0"/>
      <w:marRight w:val="0"/>
      <w:marTop w:val="0"/>
      <w:marBottom w:val="0"/>
      <w:divBdr>
        <w:top w:val="none" w:sz="0" w:space="0" w:color="auto"/>
        <w:left w:val="none" w:sz="0" w:space="0" w:color="auto"/>
        <w:bottom w:val="none" w:sz="0" w:space="0" w:color="auto"/>
        <w:right w:val="none" w:sz="0" w:space="0" w:color="auto"/>
      </w:divBdr>
    </w:div>
    <w:div w:id="1467352590">
      <w:bodyDiv w:val="1"/>
      <w:marLeft w:val="0"/>
      <w:marRight w:val="0"/>
      <w:marTop w:val="0"/>
      <w:marBottom w:val="0"/>
      <w:divBdr>
        <w:top w:val="none" w:sz="0" w:space="0" w:color="auto"/>
        <w:left w:val="none" w:sz="0" w:space="0" w:color="auto"/>
        <w:bottom w:val="none" w:sz="0" w:space="0" w:color="auto"/>
        <w:right w:val="none" w:sz="0" w:space="0" w:color="auto"/>
      </w:divBdr>
    </w:div>
    <w:div w:id="1471248830">
      <w:bodyDiv w:val="1"/>
      <w:marLeft w:val="0"/>
      <w:marRight w:val="0"/>
      <w:marTop w:val="0"/>
      <w:marBottom w:val="0"/>
      <w:divBdr>
        <w:top w:val="none" w:sz="0" w:space="0" w:color="auto"/>
        <w:left w:val="none" w:sz="0" w:space="0" w:color="auto"/>
        <w:bottom w:val="none" w:sz="0" w:space="0" w:color="auto"/>
        <w:right w:val="none" w:sz="0" w:space="0" w:color="auto"/>
      </w:divBdr>
    </w:div>
    <w:div w:id="1474635711">
      <w:bodyDiv w:val="1"/>
      <w:marLeft w:val="0"/>
      <w:marRight w:val="0"/>
      <w:marTop w:val="0"/>
      <w:marBottom w:val="0"/>
      <w:divBdr>
        <w:top w:val="none" w:sz="0" w:space="0" w:color="auto"/>
        <w:left w:val="none" w:sz="0" w:space="0" w:color="auto"/>
        <w:bottom w:val="none" w:sz="0" w:space="0" w:color="auto"/>
        <w:right w:val="none" w:sz="0" w:space="0" w:color="auto"/>
      </w:divBdr>
    </w:div>
    <w:div w:id="1475298237">
      <w:bodyDiv w:val="1"/>
      <w:marLeft w:val="0"/>
      <w:marRight w:val="0"/>
      <w:marTop w:val="0"/>
      <w:marBottom w:val="0"/>
      <w:divBdr>
        <w:top w:val="none" w:sz="0" w:space="0" w:color="auto"/>
        <w:left w:val="none" w:sz="0" w:space="0" w:color="auto"/>
        <w:bottom w:val="none" w:sz="0" w:space="0" w:color="auto"/>
        <w:right w:val="none" w:sz="0" w:space="0" w:color="auto"/>
      </w:divBdr>
      <w:divsChild>
        <w:div w:id="1075934104">
          <w:marLeft w:val="0"/>
          <w:marRight w:val="0"/>
          <w:marTop w:val="0"/>
          <w:marBottom w:val="0"/>
          <w:divBdr>
            <w:top w:val="none" w:sz="0" w:space="0" w:color="auto"/>
            <w:left w:val="none" w:sz="0" w:space="0" w:color="auto"/>
            <w:bottom w:val="none" w:sz="0" w:space="0" w:color="auto"/>
            <w:right w:val="none" w:sz="0" w:space="0" w:color="auto"/>
          </w:divBdr>
        </w:div>
      </w:divsChild>
    </w:div>
    <w:div w:id="1508861353">
      <w:bodyDiv w:val="1"/>
      <w:marLeft w:val="0"/>
      <w:marRight w:val="0"/>
      <w:marTop w:val="0"/>
      <w:marBottom w:val="0"/>
      <w:divBdr>
        <w:top w:val="none" w:sz="0" w:space="0" w:color="auto"/>
        <w:left w:val="none" w:sz="0" w:space="0" w:color="auto"/>
        <w:bottom w:val="none" w:sz="0" w:space="0" w:color="auto"/>
        <w:right w:val="none" w:sz="0" w:space="0" w:color="auto"/>
      </w:divBdr>
    </w:div>
    <w:div w:id="1530603457">
      <w:bodyDiv w:val="1"/>
      <w:marLeft w:val="0"/>
      <w:marRight w:val="0"/>
      <w:marTop w:val="0"/>
      <w:marBottom w:val="0"/>
      <w:divBdr>
        <w:top w:val="none" w:sz="0" w:space="0" w:color="auto"/>
        <w:left w:val="none" w:sz="0" w:space="0" w:color="auto"/>
        <w:bottom w:val="none" w:sz="0" w:space="0" w:color="auto"/>
        <w:right w:val="none" w:sz="0" w:space="0" w:color="auto"/>
      </w:divBdr>
    </w:div>
    <w:div w:id="1542786538">
      <w:bodyDiv w:val="1"/>
      <w:marLeft w:val="0"/>
      <w:marRight w:val="0"/>
      <w:marTop w:val="0"/>
      <w:marBottom w:val="0"/>
      <w:divBdr>
        <w:top w:val="none" w:sz="0" w:space="0" w:color="auto"/>
        <w:left w:val="none" w:sz="0" w:space="0" w:color="auto"/>
        <w:bottom w:val="none" w:sz="0" w:space="0" w:color="auto"/>
        <w:right w:val="none" w:sz="0" w:space="0" w:color="auto"/>
      </w:divBdr>
    </w:div>
    <w:div w:id="1545024541">
      <w:bodyDiv w:val="1"/>
      <w:marLeft w:val="0"/>
      <w:marRight w:val="0"/>
      <w:marTop w:val="0"/>
      <w:marBottom w:val="0"/>
      <w:divBdr>
        <w:top w:val="none" w:sz="0" w:space="0" w:color="auto"/>
        <w:left w:val="none" w:sz="0" w:space="0" w:color="auto"/>
        <w:bottom w:val="none" w:sz="0" w:space="0" w:color="auto"/>
        <w:right w:val="none" w:sz="0" w:space="0" w:color="auto"/>
      </w:divBdr>
    </w:div>
    <w:div w:id="1548368339">
      <w:bodyDiv w:val="1"/>
      <w:marLeft w:val="0"/>
      <w:marRight w:val="0"/>
      <w:marTop w:val="0"/>
      <w:marBottom w:val="0"/>
      <w:divBdr>
        <w:top w:val="none" w:sz="0" w:space="0" w:color="auto"/>
        <w:left w:val="none" w:sz="0" w:space="0" w:color="auto"/>
        <w:bottom w:val="none" w:sz="0" w:space="0" w:color="auto"/>
        <w:right w:val="none" w:sz="0" w:space="0" w:color="auto"/>
      </w:divBdr>
    </w:div>
    <w:div w:id="1557861501">
      <w:bodyDiv w:val="1"/>
      <w:marLeft w:val="0"/>
      <w:marRight w:val="0"/>
      <w:marTop w:val="0"/>
      <w:marBottom w:val="0"/>
      <w:divBdr>
        <w:top w:val="none" w:sz="0" w:space="0" w:color="auto"/>
        <w:left w:val="none" w:sz="0" w:space="0" w:color="auto"/>
        <w:bottom w:val="none" w:sz="0" w:space="0" w:color="auto"/>
        <w:right w:val="none" w:sz="0" w:space="0" w:color="auto"/>
      </w:divBdr>
    </w:div>
    <w:div w:id="1558468057">
      <w:bodyDiv w:val="1"/>
      <w:marLeft w:val="0"/>
      <w:marRight w:val="0"/>
      <w:marTop w:val="0"/>
      <w:marBottom w:val="0"/>
      <w:divBdr>
        <w:top w:val="none" w:sz="0" w:space="0" w:color="auto"/>
        <w:left w:val="none" w:sz="0" w:space="0" w:color="auto"/>
        <w:bottom w:val="none" w:sz="0" w:space="0" w:color="auto"/>
        <w:right w:val="none" w:sz="0" w:space="0" w:color="auto"/>
      </w:divBdr>
    </w:div>
    <w:div w:id="1567491441">
      <w:bodyDiv w:val="1"/>
      <w:marLeft w:val="0"/>
      <w:marRight w:val="0"/>
      <w:marTop w:val="0"/>
      <w:marBottom w:val="0"/>
      <w:divBdr>
        <w:top w:val="none" w:sz="0" w:space="0" w:color="auto"/>
        <w:left w:val="none" w:sz="0" w:space="0" w:color="auto"/>
        <w:bottom w:val="none" w:sz="0" w:space="0" w:color="auto"/>
        <w:right w:val="none" w:sz="0" w:space="0" w:color="auto"/>
      </w:divBdr>
    </w:div>
    <w:div w:id="1576160386">
      <w:bodyDiv w:val="1"/>
      <w:marLeft w:val="0"/>
      <w:marRight w:val="0"/>
      <w:marTop w:val="0"/>
      <w:marBottom w:val="0"/>
      <w:divBdr>
        <w:top w:val="none" w:sz="0" w:space="0" w:color="auto"/>
        <w:left w:val="none" w:sz="0" w:space="0" w:color="auto"/>
        <w:bottom w:val="none" w:sz="0" w:space="0" w:color="auto"/>
        <w:right w:val="none" w:sz="0" w:space="0" w:color="auto"/>
      </w:divBdr>
    </w:div>
    <w:div w:id="1638536083">
      <w:bodyDiv w:val="1"/>
      <w:marLeft w:val="0"/>
      <w:marRight w:val="0"/>
      <w:marTop w:val="0"/>
      <w:marBottom w:val="0"/>
      <w:divBdr>
        <w:top w:val="none" w:sz="0" w:space="0" w:color="auto"/>
        <w:left w:val="none" w:sz="0" w:space="0" w:color="auto"/>
        <w:bottom w:val="none" w:sz="0" w:space="0" w:color="auto"/>
        <w:right w:val="none" w:sz="0" w:space="0" w:color="auto"/>
      </w:divBdr>
    </w:div>
    <w:div w:id="1655380244">
      <w:bodyDiv w:val="1"/>
      <w:marLeft w:val="0"/>
      <w:marRight w:val="0"/>
      <w:marTop w:val="0"/>
      <w:marBottom w:val="0"/>
      <w:divBdr>
        <w:top w:val="none" w:sz="0" w:space="0" w:color="auto"/>
        <w:left w:val="none" w:sz="0" w:space="0" w:color="auto"/>
        <w:bottom w:val="none" w:sz="0" w:space="0" w:color="auto"/>
        <w:right w:val="none" w:sz="0" w:space="0" w:color="auto"/>
      </w:divBdr>
    </w:div>
    <w:div w:id="1660423314">
      <w:bodyDiv w:val="1"/>
      <w:marLeft w:val="0"/>
      <w:marRight w:val="0"/>
      <w:marTop w:val="0"/>
      <w:marBottom w:val="0"/>
      <w:divBdr>
        <w:top w:val="none" w:sz="0" w:space="0" w:color="auto"/>
        <w:left w:val="none" w:sz="0" w:space="0" w:color="auto"/>
        <w:bottom w:val="none" w:sz="0" w:space="0" w:color="auto"/>
        <w:right w:val="none" w:sz="0" w:space="0" w:color="auto"/>
      </w:divBdr>
    </w:div>
    <w:div w:id="1679383031">
      <w:bodyDiv w:val="1"/>
      <w:marLeft w:val="0"/>
      <w:marRight w:val="0"/>
      <w:marTop w:val="0"/>
      <w:marBottom w:val="0"/>
      <w:divBdr>
        <w:top w:val="none" w:sz="0" w:space="0" w:color="auto"/>
        <w:left w:val="none" w:sz="0" w:space="0" w:color="auto"/>
        <w:bottom w:val="none" w:sz="0" w:space="0" w:color="auto"/>
        <w:right w:val="none" w:sz="0" w:space="0" w:color="auto"/>
      </w:divBdr>
    </w:div>
    <w:div w:id="1684623328">
      <w:bodyDiv w:val="1"/>
      <w:marLeft w:val="0"/>
      <w:marRight w:val="0"/>
      <w:marTop w:val="0"/>
      <w:marBottom w:val="0"/>
      <w:divBdr>
        <w:top w:val="none" w:sz="0" w:space="0" w:color="auto"/>
        <w:left w:val="none" w:sz="0" w:space="0" w:color="auto"/>
        <w:bottom w:val="none" w:sz="0" w:space="0" w:color="auto"/>
        <w:right w:val="none" w:sz="0" w:space="0" w:color="auto"/>
      </w:divBdr>
    </w:div>
    <w:div w:id="1707560179">
      <w:bodyDiv w:val="1"/>
      <w:marLeft w:val="0"/>
      <w:marRight w:val="0"/>
      <w:marTop w:val="0"/>
      <w:marBottom w:val="0"/>
      <w:divBdr>
        <w:top w:val="none" w:sz="0" w:space="0" w:color="auto"/>
        <w:left w:val="none" w:sz="0" w:space="0" w:color="auto"/>
        <w:bottom w:val="none" w:sz="0" w:space="0" w:color="auto"/>
        <w:right w:val="none" w:sz="0" w:space="0" w:color="auto"/>
      </w:divBdr>
    </w:div>
    <w:div w:id="1741949300">
      <w:bodyDiv w:val="1"/>
      <w:marLeft w:val="0"/>
      <w:marRight w:val="0"/>
      <w:marTop w:val="0"/>
      <w:marBottom w:val="0"/>
      <w:divBdr>
        <w:top w:val="none" w:sz="0" w:space="0" w:color="auto"/>
        <w:left w:val="none" w:sz="0" w:space="0" w:color="auto"/>
        <w:bottom w:val="none" w:sz="0" w:space="0" w:color="auto"/>
        <w:right w:val="none" w:sz="0" w:space="0" w:color="auto"/>
      </w:divBdr>
    </w:div>
    <w:div w:id="1815490883">
      <w:bodyDiv w:val="1"/>
      <w:marLeft w:val="0"/>
      <w:marRight w:val="0"/>
      <w:marTop w:val="0"/>
      <w:marBottom w:val="0"/>
      <w:divBdr>
        <w:top w:val="none" w:sz="0" w:space="0" w:color="auto"/>
        <w:left w:val="none" w:sz="0" w:space="0" w:color="auto"/>
        <w:bottom w:val="none" w:sz="0" w:space="0" w:color="auto"/>
        <w:right w:val="none" w:sz="0" w:space="0" w:color="auto"/>
      </w:divBdr>
    </w:div>
    <w:div w:id="1823428600">
      <w:bodyDiv w:val="1"/>
      <w:marLeft w:val="0"/>
      <w:marRight w:val="0"/>
      <w:marTop w:val="0"/>
      <w:marBottom w:val="0"/>
      <w:divBdr>
        <w:top w:val="none" w:sz="0" w:space="0" w:color="auto"/>
        <w:left w:val="none" w:sz="0" w:space="0" w:color="auto"/>
        <w:bottom w:val="none" w:sz="0" w:space="0" w:color="auto"/>
        <w:right w:val="none" w:sz="0" w:space="0" w:color="auto"/>
      </w:divBdr>
    </w:div>
    <w:div w:id="1835340315">
      <w:bodyDiv w:val="1"/>
      <w:marLeft w:val="0"/>
      <w:marRight w:val="0"/>
      <w:marTop w:val="0"/>
      <w:marBottom w:val="0"/>
      <w:divBdr>
        <w:top w:val="none" w:sz="0" w:space="0" w:color="auto"/>
        <w:left w:val="none" w:sz="0" w:space="0" w:color="auto"/>
        <w:bottom w:val="none" w:sz="0" w:space="0" w:color="auto"/>
        <w:right w:val="none" w:sz="0" w:space="0" w:color="auto"/>
      </w:divBdr>
    </w:div>
    <w:div w:id="1839692341">
      <w:bodyDiv w:val="1"/>
      <w:marLeft w:val="0"/>
      <w:marRight w:val="0"/>
      <w:marTop w:val="0"/>
      <w:marBottom w:val="0"/>
      <w:divBdr>
        <w:top w:val="none" w:sz="0" w:space="0" w:color="auto"/>
        <w:left w:val="none" w:sz="0" w:space="0" w:color="auto"/>
        <w:bottom w:val="none" w:sz="0" w:space="0" w:color="auto"/>
        <w:right w:val="none" w:sz="0" w:space="0" w:color="auto"/>
      </w:divBdr>
    </w:div>
    <w:div w:id="1892955843">
      <w:bodyDiv w:val="1"/>
      <w:marLeft w:val="0"/>
      <w:marRight w:val="0"/>
      <w:marTop w:val="0"/>
      <w:marBottom w:val="0"/>
      <w:divBdr>
        <w:top w:val="none" w:sz="0" w:space="0" w:color="auto"/>
        <w:left w:val="none" w:sz="0" w:space="0" w:color="auto"/>
        <w:bottom w:val="none" w:sz="0" w:space="0" w:color="auto"/>
        <w:right w:val="none" w:sz="0" w:space="0" w:color="auto"/>
      </w:divBdr>
    </w:div>
    <w:div w:id="1905485207">
      <w:bodyDiv w:val="1"/>
      <w:marLeft w:val="0"/>
      <w:marRight w:val="0"/>
      <w:marTop w:val="0"/>
      <w:marBottom w:val="0"/>
      <w:divBdr>
        <w:top w:val="none" w:sz="0" w:space="0" w:color="auto"/>
        <w:left w:val="none" w:sz="0" w:space="0" w:color="auto"/>
        <w:bottom w:val="none" w:sz="0" w:space="0" w:color="auto"/>
        <w:right w:val="none" w:sz="0" w:space="0" w:color="auto"/>
      </w:divBdr>
    </w:div>
    <w:div w:id="1947500123">
      <w:bodyDiv w:val="1"/>
      <w:marLeft w:val="0"/>
      <w:marRight w:val="0"/>
      <w:marTop w:val="0"/>
      <w:marBottom w:val="0"/>
      <w:divBdr>
        <w:top w:val="none" w:sz="0" w:space="0" w:color="auto"/>
        <w:left w:val="none" w:sz="0" w:space="0" w:color="auto"/>
        <w:bottom w:val="none" w:sz="0" w:space="0" w:color="auto"/>
        <w:right w:val="none" w:sz="0" w:space="0" w:color="auto"/>
      </w:divBdr>
    </w:div>
    <w:div w:id="1952976602">
      <w:bodyDiv w:val="1"/>
      <w:marLeft w:val="0"/>
      <w:marRight w:val="0"/>
      <w:marTop w:val="0"/>
      <w:marBottom w:val="0"/>
      <w:divBdr>
        <w:top w:val="none" w:sz="0" w:space="0" w:color="auto"/>
        <w:left w:val="none" w:sz="0" w:space="0" w:color="auto"/>
        <w:bottom w:val="none" w:sz="0" w:space="0" w:color="auto"/>
        <w:right w:val="none" w:sz="0" w:space="0" w:color="auto"/>
      </w:divBdr>
    </w:div>
    <w:div w:id="1972900812">
      <w:bodyDiv w:val="1"/>
      <w:marLeft w:val="0"/>
      <w:marRight w:val="0"/>
      <w:marTop w:val="0"/>
      <w:marBottom w:val="0"/>
      <w:divBdr>
        <w:top w:val="none" w:sz="0" w:space="0" w:color="auto"/>
        <w:left w:val="none" w:sz="0" w:space="0" w:color="auto"/>
        <w:bottom w:val="none" w:sz="0" w:space="0" w:color="auto"/>
        <w:right w:val="none" w:sz="0" w:space="0" w:color="auto"/>
      </w:divBdr>
    </w:div>
    <w:div w:id="1978878044">
      <w:bodyDiv w:val="1"/>
      <w:marLeft w:val="0"/>
      <w:marRight w:val="0"/>
      <w:marTop w:val="0"/>
      <w:marBottom w:val="0"/>
      <w:divBdr>
        <w:top w:val="none" w:sz="0" w:space="0" w:color="auto"/>
        <w:left w:val="none" w:sz="0" w:space="0" w:color="auto"/>
        <w:bottom w:val="none" w:sz="0" w:space="0" w:color="auto"/>
        <w:right w:val="none" w:sz="0" w:space="0" w:color="auto"/>
      </w:divBdr>
    </w:div>
    <w:div w:id="2016420381">
      <w:bodyDiv w:val="1"/>
      <w:marLeft w:val="0"/>
      <w:marRight w:val="0"/>
      <w:marTop w:val="0"/>
      <w:marBottom w:val="0"/>
      <w:divBdr>
        <w:top w:val="none" w:sz="0" w:space="0" w:color="auto"/>
        <w:left w:val="none" w:sz="0" w:space="0" w:color="auto"/>
        <w:bottom w:val="none" w:sz="0" w:space="0" w:color="auto"/>
        <w:right w:val="none" w:sz="0" w:space="0" w:color="auto"/>
      </w:divBdr>
    </w:div>
    <w:div w:id="2026832511">
      <w:bodyDiv w:val="1"/>
      <w:marLeft w:val="0"/>
      <w:marRight w:val="0"/>
      <w:marTop w:val="0"/>
      <w:marBottom w:val="0"/>
      <w:divBdr>
        <w:top w:val="none" w:sz="0" w:space="0" w:color="auto"/>
        <w:left w:val="none" w:sz="0" w:space="0" w:color="auto"/>
        <w:bottom w:val="none" w:sz="0" w:space="0" w:color="auto"/>
        <w:right w:val="none" w:sz="0" w:space="0" w:color="auto"/>
      </w:divBdr>
    </w:div>
    <w:div w:id="2037923390">
      <w:bodyDiv w:val="1"/>
      <w:marLeft w:val="0"/>
      <w:marRight w:val="0"/>
      <w:marTop w:val="0"/>
      <w:marBottom w:val="0"/>
      <w:divBdr>
        <w:top w:val="none" w:sz="0" w:space="0" w:color="auto"/>
        <w:left w:val="none" w:sz="0" w:space="0" w:color="auto"/>
        <w:bottom w:val="none" w:sz="0" w:space="0" w:color="auto"/>
        <w:right w:val="none" w:sz="0" w:space="0" w:color="auto"/>
      </w:divBdr>
    </w:div>
    <w:div w:id="2084058227">
      <w:bodyDiv w:val="1"/>
      <w:marLeft w:val="0"/>
      <w:marRight w:val="0"/>
      <w:marTop w:val="0"/>
      <w:marBottom w:val="0"/>
      <w:divBdr>
        <w:top w:val="none" w:sz="0" w:space="0" w:color="auto"/>
        <w:left w:val="none" w:sz="0" w:space="0" w:color="auto"/>
        <w:bottom w:val="none" w:sz="0" w:space="0" w:color="auto"/>
        <w:right w:val="none" w:sz="0" w:space="0" w:color="auto"/>
      </w:divBdr>
    </w:div>
    <w:div w:id="2121559255">
      <w:bodyDiv w:val="1"/>
      <w:marLeft w:val="0"/>
      <w:marRight w:val="0"/>
      <w:marTop w:val="0"/>
      <w:marBottom w:val="0"/>
      <w:divBdr>
        <w:top w:val="none" w:sz="0" w:space="0" w:color="auto"/>
        <w:left w:val="none" w:sz="0" w:space="0" w:color="auto"/>
        <w:bottom w:val="none" w:sz="0" w:space="0" w:color="auto"/>
        <w:right w:val="none" w:sz="0" w:space="0" w:color="auto"/>
      </w:divBdr>
    </w:div>
    <w:div w:id="2127844904">
      <w:bodyDiv w:val="1"/>
      <w:marLeft w:val="0"/>
      <w:marRight w:val="0"/>
      <w:marTop w:val="0"/>
      <w:marBottom w:val="0"/>
      <w:divBdr>
        <w:top w:val="none" w:sz="0" w:space="0" w:color="auto"/>
        <w:left w:val="none" w:sz="0" w:space="0" w:color="auto"/>
        <w:bottom w:val="none" w:sz="0" w:space="0" w:color="auto"/>
        <w:right w:val="none" w:sz="0" w:space="0" w:color="auto"/>
      </w:divBdr>
    </w:div>
    <w:div w:id="2138792508">
      <w:bodyDiv w:val="1"/>
      <w:marLeft w:val="0"/>
      <w:marRight w:val="0"/>
      <w:marTop w:val="0"/>
      <w:marBottom w:val="0"/>
      <w:divBdr>
        <w:top w:val="none" w:sz="0" w:space="0" w:color="auto"/>
        <w:left w:val="none" w:sz="0" w:space="0" w:color="auto"/>
        <w:bottom w:val="none" w:sz="0" w:space="0" w:color="auto"/>
        <w:right w:val="none" w:sz="0" w:space="0" w:color="auto"/>
      </w:divBdr>
    </w:div>
    <w:div w:id="2146585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imex.org.mx/saimex/solicitud/downloadAttach/647851.page" TargetMode="External"/><Relationship Id="rId18" Type="http://schemas.openxmlformats.org/officeDocument/2006/relationships/hyperlink" Target="https://www.saimex.org.mx/saimex/solicitud/downloadAttach/672905.page" TargetMode="External"/><Relationship Id="rId26" Type="http://schemas.openxmlformats.org/officeDocument/2006/relationships/image" Target="media/image1.png"/><Relationship Id="rId39" Type="http://schemas.openxmlformats.org/officeDocument/2006/relationships/image" Target="media/image14.emf"/><Relationship Id="rId21" Type="http://schemas.openxmlformats.org/officeDocument/2006/relationships/hyperlink" Target="https://www.saimex.org.mx/saimex/solicitud/downloadAttach/672908.page" TargetMode="External"/><Relationship Id="rId34" Type="http://schemas.openxmlformats.org/officeDocument/2006/relationships/image" Target="media/image9.emf"/><Relationship Id="rId42" Type="http://schemas.openxmlformats.org/officeDocument/2006/relationships/image" Target="media/image17.emf"/><Relationship Id="rId47" Type="http://schemas.openxmlformats.org/officeDocument/2006/relationships/image" Target="media/image22.emf"/><Relationship Id="rId50" Type="http://schemas.openxmlformats.org/officeDocument/2006/relationships/image" Target="media/image25.emf"/><Relationship Id="rId55" Type="http://schemas.openxmlformats.org/officeDocument/2006/relationships/image" Target="media/image3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aimex.org.mx/saimex/solicitud/downloadAttach/672903.page" TargetMode="External"/><Relationship Id="rId29" Type="http://schemas.openxmlformats.org/officeDocument/2006/relationships/image" Target="media/image4.emf"/><Relationship Id="rId11" Type="http://schemas.openxmlformats.org/officeDocument/2006/relationships/hyperlink" Target="https://www.saimex.org.mx/saimex/solicitud/downloadAttach/647849.page" TargetMode="External"/><Relationship Id="rId24" Type="http://schemas.openxmlformats.org/officeDocument/2006/relationships/hyperlink" Target="https://www.saimex.org.mx/saimex/solicitud/downloadAttach/672911.page" TargetMode="External"/><Relationship Id="rId32" Type="http://schemas.openxmlformats.org/officeDocument/2006/relationships/image" Target="media/image7.emf"/><Relationship Id="rId37" Type="http://schemas.openxmlformats.org/officeDocument/2006/relationships/image" Target="media/image12.emf"/><Relationship Id="rId40" Type="http://schemas.openxmlformats.org/officeDocument/2006/relationships/image" Target="media/image15.emf"/><Relationship Id="rId45" Type="http://schemas.openxmlformats.org/officeDocument/2006/relationships/image" Target="media/image20.emf"/><Relationship Id="rId53" Type="http://schemas.openxmlformats.org/officeDocument/2006/relationships/image" Target="media/image28.emf"/><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www.saimex.org.mx/saimex/solicitud/downloadAttach/672906.page" TargetMode="External"/><Relationship Id="rId14" Type="http://schemas.openxmlformats.org/officeDocument/2006/relationships/hyperlink" Target="https://www.saimex.org.mx/saimex/solicitud/downloadAttach/672901.page" TargetMode="External"/><Relationship Id="rId22" Type="http://schemas.openxmlformats.org/officeDocument/2006/relationships/hyperlink" Target="https://www.saimex.org.mx/saimex/solicitud/downloadAttach/672909.page" TargetMode="External"/><Relationship Id="rId27" Type="http://schemas.openxmlformats.org/officeDocument/2006/relationships/image" Target="media/image2.png"/><Relationship Id="rId30" Type="http://schemas.openxmlformats.org/officeDocument/2006/relationships/image" Target="media/image5.emf"/><Relationship Id="rId35"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image" Target="media/image23.emf"/><Relationship Id="rId56" Type="http://schemas.openxmlformats.org/officeDocument/2006/relationships/header" Target="header1.xml"/><Relationship Id="rId8" Type="http://schemas.openxmlformats.org/officeDocument/2006/relationships/hyperlink" Target="https://www.saimex.org.mx/saimex/solicitud/downloadAttach/647846.page" TargetMode="External"/><Relationship Id="rId51" Type="http://schemas.openxmlformats.org/officeDocument/2006/relationships/image" Target="media/image26.emf"/><Relationship Id="rId3" Type="http://schemas.openxmlformats.org/officeDocument/2006/relationships/styles" Target="styles.xml"/><Relationship Id="rId12" Type="http://schemas.openxmlformats.org/officeDocument/2006/relationships/hyperlink" Target="https://www.saimex.org.mx/saimex/solicitud/downloadAttach/647850.page" TargetMode="External"/><Relationship Id="rId17" Type="http://schemas.openxmlformats.org/officeDocument/2006/relationships/hyperlink" Target="https://www.saimex.org.mx/saimex/solicitud/downloadAttach/672904.page" TargetMode="External"/><Relationship Id="rId25" Type="http://schemas.openxmlformats.org/officeDocument/2006/relationships/hyperlink" Target="https://www.saimex.org.mx/saimex/solicitud/downloadAttach/672912.page" TargetMode="External"/><Relationship Id="rId33" Type="http://schemas.openxmlformats.org/officeDocument/2006/relationships/image" Target="media/image8.emf"/><Relationship Id="rId38" Type="http://schemas.openxmlformats.org/officeDocument/2006/relationships/image" Target="media/image13.emf"/><Relationship Id="rId46" Type="http://schemas.openxmlformats.org/officeDocument/2006/relationships/image" Target="media/image21.emf"/><Relationship Id="rId59" Type="http://schemas.openxmlformats.org/officeDocument/2006/relationships/footer" Target="footer2.xml"/><Relationship Id="rId20" Type="http://schemas.openxmlformats.org/officeDocument/2006/relationships/hyperlink" Target="https://www.saimex.org.mx/saimex/solicitud/downloadAttach/672907.page" TargetMode="External"/><Relationship Id="rId41" Type="http://schemas.openxmlformats.org/officeDocument/2006/relationships/image" Target="media/image16.emf"/><Relationship Id="rId54"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aimex.org.mx/saimex/solicitud/downloadAttach/672902.page" TargetMode="External"/><Relationship Id="rId23" Type="http://schemas.openxmlformats.org/officeDocument/2006/relationships/hyperlink" Target="https://www.saimex.org.mx/saimex/solicitud/downloadAttach/672910.page" TargetMode="External"/><Relationship Id="rId28" Type="http://schemas.openxmlformats.org/officeDocument/2006/relationships/image" Target="media/image3.png"/><Relationship Id="rId36" Type="http://schemas.openxmlformats.org/officeDocument/2006/relationships/image" Target="media/image11.emf"/><Relationship Id="rId49" Type="http://schemas.openxmlformats.org/officeDocument/2006/relationships/image" Target="media/image24.emf"/><Relationship Id="rId57" Type="http://schemas.openxmlformats.org/officeDocument/2006/relationships/footer" Target="footer1.xml"/><Relationship Id="rId10" Type="http://schemas.openxmlformats.org/officeDocument/2006/relationships/hyperlink" Target="https://www.saimex.org.mx/saimex/solicitud/downloadAttach/647848.page" TargetMode="External"/><Relationship Id="rId31" Type="http://schemas.openxmlformats.org/officeDocument/2006/relationships/image" Target="media/image6.emf"/><Relationship Id="rId44" Type="http://schemas.openxmlformats.org/officeDocument/2006/relationships/image" Target="media/image19.emf"/><Relationship Id="rId52" Type="http://schemas.openxmlformats.org/officeDocument/2006/relationships/image" Target="media/image27.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saimex.org.mx/saimex/solicitud/downloadAttach/647847.pag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8DD5DF-182F-43B6-BD3C-B29AD818B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132</Pages>
  <Words>18118</Words>
  <Characters>99649</Characters>
  <Application>Microsoft Office Word</Application>
  <DocSecurity>0</DocSecurity>
  <Lines>830</Lines>
  <Paragraphs>235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7</cp:revision>
  <cp:lastPrinted>2019-05-13T20:33:00Z</cp:lastPrinted>
  <dcterms:created xsi:type="dcterms:W3CDTF">2019-05-13T20:55:00Z</dcterms:created>
  <dcterms:modified xsi:type="dcterms:W3CDTF">2019-05-27T22:56:00Z</dcterms:modified>
</cp:coreProperties>
</file>