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487209" w:rsidRDefault="002A5BA4" w:rsidP="00487209">
      <w:pPr>
        <w:spacing w:line="360" w:lineRule="auto"/>
        <w:ind w:left="708" w:hanging="708"/>
        <w:jc w:val="center"/>
        <w:rPr>
          <w:rFonts w:ascii="Palatino Linotype" w:eastAsia="Times New Roman" w:hAnsi="Palatino Linotype" w:cs="Times New Roman"/>
          <w:b/>
        </w:rPr>
      </w:pPr>
      <w:r w:rsidRPr="00487209">
        <w:rPr>
          <w:rFonts w:ascii="Palatino Linotype" w:eastAsia="Times New Roman" w:hAnsi="Palatino Linotype" w:cs="Times New Roman"/>
          <w:b/>
        </w:rPr>
        <w:t>LÍNEAS ARGUMENTATIVAS</w:t>
      </w:r>
    </w:p>
    <w:p w:rsidR="0022360C" w:rsidRPr="00487209" w:rsidRDefault="0022360C" w:rsidP="00487209">
      <w:pPr>
        <w:spacing w:before="240" w:after="240" w:line="360" w:lineRule="auto"/>
        <w:jc w:val="both"/>
        <w:rPr>
          <w:rFonts w:ascii="Palatino Linotype" w:eastAsia="Times New Roman" w:hAnsi="Palatino Linotype" w:cs="Arial"/>
          <w:color w:val="000000" w:themeColor="text1"/>
          <w:lang w:val="es-ES" w:eastAsia="es-MX"/>
        </w:rPr>
      </w:pPr>
      <w:r w:rsidRPr="00487209">
        <w:rPr>
          <w:rFonts w:ascii="Palatino Linotype" w:hAnsi="Palatino Linotype"/>
          <w:b/>
        </w:rPr>
        <w:t>NEGATIVA FICTA, NO EXISTE PLAZO PERENTORIO PARA INTERPONER EL RECURSO.</w:t>
      </w:r>
      <w:r w:rsidRPr="00487209">
        <w:rPr>
          <w:rFonts w:ascii="Palatino Linotype" w:hAnsi="Palatino Linotype"/>
        </w:rPr>
        <w:t xml:space="preserve"> </w:t>
      </w:r>
      <w:r w:rsidRPr="00487209">
        <w:rPr>
          <w:rFonts w:ascii="Palatino Linotype" w:eastAsia="Times New Roman" w:hAnsi="Palatino Linotype" w:cs="Arial"/>
          <w:color w:val="000000" w:themeColor="text1"/>
          <w:lang w:val="es-ES" w:eastAsia="es-MX"/>
        </w:rPr>
        <w:t xml:space="preserve">Tratándose de negativa ficta no existe plazo para la interposición del recurso de revisión por tratarse de una afectación continua al Derecho de Acceso a la Información Pública. </w:t>
      </w:r>
    </w:p>
    <w:p w:rsidR="006719D3" w:rsidRPr="00487209" w:rsidRDefault="006719D3" w:rsidP="00487209">
      <w:pPr>
        <w:spacing w:before="240" w:after="240" w:line="360" w:lineRule="auto"/>
        <w:jc w:val="both"/>
        <w:rPr>
          <w:rFonts w:ascii="Palatino Linotype" w:eastAsia="MS Mincho" w:hAnsi="Palatino Linotype" w:cs="Times New Roman"/>
        </w:rPr>
      </w:pPr>
      <w:r w:rsidRPr="00487209">
        <w:rPr>
          <w:rFonts w:ascii="Palatino Linotype" w:hAnsi="Palatino Linotype"/>
          <w:b/>
        </w:rPr>
        <w:t xml:space="preserve">INFORME JUSTIFICADO, FALTA DE. </w:t>
      </w:r>
      <w:r w:rsidRPr="00487209">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22360C" w:rsidRDefault="0022360C" w:rsidP="00487209">
      <w:pPr>
        <w:spacing w:line="360" w:lineRule="auto"/>
        <w:jc w:val="both"/>
        <w:rPr>
          <w:rFonts w:ascii="Palatino Linotype" w:hAnsi="Palatino Linotype"/>
        </w:rPr>
      </w:pPr>
      <w:r w:rsidRPr="00487209">
        <w:rPr>
          <w:rFonts w:ascii="Palatino Linotype" w:hAnsi="Palatino Linotype"/>
          <w:b/>
        </w:rPr>
        <w:t xml:space="preserve">DE LA SUPLENCIA DE LA QUEJA. </w:t>
      </w:r>
      <w:r w:rsidRPr="00487209">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487209">
        <w:rPr>
          <w:rFonts w:ascii="Palatino Linotype" w:hAnsi="Palatino Linotype"/>
        </w:rPr>
        <w:t>promovente</w:t>
      </w:r>
      <w:proofErr w:type="spellEnd"/>
      <w:r w:rsidRPr="00487209">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487209">
        <w:rPr>
          <w:rFonts w:ascii="Palatino Linotype" w:hAnsi="Palatino Linotype"/>
        </w:rPr>
        <w:t>pro</w:t>
      </w:r>
      <w:proofErr w:type="spellEnd"/>
      <w:r w:rsidRPr="00487209">
        <w:rPr>
          <w:rFonts w:ascii="Palatino Linotype" w:hAnsi="Palatino Linotype"/>
        </w:rPr>
        <w:t xml:space="preserve"> persona.</w:t>
      </w:r>
    </w:p>
    <w:p w:rsidR="00487209" w:rsidRPr="00487209" w:rsidRDefault="00487209" w:rsidP="00487209">
      <w:pPr>
        <w:spacing w:line="360" w:lineRule="auto"/>
        <w:jc w:val="both"/>
        <w:rPr>
          <w:rFonts w:ascii="Palatino Linotype" w:hAnsi="Palatino Linotype"/>
        </w:rPr>
      </w:pPr>
    </w:p>
    <w:p w:rsidR="001025FA" w:rsidRDefault="00487209" w:rsidP="00487209">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2742757</wp:posOffset>
                </wp:positionV>
                <wp:extent cx="5506278" cy="4810539"/>
                <wp:effectExtent l="19050" t="19050" r="18415" b="28575"/>
                <wp:wrapNone/>
                <wp:docPr id="1" name="Conector recto 1"/>
                <wp:cNvGraphicFramePr/>
                <a:graphic xmlns:a="http://schemas.openxmlformats.org/drawingml/2006/main">
                  <a:graphicData uri="http://schemas.microsoft.com/office/word/2010/wordprocessingShape">
                    <wps:wsp>
                      <wps:cNvCnPr/>
                      <wps:spPr>
                        <a:xfrm flipH="1" flipV="1">
                          <a:off x="0" y="0"/>
                          <a:ext cx="5506278" cy="48105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9633C"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5pt,215.95pt" to="815.9pt,5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" strokecolor="#5b9bd5 [3204]" strokeweight="3pt">
                <v:stroke joinstyle="miter"/>
                <w10:wrap anchorx="margin"/>
              </v:line>
            </w:pict>
          </mc:Fallback>
        </mc:AlternateContent>
      </w:r>
      <w:r w:rsidR="00F77E6F" w:rsidRPr="00487209">
        <w:rPr>
          <w:rFonts w:ascii="Palatino Linotype" w:eastAsia="Calibri" w:hAnsi="Palatino Linotype" w:cs="Arial"/>
          <w:b/>
          <w:lang w:val="es-ES" w:eastAsia="es-MX"/>
        </w:rPr>
        <w:t>DE LAS FORMALIDADES LEGALES DE LA CLASIFICACIÓN DE LA INFORMACIÓN.</w:t>
      </w:r>
      <w:r w:rsidR="00F77E6F" w:rsidRPr="00487209">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487209">
        <w:rPr>
          <w:rFonts w:ascii="Palatino Linotype" w:eastAsia="Calibri" w:hAnsi="Palatino Linotype" w:cs="Arial"/>
          <w:bCs/>
          <w:lang w:val="es-MX" w:eastAsia="en-US"/>
        </w:rPr>
        <w:t xml:space="preserve"> VIII,</w:t>
      </w:r>
      <w:r w:rsidR="00F77E6F" w:rsidRPr="00487209">
        <w:rPr>
          <w:rFonts w:ascii="Palatino Linotype" w:eastAsia="Calibri" w:hAnsi="Palatino Linotype" w:cs="Arial"/>
          <w:lang w:val="es-ES" w:eastAsia="es-MX"/>
        </w:rPr>
        <w:t xml:space="preserve"> 122, 135 </w:t>
      </w:r>
      <w:r w:rsidR="00F77E6F" w:rsidRPr="00487209">
        <w:rPr>
          <w:rFonts w:ascii="Palatino Linotype" w:hAnsi="Palatino Linotype" w:cs="Arial"/>
        </w:rPr>
        <w:t>143 y 149, así como los establecido en los Lineamientos Generales en Materia de Clasificación</w:t>
      </w:r>
      <w:r w:rsidR="00F77E6F" w:rsidRPr="00487209">
        <w:rPr>
          <w:rFonts w:ascii="Palatino Linotype" w:hAnsi="Palatino Linotype"/>
        </w:rPr>
        <w:t xml:space="preserve"> </w:t>
      </w:r>
      <w:r w:rsidR="00F77E6F" w:rsidRPr="00487209">
        <w:rPr>
          <w:rFonts w:ascii="Palatino Linotype" w:hAnsi="Palatino Linotype" w:cs="Arial"/>
        </w:rPr>
        <w:t>y Desclasificación de la Información.</w:t>
      </w: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Default="00487209" w:rsidP="00487209">
      <w:pPr>
        <w:spacing w:before="240" w:after="240" w:line="360" w:lineRule="auto"/>
        <w:jc w:val="both"/>
        <w:rPr>
          <w:rFonts w:ascii="Palatino Linotype" w:hAnsi="Palatino Linotype" w:cs="Arial"/>
        </w:rPr>
      </w:pPr>
    </w:p>
    <w:p w:rsidR="00487209" w:rsidRPr="00487209" w:rsidRDefault="00487209" w:rsidP="00487209">
      <w:pPr>
        <w:spacing w:before="240" w:after="240" w:line="360" w:lineRule="auto"/>
        <w:jc w:val="both"/>
        <w:rPr>
          <w:rFonts w:ascii="Palatino Linotype" w:hAnsi="Palatino Linotype" w:cs="Arial"/>
        </w:rPr>
      </w:pPr>
    </w:p>
    <w:p w:rsidR="002A5BA4" w:rsidRPr="00487209" w:rsidRDefault="002A5BA4" w:rsidP="00487209">
      <w:pPr>
        <w:spacing w:before="240" w:after="240" w:line="360" w:lineRule="auto"/>
        <w:jc w:val="center"/>
        <w:rPr>
          <w:rFonts w:ascii="Palatino Linotype" w:hAnsi="Palatino Linotype"/>
        </w:rPr>
      </w:pPr>
      <w:r w:rsidRPr="00487209">
        <w:rPr>
          <w:rFonts w:ascii="Palatino Linotype" w:hAnsi="Palatino Linotype"/>
          <w:b/>
        </w:rPr>
        <w:t>Índice</w:t>
      </w:r>
      <w:r w:rsidRPr="0048720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487209" w:rsidRDefault="002A5BA4" w:rsidP="00487209">
          <w:pPr>
            <w:pStyle w:val="TtulodeTDC"/>
            <w:spacing w:line="360" w:lineRule="auto"/>
            <w:jc w:val="both"/>
            <w:rPr>
              <w:szCs w:val="24"/>
            </w:rPr>
          </w:pPr>
        </w:p>
        <w:p w:rsidR="00487209" w:rsidRDefault="002A5BA4" w:rsidP="00487209">
          <w:pPr>
            <w:pStyle w:val="TDC1"/>
            <w:jc w:val="both"/>
            <w:rPr>
              <w:noProof/>
              <w:sz w:val="22"/>
              <w:szCs w:val="22"/>
              <w:lang w:val="es-MX" w:eastAsia="es-MX"/>
            </w:rPr>
          </w:pPr>
          <w:r w:rsidRPr="00487209">
            <w:rPr>
              <w:rFonts w:ascii="Palatino Linotype" w:hAnsi="Palatino Linotype"/>
              <w:b/>
            </w:rPr>
            <w:fldChar w:fldCharType="begin"/>
          </w:r>
          <w:r w:rsidRPr="00487209">
            <w:rPr>
              <w:rFonts w:ascii="Palatino Linotype" w:hAnsi="Palatino Linotype"/>
              <w:b/>
            </w:rPr>
            <w:instrText xml:space="preserve"> TOC \o "1-3" \h \z \u </w:instrText>
          </w:r>
          <w:r w:rsidRPr="00487209">
            <w:rPr>
              <w:rFonts w:ascii="Palatino Linotype" w:hAnsi="Palatino Linotype"/>
              <w:b/>
            </w:rPr>
            <w:fldChar w:fldCharType="separate"/>
          </w:r>
          <w:hyperlink w:anchor="_Toc24028873" w:history="1">
            <w:r w:rsidR="00487209" w:rsidRPr="00A754C9">
              <w:rPr>
                <w:rStyle w:val="Hipervnculo"/>
                <w:noProof/>
              </w:rPr>
              <w:t>ANTECEDENTES</w:t>
            </w:r>
            <w:r w:rsidR="00487209">
              <w:rPr>
                <w:noProof/>
                <w:webHidden/>
              </w:rPr>
              <w:tab/>
            </w:r>
            <w:r w:rsidR="00487209">
              <w:rPr>
                <w:noProof/>
                <w:webHidden/>
              </w:rPr>
              <w:fldChar w:fldCharType="begin"/>
            </w:r>
            <w:r w:rsidR="00487209">
              <w:rPr>
                <w:noProof/>
                <w:webHidden/>
              </w:rPr>
              <w:instrText xml:space="preserve"> PAGEREF _Toc24028873 \h </w:instrText>
            </w:r>
            <w:r w:rsidR="00487209">
              <w:rPr>
                <w:noProof/>
                <w:webHidden/>
              </w:rPr>
            </w:r>
            <w:r w:rsidR="00487209">
              <w:rPr>
                <w:noProof/>
                <w:webHidden/>
              </w:rPr>
              <w:fldChar w:fldCharType="separate"/>
            </w:r>
            <w:r w:rsidR="00921DCB">
              <w:rPr>
                <w:noProof/>
                <w:webHidden/>
              </w:rPr>
              <w:t>4</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74" w:history="1">
            <w:r w:rsidR="00487209" w:rsidRPr="00A754C9">
              <w:rPr>
                <w:rStyle w:val="Hipervnculo"/>
                <w:noProof/>
              </w:rPr>
              <w:t>CONSIDERANDO</w:t>
            </w:r>
            <w:r w:rsidR="00487209">
              <w:rPr>
                <w:noProof/>
                <w:webHidden/>
              </w:rPr>
              <w:tab/>
            </w:r>
            <w:r w:rsidR="00487209">
              <w:rPr>
                <w:noProof/>
                <w:webHidden/>
              </w:rPr>
              <w:fldChar w:fldCharType="begin"/>
            </w:r>
            <w:r w:rsidR="00487209">
              <w:rPr>
                <w:noProof/>
                <w:webHidden/>
              </w:rPr>
              <w:instrText xml:space="preserve"> PAGEREF _Toc24028874 \h </w:instrText>
            </w:r>
            <w:r w:rsidR="00487209">
              <w:rPr>
                <w:noProof/>
                <w:webHidden/>
              </w:rPr>
            </w:r>
            <w:r w:rsidR="00487209">
              <w:rPr>
                <w:noProof/>
                <w:webHidden/>
              </w:rPr>
              <w:fldChar w:fldCharType="separate"/>
            </w:r>
            <w:r w:rsidR="00921DCB">
              <w:rPr>
                <w:noProof/>
                <w:webHidden/>
              </w:rPr>
              <w:t>9</w:t>
            </w:r>
            <w:r w:rsidR="00487209">
              <w:rPr>
                <w:noProof/>
                <w:webHidden/>
              </w:rPr>
              <w:fldChar w:fldCharType="end"/>
            </w:r>
          </w:hyperlink>
        </w:p>
        <w:p w:rsidR="00487209" w:rsidRDefault="0077581D" w:rsidP="00487209">
          <w:pPr>
            <w:pStyle w:val="TDC2"/>
            <w:ind w:left="0"/>
            <w:jc w:val="both"/>
            <w:rPr>
              <w:noProof/>
              <w:sz w:val="22"/>
              <w:szCs w:val="22"/>
              <w:lang w:val="es-MX" w:eastAsia="es-MX"/>
            </w:rPr>
          </w:pPr>
          <w:hyperlink w:anchor="_Toc24028875" w:history="1">
            <w:r w:rsidR="00487209" w:rsidRPr="00A754C9">
              <w:rPr>
                <w:rStyle w:val="Hipervnculo"/>
                <w:rFonts w:ascii="Palatino Linotype" w:hAnsi="Palatino Linotype"/>
                <w:b/>
                <w:noProof/>
              </w:rPr>
              <w:t>PRIMERO. De la competencia</w:t>
            </w:r>
            <w:r w:rsidR="00487209">
              <w:rPr>
                <w:noProof/>
                <w:webHidden/>
              </w:rPr>
              <w:tab/>
            </w:r>
            <w:r w:rsidR="00487209">
              <w:rPr>
                <w:noProof/>
                <w:webHidden/>
              </w:rPr>
              <w:fldChar w:fldCharType="begin"/>
            </w:r>
            <w:r w:rsidR="00487209">
              <w:rPr>
                <w:noProof/>
                <w:webHidden/>
              </w:rPr>
              <w:instrText xml:space="preserve"> PAGEREF _Toc24028875 \h </w:instrText>
            </w:r>
            <w:r w:rsidR="00487209">
              <w:rPr>
                <w:noProof/>
                <w:webHidden/>
              </w:rPr>
            </w:r>
            <w:r w:rsidR="00487209">
              <w:rPr>
                <w:noProof/>
                <w:webHidden/>
              </w:rPr>
              <w:fldChar w:fldCharType="separate"/>
            </w:r>
            <w:r w:rsidR="00921DCB">
              <w:rPr>
                <w:noProof/>
                <w:webHidden/>
              </w:rPr>
              <w:t>9</w:t>
            </w:r>
            <w:r w:rsidR="00487209">
              <w:rPr>
                <w:noProof/>
                <w:webHidden/>
              </w:rPr>
              <w:fldChar w:fldCharType="end"/>
            </w:r>
          </w:hyperlink>
        </w:p>
        <w:p w:rsidR="00487209" w:rsidRDefault="0077581D" w:rsidP="00487209">
          <w:pPr>
            <w:pStyle w:val="TDC2"/>
            <w:ind w:left="0"/>
            <w:jc w:val="both"/>
            <w:rPr>
              <w:noProof/>
              <w:sz w:val="22"/>
              <w:szCs w:val="22"/>
              <w:lang w:val="es-MX" w:eastAsia="es-MX"/>
            </w:rPr>
          </w:pPr>
          <w:hyperlink w:anchor="_Toc24028876" w:history="1">
            <w:r w:rsidR="00487209" w:rsidRPr="00A754C9">
              <w:rPr>
                <w:rStyle w:val="Hipervnculo"/>
                <w:rFonts w:ascii="Palatino Linotype" w:hAnsi="Palatino Linotype"/>
                <w:b/>
                <w:noProof/>
              </w:rPr>
              <w:t>SEGUNDO. De la oportunidad y procedencia.</w:t>
            </w:r>
            <w:r w:rsidR="00487209">
              <w:rPr>
                <w:noProof/>
                <w:webHidden/>
              </w:rPr>
              <w:tab/>
            </w:r>
            <w:r w:rsidR="00487209">
              <w:rPr>
                <w:noProof/>
                <w:webHidden/>
              </w:rPr>
              <w:fldChar w:fldCharType="begin"/>
            </w:r>
            <w:r w:rsidR="00487209">
              <w:rPr>
                <w:noProof/>
                <w:webHidden/>
              </w:rPr>
              <w:instrText xml:space="preserve"> PAGEREF _Toc24028876 \h </w:instrText>
            </w:r>
            <w:r w:rsidR="00487209">
              <w:rPr>
                <w:noProof/>
                <w:webHidden/>
              </w:rPr>
            </w:r>
            <w:r w:rsidR="00487209">
              <w:rPr>
                <w:noProof/>
                <w:webHidden/>
              </w:rPr>
              <w:fldChar w:fldCharType="separate"/>
            </w:r>
            <w:r w:rsidR="00921DCB">
              <w:rPr>
                <w:noProof/>
                <w:webHidden/>
              </w:rPr>
              <w:t>10</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77" w:history="1">
            <w:r w:rsidR="00487209" w:rsidRPr="00A754C9">
              <w:rPr>
                <w:rStyle w:val="Hipervnculo"/>
                <w:noProof/>
                <w:lang w:eastAsia="es-MX"/>
              </w:rPr>
              <w:t>TERCERO. Planteamiento de la Litis</w:t>
            </w:r>
            <w:r w:rsidR="00487209">
              <w:rPr>
                <w:noProof/>
                <w:webHidden/>
              </w:rPr>
              <w:tab/>
            </w:r>
            <w:r w:rsidR="00487209">
              <w:rPr>
                <w:noProof/>
                <w:webHidden/>
              </w:rPr>
              <w:fldChar w:fldCharType="begin"/>
            </w:r>
            <w:r w:rsidR="00487209">
              <w:rPr>
                <w:noProof/>
                <w:webHidden/>
              </w:rPr>
              <w:instrText xml:space="preserve"> PAGEREF _Toc24028877 \h </w:instrText>
            </w:r>
            <w:r w:rsidR="00487209">
              <w:rPr>
                <w:noProof/>
                <w:webHidden/>
              </w:rPr>
            </w:r>
            <w:r w:rsidR="00487209">
              <w:rPr>
                <w:noProof/>
                <w:webHidden/>
              </w:rPr>
              <w:fldChar w:fldCharType="separate"/>
            </w:r>
            <w:r w:rsidR="00921DCB">
              <w:rPr>
                <w:noProof/>
                <w:webHidden/>
              </w:rPr>
              <w:t>14</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78" w:history="1">
            <w:r w:rsidR="00487209" w:rsidRPr="00A754C9">
              <w:rPr>
                <w:rStyle w:val="Hipervnculo"/>
                <w:noProof/>
              </w:rPr>
              <w:t>CUARTO. Análisis y resolución del asunto</w:t>
            </w:r>
            <w:r w:rsidR="00487209">
              <w:rPr>
                <w:noProof/>
                <w:webHidden/>
              </w:rPr>
              <w:tab/>
            </w:r>
            <w:r w:rsidR="00487209">
              <w:rPr>
                <w:noProof/>
                <w:webHidden/>
              </w:rPr>
              <w:fldChar w:fldCharType="begin"/>
            </w:r>
            <w:r w:rsidR="00487209">
              <w:rPr>
                <w:noProof/>
                <w:webHidden/>
              </w:rPr>
              <w:instrText xml:space="preserve"> PAGEREF _Toc24028878 \h </w:instrText>
            </w:r>
            <w:r w:rsidR="00487209">
              <w:rPr>
                <w:noProof/>
                <w:webHidden/>
              </w:rPr>
            </w:r>
            <w:r w:rsidR="00487209">
              <w:rPr>
                <w:noProof/>
                <w:webHidden/>
              </w:rPr>
              <w:fldChar w:fldCharType="separate"/>
            </w:r>
            <w:r w:rsidR="00921DCB">
              <w:rPr>
                <w:noProof/>
                <w:webHidden/>
              </w:rPr>
              <w:t>16</w:t>
            </w:r>
            <w:r w:rsidR="00487209">
              <w:rPr>
                <w:noProof/>
                <w:webHidden/>
              </w:rPr>
              <w:fldChar w:fldCharType="end"/>
            </w:r>
          </w:hyperlink>
        </w:p>
        <w:p w:rsidR="00487209" w:rsidRDefault="0077581D" w:rsidP="00487209">
          <w:pPr>
            <w:pStyle w:val="TDC2"/>
            <w:ind w:left="0"/>
            <w:jc w:val="both"/>
            <w:rPr>
              <w:noProof/>
              <w:sz w:val="22"/>
              <w:szCs w:val="22"/>
              <w:lang w:val="es-MX" w:eastAsia="es-MX"/>
            </w:rPr>
          </w:pPr>
          <w:hyperlink w:anchor="_Toc24028879" w:history="1">
            <w:r w:rsidR="00487209" w:rsidRPr="00A754C9">
              <w:rPr>
                <w:rStyle w:val="Hipervnculo"/>
                <w:rFonts w:ascii="Palatino Linotype" w:hAnsi="Palatino Linotype"/>
                <w:b/>
                <w:noProof/>
              </w:rPr>
              <w:t>A.</w:t>
            </w:r>
            <w:r w:rsidR="00487209">
              <w:rPr>
                <w:noProof/>
                <w:sz w:val="22"/>
                <w:szCs w:val="22"/>
                <w:lang w:val="es-MX" w:eastAsia="es-MX"/>
              </w:rPr>
              <w:tab/>
            </w:r>
            <w:r w:rsidR="00487209" w:rsidRPr="00A754C9">
              <w:rPr>
                <w:rStyle w:val="Hipervnculo"/>
                <w:rFonts w:ascii="Palatino Linotype" w:hAnsi="Palatino Linotype"/>
                <w:b/>
                <w:noProof/>
              </w:rPr>
              <w:t>El derecho de acceso a la información.</w:t>
            </w:r>
            <w:r w:rsidR="00487209">
              <w:rPr>
                <w:noProof/>
                <w:webHidden/>
              </w:rPr>
              <w:tab/>
            </w:r>
            <w:r w:rsidR="00487209">
              <w:rPr>
                <w:noProof/>
                <w:webHidden/>
              </w:rPr>
              <w:fldChar w:fldCharType="begin"/>
            </w:r>
            <w:r w:rsidR="00487209">
              <w:rPr>
                <w:noProof/>
                <w:webHidden/>
              </w:rPr>
              <w:instrText xml:space="preserve"> PAGEREF _Toc24028879 \h </w:instrText>
            </w:r>
            <w:r w:rsidR="00487209">
              <w:rPr>
                <w:noProof/>
                <w:webHidden/>
              </w:rPr>
            </w:r>
            <w:r w:rsidR="00487209">
              <w:rPr>
                <w:noProof/>
                <w:webHidden/>
              </w:rPr>
              <w:fldChar w:fldCharType="separate"/>
            </w:r>
            <w:r w:rsidR="00921DCB">
              <w:rPr>
                <w:noProof/>
                <w:webHidden/>
              </w:rPr>
              <w:t>16</w:t>
            </w:r>
            <w:r w:rsidR="00487209">
              <w:rPr>
                <w:noProof/>
                <w:webHidden/>
              </w:rPr>
              <w:fldChar w:fldCharType="end"/>
            </w:r>
          </w:hyperlink>
        </w:p>
        <w:p w:rsidR="00487209" w:rsidRDefault="0077581D" w:rsidP="00487209">
          <w:pPr>
            <w:pStyle w:val="TDC2"/>
            <w:ind w:left="0"/>
            <w:jc w:val="both"/>
            <w:rPr>
              <w:noProof/>
              <w:sz w:val="22"/>
              <w:szCs w:val="22"/>
              <w:lang w:val="es-MX" w:eastAsia="es-MX"/>
            </w:rPr>
          </w:pPr>
          <w:hyperlink w:anchor="_Toc24028880" w:history="1">
            <w:r w:rsidR="00487209" w:rsidRPr="00A754C9">
              <w:rPr>
                <w:rStyle w:val="Hipervnculo"/>
                <w:rFonts w:ascii="Palatino Linotype" w:hAnsi="Palatino Linotype"/>
                <w:b/>
                <w:noProof/>
              </w:rPr>
              <w:t>B.</w:t>
            </w:r>
            <w:r w:rsidR="00487209">
              <w:rPr>
                <w:noProof/>
                <w:sz w:val="22"/>
                <w:szCs w:val="22"/>
                <w:lang w:val="es-MX" w:eastAsia="es-MX"/>
              </w:rPr>
              <w:tab/>
            </w:r>
            <w:r w:rsidR="00487209" w:rsidRPr="00A754C9">
              <w:rPr>
                <w:rStyle w:val="Hipervnculo"/>
                <w:rFonts w:ascii="Palatino Linotype" w:hAnsi="Palatino Linotype"/>
                <w:b/>
                <w:noProof/>
              </w:rPr>
              <w:t>Fuente Obligacional.</w:t>
            </w:r>
            <w:r w:rsidR="00487209">
              <w:rPr>
                <w:noProof/>
                <w:webHidden/>
              </w:rPr>
              <w:tab/>
            </w:r>
            <w:r w:rsidR="00487209">
              <w:rPr>
                <w:noProof/>
                <w:webHidden/>
              </w:rPr>
              <w:fldChar w:fldCharType="begin"/>
            </w:r>
            <w:r w:rsidR="00487209">
              <w:rPr>
                <w:noProof/>
                <w:webHidden/>
              </w:rPr>
              <w:instrText xml:space="preserve"> PAGEREF _Toc24028880 \h </w:instrText>
            </w:r>
            <w:r w:rsidR="00487209">
              <w:rPr>
                <w:noProof/>
                <w:webHidden/>
              </w:rPr>
            </w:r>
            <w:r w:rsidR="00487209">
              <w:rPr>
                <w:noProof/>
                <w:webHidden/>
              </w:rPr>
              <w:fldChar w:fldCharType="separate"/>
            </w:r>
            <w:r w:rsidR="00921DCB">
              <w:rPr>
                <w:noProof/>
                <w:webHidden/>
              </w:rPr>
              <w:t>24</w:t>
            </w:r>
            <w:r w:rsidR="00487209">
              <w:rPr>
                <w:noProof/>
                <w:webHidden/>
              </w:rPr>
              <w:fldChar w:fldCharType="end"/>
            </w:r>
          </w:hyperlink>
        </w:p>
        <w:p w:rsidR="00487209" w:rsidRDefault="0077581D" w:rsidP="00487209">
          <w:pPr>
            <w:pStyle w:val="TDC3"/>
            <w:tabs>
              <w:tab w:val="left" w:pos="880"/>
              <w:tab w:val="right" w:leader="dot" w:pos="8777"/>
            </w:tabs>
            <w:ind w:left="0"/>
            <w:jc w:val="both"/>
            <w:rPr>
              <w:noProof/>
              <w:sz w:val="22"/>
              <w:szCs w:val="22"/>
              <w:lang w:val="es-MX" w:eastAsia="es-MX"/>
            </w:rPr>
          </w:pPr>
          <w:hyperlink w:anchor="_Toc24028881" w:history="1">
            <w:r w:rsidR="00487209" w:rsidRPr="00A754C9">
              <w:rPr>
                <w:rStyle w:val="Hipervnculo"/>
                <w:rFonts w:ascii="Palatino Linotype" w:hAnsi="Palatino Linotype"/>
                <w:b/>
                <w:noProof/>
              </w:rPr>
              <w:t>I.</w:t>
            </w:r>
            <w:r w:rsidR="00487209">
              <w:rPr>
                <w:noProof/>
                <w:sz w:val="22"/>
                <w:szCs w:val="22"/>
                <w:lang w:val="es-MX" w:eastAsia="es-MX"/>
              </w:rPr>
              <w:tab/>
            </w:r>
            <w:r w:rsidR="00487209" w:rsidRPr="00A754C9">
              <w:rPr>
                <w:rStyle w:val="Hipervnculo"/>
                <w:rFonts w:ascii="Palatino Linotype" w:hAnsi="Palatino Linotype"/>
                <w:b/>
                <w:noProof/>
              </w:rPr>
              <w:t>De la obligación de transparencia.</w:t>
            </w:r>
            <w:r w:rsidR="00487209">
              <w:rPr>
                <w:noProof/>
                <w:webHidden/>
              </w:rPr>
              <w:tab/>
            </w:r>
            <w:r w:rsidR="00487209">
              <w:rPr>
                <w:noProof/>
                <w:webHidden/>
              </w:rPr>
              <w:fldChar w:fldCharType="begin"/>
            </w:r>
            <w:r w:rsidR="00487209">
              <w:rPr>
                <w:noProof/>
                <w:webHidden/>
              </w:rPr>
              <w:instrText xml:space="preserve"> PAGEREF _Toc24028881 \h </w:instrText>
            </w:r>
            <w:r w:rsidR="00487209">
              <w:rPr>
                <w:noProof/>
                <w:webHidden/>
              </w:rPr>
            </w:r>
            <w:r w:rsidR="00487209">
              <w:rPr>
                <w:noProof/>
                <w:webHidden/>
              </w:rPr>
              <w:fldChar w:fldCharType="separate"/>
            </w:r>
            <w:r w:rsidR="00921DCB">
              <w:rPr>
                <w:noProof/>
                <w:webHidden/>
              </w:rPr>
              <w:t>24</w:t>
            </w:r>
            <w:r w:rsidR="00487209">
              <w:rPr>
                <w:noProof/>
                <w:webHidden/>
              </w:rPr>
              <w:fldChar w:fldCharType="end"/>
            </w:r>
          </w:hyperlink>
        </w:p>
        <w:p w:rsidR="00487209" w:rsidRDefault="0077581D" w:rsidP="00487209">
          <w:pPr>
            <w:pStyle w:val="TDC3"/>
            <w:tabs>
              <w:tab w:val="right" w:leader="dot" w:pos="8777"/>
            </w:tabs>
            <w:ind w:left="0"/>
            <w:jc w:val="both"/>
            <w:rPr>
              <w:noProof/>
              <w:sz w:val="22"/>
              <w:szCs w:val="22"/>
              <w:lang w:val="es-MX" w:eastAsia="es-MX"/>
            </w:rPr>
          </w:pPr>
          <w:hyperlink w:anchor="_Toc24028882" w:history="1">
            <w:r w:rsidR="00487209" w:rsidRPr="00A754C9">
              <w:rPr>
                <w:rStyle w:val="Hipervnculo"/>
                <w:rFonts w:ascii="Palatino Linotype" w:hAnsi="Palatino Linotype"/>
                <w:b/>
                <w:noProof/>
              </w:rPr>
              <w:t>II. De la suplencia a la deficiencia de la queja</w:t>
            </w:r>
            <w:r w:rsidR="00487209">
              <w:rPr>
                <w:noProof/>
                <w:webHidden/>
              </w:rPr>
              <w:tab/>
            </w:r>
            <w:r w:rsidR="00487209">
              <w:rPr>
                <w:noProof/>
                <w:webHidden/>
              </w:rPr>
              <w:fldChar w:fldCharType="begin"/>
            </w:r>
            <w:r w:rsidR="00487209">
              <w:rPr>
                <w:noProof/>
                <w:webHidden/>
              </w:rPr>
              <w:instrText xml:space="preserve"> PAGEREF _Toc24028882 \h </w:instrText>
            </w:r>
            <w:r w:rsidR="00487209">
              <w:rPr>
                <w:noProof/>
                <w:webHidden/>
              </w:rPr>
            </w:r>
            <w:r w:rsidR="00487209">
              <w:rPr>
                <w:noProof/>
                <w:webHidden/>
              </w:rPr>
              <w:fldChar w:fldCharType="separate"/>
            </w:r>
            <w:r w:rsidR="00921DCB">
              <w:rPr>
                <w:noProof/>
                <w:webHidden/>
              </w:rPr>
              <w:t>32</w:t>
            </w:r>
            <w:r w:rsidR="00487209">
              <w:rPr>
                <w:noProof/>
                <w:webHidden/>
              </w:rPr>
              <w:fldChar w:fldCharType="end"/>
            </w:r>
          </w:hyperlink>
        </w:p>
        <w:p w:rsidR="00487209" w:rsidRDefault="0077581D" w:rsidP="00487209">
          <w:pPr>
            <w:pStyle w:val="TDC3"/>
            <w:tabs>
              <w:tab w:val="right" w:leader="dot" w:pos="8777"/>
            </w:tabs>
            <w:ind w:left="0"/>
            <w:jc w:val="both"/>
            <w:rPr>
              <w:noProof/>
              <w:sz w:val="22"/>
              <w:szCs w:val="22"/>
              <w:lang w:val="es-MX" w:eastAsia="es-MX"/>
            </w:rPr>
          </w:pPr>
          <w:hyperlink w:anchor="_Toc24028883" w:history="1">
            <w:r w:rsidR="00487209" w:rsidRPr="00A754C9">
              <w:rPr>
                <w:rStyle w:val="Hipervnculo"/>
                <w:rFonts w:ascii="Palatino Linotype" w:hAnsi="Palatino Linotype"/>
                <w:b/>
                <w:noProof/>
              </w:rPr>
              <w:t>III.  De los Programas de Seguridad Pública.</w:t>
            </w:r>
            <w:r w:rsidR="00487209">
              <w:rPr>
                <w:noProof/>
                <w:webHidden/>
              </w:rPr>
              <w:tab/>
            </w:r>
            <w:r w:rsidR="00487209">
              <w:rPr>
                <w:noProof/>
                <w:webHidden/>
              </w:rPr>
              <w:fldChar w:fldCharType="begin"/>
            </w:r>
            <w:r w:rsidR="00487209">
              <w:rPr>
                <w:noProof/>
                <w:webHidden/>
              </w:rPr>
              <w:instrText xml:space="preserve"> PAGEREF _Toc24028883 \h </w:instrText>
            </w:r>
            <w:r w:rsidR="00487209">
              <w:rPr>
                <w:noProof/>
                <w:webHidden/>
              </w:rPr>
            </w:r>
            <w:r w:rsidR="00487209">
              <w:rPr>
                <w:noProof/>
                <w:webHidden/>
              </w:rPr>
              <w:fldChar w:fldCharType="separate"/>
            </w:r>
            <w:r w:rsidR="00921DCB">
              <w:rPr>
                <w:noProof/>
                <w:webHidden/>
              </w:rPr>
              <w:t>34</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84" w:history="1">
            <w:r w:rsidR="00487209" w:rsidRPr="00A754C9">
              <w:rPr>
                <w:rStyle w:val="Hipervnculo"/>
                <w:noProof/>
              </w:rPr>
              <w:t>QUINTO. De la Versión Pública</w:t>
            </w:r>
            <w:r w:rsidR="00487209">
              <w:rPr>
                <w:noProof/>
                <w:webHidden/>
              </w:rPr>
              <w:tab/>
            </w:r>
            <w:r w:rsidR="00487209">
              <w:rPr>
                <w:noProof/>
                <w:webHidden/>
              </w:rPr>
              <w:fldChar w:fldCharType="begin"/>
            </w:r>
            <w:r w:rsidR="00487209">
              <w:rPr>
                <w:noProof/>
                <w:webHidden/>
              </w:rPr>
              <w:instrText xml:space="preserve"> PAGEREF _Toc24028884 \h </w:instrText>
            </w:r>
            <w:r w:rsidR="00487209">
              <w:rPr>
                <w:noProof/>
                <w:webHidden/>
              </w:rPr>
            </w:r>
            <w:r w:rsidR="00487209">
              <w:rPr>
                <w:noProof/>
                <w:webHidden/>
              </w:rPr>
              <w:fldChar w:fldCharType="separate"/>
            </w:r>
            <w:r w:rsidR="00921DCB">
              <w:rPr>
                <w:noProof/>
                <w:webHidden/>
              </w:rPr>
              <w:t>46</w:t>
            </w:r>
            <w:r w:rsidR="00487209">
              <w:rPr>
                <w:noProof/>
                <w:webHidden/>
              </w:rPr>
              <w:fldChar w:fldCharType="end"/>
            </w:r>
          </w:hyperlink>
        </w:p>
        <w:p w:rsidR="00487209" w:rsidRDefault="0077581D" w:rsidP="00487209">
          <w:pPr>
            <w:pStyle w:val="TDC3"/>
            <w:tabs>
              <w:tab w:val="left" w:pos="1100"/>
              <w:tab w:val="right" w:leader="dot" w:pos="8777"/>
            </w:tabs>
            <w:ind w:left="0"/>
            <w:jc w:val="both"/>
            <w:rPr>
              <w:noProof/>
              <w:sz w:val="22"/>
              <w:szCs w:val="22"/>
              <w:lang w:val="es-MX" w:eastAsia="es-MX"/>
            </w:rPr>
          </w:pPr>
          <w:hyperlink w:anchor="_Toc24028885" w:history="1">
            <w:r w:rsidR="00487209" w:rsidRPr="00A754C9">
              <w:rPr>
                <w:rStyle w:val="Hipervnculo"/>
                <w:rFonts w:ascii="Palatino Linotype" w:hAnsi="Palatino Linotype"/>
                <w:b/>
                <w:noProof/>
              </w:rPr>
              <w:t>a.</w:t>
            </w:r>
            <w:r w:rsidR="00487209">
              <w:rPr>
                <w:noProof/>
                <w:sz w:val="22"/>
                <w:szCs w:val="22"/>
                <w:lang w:val="es-MX" w:eastAsia="es-MX"/>
              </w:rPr>
              <w:tab/>
            </w:r>
            <w:r w:rsidR="00487209" w:rsidRPr="00A754C9">
              <w:rPr>
                <w:rStyle w:val="Hipervnculo"/>
                <w:rFonts w:ascii="Palatino Linotype" w:hAnsi="Palatino Linotype"/>
                <w:b/>
                <w:noProof/>
              </w:rPr>
              <w:t>Requisitos previos.</w:t>
            </w:r>
            <w:r w:rsidR="00487209">
              <w:rPr>
                <w:noProof/>
                <w:webHidden/>
              </w:rPr>
              <w:tab/>
            </w:r>
            <w:r w:rsidR="00487209">
              <w:rPr>
                <w:noProof/>
                <w:webHidden/>
              </w:rPr>
              <w:fldChar w:fldCharType="begin"/>
            </w:r>
            <w:r w:rsidR="00487209">
              <w:rPr>
                <w:noProof/>
                <w:webHidden/>
              </w:rPr>
              <w:instrText xml:space="preserve"> PAGEREF _Toc24028885 \h </w:instrText>
            </w:r>
            <w:r w:rsidR="00487209">
              <w:rPr>
                <w:noProof/>
                <w:webHidden/>
              </w:rPr>
            </w:r>
            <w:r w:rsidR="00487209">
              <w:rPr>
                <w:noProof/>
                <w:webHidden/>
              </w:rPr>
              <w:fldChar w:fldCharType="separate"/>
            </w:r>
            <w:r w:rsidR="00921DCB">
              <w:rPr>
                <w:noProof/>
                <w:webHidden/>
              </w:rPr>
              <w:t>46</w:t>
            </w:r>
            <w:r w:rsidR="00487209">
              <w:rPr>
                <w:noProof/>
                <w:webHidden/>
              </w:rPr>
              <w:fldChar w:fldCharType="end"/>
            </w:r>
          </w:hyperlink>
        </w:p>
        <w:p w:rsidR="00487209" w:rsidRDefault="0077581D" w:rsidP="00487209">
          <w:pPr>
            <w:pStyle w:val="TDC3"/>
            <w:tabs>
              <w:tab w:val="left" w:pos="1100"/>
              <w:tab w:val="right" w:leader="dot" w:pos="8777"/>
            </w:tabs>
            <w:ind w:left="0"/>
            <w:jc w:val="both"/>
            <w:rPr>
              <w:noProof/>
              <w:sz w:val="22"/>
              <w:szCs w:val="22"/>
              <w:lang w:val="es-MX" w:eastAsia="es-MX"/>
            </w:rPr>
          </w:pPr>
          <w:hyperlink w:anchor="_Toc24028886" w:history="1">
            <w:r w:rsidR="00487209" w:rsidRPr="00A754C9">
              <w:rPr>
                <w:rStyle w:val="Hipervnculo"/>
                <w:rFonts w:ascii="Palatino Linotype" w:hAnsi="Palatino Linotype"/>
                <w:b/>
                <w:noProof/>
              </w:rPr>
              <w:t>b.</w:t>
            </w:r>
            <w:r w:rsidR="00487209">
              <w:rPr>
                <w:noProof/>
                <w:sz w:val="22"/>
                <w:szCs w:val="22"/>
                <w:lang w:val="es-MX" w:eastAsia="es-MX"/>
              </w:rPr>
              <w:tab/>
            </w:r>
            <w:r w:rsidR="00487209" w:rsidRPr="00A754C9">
              <w:rPr>
                <w:rStyle w:val="Hipervnculo"/>
                <w:rFonts w:ascii="Palatino Linotype" w:hAnsi="Palatino Linotype"/>
                <w:b/>
                <w:noProof/>
              </w:rPr>
              <w:t>Supuesto de clasificación.</w:t>
            </w:r>
            <w:r w:rsidR="00487209">
              <w:rPr>
                <w:noProof/>
                <w:webHidden/>
              </w:rPr>
              <w:tab/>
            </w:r>
            <w:r w:rsidR="00487209">
              <w:rPr>
                <w:noProof/>
                <w:webHidden/>
              </w:rPr>
              <w:fldChar w:fldCharType="begin"/>
            </w:r>
            <w:r w:rsidR="00487209">
              <w:rPr>
                <w:noProof/>
                <w:webHidden/>
              </w:rPr>
              <w:instrText xml:space="preserve"> PAGEREF _Toc24028886 \h </w:instrText>
            </w:r>
            <w:r w:rsidR="00487209">
              <w:rPr>
                <w:noProof/>
                <w:webHidden/>
              </w:rPr>
            </w:r>
            <w:r w:rsidR="00487209">
              <w:rPr>
                <w:noProof/>
                <w:webHidden/>
              </w:rPr>
              <w:fldChar w:fldCharType="separate"/>
            </w:r>
            <w:r w:rsidR="00921DCB">
              <w:rPr>
                <w:noProof/>
                <w:webHidden/>
              </w:rPr>
              <w:t>47</w:t>
            </w:r>
            <w:r w:rsidR="00487209">
              <w:rPr>
                <w:noProof/>
                <w:webHidden/>
              </w:rPr>
              <w:fldChar w:fldCharType="end"/>
            </w:r>
          </w:hyperlink>
        </w:p>
        <w:p w:rsidR="00487209" w:rsidRDefault="0077581D" w:rsidP="00487209">
          <w:pPr>
            <w:pStyle w:val="TDC3"/>
            <w:tabs>
              <w:tab w:val="left" w:pos="880"/>
              <w:tab w:val="right" w:leader="dot" w:pos="8777"/>
            </w:tabs>
            <w:ind w:left="0"/>
            <w:jc w:val="both"/>
            <w:rPr>
              <w:noProof/>
              <w:sz w:val="22"/>
              <w:szCs w:val="22"/>
              <w:lang w:val="es-MX" w:eastAsia="es-MX"/>
            </w:rPr>
          </w:pPr>
          <w:hyperlink w:anchor="_Toc24028887" w:history="1">
            <w:r w:rsidR="00487209" w:rsidRPr="00A754C9">
              <w:rPr>
                <w:rStyle w:val="Hipervnculo"/>
                <w:rFonts w:ascii="Palatino Linotype" w:hAnsi="Palatino Linotype"/>
                <w:b/>
                <w:noProof/>
              </w:rPr>
              <w:t>c.</w:t>
            </w:r>
            <w:r w:rsidR="00487209">
              <w:rPr>
                <w:noProof/>
                <w:sz w:val="22"/>
                <w:szCs w:val="22"/>
                <w:lang w:val="es-MX" w:eastAsia="es-MX"/>
              </w:rPr>
              <w:tab/>
            </w:r>
            <w:r w:rsidR="00487209" w:rsidRPr="00A754C9">
              <w:rPr>
                <w:rStyle w:val="Hipervnculo"/>
                <w:rFonts w:ascii="Palatino Linotype" w:hAnsi="Palatino Linotype"/>
                <w:b/>
                <w:noProof/>
              </w:rPr>
              <w:t>La intervención del Comité de Transparencia.</w:t>
            </w:r>
            <w:r w:rsidR="00487209">
              <w:rPr>
                <w:noProof/>
                <w:webHidden/>
              </w:rPr>
              <w:tab/>
            </w:r>
            <w:r w:rsidR="00487209">
              <w:rPr>
                <w:noProof/>
                <w:webHidden/>
              </w:rPr>
              <w:fldChar w:fldCharType="begin"/>
            </w:r>
            <w:r w:rsidR="00487209">
              <w:rPr>
                <w:noProof/>
                <w:webHidden/>
              </w:rPr>
              <w:instrText xml:space="preserve"> PAGEREF _Toc24028887 \h </w:instrText>
            </w:r>
            <w:r w:rsidR="00487209">
              <w:rPr>
                <w:noProof/>
                <w:webHidden/>
              </w:rPr>
            </w:r>
            <w:r w:rsidR="00487209">
              <w:rPr>
                <w:noProof/>
                <w:webHidden/>
              </w:rPr>
              <w:fldChar w:fldCharType="separate"/>
            </w:r>
            <w:r w:rsidR="00921DCB">
              <w:rPr>
                <w:noProof/>
                <w:webHidden/>
              </w:rPr>
              <w:t>51</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88" w:history="1">
            <w:r w:rsidR="00487209" w:rsidRPr="00A754C9">
              <w:rPr>
                <w:rStyle w:val="Hipervnculo"/>
                <w:noProof/>
              </w:rPr>
              <w:t>SEXTO. Vista a los órganos de control interno</w:t>
            </w:r>
            <w:r w:rsidR="00487209">
              <w:rPr>
                <w:noProof/>
                <w:webHidden/>
              </w:rPr>
              <w:tab/>
            </w:r>
            <w:r w:rsidR="00487209">
              <w:rPr>
                <w:noProof/>
                <w:webHidden/>
              </w:rPr>
              <w:fldChar w:fldCharType="begin"/>
            </w:r>
            <w:r w:rsidR="00487209">
              <w:rPr>
                <w:noProof/>
                <w:webHidden/>
              </w:rPr>
              <w:instrText xml:space="preserve"> PAGEREF _Toc24028888 \h </w:instrText>
            </w:r>
            <w:r w:rsidR="00487209">
              <w:rPr>
                <w:noProof/>
                <w:webHidden/>
              </w:rPr>
            </w:r>
            <w:r w:rsidR="00487209">
              <w:rPr>
                <w:noProof/>
                <w:webHidden/>
              </w:rPr>
              <w:fldChar w:fldCharType="separate"/>
            </w:r>
            <w:r w:rsidR="00921DCB">
              <w:rPr>
                <w:noProof/>
                <w:webHidden/>
              </w:rPr>
              <w:t>57</w:t>
            </w:r>
            <w:r w:rsidR="00487209">
              <w:rPr>
                <w:noProof/>
                <w:webHidden/>
              </w:rPr>
              <w:fldChar w:fldCharType="end"/>
            </w:r>
          </w:hyperlink>
        </w:p>
        <w:p w:rsidR="00487209" w:rsidRDefault="0077581D" w:rsidP="00487209">
          <w:pPr>
            <w:pStyle w:val="TDC1"/>
            <w:jc w:val="both"/>
            <w:rPr>
              <w:noProof/>
              <w:sz w:val="22"/>
              <w:szCs w:val="22"/>
              <w:lang w:val="es-MX" w:eastAsia="es-MX"/>
            </w:rPr>
          </w:pPr>
          <w:hyperlink w:anchor="_Toc24028889" w:history="1">
            <w:r w:rsidR="00487209" w:rsidRPr="00A754C9">
              <w:rPr>
                <w:rStyle w:val="Hipervnculo"/>
                <w:rFonts w:ascii="Palatino Linotype" w:eastAsia="Times New Roman" w:hAnsi="Palatino Linotype" w:cstheme="majorBidi"/>
                <w:b/>
                <w:bCs/>
                <w:noProof/>
              </w:rPr>
              <w:t>R E S O L U T I V O S</w:t>
            </w:r>
            <w:r w:rsidR="00487209">
              <w:rPr>
                <w:noProof/>
                <w:webHidden/>
              </w:rPr>
              <w:tab/>
            </w:r>
            <w:r w:rsidR="00487209">
              <w:rPr>
                <w:noProof/>
                <w:webHidden/>
              </w:rPr>
              <w:fldChar w:fldCharType="begin"/>
            </w:r>
            <w:r w:rsidR="00487209">
              <w:rPr>
                <w:noProof/>
                <w:webHidden/>
              </w:rPr>
              <w:instrText xml:space="preserve"> PAGEREF _Toc24028889 \h </w:instrText>
            </w:r>
            <w:r w:rsidR="00487209">
              <w:rPr>
                <w:noProof/>
                <w:webHidden/>
              </w:rPr>
            </w:r>
            <w:r w:rsidR="00487209">
              <w:rPr>
                <w:noProof/>
                <w:webHidden/>
              </w:rPr>
              <w:fldChar w:fldCharType="separate"/>
            </w:r>
            <w:r w:rsidR="00921DCB">
              <w:rPr>
                <w:noProof/>
                <w:webHidden/>
              </w:rPr>
              <w:t>60</w:t>
            </w:r>
            <w:r w:rsidR="00487209">
              <w:rPr>
                <w:noProof/>
                <w:webHidden/>
              </w:rPr>
              <w:fldChar w:fldCharType="end"/>
            </w:r>
          </w:hyperlink>
        </w:p>
        <w:p w:rsidR="00487209" w:rsidRPr="00FE2D48" w:rsidRDefault="002A5BA4" w:rsidP="00487209">
          <w:pPr>
            <w:spacing w:line="360" w:lineRule="auto"/>
            <w:jc w:val="both"/>
            <w:rPr>
              <w:rFonts w:ascii="Palatino Linotype" w:hAnsi="Palatino Linotype"/>
            </w:rPr>
          </w:pPr>
          <w:r w:rsidRPr="00487209">
            <w:rPr>
              <w:rFonts w:ascii="Palatino Linotype" w:hAnsi="Palatino Linotype"/>
              <w:b/>
              <w:bCs/>
              <w:lang w:val="es-ES"/>
            </w:rPr>
            <w:fldChar w:fldCharType="end"/>
          </w:r>
        </w:p>
      </w:sdtContent>
    </w:sdt>
    <w:p w:rsidR="00487209" w:rsidRPr="00487209" w:rsidRDefault="002A5BA4" w:rsidP="00487209">
      <w:pPr>
        <w:spacing w:line="360" w:lineRule="auto"/>
        <w:jc w:val="both"/>
        <w:rPr>
          <w:rFonts w:ascii="Palatino Linotype" w:hAnsi="Palatino Linotype"/>
        </w:rPr>
      </w:pPr>
      <w:r w:rsidRPr="0048720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487209">
        <w:rPr>
          <w:rFonts w:ascii="Palatino Linotype" w:hAnsi="Palatino Linotype"/>
        </w:rPr>
        <w:t xml:space="preserve"> </w:t>
      </w:r>
      <w:r w:rsidR="00716862" w:rsidRPr="00487209">
        <w:rPr>
          <w:rFonts w:ascii="Palatino Linotype" w:hAnsi="Palatino Linotype"/>
        </w:rPr>
        <w:t>seis</w:t>
      </w:r>
      <w:r w:rsidRPr="00487209">
        <w:rPr>
          <w:rFonts w:ascii="Palatino Linotype" w:hAnsi="Palatino Linotype"/>
        </w:rPr>
        <w:t xml:space="preserve"> </w:t>
      </w:r>
      <w:r w:rsidR="00B024CD" w:rsidRPr="00487209">
        <w:rPr>
          <w:rFonts w:ascii="Palatino Linotype" w:hAnsi="Palatino Linotype"/>
        </w:rPr>
        <w:t>(</w:t>
      </w:r>
      <w:r w:rsidR="00487209" w:rsidRPr="00487209">
        <w:rPr>
          <w:rFonts w:ascii="Palatino Linotype" w:hAnsi="Palatino Linotype"/>
        </w:rPr>
        <w:t>0</w:t>
      </w:r>
      <w:r w:rsidR="00716862" w:rsidRPr="00487209">
        <w:rPr>
          <w:rFonts w:ascii="Palatino Linotype" w:hAnsi="Palatino Linotype"/>
        </w:rPr>
        <w:t>6</w:t>
      </w:r>
      <w:r w:rsidR="009F1491" w:rsidRPr="00487209">
        <w:rPr>
          <w:rFonts w:ascii="Palatino Linotype" w:hAnsi="Palatino Linotype"/>
        </w:rPr>
        <w:t>)</w:t>
      </w:r>
      <w:r w:rsidRPr="00487209">
        <w:rPr>
          <w:rFonts w:ascii="Palatino Linotype" w:hAnsi="Palatino Linotype"/>
        </w:rPr>
        <w:t xml:space="preserve"> de </w:t>
      </w:r>
      <w:r w:rsidR="00716862" w:rsidRPr="00487209">
        <w:rPr>
          <w:rFonts w:ascii="Palatino Linotype" w:hAnsi="Palatino Linotype"/>
        </w:rPr>
        <w:t>noviembre</w:t>
      </w:r>
      <w:r w:rsidRPr="00487209">
        <w:rPr>
          <w:rFonts w:ascii="Palatino Linotype" w:hAnsi="Palatino Linotype"/>
        </w:rPr>
        <w:t xml:space="preserve"> de dos mil </w:t>
      </w:r>
      <w:r w:rsidR="00BA76D6" w:rsidRPr="00487209">
        <w:rPr>
          <w:rFonts w:ascii="Palatino Linotype" w:eastAsia="Calibri" w:hAnsi="Palatino Linotype" w:cs="Arial"/>
          <w:lang w:val="es-ES"/>
        </w:rPr>
        <w:t>diecinueve</w:t>
      </w:r>
      <w:r w:rsidR="000404FD" w:rsidRPr="00487209">
        <w:rPr>
          <w:rFonts w:ascii="Palatino Linotype" w:hAnsi="Palatino Linotype"/>
        </w:rPr>
        <w:t>.</w:t>
      </w:r>
    </w:p>
    <w:p w:rsidR="00487209" w:rsidRPr="00487209" w:rsidRDefault="002A5BA4" w:rsidP="00487209">
      <w:pPr>
        <w:spacing w:before="240" w:after="360" w:line="360" w:lineRule="auto"/>
        <w:jc w:val="both"/>
        <w:rPr>
          <w:rFonts w:ascii="Palatino Linotype" w:hAnsi="Palatino Linotype"/>
        </w:rPr>
      </w:pPr>
      <w:r w:rsidRPr="00487209">
        <w:rPr>
          <w:rFonts w:ascii="Palatino Linotype" w:hAnsi="Palatino Linotype"/>
          <w:b/>
        </w:rPr>
        <w:t>VISTO</w:t>
      </w:r>
      <w:r w:rsidRPr="00487209">
        <w:rPr>
          <w:rFonts w:ascii="Palatino Linotype" w:hAnsi="Palatino Linotype"/>
        </w:rPr>
        <w:t xml:space="preserve"> </w:t>
      </w:r>
      <w:r w:rsidR="00DA3B9E" w:rsidRPr="00487209">
        <w:rPr>
          <w:rFonts w:ascii="Palatino Linotype" w:hAnsi="Palatino Linotype"/>
        </w:rPr>
        <w:t>el</w:t>
      </w:r>
      <w:r w:rsidRPr="00487209">
        <w:rPr>
          <w:rFonts w:ascii="Palatino Linotype" w:hAnsi="Palatino Linotype"/>
        </w:rPr>
        <w:t xml:space="preserve"> expediente electrónico formado con motivo del recurso de revisión </w:t>
      </w:r>
      <w:r w:rsidR="004A1F40" w:rsidRPr="00487209">
        <w:rPr>
          <w:rFonts w:ascii="Palatino Linotype" w:hAnsi="Palatino Linotype" w:cs="Arial"/>
          <w:b/>
          <w:bCs/>
        </w:rPr>
        <w:t>0697</w:t>
      </w:r>
      <w:r w:rsidR="00E843FA" w:rsidRPr="00487209">
        <w:rPr>
          <w:rFonts w:ascii="Palatino Linotype" w:hAnsi="Palatino Linotype" w:cs="Arial"/>
          <w:b/>
          <w:bCs/>
        </w:rPr>
        <w:t>8</w:t>
      </w:r>
      <w:r w:rsidR="000404FD" w:rsidRPr="00487209">
        <w:rPr>
          <w:rFonts w:ascii="Palatino Linotype" w:hAnsi="Palatino Linotype" w:cs="Arial"/>
          <w:b/>
          <w:bCs/>
        </w:rPr>
        <w:t>/INFOEM/IP/RR/201</w:t>
      </w:r>
      <w:r w:rsidR="00092CD4" w:rsidRPr="00487209">
        <w:rPr>
          <w:rFonts w:ascii="Palatino Linotype" w:hAnsi="Palatino Linotype" w:cs="Arial"/>
          <w:b/>
          <w:bCs/>
        </w:rPr>
        <w:t>9</w:t>
      </w:r>
      <w:r w:rsidR="00170DEE" w:rsidRPr="00487209">
        <w:rPr>
          <w:rFonts w:ascii="Palatino Linotype" w:hAnsi="Palatino Linotype" w:cs="Arial"/>
          <w:b/>
          <w:bCs/>
        </w:rPr>
        <w:t xml:space="preserve"> </w:t>
      </w:r>
      <w:r w:rsidR="00A1302E" w:rsidRPr="00487209">
        <w:rPr>
          <w:rFonts w:ascii="Palatino Linotype" w:hAnsi="Palatino Linotype"/>
        </w:rPr>
        <w:t xml:space="preserve">promovido </w:t>
      </w:r>
      <w:r w:rsidR="00E843FA" w:rsidRPr="00487209">
        <w:rPr>
          <w:rFonts w:ascii="Palatino Linotype" w:hAnsi="Palatino Linotype"/>
        </w:rPr>
        <w:t xml:space="preserve">por </w:t>
      </w:r>
      <w:r w:rsidR="00392C5B" w:rsidRPr="00392C5B">
        <w:rPr>
          <w:rFonts w:ascii="Palatino Linotype" w:hAnsi="Palatino Linotype"/>
          <w:b/>
          <w:highlight w:val="black"/>
        </w:rPr>
        <w:t>-</w:t>
      </w:r>
      <w:r w:rsidR="00392C5B">
        <w:rPr>
          <w:rFonts w:ascii="Palatino Linotype" w:hAnsi="Palatino Linotype"/>
          <w:b/>
          <w:highlight w:val="black"/>
        </w:rPr>
        <w:t>-------------------</w:t>
      </w:r>
      <w:r w:rsidR="00392C5B" w:rsidRPr="00392C5B">
        <w:rPr>
          <w:rFonts w:ascii="Palatino Linotype" w:hAnsi="Palatino Linotype"/>
          <w:b/>
          <w:highlight w:val="black"/>
        </w:rPr>
        <w:t>-----</w:t>
      </w:r>
      <w:r w:rsidR="00E843FA" w:rsidRPr="00487209">
        <w:rPr>
          <w:rFonts w:ascii="Palatino Linotype" w:hAnsi="Palatino Linotype"/>
          <w:b/>
        </w:rPr>
        <w:t xml:space="preserve"> </w:t>
      </w:r>
      <w:r w:rsidR="00A1302E" w:rsidRPr="00487209">
        <w:rPr>
          <w:rFonts w:ascii="Palatino Linotype" w:hAnsi="Palatino Linotype"/>
        </w:rPr>
        <w:t xml:space="preserve">en su calidad de </w:t>
      </w:r>
      <w:r w:rsidR="00A1302E" w:rsidRPr="00487209">
        <w:rPr>
          <w:rFonts w:ascii="Palatino Linotype" w:hAnsi="Palatino Linotype"/>
          <w:b/>
        </w:rPr>
        <w:t>RECURRENTE</w:t>
      </w:r>
      <w:r w:rsidR="00A1302E" w:rsidRPr="00487209">
        <w:rPr>
          <w:rFonts w:ascii="Palatino Linotype" w:hAnsi="Palatino Linotype"/>
        </w:rPr>
        <w:t xml:space="preserve">, </w:t>
      </w:r>
      <w:r w:rsidR="00487209">
        <w:rPr>
          <w:rFonts w:ascii="Palatino Linotype" w:hAnsi="Palatino Linotype" w:cs="Arial"/>
        </w:rPr>
        <w:t>en contra de la</w:t>
      </w:r>
      <w:r w:rsidR="0022360C" w:rsidRPr="00487209">
        <w:rPr>
          <w:rFonts w:ascii="Palatino Linotype" w:hAnsi="Palatino Linotype" w:cs="Arial"/>
        </w:rPr>
        <w:t xml:space="preserve"> </w:t>
      </w:r>
      <w:r w:rsidRPr="00487209">
        <w:rPr>
          <w:rFonts w:ascii="Palatino Linotype" w:hAnsi="Palatino Linotype" w:cs="Arial"/>
        </w:rPr>
        <w:t xml:space="preserve">respuesta del </w:t>
      </w:r>
      <w:r w:rsidR="00716862" w:rsidRPr="00487209">
        <w:rPr>
          <w:rFonts w:ascii="Palatino Linotype" w:hAnsi="Palatino Linotype"/>
          <w:b/>
          <w:bCs/>
        </w:rPr>
        <w:t>Ayuntamiento de Tecámac</w:t>
      </w:r>
      <w:r w:rsidRPr="00487209">
        <w:rPr>
          <w:rFonts w:ascii="Palatino Linotype" w:hAnsi="Palatino Linotype" w:cs="Arial"/>
        </w:rPr>
        <w:t>,</w:t>
      </w:r>
      <w:r w:rsidRPr="00487209">
        <w:rPr>
          <w:rFonts w:ascii="Palatino Linotype" w:hAnsi="Palatino Linotype"/>
          <w:b/>
        </w:rPr>
        <w:t xml:space="preserve"> </w:t>
      </w:r>
      <w:r w:rsidRPr="00487209">
        <w:rPr>
          <w:rFonts w:ascii="Palatino Linotype" w:hAnsi="Palatino Linotype"/>
        </w:rPr>
        <w:t>en lo sucesivo el</w:t>
      </w:r>
      <w:r w:rsidRPr="00487209">
        <w:rPr>
          <w:rFonts w:ascii="Palatino Linotype" w:hAnsi="Palatino Linotype"/>
          <w:b/>
        </w:rPr>
        <w:t xml:space="preserve"> SUJETO OBLIGADO, </w:t>
      </w:r>
      <w:r w:rsidRPr="00487209">
        <w:rPr>
          <w:rFonts w:ascii="Palatino Linotype" w:hAnsi="Palatino Linotype"/>
        </w:rPr>
        <w:t xml:space="preserve">se procede a dictar la presente resolución, con base en los siguientes: </w:t>
      </w:r>
    </w:p>
    <w:p w:rsidR="002A5BA4" w:rsidRPr="00487209" w:rsidRDefault="002A5BA4" w:rsidP="00487209">
      <w:pPr>
        <w:pStyle w:val="Ttulo1"/>
        <w:spacing w:line="360" w:lineRule="auto"/>
        <w:jc w:val="center"/>
        <w:rPr>
          <w:szCs w:val="24"/>
        </w:rPr>
      </w:pPr>
      <w:bookmarkStart w:id="0" w:name="_Toc24028873"/>
      <w:r w:rsidRPr="00487209">
        <w:rPr>
          <w:szCs w:val="24"/>
        </w:rPr>
        <w:t>ANTECEDENTES</w:t>
      </w:r>
      <w:bookmarkEnd w:id="0"/>
    </w:p>
    <w:p w:rsidR="00E26459" w:rsidRPr="00487209" w:rsidRDefault="00E26459" w:rsidP="00487209">
      <w:pPr>
        <w:spacing w:line="360" w:lineRule="auto"/>
        <w:rPr>
          <w:rFonts w:ascii="Palatino Linotype" w:hAnsi="Palatino Linotype"/>
          <w:lang w:val="es-MX" w:eastAsia="en-US"/>
        </w:rPr>
      </w:pPr>
    </w:p>
    <w:p w:rsidR="00E26459" w:rsidRPr="00487209" w:rsidRDefault="00E26459" w:rsidP="00487209">
      <w:pPr>
        <w:pStyle w:val="Prrafodelista"/>
        <w:numPr>
          <w:ilvl w:val="0"/>
          <w:numId w:val="1"/>
        </w:numPr>
        <w:spacing w:line="360" w:lineRule="auto"/>
        <w:ind w:left="0" w:firstLine="0"/>
        <w:jc w:val="both"/>
        <w:rPr>
          <w:rFonts w:ascii="Palatino Linotype" w:eastAsia="Times New Roman" w:hAnsi="Palatino Linotype" w:cs="Arial"/>
          <w:lang w:val="es-ES"/>
        </w:rPr>
      </w:pPr>
      <w:r w:rsidRPr="00487209">
        <w:rPr>
          <w:rFonts w:ascii="Palatino Linotype" w:eastAsia="Calibri" w:hAnsi="Palatino Linotype" w:cs="Arial"/>
          <w:lang w:val="es-ES"/>
        </w:rPr>
        <w:t xml:space="preserve">El día </w:t>
      </w:r>
      <w:r w:rsidR="000C7237" w:rsidRPr="00487209">
        <w:rPr>
          <w:rFonts w:ascii="Palatino Linotype" w:eastAsia="Calibri" w:hAnsi="Palatino Linotype" w:cs="Arial"/>
          <w:lang w:val="es-ES"/>
        </w:rPr>
        <w:t>veintinueve</w:t>
      </w:r>
      <w:r w:rsidRPr="00487209">
        <w:rPr>
          <w:rFonts w:ascii="Palatino Linotype" w:eastAsia="Calibri" w:hAnsi="Palatino Linotype" w:cs="Times New Roman"/>
          <w:lang w:val="es-ES"/>
        </w:rPr>
        <w:t xml:space="preserve"> (</w:t>
      </w:r>
      <w:r w:rsidR="000C7237" w:rsidRPr="00487209">
        <w:rPr>
          <w:rFonts w:ascii="Palatino Linotype" w:eastAsia="Calibri" w:hAnsi="Palatino Linotype" w:cs="Times New Roman"/>
          <w:lang w:val="es-ES"/>
        </w:rPr>
        <w:t>29</w:t>
      </w:r>
      <w:r w:rsidRPr="00487209">
        <w:rPr>
          <w:rFonts w:ascii="Palatino Linotype" w:eastAsia="Calibri" w:hAnsi="Palatino Linotype" w:cs="Times New Roman"/>
          <w:lang w:val="es-ES"/>
        </w:rPr>
        <w:t xml:space="preserve">) de </w:t>
      </w:r>
      <w:r w:rsidR="000C7237" w:rsidRPr="00487209">
        <w:rPr>
          <w:rFonts w:ascii="Palatino Linotype" w:eastAsia="Calibri" w:hAnsi="Palatino Linotype" w:cs="Times New Roman"/>
          <w:lang w:val="es-ES"/>
        </w:rPr>
        <w:t>julio</w:t>
      </w:r>
      <w:r w:rsidR="00231687" w:rsidRPr="00487209">
        <w:rPr>
          <w:rFonts w:ascii="Palatino Linotype" w:eastAsia="Calibri" w:hAnsi="Palatino Linotype" w:cs="Times New Roman"/>
          <w:lang w:val="es-ES"/>
        </w:rPr>
        <w:t xml:space="preserve"> </w:t>
      </w:r>
      <w:r w:rsidRPr="00487209">
        <w:rPr>
          <w:rFonts w:ascii="Palatino Linotype" w:eastAsia="Calibri" w:hAnsi="Palatino Linotype" w:cs="Times New Roman"/>
          <w:lang w:val="es-ES"/>
        </w:rPr>
        <w:t>de dos mil dieci</w:t>
      </w:r>
      <w:r w:rsidR="00231687" w:rsidRPr="00487209">
        <w:rPr>
          <w:rFonts w:ascii="Palatino Linotype" w:eastAsia="Calibri" w:hAnsi="Palatino Linotype" w:cs="Times New Roman"/>
          <w:lang w:val="es-ES"/>
        </w:rPr>
        <w:t>nueve</w:t>
      </w:r>
      <w:r w:rsidRPr="00487209">
        <w:rPr>
          <w:rFonts w:ascii="Palatino Linotype" w:eastAsia="Calibri" w:hAnsi="Palatino Linotype" w:cs="Arial"/>
          <w:lang w:val="es-ES"/>
        </w:rPr>
        <w:t>,</w:t>
      </w:r>
      <w:r w:rsidRPr="00487209">
        <w:rPr>
          <w:rFonts w:ascii="Palatino Linotype" w:eastAsia="Calibri" w:hAnsi="Palatino Linotype" w:cs="Times New Roman"/>
          <w:lang w:val="es-ES"/>
        </w:rPr>
        <w:t xml:space="preserve"> </w:t>
      </w:r>
      <w:r w:rsidR="00E60440" w:rsidRPr="00487209">
        <w:rPr>
          <w:rFonts w:ascii="Palatino Linotype" w:eastAsia="Calibri" w:hAnsi="Palatino Linotype" w:cs="Times New Roman"/>
          <w:b/>
          <w:lang w:val="es-ES"/>
        </w:rPr>
        <w:t>EL RECURRENTE</w:t>
      </w:r>
      <w:r w:rsidR="00A8727A" w:rsidRPr="00487209">
        <w:rPr>
          <w:rFonts w:ascii="Palatino Linotype" w:hAnsi="Palatino Linotype"/>
          <w:b/>
        </w:rPr>
        <w:t>,</w:t>
      </w:r>
      <w:r w:rsidR="00E40EC3" w:rsidRPr="00487209">
        <w:rPr>
          <w:rFonts w:ascii="Palatino Linotype" w:eastAsia="Calibri" w:hAnsi="Palatino Linotype" w:cs="Times New Roman"/>
          <w:lang w:val="es-ES"/>
        </w:rPr>
        <w:t xml:space="preserve"> </w:t>
      </w:r>
      <w:r w:rsidRPr="00487209">
        <w:rPr>
          <w:rFonts w:ascii="Palatino Linotype" w:eastAsia="Calibri" w:hAnsi="Palatino Linotype" w:cs="Arial"/>
          <w:lang w:val="es-ES"/>
        </w:rPr>
        <w:t xml:space="preserve">ante el </w:t>
      </w:r>
      <w:r w:rsidRPr="00487209">
        <w:rPr>
          <w:rFonts w:ascii="Palatino Linotype" w:eastAsia="Calibri" w:hAnsi="Palatino Linotype" w:cs="Arial"/>
          <w:b/>
          <w:lang w:val="es-ES"/>
        </w:rPr>
        <w:t>SUJETO OBLIGADO</w:t>
      </w:r>
      <w:r w:rsidRPr="00487209">
        <w:rPr>
          <w:rFonts w:ascii="Palatino Linotype" w:eastAsia="Calibri" w:hAnsi="Palatino Linotype" w:cs="Arial"/>
        </w:rPr>
        <w:t xml:space="preserve"> vía </w:t>
      </w:r>
      <w:r w:rsidRPr="00487209">
        <w:rPr>
          <w:rFonts w:ascii="Palatino Linotype" w:eastAsia="Calibri" w:hAnsi="Palatino Linotype" w:cs="Arial"/>
          <w:lang w:val="es-ES"/>
        </w:rPr>
        <w:t>Sistema de Acceso a la Información Mexiquense (</w:t>
      </w:r>
      <w:r w:rsidRPr="00487209">
        <w:rPr>
          <w:rFonts w:ascii="Palatino Linotype" w:eastAsia="Calibri" w:hAnsi="Palatino Linotype" w:cs="Arial"/>
          <w:b/>
          <w:lang w:val="es-ES"/>
        </w:rPr>
        <w:t>SAIMEX)</w:t>
      </w:r>
      <w:r w:rsidR="00DA3B9E" w:rsidRPr="00487209">
        <w:rPr>
          <w:rFonts w:ascii="Palatino Linotype" w:eastAsia="Calibri" w:hAnsi="Palatino Linotype" w:cs="Arial"/>
          <w:lang w:val="es-ES"/>
        </w:rPr>
        <w:t>, presentó la solicitud</w:t>
      </w:r>
      <w:r w:rsidRPr="00487209">
        <w:rPr>
          <w:rFonts w:ascii="Palatino Linotype" w:eastAsia="Calibri" w:hAnsi="Palatino Linotype" w:cs="Arial"/>
          <w:lang w:val="es-ES"/>
        </w:rPr>
        <w:t xml:space="preserve"> de</w:t>
      </w:r>
      <w:r w:rsidR="00DA3B9E" w:rsidRPr="00487209">
        <w:rPr>
          <w:rFonts w:ascii="Palatino Linotype" w:eastAsia="Calibri" w:hAnsi="Palatino Linotype" w:cs="Arial"/>
          <w:lang w:val="es-ES"/>
        </w:rPr>
        <w:t xml:space="preserve"> información pública registrada</w:t>
      </w:r>
      <w:r w:rsidRPr="00487209">
        <w:rPr>
          <w:rFonts w:ascii="Palatino Linotype" w:eastAsia="Calibri" w:hAnsi="Palatino Linotype" w:cs="Arial"/>
          <w:lang w:val="es-ES"/>
        </w:rPr>
        <w:t xml:space="preserve"> con </w:t>
      </w:r>
      <w:r w:rsidR="00DA3B9E" w:rsidRPr="00487209">
        <w:rPr>
          <w:rFonts w:ascii="Palatino Linotype" w:eastAsia="Calibri" w:hAnsi="Palatino Linotype" w:cs="Arial"/>
          <w:lang w:val="es-ES"/>
        </w:rPr>
        <w:t>el número</w:t>
      </w:r>
      <w:r w:rsidRPr="00487209">
        <w:rPr>
          <w:rFonts w:ascii="Palatino Linotype" w:eastAsia="Calibri" w:hAnsi="Palatino Linotype" w:cs="Arial"/>
          <w:lang w:val="es-ES"/>
        </w:rPr>
        <w:t xml:space="preserve"> </w:t>
      </w:r>
      <w:r w:rsidR="00A8727A" w:rsidRPr="00487209">
        <w:rPr>
          <w:rFonts w:ascii="Palatino Linotype" w:hAnsi="Palatino Linotype"/>
          <w:b/>
        </w:rPr>
        <w:t>00</w:t>
      </w:r>
      <w:r w:rsidR="00DB6AAE" w:rsidRPr="00487209">
        <w:rPr>
          <w:rFonts w:ascii="Palatino Linotype" w:hAnsi="Palatino Linotype"/>
          <w:b/>
        </w:rPr>
        <w:t>450</w:t>
      </w:r>
      <w:r w:rsidR="000C7237" w:rsidRPr="00487209">
        <w:rPr>
          <w:rFonts w:ascii="Palatino Linotype" w:hAnsi="Palatino Linotype"/>
          <w:b/>
        </w:rPr>
        <w:t>/</w:t>
      </w:r>
      <w:r w:rsidR="00DB6AAE" w:rsidRPr="00487209">
        <w:rPr>
          <w:rFonts w:ascii="Palatino Linotype" w:hAnsi="Palatino Linotype"/>
          <w:b/>
        </w:rPr>
        <w:t>TECAMAC</w:t>
      </w:r>
      <w:r w:rsidRPr="00487209">
        <w:rPr>
          <w:rFonts w:ascii="Palatino Linotype" w:hAnsi="Palatino Linotype"/>
          <w:b/>
        </w:rPr>
        <w:t>/</w:t>
      </w:r>
      <w:r w:rsidR="00E91E3F" w:rsidRPr="00487209">
        <w:rPr>
          <w:rFonts w:ascii="Palatino Linotype" w:hAnsi="Palatino Linotype"/>
          <w:b/>
        </w:rPr>
        <w:t>IP/2019</w:t>
      </w:r>
      <w:r w:rsidRPr="00487209">
        <w:rPr>
          <w:rFonts w:ascii="Palatino Linotype" w:hAnsi="Palatino Linotype"/>
          <w:b/>
        </w:rPr>
        <w:t xml:space="preserve"> </w:t>
      </w:r>
      <w:r w:rsidR="00DA3B9E" w:rsidRPr="00487209">
        <w:rPr>
          <w:rFonts w:ascii="Palatino Linotype" w:eastAsia="Calibri" w:hAnsi="Palatino Linotype" w:cs="Arial"/>
          <w:lang w:val="es-ES"/>
        </w:rPr>
        <w:t>mediante la cual</w:t>
      </w:r>
      <w:r w:rsidRPr="00487209">
        <w:rPr>
          <w:rFonts w:ascii="Palatino Linotype" w:eastAsia="Calibri" w:hAnsi="Palatino Linotype" w:cs="Arial"/>
          <w:lang w:val="es-ES"/>
        </w:rPr>
        <w:t xml:space="preserve"> solicitó lo siguiente:</w:t>
      </w:r>
    </w:p>
    <w:p w:rsidR="00E26459" w:rsidRPr="00487209" w:rsidRDefault="00E26459" w:rsidP="00487209">
      <w:pPr>
        <w:spacing w:before="240" w:after="240" w:line="360" w:lineRule="auto"/>
        <w:ind w:left="567" w:right="567"/>
        <w:jc w:val="both"/>
        <w:rPr>
          <w:rFonts w:ascii="Palatino Linotype" w:eastAsia="Calibri" w:hAnsi="Palatino Linotype" w:cs="Arial"/>
          <w:i/>
          <w:lang w:val="es-ES"/>
        </w:rPr>
      </w:pPr>
      <w:r w:rsidRPr="00487209">
        <w:rPr>
          <w:rFonts w:ascii="Palatino Linotype" w:eastAsia="Calibri" w:hAnsi="Palatino Linotype" w:cs="Arial"/>
          <w:i/>
          <w:lang w:val="es-ES"/>
        </w:rPr>
        <w:t>“</w:t>
      </w:r>
      <w:r w:rsidR="00DB6AAE" w:rsidRPr="00487209">
        <w:rPr>
          <w:rFonts w:ascii="Palatino Linotype" w:eastAsia="Calibri" w:hAnsi="Palatino Linotype" w:cs="Arial"/>
          <w:i/>
          <w:lang w:val="es-ES"/>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w:t>
      </w:r>
      <w:proofErr w:type="spellStart"/>
      <w:r w:rsidR="00DB6AAE" w:rsidRPr="00487209">
        <w:rPr>
          <w:rFonts w:ascii="Palatino Linotype" w:eastAsia="Calibri" w:hAnsi="Palatino Linotype" w:cs="Arial"/>
          <w:i/>
          <w:lang w:val="es-ES"/>
        </w:rPr>
        <w:t>como</w:t>
      </w:r>
      <w:proofErr w:type="spellEnd"/>
      <w:r w:rsidR="00DB6AAE" w:rsidRPr="00487209">
        <w:rPr>
          <w:rFonts w:ascii="Palatino Linotype" w:eastAsia="Calibri" w:hAnsi="Palatino Linotype" w:cs="Arial"/>
          <w:i/>
          <w:lang w:val="es-ES"/>
        </w:rPr>
        <w:t xml:space="preserve"> y en que se erogaron esos recursos recibidos al Secretariado se le solicita, los informes que recibió de EDO, CDMX, Michoacán , HIDALGO ,y Jalisco del mismo periodo con los comprobantes a las contralorías la revisión de bases, anexos técnicos de los bienes comprados, así como </w:t>
      </w:r>
      <w:proofErr w:type="spellStart"/>
      <w:r w:rsidR="00DB6AAE" w:rsidRPr="00487209">
        <w:rPr>
          <w:rFonts w:ascii="Palatino Linotype" w:eastAsia="Calibri" w:hAnsi="Palatino Linotype" w:cs="Arial"/>
          <w:i/>
          <w:lang w:val="es-ES"/>
        </w:rPr>
        <w:t>auditorias</w:t>
      </w:r>
      <w:proofErr w:type="spellEnd"/>
      <w:r w:rsidR="00DB6AAE" w:rsidRPr="00487209">
        <w:rPr>
          <w:rFonts w:ascii="Palatino Linotype" w:eastAsia="Calibri" w:hAnsi="Palatino Linotype" w:cs="Arial"/>
          <w:i/>
          <w:lang w:val="es-ES"/>
        </w:rPr>
        <w:t xml:space="preserve"> practicadas</w:t>
      </w:r>
      <w:r w:rsidRPr="00487209">
        <w:rPr>
          <w:rFonts w:ascii="Palatino Linotype" w:eastAsia="Calibri" w:hAnsi="Palatino Linotype" w:cs="Arial"/>
          <w:i/>
          <w:lang w:val="es-ES"/>
        </w:rPr>
        <w:t>” (sic)</w:t>
      </w:r>
    </w:p>
    <w:p w:rsidR="00A8727A" w:rsidRPr="00487209" w:rsidRDefault="00A8727A" w:rsidP="00487209">
      <w:pPr>
        <w:spacing w:line="360" w:lineRule="auto"/>
        <w:ind w:left="567" w:right="567"/>
        <w:jc w:val="both"/>
        <w:rPr>
          <w:rFonts w:ascii="Palatino Linotype" w:hAnsi="Palatino Linotype"/>
        </w:rPr>
      </w:pPr>
    </w:p>
    <w:p w:rsidR="00FC5D9F" w:rsidRPr="00487209" w:rsidRDefault="00FC5D9F" w:rsidP="00487209">
      <w:pPr>
        <w:pStyle w:val="Prrafodelista"/>
        <w:numPr>
          <w:ilvl w:val="0"/>
          <w:numId w:val="1"/>
        </w:numPr>
        <w:spacing w:line="360" w:lineRule="auto"/>
        <w:ind w:left="0" w:firstLine="0"/>
        <w:jc w:val="both"/>
        <w:rPr>
          <w:rFonts w:ascii="Palatino Linotype" w:eastAsia="Times New Roman" w:hAnsi="Palatino Linotype" w:cs="Arial"/>
          <w:lang w:val="es-ES"/>
        </w:rPr>
      </w:pPr>
      <w:r w:rsidRPr="00487209">
        <w:rPr>
          <w:rFonts w:ascii="Palatino Linotype" w:eastAsia="Times New Roman" w:hAnsi="Palatino Linotype" w:cs="Arial"/>
          <w:lang w:val="es-ES"/>
        </w:rPr>
        <w:t>Señaló como modalidad de entrega de la información</w:t>
      </w:r>
      <w:r w:rsidRPr="00487209">
        <w:rPr>
          <w:rFonts w:ascii="Palatino Linotype" w:eastAsia="Times New Roman" w:hAnsi="Palatino Linotype" w:cs="Arial"/>
          <w:b/>
          <w:lang w:val="es-ES"/>
        </w:rPr>
        <w:t>:</w:t>
      </w:r>
      <w:r w:rsidRPr="00487209">
        <w:rPr>
          <w:rFonts w:ascii="Palatino Linotype" w:eastAsia="Times New Roman" w:hAnsi="Palatino Linotype" w:cs="Arial"/>
          <w:lang w:val="es-ES"/>
        </w:rPr>
        <w:t xml:space="preserve"> a través del </w:t>
      </w:r>
      <w:r w:rsidRPr="00487209">
        <w:rPr>
          <w:rFonts w:ascii="Palatino Linotype" w:eastAsia="Times New Roman" w:hAnsi="Palatino Linotype" w:cs="Arial"/>
          <w:b/>
          <w:lang w:val="es-ES"/>
        </w:rPr>
        <w:t>SAIMEX.</w:t>
      </w:r>
    </w:p>
    <w:p w:rsidR="00FC5D9F" w:rsidRPr="00487209" w:rsidRDefault="00FC5D9F" w:rsidP="00487209">
      <w:pPr>
        <w:pStyle w:val="Prrafodelista"/>
        <w:spacing w:before="240" w:after="240" w:line="360" w:lineRule="auto"/>
        <w:ind w:left="0"/>
        <w:jc w:val="both"/>
        <w:rPr>
          <w:rFonts w:ascii="Palatino Linotype" w:hAnsi="Palatino Linotype"/>
        </w:rPr>
      </w:pPr>
    </w:p>
    <w:p w:rsidR="00DB6AAE" w:rsidRPr="00487209" w:rsidRDefault="005472AB" w:rsidP="00487209">
      <w:pPr>
        <w:pStyle w:val="Prrafodelista"/>
        <w:numPr>
          <w:ilvl w:val="0"/>
          <w:numId w:val="1"/>
        </w:numPr>
        <w:spacing w:before="240" w:after="240" w:line="360" w:lineRule="auto"/>
        <w:ind w:left="0" w:firstLine="0"/>
        <w:jc w:val="both"/>
        <w:rPr>
          <w:rFonts w:ascii="Palatino Linotype" w:hAnsi="Palatino Linotype"/>
          <w:i/>
        </w:rPr>
      </w:pPr>
      <w:r w:rsidRPr="00487209">
        <w:rPr>
          <w:rFonts w:ascii="Palatino Linotype" w:eastAsia="Calibri" w:hAnsi="Palatino Linotype" w:cs="Times New Roman"/>
          <w:lang w:val="es-ES"/>
        </w:rPr>
        <w:t xml:space="preserve">El </w:t>
      </w:r>
      <w:r w:rsidR="000C7237" w:rsidRPr="00487209">
        <w:rPr>
          <w:rFonts w:ascii="Palatino Linotype" w:eastAsia="Calibri" w:hAnsi="Palatino Linotype" w:cs="Times New Roman"/>
          <w:lang w:val="es-ES"/>
        </w:rPr>
        <w:t xml:space="preserve">día </w:t>
      </w:r>
      <w:r w:rsidR="00DB6AAE" w:rsidRPr="00487209">
        <w:rPr>
          <w:rFonts w:ascii="Palatino Linotype" w:eastAsia="Calibri" w:hAnsi="Palatino Linotype" w:cs="Times New Roman"/>
          <w:lang w:val="es-ES"/>
        </w:rPr>
        <w:t>cinco</w:t>
      </w:r>
      <w:r w:rsidR="000C7237" w:rsidRPr="00487209">
        <w:rPr>
          <w:rFonts w:ascii="Palatino Linotype" w:eastAsia="Calibri" w:hAnsi="Palatino Linotype" w:cs="Times New Roman"/>
          <w:lang w:val="es-ES"/>
        </w:rPr>
        <w:t xml:space="preserve"> (</w:t>
      </w:r>
      <w:r w:rsidR="00DB6AAE" w:rsidRPr="00487209">
        <w:rPr>
          <w:rFonts w:ascii="Palatino Linotype" w:eastAsia="Calibri" w:hAnsi="Palatino Linotype" w:cs="Times New Roman"/>
          <w:lang w:val="es-ES"/>
        </w:rPr>
        <w:t>05</w:t>
      </w:r>
      <w:r w:rsidR="000C7237" w:rsidRPr="00487209">
        <w:rPr>
          <w:rFonts w:ascii="Palatino Linotype" w:eastAsia="Calibri" w:hAnsi="Palatino Linotype" w:cs="Times New Roman"/>
          <w:lang w:val="es-ES"/>
        </w:rPr>
        <w:t xml:space="preserve">) de </w:t>
      </w:r>
      <w:r w:rsidR="00DB6AAE" w:rsidRPr="00487209">
        <w:rPr>
          <w:rFonts w:ascii="Palatino Linotype" w:eastAsia="Calibri" w:hAnsi="Palatino Linotype" w:cs="Times New Roman"/>
          <w:lang w:val="es-ES"/>
        </w:rPr>
        <w:t>agosto</w:t>
      </w:r>
      <w:r w:rsidR="000C7237" w:rsidRPr="00487209">
        <w:rPr>
          <w:rFonts w:ascii="Palatino Linotype" w:eastAsia="Calibri" w:hAnsi="Palatino Linotype" w:cs="Times New Roman"/>
          <w:lang w:val="es-ES"/>
        </w:rPr>
        <w:t xml:space="preserve"> de dos mil diecinueve, el Sujeto Obligado </w:t>
      </w:r>
      <w:r w:rsidR="00DB6AAE" w:rsidRPr="00487209">
        <w:rPr>
          <w:rFonts w:ascii="Palatino Linotype" w:eastAsia="Calibri" w:hAnsi="Palatino Linotype" w:cs="Times New Roman"/>
          <w:lang w:val="es-ES"/>
        </w:rPr>
        <w:t xml:space="preserve">solicitó una aclaración de manifestando </w:t>
      </w:r>
      <w:r w:rsidR="00DB6AAE" w:rsidRPr="00487209">
        <w:rPr>
          <w:rFonts w:ascii="Palatino Linotype" w:eastAsia="Calibri" w:hAnsi="Palatino Linotype" w:cs="Times New Roman"/>
          <w:i/>
          <w:lang w:val="es-ES"/>
        </w:rPr>
        <w:t>“la solicitud no es precisa y además de esto confusa-“</w:t>
      </w:r>
    </w:p>
    <w:p w:rsidR="00DB6AAE" w:rsidRPr="00487209" w:rsidRDefault="00DB6AAE" w:rsidP="00487209">
      <w:pPr>
        <w:pStyle w:val="Prrafodelista"/>
        <w:spacing w:line="360" w:lineRule="auto"/>
        <w:rPr>
          <w:rFonts w:ascii="Palatino Linotype" w:hAnsi="Palatino Linotype"/>
          <w:i/>
        </w:rPr>
      </w:pPr>
    </w:p>
    <w:p w:rsidR="00DB6AAE" w:rsidRPr="00487209" w:rsidRDefault="00DB6AAE" w:rsidP="00487209">
      <w:pPr>
        <w:pStyle w:val="Prrafodelista"/>
        <w:numPr>
          <w:ilvl w:val="0"/>
          <w:numId w:val="1"/>
        </w:numPr>
        <w:spacing w:before="240" w:after="240" w:line="360" w:lineRule="auto"/>
        <w:ind w:left="0" w:firstLine="0"/>
        <w:jc w:val="both"/>
        <w:rPr>
          <w:rFonts w:ascii="Palatino Linotype" w:hAnsi="Palatino Linotype" w:cs="Arial"/>
          <w:i/>
        </w:rPr>
      </w:pPr>
      <w:r w:rsidRPr="00487209">
        <w:rPr>
          <w:rFonts w:ascii="Palatino Linotype" w:eastAsia="Calibri" w:hAnsi="Palatino Linotype" w:cs="Arial"/>
          <w:lang w:val="es-AR"/>
        </w:rPr>
        <w:t>El recurrente no respondió a la aclaración de la solicitud.</w:t>
      </w:r>
    </w:p>
    <w:p w:rsidR="00DB6AAE" w:rsidRPr="00487209" w:rsidRDefault="00DB6AAE" w:rsidP="00487209">
      <w:pPr>
        <w:pStyle w:val="Prrafodelista"/>
        <w:spacing w:line="360" w:lineRule="auto"/>
        <w:rPr>
          <w:rFonts w:ascii="Palatino Linotype" w:eastAsia="Calibri" w:hAnsi="Palatino Linotype" w:cs="Arial"/>
          <w:lang w:val="es-AR"/>
        </w:rPr>
      </w:pPr>
    </w:p>
    <w:p w:rsidR="00DB6AAE" w:rsidRPr="00487209" w:rsidRDefault="00DB6AAE" w:rsidP="00487209">
      <w:pPr>
        <w:pStyle w:val="Prrafodelista"/>
        <w:numPr>
          <w:ilvl w:val="0"/>
          <w:numId w:val="1"/>
        </w:numPr>
        <w:spacing w:before="240" w:after="240" w:line="360" w:lineRule="auto"/>
        <w:ind w:left="0" w:firstLine="0"/>
        <w:jc w:val="both"/>
        <w:rPr>
          <w:rFonts w:ascii="Palatino Linotype" w:hAnsi="Palatino Linotype" w:cs="Arial"/>
        </w:rPr>
      </w:pPr>
      <w:r w:rsidRPr="00487209">
        <w:rPr>
          <w:rFonts w:ascii="Palatino Linotype" w:hAnsi="Palatino Linotype" w:cs="Arial"/>
        </w:rPr>
        <w:t>El día veinte (20) de agosto de dos mil diecinueve el Sujeto Obligado refirió lo siguiente:</w:t>
      </w:r>
    </w:p>
    <w:p w:rsidR="00DB6AAE" w:rsidRPr="00487209" w:rsidRDefault="00DB6AAE" w:rsidP="00487209">
      <w:pPr>
        <w:pStyle w:val="Prrafodelista"/>
        <w:spacing w:line="360" w:lineRule="auto"/>
        <w:rPr>
          <w:rFonts w:ascii="Palatino Linotype" w:hAnsi="Palatino Linotype" w:cs="Arial"/>
          <w:i/>
        </w:rPr>
      </w:pPr>
    </w:p>
    <w:p w:rsidR="00DB6AAE" w:rsidRPr="00487209" w:rsidRDefault="00DB6AAE" w:rsidP="00487209">
      <w:pPr>
        <w:pStyle w:val="Prrafodelista"/>
        <w:spacing w:before="240" w:after="240" w:line="360" w:lineRule="auto"/>
        <w:jc w:val="both"/>
        <w:rPr>
          <w:rFonts w:ascii="Palatino Linotype" w:hAnsi="Palatino Linotype" w:cs="Arial"/>
          <w:i/>
        </w:rPr>
      </w:pPr>
      <w:r w:rsidRPr="00487209">
        <w:rPr>
          <w:rFonts w:ascii="Palatino Linotype" w:hAnsi="Palatino Linotype" w:cs="Arial"/>
          <w:i/>
        </w:rPr>
        <w:t xml:space="preserve">“Con fundamento en el </w:t>
      </w:r>
      <w:proofErr w:type="spellStart"/>
      <w:r w:rsidRPr="00487209">
        <w:rPr>
          <w:rFonts w:ascii="Palatino Linotype" w:hAnsi="Palatino Linotype" w:cs="Arial"/>
          <w:i/>
        </w:rPr>
        <w:t>articulo</w:t>
      </w:r>
      <w:proofErr w:type="spellEnd"/>
      <w:r w:rsidRPr="00487209">
        <w:rPr>
          <w:rFonts w:ascii="Palatino Linotype" w:hAnsi="Palatino Linotype" w:cs="Arial"/>
          <w:i/>
        </w:rPr>
        <w:t xml:space="preserve"> 159, tercer párrafo de la Ley de Transparencia y Acceso a la Información Pública del Estado de México y Municipios, se le hace de su conocimiento que se tiene por no presentada la solicitud de aclaración citada al rubro, en virtud de que</w:t>
      </w:r>
    </w:p>
    <w:p w:rsidR="00DB6AAE" w:rsidRPr="00487209" w:rsidRDefault="00DB6AAE" w:rsidP="00487209">
      <w:pPr>
        <w:pStyle w:val="Prrafodelista"/>
        <w:spacing w:before="240" w:after="240" w:line="360" w:lineRule="auto"/>
        <w:jc w:val="both"/>
        <w:rPr>
          <w:rFonts w:ascii="Palatino Linotype" w:hAnsi="Palatino Linotype" w:cs="Arial"/>
          <w:i/>
        </w:rPr>
      </w:pPr>
      <w:r w:rsidRPr="00487209">
        <w:rPr>
          <w:rFonts w:ascii="Palatino Linotype" w:hAnsi="Palatino Linotype" w:cs="Arial"/>
          <w:i/>
        </w:rPr>
        <w:t>No presento aclaración complementación o corrección de datos de la solicitud</w:t>
      </w:r>
    </w:p>
    <w:p w:rsidR="00DB6AAE" w:rsidRPr="00487209" w:rsidRDefault="00DB6AAE" w:rsidP="00487209">
      <w:pPr>
        <w:pStyle w:val="Prrafodelista"/>
        <w:spacing w:before="240" w:after="240" w:line="360" w:lineRule="auto"/>
        <w:jc w:val="both"/>
        <w:rPr>
          <w:rFonts w:ascii="Palatino Linotype" w:hAnsi="Palatino Linotype" w:cs="Arial"/>
          <w:i/>
        </w:rPr>
      </w:pPr>
      <w:proofErr w:type="gramStart"/>
      <w:r w:rsidRPr="00487209">
        <w:rPr>
          <w:rFonts w:ascii="Palatino Linotype" w:hAnsi="Palatino Linotype" w:cs="Arial"/>
          <w:i/>
        </w:rPr>
        <w:t>quedando</w:t>
      </w:r>
      <w:proofErr w:type="gramEnd"/>
      <w:r w:rsidRPr="00487209">
        <w:rPr>
          <w:rFonts w:ascii="Palatino Linotype" w:hAnsi="Palatino Linotype" w:cs="Arial"/>
          <w:i/>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w:t>
      </w:r>
      <w:proofErr w:type="gramStart"/>
      <w:r w:rsidRPr="00487209">
        <w:rPr>
          <w:rFonts w:ascii="Palatino Linotype" w:hAnsi="Palatino Linotype" w:cs="Arial"/>
          <w:i/>
        </w:rPr>
        <w:t>sic</w:t>
      </w:r>
      <w:proofErr w:type="gramEnd"/>
      <w:r w:rsidRPr="00487209">
        <w:rPr>
          <w:rFonts w:ascii="Palatino Linotype" w:hAnsi="Palatino Linotype" w:cs="Arial"/>
          <w:i/>
        </w:rPr>
        <w:t xml:space="preserve">) </w:t>
      </w:r>
    </w:p>
    <w:p w:rsidR="00DB6AAE" w:rsidRPr="00487209" w:rsidRDefault="00DB6AAE" w:rsidP="00487209">
      <w:pPr>
        <w:pStyle w:val="Prrafodelista"/>
        <w:spacing w:before="240" w:after="240" w:line="360" w:lineRule="auto"/>
        <w:ind w:left="0"/>
        <w:jc w:val="both"/>
        <w:rPr>
          <w:rFonts w:ascii="Palatino Linotype" w:hAnsi="Palatino Linotype" w:cs="Arial"/>
          <w:i/>
        </w:rPr>
      </w:pPr>
    </w:p>
    <w:p w:rsidR="002A5BA4" w:rsidRPr="00487209" w:rsidRDefault="00812C54" w:rsidP="00487209">
      <w:pPr>
        <w:pStyle w:val="Prrafodelista"/>
        <w:numPr>
          <w:ilvl w:val="0"/>
          <w:numId w:val="1"/>
        </w:numPr>
        <w:spacing w:before="240" w:after="240" w:line="360" w:lineRule="auto"/>
        <w:ind w:left="0" w:firstLine="0"/>
        <w:jc w:val="both"/>
        <w:rPr>
          <w:rFonts w:ascii="Palatino Linotype" w:hAnsi="Palatino Linotype" w:cs="Arial"/>
          <w:i/>
        </w:rPr>
      </w:pPr>
      <w:r w:rsidRPr="00487209">
        <w:rPr>
          <w:rFonts w:ascii="Palatino Linotype" w:eastAsia="Calibri" w:hAnsi="Palatino Linotype" w:cs="Arial"/>
          <w:lang w:val="es-AR"/>
        </w:rPr>
        <w:t xml:space="preserve">El </w:t>
      </w:r>
      <w:r w:rsidR="00AD18F6" w:rsidRPr="00487209">
        <w:rPr>
          <w:rFonts w:ascii="Palatino Linotype" w:eastAsia="Calibri" w:hAnsi="Palatino Linotype" w:cs="Arial"/>
          <w:lang w:val="es-AR"/>
        </w:rPr>
        <w:t>treinta</w:t>
      </w:r>
      <w:r w:rsidR="002A5BA4" w:rsidRPr="00487209">
        <w:rPr>
          <w:rFonts w:ascii="Palatino Linotype" w:eastAsia="Times New Roman" w:hAnsi="Palatino Linotype" w:cs="Arial"/>
          <w:lang w:val="es-ES"/>
        </w:rPr>
        <w:t xml:space="preserve"> (</w:t>
      </w:r>
      <w:r w:rsidR="00AD18F6" w:rsidRPr="00487209">
        <w:rPr>
          <w:rFonts w:ascii="Palatino Linotype" w:eastAsia="Times New Roman" w:hAnsi="Palatino Linotype" w:cs="Arial"/>
          <w:lang w:val="es-ES"/>
        </w:rPr>
        <w:t>30</w:t>
      </w:r>
      <w:r w:rsidR="002A5BA4" w:rsidRPr="00487209">
        <w:rPr>
          <w:rFonts w:ascii="Palatino Linotype" w:eastAsia="Times New Roman" w:hAnsi="Palatino Linotype" w:cs="Arial"/>
          <w:lang w:val="es-ES"/>
        </w:rPr>
        <w:t xml:space="preserve">) de </w:t>
      </w:r>
      <w:r w:rsidR="00A8727A" w:rsidRPr="00487209">
        <w:rPr>
          <w:rFonts w:ascii="Palatino Linotype" w:eastAsia="Times New Roman" w:hAnsi="Palatino Linotype" w:cs="Arial"/>
          <w:lang w:val="es-ES"/>
        </w:rPr>
        <w:t>agosto</w:t>
      </w:r>
      <w:r w:rsidR="00B22D36" w:rsidRPr="00487209">
        <w:rPr>
          <w:rFonts w:ascii="Palatino Linotype" w:eastAsia="Times New Roman" w:hAnsi="Palatino Linotype" w:cs="Arial"/>
          <w:lang w:val="es-ES"/>
        </w:rPr>
        <w:t xml:space="preserve"> </w:t>
      </w:r>
      <w:r w:rsidR="002A5BA4" w:rsidRPr="00487209">
        <w:rPr>
          <w:rFonts w:ascii="Palatino Linotype" w:eastAsia="Times New Roman" w:hAnsi="Palatino Linotype" w:cs="Arial"/>
          <w:lang w:val="es-ES"/>
        </w:rPr>
        <w:t>de dos mil dieci</w:t>
      </w:r>
      <w:r w:rsidR="00794037" w:rsidRPr="00487209">
        <w:rPr>
          <w:rFonts w:ascii="Palatino Linotype" w:eastAsia="Times New Roman" w:hAnsi="Palatino Linotype" w:cs="Arial"/>
          <w:lang w:val="es-ES"/>
        </w:rPr>
        <w:t>nueve</w:t>
      </w:r>
      <w:r w:rsidR="002A5BA4" w:rsidRPr="00487209">
        <w:rPr>
          <w:rFonts w:ascii="Palatino Linotype" w:eastAsia="Times New Roman" w:hAnsi="Palatino Linotype" w:cs="Arial"/>
          <w:lang w:val="es-ES"/>
        </w:rPr>
        <w:t xml:space="preserve">, </w:t>
      </w:r>
      <w:r w:rsidR="00E60440" w:rsidRPr="00487209">
        <w:rPr>
          <w:rFonts w:ascii="Palatino Linotype" w:eastAsia="Calibri" w:hAnsi="Palatino Linotype" w:cs="Times New Roman"/>
          <w:b/>
          <w:lang w:val="es-ES"/>
        </w:rPr>
        <w:t>EL RECURRENTE</w:t>
      </w:r>
      <w:r w:rsidR="002A5BA4" w:rsidRPr="00487209">
        <w:rPr>
          <w:rFonts w:ascii="Palatino Linotype" w:eastAsia="Times New Roman" w:hAnsi="Palatino Linotype" w:cs="Arial"/>
          <w:b/>
          <w:lang w:val="es-ES"/>
        </w:rPr>
        <w:t>,</w:t>
      </w:r>
      <w:r w:rsidR="00FB61C7" w:rsidRPr="00487209">
        <w:rPr>
          <w:rFonts w:ascii="Palatino Linotype" w:eastAsia="Times New Roman" w:hAnsi="Palatino Linotype" w:cs="Arial"/>
          <w:lang w:val="es-ES"/>
        </w:rPr>
        <w:t xml:space="preserve"> interpuso </w:t>
      </w:r>
      <w:r w:rsidR="000E1BDA" w:rsidRPr="00487209">
        <w:rPr>
          <w:rFonts w:ascii="Palatino Linotype" w:eastAsia="Times New Roman" w:hAnsi="Palatino Linotype" w:cs="Arial"/>
          <w:lang w:val="es-ES"/>
        </w:rPr>
        <w:t>el</w:t>
      </w:r>
      <w:r w:rsidR="002A5BA4" w:rsidRPr="00487209">
        <w:rPr>
          <w:rFonts w:ascii="Palatino Linotype" w:eastAsia="Times New Roman" w:hAnsi="Palatino Linotype" w:cs="Arial"/>
          <w:lang w:val="es-ES"/>
        </w:rPr>
        <w:t xml:space="preserve"> recurso de revisión, en contra de la</w:t>
      </w:r>
      <w:r w:rsidR="00A8727A" w:rsidRPr="00487209">
        <w:rPr>
          <w:rFonts w:ascii="Palatino Linotype" w:eastAsia="Times New Roman" w:hAnsi="Palatino Linotype" w:cs="Arial"/>
          <w:lang w:val="es-ES"/>
        </w:rPr>
        <w:t xml:space="preserve"> falta</w:t>
      </w:r>
      <w:r w:rsidR="002A5BA4" w:rsidRPr="00487209">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0E053C" w:rsidRPr="00487209" w:rsidRDefault="000E053C" w:rsidP="00487209">
      <w:pPr>
        <w:pStyle w:val="Prrafodelista"/>
        <w:spacing w:line="360" w:lineRule="auto"/>
        <w:rPr>
          <w:rFonts w:ascii="Palatino Linotype" w:hAnsi="Palatino Linotype" w:cs="Arial"/>
          <w:i/>
        </w:rPr>
      </w:pPr>
    </w:p>
    <w:p w:rsidR="000E053C" w:rsidRPr="00487209" w:rsidRDefault="000E053C" w:rsidP="00487209">
      <w:pPr>
        <w:pStyle w:val="Prrafodelista"/>
        <w:spacing w:line="360" w:lineRule="auto"/>
        <w:ind w:left="567"/>
        <w:jc w:val="both"/>
        <w:rPr>
          <w:rFonts w:ascii="Palatino Linotype" w:hAnsi="Palatino Linotype" w:cs="Arial"/>
        </w:rPr>
      </w:pPr>
      <w:r w:rsidRPr="00487209">
        <w:rPr>
          <w:rFonts w:ascii="Palatino Linotype" w:hAnsi="Palatino Linotype"/>
          <w:b/>
        </w:rPr>
        <w:t>Acto impugnado:</w:t>
      </w:r>
      <w:r w:rsidRPr="00487209">
        <w:rPr>
          <w:rStyle w:val="Ttulo2Car"/>
          <w:rFonts w:ascii="Palatino Linotype" w:hAnsi="Palatino Linotype"/>
          <w:b/>
          <w:i/>
          <w:color w:val="auto"/>
          <w:sz w:val="24"/>
          <w:szCs w:val="24"/>
          <w:lang w:val="es-ES"/>
        </w:rPr>
        <w:t xml:space="preserve"> </w:t>
      </w:r>
      <w:r w:rsidRPr="00487209">
        <w:rPr>
          <w:rFonts w:ascii="Palatino Linotype" w:hAnsi="Palatino Linotype"/>
        </w:rPr>
        <w:t>“</w:t>
      </w:r>
      <w:r w:rsidR="00DB6AAE" w:rsidRPr="00487209">
        <w:rPr>
          <w:rFonts w:ascii="Palatino Linotype" w:hAnsi="Palatino Linotype"/>
          <w:i/>
        </w:rPr>
        <w:t xml:space="preserve">No entrego nada y </w:t>
      </w:r>
      <w:proofErr w:type="spellStart"/>
      <w:r w:rsidR="00DB6AAE" w:rsidRPr="00487209">
        <w:rPr>
          <w:rFonts w:ascii="Palatino Linotype" w:hAnsi="Palatino Linotype"/>
          <w:i/>
        </w:rPr>
        <w:t>vease</w:t>
      </w:r>
      <w:proofErr w:type="spellEnd"/>
      <w:r w:rsidR="00DB6AAE" w:rsidRPr="00487209">
        <w:rPr>
          <w:rFonts w:ascii="Palatino Linotype" w:hAnsi="Palatino Linotype"/>
          <w:i/>
        </w:rPr>
        <w:t xml:space="preserve"> la respuesta a</w:t>
      </w:r>
      <w:r w:rsidR="006719D3" w:rsidRPr="00487209">
        <w:rPr>
          <w:rFonts w:ascii="Palatino Linotype" w:hAnsi="Palatino Linotype"/>
          <w:i/>
        </w:rPr>
        <w:t>djunta ejemplo de transparencia</w:t>
      </w:r>
      <w:r w:rsidR="00723ABC" w:rsidRPr="00487209">
        <w:rPr>
          <w:rFonts w:ascii="Palatino Linotype" w:hAnsi="Palatino Linotype"/>
        </w:rPr>
        <w:t>“(</w:t>
      </w:r>
      <w:r w:rsidR="009B16BF" w:rsidRPr="00487209">
        <w:rPr>
          <w:rFonts w:ascii="Palatino Linotype" w:eastAsia="Calibri" w:hAnsi="Palatino Linotype" w:cs="Arial"/>
          <w:lang w:val="es-ES"/>
        </w:rPr>
        <w:t>Sic); y</w:t>
      </w:r>
    </w:p>
    <w:p w:rsidR="000E053C" w:rsidRPr="00487209" w:rsidRDefault="000E053C" w:rsidP="00487209">
      <w:pPr>
        <w:pStyle w:val="Prrafodelista"/>
        <w:spacing w:line="360" w:lineRule="auto"/>
        <w:ind w:left="567"/>
        <w:jc w:val="both"/>
        <w:rPr>
          <w:rFonts w:ascii="Palatino Linotype" w:hAnsi="Palatino Linotype" w:cs="Arial"/>
        </w:rPr>
      </w:pPr>
      <w:r w:rsidRPr="00487209">
        <w:rPr>
          <w:rFonts w:ascii="Palatino Linotype" w:hAnsi="Palatino Linotype"/>
          <w:b/>
        </w:rPr>
        <w:t>Razones o Motivos de inconformidad:</w:t>
      </w:r>
      <w:r w:rsidRPr="00487209">
        <w:rPr>
          <w:rStyle w:val="Ttulo2Car"/>
          <w:rFonts w:ascii="Palatino Linotype" w:hAnsi="Palatino Linotype"/>
          <w:b/>
          <w:sz w:val="24"/>
          <w:szCs w:val="24"/>
          <w:lang w:val="es-ES"/>
        </w:rPr>
        <w:t xml:space="preserve"> </w:t>
      </w:r>
      <w:r w:rsidRPr="00487209">
        <w:rPr>
          <w:rFonts w:ascii="Palatino Linotype" w:hAnsi="Palatino Linotype"/>
          <w:i/>
        </w:rPr>
        <w:t>“</w:t>
      </w:r>
      <w:r w:rsidR="00DB6AAE" w:rsidRPr="00487209">
        <w:rPr>
          <w:rFonts w:ascii="Palatino Linotype" w:hAnsi="Palatino Linotype"/>
          <w:i/>
        </w:rPr>
        <w:t xml:space="preserve">No entrego nada y </w:t>
      </w:r>
      <w:proofErr w:type="spellStart"/>
      <w:r w:rsidR="00DB6AAE" w:rsidRPr="00487209">
        <w:rPr>
          <w:rFonts w:ascii="Palatino Linotype" w:hAnsi="Palatino Linotype"/>
          <w:i/>
        </w:rPr>
        <w:t>vease</w:t>
      </w:r>
      <w:proofErr w:type="spellEnd"/>
      <w:r w:rsidR="00DB6AAE" w:rsidRPr="00487209">
        <w:rPr>
          <w:rFonts w:ascii="Palatino Linotype" w:hAnsi="Palatino Linotype"/>
          <w:i/>
        </w:rPr>
        <w:t xml:space="preserve"> la respuesta adjunta ejemplo de transparencia</w:t>
      </w:r>
      <w:r w:rsidRPr="00487209">
        <w:rPr>
          <w:rFonts w:ascii="Palatino Linotype" w:hAnsi="Palatino Linotype"/>
          <w:i/>
        </w:rPr>
        <w:t xml:space="preserve">” </w:t>
      </w:r>
      <w:r w:rsidRPr="00487209">
        <w:rPr>
          <w:rFonts w:ascii="Palatino Linotype" w:hAnsi="Palatino Linotype" w:cs="Arial"/>
        </w:rPr>
        <w:t xml:space="preserve">(Sic) </w:t>
      </w:r>
    </w:p>
    <w:p w:rsidR="00B22D36" w:rsidRPr="00487209" w:rsidRDefault="00B22D36" w:rsidP="00487209">
      <w:pPr>
        <w:pStyle w:val="Prrafodelista"/>
        <w:spacing w:line="360" w:lineRule="auto"/>
        <w:ind w:left="567"/>
        <w:jc w:val="both"/>
        <w:rPr>
          <w:rFonts w:ascii="Palatino Linotype" w:hAnsi="Palatino Linotype" w:cs="Arial"/>
        </w:rPr>
      </w:pPr>
    </w:p>
    <w:bookmarkEnd w:id="1"/>
    <w:bookmarkEnd w:id="2"/>
    <w:bookmarkEnd w:id="3"/>
    <w:p w:rsidR="002A5BA4" w:rsidRPr="00487209" w:rsidRDefault="002A5BA4" w:rsidP="0048720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87209">
        <w:rPr>
          <w:rFonts w:ascii="Palatino Linotype" w:eastAsia="Calibri" w:hAnsi="Palatino Linotype" w:cs="Arial"/>
          <w:lang w:val="es-AR"/>
        </w:rPr>
        <w:t xml:space="preserve"> </w:t>
      </w:r>
      <w:r w:rsidR="00666351" w:rsidRPr="00487209">
        <w:rPr>
          <w:rFonts w:ascii="Palatino Linotype" w:eastAsia="Times New Roman" w:hAnsi="Palatino Linotype" w:cs="Arial"/>
          <w:lang w:val="es-ES"/>
        </w:rPr>
        <w:t>Se registró</w:t>
      </w:r>
      <w:r w:rsidRPr="00487209">
        <w:rPr>
          <w:rFonts w:ascii="Palatino Linotype" w:eastAsia="Times New Roman" w:hAnsi="Palatino Linotype" w:cs="Arial"/>
          <w:lang w:val="es-ES"/>
        </w:rPr>
        <w:t xml:space="preserve"> </w:t>
      </w:r>
      <w:r w:rsidR="00666351" w:rsidRPr="00487209">
        <w:rPr>
          <w:rFonts w:ascii="Palatino Linotype" w:eastAsia="Times New Roman" w:hAnsi="Palatino Linotype" w:cs="Arial"/>
          <w:lang w:val="es-ES"/>
        </w:rPr>
        <w:t>el</w:t>
      </w:r>
      <w:r w:rsidRPr="00487209">
        <w:rPr>
          <w:rFonts w:ascii="Palatino Linotype" w:eastAsia="Times New Roman" w:hAnsi="Palatino Linotype" w:cs="Arial"/>
          <w:lang w:val="es-ES"/>
        </w:rPr>
        <w:t xml:space="preserve"> recurso de revisión bajo </w:t>
      </w:r>
      <w:r w:rsidR="00666351" w:rsidRPr="00487209">
        <w:rPr>
          <w:rFonts w:ascii="Palatino Linotype" w:eastAsia="Times New Roman" w:hAnsi="Palatino Linotype" w:cs="Arial"/>
          <w:lang w:val="es-ES"/>
        </w:rPr>
        <w:t>el</w:t>
      </w:r>
      <w:r w:rsidRPr="00487209">
        <w:rPr>
          <w:rFonts w:ascii="Palatino Linotype" w:eastAsia="Times New Roman" w:hAnsi="Palatino Linotype" w:cs="Arial"/>
          <w:lang w:val="es-ES"/>
        </w:rPr>
        <w:t xml:space="preserve"> número de expediente </w:t>
      </w:r>
      <w:r w:rsidRPr="00487209">
        <w:rPr>
          <w:rFonts w:ascii="Palatino Linotype" w:hAnsi="Palatino Linotype" w:cs="Arial"/>
          <w:bCs/>
        </w:rPr>
        <w:t xml:space="preserve">al rubro indicado, asimismo con fundamento en lo dispuesto por el </w:t>
      </w:r>
      <w:r w:rsidRPr="00487209">
        <w:rPr>
          <w:rFonts w:ascii="Palatino Linotype" w:eastAsia="Calibri" w:hAnsi="Palatino Linotype" w:cs="Arial"/>
          <w:lang w:val="es-ES"/>
        </w:rPr>
        <w:t xml:space="preserve">artículo 185 fracción I de la </w:t>
      </w:r>
      <w:r w:rsidRPr="00487209">
        <w:rPr>
          <w:rFonts w:ascii="Palatino Linotype" w:eastAsia="Calibri" w:hAnsi="Palatino Linotype" w:cs="Arial"/>
          <w:b/>
          <w:lang w:val="es-ES"/>
        </w:rPr>
        <w:t xml:space="preserve">Ley de Transparencia y Acceso a la Información Pública del Estado de México y Municipios </w:t>
      </w:r>
      <w:r w:rsidRPr="00487209">
        <w:rPr>
          <w:rFonts w:ascii="Palatino Linotype" w:eastAsia="Times New Roman" w:hAnsi="Palatino Linotype" w:cs="Arial"/>
          <w:lang w:val="es-ES"/>
        </w:rPr>
        <w:t>se turn</w:t>
      </w:r>
      <w:r w:rsidR="00666351" w:rsidRPr="00487209">
        <w:rPr>
          <w:rFonts w:ascii="Palatino Linotype" w:eastAsia="Times New Roman" w:hAnsi="Palatino Linotype" w:cs="Arial"/>
          <w:lang w:val="es-ES"/>
        </w:rPr>
        <w:t>ó</w:t>
      </w:r>
      <w:r w:rsidRPr="00487209">
        <w:rPr>
          <w:rFonts w:ascii="Palatino Linotype" w:eastAsia="Times New Roman" w:hAnsi="Palatino Linotype" w:cs="Arial"/>
          <w:lang w:val="es-ES"/>
        </w:rPr>
        <w:t xml:space="preserve"> al </w:t>
      </w:r>
      <w:r w:rsidRPr="00487209">
        <w:rPr>
          <w:rFonts w:ascii="Palatino Linotype" w:eastAsia="Times New Roman" w:hAnsi="Palatino Linotype" w:cs="Arial"/>
          <w:b/>
          <w:lang w:val="es-ES"/>
        </w:rPr>
        <w:t xml:space="preserve">Comisionado José Guadalupe Luna Hernández, </w:t>
      </w:r>
      <w:r w:rsidRPr="00487209">
        <w:rPr>
          <w:rFonts w:ascii="Palatino Linotype" w:eastAsia="Times New Roman" w:hAnsi="Palatino Linotype" w:cs="Arial"/>
          <w:lang w:val="es-ES"/>
        </w:rPr>
        <w:t xml:space="preserve">con el objeto de </w:t>
      </w:r>
      <w:r w:rsidRPr="00487209">
        <w:rPr>
          <w:rFonts w:ascii="Palatino Linotype" w:eastAsia="Times New Roman" w:hAnsi="Palatino Linotype" w:cs="Arial"/>
          <w:lang w:val="es-MX"/>
        </w:rPr>
        <w:t xml:space="preserve">su análisis. </w:t>
      </w:r>
    </w:p>
    <w:p w:rsidR="002A5BA4" w:rsidRPr="00487209" w:rsidRDefault="002A5BA4" w:rsidP="00487209">
      <w:pPr>
        <w:pStyle w:val="Prrafodelista"/>
        <w:spacing w:line="360" w:lineRule="auto"/>
        <w:ind w:left="0"/>
        <w:rPr>
          <w:rFonts w:ascii="Palatino Linotype" w:hAnsi="Palatino Linotype"/>
          <w:color w:val="000000"/>
        </w:rPr>
      </w:pPr>
    </w:p>
    <w:p w:rsidR="002A5BA4" w:rsidRPr="00487209" w:rsidRDefault="002A5BA4" w:rsidP="00487209">
      <w:pPr>
        <w:pStyle w:val="Prrafodelista"/>
        <w:numPr>
          <w:ilvl w:val="0"/>
          <w:numId w:val="1"/>
        </w:numPr>
        <w:spacing w:before="240" w:after="240" w:line="360" w:lineRule="auto"/>
        <w:ind w:left="0" w:firstLine="0"/>
        <w:jc w:val="both"/>
        <w:rPr>
          <w:rFonts w:ascii="Palatino Linotype" w:hAnsi="Palatino Linotype"/>
          <w:i/>
          <w:color w:val="000000"/>
        </w:rPr>
      </w:pPr>
      <w:r w:rsidRPr="00487209">
        <w:rPr>
          <w:rFonts w:ascii="Palatino Linotype" w:eastAsia="Calibri" w:hAnsi="Palatino Linotype" w:cs="Arial"/>
          <w:lang w:val="es-ES"/>
        </w:rPr>
        <w:t>El Comisionado Ponente con fundamento en lo dispuesto por el artículo 185 fracción II de la ley de la materia, a través d</w:t>
      </w:r>
      <w:r w:rsidR="00852825" w:rsidRPr="00487209">
        <w:rPr>
          <w:rFonts w:ascii="Palatino Linotype" w:eastAsia="Calibri" w:hAnsi="Palatino Linotype" w:cs="Arial"/>
          <w:lang w:val="es-ES"/>
        </w:rPr>
        <w:t xml:space="preserve">el acuerdo de admisión de fecha </w:t>
      </w:r>
      <w:r w:rsidR="00AD18F6" w:rsidRPr="00487209">
        <w:rPr>
          <w:rFonts w:ascii="Palatino Linotype" w:eastAsia="Calibri" w:hAnsi="Palatino Linotype" w:cs="Arial"/>
          <w:lang w:val="es-ES"/>
        </w:rPr>
        <w:t>cinco</w:t>
      </w:r>
      <w:r w:rsidR="00812C54" w:rsidRPr="00487209">
        <w:rPr>
          <w:rFonts w:ascii="Palatino Linotype" w:eastAsia="Calibri" w:hAnsi="Palatino Linotype" w:cs="Arial"/>
          <w:lang w:val="es-ES"/>
        </w:rPr>
        <w:t xml:space="preserve"> (</w:t>
      </w:r>
      <w:r w:rsidR="005707D2" w:rsidRPr="00487209">
        <w:rPr>
          <w:rFonts w:ascii="Palatino Linotype" w:eastAsia="Calibri" w:hAnsi="Palatino Linotype" w:cs="Arial"/>
          <w:lang w:val="es-ES"/>
        </w:rPr>
        <w:t>0</w:t>
      </w:r>
      <w:r w:rsidR="00AD18F6" w:rsidRPr="00487209">
        <w:rPr>
          <w:rFonts w:ascii="Palatino Linotype" w:eastAsia="Calibri" w:hAnsi="Palatino Linotype" w:cs="Arial"/>
          <w:lang w:val="es-ES"/>
        </w:rPr>
        <w:t>5</w:t>
      </w:r>
      <w:r w:rsidR="00812C54" w:rsidRPr="00487209">
        <w:rPr>
          <w:rFonts w:ascii="Palatino Linotype" w:eastAsia="Calibri" w:hAnsi="Palatino Linotype" w:cs="Arial"/>
          <w:lang w:val="es-ES"/>
        </w:rPr>
        <w:t>)</w:t>
      </w:r>
      <w:r w:rsidR="00EF2C7E" w:rsidRPr="00487209">
        <w:rPr>
          <w:rFonts w:ascii="Palatino Linotype" w:eastAsia="Calibri" w:hAnsi="Palatino Linotype" w:cs="Arial"/>
          <w:lang w:val="es-ES"/>
        </w:rPr>
        <w:t xml:space="preserve"> </w:t>
      </w:r>
      <w:r w:rsidRPr="00487209">
        <w:rPr>
          <w:rFonts w:ascii="Palatino Linotype" w:eastAsia="Calibri" w:hAnsi="Palatino Linotype" w:cs="Arial"/>
          <w:lang w:val="es-ES"/>
        </w:rPr>
        <w:t xml:space="preserve">de </w:t>
      </w:r>
      <w:r w:rsidR="005707D2" w:rsidRPr="00487209">
        <w:rPr>
          <w:rFonts w:ascii="Palatino Linotype" w:eastAsia="Calibri" w:hAnsi="Palatino Linotype" w:cs="Arial"/>
          <w:lang w:val="es-ES"/>
        </w:rPr>
        <w:t>septiembre</w:t>
      </w:r>
      <w:r w:rsidRPr="00487209">
        <w:rPr>
          <w:rFonts w:ascii="Palatino Linotype" w:eastAsia="Calibri" w:hAnsi="Palatino Linotype" w:cs="Arial"/>
          <w:lang w:val="es-ES"/>
        </w:rPr>
        <w:t xml:space="preserve"> de dos mil </w:t>
      </w:r>
      <w:r w:rsidR="000E053C" w:rsidRPr="00487209">
        <w:rPr>
          <w:rFonts w:ascii="Palatino Linotype" w:eastAsia="Calibri" w:hAnsi="Palatino Linotype" w:cs="Arial"/>
          <w:lang w:val="es-ES"/>
        </w:rPr>
        <w:t>dieci</w:t>
      </w:r>
      <w:r w:rsidR="00794037" w:rsidRPr="00487209">
        <w:rPr>
          <w:rFonts w:ascii="Palatino Linotype" w:eastAsia="Calibri" w:hAnsi="Palatino Linotype" w:cs="Arial"/>
          <w:lang w:val="es-ES"/>
        </w:rPr>
        <w:t>nueve</w:t>
      </w:r>
      <w:r w:rsidRPr="00487209">
        <w:rPr>
          <w:rFonts w:ascii="Palatino Linotype" w:eastAsia="Calibri" w:hAnsi="Palatino Linotype" w:cs="Arial"/>
          <w:lang w:val="es-ES"/>
        </w:rPr>
        <w:t xml:space="preserve">, puso a disposición de las partes </w:t>
      </w:r>
      <w:r w:rsidR="00666351" w:rsidRPr="00487209">
        <w:rPr>
          <w:rFonts w:ascii="Palatino Linotype" w:eastAsia="Calibri" w:hAnsi="Palatino Linotype" w:cs="Arial"/>
          <w:lang w:val="es-ES"/>
        </w:rPr>
        <w:t>el expediente</w:t>
      </w:r>
      <w:r w:rsidRPr="00487209">
        <w:rPr>
          <w:rFonts w:ascii="Palatino Linotype" w:eastAsia="Calibri" w:hAnsi="Palatino Linotype" w:cs="Arial"/>
          <w:lang w:val="es-ES"/>
        </w:rPr>
        <w:t xml:space="preserve"> electrónico </w:t>
      </w:r>
      <w:r w:rsidRPr="00487209">
        <w:rPr>
          <w:rFonts w:ascii="Palatino Linotype" w:eastAsia="Calibri" w:hAnsi="Palatino Linotype" w:cs="Arial"/>
        </w:rPr>
        <w:t xml:space="preserve">vía </w:t>
      </w:r>
      <w:r w:rsidRPr="00487209">
        <w:rPr>
          <w:rFonts w:ascii="Palatino Linotype" w:eastAsia="Calibri" w:hAnsi="Palatino Linotype" w:cs="Arial"/>
          <w:b/>
          <w:lang w:val="es-ES"/>
        </w:rPr>
        <w:t xml:space="preserve">SAIMEX </w:t>
      </w:r>
      <w:r w:rsidRPr="0048720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87209">
        <w:rPr>
          <w:rFonts w:ascii="Palatino Linotype" w:eastAsia="Calibri" w:hAnsi="Palatino Linotype" w:cs="Arial"/>
          <w:b/>
          <w:lang w:val="es-ES"/>
        </w:rPr>
        <w:t>SUJETO OBLIGADO</w:t>
      </w:r>
      <w:r w:rsidR="00666351" w:rsidRPr="00487209">
        <w:rPr>
          <w:rFonts w:ascii="Palatino Linotype" w:eastAsia="Calibri" w:hAnsi="Palatino Linotype" w:cs="Arial"/>
          <w:lang w:val="es-ES"/>
        </w:rPr>
        <w:t xml:space="preserve"> presentará el</w:t>
      </w:r>
      <w:r w:rsidRPr="00487209">
        <w:rPr>
          <w:rFonts w:ascii="Palatino Linotype" w:eastAsia="Calibri" w:hAnsi="Palatino Linotype" w:cs="Arial"/>
          <w:lang w:val="es-ES"/>
        </w:rPr>
        <w:t xml:space="preserve"> Informe Justificado procedente</w:t>
      </w:r>
      <w:r w:rsidR="00812C54" w:rsidRPr="00487209">
        <w:rPr>
          <w:rFonts w:ascii="Palatino Linotype" w:eastAsia="Calibri" w:hAnsi="Palatino Linotype" w:cs="Arial"/>
          <w:lang w:val="es-ES"/>
        </w:rPr>
        <w:t>.</w:t>
      </w:r>
    </w:p>
    <w:p w:rsidR="00500D9A" w:rsidRPr="00487209" w:rsidRDefault="00500D9A" w:rsidP="00487209">
      <w:pPr>
        <w:pStyle w:val="Prrafodelista"/>
        <w:spacing w:line="360" w:lineRule="auto"/>
        <w:rPr>
          <w:rFonts w:ascii="Palatino Linotype" w:hAnsi="Palatino Linotype"/>
          <w:i/>
          <w:color w:val="000000"/>
        </w:rPr>
      </w:pPr>
    </w:p>
    <w:p w:rsidR="00AD18F6" w:rsidRPr="00487209" w:rsidRDefault="00AD18F6" w:rsidP="00487209">
      <w:pPr>
        <w:pStyle w:val="Prrafodelista"/>
        <w:numPr>
          <w:ilvl w:val="0"/>
          <w:numId w:val="1"/>
        </w:numPr>
        <w:spacing w:line="360" w:lineRule="auto"/>
        <w:ind w:left="0" w:hanging="11"/>
        <w:jc w:val="both"/>
        <w:rPr>
          <w:rFonts w:ascii="Palatino Linotype" w:hAnsi="Palatino Linotype"/>
          <w:color w:val="000000"/>
        </w:rPr>
      </w:pPr>
      <w:r w:rsidRPr="00487209">
        <w:rPr>
          <w:rFonts w:ascii="Palatino Linotype" w:hAnsi="Palatino Linotype"/>
          <w:color w:val="000000"/>
        </w:rPr>
        <w:t xml:space="preserve">De las constancias que obran en el expediente electrónico del SAIMEX, se tiene que, tanto el Sujeto Obligado como el recurrente fueron omisos en rendir </w:t>
      </w:r>
      <w:r w:rsidR="00A00D7D" w:rsidRPr="00487209">
        <w:rPr>
          <w:rFonts w:ascii="Palatino Linotype" w:hAnsi="Palatino Linotype"/>
          <w:color w:val="000000"/>
        </w:rPr>
        <w:t>informe justificado. Se inserta imagen de referencia:</w:t>
      </w:r>
    </w:p>
    <w:p w:rsidR="00A00D7D" w:rsidRPr="00487209" w:rsidRDefault="00A00D7D" w:rsidP="00487209">
      <w:pPr>
        <w:pStyle w:val="Prrafodelista"/>
        <w:spacing w:line="360" w:lineRule="auto"/>
        <w:rPr>
          <w:rFonts w:ascii="Palatino Linotype" w:hAnsi="Palatino Linotype"/>
          <w:color w:val="000000"/>
        </w:rPr>
      </w:pPr>
    </w:p>
    <w:p w:rsidR="00A00D7D" w:rsidRPr="00487209" w:rsidRDefault="00A00D7D" w:rsidP="00487209">
      <w:pPr>
        <w:pStyle w:val="Prrafodelista"/>
        <w:spacing w:line="360" w:lineRule="auto"/>
        <w:ind w:left="0"/>
        <w:jc w:val="both"/>
        <w:rPr>
          <w:rFonts w:ascii="Palatino Linotype" w:hAnsi="Palatino Linotype"/>
          <w:color w:val="000000"/>
        </w:rPr>
      </w:pPr>
      <w:r w:rsidRPr="00487209">
        <w:rPr>
          <w:rFonts w:ascii="Palatino Linotype" w:hAnsi="Palatino Linotype"/>
          <w:noProof/>
          <w:lang w:val="es-MX" w:eastAsia="es-MX"/>
        </w:rPr>
        <w:drawing>
          <wp:inline distT="0" distB="0" distL="0" distR="0" wp14:anchorId="65792132" wp14:editId="6A001943">
            <wp:extent cx="5429250" cy="135203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069" t="25182" r="46070" b="55401"/>
                    <a:stretch/>
                  </pic:blipFill>
                  <pic:spPr bwMode="auto">
                    <a:xfrm>
                      <a:off x="0" y="0"/>
                      <a:ext cx="5492369" cy="1367749"/>
                    </a:xfrm>
                    <a:prstGeom prst="rect">
                      <a:avLst/>
                    </a:prstGeom>
                    <a:ln>
                      <a:noFill/>
                    </a:ln>
                    <a:extLst>
                      <a:ext uri="{53640926-AAD7-44D8-BBD7-CCE9431645EC}">
                        <a14:shadowObscured xmlns:a14="http://schemas.microsoft.com/office/drawing/2010/main"/>
                      </a:ext>
                    </a:extLst>
                  </pic:spPr>
                </pic:pic>
              </a:graphicData>
            </a:graphic>
          </wp:inline>
        </w:drawing>
      </w:r>
    </w:p>
    <w:p w:rsidR="00AD18F6" w:rsidRPr="00487209" w:rsidRDefault="00AD18F6" w:rsidP="00487209">
      <w:pPr>
        <w:pStyle w:val="Prrafodelista"/>
        <w:spacing w:line="360" w:lineRule="auto"/>
        <w:rPr>
          <w:rFonts w:ascii="Palatino Linotype" w:hAnsi="Palatino Linotype"/>
          <w:color w:val="000000"/>
        </w:rPr>
      </w:pPr>
    </w:p>
    <w:p w:rsidR="006719D3" w:rsidRPr="00487209" w:rsidRDefault="006719D3" w:rsidP="00487209">
      <w:pPr>
        <w:pStyle w:val="Prrafodelista"/>
        <w:numPr>
          <w:ilvl w:val="0"/>
          <w:numId w:val="1"/>
        </w:numPr>
        <w:spacing w:line="360" w:lineRule="auto"/>
        <w:ind w:left="0" w:firstLine="0"/>
        <w:jc w:val="both"/>
        <w:rPr>
          <w:rFonts w:ascii="Palatino Linotype" w:hAnsi="Palatino Linotype" w:cs="Arial"/>
        </w:rPr>
      </w:pPr>
      <w:r w:rsidRPr="0048720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719D3" w:rsidRPr="00487209" w:rsidRDefault="006719D3" w:rsidP="00487209">
      <w:pPr>
        <w:pStyle w:val="Prrafodelista"/>
        <w:spacing w:line="360" w:lineRule="auto"/>
        <w:ind w:left="0"/>
        <w:jc w:val="both"/>
        <w:rPr>
          <w:rFonts w:ascii="Palatino Linotype" w:hAnsi="Palatino Linotype" w:cs="Arial"/>
        </w:rPr>
      </w:pPr>
    </w:p>
    <w:p w:rsidR="006719D3" w:rsidRPr="00487209" w:rsidRDefault="006719D3" w:rsidP="00487209">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487209">
        <w:rPr>
          <w:rFonts w:ascii="Palatino Linotype" w:hAnsi="Palatino Linotype" w:cs="Arial"/>
          <w:b/>
          <w:bCs/>
          <w:i/>
          <w:iCs/>
          <w:color w:val="222222"/>
          <w:lang w:val="es-ES_tradnl"/>
        </w:rPr>
        <w:t>QUEJA, RECURSO DE. LA OMISION DE RENDIR EL INFORME RESPECTIVO NO IMPIDE QUE SE RESUELV</w:t>
      </w:r>
      <w:r w:rsidRPr="00487209">
        <w:rPr>
          <w:rFonts w:ascii="Palatino Linotype" w:hAnsi="Palatino Linotype" w:cs="Arial"/>
          <w:b/>
          <w:i/>
          <w:iCs/>
          <w:color w:val="222222"/>
          <w:lang w:val="es-ES_tradnl"/>
        </w:rPr>
        <w:t>A.</w:t>
      </w:r>
      <w:r w:rsidRPr="00487209">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6719D3" w:rsidRPr="00487209" w:rsidRDefault="006719D3" w:rsidP="00487209">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6719D3" w:rsidRPr="00487209" w:rsidRDefault="006719D3" w:rsidP="00487209">
      <w:pPr>
        <w:pStyle w:val="Prrafodelista"/>
        <w:numPr>
          <w:ilvl w:val="0"/>
          <w:numId w:val="1"/>
        </w:numPr>
        <w:spacing w:line="360" w:lineRule="auto"/>
        <w:ind w:left="0" w:hanging="11"/>
        <w:jc w:val="both"/>
        <w:rPr>
          <w:rFonts w:ascii="Palatino Linotype" w:hAnsi="Palatino Linotype"/>
          <w:b/>
          <w:u w:val="single"/>
        </w:rPr>
      </w:pPr>
      <w:r w:rsidRPr="00487209">
        <w:rPr>
          <w:rFonts w:ascii="Palatino Linotype" w:hAnsi="Palatino Linotype" w:cs="Arial"/>
          <w:color w:val="222222"/>
        </w:rPr>
        <w:t>Por lo cual se reitera, que la falta de informe justificado no impide que este Órgano Garante conozca y resuelva el recurso de revisión, solo propicia que el </w:t>
      </w:r>
      <w:r w:rsidRPr="00487209">
        <w:rPr>
          <w:rFonts w:ascii="Palatino Linotype" w:hAnsi="Palatino Linotype" w:cs="Arial"/>
          <w:b/>
          <w:bCs/>
          <w:color w:val="222222"/>
        </w:rPr>
        <w:t>SUJETO OBLIGADO</w:t>
      </w:r>
      <w:r w:rsidRPr="00487209">
        <w:rPr>
          <w:rFonts w:ascii="Palatino Linotype" w:hAnsi="Palatino Linotype" w:cs="Arial"/>
          <w:color w:val="222222"/>
        </w:rPr>
        <w:t> pierda la oportunidad de justificar su falta de respuesta y manifestar lo que a su derecho convenga.</w:t>
      </w:r>
    </w:p>
    <w:p w:rsidR="006719D3" w:rsidRPr="00487209" w:rsidRDefault="006719D3" w:rsidP="00487209">
      <w:pPr>
        <w:pStyle w:val="Prrafodelista"/>
        <w:spacing w:line="360" w:lineRule="auto"/>
        <w:ind w:left="0"/>
        <w:jc w:val="both"/>
        <w:rPr>
          <w:rFonts w:ascii="Palatino Linotype" w:hAnsi="Palatino Linotype"/>
          <w:b/>
          <w:u w:val="single"/>
        </w:rPr>
      </w:pPr>
    </w:p>
    <w:p w:rsidR="00274D1E" w:rsidRPr="00487209" w:rsidRDefault="002A5BA4" w:rsidP="0048720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487209">
        <w:rPr>
          <w:rFonts w:ascii="Palatino Linotype" w:hAnsi="Palatino Linotype"/>
        </w:rPr>
        <w:t>Comisionado Ponente decretó el cierre de instrucción</w:t>
      </w:r>
      <w:r w:rsidRPr="00487209">
        <w:rPr>
          <w:rFonts w:ascii="Palatino Linotype" w:hAnsi="Palatino Linotype" w:cs="Arial"/>
        </w:rPr>
        <w:t xml:space="preserve"> </w:t>
      </w:r>
      <w:r w:rsidRPr="00487209">
        <w:rPr>
          <w:rFonts w:ascii="Palatino Linotype" w:hAnsi="Palatino Linotype"/>
        </w:rPr>
        <w:t xml:space="preserve">mediante </w:t>
      </w:r>
      <w:r w:rsidR="00245255" w:rsidRPr="00487209">
        <w:rPr>
          <w:rFonts w:ascii="Palatino Linotype" w:hAnsi="Palatino Linotype"/>
        </w:rPr>
        <w:t xml:space="preserve">el </w:t>
      </w:r>
      <w:r w:rsidR="00173525" w:rsidRPr="00487209">
        <w:rPr>
          <w:rFonts w:ascii="Palatino Linotype" w:hAnsi="Palatino Linotype"/>
        </w:rPr>
        <w:t xml:space="preserve">acuerdo de fecha </w:t>
      </w:r>
      <w:r w:rsidR="00A00D7D" w:rsidRPr="00487209">
        <w:rPr>
          <w:rFonts w:ascii="Palatino Linotype" w:hAnsi="Palatino Linotype"/>
        </w:rPr>
        <w:t>treinta y uno</w:t>
      </w:r>
      <w:r w:rsidR="0034418B" w:rsidRPr="00487209">
        <w:rPr>
          <w:rFonts w:ascii="Palatino Linotype" w:hAnsi="Palatino Linotype"/>
        </w:rPr>
        <w:t xml:space="preserve"> (</w:t>
      </w:r>
      <w:r w:rsidR="00A00D7D" w:rsidRPr="00487209">
        <w:rPr>
          <w:rFonts w:ascii="Palatino Linotype" w:hAnsi="Palatino Linotype"/>
        </w:rPr>
        <w:t>31</w:t>
      </w:r>
      <w:r w:rsidR="00B22D36" w:rsidRPr="00487209">
        <w:rPr>
          <w:rFonts w:ascii="Palatino Linotype" w:hAnsi="Palatino Linotype"/>
        </w:rPr>
        <w:t xml:space="preserve">) de </w:t>
      </w:r>
      <w:r w:rsidR="00A8727A" w:rsidRPr="00487209">
        <w:rPr>
          <w:rFonts w:ascii="Palatino Linotype" w:hAnsi="Palatino Linotype"/>
        </w:rPr>
        <w:t>octubre</w:t>
      </w:r>
      <w:r w:rsidR="009D4D36" w:rsidRPr="00487209">
        <w:rPr>
          <w:rFonts w:ascii="Palatino Linotype" w:hAnsi="Palatino Linotype"/>
        </w:rPr>
        <w:t xml:space="preserve"> </w:t>
      </w:r>
      <w:r w:rsidR="00500D9A" w:rsidRPr="00487209">
        <w:rPr>
          <w:rFonts w:ascii="Palatino Linotype" w:hAnsi="Palatino Linotype"/>
        </w:rPr>
        <w:t xml:space="preserve">de dos mil </w:t>
      </w:r>
      <w:r w:rsidR="000E053C" w:rsidRPr="00487209">
        <w:rPr>
          <w:rFonts w:ascii="Palatino Linotype" w:eastAsia="Calibri" w:hAnsi="Palatino Linotype" w:cs="Arial"/>
          <w:lang w:val="es-ES"/>
        </w:rPr>
        <w:t>dieci</w:t>
      </w:r>
      <w:r w:rsidR="00245255" w:rsidRPr="00487209">
        <w:rPr>
          <w:rFonts w:ascii="Palatino Linotype" w:eastAsia="Calibri" w:hAnsi="Palatino Linotype" w:cs="Arial"/>
          <w:lang w:val="es-ES"/>
        </w:rPr>
        <w:t>nueve</w:t>
      </w:r>
      <w:r w:rsidRPr="00487209">
        <w:rPr>
          <w:rFonts w:ascii="Palatino Linotype" w:hAnsi="Palatino Linotype"/>
        </w:rPr>
        <w:t xml:space="preserve">, </w:t>
      </w:r>
      <w:r w:rsidR="00F55213" w:rsidRPr="00487209">
        <w:rPr>
          <w:rFonts w:ascii="Palatino Linotype" w:hAnsi="Palatino Linotype" w:cs="Arial"/>
        </w:rPr>
        <w:t>por lo que, ordenó turnar</w:t>
      </w:r>
      <w:r w:rsidR="0034418B" w:rsidRPr="00487209">
        <w:rPr>
          <w:rFonts w:ascii="Palatino Linotype" w:hAnsi="Palatino Linotype" w:cs="Arial"/>
        </w:rPr>
        <w:t xml:space="preserve"> el</w:t>
      </w:r>
      <w:r w:rsidRPr="00487209">
        <w:rPr>
          <w:rFonts w:ascii="Palatino Linotype" w:hAnsi="Palatino Linotype" w:cs="Arial"/>
        </w:rPr>
        <w:t xml:space="preserve"> expediente a resolución</w:t>
      </w:r>
      <w:r w:rsidR="00274D1E" w:rsidRPr="00487209">
        <w:rPr>
          <w:rFonts w:ascii="Palatino Linotype" w:hAnsi="Palatino Linotype" w:cs="Arial"/>
        </w:rPr>
        <w:t>.</w:t>
      </w:r>
      <w:r w:rsidR="009D4D36" w:rsidRPr="00487209">
        <w:rPr>
          <w:rFonts w:ascii="Palatino Linotype" w:hAnsi="Palatino Linotype" w:cs="Arial"/>
        </w:rPr>
        <w:t xml:space="preserve"> </w:t>
      </w:r>
      <w:r w:rsidR="00550CB1" w:rsidRPr="00487209">
        <w:rPr>
          <w:rFonts w:ascii="Palatino Linotype" w:hAnsi="Palatino Linotype" w:cs="Arial"/>
        </w:rPr>
        <w:t xml:space="preserve">En fecha </w:t>
      </w:r>
      <w:r w:rsidR="005707D2" w:rsidRPr="00487209">
        <w:rPr>
          <w:rFonts w:ascii="Palatino Linotype" w:hAnsi="Palatino Linotype" w:cs="Arial"/>
        </w:rPr>
        <w:t>veintidós</w:t>
      </w:r>
      <w:r w:rsidR="00550CB1" w:rsidRPr="00487209">
        <w:rPr>
          <w:rFonts w:ascii="Palatino Linotype" w:hAnsi="Palatino Linotype" w:cs="Arial"/>
        </w:rPr>
        <w:t xml:space="preserve"> (</w:t>
      </w:r>
      <w:r w:rsidR="005707D2" w:rsidRPr="00487209">
        <w:rPr>
          <w:rFonts w:ascii="Palatino Linotype" w:hAnsi="Palatino Linotype" w:cs="Arial"/>
        </w:rPr>
        <w:t>22</w:t>
      </w:r>
      <w:r w:rsidR="00550CB1" w:rsidRPr="00487209">
        <w:rPr>
          <w:rFonts w:ascii="Palatino Linotype" w:hAnsi="Palatino Linotype" w:cs="Arial"/>
        </w:rPr>
        <w:t xml:space="preserve">) de octubre de dos mil diecinueve, </w:t>
      </w:r>
      <w:r w:rsidR="00274D1E" w:rsidRPr="00487209">
        <w:rPr>
          <w:rFonts w:ascii="Palatino Linotype" w:eastAsia="Calibri" w:hAnsi="Palatino Linotype" w:cs="Arial"/>
          <w:lang w:val="es-MX" w:eastAsia="en-US"/>
        </w:rPr>
        <w:t>con fundamento en el artículo 181 tercer párrafo de la </w:t>
      </w:r>
      <w:r w:rsidR="00274D1E" w:rsidRPr="00487209">
        <w:rPr>
          <w:rFonts w:ascii="Palatino Linotype" w:eastAsia="Calibri" w:hAnsi="Palatino Linotype" w:cs="Arial"/>
          <w:b/>
          <w:bCs/>
          <w:lang w:val="es-MX" w:eastAsia="en-US"/>
        </w:rPr>
        <w:t>Ley de Transparencia y Acceso a la Información Pública del Estado de México y Municipios, </w:t>
      </w:r>
      <w:r w:rsidR="00274D1E" w:rsidRPr="00487209">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487209" w:rsidRDefault="002A5BA4" w:rsidP="00487209">
      <w:pPr>
        <w:pStyle w:val="Ttulo1"/>
        <w:spacing w:line="360" w:lineRule="auto"/>
        <w:jc w:val="center"/>
        <w:rPr>
          <w:b w:val="0"/>
          <w:szCs w:val="24"/>
        </w:rPr>
      </w:pPr>
      <w:bookmarkStart w:id="4" w:name="_Toc24028874"/>
      <w:r w:rsidRPr="00487209">
        <w:rPr>
          <w:szCs w:val="24"/>
        </w:rPr>
        <w:t>CONSIDERANDO</w:t>
      </w:r>
      <w:bookmarkEnd w:id="4"/>
      <w:r w:rsidR="005E6C51" w:rsidRPr="00487209">
        <w:rPr>
          <w:szCs w:val="24"/>
        </w:rPr>
        <w:t xml:space="preserve"> </w:t>
      </w:r>
    </w:p>
    <w:p w:rsidR="002A5BA4" w:rsidRPr="00487209" w:rsidRDefault="002A5BA4" w:rsidP="00487209">
      <w:pPr>
        <w:pStyle w:val="Ttulo2"/>
        <w:spacing w:line="360" w:lineRule="auto"/>
        <w:rPr>
          <w:rFonts w:ascii="Palatino Linotype" w:hAnsi="Palatino Linotype"/>
          <w:b/>
          <w:bCs/>
          <w:color w:val="auto"/>
          <w:spacing w:val="60"/>
          <w:sz w:val="24"/>
          <w:szCs w:val="24"/>
        </w:rPr>
      </w:pPr>
      <w:bookmarkStart w:id="5" w:name="_Toc24028875"/>
      <w:r w:rsidRPr="00487209">
        <w:rPr>
          <w:rFonts w:ascii="Palatino Linotype" w:hAnsi="Palatino Linotype"/>
          <w:b/>
          <w:color w:val="auto"/>
          <w:sz w:val="24"/>
          <w:szCs w:val="24"/>
        </w:rPr>
        <w:t>PRIMERO. De la competencia</w:t>
      </w:r>
      <w:bookmarkEnd w:id="5"/>
    </w:p>
    <w:p w:rsidR="002A5BA4" w:rsidRPr="00487209" w:rsidRDefault="002A5BA4"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7209">
        <w:rPr>
          <w:rFonts w:ascii="Palatino Linotype" w:eastAsia="Calibri" w:hAnsi="Palatino Linotype" w:cs="Times New Roman"/>
          <w:b/>
          <w:lang w:val="es-ES"/>
        </w:rPr>
        <w:t>Constitución Política de los Estados Unidos Mexicanos</w:t>
      </w:r>
      <w:r w:rsidRPr="00487209">
        <w:rPr>
          <w:rFonts w:ascii="Palatino Linotype" w:eastAsia="Calibri" w:hAnsi="Palatino Linotype" w:cs="Times New Roman"/>
          <w:lang w:val="es-ES"/>
        </w:rPr>
        <w:t xml:space="preserve">; 5, párrafos </w:t>
      </w:r>
      <w:r w:rsidRPr="00487209">
        <w:rPr>
          <w:rFonts w:ascii="Palatino Linotype" w:hAnsi="Palatino Linotype" w:cs="Arial"/>
          <w:bCs/>
          <w:color w:val="222222"/>
          <w:lang w:val="es-ES"/>
        </w:rPr>
        <w:t>vigésimo</w:t>
      </w:r>
      <w:r w:rsidR="00487209">
        <w:rPr>
          <w:rFonts w:ascii="Palatino Linotype" w:hAnsi="Palatino Linotype" w:cs="Arial"/>
          <w:bCs/>
          <w:color w:val="222222"/>
          <w:lang w:val="es-ES"/>
        </w:rPr>
        <w:t xml:space="preserve"> segundo, vigésimo tercero y vigésimo cuarto,</w:t>
      </w:r>
      <w:r w:rsidRPr="00487209">
        <w:rPr>
          <w:rFonts w:ascii="Palatino Linotype" w:hAnsi="Palatino Linotype" w:cs="Arial"/>
          <w:bCs/>
          <w:color w:val="222222"/>
          <w:lang w:val="es-ES"/>
        </w:rPr>
        <w:t xml:space="preserve"> </w:t>
      </w:r>
      <w:r w:rsidRPr="00487209">
        <w:rPr>
          <w:rFonts w:ascii="Palatino Linotype" w:eastAsia="Calibri" w:hAnsi="Palatino Linotype" w:cs="Times New Roman"/>
          <w:lang w:val="es-ES"/>
        </w:rPr>
        <w:t xml:space="preserve">fracciones IV y V de la </w:t>
      </w:r>
      <w:r w:rsidRPr="00487209">
        <w:rPr>
          <w:rFonts w:ascii="Palatino Linotype" w:eastAsia="Calibri" w:hAnsi="Palatino Linotype" w:cs="Times New Roman"/>
          <w:b/>
          <w:lang w:val="es-ES"/>
        </w:rPr>
        <w:t>Constitución Política del Estado Libre y Soberano de México</w:t>
      </w:r>
      <w:r w:rsidRPr="00487209">
        <w:rPr>
          <w:rFonts w:ascii="Palatino Linotype" w:eastAsia="Calibri" w:hAnsi="Palatino Linotype" w:cs="Times New Roman"/>
          <w:lang w:val="es-ES"/>
        </w:rPr>
        <w:t xml:space="preserve">; artículos 1, 2 fracción II, 13, 29, 36 fracciones I y II, 176, 178, 179, 181 párrafo tercero y 185 </w:t>
      </w:r>
      <w:r w:rsidRPr="00487209">
        <w:rPr>
          <w:rFonts w:ascii="Palatino Linotype" w:eastAsia="Calibri" w:hAnsi="Palatino Linotype" w:cs="Arial"/>
          <w:lang w:val="es-ES"/>
        </w:rPr>
        <w:t xml:space="preserve">de la </w:t>
      </w:r>
      <w:r w:rsidRPr="00487209">
        <w:rPr>
          <w:rFonts w:ascii="Palatino Linotype" w:eastAsia="Calibri" w:hAnsi="Palatino Linotype" w:cs="Arial"/>
          <w:b/>
          <w:lang w:val="es-ES"/>
        </w:rPr>
        <w:t>Ley de Transparencia y Acceso a la Información Pública del Estado de México y Municipios</w:t>
      </w:r>
      <w:r w:rsidRPr="00487209">
        <w:rPr>
          <w:rFonts w:ascii="Palatino Linotype" w:eastAsia="Calibri" w:hAnsi="Palatino Linotype" w:cs="Arial"/>
          <w:lang w:val="es-ES"/>
        </w:rPr>
        <w:t xml:space="preserve">; y 7, 9 fracciones I y XXIV, y 11 del </w:t>
      </w:r>
      <w:r w:rsidRPr="0048720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87209">
        <w:rPr>
          <w:rFonts w:ascii="Palatino Linotype" w:hAnsi="Palatino Linotype"/>
        </w:rPr>
        <w:t>.</w:t>
      </w:r>
    </w:p>
    <w:p w:rsidR="00F854E9" w:rsidRPr="00487209" w:rsidRDefault="00F854E9" w:rsidP="00487209">
      <w:pPr>
        <w:pStyle w:val="Prrafodelista"/>
        <w:spacing w:before="240" w:after="240" w:line="360" w:lineRule="auto"/>
        <w:ind w:left="0"/>
        <w:jc w:val="both"/>
        <w:rPr>
          <w:rFonts w:ascii="Palatino Linotype" w:hAnsi="Palatino Linotype"/>
        </w:rPr>
      </w:pPr>
    </w:p>
    <w:p w:rsidR="002A5BA4" w:rsidRPr="00487209" w:rsidRDefault="002A5BA4" w:rsidP="00487209">
      <w:pPr>
        <w:pStyle w:val="Ttulo2"/>
        <w:spacing w:line="360" w:lineRule="auto"/>
        <w:rPr>
          <w:rFonts w:ascii="Palatino Linotype" w:hAnsi="Palatino Linotype"/>
          <w:b/>
          <w:color w:val="auto"/>
          <w:sz w:val="24"/>
          <w:szCs w:val="24"/>
        </w:rPr>
      </w:pPr>
      <w:bookmarkStart w:id="6" w:name="_Toc24028876"/>
      <w:r w:rsidRPr="00487209">
        <w:rPr>
          <w:rFonts w:ascii="Palatino Linotype" w:hAnsi="Palatino Linotype"/>
          <w:b/>
          <w:color w:val="auto"/>
          <w:sz w:val="24"/>
          <w:szCs w:val="24"/>
        </w:rPr>
        <w:t>SEGUNDO. De la oportunidad y procedencia.</w:t>
      </w:r>
      <w:bookmarkEnd w:id="6"/>
    </w:p>
    <w:p w:rsidR="002D7BFD" w:rsidRPr="00487209" w:rsidRDefault="002D7BFD" w:rsidP="00487209">
      <w:pPr>
        <w:pStyle w:val="Prrafodelista"/>
        <w:spacing w:line="360" w:lineRule="auto"/>
        <w:rPr>
          <w:rFonts w:ascii="Palatino Linotype" w:eastAsia="Times New Roman" w:hAnsi="Palatino Linotype" w:cs="Arial"/>
          <w:color w:val="000000"/>
        </w:rPr>
      </w:pPr>
      <w:bookmarkStart w:id="7" w:name="_Toc486525253"/>
    </w:p>
    <w:p w:rsidR="0022360C" w:rsidRPr="00487209" w:rsidRDefault="0022360C" w:rsidP="0048720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487209">
        <w:rPr>
          <w:rFonts w:ascii="Palatino Linotype" w:eastAsia="Calibri" w:hAnsi="Palatino Linotype" w:cs="Arial"/>
          <w:lang w:val="es-ES"/>
        </w:rPr>
        <w:t xml:space="preserve">Es de precisar, que la Ley de Transparencia y Acceso a la Información Pública del Estado de México y Municipios, en el artículo </w:t>
      </w:r>
      <w:r w:rsidRPr="00487209">
        <w:rPr>
          <w:rFonts w:ascii="Palatino Linotype" w:eastAsia="Calibri" w:hAnsi="Palatino Linotype" w:cs="Arial"/>
          <w:b/>
          <w:lang w:val="es-ES"/>
        </w:rPr>
        <w:t>178</w:t>
      </w:r>
      <w:r w:rsidRPr="00487209">
        <w:rPr>
          <w:rFonts w:ascii="Palatino Linotype" w:eastAsia="Calibri" w:hAnsi="Palatino Linotype" w:cs="Arial"/>
          <w:lang w:val="es-ES"/>
        </w:rPr>
        <w:t xml:space="preserve"> describe la procedencia del recurso de revisión, asimismo señala que el plazo del </w:t>
      </w:r>
      <w:r w:rsidRPr="00487209">
        <w:rPr>
          <w:rFonts w:ascii="Palatino Linotype" w:eastAsia="Calibri" w:hAnsi="Palatino Linotype" w:cs="Arial"/>
          <w:b/>
          <w:lang w:val="es-ES"/>
        </w:rPr>
        <w:t>SUJETO OBLIGADO</w:t>
      </w:r>
      <w:r w:rsidRPr="0048720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22360C" w:rsidRPr="00487209" w:rsidRDefault="0022360C" w:rsidP="00487209">
      <w:pPr>
        <w:pStyle w:val="Prrafodelista"/>
        <w:spacing w:before="240" w:after="240" w:line="360" w:lineRule="auto"/>
        <w:ind w:left="0"/>
        <w:jc w:val="both"/>
        <w:rPr>
          <w:rFonts w:ascii="Palatino Linotype" w:eastAsia="Times New Roman" w:hAnsi="Palatino Linotype" w:cs="Arial"/>
          <w:color w:val="000000"/>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487209">
        <w:rPr>
          <w:rFonts w:ascii="Palatino Linotype" w:eastAsia="Calibri" w:hAnsi="Palatino Linotype" w:cs="Arial"/>
          <w:lang w:val="es-ES"/>
        </w:rPr>
        <w:t xml:space="preserve">Por ende, se constituye la figura jurídica de la </w:t>
      </w:r>
      <w:r w:rsidRPr="00487209">
        <w:rPr>
          <w:rFonts w:ascii="Palatino Linotype" w:eastAsia="Calibri" w:hAnsi="Palatino Linotype" w:cs="Arial"/>
          <w:i/>
          <w:lang w:val="es-ES"/>
        </w:rPr>
        <w:t>negativa ficta</w:t>
      </w:r>
      <w:r w:rsidRPr="0048720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487209">
        <w:rPr>
          <w:rFonts w:ascii="Palatino Linotype" w:eastAsia="Calibri" w:hAnsi="Palatino Linotype" w:cs="Arial"/>
          <w:b/>
          <w:lang w:val="es-ES"/>
        </w:rPr>
        <w:t>178</w:t>
      </w:r>
      <w:r w:rsidRPr="00487209">
        <w:rPr>
          <w:rFonts w:ascii="Palatino Linotype" w:eastAsia="Calibri" w:hAnsi="Palatino Linotype" w:cs="Arial"/>
          <w:lang w:val="es-ES"/>
        </w:rPr>
        <w:t xml:space="preserve"> segundo párrafo de </w:t>
      </w:r>
      <w:r w:rsidRPr="00487209">
        <w:rPr>
          <w:rFonts w:ascii="Palatino Linotype" w:eastAsia="Calibri" w:hAnsi="Palatino Linotype" w:cs="Arial"/>
          <w:b/>
          <w:lang w:val="es-ES"/>
        </w:rPr>
        <w:t>Ley de Transparencia y Acceso a la Información Pública del Estado de México y Municipios</w:t>
      </w:r>
      <w:r w:rsidRPr="00487209">
        <w:rPr>
          <w:rFonts w:ascii="Palatino Linotype" w:eastAsia="Calibri" w:hAnsi="Palatino Linotype" w:cs="Times New Roman"/>
          <w:color w:val="000000"/>
          <w:shd w:val="clear" w:color="auto" w:fill="FFFFFF"/>
          <w:lang w:val="es-MX" w:eastAsia="en-US"/>
        </w:rPr>
        <w:t xml:space="preserve">, que dispone; ante la falta de respuesta del </w:t>
      </w:r>
      <w:r w:rsidRPr="00487209">
        <w:rPr>
          <w:rFonts w:ascii="Palatino Linotype" w:eastAsia="Calibri" w:hAnsi="Palatino Linotype" w:cs="Times New Roman"/>
          <w:b/>
          <w:color w:val="000000"/>
          <w:shd w:val="clear" w:color="auto" w:fill="FFFFFF"/>
          <w:lang w:val="es-MX" w:eastAsia="en-US"/>
        </w:rPr>
        <w:t>SUJETO OBLIGADO,</w:t>
      </w:r>
      <w:r w:rsidRPr="0048720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487209">
        <w:rPr>
          <w:rFonts w:ascii="Palatino Linotype" w:eastAsia="Calibri" w:hAnsi="Palatino Linotype" w:cs="Times New Roman"/>
          <w:b/>
          <w:color w:val="000000"/>
          <w:shd w:val="clear" w:color="auto" w:fill="FFFFFF"/>
          <w:lang w:val="es-MX" w:eastAsia="en-US"/>
        </w:rPr>
        <w:t xml:space="preserve">podrá ser interpuesto en cualquier momento. </w:t>
      </w:r>
    </w:p>
    <w:p w:rsidR="0022360C" w:rsidRPr="00487209" w:rsidRDefault="0022360C" w:rsidP="00487209">
      <w:pPr>
        <w:pStyle w:val="Prrafodelista"/>
        <w:spacing w:line="360" w:lineRule="auto"/>
        <w:ind w:left="0"/>
        <w:rPr>
          <w:rFonts w:ascii="Palatino Linotype" w:eastAsia="Times New Roman" w:hAnsi="Palatino Linotype" w:cs="Arial"/>
          <w:color w:val="000000"/>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487209">
        <w:rPr>
          <w:rFonts w:ascii="Palatino Linotype" w:eastAsia="Calibri" w:hAnsi="Palatino Linotype" w:cs="Arial"/>
          <w:lang w:val="es-ES"/>
        </w:rPr>
        <w:t xml:space="preserve">Por lo que, tratándose de la </w:t>
      </w:r>
      <w:r w:rsidRPr="00487209">
        <w:rPr>
          <w:rFonts w:ascii="Palatino Linotype" w:eastAsia="Calibri" w:hAnsi="Palatino Linotype" w:cs="Arial"/>
          <w:i/>
          <w:lang w:val="es-ES"/>
        </w:rPr>
        <w:t>negativa ficta</w:t>
      </w:r>
      <w:r w:rsidRPr="0048720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7209">
        <w:rPr>
          <w:rFonts w:ascii="Palatino Linotype" w:eastAsia="Calibri" w:hAnsi="Palatino Linotype" w:cs="Arial"/>
          <w:i/>
          <w:lang w:val="es-ES"/>
        </w:rPr>
        <w:t>negativa ficta</w:t>
      </w:r>
      <w:r w:rsidRPr="00487209">
        <w:rPr>
          <w:rFonts w:ascii="Palatino Linotype" w:eastAsia="Calibri" w:hAnsi="Palatino Linotype" w:cs="Arial"/>
          <w:lang w:val="es-ES"/>
        </w:rPr>
        <w:t>, que señala:</w:t>
      </w:r>
    </w:p>
    <w:p w:rsidR="0022360C" w:rsidRPr="00487209" w:rsidRDefault="0022360C" w:rsidP="00487209">
      <w:pPr>
        <w:spacing w:before="240" w:after="240" w:line="360" w:lineRule="auto"/>
        <w:ind w:left="567" w:right="567"/>
        <w:jc w:val="center"/>
        <w:rPr>
          <w:rFonts w:ascii="Palatino Linotype" w:eastAsia="Calibri" w:hAnsi="Palatino Linotype" w:cs="Arial"/>
          <w:b/>
          <w:lang w:val="es-ES"/>
        </w:rPr>
      </w:pPr>
      <w:r w:rsidRPr="00487209">
        <w:rPr>
          <w:rFonts w:ascii="Palatino Linotype" w:eastAsia="Calibri" w:hAnsi="Palatino Linotype" w:cs="Arial"/>
          <w:b/>
          <w:lang w:val="es-ES"/>
        </w:rPr>
        <w:t>Criterio 0001-15</w:t>
      </w:r>
    </w:p>
    <w:p w:rsidR="0022360C" w:rsidRPr="00487209" w:rsidRDefault="0022360C" w:rsidP="00487209">
      <w:pPr>
        <w:spacing w:before="240" w:after="240" w:line="360" w:lineRule="auto"/>
        <w:ind w:left="567" w:right="567"/>
        <w:jc w:val="both"/>
        <w:rPr>
          <w:rFonts w:ascii="Palatino Linotype" w:eastAsia="Calibri" w:hAnsi="Palatino Linotype" w:cs="Arial"/>
          <w:b/>
          <w:i/>
          <w:lang w:val="es-ES"/>
        </w:rPr>
      </w:pPr>
      <w:r w:rsidRPr="00487209">
        <w:rPr>
          <w:rFonts w:ascii="Palatino Linotype" w:eastAsia="Calibri" w:hAnsi="Palatino Linotype" w:cs="Arial"/>
          <w:b/>
          <w:i/>
          <w:lang w:val="es-ES"/>
        </w:rPr>
        <w:t>NEGATIVA FICTA. PLAZO PARA INTERPONER EL RECURSO DE REVISIÓN TRATÁNDOSE DE.</w:t>
      </w:r>
      <w:r w:rsidRPr="0048720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2360C" w:rsidRPr="00487209" w:rsidRDefault="0022360C" w:rsidP="00487209">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487209">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87209">
        <w:rPr>
          <w:rFonts w:ascii="Palatino Linotype" w:eastAsia="Times New Roman" w:hAnsi="Palatino Linotype" w:cs="Arial"/>
          <w:b/>
          <w:color w:val="000000" w:themeColor="text1"/>
          <w:lang w:val="es-ES" w:eastAsia="es-MX"/>
        </w:rPr>
        <w:t>SUJETO OBLIGADO</w:t>
      </w:r>
      <w:r w:rsidRPr="00487209">
        <w:rPr>
          <w:rFonts w:ascii="Palatino Linotype" w:eastAsia="Times New Roman" w:hAnsi="Palatino Linotype" w:cs="Arial"/>
          <w:color w:val="000000" w:themeColor="text1"/>
          <w:lang w:val="es-ES" w:eastAsia="es-MX"/>
        </w:rPr>
        <w:t>.</w:t>
      </w:r>
    </w:p>
    <w:p w:rsidR="0022360C" w:rsidRPr="00487209" w:rsidRDefault="0022360C" w:rsidP="00487209">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487209">
        <w:rPr>
          <w:rFonts w:ascii="Palatino Linotype" w:hAnsi="Palatino Linotype"/>
        </w:rPr>
        <w:t>Por consiguiente, tratándose</w:t>
      </w:r>
      <w:r w:rsidRPr="00487209">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22360C" w:rsidRPr="00487209" w:rsidRDefault="0022360C" w:rsidP="00487209">
      <w:pPr>
        <w:pStyle w:val="Prrafodelista"/>
        <w:spacing w:line="360" w:lineRule="auto"/>
        <w:rPr>
          <w:rFonts w:ascii="Palatino Linotype" w:eastAsia="Times New Roman" w:hAnsi="Palatino Linotype" w:cs="Arial"/>
          <w:color w:val="000000" w:themeColor="text1"/>
          <w:lang w:val="es-ES" w:eastAsia="es-MX"/>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487209">
        <w:rPr>
          <w:rFonts w:ascii="Palatino Linotype" w:eastAsia="Calibri" w:hAnsi="Palatino Linotype" w:cs="Times New Roman"/>
          <w:b/>
          <w:lang w:val="es-ES"/>
        </w:rPr>
        <w:t xml:space="preserve">no proporciona su nombre completo para que sea </w:t>
      </w:r>
      <w:r w:rsidRPr="00487209">
        <w:rPr>
          <w:rFonts w:ascii="Palatino Linotype" w:eastAsia="Calibri" w:hAnsi="Palatino Linotype" w:cs="Times New Roman"/>
          <w:b/>
          <w:u w:val="single"/>
          <w:lang w:val="es-ES"/>
        </w:rPr>
        <w:t>identificado</w:t>
      </w:r>
      <w:r w:rsidRPr="00487209">
        <w:rPr>
          <w:rFonts w:ascii="Palatino Linotype" w:eastAsia="Calibri" w:hAnsi="Palatino Linotype" w:cs="Times New Roman"/>
          <w:b/>
          <w:lang w:val="es-ES"/>
        </w:rPr>
        <w:t>,</w:t>
      </w:r>
      <w:r w:rsidRPr="00487209">
        <w:rPr>
          <w:rFonts w:ascii="Palatino Linotype" w:eastAsia="Calibri" w:hAnsi="Palatino Linotype" w:cs="Times New Roman"/>
          <w:lang w:val="es-ES"/>
        </w:rPr>
        <w:t xml:space="preserve"> ni se tiene la certeza sobre su identidad, sin embargo, es importante señalar también que </w:t>
      </w:r>
      <w:r w:rsidRPr="00487209">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2360C" w:rsidRPr="00487209" w:rsidRDefault="0022360C" w:rsidP="00487209">
      <w:pPr>
        <w:pStyle w:val="Prrafodelista"/>
        <w:spacing w:line="360" w:lineRule="auto"/>
        <w:ind w:left="0"/>
        <w:rPr>
          <w:rFonts w:ascii="Palatino Linotype" w:eastAsia="Calibri" w:hAnsi="Palatino Linotype" w:cs="Times New Roman"/>
          <w:lang w:val="es-ES"/>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 xml:space="preserve">Esto es así, ya que de conformidad con los artículos 6, apartado A, fracciones III y IV de la </w:t>
      </w:r>
      <w:r w:rsidRPr="00487209">
        <w:rPr>
          <w:rFonts w:ascii="Palatino Linotype" w:eastAsia="Calibri" w:hAnsi="Palatino Linotype" w:cs="Times New Roman"/>
          <w:b/>
          <w:lang w:val="es-ES"/>
        </w:rPr>
        <w:t>Constitución Política de los Estados Unidos Mexicanos</w:t>
      </w:r>
      <w:r w:rsidRPr="00487209">
        <w:rPr>
          <w:rFonts w:ascii="Palatino Linotype" w:eastAsia="Calibri" w:hAnsi="Palatino Linotype" w:cs="Times New Roman"/>
          <w:lang w:val="es-ES"/>
        </w:rPr>
        <w:t xml:space="preserve">; 5, párrafos vigésimo, vigésimo primero y vigésimo segundo fracciones III, IV y V de la </w:t>
      </w:r>
      <w:r w:rsidRPr="00487209">
        <w:rPr>
          <w:rFonts w:ascii="Palatino Linotype" w:eastAsia="Calibri" w:hAnsi="Palatino Linotype" w:cs="Times New Roman"/>
          <w:b/>
          <w:lang w:val="es-ES"/>
        </w:rPr>
        <w:t>Constitución Política del Estado Libre y Soberano de México</w:t>
      </w:r>
      <w:r w:rsidRPr="00487209">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2360C" w:rsidRPr="00487209" w:rsidRDefault="0022360C" w:rsidP="00487209">
      <w:pPr>
        <w:pStyle w:val="Prrafodelista"/>
        <w:spacing w:line="360" w:lineRule="auto"/>
        <w:ind w:left="0"/>
        <w:rPr>
          <w:rFonts w:ascii="Palatino Linotype" w:eastAsia="Calibri" w:hAnsi="Palatino Linotype" w:cs="Times New Roman"/>
          <w:lang w:val="es-ES"/>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2360C" w:rsidRPr="00487209" w:rsidRDefault="0022360C" w:rsidP="00487209">
      <w:pPr>
        <w:pStyle w:val="Prrafodelista"/>
        <w:spacing w:line="360" w:lineRule="auto"/>
        <w:ind w:left="0"/>
        <w:rPr>
          <w:rFonts w:ascii="Palatino Linotype" w:hAnsi="Palatino Linotype"/>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2360C" w:rsidRPr="00487209" w:rsidRDefault="0022360C" w:rsidP="00487209">
      <w:pPr>
        <w:pStyle w:val="Prrafodelista"/>
        <w:spacing w:line="360" w:lineRule="auto"/>
        <w:ind w:left="0"/>
        <w:rPr>
          <w:rFonts w:ascii="Palatino Linotype" w:hAnsi="Palatino Linotype"/>
        </w:rPr>
      </w:pPr>
    </w:p>
    <w:p w:rsidR="0022360C" w:rsidRPr="00487209" w:rsidRDefault="0022360C"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eastAsia="Calibri" w:hAnsi="Palatino Linotype" w:cs="Times New Roman"/>
          <w:lang w:val="es-ES"/>
        </w:rPr>
        <w:t>Por</w:t>
      </w:r>
      <w:r w:rsidRPr="00487209">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487209">
        <w:rPr>
          <w:rFonts w:ascii="Palatino Linotype" w:eastAsia="Times New Roman" w:hAnsi="Palatino Linotype" w:cs="Arial"/>
          <w:lang w:val="es-ES"/>
        </w:rPr>
        <w:t>Resolutor</w:t>
      </w:r>
      <w:proofErr w:type="spellEnd"/>
      <w:r w:rsidRPr="00487209">
        <w:rPr>
          <w:rFonts w:ascii="Palatino Linotype" w:eastAsia="Times New Roman" w:hAnsi="Palatino Linotype" w:cs="Arial"/>
          <w:lang w:val="es-ES"/>
        </w:rPr>
        <w:t>.</w:t>
      </w:r>
    </w:p>
    <w:p w:rsidR="0022360C" w:rsidRPr="00487209" w:rsidRDefault="0022360C" w:rsidP="00487209">
      <w:pPr>
        <w:pStyle w:val="Prrafodelista"/>
        <w:spacing w:line="360" w:lineRule="auto"/>
        <w:rPr>
          <w:rFonts w:ascii="Palatino Linotype" w:eastAsia="Times New Roman" w:hAnsi="Palatino Linotype" w:cs="Arial"/>
          <w:color w:val="000000" w:themeColor="text1"/>
          <w:lang w:val="es-ES" w:eastAsia="es-MX"/>
        </w:rPr>
      </w:pPr>
    </w:p>
    <w:p w:rsidR="0022360C" w:rsidRPr="00487209" w:rsidRDefault="0022360C" w:rsidP="00487209">
      <w:pPr>
        <w:pStyle w:val="Prrafodelista"/>
        <w:numPr>
          <w:ilvl w:val="0"/>
          <w:numId w:val="1"/>
        </w:numPr>
        <w:spacing w:before="240" w:after="240" w:line="360" w:lineRule="auto"/>
        <w:ind w:left="0" w:right="49" w:firstLine="0"/>
        <w:jc w:val="both"/>
        <w:rPr>
          <w:rFonts w:ascii="Palatino Linotype" w:hAnsi="Palatino Linotype"/>
        </w:rPr>
      </w:pPr>
      <w:r w:rsidRPr="0048720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487209" w:rsidRDefault="002A5BA4" w:rsidP="00487209">
      <w:pPr>
        <w:pStyle w:val="Ttulo1"/>
        <w:spacing w:line="360" w:lineRule="auto"/>
        <w:rPr>
          <w:b w:val="0"/>
          <w:color w:val="000000" w:themeColor="text1"/>
          <w:szCs w:val="24"/>
          <w:lang w:eastAsia="es-MX"/>
        </w:rPr>
      </w:pPr>
      <w:bookmarkStart w:id="8" w:name="_Toc24028877"/>
      <w:r w:rsidRPr="00487209">
        <w:rPr>
          <w:color w:val="000000" w:themeColor="text1"/>
          <w:szCs w:val="24"/>
          <w:lang w:eastAsia="es-MX"/>
        </w:rPr>
        <w:t xml:space="preserve">TERCERO. </w:t>
      </w:r>
      <w:bookmarkEnd w:id="7"/>
      <w:r w:rsidR="006E4CE1" w:rsidRPr="00487209">
        <w:rPr>
          <w:color w:val="000000" w:themeColor="text1"/>
          <w:szCs w:val="24"/>
          <w:lang w:eastAsia="es-MX"/>
        </w:rPr>
        <w:t>Planteamiento de la Litis</w:t>
      </w:r>
      <w:bookmarkEnd w:id="8"/>
    </w:p>
    <w:p w:rsidR="00173525" w:rsidRPr="00487209" w:rsidRDefault="007131E5" w:rsidP="00487209">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487209">
        <w:rPr>
          <w:rFonts w:ascii="Palatino Linotype" w:hAnsi="Palatino Linotype" w:cs="Arial"/>
        </w:rPr>
        <w:t>Se solicitó</w:t>
      </w:r>
      <w:r w:rsidR="00000029" w:rsidRPr="00487209">
        <w:rPr>
          <w:rFonts w:ascii="Palatino Linotype" w:hAnsi="Palatino Linotype" w:cs="Arial"/>
        </w:rPr>
        <w:t xml:space="preserve"> </w:t>
      </w:r>
      <w:r w:rsidR="00231687" w:rsidRPr="00487209">
        <w:rPr>
          <w:rFonts w:ascii="Palatino Linotype" w:hAnsi="Palatino Linotype" w:cs="Arial"/>
        </w:rPr>
        <w:t>al Sujeto Obligado</w:t>
      </w:r>
      <w:r w:rsidR="0034418B" w:rsidRPr="00487209">
        <w:rPr>
          <w:rFonts w:ascii="Palatino Linotype" w:hAnsi="Palatino Linotype" w:cs="Arial"/>
        </w:rPr>
        <w:t>,</w:t>
      </w:r>
      <w:r w:rsidR="00DA46C8" w:rsidRPr="00487209">
        <w:rPr>
          <w:rFonts w:ascii="Palatino Linotype" w:hAnsi="Palatino Linotype" w:cs="Arial"/>
        </w:rPr>
        <w:t xml:space="preserve"> </w:t>
      </w:r>
      <w:r w:rsidR="00173525" w:rsidRPr="00487209">
        <w:rPr>
          <w:rFonts w:ascii="Palatino Linotype" w:hAnsi="Palatino Linotype" w:cs="Arial"/>
        </w:rPr>
        <w:t>lo siguiente:</w:t>
      </w:r>
    </w:p>
    <w:p w:rsidR="006B4FB9" w:rsidRPr="00487209" w:rsidRDefault="006B4FB9" w:rsidP="00487209">
      <w:pPr>
        <w:spacing w:line="360" w:lineRule="auto"/>
        <w:ind w:left="567" w:right="616"/>
        <w:jc w:val="both"/>
        <w:rPr>
          <w:rFonts w:ascii="Palatino Linotype" w:hAnsi="Palatino Linotype"/>
          <w:b/>
          <w:bCs/>
        </w:rPr>
      </w:pPr>
      <w:r w:rsidRPr="00487209">
        <w:rPr>
          <w:rFonts w:ascii="Palatino Linotype" w:hAnsi="Palatino Linotype"/>
        </w:rPr>
        <w:t xml:space="preserve">a) Copia del contrato, estudios de mercado, facturas de los bienes comprados y revisión de bases que realizó su contraloría interna, copia del reporte que hicieron </w:t>
      </w:r>
      <w:r w:rsidRPr="00487209">
        <w:rPr>
          <w:rFonts w:ascii="Palatino Linotype" w:hAnsi="Palatino Linotype"/>
          <w:b/>
          <w:bCs/>
        </w:rPr>
        <w:t xml:space="preserve">de los gastos erogados al Secretariado Ejecutivo del Sistema Nacional de Seguridad Publica en FOSEG, FORTASEG y FASP de 2015 a la fecha sobre el cómo y en qué se erogaron esos recursos recibidos.  </w:t>
      </w:r>
    </w:p>
    <w:p w:rsidR="006B4FB9" w:rsidRPr="00487209" w:rsidRDefault="006B4FB9" w:rsidP="00487209">
      <w:pPr>
        <w:spacing w:line="360" w:lineRule="auto"/>
        <w:ind w:left="567" w:right="616"/>
        <w:jc w:val="both"/>
        <w:rPr>
          <w:rFonts w:ascii="Palatino Linotype" w:hAnsi="Palatino Linotype"/>
        </w:rPr>
      </w:pPr>
    </w:p>
    <w:p w:rsidR="006B4FB9" w:rsidRPr="00487209" w:rsidRDefault="006B4FB9" w:rsidP="00487209">
      <w:pPr>
        <w:spacing w:line="360" w:lineRule="auto"/>
        <w:ind w:left="567" w:right="616"/>
        <w:jc w:val="both"/>
        <w:rPr>
          <w:rFonts w:ascii="Palatino Linotype" w:hAnsi="Palatino Linotype"/>
        </w:rPr>
      </w:pPr>
      <w:r w:rsidRPr="00487209">
        <w:rPr>
          <w:rFonts w:ascii="Palatino Linotype" w:hAnsi="Palatino Linotype"/>
        </w:rPr>
        <w:t xml:space="preserve">b) Al Secretariado se le solicita, los informes qué recibió de Edo, </w:t>
      </w:r>
      <w:proofErr w:type="spellStart"/>
      <w:r w:rsidRPr="00487209">
        <w:rPr>
          <w:rFonts w:ascii="Palatino Linotype" w:hAnsi="Palatino Linotype"/>
        </w:rPr>
        <w:t>Cdmx</w:t>
      </w:r>
      <w:proofErr w:type="spellEnd"/>
      <w:r w:rsidRPr="00487209">
        <w:rPr>
          <w:rFonts w:ascii="Palatino Linotype" w:hAnsi="Palatino Linotype"/>
        </w:rPr>
        <w:t xml:space="preserve">, Michoacán, Hidalgo, y Jalisco del mismo periodo con los comprobantes. </w:t>
      </w:r>
    </w:p>
    <w:p w:rsidR="006B4FB9" w:rsidRPr="00487209" w:rsidRDefault="006B4FB9" w:rsidP="00487209">
      <w:pPr>
        <w:spacing w:line="360" w:lineRule="auto"/>
        <w:ind w:left="567" w:right="616"/>
        <w:jc w:val="both"/>
        <w:rPr>
          <w:rFonts w:ascii="Palatino Linotype" w:hAnsi="Palatino Linotype"/>
        </w:rPr>
      </w:pPr>
    </w:p>
    <w:p w:rsidR="006B4FB9" w:rsidRPr="00487209" w:rsidRDefault="006B4FB9" w:rsidP="00487209">
      <w:pPr>
        <w:spacing w:line="360" w:lineRule="auto"/>
        <w:ind w:left="567" w:right="616"/>
        <w:jc w:val="both"/>
        <w:rPr>
          <w:rFonts w:ascii="Palatino Linotype" w:hAnsi="Palatino Linotype"/>
        </w:rPr>
      </w:pPr>
      <w:r w:rsidRPr="00487209">
        <w:rPr>
          <w:rFonts w:ascii="Palatino Linotype" w:hAnsi="Palatino Linotype"/>
        </w:rPr>
        <w:t xml:space="preserve">c) A las contralorías la revisión de bases, anexos técnicos de los bienes comprados, así como auditorías practicadas. </w:t>
      </w:r>
    </w:p>
    <w:p w:rsidR="006B4FB9" w:rsidRPr="00487209" w:rsidRDefault="006B4FB9" w:rsidP="00487209">
      <w:pPr>
        <w:pStyle w:val="Prrafodelista"/>
        <w:spacing w:line="360" w:lineRule="auto"/>
        <w:ind w:left="0"/>
        <w:jc w:val="both"/>
        <w:rPr>
          <w:rFonts w:ascii="Palatino Linotype" w:eastAsia="Calibri" w:hAnsi="Palatino Linotype" w:cs="Arial"/>
          <w:b/>
        </w:rPr>
      </w:pPr>
    </w:p>
    <w:p w:rsidR="006B4FB9" w:rsidRPr="00487209" w:rsidRDefault="00000029" w:rsidP="00487209">
      <w:pPr>
        <w:pStyle w:val="Prrafodelista"/>
        <w:numPr>
          <w:ilvl w:val="0"/>
          <w:numId w:val="1"/>
        </w:numPr>
        <w:spacing w:before="240" w:after="240" w:line="360" w:lineRule="auto"/>
        <w:ind w:left="0" w:firstLine="0"/>
        <w:jc w:val="both"/>
        <w:rPr>
          <w:rFonts w:ascii="Palatino Linotype" w:hAnsi="Palatino Linotype" w:cs="Arial"/>
        </w:rPr>
      </w:pPr>
      <w:r w:rsidRPr="00487209">
        <w:rPr>
          <w:rFonts w:ascii="Palatino Linotype" w:hAnsi="Palatino Linotype" w:cs="Arial"/>
        </w:rPr>
        <w:t xml:space="preserve">El Sujeto Obligado </w:t>
      </w:r>
      <w:r w:rsidR="006B4FB9" w:rsidRPr="00487209">
        <w:rPr>
          <w:rFonts w:ascii="Palatino Linotype" w:hAnsi="Palatino Linotype" w:cs="Arial"/>
        </w:rPr>
        <w:t>requirió una aclaración de la solicitud, la cual no contestó el recurrente, por lo que determinó dar por concluida la solicitud.</w:t>
      </w:r>
    </w:p>
    <w:p w:rsidR="006B4FB9" w:rsidRPr="00487209" w:rsidRDefault="006B4FB9" w:rsidP="00487209">
      <w:pPr>
        <w:pStyle w:val="Prrafodelista"/>
        <w:spacing w:before="240" w:after="240" w:line="360" w:lineRule="auto"/>
        <w:ind w:left="0"/>
        <w:jc w:val="both"/>
        <w:rPr>
          <w:rFonts w:ascii="Palatino Linotype" w:hAnsi="Palatino Linotype" w:cs="Arial"/>
        </w:rPr>
      </w:pPr>
    </w:p>
    <w:p w:rsidR="006B4FB9" w:rsidRPr="00487209" w:rsidRDefault="006B4FB9" w:rsidP="00487209">
      <w:pPr>
        <w:pStyle w:val="Prrafodelista"/>
        <w:numPr>
          <w:ilvl w:val="0"/>
          <w:numId w:val="1"/>
        </w:numPr>
        <w:spacing w:before="240" w:after="240" w:line="360" w:lineRule="auto"/>
        <w:ind w:left="0" w:firstLine="0"/>
        <w:jc w:val="both"/>
        <w:rPr>
          <w:rFonts w:ascii="Palatino Linotype" w:hAnsi="Palatino Linotype" w:cs="Arial"/>
        </w:rPr>
      </w:pPr>
      <w:r w:rsidRPr="00487209">
        <w:rPr>
          <w:rFonts w:ascii="Palatino Linotype" w:hAnsi="Palatino Linotype" w:cs="Arial"/>
        </w:rPr>
        <w:t xml:space="preserve">El recurrente se inconformó porque no se le entregó </w:t>
      </w:r>
      <w:r w:rsidR="00643383" w:rsidRPr="00487209">
        <w:rPr>
          <w:rFonts w:ascii="Palatino Linotype" w:hAnsi="Palatino Linotype" w:cs="Arial"/>
        </w:rPr>
        <w:t>la información.</w:t>
      </w:r>
    </w:p>
    <w:p w:rsidR="00AD184C" w:rsidRPr="00487209" w:rsidRDefault="002043F5" w:rsidP="00487209">
      <w:pPr>
        <w:pStyle w:val="Prrafodelista"/>
        <w:spacing w:before="240" w:after="240" w:line="360" w:lineRule="auto"/>
        <w:ind w:left="0"/>
        <w:jc w:val="both"/>
        <w:rPr>
          <w:rFonts w:ascii="Palatino Linotype" w:hAnsi="Palatino Linotype" w:cs="Arial"/>
        </w:rPr>
      </w:pPr>
      <w:r w:rsidRPr="00487209">
        <w:rPr>
          <w:rFonts w:ascii="Palatino Linotype" w:hAnsi="Palatino Linotype" w:cs="Arial"/>
        </w:rPr>
        <w:t xml:space="preserve"> </w:t>
      </w:r>
    </w:p>
    <w:p w:rsidR="00173525" w:rsidRPr="00487209" w:rsidRDefault="00296EF2" w:rsidP="00487209">
      <w:pPr>
        <w:pStyle w:val="Prrafodelista"/>
        <w:numPr>
          <w:ilvl w:val="0"/>
          <w:numId w:val="1"/>
        </w:numPr>
        <w:spacing w:line="360" w:lineRule="auto"/>
        <w:ind w:left="0" w:firstLine="0"/>
        <w:jc w:val="both"/>
        <w:rPr>
          <w:rFonts w:ascii="Palatino Linotype" w:eastAsia="MS Mincho" w:hAnsi="Palatino Linotype" w:cs="Arial"/>
        </w:rPr>
      </w:pPr>
      <w:r w:rsidRPr="00487209">
        <w:rPr>
          <w:rFonts w:ascii="Palatino Linotype" w:eastAsia="Times New Roman" w:hAnsi="Palatino Linotype" w:cs="Arial"/>
        </w:rPr>
        <w:t xml:space="preserve">En dichas condiciones, la </w:t>
      </w:r>
      <w:proofErr w:type="spellStart"/>
      <w:r w:rsidRPr="00487209">
        <w:rPr>
          <w:rFonts w:ascii="Palatino Linotype" w:eastAsia="Times New Roman" w:hAnsi="Palatino Linotype" w:cs="Arial"/>
          <w:i/>
        </w:rPr>
        <w:t>litis</w:t>
      </w:r>
      <w:proofErr w:type="spellEnd"/>
      <w:r w:rsidRPr="00487209">
        <w:rPr>
          <w:rFonts w:ascii="Palatino Linotype" w:eastAsia="Times New Roman" w:hAnsi="Palatino Linotype" w:cs="Arial"/>
        </w:rPr>
        <w:t xml:space="preserve"> a resolver en este recurso se circunscribe a determinar si </w:t>
      </w:r>
      <w:r w:rsidRPr="00487209">
        <w:rPr>
          <w:rFonts w:ascii="Palatino Linotype" w:eastAsia="MS Mincho" w:hAnsi="Palatino Linotype" w:cs="Arial"/>
        </w:rPr>
        <w:t>se actualiza la causal de procedencia previ</w:t>
      </w:r>
      <w:r w:rsidR="005E3616" w:rsidRPr="00487209">
        <w:rPr>
          <w:rFonts w:ascii="Palatino Linotype" w:eastAsia="MS Mincho" w:hAnsi="Palatino Linotype" w:cs="Arial"/>
        </w:rPr>
        <w:t xml:space="preserve">sta en el artículo 179, fracciones </w:t>
      </w:r>
      <w:r w:rsidR="00A925A6" w:rsidRPr="00487209">
        <w:rPr>
          <w:rFonts w:ascii="Palatino Linotype" w:eastAsia="MS Mincho" w:hAnsi="Palatino Linotype" w:cs="Arial"/>
          <w:b/>
        </w:rPr>
        <w:t>XI</w:t>
      </w:r>
      <w:r w:rsidR="00CF2A07" w:rsidRPr="00487209">
        <w:rPr>
          <w:rFonts w:ascii="Palatino Linotype" w:eastAsia="MS Mincho" w:hAnsi="Palatino Linotype" w:cs="Arial"/>
        </w:rPr>
        <w:t xml:space="preserve"> </w:t>
      </w:r>
      <w:r w:rsidRPr="00487209">
        <w:rPr>
          <w:rFonts w:ascii="Palatino Linotype" w:eastAsia="MS Mincho" w:hAnsi="Palatino Linotype" w:cs="Arial"/>
        </w:rPr>
        <w:t>de la Ley de Transparencia y Acceso a la Información Pública de</w:t>
      </w:r>
      <w:r w:rsidR="00881FAD" w:rsidRPr="00487209">
        <w:rPr>
          <w:rFonts w:ascii="Palatino Linotype" w:eastAsia="MS Mincho" w:hAnsi="Palatino Linotype" w:cs="Arial"/>
        </w:rPr>
        <w:t>l Estado de México y Municipios.</w:t>
      </w:r>
    </w:p>
    <w:p w:rsidR="002A5BA4" w:rsidRPr="00487209" w:rsidRDefault="002A5BA4" w:rsidP="00487209">
      <w:pPr>
        <w:pStyle w:val="Ttulo1"/>
        <w:spacing w:line="360" w:lineRule="auto"/>
        <w:rPr>
          <w:b w:val="0"/>
          <w:color w:val="000000" w:themeColor="text1"/>
          <w:szCs w:val="24"/>
        </w:rPr>
      </w:pPr>
      <w:bookmarkStart w:id="12" w:name="_Toc486525254"/>
      <w:bookmarkStart w:id="13" w:name="_Toc24028878"/>
      <w:r w:rsidRPr="00487209">
        <w:rPr>
          <w:color w:val="000000" w:themeColor="text1"/>
          <w:szCs w:val="24"/>
        </w:rPr>
        <w:t>CUARTO. Análisis y resolución del asunto</w:t>
      </w:r>
      <w:bookmarkEnd w:id="12"/>
      <w:bookmarkEnd w:id="13"/>
    </w:p>
    <w:p w:rsidR="002A5BA4" w:rsidRPr="00487209" w:rsidRDefault="002A5BA4" w:rsidP="00487209">
      <w:pPr>
        <w:spacing w:line="360" w:lineRule="auto"/>
        <w:jc w:val="both"/>
        <w:rPr>
          <w:rFonts w:ascii="Palatino Linotype" w:hAnsi="Palatino Linotype" w:cs="Arial"/>
        </w:rPr>
      </w:pPr>
    </w:p>
    <w:p w:rsidR="002043F5" w:rsidRPr="00487209" w:rsidRDefault="00000029" w:rsidP="00487209">
      <w:pPr>
        <w:pStyle w:val="Ttulo2"/>
        <w:numPr>
          <w:ilvl w:val="0"/>
          <w:numId w:val="5"/>
        </w:numPr>
        <w:spacing w:line="360" w:lineRule="auto"/>
        <w:rPr>
          <w:rFonts w:ascii="Palatino Linotype" w:hAnsi="Palatino Linotype"/>
          <w:b/>
          <w:color w:val="auto"/>
          <w:sz w:val="24"/>
          <w:szCs w:val="24"/>
        </w:rPr>
      </w:pPr>
      <w:bookmarkStart w:id="14" w:name="_Toc535946915"/>
      <w:r w:rsidRPr="00487209">
        <w:rPr>
          <w:rFonts w:ascii="Palatino Linotype" w:hAnsi="Palatino Linotype"/>
          <w:b/>
          <w:color w:val="auto"/>
          <w:sz w:val="24"/>
          <w:szCs w:val="24"/>
        </w:rPr>
        <w:t xml:space="preserve"> </w:t>
      </w:r>
      <w:bookmarkStart w:id="15" w:name="_Toc9525984"/>
      <w:bookmarkStart w:id="16" w:name="_Toc15561640"/>
      <w:bookmarkStart w:id="17" w:name="_Toc24028879"/>
      <w:bookmarkEnd w:id="14"/>
      <w:r w:rsidR="002043F5" w:rsidRPr="00487209">
        <w:rPr>
          <w:rFonts w:ascii="Palatino Linotype" w:hAnsi="Palatino Linotype"/>
          <w:b/>
          <w:color w:val="auto"/>
          <w:sz w:val="24"/>
          <w:szCs w:val="24"/>
        </w:rPr>
        <w:t>El derecho de acceso a la información.</w:t>
      </w:r>
      <w:bookmarkEnd w:id="15"/>
      <w:bookmarkEnd w:id="16"/>
      <w:bookmarkEnd w:id="17"/>
    </w:p>
    <w:p w:rsidR="002043F5" w:rsidRPr="00487209" w:rsidRDefault="002043F5" w:rsidP="00487209">
      <w:pPr>
        <w:spacing w:line="360" w:lineRule="auto"/>
        <w:rPr>
          <w:rFonts w:ascii="Palatino Linotype" w:hAnsi="Palatino Linotype"/>
          <w:lang w:val="es-MX" w:eastAsia="en-US"/>
        </w:rPr>
      </w:pPr>
    </w:p>
    <w:p w:rsidR="002043F5" w:rsidRPr="00487209" w:rsidRDefault="002043F5" w:rsidP="00487209">
      <w:pPr>
        <w:pStyle w:val="Prrafodelista"/>
        <w:numPr>
          <w:ilvl w:val="0"/>
          <w:numId w:val="1"/>
        </w:numPr>
        <w:spacing w:line="360" w:lineRule="auto"/>
        <w:ind w:left="0" w:firstLine="0"/>
        <w:jc w:val="both"/>
        <w:rPr>
          <w:rFonts w:ascii="Palatino Linotype" w:hAnsi="Palatino Linotype"/>
          <w:color w:val="000000"/>
        </w:rPr>
      </w:pPr>
      <w:r w:rsidRPr="00487209">
        <w:rPr>
          <w:rFonts w:ascii="Palatino Linotype" w:hAnsi="Palatino Linotype"/>
          <w:color w:val="000000"/>
        </w:rPr>
        <w:t xml:space="preserve">El Derecho que tutela este Órgano Garante es la </w:t>
      </w:r>
      <w:r w:rsidRPr="00487209">
        <w:rPr>
          <w:rFonts w:ascii="Palatino Linotype" w:eastAsia="Times New Roman" w:hAnsi="Palatino Linotype" w:cs="Arial"/>
          <w:color w:val="000000" w:themeColor="text1"/>
          <w:lang w:eastAsia="es-MX"/>
        </w:rPr>
        <w:t xml:space="preserve"> </w:t>
      </w:r>
      <w:r w:rsidRPr="00487209">
        <w:rPr>
          <w:rFonts w:ascii="Palatino Linotype" w:eastAsia="MS Mincho" w:hAnsi="Palatino Linotype" w:cs="Times New Roman"/>
          <w:i/>
        </w:rPr>
        <w:t>igualdad de oportunidades para recibir, buscar e impartir información</w:t>
      </w:r>
      <w:r w:rsidRPr="00487209">
        <w:rPr>
          <w:rStyle w:val="Refdenotaalpie"/>
          <w:rFonts w:ascii="Palatino Linotype" w:eastAsia="MS Mincho" w:hAnsi="Palatino Linotype" w:cs="Times New Roman"/>
          <w:i/>
        </w:rPr>
        <w:footnoteReference w:id="1"/>
      </w:r>
      <w:r w:rsidRPr="0048720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7209">
        <w:rPr>
          <w:rStyle w:val="Refdenotaalpie"/>
          <w:rFonts w:ascii="Palatino Linotype" w:eastAsia="MS Mincho" w:hAnsi="Palatino Linotype" w:cs="Times New Roman"/>
        </w:rPr>
        <w:footnoteReference w:id="2"/>
      </w:r>
      <w:r w:rsidRPr="00487209">
        <w:rPr>
          <w:rFonts w:ascii="Palatino Linotype" w:eastAsia="MS Mincho" w:hAnsi="Palatino Linotype" w:cs="Times New Roman"/>
          <w:i/>
        </w:rPr>
        <w:t xml:space="preserve"> </w:t>
      </w:r>
      <w:r w:rsidRPr="00487209">
        <w:rPr>
          <w:rFonts w:ascii="Palatino Linotype" w:eastAsia="MS Mincho" w:hAnsi="Palatino Linotype" w:cs="Times New Roman"/>
        </w:rPr>
        <w:t xml:space="preserve">que se constituye como una herramienta fundamental para </w:t>
      </w:r>
      <w:r w:rsidRPr="0048720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87209">
        <w:rPr>
          <w:rStyle w:val="Refdenotaalpie"/>
          <w:rFonts w:ascii="Palatino Linotype" w:eastAsia="MS Mincho" w:hAnsi="Palatino Linotype" w:cs="Times New Roman"/>
          <w:i/>
        </w:rPr>
        <w:footnoteReference w:id="3"/>
      </w:r>
      <w:r w:rsidRPr="00487209">
        <w:rPr>
          <w:rFonts w:ascii="Palatino Linotype" w:eastAsia="MS Mincho" w:hAnsi="Palatino Linotype" w:cs="Times New Roman"/>
        </w:rPr>
        <w:t>fomentando</w:t>
      </w:r>
      <w:r w:rsidRPr="00487209">
        <w:rPr>
          <w:rFonts w:ascii="Palatino Linotype" w:eastAsia="MS Mincho" w:hAnsi="Palatino Linotype" w:cs="Times New Roman"/>
          <w:i/>
        </w:rPr>
        <w:t xml:space="preserve"> la transparencia de las actividades estatales y</w:t>
      </w:r>
      <w:r w:rsidRPr="00487209">
        <w:rPr>
          <w:rFonts w:ascii="Palatino Linotype" w:eastAsia="MS Mincho" w:hAnsi="Palatino Linotype" w:cs="Times New Roman"/>
        </w:rPr>
        <w:t xml:space="preserve"> promoviendo</w:t>
      </w:r>
      <w:r w:rsidRPr="00487209">
        <w:rPr>
          <w:rFonts w:ascii="Palatino Linotype" w:eastAsia="MS Mincho" w:hAnsi="Palatino Linotype" w:cs="Times New Roman"/>
          <w:i/>
        </w:rPr>
        <w:t xml:space="preserve"> la responsabilidad de los funcionarios sobre su gestión pública</w:t>
      </w:r>
      <w:r w:rsidRPr="00487209">
        <w:rPr>
          <w:rStyle w:val="Refdenotaalpie"/>
          <w:rFonts w:ascii="Palatino Linotype" w:eastAsia="MS Mincho" w:hAnsi="Palatino Linotype" w:cs="Times New Roman"/>
          <w:i/>
        </w:rPr>
        <w:footnoteReference w:id="4"/>
      </w:r>
      <w:r w:rsidRPr="00487209">
        <w:rPr>
          <w:rFonts w:ascii="Palatino Linotype" w:eastAsia="MS Mincho" w:hAnsi="Palatino Linotype" w:cs="Times New Roman"/>
          <w:i/>
        </w:rPr>
        <w:t xml:space="preserve"> </w:t>
      </w:r>
      <w:r w:rsidRPr="00487209">
        <w:rPr>
          <w:rFonts w:ascii="Palatino Linotype" w:eastAsia="MS Mincho" w:hAnsi="Palatino Linotype" w:cs="Times New Roman"/>
        </w:rPr>
        <w:t>que permite</w:t>
      </w:r>
      <w:r w:rsidRPr="0048720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87209">
        <w:rPr>
          <w:rStyle w:val="Refdenotaalpie"/>
          <w:rFonts w:ascii="Palatino Linotype" w:eastAsia="MS Mincho" w:hAnsi="Palatino Linotype" w:cs="Times New Roman"/>
          <w:i/>
        </w:rPr>
        <w:footnoteReference w:id="5"/>
      </w:r>
      <w:r w:rsidRPr="00487209">
        <w:rPr>
          <w:rFonts w:ascii="Palatino Linotype" w:eastAsia="MS Mincho" w:hAnsi="Palatino Linotype" w:cs="Times New Roman"/>
        </w:rPr>
        <w:t xml:space="preserve"> ” </w:t>
      </w:r>
    </w:p>
    <w:p w:rsidR="002043F5" w:rsidRPr="00487209" w:rsidRDefault="002043F5" w:rsidP="00487209">
      <w:pPr>
        <w:pStyle w:val="Prrafodelista"/>
        <w:spacing w:line="360" w:lineRule="auto"/>
        <w:ind w:left="0"/>
        <w:jc w:val="both"/>
        <w:rPr>
          <w:rFonts w:ascii="Palatino Linotype" w:hAnsi="Palatino Linotype"/>
          <w:color w:val="000000"/>
        </w:rPr>
      </w:pPr>
    </w:p>
    <w:p w:rsidR="002043F5" w:rsidRPr="00487209" w:rsidRDefault="002043F5" w:rsidP="0048720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87209">
        <w:rPr>
          <w:rFonts w:ascii="Palatino Linotype" w:hAnsi="Palatino Linotype" w:cs="Arial"/>
        </w:rPr>
        <w:t xml:space="preserve">Ahora bien para entender los alcances de la información pública se considera importante citar el criterio </w:t>
      </w:r>
      <w:r w:rsidRPr="0048720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87209">
        <w:rPr>
          <w:rFonts w:ascii="Palatino Linotype" w:hAnsi="Palatino Linotype" w:cs="Arial"/>
        </w:rPr>
        <w:t>cuyo rubro y texto dispone:</w:t>
      </w:r>
    </w:p>
    <w:p w:rsidR="002043F5" w:rsidRPr="00487209" w:rsidRDefault="002043F5" w:rsidP="00487209">
      <w:pPr>
        <w:pStyle w:val="Prrafodelista"/>
        <w:autoSpaceDE w:val="0"/>
        <w:autoSpaceDN w:val="0"/>
        <w:adjustRightInd w:val="0"/>
        <w:spacing w:line="360" w:lineRule="auto"/>
        <w:ind w:left="0"/>
        <w:jc w:val="both"/>
        <w:rPr>
          <w:rFonts w:ascii="Palatino Linotype" w:hAnsi="Palatino Linotype" w:cs="Arial"/>
          <w:lang w:val="es-MX"/>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Arial"/>
          <w:b/>
          <w:i/>
          <w:lang w:val="es-MX" w:eastAsia="es-MX"/>
        </w:rPr>
      </w:pPr>
      <w:r w:rsidRPr="00487209">
        <w:rPr>
          <w:rFonts w:ascii="Palatino Linotype" w:hAnsi="Palatino Linotype" w:cs="Arial"/>
          <w:b/>
          <w:i/>
          <w:lang w:val="es-MX" w:eastAsia="es-MX"/>
        </w:rPr>
        <w:t>“CRITERIO 0002-11</w:t>
      </w:r>
    </w:p>
    <w:p w:rsidR="002043F5" w:rsidRPr="00487209" w:rsidRDefault="002043F5" w:rsidP="00487209">
      <w:pPr>
        <w:autoSpaceDE w:val="0"/>
        <w:autoSpaceDN w:val="0"/>
        <w:adjustRightInd w:val="0"/>
        <w:spacing w:line="360" w:lineRule="auto"/>
        <w:ind w:left="567" w:right="567"/>
        <w:jc w:val="both"/>
        <w:rPr>
          <w:rFonts w:ascii="Palatino Linotype" w:hAnsi="Palatino Linotype" w:cs="Arial"/>
          <w:i/>
          <w:lang w:val="es-MX" w:eastAsia="es-MX"/>
        </w:rPr>
      </w:pPr>
      <w:r w:rsidRPr="00487209">
        <w:rPr>
          <w:rFonts w:ascii="Palatino Linotype" w:hAnsi="Palatino Linotype" w:cs="Arial"/>
          <w:b/>
          <w:i/>
          <w:lang w:val="es-MX" w:eastAsia="es-MX"/>
        </w:rPr>
        <w:t xml:space="preserve">INFORMACIÓN PÚBLICA, CONCEPTO DE, EN MATERIA DE TRANSPARENCIA. INTERPRETACIÓN TEMÁTICA DE LOS ARTÍCULOS 2, FRACCIÓN </w:t>
      </w:r>
      <w:r w:rsidRPr="00487209">
        <w:rPr>
          <w:rFonts w:ascii="Palatino Linotype" w:hAnsi="Palatino Linotype" w:cs="Arial"/>
          <w:b/>
          <w:bCs/>
          <w:i/>
          <w:lang w:val="es-MX" w:eastAsia="es-MX"/>
        </w:rPr>
        <w:t xml:space="preserve">V, XV, Y XVI, </w:t>
      </w:r>
      <w:r w:rsidRPr="00487209">
        <w:rPr>
          <w:rFonts w:ascii="Palatino Linotype" w:hAnsi="Palatino Linotype" w:cs="Arial"/>
          <w:b/>
          <w:i/>
          <w:lang w:val="es-MX" w:eastAsia="es-MX"/>
        </w:rPr>
        <w:t>3, 4,11 Y 41.</w:t>
      </w:r>
      <w:r w:rsidRPr="0048720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043F5" w:rsidRPr="00487209" w:rsidRDefault="002043F5" w:rsidP="00487209">
      <w:pPr>
        <w:autoSpaceDE w:val="0"/>
        <w:autoSpaceDN w:val="0"/>
        <w:adjustRightInd w:val="0"/>
        <w:spacing w:line="360" w:lineRule="auto"/>
        <w:ind w:left="567" w:right="567"/>
        <w:jc w:val="both"/>
        <w:rPr>
          <w:rFonts w:ascii="Palatino Linotype" w:hAnsi="Palatino Linotype" w:cs="Arial"/>
          <w:i/>
          <w:lang w:val="es-MX" w:eastAsia="es-MX"/>
        </w:rPr>
      </w:pPr>
      <w:r w:rsidRPr="00487209">
        <w:rPr>
          <w:rFonts w:ascii="Palatino Linotype" w:hAnsi="Palatino Linotype" w:cs="Arial"/>
          <w:i/>
          <w:lang w:val="es-MX" w:eastAsia="es-MX"/>
        </w:rPr>
        <w:t>En consecuencia el acceso a la información se refiere a que se cumplan cualquiera de los siguientes tres supuestos:</w:t>
      </w:r>
    </w:p>
    <w:p w:rsidR="002043F5" w:rsidRPr="00487209" w:rsidRDefault="002043F5" w:rsidP="00487209">
      <w:pPr>
        <w:autoSpaceDE w:val="0"/>
        <w:autoSpaceDN w:val="0"/>
        <w:adjustRightInd w:val="0"/>
        <w:spacing w:line="360" w:lineRule="auto"/>
        <w:ind w:left="567" w:right="567"/>
        <w:jc w:val="both"/>
        <w:rPr>
          <w:rFonts w:ascii="Palatino Linotype" w:hAnsi="Palatino Linotype" w:cs="Arial"/>
          <w:i/>
          <w:lang w:val="es-MX" w:eastAsia="es-MX"/>
        </w:rPr>
      </w:pPr>
      <w:r w:rsidRPr="0048720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2043F5" w:rsidRPr="00487209" w:rsidRDefault="002043F5" w:rsidP="00487209">
      <w:pPr>
        <w:autoSpaceDE w:val="0"/>
        <w:autoSpaceDN w:val="0"/>
        <w:adjustRightInd w:val="0"/>
        <w:spacing w:line="360" w:lineRule="auto"/>
        <w:ind w:left="567" w:right="567"/>
        <w:jc w:val="both"/>
        <w:rPr>
          <w:rFonts w:ascii="Palatino Linotype" w:hAnsi="Palatino Linotype" w:cs="Arial"/>
          <w:i/>
          <w:lang w:val="es-MX" w:eastAsia="es-MX"/>
        </w:rPr>
      </w:pPr>
      <w:r w:rsidRPr="0048720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2043F5" w:rsidRPr="00487209" w:rsidRDefault="002043F5" w:rsidP="00487209">
      <w:pPr>
        <w:spacing w:line="360" w:lineRule="auto"/>
        <w:ind w:left="567" w:right="567"/>
        <w:jc w:val="both"/>
        <w:rPr>
          <w:rFonts w:ascii="Palatino Linotype" w:hAnsi="Palatino Linotype" w:cs="Arial"/>
          <w:i/>
          <w:color w:val="000000" w:themeColor="text1"/>
        </w:rPr>
      </w:pPr>
      <w:r w:rsidRPr="0048720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2043F5" w:rsidRPr="00487209" w:rsidRDefault="002043F5" w:rsidP="00487209">
      <w:pPr>
        <w:pStyle w:val="Prrafodelista"/>
        <w:tabs>
          <w:tab w:val="left" w:pos="851"/>
        </w:tabs>
        <w:spacing w:line="360" w:lineRule="auto"/>
        <w:ind w:left="0" w:right="49"/>
        <w:jc w:val="both"/>
        <w:rPr>
          <w:rFonts w:ascii="Palatino Linotype" w:hAnsi="Palatino Linotype"/>
          <w:lang w:val="es-ES"/>
        </w:rPr>
      </w:pPr>
    </w:p>
    <w:p w:rsidR="002043F5" w:rsidRPr="00487209" w:rsidRDefault="002043F5" w:rsidP="00487209">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48720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2043F5" w:rsidRPr="00487209" w:rsidRDefault="002043F5" w:rsidP="00487209">
      <w:pPr>
        <w:autoSpaceDE w:val="0"/>
        <w:autoSpaceDN w:val="0"/>
        <w:adjustRightInd w:val="0"/>
        <w:spacing w:line="360" w:lineRule="auto"/>
        <w:ind w:left="567" w:right="567"/>
        <w:jc w:val="both"/>
        <w:rPr>
          <w:rFonts w:ascii="Palatino Linotype" w:hAnsi="Palatino Linotype"/>
          <w:i/>
          <w:lang w:val="es-ES"/>
        </w:rPr>
      </w:pPr>
      <w:r w:rsidRPr="00487209">
        <w:rPr>
          <w:rFonts w:ascii="Palatino Linotype" w:eastAsiaTheme="minorHAnsi" w:hAnsi="Palatino Linotype" w:cs="Bookman Old Style,Bold"/>
          <w:b/>
          <w:bCs/>
          <w:i/>
          <w:lang w:val="es-MX" w:eastAsia="en-US"/>
        </w:rPr>
        <w:t xml:space="preserve">XI. Documento: </w:t>
      </w:r>
      <w:r w:rsidRPr="0048720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487209">
        <w:rPr>
          <w:rFonts w:ascii="Palatino Linotype" w:eastAsiaTheme="minorHAnsi" w:hAnsi="Palatino Linotype" w:cs="Bookman Old Style"/>
          <w:b/>
          <w:i/>
          <w:lang w:val="es-MX" w:eastAsia="en-US"/>
        </w:rPr>
        <w:t>cualquier otro registro</w:t>
      </w:r>
      <w:r w:rsidRPr="0048720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43F5" w:rsidRPr="00487209" w:rsidRDefault="002043F5" w:rsidP="00487209">
      <w:pPr>
        <w:pStyle w:val="Prrafodelista"/>
        <w:tabs>
          <w:tab w:val="left" w:pos="851"/>
        </w:tabs>
        <w:spacing w:line="360" w:lineRule="auto"/>
        <w:ind w:left="0" w:right="49"/>
        <w:jc w:val="both"/>
        <w:rPr>
          <w:rFonts w:ascii="Palatino Linotype" w:hAnsi="Palatino Linotype"/>
          <w:lang w:val="es-ES"/>
        </w:rPr>
      </w:pPr>
    </w:p>
    <w:p w:rsidR="002043F5" w:rsidRPr="00487209" w:rsidRDefault="002043F5" w:rsidP="0048720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8720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043F5" w:rsidRPr="00487209" w:rsidRDefault="002043F5" w:rsidP="00487209">
      <w:pPr>
        <w:pStyle w:val="Prrafodelista"/>
        <w:spacing w:line="360" w:lineRule="auto"/>
        <w:ind w:left="0"/>
        <w:jc w:val="both"/>
        <w:rPr>
          <w:rFonts w:ascii="Palatino Linotype" w:eastAsia="Calibri" w:hAnsi="Palatino Linotype" w:cs="Arial"/>
        </w:rPr>
      </w:pPr>
    </w:p>
    <w:p w:rsidR="002043F5" w:rsidRPr="00487209" w:rsidRDefault="002043F5" w:rsidP="00487209">
      <w:pPr>
        <w:pStyle w:val="Prrafodelista"/>
        <w:numPr>
          <w:ilvl w:val="0"/>
          <w:numId w:val="1"/>
        </w:numPr>
        <w:spacing w:line="360" w:lineRule="auto"/>
        <w:ind w:left="0" w:firstLine="0"/>
        <w:jc w:val="both"/>
        <w:rPr>
          <w:rFonts w:ascii="Palatino Linotype" w:eastAsia="Calibri" w:hAnsi="Palatino Linotype" w:cs="Arial"/>
        </w:rPr>
      </w:pPr>
      <w:r w:rsidRPr="00487209">
        <w:rPr>
          <w:rFonts w:ascii="Palatino Linotype" w:eastAsia="Calibri" w:hAnsi="Palatino Linotype" w:cs="Arial"/>
        </w:rPr>
        <w:t>E</w:t>
      </w:r>
      <w:r w:rsidRPr="00487209">
        <w:rPr>
          <w:rFonts w:ascii="Palatino Linotype" w:eastAsia="MS Mincho" w:hAnsi="Palatino Linotype"/>
        </w:rPr>
        <w:t xml:space="preserve">l acceso a la información es un derecho humano constitucional y convencionalmente reconocido y para tal efecto </w:t>
      </w:r>
      <w:r w:rsidRPr="0048720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487209">
        <w:rPr>
          <w:rFonts w:ascii="Palatino Linotype" w:eastAsia="Calibri" w:hAnsi="Palatino Linotype"/>
          <w:i/>
          <w:lang w:val="es-ES"/>
        </w:rPr>
        <w:t xml:space="preserve">en el ámbito de sus atribuciones, de promover, respetar, proteger y </w:t>
      </w:r>
      <w:r w:rsidRPr="00487209">
        <w:rPr>
          <w:rFonts w:ascii="Palatino Linotype" w:eastAsia="Calibri" w:hAnsi="Palatino Linotype"/>
          <w:b/>
          <w:i/>
          <w:lang w:val="es-ES"/>
        </w:rPr>
        <w:t>garantizar</w:t>
      </w:r>
      <w:r w:rsidRPr="00487209">
        <w:rPr>
          <w:rFonts w:ascii="Palatino Linotype" w:eastAsia="Calibri" w:hAnsi="Palatino Linotype"/>
          <w:i/>
          <w:lang w:val="es-ES"/>
        </w:rPr>
        <w:t xml:space="preserve"> los derechos humanos. </w:t>
      </w:r>
      <w:r w:rsidRPr="0048720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487209">
        <w:rPr>
          <w:rFonts w:ascii="Palatino Linotype" w:eastAsia="Calibri" w:hAnsi="Palatino Linotype"/>
          <w:b/>
          <w:i/>
          <w:lang w:val="es-ES"/>
        </w:rPr>
        <w:t xml:space="preserve"> e</w:t>
      </w:r>
      <w:r w:rsidRPr="0048720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87209">
        <w:rPr>
          <w:rStyle w:val="Refdenotaalpie"/>
          <w:rFonts w:ascii="Palatino Linotype" w:hAnsi="Palatino Linotype"/>
          <w:i/>
        </w:rPr>
        <w:footnoteReference w:id="6"/>
      </w:r>
      <w:r w:rsidRPr="00487209">
        <w:rPr>
          <w:rFonts w:ascii="Palatino Linotype" w:hAnsi="Palatino Linotype"/>
          <w:i/>
        </w:rPr>
        <w:t xml:space="preserve">, </w:t>
      </w:r>
      <w:r w:rsidRPr="00487209">
        <w:rPr>
          <w:rFonts w:ascii="Palatino Linotype" w:hAnsi="Palatino Linotype"/>
        </w:rPr>
        <w:t>asimismo establece</w:t>
      </w:r>
      <w:r w:rsidRPr="0048720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043F5" w:rsidRPr="00487209" w:rsidRDefault="002043F5" w:rsidP="00487209">
      <w:pPr>
        <w:pStyle w:val="Prrafodelista"/>
        <w:spacing w:line="360" w:lineRule="auto"/>
        <w:rPr>
          <w:rFonts w:ascii="Palatino Linotype" w:eastAsia="Calibri" w:hAnsi="Palatino Linotype" w:cs="Arial"/>
        </w:rPr>
      </w:pPr>
    </w:p>
    <w:p w:rsidR="002043F5" w:rsidRPr="00487209" w:rsidRDefault="002043F5" w:rsidP="00487209">
      <w:pPr>
        <w:pStyle w:val="Prrafodelista"/>
        <w:numPr>
          <w:ilvl w:val="0"/>
          <w:numId w:val="1"/>
        </w:numPr>
        <w:spacing w:line="360" w:lineRule="auto"/>
        <w:ind w:left="0" w:firstLine="0"/>
        <w:jc w:val="both"/>
        <w:rPr>
          <w:rFonts w:ascii="Palatino Linotype" w:eastAsia="Calibri" w:hAnsi="Palatino Linotype" w:cs="Arial"/>
        </w:rPr>
      </w:pPr>
      <w:r w:rsidRPr="00487209">
        <w:rPr>
          <w:rFonts w:ascii="Palatino Linotype" w:hAnsi="Palatino Linotype"/>
          <w:color w:val="000000" w:themeColor="text1"/>
        </w:rPr>
        <w:t xml:space="preserve">Resulta necesario referir que, el </w:t>
      </w:r>
      <w:r w:rsidRPr="0048720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87209">
        <w:rPr>
          <w:rFonts w:ascii="Palatino Linotype" w:eastAsia="Calibri" w:hAnsi="Palatino Linotype" w:cs="Arial"/>
          <w:b/>
        </w:rPr>
        <w:t>los Sujetos Obligados deberán documentar todo acto que se derive del ejercicio de sus facultades, competencias o funciones,</w:t>
      </w:r>
      <w:r w:rsidRPr="00487209">
        <w:rPr>
          <w:rFonts w:ascii="Palatino Linotype" w:eastAsia="Calibri" w:hAnsi="Palatino Linotype" w:cs="Arial"/>
        </w:rPr>
        <w:t xml:space="preserve"> considerando desde su origen la eventual publicidad y reutilización de la información que generen, posean o administren.</w:t>
      </w:r>
    </w:p>
    <w:p w:rsidR="002043F5" w:rsidRPr="00487209" w:rsidRDefault="002043F5" w:rsidP="00487209">
      <w:pPr>
        <w:pStyle w:val="Prrafodelista"/>
        <w:spacing w:line="360" w:lineRule="auto"/>
        <w:rPr>
          <w:rFonts w:ascii="Palatino Linotype" w:eastAsia="Calibri" w:hAnsi="Palatino Linotype" w:cs="Arial"/>
        </w:rPr>
      </w:pPr>
    </w:p>
    <w:p w:rsidR="002043F5" w:rsidRPr="00487209" w:rsidRDefault="002043F5" w:rsidP="00487209">
      <w:pPr>
        <w:pStyle w:val="Prrafodelista"/>
        <w:numPr>
          <w:ilvl w:val="0"/>
          <w:numId w:val="1"/>
        </w:numPr>
        <w:spacing w:line="360" w:lineRule="auto"/>
        <w:ind w:left="0" w:firstLine="0"/>
        <w:jc w:val="both"/>
        <w:rPr>
          <w:rFonts w:ascii="Palatino Linotype" w:eastAsia="Calibri" w:hAnsi="Palatino Linotype" w:cs="Arial"/>
        </w:rPr>
      </w:pPr>
      <w:r w:rsidRPr="0048720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2043F5" w:rsidRPr="00487209" w:rsidRDefault="002043F5" w:rsidP="00487209">
      <w:pPr>
        <w:pStyle w:val="Prrafodelista"/>
        <w:spacing w:line="360" w:lineRule="auto"/>
        <w:rPr>
          <w:rFonts w:ascii="Palatino Linotype" w:eastAsia="Times New Roman" w:hAnsi="Palatino Linotype" w:cs="Arial"/>
          <w:color w:val="000000"/>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Bold"/>
          <w:b/>
          <w:bCs/>
          <w:i/>
          <w:lang w:val="es-MX"/>
        </w:rPr>
        <w:t xml:space="preserve">Artículo 4. </w:t>
      </w:r>
      <w:r w:rsidRPr="0048720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2043F5" w:rsidRPr="00487209" w:rsidRDefault="002043F5" w:rsidP="00487209">
      <w:pPr>
        <w:autoSpaceDE w:val="0"/>
        <w:autoSpaceDN w:val="0"/>
        <w:adjustRightInd w:val="0"/>
        <w:spacing w:line="360" w:lineRule="auto"/>
        <w:ind w:right="567"/>
        <w:jc w:val="both"/>
        <w:rPr>
          <w:rFonts w:ascii="Palatino Linotype" w:eastAsia="Times New Roman" w:hAnsi="Palatino Linotype" w:cs="Arial"/>
          <w:i/>
          <w:color w:val="000000"/>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Bold"/>
          <w:b/>
          <w:bCs/>
          <w:i/>
          <w:lang w:val="es-MX"/>
        </w:rPr>
        <w:t xml:space="preserve">Artículo 12. </w:t>
      </w:r>
      <w:r w:rsidRPr="0048720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b/>
          <w:i/>
          <w:lang w:val="es-MX"/>
        </w:rPr>
      </w:pPr>
      <w:r w:rsidRPr="0048720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487209">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2043F5" w:rsidRPr="00487209" w:rsidRDefault="002043F5" w:rsidP="00487209">
      <w:pPr>
        <w:autoSpaceDE w:val="0"/>
        <w:autoSpaceDN w:val="0"/>
        <w:adjustRightInd w:val="0"/>
        <w:spacing w:line="360" w:lineRule="auto"/>
        <w:ind w:left="567" w:right="567"/>
        <w:jc w:val="both"/>
        <w:rPr>
          <w:rFonts w:ascii="Palatino Linotype" w:hAnsi="Palatino Linotype" w:cs="Bookman Old Style"/>
          <w:i/>
          <w:lang w:val="es-MX"/>
        </w:rPr>
      </w:pPr>
    </w:p>
    <w:p w:rsidR="002043F5" w:rsidRPr="00487209" w:rsidRDefault="002043F5" w:rsidP="0048720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8720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87209">
        <w:rPr>
          <w:rStyle w:val="Refdenotaalpie"/>
          <w:rFonts w:ascii="Palatino Linotype" w:hAnsi="Palatino Linotype"/>
          <w:lang w:val="es-ES"/>
        </w:rPr>
        <w:footnoteReference w:id="7"/>
      </w:r>
      <w:r w:rsidRPr="0048720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043F5" w:rsidRPr="00487209" w:rsidRDefault="002043F5" w:rsidP="00487209">
      <w:pPr>
        <w:pStyle w:val="Prrafodelista"/>
        <w:tabs>
          <w:tab w:val="left" w:pos="851"/>
        </w:tabs>
        <w:spacing w:line="360" w:lineRule="auto"/>
        <w:ind w:left="0" w:right="49"/>
        <w:jc w:val="both"/>
        <w:rPr>
          <w:rFonts w:ascii="Palatino Linotype" w:hAnsi="Palatino Linotype"/>
          <w:lang w:val="es-ES"/>
        </w:rPr>
      </w:pPr>
    </w:p>
    <w:p w:rsidR="002043F5" w:rsidRPr="00487209" w:rsidRDefault="002043F5" w:rsidP="0048720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8720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043F5" w:rsidRPr="00487209" w:rsidRDefault="002043F5" w:rsidP="00487209">
      <w:pPr>
        <w:pStyle w:val="Prrafodelista"/>
        <w:spacing w:line="360" w:lineRule="auto"/>
        <w:rPr>
          <w:rFonts w:ascii="Palatino Linotype" w:hAnsi="Palatino Linotype"/>
          <w:lang w:val="es-ES"/>
        </w:rPr>
      </w:pPr>
    </w:p>
    <w:p w:rsidR="002043F5" w:rsidRPr="00487209" w:rsidRDefault="002043F5" w:rsidP="00487209">
      <w:pPr>
        <w:pStyle w:val="Prrafodelista"/>
        <w:tabs>
          <w:tab w:val="left" w:pos="851"/>
        </w:tabs>
        <w:spacing w:line="360" w:lineRule="auto"/>
        <w:ind w:left="567" w:right="567"/>
        <w:jc w:val="both"/>
        <w:rPr>
          <w:rFonts w:ascii="Palatino Linotype" w:hAnsi="Palatino Linotype"/>
          <w:i/>
        </w:rPr>
      </w:pPr>
      <w:r w:rsidRPr="00487209">
        <w:rPr>
          <w:rFonts w:ascii="Palatino Linotype" w:hAnsi="Palatino Linotype"/>
          <w:b/>
          <w:i/>
        </w:rPr>
        <w:t>ACCESO A LA INFORMACIÓN. IMPLICACIÓN DEL PRINCIPIO DE MÁXIMA PUBLICIDAD EN EL DERECHO FUNDAMENTAL RELATIVO.</w:t>
      </w:r>
      <w:r w:rsidRPr="0048720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043F5" w:rsidRPr="00487209" w:rsidRDefault="002043F5" w:rsidP="00487209">
      <w:pPr>
        <w:pStyle w:val="Prrafodelista"/>
        <w:tabs>
          <w:tab w:val="left" w:pos="851"/>
        </w:tabs>
        <w:spacing w:line="360" w:lineRule="auto"/>
        <w:ind w:left="567" w:right="567"/>
        <w:jc w:val="both"/>
        <w:rPr>
          <w:rFonts w:ascii="Palatino Linotype" w:hAnsi="Palatino Linotype"/>
          <w:i/>
        </w:rPr>
      </w:pPr>
    </w:p>
    <w:p w:rsidR="002043F5" w:rsidRPr="00487209" w:rsidRDefault="002043F5" w:rsidP="00487209">
      <w:pPr>
        <w:pStyle w:val="Prrafodelista"/>
        <w:tabs>
          <w:tab w:val="left" w:pos="851"/>
        </w:tabs>
        <w:spacing w:line="360" w:lineRule="auto"/>
        <w:ind w:left="567" w:right="567"/>
        <w:jc w:val="both"/>
        <w:rPr>
          <w:rFonts w:ascii="Palatino Linotype" w:hAnsi="Palatino Linotype"/>
          <w:i/>
        </w:rPr>
      </w:pPr>
      <w:r w:rsidRPr="00487209">
        <w:rPr>
          <w:rFonts w:ascii="Palatino Linotype" w:hAnsi="Palatino Linotype"/>
          <w:i/>
        </w:rPr>
        <w:t xml:space="preserve">CUARTO TRIBUNAL COLEGIADO EN MATERIA ADMINISTRATIVA DEL PRIMER CIRCUITO. </w:t>
      </w:r>
    </w:p>
    <w:p w:rsidR="002043F5" w:rsidRPr="00487209" w:rsidRDefault="002043F5" w:rsidP="00487209">
      <w:pPr>
        <w:pStyle w:val="Prrafodelista"/>
        <w:tabs>
          <w:tab w:val="left" w:pos="851"/>
        </w:tabs>
        <w:spacing w:line="360" w:lineRule="auto"/>
        <w:ind w:left="567" w:right="567"/>
        <w:jc w:val="both"/>
        <w:rPr>
          <w:rFonts w:ascii="Palatino Linotype" w:hAnsi="Palatino Linotype"/>
          <w:i/>
        </w:rPr>
      </w:pPr>
    </w:p>
    <w:p w:rsidR="002043F5" w:rsidRPr="00487209" w:rsidRDefault="002043F5" w:rsidP="00487209">
      <w:pPr>
        <w:pStyle w:val="Prrafodelista"/>
        <w:tabs>
          <w:tab w:val="left" w:pos="851"/>
        </w:tabs>
        <w:spacing w:line="360" w:lineRule="auto"/>
        <w:ind w:left="567" w:right="567"/>
        <w:jc w:val="both"/>
        <w:rPr>
          <w:rFonts w:ascii="Palatino Linotype" w:hAnsi="Palatino Linotype"/>
          <w:i/>
          <w:lang w:val="es-ES"/>
        </w:rPr>
      </w:pPr>
      <w:r w:rsidRPr="00487209">
        <w:rPr>
          <w:rFonts w:ascii="Palatino Linotype" w:hAnsi="Palatino Linotype"/>
          <w:i/>
        </w:rPr>
        <w:t xml:space="preserve">Amparo en revisión 257/2012. Ruth Corona Muñoz. 6 de diciembre de 2012. Unanimidad de votos. Ponente: Jean Claude </w:t>
      </w:r>
      <w:proofErr w:type="spellStart"/>
      <w:r w:rsidRPr="00487209">
        <w:rPr>
          <w:rFonts w:ascii="Palatino Linotype" w:hAnsi="Palatino Linotype"/>
          <w:i/>
        </w:rPr>
        <w:t>Tron</w:t>
      </w:r>
      <w:proofErr w:type="spellEnd"/>
      <w:r w:rsidRPr="00487209">
        <w:rPr>
          <w:rFonts w:ascii="Palatino Linotype" w:hAnsi="Palatino Linotype"/>
          <w:i/>
        </w:rPr>
        <w:t xml:space="preserve"> </w:t>
      </w:r>
      <w:proofErr w:type="spellStart"/>
      <w:r w:rsidRPr="00487209">
        <w:rPr>
          <w:rFonts w:ascii="Palatino Linotype" w:hAnsi="Palatino Linotype"/>
          <w:i/>
        </w:rPr>
        <w:t>Petit</w:t>
      </w:r>
      <w:proofErr w:type="spellEnd"/>
      <w:r w:rsidRPr="00487209">
        <w:rPr>
          <w:rFonts w:ascii="Palatino Linotype" w:hAnsi="Palatino Linotype"/>
          <w:i/>
        </w:rPr>
        <w:t>. Secretaria: Mayra Susana Martínez López.</w:t>
      </w:r>
    </w:p>
    <w:p w:rsidR="002043F5" w:rsidRPr="00487209" w:rsidRDefault="002043F5" w:rsidP="00487209">
      <w:pPr>
        <w:pStyle w:val="Prrafodelista"/>
        <w:spacing w:line="360" w:lineRule="auto"/>
        <w:rPr>
          <w:rFonts w:ascii="Palatino Linotype" w:hAnsi="Palatino Linotype"/>
          <w:lang w:val="es-ES"/>
        </w:rPr>
      </w:pPr>
    </w:p>
    <w:p w:rsidR="002043F5" w:rsidRPr="00487209" w:rsidRDefault="002043F5" w:rsidP="0048720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87209">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2043F5" w:rsidRPr="00487209" w:rsidRDefault="002043F5" w:rsidP="00487209">
      <w:pPr>
        <w:pStyle w:val="Ttulo2"/>
        <w:spacing w:line="360" w:lineRule="auto"/>
        <w:rPr>
          <w:rFonts w:ascii="Palatino Linotype" w:hAnsi="Palatino Linotype"/>
          <w:b/>
          <w:color w:val="auto"/>
          <w:sz w:val="24"/>
          <w:szCs w:val="24"/>
        </w:rPr>
      </w:pPr>
    </w:p>
    <w:p w:rsidR="002A5BA4" w:rsidRPr="00487209" w:rsidRDefault="00000029" w:rsidP="00487209">
      <w:pPr>
        <w:pStyle w:val="Ttulo2"/>
        <w:numPr>
          <w:ilvl w:val="0"/>
          <w:numId w:val="5"/>
        </w:numPr>
        <w:spacing w:line="360" w:lineRule="auto"/>
        <w:rPr>
          <w:rFonts w:ascii="Palatino Linotype" w:hAnsi="Palatino Linotype"/>
          <w:b/>
          <w:color w:val="auto"/>
          <w:sz w:val="24"/>
          <w:szCs w:val="24"/>
        </w:rPr>
      </w:pPr>
      <w:bookmarkStart w:id="18" w:name="_Toc24028880"/>
      <w:r w:rsidRPr="00487209">
        <w:rPr>
          <w:rFonts w:ascii="Palatino Linotype" w:hAnsi="Palatino Linotype"/>
          <w:b/>
          <w:color w:val="auto"/>
          <w:sz w:val="24"/>
          <w:szCs w:val="24"/>
        </w:rPr>
        <w:t>Fuente Obligacional.</w:t>
      </w:r>
      <w:bookmarkEnd w:id="18"/>
      <w:r w:rsidR="008B768C" w:rsidRPr="00487209">
        <w:rPr>
          <w:rFonts w:ascii="Palatino Linotype" w:hAnsi="Palatino Linotype"/>
          <w:b/>
          <w:color w:val="auto"/>
          <w:sz w:val="24"/>
          <w:szCs w:val="24"/>
        </w:rPr>
        <w:t xml:space="preserve"> </w:t>
      </w:r>
    </w:p>
    <w:p w:rsidR="00B22D36" w:rsidRPr="00487209" w:rsidRDefault="00B22D36" w:rsidP="00487209">
      <w:pPr>
        <w:spacing w:line="360" w:lineRule="auto"/>
        <w:rPr>
          <w:rFonts w:ascii="Palatino Linotype" w:hAnsi="Palatino Linotype"/>
          <w:lang w:val="es-MX" w:eastAsia="en-US"/>
        </w:rPr>
      </w:pPr>
    </w:p>
    <w:p w:rsidR="007E2CDA" w:rsidRPr="00487209" w:rsidRDefault="0034418B" w:rsidP="00487209">
      <w:pPr>
        <w:pStyle w:val="Ttulo3"/>
        <w:numPr>
          <w:ilvl w:val="1"/>
          <w:numId w:val="1"/>
        </w:numPr>
        <w:spacing w:line="360" w:lineRule="auto"/>
        <w:rPr>
          <w:rFonts w:ascii="Palatino Linotype" w:hAnsi="Palatino Linotype"/>
          <w:b/>
          <w:color w:val="auto"/>
        </w:rPr>
      </w:pPr>
      <w:bookmarkStart w:id="19" w:name="_Toc24028881"/>
      <w:r w:rsidRPr="00487209">
        <w:rPr>
          <w:rFonts w:ascii="Palatino Linotype" w:hAnsi="Palatino Linotype"/>
          <w:b/>
          <w:color w:val="auto"/>
        </w:rPr>
        <w:t>De la obligación de transparencia.</w:t>
      </w:r>
      <w:bookmarkEnd w:id="19"/>
    </w:p>
    <w:p w:rsidR="007E2CDA" w:rsidRPr="00487209" w:rsidRDefault="007E2CDA" w:rsidP="00487209">
      <w:pPr>
        <w:spacing w:line="360" w:lineRule="auto"/>
        <w:rPr>
          <w:rFonts w:ascii="Palatino Linotype" w:hAnsi="Palatino Linotype"/>
        </w:rPr>
      </w:pPr>
    </w:p>
    <w:p w:rsidR="007E2CDA" w:rsidRPr="00487209" w:rsidRDefault="007E2CDA" w:rsidP="0048720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48720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487209" w:rsidRDefault="007E2CDA" w:rsidP="00487209">
      <w:pPr>
        <w:spacing w:line="360" w:lineRule="auto"/>
        <w:jc w:val="both"/>
        <w:rPr>
          <w:rFonts w:ascii="Palatino Linotype" w:hAnsi="Palatino Linotype" w:cs="Arial"/>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b/>
          <w:i/>
        </w:rPr>
        <w:t>“Artículo 6o.</w:t>
      </w:r>
      <w:r w:rsidRPr="0048720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7209">
        <w:rPr>
          <w:rFonts w:ascii="Palatino Linotype" w:hAnsi="Palatino Linotype" w:cs="Arial"/>
          <w:b/>
          <w:i/>
        </w:rPr>
        <w:t>El derecho a la información será garantizado por el Estado.</w:t>
      </w:r>
      <w:r w:rsidRPr="00487209">
        <w:rPr>
          <w:rFonts w:ascii="Palatino Linotype" w:hAnsi="Palatino Linotype" w:cs="Arial"/>
          <w:i/>
        </w:rPr>
        <w:t xml:space="preserve"> </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Para efectos de lo dispuesto en el presente artículo se observará lo siguiente:</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487209" w:rsidRDefault="007E2CDA" w:rsidP="00487209">
      <w:pPr>
        <w:spacing w:line="360" w:lineRule="auto"/>
        <w:ind w:left="567" w:right="567"/>
        <w:jc w:val="both"/>
        <w:rPr>
          <w:rFonts w:ascii="Palatino Linotype" w:hAnsi="Palatino Linotype" w:cs="Arial"/>
          <w:b/>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b/>
          <w:i/>
        </w:rPr>
        <w:t>I. Toda la información en posesión de</w:t>
      </w:r>
      <w:r w:rsidRPr="00487209">
        <w:rPr>
          <w:rFonts w:ascii="Palatino Linotype" w:hAnsi="Palatino Linotype" w:cs="Arial"/>
          <w:i/>
        </w:rPr>
        <w:t xml:space="preserve"> </w:t>
      </w:r>
      <w:r w:rsidRPr="00487209">
        <w:rPr>
          <w:rFonts w:ascii="Palatino Linotype" w:hAnsi="Palatino Linotype" w:cs="Arial"/>
          <w:b/>
          <w:i/>
        </w:rPr>
        <w:t>cualquier autoridad</w:t>
      </w:r>
      <w:r w:rsidRPr="00487209">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87209">
        <w:rPr>
          <w:rFonts w:ascii="Palatino Linotype" w:hAnsi="Palatino Linotype" w:cs="Arial"/>
          <w:b/>
          <w:i/>
        </w:rPr>
        <w:t>es pública</w:t>
      </w:r>
      <w:r w:rsidRPr="00487209">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487209">
        <w:rPr>
          <w:rFonts w:ascii="Palatino Linotype" w:hAnsi="Palatino Linotype" w:cs="Arial"/>
          <w:b/>
          <w:i/>
        </w:rPr>
        <w:t>Los sujetos obligados deberán documentar todo acto que derive del ejercicio de sus facultades, competencias o funciones</w:t>
      </w:r>
      <w:r w:rsidRPr="00487209">
        <w:rPr>
          <w:rFonts w:ascii="Palatino Linotype" w:hAnsi="Palatino Linotype" w:cs="Arial"/>
          <w:i/>
        </w:rPr>
        <w:t>, la ley determinará los supuestos específicos bajo los cuales procederá la declaración de inexistencia de la información.</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II. La información que se refiere a la vida privada y los datos personales será protegida en los términos y con las excepciones que fijen las leyes.</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487209" w:rsidRDefault="007E2CDA" w:rsidP="00487209">
      <w:pPr>
        <w:spacing w:line="360" w:lineRule="auto"/>
        <w:ind w:left="567" w:right="567"/>
        <w:jc w:val="both"/>
        <w:rPr>
          <w:rFonts w:ascii="Palatino Linotype" w:hAnsi="Palatino Linotype" w:cs="Arial"/>
          <w:b/>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b/>
          <w:i/>
        </w:rPr>
        <w:t>V. Los sujetos obligados deberán preservar sus documentos en archivos administrativos actualizados y publicarán, a través de los medios electrónicos disponibles</w:t>
      </w:r>
      <w:r w:rsidRPr="00487209">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VII. La inobservancia a las disposiciones en materia de acceso a la información pública será sancionada en los términos que dispongan las leyes.</w:t>
      </w:r>
    </w:p>
    <w:p w:rsidR="007E2CDA" w:rsidRPr="00487209" w:rsidRDefault="007E2CDA" w:rsidP="00487209">
      <w:pPr>
        <w:spacing w:line="360" w:lineRule="auto"/>
        <w:ind w:left="567" w:right="567"/>
        <w:jc w:val="both"/>
        <w:rPr>
          <w:rFonts w:ascii="Palatino Linotype" w:hAnsi="Palatino Linotype" w:cs="Arial"/>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w:t>
      </w: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i/>
        </w:rPr>
        <w:t>La ley establecerá aquella información que se considere reservada o confidencial.”</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(Énfasis añadido)</w:t>
      </w:r>
    </w:p>
    <w:p w:rsidR="007E2CDA" w:rsidRPr="00487209" w:rsidRDefault="007E2CDA" w:rsidP="00487209">
      <w:pPr>
        <w:spacing w:line="360" w:lineRule="auto"/>
        <w:ind w:left="709" w:right="757"/>
        <w:jc w:val="both"/>
        <w:rPr>
          <w:rFonts w:ascii="Palatino Linotype" w:hAnsi="Palatino Linotype"/>
        </w:rPr>
      </w:pPr>
    </w:p>
    <w:p w:rsidR="007E2CDA" w:rsidRPr="00487209" w:rsidRDefault="007E2CDA" w:rsidP="00487209">
      <w:pPr>
        <w:pStyle w:val="Prrafodelista"/>
        <w:numPr>
          <w:ilvl w:val="0"/>
          <w:numId w:val="1"/>
        </w:numPr>
        <w:spacing w:line="360" w:lineRule="auto"/>
        <w:ind w:left="0" w:firstLine="0"/>
        <w:jc w:val="both"/>
        <w:rPr>
          <w:rFonts w:ascii="Palatino Linotype" w:hAnsi="Palatino Linotype" w:cs="Arial"/>
        </w:rPr>
      </w:pPr>
      <w:r w:rsidRPr="00487209">
        <w:rPr>
          <w:rFonts w:ascii="Palatino Linotype" w:hAnsi="Palatino Linotype" w:cs="Arial"/>
        </w:rPr>
        <w:t>Por su parte, la Constitución Política del Estado Libre y Soberano de México, en su artículo 5°, dispone en su parte conducente, lo siguiente:</w:t>
      </w:r>
    </w:p>
    <w:p w:rsidR="007E2CDA" w:rsidRPr="00487209" w:rsidRDefault="007E2CDA" w:rsidP="00487209">
      <w:pPr>
        <w:spacing w:line="360" w:lineRule="auto"/>
        <w:ind w:left="709" w:right="757"/>
        <w:jc w:val="both"/>
        <w:rPr>
          <w:rFonts w:ascii="Palatino Linotype" w:hAnsi="Palatino Linotype" w:cs="Arial"/>
        </w:rPr>
      </w:pPr>
    </w:p>
    <w:p w:rsidR="007E2CDA" w:rsidRPr="00487209" w:rsidRDefault="007E2CDA" w:rsidP="00487209">
      <w:pPr>
        <w:spacing w:line="360" w:lineRule="auto"/>
        <w:ind w:left="567" w:right="567"/>
        <w:jc w:val="both"/>
        <w:rPr>
          <w:rFonts w:ascii="Palatino Linotype" w:hAnsi="Palatino Linotype" w:cs="Arial"/>
          <w:b/>
          <w:i/>
        </w:rPr>
      </w:pPr>
      <w:r w:rsidRPr="00487209">
        <w:rPr>
          <w:rFonts w:ascii="Palatino Linotype" w:hAnsi="Palatino Linotype" w:cs="Arial"/>
          <w:b/>
          <w:i/>
        </w:rPr>
        <w:t xml:space="preserve">“Artículo 5. … </w:t>
      </w: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b/>
          <w:i/>
        </w:rPr>
        <w:t>El derecho a la información será garantizado por el Estado</w:t>
      </w:r>
      <w:r w:rsidRPr="00487209">
        <w:rPr>
          <w:rFonts w:ascii="Palatino Linotype" w:hAnsi="Palatino Linotype"/>
          <w:i/>
        </w:rPr>
        <w:t xml:space="preserve">. La ley establecerá las previsiones que permitan asegurar la protección, el respeto y la difusión de este derecho. </w:t>
      </w: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Este derecho se regirá por los principios y bases siguientes:</w:t>
      </w:r>
    </w:p>
    <w:p w:rsidR="007E2CDA" w:rsidRPr="00487209" w:rsidRDefault="007E2CDA" w:rsidP="00487209">
      <w:pPr>
        <w:spacing w:line="360" w:lineRule="auto"/>
        <w:ind w:left="567" w:right="567"/>
        <w:jc w:val="both"/>
        <w:rPr>
          <w:rFonts w:ascii="Palatino Linotype" w:hAnsi="Palatino Linotype"/>
          <w:b/>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b/>
          <w:i/>
        </w:rPr>
        <w:t xml:space="preserve">I. Toda la información en posesión </w:t>
      </w:r>
      <w:r w:rsidRPr="00487209">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487209">
        <w:rPr>
          <w:rFonts w:ascii="Palatino Linotype" w:hAnsi="Palatino Linotype"/>
          <w:b/>
          <w:i/>
        </w:rPr>
        <w:t>del gobierno y de la administración pública municipal y sus organismos descentralizados</w:t>
      </w:r>
      <w:r w:rsidRPr="00487209">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487209">
        <w:rPr>
          <w:rFonts w:ascii="Palatino Linotype" w:hAnsi="Palatino Linotype"/>
          <w:b/>
          <w:i/>
        </w:rPr>
        <w:t>es pública</w:t>
      </w:r>
      <w:r w:rsidRPr="00487209">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487209" w:rsidRDefault="007E2CDA" w:rsidP="00487209">
      <w:pPr>
        <w:spacing w:line="360" w:lineRule="auto"/>
        <w:ind w:left="567" w:right="567"/>
        <w:jc w:val="both"/>
        <w:rPr>
          <w:rFonts w:ascii="Palatino Linotype" w:hAnsi="Palatino Linotype"/>
          <w:b/>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487209">
        <w:rPr>
          <w:rFonts w:ascii="Palatino Linotype" w:hAnsi="Palatino Linotype"/>
          <w:i/>
        </w:rPr>
        <w:t xml:space="preserve"> y los indicadores que permitan rendir cuenta del cumplimiento de sus objetivos y los resultados obtenidos.</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487209" w:rsidRDefault="007E2CDA" w:rsidP="00487209">
      <w:pPr>
        <w:spacing w:line="360" w:lineRule="auto"/>
        <w:ind w:left="567" w:right="567"/>
        <w:jc w:val="both"/>
        <w:rPr>
          <w:rFonts w:ascii="Palatino Linotype" w:hAnsi="Palatino Linotype"/>
        </w:rPr>
      </w:pPr>
    </w:p>
    <w:p w:rsidR="007E2CDA" w:rsidRPr="00487209" w:rsidRDefault="007E2CDA" w:rsidP="00487209">
      <w:pPr>
        <w:spacing w:line="360" w:lineRule="auto"/>
        <w:ind w:left="567" w:right="567"/>
        <w:jc w:val="both"/>
        <w:rPr>
          <w:rFonts w:ascii="Palatino Linotype" w:hAnsi="Palatino Linotype"/>
        </w:rPr>
      </w:pPr>
      <w:r w:rsidRPr="00487209">
        <w:rPr>
          <w:rFonts w:ascii="Palatino Linotype" w:hAnsi="Palatino Linotype"/>
        </w:rPr>
        <w:t>(Énfasis añadido)</w:t>
      </w:r>
    </w:p>
    <w:p w:rsidR="0034418B" w:rsidRPr="00487209" w:rsidRDefault="0034418B" w:rsidP="00487209">
      <w:pPr>
        <w:spacing w:line="360" w:lineRule="auto"/>
        <w:ind w:left="567" w:right="567"/>
        <w:jc w:val="both"/>
        <w:rPr>
          <w:rFonts w:ascii="Palatino Linotype" w:hAnsi="Palatino Linotype"/>
        </w:rPr>
      </w:pPr>
    </w:p>
    <w:p w:rsidR="007E2CDA" w:rsidRPr="00487209" w:rsidRDefault="007E2CDA" w:rsidP="00487209">
      <w:pPr>
        <w:pStyle w:val="Prrafodelista"/>
        <w:numPr>
          <w:ilvl w:val="0"/>
          <w:numId w:val="1"/>
        </w:numPr>
        <w:spacing w:line="360" w:lineRule="auto"/>
        <w:ind w:left="0" w:firstLine="0"/>
        <w:jc w:val="both"/>
        <w:rPr>
          <w:rFonts w:ascii="Palatino Linotype" w:hAnsi="Palatino Linotype" w:cs="Arial"/>
        </w:rPr>
      </w:pPr>
      <w:r w:rsidRPr="00487209">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487209" w:rsidRDefault="007E2CDA" w:rsidP="00487209">
      <w:pPr>
        <w:spacing w:line="360" w:lineRule="auto"/>
        <w:jc w:val="both"/>
        <w:rPr>
          <w:rFonts w:ascii="Palatino Linotype" w:hAnsi="Palatino Linotype" w:cs="Arial"/>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b/>
          <w:i/>
        </w:rPr>
        <w:t xml:space="preserve">“Artículo 23. Son sujetos obligados a transparentar y permitir el acceso a su información y </w:t>
      </w:r>
      <w:r w:rsidRPr="00487209">
        <w:rPr>
          <w:rFonts w:ascii="Palatino Linotype" w:hAnsi="Palatino Linotype"/>
          <w:b/>
          <w:i/>
        </w:rPr>
        <w:t>proteger</w:t>
      </w:r>
      <w:r w:rsidRPr="00487209">
        <w:rPr>
          <w:rFonts w:ascii="Palatino Linotype" w:hAnsi="Palatino Linotype" w:cs="Arial"/>
          <w:b/>
          <w:i/>
        </w:rPr>
        <w:t xml:space="preserve"> los datos personales que obren en su poder</w:t>
      </w:r>
      <w:r w:rsidRPr="00487209">
        <w:rPr>
          <w:rFonts w:ascii="Palatino Linotype" w:hAnsi="Palatino Linotype" w:cs="Arial"/>
          <w:i/>
        </w:rPr>
        <w:t>:</w:t>
      </w:r>
    </w:p>
    <w:p w:rsidR="007E2CDA" w:rsidRPr="00487209" w:rsidRDefault="007E2CDA" w:rsidP="00487209">
      <w:pPr>
        <w:spacing w:line="360" w:lineRule="auto"/>
        <w:ind w:left="567" w:right="567"/>
        <w:jc w:val="both"/>
        <w:rPr>
          <w:rFonts w:ascii="Palatino Linotype" w:hAnsi="Palatino Linotype" w:cs="Arial"/>
          <w:i/>
        </w:rPr>
      </w:pPr>
    </w:p>
    <w:p w:rsidR="00B96075" w:rsidRPr="00487209" w:rsidRDefault="009118BF" w:rsidP="00487209">
      <w:pPr>
        <w:spacing w:line="360" w:lineRule="auto"/>
        <w:ind w:left="567" w:right="567"/>
        <w:jc w:val="both"/>
        <w:rPr>
          <w:rFonts w:ascii="Palatino Linotype" w:hAnsi="Palatino Linotype" w:cs="Arial"/>
          <w:b/>
          <w:i/>
        </w:rPr>
      </w:pPr>
      <w:r w:rsidRPr="00487209">
        <w:rPr>
          <w:rFonts w:ascii="Palatino Linotype" w:hAnsi="Palatino Linotype" w:cs="Arial"/>
          <w:b/>
          <w:i/>
        </w:rPr>
        <w:t xml:space="preserve">IV. </w:t>
      </w:r>
      <w:r w:rsidR="00B96075" w:rsidRPr="00487209">
        <w:rPr>
          <w:rFonts w:ascii="Palatino Linotype" w:eastAsiaTheme="minorHAnsi" w:hAnsi="Palatino Linotype" w:cs="Bookman Old Style"/>
          <w:i/>
          <w:lang w:val="es-MX" w:eastAsia="en-US"/>
        </w:rPr>
        <w:t>Los ayuntamientos y las dependencias, organismos, órganos y entidades de la administración municipal;</w:t>
      </w:r>
    </w:p>
    <w:p w:rsidR="007E2CDA" w:rsidRPr="00487209" w:rsidRDefault="002043F5" w:rsidP="00487209">
      <w:pPr>
        <w:spacing w:line="360" w:lineRule="auto"/>
        <w:ind w:left="567" w:right="567"/>
        <w:jc w:val="both"/>
        <w:rPr>
          <w:rFonts w:ascii="Palatino Linotype" w:hAnsi="Palatino Linotype" w:cs="Arial"/>
          <w:i/>
        </w:rPr>
      </w:pPr>
      <w:r w:rsidRPr="00487209">
        <w:rPr>
          <w:rFonts w:ascii="Palatino Linotype" w:hAnsi="Palatino Linotype" w:cs="Arial"/>
          <w:i/>
        </w:rPr>
        <w:t>…</w:t>
      </w:r>
    </w:p>
    <w:p w:rsidR="007E2CDA" w:rsidRPr="00487209" w:rsidRDefault="007E2CDA" w:rsidP="00487209">
      <w:pPr>
        <w:spacing w:line="360" w:lineRule="auto"/>
        <w:ind w:left="567" w:right="567"/>
        <w:jc w:val="both"/>
        <w:rPr>
          <w:rFonts w:ascii="Palatino Linotype" w:hAnsi="Palatino Linotype"/>
          <w:i/>
        </w:rPr>
      </w:pPr>
    </w:p>
    <w:p w:rsidR="007E2CDA" w:rsidRPr="00487209" w:rsidRDefault="007E2CDA" w:rsidP="00487209">
      <w:pPr>
        <w:spacing w:line="360" w:lineRule="auto"/>
        <w:ind w:left="567" w:right="567"/>
        <w:jc w:val="both"/>
        <w:rPr>
          <w:rFonts w:ascii="Palatino Linotype" w:hAnsi="Palatino Linotype"/>
          <w:i/>
        </w:rPr>
      </w:pPr>
      <w:r w:rsidRPr="00487209">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487209" w:rsidRDefault="007E2CDA" w:rsidP="00487209">
      <w:pPr>
        <w:spacing w:line="360" w:lineRule="auto"/>
        <w:ind w:left="567" w:right="567"/>
        <w:jc w:val="both"/>
        <w:rPr>
          <w:rFonts w:ascii="Palatino Linotype" w:hAnsi="Palatino Linotype" w:cs="Arial"/>
          <w:b/>
          <w:i/>
        </w:rPr>
      </w:pPr>
    </w:p>
    <w:p w:rsidR="007E2CDA" w:rsidRPr="00487209" w:rsidRDefault="007E2CDA" w:rsidP="00487209">
      <w:pPr>
        <w:spacing w:line="360" w:lineRule="auto"/>
        <w:ind w:left="567" w:right="567"/>
        <w:jc w:val="both"/>
        <w:rPr>
          <w:rFonts w:ascii="Palatino Linotype" w:hAnsi="Palatino Linotype" w:cs="Arial"/>
          <w:i/>
        </w:rPr>
      </w:pPr>
      <w:r w:rsidRPr="00487209">
        <w:rPr>
          <w:rFonts w:ascii="Palatino Linotype" w:hAnsi="Palatino Linotype" w:cs="Arial"/>
          <w:b/>
          <w:i/>
        </w:rPr>
        <w:t>Los servidores públicos deberán transparentar sus acciones así como garantizar y respetar el derecho de acceso a la información pública.”</w:t>
      </w:r>
    </w:p>
    <w:p w:rsidR="007E2CDA" w:rsidRPr="00487209" w:rsidRDefault="007E2CDA" w:rsidP="00487209">
      <w:pPr>
        <w:spacing w:line="360" w:lineRule="auto"/>
        <w:ind w:left="567" w:right="567"/>
        <w:jc w:val="both"/>
        <w:rPr>
          <w:rFonts w:ascii="Palatino Linotype" w:hAnsi="Palatino Linotype" w:cs="Arial"/>
        </w:rPr>
      </w:pPr>
    </w:p>
    <w:p w:rsidR="007E2CDA" w:rsidRPr="00487209" w:rsidRDefault="007E2CDA" w:rsidP="00487209">
      <w:pPr>
        <w:spacing w:line="360" w:lineRule="auto"/>
        <w:ind w:left="567" w:right="567"/>
        <w:jc w:val="both"/>
        <w:rPr>
          <w:rFonts w:ascii="Palatino Linotype" w:hAnsi="Palatino Linotype" w:cs="Arial"/>
        </w:rPr>
      </w:pPr>
      <w:r w:rsidRPr="00487209">
        <w:rPr>
          <w:rFonts w:ascii="Palatino Linotype" w:hAnsi="Palatino Linotype" w:cs="Arial"/>
        </w:rPr>
        <w:t>(Énfasis añadido)</w:t>
      </w:r>
    </w:p>
    <w:p w:rsidR="007E2CDA" w:rsidRPr="00487209" w:rsidRDefault="007E2CDA" w:rsidP="00487209">
      <w:pPr>
        <w:spacing w:line="360" w:lineRule="auto"/>
        <w:jc w:val="both"/>
        <w:rPr>
          <w:rFonts w:ascii="Palatino Linotype" w:hAnsi="Palatino Linotype" w:cs="Arial"/>
        </w:rPr>
      </w:pPr>
    </w:p>
    <w:p w:rsidR="00106334" w:rsidRPr="00487209" w:rsidRDefault="007E2CDA" w:rsidP="00487209">
      <w:pPr>
        <w:pStyle w:val="Prrafodelista"/>
        <w:numPr>
          <w:ilvl w:val="0"/>
          <w:numId w:val="1"/>
        </w:numPr>
        <w:spacing w:line="360" w:lineRule="auto"/>
        <w:ind w:left="0" w:firstLine="0"/>
        <w:jc w:val="both"/>
        <w:rPr>
          <w:rFonts w:ascii="Palatino Linotype" w:hAnsi="Palatino Linotype" w:cs="Arial"/>
        </w:rPr>
      </w:pPr>
      <w:r w:rsidRPr="0048720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487209" w:rsidRDefault="00106334" w:rsidP="00487209">
      <w:pPr>
        <w:pStyle w:val="Prrafodelista"/>
        <w:numPr>
          <w:ilvl w:val="0"/>
          <w:numId w:val="1"/>
        </w:numPr>
        <w:spacing w:line="360" w:lineRule="auto"/>
        <w:ind w:left="0" w:firstLine="0"/>
        <w:jc w:val="both"/>
        <w:rPr>
          <w:rFonts w:ascii="Palatino Linotype" w:hAnsi="Palatino Linotype" w:cs="Arial"/>
        </w:rPr>
      </w:pPr>
      <w:r w:rsidRPr="00487209">
        <w:rPr>
          <w:rFonts w:ascii="Palatino Linotype" w:hAnsi="Palatino Linotype" w:cs="Arial"/>
        </w:rPr>
        <w:t>Por lo anterior, es de referir que,</w:t>
      </w:r>
      <w:r w:rsidRPr="00487209">
        <w:rPr>
          <w:rFonts w:ascii="Palatino Linotype" w:hAnsi="Palatino Linotype" w:cs="Arial"/>
          <w:b/>
        </w:rPr>
        <w:t xml:space="preserve"> </w:t>
      </w:r>
      <w:r w:rsidR="00B96075" w:rsidRPr="00487209">
        <w:rPr>
          <w:rFonts w:ascii="Palatino Linotype" w:hAnsi="Palatino Linotype" w:cs="Arial"/>
          <w:b/>
        </w:rPr>
        <w:t>el Ayuntamiento de Tecámac</w:t>
      </w:r>
      <w:r w:rsidR="00185C27" w:rsidRPr="00487209">
        <w:rPr>
          <w:rFonts w:ascii="Palatino Linotype" w:hAnsi="Palatino Linotype" w:cs="Arial"/>
        </w:rPr>
        <w:t xml:space="preserve">, </w:t>
      </w:r>
      <w:r w:rsidRPr="00487209">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8B7093" w:rsidRPr="00487209" w:rsidRDefault="008B7093" w:rsidP="00487209">
      <w:pPr>
        <w:pStyle w:val="Prrafodelista"/>
        <w:spacing w:line="360" w:lineRule="auto"/>
        <w:rPr>
          <w:rFonts w:ascii="Palatino Linotype" w:hAnsi="Palatino Linotype" w:cs="Arial"/>
        </w:rPr>
      </w:pPr>
    </w:p>
    <w:p w:rsidR="008B7093" w:rsidRPr="00487209" w:rsidRDefault="008B7093" w:rsidP="00487209">
      <w:pPr>
        <w:pStyle w:val="Ttulo3"/>
        <w:spacing w:line="360" w:lineRule="auto"/>
        <w:ind w:left="426"/>
        <w:rPr>
          <w:rFonts w:ascii="Palatino Linotype" w:hAnsi="Palatino Linotype"/>
          <w:b/>
          <w:color w:val="auto"/>
        </w:rPr>
      </w:pPr>
      <w:bookmarkStart w:id="20" w:name="_Toc24028882"/>
      <w:r w:rsidRPr="00487209">
        <w:rPr>
          <w:rFonts w:ascii="Palatino Linotype" w:hAnsi="Palatino Linotype"/>
          <w:b/>
          <w:color w:val="auto"/>
        </w:rPr>
        <w:t>II. De la suplencia a la deficiencia de la queja</w:t>
      </w:r>
      <w:bookmarkEnd w:id="20"/>
    </w:p>
    <w:p w:rsidR="008B7093" w:rsidRPr="00487209" w:rsidRDefault="008B7093" w:rsidP="00487209">
      <w:pPr>
        <w:spacing w:line="360" w:lineRule="auto"/>
        <w:rPr>
          <w:rFonts w:ascii="Palatino Linotype" w:hAnsi="Palatino Linotype"/>
          <w:lang w:val="es-MX" w:eastAsia="en-U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
          <w:lang w:val="es-ES"/>
        </w:rPr>
      </w:pPr>
      <w:r w:rsidRPr="00487209">
        <w:rPr>
          <w:rFonts w:ascii="Palatino Linotype" w:eastAsia="Times New Roman" w:hAnsi="Palatino Linotype" w:cs="Arial"/>
          <w:bCs/>
          <w:lang w:val="es-ES"/>
        </w:rPr>
        <w:t xml:space="preserve">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487209">
        <w:rPr>
          <w:rFonts w:ascii="Palatino Linotype" w:hAnsi="Palatino Linotype"/>
          <w:lang w:val="es-ES"/>
        </w:rPr>
        <w:t>13</w:t>
      </w:r>
      <w:r w:rsidRPr="00487209">
        <w:rPr>
          <w:rStyle w:val="Refdenotaalpie"/>
          <w:rFonts w:ascii="Palatino Linotype" w:hAnsi="Palatino Linotype"/>
          <w:lang w:val="es-ES"/>
        </w:rPr>
        <w:footnoteReference w:id="8"/>
      </w:r>
      <w:r w:rsidRPr="00487209">
        <w:rPr>
          <w:rFonts w:ascii="Palatino Linotype" w:hAnsi="Palatino Linotype"/>
          <w:lang w:val="es-ES"/>
        </w:rPr>
        <w:t xml:space="preserve"> y 181</w:t>
      </w:r>
      <w:r w:rsidRPr="00487209">
        <w:rPr>
          <w:rStyle w:val="Refdenotaalpie"/>
          <w:rFonts w:ascii="Palatino Linotype" w:hAnsi="Palatino Linotype"/>
          <w:lang w:val="es-ES"/>
        </w:rPr>
        <w:footnoteReference w:id="9"/>
      </w:r>
      <w:r w:rsidRPr="00487209">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8B7093" w:rsidRPr="00487209" w:rsidRDefault="008B7093" w:rsidP="00487209">
      <w:pPr>
        <w:pStyle w:val="Prrafodelista"/>
        <w:spacing w:line="360" w:lineRule="auto"/>
        <w:rPr>
          <w:rFonts w:ascii="Palatino Linotype" w:eastAsia="Times New Roman" w:hAnsi="Palatino Linotype" w:cs="Arial"/>
          <w:b/>
          <w:lang w:val="es-E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Cs/>
          <w:lang w:val="es-ES"/>
        </w:rPr>
      </w:pPr>
      <w:r w:rsidRPr="00487209">
        <w:rPr>
          <w:rFonts w:ascii="Palatino Linotype" w:eastAsia="Times New Roman" w:hAnsi="Palatino Linotype" w:cs="Arial"/>
          <w:bCs/>
          <w:lang w:val="es-ES"/>
        </w:rPr>
        <w:t xml:space="preserve">De tal manera que, en aras de tutelar la correcta aplicación de la Ley, se tiene que el particular señaló en su solicitud de información que requería conocer lo relativo al Fondo de Seguridad (FOSEG) destinado por el Secretariado Ejecutivo del Sistema Nacional de Seguridad Pública, sin embargo del estudio realizado, se tiene que el Secretariado únicamente destina apoyos mediante dos formas, una a través de un Fondo y la otra, a través de un Subsidio, los cuales serán estudiados en el cuerpo de la presente resolución. </w:t>
      </w:r>
    </w:p>
    <w:p w:rsidR="008B7093" w:rsidRPr="00487209" w:rsidRDefault="008B7093" w:rsidP="00487209">
      <w:pPr>
        <w:pStyle w:val="Prrafodelista"/>
        <w:spacing w:line="360" w:lineRule="auto"/>
        <w:ind w:left="0"/>
        <w:jc w:val="both"/>
        <w:rPr>
          <w:rFonts w:ascii="Palatino Linotype" w:eastAsia="Times New Roman" w:hAnsi="Palatino Linotype" w:cs="Arial"/>
          <w:bCs/>
          <w:lang w:val="es-E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Cs/>
          <w:lang w:val="es-ES"/>
        </w:rPr>
      </w:pPr>
      <w:r w:rsidRPr="00487209">
        <w:rPr>
          <w:rFonts w:ascii="Palatino Linotype" w:eastAsia="Times New Roman" w:hAnsi="Palatino Linotype" w:cs="Arial"/>
          <w:bCs/>
          <w:lang w:val="es-ES"/>
        </w:rPr>
        <w:t xml:space="preserve">Del mismo modo, se tiene que, el particular únicamente señaló la temporalidad respecto del punto uno de su solicitud, no así en relación con los demás puntos, por lo que la temporalidad relativa a los mismos, se tomará como la misma que la del punto uno, es decir del uno (01) de enero del dos mil quince al veintinueve (29) de julio del dos mil diecinueve. </w:t>
      </w:r>
    </w:p>
    <w:p w:rsidR="008B7093" w:rsidRPr="00487209" w:rsidRDefault="008B7093" w:rsidP="00487209">
      <w:pPr>
        <w:pStyle w:val="Prrafodelista"/>
        <w:spacing w:line="360" w:lineRule="auto"/>
        <w:ind w:left="0"/>
        <w:jc w:val="both"/>
        <w:rPr>
          <w:rFonts w:ascii="Palatino Linotype" w:eastAsia="Times New Roman" w:hAnsi="Palatino Linotype" w:cs="Arial"/>
          <w:bCs/>
          <w:lang w:val="es-E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Cs/>
          <w:lang w:val="es-ES"/>
        </w:rPr>
      </w:pPr>
      <w:r w:rsidRPr="00487209">
        <w:rPr>
          <w:rFonts w:ascii="Palatino Linotype" w:eastAsia="Times New Roman" w:hAnsi="Palatino Linotype" w:cs="Arial"/>
          <w:bCs/>
          <w:lang w:val="es-ES"/>
        </w:rPr>
        <w:t xml:space="preserve">En el mismo orden de ideas, es de precisar que, si bien la solicitud de información se hizo inicialmente a través de la Plataforma Nacional de Transparencia y que por ello a simple vista pueda observarse una notoria incompetencia, también lo es que, en aras de salvaguardar el correcto ejercicio del derecho de acceso a la información, del estudio que se procederá a realizar se determinará qué puntos de la solicitud de información pudiesen ser de la competencia de la Secretaría de Finanzas o por el contrario, se determinará la incompetencia de la misma. </w:t>
      </w:r>
    </w:p>
    <w:p w:rsidR="008B7093" w:rsidRPr="00487209" w:rsidRDefault="008B7093" w:rsidP="00487209">
      <w:pPr>
        <w:pStyle w:val="Prrafodelista"/>
        <w:spacing w:line="360" w:lineRule="auto"/>
        <w:ind w:left="0"/>
        <w:jc w:val="both"/>
        <w:rPr>
          <w:rFonts w:ascii="Palatino Linotype" w:eastAsia="Times New Roman" w:hAnsi="Palatino Linotype" w:cs="Arial"/>
          <w:bCs/>
          <w:lang w:val="es-E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Cs/>
          <w:lang w:val="es-ES"/>
        </w:rPr>
      </w:pPr>
      <w:r w:rsidRPr="00487209">
        <w:rPr>
          <w:rFonts w:ascii="Palatino Linotype" w:eastAsia="Times New Roman" w:hAnsi="Palatino Linotype" w:cs="Arial"/>
          <w:bCs/>
          <w:lang w:val="es-ES"/>
        </w:rPr>
        <w:t>Ante ello, respecto a lo solicitado, relativo a los informes que el Secretariado recibió del Estado de México, se determinará en contrario sensu, si el Estado de México, remitió informes al Secretariado Ejecutivo de Seguridad Pública del Estado de México.</w:t>
      </w:r>
    </w:p>
    <w:p w:rsidR="008B7093" w:rsidRPr="00487209" w:rsidRDefault="008B7093" w:rsidP="00487209">
      <w:pPr>
        <w:pStyle w:val="Prrafodelista"/>
        <w:spacing w:line="360" w:lineRule="auto"/>
        <w:ind w:left="0"/>
        <w:jc w:val="both"/>
        <w:rPr>
          <w:rFonts w:ascii="Palatino Linotype" w:eastAsia="Times New Roman" w:hAnsi="Palatino Linotype" w:cs="Arial"/>
          <w:bCs/>
          <w:lang w:val="es-ES"/>
        </w:rPr>
      </w:pPr>
    </w:p>
    <w:p w:rsidR="008B7093" w:rsidRPr="00487209" w:rsidRDefault="008B7093" w:rsidP="00487209">
      <w:pPr>
        <w:pStyle w:val="Prrafodelista"/>
        <w:numPr>
          <w:ilvl w:val="0"/>
          <w:numId w:val="1"/>
        </w:numPr>
        <w:spacing w:line="360" w:lineRule="auto"/>
        <w:ind w:left="0" w:firstLine="0"/>
        <w:jc w:val="both"/>
        <w:rPr>
          <w:rFonts w:ascii="Palatino Linotype" w:eastAsia="Times New Roman" w:hAnsi="Palatino Linotype" w:cs="Arial"/>
          <w:bCs/>
          <w:lang w:val="es-ES"/>
        </w:rPr>
      </w:pPr>
      <w:r w:rsidRPr="00487209">
        <w:rPr>
          <w:rFonts w:ascii="Palatino Linotype" w:eastAsia="Times New Roman" w:hAnsi="Palatino Linotype" w:cs="Arial"/>
          <w:bCs/>
          <w:lang w:val="es-ES"/>
        </w:rPr>
        <w:t xml:space="preserve">Una vez precisado lo anterior, se procede al estudio en razón de lo siguiente; </w:t>
      </w:r>
    </w:p>
    <w:p w:rsidR="008B7093" w:rsidRPr="00487209" w:rsidRDefault="008B7093" w:rsidP="00487209">
      <w:pPr>
        <w:spacing w:line="360" w:lineRule="auto"/>
        <w:rPr>
          <w:rFonts w:ascii="Palatino Linotype" w:hAnsi="Palatino Linotype"/>
        </w:rPr>
      </w:pPr>
    </w:p>
    <w:p w:rsidR="000E434B" w:rsidRPr="00487209" w:rsidRDefault="008B7093" w:rsidP="00487209">
      <w:pPr>
        <w:pStyle w:val="Ttulo3"/>
        <w:spacing w:line="360" w:lineRule="auto"/>
        <w:ind w:left="284"/>
        <w:rPr>
          <w:rFonts w:ascii="Palatino Linotype" w:hAnsi="Palatino Linotype"/>
          <w:b/>
          <w:color w:val="auto"/>
        </w:rPr>
      </w:pPr>
      <w:bookmarkStart w:id="21" w:name="_Toc24028883"/>
      <w:r w:rsidRPr="00487209">
        <w:rPr>
          <w:rFonts w:ascii="Palatino Linotype" w:hAnsi="Palatino Linotype"/>
          <w:b/>
          <w:color w:val="auto"/>
        </w:rPr>
        <w:t>III.  De los Programas de Seguridad Pública.</w:t>
      </w:r>
      <w:bookmarkEnd w:id="21"/>
    </w:p>
    <w:p w:rsidR="000E434B" w:rsidRPr="00487209" w:rsidRDefault="000E434B" w:rsidP="00487209">
      <w:pPr>
        <w:pStyle w:val="Prrafodelista"/>
        <w:spacing w:line="360" w:lineRule="auto"/>
        <w:ind w:left="0"/>
        <w:jc w:val="both"/>
        <w:rPr>
          <w:rFonts w:ascii="Palatino Linotype" w:hAnsi="Palatino Linotype" w:cs="Arial"/>
        </w:rPr>
      </w:pPr>
    </w:p>
    <w:p w:rsidR="008B7093" w:rsidRPr="00487209" w:rsidRDefault="008B709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hAnsi="Palatino Linotype"/>
        </w:rPr>
        <w:t xml:space="preserve">Es pertinente señalar que, el Sistema Nacional de Seguridad Pública cuenta con recursos federales que son destinados a los estados y municipios para apoyar la realización de temas relacionados con la profesionalización de las personas que conforman las áreas de la seguridad pública, así como su equipamiento, construcción de infraestructura física entre otros, cuyo fin radica en fortalecer la misma, tal y como lo refiere la página oficial del Secretariado. </w:t>
      </w:r>
      <w:r w:rsidRPr="00487209">
        <w:rPr>
          <w:rStyle w:val="Refdenotaalpie"/>
          <w:rFonts w:ascii="Palatino Linotype" w:hAnsi="Palatino Linotype"/>
        </w:rPr>
        <w:footnoteReference w:id="10"/>
      </w:r>
    </w:p>
    <w:p w:rsidR="008B7093" w:rsidRPr="00487209" w:rsidRDefault="008B7093"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487209" w:rsidRDefault="008B709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hAnsi="Palatino Linotype"/>
        </w:rPr>
        <w:t xml:space="preserve">De los recursos federales destinados a estas áreas se tiene que </w:t>
      </w:r>
      <w:r w:rsidRPr="00487209">
        <w:rPr>
          <w:rFonts w:ascii="Palatino Linotype" w:hAnsi="Palatino Linotype"/>
          <w:b/>
          <w:bCs/>
        </w:rPr>
        <w:t>únicamente</w:t>
      </w:r>
      <w:r w:rsidRPr="00487209">
        <w:rPr>
          <w:rFonts w:ascii="Palatino Linotype" w:hAnsi="Palatino Linotype"/>
        </w:rPr>
        <w:t xml:space="preserve"> se conforma por un fondo (FASP) y un subsidio (FOTASEG), que de manera breve serán explicados a continuación;</w:t>
      </w:r>
    </w:p>
    <w:p w:rsidR="000E434B" w:rsidRPr="00487209" w:rsidRDefault="000E434B" w:rsidP="00487209">
      <w:pPr>
        <w:pStyle w:val="Prrafodelista"/>
        <w:spacing w:line="360" w:lineRule="auto"/>
        <w:ind w:left="0"/>
        <w:jc w:val="both"/>
        <w:rPr>
          <w:rFonts w:ascii="Palatino Linotype" w:hAnsi="Palatino Linotype" w:cs="Arial"/>
        </w:rPr>
      </w:pPr>
    </w:p>
    <w:p w:rsidR="008B7093" w:rsidRPr="00487209" w:rsidRDefault="008B7093" w:rsidP="00487209">
      <w:pPr>
        <w:pStyle w:val="Ttulo4"/>
        <w:numPr>
          <w:ilvl w:val="0"/>
          <w:numId w:val="6"/>
        </w:numPr>
        <w:spacing w:line="360" w:lineRule="auto"/>
        <w:rPr>
          <w:rFonts w:ascii="Palatino Linotype" w:hAnsi="Palatino Linotype"/>
          <w:b/>
          <w:color w:val="auto"/>
        </w:rPr>
      </w:pPr>
      <w:bookmarkStart w:id="22" w:name="_Toc23247965"/>
      <w:bookmarkStart w:id="23" w:name="_Hlk21020634"/>
      <w:r w:rsidRPr="00487209">
        <w:rPr>
          <w:rFonts w:ascii="Palatino Linotype" w:hAnsi="Palatino Linotype"/>
          <w:b/>
          <w:color w:val="auto"/>
        </w:rPr>
        <w:t>Del Fondo de Aportaciones para la Seguridad Pública de los Estados y del Distrito Federal (FASP)</w:t>
      </w:r>
      <w:bookmarkEnd w:id="22"/>
      <w:r w:rsidRPr="00487209">
        <w:rPr>
          <w:rFonts w:ascii="Palatino Linotype" w:hAnsi="Palatino Linotype"/>
          <w:b/>
          <w:color w:val="auto"/>
        </w:rPr>
        <w:t xml:space="preserve"> </w:t>
      </w:r>
    </w:p>
    <w:bookmarkEnd w:id="23"/>
    <w:p w:rsidR="008B7093" w:rsidRPr="00487209" w:rsidRDefault="008B7093"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487209" w:rsidRDefault="008B709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De acuerdo con la Ley de Coordinación Fiscal, el Fondo de Aportaciones para la Seguridad de los Estados y del Distrito Federal se constituirá con cargo a recursos federales, los cuales serán determinados anualmente en el Presupuesto de Egresos de la Federación. Este fondo se enterará mensualmente por la Secretaría de Hacienda y Crédito Público durante los primeros diez meses del año a los Estados y al distrito Federal, de manera ágil y directa. </w:t>
      </w:r>
    </w:p>
    <w:p w:rsidR="008B7093" w:rsidRPr="00487209" w:rsidRDefault="008B7093"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487209" w:rsidRDefault="008B7093" w:rsidP="00487209">
      <w:pPr>
        <w:pStyle w:val="Prrafodelista"/>
        <w:numPr>
          <w:ilvl w:val="0"/>
          <w:numId w:val="1"/>
        </w:numPr>
        <w:tabs>
          <w:tab w:val="left" w:pos="426"/>
        </w:tabs>
        <w:spacing w:line="360" w:lineRule="auto"/>
        <w:ind w:left="0" w:firstLine="0"/>
        <w:jc w:val="both"/>
        <w:rPr>
          <w:rFonts w:ascii="Palatino Linotype" w:hAnsi="Palatino Linotype"/>
        </w:rPr>
      </w:pPr>
      <w:r w:rsidRPr="00487209">
        <w:rPr>
          <w:rFonts w:ascii="Palatino Linotype" w:eastAsia="MS Mincho" w:hAnsi="Palatino Linotype" w:cs="Arial"/>
          <w:color w:val="000000" w:themeColor="text1"/>
          <w:lang w:val="es-MX"/>
        </w:rPr>
        <w:t>El artículo 44 de la Ley citada, señala que;</w:t>
      </w:r>
    </w:p>
    <w:p w:rsidR="008B7093" w:rsidRPr="00487209" w:rsidRDefault="008B7093" w:rsidP="00487209">
      <w:pPr>
        <w:pStyle w:val="Prrafodelista"/>
        <w:tabs>
          <w:tab w:val="left" w:pos="426"/>
        </w:tabs>
        <w:spacing w:line="360" w:lineRule="auto"/>
        <w:ind w:left="0"/>
        <w:jc w:val="both"/>
        <w:rPr>
          <w:rFonts w:ascii="Palatino Linotype" w:hAnsi="Palatino Linotype"/>
        </w:rPr>
      </w:pPr>
    </w:p>
    <w:p w:rsidR="008B7093" w:rsidRPr="00487209" w:rsidRDefault="008B7093" w:rsidP="00487209">
      <w:pPr>
        <w:pStyle w:val="Prrafodelista"/>
        <w:tabs>
          <w:tab w:val="left" w:pos="426"/>
        </w:tabs>
        <w:spacing w:line="360" w:lineRule="auto"/>
        <w:ind w:left="0"/>
        <w:jc w:val="center"/>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Ley de Coordinación Fiscal</w:t>
      </w:r>
    </w:p>
    <w:p w:rsidR="008B7093" w:rsidRPr="00487209" w:rsidRDefault="008B7093" w:rsidP="00487209">
      <w:pPr>
        <w:pStyle w:val="Prrafodelista"/>
        <w:tabs>
          <w:tab w:val="left" w:pos="426"/>
        </w:tabs>
        <w:spacing w:line="360" w:lineRule="auto"/>
        <w:ind w:left="0"/>
        <w:jc w:val="center"/>
        <w:rPr>
          <w:rFonts w:ascii="Palatino Linotype" w:eastAsia="MS Mincho" w:hAnsi="Palatino Linotype" w:cs="Arial"/>
          <w:b/>
          <w:bCs/>
          <w:i/>
          <w:color w:val="000000" w:themeColor="text1"/>
          <w:lang w:val="es-MX"/>
        </w:rPr>
      </w:pPr>
    </w:p>
    <w:p w:rsidR="008B7093" w:rsidRPr="00487209" w:rsidRDefault="008B7093" w:rsidP="00487209">
      <w:pPr>
        <w:tabs>
          <w:tab w:val="left" w:pos="426"/>
        </w:tabs>
        <w:spacing w:line="360" w:lineRule="auto"/>
        <w:ind w:left="567" w:right="616"/>
        <w:jc w:val="both"/>
        <w:rPr>
          <w:rFonts w:ascii="Palatino Linotype" w:hAnsi="Palatino Linotype"/>
          <w:i/>
        </w:rPr>
      </w:pPr>
      <w:r w:rsidRPr="00487209">
        <w:rPr>
          <w:rFonts w:ascii="Palatino Linotype" w:hAnsi="Palatino Linotype"/>
          <w:b/>
          <w:bCs/>
          <w:i/>
        </w:rPr>
        <w:t>Artículo 44.-</w:t>
      </w:r>
      <w:r w:rsidRPr="00487209">
        <w:rPr>
          <w:rFonts w:ascii="Palatino Linotype" w:hAnsi="Palatino Linotype"/>
          <w:i/>
        </w:rPr>
        <w:t xml:space="preserve"> […]</w:t>
      </w:r>
    </w:p>
    <w:p w:rsidR="008B7093" w:rsidRPr="00487209" w:rsidRDefault="008B7093" w:rsidP="00487209">
      <w:pPr>
        <w:tabs>
          <w:tab w:val="left" w:pos="426"/>
        </w:tabs>
        <w:spacing w:line="360" w:lineRule="auto"/>
        <w:ind w:left="567" w:right="616"/>
        <w:jc w:val="both"/>
        <w:rPr>
          <w:rFonts w:ascii="Palatino Linotype" w:hAnsi="Palatino Linotype"/>
          <w:i/>
        </w:rPr>
      </w:pPr>
    </w:p>
    <w:p w:rsidR="008B7093" w:rsidRPr="00487209" w:rsidRDefault="008B7093" w:rsidP="00487209">
      <w:pPr>
        <w:tabs>
          <w:tab w:val="left" w:pos="426"/>
        </w:tabs>
        <w:spacing w:line="360" w:lineRule="auto"/>
        <w:ind w:left="567" w:right="616"/>
        <w:jc w:val="both"/>
        <w:rPr>
          <w:rFonts w:ascii="Palatino Linotype" w:hAnsi="Palatino Linotype"/>
          <w:i/>
        </w:rPr>
      </w:pPr>
      <w:r w:rsidRPr="00487209">
        <w:rPr>
          <w:rFonts w:ascii="Palatino Linotype" w:hAnsi="Palatino Linotype"/>
          <w:i/>
        </w:rPr>
        <w:t>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rsidR="008B7093" w:rsidRPr="00487209" w:rsidRDefault="008B7093" w:rsidP="00487209">
      <w:pPr>
        <w:tabs>
          <w:tab w:val="left" w:pos="426"/>
        </w:tabs>
        <w:spacing w:line="360" w:lineRule="auto"/>
        <w:ind w:left="567" w:right="616"/>
        <w:jc w:val="both"/>
        <w:rPr>
          <w:rFonts w:ascii="Palatino Linotype" w:hAnsi="Palatino Linotype"/>
          <w:i/>
        </w:rPr>
      </w:pPr>
      <w:r w:rsidRPr="00487209">
        <w:rPr>
          <w:rFonts w:ascii="Palatino Linotype" w:hAnsi="Palatino Linotype"/>
          <w:i/>
        </w:rPr>
        <w:t xml:space="preserve">[…] </w:t>
      </w:r>
    </w:p>
    <w:p w:rsidR="008B7093" w:rsidRPr="00487209" w:rsidRDefault="008B7093" w:rsidP="00487209">
      <w:pPr>
        <w:tabs>
          <w:tab w:val="left" w:pos="426"/>
        </w:tabs>
        <w:spacing w:line="360" w:lineRule="auto"/>
        <w:ind w:left="567" w:right="616"/>
        <w:jc w:val="both"/>
        <w:rPr>
          <w:rFonts w:ascii="Palatino Linotype" w:hAnsi="Palatino Linotype"/>
          <w:i/>
        </w:rPr>
      </w:pPr>
      <w:r w:rsidRPr="00487209">
        <w:rPr>
          <w:rFonts w:ascii="Palatino Linotype" w:hAnsi="Palatino Linotype"/>
          <w:b/>
          <w:bCs/>
          <w:i/>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487209">
        <w:rPr>
          <w:rFonts w:ascii="Palatino Linotype" w:hAnsi="Palatino Linotype"/>
          <w:i/>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8B7093" w:rsidRPr="00487209" w:rsidRDefault="008B7093" w:rsidP="00487209">
      <w:pPr>
        <w:tabs>
          <w:tab w:val="left" w:pos="426"/>
        </w:tabs>
        <w:spacing w:line="360" w:lineRule="auto"/>
        <w:ind w:left="567" w:right="616"/>
        <w:jc w:val="both"/>
        <w:rPr>
          <w:rFonts w:ascii="Palatino Linotype" w:hAnsi="Palatino Linotype"/>
          <w:i/>
        </w:rPr>
      </w:pPr>
    </w:p>
    <w:p w:rsidR="008B7093" w:rsidRPr="00487209" w:rsidRDefault="008B7093" w:rsidP="00487209">
      <w:pPr>
        <w:tabs>
          <w:tab w:val="left" w:pos="426"/>
        </w:tabs>
        <w:spacing w:line="360" w:lineRule="auto"/>
        <w:ind w:left="567" w:right="616"/>
        <w:jc w:val="both"/>
        <w:rPr>
          <w:rFonts w:ascii="Palatino Linotype" w:hAnsi="Palatino Linotype"/>
          <w:i/>
        </w:rPr>
      </w:pPr>
      <w:r w:rsidRPr="00487209">
        <w:rPr>
          <w:rFonts w:ascii="Palatino Linotype" w:hAnsi="Palatino Linotype"/>
          <w:b/>
          <w:bCs/>
          <w:i/>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487209">
        <w:rPr>
          <w:rFonts w:ascii="Palatino Linotype" w:hAnsi="Palatino Linotype"/>
          <w:i/>
        </w:rPr>
        <w:t xml:space="preserve"> Lo anterior, en términos de la Ley General de Contabilidad Gubernamental y conforme a los formatos aprobados por el Consejo Nacional de Armonización Contable.</w:t>
      </w:r>
    </w:p>
    <w:p w:rsidR="008B7093" w:rsidRPr="00487209" w:rsidRDefault="008B7093" w:rsidP="00487209">
      <w:pPr>
        <w:tabs>
          <w:tab w:val="left" w:pos="426"/>
        </w:tabs>
        <w:spacing w:line="360" w:lineRule="auto"/>
        <w:jc w:val="both"/>
        <w:rPr>
          <w:rFonts w:ascii="Palatino Linotype" w:hAnsi="Palatino Linotype"/>
        </w:rPr>
      </w:pPr>
    </w:p>
    <w:p w:rsidR="008B7093" w:rsidRPr="00487209" w:rsidRDefault="008B7093" w:rsidP="00487209">
      <w:pPr>
        <w:pStyle w:val="Prrafodelista"/>
        <w:numPr>
          <w:ilvl w:val="0"/>
          <w:numId w:val="1"/>
        </w:numPr>
        <w:tabs>
          <w:tab w:val="left" w:pos="426"/>
        </w:tabs>
        <w:spacing w:line="360" w:lineRule="auto"/>
        <w:ind w:left="0" w:firstLine="0"/>
        <w:jc w:val="both"/>
        <w:rPr>
          <w:rFonts w:ascii="Palatino Linotype" w:hAnsi="Palatino Linotype" w:cs="Arial"/>
        </w:rPr>
      </w:pPr>
      <w:r w:rsidRPr="00487209">
        <w:rPr>
          <w:rFonts w:ascii="Palatino Linotype" w:eastAsia="MS Mincho" w:hAnsi="Palatino Linotype" w:cs="Arial"/>
          <w:color w:val="000000" w:themeColor="text1"/>
          <w:lang w:val="es-MX"/>
        </w:rPr>
        <w:t xml:space="preserve">De lo anterior se tiene que la Secretaría de Hacienda y Crédito Público, entregará a las entidades el Fondo de Aportaciones para la Seguridad Pública de los Estados y del Distrito Federal, el cual se enterará mensualmente durante los primeros diez meses del año, </w:t>
      </w:r>
      <w:r w:rsidRPr="00487209">
        <w:rPr>
          <w:rFonts w:ascii="Palatino Linotype" w:eastAsia="MS Mincho" w:hAnsi="Palatino Linotype" w:cs="Arial"/>
          <w:b/>
          <w:color w:val="000000" w:themeColor="text1"/>
          <w:lang w:val="es-MX"/>
        </w:rPr>
        <w:t xml:space="preserve">de tal manera que los Estados </w:t>
      </w:r>
      <w:r w:rsidR="000E4C79" w:rsidRPr="00487209">
        <w:rPr>
          <w:rFonts w:ascii="Palatino Linotype" w:eastAsia="MS Mincho" w:hAnsi="Palatino Linotype" w:cs="Arial"/>
          <w:b/>
          <w:color w:val="000000" w:themeColor="text1"/>
          <w:lang w:val="es-MX"/>
        </w:rPr>
        <w:t>y los municipios</w:t>
      </w:r>
      <w:r w:rsidR="000E4C79" w:rsidRPr="00487209">
        <w:rPr>
          <w:rFonts w:ascii="Palatino Linotype" w:eastAsia="MS Mincho" w:hAnsi="Palatino Linotype" w:cs="Arial"/>
          <w:color w:val="000000" w:themeColor="text1"/>
          <w:lang w:val="es-MX"/>
        </w:rPr>
        <w:t xml:space="preserve"> </w:t>
      </w:r>
      <w:r w:rsidRPr="00487209">
        <w:rPr>
          <w:rFonts w:ascii="Palatino Linotype" w:eastAsia="MS Mincho" w:hAnsi="Palatino Linotype" w:cs="Arial"/>
          <w:color w:val="000000" w:themeColor="text1"/>
          <w:lang w:val="es-MX"/>
        </w:rPr>
        <w:t xml:space="preserve">deberán </w:t>
      </w:r>
      <w:r w:rsidRPr="00487209">
        <w:rPr>
          <w:rFonts w:ascii="Palatino Linotype" w:eastAsia="MS Mincho" w:hAnsi="Palatino Linotype" w:cs="Arial"/>
          <w:b/>
          <w:bCs/>
          <w:color w:val="000000" w:themeColor="text1"/>
          <w:lang w:val="es-MX"/>
        </w:rPr>
        <w:t xml:space="preserve">reportar trimestralmente </w:t>
      </w:r>
      <w:r w:rsidRPr="00487209">
        <w:rPr>
          <w:rFonts w:ascii="Palatino Linotype" w:eastAsia="MS Mincho" w:hAnsi="Palatino Linotype" w:cs="Arial"/>
          <w:color w:val="000000" w:themeColor="text1"/>
          <w:lang w:val="es-MX"/>
        </w:rPr>
        <w:t>el ejercicio de los recursos del Fondo y el avance en el cumplimiento de las metas, así como las modificaciones o adecuaciones realizadas a</w:t>
      </w:r>
      <w:r w:rsidR="000E4C79" w:rsidRPr="00487209">
        <w:rPr>
          <w:rFonts w:ascii="Palatino Linotype" w:eastAsia="MS Mincho" w:hAnsi="Palatino Linotype" w:cs="Arial"/>
          <w:color w:val="000000" w:themeColor="text1"/>
          <w:lang w:val="es-MX"/>
        </w:rPr>
        <w:t xml:space="preserve"> las asignaciones establecidas.</w:t>
      </w:r>
    </w:p>
    <w:p w:rsidR="000E4C79" w:rsidRPr="00487209" w:rsidRDefault="000E4C79" w:rsidP="00487209">
      <w:pPr>
        <w:pStyle w:val="Prrafodelista"/>
        <w:tabs>
          <w:tab w:val="left" w:pos="426"/>
        </w:tabs>
        <w:spacing w:line="360" w:lineRule="auto"/>
        <w:ind w:left="0"/>
        <w:jc w:val="both"/>
        <w:rPr>
          <w:rFonts w:ascii="Palatino Linotype" w:hAnsi="Palatino Linotype" w:cs="Arial"/>
        </w:rPr>
      </w:pPr>
    </w:p>
    <w:p w:rsidR="000E4C79" w:rsidRPr="00487209" w:rsidRDefault="000E4C79" w:rsidP="00487209">
      <w:pPr>
        <w:pStyle w:val="Prrafodelista"/>
        <w:tabs>
          <w:tab w:val="left" w:pos="426"/>
        </w:tabs>
        <w:spacing w:line="360" w:lineRule="auto"/>
        <w:ind w:left="0"/>
        <w:jc w:val="both"/>
        <w:rPr>
          <w:rFonts w:ascii="Palatino Linotype" w:hAnsi="Palatino Linotype" w:cs="Arial"/>
        </w:rPr>
      </w:pPr>
    </w:p>
    <w:p w:rsidR="000E4C79" w:rsidRPr="00487209" w:rsidRDefault="000E4C79" w:rsidP="00487209">
      <w:pPr>
        <w:pStyle w:val="Prrafodelista"/>
        <w:tabs>
          <w:tab w:val="left" w:pos="426"/>
        </w:tabs>
        <w:spacing w:line="360" w:lineRule="auto"/>
        <w:ind w:left="0"/>
        <w:jc w:val="both"/>
        <w:rPr>
          <w:rFonts w:ascii="Palatino Linotype" w:hAnsi="Palatino Linotype" w:cs="Arial"/>
        </w:rPr>
      </w:pPr>
    </w:p>
    <w:p w:rsidR="000E4C79" w:rsidRPr="00487209" w:rsidRDefault="000E4C79" w:rsidP="00487209">
      <w:pPr>
        <w:pStyle w:val="Prrafodelista"/>
        <w:tabs>
          <w:tab w:val="left" w:pos="426"/>
        </w:tabs>
        <w:spacing w:line="360" w:lineRule="auto"/>
        <w:ind w:left="0"/>
        <w:jc w:val="both"/>
        <w:rPr>
          <w:rFonts w:ascii="Palatino Linotype" w:hAnsi="Palatino Linotype" w:cs="Arial"/>
        </w:rPr>
      </w:pPr>
    </w:p>
    <w:p w:rsidR="00DE3FFF" w:rsidRPr="00487209" w:rsidRDefault="00DE3FFF" w:rsidP="00487209">
      <w:pPr>
        <w:pStyle w:val="Ttulo4"/>
        <w:numPr>
          <w:ilvl w:val="0"/>
          <w:numId w:val="6"/>
        </w:numPr>
        <w:spacing w:line="360" w:lineRule="auto"/>
        <w:rPr>
          <w:rFonts w:ascii="Palatino Linotype" w:hAnsi="Palatino Linotype"/>
          <w:b/>
          <w:color w:val="auto"/>
        </w:rPr>
      </w:pPr>
      <w:bookmarkStart w:id="24" w:name="_Toc23247966"/>
      <w:r w:rsidRPr="00487209">
        <w:rPr>
          <w:rFonts w:ascii="Palatino Linotype" w:hAnsi="Palatino Linotype"/>
          <w:b/>
          <w:color w:val="auto"/>
        </w:rPr>
        <w:t>Del Programa de Fortalecimiento para la Seguridad (FORTASEG).</w:t>
      </w:r>
      <w:bookmarkEnd w:id="24"/>
      <w:r w:rsidRPr="00487209">
        <w:rPr>
          <w:rFonts w:ascii="Palatino Linotype" w:hAnsi="Palatino Linotype"/>
          <w:b/>
          <w:color w:val="auto"/>
        </w:rPr>
        <w:t xml:space="preserve"> </w:t>
      </w:r>
      <w:bookmarkStart w:id="25" w:name="_Hlk21020610"/>
    </w:p>
    <w:bookmarkEnd w:id="25"/>
    <w:p w:rsidR="00DE3FFF" w:rsidRPr="00487209" w:rsidRDefault="00DE3FFF"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487209" w:rsidRDefault="00DE3FFF"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hAnsi="Palatino Linotype"/>
        </w:rPr>
        <w:t xml:space="preserve">El Programa de Fortalecimiento para la Seguridad (FORTASEG), es un subsidio que se otorga a los municipios, y en su caso a los estados cuando éstos ejercen la función de seguridad pública en lugar de los primero o coordinados con ellos. De acuerdo con los </w:t>
      </w:r>
      <w:r w:rsidRPr="00487209">
        <w:rPr>
          <w:rFonts w:ascii="Palatino Linotype" w:hAnsi="Palatino Linotype"/>
          <w:b/>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Pr="00487209">
        <w:rPr>
          <w:rFonts w:ascii="Palatino Linotype" w:hAnsi="Palatino Linotype"/>
        </w:rPr>
        <w:t xml:space="preserve">,  el objetivo del FORTASEG es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rsidR="00DE3FFF" w:rsidRPr="00487209" w:rsidRDefault="00DE3FFF"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487209" w:rsidRDefault="00DE3FFF"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De lo anterior, cabe destacar que los </w:t>
      </w:r>
      <w:r w:rsidRPr="00487209">
        <w:rPr>
          <w:rFonts w:ascii="Palatino Linotype" w:eastAsia="MS Mincho" w:hAnsi="Palatino Linotype" w:cs="Arial"/>
          <w:b/>
          <w:bCs/>
          <w:color w:val="000000" w:themeColor="text1"/>
          <w:lang w:val="es-MX"/>
        </w:rPr>
        <w:t xml:space="preserve">“Beneficiarios” </w:t>
      </w:r>
      <w:r w:rsidRPr="00487209">
        <w:rPr>
          <w:rFonts w:ascii="Palatino Linotype" w:eastAsia="MS Mincho" w:hAnsi="Palatino Linotype" w:cs="Arial"/>
          <w:b/>
          <w:color w:val="000000" w:themeColor="text1"/>
          <w:lang w:val="es-MX"/>
        </w:rPr>
        <w:t>son los municipios</w:t>
      </w:r>
      <w:r w:rsidRPr="00487209">
        <w:rPr>
          <w:rFonts w:ascii="Palatino Linotype" w:eastAsia="MS Mincho" w:hAnsi="Palatino Linotype" w:cs="Arial"/>
          <w:color w:val="000000" w:themeColor="text1"/>
          <w:lang w:val="es-MX"/>
        </w:rPr>
        <w:t xml:space="preserve"> y alcaldías de la Ciudad de México y, en su caso, a las entidades federativas que ejerzan de manera directa o coordinada la función de seguridad pública en el ámbito municipal, que hayan sido seleccionados para acceder al FORTASEG. </w:t>
      </w:r>
    </w:p>
    <w:p w:rsidR="00DE3FFF" w:rsidRPr="00487209" w:rsidRDefault="00DE3FFF"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487209" w:rsidRDefault="00DE3FFF"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Los lineamientos referidos, establecen que los recursos federales del FORTASEG no son </w:t>
      </w:r>
      <w:proofErr w:type="spellStart"/>
      <w:r w:rsidRPr="00487209">
        <w:rPr>
          <w:rFonts w:ascii="Palatino Linotype" w:eastAsia="MS Mincho" w:hAnsi="Palatino Linotype" w:cs="Arial"/>
          <w:color w:val="000000" w:themeColor="text1"/>
          <w:lang w:val="es-MX"/>
        </w:rPr>
        <w:t>regularizables</w:t>
      </w:r>
      <w:proofErr w:type="spellEnd"/>
      <w:r w:rsidRPr="00487209">
        <w:rPr>
          <w:rFonts w:ascii="Palatino Linotype" w:eastAsia="MS Mincho" w:hAnsi="Palatino Linotype" w:cs="Arial"/>
          <w:color w:val="000000" w:themeColor="text1"/>
          <w:lang w:val="es-MX"/>
        </w:rPr>
        <w:t xml:space="preserve">, son parcialmente </w:t>
      </w:r>
      <w:proofErr w:type="spellStart"/>
      <w:r w:rsidRPr="00487209">
        <w:rPr>
          <w:rFonts w:ascii="Palatino Linotype" w:eastAsia="MS Mincho" w:hAnsi="Palatino Linotype" w:cs="Arial"/>
          <w:color w:val="000000" w:themeColor="text1"/>
          <w:lang w:val="es-MX"/>
        </w:rPr>
        <w:t>concursables</w:t>
      </w:r>
      <w:proofErr w:type="spellEnd"/>
      <w:r w:rsidRPr="00487209">
        <w:rPr>
          <w:rFonts w:ascii="Palatino Linotype" w:eastAsia="MS Mincho" w:hAnsi="Palatino Linotype" w:cs="Arial"/>
          <w:color w:val="000000" w:themeColor="text1"/>
          <w:lang w:val="es-MX"/>
        </w:rPr>
        <w:t xml:space="preserve"> y </w:t>
      </w:r>
      <w:r w:rsidRPr="00487209">
        <w:rPr>
          <w:rFonts w:ascii="Palatino Linotype" w:eastAsia="MS Mincho" w:hAnsi="Palatino Linotype" w:cs="Arial"/>
          <w:b/>
          <w:bCs/>
          <w:color w:val="000000" w:themeColor="text1"/>
          <w:lang w:val="es-MX"/>
        </w:rPr>
        <w:t xml:space="preserve">no pierden su carácter de federal al ser ministrados a los Beneficiarios, </w:t>
      </w:r>
      <w:r w:rsidRPr="00487209">
        <w:rPr>
          <w:rFonts w:ascii="Palatino Linotype" w:eastAsia="MS Mincho" w:hAnsi="Palatino Linotype" w:cs="Arial"/>
          <w:color w:val="000000" w:themeColor="text1"/>
          <w:lang w:val="es-MX"/>
        </w:rPr>
        <w:t xml:space="preserve">por lo que su </w:t>
      </w:r>
      <w:r w:rsidRPr="00487209">
        <w:rPr>
          <w:rFonts w:ascii="Palatino Linotype" w:eastAsia="MS Mincho" w:hAnsi="Palatino Linotype" w:cs="Arial"/>
          <w:b/>
          <w:bCs/>
          <w:color w:val="000000" w:themeColor="text1"/>
          <w:lang w:val="es-MX"/>
        </w:rPr>
        <w:t xml:space="preserve">administración, ejercicio, seguimiento, verificación y evaluación </w:t>
      </w:r>
      <w:r w:rsidRPr="00487209">
        <w:rPr>
          <w:rFonts w:ascii="Palatino Linotype" w:eastAsia="MS Mincho" w:hAnsi="Palatino Linotype" w:cs="Arial"/>
          <w:color w:val="000000" w:themeColor="text1"/>
          <w:lang w:val="es-MX"/>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Pr="00487209">
        <w:rPr>
          <w:rFonts w:ascii="Palatino Linotype" w:eastAsia="MS Mincho" w:hAnsi="Palatino Linotype" w:cs="Arial"/>
          <w:b/>
          <w:bCs/>
          <w:color w:val="000000" w:themeColor="text1"/>
          <w:lang w:val="es-MX"/>
        </w:rPr>
        <w:t>Dirección de Vinculación y Seguimiento</w:t>
      </w:r>
      <w:r w:rsidRPr="00487209">
        <w:rPr>
          <w:rFonts w:ascii="Palatino Linotype" w:eastAsia="MS Mincho" w:hAnsi="Palatino Linotype" w:cs="Arial"/>
          <w:color w:val="000000" w:themeColor="text1"/>
          <w:lang w:val="es-MX"/>
        </w:rPr>
        <w:t xml:space="preserve">. </w:t>
      </w:r>
    </w:p>
    <w:p w:rsidR="00DE3FFF" w:rsidRPr="00487209" w:rsidRDefault="00DE3FFF"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487209" w:rsidRDefault="00DE3FFF"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Ahora bien, de igual forma los lineamientos establecen que los Beneficiarios del FORTASEG, de acuerdo con su artículo 38 tendrán las siguientes obligaciones; </w:t>
      </w:r>
    </w:p>
    <w:p w:rsidR="00DE3FFF" w:rsidRPr="00487209" w:rsidRDefault="00DE3FFF" w:rsidP="00487209">
      <w:pPr>
        <w:pStyle w:val="Prrafodelista"/>
        <w:tabs>
          <w:tab w:val="left" w:pos="426"/>
        </w:tabs>
        <w:spacing w:line="360" w:lineRule="auto"/>
        <w:ind w:left="0"/>
        <w:jc w:val="both"/>
        <w:rPr>
          <w:rFonts w:ascii="Palatino Linotype" w:eastAsia="MS Mincho" w:hAnsi="Palatino Linotype" w:cs="Arial"/>
          <w:b/>
          <w:bCs/>
          <w:color w:val="000000" w:themeColor="text1"/>
          <w:lang w:val="es-MX"/>
        </w:rPr>
      </w:pP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Artículo 38. Son obligaciones de los Beneficiarios del FORTASEG, las siguientes:</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I.          Destinar los recursos del FORTASEG y de coparticipación para el cumplimiento de las metas convenidas, con base en lo establecido en los Lineamientos, los Convenios, Anexos Técnicos y demás normativa aplicable;</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a) Datos sobre los recursos del FORTASEG y de coparticipación comprometidos, devengados y pagados a la fecha de corte del periodo que corresponda, y</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b) Disponibilidad presupuestal y financiera del FORTASEG y de la coparticipación con la que cuenten a la fecha de corte del reporte.</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IV. Informar y acreditar a través del medio que establezca el Secretariado Ejecutivo, el cumplimiento de las metas convenidas y, en su caso, la recepción de recursos en especie en un plazo no mayor a diez (10) días hábiles;</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b/>
          <w:bCs/>
          <w:i/>
          <w:color w:val="000000" w:themeColor="text1"/>
          <w:lang w:val="es-MX"/>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487209">
        <w:rPr>
          <w:rFonts w:ascii="Palatino Linotype" w:eastAsia="MS Mincho" w:hAnsi="Palatino Linotype" w:cs="Arial"/>
          <w:i/>
          <w:color w:val="000000" w:themeColor="text1"/>
          <w:lang w:val="es-MX"/>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IX. Cumplir con los Lineamientos Generales de Evaluación del Desempeño referidos en los artículos 43 y 49 de los Lineamientos, que para tal efecto emita la Dirección General de Planeación del Secretariado Ejecutivo;</w:t>
      </w:r>
    </w:p>
    <w:p w:rsidR="00DE3FFF" w:rsidRPr="00487209" w:rsidRDefault="00DE3FFF" w:rsidP="00487209">
      <w:pPr>
        <w:pStyle w:val="Prrafodelista"/>
        <w:tabs>
          <w:tab w:val="left" w:pos="567"/>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X.      Informar por oficio al Secretariado Ejecutivo, el cambio que realice sobre la designación de la o el servidor público, enlace del FORTASEG;</w:t>
      </w:r>
    </w:p>
    <w:p w:rsidR="00DE3FFF" w:rsidRPr="00487209" w:rsidRDefault="00DE3FFF" w:rsidP="00487209">
      <w:pPr>
        <w:pStyle w:val="Prrafodelista"/>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XI.    Colaborar y participar en términos de la normativa aplicable, en operativos conjuntos con las autoridades competentes, y</w:t>
      </w:r>
    </w:p>
    <w:p w:rsidR="00DE3FFF" w:rsidRPr="00487209" w:rsidRDefault="00DE3FFF"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XII.    Las demás establecidas en el Convenio, Anexo Técnico y las disposiciones aplicables.</w:t>
      </w:r>
    </w:p>
    <w:p w:rsidR="00DE3FFF" w:rsidRPr="00487209" w:rsidRDefault="00DE3FFF" w:rsidP="00487209">
      <w:pPr>
        <w:tabs>
          <w:tab w:val="left" w:pos="426"/>
        </w:tabs>
        <w:spacing w:line="360" w:lineRule="auto"/>
        <w:ind w:right="616"/>
        <w:jc w:val="both"/>
        <w:rPr>
          <w:rFonts w:ascii="Palatino Linotype" w:eastAsia="MS Mincho" w:hAnsi="Palatino Linotype" w:cs="Arial"/>
          <w:color w:val="000000" w:themeColor="text1"/>
          <w:lang w:val="es-MX"/>
        </w:rPr>
      </w:pPr>
    </w:p>
    <w:p w:rsidR="00DE3FFF" w:rsidRPr="00487209" w:rsidRDefault="00DE3FFF"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De lo anterior tenemos que los Beneficiarios son los encargados de </w:t>
      </w:r>
      <w:r w:rsidRPr="00487209">
        <w:rPr>
          <w:rFonts w:ascii="Palatino Linotype" w:eastAsia="MS Mincho" w:hAnsi="Palatino Linotype" w:cs="Arial"/>
          <w:b/>
          <w:color w:val="000000" w:themeColor="text1"/>
          <w:lang w:val="es-MX"/>
        </w:rPr>
        <w:t>reportar y presentar el informe trimestral</w:t>
      </w:r>
      <w:r w:rsidRPr="00487209">
        <w:rPr>
          <w:rFonts w:ascii="Palatino Linotype" w:eastAsia="MS Mincho" w:hAnsi="Palatino Linotype" w:cs="Arial"/>
          <w:color w:val="000000" w:themeColor="text1"/>
          <w:lang w:val="es-MX"/>
        </w:rPr>
        <w:t xml:space="preserve"> a la Dirección General de Vinculación y Seguimiento, los avances y aplicación de los recursos del FORTASEG, los cuales </w:t>
      </w:r>
      <w:r w:rsidRPr="00487209">
        <w:rPr>
          <w:rFonts w:ascii="Palatino Linotype" w:eastAsia="MS Mincho" w:hAnsi="Palatino Linotype" w:cs="Arial"/>
          <w:b/>
          <w:color w:val="000000" w:themeColor="text1"/>
          <w:lang w:val="es-MX"/>
        </w:rPr>
        <w:t>contendrán la información relativa a los datos sobre los recursos devengados y pagados</w:t>
      </w:r>
      <w:r w:rsidRPr="00487209">
        <w:rPr>
          <w:rFonts w:ascii="Palatino Linotype" w:eastAsia="MS Mincho" w:hAnsi="Palatino Linotype" w:cs="Arial"/>
          <w:color w:val="000000" w:themeColor="text1"/>
          <w:lang w:val="es-MX"/>
        </w:rPr>
        <w:t xml:space="preserve">,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rsidR="008B7093" w:rsidRPr="00487209" w:rsidRDefault="008B7093" w:rsidP="00487209">
      <w:pPr>
        <w:pStyle w:val="Prrafodelista"/>
        <w:spacing w:line="360" w:lineRule="auto"/>
        <w:ind w:left="0"/>
        <w:jc w:val="both"/>
        <w:rPr>
          <w:rFonts w:ascii="Palatino Linotype" w:hAnsi="Palatino Linotype" w:cs="Arial"/>
        </w:rPr>
      </w:pPr>
    </w:p>
    <w:p w:rsidR="007A53D3" w:rsidRPr="00487209" w:rsidRDefault="007A53D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Por su parte, las obligaciones de las Entidades Federativas son las establecidas por el artículo 39 de los Lineamientos y las cuales son las siguientes;</w:t>
      </w:r>
    </w:p>
    <w:p w:rsidR="007A53D3" w:rsidRPr="00487209" w:rsidRDefault="007A53D3"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 </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Artículo 39. Son obligaciones de las entidades federativas las siguientes:</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I.          Entregar a la Dirección General de Vinculación y Seguimiento a más tardar el día de la concertación a que sean convocados sus municipios o alcaldías Beneficiarios, los documentos que a continuación se señalan:</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a)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b)    Copia de la Cédula de Identificación Fiscal de la entidad federativa, expedida por el Servicio de Administración Tributaria;</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c)    Constancia de domicilio fiscal, y</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d)    Copia del oficio de designación o nombramiento de las o los servidores públicos responsables del manejo de la cuenta bancaria productiva específica.</w:t>
      </w:r>
    </w:p>
    <w:p w:rsidR="007A53D3" w:rsidRPr="00487209" w:rsidRDefault="007A53D3" w:rsidP="00487209">
      <w:pPr>
        <w:pStyle w:val="Prrafodelista"/>
        <w:tabs>
          <w:tab w:val="left" w:pos="567"/>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 xml:space="preserve">II.  </w:t>
      </w:r>
      <w:r w:rsidRPr="00487209">
        <w:rPr>
          <w:rFonts w:ascii="Palatino Linotype" w:eastAsia="MS Mincho" w:hAnsi="Palatino Linotype" w:cs="Arial"/>
          <w:b/>
          <w:bCs/>
          <w:i/>
          <w:color w:val="000000" w:themeColor="text1"/>
          <w:lang w:val="es-MX"/>
        </w:rPr>
        <w:t>Transferir los recursos del FORTASEG correspondientes a los Beneficiarios</w:t>
      </w:r>
      <w:r w:rsidRPr="00487209">
        <w:rPr>
          <w:rFonts w:ascii="Palatino Linotype" w:eastAsia="MS Mincho" w:hAnsi="Palatino Linotype" w:cs="Arial"/>
          <w:i/>
          <w:color w:val="000000" w:themeColor="text1"/>
          <w:lang w:val="es-MX"/>
        </w:rPr>
        <w:t xml:space="preserve">, incluyendo los rendimientos financieros, en los términos de las disposiciones aplicables, en un plazo no mayor a cinco (5) días hábiles a partir de su recepción, </w:t>
      </w:r>
      <w:r w:rsidRPr="00487209">
        <w:rPr>
          <w:rFonts w:ascii="Palatino Linotype" w:eastAsia="MS Mincho" w:hAnsi="Palatino Linotype" w:cs="Arial"/>
          <w:b/>
          <w:bCs/>
          <w:i/>
          <w:color w:val="000000" w:themeColor="text1"/>
          <w:lang w:val="es-MX"/>
        </w:rPr>
        <w:t>debiendo entregar a la Dirección General de Vinculación y Seguimiento copia de los comprobantes de las transferencias, dentro del plazo de cinco (5) días hábiles siguientes a la transferencia</w:t>
      </w:r>
      <w:r w:rsidRPr="00487209">
        <w:rPr>
          <w:rFonts w:ascii="Palatino Linotype" w:eastAsia="MS Mincho" w:hAnsi="Palatino Linotype" w:cs="Arial"/>
          <w:i/>
          <w:color w:val="000000" w:themeColor="text1"/>
          <w:lang w:val="es-MX"/>
        </w:rPr>
        <w:t>;</w:t>
      </w:r>
    </w:p>
    <w:p w:rsidR="007A53D3" w:rsidRPr="00487209" w:rsidRDefault="007A53D3" w:rsidP="00487209">
      <w:pPr>
        <w:pStyle w:val="Prrafodelista"/>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III.  Coordinarse con los Beneficiarios y las áreas técnicas de la entidad federativa para la integración de la propuesta de inversión;</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487209">
        <w:rPr>
          <w:rFonts w:ascii="Palatino Linotype" w:eastAsia="MS Mincho" w:hAnsi="Palatino Linotype" w:cs="Arial"/>
          <w:b/>
          <w:bCs/>
          <w:i/>
          <w:color w:val="000000" w:themeColor="text1"/>
          <w:lang w:val="es-MX"/>
        </w:rPr>
        <w:t>IV.    Remitir a la Dirección General de Vinculación y Seguimiento el recibo de ministraciones de los recursos del FORTASEG, en los términos que para tal efecto se establezcan;</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V.         Dar cumplimiento a las obligaciones a las que se refiere el artículo 38 de los Lineamientos cuando sean Beneficiarios del FORTASEG, y</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487209">
        <w:rPr>
          <w:rFonts w:ascii="Palatino Linotype" w:eastAsia="MS Mincho" w:hAnsi="Palatino Linotype" w:cs="Arial"/>
          <w:i/>
          <w:color w:val="000000" w:themeColor="text1"/>
          <w:lang w:val="es-MX"/>
        </w:rPr>
        <w:t>VI.  Las demás referidas en el Convenio, Anexo Técnico y las disposiciones aplicables.</w:t>
      </w:r>
    </w:p>
    <w:p w:rsidR="007A53D3" w:rsidRPr="00487209" w:rsidRDefault="007A53D3" w:rsidP="00487209">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rsidR="007A53D3" w:rsidRPr="00487209" w:rsidRDefault="007A53D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 xml:space="preserve">De lo anterior se tiene que, </w:t>
      </w:r>
      <w:r w:rsidRPr="00487209">
        <w:rPr>
          <w:rFonts w:ascii="Palatino Linotype" w:eastAsia="MS Mincho" w:hAnsi="Palatino Linotype" w:cs="Arial"/>
          <w:b/>
          <w:color w:val="000000" w:themeColor="text1"/>
          <w:lang w:val="es-MX"/>
        </w:rPr>
        <w:t>las Entidades Federativas</w:t>
      </w:r>
      <w:r w:rsidRPr="00487209">
        <w:rPr>
          <w:rFonts w:ascii="Palatino Linotype" w:eastAsia="MS Mincho" w:hAnsi="Palatino Linotype" w:cs="Arial"/>
          <w:color w:val="000000" w:themeColor="text1"/>
          <w:lang w:val="es-MX"/>
        </w:rPr>
        <w:t xml:space="preserve"> únicamente </w:t>
      </w:r>
      <w:r w:rsidRPr="00487209">
        <w:rPr>
          <w:rFonts w:ascii="Palatino Linotype" w:eastAsia="MS Mincho" w:hAnsi="Palatino Linotype" w:cs="Arial"/>
          <w:b/>
          <w:color w:val="000000" w:themeColor="text1"/>
          <w:lang w:val="es-MX"/>
        </w:rPr>
        <w:t>realizarán la transferencia</w:t>
      </w:r>
      <w:r w:rsidRPr="00487209">
        <w:rPr>
          <w:rFonts w:ascii="Palatino Linotype" w:eastAsia="MS Mincho" w:hAnsi="Palatino Linotype" w:cs="Arial"/>
          <w:color w:val="000000" w:themeColor="text1"/>
          <w:lang w:val="es-MX"/>
        </w:rPr>
        <w:t xml:space="preserve"> de los recursos del FORTASEG </w:t>
      </w:r>
      <w:r w:rsidRPr="00487209">
        <w:rPr>
          <w:rFonts w:ascii="Palatino Linotype" w:eastAsia="MS Mincho" w:hAnsi="Palatino Linotype" w:cs="Arial"/>
          <w:b/>
          <w:color w:val="000000" w:themeColor="text1"/>
          <w:lang w:val="es-MX"/>
        </w:rPr>
        <w:t>a los Beneficiarios</w:t>
      </w:r>
      <w:r w:rsidRPr="00487209">
        <w:rPr>
          <w:rFonts w:ascii="Palatino Linotype" w:eastAsia="MS Mincho" w:hAnsi="Palatino Linotype" w:cs="Arial"/>
          <w:color w:val="000000" w:themeColor="text1"/>
          <w:lang w:val="es-MX"/>
        </w:rPr>
        <w:t xml:space="preserve">, y entregarán con ello los comprobantes de la misma, al igual que darán el seguimiento de las ministraciones de dichos recursos. </w:t>
      </w:r>
    </w:p>
    <w:p w:rsidR="007A53D3" w:rsidRPr="00487209" w:rsidRDefault="007A53D3"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7A53D3" w:rsidRPr="00487209" w:rsidRDefault="007A53D3" w:rsidP="0048720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7209">
        <w:rPr>
          <w:rFonts w:ascii="Palatino Linotype" w:eastAsia="MS Mincho" w:hAnsi="Palatino Linotype" w:cs="Arial"/>
          <w:color w:val="000000" w:themeColor="text1"/>
          <w:lang w:val="es-MX"/>
        </w:rPr>
        <w:t>Aunado a lo anterior, el Convenio del Programa de Fortalecimiento para la Seguridad FORTASEG 2019</w:t>
      </w:r>
      <w:r w:rsidRPr="00487209">
        <w:rPr>
          <w:rStyle w:val="Refdenotaalpie"/>
          <w:rFonts w:ascii="Palatino Linotype" w:eastAsia="MS Mincho" w:hAnsi="Palatino Linotype" w:cs="Arial"/>
          <w:color w:val="000000" w:themeColor="text1"/>
          <w:lang w:val="es-MX"/>
        </w:rPr>
        <w:footnoteReference w:id="11"/>
      </w:r>
      <w:r w:rsidRPr="00487209">
        <w:rPr>
          <w:rFonts w:ascii="Palatino Linotype" w:eastAsia="MS Mincho" w:hAnsi="Palatino Linotype" w:cs="Arial"/>
          <w:color w:val="000000" w:themeColor="text1"/>
          <w:lang w:val="es-MX"/>
        </w:rPr>
        <w:t xml:space="preserve"> celebrado por el Secretariado Ejecutivo del Sistema Nacional de Seguridad Pública, el Estado de México y los Municipios del </w:t>
      </w:r>
      <w:r w:rsidR="00E3007A" w:rsidRPr="00487209">
        <w:rPr>
          <w:rFonts w:ascii="Palatino Linotype" w:eastAsia="MS Mincho" w:hAnsi="Palatino Linotype" w:cs="Arial"/>
          <w:color w:val="000000" w:themeColor="text1"/>
          <w:lang w:val="es-MX"/>
        </w:rPr>
        <w:t xml:space="preserve">Estado de México, establece que se otorgará el subsidio por las entidades federativas a diversos municipios, entre los que figura el Ayuntamiento de Tecámac, quien figura como </w:t>
      </w:r>
      <w:r w:rsidR="00E3007A" w:rsidRPr="00487209">
        <w:rPr>
          <w:rFonts w:ascii="Palatino Linotype" w:eastAsia="MS Mincho" w:hAnsi="Palatino Linotype" w:cs="Arial"/>
          <w:b/>
          <w:color w:val="000000" w:themeColor="text1"/>
          <w:lang w:val="es-MX"/>
        </w:rPr>
        <w:t>beneficiario.</w:t>
      </w:r>
      <w:r w:rsidR="005104B9" w:rsidRPr="00487209">
        <w:rPr>
          <w:rFonts w:ascii="Palatino Linotype" w:eastAsia="MS Mincho" w:hAnsi="Palatino Linotype" w:cs="Arial"/>
          <w:b/>
          <w:color w:val="000000" w:themeColor="text1"/>
          <w:lang w:val="es-MX"/>
        </w:rPr>
        <w:t xml:space="preserve"> Asimismo, el Convenio refiere lo siguiente:</w:t>
      </w:r>
    </w:p>
    <w:p w:rsidR="005104B9" w:rsidRPr="00487209" w:rsidRDefault="005104B9" w:rsidP="00487209">
      <w:pPr>
        <w:pStyle w:val="Prrafodelista"/>
        <w:spacing w:line="360" w:lineRule="auto"/>
        <w:rPr>
          <w:rFonts w:ascii="Palatino Linotype" w:eastAsia="MS Mincho" w:hAnsi="Palatino Linotype" w:cs="Arial"/>
          <w:color w:val="000000" w:themeColor="text1"/>
          <w:lang w:val="es-MX"/>
        </w:rPr>
      </w:pPr>
    </w:p>
    <w:p w:rsidR="005104B9" w:rsidRPr="00487209" w:rsidRDefault="005104B9" w:rsidP="00487209">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487209">
        <w:rPr>
          <w:rFonts w:ascii="Palatino Linotype" w:eastAsia="MS Mincho" w:hAnsi="Palatino Linotype" w:cs="Arial"/>
          <w:i/>
          <w:color w:val="000000" w:themeColor="text1"/>
        </w:rPr>
        <w:t xml:space="preserve">TERCERA. - </w:t>
      </w:r>
      <w:r w:rsidRPr="00487209">
        <w:rPr>
          <w:rFonts w:ascii="Palatino Linotype" w:eastAsia="MS Mincho" w:hAnsi="Palatino Linotype" w:cs="Arial"/>
          <w:b/>
          <w:bCs/>
          <w:i/>
          <w:color w:val="000000" w:themeColor="text1"/>
        </w:rPr>
        <w:t>OBLIGACIONES DE “LOS BENEFICIARIOS”.</w:t>
      </w:r>
      <w:r w:rsidRPr="00487209">
        <w:rPr>
          <w:rFonts w:ascii="Palatino Linotype" w:eastAsia="MS Mincho" w:hAnsi="Palatino Linotype" w:cs="Arial"/>
          <w:i/>
          <w:color w:val="000000" w:themeColor="text1"/>
        </w:rPr>
        <w:t xml:space="preserve"> Además de las señaladas en “LOS LINEAMIENTOS”, tendrán las siguientes:</w:t>
      </w:r>
    </w:p>
    <w:p w:rsidR="005104B9" w:rsidRPr="00487209" w:rsidRDefault="005104B9" w:rsidP="00487209">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487209">
        <w:rPr>
          <w:rFonts w:ascii="Palatino Linotype" w:eastAsia="MS Mincho" w:hAnsi="Palatino Linotype" w:cs="Arial"/>
          <w:i/>
          <w:color w:val="000000" w:themeColor="text1"/>
        </w:rPr>
        <w:t>[…]</w:t>
      </w:r>
    </w:p>
    <w:p w:rsidR="005104B9" w:rsidRPr="00487209" w:rsidRDefault="005104B9" w:rsidP="00487209">
      <w:pPr>
        <w:pStyle w:val="Prrafodelista"/>
        <w:tabs>
          <w:tab w:val="left" w:pos="426"/>
        </w:tabs>
        <w:spacing w:line="360" w:lineRule="auto"/>
        <w:ind w:left="567" w:right="616"/>
        <w:jc w:val="both"/>
        <w:rPr>
          <w:rFonts w:ascii="Palatino Linotype" w:eastAsia="MS Mincho" w:hAnsi="Palatino Linotype" w:cs="Arial"/>
          <w:b/>
          <w:bCs/>
          <w:i/>
          <w:color w:val="000000" w:themeColor="text1"/>
        </w:rPr>
      </w:pPr>
      <w:r w:rsidRPr="00487209">
        <w:rPr>
          <w:rFonts w:ascii="Palatino Linotype" w:eastAsia="MS Mincho" w:hAnsi="Palatino Linotype" w:cs="Arial"/>
          <w:i/>
          <w:color w:val="000000" w:themeColor="text1"/>
        </w:rPr>
        <w:t xml:space="preserve">I. </w:t>
      </w:r>
      <w:r w:rsidRPr="00487209">
        <w:rPr>
          <w:rFonts w:ascii="Palatino Linotype" w:eastAsia="MS Mincho" w:hAnsi="Palatino Linotype" w:cs="Arial"/>
          <w:b/>
          <w:bCs/>
          <w:i/>
          <w:color w:val="000000" w:themeColor="text1"/>
        </w:rPr>
        <w:t xml:space="preserve">Informar mensual y trimestralmente a “EL SECRETARIADO” a través de la Dirección General de Vinculación y Seguimiento sobre las 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487209">
        <w:rPr>
          <w:rFonts w:ascii="Palatino Linotype" w:eastAsia="MS Mincho" w:hAnsi="Palatino Linotype" w:cs="Arial"/>
          <w:i/>
          <w:color w:val="000000" w:themeColor="text1"/>
        </w:rPr>
        <w:t xml:space="preserve">Los Presidentes y las Presidentas Municipales de “LOS BENEFICIARIOS” deberán designar cada uno por oficio a un Servidor Público con competencia y nivel de decisión, como responsable de </w:t>
      </w:r>
      <w:r w:rsidRPr="00487209">
        <w:rPr>
          <w:rFonts w:ascii="Palatino Linotype" w:eastAsia="MS Mincho" w:hAnsi="Palatino Linotype" w:cs="Arial"/>
          <w:b/>
          <w:bCs/>
          <w:i/>
          <w:color w:val="000000" w:themeColor="text1"/>
        </w:rPr>
        <w:t>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w:t>
      </w:r>
      <w:r w:rsidRPr="00487209">
        <w:rPr>
          <w:rFonts w:ascii="Palatino Linotype" w:eastAsia="MS Mincho" w:hAnsi="Palatino Linotype" w:cs="Arial"/>
          <w:i/>
          <w:color w:val="000000" w:themeColor="text1"/>
        </w:rPr>
        <w:t xml:space="preserve"> establecidos en el Anexo Técnico respectivo del presente “CONVENIO”, así como </w:t>
      </w:r>
      <w:r w:rsidRPr="00487209">
        <w:rPr>
          <w:rFonts w:ascii="Palatino Linotype" w:eastAsia="MS Mincho" w:hAnsi="Palatino Linotype" w:cs="Arial"/>
          <w:b/>
          <w:bCs/>
          <w:i/>
          <w:color w:val="000000" w:themeColor="text1"/>
        </w:rPr>
        <w:t>el destino y resultados obtenidos de la aplicación de los recursos.</w:t>
      </w:r>
    </w:p>
    <w:p w:rsidR="005104B9" w:rsidRPr="00487209" w:rsidRDefault="005104B9" w:rsidP="00487209">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487209">
        <w:rPr>
          <w:rFonts w:ascii="Palatino Linotype" w:eastAsia="MS Mincho" w:hAnsi="Palatino Linotype" w:cs="Arial"/>
          <w:i/>
          <w:color w:val="000000" w:themeColor="text1"/>
        </w:rPr>
        <w:t xml:space="preserve"> J. </w:t>
      </w:r>
      <w:r w:rsidRPr="00487209">
        <w:rPr>
          <w:rFonts w:ascii="Palatino Linotype" w:eastAsia="MS Mincho" w:hAnsi="Palatino Linotype" w:cs="Arial"/>
          <w:b/>
          <w:bCs/>
          <w:i/>
          <w:color w:val="000000" w:themeColor="text1"/>
        </w:rPr>
        <w:t>Informar mensual y trimestralmente al Secretariado Ejecutivo del Sistema Estatal de Seguridad Pública de “LA ENTIDAD FEDERATIVA”, sobre las acciones realizadas con base en el presente “CONVENIO</w:t>
      </w:r>
      <w:r w:rsidRPr="00487209">
        <w:rPr>
          <w:rFonts w:ascii="Palatino Linotype" w:eastAsia="MS Mincho" w:hAnsi="Palatino Linotype" w:cs="Arial"/>
          <w:i/>
          <w:color w:val="000000" w:themeColor="text1"/>
        </w:rPr>
        <w:t>”;</w:t>
      </w:r>
    </w:p>
    <w:p w:rsidR="005104B9" w:rsidRPr="00487209" w:rsidRDefault="005104B9" w:rsidP="00487209">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487209">
        <w:rPr>
          <w:rFonts w:ascii="Palatino Linotype" w:eastAsia="MS Mincho" w:hAnsi="Palatino Linotype" w:cs="Arial"/>
          <w:i/>
          <w:color w:val="000000" w:themeColor="text1"/>
        </w:rPr>
        <w:t>L. Entregar a “EL SECRETARIADO” toda la información que solicite en los términos, plazos y formatos que al efecto establezca;</w:t>
      </w:r>
    </w:p>
    <w:p w:rsidR="005104B9" w:rsidRPr="00487209" w:rsidRDefault="005104B9" w:rsidP="0048720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487209" w:rsidRDefault="005104B9" w:rsidP="00487209">
      <w:pPr>
        <w:pStyle w:val="Prrafodelista"/>
        <w:numPr>
          <w:ilvl w:val="0"/>
          <w:numId w:val="1"/>
        </w:numPr>
        <w:tabs>
          <w:tab w:val="left" w:pos="426"/>
        </w:tabs>
        <w:spacing w:line="360" w:lineRule="auto"/>
        <w:ind w:left="0" w:firstLine="0"/>
        <w:jc w:val="both"/>
        <w:rPr>
          <w:rFonts w:ascii="Palatino Linotype" w:eastAsia="MS Mincho" w:hAnsi="Palatino Linotype" w:cs="Arial"/>
          <w:lang w:val="es-MX"/>
        </w:rPr>
      </w:pPr>
      <w:r w:rsidRPr="00487209">
        <w:rPr>
          <w:rFonts w:ascii="Palatino Linotype" w:hAnsi="Palatino Linotype" w:cs="Arial"/>
        </w:rPr>
        <w:t xml:space="preserve">Es por lo anterior que, cada beneficiario </w:t>
      </w:r>
      <w:r w:rsidRPr="00487209">
        <w:rPr>
          <w:rFonts w:ascii="Palatino Linotype" w:eastAsia="MS Mincho" w:hAnsi="Palatino Linotype" w:cs="Arial"/>
          <w:bCs/>
          <w:lang w:val="es-MX"/>
        </w:rPr>
        <w:t>deberá de informar y proporcionar al Secretariado toda la información relativa al cómo y en qué se han erogados los recursos recibidos, de tal forma que se tiene que efectivamente el Sujeto Obligado cuenta con la información requerida.</w:t>
      </w:r>
    </w:p>
    <w:p w:rsidR="00487209" w:rsidRPr="00487209" w:rsidRDefault="00487209" w:rsidP="00487209">
      <w:pPr>
        <w:pStyle w:val="Prrafodelista"/>
        <w:tabs>
          <w:tab w:val="left" w:pos="426"/>
        </w:tabs>
        <w:spacing w:line="360" w:lineRule="auto"/>
        <w:ind w:left="0"/>
        <w:jc w:val="both"/>
        <w:rPr>
          <w:rFonts w:ascii="Palatino Linotype" w:eastAsia="MS Mincho" w:hAnsi="Palatino Linotype" w:cs="Arial"/>
          <w:lang w:val="es-MX"/>
        </w:rPr>
      </w:pPr>
    </w:p>
    <w:p w:rsidR="00F77E6F" w:rsidRPr="00487209" w:rsidRDefault="00F77E6F" w:rsidP="00487209">
      <w:pPr>
        <w:pStyle w:val="Ttulo1"/>
        <w:spacing w:line="360" w:lineRule="auto"/>
        <w:rPr>
          <w:szCs w:val="24"/>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954272"/>
      <w:bookmarkStart w:id="34" w:name="_Toc24028884"/>
      <w:r w:rsidRPr="00487209">
        <w:rPr>
          <w:szCs w:val="24"/>
        </w:rPr>
        <w:t>QUINTO. De la Versión Pública</w:t>
      </w:r>
      <w:bookmarkEnd w:id="26"/>
      <w:bookmarkEnd w:id="27"/>
      <w:bookmarkEnd w:id="28"/>
      <w:bookmarkEnd w:id="29"/>
      <w:bookmarkEnd w:id="30"/>
      <w:bookmarkEnd w:id="31"/>
      <w:bookmarkEnd w:id="32"/>
      <w:bookmarkEnd w:id="33"/>
      <w:bookmarkEnd w:id="34"/>
      <w:r w:rsidRPr="00487209">
        <w:rPr>
          <w:szCs w:val="24"/>
        </w:rPr>
        <w:t xml:space="preserve"> </w:t>
      </w:r>
    </w:p>
    <w:p w:rsidR="00F77E6F" w:rsidRPr="00487209" w:rsidRDefault="00F77E6F" w:rsidP="00487209">
      <w:pPr>
        <w:pStyle w:val="Prrafodelista"/>
        <w:numPr>
          <w:ilvl w:val="0"/>
          <w:numId w:val="1"/>
        </w:numPr>
        <w:spacing w:before="240" w:after="240" w:line="360" w:lineRule="auto"/>
        <w:ind w:left="0" w:right="49" w:firstLine="0"/>
        <w:jc w:val="both"/>
        <w:rPr>
          <w:rFonts w:ascii="Palatino Linotype" w:hAnsi="Palatino Linotype" w:cs="Bookman Old Style"/>
        </w:rPr>
      </w:pPr>
      <w:r w:rsidRPr="00487209">
        <w:rPr>
          <w:rFonts w:ascii="Palatino Linotype" w:eastAsia="Calibri" w:hAnsi="Palatino Linotype" w:cs="Arial"/>
          <w:lang w:val="es-ES" w:eastAsia="es-MX"/>
        </w:rPr>
        <w:t xml:space="preserve">Como ya se ha señalado en el considerando anterior el </w:t>
      </w:r>
      <w:r w:rsidRPr="00487209">
        <w:rPr>
          <w:rFonts w:ascii="Palatino Linotype" w:eastAsia="Calibri" w:hAnsi="Palatino Linotype" w:cs="Arial"/>
          <w:b/>
          <w:lang w:val="es-ES" w:eastAsia="es-MX"/>
        </w:rPr>
        <w:t>SUJETO OBLIGADO,</w:t>
      </w:r>
      <w:r w:rsidRPr="00487209">
        <w:rPr>
          <w:rFonts w:ascii="Palatino Linotype" w:eastAsia="Calibri" w:hAnsi="Palatino Linotype" w:cs="Arial"/>
          <w:lang w:val="es-ES" w:eastAsia="es-MX"/>
        </w:rPr>
        <w:t xml:space="preserve"> deberá entregar </w:t>
      </w:r>
      <w:r w:rsidRPr="00487209">
        <w:rPr>
          <w:rFonts w:ascii="Palatino Linotype" w:hAnsi="Palatino Linotype" w:cs="Arial"/>
        </w:rPr>
        <w:t>los documentos</w:t>
      </w:r>
      <w:r w:rsidRPr="00487209">
        <w:rPr>
          <w:rFonts w:ascii="Palatino Linotype" w:hAnsi="Palatino Linotype"/>
          <w:lang w:val="es-ES"/>
        </w:rPr>
        <w:t xml:space="preserve"> </w:t>
      </w:r>
      <w:r w:rsidR="00936B23" w:rsidRPr="00487209">
        <w:rPr>
          <w:rFonts w:ascii="Palatino Linotype" w:hAnsi="Palatino Linotype"/>
          <w:lang w:val="es-ES"/>
        </w:rPr>
        <w:t>señalados en el considerando anterior.</w:t>
      </w:r>
      <w:r w:rsidR="008E6106" w:rsidRPr="00487209">
        <w:rPr>
          <w:rFonts w:ascii="Palatino Linotype" w:hAnsi="Palatino Linotype"/>
          <w:lang w:val="es-ES"/>
        </w:rPr>
        <w:t xml:space="preserve"> </w:t>
      </w:r>
      <w:r w:rsidRPr="00487209">
        <w:rPr>
          <w:rFonts w:ascii="Palatino Linotype" w:eastAsia="Calibri" w:hAnsi="Palatino Linotype" w:cs="Arial"/>
          <w:lang w:val="es-ES" w:eastAsia="es-MX"/>
        </w:rPr>
        <w:t>Documento</w:t>
      </w:r>
      <w:r w:rsidR="0014528A" w:rsidRPr="00487209">
        <w:rPr>
          <w:rFonts w:ascii="Palatino Linotype" w:eastAsia="Calibri" w:hAnsi="Palatino Linotype" w:cs="Arial"/>
          <w:lang w:val="es-ES" w:eastAsia="es-MX"/>
        </w:rPr>
        <w:t>s</w:t>
      </w:r>
      <w:r w:rsidRPr="00487209">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487209">
        <w:rPr>
          <w:rFonts w:ascii="Palatino Linotype" w:eastAsia="Times New Roman" w:hAnsi="Palatino Linotype" w:cs="Arial"/>
          <w:color w:val="222222"/>
          <w:lang w:val="es-ES" w:eastAsia="es-MX"/>
        </w:rPr>
        <w:t xml:space="preserve"> que deje a la vista los datos que ofrezcan la información requerida. </w:t>
      </w:r>
    </w:p>
    <w:p w:rsidR="00F77E6F" w:rsidRPr="00487209" w:rsidRDefault="00F77E6F" w:rsidP="00487209">
      <w:pPr>
        <w:pStyle w:val="Ttulo3"/>
        <w:numPr>
          <w:ilvl w:val="0"/>
          <w:numId w:val="2"/>
        </w:numPr>
        <w:spacing w:line="360" w:lineRule="auto"/>
        <w:rPr>
          <w:rFonts w:ascii="Palatino Linotype" w:eastAsia="Calibri" w:hAnsi="Palatino Linotype"/>
          <w:b/>
          <w:color w:val="auto"/>
        </w:rPr>
      </w:pPr>
      <w:bookmarkStart w:id="35" w:name="_Toc531859121"/>
      <w:bookmarkStart w:id="36" w:name="_Toc532385645"/>
      <w:bookmarkStart w:id="37" w:name="_Toc954273"/>
      <w:bookmarkStart w:id="38" w:name="_Toc24028885"/>
      <w:r w:rsidRPr="00487209">
        <w:rPr>
          <w:rFonts w:ascii="Palatino Linotype" w:hAnsi="Palatino Linotype"/>
          <w:b/>
          <w:color w:val="auto"/>
        </w:rPr>
        <w:t>Requisitos previos.</w:t>
      </w:r>
      <w:bookmarkEnd w:id="35"/>
      <w:bookmarkEnd w:id="36"/>
      <w:bookmarkEnd w:id="37"/>
      <w:bookmarkEnd w:id="38"/>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Ttulo3"/>
        <w:numPr>
          <w:ilvl w:val="0"/>
          <w:numId w:val="2"/>
        </w:numPr>
        <w:spacing w:line="360" w:lineRule="auto"/>
        <w:rPr>
          <w:rFonts w:ascii="Palatino Linotype" w:hAnsi="Palatino Linotype"/>
          <w:b/>
          <w:color w:val="auto"/>
        </w:rPr>
      </w:pPr>
      <w:bookmarkStart w:id="39" w:name="_Toc531859122"/>
      <w:bookmarkStart w:id="40" w:name="_Toc532385646"/>
      <w:bookmarkStart w:id="41" w:name="_Toc954274"/>
      <w:bookmarkStart w:id="42" w:name="_Toc24028886"/>
      <w:r w:rsidRPr="00487209">
        <w:rPr>
          <w:rFonts w:ascii="Palatino Linotype" w:hAnsi="Palatino Linotype"/>
          <w:b/>
          <w:color w:val="auto"/>
        </w:rPr>
        <w:t>Supuesto de clasificación.</w:t>
      </w:r>
      <w:bookmarkEnd w:id="39"/>
      <w:bookmarkEnd w:id="40"/>
      <w:bookmarkEnd w:id="41"/>
      <w:bookmarkEnd w:id="42"/>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487209" w:rsidRDefault="00F77E6F" w:rsidP="00487209">
      <w:pPr>
        <w:autoSpaceDE w:val="0"/>
        <w:autoSpaceDN w:val="0"/>
        <w:adjustRightInd w:val="0"/>
        <w:spacing w:after="160" w:line="360" w:lineRule="auto"/>
        <w:ind w:left="567" w:right="567"/>
        <w:jc w:val="both"/>
        <w:rPr>
          <w:rFonts w:ascii="Palatino Linotype" w:hAnsi="Palatino Linotype" w:cs="Arial"/>
          <w:i/>
          <w:lang w:val="es-MX"/>
        </w:rPr>
      </w:pPr>
      <w:r w:rsidRPr="00487209">
        <w:rPr>
          <w:rFonts w:ascii="Palatino Linotype" w:hAnsi="Palatino Linotype" w:cs="Arial"/>
          <w:b/>
          <w:bCs/>
          <w:i/>
          <w:lang w:val="es-MX"/>
        </w:rPr>
        <w:t xml:space="preserve">Artículo 3. </w:t>
      </w:r>
      <w:r w:rsidRPr="00487209">
        <w:rPr>
          <w:rFonts w:ascii="Palatino Linotype" w:hAnsi="Palatino Linotype" w:cs="Arial"/>
          <w:i/>
          <w:lang w:val="es-MX"/>
        </w:rPr>
        <w:t>Para los efectos de la presente Ley se entenderá por:</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 xml:space="preserve"> (…)</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XX. Información clasificada: Aquella considerada por la presente Ley como reservada o confidencial;</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487209">
        <w:rPr>
          <w:rFonts w:ascii="Palatino Linotype" w:eastAsia="Calibri" w:hAnsi="Palatino Linotype" w:cs="Arial"/>
          <w:i/>
          <w:lang w:val="es-ES" w:eastAsia="es-MX"/>
        </w:rPr>
        <w:t>jurídico</w:t>
      </w:r>
      <w:proofErr w:type="gramEnd"/>
      <w:r w:rsidRPr="00487209">
        <w:rPr>
          <w:rFonts w:ascii="Palatino Linotype" w:eastAsia="Calibri" w:hAnsi="Palatino Linotype" w:cs="Arial"/>
          <w:i/>
          <w:lang w:val="es-ES" w:eastAsia="es-MX"/>
        </w:rPr>
        <w:t xml:space="preserve"> colectiva identificada o identificable;</w:t>
      </w:r>
    </w:p>
    <w:p w:rsidR="00F77E6F" w:rsidRPr="00487209" w:rsidRDefault="00F77E6F" w:rsidP="0048720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8930CF" w:rsidRPr="00487209" w:rsidRDefault="00F77E6F" w:rsidP="008930C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7209">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Como consecuencia de lo anterior, el sujeto obligado debe identificar claramente el tipo de información y hacer un juicio de subsunción o encaje</w:t>
      </w:r>
      <w:r w:rsidRPr="00487209">
        <w:rPr>
          <w:rStyle w:val="Refdenotaalpie"/>
          <w:rFonts w:ascii="Palatino Linotype" w:hAnsi="Palatino Linotype" w:cs="Arial"/>
        </w:rPr>
        <w:footnoteReference w:id="12"/>
      </w:r>
      <w:r w:rsidRPr="0048720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Ttulo3"/>
        <w:numPr>
          <w:ilvl w:val="0"/>
          <w:numId w:val="2"/>
        </w:numPr>
        <w:spacing w:line="360" w:lineRule="auto"/>
        <w:rPr>
          <w:rFonts w:ascii="Palatino Linotype" w:hAnsi="Palatino Linotype"/>
          <w:b/>
          <w:color w:val="auto"/>
        </w:rPr>
      </w:pPr>
      <w:bookmarkStart w:id="43" w:name="_Toc531859123"/>
      <w:bookmarkStart w:id="44" w:name="_Toc532385647"/>
      <w:bookmarkStart w:id="45" w:name="_Toc954275"/>
      <w:bookmarkStart w:id="46" w:name="_Toc24028887"/>
      <w:r w:rsidRPr="00487209">
        <w:rPr>
          <w:rFonts w:ascii="Palatino Linotype" w:hAnsi="Palatino Linotype"/>
          <w:b/>
          <w:color w:val="auto"/>
        </w:rPr>
        <w:t>La intervención del Comité de Transparencia.</w:t>
      </w:r>
      <w:bookmarkEnd w:id="43"/>
      <w:bookmarkEnd w:id="44"/>
      <w:bookmarkEnd w:id="45"/>
      <w:bookmarkEnd w:id="46"/>
    </w:p>
    <w:p w:rsidR="00F77E6F" w:rsidRPr="00487209" w:rsidRDefault="00F77E6F" w:rsidP="00487209">
      <w:pPr>
        <w:pStyle w:val="Ttulo4"/>
        <w:numPr>
          <w:ilvl w:val="1"/>
          <w:numId w:val="1"/>
        </w:numPr>
        <w:spacing w:line="360" w:lineRule="auto"/>
        <w:rPr>
          <w:rFonts w:ascii="Palatino Linotype" w:hAnsi="Palatino Linotype"/>
          <w:b/>
          <w:i w:val="0"/>
          <w:color w:val="auto"/>
        </w:rPr>
      </w:pPr>
      <w:r w:rsidRPr="00487209">
        <w:rPr>
          <w:rFonts w:ascii="Palatino Linotype" w:hAnsi="Palatino Linotype"/>
          <w:b/>
          <w:i w:val="0"/>
          <w:color w:val="auto"/>
        </w:rPr>
        <w:t>Formalidades para emitir el acuerdo de clasificación.</w:t>
      </w:r>
    </w:p>
    <w:p w:rsidR="00F77E6F" w:rsidRPr="00487209" w:rsidRDefault="00F77E6F" w:rsidP="00487209">
      <w:pPr>
        <w:spacing w:line="360" w:lineRule="auto"/>
        <w:rPr>
          <w:rFonts w:ascii="Palatino Linotype" w:hAnsi="Palatino Linotype"/>
          <w:lang w:val="es-MX" w:eastAsia="en-US"/>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 xml:space="preserve">El Comité de Transparencia, según lo dispuesto en los artículos 128 y 103 de la Ley Estatal y de la Ley General, respectivamente, y </w:t>
      </w:r>
      <w:r w:rsidRPr="00487209">
        <w:rPr>
          <w:rFonts w:ascii="Palatino Linotype" w:hAnsi="Palatino Linotype"/>
        </w:rPr>
        <w:t xml:space="preserve">la fracción III del numeral Segundo de los </w:t>
      </w:r>
      <w:r w:rsidRPr="0048720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87209">
        <w:rPr>
          <w:rFonts w:ascii="Palatino Linotype" w:hAnsi="Palatino Linotype"/>
        </w:rPr>
        <w:t xml:space="preserve"> </w:t>
      </w:r>
      <w:r w:rsidRPr="0048720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Ttulo4"/>
        <w:numPr>
          <w:ilvl w:val="0"/>
          <w:numId w:val="3"/>
        </w:numPr>
        <w:spacing w:line="360" w:lineRule="auto"/>
        <w:rPr>
          <w:rFonts w:ascii="Palatino Linotype" w:hAnsi="Palatino Linotype"/>
          <w:b/>
          <w:i w:val="0"/>
        </w:rPr>
      </w:pPr>
      <w:r w:rsidRPr="00487209">
        <w:rPr>
          <w:rFonts w:ascii="Palatino Linotype" w:hAnsi="Palatino Linotype"/>
          <w:b/>
          <w:i w:val="0"/>
          <w:color w:val="auto"/>
        </w:rPr>
        <w:t>Requisitos de fondo del acuerdo de clasificación</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487209" w:rsidRDefault="00F77E6F" w:rsidP="0048720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7209">
        <w:rPr>
          <w:rStyle w:val="Refdenotaalpie"/>
          <w:rFonts w:ascii="Palatino Linotype" w:eastAsia="Times New Roman" w:hAnsi="Palatino Linotype" w:cs="Arial"/>
          <w:lang w:eastAsia="es-MX"/>
        </w:rPr>
        <w:footnoteReference w:id="13"/>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720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487209" w:rsidRDefault="00F77E6F" w:rsidP="00487209">
      <w:pPr>
        <w:pStyle w:val="Prrafodelista"/>
        <w:spacing w:line="360" w:lineRule="auto"/>
        <w:rPr>
          <w:rFonts w:ascii="Palatino Linotype" w:eastAsia="Calibri" w:hAnsi="Palatino Linotype" w:cs="Arial"/>
          <w:lang w:val="es-ES" w:eastAsia="es-MX"/>
        </w:rPr>
      </w:pP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b/>
          <w:i/>
        </w:rPr>
        <w:t>FUNDAMENTACIÓN Y MOTIVACIÓN.</w:t>
      </w:r>
      <w:r w:rsidRPr="00487209">
        <w:rPr>
          <w:rFonts w:ascii="Palatino Linotype" w:hAnsi="Palatino Linotype" w:cs="Arial"/>
          <w:i/>
        </w:rPr>
        <w:t xml:space="preserve"> La </w:t>
      </w:r>
      <w:r w:rsidRPr="00487209">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7209">
        <w:rPr>
          <w:rFonts w:ascii="Palatino Linotype" w:hAnsi="Palatino Linotype" w:cs="Arial"/>
          <w:i/>
        </w:rPr>
        <w:t>.</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SEGUNDO TRIBUNAL COLEGIADO DEL SEXTO CIRCUITO.</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487209">
        <w:rPr>
          <w:rFonts w:ascii="Palatino Linotype" w:hAnsi="Palatino Linotype" w:cs="Arial"/>
          <w:i/>
        </w:rPr>
        <w:t>Esponda</w:t>
      </w:r>
      <w:proofErr w:type="spellEnd"/>
      <w:r w:rsidRPr="00487209">
        <w:rPr>
          <w:rFonts w:ascii="Palatino Linotype" w:hAnsi="Palatino Linotype" w:cs="Arial"/>
          <w:i/>
        </w:rPr>
        <w:t xml:space="preserve"> Rincón.</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 xml:space="preserve">Amparo en revisión 333/88. </w:t>
      </w:r>
      <w:proofErr w:type="spellStart"/>
      <w:r w:rsidRPr="00487209">
        <w:rPr>
          <w:rFonts w:ascii="Palatino Linotype" w:hAnsi="Palatino Linotype" w:cs="Arial"/>
          <w:i/>
        </w:rPr>
        <w:t>Adilia</w:t>
      </w:r>
      <w:proofErr w:type="spellEnd"/>
      <w:r w:rsidRPr="00487209">
        <w:rPr>
          <w:rFonts w:ascii="Palatino Linotype" w:hAnsi="Palatino Linotype" w:cs="Arial"/>
          <w:i/>
        </w:rPr>
        <w:t xml:space="preserve"> Romero. 26 de octubre de 1988. Unanimidad de votos. Ponente: Arnoldo Nájera Virgen. Secretario: Enrique Crispín Campos Ramírez.</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 xml:space="preserve">Amparo en revisión 597/95. Emilio Maurer Bretón. 15 de noviembre de 1995. Unanimidad de votos. Ponente: Clementina Ramírez Moguel </w:t>
      </w:r>
      <w:proofErr w:type="spellStart"/>
      <w:r w:rsidRPr="00487209">
        <w:rPr>
          <w:rFonts w:ascii="Palatino Linotype" w:hAnsi="Palatino Linotype" w:cs="Arial"/>
          <w:i/>
        </w:rPr>
        <w:t>Goyzueta</w:t>
      </w:r>
      <w:proofErr w:type="spellEnd"/>
      <w:r w:rsidRPr="00487209">
        <w:rPr>
          <w:rFonts w:ascii="Palatino Linotype" w:hAnsi="Palatino Linotype" w:cs="Arial"/>
          <w:i/>
        </w:rPr>
        <w:t>. Secretario: Gonzalo Carrera Molina.</w:t>
      </w:r>
    </w:p>
    <w:p w:rsidR="00F77E6F" w:rsidRPr="00487209" w:rsidRDefault="00F77E6F" w:rsidP="00487209">
      <w:pPr>
        <w:spacing w:line="360" w:lineRule="auto"/>
        <w:ind w:left="567" w:right="567"/>
        <w:contextualSpacing/>
        <w:jc w:val="both"/>
        <w:rPr>
          <w:rFonts w:ascii="Palatino Linotype" w:hAnsi="Palatino Linotype" w:cs="Arial"/>
          <w:i/>
        </w:rPr>
      </w:pPr>
      <w:r w:rsidRPr="00487209">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487209">
        <w:rPr>
          <w:rFonts w:ascii="Palatino Linotype" w:hAnsi="Palatino Linotype" w:cs="Arial"/>
          <w:i/>
        </w:rPr>
        <w:t>Baigts</w:t>
      </w:r>
      <w:proofErr w:type="spellEnd"/>
      <w:r w:rsidRPr="00487209">
        <w:rPr>
          <w:rFonts w:ascii="Palatino Linotype" w:hAnsi="Palatino Linotype" w:cs="Arial"/>
          <w:i/>
        </w:rPr>
        <w:t xml:space="preserve"> Muñoz.</w:t>
      </w:r>
    </w:p>
    <w:p w:rsidR="00F77E6F" w:rsidRPr="00487209" w:rsidRDefault="00F77E6F" w:rsidP="00487209">
      <w:pPr>
        <w:spacing w:line="360" w:lineRule="auto"/>
        <w:ind w:firstLine="1418"/>
        <w:contextualSpacing/>
        <w:jc w:val="both"/>
        <w:rPr>
          <w:rFonts w:ascii="Palatino Linotype" w:hAnsi="Palatino Linotype" w:cs="Arial"/>
          <w:lang w:val="es-ES"/>
        </w:rPr>
      </w:pPr>
    </w:p>
    <w:p w:rsidR="00F77E6F" w:rsidRPr="00487209" w:rsidRDefault="00F77E6F" w:rsidP="0048720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8720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487209" w:rsidRDefault="00F77E6F" w:rsidP="00487209">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487209" w:rsidRDefault="00F77E6F" w:rsidP="0048720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8720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487209" w:rsidRDefault="00F77E6F" w:rsidP="00487209">
      <w:pPr>
        <w:shd w:val="clear" w:color="auto" w:fill="FFFFFF"/>
        <w:spacing w:line="360" w:lineRule="auto"/>
        <w:contextualSpacing/>
        <w:jc w:val="both"/>
        <w:rPr>
          <w:rFonts w:ascii="Palatino Linotype" w:eastAsia="Times New Roman" w:hAnsi="Palatino Linotype" w:cs="Arial"/>
          <w:lang w:eastAsia="es-MX"/>
        </w:rPr>
      </w:pPr>
    </w:p>
    <w:p w:rsidR="00F77E6F" w:rsidRPr="00487209" w:rsidRDefault="00F77E6F" w:rsidP="0048720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8720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487209" w:rsidRDefault="00F77E6F" w:rsidP="00487209">
      <w:pPr>
        <w:shd w:val="clear" w:color="auto" w:fill="FFFFFF"/>
        <w:spacing w:line="360" w:lineRule="auto"/>
        <w:jc w:val="both"/>
        <w:rPr>
          <w:rFonts w:ascii="Palatino Linotype" w:eastAsia="Times New Roman" w:hAnsi="Palatino Linotype" w:cs="Arial"/>
          <w:lang w:eastAsia="es-MX"/>
        </w:rPr>
      </w:pPr>
    </w:p>
    <w:p w:rsidR="00F77E6F" w:rsidRPr="00487209" w:rsidRDefault="00F77E6F" w:rsidP="0048720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48720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87209">
        <w:rPr>
          <w:rFonts w:ascii="Palatino Linotype" w:hAnsi="Palatino Linotype"/>
        </w:rPr>
        <w:t xml:space="preserve"> </w:t>
      </w:r>
      <w:r w:rsidRPr="00487209">
        <w:rPr>
          <w:rFonts w:ascii="Palatino Linotype" w:eastAsia="Times New Roman" w:hAnsi="Palatino Linotype" w:cs="Arial"/>
          <w:lang w:eastAsia="es-MX"/>
        </w:rPr>
        <w:t>datos personales</w:t>
      </w:r>
      <w:r w:rsidRPr="00487209">
        <w:rPr>
          <w:rStyle w:val="Refdenotaalpie"/>
          <w:rFonts w:ascii="Palatino Linotype" w:eastAsia="Times New Roman" w:hAnsi="Palatino Linotype" w:cs="Arial"/>
          <w:lang w:eastAsia="es-MX"/>
        </w:rPr>
        <w:footnoteReference w:id="14"/>
      </w:r>
      <w:r w:rsidRPr="0048720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8720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487209" w:rsidRDefault="00F77E6F" w:rsidP="00487209">
      <w:pPr>
        <w:pStyle w:val="Prrafodelista"/>
        <w:spacing w:line="360" w:lineRule="auto"/>
        <w:rPr>
          <w:rFonts w:ascii="Palatino Linotype" w:eastAsia="Times New Roman" w:hAnsi="Palatino Linotype" w:cs="Arial"/>
          <w:lang w:eastAsia="es-MX"/>
        </w:rPr>
      </w:pPr>
    </w:p>
    <w:p w:rsidR="00F77E6F" w:rsidRPr="00487209" w:rsidRDefault="00F77E6F" w:rsidP="0048720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48720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487209" w:rsidRDefault="00F77E6F" w:rsidP="00487209">
      <w:pPr>
        <w:pStyle w:val="Prrafodelista"/>
        <w:spacing w:line="360" w:lineRule="auto"/>
        <w:rPr>
          <w:rFonts w:ascii="Palatino Linotype" w:eastAsia="Times New Roman" w:hAnsi="Palatino Linotype" w:cs="Arial"/>
          <w:lang w:eastAsia="es-MX"/>
        </w:rPr>
      </w:pPr>
    </w:p>
    <w:p w:rsidR="00DD3F79" w:rsidRPr="008930CF" w:rsidRDefault="00F77E6F" w:rsidP="008930C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8720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87209">
        <w:rPr>
          <w:rFonts w:ascii="Palatino Linotype" w:hAnsi="Palatino Linotype"/>
          <w:lang w:val="es-ES"/>
        </w:rPr>
        <w:t xml:space="preserve"> </w:t>
      </w:r>
    </w:p>
    <w:p w:rsidR="00DD3F79" w:rsidRPr="00487209" w:rsidRDefault="00DD3F79" w:rsidP="00487209">
      <w:pPr>
        <w:pStyle w:val="Ttulo1"/>
        <w:spacing w:line="360" w:lineRule="auto"/>
        <w:rPr>
          <w:color w:val="000000" w:themeColor="text1"/>
          <w:szCs w:val="24"/>
        </w:rPr>
      </w:pPr>
      <w:bookmarkStart w:id="47" w:name="_Toc486525259"/>
      <w:bookmarkStart w:id="48" w:name="_Toc520970063"/>
      <w:bookmarkStart w:id="49" w:name="_Toc527655143"/>
      <w:bookmarkStart w:id="50" w:name="_Toc22660565"/>
      <w:bookmarkStart w:id="51" w:name="_Toc24028888"/>
      <w:r w:rsidRPr="00487209">
        <w:rPr>
          <w:color w:val="000000" w:themeColor="text1"/>
          <w:szCs w:val="24"/>
        </w:rPr>
        <w:t>SEXTO. Vista a los órganos de control interno</w:t>
      </w:r>
      <w:bookmarkEnd w:id="47"/>
      <w:bookmarkEnd w:id="48"/>
      <w:bookmarkEnd w:id="49"/>
      <w:bookmarkEnd w:id="50"/>
      <w:bookmarkEnd w:id="51"/>
    </w:p>
    <w:p w:rsidR="00DD3F79" w:rsidRPr="00487209" w:rsidRDefault="00DD3F79" w:rsidP="00487209">
      <w:pPr>
        <w:spacing w:line="360" w:lineRule="auto"/>
        <w:rPr>
          <w:rFonts w:ascii="Palatino Linotype" w:hAnsi="Palatino Linotype"/>
          <w:lang w:val="es-MX" w:eastAsia="en-US"/>
        </w:rPr>
      </w:pPr>
    </w:p>
    <w:p w:rsidR="00DD3F79" w:rsidRPr="00487209" w:rsidRDefault="00DD3F79"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87209">
        <w:rPr>
          <w:rFonts w:ascii="Palatino Linotype" w:hAnsi="Palatino Linotype"/>
          <w:b/>
        </w:rPr>
        <w:t>SUJETO OBLIGADO</w:t>
      </w:r>
      <w:r w:rsidRPr="00487209">
        <w:rPr>
          <w:rFonts w:ascii="Palatino Linotype" w:hAnsi="Palatino Linotype"/>
        </w:rPr>
        <w:t>.</w:t>
      </w:r>
    </w:p>
    <w:p w:rsidR="00DD3F79" w:rsidRPr="00487209" w:rsidRDefault="00DD3F79" w:rsidP="00487209">
      <w:pPr>
        <w:pStyle w:val="Prrafodelista"/>
        <w:spacing w:line="360" w:lineRule="auto"/>
        <w:ind w:left="0"/>
        <w:rPr>
          <w:rFonts w:ascii="Palatino Linotype" w:hAnsi="Palatino Linotype"/>
        </w:rPr>
      </w:pPr>
    </w:p>
    <w:p w:rsidR="00DD3F79" w:rsidRPr="00487209" w:rsidRDefault="00DD3F79" w:rsidP="00487209">
      <w:pPr>
        <w:pStyle w:val="Prrafodelista"/>
        <w:numPr>
          <w:ilvl w:val="0"/>
          <w:numId w:val="1"/>
        </w:numPr>
        <w:spacing w:before="240" w:after="240" w:line="360" w:lineRule="auto"/>
        <w:ind w:left="0" w:firstLine="0"/>
        <w:jc w:val="both"/>
        <w:rPr>
          <w:rFonts w:ascii="Palatino Linotype" w:hAnsi="Palatino Linotype"/>
        </w:rPr>
      </w:pPr>
      <w:r w:rsidRPr="00487209">
        <w:rPr>
          <w:rFonts w:ascii="Palatino Linotype" w:hAnsi="Palatino Linotype"/>
        </w:rPr>
        <w:t>Por ello, es conveniente señalar la fracción X, del artículo 36, de la Ley de Transparencia y Acceso a la Información Pública del Estado de México y Municipios, que establece:</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Artículo 36. El Instituto tendrá, en el ámbito de su competencia, las siguientes atribuciones:</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 xml:space="preserve">X. Hacer del conocimiento del órgano de control interno o equivalente de cada Sujeto Obligado las infracciones a esta Ley; </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w:t>
      </w:r>
    </w:p>
    <w:p w:rsidR="00DD3F79" w:rsidRPr="00487209" w:rsidRDefault="00DD3F79" w:rsidP="00487209">
      <w:pPr>
        <w:pStyle w:val="Prrafodelista"/>
        <w:numPr>
          <w:ilvl w:val="0"/>
          <w:numId w:val="1"/>
        </w:numPr>
        <w:spacing w:before="240" w:after="240" w:line="360" w:lineRule="auto"/>
        <w:ind w:left="0" w:firstLine="0"/>
        <w:jc w:val="both"/>
        <w:rPr>
          <w:rFonts w:ascii="Palatino Linotype" w:eastAsia="MS Mincho" w:hAnsi="Palatino Linotype" w:cs="Arial"/>
        </w:rPr>
      </w:pPr>
      <w:r w:rsidRPr="00487209">
        <w:rPr>
          <w:rFonts w:ascii="Palatino Linotype" w:hAnsi="Palatino Linotype"/>
        </w:rPr>
        <w:t xml:space="preserve">Asimismo, este Pleno hará del conocimiento del órgano de control de este Instituto de las infracciones en que el </w:t>
      </w:r>
      <w:r w:rsidRPr="00487209">
        <w:rPr>
          <w:rFonts w:ascii="Palatino Linotype" w:hAnsi="Palatino Linotype"/>
          <w:b/>
        </w:rPr>
        <w:t>SUJETO OBLIGADO</w:t>
      </w:r>
      <w:r w:rsidRPr="0048720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87209">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DD3F79" w:rsidRPr="00487209" w:rsidRDefault="00DD3F79" w:rsidP="00487209">
      <w:pPr>
        <w:spacing w:line="360" w:lineRule="auto"/>
        <w:ind w:left="567" w:right="567"/>
        <w:jc w:val="both"/>
        <w:rPr>
          <w:rFonts w:ascii="Palatino Linotype" w:hAnsi="Palatino Linotype"/>
          <w:i/>
        </w:rPr>
      </w:pPr>
      <w:r w:rsidRPr="00487209">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D3F79" w:rsidRPr="00487209" w:rsidRDefault="00DD3F79" w:rsidP="00487209">
      <w:pPr>
        <w:spacing w:line="360" w:lineRule="auto"/>
        <w:ind w:left="567" w:right="567"/>
        <w:contextualSpacing/>
        <w:jc w:val="both"/>
        <w:rPr>
          <w:rFonts w:ascii="Palatino Linotype" w:hAnsi="Palatino Linotype"/>
          <w:i/>
        </w:rPr>
      </w:pP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I. Cualquier acto u omisión que provoque la suspensión o deficiencia en la atención de las solicitudes de información;</w:t>
      </w:r>
    </w:p>
    <w:p w:rsidR="00DD3F79" w:rsidRPr="00487209" w:rsidRDefault="00DD3F79" w:rsidP="00487209">
      <w:pPr>
        <w:spacing w:line="360" w:lineRule="auto"/>
        <w:ind w:left="567" w:right="567"/>
        <w:contextualSpacing/>
        <w:jc w:val="both"/>
        <w:rPr>
          <w:rFonts w:ascii="Palatino Linotype" w:hAnsi="Palatino Linotype"/>
          <w:i/>
        </w:rPr>
      </w:pPr>
    </w:p>
    <w:p w:rsidR="00DD3F79" w:rsidRPr="00487209" w:rsidRDefault="00DD3F79" w:rsidP="00487209">
      <w:pPr>
        <w:spacing w:line="360" w:lineRule="auto"/>
        <w:ind w:left="567" w:right="567"/>
        <w:contextualSpacing/>
        <w:jc w:val="both"/>
        <w:rPr>
          <w:rFonts w:ascii="Palatino Linotype" w:hAnsi="Palatino Linotype"/>
          <w:b/>
          <w:i/>
        </w:rPr>
      </w:pPr>
      <w:r w:rsidRPr="00487209">
        <w:rPr>
          <w:rFonts w:ascii="Palatino Linotype" w:hAnsi="Palatino Linotype"/>
          <w:b/>
          <w:i/>
        </w:rPr>
        <w:t>II. La falta de respuesta a las solicitudes de información en los plazos señalados en la normatividad aplicable;</w:t>
      </w: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w:t>
      </w:r>
    </w:p>
    <w:p w:rsidR="00DD3F79" w:rsidRPr="00487209" w:rsidRDefault="00DD3F79"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Bold"/>
          <w:bCs/>
          <w:i/>
          <w:lang w:val="es-MX"/>
        </w:rPr>
        <w:t>XI.</w:t>
      </w:r>
      <w:r w:rsidRPr="00487209">
        <w:rPr>
          <w:rFonts w:ascii="Palatino Linotype" w:hAnsi="Palatino Linotype" w:cs="Bookman Old Style,Bold"/>
          <w:b/>
          <w:bCs/>
          <w:i/>
          <w:lang w:val="es-MX"/>
        </w:rPr>
        <w:t xml:space="preserve"> </w:t>
      </w:r>
      <w:r w:rsidRPr="00487209">
        <w:rPr>
          <w:rFonts w:ascii="Palatino Linotype" w:hAnsi="Palatino Linotype" w:cs="Bookman Old Style"/>
          <w:i/>
          <w:lang w:val="es-MX"/>
        </w:rPr>
        <w:t>No actualizar la información correspondiente a las obligaciones de transparencia en los plazos previstos en la presente Ley;</w:t>
      </w:r>
    </w:p>
    <w:p w:rsidR="00DD3F79" w:rsidRPr="00487209" w:rsidRDefault="00DD3F79" w:rsidP="00487209">
      <w:pPr>
        <w:autoSpaceDE w:val="0"/>
        <w:autoSpaceDN w:val="0"/>
        <w:adjustRightInd w:val="0"/>
        <w:spacing w:line="360" w:lineRule="auto"/>
        <w:ind w:left="567" w:right="567"/>
        <w:jc w:val="both"/>
        <w:rPr>
          <w:rFonts w:ascii="Palatino Linotype" w:hAnsi="Palatino Linotype" w:cs="Bookman Old Style"/>
          <w:i/>
          <w:lang w:val="es-MX"/>
        </w:rPr>
      </w:pPr>
      <w:r w:rsidRPr="00487209">
        <w:rPr>
          <w:rFonts w:ascii="Palatino Linotype" w:hAnsi="Palatino Linotype" w:cs="Bookman Old Style,Bold"/>
          <w:bCs/>
          <w:i/>
          <w:lang w:val="es-MX"/>
        </w:rPr>
        <w:t>…</w:t>
      </w:r>
    </w:p>
    <w:p w:rsidR="00DD3F79" w:rsidRPr="00487209" w:rsidRDefault="00DD3F79" w:rsidP="00487209">
      <w:pPr>
        <w:autoSpaceDE w:val="0"/>
        <w:autoSpaceDN w:val="0"/>
        <w:adjustRightInd w:val="0"/>
        <w:spacing w:line="360" w:lineRule="auto"/>
        <w:ind w:left="567" w:right="567"/>
        <w:rPr>
          <w:rFonts w:ascii="Palatino Linotype" w:hAnsi="Palatino Linotype"/>
          <w:i/>
        </w:rPr>
      </w:pPr>
    </w:p>
    <w:p w:rsidR="00DD3F79" w:rsidRPr="00487209" w:rsidRDefault="00DD3F79" w:rsidP="00487209">
      <w:pPr>
        <w:spacing w:line="360" w:lineRule="auto"/>
        <w:ind w:left="567" w:right="567"/>
        <w:contextualSpacing/>
        <w:jc w:val="both"/>
        <w:rPr>
          <w:rFonts w:ascii="Palatino Linotype" w:hAnsi="Palatino Linotype"/>
          <w:i/>
        </w:rPr>
      </w:pPr>
      <w:r w:rsidRPr="00487209">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5267F" w:rsidRPr="00487209" w:rsidRDefault="0015267F" w:rsidP="00487209">
      <w:pPr>
        <w:pStyle w:val="Prrafodelista"/>
        <w:spacing w:line="360" w:lineRule="auto"/>
        <w:rPr>
          <w:rFonts w:ascii="Palatino Linotype" w:hAnsi="Palatino Linotype"/>
          <w:lang w:val="es-ES"/>
        </w:rPr>
      </w:pPr>
    </w:p>
    <w:p w:rsidR="002A5BA4" w:rsidRPr="008930CF" w:rsidRDefault="008930CF" w:rsidP="00487209">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simplePos x="0" y="0"/>
                <wp:positionH relativeFrom="column">
                  <wp:posOffset>3230</wp:posOffset>
                </wp:positionH>
                <wp:positionV relativeFrom="paragraph">
                  <wp:posOffset>643034</wp:posOffset>
                </wp:positionV>
                <wp:extent cx="5575852" cy="4174435"/>
                <wp:effectExtent l="0" t="0" r="25400" b="17145"/>
                <wp:wrapNone/>
                <wp:docPr id="3" name="Conector recto 3"/>
                <wp:cNvGraphicFramePr/>
                <a:graphic xmlns:a="http://schemas.openxmlformats.org/drawingml/2006/main">
                  <a:graphicData uri="http://schemas.microsoft.com/office/word/2010/wordprocessingShape">
                    <wps:wsp>
                      <wps:cNvCnPr/>
                      <wps:spPr>
                        <a:xfrm flipH="1" flipV="1">
                          <a:off x="0" y="0"/>
                          <a:ext cx="5575852" cy="41744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BBA0C"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5pt,50.65pt" to="439.3pt,3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" strokecolor="#5b9bd5 [3204]" strokeweight=".5pt">
                <v:stroke joinstyle="miter"/>
              </v:line>
            </w:pict>
          </mc:Fallback>
        </mc:AlternateContent>
      </w:r>
      <w:r w:rsidR="002A5BA4" w:rsidRPr="00487209">
        <w:rPr>
          <w:rFonts w:ascii="Palatino Linotype" w:hAnsi="Palatino Linotype"/>
          <w:color w:val="000000"/>
          <w:lang w:val="es-ES" w:eastAsia="es-MX"/>
        </w:rPr>
        <w:t xml:space="preserve">Por lo anteriormente expuesto y fundado, este </w:t>
      </w:r>
      <w:r w:rsidR="002A5BA4" w:rsidRPr="00487209">
        <w:rPr>
          <w:rFonts w:ascii="Palatino Linotype" w:hAnsi="Palatino Linotype"/>
          <w:b/>
          <w:bCs/>
          <w:color w:val="000000"/>
          <w:lang w:val="es-ES" w:eastAsia="es-MX"/>
        </w:rPr>
        <w:t>ÓRGANO GARANTE</w:t>
      </w:r>
      <w:r w:rsidR="002A5BA4" w:rsidRPr="00487209">
        <w:rPr>
          <w:rFonts w:ascii="Palatino Linotype" w:hAnsi="Palatino Linotype"/>
          <w:color w:val="000000"/>
          <w:lang w:val="es-ES" w:eastAsia="es-MX"/>
        </w:rPr>
        <w:t xml:space="preserve"> emite los siguientes:</w:t>
      </w:r>
      <w:r w:rsidR="00150242" w:rsidRPr="00487209">
        <w:rPr>
          <w:rFonts w:ascii="Palatino Linotype" w:hAnsi="Palatino Linotype"/>
          <w:color w:val="000000"/>
          <w:lang w:val="es-ES" w:eastAsia="es-MX"/>
        </w:rPr>
        <w:t xml:space="preserve"> </w:t>
      </w:r>
      <w:r w:rsidR="00237EAE" w:rsidRPr="00487209">
        <w:rPr>
          <w:rFonts w:ascii="Palatino Linotype" w:hAnsi="Palatino Linotype"/>
          <w:color w:val="000000"/>
          <w:lang w:val="es-ES" w:eastAsia="es-MX"/>
        </w:rPr>
        <w:t xml:space="preserve"> </w:t>
      </w:r>
    </w:p>
    <w:p w:rsidR="008930CF" w:rsidRDefault="008930CF" w:rsidP="008930CF">
      <w:pPr>
        <w:spacing w:before="240" w:after="240" w:line="360" w:lineRule="auto"/>
        <w:jc w:val="both"/>
        <w:rPr>
          <w:rFonts w:ascii="Palatino Linotype" w:hAnsi="Palatino Linotype" w:cs="Arial"/>
        </w:rPr>
      </w:pPr>
    </w:p>
    <w:p w:rsidR="008930CF" w:rsidRDefault="008930CF" w:rsidP="008930CF">
      <w:pPr>
        <w:spacing w:before="240" w:after="240" w:line="360" w:lineRule="auto"/>
        <w:jc w:val="both"/>
        <w:rPr>
          <w:rFonts w:ascii="Palatino Linotype" w:hAnsi="Palatino Linotype" w:cs="Arial"/>
        </w:rPr>
      </w:pPr>
    </w:p>
    <w:p w:rsidR="008930CF" w:rsidRDefault="008930CF" w:rsidP="008930CF">
      <w:pPr>
        <w:spacing w:before="240" w:after="240" w:line="360" w:lineRule="auto"/>
        <w:jc w:val="both"/>
        <w:rPr>
          <w:rFonts w:ascii="Palatino Linotype" w:hAnsi="Palatino Linotype" w:cs="Arial"/>
        </w:rPr>
      </w:pPr>
      <w:bookmarkStart w:id="52" w:name="_GoBack"/>
      <w:bookmarkEnd w:id="52"/>
    </w:p>
    <w:p w:rsidR="008930CF" w:rsidRDefault="008930CF" w:rsidP="008930CF">
      <w:pPr>
        <w:spacing w:before="240" w:after="240" w:line="360" w:lineRule="auto"/>
        <w:jc w:val="both"/>
        <w:rPr>
          <w:rFonts w:ascii="Palatino Linotype" w:hAnsi="Palatino Linotype" w:cs="Arial"/>
        </w:rPr>
      </w:pPr>
    </w:p>
    <w:p w:rsidR="008930CF" w:rsidRPr="008930CF" w:rsidRDefault="008930CF" w:rsidP="008930CF">
      <w:pPr>
        <w:spacing w:before="240" w:after="240" w:line="360" w:lineRule="auto"/>
        <w:jc w:val="both"/>
        <w:rPr>
          <w:rFonts w:ascii="Palatino Linotype" w:hAnsi="Palatino Linotype" w:cs="Arial"/>
        </w:rPr>
      </w:pPr>
    </w:p>
    <w:p w:rsidR="002A5BA4" w:rsidRPr="00487209" w:rsidRDefault="002A5BA4" w:rsidP="00487209">
      <w:pPr>
        <w:keepNext/>
        <w:keepLines/>
        <w:spacing w:line="360" w:lineRule="auto"/>
        <w:jc w:val="center"/>
        <w:outlineLvl w:val="0"/>
        <w:rPr>
          <w:rFonts w:ascii="Palatino Linotype" w:eastAsia="Times New Roman" w:hAnsi="Palatino Linotype" w:cstheme="majorBidi"/>
          <w:b/>
          <w:bCs/>
        </w:rPr>
      </w:pPr>
      <w:bookmarkStart w:id="53" w:name="_Toc447699324"/>
      <w:bookmarkStart w:id="54" w:name="_Toc445745148"/>
      <w:bookmarkStart w:id="55" w:name="_Toc486525261"/>
      <w:bookmarkStart w:id="56" w:name="_Toc24028889"/>
      <w:r w:rsidRPr="00487209">
        <w:rPr>
          <w:rFonts w:ascii="Palatino Linotype" w:eastAsia="Times New Roman" w:hAnsi="Palatino Linotype" w:cstheme="majorBidi"/>
          <w:b/>
          <w:bCs/>
        </w:rPr>
        <w:t>R E S O L U T I V O S</w:t>
      </w:r>
      <w:bookmarkEnd w:id="53"/>
      <w:bookmarkEnd w:id="54"/>
      <w:bookmarkEnd w:id="55"/>
      <w:bookmarkEnd w:id="56"/>
    </w:p>
    <w:p w:rsidR="00B165CC" w:rsidRPr="00487209" w:rsidRDefault="00B165CC" w:rsidP="00487209">
      <w:pPr>
        <w:keepNext/>
        <w:keepLines/>
        <w:spacing w:line="360" w:lineRule="auto"/>
        <w:jc w:val="center"/>
        <w:outlineLvl w:val="0"/>
        <w:rPr>
          <w:rFonts w:ascii="Palatino Linotype" w:eastAsia="Times New Roman" w:hAnsi="Palatino Linotype" w:cstheme="majorBidi"/>
          <w:b/>
          <w:bCs/>
        </w:rPr>
      </w:pPr>
    </w:p>
    <w:p w:rsidR="00E81879" w:rsidRPr="00487209" w:rsidRDefault="00E81879" w:rsidP="00487209">
      <w:pPr>
        <w:spacing w:line="360" w:lineRule="auto"/>
        <w:jc w:val="both"/>
        <w:rPr>
          <w:rFonts w:ascii="Palatino Linotype" w:eastAsia="Times New Roman" w:hAnsi="Palatino Linotype" w:cs="Times New Roman"/>
        </w:rPr>
      </w:pPr>
      <w:r w:rsidRPr="00487209">
        <w:rPr>
          <w:rFonts w:ascii="Palatino Linotype" w:eastAsia="Times New Roman" w:hAnsi="Palatino Linotype" w:cs="Arial"/>
          <w:b/>
        </w:rPr>
        <w:t xml:space="preserve">PRIMERO. </w:t>
      </w:r>
      <w:r w:rsidRPr="00487209">
        <w:rPr>
          <w:rFonts w:ascii="Palatino Linotype" w:eastAsia="Times New Roman" w:hAnsi="Palatino Linotype" w:cs="Arial"/>
        </w:rPr>
        <w:t xml:space="preserve">Resultan </w:t>
      </w:r>
      <w:r w:rsidR="006E74A1" w:rsidRPr="00487209">
        <w:rPr>
          <w:rFonts w:ascii="Palatino Linotype" w:eastAsia="Times New Roman" w:hAnsi="Palatino Linotype" w:cs="Arial"/>
        </w:rPr>
        <w:t xml:space="preserve">fundadas </w:t>
      </w:r>
      <w:r w:rsidRPr="00487209">
        <w:rPr>
          <w:rFonts w:ascii="Palatino Linotype" w:eastAsia="Times New Roman" w:hAnsi="Palatino Linotype" w:cs="Arial"/>
        </w:rPr>
        <w:t>las</w:t>
      </w:r>
      <w:r w:rsidRPr="00487209">
        <w:rPr>
          <w:rFonts w:ascii="Palatino Linotype" w:eastAsia="Times New Roman" w:hAnsi="Palatino Linotype" w:cs="Arial"/>
          <w:b/>
        </w:rPr>
        <w:t xml:space="preserve"> </w:t>
      </w:r>
      <w:r w:rsidRPr="00487209">
        <w:rPr>
          <w:rFonts w:ascii="Palatino Linotype" w:eastAsia="Times New Roman" w:hAnsi="Palatino Linotype" w:cs="Arial"/>
          <w:lang w:val="es-ES"/>
        </w:rPr>
        <w:t xml:space="preserve">razones o motivos de inconformidad hechos valer </w:t>
      </w:r>
      <w:r w:rsidRPr="00487209">
        <w:rPr>
          <w:rFonts w:ascii="Palatino Linotype" w:eastAsia="Calibri" w:hAnsi="Palatino Linotype" w:cs="Arial"/>
          <w:lang w:val="es-ES"/>
        </w:rPr>
        <w:t xml:space="preserve">en </w:t>
      </w:r>
      <w:r w:rsidR="001E69EF" w:rsidRPr="00487209">
        <w:rPr>
          <w:rFonts w:ascii="Palatino Linotype" w:eastAsia="Calibri" w:hAnsi="Palatino Linotype" w:cs="Arial"/>
          <w:lang w:val="es-ES"/>
        </w:rPr>
        <w:t>el</w:t>
      </w:r>
      <w:r w:rsidRPr="00487209">
        <w:rPr>
          <w:rFonts w:ascii="Palatino Linotype" w:eastAsia="Calibri" w:hAnsi="Palatino Linotype" w:cs="Arial"/>
          <w:lang w:val="es-ES"/>
        </w:rPr>
        <w:t xml:space="preserve"> recurso de revisión </w:t>
      </w:r>
      <w:r w:rsidR="004B019D" w:rsidRPr="00487209">
        <w:rPr>
          <w:rFonts w:ascii="Palatino Linotype" w:hAnsi="Palatino Linotype" w:cs="Arial"/>
          <w:b/>
          <w:bCs/>
        </w:rPr>
        <w:t>0</w:t>
      </w:r>
      <w:r w:rsidR="00A8727A" w:rsidRPr="00487209">
        <w:rPr>
          <w:rFonts w:ascii="Palatino Linotype" w:hAnsi="Palatino Linotype" w:cs="Arial"/>
          <w:b/>
          <w:bCs/>
        </w:rPr>
        <w:t>6</w:t>
      </w:r>
      <w:r w:rsidR="004A1F40" w:rsidRPr="00487209">
        <w:rPr>
          <w:rFonts w:ascii="Palatino Linotype" w:hAnsi="Palatino Linotype" w:cs="Arial"/>
          <w:b/>
          <w:bCs/>
        </w:rPr>
        <w:t>97</w:t>
      </w:r>
      <w:r w:rsidR="000F2EDB" w:rsidRPr="00487209">
        <w:rPr>
          <w:rFonts w:ascii="Palatino Linotype" w:hAnsi="Palatino Linotype" w:cs="Arial"/>
          <w:b/>
          <w:bCs/>
        </w:rPr>
        <w:t>8</w:t>
      </w:r>
      <w:r w:rsidR="00794037" w:rsidRPr="00487209">
        <w:rPr>
          <w:rFonts w:ascii="Palatino Linotype" w:hAnsi="Palatino Linotype" w:cs="Arial"/>
          <w:b/>
          <w:bCs/>
        </w:rPr>
        <w:t>/INFOEM/IP/RR/2019</w:t>
      </w:r>
      <w:r w:rsidR="004B019D" w:rsidRPr="00487209">
        <w:rPr>
          <w:rFonts w:ascii="Palatino Linotype" w:hAnsi="Palatino Linotype" w:cs="Arial"/>
          <w:b/>
          <w:bCs/>
        </w:rPr>
        <w:t xml:space="preserve">, </w:t>
      </w:r>
      <w:r w:rsidR="009A66DF" w:rsidRPr="00487209">
        <w:rPr>
          <w:rFonts w:ascii="Palatino Linotype" w:hAnsi="Palatino Linotype" w:cs="Arial"/>
          <w:bCs/>
        </w:rPr>
        <w:t>en términos de</w:t>
      </w:r>
      <w:r w:rsidR="000205C3" w:rsidRPr="00487209">
        <w:rPr>
          <w:rFonts w:ascii="Palatino Linotype" w:hAnsi="Palatino Linotype" w:cs="Arial"/>
          <w:bCs/>
        </w:rPr>
        <w:t xml:space="preserve"> </w:t>
      </w:r>
      <w:r w:rsidR="008078B6" w:rsidRPr="00487209">
        <w:rPr>
          <w:rFonts w:ascii="Palatino Linotype" w:hAnsi="Palatino Linotype" w:cs="Arial"/>
          <w:bCs/>
        </w:rPr>
        <w:t>l</w:t>
      </w:r>
      <w:r w:rsidR="000205C3" w:rsidRPr="00487209">
        <w:rPr>
          <w:rFonts w:ascii="Palatino Linotype" w:hAnsi="Palatino Linotype" w:cs="Arial"/>
          <w:bCs/>
        </w:rPr>
        <w:t>os</w:t>
      </w:r>
      <w:r w:rsidR="009A66DF" w:rsidRPr="00487209">
        <w:rPr>
          <w:rFonts w:ascii="Palatino Linotype" w:hAnsi="Palatino Linotype" w:cs="Arial"/>
          <w:bCs/>
        </w:rPr>
        <w:t xml:space="preserve"> considerando</w:t>
      </w:r>
      <w:r w:rsidR="000205C3" w:rsidRPr="00487209">
        <w:rPr>
          <w:rFonts w:ascii="Palatino Linotype" w:hAnsi="Palatino Linotype" w:cs="Arial"/>
          <w:bCs/>
        </w:rPr>
        <w:t>s</w:t>
      </w:r>
      <w:r w:rsidR="009A66DF" w:rsidRPr="00487209">
        <w:rPr>
          <w:rFonts w:ascii="Palatino Linotype" w:hAnsi="Palatino Linotype" w:cs="Arial"/>
          <w:bCs/>
        </w:rPr>
        <w:t xml:space="preserve"> </w:t>
      </w:r>
      <w:r w:rsidR="009A66DF" w:rsidRPr="00487209">
        <w:rPr>
          <w:rFonts w:ascii="Palatino Linotype" w:hAnsi="Palatino Linotype" w:cs="Arial"/>
          <w:b/>
          <w:bCs/>
        </w:rPr>
        <w:t>CUARTO</w:t>
      </w:r>
      <w:r w:rsidR="009A66DF" w:rsidRPr="00487209">
        <w:rPr>
          <w:rFonts w:ascii="Palatino Linotype" w:hAnsi="Palatino Linotype" w:cs="Arial"/>
          <w:bCs/>
        </w:rPr>
        <w:t xml:space="preserve"> </w:t>
      </w:r>
      <w:r w:rsidR="000205C3" w:rsidRPr="00487209">
        <w:rPr>
          <w:rFonts w:ascii="Palatino Linotype" w:hAnsi="Palatino Linotype" w:cs="Arial"/>
          <w:bCs/>
        </w:rPr>
        <w:t xml:space="preserve">y </w:t>
      </w:r>
      <w:r w:rsidR="000205C3" w:rsidRPr="00487209">
        <w:rPr>
          <w:rFonts w:ascii="Palatino Linotype" w:hAnsi="Palatino Linotype" w:cs="Arial"/>
          <w:b/>
          <w:bCs/>
        </w:rPr>
        <w:t>QUINTO</w:t>
      </w:r>
      <w:r w:rsidR="00ED70A8" w:rsidRPr="00487209">
        <w:rPr>
          <w:rFonts w:ascii="Palatino Linotype" w:hAnsi="Palatino Linotype" w:cs="Arial"/>
          <w:b/>
          <w:bCs/>
        </w:rPr>
        <w:t xml:space="preserve"> </w:t>
      </w:r>
      <w:r w:rsidR="009A66DF" w:rsidRPr="00487209">
        <w:rPr>
          <w:rFonts w:ascii="Palatino Linotype" w:hAnsi="Palatino Linotype" w:cs="Arial"/>
          <w:bCs/>
        </w:rPr>
        <w:t>de la presente resolución.</w:t>
      </w:r>
      <w:r w:rsidR="00886B78" w:rsidRPr="00487209">
        <w:rPr>
          <w:rFonts w:ascii="Palatino Linotype" w:hAnsi="Palatino Linotype" w:cs="Arial"/>
          <w:bCs/>
        </w:rPr>
        <w:t xml:space="preserve"> </w:t>
      </w:r>
      <w:r w:rsidR="000D559C" w:rsidRPr="00487209">
        <w:rPr>
          <w:rFonts w:ascii="Palatino Linotype" w:hAnsi="Palatino Linotype" w:cs="Arial"/>
          <w:bCs/>
        </w:rPr>
        <w:t xml:space="preserve"> </w:t>
      </w:r>
    </w:p>
    <w:p w:rsidR="002E2041" w:rsidRPr="00487209" w:rsidRDefault="00E81879" w:rsidP="00487209">
      <w:pPr>
        <w:spacing w:before="240" w:after="240" w:line="360" w:lineRule="auto"/>
        <w:jc w:val="both"/>
        <w:rPr>
          <w:rFonts w:ascii="Palatino Linotype" w:hAnsi="Palatino Linotype" w:cs="Arial"/>
          <w:bCs/>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487209">
        <w:rPr>
          <w:rFonts w:ascii="Palatino Linotype" w:hAnsi="Palatino Linotype"/>
          <w:b/>
        </w:rPr>
        <w:t>SEGUNDO.</w:t>
      </w:r>
      <w:r w:rsidRPr="00487209">
        <w:rPr>
          <w:rStyle w:val="Ttulo2Car"/>
          <w:rFonts w:ascii="Palatino Linotype" w:hAnsi="Palatino Linotype"/>
          <w:b/>
          <w:sz w:val="24"/>
          <w:szCs w:val="24"/>
        </w:rPr>
        <w:t xml:space="preserve"> </w:t>
      </w:r>
      <w:bookmarkEnd w:id="57"/>
      <w:bookmarkEnd w:id="58"/>
      <w:bookmarkEnd w:id="59"/>
      <w:bookmarkEnd w:id="60"/>
      <w:bookmarkEnd w:id="61"/>
      <w:bookmarkEnd w:id="62"/>
      <w:bookmarkEnd w:id="63"/>
      <w:r w:rsidRPr="00487209">
        <w:rPr>
          <w:rFonts w:ascii="Palatino Linotype" w:eastAsia="Calibri" w:hAnsi="Palatino Linotype" w:cs="Arial"/>
          <w:lang w:val="es-ES"/>
        </w:rPr>
        <w:t>Se</w:t>
      </w:r>
      <w:r w:rsidRPr="00487209">
        <w:rPr>
          <w:rFonts w:ascii="Palatino Linotype" w:eastAsia="Calibri" w:hAnsi="Palatino Linotype" w:cs="Arial"/>
          <w:b/>
          <w:lang w:val="es-ES"/>
        </w:rPr>
        <w:t xml:space="preserve"> </w:t>
      </w:r>
      <w:r w:rsidR="0022360C" w:rsidRPr="00487209">
        <w:rPr>
          <w:rFonts w:ascii="Palatino Linotype" w:eastAsia="Calibri" w:hAnsi="Palatino Linotype" w:cs="Arial"/>
          <w:b/>
          <w:lang w:val="es-ES"/>
        </w:rPr>
        <w:t>ORDENA A</w:t>
      </w:r>
      <w:r w:rsidR="00716862" w:rsidRPr="00487209">
        <w:rPr>
          <w:rFonts w:ascii="Palatino Linotype" w:eastAsia="Calibri" w:hAnsi="Palatino Linotype" w:cs="Arial"/>
          <w:lang w:val="es-ES"/>
        </w:rPr>
        <w:t>l</w:t>
      </w:r>
      <w:r w:rsidR="00716862" w:rsidRPr="00487209">
        <w:rPr>
          <w:rFonts w:ascii="Palatino Linotype" w:eastAsia="Calibri" w:hAnsi="Palatino Linotype" w:cs="Arial"/>
          <w:b/>
          <w:lang w:val="es-ES"/>
        </w:rPr>
        <w:t xml:space="preserve"> </w:t>
      </w:r>
      <w:r w:rsidR="00716862" w:rsidRPr="00487209">
        <w:rPr>
          <w:rFonts w:ascii="Palatino Linotype" w:hAnsi="Palatino Linotype"/>
          <w:b/>
          <w:bCs/>
        </w:rPr>
        <w:t>Ayuntamiento de Tecámac</w:t>
      </w:r>
      <w:r w:rsidR="00716862" w:rsidRPr="00487209">
        <w:rPr>
          <w:rFonts w:ascii="Palatino Linotype" w:eastAsia="Calibri" w:hAnsi="Palatino Linotype" w:cs="Arial"/>
          <w:lang w:val="es-ES"/>
        </w:rPr>
        <w:t xml:space="preserve"> </w:t>
      </w:r>
      <w:r w:rsidR="00A82194" w:rsidRPr="00487209">
        <w:rPr>
          <w:rFonts w:ascii="Palatino Linotype" w:eastAsia="Calibri" w:hAnsi="Palatino Linotype" w:cs="Arial"/>
          <w:lang w:val="es-ES"/>
        </w:rPr>
        <w:t xml:space="preserve">entregar, vía </w:t>
      </w:r>
      <w:r w:rsidR="007740EB" w:rsidRPr="00487209">
        <w:rPr>
          <w:rFonts w:ascii="Palatino Linotype" w:eastAsia="Times New Roman" w:hAnsi="Palatino Linotype" w:cs="Arial"/>
          <w:b/>
          <w:lang w:val="es-ES"/>
        </w:rPr>
        <w:t>Sistema de Acceso a la Información Mexiquense</w:t>
      </w:r>
      <w:r w:rsidR="00C93E8B" w:rsidRPr="00487209">
        <w:rPr>
          <w:rFonts w:ascii="Palatino Linotype" w:eastAsia="Times New Roman" w:hAnsi="Palatino Linotype" w:cs="Arial"/>
          <w:b/>
          <w:lang w:val="es-ES"/>
        </w:rPr>
        <w:t xml:space="preserve"> (SAIMEX)</w:t>
      </w:r>
      <w:r w:rsidR="003E4B60" w:rsidRPr="00487209">
        <w:rPr>
          <w:rFonts w:ascii="Palatino Linotype" w:eastAsia="Times New Roman" w:hAnsi="Palatino Linotype" w:cs="Arial"/>
          <w:lang w:val="es-ES"/>
        </w:rPr>
        <w:t xml:space="preserve"> y vía </w:t>
      </w:r>
      <w:r w:rsidR="003E4B60" w:rsidRPr="00487209">
        <w:rPr>
          <w:rFonts w:ascii="Palatino Linotype" w:eastAsia="Times New Roman" w:hAnsi="Palatino Linotype" w:cs="Arial"/>
          <w:b/>
          <w:lang w:val="es-ES"/>
        </w:rPr>
        <w:t xml:space="preserve">correo electrónico, </w:t>
      </w:r>
      <w:r w:rsidR="002E2041" w:rsidRPr="00487209">
        <w:rPr>
          <w:rFonts w:ascii="Palatino Linotype" w:eastAsia="Times New Roman" w:hAnsi="Palatino Linotype" w:cs="Arial"/>
          <w:lang w:val="es-ES"/>
        </w:rPr>
        <w:t xml:space="preserve"> </w:t>
      </w:r>
      <w:r w:rsidR="00766EB6" w:rsidRPr="00487209">
        <w:rPr>
          <w:rFonts w:ascii="Palatino Linotype" w:eastAsia="Times New Roman" w:hAnsi="Palatino Linotype" w:cs="Arial"/>
          <w:lang w:val="es-ES"/>
        </w:rPr>
        <w:t xml:space="preserve">previa búsqueda exhaustiva y razonable, </w:t>
      </w:r>
      <w:r w:rsidR="000F2EDB" w:rsidRPr="00487209">
        <w:rPr>
          <w:rFonts w:ascii="Palatino Linotype" w:eastAsia="Times New Roman" w:hAnsi="Palatino Linotype" w:cs="Arial"/>
          <w:lang w:val="es-ES"/>
        </w:rPr>
        <w:t xml:space="preserve">de ser el caso </w:t>
      </w:r>
      <w:r w:rsidR="006B3D8E" w:rsidRPr="00487209">
        <w:rPr>
          <w:rFonts w:ascii="Palatino Linotype" w:eastAsia="Times New Roman" w:hAnsi="Palatino Linotype" w:cs="Arial"/>
          <w:lang w:val="es-ES"/>
        </w:rPr>
        <w:t>en versión pública</w:t>
      </w:r>
      <w:r w:rsidR="00766EB6" w:rsidRPr="00487209">
        <w:rPr>
          <w:rFonts w:ascii="Palatino Linotype" w:eastAsia="Times New Roman" w:hAnsi="Palatino Linotype" w:cs="Arial"/>
          <w:lang w:val="es-ES"/>
        </w:rPr>
        <w:t xml:space="preserve">, </w:t>
      </w:r>
      <w:r w:rsidR="0051509C" w:rsidRPr="00487209">
        <w:rPr>
          <w:rFonts w:ascii="Palatino Linotype" w:eastAsia="Times New Roman" w:hAnsi="Palatino Linotype" w:cs="Arial"/>
          <w:lang w:val="es-ES"/>
        </w:rPr>
        <w:t>l</w:t>
      </w:r>
      <w:r w:rsidR="00766EB6" w:rsidRPr="00487209">
        <w:rPr>
          <w:rFonts w:ascii="Palatino Linotype" w:eastAsia="Times New Roman" w:hAnsi="Palatino Linotype" w:cs="Arial"/>
          <w:lang w:val="es-ES"/>
        </w:rPr>
        <w:t>o</w:t>
      </w:r>
      <w:r w:rsidR="0051509C" w:rsidRPr="00487209">
        <w:rPr>
          <w:rFonts w:ascii="Palatino Linotype" w:eastAsia="Times New Roman" w:hAnsi="Palatino Linotype" w:cs="Arial"/>
          <w:lang w:val="es-ES"/>
        </w:rPr>
        <w:t xml:space="preserve"> siguiente</w:t>
      </w:r>
      <w:r w:rsidR="00F77E6F" w:rsidRPr="00487209">
        <w:rPr>
          <w:rFonts w:ascii="Palatino Linotype" w:eastAsia="Times New Roman" w:hAnsi="Palatino Linotype" w:cs="Arial"/>
          <w:lang w:val="es-ES"/>
        </w:rPr>
        <w:t>:</w:t>
      </w:r>
      <w:r w:rsidR="00DC18BA" w:rsidRPr="00487209">
        <w:rPr>
          <w:rFonts w:ascii="Palatino Linotype" w:eastAsia="Times New Roman" w:hAnsi="Palatino Linotype" w:cs="Arial"/>
          <w:lang w:val="es-ES"/>
        </w:rPr>
        <w:t xml:space="preserve"> </w:t>
      </w:r>
      <w:r w:rsidR="00543B5B" w:rsidRPr="00487209">
        <w:rPr>
          <w:rFonts w:ascii="Palatino Linotype" w:eastAsia="Times New Roman" w:hAnsi="Palatino Linotype" w:cs="Arial"/>
          <w:lang w:val="es-ES"/>
        </w:rPr>
        <w:t xml:space="preserve"> </w:t>
      </w:r>
    </w:p>
    <w:p w:rsidR="007A53D3" w:rsidRPr="00487209" w:rsidRDefault="007A53D3" w:rsidP="00487209">
      <w:pPr>
        <w:pStyle w:val="Prrafodelista"/>
        <w:numPr>
          <w:ilvl w:val="0"/>
          <w:numId w:val="7"/>
        </w:numPr>
        <w:spacing w:line="360" w:lineRule="auto"/>
        <w:ind w:left="284" w:right="616" w:hanging="349"/>
        <w:jc w:val="both"/>
        <w:rPr>
          <w:rFonts w:ascii="Palatino Linotype" w:hAnsi="Palatino Linotype"/>
          <w:b/>
          <w:bCs/>
        </w:rPr>
      </w:pPr>
      <w:bookmarkStart w:id="64" w:name="_Toc460947013"/>
      <w:r w:rsidRPr="00487209">
        <w:rPr>
          <w:rFonts w:ascii="Palatino Linotype" w:hAnsi="Palatino Linotype"/>
          <w:b/>
          <w:bCs/>
        </w:rPr>
        <w:t>Del Fondo de Aportaciones para la Seguridad Pública de los Estados y del Distrito Federal (FASP) y del Programa de Fortalecimiento para la Seguridad (FORTASEG)</w:t>
      </w:r>
      <w:r w:rsidRPr="00487209">
        <w:rPr>
          <w:rFonts w:ascii="Palatino Linotype" w:hAnsi="Palatino Linotype"/>
          <w:b/>
          <w:bCs/>
          <w:u w:val="single"/>
        </w:rPr>
        <w:t>,</w:t>
      </w:r>
      <w:r w:rsidRPr="00487209">
        <w:rPr>
          <w:rFonts w:ascii="Palatino Linotype" w:hAnsi="Palatino Linotype"/>
          <w:b/>
          <w:bCs/>
        </w:rPr>
        <w:t xml:space="preserve"> del periodo relativo del uno (01) de enero del año dos mil quince al veintinueve (29) de julio del año dos mil diecinueve;</w:t>
      </w:r>
    </w:p>
    <w:p w:rsidR="007A53D3" w:rsidRPr="00487209" w:rsidRDefault="007A53D3" w:rsidP="00487209">
      <w:pPr>
        <w:spacing w:line="360" w:lineRule="auto"/>
        <w:ind w:left="567" w:right="616"/>
        <w:jc w:val="both"/>
        <w:rPr>
          <w:rFonts w:ascii="Palatino Linotype" w:hAnsi="Palatino Linotype"/>
          <w:b/>
          <w:bCs/>
        </w:rPr>
      </w:pPr>
    </w:p>
    <w:p w:rsidR="007A53D3" w:rsidRPr="00487209" w:rsidRDefault="007A53D3" w:rsidP="00487209">
      <w:pPr>
        <w:pStyle w:val="Prrafodelista"/>
        <w:numPr>
          <w:ilvl w:val="1"/>
          <w:numId w:val="4"/>
        </w:numPr>
        <w:spacing w:line="360" w:lineRule="auto"/>
        <w:ind w:left="851" w:right="616"/>
        <w:jc w:val="both"/>
        <w:rPr>
          <w:rFonts w:ascii="Palatino Linotype" w:hAnsi="Palatino Linotype"/>
          <w:b/>
          <w:bCs/>
        </w:rPr>
      </w:pPr>
      <w:r w:rsidRPr="00487209">
        <w:rPr>
          <w:rFonts w:ascii="Palatino Linotype" w:hAnsi="Palatino Linotype"/>
          <w:b/>
          <w:bCs/>
        </w:rPr>
        <w:t xml:space="preserve">Contratos, estudios de mercado, documentos donde conste la revisión de las bases realizada por la Contraloría Interna, así como las facturas de los bienes adquiridos. </w:t>
      </w:r>
    </w:p>
    <w:p w:rsidR="007A53D3" w:rsidRPr="00487209" w:rsidRDefault="007A53D3" w:rsidP="00487209">
      <w:pPr>
        <w:pStyle w:val="Prrafodelista"/>
        <w:numPr>
          <w:ilvl w:val="1"/>
          <w:numId w:val="4"/>
        </w:numPr>
        <w:spacing w:line="360" w:lineRule="auto"/>
        <w:ind w:left="851" w:right="616"/>
        <w:jc w:val="both"/>
        <w:rPr>
          <w:rFonts w:ascii="Palatino Linotype" w:hAnsi="Palatino Linotype"/>
          <w:b/>
          <w:bCs/>
        </w:rPr>
      </w:pPr>
      <w:r w:rsidRPr="00487209">
        <w:rPr>
          <w:rFonts w:ascii="Palatino Linotype" w:hAnsi="Palatino Linotype"/>
          <w:b/>
          <w:bCs/>
        </w:rPr>
        <w:t xml:space="preserve">Documentos donde consten los reportes erogados donde se advierta cómo y en qué se destinó el gasto de los recursos recibidos. </w:t>
      </w:r>
    </w:p>
    <w:p w:rsidR="007A53D3" w:rsidRPr="00487209" w:rsidRDefault="007A53D3" w:rsidP="00487209">
      <w:pPr>
        <w:pStyle w:val="Prrafodelista"/>
        <w:numPr>
          <w:ilvl w:val="1"/>
          <w:numId w:val="4"/>
        </w:numPr>
        <w:spacing w:line="360" w:lineRule="auto"/>
        <w:ind w:left="851" w:right="616"/>
        <w:jc w:val="both"/>
        <w:rPr>
          <w:rFonts w:ascii="Palatino Linotype" w:hAnsi="Palatino Linotype"/>
          <w:b/>
          <w:bCs/>
        </w:rPr>
      </w:pPr>
      <w:r w:rsidRPr="00487209">
        <w:rPr>
          <w:rFonts w:ascii="Palatino Linotype" w:hAnsi="Palatino Linotype"/>
          <w:b/>
          <w:bCs/>
        </w:rPr>
        <w:t>Todos los documentos remitidos al Secretariado Ejecutivo del Sistema de Seguridad Pública.</w:t>
      </w:r>
    </w:p>
    <w:p w:rsidR="007A53D3" w:rsidRPr="00487209" w:rsidRDefault="007A53D3" w:rsidP="00487209">
      <w:pPr>
        <w:pStyle w:val="Prrafodelista"/>
        <w:numPr>
          <w:ilvl w:val="1"/>
          <w:numId w:val="4"/>
        </w:numPr>
        <w:spacing w:line="360" w:lineRule="auto"/>
        <w:ind w:left="851" w:right="616"/>
        <w:jc w:val="both"/>
        <w:rPr>
          <w:rFonts w:ascii="Palatino Linotype" w:hAnsi="Palatino Linotype"/>
          <w:b/>
          <w:bCs/>
        </w:rPr>
      </w:pPr>
      <w:r w:rsidRPr="00487209">
        <w:rPr>
          <w:rFonts w:ascii="Palatino Linotype" w:hAnsi="Palatino Linotype"/>
          <w:b/>
          <w:bCs/>
        </w:rPr>
        <w:t>Documentos donde conste la revisión de bases y anexos técnicos de los bienes comprados; y,</w:t>
      </w:r>
    </w:p>
    <w:p w:rsidR="007A53D3" w:rsidRPr="00487209" w:rsidRDefault="007A53D3" w:rsidP="00487209">
      <w:pPr>
        <w:pStyle w:val="Prrafodelista"/>
        <w:numPr>
          <w:ilvl w:val="1"/>
          <w:numId w:val="4"/>
        </w:numPr>
        <w:spacing w:line="360" w:lineRule="auto"/>
        <w:ind w:left="851" w:right="616"/>
        <w:jc w:val="both"/>
        <w:rPr>
          <w:rFonts w:ascii="Palatino Linotype" w:hAnsi="Palatino Linotype"/>
          <w:b/>
          <w:bCs/>
        </w:rPr>
      </w:pPr>
      <w:r w:rsidRPr="00487209">
        <w:rPr>
          <w:rFonts w:ascii="Palatino Linotype" w:hAnsi="Palatino Linotype"/>
          <w:b/>
          <w:bCs/>
        </w:rPr>
        <w:t xml:space="preserve">Documentos donde consten las auditorías realizadas. </w:t>
      </w:r>
    </w:p>
    <w:p w:rsidR="007A53D3" w:rsidRPr="00487209" w:rsidRDefault="007A53D3" w:rsidP="00487209">
      <w:pPr>
        <w:spacing w:line="360" w:lineRule="auto"/>
        <w:jc w:val="both"/>
        <w:rPr>
          <w:rFonts w:ascii="Palatino Linotype" w:eastAsia="Calibri" w:hAnsi="Palatino Linotype" w:cs="Arial"/>
        </w:rPr>
      </w:pPr>
    </w:p>
    <w:p w:rsidR="00415864" w:rsidRPr="00487209" w:rsidRDefault="00415864" w:rsidP="00487209">
      <w:pPr>
        <w:spacing w:line="360" w:lineRule="auto"/>
        <w:jc w:val="both"/>
        <w:rPr>
          <w:rFonts w:ascii="Palatino Linotype" w:eastAsia="Calibri" w:hAnsi="Palatino Linotype" w:cs="Arial"/>
        </w:rPr>
      </w:pPr>
      <w:r w:rsidRPr="0048720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487209">
        <w:rPr>
          <w:rFonts w:ascii="Palatino Linotype" w:eastAsia="Calibri" w:hAnsi="Palatino Linotype" w:cs="Arial"/>
        </w:rPr>
        <w:t>a disposición de la parte recurrente.</w:t>
      </w:r>
    </w:p>
    <w:p w:rsidR="0059406B" w:rsidRPr="00487209" w:rsidRDefault="0059406B" w:rsidP="00487209">
      <w:pPr>
        <w:spacing w:line="360" w:lineRule="auto"/>
        <w:jc w:val="both"/>
        <w:rPr>
          <w:rFonts w:ascii="Palatino Linotype" w:eastAsia="Calibri" w:hAnsi="Palatino Linotype" w:cs="Arial"/>
        </w:rPr>
      </w:pPr>
    </w:p>
    <w:p w:rsidR="00E81879" w:rsidRPr="00487209" w:rsidRDefault="0051509C" w:rsidP="00487209">
      <w:pPr>
        <w:tabs>
          <w:tab w:val="left" w:pos="8080"/>
        </w:tabs>
        <w:spacing w:line="360" w:lineRule="auto"/>
        <w:ind w:right="49"/>
        <w:contextualSpacing/>
        <w:jc w:val="both"/>
        <w:rPr>
          <w:rFonts w:ascii="Palatino Linotype" w:eastAsia="Palatino Linotype" w:hAnsi="Palatino Linotype" w:cs="Palatino Linotype"/>
          <w:b/>
        </w:rPr>
      </w:pPr>
      <w:r w:rsidRPr="00487209">
        <w:rPr>
          <w:rFonts w:ascii="Palatino Linotype" w:eastAsia="Palatino Linotype" w:hAnsi="Palatino Linotype" w:cs="Palatino Linotype"/>
          <w:b/>
        </w:rPr>
        <w:t>TERCERO</w:t>
      </w:r>
      <w:r w:rsidR="00710E1F" w:rsidRPr="00487209">
        <w:rPr>
          <w:rFonts w:ascii="Palatino Linotype" w:eastAsia="Palatino Linotype" w:hAnsi="Palatino Linotype" w:cs="Palatino Linotype"/>
          <w:b/>
        </w:rPr>
        <w:t xml:space="preserve">. </w:t>
      </w:r>
      <w:r w:rsidR="00E81879" w:rsidRPr="00487209">
        <w:rPr>
          <w:rFonts w:ascii="Palatino Linotype" w:eastAsia="Palatino Linotype" w:hAnsi="Palatino Linotype" w:cs="Palatino Linotype"/>
          <w:b/>
        </w:rPr>
        <w:t xml:space="preserve">Notifíquese </w:t>
      </w:r>
      <w:r w:rsidR="00E81879" w:rsidRPr="00487209">
        <w:rPr>
          <w:rFonts w:ascii="Palatino Linotype" w:eastAsia="Palatino Linotype" w:hAnsi="Palatino Linotype" w:cs="Palatino Linotype"/>
        </w:rPr>
        <w:t xml:space="preserve">al Titular de la Unidad de Transparencia del </w:t>
      </w:r>
      <w:r w:rsidR="00E81879" w:rsidRPr="00487209">
        <w:rPr>
          <w:rFonts w:ascii="Palatino Linotype" w:eastAsia="Palatino Linotype" w:hAnsi="Palatino Linotype" w:cs="Palatino Linotype"/>
          <w:b/>
        </w:rPr>
        <w:t>SUJETO OBLIGADO</w:t>
      </w:r>
      <w:r w:rsidR="00E81879" w:rsidRPr="00487209">
        <w:rPr>
          <w:rFonts w:ascii="Palatino Linotype" w:eastAsia="Palatino Linotype" w:hAnsi="Palatino Linotype" w:cs="Palatino Linotype"/>
        </w:rPr>
        <w:t>, para que conforme a los artículos 186 último párrafo, 189 párrafo segundo y 199 de la Ley de Transparencia y Acce</w:t>
      </w:r>
      <w:r w:rsidR="00415864" w:rsidRPr="00487209">
        <w:rPr>
          <w:rFonts w:ascii="Palatino Linotype" w:eastAsia="Palatino Linotype" w:hAnsi="Palatino Linotype" w:cs="Palatino Linotype"/>
        </w:rPr>
        <w:t xml:space="preserve">so a la Información Pública del </w:t>
      </w:r>
      <w:r w:rsidR="00E81879" w:rsidRPr="00487209">
        <w:rPr>
          <w:rFonts w:ascii="Palatino Linotype" w:eastAsia="Palatino Linotype" w:hAnsi="Palatino Linotype" w:cs="Palatino Linotype"/>
        </w:rPr>
        <w:t xml:space="preserve">Estado de México y Municipios, </w:t>
      </w:r>
      <w:r w:rsidR="00E81879" w:rsidRPr="0048720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487209" w:rsidRDefault="00E81879" w:rsidP="00487209">
      <w:pPr>
        <w:shd w:val="clear" w:color="auto" w:fill="FFFFFF"/>
        <w:spacing w:line="360" w:lineRule="auto"/>
        <w:jc w:val="both"/>
        <w:rPr>
          <w:rFonts w:ascii="Palatino Linotype" w:eastAsia="Times New Roman" w:hAnsi="Palatino Linotype" w:cs="Arial"/>
          <w:b/>
        </w:rPr>
      </w:pPr>
    </w:p>
    <w:p w:rsidR="00E81879" w:rsidRPr="00487209" w:rsidRDefault="0051509C" w:rsidP="00487209">
      <w:pPr>
        <w:shd w:val="clear" w:color="auto" w:fill="FFFFFF"/>
        <w:spacing w:line="360" w:lineRule="auto"/>
        <w:jc w:val="both"/>
        <w:rPr>
          <w:rFonts w:ascii="Palatino Linotype" w:hAnsi="Palatino Linotype"/>
        </w:rPr>
      </w:pPr>
      <w:r w:rsidRPr="00487209">
        <w:rPr>
          <w:rFonts w:ascii="Palatino Linotype" w:eastAsia="Times New Roman" w:hAnsi="Palatino Linotype" w:cs="Arial"/>
          <w:b/>
        </w:rPr>
        <w:t>CUARTO</w:t>
      </w:r>
      <w:r w:rsidR="00E81879" w:rsidRPr="00487209">
        <w:rPr>
          <w:rFonts w:ascii="Palatino Linotype" w:eastAsia="Times New Roman" w:hAnsi="Palatino Linotype" w:cs="Arial"/>
          <w:b/>
        </w:rPr>
        <w:t xml:space="preserve">. </w:t>
      </w:r>
      <w:r w:rsidR="00E81879" w:rsidRPr="00487209">
        <w:rPr>
          <w:rFonts w:ascii="Palatino Linotype" w:eastAsia="Times New Roman" w:hAnsi="Palatino Linotype" w:cs="Times New Roman"/>
          <w:b/>
          <w:bCs/>
          <w:color w:val="222222"/>
          <w:lang w:val="es-ES"/>
        </w:rPr>
        <w:t>Notifíquese a</w:t>
      </w:r>
      <w:r w:rsidR="00E81879" w:rsidRPr="00487209">
        <w:rPr>
          <w:rFonts w:ascii="Palatino Linotype" w:hAnsi="Palatino Linotype"/>
          <w:b/>
        </w:rPr>
        <w:t xml:space="preserve"> </w:t>
      </w:r>
      <w:r w:rsidR="00392C5B" w:rsidRPr="00392C5B">
        <w:rPr>
          <w:rFonts w:ascii="Palatino Linotype" w:eastAsia="Calibri" w:hAnsi="Palatino Linotype" w:cs="Times New Roman"/>
          <w:b/>
          <w:highlight w:val="black"/>
          <w:lang w:val="es-ES"/>
        </w:rPr>
        <w:t>------------</w:t>
      </w:r>
      <w:r w:rsidR="00392C5B">
        <w:rPr>
          <w:rFonts w:ascii="Palatino Linotype" w:eastAsia="Calibri" w:hAnsi="Palatino Linotype" w:cs="Times New Roman"/>
          <w:b/>
          <w:highlight w:val="black"/>
          <w:lang w:val="es-ES"/>
        </w:rPr>
        <w:t>---</w:t>
      </w:r>
      <w:r w:rsidR="00392C5B" w:rsidRPr="00392C5B">
        <w:rPr>
          <w:rFonts w:ascii="Palatino Linotype" w:eastAsia="Calibri" w:hAnsi="Palatino Linotype" w:cs="Times New Roman"/>
          <w:b/>
          <w:highlight w:val="black"/>
          <w:lang w:val="es-ES"/>
        </w:rPr>
        <w:t>---------</w:t>
      </w:r>
      <w:r w:rsidR="00E60440" w:rsidRPr="00487209">
        <w:rPr>
          <w:rFonts w:ascii="Palatino Linotype" w:hAnsi="Palatino Linotype"/>
        </w:rPr>
        <w:t xml:space="preserve"> </w:t>
      </w:r>
      <w:r w:rsidR="00E81879" w:rsidRPr="00487209">
        <w:rPr>
          <w:rFonts w:ascii="Palatino Linotype" w:hAnsi="Palatino Linotype"/>
        </w:rPr>
        <w:t>la presente resolución</w:t>
      </w:r>
      <w:r w:rsidR="00701E94" w:rsidRPr="00487209">
        <w:rPr>
          <w:rFonts w:ascii="Palatino Linotype" w:hAnsi="Palatino Linotype"/>
        </w:rPr>
        <w:t>.</w:t>
      </w:r>
    </w:p>
    <w:p w:rsidR="004D60FB" w:rsidRPr="00487209" w:rsidRDefault="004D60FB" w:rsidP="00487209">
      <w:pPr>
        <w:shd w:val="clear" w:color="auto" w:fill="FFFFFF"/>
        <w:spacing w:line="360" w:lineRule="auto"/>
        <w:jc w:val="both"/>
        <w:rPr>
          <w:rFonts w:ascii="Palatino Linotype" w:hAnsi="Palatino Linotype"/>
        </w:rPr>
      </w:pPr>
    </w:p>
    <w:bookmarkEnd w:id="64"/>
    <w:p w:rsidR="002A5BA4" w:rsidRPr="00487209" w:rsidRDefault="0051509C" w:rsidP="00487209">
      <w:pPr>
        <w:spacing w:line="360" w:lineRule="auto"/>
        <w:jc w:val="both"/>
        <w:rPr>
          <w:rFonts w:ascii="Palatino Linotype" w:eastAsia="MS Mincho" w:hAnsi="Palatino Linotype" w:cs="Times New Roman"/>
          <w:lang w:val="es-ES"/>
        </w:rPr>
      </w:pPr>
      <w:r w:rsidRPr="00487209">
        <w:rPr>
          <w:rFonts w:ascii="Palatino Linotype" w:eastAsia="MS Mincho" w:hAnsi="Palatino Linotype" w:cs="Times New Roman"/>
          <w:b/>
          <w:lang w:val="es-MX"/>
        </w:rPr>
        <w:t>QUINTO</w:t>
      </w:r>
      <w:r w:rsidR="00E81879" w:rsidRPr="00487209">
        <w:rPr>
          <w:rFonts w:ascii="Palatino Linotype" w:eastAsia="MS Mincho" w:hAnsi="Palatino Linotype" w:cs="Times New Roman"/>
          <w:b/>
          <w:lang w:val="es-MX"/>
        </w:rPr>
        <w:t>.</w:t>
      </w:r>
      <w:r w:rsidR="00E81879" w:rsidRPr="00487209">
        <w:rPr>
          <w:rFonts w:ascii="Palatino Linotype" w:eastAsia="MS Mincho" w:hAnsi="Palatino Linotype" w:cs="Times New Roman"/>
          <w:lang w:val="es-MX"/>
        </w:rPr>
        <w:t xml:space="preserve"> </w:t>
      </w:r>
      <w:r w:rsidR="00E81879" w:rsidRPr="00487209">
        <w:rPr>
          <w:rFonts w:ascii="Palatino Linotype" w:eastAsia="MS Mincho" w:hAnsi="Palatino Linotype" w:cs="Times New Roman"/>
          <w:lang w:val="es-ES"/>
        </w:rPr>
        <w:t xml:space="preserve">Se hace del conocimiento de </w:t>
      </w:r>
      <w:r w:rsidR="00392C5B" w:rsidRPr="00392C5B">
        <w:rPr>
          <w:rFonts w:ascii="Palatino Linotype" w:eastAsia="Calibri" w:hAnsi="Palatino Linotype" w:cs="Times New Roman"/>
          <w:b/>
          <w:highlight w:val="black"/>
          <w:lang w:val="es-ES"/>
        </w:rPr>
        <w:t>---------------------</w:t>
      </w:r>
      <w:r w:rsidR="007A53D3" w:rsidRPr="00487209">
        <w:rPr>
          <w:rFonts w:ascii="Palatino Linotype" w:eastAsia="Calibri" w:hAnsi="Palatino Linotype" w:cs="Times New Roman"/>
          <w:b/>
          <w:lang w:val="es-ES"/>
        </w:rPr>
        <w:t xml:space="preserve"> </w:t>
      </w:r>
      <w:r w:rsidR="00E81879" w:rsidRPr="0048720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487209">
        <w:rPr>
          <w:rFonts w:ascii="Palatino Linotype" w:eastAsia="MS Mincho" w:hAnsi="Palatino Linotype" w:cs="Times New Roman"/>
          <w:bCs/>
          <w:lang w:val="es-ES"/>
        </w:rPr>
        <w:t>vía juicio de amparo</w:t>
      </w:r>
      <w:r w:rsidR="00E81879" w:rsidRPr="00487209">
        <w:rPr>
          <w:rFonts w:ascii="Palatino Linotype" w:eastAsia="MS Mincho" w:hAnsi="Palatino Linotype" w:cs="Times New Roman"/>
          <w:lang w:val="es-ES"/>
        </w:rPr>
        <w:t> en los términos de las leyes aplicables.</w:t>
      </w:r>
      <w:r w:rsidR="006705A4" w:rsidRPr="00487209">
        <w:rPr>
          <w:rFonts w:ascii="Palatino Linotype" w:eastAsia="MS Mincho" w:hAnsi="Palatino Linotype" w:cs="Times New Roman"/>
          <w:lang w:val="es-ES"/>
        </w:rPr>
        <w:t xml:space="preserve"> </w:t>
      </w:r>
    </w:p>
    <w:p w:rsidR="00DD3F79" w:rsidRPr="00487209" w:rsidRDefault="00DD3F79" w:rsidP="00487209">
      <w:pPr>
        <w:spacing w:line="360" w:lineRule="auto"/>
        <w:jc w:val="both"/>
        <w:rPr>
          <w:rFonts w:ascii="Palatino Linotype" w:eastAsia="MS Mincho" w:hAnsi="Palatino Linotype" w:cs="Times New Roman"/>
          <w:lang w:val="es-ES"/>
        </w:rPr>
      </w:pPr>
    </w:p>
    <w:p w:rsidR="008930CF" w:rsidRDefault="00DD3F79" w:rsidP="00487209">
      <w:pPr>
        <w:shd w:val="clear" w:color="auto" w:fill="FFFFFF"/>
        <w:spacing w:line="360" w:lineRule="auto"/>
        <w:jc w:val="both"/>
        <w:rPr>
          <w:rFonts w:ascii="Palatino Linotype" w:eastAsia="MS Mincho" w:hAnsi="Palatino Linotype" w:cs="Times New Roman"/>
        </w:rPr>
      </w:pPr>
      <w:r w:rsidRPr="008930CF">
        <w:rPr>
          <w:rFonts w:ascii="Palatino Linotype" w:eastAsia="MS Mincho" w:hAnsi="Palatino Linotype" w:cs="Times New Roman"/>
          <w:b/>
        </w:rPr>
        <w:t xml:space="preserve">SEXTO. </w:t>
      </w:r>
      <w:r w:rsidRPr="008930CF">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930CF">
        <w:rPr>
          <w:rFonts w:ascii="Palatino Linotype" w:eastAsia="MS Mincho" w:hAnsi="Palatino Linotype" w:cs="Times New Roman"/>
          <w:b/>
        </w:rPr>
        <w:t xml:space="preserve"> SEXTO</w:t>
      </w:r>
      <w:r w:rsidRPr="008930CF">
        <w:rPr>
          <w:rFonts w:ascii="Palatino Linotype" w:eastAsia="MS Mincho" w:hAnsi="Palatino Linotype" w:cs="Times New Roman"/>
        </w:rPr>
        <w:t>.</w:t>
      </w:r>
    </w:p>
    <w:p w:rsidR="008930CF" w:rsidRPr="008930CF" w:rsidRDefault="008930CF" w:rsidP="00487209">
      <w:pPr>
        <w:shd w:val="clear" w:color="auto" w:fill="FFFFFF"/>
        <w:spacing w:line="360" w:lineRule="auto"/>
        <w:jc w:val="both"/>
        <w:rPr>
          <w:rFonts w:ascii="Palatino Linotype" w:eastAsia="MS Mincho" w:hAnsi="Palatino Linotype" w:cs="Times New Roman"/>
        </w:rPr>
      </w:pPr>
    </w:p>
    <w:bookmarkEnd w:id="9"/>
    <w:bookmarkEnd w:id="10"/>
    <w:bookmarkEnd w:id="11"/>
    <w:p w:rsidR="00E446ED" w:rsidRPr="00487209" w:rsidRDefault="00216C93" w:rsidP="00487209">
      <w:pPr>
        <w:spacing w:before="100" w:beforeAutospacing="1" w:after="100" w:afterAutospacing="1" w:line="360" w:lineRule="auto"/>
        <w:ind w:right="49"/>
        <w:jc w:val="both"/>
        <w:rPr>
          <w:rFonts w:ascii="Palatino Linotype" w:hAnsi="Palatino Linotype" w:cs="Arial"/>
        </w:rPr>
      </w:pPr>
      <w:r w:rsidRPr="008930CF">
        <w:rPr>
          <w:rFonts w:ascii="Palatino Linotype" w:hAnsi="Palatino Linotype" w:cs="Arial"/>
        </w:rPr>
        <w:t>ASÍ LO RESUELVE, POR UNANIMIDAD DE VOTOS, EL PLENO DEL</w:t>
      </w:r>
      <w:r w:rsidRPr="008930CF">
        <w:rPr>
          <w:rFonts w:ascii="Palatino Linotype" w:eastAsia="Arial Unicode MS" w:hAnsi="Palatino Linotype" w:cs="Arial"/>
        </w:rPr>
        <w:t xml:space="preserve"> INSTITUTO DE TRANSPARENCIA, ACCESO A LA INFORMACIÓN PÚBLICA Y PROTECCIÓN DE DATOS PERSONALES DEL ESTADO DE MÉXICO Y MUNICIPIOS</w:t>
      </w:r>
      <w:r w:rsidRPr="008930CF">
        <w:rPr>
          <w:rFonts w:ascii="Palatino Linotype" w:hAnsi="Palatino Linotype" w:cs="Arial"/>
        </w:rPr>
        <w:t xml:space="preserve">, CONFORMADO POR LOS COMISIONADOS ZULEMA MARTÍNEZ SÁNCHEZ; EVA ABAID YAPUR; JOSÉ GUADALUPE LUNA HERNÁNDEZ; JAVIER MARTÍNEZ CRUZ Y LUIS </w:t>
      </w:r>
      <w:r w:rsidR="008930CF">
        <w:rPr>
          <w:rFonts w:ascii="Palatino Linotype" w:hAnsi="Palatino Linotype" w:cs="Arial"/>
        </w:rPr>
        <w:t xml:space="preserve">GUSTAVO PARRA NORIEGA; EN LA CUADRAGÉSIMA PRIMERA SESIÓN ORDINARIA CELEBRADA </w:t>
      </w:r>
      <w:r w:rsidR="009C00D6">
        <w:rPr>
          <w:rFonts w:ascii="Palatino Linotype" w:hAnsi="Palatino Linotype" w:cs="Arial"/>
        </w:rPr>
        <w:t>EL SEIS (06) NOVIEMBRE</w:t>
      </w:r>
      <w:r w:rsidR="008930CF">
        <w:rPr>
          <w:rFonts w:ascii="Palatino Linotype" w:hAnsi="Palatino Linotype" w:cs="Arial"/>
        </w:rPr>
        <w:t xml:space="preserve"> </w:t>
      </w:r>
      <w:r w:rsidRPr="008930CF">
        <w:rPr>
          <w:rFonts w:ascii="Palatino Linotype" w:hAnsi="Palatino Linotype" w:cs="Arial"/>
        </w:rPr>
        <w:t>DE DOS MIL DIECI</w:t>
      </w:r>
      <w:r w:rsidR="00273E6D" w:rsidRPr="008930CF">
        <w:rPr>
          <w:rFonts w:ascii="Palatino Linotype" w:hAnsi="Palatino Linotype" w:cs="Arial"/>
        </w:rPr>
        <w:t>NUEVE</w:t>
      </w:r>
      <w:r w:rsidRPr="008930CF">
        <w:rPr>
          <w:rFonts w:ascii="Palatino Linotype" w:hAnsi="Palatino Linotype" w:cs="Arial"/>
        </w:rPr>
        <w:t xml:space="preserve">, ANTE EL SECRETARIO TÉCNICO DEL PLENO, </w:t>
      </w:r>
      <w:r w:rsidRPr="008930CF">
        <w:rPr>
          <w:rFonts w:ascii="Palatino Linotype" w:hAnsi="Palatino Linotype"/>
        </w:rPr>
        <w:t>ALEXIS TAPIA RAMÍREZ</w:t>
      </w:r>
      <w:r w:rsidRPr="008930CF">
        <w:rPr>
          <w:rFonts w:ascii="Palatino Linotype" w:hAnsi="Palatino Linotype" w:cs="Arial"/>
        </w:rPr>
        <w:t>.</w:t>
      </w:r>
    </w:p>
    <w:p w:rsidR="00B165CC" w:rsidRPr="00487209" w:rsidRDefault="00B165CC" w:rsidP="00487209">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487209" w:rsidTr="00AB3D5A">
        <w:trPr>
          <w:jc w:val="center"/>
        </w:trPr>
        <w:tc>
          <w:tcPr>
            <w:tcW w:w="10368" w:type="dxa"/>
            <w:gridSpan w:val="2"/>
          </w:tcPr>
          <w:p w:rsidR="008930CF" w:rsidRDefault="008930CF" w:rsidP="00487209">
            <w:pPr>
              <w:spacing w:line="360" w:lineRule="auto"/>
              <w:jc w:val="center"/>
              <w:rPr>
                <w:rFonts w:ascii="Palatino Linotype" w:hAnsi="Palatino Linotype" w:cs="Arial"/>
                <w:b/>
              </w:rPr>
            </w:pPr>
          </w:p>
          <w:p w:rsidR="008930CF" w:rsidRDefault="008930CF" w:rsidP="00487209">
            <w:pPr>
              <w:spacing w:line="360" w:lineRule="auto"/>
              <w:jc w:val="center"/>
              <w:rPr>
                <w:rFonts w:ascii="Palatino Linotype" w:hAnsi="Palatino Linotype" w:cs="Arial"/>
                <w:b/>
              </w:rPr>
            </w:pP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Zulema Martínez Sánchez</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rPr>
              <w:t>Comisionada Presidenta</w:t>
            </w:r>
          </w:p>
          <w:p w:rsidR="00216C93" w:rsidRDefault="00216C93" w:rsidP="00487209">
            <w:pPr>
              <w:spacing w:line="360" w:lineRule="auto"/>
              <w:jc w:val="center"/>
              <w:rPr>
                <w:rFonts w:ascii="Palatino Linotype" w:hAnsi="Palatino Linotype" w:cs="Arial"/>
                <w:b/>
              </w:rPr>
            </w:pPr>
            <w:r w:rsidRPr="00487209">
              <w:rPr>
                <w:rFonts w:ascii="Palatino Linotype" w:hAnsi="Palatino Linotype" w:cs="Arial"/>
                <w:b/>
              </w:rPr>
              <w:t xml:space="preserve">(RÚBRICA) </w:t>
            </w:r>
          </w:p>
          <w:p w:rsidR="00921DCB" w:rsidRDefault="00921DCB" w:rsidP="00487209">
            <w:pPr>
              <w:spacing w:line="360" w:lineRule="auto"/>
              <w:jc w:val="center"/>
              <w:rPr>
                <w:rFonts w:ascii="Palatino Linotype" w:hAnsi="Palatino Linotype" w:cs="Arial"/>
                <w:b/>
              </w:rPr>
            </w:pPr>
          </w:p>
          <w:p w:rsidR="00921DCB" w:rsidRDefault="00921DCB" w:rsidP="00487209">
            <w:pPr>
              <w:spacing w:line="360" w:lineRule="auto"/>
              <w:jc w:val="center"/>
              <w:rPr>
                <w:rFonts w:ascii="Palatino Linotype" w:hAnsi="Palatino Linotype" w:cs="Arial"/>
                <w:b/>
              </w:rPr>
            </w:pPr>
          </w:p>
          <w:p w:rsidR="00921DCB" w:rsidRDefault="00921DCB" w:rsidP="00487209">
            <w:pPr>
              <w:spacing w:line="360" w:lineRule="auto"/>
              <w:jc w:val="center"/>
              <w:rPr>
                <w:rFonts w:ascii="Palatino Linotype" w:hAnsi="Palatino Linotype" w:cs="Arial"/>
                <w:b/>
              </w:rPr>
            </w:pPr>
          </w:p>
          <w:p w:rsidR="00921DCB" w:rsidRPr="00487209" w:rsidRDefault="00921DCB" w:rsidP="00487209">
            <w:pPr>
              <w:spacing w:line="360" w:lineRule="auto"/>
              <w:jc w:val="center"/>
              <w:rPr>
                <w:rFonts w:ascii="Palatino Linotype" w:hAnsi="Palatino Linotype" w:cs="Arial"/>
                <w:b/>
              </w:rPr>
            </w:pPr>
          </w:p>
          <w:p w:rsidR="00216C93" w:rsidRPr="00487209" w:rsidRDefault="00216C93" w:rsidP="008930CF">
            <w:pPr>
              <w:spacing w:line="360" w:lineRule="auto"/>
              <w:rPr>
                <w:rFonts w:ascii="Palatino Linotype" w:hAnsi="Palatino Linotype" w:cs="Arial"/>
                <w:b/>
              </w:rPr>
            </w:pPr>
          </w:p>
        </w:tc>
      </w:tr>
      <w:tr w:rsidR="00216C93" w:rsidRPr="00487209" w:rsidTr="00AB3D5A">
        <w:trPr>
          <w:jc w:val="center"/>
        </w:trPr>
        <w:tc>
          <w:tcPr>
            <w:tcW w:w="5184" w:type="dxa"/>
          </w:tcPr>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 xml:space="preserve">Eva </w:t>
            </w:r>
            <w:proofErr w:type="spellStart"/>
            <w:r w:rsidRPr="00487209">
              <w:rPr>
                <w:rFonts w:ascii="Palatino Linotype" w:hAnsi="Palatino Linotype" w:cs="Arial"/>
                <w:b/>
              </w:rPr>
              <w:t>Abaid</w:t>
            </w:r>
            <w:proofErr w:type="spellEnd"/>
            <w:r w:rsidRPr="00487209">
              <w:rPr>
                <w:rFonts w:ascii="Palatino Linotype" w:hAnsi="Palatino Linotype" w:cs="Arial"/>
                <w:b/>
              </w:rPr>
              <w:t xml:space="preserve"> </w:t>
            </w:r>
            <w:proofErr w:type="spellStart"/>
            <w:r w:rsidRPr="00487209">
              <w:rPr>
                <w:rFonts w:ascii="Palatino Linotype" w:hAnsi="Palatino Linotype" w:cs="Arial"/>
                <w:b/>
              </w:rPr>
              <w:t>Yapur</w:t>
            </w:r>
            <w:proofErr w:type="spellEnd"/>
          </w:p>
          <w:p w:rsidR="00216C93" w:rsidRPr="00487209" w:rsidRDefault="00216C93" w:rsidP="00487209">
            <w:pPr>
              <w:spacing w:line="360" w:lineRule="auto"/>
              <w:jc w:val="center"/>
              <w:rPr>
                <w:rFonts w:ascii="Palatino Linotype" w:hAnsi="Palatino Linotype" w:cs="Arial"/>
              </w:rPr>
            </w:pPr>
            <w:r w:rsidRPr="00487209">
              <w:rPr>
                <w:rFonts w:ascii="Palatino Linotype" w:hAnsi="Palatino Linotype" w:cs="Arial"/>
              </w:rPr>
              <w:t>Comisionada</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(RÚBRICA)</w:t>
            </w:r>
          </w:p>
        </w:tc>
        <w:tc>
          <w:tcPr>
            <w:tcW w:w="5184" w:type="dxa"/>
          </w:tcPr>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José Guadalupe Luna Hernández</w:t>
            </w:r>
          </w:p>
          <w:p w:rsidR="00216C93" w:rsidRPr="00487209" w:rsidRDefault="00216C93" w:rsidP="00487209">
            <w:pPr>
              <w:spacing w:line="360" w:lineRule="auto"/>
              <w:jc w:val="center"/>
              <w:rPr>
                <w:rFonts w:ascii="Palatino Linotype" w:hAnsi="Palatino Linotype" w:cs="Arial"/>
              </w:rPr>
            </w:pPr>
            <w:r w:rsidRPr="00487209">
              <w:rPr>
                <w:rFonts w:ascii="Palatino Linotype" w:hAnsi="Palatino Linotype" w:cs="Arial"/>
              </w:rPr>
              <w:t>Comisionado</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(RÚBRICA)</w:t>
            </w:r>
          </w:p>
          <w:p w:rsidR="00216C93" w:rsidRPr="00487209" w:rsidRDefault="00216C93" w:rsidP="00487209">
            <w:pPr>
              <w:spacing w:line="360" w:lineRule="auto"/>
              <w:jc w:val="center"/>
              <w:rPr>
                <w:rFonts w:ascii="Palatino Linotype" w:hAnsi="Palatino Linotype" w:cs="Arial"/>
                <w:b/>
              </w:rPr>
            </w:pPr>
          </w:p>
        </w:tc>
      </w:tr>
      <w:tr w:rsidR="00216C93" w:rsidRPr="00487209" w:rsidTr="00AB3D5A">
        <w:trPr>
          <w:jc w:val="center"/>
        </w:trPr>
        <w:tc>
          <w:tcPr>
            <w:tcW w:w="5184" w:type="dxa"/>
          </w:tcPr>
          <w:p w:rsidR="00216C93" w:rsidRPr="00487209" w:rsidRDefault="00216C93" w:rsidP="008930CF">
            <w:pPr>
              <w:spacing w:line="360" w:lineRule="auto"/>
              <w:rPr>
                <w:rFonts w:ascii="Palatino Linotype" w:hAnsi="Palatino Linotype" w:cs="Arial"/>
                <w:b/>
              </w:rPr>
            </w:pP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Javier Martínez Cruz</w:t>
            </w:r>
          </w:p>
          <w:p w:rsidR="00216C93" w:rsidRPr="00487209" w:rsidRDefault="00216C93" w:rsidP="00487209">
            <w:pPr>
              <w:spacing w:line="360" w:lineRule="auto"/>
              <w:jc w:val="center"/>
              <w:rPr>
                <w:rFonts w:ascii="Palatino Linotype" w:hAnsi="Palatino Linotype" w:cs="Arial"/>
              </w:rPr>
            </w:pPr>
            <w:r w:rsidRPr="00487209">
              <w:rPr>
                <w:rFonts w:ascii="Palatino Linotype" w:hAnsi="Palatino Linotype" w:cs="Arial"/>
              </w:rPr>
              <w:t>Comisionado</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(RÚBRICA)</w:t>
            </w:r>
          </w:p>
        </w:tc>
        <w:tc>
          <w:tcPr>
            <w:tcW w:w="5184" w:type="dxa"/>
          </w:tcPr>
          <w:p w:rsidR="00216C93" w:rsidRPr="00487209" w:rsidRDefault="00216C93" w:rsidP="008930CF">
            <w:pPr>
              <w:spacing w:line="360" w:lineRule="auto"/>
              <w:rPr>
                <w:rFonts w:ascii="Palatino Linotype" w:hAnsi="Palatino Linotype" w:cs="Arial"/>
                <w:b/>
              </w:rPr>
            </w:pP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Luis Gustavo Parra Noriega</w:t>
            </w:r>
          </w:p>
          <w:p w:rsidR="00216C93" w:rsidRPr="00487209" w:rsidRDefault="00216C93" w:rsidP="00487209">
            <w:pPr>
              <w:spacing w:line="360" w:lineRule="auto"/>
              <w:jc w:val="center"/>
              <w:rPr>
                <w:rFonts w:ascii="Palatino Linotype" w:hAnsi="Palatino Linotype" w:cs="Arial"/>
              </w:rPr>
            </w:pPr>
            <w:r w:rsidRPr="00487209">
              <w:rPr>
                <w:rFonts w:ascii="Palatino Linotype" w:hAnsi="Palatino Linotype" w:cs="Arial"/>
              </w:rPr>
              <w:t>Comisionado</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(RÚBRICA)</w:t>
            </w:r>
          </w:p>
        </w:tc>
      </w:tr>
      <w:tr w:rsidR="00216C93" w:rsidRPr="00487209" w:rsidTr="00AB3D5A">
        <w:trPr>
          <w:jc w:val="center"/>
        </w:trPr>
        <w:tc>
          <w:tcPr>
            <w:tcW w:w="10368" w:type="dxa"/>
            <w:gridSpan w:val="2"/>
          </w:tcPr>
          <w:p w:rsidR="00216C93" w:rsidRPr="00487209" w:rsidRDefault="00216C93" w:rsidP="008930CF">
            <w:pPr>
              <w:spacing w:line="360" w:lineRule="auto"/>
              <w:rPr>
                <w:rFonts w:ascii="Palatino Linotype" w:hAnsi="Palatino Linotype" w:cs="Arial"/>
                <w:b/>
              </w:rPr>
            </w:pP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Alexis Tapia Ramírez</w:t>
            </w:r>
          </w:p>
          <w:p w:rsidR="00216C93" w:rsidRPr="00487209" w:rsidRDefault="00216C93" w:rsidP="00487209">
            <w:pPr>
              <w:spacing w:line="360" w:lineRule="auto"/>
              <w:jc w:val="center"/>
              <w:rPr>
                <w:rFonts w:ascii="Palatino Linotype" w:hAnsi="Palatino Linotype" w:cs="Arial"/>
              </w:rPr>
            </w:pPr>
            <w:r w:rsidRPr="00487209">
              <w:rPr>
                <w:rFonts w:ascii="Palatino Linotype" w:hAnsi="Palatino Linotype" w:cs="Arial"/>
              </w:rPr>
              <w:t>Secretario Técnico del Pleno</w:t>
            </w:r>
          </w:p>
          <w:p w:rsidR="00216C93" w:rsidRPr="00487209" w:rsidRDefault="00216C93" w:rsidP="00487209">
            <w:pPr>
              <w:spacing w:line="360" w:lineRule="auto"/>
              <w:jc w:val="center"/>
              <w:rPr>
                <w:rFonts w:ascii="Palatino Linotype" w:hAnsi="Palatino Linotype" w:cs="Arial"/>
                <w:b/>
              </w:rPr>
            </w:pPr>
            <w:r w:rsidRPr="00487209">
              <w:rPr>
                <w:rFonts w:ascii="Palatino Linotype" w:hAnsi="Palatino Linotype" w:cs="Arial"/>
                <w:b/>
              </w:rPr>
              <w:t>(RÚBRICA)</w:t>
            </w:r>
          </w:p>
          <w:p w:rsidR="009400E4" w:rsidRPr="00487209" w:rsidRDefault="009400E4" w:rsidP="00487209">
            <w:pPr>
              <w:spacing w:line="360" w:lineRule="auto"/>
              <w:jc w:val="center"/>
              <w:rPr>
                <w:rFonts w:ascii="Palatino Linotype" w:hAnsi="Palatino Linotype" w:cs="Arial"/>
                <w:b/>
              </w:rPr>
            </w:pPr>
          </w:p>
          <w:p w:rsidR="00216C93" w:rsidRPr="00487209" w:rsidRDefault="00216C93" w:rsidP="00487209">
            <w:pPr>
              <w:spacing w:line="360" w:lineRule="auto"/>
              <w:rPr>
                <w:rFonts w:ascii="Palatino Linotype" w:hAnsi="Palatino Linotype" w:cs="Arial"/>
              </w:rPr>
            </w:pPr>
          </w:p>
        </w:tc>
      </w:tr>
    </w:tbl>
    <w:p w:rsidR="002248D3" w:rsidRPr="00487209" w:rsidRDefault="00216C93" w:rsidP="00487209">
      <w:pPr>
        <w:spacing w:line="360" w:lineRule="auto"/>
        <w:jc w:val="both"/>
        <w:rPr>
          <w:rFonts w:ascii="Palatino Linotype" w:hAnsi="Palatino Linotype"/>
        </w:rPr>
      </w:pPr>
      <w:r w:rsidRPr="00487209">
        <w:rPr>
          <w:rFonts w:ascii="Palatino Linotype" w:hAnsi="Palatino Linotype" w:cs="Arial"/>
        </w:rPr>
        <w:t>Esta hoja corresponde a</w:t>
      </w:r>
      <w:r w:rsidR="008930CF">
        <w:rPr>
          <w:rFonts w:ascii="Palatino Linotype" w:hAnsi="Palatino Linotype" w:cs="Arial"/>
        </w:rPr>
        <w:t xml:space="preserve"> la resolución de fecha seis </w:t>
      </w:r>
      <w:r w:rsidRPr="00487209">
        <w:rPr>
          <w:rFonts w:ascii="Palatino Linotype" w:hAnsi="Palatino Linotype" w:cs="Arial"/>
        </w:rPr>
        <w:t>(</w:t>
      </w:r>
      <w:r w:rsidR="008930CF">
        <w:rPr>
          <w:rFonts w:ascii="Palatino Linotype" w:hAnsi="Palatino Linotype" w:cs="Arial"/>
        </w:rPr>
        <w:t>06) de noviembre</w:t>
      </w:r>
      <w:r w:rsidRPr="00487209">
        <w:rPr>
          <w:rFonts w:ascii="Palatino Linotype" w:hAnsi="Palatino Linotype" w:cs="Arial"/>
        </w:rPr>
        <w:t xml:space="preserve"> de dos mil dieci</w:t>
      </w:r>
      <w:r w:rsidR="00273E6D" w:rsidRPr="00487209">
        <w:rPr>
          <w:rFonts w:ascii="Palatino Linotype" w:hAnsi="Palatino Linotype" w:cs="Arial"/>
        </w:rPr>
        <w:t>nueve</w:t>
      </w:r>
      <w:r w:rsidRPr="00487209">
        <w:rPr>
          <w:rFonts w:ascii="Palatino Linotype" w:hAnsi="Palatino Linotype" w:cs="Arial"/>
        </w:rPr>
        <w:t xml:space="preserve">, emitida en el recurso de revisión </w:t>
      </w:r>
      <w:r w:rsidRPr="00487209">
        <w:rPr>
          <w:rFonts w:ascii="Palatino Linotype" w:hAnsi="Palatino Linotype" w:cs="Arial"/>
          <w:b/>
          <w:bCs/>
        </w:rPr>
        <w:t>0</w:t>
      </w:r>
      <w:r w:rsidR="008930CF">
        <w:rPr>
          <w:rFonts w:ascii="Palatino Linotype" w:hAnsi="Palatino Linotype" w:cs="Arial"/>
          <w:b/>
          <w:bCs/>
        </w:rPr>
        <w:t>697</w:t>
      </w:r>
      <w:r w:rsidR="00F817E5" w:rsidRPr="00487209">
        <w:rPr>
          <w:rFonts w:ascii="Palatino Linotype" w:hAnsi="Palatino Linotype" w:cs="Arial"/>
          <w:b/>
          <w:bCs/>
        </w:rPr>
        <w:t>8</w:t>
      </w:r>
      <w:r w:rsidR="00794037" w:rsidRPr="00487209">
        <w:rPr>
          <w:rFonts w:ascii="Palatino Linotype" w:hAnsi="Palatino Linotype" w:cs="Arial"/>
          <w:b/>
          <w:bCs/>
        </w:rPr>
        <w:t>/INFOEM/IP/RR/2019.</w:t>
      </w:r>
    </w:p>
    <w:sectPr w:rsidR="002248D3" w:rsidRPr="00487209" w:rsidSect="00487209">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91" w:rsidRDefault="00C05291" w:rsidP="008B6F5F">
      <w:r>
        <w:separator/>
      </w:r>
    </w:p>
  </w:endnote>
  <w:endnote w:type="continuationSeparator" w:id="0">
    <w:p w:rsidR="00C05291" w:rsidRDefault="00C0529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87209" w:rsidRPr="000A2541" w:rsidRDefault="0048720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7581D">
              <w:rPr>
                <w:rFonts w:ascii="Palatino Linotype" w:hAnsi="Palatino Linotype"/>
                <w:b/>
                <w:bCs/>
                <w:noProof/>
              </w:rPr>
              <w:t>60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7581D">
              <w:rPr>
                <w:rFonts w:ascii="Palatino Linotype" w:hAnsi="Palatino Linotype"/>
                <w:b/>
                <w:bCs/>
                <w:noProof/>
              </w:rPr>
              <w:t>64</w:t>
            </w:r>
            <w:r w:rsidRPr="000A2541">
              <w:rPr>
                <w:rFonts w:ascii="Palatino Linotype" w:hAnsi="Palatino Linotype"/>
                <w:b/>
                <w:bCs/>
              </w:rPr>
              <w:fldChar w:fldCharType="end"/>
            </w:r>
          </w:p>
        </w:sdtContent>
      </w:sdt>
    </w:sdtContent>
  </w:sdt>
  <w:p w:rsidR="00487209" w:rsidRDefault="004872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09" w:rsidRPr="00883450" w:rsidRDefault="0048720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581D" w:rsidRPr="007758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581D" w:rsidRPr="0077581D">
      <w:rPr>
        <w:rFonts w:ascii="Palatino Linotype" w:hAnsi="Palatino Linotype"/>
        <w:noProof/>
        <w:sz w:val="22"/>
        <w:szCs w:val="22"/>
        <w:lang w:val="es-ES"/>
      </w:rPr>
      <w:t>64</w:t>
    </w:r>
    <w:r w:rsidRPr="00883450">
      <w:rPr>
        <w:rFonts w:ascii="Palatino Linotype" w:hAnsi="Palatino Linotype"/>
        <w:sz w:val="22"/>
        <w:szCs w:val="22"/>
      </w:rPr>
      <w:fldChar w:fldCharType="end"/>
    </w:r>
  </w:p>
  <w:p w:rsidR="00487209" w:rsidRPr="00883450" w:rsidRDefault="0048720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91" w:rsidRDefault="00C05291" w:rsidP="008B6F5F">
      <w:r>
        <w:separator/>
      </w:r>
    </w:p>
  </w:footnote>
  <w:footnote w:type="continuationSeparator" w:id="0">
    <w:p w:rsidR="00C05291" w:rsidRDefault="00C05291" w:rsidP="008B6F5F">
      <w:r>
        <w:continuationSeparator/>
      </w:r>
    </w:p>
  </w:footnote>
  <w:footnote w:id="1">
    <w:p w:rsidR="00487209" w:rsidRDefault="00487209" w:rsidP="002043F5">
      <w:pPr>
        <w:pStyle w:val="Textonotapie"/>
      </w:pPr>
      <w:r>
        <w:rPr>
          <w:rStyle w:val="Refdenotaalpie"/>
        </w:rPr>
        <w:footnoteRef/>
      </w:r>
      <w:r>
        <w:t xml:space="preserve"> Convención Americana sobre Derechos Humanos. Artículo 13.</w:t>
      </w:r>
    </w:p>
  </w:footnote>
  <w:footnote w:id="2">
    <w:p w:rsidR="00487209" w:rsidRDefault="00487209" w:rsidP="002043F5">
      <w:pPr>
        <w:pStyle w:val="Textonotapie"/>
      </w:pPr>
      <w:r>
        <w:rPr>
          <w:rStyle w:val="Refdenotaalpie"/>
        </w:rPr>
        <w:footnoteRef/>
      </w:r>
      <w:r>
        <w:t xml:space="preserve"> Constitución Política de los Estados Unidos Mexicanos. Artículo sexto, sección A, Fracción I.</w:t>
      </w:r>
    </w:p>
  </w:footnote>
  <w:footnote w:id="3">
    <w:p w:rsidR="00487209" w:rsidRDefault="00487209" w:rsidP="002043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87209" w:rsidRDefault="00487209" w:rsidP="002043F5">
      <w:pPr>
        <w:pStyle w:val="Textonotapie"/>
      </w:pPr>
      <w:r>
        <w:rPr>
          <w:rStyle w:val="Refdenotaalpie"/>
        </w:rPr>
        <w:footnoteRef/>
      </w:r>
      <w:r>
        <w:t xml:space="preserve"> Ibídem. Párr. 87.</w:t>
      </w:r>
    </w:p>
  </w:footnote>
  <w:footnote w:id="5">
    <w:p w:rsidR="00487209" w:rsidRDefault="00487209" w:rsidP="002043F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487209" w:rsidRDefault="00487209" w:rsidP="002043F5">
      <w:pPr>
        <w:pStyle w:val="Textonotapie"/>
      </w:pPr>
      <w:r>
        <w:rPr>
          <w:rStyle w:val="Refdenotaalpie"/>
        </w:rPr>
        <w:footnoteRef/>
      </w:r>
      <w:r>
        <w:t xml:space="preserve"> Artículo 150. Ley de Transparencia y Acceso a la Información Pública del Estado de México y Municipios.</w:t>
      </w:r>
    </w:p>
    <w:p w:rsidR="00487209" w:rsidRDefault="00487209" w:rsidP="002043F5">
      <w:pPr>
        <w:pStyle w:val="Textonotapie"/>
      </w:pPr>
      <w:r>
        <w:t>Artículo 151. Ibídem.</w:t>
      </w:r>
    </w:p>
  </w:footnote>
  <w:footnote w:id="7">
    <w:p w:rsidR="00487209" w:rsidRDefault="00487209" w:rsidP="002043F5">
      <w:pPr>
        <w:pStyle w:val="Textonotapie"/>
      </w:pPr>
      <w:r>
        <w:rPr>
          <w:rStyle w:val="Refdenotaalpie"/>
        </w:rPr>
        <w:footnoteRef/>
      </w:r>
      <w:r>
        <w:t xml:space="preserve"> Ley de Transparencia y Acceso a la Información Pública del Estado de México y Municipios. Artículo 9. …</w:t>
      </w:r>
    </w:p>
    <w:p w:rsidR="00487209" w:rsidRDefault="00487209" w:rsidP="002043F5">
      <w:pPr>
        <w:pStyle w:val="Textonotapie"/>
      </w:pPr>
      <w:r>
        <w:t>II. Eficacia: Obligación del Instituto para tutelar, de manera efectiva, el derecho de acceso a la información;</w:t>
      </w:r>
    </w:p>
    <w:p w:rsidR="00487209" w:rsidRDefault="00487209" w:rsidP="002043F5">
      <w:pPr>
        <w:pStyle w:val="Textonotapie"/>
      </w:pPr>
      <w:r>
        <w:t xml:space="preserve">… </w:t>
      </w:r>
    </w:p>
  </w:footnote>
  <w:footnote w:id="8">
    <w:p w:rsidR="00487209" w:rsidRPr="00547FFB" w:rsidRDefault="00487209" w:rsidP="008B709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9">
    <w:p w:rsidR="00487209" w:rsidRPr="00547FFB" w:rsidRDefault="00487209" w:rsidP="008B709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487209" w:rsidRPr="00547FFB" w:rsidRDefault="00487209" w:rsidP="008B7093">
      <w:pPr>
        <w:autoSpaceDE w:val="0"/>
        <w:autoSpaceDN w:val="0"/>
        <w:adjustRightInd w:val="0"/>
        <w:jc w:val="both"/>
        <w:rPr>
          <w:sz w:val="20"/>
          <w:szCs w:val="20"/>
        </w:rPr>
      </w:pPr>
      <w:r w:rsidRPr="00547FFB">
        <w:rPr>
          <w:sz w:val="20"/>
          <w:szCs w:val="20"/>
        </w:rPr>
        <w:t>…</w:t>
      </w:r>
    </w:p>
    <w:p w:rsidR="00487209" w:rsidRDefault="00487209" w:rsidP="008B7093">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rsidR="00487209" w:rsidRDefault="00487209" w:rsidP="008B7093">
      <w:pPr>
        <w:pStyle w:val="Textonotapie"/>
      </w:pPr>
      <w:r>
        <w:rPr>
          <w:rStyle w:val="Refdenotaalpie"/>
        </w:rPr>
        <w:footnoteRef/>
      </w:r>
      <w:r>
        <w:t xml:space="preserve"> Consultable en; </w:t>
      </w:r>
      <w:hyperlink r:id="rId2" w:history="1">
        <w:r>
          <w:rPr>
            <w:rStyle w:val="Hipervnculo"/>
          </w:rPr>
          <w:t>https://www.gob.mx/sesnsp/acciones-y-programas/fondos-y-subsidios</w:t>
        </w:r>
      </w:hyperlink>
    </w:p>
  </w:footnote>
  <w:footnote w:id="11">
    <w:p w:rsidR="00487209" w:rsidRDefault="00487209" w:rsidP="007A53D3">
      <w:pPr>
        <w:pStyle w:val="Textonotapie"/>
      </w:pPr>
      <w:r>
        <w:rPr>
          <w:rStyle w:val="Refdenotaalpie"/>
        </w:rPr>
        <w:footnoteRef/>
      </w:r>
      <w:r>
        <w:t xml:space="preserve"> Consultable en; </w:t>
      </w:r>
      <w:hyperlink r:id="rId3" w:history="1">
        <w:r>
          <w:rPr>
            <w:rStyle w:val="Hipervnculo"/>
          </w:rPr>
          <w:t>https://www.gob.mx/cms/uploads/attachment/file/454683/CONVENIO_FORTASEG_2019-ESTADO_DE_M_XICO-17-04-19.pdf</w:t>
        </w:r>
      </w:hyperlink>
    </w:p>
  </w:footnote>
  <w:footnote w:id="12">
    <w:p w:rsidR="00487209" w:rsidRDefault="00487209"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87209" w:rsidRDefault="00487209"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87209" w:rsidRPr="001E1F95" w:rsidRDefault="00487209"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rsidR="00487209" w:rsidRPr="0037004E" w:rsidRDefault="00487209"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rsidR="00487209" w:rsidRDefault="00487209" w:rsidP="00F77E6F">
      <w:pPr>
        <w:pStyle w:val="Textonotapie"/>
        <w:jc w:val="both"/>
      </w:pPr>
      <w:r>
        <w:rPr>
          <w:rStyle w:val="Refdenotaalpie"/>
        </w:rPr>
        <w:footnoteRef/>
      </w:r>
      <w:r>
        <w:t xml:space="preserve"> Artículo 3. Para los efectos de la presente Ley se entenderá por:</w:t>
      </w:r>
    </w:p>
    <w:p w:rsidR="00487209" w:rsidRDefault="00487209" w:rsidP="00F77E6F">
      <w:pPr>
        <w:pStyle w:val="Textonotapie"/>
        <w:jc w:val="both"/>
      </w:pPr>
      <w:r>
        <w:t xml:space="preserve"> (…)</w:t>
      </w:r>
    </w:p>
    <w:p w:rsidR="00487209" w:rsidRDefault="00487209"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87209" w:rsidRPr="00EF13C1" w:rsidTr="00646380">
      <w:trPr>
        <w:trHeight w:val="138"/>
        <w:jc w:val="right"/>
      </w:trPr>
      <w:tc>
        <w:tcPr>
          <w:tcW w:w="2552" w:type="dxa"/>
          <w:vAlign w:val="center"/>
        </w:tcPr>
        <w:p w:rsidR="00487209" w:rsidRPr="00EF13C1" w:rsidRDefault="0048720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87209" w:rsidRPr="00EF13C1" w:rsidRDefault="00487209" w:rsidP="009E5696">
          <w:pPr>
            <w:pStyle w:val="Encabezado"/>
            <w:jc w:val="right"/>
            <w:rPr>
              <w:rFonts w:ascii="Palatino Linotype" w:hAnsi="Palatino Linotype"/>
              <w:b/>
              <w:sz w:val="22"/>
              <w:szCs w:val="22"/>
            </w:rPr>
          </w:pPr>
          <w:r>
            <w:rPr>
              <w:rFonts w:ascii="Palatino Linotype" w:hAnsi="Palatino Linotype" w:cs="Arial"/>
              <w:b/>
              <w:bCs/>
              <w:sz w:val="22"/>
              <w:szCs w:val="22"/>
              <w:lang w:eastAsia="es-MX"/>
            </w:rPr>
            <w:t>06978/INFOEM/IP/RR/2019</w:t>
          </w:r>
        </w:p>
      </w:tc>
    </w:tr>
    <w:tr w:rsidR="00487209" w:rsidRPr="00EF13C1" w:rsidTr="00646380">
      <w:trPr>
        <w:trHeight w:val="233"/>
        <w:jc w:val="right"/>
      </w:trPr>
      <w:tc>
        <w:tcPr>
          <w:tcW w:w="2552" w:type="dxa"/>
          <w:vAlign w:val="center"/>
        </w:tcPr>
        <w:p w:rsidR="00487209" w:rsidRPr="00EF13C1" w:rsidRDefault="00487209" w:rsidP="00646380">
          <w:pPr>
            <w:rPr>
              <w:rFonts w:ascii="Palatino Linotype" w:hAnsi="Palatino Linotype"/>
              <w:b/>
              <w:sz w:val="22"/>
              <w:szCs w:val="22"/>
            </w:rPr>
          </w:pPr>
        </w:p>
      </w:tc>
      <w:tc>
        <w:tcPr>
          <w:tcW w:w="3826" w:type="dxa"/>
          <w:vAlign w:val="center"/>
        </w:tcPr>
        <w:p w:rsidR="00487209" w:rsidRPr="00EF13C1" w:rsidRDefault="00487209" w:rsidP="00141DF6">
          <w:pPr>
            <w:pStyle w:val="Encabezado"/>
            <w:jc w:val="center"/>
            <w:rPr>
              <w:rFonts w:ascii="Palatino Linotype" w:hAnsi="Palatino Linotype"/>
              <w:b/>
              <w:sz w:val="22"/>
              <w:szCs w:val="22"/>
            </w:rPr>
          </w:pPr>
        </w:p>
      </w:tc>
    </w:tr>
    <w:tr w:rsidR="00487209" w:rsidRPr="00EF13C1" w:rsidTr="00646380">
      <w:trPr>
        <w:trHeight w:val="321"/>
        <w:jc w:val="right"/>
      </w:trPr>
      <w:tc>
        <w:tcPr>
          <w:tcW w:w="2552" w:type="dxa"/>
          <w:vAlign w:val="center"/>
        </w:tcPr>
        <w:p w:rsidR="00487209" w:rsidRPr="00EF13C1" w:rsidRDefault="0048720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87209" w:rsidRPr="00EF13C1" w:rsidRDefault="00487209" w:rsidP="00EA4970">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r>
    <w:tr w:rsidR="00487209" w:rsidRPr="00EF13C1" w:rsidTr="00646380">
      <w:trPr>
        <w:trHeight w:val="321"/>
        <w:jc w:val="right"/>
      </w:trPr>
      <w:tc>
        <w:tcPr>
          <w:tcW w:w="2552" w:type="dxa"/>
          <w:vAlign w:val="center"/>
        </w:tcPr>
        <w:p w:rsidR="00487209" w:rsidRPr="00EF13C1" w:rsidRDefault="0048720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87209" w:rsidRPr="00EF13C1" w:rsidRDefault="0048720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87209" w:rsidRDefault="0048720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87209" w:rsidRPr="00182113" w:rsidTr="00141DF6">
      <w:trPr>
        <w:trHeight w:val="138"/>
      </w:trPr>
      <w:tc>
        <w:tcPr>
          <w:tcW w:w="2532" w:type="dxa"/>
          <w:vAlign w:val="center"/>
        </w:tcPr>
        <w:p w:rsidR="00487209" w:rsidRPr="00EF13C1" w:rsidRDefault="0048720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87209" w:rsidRPr="00EF13C1" w:rsidRDefault="00487209" w:rsidP="00DA46C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06978/INFOEM/IP/RR/2019 </w:t>
          </w:r>
        </w:p>
      </w:tc>
      <w:tc>
        <w:tcPr>
          <w:tcW w:w="2532" w:type="dxa"/>
          <w:vAlign w:val="center"/>
        </w:tcPr>
        <w:p w:rsidR="00487209" w:rsidRPr="00182113" w:rsidRDefault="00487209" w:rsidP="00141DF6">
          <w:pPr>
            <w:rPr>
              <w:rFonts w:ascii="Palatino Linotype" w:hAnsi="Palatino Linotype"/>
              <w:b/>
              <w:sz w:val="22"/>
              <w:szCs w:val="22"/>
            </w:rPr>
          </w:pPr>
        </w:p>
      </w:tc>
      <w:tc>
        <w:tcPr>
          <w:tcW w:w="236" w:type="dxa"/>
          <w:vAlign w:val="center"/>
        </w:tcPr>
        <w:p w:rsidR="00487209" w:rsidRPr="00182113" w:rsidRDefault="00487209" w:rsidP="00141DF6">
          <w:pPr>
            <w:pStyle w:val="Encabezado"/>
            <w:jc w:val="center"/>
            <w:rPr>
              <w:rFonts w:ascii="Palatino Linotype" w:hAnsi="Palatino Linotype"/>
              <w:b/>
              <w:sz w:val="22"/>
              <w:szCs w:val="22"/>
            </w:rPr>
          </w:pPr>
        </w:p>
      </w:tc>
      <w:tc>
        <w:tcPr>
          <w:tcW w:w="3261" w:type="dxa"/>
          <w:vAlign w:val="center"/>
        </w:tcPr>
        <w:p w:rsidR="00487209" w:rsidRPr="00182113" w:rsidRDefault="00487209" w:rsidP="00141DF6">
          <w:pPr>
            <w:pStyle w:val="Encabezado"/>
            <w:rPr>
              <w:rFonts w:ascii="Palatino Linotype" w:hAnsi="Palatino Linotype"/>
              <w:b/>
              <w:sz w:val="22"/>
              <w:szCs w:val="22"/>
            </w:rPr>
          </w:pPr>
        </w:p>
      </w:tc>
    </w:tr>
    <w:tr w:rsidR="00487209" w:rsidRPr="00182113" w:rsidTr="00141DF6">
      <w:trPr>
        <w:trHeight w:val="227"/>
      </w:trPr>
      <w:tc>
        <w:tcPr>
          <w:tcW w:w="2532" w:type="dxa"/>
          <w:vAlign w:val="center"/>
        </w:tcPr>
        <w:p w:rsidR="00487209" w:rsidRPr="00EF13C1" w:rsidRDefault="0048720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87209" w:rsidRPr="00EF13C1" w:rsidRDefault="00392C5B" w:rsidP="00141DF6">
          <w:pPr>
            <w:pStyle w:val="Encabezado"/>
            <w:jc w:val="right"/>
            <w:rPr>
              <w:rFonts w:ascii="Palatino Linotype" w:hAnsi="Palatino Linotype"/>
              <w:b/>
              <w:sz w:val="22"/>
              <w:szCs w:val="22"/>
            </w:rPr>
          </w:pPr>
          <w:r w:rsidRPr="00392C5B">
            <w:rPr>
              <w:rFonts w:ascii="Palatino Linotype" w:hAnsi="Palatino Linotype"/>
              <w:b/>
              <w:highlight w:val="black"/>
            </w:rPr>
            <w:t>---------------------</w:t>
          </w:r>
        </w:p>
      </w:tc>
      <w:tc>
        <w:tcPr>
          <w:tcW w:w="2532" w:type="dxa"/>
          <w:vAlign w:val="center"/>
        </w:tcPr>
        <w:p w:rsidR="00487209" w:rsidRPr="00182113" w:rsidRDefault="00487209" w:rsidP="00141DF6">
          <w:pPr>
            <w:rPr>
              <w:rFonts w:ascii="Palatino Linotype" w:hAnsi="Palatino Linotype"/>
              <w:b/>
              <w:sz w:val="22"/>
              <w:szCs w:val="22"/>
            </w:rPr>
          </w:pPr>
        </w:p>
      </w:tc>
      <w:tc>
        <w:tcPr>
          <w:tcW w:w="236" w:type="dxa"/>
          <w:vAlign w:val="center"/>
        </w:tcPr>
        <w:p w:rsidR="00487209" w:rsidRPr="00182113" w:rsidRDefault="00487209" w:rsidP="00141DF6">
          <w:pPr>
            <w:pStyle w:val="Encabezado"/>
            <w:jc w:val="center"/>
            <w:rPr>
              <w:rFonts w:ascii="Palatino Linotype" w:hAnsi="Palatino Linotype"/>
              <w:b/>
              <w:sz w:val="22"/>
              <w:szCs w:val="22"/>
            </w:rPr>
          </w:pPr>
        </w:p>
      </w:tc>
      <w:tc>
        <w:tcPr>
          <w:tcW w:w="3261" w:type="dxa"/>
          <w:vAlign w:val="center"/>
        </w:tcPr>
        <w:p w:rsidR="00487209" w:rsidRPr="00182113" w:rsidRDefault="00487209" w:rsidP="00141DF6">
          <w:pPr>
            <w:pStyle w:val="Encabezado"/>
            <w:rPr>
              <w:rFonts w:ascii="Palatino Linotype" w:hAnsi="Palatino Linotype"/>
              <w:b/>
              <w:sz w:val="22"/>
              <w:szCs w:val="22"/>
            </w:rPr>
          </w:pPr>
        </w:p>
      </w:tc>
    </w:tr>
    <w:tr w:rsidR="00487209" w:rsidRPr="00182113" w:rsidTr="00141DF6">
      <w:trPr>
        <w:trHeight w:val="232"/>
      </w:trPr>
      <w:tc>
        <w:tcPr>
          <w:tcW w:w="2532" w:type="dxa"/>
          <w:vAlign w:val="center"/>
        </w:tcPr>
        <w:p w:rsidR="00487209" w:rsidRPr="00EF13C1" w:rsidRDefault="0048720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87209" w:rsidRPr="00EF13C1" w:rsidRDefault="00487209" w:rsidP="00EA4970">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c>
        <w:tcPr>
          <w:tcW w:w="2532" w:type="dxa"/>
          <w:vAlign w:val="center"/>
        </w:tcPr>
        <w:p w:rsidR="00487209" w:rsidRPr="00182113" w:rsidRDefault="00487209" w:rsidP="00141DF6">
          <w:pPr>
            <w:rPr>
              <w:rFonts w:ascii="Palatino Linotype" w:hAnsi="Palatino Linotype"/>
              <w:b/>
              <w:sz w:val="22"/>
              <w:szCs w:val="22"/>
            </w:rPr>
          </w:pPr>
        </w:p>
      </w:tc>
      <w:tc>
        <w:tcPr>
          <w:tcW w:w="236" w:type="dxa"/>
          <w:vAlign w:val="center"/>
        </w:tcPr>
        <w:p w:rsidR="00487209" w:rsidRPr="00182113" w:rsidRDefault="00487209" w:rsidP="00141DF6">
          <w:pPr>
            <w:pStyle w:val="Encabezado"/>
            <w:jc w:val="center"/>
            <w:rPr>
              <w:rFonts w:ascii="Palatino Linotype" w:hAnsi="Palatino Linotype"/>
              <w:b/>
              <w:sz w:val="22"/>
              <w:szCs w:val="22"/>
            </w:rPr>
          </w:pPr>
        </w:p>
      </w:tc>
      <w:tc>
        <w:tcPr>
          <w:tcW w:w="3261" w:type="dxa"/>
          <w:vAlign w:val="center"/>
        </w:tcPr>
        <w:p w:rsidR="00487209" w:rsidRPr="00182113" w:rsidRDefault="00487209" w:rsidP="00141DF6">
          <w:pPr>
            <w:pStyle w:val="Encabezado"/>
            <w:rPr>
              <w:rFonts w:ascii="Palatino Linotype" w:hAnsi="Palatino Linotype"/>
              <w:b/>
              <w:sz w:val="22"/>
              <w:szCs w:val="22"/>
            </w:rPr>
          </w:pPr>
        </w:p>
      </w:tc>
    </w:tr>
    <w:tr w:rsidR="00487209" w:rsidRPr="00182113" w:rsidTr="00141DF6">
      <w:trPr>
        <w:trHeight w:val="320"/>
      </w:trPr>
      <w:tc>
        <w:tcPr>
          <w:tcW w:w="2532" w:type="dxa"/>
          <w:vAlign w:val="center"/>
        </w:tcPr>
        <w:p w:rsidR="00487209" w:rsidRPr="00EF13C1" w:rsidRDefault="0048720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87209" w:rsidRPr="00EF13C1" w:rsidRDefault="0048720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87209" w:rsidRPr="00182113" w:rsidRDefault="00487209" w:rsidP="00141DF6">
          <w:pPr>
            <w:rPr>
              <w:rFonts w:ascii="Palatino Linotype" w:hAnsi="Palatino Linotype"/>
              <w:b/>
              <w:sz w:val="22"/>
              <w:szCs w:val="22"/>
            </w:rPr>
          </w:pPr>
        </w:p>
      </w:tc>
      <w:tc>
        <w:tcPr>
          <w:tcW w:w="236" w:type="dxa"/>
          <w:vAlign w:val="center"/>
        </w:tcPr>
        <w:p w:rsidR="00487209" w:rsidRPr="00182113" w:rsidRDefault="00487209" w:rsidP="00141DF6">
          <w:pPr>
            <w:pStyle w:val="Encabezado"/>
            <w:jc w:val="center"/>
            <w:rPr>
              <w:rFonts w:ascii="Palatino Linotype" w:hAnsi="Palatino Linotype"/>
              <w:b/>
              <w:sz w:val="22"/>
              <w:szCs w:val="22"/>
            </w:rPr>
          </w:pPr>
        </w:p>
      </w:tc>
      <w:tc>
        <w:tcPr>
          <w:tcW w:w="3261" w:type="dxa"/>
          <w:vAlign w:val="center"/>
        </w:tcPr>
        <w:p w:rsidR="00487209" w:rsidRPr="00182113" w:rsidRDefault="00487209" w:rsidP="00141DF6">
          <w:pPr>
            <w:pStyle w:val="Encabezado"/>
            <w:rPr>
              <w:rFonts w:ascii="Palatino Linotype" w:hAnsi="Palatino Linotype"/>
              <w:b/>
              <w:sz w:val="22"/>
              <w:szCs w:val="22"/>
            </w:rPr>
          </w:pPr>
        </w:p>
      </w:tc>
    </w:tr>
  </w:tbl>
  <w:p w:rsidR="00487209" w:rsidRDefault="00487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785CB2"/>
    <w:multiLevelType w:val="hybridMultilevel"/>
    <w:tmpl w:val="322E8156"/>
    <w:lvl w:ilvl="0" w:tplc="D78EE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1F104A"/>
    <w:multiLevelType w:val="hybridMultilevel"/>
    <w:tmpl w:val="1DBE6CD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31362"/>
    <w:rsid w:val="00032ED4"/>
    <w:rsid w:val="000343D4"/>
    <w:rsid w:val="00036E69"/>
    <w:rsid w:val="000404FD"/>
    <w:rsid w:val="0004269C"/>
    <w:rsid w:val="00045D8E"/>
    <w:rsid w:val="000471A3"/>
    <w:rsid w:val="000550E9"/>
    <w:rsid w:val="00055C0B"/>
    <w:rsid w:val="00057046"/>
    <w:rsid w:val="00061B8C"/>
    <w:rsid w:val="00066351"/>
    <w:rsid w:val="000663DD"/>
    <w:rsid w:val="0007491E"/>
    <w:rsid w:val="00075A4C"/>
    <w:rsid w:val="00091880"/>
    <w:rsid w:val="00092CD4"/>
    <w:rsid w:val="0009344B"/>
    <w:rsid w:val="00094259"/>
    <w:rsid w:val="00096AFD"/>
    <w:rsid w:val="000A203F"/>
    <w:rsid w:val="000A2541"/>
    <w:rsid w:val="000A46A2"/>
    <w:rsid w:val="000A79E0"/>
    <w:rsid w:val="000B3BC1"/>
    <w:rsid w:val="000C37A1"/>
    <w:rsid w:val="000C524E"/>
    <w:rsid w:val="000C7237"/>
    <w:rsid w:val="000D4FCC"/>
    <w:rsid w:val="000D559C"/>
    <w:rsid w:val="000D5BEA"/>
    <w:rsid w:val="000E03A9"/>
    <w:rsid w:val="000E04B9"/>
    <w:rsid w:val="000E053C"/>
    <w:rsid w:val="000E1BDA"/>
    <w:rsid w:val="000E1ECA"/>
    <w:rsid w:val="000E244C"/>
    <w:rsid w:val="000E434B"/>
    <w:rsid w:val="000E43C9"/>
    <w:rsid w:val="000E4C79"/>
    <w:rsid w:val="000E4F0E"/>
    <w:rsid w:val="000E5295"/>
    <w:rsid w:val="000E7023"/>
    <w:rsid w:val="000F2EDB"/>
    <w:rsid w:val="000F3174"/>
    <w:rsid w:val="000F53A7"/>
    <w:rsid w:val="000F7E97"/>
    <w:rsid w:val="00100FB3"/>
    <w:rsid w:val="00101488"/>
    <w:rsid w:val="001019CA"/>
    <w:rsid w:val="001025FA"/>
    <w:rsid w:val="00103D99"/>
    <w:rsid w:val="00105A38"/>
    <w:rsid w:val="00106334"/>
    <w:rsid w:val="0011051D"/>
    <w:rsid w:val="00110E2E"/>
    <w:rsid w:val="001168F4"/>
    <w:rsid w:val="00121044"/>
    <w:rsid w:val="00121BC7"/>
    <w:rsid w:val="001227C0"/>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67627"/>
    <w:rsid w:val="00170DEE"/>
    <w:rsid w:val="001715AF"/>
    <w:rsid w:val="001720F9"/>
    <w:rsid w:val="00173525"/>
    <w:rsid w:val="00182731"/>
    <w:rsid w:val="001846A4"/>
    <w:rsid w:val="00185C27"/>
    <w:rsid w:val="001864B6"/>
    <w:rsid w:val="00187676"/>
    <w:rsid w:val="00192EC4"/>
    <w:rsid w:val="0019703D"/>
    <w:rsid w:val="001A556A"/>
    <w:rsid w:val="001A7D74"/>
    <w:rsid w:val="001B0E38"/>
    <w:rsid w:val="001B3D20"/>
    <w:rsid w:val="001B48A5"/>
    <w:rsid w:val="001C0763"/>
    <w:rsid w:val="001C0F74"/>
    <w:rsid w:val="001C1F82"/>
    <w:rsid w:val="001C32D4"/>
    <w:rsid w:val="001C5F18"/>
    <w:rsid w:val="001C6037"/>
    <w:rsid w:val="001C7C47"/>
    <w:rsid w:val="001D5D25"/>
    <w:rsid w:val="001D5F4A"/>
    <w:rsid w:val="001D6496"/>
    <w:rsid w:val="001E673C"/>
    <w:rsid w:val="001E69EF"/>
    <w:rsid w:val="001F00C6"/>
    <w:rsid w:val="001F1A61"/>
    <w:rsid w:val="001F1B64"/>
    <w:rsid w:val="001F27F5"/>
    <w:rsid w:val="001F2B1D"/>
    <w:rsid w:val="001F6878"/>
    <w:rsid w:val="001F7B21"/>
    <w:rsid w:val="00201C80"/>
    <w:rsid w:val="00203DB6"/>
    <w:rsid w:val="002043F5"/>
    <w:rsid w:val="002065EF"/>
    <w:rsid w:val="0021062B"/>
    <w:rsid w:val="0021398B"/>
    <w:rsid w:val="002146B1"/>
    <w:rsid w:val="00216C93"/>
    <w:rsid w:val="0022089E"/>
    <w:rsid w:val="00220C8D"/>
    <w:rsid w:val="0022251B"/>
    <w:rsid w:val="00222845"/>
    <w:rsid w:val="002229DA"/>
    <w:rsid w:val="0022360C"/>
    <w:rsid w:val="002248D3"/>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7BFD"/>
    <w:rsid w:val="002E01F3"/>
    <w:rsid w:val="002E2041"/>
    <w:rsid w:val="002E4801"/>
    <w:rsid w:val="002F1198"/>
    <w:rsid w:val="002F37F6"/>
    <w:rsid w:val="002F41D4"/>
    <w:rsid w:val="002F42C6"/>
    <w:rsid w:val="002F4E9B"/>
    <w:rsid w:val="002F6A4C"/>
    <w:rsid w:val="003006D4"/>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237D"/>
    <w:rsid w:val="00366760"/>
    <w:rsid w:val="0036737F"/>
    <w:rsid w:val="0036741F"/>
    <w:rsid w:val="0038111F"/>
    <w:rsid w:val="00382C85"/>
    <w:rsid w:val="00385622"/>
    <w:rsid w:val="00385811"/>
    <w:rsid w:val="00392960"/>
    <w:rsid w:val="00392C5B"/>
    <w:rsid w:val="003950A7"/>
    <w:rsid w:val="003977F2"/>
    <w:rsid w:val="003A1075"/>
    <w:rsid w:val="003A3A45"/>
    <w:rsid w:val="003A75A4"/>
    <w:rsid w:val="003A7F47"/>
    <w:rsid w:val="003B0404"/>
    <w:rsid w:val="003B26E6"/>
    <w:rsid w:val="003B31C0"/>
    <w:rsid w:val="003B3BE1"/>
    <w:rsid w:val="003C0046"/>
    <w:rsid w:val="003C2170"/>
    <w:rsid w:val="003C233B"/>
    <w:rsid w:val="003C2EEA"/>
    <w:rsid w:val="003C53A5"/>
    <w:rsid w:val="003C76B3"/>
    <w:rsid w:val="003C7AB3"/>
    <w:rsid w:val="003D0613"/>
    <w:rsid w:val="003D59AE"/>
    <w:rsid w:val="003D6FEA"/>
    <w:rsid w:val="003E000F"/>
    <w:rsid w:val="003E1028"/>
    <w:rsid w:val="003E4B60"/>
    <w:rsid w:val="003F369B"/>
    <w:rsid w:val="003F4747"/>
    <w:rsid w:val="003F688E"/>
    <w:rsid w:val="003F6F2B"/>
    <w:rsid w:val="003F7E47"/>
    <w:rsid w:val="00400CBE"/>
    <w:rsid w:val="00405905"/>
    <w:rsid w:val="00405F39"/>
    <w:rsid w:val="0041566F"/>
    <w:rsid w:val="00415864"/>
    <w:rsid w:val="00420A1F"/>
    <w:rsid w:val="00422141"/>
    <w:rsid w:val="004246CF"/>
    <w:rsid w:val="00426428"/>
    <w:rsid w:val="004311BF"/>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87209"/>
    <w:rsid w:val="00490A69"/>
    <w:rsid w:val="004915E2"/>
    <w:rsid w:val="00493DF5"/>
    <w:rsid w:val="0049508E"/>
    <w:rsid w:val="00496F1E"/>
    <w:rsid w:val="004A18C9"/>
    <w:rsid w:val="004A1F40"/>
    <w:rsid w:val="004A2C19"/>
    <w:rsid w:val="004A4715"/>
    <w:rsid w:val="004A52A6"/>
    <w:rsid w:val="004A7BB6"/>
    <w:rsid w:val="004B019D"/>
    <w:rsid w:val="004B5E61"/>
    <w:rsid w:val="004C6DD1"/>
    <w:rsid w:val="004C775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44D6"/>
    <w:rsid w:val="00504780"/>
    <w:rsid w:val="0050618A"/>
    <w:rsid w:val="005104B9"/>
    <w:rsid w:val="00513071"/>
    <w:rsid w:val="00513336"/>
    <w:rsid w:val="005141AC"/>
    <w:rsid w:val="0051467E"/>
    <w:rsid w:val="0051509C"/>
    <w:rsid w:val="005200F5"/>
    <w:rsid w:val="0052012D"/>
    <w:rsid w:val="005212A5"/>
    <w:rsid w:val="005234DE"/>
    <w:rsid w:val="00524962"/>
    <w:rsid w:val="005272BF"/>
    <w:rsid w:val="00530E6E"/>
    <w:rsid w:val="0053423A"/>
    <w:rsid w:val="00534605"/>
    <w:rsid w:val="00541AC9"/>
    <w:rsid w:val="00543B5B"/>
    <w:rsid w:val="0054625F"/>
    <w:rsid w:val="00546D26"/>
    <w:rsid w:val="005472AB"/>
    <w:rsid w:val="00550CB1"/>
    <w:rsid w:val="0055170E"/>
    <w:rsid w:val="005540A0"/>
    <w:rsid w:val="0055717D"/>
    <w:rsid w:val="0056331C"/>
    <w:rsid w:val="0056738A"/>
    <w:rsid w:val="005707D2"/>
    <w:rsid w:val="00570FDC"/>
    <w:rsid w:val="00571A57"/>
    <w:rsid w:val="00580D78"/>
    <w:rsid w:val="00582A53"/>
    <w:rsid w:val="00583AB6"/>
    <w:rsid w:val="005855B3"/>
    <w:rsid w:val="00585CCF"/>
    <w:rsid w:val="005933EC"/>
    <w:rsid w:val="0059406B"/>
    <w:rsid w:val="005949E1"/>
    <w:rsid w:val="005A1327"/>
    <w:rsid w:val="005A32AF"/>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72"/>
    <w:rsid w:val="00640FFB"/>
    <w:rsid w:val="006414BE"/>
    <w:rsid w:val="00643383"/>
    <w:rsid w:val="00644191"/>
    <w:rsid w:val="006456DF"/>
    <w:rsid w:val="00646380"/>
    <w:rsid w:val="006514CA"/>
    <w:rsid w:val="00654CE8"/>
    <w:rsid w:val="0065568B"/>
    <w:rsid w:val="006566D0"/>
    <w:rsid w:val="00660D0F"/>
    <w:rsid w:val="006650CC"/>
    <w:rsid w:val="00666351"/>
    <w:rsid w:val="006705A4"/>
    <w:rsid w:val="006719D3"/>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B4FB9"/>
    <w:rsid w:val="006C084A"/>
    <w:rsid w:val="006C1A67"/>
    <w:rsid w:val="006C37D6"/>
    <w:rsid w:val="006C3D1D"/>
    <w:rsid w:val="006C43CD"/>
    <w:rsid w:val="006D21E4"/>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862"/>
    <w:rsid w:val="0071694F"/>
    <w:rsid w:val="0072022F"/>
    <w:rsid w:val="007215DD"/>
    <w:rsid w:val="00721DFC"/>
    <w:rsid w:val="00723ABC"/>
    <w:rsid w:val="00725A86"/>
    <w:rsid w:val="00726C53"/>
    <w:rsid w:val="007338EF"/>
    <w:rsid w:val="007401AD"/>
    <w:rsid w:val="00740D89"/>
    <w:rsid w:val="00745072"/>
    <w:rsid w:val="007473A6"/>
    <w:rsid w:val="00747BD2"/>
    <w:rsid w:val="00755CC3"/>
    <w:rsid w:val="00757EFE"/>
    <w:rsid w:val="0076044B"/>
    <w:rsid w:val="007604AA"/>
    <w:rsid w:val="00766EB6"/>
    <w:rsid w:val="007740EB"/>
    <w:rsid w:val="0077581D"/>
    <w:rsid w:val="0078539D"/>
    <w:rsid w:val="00785B79"/>
    <w:rsid w:val="00794037"/>
    <w:rsid w:val="00795D3A"/>
    <w:rsid w:val="00795EA1"/>
    <w:rsid w:val="00796727"/>
    <w:rsid w:val="00796D7E"/>
    <w:rsid w:val="007A53D3"/>
    <w:rsid w:val="007B40B0"/>
    <w:rsid w:val="007B5F1E"/>
    <w:rsid w:val="007B6033"/>
    <w:rsid w:val="007B726B"/>
    <w:rsid w:val="007C1E72"/>
    <w:rsid w:val="007C27D8"/>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35CB"/>
    <w:rsid w:val="00826DBC"/>
    <w:rsid w:val="00830751"/>
    <w:rsid w:val="00830E77"/>
    <w:rsid w:val="00835853"/>
    <w:rsid w:val="00837A65"/>
    <w:rsid w:val="00840C2D"/>
    <w:rsid w:val="008427BB"/>
    <w:rsid w:val="00843D41"/>
    <w:rsid w:val="00844254"/>
    <w:rsid w:val="00847AFB"/>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30CF"/>
    <w:rsid w:val="00893221"/>
    <w:rsid w:val="00894D8E"/>
    <w:rsid w:val="00896802"/>
    <w:rsid w:val="00897A58"/>
    <w:rsid w:val="008A1EB9"/>
    <w:rsid w:val="008A4423"/>
    <w:rsid w:val="008B0105"/>
    <w:rsid w:val="008B1732"/>
    <w:rsid w:val="008B4115"/>
    <w:rsid w:val="008B48E5"/>
    <w:rsid w:val="008B575A"/>
    <w:rsid w:val="008B6A29"/>
    <w:rsid w:val="008B6F5F"/>
    <w:rsid w:val="008B7093"/>
    <w:rsid w:val="008B768C"/>
    <w:rsid w:val="008C1660"/>
    <w:rsid w:val="008C31DF"/>
    <w:rsid w:val="008C40D3"/>
    <w:rsid w:val="008D11BC"/>
    <w:rsid w:val="008D42C3"/>
    <w:rsid w:val="008D59C7"/>
    <w:rsid w:val="008D5FE3"/>
    <w:rsid w:val="008D6200"/>
    <w:rsid w:val="008D75F0"/>
    <w:rsid w:val="008E5C56"/>
    <w:rsid w:val="008E6106"/>
    <w:rsid w:val="008E78E7"/>
    <w:rsid w:val="008F6153"/>
    <w:rsid w:val="008F7333"/>
    <w:rsid w:val="008F7F5F"/>
    <w:rsid w:val="009118BF"/>
    <w:rsid w:val="00916C74"/>
    <w:rsid w:val="00921DCB"/>
    <w:rsid w:val="00923DF9"/>
    <w:rsid w:val="00924B1A"/>
    <w:rsid w:val="0092505E"/>
    <w:rsid w:val="0092772E"/>
    <w:rsid w:val="00933B2F"/>
    <w:rsid w:val="00933F5B"/>
    <w:rsid w:val="00936B23"/>
    <w:rsid w:val="009400E4"/>
    <w:rsid w:val="00941CA4"/>
    <w:rsid w:val="00941F93"/>
    <w:rsid w:val="00943DBF"/>
    <w:rsid w:val="009442AC"/>
    <w:rsid w:val="0094493D"/>
    <w:rsid w:val="009472D4"/>
    <w:rsid w:val="00950645"/>
    <w:rsid w:val="009510E0"/>
    <w:rsid w:val="0095457D"/>
    <w:rsid w:val="00954B5F"/>
    <w:rsid w:val="00954B82"/>
    <w:rsid w:val="00954FB9"/>
    <w:rsid w:val="009603EC"/>
    <w:rsid w:val="009626A1"/>
    <w:rsid w:val="00962CAE"/>
    <w:rsid w:val="009660E6"/>
    <w:rsid w:val="00970964"/>
    <w:rsid w:val="00970F94"/>
    <w:rsid w:val="00971105"/>
    <w:rsid w:val="00976E5F"/>
    <w:rsid w:val="0097749D"/>
    <w:rsid w:val="00980BFE"/>
    <w:rsid w:val="009947E6"/>
    <w:rsid w:val="009A30B5"/>
    <w:rsid w:val="009A3F44"/>
    <w:rsid w:val="009A66DF"/>
    <w:rsid w:val="009A6EC9"/>
    <w:rsid w:val="009B16BF"/>
    <w:rsid w:val="009B240E"/>
    <w:rsid w:val="009B441E"/>
    <w:rsid w:val="009B4DA9"/>
    <w:rsid w:val="009C00D6"/>
    <w:rsid w:val="009C06E9"/>
    <w:rsid w:val="009C234C"/>
    <w:rsid w:val="009C3642"/>
    <w:rsid w:val="009C5BE9"/>
    <w:rsid w:val="009D11CC"/>
    <w:rsid w:val="009D3239"/>
    <w:rsid w:val="009D3989"/>
    <w:rsid w:val="009D4D36"/>
    <w:rsid w:val="009E0CF4"/>
    <w:rsid w:val="009E5696"/>
    <w:rsid w:val="009F144C"/>
    <w:rsid w:val="009F1491"/>
    <w:rsid w:val="009F5288"/>
    <w:rsid w:val="00A00D7D"/>
    <w:rsid w:val="00A02087"/>
    <w:rsid w:val="00A1302E"/>
    <w:rsid w:val="00A147C1"/>
    <w:rsid w:val="00A1731C"/>
    <w:rsid w:val="00A21FB0"/>
    <w:rsid w:val="00A22BE6"/>
    <w:rsid w:val="00A25F73"/>
    <w:rsid w:val="00A30000"/>
    <w:rsid w:val="00A3464C"/>
    <w:rsid w:val="00A349F8"/>
    <w:rsid w:val="00A359E8"/>
    <w:rsid w:val="00A40493"/>
    <w:rsid w:val="00A41C80"/>
    <w:rsid w:val="00A42F27"/>
    <w:rsid w:val="00A43347"/>
    <w:rsid w:val="00A4679C"/>
    <w:rsid w:val="00A46922"/>
    <w:rsid w:val="00A470A3"/>
    <w:rsid w:val="00A47A67"/>
    <w:rsid w:val="00A500EA"/>
    <w:rsid w:val="00A516EA"/>
    <w:rsid w:val="00A51F07"/>
    <w:rsid w:val="00A53B90"/>
    <w:rsid w:val="00A576C5"/>
    <w:rsid w:val="00A57B38"/>
    <w:rsid w:val="00A70D12"/>
    <w:rsid w:val="00A82194"/>
    <w:rsid w:val="00A828E4"/>
    <w:rsid w:val="00A8295E"/>
    <w:rsid w:val="00A83C24"/>
    <w:rsid w:val="00A848FC"/>
    <w:rsid w:val="00A854D1"/>
    <w:rsid w:val="00A8727A"/>
    <w:rsid w:val="00A925A6"/>
    <w:rsid w:val="00A9281A"/>
    <w:rsid w:val="00A9421A"/>
    <w:rsid w:val="00A9637C"/>
    <w:rsid w:val="00AA311C"/>
    <w:rsid w:val="00AB0497"/>
    <w:rsid w:val="00AB21D6"/>
    <w:rsid w:val="00AB2713"/>
    <w:rsid w:val="00AB3D5A"/>
    <w:rsid w:val="00AB3E67"/>
    <w:rsid w:val="00AB43B1"/>
    <w:rsid w:val="00AB6C1E"/>
    <w:rsid w:val="00AC3C31"/>
    <w:rsid w:val="00AC6FC5"/>
    <w:rsid w:val="00AC7D50"/>
    <w:rsid w:val="00AD184C"/>
    <w:rsid w:val="00AD18F6"/>
    <w:rsid w:val="00AD2AF6"/>
    <w:rsid w:val="00AE094B"/>
    <w:rsid w:val="00AE1DD5"/>
    <w:rsid w:val="00AE5ED3"/>
    <w:rsid w:val="00AE6A0C"/>
    <w:rsid w:val="00AF064C"/>
    <w:rsid w:val="00AF0D0E"/>
    <w:rsid w:val="00AF123F"/>
    <w:rsid w:val="00AF2CB8"/>
    <w:rsid w:val="00B01155"/>
    <w:rsid w:val="00B01F10"/>
    <w:rsid w:val="00B024CD"/>
    <w:rsid w:val="00B06E30"/>
    <w:rsid w:val="00B07912"/>
    <w:rsid w:val="00B07E62"/>
    <w:rsid w:val="00B1149A"/>
    <w:rsid w:val="00B12F05"/>
    <w:rsid w:val="00B13BA4"/>
    <w:rsid w:val="00B14AF0"/>
    <w:rsid w:val="00B14EF2"/>
    <w:rsid w:val="00B165CC"/>
    <w:rsid w:val="00B16FB2"/>
    <w:rsid w:val="00B21140"/>
    <w:rsid w:val="00B216D8"/>
    <w:rsid w:val="00B22D36"/>
    <w:rsid w:val="00B247C4"/>
    <w:rsid w:val="00B24B4D"/>
    <w:rsid w:val="00B258AA"/>
    <w:rsid w:val="00B34623"/>
    <w:rsid w:val="00B36CBB"/>
    <w:rsid w:val="00B37C23"/>
    <w:rsid w:val="00B40212"/>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96075"/>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5406"/>
    <w:rsid w:val="00BF7759"/>
    <w:rsid w:val="00C00901"/>
    <w:rsid w:val="00C05291"/>
    <w:rsid w:val="00C11558"/>
    <w:rsid w:val="00C11D32"/>
    <w:rsid w:val="00C139AF"/>
    <w:rsid w:val="00C156B2"/>
    <w:rsid w:val="00C24901"/>
    <w:rsid w:val="00C306D3"/>
    <w:rsid w:val="00C33621"/>
    <w:rsid w:val="00C353A3"/>
    <w:rsid w:val="00C36247"/>
    <w:rsid w:val="00C366FF"/>
    <w:rsid w:val="00C4140A"/>
    <w:rsid w:val="00C4149D"/>
    <w:rsid w:val="00C41A2E"/>
    <w:rsid w:val="00C4225D"/>
    <w:rsid w:val="00C434DD"/>
    <w:rsid w:val="00C43B58"/>
    <w:rsid w:val="00C45590"/>
    <w:rsid w:val="00C509A4"/>
    <w:rsid w:val="00C564CE"/>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31C70"/>
    <w:rsid w:val="00D343BD"/>
    <w:rsid w:val="00D345F4"/>
    <w:rsid w:val="00D35DE2"/>
    <w:rsid w:val="00D41D69"/>
    <w:rsid w:val="00D42221"/>
    <w:rsid w:val="00D60131"/>
    <w:rsid w:val="00D6467C"/>
    <w:rsid w:val="00D70F0F"/>
    <w:rsid w:val="00D75159"/>
    <w:rsid w:val="00D7583A"/>
    <w:rsid w:val="00D765E3"/>
    <w:rsid w:val="00D76CEA"/>
    <w:rsid w:val="00D81D71"/>
    <w:rsid w:val="00D87A72"/>
    <w:rsid w:val="00D87AF3"/>
    <w:rsid w:val="00D971A5"/>
    <w:rsid w:val="00DA11B6"/>
    <w:rsid w:val="00DA1A60"/>
    <w:rsid w:val="00DA1A8A"/>
    <w:rsid w:val="00DA1D72"/>
    <w:rsid w:val="00DA2093"/>
    <w:rsid w:val="00DA3B9E"/>
    <w:rsid w:val="00DA3EE3"/>
    <w:rsid w:val="00DA46C8"/>
    <w:rsid w:val="00DA47E8"/>
    <w:rsid w:val="00DA618C"/>
    <w:rsid w:val="00DB1C55"/>
    <w:rsid w:val="00DB255D"/>
    <w:rsid w:val="00DB2EC6"/>
    <w:rsid w:val="00DB5579"/>
    <w:rsid w:val="00DB60B7"/>
    <w:rsid w:val="00DB6AAE"/>
    <w:rsid w:val="00DC18BA"/>
    <w:rsid w:val="00DC2AD2"/>
    <w:rsid w:val="00DC6BB8"/>
    <w:rsid w:val="00DD0BF3"/>
    <w:rsid w:val="00DD2B67"/>
    <w:rsid w:val="00DD3F79"/>
    <w:rsid w:val="00DD670C"/>
    <w:rsid w:val="00DD764A"/>
    <w:rsid w:val="00DE11CF"/>
    <w:rsid w:val="00DE38E9"/>
    <w:rsid w:val="00DE3FFF"/>
    <w:rsid w:val="00DE422B"/>
    <w:rsid w:val="00DF7895"/>
    <w:rsid w:val="00DF7CC5"/>
    <w:rsid w:val="00E02044"/>
    <w:rsid w:val="00E1317C"/>
    <w:rsid w:val="00E1743B"/>
    <w:rsid w:val="00E174E5"/>
    <w:rsid w:val="00E17F9A"/>
    <w:rsid w:val="00E22A84"/>
    <w:rsid w:val="00E26459"/>
    <w:rsid w:val="00E3007A"/>
    <w:rsid w:val="00E30414"/>
    <w:rsid w:val="00E345A7"/>
    <w:rsid w:val="00E37012"/>
    <w:rsid w:val="00E40062"/>
    <w:rsid w:val="00E40EC3"/>
    <w:rsid w:val="00E446ED"/>
    <w:rsid w:val="00E50C09"/>
    <w:rsid w:val="00E5400F"/>
    <w:rsid w:val="00E55AA1"/>
    <w:rsid w:val="00E60440"/>
    <w:rsid w:val="00E60771"/>
    <w:rsid w:val="00E632D0"/>
    <w:rsid w:val="00E64135"/>
    <w:rsid w:val="00E6579F"/>
    <w:rsid w:val="00E65874"/>
    <w:rsid w:val="00E6663B"/>
    <w:rsid w:val="00E66B3A"/>
    <w:rsid w:val="00E81879"/>
    <w:rsid w:val="00E83578"/>
    <w:rsid w:val="00E843FA"/>
    <w:rsid w:val="00E876CA"/>
    <w:rsid w:val="00E91E3F"/>
    <w:rsid w:val="00E95C7C"/>
    <w:rsid w:val="00EA4970"/>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7D9B"/>
    <w:rsid w:val="00F77E6F"/>
    <w:rsid w:val="00F811F5"/>
    <w:rsid w:val="00F816E8"/>
    <w:rsid w:val="00F817E5"/>
    <w:rsid w:val="00F81C22"/>
    <w:rsid w:val="00F854E9"/>
    <w:rsid w:val="00F85B3C"/>
    <w:rsid w:val="00F908E9"/>
    <w:rsid w:val="00F918B8"/>
    <w:rsid w:val="00F93C48"/>
    <w:rsid w:val="00F94E78"/>
    <w:rsid w:val="00F97590"/>
    <w:rsid w:val="00FA0954"/>
    <w:rsid w:val="00FA1F4E"/>
    <w:rsid w:val="00FA204E"/>
    <w:rsid w:val="00FA5A1C"/>
    <w:rsid w:val="00FA6B56"/>
    <w:rsid w:val="00FB45C6"/>
    <w:rsid w:val="00FB4F8E"/>
    <w:rsid w:val="00FB61C7"/>
    <w:rsid w:val="00FB6647"/>
    <w:rsid w:val="00FC3F89"/>
    <w:rsid w:val="00FC5D9F"/>
    <w:rsid w:val="00FC7332"/>
    <w:rsid w:val="00FD0D95"/>
    <w:rsid w:val="00FD731B"/>
    <w:rsid w:val="00FE069D"/>
    <w:rsid w:val="00FE2D48"/>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487209"/>
    <w:pPr>
      <w:tabs>
        <w:tab w:val="right" w:leader="dot" w:pos="8777"/>
      </w:tabs>
      <w:spacing w:before="240" w:after="100" w:line="360" w:lineRule="auto"/>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921D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DCB"/>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4424121">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4859729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6052732">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732552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184455">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2188478">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1272950">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9405">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454683/CONVENIO_FORTASEG_2019-ESTADO_DE_M_XICO-17-04-19.pdf" TargetMode="External"/><Relationship Id="rId2" Type="http://schemas.openxmlformats.org/officeDocument/2006/relationships/hyperlink" Target="https://www.gob.mx/sesnsp/acciones-y-programas/fondos-y-subsidios"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904E-49FD-4D6D-9DB6-F3D712A6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64</Pages>
  <Words>11839</Words>
  <Characters>65118</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2019-11-11T20:28:00Z</cp:lastPrinted>
  <dcterms:created xsi:type="dcterms:W3CDTF">2019-11-07T20:36:00Z</dcterms:created>
  <dcterms:modified xsi:type="dcterms:W3CDTF">2020-02-10T18:55:00Z</dcterms:modified>
</cp:coreProperties>
</file>