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854336">
        <w:rPr>
          <w:rFonts w:ascii="Palatino Linotype" w:hAnsi="Palatino Linotype"/>
          <w:sz w:val="24"/>
          <w:szCs w:val="24"/>
          <w:lang w:eastAsia="es-MX"/>
        </w:rPr>
        <w:t>catorce de agosto</w:t>
      </w:r>
      <w:r w:rsidR="00C105C7">
        <w:rPr>
          <w:rFonts w:ascii="Palatino Linotype" w:hAnsi="Palatino Linotype"/>
          <w:sz w:val="24"/>
          <w:szCs w:val="24"/>
          <w:lang w:eastAsia="es-MX"/>
        </w:rPr>
        <w:t xml:space="preserve"> de dos mil diecinueve</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104EDA">
        <w:rPr>
          <w:rFonts w:ascii="Palatino Linotype" w:hAnsi="Palatino Linotype"/>
          <w:b/>
          <w:bCs/>
          <w:sz w:val="24"/>
          <w:szCs w:val="24"/>
          <w:lang w:eastAsia="es-MX"/>
        </w:rPr>
        <w:t>04855</w:t>
      </w:r>
      <w:r w:rsidR="009A10DA">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93E0F">
        <w:rPr>
          <w:rFonts w:ascii="Palatino Linotype" w:hAnsi="Palatino Linotype"/>
          <w:sz w:val="24"/>
          <w:szCs w:val="24"/>
        </w:rPr>
        <w:t>o por</w:t>
      </w:r>
      <w:r w:rsidR="00104EDA">
        <w:rPr>
          <w:rFonts w:ascii="Palatino Linotype" w:hAnsi="Palatino Linotype"/>
          <w:sz w:val="24"/>
          <w:szCs w:val="24"/>
        </w:rPr>
        <w:t xml:space="preserve"> la</w:t>
      </w:r>
      <w:r w:rsidR="006E020B">
        <w:rPr>
          <w:rFonts w:ascii="Palatino Linotype" w:hAnsi="Palatino Linotype"/>
          <w:sz w:val="24"/>
          <w:szCs w:val="24"/>
        </w:rPr>
        <w:t xml:space="preserve"> C.</w:t>
      </w:r>
      <w:r w:rsidR="00893E0F">
        <w:rPr>
          <w:rFonts w:ascii="Palatino Linotype" w:hAnsi="Palatino Linotype"/>
          <w:sz w:val="24"/>
          <w:szCs w:val="24"/>
        </w:rPr>
        <w:t xml:space="preserve"> </w:t>
      </w:r>
      <w:r w:rsidR="00823A09">
        <w:rPr>
          <w:rFonts w:ascii="Palatino Linotype" w:hAnsi="Palatino Linotype"/>
          <w:b/>
          <w:sz w:val="24"/>
          <w:szCs w:val="24"/>
        </w:rPr>
        <w:t>XXXXXXXXXXXXXXXXXXXX 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104EDA">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104EDA">
        <w:rPr>
          <w:rFonts w:ascii="Palatino Linotype" w:hAnsi="Palatino Linotype" w:cs="Arial"/>
          <w:b/>
          <w:sz w:val="24"/>
          <w:szCs w:val="24"/>
        </w:rPr>
        <w:t>Ayuntamiento de Tecámac</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3F6007"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15409F">
        <w:rPr>
          <w:rFonts w:ascii="Palatino Linotype" w:hAnsi="Palatino Linotype"/>
          <w:sz w:val="24"/>
          <w:szCs w:val="24"/>
        </w:rPr>
        <w:t>dos de veintinueve de abril</w:t>
      </w:r>
      <w:r w:rsidR="00C105C7">
        <w:rPr>
          <w:rFonts w:ascii="Palatino Linotype" w:hAnsi="Palatino Linotype"/>
          <w:sz w:val="24"/>
          <w:szCs w:val="24"/>
        </w:rPr>
        <w:t xml:space="preserve"> de dos mil diecinueve, el</w:t>
      </w:r>
      <w:r w:rsidR="00DD2D53" w:rsidRPr="00C35F18">
        <w:rPr>
          <w:rFonts w:ascii="Palatino Linotype" w:hAnsi="Palatino Linotype"/>
          <w:sz w:val="24"/>
          <w:szCs w:val="24"/>
        </w:rPr>
        <w:t xml:space="preserve"> </w:t>
      </w:r>
      <w:r w:rsidR="0015409F">
        <w:rPr>
          <w:rFonts w:ascii="Palatino Linotype" w:hAnsi="Palatino Linotype"/>
          <w:sz w:val="24"/>
          <w:szCs w:val="24"/>
        </w:rPr>
        <w:t>Recurrente</w:t>
      </w:r>
      <w:r w:rsidRPr="00C35F18">
        <w:rPr>
          <w:rFonts w:ascii="Palatino Linotype" w:hAnsi="Palatino Linotype"/>
          <w:sz w:val="24"/>
          <w:szCs w:val="24"/>
        </w:rPr>
        <w:t xml:space="preserv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15409F">
        <w:rPr>
          <w:rFonts w:ascii="Palatino Linotype" w:hAnsi="Palatino Linotype"/>
          <w:b/>
          <w:sz w:val="24"/>
          <w:szCs w:val="24"/>
        </w:rPr>
        <w:t xml:space="preserve"> 00325/TECAMAC</w:t>
      </w:r>
      <w:r w:rsidR="00C105C7">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3F6007" w:rsidRPr="003F6007">
        <w:rPr>
          <w:rFonts w:ascii="Palatino Linotype" w:eastAsia="Times New Roman" w:hAnsi="Palatino Linotype" w:cs="Times New Roman"/>
          <w:i/>
          <w:lang w:eastAsia="es-ES"/>
        </w:rPr>
        <w:t>El nombre de las agrupaciones artísticas contratadas y presentadas para ambientar el concierto musical celebrado el día 27 de abril de 2019 como parte de las festividades de la “Feria de Tecámac 2019” y demás información requerida en el documento anexo.</w:t>
      </w:r>
      <w:r w:rsidRPr="008C0E72">
        <w:rPr>
          <w:rFonts w:ascii="Palatino Linotype" w:eastAsia="Times New Roman" w:hAnsi="Palatino Linotype" w:cs="Times New Roman"/>
          <w:i/>
          <w:lang w:val="es-ES_tradnl" w:eastAsia="es-ES"/>
        </w:rPr>
        <w:t>” [Sic]</w:t>
      </w:r>
    </w:p>
    <w:p w:rsidR="00F31F81"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003D5F05">
        <w:rPr>
          <w:rFonts w:ascii="Palatino Linotype" w:eastAsia="Times New Roman" w:hAnsi="Palatino Linotype" w:cs="Times New Roman"/>
          <w:b/>
          <w:sz w:val="24"/>
          <w:szCs w:val="24"/>
          <w:lang w:val="es-ES_tradnl" w:eastAsia="es-ES"/>
        </w:rPr>
        <w:t>Copias Certificadas (con costo)</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3F6007" w:rsidRDefault="003F6007" w:rsidP="0014447C">
      <w:pPr>
        <w:pStyle w:val="Sinespaciado"/>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Anexando a su solicitud el archivo digital denominado </w:t>
      </w:r>
      <w:r w:rsidRPr="00BB5C3A">
        <w:rPr>
          <w:rFonts w:ascii="Palatino Linotype" w:eastAsia="Times New Roman" w:hAnsi="Palatino Linotype" w:cs="Times New Roman"/>
          <w:b/>
          <w:sz w:val="24"/>
          <w:szCs w:val="24"/>
          <w:lang w:val="es-ES_tradnl" w:eastAsia="es-ES"/>
        </w:rPr>
        <w:t>“Sol. Informes Tecámac.pdf”</w:t>
      </w:r>
      <w:r>
        <w:rPr>
          <w:rFonts w:ascii="Palatino Linotype" w:eastAsia="Times New Roman" w:hAnsi="Palatino Linotype" w:cs="Times New Roman"/>
          <w:sz w:val="24"/>
          <w:szCs w:val="24"/>
          <w:lang w:val="es-ES_tradnl" w:eastAsia="es-ES"/>
        </w:rPr>
        <w:t>, el cual contiene un cuestionario que no se reproduce debido a que es del conocimiento de ambas partes. No obstante, se hará referencia a dicho documento más adelante.</w:t>
      </w:r>
    </w:p>
    <w:p w:rsidR="003F6007" w:rsidRDefault="003F6007"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3F6007">
        <w:rPr>
          <w:rFonts w:ascii="Palatino Linotype" w:hAnsi="Palatino Linotype"/>
          <w:sz w:val="24"/>
        </w:rPr>
        <w:t>veintiuno de mayo</w:t>
      </w:r>
      <w:r w:rsidR="00C105C7">
        <w:rPr>
          <w:rFonts w:ascii="Palatino Linotype" w:hAnsi="Palatino Linotype"/>
          <w:sz w:val="24"/>
        </w:rPr>
        <w:t xml:space="preserve"> de 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3F6007" w:rsidRDefault="008C0E72" w:rsidP="003F6007">
      <w:pPr>
        <w:pStyle w:val="Sinespaciado"/>
        <w:ind w:left="567" w:right="567"/>
        <w:jc w:val="both"/>
        <w:rPr>
          <w:rFonts w:ascii="Palatino Linotype" w:hAnsi="Palatino Linotype"/>
          <w:i/>
        </w:rPr>
      </w:pPr>
      <w:r>
        <w:rPr>
          <w:rFonts w:ascii="Palatino Linotype" w:hAnsi="Palatino Linotype"/>
          <w:sz w:val="24"/>
        </w:rPr>
        <w:t>“</w:t>
      </w:r>
      <w:r w:rsidR="003F6007" w:rsidRPr="003F600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F6007" w:rsidRPr="003F6007" w:rsidRDefault="003F6007" w:rsidP="003F6007">
      <w:pPr>
        <w:pStyle w:val="Sinespaciado"/>
        <w:ind w:left="567" w:right="567"/>
        <w:jc w:val="both"/>
        <w:rPr>
          <w:rFonts w:ascii="Palatino Linotype" w:hAnsi="Palatino Linotype"/>
          <w:i/>
        </w:rPr>
      </w:pPr>
    </w:p>
    <w:p w:rsidR="003F6007" w:rsidRDefault="003F6007" w:rsidP="003F6007">
      <w:pPr>
        <w:pStyle w:val="Sinespaciado"/>
        <w:ind w:left="567" w:right="567"/>
        <w:jc w:val="both"/>
        <w:rPr>
          <w:rFonts w:ascii="Palatino Linotype" w:hAnsi="Palatino Linotype"/>
          <w:i/>
        </w:rPr>
      </w:pPr>
      <w:r w:rsidRPr="003F6007">
        <w:rPr>
          <w:rFonts w:ascii="Palatino Linotype" w:hAnsi="Palatino Linotype"/>
          <w:i/>
        </w:rPr>
        <w:t>SE HACE ENTREGA DE LA RESPUESTA A LA SOLICITUD Y SE ADJUNTA EL ACTA DEL COMITÉ DE TRANSPARENCIA QUE SUSTENTA LA VERSIÓN PÚBLICA DE LA INFORMACIÓN.</w:t>
      </w:r>
    </w:p>
    <w:p w:rsidR="003F6007" w:rsidRPr="003F6007" w:rsidRDefault="003F6007" w:rsidP="003F6007">
      <w:pPr>
        <w:pStyle w:val="Sinespaciado"/>
        <w:ind w:left="567" w:right="567"/>
        <w:jc w:val="both"/>
        <w:rPr>
          <w:rFonts w:ascii="Palatino Linotype" w:hAnsi="Palatino Linotype"/>
          <w:i/>
        </w:rPr>
      </w:pPr>
    </w:p>
    <w:p w:rsidR="003F6007" w:rsidRPr="003F6007" w:rsidRDefault="003F6007" w:rsidP="003F6007">
      <w:pPr>
        <w:pStyle w:val="Sinespaciado"/>
        <w:ind w:left="567" w:right="567"/>
        <w:jc w:val="both"/>
        <w:rPr>
          <w:rFonts w:ascii="Palatino Linotype" w:hAnsi="Palatino Linotype"/>
          <w:i/>
        </w:rPr>
      </w:pPr>
      <w:r w:rsidRPr="003F6007">
        <w:rPr>
          <w:rFonts w:ascii="Palatino Linotype" w:hAnsi="Palatino Linotype"/>
          <w:i/>
        </w:rPr>
        <w:t>ATENTAMENTE</w:t>
      </w:r>
    </w:p>
    <w:p w:rsidR="008C0E72" w:rsidRDefault="003F6007" w:rsidP="003F6007">
      <w:pPr>
        <w:pStyle w:val="Sinespaciado"/>
        <w:ind w:left="567" w:right="567"/>
        <w:jc w:val="both"/>
        <w:rPr>
          <w:rFonts w:ascii="Palatino Linotype" w:hAnsi="Palatino Linotype"/>
          <w:i/>
        </w:rPr>
      </w:pPr>
      <w:r w:rsidRPr="003F6007">
        <w:rPr>
          <w:rFonts w:ascii="Palatino Linotype" w:hAnsi="Palatino Linotype"/>
          <w:i/>
        </w:rPr>
        <w:t>C. CARLOS ALONSO HERNANDEZ PELAEZ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szCs w:val="24"/>
        </w:rPr>
      </w:pPr>
    </w:p>
    <w:p w:rsidR="003F6007" w:rsidRDefault="00BB5C3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la respuesta se adjuntaron los documentos electrónicos denominados </w:t>
      </w:r>
      <w:r w:rsidRPr="00BB5C3A">
        <w:rPr>
          <w:rFonts w:ascii="Palatino Linotype" w:hAnsi="Palatino Linotype"/>
          <w:b/>
          <w:sz w:val="24"/>
          <w:szCs w:val="24"/>
        </w:rPr>
        <w:t>“0325.pdf”</w:t>
      </w:r>
      <w:r>
        <w:rPr>
          <w:rFonts w:ascii="Palatino Linotype" w:hAnsi="Palatino Linotype"/>
          <w:sz w:val="24"/>
          <w:szCs w:val="24"/>
        </w:rPr>
        <w:t xml:space="preserve">, </w:t>
      </w:r>
      <w:r w:rsidRPr="00BB5C3A">
        <w:rPr>
          <w:rFonts w:ascii="Palatino Linotype" w:hAnsi="Palatino Linotype"/>
          <w:b/>
          <w:sz w:val="24"/>
          <w:szCs w:val="24"/>
        </w:rPr>
        <w:t>“CONVENIO-FERIA-2019.pdf”</w:t>
      </w:r>
      <w:r>
        <w:rPr>
          <w:rFonts w:ascii="Palatino Linotype" w:hAnsi="Palatino Linotype"/>
          <w:sz w:val="24"/>
          <w:szCs w:val="24"/>
        </w:rPr>
        <w:t xml:space="preserve"> y </w:t>
      </w:r>
      <w:r w:rsidRPr="00BB5C3A">
        <w:rPr>
          <w:rFonts w:ascii="Palatino Linotype" w:hAnsi="Palatino Linotype"/>
          <w:b/>
          <w:sz w:val="24"/>
          <w:szCs w:val="24"/>
        </w:rPr>
        <w:t>“ACT-09-ACUE-013.pdf”</w:t>
      </w:r>
      <w:r>
        <w:rPr>
          <w:rFonts w:ascii="Palatino Linotype" w:hAnsi="Palatino Linotype"/>
          <w:sz w:val="24"/>
          <w:szCs w:val="24"/>
        </w:rPr>
        <w:t>. El contenido de los archivos mencionados no se reproduce por economía procesa, sin embargo se hará mérito de los mismos durante el estudio correspondiente.</w:t>
      </w:r>
    </w:p>
    <w:p w:rsidR="003F6007" w:rsidRPr="003F6007" w:rsidRDefault="003F6007"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21213">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EB6CF8">
        <w:rPr>
          <w:rFonts w:ascii="Palatino Linotype" w:hAnsi="Palatino Linotype"/>
          <w:sz w:val="24"/>
          <w:szCs w:val="24"/>
        </w:rPr>
        <w:t>veintiocho de mayo</w:t>
      </w:r>
      <w:r w:rsidR="00E71020">
        <w:rPr>
          <w:rFonts w:ascii="Palatino Linotype" w:hAnsi="Palatino Linotype"/>
          <w:sz w:val="24"/>
          <w:szCs w:val="24"/>
        </w:rPr>
        <w:t xml:space="preserve"> de dos mil diecinueve</w:t>
      </w:r>
      <w:r w:rsidRPr="00D04234">
        <w:rPr>
          <w:rFonts w:ascii="Palatino Linotype" w:hAnsi="Palatino Linotype"/>
          <w:sz w:val="24"/>
          <w:szCs w:val="24"/>
        </w:rPr>
        <w:t xml:space="preserve">, en </w:t>
      </w:r>
      <w:r w:rsidRPr="00D04234">
        <w:rPr>
          <w:rFonts w:ascii="Palatino Linotype" w:hAnsi="Palatino Linotype"/>
          <w:sz w:val="24"/>
          <w:szCs w:val="24"/>
        </w:rPr>
        <w:lastRenderedPageBreak/>
        <w:t xml:space="preserve">el sistema electrónico con el expediente número </w:t>
      </w:r>
      <w:r w:rsidR="00491B39">
        <w:rPr>
          <w:rFonts w:ascii="Palatino Linotype" w:hAnsi="Palatino Linotype"/>
          <w:b/>
          <w:bCs/>
          <w:sz w:val="24"/>
          <w:szCs w:val="24"/>
          <w:lang w:eastAsia="es-MX"/>
        </w:rPr>
        <w:t>04855</w:t>
      </w:r>
      <w:r w:rsidR="00E71020">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491B39" w:rsidRPr="00491B39">
        <w:rPr>
          <w:rFonts w:ascii="Palatino Linotype" w:hAnsi="Palatino Linotype" w:cs="Arial"/>
          <w:i/>
        </w:rPr>
        <w:t>El oficio número DGDETPyM/00261/2019, así como sus anexos respectivos consistentes en el convenio para la realización de la Feria de Tecámac 2019, Acta CT/TECÁMAC7ACTA-009-2019 del Comité de Transparencia del Ayuntamiento Constitucional de Tecámac 2019-2021 y el Acuerdo número 013/TECAMAC/CT/2019 del Comité de Transparencia del Ayuntamiento aludido.</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491B39" w:rsidRPr="00491B39">
        <w:rPr>
          <w:rFonts w:ascii="Palatino Linotype" w:hAnsi="Palatino Linotype" w:cs="Arial"/>
          <w:i/>
        </w:rPr>
        <w:t>El presente recurso se interpone con fundamento en el artículo 179, fracciones V, VIII y XIII de la Ley de Transparencia y Acceso a la Información Pública del Estado de México y Municipios, debido a la entrega de información incompleta, en una modalidad distinta a la solicitada, así como por la insuficiencia de la fundamentación y motivación en la respuesta proporcionada, de conformidad con las argumentaciones vertidas en el documento anexo al presente.</w:t>
      </w:r>
      <w:r w:rsidR="006A3A54" w:rsidRPr="004657BE">
        <w:rPr>
          <w:rFonts w:ascii="Palatino Linotype" w:hAnsi="Palatino Linotype" w:cs="Arial"/>
          <w:i/>
        </w:rPr>
        <w:t>” (Sic)</w:t>
      </w:r>
    </w:p>
    <w:p w:rsidR="00622A9F" w:rsidRDefault="00622A9F" w:rsidP="0014447C">
      <w:pPr>
        <w:spacing w:line="240" w:lineRule="auto"/>
        <w:ind w:left="851" w:right="850"/>
        <w:jc w:val="both"/>
        <w:rPr>
          <w:rFonts w:ascii="Palatino Linotype" w:hAnsi="Palatino Linotype" w:cs="Arial"/>
          <w:i/>
        </w:rPr>
      </w:pPr>
    </w:p>
    <w:p w:rsidR="00BE6D77" w:rsidRDefault="00622A9F" w:rsidP="004657BE">
      <w:pPr>
        <w:pStyle w:val="Sinespaciado"/>
        <w:spacing w:line="360" w:lineRule="auto"/>
        <w:jc w:val="both"/>
        <w:rPr>
          <w:rFonts w:ascii="Palatino Linotype" w:hAnsi="Palatino Linotype"/>
          <w:sz w:val="24"/>
          <w:szCs w:val="24"/>
        </w:rPr>
      </w:pPr>
      <w:r>
        <w:rPr>
          <w:rFonts w:ascii="Palatino Linotype" w:hAnsi="Palatino Linotype"/>
          <w:sz w:val="24"/>
          <w:szCs w:val="24"/>
        </w:rPr>
        <w:t>La Recurrente anexó a su recurso de revisión el documento digital “Recurso Revisión Sol. 00325-TECAMAC-IP-2019.pdf”</w:t>
      </w:r>
      <w:r w:rsidR="00BA5906">
        <w:rPr>
          <w:rFonts w:ascii="Palatino Linotype" w:hAnsi="Palatino Linotype"/>
          <w:sz w:val="24"/>
          <w:szCs w:val="24"/>
        </w:rPr>
        <w:t>, que contiene su escrito de recurso de revisión y del cual se hará mérito posteriormente.</w:t>
      </w:r>
    </w:p>
    <w:p w:rsidR="00622A9F" w:rsidRDefault="00622A9F"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EB6CF8">
        <w:rPr>
          <w:rFonts w:ascii="Palatino Linotype" w:hAnsi="Palatino Linotype"/>
          <w:sz w:val="24"/>
          <w:szCs w:val="24"/>
        </w:rPr>
        <w:t>tres de junio</w:t>
      </w:r>
      <w:r w:rsidR="00BA011E">
        <w:rPr>
          <w:rFonts w:ascii="Palatino Linotype" w:hAnsi="Palatino Linotype"/>
          <w:sz w:val="24"/>
          <w:szCs w:val="24"/>
        </w:rPr>
        <w:t xml:space="preserve"> de dos mil </w:t>
      </w:r>
      <w:r w:rsidR="00BA011E">
        <w:rPr>
          <w:rFonts w:ascii="Palatino Linotype" w:hAnsi="Palatino Linotype"/>
          <w:sz w:val="24"/>
          <w:szCs w:val="24"/>
        </w:rPr>
        <w:lastRenderedPageBreak/>
        <w:t>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BA011E" w:rsidRPr="0014447C" w:rsidRDefault="00BA011E" w:rsidP="00BA011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BA011E" w:rsidRDefault="00EB6CF8" w:rsidP="00BA011E">
      <w:pPr>
        <w:pStyle w:val="Sinespaciado"/>
        <w:spacing w:line="360" w:lineRule="auto"/>
        <w:jc w:val="both"/>
        <w:rPr>
          <w:rFonts w:ascii="Palatino Linotype" w:hAnsi="Palatino Linotype"/>
          <w:sz w:val="24"/>
          <w:szCs w:val="24"/>
        </w:rPr>
      </w:pPr>
      <w:r w:rsidRPr="00EB6CF8">
        <w:rPr>
          <w:rFonts w:ascii="Palatino Linotype" w:hAnsi="Palatino Linotype"/>
          <w:sz w:val="24"/>
          <w:szCs w:val="24"/>
        </w:rPr>
        <w:t>Así, una vez abierta la etapa d</w:t>
      </w:r>
      <w:r w:rsidR="00BA5906">
        <w:rPr>
          <w:rFonts w:ascii="Palatino Linotype" w:hAnsi="Palatino Linotype"/>
          <w:sz w:val="24"/>
          <w:szCs w:val="24"/>
        </w:rPr>
        <w:t>e instrucción, se destaca que la</w:t>
      </w:r>
      <w:r w:rsidRPr="00EB6CF8">
        <w:rPr>
          <w:rFonts w:ascii="Palatino Linotype" w:hAnsi="Palatino Linotype"/>
          <w:sz w:val="24"/>
          <w:szCs w:val="24"/>
        </w:rPr>
        <w:t xml:space="preserve"> Recurrente no presentó sus manifestaciones y alegatos. Asimismo, el Sujeto Obligado omitió rendir su Informe Justificado como se observa en la siguiente imagen:</w:t>
      </w:r>
    </w:p>
    <w:p w:rsidR="00BA011E" w:rsidRDefault="00BA5906" w:rsidP="00A76922">
      <w:pPr>
        <w:pStyle w:val="Sinespaciado"/>
        <w:spacing w:line="360" w:lineRule="auto"/>
        <w:jc w:val="center"/>
        <w:rPr>
          <w:rFonts w:ascii="Palatino Linotype" w:hAnsi="Palatino Linotype"/>
          <w:sz w:val="24"/>
          <w:szCs w:val="24"/>
        </w:rPr>
      </w:pPr>
      <w:r>
        <w:rPr>
          <w:noProof/>
          <w:lang w:eastAsia="es-MX"/>
        </w:rPr>
        <w:drawing>
          <wp:inline distT="0" distB="0" distL="0" distR="0" wp14:anchorId="7B0008DD" wp14:editId="6CD1725F">
            <wp:extent cx="5805604" cy="18669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35" t="18225" r="28902" b="57672"/>
                    <a:stretch/>
                  </pic:blipFill>
                  <pic:spPr bwMode="auto">
                    <a:xfrm>
                      <a:off x="0" y="0"/>
                      <a:ext cx="5829665" cy="1874637"/>
                    </a:xfrm>
                    <a:prstGeom prst="rect">
                      <a:avLst/>
                    </a:prstGeom>
                    <a:ln>
                      <a:noFill/>
                    </a:ln>
                    <a:extLst>
                      <a:ext uri="{53640926-AAD7-44D8-BBD7-CCE9431645EC}">
                        <a14:shadowObscured xmlns:a14="http://schemas.microsoft.com/office/drawing/2010/main"/>
                      </a:ext>
                    </a:extLst>
                  </pic:spPr>
                </pic:pic>
              </a:graphicData>
            </a:graphic>
          </wp:inline>
        </w:drawing>
      </w:r>
    </w:p>
    <w:p w:rsidR="00EB6CF8" w:rsidRDefault="00EB6CF8" w:rsidP="00BA011E">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Pr="005601F0"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A76922">
        <w:rPr>
          <w:rFonts w:ascii="Palatino Linotype" w:hAnsi="Palatino Linotype"/>
          <w:sz w:val="24"/>
          <w:szCs w:val="24"/>
        </w:rPr>
        <w:t>trece de junio</w:t>
      </w:r>
      <w:r w:rsidR="00BA011E">
        <w:rPr>
          <w:rFonts w:ascii="Palatino Linotype" w:hAnsi="Palatino Linotype"/>
          <w:sz w:val="24"/>
          <w:szCs w:val="24"/>
        </w:rPr>
        <w:t xml:space="preserve"> de dos mil diecinueve</w:t>
      </w:r>
      <w:r w:rsidRPr="005601F0">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A422CD" w:rsidRPr="005601F0" w:rsidRDefault="00A422CD" w:rsidP="0014447C">
      <w:pPr>
        <w:pStyle w:val="Sinespaciado"/>
        <w:spacing w:line="360" w:lineRule="auto"/>
        <w:jc w:val="both"/>
        <w:rPr>
          <w:rFonts w:ascii="Palatino Linotype" w:hAnsi="Palatino Linotype"/>
          <w:sz w:val="24"/>
          <w:szCs w:val="24"/>
        </w:rPr>
      </w:pPr>
    </w:p>
    <w:p w:rsidR="00A422CD" w:rsidRPr="001D3382" w:rsidRDefault="001D3382" w:rsidP="00A422CD">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w:t>
      </w:r>
      <w:r w:rsidR="00A422CD" w:rsidRPr="001D3382">
        <w:rPr>
          <w:rFonts w:ascii="Palatino Linotype" w:hAnsi="Palatino Linotype" w:cs="Arial"/>
          <w:b/>
          <w:sz w:val="26"/>
          <w:szCs w:val="26"/>
        </w:rPr>
        <w:t>. De la ampliación del término para resolver.</w:t>
      </w:r>
    </w:p>
    <w:p w:rsidR="00A422CD" w:rsidRPr="001D3382" w:rsidRDefault="001D3382" w:rsidP="00A422CD">
      <w:pPr>
        <w:pStyle w:val="Sinespaciado"/>
        <w:spacing w:line="360" w:lineRule="auto"/>
        <w:jc w:val="both"/>
        <w:rPr>
          <w:rFonts w:ascii="Palatino Linotype" w:hAnsi="Palatino Linotype" w:cs="Arial"/>
          <w:sz w:val="24"/>
          <w:szCs w:val="24"/>
        </w:rPr>
      </w:pPr>
      <w:r w:rsidRPr="001D3382">
        <w:rPr>
          <w:rFonts w:ascii="Palatino Linotype" w:hAnsi="Palatino Linotype" w:cs="Arial"/>
          <w:sz w:val="24"/>
          <w:szCs w:val="24"/>
        </w:rPr>
        <w:t xml:space="preserve">En fecha </w:t>
      </w:r>
      <w:r w:rsidR="00A76922">
        <w:rPr>
          <w:rFonts w:ascii="Palatino Linotype" w:hAnsi="Palatino Linotype" w:cs="Arial"/>
          <w:sz w:val="24"/>
          <w:szCs w:val="24"/>
        </w:rPr>
        <w:t>veintinueve de junio</w:t>
      </w:r>
      <w:r w:rsidR="00BA011E">
        <w:rPr>
          <w:rFonts w:ascii="Palatino Linotype" w:hAnsi="Palatino Linotype" w:cs="Arial"/>
          <w:sz w:val="24"/>
          <w:szCs w:val="24"/>
        </w:rPr>
        <w:t xml:space="preserve"> de dos mil diecinueve</w:t>
      </w:r>
      <w:r w:rsidR="00A422CD" w:rsidRPr="001D3382">
        <w:rPr>
          <w:rFonts w:ascii="Palatino Linotype" w:hAnsi="Palatino Linotype" w:cs="Arial"/>
          <w:sz w:val="24"/>
          <w:szCs w:val="24"/>
        </w:rPr>
        <w:t xml:space="preserve">, se amplió el término para resolver el recurso de revisión en términos del artículo 181 párrafo tercero de la Ley de </w:t>
      </w:r>
      <w:r w:rsidR="00A422CD" w:rsidRPr="001D3382">
        <w:rPr>
          <w:rFonts w:ascii="Palatino Linotype" w:hAnsi="Palatino Linotype" w:cs="Arial"/>
          <w:sz w:val="24"/>
          <w:szCs w:val="24"/>
        </w:rPr>
        <w:lastRenderedPageBreak/>
        <w:t>Transparencia y Acceso a la Información Pública del Estado de México y Municipios por un plazo de quince días hábiles.</w:t>
      </w:r>
    </w:p>
    <w:p w:rsidR="005601F0" w:rsidRPr="001D3382" w:rsidRDefault="005601F0" w:rsidP="00A422CD">
      <w:pPr>
        <w:pStyle w:val="Sinespaciado"/>
        <w:spacing w:line="360" w:lineRule="auto"/>
        <w:jc w:val="both"/>
        <w:rPr>
          <w:rFonts w:ascii="Palatino Linotype"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A76922">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A76922">
        <w:rPr>
          <w:rFonts w:ascii="Palatino Linotype" w:hAnsi="Palatino Linotype"/>
          <w:sz w:val="24"/>
          <w:szCs w:val="24"/>
        </w:rPr>
        <w:t>tercero</w:t>
      </w:r>
      <w:r w:rsidRPr="0014447C">
        <w:rPr>
          <w:rFonts w:ascii="Palatino Linotype" w:hAnsi="Palatino Linotype"/>
          <w:sz w:val="24"/>
          <w:szCs w:val="24"/>
        </w:rPr>
        <w:t xml:space="preserve"> y vigésimo </w:t>
      </w:r>
      <w:r w:rsidR="00A76922">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sidRPr="0014447C">
        <w:rPr>
          <w:rFonts w:ascii="Palatino Linotype" w:hAnsi="Palatino Linotype"/>
          <w:sz w:val="24"/>
          <w:szCs w:val="24"/>
        </w:rPr>
        <w:lastRenderedPageBreak/>
        <w:t>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76922" w:rsidRPr="0014447C" w:rsidRDefault="00A16AD7" w:rsidP="00A76922">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00A76922" w:rsidRPr="0014447C">
        <w:rPr>
          <w:rFonts w:ascii="Palatino Linotype" w:hAnsi="Palatino Linotype"/>
          <w:b/>
          <w:sz w:val="26"/>
          <w:szCs w:val="26"/>
        </w:rPr>
        <w:t>De las causas de improcedencia.</w:t>
      </w:r>
    </w:p>
    <w:p w:rsidR="00A76922" w:rsidRPr="0014447C" w:rsidRDefault="00A76922" w:rsidP="00A769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76922" w:rsidRPr="0014447C" w:rsidRDefault="00A76922" w:rsidP="00A76922">
      <w:pPr>
        <w:pStyle w:val="Sinespaciado"/>
        <w:spacing w:line="360" w:lineRule="auto"/>
        <w:jc w:val="both"/>
        <w:rPr>
          <w:rFonts w:ascii="Palatino Linotype" w:hAnsi="Palatino Linotype"/>
          <w:sz w:val="24"/>
          <w:szCs w:val="24"/>
        </w:rPr>
      </w:pPr>
    </w:p>
    <w:p w:rsidR="00A76922" w:rsidRPr="0014447C" w:rsidRDefault="00A76922" w:rsidP="00A769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A76922" w:rsidRPr="0014447C" w:rsidRDefault="00A76922" w:rsidP="00A76922">
      <w:pPr>
        <w:pStyle w:val="Sinespaciado"/>
        <w:spacing w:line="360" w:lineRule="auto"/>
        <w:jc w:val="both"/>
        <w:rPr>
          <w:rFonts w:ascii="Palatino Linotype" w:hAnsi="Palatino Linotype"/>
          <w:sz w:val="24"/>
          <w:szCs w:val="24"/>
        </w:rPr>
      </w:pPr>
    </w:p>
    <w:p w:rsidR="00A16AD7" w:rsidRDefault="00A76922" w:rsidP="00A769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A76922" w:rsidRDefault="00A76922" w:rsidP="00A76922">
      <w:pPr>
        <w:pStyle w:val="Sinespaciado"/>
        <w:spacing w:line="360" w:lineRule="auto"/>
        <w:jc w:val="both"/>
        <w:rPr>
          <w:rFonts w:ascii="Palatino Linotype" w:hAnsi="Palatino Linotype"/>
          <w:b/>
          <w:sz w:val="26"/>
          <w:szCs w:val="26"/>
        </w:rPr>
      </w:pPr>
    </w:p>
    <w:p w:rsidR="007E2E80" w:rsidRPr="0014447C" w:rsidRDefault="00A16AD7"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 xml:space="preserve">CUARTO.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sz w:val="24"/>
          <w:szCs w:val="24"/>
        </w:rPr>
        <w:lastRenderedPageBreak/>
        <w:t>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482C85" w:rsidRDefault="00A9172E" w:rsidP="001A27CB">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w:t>
      </w:r>
      <w:r w:rsidR="00A16AD7">
        <w:rPr>
          <w:rFonts w:ascii="Palatino Linotype" w:hAnsi="Palatino Linotype"/>
          <w:sz w:val="24"/>
          <w:szCs w:val="24"/>
        </w:rPr>
        <w:t>el</w:t>
      </w:r>
      <w:r w:rsidR="00C638F5">
        <w:rPr>
          <w:rFonts w:ascii="Palatino Linotype" w:hAnsi="Palatino Linotype"/>
          <w:sz w:val="24"/>
          <w:szCs w:val="24"/>
        </w:rPr>
        <w:t xml:space="preserve"> hoy</w:t>
      </w:r>
      <w:r w:rsidR="00336EDF">
        <w:rPr>
          <w:rFonts w:ascii="Palatino Linotype" w:hAnsi="Palatino Linotype"/>
          <w:sz w:val="24"/>
          <w:szCs w:val="24"/>
        </w:rPr>
        <w:t xml:space="preserve"> Recurrente r</w:t>
      </w:r>
      <w:r w:rsidR="002508D1">
        <w:rPr>
          <w:rFonts w:ascii="Palatino Linotype" w:hAnsi="Palatino Linotype"/>
          <w:sz w:val="24"/>
          <w:szCs w:val="24"/>
        </w:rPr>
        <w:t xml:space="preserve">equirió </w:t>
      </w:r>
      <w:r w:rsidR="00BA5906">
        <w:rPr>
          <w:rFonts w:ascii="Palatino Linotype" w:hAnsi="Palatino Linotype"/>
          <w:sz w:val="24"/>
          <w:szCs w:val="24"/>
        </w:rPr>
        <w:t>el nombre de las agrupaciones artísticas contratadas y presentadas para ambientar el concierto musical celebrado el día 27 de abril como parte de las festividades de la “Feria de Tecámac” y demás información que consta en su documento anexo y que consiste del siguiente cuestionario:</w:t>
      </w:r>
    </w:p>
    <w:p w:rsidR="00BA5906" w:rsidRDefault="00BA5906" w:rsidP="001A27CB">
      <w:pPr>
        <w:pStyle w:val="Sinespaciado"/>
        <w:spacing w:line="360" w:lineRule="auto"/>
        <w:jc w:val="both"/>
        <w:rPr>
          <w:rFonts w:ascii="Palatino Linotype" w:hAnsi="Palatino Linotype"/>
          <w:sz w:val="24"/>
          <w:szCs w:val="24"/>
        </w:rPr>
      </w:pPr>
    </w:p>
    <w:p w:rsidR="00B04978" w:rsidRDefault="00B04978" w:rsidP="00E61AD1">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B04978">
        <w:rPr>
          <w:rFonts w:ascii="Palatino Linotype" w:hAnsi="Palatino Linotype" w:cs="Arial"/>
        </w:rPr>
        <w:t xml:space="preserve">El nombre de las agrupaciones artísticas contratadas y presentadas para ambientar el concierto musical celebrado el día 27 de abril de 2019 como parte de las festividades de la “Feria de Tecámac 2019”. </w:t>
      </w:r>
    </w:p>
    <w:p w:rsidR="00B04978" w:rsidRDefault="00B04978" w:rsidP="00E61AD1">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B04978">
        <w:rPr>
          <w:rFonts w:ascii="Palatino Linotype" w:hAnsi="Palatino Linotype" w:cs="Arial"/>
        </w:rPr>
        <w:t>La cantidad de asistentes al evento aludido en el inciso a).</w:t>
      </w:r>
    </w:p>
    <w:p w:rsidR="00B04978" w:rsidRDefault="00B04978" w:rsidP="00E61AD1">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B04978">
        <w:rPr>
          <w:rFonts w:ascii="Palatino Linotype" w:hAnsi="Palatino Linotype" w:cs="Arial"/>
        </w:rPr>
        <w:t xml:space="preserve">La duración de la participación de la agrupación artística contratada y presentada para ambientar el evento aludido en el inciso a). </w:t>
      </w:r>
    </w:p>
    <w:p w:rsidR="00B04978" w:rsidRDefault="00B04978" w:rsidP="00E61AD1">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B04978">
        <w:rPr>
          <w:rFonts w:ascii="Palatino Linotype" w:hAnsi="Palatino Linotype" w:cs="Arial"/>
        </w:rPr>
        <w:t>Nombre, denominación o razón social y domicilio fiscal de las personas físicas o morales, a través de las cuales se contrató y/o contactó a cada una de las agrupaciones que ambientaron el evento indicado en el inciso a).</w:t>
      </w:r>
    </w:p>
    <w:p w:rsidR="00E61AD1" w:rsidRDefault="00B04978" w:rsidP="00E61AD1">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B04978">
        <w:rPr>
          <w:rFonts w:ascii="Palatino Linotype" w:hAnsi="Palatino Linotype" w:cs="Arial"/>
        </w:rPr>
        <w:t>Nombre completo y datos de contacto del representante de la agrupación artística cuya denominación contenga la palabra NICHE.</w:t>
      </w:r>
    </w:p>
    <w:p w:rsidR="00E61AD1" w:rsidRDefault="00B04978" w:rsidP="00B04978">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E61AD1">
        <w:rPr>
          <w:rFonts w:ascii="Palatino Linotype" w:hAnsi="Palatino Linotype" w:cs="Arial"/>
        </w:rPr>
        <w:t>Nombre</w:t>
      </w:r>
      <w:r w:rsidR="00E61AD1">
        <w:rPr>
          <w:rFonts w:ascii="Palatino Linotype" w:hAnsi="Palatino Linotype" w:cs="Arial"/>
        </w:rPr>
        <w:t xml:space="preserve"> completo y datos de contacto del promotor artístico</w:t>
      </w:r>
      <w:r w:rsidR="00190F8D">
        <w:rPr>
          <w:rFonts w:ascii="Palatino Linotype" w:hAnsi="Palatino Linotype" w:cs="Arial"/>
        </w:rPr>
        <w:t xml:space="preserve"> </w:t>
      </w:r>
      <w:r w:rsidR="00E61AD1">
        <w:rPr>
          <w:rFonts w:ascii="Palatino Linotype" w:hAnsi="Palatino Linotype" w:cs="Arial"/>
        </w:rPr>
        <w:t>y/o representante de la agrupación art</w:t>
      </w:r>
      <w:r w:rsidR="00190F8D">
        <w:rPr>
          <w:rFonts w:ascii="Palatino Linotype" w:hAnsi="Palatino Linotype" w:cs="Arial"/>
        </w:rPr>
        <w:t>ística con</w:t>
      </w:r>
      <w:r w:rsidR="00E61AD1">
        <w:rPr>
          <w:rFonts w:ascii="Palatino Linotype" w:hAnsi="Palatino Linotype" w:cs="Arial"/>
        </w:rPr>
        <w:t xml:space="preserve"> denominación contenga la palabra NICHE y/o denominada GRUPO NICHE.</w:t>
      </w:r>
    </w:p>
    <w:p w:rsidR="00E61AD1" w:rsidRDefault="00E61AD1" w:rsidP="00B04978">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Pr>
          <w:rFonts w:ascii="Palatino Linotype" w:hAnsi="Palatino Linotype" w:cs="Arial"/>
        </w:rPr>
        <w:lastRenderedPageBreak/>
        <w:t>Nombre, denominación o razón social y domicilio fiscal de la persona física o moral a través de la cual se contactó o fue el vínculo para la contratación de las agrupaciones que ambientaron el evento indicado en el inciso a).</w:t>
      </w:r>
    </w:p>
    <w:p w:rsidR="00E61AD1" w:rsidRDefault="00B04978" w:rsidP="00B30E3F">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E61AD1">
        <w:rPr>
          <w:rFonts w:ascii="Palatino Linotype" w:hAnsi="Palatino Linotype" w:cs="Arial"/>
        </w:rPr>
        <w:t xml:space="preserve">Indique el monto del contrato o contratos celebrados con </w:t>
      </w:r>
      <w:r w:rsidR="00E61AD1" w:rsidRPr="00E61AD1">
        <w:rPr>
          <w:rFonts w:ascii="Palatino Linotype" w:hAnsi="Palatino Linotype" w:cs="Arial"/>
        </w:rPr>
        <w:t>cada</w:t>
      </w:r>
      <w:r w:rsidRPr="00E61AD1">
        <w:rPr>
          <w:rFonts w:ascii="Palatino Linotype" w:hAnsi="Palatino Linotype" w:cs="Arial"/>
        </w:rPr>
        <w:t xml:space="preserve"> agrupación </w:t>
      </w:r>
      <w:r w:rsidR="00E61AD1" w:rsidRPr="00E61AD1">
        <w:rPr>
          <w:rFonts w:ascii="Palatino Linotype" w:hAnsi="Palatino Linotype" w:cs="Arial"/>
        </w:rPr>
        <w:t xml:space="preserve">artística presentada </w:t>
      </w:r>
      <w:r w:rsidRPr="00E61AD1">
        <w:rPr>
          <w:rFonts w:ascii="Palatino Linotype" w:hAnsi="Palatino Linotype" w:cs="Arial"/>
        </w:rPr>
        <w:t>en el evento indicado en el inciso a).</w:t>
      </w:r>
    </w:p>
    <w:p w:rsidR="009A1D2E" w:rsidRDefault="00B04978" w:rsidP="00B30E3F">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9A1D2E">
        <w:rPr>
          <w:rFonts w:ascii="Palatino Linotype" w:hAnsi="Palatino Linotype" w:cs="Arial"/>
        </w:rPr>
        <w:t>Proporcione el monto de su presupuesto c</w:t>
      </w:r>
      <w:r w:rsidR="009A1D2E" w:rsidRPr="009A1D2E">
        <w:rPr>
          <w:rFonts w:ascii="Palatino Linotype" w:hAnsi="Palatino Linotype" w:cs="Arial"/>
        </w:rPr>
        <w:t>orrespondiente al ejercicio 2019</w:t>
      </w:r>
      <w:r w:rsidRPr="009A1D2E">
        <w:rPr>
          <w:rFonts w:ascii="Palatino Linotype" w:hAnsi="Palatino Linotype" w:cs="Arial"/>
        </w:rPr>
        <w:t xml:space="preserve"> y la cantidad erogada en las festividades del evento indicado en el inciso a).</w:t>
      </w:r>
    </w:p>
    <w:p w:rsidR="00CE26AE" w:rsidRDefault="00B04978" w:rsidP="00B30E3F">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CE26AE">
        <w:rPr>
          <w:rFonts w:ascii="Palatino Linotype" w:hAnsi="Palatino Linotype" w:cs="Arial"/>
        </w:rPr>
        <w:t>Proporcione el contrato o contratos celebrados con la agrupación o agrupaciones artísticas presentadas en el evento referido en el inciso a).</w:t>
      </w:r>
    </w:p>
    <w:p w:rsidR="00547806" w:rsidRDefault="00B04978" w:rsidP="00B30E3F">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547806">
        <w:rPr>
          <w:rFonts w:ascii="Palatino Linotype" w:hAnsi="Palatino Linotype" w:cs="Arial"/>
        </w:rPr>
        <w:t>Proporcione los anexos al contrato o contratos celebrados con la agrupación o agrupaciones artísticas presentadas en el multicitado evento indicado en el incido a).</w:t>
      </w:r>
    </w:p>
    <w:p w:rsidR="00547806" w:rsidRDefault="00547806" w:rsidP="00B30E3F">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547806">
        <w:rPr>
          <w:rFonts w:ascii="Palatino Linotype" w:hAnsi="Palatino Linotype" w:cs="Arial"/>
        </w:rPr>
        <w:t>P</w:t>
      </w:r>
      <w:r w:rsidR="00B04978" w:rsidRPr="00547806">
        <w:rPr>
          <w:rFonts w:ascii="Palatino Linotype" w:hAnsi="Palatino Linotype" w:cs="Arial"/>
        </w:rPr>
        <w:t xml:space="preserve">roporcione el material publicitario, tanto impreso como electrónico, utilizado </w:t>
      </w:r>
      <w:r w:rsidRPr="00547806">
        <w:rPr>
          <w:rFonts w:ascii="Palatino Linotype" w:hAnsi="Palatino Linotype" w:cs="Arial"/>
        </w:rPr>
        <w:t xml:space="preserve">por ese ayuntamiento para la promoción </w:t>
      </w:r>
      <w:r w:rsidR="00B04978" w:rsidRPr="00547806">
        <w:rPr>
          <w:rFonts w:ascii="Palatino Linotype" w:hAnsi="Palatino Linotype" w:cs="Arial"/>
        </w:rPr>
        <w:t>del evento indicado en el inciso a).</w:t>
      </w:r>
    </w:p>
    <w:p w:rsidR="00547806" w:rsidRDefault="00B04978" w:rsidP="00B04978">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547806">
        <w:rPr>
          <w:rFonts w:ascii="Palatino Linotype" w:hAnsi="Palatino Linotype" w:cs="Arial"/>
        </w:rPr>
        <w:t>Proporcione su padrón de proveedores de artistas y grupos musicales.</w:t>
      </w:r>
    </w:p>
    <w:p w:rsidR="00547806" w:rsidRDefault="00B04978" w:rsidP="00B04978">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547806">
        <w:rPr>
          <w:rFonts w:ascii="Palatino Linotype" w:hAnsi="Palatino Linotype" w:cs="Arial"/>
        </w:rPr>
        <w:t>Proporcione el nombre completo y datos de contacto del manager de la agrupación presentada en el evento indicado en el inciso a), en específico aquella cuya denominación comprenda la palabra NICHE.</w:t>
      </w:r>
    </w:p>
    <w:p w:rsidR="00547806" w:rsidRDefault="00547806" w:rsidP="00B04978">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Pr>
          <w:rFonts w:ascii="Palatino Linotype" w:hAnsi="Palatino Linotype" w:cs="Arial"/>
        </w:rPr>
        <w:t>Proporcione el nombre comp</w:t>
      </w:r>
      <w:r w:rsidR="00814C77">
        <w:rPr>
          <w:rFonts w:ascii="Palatino Linotype" w:hAnsi="Palatino Linotype" w:cs="Arial"/>
        </w:rPr>
        <w:t>leto de cada uno de los integrantes de la agrupación presentada en el evento indicado en el inciso a), en específico aquella cuya denominación comprenda la palabra NICHE.</w:t>
      </w:r>
    </w:p>
    <w:p w:rsidR="00B04978" w:rsidRPr="00547806" w:rsidRDefault="00B04978" w:rsidP="00B04978">
      <w:pPr>
        <w:pStyle w:val="Prrafodelista"/>
        <w:numPr>
          <w:ilvl w:val="0"/>
          <w:numId w:val="29"/>
        </w:numPr>
        <w:autoSpaceDE w:val="0"/>
        <w:autoSpaceDN w:val="0"/>
        <w:adjustRightInd w:val="0"/>
        <w:spacing w:line="360" w:lineRule="auto"/>
        <w:ind w:left="851" w:hanging="567"/>
        <w:jc w:val="both"/>
        <w:rPr>
          <w:rFonts w:ascii="Palatino Linotype" w:hAnsi="Palatino Linotype" w:cs="Arial"/>
        </w:rPr>
      </w:pPr>
      <w:r w:rsidRPr="00547806">
        <w:rPr>
          <w:rFonts w:ascii="Palatino Linotype" w:hAnsi="Palatino Linotype" w:cs="Arial"/>
        </w:rPr>
        <w:t>Proporcione su padrón de proveedores de sistemas de cómputo y/o tecnologías de la información y/o elaboración y diseño de páginas web.</w:t>
      </w:r>
    </w:p>
    <w:p w:rsidR="00BA5906" w:rsidRDefault="00BA5906" w:rsidP="001A27CB">
      <w:pPr>
        <w:pStyle w:val="Sinespaciado"/>
        <w:spacing w:line="360" w:lineRule="auto"/>
        <w:jc w:val="both"/>
        <w:rPr>
          <w:rFonts w:ascii="Palatino Linotype" w:hAnsi="Palatino Linotype"/>
          <w:sz w:val="24"/>
          <w:szCs w:val="24"/>
        </w:rPr>
      </w:pPr>
    </w:p>
    <w:p w:rsidR="000862EF" w:rsidRDefault="000862EF" w:rsidP="001A27CB">
      <w:pPr>
        <w:pStyle w:val="Sinespaciado"/>
        <w:spacing w:line="360" w:lineRule="auto"/>
        <w:jc w:val="both"/>
        <w:rPr>
          <w:rFonts w:ascii="Palatino Linotype" w:hAnsi="Palatino Linotype"/>
          <w:sz w:val="24"/>
          <w:szCs w:val="24"/>
        </w:rPr>
      </w:pPr>
    </w:p>
    <w:p w:rsidR="00F059BF" w:rsidRDefault="000A3B93" w:rsidP="007B2098">
      <w:pPr>
        <w:pStyle w:val="Sinespaciado"/>
        <w:spacing w:line="360" w:lineRule="auto"/>
        <w:jc w:val="both"/>
        <w:rPr>
          <w:rFonts w:ascii="Palatino Linotype" w:hAnsi="Palatino Linotype"/>
          <w:sz w:val="24"/>
          <w:szCs w:val="24"/>
        </w:rPr>
      </w:pPr>
      <w:r>
        <w:rPr>
          <w:rFonts w:ascii="Palatino Linotype" w:hAnsi="Palatino Linotype"/>
          <w:sz w:val="24"/>
          <w:szCs w:val="24"/>
        </w:rPr>
        <w:t>A dicha solicitud</w:t>
      </w:r>
      <w:r w:rsidR="00927ABA">
        <w:rPr>
          <w:rFonts w:ascii="Palatino Linotype" w:hAnsi="Palatino Linotype"/>
          <w:sz w:val="24"/>
          <w:szCs w:val="24"/>
        </w:rPr>
        <w:t>, el Sujeto Obligado respondió</w:t>
      </w:r>
      <w:r w:rsidR="00B41108">
        <w:rPr>
          <w:rFonts w:ascii="Palatino Linotype" w:hAnsi="Palatino Linotype"/>
          <w:sz w:val="24"/>
          <w:szCs w:val="24"/>
        </w:rPr>
        <w:t xml:space="preserve"> </w:t>
      </w:r>
      <w:r w:rsidR="00D37E6E">
        <w:rPr>
          <w:rFonts w:ascii="Palatino Linotype" w:hAnsi="Palatino Linotype"/>
          <w:sz w:val="24"/>
          <w:szCs w:val="24"/>
        </w:rPr>
        <w:t>mediante la presentación de tres archivos electrónicos en los que consta lo siguiente:</w:t>
      </w:r>
    </w:p>
    <w:p w:rsidR="005E28DA" w:rsidRDefault="005E28DA" w:rsidP="007B2098">
      <w:pPr>
        <w:pStyle w:val="Sinespaciado"/>
        <w:spacing w:line="360" w:lineRule="auto"/>
        <w:jc w:val="both"/>
        <w:rPr>
          <w:rFonts w:ascii="Palatino Linotype" w:hAnsi="Palatino Linotype"/>
          <w:sz w:val="24"/>
          <w:szCs w:val="24"/>
        </w:rPr>
      </w:pPr>
    </w:p>
    <w:p w:rsidR="005E28DA" w:rsidRPr="008078C2" w:rsidRDefault="005E28DA" w:rsidP="005E28DA">
      <w:pPr>
        <w:pStyle w:val="Sinespaciado"/>
        <w:numPr>
          <w:ilvl w:val="0"/>
          <w:numId w:val="30"/>
        </w:numPr>
        <w:spacing w:line="360" w:lineRule="auto"/>
        <w:ind w:left="1134" w:hanging="567"/>
        <w:jc w:val="both"/>
        <w:rPr>
          <w:rFonts w:ascii="Palatino Linotype" w:hAnsi="Palatino Linotype"/>
          <w:b/>
          <w:sz w:val="24"/>
          <w:szCs w:val="24"/>
        </w:rPr>
      </w:pPr>
      <w:r w:rsidRPr="008078C2">
        <w:rPr>
          <w:rFonts w:ascii="Palatino Linotype" w:hAnsi="Palatino Linotype"/>
          <w:b/>
          <w:sz w:val="24"/>
          <w:szCs w:val="24"/>
        </w:rPr>
        <w:t>0325.pdf.</w:t>
      </w:r>
      <w:r w:rsidR="008078C2" w:rsidRPr="008078C2">
        <w:rPr>
          <w:rFonts w:ascii="Palatino Linotype" w:hAnsi="Palatino Linotype"/>
          <w:b/>
          <w:sz w:val="24"/>
          <w:szCs w:val="24"/>
        </w:rPr>
        <w:t xml:space="preserve"> </w:t>
      </w:r>
      <w:r w:rsidR="008078C2">
        <w:rPr>
          <w:rFonts w:ascii="Palatino Linotype" w:hAnsi="Palatino Linotype"/>
          <w:sz w:val="24"/>
          <w:szCs w:val="24"/>
        </w:rPr>
        <w:t>Oficio número DGDETPyM/0026/2019 emitido por el Director General de Desarrollo Económico, Transporte Público y Movilidad del Municipio de Tecámac, mediante el cual remitió los documentos que obran en los archivos de dicha Dirección General, informando respecto de la imposibilidad de responder el cuestionario anexo a la solicitud ya que no se cuenta con la información referida</w:t>
      </w:r>
      <w:r w:rsidR="00C91661">
        <w:rPr>
          <w:rFonts w:ascii="Palatino Linotype" w:hAnsi="Palatino Linotype"/>
          <w:sz w:val="24"/>
          <w:szCs w:val="24"/>
        </w:rPr>
        <w:t>; asimismo, con fundamento en el artículo 18 de la Ley de Protección de Datos Personales en Posesión de Sujetos Obligados del Estado de México y Municipios, no se cuenta con el consentimiento de los titulares para publicar sus datos personales.</w:t>
      </w:r>
    </w:p>
    <w:p w:rsidR="005E28DA" w:rsidRPr="008078C2" w:rsidRDefault="005E28DA" w:rsidP="005E28DA">
      <w:pPr>
        <w:pStyle w:val="Sinespaciado"/>
        <w:numPr>
          <w:ilvl w:val="0"/>
          <w:numId w:val="30"/>
        </w:numPr>
        <w:spacing w:line="360" w:lineRule="auto"/>
        <w:ind w:left="1134" w:hanging="567"/>
        <w:jc w:val="both"/>
        <w:rPr>
          <w:rFonts w:ascii="Palatino Linotype" w:hAnsi="Palatino Linotype"/>
          <w:b/>
          <w:sz w:val="24"/>
          <w:szCs w:val="24"/>
        </w:rPr>
      </w:pPr>
      <w:r w:rsidRPr="008078C2">
        <w:rPr>
          <w:rFonts w:ascii="Palatino Linotype" w:hAnsi="Palatino Linotype"/>
          <w:b/>
          <w:sz w:val="24"/>
          <w:szCs w:val="24"/>
        </w:rPr>
        <w:t>CONVENIO-FERIA-2019.pdf.</w:t>
      </w:r>
      <w:r w:rsidR="00C91661">
        <w:rPr>
          <w:rFonts w:ascii="Palatino Linotype" w:hAnsi="Palatino Linotype"/>
          <w:b/>
          <w:sz w:val="24"/>
          <w:szCs w:val="24"/>
        </w:rPr>
        <w:t xml:space="preserve"> </w:t>
      </w:r>
      <w:r w:rsidR="00C91661">
        <w:rPr>
          <w:rFonts w:ascii="Palatino Linotype" w:hAnsi="Palatino Linotype"/>
          <w:sz w:val="24"/>
          <w:szCs w:val="24"/>
        </w:rPr>
        <w:t>Convenio celebrado entre el Director General de Desarrollo Económico, Transporte Público y Movilidad y la empresa EVENTS</w:t>
      </w:r>
      <w:r w:rsidR="002F1FB1">
        <w:rPr>
          <w:rFonts w:ascii="Palatino Linotype" w:hAnsi="Palatino Linotype"/>
          <w:sz w:val="24"/>
          <w:szCs w:val="24"/>
        </w:rPr>
        <w:t xml:space="preserve"> respecto a la coordinación y operatividad para la realización de la “Feria Santa Cruz Tecámac 2019”</w:t>
      </w:r>
    </w:p>
    <w:p w:rsidR="005E28DA" w:rsidRPr="00680F8F" w:rsidRDefault="005E28DA" w:rsidP="00680F8F">
      <w:pPr>
        <w:pStyle w:val="Sinespaciado"/>
        <w:numPr>
          <w:ilvl w:val="0"/>
          <w:numId w:val="30"/>
        </w:numPr>
        <w:spacing w:line="360" w:lineRule="auto"/>
        <w:ind w:left="1134" w:hanging="567"/>
        <w:jc w:val="both"/>
        <w:rPr>
          <w:rFonts w:ascii="Palatino Linotype" w:hAnsi="Palatino Linotype"/>
          <w:b/>
          <w:sz w:val="24"/>
          <w:szCs w:val="24"/>
        </w:rPr>
      </w:pPr>
      <w:r w:rsidRPr="008078C2">
        <w:rPr>
          <w:rFonts w:ascii="Palatino Linotype" w:hAnsi="Palatino Linotype"/>
          <w:b/>
          <w:sz w:val="24"/>
          <w:szCs w:val="24"/>
        </w:rPr>
        <w:t>ACT-09-ACUE-013.pdf.</w:t>
      </w:r>
      <w:r w:rsidR="002F1FB1">
        <w:rPr>
          <w:rFonts w:ascii="Palatino Linotype" w:hAnsi="Palatino Linotype"/>
          <w:sz w:val="24"/>
          <w:szCs w:val="24"/>
        </w:rPr>
        <w:t xml:space="preserve"> Acta CT/TECÄMAC/ACTA-009/2019 del Comité de Transparencia del Ayuntamiento Constitucional de Tecámac 2019-2021 en la cual </w:t>
      </w:r>
      <w:r w:rsidR="00680F8F">
        <w:rPr>
          <w:rFonts w:ascii="Palatino Linotype" w:hAnsi="Palatino Linotype"/>
          <w:sz w:val="24"/>
          <w:szCs w:val="24"/>
        </w:rPr>
        <w:t>se llevó a cabo la presentación y aprobación para dictaminar la versión pública de, entre otros, del Acuerdo</w:t>
      </w:r>
      <w:r w:rsidR="00680F8F" w:rsidRPr="00680F8F">
        <w:rPr>
          <w:rFonts w:ascii="Palatino Linotype" w:hAnsi="Palatino Linotype"/>
          <w:sz w:val="24"/>
          <w:szCs w:val="24"/>
        </w:rPr>
        <w:t xml:space="preserve"> de Clasificación </w:t>
      </w:r>
      <w:r w:rsidR="00680F8F">
        <w:rPr>
          <w:rFonts w:ascii="Palatino Linotype" w:hAnsi="Palatino Linotype"/>
          <w:sz w:val="24"/>
          <w:szCs w:val="24"/>
        </w:rPr>
        <w:t>013/TECAMAC/CT/2019 sobre protección de datos personales, debido a que en el documento remitido por la Dirección General de Desarrollo Económico, Transporte Público y Movilidad de Tecámac</w:t>
      </w:r>
      <w:r w:rsidR="001F4592">
        <w:rPr>
          <w:rFonts w:ascii="Palatino Linotype" w:hAnsi="Palatino Linotype"/>
          <w:sz w:val="24"/>
          <w:szCs w:val="24"/>
        </w:rPr>
        <w:t xml:space="preserve"> se advierten datos </w:t>
      </w:r>
      <w:r w:rsidR="001F4592">
        <w:rPr>
          <w:rFonts w:ascii="Palatino Linotype" w:hAnsi="Palatino Linotype"/>
          <w:sz w:val="24"/>
          <w:szCs w:val="24"/>
        </w:rPr>
        <w:lastRenderedPageBreak/>
        <w:t>de identificación (apellidos, firmas, Registros Federales de Contribuyentes y domicilio) de los que no se tiene el consentimiento expreso o por escrito para hacerlos públicos, por lo que se elaboró la correspondiente versión pública. Lo cual fue aprobado y declarado como información confidencial.</w:t>
      </w:r>
    </w:p>
    <w:p w:rsidR="005E28DA" w:rsidRDefault="005E28DA" w:rsidP="007B2098">
      <w:pPr>
        <w:pStyle w:val="Sinespaciado"/>
        <w:spacing w:line="360" w:lineRule="auto"/>
        <w:jc w:val="both"/>
        <w:rPr>
          <w:rFonts w:ascii="Palatino Linotype" w:hAnsi="Palatino Linotype"/>
          <w:sz w:val="24"/>
          <w:szCs w:val="24"/>
        </w:rPr>
      </w:pPr>
    </w:p>
    <w:p w:rsidR="00AE486D" w:rsidRPr="004F6A5B" w:rsidRDefault="0073674B"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la</w:t>
      </w:r>
      <w:r w:rsidR="00AE486D">
        <w:rPr>
          <w:rFonts w:ascii="Palatino Linotype" w:hAnsi="Palatino Linotype"/>
          <w:sz w:val="24"/>
          <w:szCs w:val="24"/>
        </w:rPr>
        <w:t xml:space="preserve"> Recurrente interpuso el presente recurso de revisión </w:t>
      </w:r>
      <w:r>
        <w:rPr>
          <w:rFonts w:ascii="Palatino Linotype" w:hAnsi="Palatino Linotype"/>
          <w:sz w:val="24"/>
          <w:szCs w:val="24"/>
        </w:rPr>
        <w:t xml:space="preserve">impugnando el oficio DGDETPyM/0026/2019 y sus anexos, consistentes en el </w:t>
      </w:r>
      <w:r w:rsidRPr="0073674B">
        <w:rPr>
          <w:rFonts w:ascii="Palatino Linotype" w:hAnsi="Palatino Linotype"/>
          <w:sz w:val="24"/>
          <w:szCs w:val="24"/>
        </w:rPr>
        <w:t>Convenio celebrado entre el Director General de Desarrollo Económico, Transporte Público y Movilidad y la empresa EVENTS</w:t>
      </w:r>
      <w:r>
        <w:rPr>
          <w:rFonts w:ascii="Palatino Linotype" w:hAnsi="Palatino Linotype"/>
          <w:sz w:val="24"/>
          <w:szCs w:val="24"/>
        </w:rPr>
        <w:t>, Acta CT/TECÄMAC/ACTA-009/2019 y el Acuerdo</w:t>
      </w:r>
      <w:r w:rsidRPr="00680F8F">
        <w:rPr>
          <w:rFonts w:ascii="Palatino Linotype" w:hAnsi="Palatino Linotype"/>
          <w:sz w:val="24"/>
          <w:szCs w:val="24"/>
        </w:rPr>
        <w:t xml:space="preserve"> de Clasificación </w:t>
      </w:r>
      <w:r>
        <w:rPr>
          <w:rFonts w:ascii="Palatino Linotype" w:hAnsi="Palatino Linotype"/>
          <w:sz w:val="24"/>
          <w:szCs w:val="24"/>
        </w:rPr>
        <w:t xml:space="preserve">013/TECAMAC/CT/2019, </w:t>
      </w:r>
      <w:r w:rsidR="00AE486D">
        <w:rPr>
          <w:rFonts w:ascii="Palatino Linotype" w:hAnsi="Palatino Linotype"/>
          <w:sz w:val="24"/>
          <w:szCs w:val="24"/>
        </w:rPr>
        <w:t xml:space="preserve">manifestando como razones o motivos de inconformidad </w:t>
      </w:r>
      <w:r>
        <w:rPr>
          <w:rFonts w:ascii="Palatino Linotype" w:hAnsi="Palatino Linotype"/>
          <w:sz w:val="24"/>
          <w:szCs w:val="24"/>
        </w:rPr>
        <w:t xml:space="preserve">la insuficiencia de la fundamentación </w:t>
      </w:r>
      <w:r w:rsidR="00A924AF">
        <w:rPr>
          <w:rFonts w:ascii="Palatino Linotype" w:hAnsi="Palatino Linotype"/>
          <w:sz w:val="24"/>
          <w:szCs w:val="24"/>
        </w:rPr>
        <w:t xml:space="preserve">y motivación en la respuesta proporcionada de acuerdo con lo argumentado en el documento anexo, en el que fundamentalmente señala que resulta ilegal la conducta del Sujeto Obligado </w:t>
      </w:r>
      <w:r w:rsidR="00AE486D">
        <w:rPr>
          <w:rFonts w:ascii="Palatino Linotype" w:hAnsi="Palatino Linotype"/>
          <w:sz w:val="24"/>
          <w:szCs w:val="24"/>
        </w:rPr>
        <w:t xml:space="preserve">que </w:t>
      </w:r>
      <w:r w:rsidR="009275A1">
        <w:rPr>
          <w:rFonts w:ascii="Palatino Linotype" w:hAnsi="Palatino Linotype"/>
          <w:sz w:val="24"/>
          <w:szCs w:val="24"/>
        </w:rPr>
        <w:t xml:space="preserve">se están solicitando todas las facturas que el municipio haya expedido por concepto de compras a </w:t>
      </w:r>
      <w:r w:rsidR="009275A1" w:rsidRPr="004F6A5B">
        <w:rPr>
          <w:rFonts w:ascii="Palatino Linotype" w:hAnsi="Palatino Linotype"/>
          <w:sz w:val="24"/>
          <w:szCs w:val="24"/>
        </w:rPr>
        <w:t>proveedores y que con la respuesta se incumple con las obligaciones descritas en los artículos 24 fracciones XVIII, XIX, XXI, XXII, XXIII y XIV; 53 fracciones I y III, 75, 89, 92 fracciones XXVII, XXIX inciso b) números 1 al 11, XXXI, XXXII y XXXVI.</w:t>
      </w:r>
    </w:p>
    <w:p w:rsidR="00AE486D" w:rsidRPr="004F6A5B" w:rsidRDefault="00AE486D" w:rsidP="007B48AB">
      <w:pPr>
        <w:pStyle w:val="Sinespaciado"/>
        <w:spacing w:line="360" w:lineRule="auto"/>
        <w:jc w:val="both"/>
        <w:rPr>
          <w:rFonts w:ascii="Palatino Linotype" w:hAnsi="Palatino Linotype"/>
          <w:sz w:val="24"/>
          <w:szCs w:val="24"/>
        </w:rPr>
      </w:pPr>
    </w:p>
    <w:p w:rsidR="004F6A5B" w:rsidRPr="004F6A5B" w:rsidRDefault="004F6A5B" w:rsidP="004F6A5B">
      <w:pPr>
        <w:pStyle w:val="Sinespaciado"/>
        <w:spacing w:line="360" w:lineRule="auto"/>
        <w:jc w:val="both"/>
        <w:rPr>
          <w:rFonts w:ascii="Palatino Linotype" w:hAnsi="Palatino Linotype"/>
          <w:sz w:val="24"/>
          <w:szCs w:val="24"/>
        </w:rPr>
      </w:pPr>
      <w:r w:rsidRPr="004F6A5B">
        <w:rPr>
          <w:rFonts w:ascii="Palatino Linotype" w:hAnsi="Palatino Linotype"/>
          <w:sz w:val="24"/>
          <w:szCs w:val="24"/>
        </w:rPr>
        <w:t xml:space="preserve">Se debe resaltar que ninguna de las partes realizó manifestaciones durante la etapa de instrucción en el presente procedimiento. En consecuencia, es necesario precisar </w:t>
      </w:r>
      <w:r w:rsidR="009176E1">
        <w:rPr>
          <w:rFonts w:ascii="Palatino Linotype" w:hAnsi="Palatino Linotype"/>
          <w:sz w:val="24"/>
          <w:szCs w:val="24"/>
        </w:rPr>
        <w:t xml:space="preserve">que, </w:t>
      </w:r>
      <w:r w:rsidRPr="004F6A5B">
        <w:rPr>
          <w:rFonts w:ascii="Palatino Linotype" w:hAnsi="Palatino Linotype"/>
          <w:sz w:val="24"/>
          <w:szCs w:val="24"/>
        </w:rPr>
        <w:t>toda vez que el Sujeto Obligado fue omiso de enviar el Informe Just</w:t>
      </w:r>
      <w:r w:rsidR="009176E1">
        <w:rPr>
          <w:rFonts w:ascii="Palatino Linotype" w:hAnsi="Palatino Linotype"/>
          <w:sz w:val="24"/>
          <w:szCs w:val="24"/>
        </w:rPr>
        <w:t>ificado</w:t>
      </w:r>
      <w:r w:rsidRPr="004F6A5B">
        <w:rPr>
          <w:rFonts w:ascii="Palatino Linotype" w:hAnsi="Palatino Linotype"/>
          <w:sz w:val="24"/>
          <w:szCs w:val="24"/>
        </w:rPr>
        <w:t xml:space="preserve"> en el término de l</w:t>
      </w:r>
      <w:r w:rsidR="009176E1">
        <w:rPr>
          <w:rFonts w:ascii="Palatino Linotype" w:hAnsi="Palatino Linotype"/>
          <w:sz w:val="24"/>
          <w:szCs w:val="24"/>
        </w:rPr>
        <w:t>os siete días hábiles otorgados</w:t>
      </w:r>
      <w:r w:rsidRPr="004F6A5B">
        <w:rPr>
          <w:rFonts w:ascii="Palatino Linotype" w:hAnsi="Palatino Linotype"/>
          <w:sz w:val="24"/>
          <w:szCs w:val="24"/>
        </w:rPr>
        <w:t xml:space="preserve"> ante este Órgano Garante para manifestar lo que a derecho le </w:t>
      </w:r>
      <w:r w:rsidR="009176E1">
        <w:rPr>
          <w:rFonts w:ascii="Palatino Linotype" w:hAnsi="Palatino Linotype"/>
          <w:sz w:val="24"/>
          <w:szCs w:val="24"/>
        </w:rPr>
        <w:t>asistiera y conviniera,</w:t>
      </w:r>
      <w:r w:rsidRPr="004F6A5B">
        <w:rPr>
          <w:rFonts w:ascii="Palatino Linotype" w:hAnsi="Palatino Linotype"/>
          <w:sz w:val="24"/>
          <w:szCs w:val="24"/>
        </w:rPr>
        <w:t xml:space="preserve"> dejó de justificar las razones o motivos que </w:t>
      </w:r>
      <w:r w:rsidRPr="004F6A5B">
        <w:rPr>
          <w:rFonts w:ascii="Palatino Linotype" w:hAnsi="Palatino Linotype"/>
          <w:sz w:val="24"/>
          <w:szCs w:val="24"/>
        </w:rPr>
        <w:lastRenderedPageBreak/>
        <w:t>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4F6A5B" w:rsidRPr="004F6A5B" w:rsidRDefault="004F6A5B" w:rsidP="004F6A5B">
      <w:pPr>
        <w:pStyle w:val="Sinespaciado"/>
        <w:spacing w:line="360" w:lineRule="auto"/>
        <w:jc w:val="both"/>
        <w:rPr>
          <w:rFonts w:ascii="Palatino Linotype" w:hAnsi="Palatino Linotype"/>
          <w:sz w:val="24"/>
          <w:szCs w:val="24"/>
        </w:rPr>
      </w:pPr>
    </w:p>
    <w:p w:rsidR="004F6A5B" w:rsidRPr="002C3944" w:rsidRDefault="004F6A5B" w:rsidP="004F6A5B">
      <w:pPr>
        <w:pStyle w:val="Sinespaciado"/>
        <w:ind w:left="567" w:right="567"/>
        <w:jc w:val="both"/>
        <w:rPr>
          <w:rFonts w:ascii="Palatino Linotype" w:hAnsi="Palatino Linotype"/>
          <w:i/>
        </w:rPr>
      </w:pPr>
      <w:r w:rsidRPr="002C3944">
        <w:rPr>
          <w:rFonts w:ascii="Palatino Linotype" w:hAnsi="Palatino Linotype"/>
          <w:b/>
          <w:i/>
        </w:rPr>
        <w:t>QUEJA, RECURSO DE. LA OMISION DE RENDIR EL INFORME RESPECTIVO NO IMPIDE QUE SE RESUELVA.</w:t>
      </w:r>
      <w:r w:rsidRPr="002C3944">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4F6A5B" w:rsidRPr="00611DBD" w:rsidRDefault="004F6A5B" w:rsidP="004F6A5B">
      <w:pPr>
        <w:pStyle w:val="Sinespaciado"/>
        <w:spacing w:line="360" w:lineRule="auto"/>
        <w:jc w:val="both"/>
        <w:rPr>
          <w:rFonts w:ascii="Palatino Linotype" w:hAnsi="Palatino Linotype"/>
        </w:rPr>
      </w:pPr>
    </w:p>
    <w:p w:rsidR="004F6A5B" w:rsidRPr="004F6A5B" w:rsidRDefault="004F6A5B" w:rsidP="004F6A5B">
      <w:pPr>
        <w:pStyle w:val="Sinespaciado"/>
        <w:spacing w:line="360" w:lineRule="auto"/>
        <w:jc w:val="both"/>
        <w:rPr>
          <w:rFonts w:ascii="Palatino Linotype" w:hAnsi="Palatino Linotype"/>
          <w:sz w:val="24"/>
          <w:szCs w:val="24"/>
        </w:rPr>
      </w:pPr>
      <w:r w:rsidRPr="004F6A5B">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4F6A5B" w:rsidRPr="004F6A5B" w:rsidRDefault="004F6A5B" w:rsidP="004F6A5B">
      <w:pPr>
        <w:pStyle w:val="Sinespaciado"/>
        <w:spacing w:line="360" w:lineRule="auto"/>
        <w:jc w:val="both"/>
        <w:rPr>
          <w:rFonts w:ascii="Palatino Linotype" w:hAnsi="Palatino Linotype"/>
          <w:sz w:val="24"/>
          <w:szCs w:val="24"/>
        </w:rPr>
      </w:pPr>
    </w:p>
    <w:p w:rsidR="004F6A5B" w:rsidRPr="004F6A5B" w:rsidRDefault="004F6A5B" w:rsidP="004F6A5B">
      <w:pPr>
        <w:pStyle w:val="Sinespaciado"/>
        <w:spacing w:line="360" w:lineRule="auto"/>
        <w:jc w:val="both"/>
        <w:rPr>
          <w:rFonts w:ascii="Palatino Linotype" w:hAnsi="Palatino Linotype"/>
          <w:sz w:val="24"/>
          <w:szCs w:val="24"/>
        </w:rPr>
      </w:pPr>
      <w:r w:rsidRPr="004F6A5B">
        <w:rPr>
          <w:rFonts w:ascii="Palatino Linotype" w:hAnsi="Palatino Linotype"/>
          <w:sz w:val="24"/>
          <w:szCs w:val="24"/>
        </w:rPr>
        <w:t xml:space="preserve">De tal forma que este Instituto considera que </w:t>
      </w:r>
      <w:r>
        <w:rPr>
          <w:rFonts w:ascii="Palatino Linotype" w:hAnsi="Palatino Linotype"/>
          <w:sz w:val="24"/>
          <w:szCs w:val="24"/>
        </w:rPr>
        <w:t xml:space="preserve">se debe realizar un estudio para dilucidar si el Sujeto Obligado debe poner a disposición del particular la información solicitada. </w:t>
      </w:r>
    </w:p>
    <w:p w:rsidR="004F6A5B" w:rsidRPr="004F6A5B" w:rsidRDefault="004F6A5B" w:rsidP="004F6A5B">
      <w:pPr>
        <w:pStyle w:val="Sinespaciado"/>
        <w:spacing w:line="360" w:lineRule="auto"/>
        <w:jc w:val="both"/>
        <w:rPr>
          <w:rFonts w:ascii="Palatino Linotype" w:hAnsi="Palatino Linotype"/>
          <w:sz w:val="24"/>
          <w:szCs w:val="24"/>
        </w:rPr>
      </w:pPr>
    </w:p>
    <w:p w:rsidR="008B440B" w:rsidRPr="00893C7D" w:rsidRDefault="004F6A5B" w:rsidP="008B440B">
      <w:pPr>
        <w:pStyle w:val="Sinespaciado"/>
        <w:spacing w:line="360" w:lineRule="auto"/>
        <w:jc w:val="both"/>
        <w:rPr>
          <w:rFonts w:ascii="Palatino Linotype" w:hAnsi="Palatino Linotype"/>
          <w:color w:val="000000"/>
          <w:sz w:val="24"/>
          <w:szCs w:val="24"/>
        </w:rPr>
      </w:pPr>
      <w:r w:rsidRPr="004F6A5B">
        <w:rPr>
          <w:rFonts w:ascii="Palatino Linotype" w:hAnsi="Palatino Linotype"/>
          <w:sz w:val="24"/>
          <w:szCs w:val="24"/>
        </w:rPr>
        <w:lastRenderedPageBreak/>
        <w:t>En ese orden</w:t>
      </w:r>
      <w:r w:rsidR="008B440B">
        <w:rPr>
          <w:rFonts w:ascii="Palatino Linotype" w:hAnsi="Palatino Linotype"/>
          <w:sz w:val="24"/>
          <w:szCs w:val="24"/>
        </w:rPr>
        <w:t xml:space="preserve"> de ideas, en un primer término</w:t>
      </w:r>
      <w:r w:rsidR="008B440B" w:rsidRPr="00893C7D">
        <w:rPr>
          <w:rFonts w:ascii="Palatino Linotype" w:hAnsi="Palatino Linotype"/>
          <w:sz w:val="24"/>
          <w:szCs w:val="24"/>
        </w:rPr>
        <w:t xml:space="preserve"> </w:t>
      </w:r>
      <w:r w:rsidR="008B440B"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B440B" w:rsidRPr="00893C7D" w:rsidRDefault="008B440B" w:rsidP="008B440B">
      <w:pPr>
        <w:pStyle w:val="Sinespaciado"/>
        <w:spacing w:line="360" w:lineRule="auto"/>
        <w:jc w:val="both"/>
        <w:rPr>
          <w:rFonts w:ascii="Palatino Linotype" w:hAnsi="Palatino Linotype"/>
          <w:color w:val="000000"/>
          <w:sz w:val="24"/>
          <w:szCs w:val="24"/>
        </w:rPr>
      </w:pPr>
    </w:p>
    <w:p w:rsidR="008B440B" w:rsidRPr="004E6B5B" w:rsidRDefault="008B440B" w:rsidP="008B440B">
      <w:pPr>
        <w:pStyle w:val="Sinespaciado"/>
        <w:ind w:left="567" w:right="567"/>
        <w:jc w:val="both"/>
        <w:rPr>
          <w:rFonts w:ascii="Palatino Linotype" w:hAnsi="Palatino Linotype"/>
          <w:b/>
          <w:i/>
        </w:rPr>
      </w:pPr>
      <w:r w:rsidRPr="004E6B5B">
        <w:rPr>
          <w:rFonts w:ascii="Palatino Linotype" w:hAnsi="Palatino Linotype"/>
          <w:b/>
          <w:i/>
        </w:rPr>
        <w:t>Artículo 6</w:t>
      </w:r>
    </w:p>
    <w:p w:rsidR="008B440B" w:rsidRPr="004E6B5B" w:rsidRDefault="008B440B" w:rsidP="008B440B">
      <w:pPr>
        <w:pStyle w:val="Sinespaciado"/>
        <w:ind w:left="567" w:right="567"/>
        <w:jc w:val="both"/>
        <w:rPr>
          <w:rFonts w:ascii="Palatino Linotype" w:hAnsi="Palatino Linotype"/>
          <w:i/>
        </w:rPr>
      </w:pPr>
      <w:r w:rsidRPr="004E6B5B">
        <w:rPr>
          <w:rFonts w:ascii="Palatino Linotype" w:hAnsi="Palatino Linotype"/>
          <w:i/>
        </w:rPr>
        <w:t>…</w:t>
      </w:r>
    </w:p>
    <w:p w:rsidR="008B440B" w:rsidRPr="004E6B5B" w:rsidRDefault="008B440B" w:rsidP="008B440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B440B" w:rsidRPr="004E6B5B" w:rsidRDefault="008B440B" w:rsidP="008B440B">
      <w:pPr>
        <w:pStyle w:val="Sinespaciado"/>
        <w:ind w:left="567" w:right="567"/>
        <w:jc w:val="both"/>
        <w:rPr>
          <w:rFonts w:ascii="Palatino Linotype" w:hAnsi="Palatino Linotype"/>
          <w:i/>
        </w:rPr>
      </w:pPr>
    </w:p>
    <w:p w:rsidR="008B440B" w:rsidRDefault="008B440B" w:rsidP="008B440B">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B440B" w:rsidRPr="00893C7D" w:rsidRDefault="008B440B" w:rsidP="008B440B">
      <w:pPr>
        <w:pStyle w:val="Sinespaciado"/>
        <w:spacing w:line="360" w:lineRule="auto"/>
        <w:jc w:val="both"/>
        <w:rPr>
          <w:rFonts w:ascii="Palatino Linotype" w:hAnsi="Palatino Linotype"/>
          <w:sz w:val="24"/>
          <w:szCs w:val="24"/>
        </w:rPr>
      </w:pPr>
    </w:p>
    <w:p w:rsidR="008B440B" w:rsidRPr="00893C7D" w:rsidRDefault="008B440B" w:rsidP="008B440B">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lastRenderedPageBreak/>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8B440B" w:rsidRPr="00893C7D" w:rsidRDefault="008B440B" w:rsidP="008B440B">
      <w:pPr>
        <w:pStyle w:val="Sinespaciado"/>
        <w:ind w:left="567" w:right="567"/>
        <w:jc w:val="both"/>
        <w:rPr>
          <w:rFonts w:ascii="Palatino Linotype" w:hAnsi="Palatino Linotype"/>
          <w:sz w:val="24"/>
          <w:szCs w:val="24"/>
        </w:rPr>
      </w:pPr>
    </w:p>
    <w:p w:rsidR="008B440B" w:rsidRPr="006376FA" w:rsidRDefault="008B440B" w:rsidP="008B440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B440B" w:rsidRPr="006376FA" w:rsidRDefault="008B440B" w:rsidP="008B440B">
      <w:pPr>
        <w:pStyle w:val="Sinespaciado"/>
        <w:ind w:left="567" w:right="567"/>
        <w:jc w:val="both"/>
        <w:rPr>
          <w:rFonts w:ascii="Palatino Linotype" w:hAnsi="Palatino Linotype"/>
          <w:i/>
        </w:rPr>
      </w:pPr>
      <w:r w:rsidRPr="006376FA">
        <w:rPr>
          <w:rFonts w:ascii="Palatino Linotype" w:hAnsi="Palatino Linotype"/>
          <w:i/>
        </w:rPr>
        <w:t>…</w:t>
      </w:r>
    </w:p>
    <w:p w:rsidR="008B440B" w:rsidRPr="006376FA" w:rsidRDefault="008B440B" w:rsidP="008B440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B440B" w:rsidRPr="006376FA" w:rsidRDefault="008B440B" w:rsidP="008B440B">
      <w:pPr>
        <w:pStyle w:val="Sinespaciado"/>
        <w:ind w:left="567" w:right="567"/>
        <w:jc w:val="both"/>
        <w:rPr>
          <w:rFonts w:ascii="Palatino Linotype" w:hAnsi="Palatino Linotype"/>
          <w:i/>
        </w:rPr>
      </w:pPr>
    </w:p>
    <w:p w:rsidR="008B440B" w:rsidRPr="006376FA" w:rsidRDefault="008B440B" w:rsidP="008B440B">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B440B" w:rsidRPr="006376FA" w:rsidRDefault="008B440B" w:rsidP="008B440B">
      <w:pPr>
        <w:pStyle w:val="Sinespaciado"/>
        <w:ind w:left="567" w:right="567"/>
        <w:jc w:val="both"/>
        <w:rPr>
          <w:rFonts w:ascii="Palatino Linotype" w:hAnsi="Palatino Linotype"/>
          <w:bCs/>
          <w:i/>
        </w:rPr>
      </w:pPr>
    </w:p>
    <w:p w:rsidR="008B440B" w:rsidRPr="006376FA" w:rsidRDefault="008B440B" w:rsidP="008B440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B440B" w:rsidRPr="006376FA" w:rsidRDefault="008B440B" w:rsidP="008B440B">
      <w:pPr>
        <w:pStyle w:val="Sinespaciado"/>
        <w:ind w:left="567" w:right="567"/>
        <w:jc w:val="both"/>
        <w:rPr>
          <w:rFonts w:ascii="Palatino Linotype" w:hAnsi="Palatino Linotype"/>
          <w:bCs/>
          <w:i/>
        </w:rPr>
      </w:pPr>
    </w:p>
    <w:p w:rsidR="008B440B" w:rsidRPr="006376FA" w:rsidRDefault="008B440B" w:rsidP="008B440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B440B" w:rsidRPr="006376FA" w:rsidRDefault="008B440B" w:rsidP="008B440B">
      <w:pPr>
        <w:pStyle w:val="Sinespaciado"/>
        <w:ind w:left="567" w:right="567"/>
        <w:jc w:val="both"/>
        <w:rPr>
          <w:rFonts w:ascii="Palatino Linotype" w:hAnsi="Palatino Linotype"/>
          <w:i/>
        </w:rPr>
      </w:pPr>
    </w:p>
    <w:p w:rsidR="008B440B" w:rsidRPr="006376FA" w:rsidRDefault="008B440B" w:rsidP="008B440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B440B" w:rsidRPr="006376FA" w:rsidRDefault="008B440B" w:rsidP="008B440B">
      <w:pPr>
        <w:pStyle w:val="Sinespaciado"/>
        <w:ind w:left="567" w:right="567"/>
        <w:jc w:val="both"/>
        <w:rPr>
          <w:rFonts w:ascii="Palatino Linotype" w:hAnsi="Palatino Linotype"/>
          <w:i/>
        </w:rPr>
      </w:pPr>
    </w:p>
    <w:p w:rsidR="008B440B" w:rsidRPr="004E6B5B" w:rsidRDefault="008B440B" w:rsidP="008B440B">
      <w:pPr>
        <w:pStyle w:val="Sinespaciado"/>
        <w:ind w:left="567" w:right="567"/>
        <w:jc w:val="both"/>
        <w:rPr>
          <w:rFonts w:ascii="Palatino Linotype" w:hAnsi="Palatino Linotype"/>
          <w:i/>
          <w:u w:val="single"/>
        </w:rPr>
      </w:pPr>
      <w:r w:rsidRPr="006376FA">
        <w:rPr>
          <w:rFonts w:ascii="Palatino Linotype" w:hAnsi="Palatino Linotype"/>
          <w:b/>
          <w:i/>
          <w:u w:val="single"/>
        </w:rPr>
        <w:t xml:space="preserve">Los sujetos obligados sólo proporcionarán la información pública que se les requiera y que obre en sus archivos y en el estado en que ésta se encuentre. La </w:t>
      </w:r>
      <w:r w:rsidRPr="006376FA">
        <w:rPr>
          <w:rFonts w:ascii="Palatino Linotype" w:hAnsi="Palatino Linotype"/>
          <w:b/>
          <w:i/>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8B440B" w:rsidRPr="00893C7D" w:rsidRDefault="008B440B" w:rsidP="008B440B">
      <w:pPr>
        <w:pStyle w:val="Sinespaciado"/>
        <w:spacing w:line="360" w:lineRule="auto"/>
        <w:jc w:val="both"/>
        <w:rPr>
          <w:rFonts w:ascii="Palatino Linotype" w:hAnsi="Palatino Linotype"/>
          <w:sz w:val="24"/>
          <w:szCs w:val="24"/>
        </w:rPr>
      </w:pPr>
    </w:p>
    <w:p w:rsidR="004F6A5B" w:rsidRPr="004F6A5B" w:rsidRDefault="008B440B" w:rsidP="008B440B">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4F6A5B" w:rsidRDefault="004F6A5B" w:rsidP="007B48AB">
      <w:pPr>
        <w:pStyle w:val="Sinespaciado"/>
        <w:spacing w:line="360" w:lineRule="auto"/>
        <w:jc w:val="both"/>
        <w:rPr>
          <w:rFonts w:ascii="Palatino Linotype" w:hAnsi="Palatino Linotype"/>
          <w:sz w:val="24"/>
          <w:szCs w:val="24"/>
        </w:rPr>
      </w:pPr>
    </w:p>
    <w:p w:rsidR="008B440B" w:rsidRDefault="008B440B"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respecto de la información solicitada por la Recurrente, es de advertirse que en su mayor parte consiste en que se le informe qué agrupaciones se presentaron el día veintisiete de abril del año en curso en la denominada “Feria de Tecámac 2019”, así como información respecto a la contratación de dichas agrupaciones, cantidad de asistentes al evento, la duración de la participación de cada grupo, información del representante de la agrupación cuya denominación contenga la palabra NICHE, </w:t>
      </w:r>
      <w:r w:rsidR="00D149D9">
        <w:rPr>
          <w:rFonts w:ascii="Palatino Linotype" w:hAnsi="Palatino Linotype"/>
          <w:sz w:val="24"/>
          <w:szCs w:val="24"/>
        </w:rPr>
        <w:t xml:space="preserve">montos del contrato o contratos, los contratos y  sus correspondientes anexos celebrados </w:t>
      </w:r>
      <w:r>
        <w:rPr>
          <w:rFonts w:ascii="Palatino Linotype" w:hAnsi="Palatino Linotype"/>
          <w:sz w:val="24"/>
          <w:szCs w:val="24"/>
        </w:rPr>
        <w:t>con cada agrupación</w:t>
      </w:r>
      <w:r w:rsidR="00D149D9">
        <w:rPr>
          <w:rFonts w:ascii="Palatino Linotype" w:hAnsi="Palatino Linotype"/>
          <w:sz w:val="24"/>
          <w:szCs w:val="24"/>
        </w:rPr>
        <w:t xml:space="preserve">, material publicitario impreso y electrónico utilizado para dicho evento; nombre y datos del manager y de los integrantes de la agrupación cuya denominación contenga la palabra NICHE; asimismo, </w:t>
      </w:r>
      <w:r w:rsidR="00FD362B">
        <w:rPr>
          <w:rFonts w:ascii="Palatino Linotype" w:hAnsi="Palatino Linotype"/>
          <w:sz w:val="24"/>
          <w:szCs w:val="24"/>
        </w:rPr>
        <w:t>se solicitó información del presupuesto correspondiente al ejercicio 2019 y la cantidad erogada en las festividades del evento multireferido y respecto de los proveedores de artistas y grupos musicales, así como de sistemas de cómputo y/o tecnologías de la información y/o elaboración y diseño de páginas web.</w:t>
      </w:r>
    </w:p>
    <w:p w:rsidR="00FD362B" w:rsidRDefault="00FD362B" w:rsidP="007B48AB">
      <w:pPr>
        <w:pStyle w:val="Sinespaciado"/>
        <w:spacing w:line="360" w:lineRule="auto"/>
        <w:jc w:val="both"/>
        <w:rPr>
          <w:rFonts w:ascii="Palatino Linotype" w:hAnsi="Palatino Linotype"/>
          <w:sz w:val="24"/>
          <w:szCs w:val="24"/>
        </w:rPr>
      </w:pPr>
    </w:p>
    <w:p w:rsidR="00FD362B" w:rsidRDefault="00FD362B"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Por tanto, es de destacarse que el Sujeto Obligado respondió mediante el oficio DG</w:t>
      </w:r>
      <w:r w:rsidR="00FA1D6C">
        <w:rPr>
          <w:rFonts w:ascii="Palatino Linotype" w:hAnsi="Palatino Linotype"/>
          <w:sz w:val="24"/>
          <w:szCs w:val="24"/>
        </w:rPr>
        <w:t>DETPyM/00261/2019</w:t>
      </w:r>
      <w:r w:rsidR="00020FB6">
        <w:rPr>
          <w:rFonts w:ascii="Palatino Linotype" w:hAnsi="Palatino Linotype"/>
          <w:sz w:val="24"/>
          <w:szCs w:val="24"/>
        </w:rPr>
        <w:t xml:space="preserve"> suscrito por el Director General de Desarrollo Económico, Transporte Público y Movilidad, al cual se adjuntó una versión pública del convenio celebrado entre el Ayuntamiento y la empresa Events para la coordinación y operatividad para la realización de la “Feria Santa Cruz Tecámac 2019”. De la lectura y análisis de este documento, se advierte que la empresa Events es la encargada </w:t>
      </w:r>
      <w:r w:rsidR="00924832">
        <w:rPr>
          <w:rFonts w:ascii="Palatino Linotype" w:hAnsi="Palatino Linotype"/>
          <w:sz w:val="24"/>
          <w:szCs w:val="24"/>
        </w:rPr>
        <w:t>de organizar y operar dicha feria, haciéndose cargo de la contratación de todos los servicios de infraestructura por cuenta propia, realizando los contratos correspondientes entre los prestadores de servicios y la empresa</w:t>
      </w:r>
      <w:r w:rsidR="009176E1">
        <w:rPr>
          <w:rFonts w:ascii="Palatino Linotype" w:hAnsi="Palatino Linotype"/>
          <w:sz w:val="24"/>
          <w:szCs w:val="24"/>
        </w:rPr>
        <w:t xml:space="preserve"> (Events).</w:t>
      </w:r>
    </w:p>
    <w:p w:rsidR="009176E1" w:rsidRDefault="009176E1" w:rsidP="007B48AB">
      <w:pPr>
        <w:pStyle w:val="Sinespaciado"/>
        <w:spacing w:line="360" w:lineRule="auto"/>
        <w:jc w:val="both"/>
        <w:rPr>
          <w:rFonts w:ascii="Palatino Linotype" w:hAnsi="Palatino Linotype"/>
          <w:sz w:val="24"/>
          <w:szCs w:val="24"/>
        </w:rPr>
      </w:pPr>
    </w:p>
    <w:p w:rsidR="009176E1" w:rsidRDefault="009176E1"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En ese mismo documento, la cláusula Cuarta señala que la empresa será la responsable de publicitar la Feria de Santa Cruz Tecámac 2019 mediante los medios impresos o electrónicos que considere pertinentes para el mayor aforo de visitantes</w:t>
      </w:r>
      <w:r w:rsidR="00CD60A4">
        <w:rPr>
          <w:rFonts w:ascii="Palatino Linotype" w:hAnsi="Palatino Linotype"/>
          <w:sz w:val="24"/>
          <w:szCs w:val="24"/>
        </w:rPr>
        <w:t xml:space="preserve">. En la cláusula 6.3 la empresa se obliga a la contratación de cualquier prestador de servicios en el área de espectáculos para la realización del teatro del pueblo, debiendo incluir presentaciones estelares el día del inicio de la feria (27 de abril de 2019), entre otros. En la cláusula Octava, se observa que la empresa será la única responsable de las obligaciones laborales que deriven de acuerdo a lo establecido en la Ley Federal del Trabajo. Asimismo, </w:t>
      </w:r>
      <w:r w:rsidR="0053423E">
        <w:rPr>
          <w:rFonts w:ascii="Palatino Linotype" w:hAnsi="Palatino Linotype"/>
          <w:sz w:val="24"/>
          <w:szCs w:val="24"/>
        </w:rPr>
        <w:t>la cláusula Diecisieteava establece que la empresa deberá pagar al Ayuntamiento por concepto de pago por derechos de la organización de la Feria de Santa Cruz Tecámac 2019 la cantidad de quinientos mil pesos 00/100 M.N. mediante depósito en las cajas de la Tesorería Municipal.</w:t>
      </w:r>
    </w:p>
    <w:p w:rsidR="0053423E" w:rsidRDefault="0053423E" w:rsidP="007B48AB">
      <w:pPr>
        <w:pStyle w:val="Sinespaciado"/>
        <w:spacing w:line="360" w:lineRule="auto"/>
        <w:jc w:val="both"/>
        <w:rPr>
          <w:rFonts w:ascii="Palatino Linotype" w:hAnsi="Palatino Linotype"/>
          <w:sz w:val="24"/>
          <w:szCs w:val="24"/>
        </w:rPr>
      </w:pPr>
    </w:p>
    <w:p w:rsidR="0053423E" w:rsidRDefault="00347EEB"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orden de ideas, es necesario dejar establecido que el Bando Municipal de Tecámac, Estado de México 2019, dispone en su</w:t>
      </w:r>
      <w:r w:rsidR="00E15F31">
        <w:rPr>
          <w:rFonts w:ascii="Palatino Linotype" w:hAnsi="Palatino Linotype"/>
          <w:sz w:val="24"/>
          <w:szCs w:val="24"/>
        </w:rPr>
        <w:t>s</w:t>
      </w:r>
      <w:r>
        <w:rPr>
          <w:rFonts w:ascii="Palatino Linotype" w:hAnsi="Palatino Linotype"/>
          <w:sz w:val="24"/>
          <w:szCs w:val="24"/>
        </w:rPr>
        <w:t xml:space="preserve"> artículo</w:t>
      </w:r>
      <w:r w:rsidR="00E15F31">
        <w:rPr>
          <w:rFonts w:ascii="Palatino Linotype" w:hAnsi="Palatino Linotype"/>
          <w:sz w:val="24"/>
          <w:szCs w:val="24"/>
        </w:rPr>
        <w:t>s 40 fracción IX y 78 fracciones</w:t>
      </w:r>
      <w:r>
        <w:rPr>
          <w:rFonts w:ascii="Palatino Linotype" w:hAnsi="Palatino Linotype"/>
          <w:sz w:val="24"/>
          <w:szCs w:val="24"/>
        </w:rPr>
        <w:t xml:space="preserve"> II </w:t>
      </w:r>
      <w:r w:rsidR="00E15F31">
        <w:rPr>
          <w:rFonts w:ascii="Palatino Linotype" w:hAnsi="Palatino Linotype"/>
          <w:sz w:val="24"/>
          <w:szCs w:val="24"/>
        </w:rPr>
        <w:t xml:space="preserve">y V </w:t>
      </w:r>
      <w:r>
        <w:rPr>
          <w:rFonts w:ascii="Palatino Linotype" w:hAnsi="Palatino Linotype"/>
          <w:sz w:val="24"/>
          <w:szCs w:val="24"/>
        </w:rPr>
        <w:t>lo siguiente:</w:t>
      </w:r>
    </w:p>
    <w:p w:rsidR="00347EEB" w:rsidRDefault="00347EEB" w:rsidP="007B48AB">
      <w:pPr>
        <w:pStyle w:val="Sinespaciado"/>
        <w:spacing w:line="360" w:lineRule="auto"/>
        <w:jc w:val="both"/>
        <w:rPr>
          <w:rFonts w:ascii="Palatino Linotype" w:hAnsi="Palatino Linotype"/>
          <w:sz w:val="24"/>
          <w:szCs w:val="24"/>
        </w:rPr>
      </w:pPr>
    </w:p>
    <w:p w:rsidR="00E15F31" w:rsidRPr="004D1BBE" w:rsidRDefault="00E15F31" w:rsidP="00E15F31">
      <w:pPr>
        <w:pStyle w:val="Sinespaciado"/>
        <w:ind w:left="567" w:right="567"/>
        <w:jc w:val="both"/>
        <w:rPr>
          <w:rFonts w:ascii="Palatino Linotype" w:hAnsi="Palatino Linotype"/>
          <w:i/>
        </w:rPr>
      </w:pPr>
      <w:r w:rsidRPr="004D1BBE">
        <w:rPr>
          <w:rFonts w:ascii="Palatino Linotype" w:hAnsi="Palatino Linotype"/>
          <w:b/>
          <w:i/>
        </w:rPr>
        <w:t xml:space="preserve">Artículo 40. </w:t>
      </w:r>
      <w:r w:rsidRPr="005D1FF0">
        <w:rPr>
          <w:rFonts w:ascii="Palatino Linotype" w:hAnsi="Palatino Linotype"/>
          <w:b/>
          <w:i/>
          <w:u w:val="single"/>
        </w:rPr>
        <w:t>Para el cumplimiento de sus funciones, la Presidencia Municipal se auxiliará de</w:t>
      </w:r>
      <w:r w:rsidRPr="004D1BBE">
        <w:rPr>
          <w:rFonts w:ascii="Palatino Linotype" w:hAnsi="Palatino Linotype"/>
          <w:i/>
        </w:rPr>
        <w:t xml:space="preserve"> los demás integrantes del Ayuntamiento, las Comisiones Edilicias y tendrá bajo su mando </w:t>
      </w:r>
      <w:r w:rsidRPr="005D1FF0">
        <w:rPr>
          <w:rFonts w:ascii="Palatino Linotype" w:hAnsi="Palatino Linotype"/>
          <w:b/>
          <w:i/>
          <w:u w:val="single"/>
        </w:rPr>
        <w:t>las siguientes dependencias de la administración</w:t>
      </w:r>
      <w:r w:rsidR="004D1BBE" w:rsidRPr="005D1FF0">
        <w:rPr>
          <w:rFonts w:ascii="Palatino Linotype" w:hAnsi="Palatino Linotype"/>
          <w:b/>
          <w:i/>
          <w:u w:val="single"/>
        </w:rPr>
        <w:t xml:space="preserve"> pública municipal centralizada</w:t>
      </w:r>
      <w:r w:rsidR="004D1BBE" w:rsidRPr="004D1BBE">
        <w:rPr>
          <w:rFonts w:ascii="Palatino Linotype" w:hAnsi="Palatino Linotype"/>
          <w:i/>
        </w:rPr>
        <w:t>:</w:t>
      </w:r>
    </w:p>
    <w:p w:rsidR="004D1BBE" w:rsidRPr="004D1BBE" w:rsidRDefault="004D1BBE" w:rsidP="00E15F31">
      <w:pPr>
        <w:pStyle w:val="Sinespaciado"/>
        <w:ind w:left="567" w:right="567"/>
        <w:jc w:val="both"/>
        <w:rPr>
          <w:rFonts w:ascii="Palatino Linotype" w:hAnsi="Palatino Linotype"/>
          <w:i/>
        </w:rPr>
      </w:pPr>
      <w:r w:rsidRPr="004D1BBE">
        <w:rPr>
          <w:rFonts w:ascii="Palatino Linotype" w:hAnsi="Palatino Linotype"/>
          <w:i/>
        </w:rPr>
        <w:t>(…)</w:t>
      </w:r>
    </w:p>
    <w:p w:rsidR="00E15F31" w:rsidRPr="004D1BBE" w:rsidRDefault="004D1BBE" w:rsidP="00E15F31">
      <w:pPr>
        <w:pStyle w:val="Sinespaciado"/>
        <w:ind w:left="567" w:right="567"/>
        <w:jc w:val="both"/>
        <w:rPr>
          <w:rFonts w:ascii="Palatino Linotype" w:hAnsi="Palatino Linotype"/>
          <w:i/>
        </w:rPr>
      </w:pPr>
      <w:r w:rsidRPr="004D1BBE">
        <w:rPr>
          <w:rFonts w:ascii="Palatino Linotype" w:hAnsi="Palatino Linotype"/>
          <w:b/>
          <w:i/>
        </w:rPr>
        <w:t>IX.</w:t>
      </w:r>
      <w:r w:rsidRPr="004D1BBE">
        <w:rPr>
          <w:rFonts w:ascii="Palatino Linotype" w:hAnsi="Palatino Linotype"/>
          <w:i/>
        </w:rPr>
        <w:t xml:space="preserve"> </w:t>
      </w:r>
      <w:r w:rsidRPr="005D1FF0">
        <w:rPr>
          <w:rFonts w:ascii="Palatino Linotype" w:hAnsi="Palatino Linotype"/>
          <w:b/>
          <w:i/>
          <w:u w:val="single"/>
        </w:rPr>
        <w:t>Dirección General de Desarrollo Económico, Transporte Público y Movilidad</w:t>
      </w:r>
      <w:r w:rsidRPr="004D1BBE">
        <w:rPr>
          <w:rFonts w:ascii="Palatino Linotype" w:hAnsi="Palatino Linotype"/>
          <w:i/>
        </w:rPr>
        <w:t>;</w:t>
      </w:r>
    </w:p>
    <w:p w:rsidR="004D1BBE" w:rsidRPr="004D1BBE" w:rsidRDefault="004D1BBE" w:rsidP="00E15F31">
      <w:pPr>
        <w:pStyle w:val="Sinespaciado"/>
        <w:ind w:left="567" w:right="567"/>
        <w:jc w:val="both"/>
        <w:rPr>
          <w:rFonts w:ascii="Palatino Linotype" w:hAnsi="Palatino Linotype"/>
          <w:i/>
        </w:rPr>
      </w:pPr>
      <w:r w:rsidRPr="004D1BBE">
        <w:rPr>
          <w:rFonts w:ascii="Palatino Linotype" w:hAnsi="Palatino Linotype"/>
          <w:i/>
        </w:rPr>
        <w:t>(…)</w:t>
      </w:r>
    </w:p>
    <w:p w:rsidR="00E15F31" w:rsidRPr="004D1BBE" w:rsidRDefault="00E15F31" w:rsidP="00E15F31">
      <w:pPr>
        <w:pStyle w:val="Sinespaciado"/>
        <w:ind w:left="567" w:right="567"/>
        <w:jc w:val="both"/>
        <w:rPr>
          <w:rFonts w:ascii="Palatino Linotype" w:hAnsi="Palatino Linotype"/>
          <w:b/>
          <w:i/>
        </w:rPr>
      </w:pPr>
    </w:p>
    <w:p w:rsidR="00347EEB" w:rsidRPr="004D1BBE" w:rsidRDefault="00347EEB" w:rsidP="00E15F31">
      <w:pPr>
        <w:pStyle w:val="Sinespaciado"/>
        <w:ind w:left="567" w:right="567"/>
        <w:jc w:val="both"/>
        <w:rPr>
          <w:rFonts w:ascii="Palatino Linotype" w:hAnsi="Palatino Linotype"/>
          <w:i/>
        </w:rPr>
      </w:pPr>
      <w:r w:rsidRPr="004D1BBE">
        <w:rPr>
          <w:rFonts w:ascii="Palatino Linotype" w:hAnsi="Palatino Linotype"/>
          <w:b/>
          <w:i/>
        </w:rPr>
        <w:t>Artículo 78.</w:t>
      </w:r>
      <w:r w:rsidRPr="004D1BBE">
        <w:rPr>
          <w:rFonts w:ascii="Palatino Linotype" w:hAnsi="Palatino Linotype"/>
          <w:i/>
        </w:rPr>
        <w:t xml:space="preserve"> </w:t>
      </w:r>
      <w:r w:rsidRPr="005D1FF0">
        <w:rPr>
          <w:rFonts w:ascii="Palatino Linotype" w:hAnsi="Palatino Linotype"/>
          <w:b/>
          <w:i/>
          <w:u w:val="single"/>
        </w:rPr>
        <w:t>La Presidencia Municipal, a través de las áreas administrativas que integran la administración pública, regulará de manera enunciativa y no limitativa la realización de las siguientes actividades a cargo de los particulares, a través del Código Reglamentario</w:t>
      </w:r>
      <w:r w:rsidRPr="004D1BBE">
        <w:rPr>
          <w:rFonts w:ascii="Palatino Linotype" w:hAnsi="Palatino Linotype"/>
          <w:i/>
        </w:rPr>
        <w:t>:</w:t>
      </w:r>
    </w:p>
    <w:p w:rsidR="00347EEB" w:rsidRPr="004D1BBE" w:rsidRDefault="00347EEB" w:rsidP="00E15F31">
      <w:pPr>
        <w:pStyle w:val="Sinespaciado"/>
        <w:ind w:left="567" w:right="567"/>
        <w:jc w:val="both"/>
        <w:rPr>
          <w:rFonts w:ascii="Palatino Linotype" w:hAnsi="Palatino Linotype"/>
          <w:i/>
        </w:rPr>
      </w:pPr>
      <w:r w:rsidRPr="004D1BBE">
        <w:rPr>
          <w:rFonts w:ascii="Palatino Linotype" w:hAnsi="Palatino Linotype"/>
          <w:i/>
        </w:rPr>
        <w:t>(…)</w:t>
      </w:r>
    </w:p>
    <w:p w:rsidR="00347EEB" w:rsidRPr="004D1BBE" w:rsidRDefault="00347EEB" w:rsidP="00E15F31">
      <w:pPr>
        <w:pStyle w:val="Sinespaciado"/>
        <w:ind w:left="567" w:right="567"/>
        <w:jc w:val="both"/>
        <w:rPr>
          <w:rFonts w:ascii="Palatino Linotype" w:hAnsi="Palatino Linotype"/>
          <w:i/>
        </w:rPr>
      </w:pPr>
      <w:r w:rsidRPr="004D1BBE">
        <w:rPr>
          <w:rFonts w:ascii="Palatino Linotype" w:hAnsi="Palatino Linotype"/>
          <w:b/>
          <w:i/>
        </w:rPr>
        <w:t>II.</w:t>
      </w:r>
      <w:r w:rsidRPr="004D1BBE">
        <w:rPr>
          <w:rFonts w:ascii="Palatino Linotype" w:hAnsi="Palatino Linotype"/>
          <w:i/>
        </w:rPr>
        <w:t xml:space="preserve"> Actividades de promoción, difusión, publicidad y anuncios de</w:t>
      </w:r>
      <w:r w:rsidR="00E15F31" w:rsidRPr="004D1BBE">
        <w:rPr>
          <w:rFonts w:ascii="Palatino Linotype" w:hAnsi="Palatino Linotype"/>
          <w:i/>
        </w:rPr>
        <w:t xml:space="preserve"> unidades económicas, espectáculos y todo tipo de actividades.;</w:t>
      </w:r>
    </w:p>
    <w:p w:rsidR="00E15F31" w:rsidRPr="004D1BBE" w:rsidRDefault="00E15F31" w:rsidP="00E15F31">
      <w:pPr>
        <w:pStyle w:val="Sinespaciado"/>
        <w:ind w:left="567" w:right="567"/>
        <w:jc w:val="both"/>
        <w:rPr>
          <w:rFonts w:ascii="Palatino Linotype" w:hAnsi="Palatino Linotype"/>
          <w:i/>
        </w:rPr>
      </w:pPr>
      <w:r w:rsidRPr="004D1BBE">
        <w:rPr>
          <w:rFonts w:ascii="Palatino Linotype" w:hAnsi="Palatino Linotype"/>
          <w:i/>
        </w:rPr>
        <w:t>(…)</w:t>
      </w:r>
    </w:p>
    <w:p w:rsidR="00E15F31" w:rsidRPr="004D1BBE" w:rsidRDefault="00E15F31" w:rsidP="00E15F31">
      <w:pPr>
        <w:pStyle w:val="Sinespaciado"/>
        <w:ind w:left="567" w:right="567"/>
        <w:jc w:val="both"/>
        <w:rPr>
          <w:rFonts w:ascii="Palatino Linotype" w:hAnsi="Palatino Linotype"/>
          <w:i/>
        </w:rPr>
      </w:pPr>
      <w:r w:rsidRPr="004D1BBE">
        <w:rPr>
          <w:rFonts w:ascii="Palatino Linotype" w:hAnsi="Palatino Linotype"/>
          <w:b/>
          <w:i/>
        </w:rPr>
        <w:t>V.</w:t>
      </w:r>
      <w:r w:rsidRPr="004D1BBE">
        <w:rPr>
          <w:rFonts w:ascii="Palatino Linotype" w:hAnsi="Palatino Linotype"/>
          <w:i/>
        </w:rPr>
        <w:t xml:space="preserve"> </w:t>
      </w:r>
      <w:r w:rsidRPr="005D1FF0">
        <w:rPr>
          <w:rFonts w:ascii="Palatino Linotype" w:hAnsi="Palatino Linotype"/>
          <w:b/>
          <w:i/>
          <w:u w:val="single"/>
        </w:rPr>
        <w:t>Todo tipo de espectáculos públicos</w:t>
      </w:r>
      <w:r w:rsidRPr="004D1BBE">
        <w:rPr>
          <w:rFonts w:ascii="Palatino Linotype" w:hAnsi="Palatino Linotype"/>
          <w:i/>
        </w:rPr>
        <w:t xml:space="preserve"> y fiestas privadas, tales como </w:t>
      </w:r>
      <w:r w:rsidRPr="005D1FF0">
        <w:rPr>
          <w:rFonts w:ascii="Palatino Linotype" w:hAnsi="Palatino Linotype"/>
          <w:b/>
          <w:i/>
          <w:u w:val="single"/>
        </w:rPr>
        <w:t>ferias comunitarias o temáticas, fiestas patronales</w:t>
      </w:r>
      <w:r w:rsidRPr="004D1BBE">
        <w:rPr>
          <w:rFonts w:ascii="Palatino Linotype" w:hAnsi="Palatino Linotype"/>
          <w:i/>
        </w:rPr>
        <w:t>, eventos que ofrezcan entretenimiento con juegos electromecánicos para el público en general y eventos deportivos o culturales amenizados;</w:t>
      </w:r>
    </w:p>
    <w:p w:rsidR="008B440B" w:rsidRPr="004D1BBE" w:rsidRDefault="00E15F31" w:rsidP="00E15F31">
      <w:pPr>
        <w:pStyle w:val="Sinespaciado"/>
        <w:ind w:left="567" w:right="567"/>
        <w:jc w:val="both"/>
        <w:rPr>
          <w:rFonts w:ascii="Palatino Linotype" w:hAnsi="Palatino Linotype"/>
          <w:i/>
        </w:rPr>
      </w:pPr>
      <w:r w:rsidRPr="004D1BBE">
        <w:rPr>
          <w:rFonts w:ascii="Palatino Linotype" w:hAnsi="Palatino Linotype"/>
          <w:i/>
        </w:rPr>
        <w:t>(…)</w:t>
      </w:r>
    </w:p>
    <w:p w:rsidR="008B440B" w:rsidRDefault="008B440B" w:rsidP="007B48AB">
      <w:pPr>
        <w:pStyle w:val="Sinespaciado"/>
        <w:spacing w:line="360" w:lineRule="auto"/>
        <w:jc w:val="both"/>
        <w:rPr>
          <w:rFonts w:ascii="Palatino Linotype" w:hAnsi="Palatino Linotype"/>
          <w:sz w:val="24"/>
          <w:szCs w:val="24"/>
        </w:rPr>
      </w:pPr>
    </w:p>
    <w:p w:rsidR="008B440B" w:rsidRDefault="004D1BBE"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w:t>
      </w:r>
      <w:r w:rsidR="005D1FF0">
        <w:rPr>
          <w:rFonts w:ascii="Palatino Linotype" w:hAnsi="Palatino Linotype"/>
          <w:sz w:val="24"/>
          <w:szCs w:val="24"/>
        </w:rPr>
        <w:t>el artículo 1.30 del Código Reglamentario de Tecámac, Estado de México establece lo siguiente:</w:t>
      </w:r>
    </w:p>
    <w:p w:rsidR="005D1FF0" w:rsidRDefault="005D1FF0" w:rsidP="007B48AB">
      <w:pPr>
        <w:pStyle w:val="Sinespaciado"/>
        <w:spacing w:line="360" w:lineRule="auto"/>
        <w:jc w:val="both"/>
        <w:rPr>
          <w:rFonts w:ascii="Palatino Linotype" w:hAnsi="Palatino Linotype"/>
          <w:sz w:val="24"/>
          <w:szCs w:val="24"/>
        </w:rPr>
      </w:pP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bCs/>
          <w:i/>
        </w:rPr>
        <w:t xml:space="preserve">Artículo 1.30. </w:t>
      </w:r>
      <w:r w:rsidRPr="005D1FF0">
        <w:rPr>
          <w:rFonts w:ascii="Palatino Linotype" w:hAnsi="Palatino Linotype"/>
          <w:b/>
          <w:i/>
          <w:u w:val="single"/>
        </w:rPr>
        <w:t>La Presidencia Municipal a través de la Dirección General de Desarrollo Económico, Transporte Público y Movilidad tendrá facultades para autorizar</w:t>
      </w:r>
      <w:r w:rsidRPr="005D1FF0">
        <w:rPr>
          <w:rFonts w:ascii="Palatino Linotype" w:hAnsi="Palatino Linotype"/>
          <w:i/>
        </w:rPr>
        <w:t xml:space="preserve">, suspender o prohibir </w:t>
      </w:r>
      <w:r w:rsidRPr="005D1FF0">
        <w:rPr>
          <w:rFonts w:ascii="Palatino Linotype" w:hAnsi="Palatino Linotype"/>
          <w:b/>
          <w:i/>
          <w:u w:val="single"/>
        </w:rPr>
        <w:t>la presentación de cualquier espectáculo o diversión pública que se realice dentro del territorio del municipio</w:t>
      </w:r>
      <w:r w:rsidRPr="005D1FF0">
        <w:rPr>
          <w:rFonts w:ascii="Palatino Linotype" w:hAnsi="Palatino Linotype"/>
          <w:i/>
        </w:rPr>
        <w:t xml:space="preserve">, así como cualquier fijación, disminución o aumento de los precios de acceso a los mismos, considerando la categoría del </w:t>
      </w:r>
      <w:r w:rsidRPr="005D1FF0">
        <w:rPr>
          <w:rFonts w:ascii="Palatino Linotype" w:hAnsi="Palatino Linotype"/>
          <w:i/>
        </w:rPr>
        <w:lastRenderedPageBreak/>
        <w:t xml:space="preserve">espectáculo, las características de comodidad, presentación e higiene de los establecimientos donde se realice el evento. </w:t>
      </w:r>
    </w:p>
    <w:p w:rsidR="005D1FF0" w:rsidRPr="005D1FF0" w:rsidRDefault="005D1FF0" w:rsidP="005D1FF0">
      <w:pPr>
        <w:pStyle w:val="Sinespaciado"/>
        <w:ind w:left="567" w:right="567"/>
        <w:jc w:val="both"/>
        <w:rPr>
          <w:rFonts w:ascii="Palatino Linotype" w:hAnsi="Palatino Linotype"/>
          <w:i/>
        </w:rPr>
      </w:pP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i/>
          <w:u w:val="single"/>
        </w:rPr>
        <w:t>Tendrá también la facultad de autorizar la realización de fiestas y celebraciones de carácter público o privado cuando se pretendan realizar en la vía pública</w:t>
      </w:r>
      <w:r w:rsidRPr="005D1FF0">
        <w:rPr>
          <w:rFonts w:ascii="Palatino Linotype" w:hAnsi="Palatino Linotype"/>
          <w:i/>
        </w:rPr>
        <w:t xml:space="preserve">. La autorización deberá ser específica e impondrá las siguientes restricciones: </w:t>
      </w:r>
    </w:p>
    <w:p w:rsidR="005D1FF0" w:rsidRPr="005D1FF0" w:rsidRDefault="005D1FF0" w:rsidP="005D1FF0">
      <w:pPr>
        <w:pStyle w:val="Sinespaciado"/>
        <w:ind w:left="567" w:right="567"/>
        <w:jc w:val="both"/>
        <w:rPr>
          <w:rFonts w:ascii="Palatino Linotype" w:hAnsi="Palatino Linotype"/>
          <w:i/>
        </w:rPr>
      </w:pP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bCs/>
          <w:i/>
        </w:rPr>
        <w:t xml:space="preserve">a) </w:t>
      </w:r>
      <w:r w:rsidRPr="005D1FF0">
        <w:rPr>
          <w:rFonts w:ascii="Palatino Linotype" w:hAnsi="Palatino Linotype"/>
          <w:i/>
        </w:rPr>
        <w:t xml:space="preserve">Delimitar mediante la colocación de carpas o lonas el lugar donde se llevará a cabo la fiesta familiar; </w:t>
      </w: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bCs/>
          <w:i/>
        </w:rPr>
        <w:t xml:space="preserve">b) </w:t>
      </w:r>
      <w:r w:rsidRPr="005D1FF0">
        <w:rPr>
          <w:rFonts w:ascii="Palatino Linotype" w:hAnsi="Palatino Linotype"/>
          <w:i/>
        </w:rPr>
        <w:t xml:space="preserve">Evitar realizar actos de molestia a los vecinos que transitan o vivan por el lugar que fue delimitado para llevar a cabo la fiesta familiar; </w:t>
      </w: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bCs/>
          <w:i/>
        </w:rPr>
        <w:t xml:space="preserve">c) </w:t>
      </w:r>
      <w:r w:rsidRPr="005D1FF0">
        <w:rPr>
          <w:rFonts w:ascii="Palatino Linotype" w:hAnsi="Palatino Linotype"/>
          <w:i/>
        </w:rPr>
        <w:t xml:space="preserve">Evitar consumir bebidas embriagantes, arrojar basura o realizar cualquier actividad fuera del lugar que fue delimitado para llevar a cabo la fiesta familiar; </w:t>
      </w: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bCs/>
          <w:i/>
        </w:rPr>
        <w:t xml:space="preserve">d) </w:t>
      </w:r>
      <w:r w:rsidRPr="005D1FF0">
        <w:rPr>
          <w:rFonts w:ascii="Palatino Linotype" w:hAnsi="Palatino Linotype"/>
          <w:i/>
        </w:rPr>
        <w:t xml:space="preserve">La duración del evento; </w:t>
      </w:r>
    </w:p>
    <w:p w:rsidR="005D1FF0" w:rsidRPr="005D1FF0" w:rsidRDefault="005D1FF0" w:rsidP="005D1FF0">
      <w:pPr>
        <w:pStyle w:val="Sinespaciado"/>
        <w:ind w:left="567" w:right="567"/>
        <w:jc w:val="both"/>
        <w:rPr>
          <w:rFonts w:ascii="Palatino Linotype" w:hAnsi="Palatino Linotype"/>
          <w:i/>
        </w:rPr>
      </w:pPr>
      <w:r w:rsidRPr="005D1FF0">
        <w:rPr>
          <w:rFonts w:ascii="Palatino Linotype" w:hAnsi="Palatino Linotype"/>
          <w:b/>
          <w:bCs/>
          <w:i/>
        </w:rPr>
        <w:t xml:space="preserve">e) </w:t>
      </w:r>
      <w:r w:rsidRPr="005D1FF0">
        <w:rPr>
          <w:rFonts w:ascii="Palatino Linotype" w:hAnsi="Palatino Linotype"/>
          <w:i/>
        </w:rPr>
        <w:t xml:space="preserve">Realizar el pago de los derechos correspondientes que deberán entregar en la Tesorería Municipal. </w:t>
      </w:r>
    </w:p>
    <w:p w:rsidR="005D1FF0" w:rsidRPr="005D1FF0" w:rsidRDefault="005D1FF0" w:rsidP="005D1FF0">
      <w:pPr>
        <w:pStyle w:val="Sinespaciado"/>
        <w:ind w:left="567" w:right="567"/>
        <w:jc w:val="both"/>
        <w:rPr>
          <w:rFonts w:ascii="Palatino Linotype" w:hAnsi="Palatino Linotype"/>
          <w:sz w:val="24"/>
          <w:szCs w:val="24"/>
        </w:rPr>
      </w:pPr>
      <w:r w:rsidRPr="005D1FF0">
        <w:rPr>
          <w:rFonts w:ascii="Palatino Linotype" w:hAnsi="Palatino Linotype"/>
          <w:b/>
          <w:bCs/>
          <w:i/>
        </w:rPr>
        <w:t xml:space="preserve">f) </w:t>
      </w:r>
      <w:r w:rsidRPr="005D1FF0">
        <w:rPr>
          <w:rFonts w:ascii="Palatino Linotype" w:hAnsi="Palatino Linotype"/>
          <w:i/>
        </w:rPr>
        <w:t xml:space="preserve">El particular solicitante deberá acompañar a su solicitud el documento donde se haga constar el no inconveniente de la Unidad de Gobierno Municipal respecto de la realización del evento. </w:t>
      </w:r>
    </w:p>
    <w:p w:rsidR="00E15F31" w:rsidRDefault="00E15F31" w:rsidP="007B48AB">
      <w:pPr>
        <w:pStyle w:val="Sinespaciado"/>
        <w:spacing w:line="360" w:lineRule="auto"/>
        <w:jc w:val="both"/>
        <w:rPr>
          <w:rFonts w:ascii="Palatino Linotype" w:hAnsi="Palatino Linotype"/>
          <w:sz w:val="24"/>
          <w:szCs w:val="24"/>
        </w:rPr>
      </w:pPr>
    </w:p>
    <w:p w:rsidR="00E15F31" w:rsidRDefault="005D1FF0"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la interpretación del articulado anterior, se tiene que </w:t>
      </w:r>
      <w:r w:rsidR="00CD3957">
        <w:rPr>
          <w:rFonts w:ascii="Palatino Linotype" w:hAnsi="Palatino Linotype"/>
          <w:sz w:val="24"/>
          <w:szCs w:val="24"/>
        </w:rPr>
        <w:t xml:space="preserve">la Dirección </w:t>
      </w:r>
      <w:r>
        <w:rPr>
          <w:rFonts w:ascii="Palatino Linotype" w:hAnsi="Palatino Linotype"/>
          <w:sz w:val="24"/>
          <w:szCs w:val="24"/>
        </w:rPr>
        <w:t xml:space="preserve">de Desarrollo Económico, Transporte Público y Movilidad </w:t>
      </w:r>
      <w:r w:rsidR="00CD3957">
        <w:rPr>
          <w:rFonts w:ascii="Palatino Linotype" w:hAnsi="Palatino Linotype"/>
          <w:sz w:val="24"/>
          <w:szCs w:val="24"/>
        </w:rPr>
        <w:t xml:space="preserve">es parte de la administración pública municipal y que su titular </w:t>
      </w:r>
      <w:r>
        <w:rPr>
          <w:rFonts w:ascii="Palatino Linotype" w:hAnsi="Palatino Linotype"/>
          <w:sz w:val="24"/>
          <w:szCs w:val="24"/>
        </w:rPr>
        <w:t xml:space="preserve">tiene las facultades para </w:t>
      </w:r>
      <w:r w:rsidR="00CD3957">
        <w:rPr>
          <w:rFonts w:ascii="Palatino Linotype" w:hAnsi="Palatino Linotype"/>
          <w:sz w:val="24"/>
          <w:szCs w:val="24"/>
        </w:rPr>
        <w:t>autorizar la presentación de cualquier espectáculo o diversión pública que se realice dentro del territorio del municipio; así como para autorizar la realización de fiestas y celebraciones de carácter público o privado. En ese contexto, resulta evidente que el titular de dicha Dirección esté facultado para celebrar el convenio para la realización de la Feria Tecámac 2019.</w:t>
      </w:r>
    </w:p>
    <w:p w:rsidR="00CD3957" w:rsidRDefault="00CD3957" w:rsidP="007B48AB">
      <w:pPr>
        <w:pStyle w:val="Sinespaciado"/>
        <w:spacing w:line="360" w:lineRule="auto"/>
        <w:jc w:val="both"/>
        <w:rPr>
          <w:rFonts w:ascii="Palatino Linotype" w:hAnsi="Palatino Linotype"/>
          <w:sz w:val="24"/>
          <w:szCs w:val="24"/>
        </w:rPr>
      </w:pPr>
    </w:p>
    <w:p w:rsidR="00CD3957" w:rsidRDefault="00CD3957"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este Instituto advierte que </w:t>
      </w:r>
      <w:r w:rsidR="001D6DBE">
        <w:rPr>
          <w:rFonts w:ascii="Palatino Linotype" w:hAnsi="Palatino Linotype"/>
          <w:sz w:val="24"/>
          <w:szCs w:val="24"/>
        </w:rPr>
        <w:t xml:space="preserve">el Sujeto Obligado no cuenta con la información respecto a la organización y realización de la Feria de Tecámac 2019, pues al celebrar el convenio con la empresa Events a través de la Dirección de Desarrollo </w:t>
      </w:r>
      <w:r w:rsidR="001D6DBE">
        <w:rPr>
          <w:rFonts w:ascii="Palatino Linotype" w:hAnsi="Palatino Linotype"/>
          <w:sz w:val="24"/>
          <w:szCs w:val="24"/>
        </w:rPr>
        <w:lastRenderedPageBreak/>
        <w:t xml:space="preserve">Económico, Transporte Público y Movilidad, se observa que es la empresa la encargada de llevar a cabo la coordinación y operación de dicho evento, incluyendo la contratación de los prestadores de </w:t>
      </w:r>
      <w:r w:rsidR="00AE0498">
        <w:rPr>
          <w:rFonts w:ascii="Palatino Linotype" w:hAnsi="Palatino Linotype"/>
          <w:sz w:val="24"/>
          <w:szCs w:val="24"/>
        </w:rPr>
        <w:t>servicios en el área de espectáculos para la realización del teatro del pueblo, incluyendo en esas presentaciones a la que se llevó a cabo en la fecha señalada por la Recurrente, es decir, el veintisiete de abril de dos mil diecinueve.</w:t>
      </w:r>
    </w:p>
    <w:p w:rsidR="00E15F31" w:rsidRDefault="00E15F31" w:rsidP="007B48AB">
      <w:pPr>
        <w:pStyle w:val="Sinespaciado"/>
        <w:spacing w:line="360" w:lineRule="auto"/>
        <w:jc w:val="both"/>
        <w:rPr>
          <w:rFonts w:ascii="Palatino Linotype" w:hAnsi="Palatino Linotype"/>
          <w:sz w:val="24"/>
          <w:szCs w:val="24"/>
        </w:rPr>
      </w:pPr>
    </w:p>
    <w:p w:rsidR="00AE0498" w:rsidRDefault="00AE0498"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consecuencia, se puede colegir que el Sujeto Obligado no generó, administró o poseyó la información relativa a las preguntas realizadas por la Recurrente identificadas por los incisos a), b), c), d), e), f) g), h), j), k), </w:t>
      </w:r>
      <w:r w:rsidR="00513A54">
        <w:rPr>
          <w:rFonts w:ascii="Palatino Linotype" w:hAnsi="Palatino Linotype"/>
          <w:sz w:val="24"/>
          <w:szCs w:val="24"/>
        </w:rPr>
        <w:t>l), n) y o), en virtud de que fue la empresa Events quien se encargó de la organización y realización de los espectáculos presentados durante la Feria de Santa Cruz Tecámac 2019, tal y como consta en el convenio celebrado por el H. Ayuntamiento de Tecámac representado por el Director General de Desarrollo Económico, Transporte Público y Movilidad y la empresa Events.</w:t>
      </w:r>
    </w:p>
    <w:p w:rsidR="00513A54" w:rsidRDefault="00513A54" w:rsidP="007B48AB">
      <w:pPr>
        <w:pStyle w:val="Sinespaciado"/>
        <w:spacing w:line="360" w:lineRule="auto"/>
        <w:jc w:val="both"/>
        <w:rPr>
          <w:rFonts w:ascii="Palatino Linotype" w:hAnsi="Palatino Linotype"/>
          <w:sz w:val="24"/>
          <w:szCs w:val="24"/>
        </w:rPr>
      </w:pPr>
    </w:p>
    <w:p w:rsidR="00513A54" w:rsidRDefault="00513A54"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de la lectura del citado convenio, se observa que el Ayuntamiento no erogó </w:t>
      </w:r>
      <w:r w:rsidR="00055D7B">
        <w:rPr>
          <w:rFonts w:ascii="Palatino Linotype" w:hAnsi="Palatino Linotype"/>
          <w:sz w:val="24"/>
          <w:szCs w:val="24"/>
        </w:rPr>
        <w:t>ninguna cantidad, si no que por el contrario, fue la empresa Events quien realizó un pago por concepto de derechos de la organización de la Feria, tal y como se observa en la siguiente imagen:</w:t>
      </w:r>
    </w:p>
    <w:p w:rsidR="00055D7B" w:rsidRDefault="00055D7B" w:rsidP="007B48AB">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E15F31" w:rsidRDefault="00055D7B" w:rsidP="007B48AB">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5F3B33B9" wp14:editId="324CF862">
            <wp:extent cx="5641430" cy="1762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50" t="28512" r="14517" b="32099"/>
                    <a:stretch/>
                  </pic:blipFill>
                  <pic:spPr bwMode="auto">
                    <a:xfrm>
                      <a:off x="0" y="0"/>
                      <a:ext cx="5650112" cy="1764837"/>
                    </a:xfrm>
                    <a:prstGeom prst="rect">
                      <a:avLst/>
                    </a:prstGeom>
                    <a:ln>
                      <a:noFill/>
                    </a:ln>
                    <a:extLst>
                      <a:ext uri="{53640926-AAD7-44D8-BBD7-CCE9431645EC}">
                        <a14:shadowObscured xmlns:a14="http://schemas.microsoft.com/office/drawing/2010/main"/>
                      </a:ext>
                    </a:extLst>
                  </pic:spPr>
                </pic:pic>
              </a:graphicData>
            </a:graphic>
          </wp:inline>
        </w:drawing>
      </w:r>
    </w:p>
    <w:p w:rsidR="00E15F31" w:rsidRDefault="00E15F31" w:rsidP="00E15F31">
      <w:pPr>
        <w:pStyle w:val="Sinespaciado"/>
        <w:spacing w:line="360" w:lineRule="auto"/>
        <w:ind w:left="709" w:hanging="709"/>
        <w:jc w:val="both"/>
        <w:rPr>
          <w:rFonts w:ascii="Palatino Linotype" w:hAnsi="Palatino Linotype"/>
          <w:sz w:val="24"/>
          <w:szCs w:val="24"/>
        </w:rPr>
      </w:pPr>
    </w:p>
    <w:p w:rsidR="00055D7B" w:rsidRDefault="0080126D" w:rsidP="000E5C62">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se debe destacar que el artículo 23 su penúltimo párrafo establece lo siguiente</w:t>
      </w:r>
    </w:p>
    <w:p w:rsidR="00055D7B" w:rsidRDefault="00055D7B" w:rsidP="000E5C62">
      <w:pPr>
        <w:pStyle w:val="Sinespaciado"/>
        <w:spacing w:line="360" w:lineRule="auto"/>
        <w:jc w:val="both"/>
        <w:rPr>
          <w:rFonts w:ascii="Palatino Linotype" w:hAnsi="Palatino Linotype"/>
          <w:sz w:val="24"/>
          <w:szCs w:val="24"/>
        </w:rPr>
      </w:pPr>
    </w:p>
    <w:p w:rsidR="00055D7B" w:rsidRPr="00A81C5D" w:rsidRDefault="0080126D" w:rsidP="00A81C5D">
      <w:pPr>
        <w:pStyle w:val="Sinespaciado"/>
        <w:ind w:left="567" w:right="567"/>
        <w:jc w:val="both"/>
        <w:rPr>
          <w:rFonts w:ascii="Palatino Linotype" w:hAnsi="Palatino Linotype"/>
          <w:i/>
          <w:sz w:val="24"/>
          <w:szCs w:val="24"/>
        </w:rPr>
      </w:pPr>
      <w:r w:rsidRPr="00A81C5D">
        <w:rPr>
          <w:rFonts w:ascii="Palatino Linotype" w:hAnsi="Palatino Linotype"/>
          <w:b/>
          <w:bCs/>
          <w:i/>
          <w:sz w:val="24"/>
          <w:szCs w:val="24"/>
        </w:rPr>
        <w:t xml:space="preserve">Artículo 23. </w:t>
      </w:r>
      <w:r w:rsidRPr="00A81C5D">
        <w:rPr>
          <w:rFonts w:ascii="Palatino Linotype" w:hAnsi="Palatino Linotype"/>
          <w:i/>
          <w:sz w:val="24"/>
          <w:szCs w:val="24"/>
        </w:rPr>
        <w:t>Son sujetos obligados a transparentar y permitir el acceso a su información y proteger los datos personales que ob</w:t>
      </w:r>
      <w:bookmarkStart w:id="0" w:name="_GoBack"/>
      <w:bookmarkEnd w:id="0"/>
      <w:r w:rsidRPr="00A81C5D">
        <w:rPr>
          <w:rFonts w:ascii="Palatino Linotype" w:hAnsi="Palatino Linotype"/>
          <w:i/>
          <w:sz w:val="24"/>
          <w:szCs w:val="24"/>
        </w:rPr>
        <w:t>ren en su poder:</w:t>
      </w:r>
    </w:p>
    <w:p w:rsidR="0080126D" w:rsidRPr="00A81C5D" w:rsidRDefault="0080126D" w:rsidP="00A81C5D">
      <w:pPr>
        <w:pStyle w:val="Sinespaciado"/>
        <w:ind w:left="567" w:right="567"/>
        <w:jc w:val="both"/>
        <w:rPr>
          <w:rFonts w:ascii="Palatino Linotype" w:hAnsi="Palatino Linotype"/>
          <w:i/>
          <w:sz w:val="24"/>
          <w:szCs w:val="24"/>
        </w:rPr>
      </w:pPr>
      <w:r w:rsidRPr="00A81C5D">
        <w:rPr>
          <w:rFonts w:ascii="Palatino Linotype" w:hAnsi="Palatino Linotype"/>
          <w:i/>
          <w:sz w:val="24"/>
          <w:szCs w:val="24"/>
        </w:rPr>
        <w:t>(…)</w:t>
      </w:r>
    </w:p>
    <w:p w:rsidR="0080126D" w:rsidRPr="00A81C5D" w:rsidRDefault="0080126D" w:rsidP="00A81C5D">
      <w:pPr>
        <w:pStyle w:val="Sinespaciado"/>
        <w:ind w:left="567" w:right="567"/>
        <w:jc w:val="both"/>
        <w:rPr>
          <w:rFonts w:ascii="Palatino Linotype" w:hAnsi="Palatino Linotype"/>
          <w:i/>
          <w:sz w:val="24"/>
          <w:szCs w:val="24"/>
        </w:rPr>
      </w:pPr>
      <w:r w:rsidRPr="00A81C5D">
        <w:rPr>
          <w:rFonts w:ascii="Palatino Linotype" w:hAnsi="Palatino Linotype"/>
          <w:i/>
          <w:sz w:val="24"/>
          <w:szCs w:val="24"/>
        </w:rPr>
        <w:t xml:space="preserve">Los sujetos obligados deberán hacer pública toda aquella información relativa a los montos y las personas a quienes entreguen, por cualquier </w:t>
      </w:r>
      <w:r w:rsidR="00360973" w:rsidRPr="00A81C5D">
        <w:rPr>
          <w:rFonts w:ascii="Palatino Linotype" w:hAnsi="Palatino Linotype"/>
          <w:i/>
          <w:sz w:val="24"/>
          <w:szCs w:val="24"/>
        </w:rPr>
        <w:t>motivo</w:t>
      </w:r>
      <w:r w:rsidRPr="00A81C5D">
        <w:rPr>
          <w:rFonts w:ascii="Palatino Linotype" w:hAnsi="Palatino Linotype"/>
          <w:i/>
          <w:sz w:val="24"/>
          <w:szCs w:val="24"/>
        </w:rPr>
        <w:t xml:space="preserve">, recursos públicos, así como los informes </w:t>
      </w:r>
      <w:r w:rsidR="00A81C5D" w:rsidRPr="00A81C5D">
        <w:rPr>
          <w:rFonts w:ascii="Palatino Linotype" w:hAnsi="Palatino Linotype"/>
          <w:i/>
          <w:sz w:val="24"/>
          <w:szCs w:val="24"/>
        </w:rPr>
        <w:t>que dichas personas les entreguen sobre el uso y destino de dichos recursos.</w:t>
      </w:r>
    </w:p>
    <w:p w:rsidR="00A81C5D" w:rsidRPr="00A81C5D" w:rsidRDefault="00A81C5D" w:rsidP="00A81C5D">
      <w:pPr>
        <w:pStyle w:val="Sinespaciado"/>
        <w:ind w:left="567" w:right="567"/>
        <w:jc w:val="both"/>
        <w:rPr>
          <w:rFonts w:ascii="Palatino Linotype" w:hAnsi="Palatino Linotype"/>
          <w:i/>
          <w:sz w:val="24"/>
          <w:szCs w:val="24"/>
        </w:rPr>
      </w:pPr>
      <w:r w:rsidRPr="00A81C5D">
        <w:rPr>
          <w:rFonts w:ascii="Palatino Linotype" w:hAnsi="Palatino Linotype"/>
          <w:i/>
          <w:sz w:val="24"/>
          <w:szCs w:val="24"/>
        </w:rPr>
        <w:t>(…)</w:t>
      </w:r>
    </w:p>
    <w:p w:rsidR="00055D7B" w:rsidRDefault="00055D7B" w:rsidP="000E5C62">
      <w:pPr>
        <w:pStyle w:val="Sinespaciado"/>
        <w:spacing w:line="360" w:lineRule="auto"/>
        <w:jc w:val="both"/>
        <w:rPr>
          <w:rFonts w:ascii="Palatino Linotype" w:hAnsi="Palatino Linotype"/>
          <w:sz w:val="24"/>
          <w:szCs w:val="24"/>
        </w:rPr>
      </w:pPr>
    </w:p>
    <w:p w:rsidR="00A81C5D" w:rsidRDefault="00A81C5D" w:rsidP="000E5C6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se podría deducir que la clasificación de los datos personales realizada por el Sujeto Obligado al CONVENIO PARA LA REALIZACIÓN DE LA FERIA TECÁMAC 2019 es correcta, pues se tratan de datos personales de personas que no han recibido recursos públicos; sin embargo, </w:t>
      </w:r>
      <w:r w:rsidR="001F19E0">
        <w:rPr>
          <w:rFonts w:ascii="Palatino Linotype" w:hAnsi="Palatino Linotype"/>
          <w:sz w:val="24"/>
          <w:szCs w:val="24"/>
        </w:rPr>
        <w:t xml:space="preserve">si bien no se hace entrega de ningún recurso, sí se utiliza y aprovecha un espacio público, por lo que conviene hacer referencia a lo dispuesto en </w:t>
      </w:r>
      <w:r>
        <w:rPr>
          <w:rFonts w:ascii="Palatino Linotype" w:hAnsi="Palatino Linotype"/>
          <w:sz w:val="24"/>
          <w:szCs w:val="24"/>
        </w:rPr>
        <w:t xml:space="preserve">el artículo 92 </w:t>
      </w:r>
      <w:r w:rsidR="001F19E0">
        <w:rPr>
          <w:rFonts w:ascii="Palatino Linotype" w:hAnsi="Palatino Linotype"/>
          <w:sz w:val="24"/>
          <w:szCs w:val="24"/>
        </w:rPr>
        <w:t xml:space="preserve">XXXII de la Ley de la Materia, en el que se </w:t>
      </w:r>
      <w:r w:rsidR="003A7A6F">
        <w:rPr>
          <w:rFonts w:ascii="Palatino Linotype" w:hAnsi="Palatino Linotype"/>
          <w:sz w:val="24"/>
          <w:szCs w:val="24"/>
        </w:rPr>
        <w:t xml:space="preserve">establece lo siguiente: </w:t>
      </w:r>
    </w:p>
    <w:p w:rsidR="00A81C5D" w:rsidRDefault="00A81C5D" w:rsidP="000E5C62">
      <w:pPr>
        <w:pStyle w:val="Sinespaciado"/>
        <w:spacing w:line="360" w:lineRule="auto"/>
        <w:jc w:val="both"/>
        <w:rPr>
          <w:rFonts w:ascii="Palatino Linotype" w:hAnsi="Palatino Linotype"/>
          <w:sz w:val="24"/>
          <w:szCs w:val="24"/>
        </w:rPr>
      </w:pPr>
    </w:p>
    <w:p w:rsidR="00A81C5D" w:rsidRPr="003A7A6F" w:rsidRDefault="003A7A6F" w:rsidP="003A7A6F">
      <w:pPr>
        <w:pStyle w:val="Sinespaciado"/>
        <w:ind w:left="567" w:right="567"/>
        <w:jc w:val="both"/>
        <w:rPr>
          <w:rFonts w:ascii="Palatino Linotype" w:hAnsi="Palatino Linotype"/>
          <w:i/>
          <w:sz w:val="24"/>
          <w:szCs w:val="24"/>
        </w:rPr>
      </w:pPr>
      <w:r w:rsidRPr="003A7A6F">
        <w:rPr>
          <w:rFonts w:ascii="Palatino Linotype" w:hAnsi="Palatino Linotype"/>
          <w:b/>
          <w:bCs/>
          <w:i/>
          <w:sz w:val="24"/>
          <w:szCs w:val="24"/>
        </w:rPr>
        <w:lastRenderedPageBreak/>
        <w:t xml:space="preserve">Artículo 92. </w:t>
      </w:r>
      <w:r w:rsidRPr="003A7A6F">
        <w:rPr>
          <w:rFonts w:ascii="Palatino Linotype" w:hAnsi="Palatino Linotype"/>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A7A6F" w:rsidRPr="003A7A6F" w:rsidRDefault="003A7A6F" w:rsidP="003A7A6F">
      <w:pPr>
        <w:pStyle w:val="Sinespaciado"/>
        <w:ind w:left="567" w:right="567"/>
        <w:jc w:val="both"/>
        <w:rPr>
          <w:rFonts w:ascii="Palatino Linotype" w:hAnsi="Palatino Linotype"/>
          <w:i/>
          <w:sz w:val="24"/>
          <w:szCs w:val="24"/>
        </w:rPr>
      </w:pPr>
      <w:r w:rsidRPr="003A7A6F">
        <w:rPr>
          <w:rFonts w:ascii="Palatino Linotype" w:hAnsi="Palatino Linotype"/>
          <w:i/>
          <w:sz w:val="24"/>
          <w:szCs w:val="24"/>
        </w:rPr>
        <w:t>(…)</w:t>
      </w:r>
    </w:p>
    <w:p w:rsidR="003A7A6F" w:rsidRPr="003A7A6F" w:rsidRDefault="003A7A6F" w:rsidP="003A7A6F">
      <w:pPr>
        <w:pStyle w:val="Sinespaciado"/>
        <w:ind w:left="567" w:right="567"/>
        <w:jc w:val="both"/>
        <w:rPr>
          <w:rFonts w:ascii="Palatino Linotype" w:hAnsi="Palatino Linotype"/>
          <w:i/>
          <w:sz w:val="24"/>
          <w:szCs w:val="24"/>
        </w:rPr>
      </w:pPr>
      <w:r w:rsidRPr="003A7A6F">
        <w:rPr>
          <w:rFonts w:ascii="Palatino Linotype" w:hAnsi="Palatino Linotype"/>
          <w:b/>
          <w:bCs/>
          <w:i/>
          <w:sz w:val="24"/>
          <w:szCs w:val="24"/>
        </w:rPr>
        <w:t xml:space="preserve">XXXII. </w:t>
      </w:r>
      <w:r w:rsidRPr="003A7A6F">
        <w:rPr>
          <w:rFonts w:ascii="Palatino Linotype" w:hAnsi="Palatino Linotype"/>
          <w:i/>
          <w:sz w:val="24"/>
          <w:szCs w:val="24"/>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3A7A6F" w:rsidRPr="003A7A6F" w:rsidRDefault="003A7A6F" w:rsidP="003A7A6F">
      <w:pPr>
        <w:pStyle w:val="Sinespaciado"/>
        <w:ind w:left="567" w:right="567"/>
        <w:jc w:val="both"/>
        <w:rPr>
          <w:rFonts w:ascii="Palatino Linotype" w:hAnsi="Palatino Linotype"/>
          <w:i/>
          <w:sz w:val="24"/>
          <w:szCs w:val="24"/>
        </w:rPr>
      </w:pPr>
      <w:r w:rsidRPr="003A7A6F">
        <w:rPr>
          <w:rFonts w:ascii="Palatino Linotype" w:hAnsi="Palatino Linotype"/>
          <w:i/>
          <w:sz w:val="24"/>
          <w:szCs w:val="24"/>
        </w:rPr>
        <w:t>(…)</w:t>
      </w:r>
    </w:p>
    <w:p w:rsidR="003A7A6F" w:rsidRDefault="003A7A6F" w:rsidP="003A7A6F">
      <w:pPr>
        <w:pStyle w:val="Sinespaciado"/>
        <w:spacing w:line="360" w:lineRule="auto"/>
        <w:jc w:val="both"/>
        <w:rPr>
          <w:rFonts w:ascii="Palatino Linotype" w:hAnsi="Palatino Linotype"/>
          <w:sz w:val="24"/>
          <w:szCs w:val="24"/>
        </w:rPr>
      </w:pPr>
    </w:p>
    <w:p w:rsidR="003A7A6F" w:rsidRDefault="003A7A6F" w:rsidP="003A7A6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si bien es cierto que la empresa encargada de la realización de la Feria de Santa Cruz Tecámac 2019 no recibió recurso alguno, también lo es que el Sujeto Obligado está constreñido a hacer público el convenio celebrado para dicho fin, debiendo publicarse los datos señalados en la fracción XXXII del artículo en cita; por tanto, es improcedente la clasificación realizada por el Sujeto Obligado, debiendo entregar a la Recurrente la versión íntegra del Convenio referido a fin de </w:t>
      </w:r>
      <w:r w:rsidR="00F269D2">
        <w:rPr>
          <w:rFonts w:ascii="Palatino Linotype" w:hAnsi="Palatino Linotype"/>
          <w:sz w:val="24"/>
          <w:szCs w:val="24"/>
        </w:rPr>
        <w:t>actuar apegada a los principios de máxima publicidad, certeza jurídica y pro persona.</w:t>
      </w:r>
    </w:p>
    <w:p w:rsidR="00F269D2" w:rsidRDefault="00F269D2" w:rsidP="003A7A6F">
      <w:pPr>
        <w:pStyle w:val="Sinespaciado"/>
        <w:spacing w:line="360" w:lineRule="auto"/>
        <w:jc w:val="both"/>
        <w:rPr>
          <w:rFonts w:ascii="Palatino Linotype" w:hAnsi="Palatino Linotype"/>
          <w:sz w:val="24"/>
          <w:szCs w:val="24"/>
        </w:rPr>
      </w:pPr>
    </w:p>
    <w:p w:rsidR="00F269D2" w:rsidRDefault="00F269D2" w:rsidP="003A7A6F">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no se debe pasar por alto que las preguntas identificadas con los inciso i), m) y p) tratan de cuestiones ajenas a la celebración de la Feria de Santa Cruz Tecámac 2019, es decir, se está solicitando información respecto al monto del presupuesto del H. Ayuntamiento para el ejercicio fiscal 2019 y la cantidad erogada en las festividades relativas a la Feria; así como al padrón de proveedores de artistas, grupos musicales, sistemas de cómputo y/o tecnologías de la información y/o elaboración y diseño de páginas web.</w:t>
      </w:r>
    </w:p>
    <w:p w:rsidR="00F269D2" w:rsidRDefault="00F269D2" w:rsidP="003A7A6F">
      <w:pPr>
        <w:pStyle w:val="Sinespaciado"/>
        <w:spacing w:line="360" w:lineRule="auto"/>
        <w:jc w:val="both"/>
        <w:rPr>
          <w:rFonts w:ascii="Palatino Linotype" w:hAnsi="Palatino Linotype"/>
          <w:sz w:val="24"/>
          <w:szCs w:val="24"/>
        </w:rPr>
      </w:pPr>
    </w:p>
    <w:p w:rsidR="00F269D2" w:rsidRDefault="00F269D2" w:rsidP="003A7A6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Al respecto, </w:t>
      </w:r>
      <w:r w:rsidR="0002294D">
        <w:rPr>
          <w:rFonts w:ascii="Palatino Linotype" w:hAnsi="Palatino Linotype"/>
          <w:sz w:val="24"/>
          <w:szCs w:val="24"/>
        </w:rPr>
        <w:t>cabe señalar que al realizar los requerimientos para dar respuesta a la solicitud de información, el Titular de la Unidad de Transparencia del Sujeto Obligado únicamente se dirigió al Director General de Desarrollo Económico, Transporte Público y Movilidad, como puede observarse en la siguiente imagen:</w:t>
      </w:r>
    </w:p>
    <w:p w:rsidR="0002294D" w:rsidRDefault="0002294D" w:rsidP="003A7A6F">
      <w:pPr>
        <w:pStyle w:val="Sinespaciado"/>
        <w:spacing w:line="360" w:lineRule="auto"/>
        <w:jc w:val="both"/>
        <w:rPr>
          <w:rFonts w:ascii="Palatino Linotype" w:hAnsi="Palatino Linotype"/>
          <w:sz w:val="24"/>
          <w:szCs w:val="24"/>
        </w:rPr>
      </w:pPr>
    </w:p>
    <w:p w:rsidR="0002294D" w:rsidRDefault="0002294D" w:rsidP="003A7A6F">
      <w:pPr>
        <w:pStyle w:val="Sinespaciado"/>
        <w:spacing w:line="360" w:lineRule="auto"/>
        <w:jc w:val="both"/>
        <w:rPr>
          <w:rFonts w:ascii="Palatino Linotype" w:hAnsi="Palatino Linotype"/>
          <w:sz w:val="24"/>
          <w:szCs w:val="24"/>
        </w:rPr>
      </w:pPr>
      <w:r>
        <w:rPr>
          <w:noProof/>
          <w:lang w:eastAsia="es-MX"/>
        </w:rPr>
        <w:drawing>
          <wp:inline distT="0" distB="0" distL="0" distR="0" wp14:anchorId="790CD6E5" wp14:editId="2B1D1FD4">
            <wp:extent cx="5750615" cy="12477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10" t="18224" r="23611" b="61493"/>
                    <a:stretch/>
                  </pic:blipFill>
                  <pic:spPr bwMode="auto">
                    <a:xfrm>
                      <a:off x="0" y="0"/>
                      <a:ext cx="5768116" cy="1251572"/>
                    </a:xfrm>
                    <a:prstGeom prst="rect">
                      <a:avLst/>
                    </a:prstGeom>
                    <a:ln>
                      <a:noFill/>
                    </a:ln>
                    <a:extLst>
                      <a:ext uri="{53640926-AAD7-44D8-BBD7-CCE9431645EC}">
                        <a14:shadowObscured xmlns:a14="http://schemas.microsoft.com/office/drawing/2010/main"/>
                      </a:ext>
                    </a:extLst>
                  </pic:spPr>
                </pic:pic>
              </a:graphicData>
            </a:graphic>
          </wp:inline>
        </w:drawing>
      </w:r>
    </w:p>
    <w:p w:rsidR="0002294D" w:rsidRDefault="0002294D" w:rsidP="003A7A6F">
      <w:pPr>
        <w:pStyle w:val="Sinespaciado"/>
        <w:spacing w:line="360" w:lineRule="auto"/>
        <w:jc w:val="both"/>
        <w:rPr>
          <w:rFonts w:ascii="Palatino Linotype" w:hAnsi="Palatino Linotype"/>
          <w:sz w:val="24"/>
          <w:szCs w:val="24"/>
        </w:rPr>
      </w:pPr>
    </w:p>
    <w:p w:rsidR="0002294D" w:rsidRDefault="0002294D" w:rsidP="003A7A6F">
      <w:pPr>
        <w:pStyle w:val="Sinespaciado"/>
        <w:spacing w:line="360" w:lineRule="auto"/>
        <w:jc w:val="both"/>
        <w:rPr>
          <w:rFonts w:ascii="Palatino Linotype" w:hAnsi="Palatino Linotype"/>
          <w:sz w:val="24"/>
          <w:szCs w:val="24"/>
        </w:rPr>
      </w:pPr>
      <w:r>
        <w:rPr>
          <w:rFonts w:ascii="Palatino Linotype" w:hAnsi="Palatino Linotype"/>
          <w:sz w:val="24"/>
          <w:szCs w:val="24"/>
        </w:rPr>
        <w:t>Lo anterior contraviene lo establecido por el artículo 162 de la Ley de la Materia, que a la letra dispone lo siguiente:</w:t>
      </w:r>
    </w:p>
    <w:p w:rsidR="0002294D" w:rsidRDefault="0002294D" w:rsidP="003A7A6F">
      <w:pPr>
        <w:pStyle w:val="Sinespaciado"/>
        <w:spacing w:line="360" w:lineRule="auto"/>
        <w:jc w:val="both"/>
        <w:rPr>
          <w:rFonts w:ascii="Palatino Linotype" w:hAnsi="Palatino Linotype"/>
          <w:sz w:val="24"/>
          <w:szCs w:val="24"/>
        </w:rPr>
      </w:pPr>
    </w:p>
    <w:p w:rsidR="0002294D" w:rsidRPr="0002294D" w:rsidRDefault="0002294D" w:rsidP="0002294D">
      <w:pPr>
        <w:pStyle w:val="Sinespaciado"/>
        <w:ind w:left="567" w:right="567"/>
        <w:jc w:val="both"/>
        <w:rPr>
          <w:rFonts w:ascii="Palatino Linotype" w:hAnsi="Palatino Linotype"/>
          <w:i/>
          <w:sz w:val="24"/>
          <w:szCs w:val="24"/>
        </w:rPr>
      </w:pPr>
      <w:r w:rsidRPr="0002294D">
        <w:rPr>
          <w:rFonts w:ascii="Palatino Linotype" w:hAnsi="Palatino Linotype"/>
          <w:b/>
          <w:bCs/>
          <w:i/>
          <w:sz w:val="24"/>
          <w:szCs w:val="24"/>
        </w:rPr>
        <w:t xml:space="preserve">Artículo 162. </w:t>
      </w:r>
      <w:r w:rsidRPr="0002294D">
        <w:rPr>
          <w:rFonts w:ascii="Palatino Linotype" w:hAnsi="Palatino Linotype"/>
          <w:i/>
          <w:sz w:val="24"/>
          <w:szCs w:val="24"/>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2294D" w:rsidRDefault="0002294D" w:rsidP="003A7A6F">
      <w:pPr>
        <w:pStyle w:val="Sinespaciado"/>
        <w:spacing w:line="360" w:lineRule="auto"/>
        <w:jc w:val="both"/>
        <w:rPr>
          <w:rFonts w:ascii="Palatino Linotype" w:hAnsi="Palatino Linotype"/>
          <w:sz w:val="24"/>
          <w:szCs w:val="24"/>
        </w:rPr>
      </w:pPr>
    </w:p>
    <w:p w:rsidR="0002294D" w:rsidRDefault="00B063A5" w:rsidP="003A7A6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la Unidad de Transparencia debió turnar la solicitud a todas las unidades administrativas que considerara competentes para conocer de la información solicitada por la particular. Y dado que la información relativa al presupuesto otorgado al Sujeto Obligado y al padrón de proveedores es una obligación común de transparencia de acuerdo a las fracciones </w:t>
      </w:r>
      <w:r w:rsidR="00B30E3F">
        <w:rPr>
          <w:rFonts w:ascii="Palatino Linotype" w:hAnsi="Palatino Linotype"/>
          <w:sz w:val="24"/>
          <w:szCs w:val="24"/>
        </w:rPr>
        <w:t xml:space="preserve">XXV y XXXVI del artículo 92 de la Ley de </w:t>
      </w:r>
      <w:r w:rsidR="00B30E3F">
        <w:rPr>
          <w:rFonts w:ascii="Palatino Linotype" w:hAnsi="Palatino Linotype"/>
          <w:sz w:val="24"/>
          <w:szCs w:val="24"/>
        </w:rPr>
        <w:lastRenderedPageBreak/>
        <w:t>Transparencia estatal</w:t>
      </w:r>
      <w:r w:rsidR="00B30E3F">
        <w:rPr>
          <w:rStyle w:val="Refdenotaalpie"/>
          <w:rFonts w:ascii="Palatino Linotype" w:hAnsi="Palatino Linotype"/>
          <w:sz w:val="24"/>
          <w:szCs w:val="24"/>
        </w:rPr>
        <w:footnoteReference w:id="2"/>
      </w:r>
      <w:r w:rsidR="00B30E3F">
        <w:rPr>
          <w:rFonts w:ascii="Palatino Linotype" w:hAnsi="Palatino Linotype"/>
          <w:sz w:val="24"/>
          <w:szCs w:val="24"/>
        </w:rPr>
        <w:t xml:space="preserve">, es dable </w:t>
      </w:r>
      <w:r w:rsidR="000B44A2">
        <w:rPr>
          <w:rFonts w:ascii="Palatino Linotype" w:hAnsi="Palatino Linotype"/>
          <w:sz w:val="24"/>
          <w:szCs w:val="24"/>
        </w:rPr>
        <w:t>revocar</w:t>
      </w:r>
      <w:r w:rsidR="00B30E3F">
        <w:rPr>
          <w:rFonts w:ascii="Palatino Linotype" w:hAnsi="Palatino Linotype"/>
          <w:sz w:val="24"/>
          <w:szCs w:val="24"/>
        </w:rPr>
        <w:t xml:space="preserve"> la respuesta del Sujeto Obligado y ordenar que se realice una nueva búsqueda exhaustiva y razonable en los archivos de las unidades administrativas que se consideren competentes a fin de hacer entrega de la información relativa al presupuesto asignado al municipio para el ejercicio 2019 así como del padrón de proveedores </w:t>
      </w:r>
      <w:r w:rsidR="000B44A2" w:rsidRPr="000B44A2">
        <w:rPr>
          <w:rFonts w:ascii="Palatino Linotype" w:hAnsi="Palatino Linotype"/>
          <w:sz w:val="24"/>
          <w:szCs w:val="24"/>
        </w:rPr>
        <w:t>de artistas, grupos musicales, sistemas de cómputo y/o tecnologías de la información y/o elaboración y diseño de páginas web.</w:t>
      </w:r>
    </w:p>
    <w:p w:rsidR="003D5F05" w:rsidRDefault="003D5F05" w:rsidP="003A7A6F">
      <w:pPr>
        <w:pStyle w:val="Sinespaciado"/>
        <w:spacing w:line="360" w:lineRule="auto"/>
        <w:jc w:val="both"/>
        <w:rPr>
          <w:rFonts w:ascii="Palatino Linotype" w:hAnsi="Palatino Linotype"/>
          <w:sz w:val="24"/>
          <w:szCs w:val="24"/>
        </w:rPr>
      </w:pPr>
    </w:p>
    <w:p w:rsidR="00BE72FB" w:rsidRDefault="003D5F05" w:rsidP="00BE72FB">
      <w:pPr>
        <w:pStyle w:val="Sinespaciado"/>
        <w:spacing w:line="360" w:lineRule="auto"/>
        <w:jc w:val="both"/>
        <w:rPr>
          <w:rFonts w:ascii="Palatino Linotype" w:hAnsi="Palatino Linotype"/>
          <w:sz w:val="24"/>
          <w:szCs w:val="24"/>
        </w:rPr>
      </w:pPr>
      <w:r>
        <w:rPr>
          <w:rFonts w:ascii="Palatino Linotype" w:hAnsi="Palatino Linotype"/>
          <w:sz w:val="24"/>
          <w:szCs w:val="24"/>
        </w:rPr>
        <w:t>Finalmente, no se debe ignorar el hecho de que el Sujeto Obligado</w:t>
      </w:r>
      <w:r w:rsidR="00BE72FB">
        <w:rPr>
          <w:rFonts w:ascii="Palatino Linotype" w:hAnsi="Palatino Linotype"/>
          <w:sz w:val="24"/>
          <w:szCs w:val="24"/>
        </w:rPr>
        <w:t>, al momento de remitir la información como respuesta a la solicitud de información, inobservó la modalidad de entrega solicitada por la Recurrente, quien solicitó la información en copias certificados con costo.</w:t>
      </w:r>
    </w:p>
    <w:p w:rsidR="00BE72FB" w:rsidRDefault="00BE72FB" w:rsidP="00BE72FB">
      <w:pPr>
        <w:pStyle w:val="Sinespaciado"/>
        <w:spacing w:line="360" w:lineRule="auto"/>
        <w:jc w:val="both"/>
        <w:rPr>
          <w:rFonts w:ascii="Palatino Linotype" w:hAnsi="Palatino Linotype"/>
          <w:sz w:val="24"/>
          <w:szCs w:val="24"/>
        </w:rPr>
      </w:pPr>
    </w:p>
    <w:p w:rsidR="00BE72FB" w:rsidRPr="00BE72FB" w:rsidRDefault="00BE72FB" w:rsidP="00BE72FB">
      <w:pPr>
        <w:pStyle w:val="Sinespaciado"/>
        <w:spacing w:line="360" w:lineRule="auto"/>
        <w:jc w:val="both"/>
        <w:rPr>
          <w:rFonts w:ascii="Palatino Linotype" w:hAnsi="Palatino Linotype"/>
          <w:sz w:val="24"/>
          <w:szCs w:val="24"/>
        </w:rPr>
      </w:pPr>
      <w:r w:rsidRPr="00BE72FB">
        <w:rPr>
          <w:rFonts w:ascii="Palatino Linotype" w:hAnsi="Palatino Linotype"/>
          <w:sz w:val="24"/>
          <w:szCs w:val="24"/>
        </w:rPr>
        <w:t xml:space="preserve">En consecuencia, se actualiza el artículo 179, fracción VIII de la Ley de Transparencia y Acceso a la Información Pública del Estado de México y Municipios, dispositivo jurídico que a la letra reza: </w:t>
      </w:r>
    </w:p>
    <w:p w:rsidR="00BE72FB" w:rsidRPr="00BE72FB" w:rsidRDefault="00BE72FB" w:rsidP="00BE72FB">
      <w:pPr>
        <w:pStyle w:val="Sinespaciado"/>
        <w:ind w:left="567" w:right="567"/>
        <w:rPr>
          <w:rFonts w:ascii="Palatino Linotype" w:hAnsi="Palatino Linotype"/>
          <w:i/>
          <w:iCs/>
        </w:rPr>
      </w:pPr>
      <w:r w:rsidRPr="00BE72FB">
        <w:rPr>
          <w:rFonts w:ascii="Palatino Linotype" w:hAnsi="Palatino Linotype"/>
          <w:b/>
          <w:i/>
          <w:iCs/>
        </w:rPr>
        <w:t>Artículo 179.</w:t>
      </w:r>
      <w:r w:rsidRPr="00BE72FB">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rsidR="00BE72FB" w:rsidRPr="00BE72FB" w:rsidRDefault="00BE72FB" w:rsidP="00BE72FB">
      <w:pPr>
        <w:pStyle w:val="Sinespaciado"/>
        <w:ind w:left="567" w:right="567"/>
        <w:rPr>
          <w:rFonts w:ascii="Palatino Linotype" w:hAnsi="Palatino Linotype"/>
          <w:i/>
          <w:iCs/>
        </w:rPr>
      </w:pPr>
      <w:r w:rsidRPr="00BE72FB">
        <w:rPr>
          <w:rFonts w:ascii="Palatino Linotype" w:hAnsi="Palatino Linotype"/>
          <w:i/>
          <w:iCs/>
        </w:rPr>
        <w:t>(…)</w:t>
      </w:r>
    </w:p>
    <w:p w:rsidR="00BE72FB" w:rsidRPr="00BE72FB" w:rsidRDefault="00BE72FB" w:rsidP="00BE72FB">
      <w:pPr>
        <w:pStyle w:val="Sinespaciado"/>
        <w:ind w:left="567" w:right="567"/>
        <w:rPr>
          <w:rFonts w:ascii="Palatino Linotype" w:hAnsi="Palatino Linotype"/>
          <w:b/>
          <w:bCs/>
          <w:i/>
          <w:iCs/>
          <w:u w:val="single"/>
        </w:rPr>
      </w:pPr>
      <w:r w:rsidRPr="00BE72FB">
        <w:rPr>
          <w:rFonts w:ascii="Palatino Linotype" w:hAnsi="Palatino Linotype"/>
          <w:b/>
          <w:bCs/>
          <w:i/>
          <w:iCs/>
          <w:u w:val="single"/>
        </w:rPr>
        <w:lastRenderedPageBreak/>
        <w:t>VIII. La notificación, entrega o puesta a disposición de información en una modalidad o formato distinto al solicitado;</w:t>
      </w:r>
    </w:p>
    <w:p w:rsidR="00BE72FB" w:rsidRPr="00BE72FB" w:rsidRDefault="00BE72FB" w:rsidP="00BE72FB">
      <w:pPr>
        <w:pStyle w:val="Sinespaciado"/>
        <w:spacing w:line="360" w:lineRule="auto"/>
        <w:ind w:left="567" w:right="567"/>
        <w:jc w:val="both"/>
        <w:rPr>
          <w:rFonts w:ascii="Palatino Linotype" w:hAnsi="Palatino Linotype"/>
        </w:rPr>
      </w:pPr>
      <w:r w:rsidRPr="00BE72FB">
        <w:rPr>
          <w:rFonts w:ascii="Palatino Linotype" w:hAnsi="Palatino Linotype"/>
          <w:i/>
          <w:iCs/>
        </w:rPr>
        <w:t>(…)</w:t>
      </w:r>
    </w:p>
    <w:p w:rsidR="000B44A2" w:rsidRPr="002E197A" w:rsidRDefault="000B44A2" w:rsidP="002E197A">
      <w:pPr>
        <w:pStyle w:val="Sinespaciado"/>
        <w:spacing w:line="360" w:lineRule="auto"/>
        <w:jc w:val="both"/>
        <w:rPr>
          <w:rFonts w:ascii="Palatino Linotype" w:hAnsi="Palatino Linotype"/>
          <w:sz w:val="24"/>
          <w:szCs w:val="24"/>
        </w:rPr>
      </w:pPr>
    </w:p>
    <w:p w:rsidR="002E197A" w:rsidRPr="002E197A" w:rsidRDefault="002E197A" w:rsidP="002E197A">
      <w:pPr>
        <w:pStyle w:val="Sinespaciado"/>
        <w:spacing w:line="360" w:lineRule="auto"/>
        <w:jc w:val="both"/>
        <w:rPr>
          <w:rFonts w:ascii="Palatino Linotype" w:hAnsi="Palatino Linotype"/>
          <w:sz w:val="24"/>
          <w:szCs w:val="24"/>
        </w:rPr>
      </w:pPr>
      <w:r w:rsidRPr="002E197A">
        <w:rPr>
          <w:rFonts w:ascii="Palatino Linotype" w:hAnsi="Palatino Linotype"/>
          <w:sz w:val="24"/>
          <w:szCs w:val="24"/>
        </w:rPr>
        <w:t xml:space="preserve">Bajo estas líneas argumentativas, resulta procedente ordenar la entrega </w:t>
      </w:r>
      <w:r>
        <w:rPr>
          <w:rFonts w:ascii="Palatino Linotype" w:hAnsi="Palatino Linotype"/>
          <w:sz w:val="24"/>
          <w:szCs w:val="24"/>
        </w:rPr>
        <w:t xml:space="preserve">del Convenio para la realización de Feria Tecámac 2019 y realizar una búsqueda exhaustiva y razonable en los archivos de las unidades administrativas que considere competentes con el propósito de hacer entrega a la Recurrente de la información relativa del presupuesto para el ejercicio 2019 y del padrón de proveedores </w:t>
      </w:r>
      <w:r w:rsidRPr="002B2A9B">
        <w:rPr>
          <w:rFonts w:ascii="Palatino Linotype" w:hAnsi="Palatino Linotype"/>
          <w:sz w:val="24"/>
          <w:szCs w:val="24"/>
        </w:rPr>
        <w:t>de artistas, grupos musicales, sistemas de cómputo y/o tecnologías de la información y/o elaboración y diseño de páginas web</w:t>
      </w:r>
      <w:r w:rsidRPr="002E197A">
        <w:rPr>
          <w:rFonts w:ascii="Palatino Linotype" w:hAnsi="Palatino Linotype"/>
          <w:sz w:val="24"/>
          <w:szCs w:val="24"/>
        </w:rPr>
        <w:t xml:space="preserve"> en copias certificadas (con costo)</w:t>
      </w:r>
      <w:r>
        <w:rPr>
          <w:rFonts w:ascii="Palatino Linotype" w:hAnsi="Palatino Linotype"/>
          <w:sz w:val="24"/>
          <w:szCs w:val="24"/>
        </w:rPr>
        <w:t>;</w:t>
      </w:r>
      <w:r w:rsidRPr="002E197A">
        <w:rPr>
          <w:rFonts w:ascii="Palatino Linotype" w:hAnsi="Palatino Linotype"/>
          <w:sz w:val="24"/>
          <w:szCs w:val="24"/>
        </w:rPr>
        <w:t xml:space="preserve"> en este tenor, </w:t>
      </w:r>
      <w:r>
        <w:rPr>
          <w:rFonts w:ascii="Palatino Linotype" w:hAnsi="Palatino Linotype"/>
          <w:sz w:val="24"/>
          <w:szCs w:val="24"/>
        </w:rPr>
        <w:t>e</w:t>
      </w:r>
      <w:r w:rsidRPr="002E197A">
        <w:rPr>
          <w:rFonts w:ascii="Palatino Linotype" w:hAnsi="Palatino Linotype"/>
          <w:sz w:val="24"/>
          <w:szCs w:val="24"/>
        </w:rPr>
        <w:t>l Sujeto Obligado deberá de señalarle el procedimiento exacto y detallado (lugar, días, horario de atención, costo, entre otros) para la expedición de la información en la modalidad requerida.</w:t>
      </w:r>
    </w:p>
    <w:p w:rsidR="002E197A" w:rsidRPr="002E197A" w:rsidRDefault="002E197A" w:rsidP="002E197A">
      <w:pPr>
        <w:pStyle w:val="Sinespaciado"/>
        <w:spacing w:line="360" w:lineRule="auto"/>
        <w:jc w:val="both"/>
        <w:rPr>
          <w:rFonts w:ascii="Palatino Linotype" w:hAnsi="Palatino Linotype"/>
          <w:sz w:val="24"/>
          <w:szCs w:val="24"/>
        </w:rPr>
      </w:pPr>
    </w:p>
    <w:p w:rsidR="001D3A62" w:rsidRPr="00D323BC" w:rsidRDefault="00920D11" w:rsidP="001D3A62">
      <w:pPr>
        <w:pStyle w:val="Sinespaciado"/>
        <w:spacing w:line="360" w:lineRule="auto"/>
        <w:jc w:val="both"/>
        <w:rPr>
          <w:rFonts w:ascii="Palatino Linotype" w:hAnsi="Palatino Linotype"/>
          <w:sz w:val="24"/>
          <w:szCs w:val="24"/>
        </w:rPr>
      </w:pPr>
      <w:r>
        <w:rPr>
          <w:rFonts w:ascii="Palatino Linotype" w:hAnsi="Palatino Linotype"/>
          <w:sz w:val="24"/>
          <w:szCs w:val="24"/>
        </w:rPr>
        <w:t>Por tal razón, este Órgano Garante considera que las razones o motivos de inconformidad de</w:t>
      </w:r>
      <w:r w:rsidR="000B44A2">
        <w:rPr>
          <w:rFonts w:ascii="Palatino Linotype" w:hAnsi="Palatino Linotype"/>
          <w:sz w:val="24"/>
          <w:szCs w:val="24"/>
        </w:rPr>
        <w:t xml:space="preserve"> </w:t>
      </w:r>
      <w:r>
        <w:rPr>
          <w:rFonts w:ascii="Palatino Linotype" w:hAnsi="Palatino Linotype"/>
          <w:sz w:val="24"/>
          <w:szCs w:val="24"/>
        </w:rPr>
        <w:t>l</w:t>
      </w:r>
      <w:r w:rsidR="000B44A2">
        <w:rPr>
          <w:rFonts w:ascii="Palatino Linotype" w:hAnsi="Palatino Linotype"/>
          <w:sz w:val="24"/>
          <w:szCs w:val="24"/>
        </w:rPr>
        <w:t>a</w:t>
      </w:r>
      <w:r>
        <w:rPr>
          <w:rFonts w:ascii="Palatino Linotype" w:hAnsi="Palatino Linotype"/>
          <w:sz w:val="24"/>
          <w:szCs w:val="24"/>
        </w:rPr>
        <w:t xml:space="preserve"> Recurrente </w:t>
      </w:r>
      <w:r w:rsidR="002B2A9B">
        <w:rPr>
          <w:rFonts w:ascii="Palatino Linotype" w:hAnsi="Palatino Linotype"/>
          <w:sz w:val="24"/>
          <w:szCs w:val="24"/>
        </w:rPr>
        <w:t xml:space="preserve">parcialmente </w:t>
      </w:r>
      <w:r w:rsidR="001D3A62" w:rsidRPr="00D323BC">
        <w:rPr>
          <w:rFonts w:ascii="Palatino Linotype" w:hAnsi="Palatino Linotype"/>
          <w:sz w:val="24"/>
          <w:szCs w:val="24"/>
        </w:rPr>
        <w:t>fundados los motivo</w:t>
      </w:r>
      <w:r w:rsidR="002B2A9B">
        <w:rPr>
          <w:rFonts w:ascii="Palatino Linotype" w:hAnsi="Palatino Linotype"/>
          <w:sz w:val="24"/>
          <w:szCs w:val="24"/>
        </w:rPr>
        <w:t>s de inconformidad que arguye la</w:t>
      </w:r>
      <w:r w:rsidR="001D3A62" w:rsidRPr="00D323BC">
        <w:rPr>
          <w:rFonts w:ascii="Palatino Linotype" w:hAnsi="Palatino Linotype"/>
          <w:sz w:val="24"/>
          <w:szCs w:val="24"/>
        </w:rPr>
        <w:t xml:space="preserve"> Recurrente en su medio de impugnación que fue materia de estudio, por ello </w:t>
      </w:r>
      <w:r w:rsidR="001D3A62" w:rsidRPr="00D323BC">
        <w:rPr>
          <w:rFonts w:ascii="Palatino Linotype" w:hAnsi="Palatino Linotype" w:cs="Arial"/>
          <w:b/>
          <w:sz w:val="24"/>
          <w:szCs w:val="24"/>
        </w:rPr>
        <w:t>con fundame</w:t>
      </w:r>
      <w:r w:rsidR="00D323BC" w:rsidRPr="00D323BC">
        <w:rPr>
          <w:rFonts w:ascii="Palatino Linotype" w:hAnsi="Palatino Linotype" w:cs="Arial"/>
          <w:b/>
          <w:sz w:val="24"/>
          <w:szCs w:val="24"/>
        </w:rPr>
        <w:t>nto en la primera</w:t>
      </w:r>
      <w:r w:rsidR="001D3A62" w:rsidRPr="00D323BC">
        <w:rPr>
          <w:rFonts w:ascii="Palatino Linotype" w:hAnsi="Palatino Linotype" w:cs="Arial"/>
          <w:b/>
          <w:sz w:val="24"/>
          <w:szCs w:val="24"/>
        </w:rPr>
        <w:t xml:space="preserve"> hipótesis de la fracción III del artículo 186, </w:t>
      </w:r>
      <w:r w:rsidR="001D3A62" w:rsidRPr="00D323BC">
        <w:rPr>
          <w:rFonts w:ascii="Palatino Linotype" w:hAnsi="Palatino Linotype" w:cs="Arial"/>
          <w:sz w:val="24"/>
          <w:szCs w:val="24"/>
        </w:rPr>
        <w:t xml:space="preserve">de la Ley de Transparencia y Acceso a la Información Pública del Estado de México y Municipios, se </w:t>
      </w:r>
      <w:r w:rsidR="00D323BC" w:rsidRPr="00D323BC">
        <w:rPr>
          <w:rFonts w:ascii="Palatino Linotype" w:hAnsi="Palatino Linotype" w:cs="Arial"/>
          <w:b/>
          <w:sz w:val="24"/>
          <w:szCs w:val="24"/>
        </w:rPr>
        <w:t>REVO</w:t>
      </w:r>
      <w:r w:rsidR="00CF03C7" w:rsidRPr="00D323BC">
        <w:rPr>
          <w:rFonts w:ascii="Palatino Linotype" w:hAnsi="Palatino Linotype" w:cs="Arial"/>
          <w:b/>
          <w:sz w:val="24"/>
          <w:szCs w:val="24"/>
        </w:rPr>
        <w:t>CA</w:t>
      </w:r>
      <w:r w:rsidR="001D3A62" w:rsidRPr="00D323BC">
        <w:rPr>
          <w:rFonts w:ascii="Palatino Linotype" w:hAnsi="Palatino Linotype" w:cs="Arial"/>
          <w:b/>
          <w:sz w:val="24"/>
          <w:szCs w:val="24"/>
        </w:rPr>
        <w:t xml:space="preserve"> </w:t>
      </w:r>
      <w:r w:rsidR="001D3A62" w:rsidRPr="00D323BC">
        <w:rPr>
          <w:rFonts w:ascii="Palatino Linotype" w:hAnsi="Palatino Linotype" w:cs="Arial"/>
          <w:sz w:val="24"/>
          <w:szCs w:val="24"/>
        </w:rPr>
        <w:t>la respuesta a la solicitud de información número</w:t>
      </w:r>
      <w:r w:rsidR="001D3A62" w:rsidRPr="00D323BC">
        <w:rPr>
          <w:rFonts w:ascii="Palatino Linotype" w:hAnsi="Palatino Linotype"/>
          <w:b/>
          <w:sz w:val="24"/>
          <w:szCs w:val="24"/>
        </w:rPr>
        <w:t xml:space="preserve"> </w:t>
      </w:r>
      <w:r w:rsidR="002B2A9B">
        <w:rPr>
          <w:rFonts w:ascii="Palatino Linotype" w:hAnsi="Palatino Linotype"/>
          <w:b/>
          <w:sz w:val="24"/>
          <w:szCs w:val="24"/>
        </w:rPr>
        <w:t>00325/TECÁMAC</w:t>
      </w:r>
      <w:r w:rsidR="00D323BC" w:rsidRPr="00D323BC">
        <w:rPr>
          <w:rFonts w:ascii="Palatino Linotype" w:hAnsi="Palatino Linotype"/>
          <w:b/>
          <w:sz w:val="24"/>
          <w:szCs w:val="24"/>
        </w:rPr>
        <w:t>/IP/2019</w:t>
      </w:r>
      <w:r w:rsidR="002B2A9B">
        <w:rPr>
          <w:rFonts w:ascii="Palatino Linotype" w:hAnsi="Palatino Linotype"/>
          <w:b/>
          <w:sz w:val="24"/>
          <w:szCs w:val="24"/>
        </w:rPr>
        <w:t xml:space="preserve"> </w:t>
      </w:r>
      <w:r w:rsidR="001D3A62" w:rsidRPr="00D323BC">
        <w:rPr>
          <w:rFonts w:ascii="Palatino Linotype" w:hAnsi="Palatino Linotype"/>
          <w:sz w:val="24"/>
          <w:szCs w:val="24"/>
        </w:rPr>
        <w:t>que ha sido materia del presente fallo.</w:t>
      </w:r>
    </w:p>
    <w:p w:rsidR="001D3A62" w:rsidRPr="00D323BC" w:rsidRDefault="001D3A62" w:rsidP="001D3A62">
      <w:pPr>
        <w:pStyle w:val="Sinespaciado"/>
        <w:spacing w:line="360" w:lineRule="auto"/>
        <w:jc w:val="both"/>
        <w:rPr>
          <w:rFonts w:ascii="Palatino Linotype" w:hAnsi="Palatino Linotype"/>
          <w:sz w:val="24"/>
          <w:szCs w:val="24"/>
        </w:rPr>
      </w:pPr>
    </w:p>
    <w:p w:rsidR="001D3A62" w:rsidRPr="00D323BC" w:rsidRDefault="001D3A62" w:rsidP="001D3A62">
      <w:pPr>
        <w:pStyle w:val="Sinespaciado"/>
        <w:spacing w:line="360" w:lineRule="auto"/>
        <w:jc w:val="both"/>
        <w:rPr>
          <w:rFonts w:ascii="Palatino Linotype" w:hAnsi="Palatino Linotype"/>
          <w:sz w:val="24"/>
          <w:szCs w:val="24"/>
        </w:rPr>
      </w:pPr>
      <w:r w:rsidRPr="00D323BC">
        <w:rPr>
          <w:rFonts w:ascii="Palatino Linotype" w:hAnsi="Palatino Linotype"/>
          <w:sz w:val="24"/>
          <w:szCs w:val="24"/>
        </w:rPr>
        <w:t>Por lo antes expuesto y fundado es de resolverse y,</w:t>
      </w:r>
    </w:p>
    <w:p w:rsidR="00D71A39" w:rsidRPr="00D323BC" w:rsidRDefault="00D71A39" w:rsidP="0014447C">
      <w:pPr>
        <w:pStyle w:val="Sinespaciado"/>
        <w:spacing w:line="360" w:lineRule="auto"/>
        <w:jc w:val="center"/>
        <w:rPr>
          <w:rFonts w:ascii="Palatino Linotype" w:hAnsi="Palatino Linotype"/>
          <w:b/>
          <w:sz w:val="24"/>
          <w:szCs w:val="24"/>
        </w:rPr>
      </w:pPr>
    </w:p>
    <w:p w:rsidR="00EF4D17" w:rsidRPr="0014447C" w:rsidRDefault="00EF4D17" w:rsidP="00D71A39">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lastRenderedPageBreak/>
        <w:t>R E S U E L V E</w:t>
      </w:r>
    </w:p>
    <w:p w:rsidR="00EF4D17" w:rsidRPr="00C90CE9" w:rsidRDefault="00EF4D17" w:rsidP="00D71A39">
      <w:pPr>
        <w:pStyle w:val="Sinespaciado"/>
        <w:spacing w:line="276" w:lineRule="auto"/>
        <w:jc w:val="both"/>
        <w:rPr>
          <w:rFonts w:ascii="Palatino Linotype" w:hAnsi="Palatino Linotype"/>
          <w:b/>
          <w:sz w:val="2"/>
          <w:szCs w:val="24"/>
        </w:rPr>
      </w:pPr>
    </w:p>
    <w:p w:rsidR="003D490B" w:rsidRPr="00E95A6C" w:rsidRDefault="003D490B" w:rsidP="00D71A39">
      <w:pPr>
        <w:pStyle w:val="Sinespaciado"/>
        <w:spacing w:line="276" w:lineRule="auto"/>
        <w:jc w:val="both"/>
        <w:rPr>
          <w:rFonts w:ascii="Palatino Linotype" w:hAnsi="Palatino Linotype"/>
          <w:b/>
          <w:sz w:val="24"/>
          <w:szCs w:val="24"/>
        </w:rPr>
      </w:pPr>
    </w:p>
    <w:p w:rsidR="00EF4D17" w:rsidRPr="00E95A6C" w:rsidRDefault="00EF4D17" w:rsidP="0014447C">
      <w:pPr>
        <w:pStyle w:val="Sinespaciado"/>
        <w:spacing w:line="360" w:lineRule="auto"/>
        <w:jc w:val="both"/>
        <w:rPr>
          <w:rFonts w:ascii="Palatino Linotype" w:hAnsi="Palatino Linotype"/>
          <w:sz w:val="24"/>
          <w:szCs w:val="24"/>
        </w:rPr>
      </w:pPr>
      <w:r w:rsidRPr="00E95A6C">
        <w:rPr>
          <w:rFonts w:ascii="Palatino Linotype" w:hAnsi="Palatino Linotype"/>
          <w:b/>
          <w:sz w:val="24"/>
          <w:szCs w:val="24"/>
        </w:rPr>
        <w:t xml:space="preserve">PRIMERO. </w:t>
      </w:r>
      <w:r w:rsidRPr="00E95A6C">
        <w:rPr>
          <w:rFonts w:ascii="Palatino Linotype" w:hAnsi="Palatino Linotype"/>
          <w:sz w:val="24"/>
          <w:szCs w:val="24"/>
        </w:rPr>
        <w:t xml:space="preserve">Se </w:t>
      </w:r>
      <w:r w:rsidR="00D323BC" w:rsidRPr="00E95A6C">
        <w:rPr>
          <w:rFonts w:ascii="Palatino Linotype" w:hAnsi="Palatino Linotype"/>
          <w:b/>
          <w:sz w:val="24"/>
          <w:szCs w:val="24"/>
        </w:rPr>
        <w:t>REVO</w:t>
      </w:r>
      <w:r w:rsidR="00CF03C7" w:rsidRPr="00E95A6C">
        <w:rPr>
          <w:rFonts w:ascii="Palatino Linotype" w:hAnsi="Palatino Linotype"/>
          <w:b/>
          <w:sz w:val="24"/>
          <w:szCs w:val="24"/>
        </w:rPr>
        <w:t>CA</w:t>
      </w:r>
      <w:r w:rsidRPr="00E95A6C">
        <w:rPr>
          <w:rFonts w:ascii="Palatino Linotype" w:hAnsi="Palatino Linotype"/>
          <w:sz w:val="24"/>
          <w:szCs w:val="24"/>
        </w:rPr>
        <w:t xml:space="preserve"> la respuesta del Sujeto Obligado</w:t>
      </w:r>
      <w:r w:rsidRPr="00E95A6C">
        <w:rPr>
          <w:rFonts w:ascii="Palatino Linotype" w:hAnsi="Palatino Linotype"/>
          <w:b/>
          <w:sz w:val="24"/>
          <w:szCs w:val="24"/>
        </w:rPr>
        <w:t xml:space="preserve"> </w:t>
      </w:r>
      <w:r w:rsidRPr="00E95A6C">
        <w:rPr>
          <w:rFonts w:ascii="Palatino Linotype" w:hAnsi="Palatino Linotype"/>
          <w:bCs/>
          <w:sz w:val="24"/>
          <w:szCs w:val="24"/>
        </w:rPr>
        <w:t xml:space="preserve">a la solicitud de información </w:t>
      </w:r>
      <w:r w:rsidR="001E0028">
        <w:rPr>
          <w:rFonts w:ascii="Palatino Linotype" w:hAnsi="Palatino Linotype"/>
          <w:b/>
          <w:sz w:val="24"/>
          <w:szCs w:val="24"/>
        </w:rPr>
        <w:t>00325/TECA</w:t>
      </w:r>
      <w:r w:rsidR="002B2A9B" w:rsidRPr="002B2A9B">
        <w:rPr>
          <w:rFonts w:ascii="Palatino Linotype" w:hAnsi="Palatino Linotype"/>
          <w:b/>
          <w:sz w:val="24"/>
          <w:szCs w:val="24"/>
        </w:rPr>
        <w:t xml:space="preserve">MAC/IP/2019 </w:t>
      </w:r>
      <w:r w:rsidR="00F35946">
        <w:rPr>
          <w:rFonts w:ascii="Palatino Linotype" w:hAnsi="Palatino Linotype"/>
          <w:b/>
          <w:sz w:val="24"/>
          <w:szCs w:val="24"/>
        </w:rPr>
        <w:t xml:space="preserve"> </w:t>
      </w:r>
      <w:r w:rsidRPr="00E95A6C">
        <w:rPr>
          <w:rFonts w:ascii="Palatino Linotype" w:hAnsi="Palatino Linotype"/>
          <w:sz w:val="24"/>
          <w:szCs w:val="24"/>
        </w:rPr>
        <w:t>por resultar fundadas las razones o motivos de i</w:t>
      </w:r>
      <w:r w:rsidR="00FB494C">
        <w:rPr>
          <w:rFonts w:ascii="Palatino Linotype" w:hAnsi="Palatino Linotype"/>
          <w:sz w:val="24"/>
          <w:szCs w:val="24"/>
        </w:rPr>
        <w:t>nconformidad hechos valer por la</w:t>
      </w:r>
      <w:r w:rsidRPr="00E95A6C">
        <w:rPr>
          <w:rFonts w:ascii="Palatino Linotype" w:hAnsi="Palatino Linotype"/>
          <w:sz w:val="24"/>
          <w:szCs w:val="24"/>
        </w:rPr>
        <w:t xml:space="preserve"> Recurrente, en términos del </w:t>
      </w:r>
      <w:r w:rsidRPr="00E95A6C">
        <w:rPr>
          <w:rFonts w:ascii="Palatino Linotype" w:hAnsi="Palatino Linotype"/>
          <w:b/>
          <w:sz w:val="24"/>
          <w:szCs w:val="24"/>
        </w:rPr>
        <w:t xml:space="preserve">Considerando </w:t>
      </w:r>
      <w:r w:rsidR="00F35946">
        <w:rPr>
          <w:rFonts w:ascii="Palatino Linotype" w:hAnsi="Palatino Linotype"/>
          <w:b/>
          <w:sz w:val="24"/>
          <w:szCs w:val="24"/>
        </w:rPr>
        <w:t>CUAR</w:t>
      </w:r>
      <w:r w:rsidR="00BC64D4" w:rsidRPr="00E95A6C">
        <w:rPr>
          <w:rFonts w:ascii="Palatino Linotype" w:hAnsi="Palatino Linotype"/>
          <w:b/>
          <w:sz w:val="24"/>
          <w:szCs w:val="24"/>
        </w:rPr>
        <w:t>TO</w:t>
      </w:r>
      <w:r w:rsidRPr="00E95A6C">
        <w:rPr>
          <w:rFonts w:ascii="Palatino Linotype" w:hAnsi="Palatino Linotype"/>
          <w:b/>
          <w:sz w:val="24"/>
          <w:szCs w:val="24"/>
        </w:rPr>
        <w:t xml:space="preserve"> </w:t>
      </w:r>
      <w:r w:rsidRPr="00E95A6C">
        <w:rPr>
          <w:rFonts w:ascii="Palatino Linotype" w:hAnsi="Palatino Linotype"/>
          <w:sz w:val="24"/>
          <w:szCs w:val="24"/>
        </w:rPr>
        <w:t>de esta resolución.</w:t>
      </w:r>
    </w:p>
    <w:p w:rsidR="00EF4D17" w:rsidRPr="00E95A6C" w:rsidRDefault="00EF4D17" w:rsidP="0014447C">
      <w:pPr>
        <w:pStyle w:val="Sinespaciado"/>
        <w:spacing w:line="360" w:lineRule="auto"/>
        <w:jc w:val="both"/>
        <w:rPr>
          <w:rFonts w:ascii="Palatino Linotype" w:hAnsi="Palatino Linotype"/>
          <w:sz w:val="24"/>
          <w:szCs w:val="24"/>
        </w:rPr>
      </w:pPr>
    </w:p>
    <w:p w:rsidR="00C216D4" w:rsidRPr="00E95A6C" w:rsidRDefault="00C216D4" w:rsidP="00C216D4">
      <w:pPr>
        <w:pStyle w:val="Sinespaciado"/>
        <w:spacing w:line="360" w:lineRule="auto"/>
        <w:jc w:val="both"/>
        <w:rPr>
          <w:rFonts w:ascii="Palatino Linotype" w:hAnsi="Palatino Linotype" w:cs="Arial"/>
          <w:sz w:val="24"/>
          <w:szCs w:val="24"/>
        </w:rPr>
      </w:pPr>
      <w:r w:rsidRPr="00E95A6C">
        <w:rPr>
          <w:rFonts w:ascii="Palatino Linotype" w:hAnsi="Palatino Linotype" w:cs="Arial"/>
          <w:b/>
          <w:sz w:val="24"/>
          <w:szCs w:val="24"/>
        </w:rPr>
        <w:t>SEGUNDO.</w:t>
      </w:r>
      <w:r w:rsidRPr="00E95A6C">
        <w:rPr>
          <w:rFonts w:ascii="Palatino Linotype" w:hAnsi="Palatino Linotype" w:cs="Arial"/>
          <w:sz w:val="24"/>
          <w:szCs w:val="24"/>
        </w:rPr>
        <w:t xml:space="preserve"> Se </w:t>
      </w:r>
      <w:r w:rsidRPr="00E95A6C">
        <w:rPr>
          <w:rFonts w:ascii="Palatino Linotype" w:hAnsi="Palatino Linotype" w:cs="Arial"/>
          <w:b/>
          <w:sz w:val="24"/>
          <w:szCs w:val="24"/>
        </w:rPr>
        <w:t>ORDENA</w:t>
      </w:r>
      <w:r w:rsidRPr="00E95A6C">
        <w:rPr>
          <w:rFonts w:ascii="Palatino Linotype" w:hAnsi="Palatino Linotype" w:cs="Arial"/>
          <w:sz w:val="24"/>
          <w:szCs w:val="24"/>
        </w:rPr>
        <w:t xml:space="preserve"> al Sujeto Obligado que </w:t>
      </w:r>
      <w:r w:rsidR="00D314F6" w:rsidRPr="00E95A6C">
        <w:rPr>
          <w:rFonts w:ascii="Palatino Linotype" w:hAnsi="Palatino Linotype" w:cs="Arial"/>
          <w:sz w:val="24"/>
          <w:szCs w:val="24"/>
        </w:rPr>
        <w:t>haga entrega a</w:t>
      </w:r>
      <w:r w:rsidR="00FB494C">
        <w:rPr>
          <w:rFonts w:ascii="Palatino Linotype" w:hAnsi="Palatino Linotype" w:cs="Arial"/>
          <w:sz w:val="24"/>
          <w:szCs w:val="24"/>
        </w:rPr>
        <w:t xml:space="preserve"> </w:t>
      </w:r>
      <w:r w:rsidR="007D07B1">
        <w:rPr>
          <w:rFonts w:ascii="Palatino Linotype" w:hAnsi="Palatino Linotype" w:cs="Arial"/>
          <w:sz w:val="24"/>
          <w:szCs w:val="24"/>
        </w:rPr>
        <w:t>l</w:t>
      </w:r>
      <w:r w:rsidR="00FB494C">
        <w:rPr>
          <w:rFonts w:ascii="Palatino Linotype" w:hAnsi="Palatino Linotype" w:cs="Arial"/>
          <w:sz w:val="24"/>
          <w:szCs w:val="24"/>
        </w:rPr>
        <w:t>a</w:t>
      </w:r>
      <w:r w:rsidRPr="00E95A6C">
        <w:rPr>
          <w:rFonts w:ascii="Palatino Linotype" w:hAnsi="Palatino Linotype" w:cs="Arial"/>
          <w:sz w:val="24"/>
          <w:szCs w:val="24"/>
        </w:rPr>
        <w:t xml:space="preserve"> Recurrente </w:t>
      </w:r>
      <w:r w:rsidR="001C791F" w:rsidRPr="00E95A6C">
        <w:rPr>
          <w:rFonts w:ascii="Palatino Linotype" w:hAnsi="Palatino Linotype" w:cs="Arial"/>
          <w:sz w:val="24"/>
          <w:szCs w:val="24"/>
        </w:rPr>
        <w:t xml:space="preserve">en términos </w:t>
      </w:r>
      <w:r w:rsidR="00810976">
        <w:rPr>
          <w:rFonts w:ascii="Palatino Linotype" w:hAnsi="Palatino Linotype" w:cs="Arial"/>
          <w:sz w:val="24"/>
          <w:szCs w:val="24"/>
        </w:rPr>
        <w:t>d</w:t>
      </w:r>
      <w:r w:rsidR="001C791F" w:rsidRPr="00E95A6C">
        <w:rPr>
          <w:rFonts w:ascii="Palatino Linotype" w:hAnsi="Palatino Linotype" w:cs="Arial"/>
          <w:sz w:val="24"/>
          <w:szCs w:val="24"/>
        </w:rPr>
        <w:t xml:space="preserve">el </w:t>
      </w:r>
      <w:r w:rsidR="001C791F" w:rsidRPr="00E95A6C">
        <w:rPr>
          <w:rFonts w:ascii="Palatino Linotype" w:hAnsi="Palatino Linotype" w:cs="Arial"/>
          <w:b/>
          <w:sz w:val="24"/>
          <w:szCs w:val="24"/>
        </w:rPr>
        <w:t xml:space="preserve">Considerando </w:t>
      </w:r>
      <w:r w:rsidR="00F35946">
        <w:rPr>
          <w:rFonts w:ascii="Palatino Linotype" w:hAnsi="Palatino Linotype" w:cs="Arial"/>
          <w:b/>
          <w:sz w:val="24"/>
          <w:szCs w:val="24"/>
        </w:rPr>
        <w:t>CUAR</w:t>
      </w:r>
      <w:r w:rsidR="001C791F" w:rsidRPr="00E95A6C">
        <w:rPr>
          <w:rFonts w:ascii="Palatino Linotype" w:hAnsi="Palatino Linotype" w:cs="Arial"/>
          <w:b/>
          <w:sz w:val="24"/>
          <w:szCs w:val="24"/>
        </w:rPr>
        <w:t>TO</w:t>
      </w:r>
      <w:r w:rsidR="009A7563">
        <w:rPr>
          <w:rFonts w:ascii="Palatino Linotype" w:hAnsi="Palatino Linotype" w:cs="Arial"/>
          <w:sz w:val="24"/>
          <w:szCs w:val="24"/>
        </w:rPr>
        <w:t>, copias certificadas (con costo)</w:t>
      </w:r>
      <w:r w:rsidR="001C791F" w:rsidRPr="00E95A6C">
        <w:rPr>
          <w:rFonts w:ascii="Palatino Linotype" w:hAnsi="Palatino Linotype" w:cs="Arial"/>
          <w:sz w:val="24"/>
          <w:szCs w:val="24"/>
        </w:rPr>
        <w:t xml:space="preserve"> </w:t>
      </w:r>
      <w:r w:rsidR="007D07B1">
        <w:rPr>
          <w:rFonts w:ascii="Palatino Linotype" w:hAnsi="Palatino Linotype" w:cs="Arial"/>
          <w:sz w:val="24"/>
          <w:szCs w:val="24"/>
        </w:rPr>
        <w:t>de</w:t>
      </w:r>
      <w:r w:rsidR="00E41ACC" w:rsidRPr="00E95A6C">
        <w:rPr>
          <w:rFonts w:ascii="Palatino Linotype" w:hAnsi="Palatino Linotype" w:cs="Arial"/>
          <w:sz w:val="24"/>
          <w:szCs w:val="24"/>
        </w:rPr>
        <w:t xml:space="preserve"> lo </w:t>
      </w:r>
      <w:r w:rsidRPr="00E95A6C">
        <w:rPr>
          <w:rFonts w:ascii="Palatino Linotype" w:hAnsi="Palatino Linotype" w:cs="Arial"/>
          <w:sz w:val="24"/>
          <w:szCs w:val="24"/>
        </w:rPr>
        <w:t xml:space="preserve">siguiente: </w:t>
      </w:r>
    </w:p>
    <w:p w:rsidR="00C216D4" w:rsidRPr="00E95A6C" w:rsidRDefault="00C216D4" w:rsidP="00C216D4">
      <w:pPr>
        <w:pStyle w:val="Sinespaciado"/>
        <w:spacing w:line="360" w:lineRule="auto"/>
        <w:jc w:val="both"/>
        <w:rPr>
          <w:rFonts w:ascii="Palatino Linotype" w:hAnsi="Palatino Linotype" w:cs="Arial"/>
          <w:sz w:val="24"/>
          <w:szCs w:val="24"/>
        </w:rPr>
      </w:pPr>
    </w:p>
    <w:p w:rsidR="00FB494C" w:rsidRPr="00FB494C" w:rsidRDefault="00FB494C" w:rsidP="00B30E3F">
      <w:pPr>
        <w:pStyle w:val="Sinespaciado"/>
        <w:numPr>
          <w:ilvl w:val="0"/>
          <w:numId w:val="26"/>
        </w:numPr>
        <w:jc w:val="both"/>
        <w:rPr>
          <w:rFonts w:ascii="Palatino Linotype" w:hAnsi="Palatino Linotype" w:cs="Arial"/>
          <w:sz w:val="24"/>
          <w:szCs w:val="24"/>
        </w:rPr>
      </w:pPr>
      <w:r>
        <w:rPr>
          <w:rFonts w:ascii="Palatino Linotype" w:hAnsi="Palatino Linotype" w:cs="Arial"/>
          <w:i/>
          <w:sz w:val="24"/>
          <w:szCs w:val="24"/>
        </w:rPr>
        <w:t>La versión íntegra del Convenio para la realización de la Feria Tecámac 2019</w:t>
      </w:r>
    </w:p>
    <w:p w:rsidR="00E41ACC" w:rsidRPr="002C35EA" w:rsidRDefault="002C35EA" w:rsidP="00B30E3F">
      <w:pPr>
        <w:pStyle w:val="Sinespaciado"/>
        <w:numPr>
          <w:ilvl w:val="0"/>
          <w:numId w:val="26"/>
        </w:numPr>
        <w:jc w:val="both"/>
        <w:rPr>
          <w:rFonts w:ascii="Palatino Linotype" w:hAnsi="Palatino Linotype" w:cs="Arial"/>
          <w:sz w:val="24"/>
          <w:szCs w:val="24"/>
        </w:rPr>
      </w:pPr>
      <w:r>
        <w:rPr>
          <w:rFonts w:ascii="Palatino Linotype" w:hAnsi="Palatino Linotype" w:cs="Arial"/>
          <w:i/>
          <w:sz w:val="24"/>
          <w:szCs w:val="24"/>
        </w:rPr>
        <w:t>Previa búsqueda exhaustiva y razonable, el documento en donde conste el presupuesto asignado al municipio para el ejercicio fiscal 2019</w:t>
      </w:r>
      <w:r w:rsidR="007D07B1" w:rsidRPr="007D07B1">
        <w:rPr>
          <w:rFonts w:ascii="Palatino Linotype" w:hAnsi="Palatino Linotype" w:cs="Arial"/>
          <w:i/>
          <w:sz w:val="24"/>
          <w:szCs w:val="24"/>
        </w:rPr>
        <w:t>.</w:t>
      </w:r>
    </w:p>
    <w:p w:rsidR="002C35EA" w:rsidRPr="009A7563" w:rsidRDefault="002C35EA" w:rsidP="002C35EA">
      <w:pPr>
        <w:pStyle w:val="Sinespaciado"/>
        <w:numPr>
          <w:ilvl w:val="0"/>
          <w:numId w:val="26"/>
        </w:numPr>
        <w:jc w:val="both"/>
        <w:rPr>
          <w:rFonts w:ascii="Palatino Linotype" w:hAnsi="Palatino Linotype" w:cs="Arial"/>
          <w:sz w:val="24"/>
          <w:szCs w:val="24"/>
        </w:rPr>
      </w:pPr>
      <w:r>
        <w:rPr>
          <w:rFonts w:ascii="Palatino Linotype" w:hAnsi="Palatino Linotype" w:cs="Arial"/>
          <w:i/>
          <w:sz w:val="24"/>
          <w:szCs w:val="24"/>
        </w:rPr>
        <w:t xml:space="preserve">Previa búsqueda exhaustiva y razonable, el documento en donde conste el padrón de proveedores </w:t>
      </w:r>
      <w:r w:rsidRPr="002C35EA">
        <w:rPr>
          <w:rFonts w:ascii="Palatino Linotype" w:hAnsi="Palatino Linotype" w:cs="Arial"/>
          <w:i/>
          <w:sz w:val="24"/>
          <w:szCs w:val="24"/>
        </w:rPr>
        <w:t>de artistas, grupos musicales, sistemas de cómputo y/o tecnologías de la información y/o elaboración y diseño de páginas web.</w:t>
      </w:r>
    </w:p>
    <w:p w:rsidR="009A7563" w:rsidRDefault="009A7563" w:rsidP="009A7563">
      <w:pPr>
        <w:pStyle w:val="Sinespaciado"/>
        <w:spacing w:line="360" w:lineRule="auto"/>
        <w:jc w:val="both"/>
        <w:rPr>
          <w:rFonts w:ascii="Palatino Linotype" w:hAnsi="Palatino Linotype" w:cs="Arial"/>
          <w:i/>
          <w:sz w:val="24"/>
          <w:szCs w:val="24"/>
        </w:rPr>
      </w:pPr>
    </w:p>
    <w:p w:rsidR="009A7563" w:rsidRPr="009A7563" w:rsidRDefault="009A7563" w:rsidP="009A7563">
      <w:pPr>
        <w:pStyle w:val="Sinespaciado"/>
        <w:spacing w:line="360" w:lineRule="auto"/>
        <w:jc w:val="both"/>
        <w:rPr>
          <w:rFonts w:ascii="Palatino Linotype" w:hAnsi="Palatino Linotype"/>
          <w:sz w:val="24"/>
          <w:szCs w:val="24"/>
        </w:rPr>
      </w:pPr>
      <w:r w:rsidRPr="009A7563">
        <w:rPr>
          <w:rFonts w:ascii="Palatino Linotype" w:hAnsi="Palatino Linotype"/>
          <w:sz w:val="24"/>
          <w:szCs w:val="24"/>
        </w:rPr>
        <w:t xml:space="preserve">Para la expedición de copias certificadas, </w:t>
      </w:r>
      <w:r>
        <w:rPr>
          <w:rFonts w:ascii="Palatino Linotype" w:hAnsi="Palatino Linotype"/>
          <w:sz w:val="24"/>
          <w:szCs w:val="24"/>
        </w:rPr>
        <w:t>e</w:t>
      </w:r>
      <w:r w:rsidRPr="009A7563">
        <w:rPr>
          <w:rFonts w:ascii="Palatino Linotype" w:hAnsi="Palatino Linotype"/>
          <w:sz w:val="24"/>
          <w:szCs w:val="24"/>
        </w:rPr>
        <w:t xml:space="preserve">l Sujeto Obligado deberá informar  a </w:t>
      </w:r>
      <w:r>
        <w:rPr>
          <w:rFonts w:ascii="Palatino Linotype" w:hAnsi="Palatino Linotype"/>
          <w:sz w:val="24"/>
          <w:szCs w:val="24"/>
        </w:rPr>
        <w:t>l</w:t>
      </w:r>
      <w:r w:rsidRPr="009A7563">
        <w:rPr>
          <w:rFonts w:ascii="Palatino Linotype" w:hAnsi="Palatino Linotype"/>
          <w:sz w:val="24"/>
          <w:szCs w:val="24"/>
        </w:rPr>
        <w:t xml:space="preserve">a Recurrente mediante </w:t>
      </w:r>
      <w:r w:rsidRPr="009A7563">
        <w:rPr>
          <w:rFonts w:ascii="Palatino Linotype" w:hAnsi="Palatino Linotype"/>
          <w:b/>
          <w:sz w:val="24"/>
          <w:szCs w:val="24"/>
        </w:rPr>
        <w:t>SAIMEX</w:t>
      </w:r>
      <w:r w:rsidRPr="009A7563">
        <w:rPr>
          <w:rFonts w:ascii="Palatino Linotype" w:hAnsi="Palatino Linotype"/>
          <w:sz w:val="24"/>
          <w:szCs w:val="24"/>
        </w:rPr>
        <w:t xml:space="preserve"> el procedimiento exacto y detallado para su obtención (lugar, costo, días y horas hábiles, etc.), debiendo acreditar </w:t>
      </w:r>
      <w:r>
        <w:rPr>
          <w:rFonts w:ascii="Palatino Linotype" w:hAnsi="Palatino Linotype"/>
          <w:sz w:val="24"/>
          <w:szCs w:val="24"/>
        </w:rPr>
        <w:t>e</w:t>
      </w:r>
      <w:r w:rsidRPr="009A7563">
        <w:rPr>
          <w:rFonts w:ascii="Palatino Linotype" w:hAnsi="Palatino Linotype"/>
          <w:sz w:val="24"/>
          <w:szCs w:val="24"/>
        </w:rPr>
        <w:t xml:space="preserve">l Sujeto Obligado la entrega de la información a </w:t>
      </w:r>
      <w:r>
        <w:rPr>
          <w:rFonts w:ascii="Palatino Linotype" w:hAnsi="Palatino Linotype"/>
          <w:sz w:val="24"/>
          <w:szCs w:val="24"/>
        </w:rPr>
        <w:t>l</w:t>
      </w:r>
      <w:r w:rsidRPr="009A7563">
        <w:rPr>
          <w:rFonts w:ascii="Palatino Linotype" w:hAnsi="Palatino Linotype"/>
          <w:sz w:val="24"/>
          <w:szCs w:val="24"/>
        </w:rPr>
        <w:t>a Recurrente.</w:t>
      </w:r>
    </w:p>
    <w:p w:rsidR="00D323BC" w:rsidRPr="009A7563" w:rsidRDefault="00D323BC" w:rsidP="009A7563">
      <w:pPr>
        <w:pStyle w:val="Sinespaciado"/>
        <w:spacing w:line="360" w:lineRule="auto"/>
        <w:jc w:val="both"/>
        <w:rPr>
          <w:rFonts w:ascii="Palatino Linotype" w:hAnsi="Palatino Linotype"/>
          <w:sz w:val="24"/>
          <w:szCs w:val="24"/>
        </w:rPr>
      </w:pPr>
    </w:p>
    <w:p w:rsidR="00C216D4" w:rsidRPr="00E95A6C" w:rsidRDefault="00C216D4" w:rsidP="00C216D4">
      <w:pPr>
        <w:pStyle w:val="Sinespaciado"/>
        <w:spacing w:line="360" w:lineRule="auto"/>
        <w:jc w:val="both"/>
        <w:rPr>
          <w:rFonts w:ascii="Palatino Linotype" w:hAnsi="Palatino Linotype" w:cs="Arial"/>
          <w:sz w:val="24"/>
          <w:szCs w:val="24"/>
        </w:rPr>
      </w:pPr>
      <w:r w:rsidRPr="00E95A6C">
        <w:rPr>
          <w:rFonts w:ascii="Palatino Linotype" w:hAnsi="Palatino Linotype" w:cs="Arial"/>
          <w:b/>
          <w:sz w:val="24"/>
          <w:szCs w:val="24"/>
        </w:rPr>
        <w:t>TERCERO. Notifíquese</w:t>
      </w:r>
      <w:r w:rsidRPr="00E95A6C">
        <w:rPr>
          <w:rFonts w:ascii="Palatino Linotype" w:hAnsi="Palatino Linotype" w:cs="Arial"/>
          <w:b/>
          <w:i/>
          <w:sz w:val="24"/>
          <w:szCs w:val="24"/>
        </w:rPr>
        <w:t xml:space="preserve"> </w:t>
      </w:r>
      <w:r w:rsidRPr="00E95A6C">
        <w:rPr>
          <w:rFonts w:ascii="Palatino Linotype" w:hAnsi="Palatino Linotype" w:cs="Arial"/>
          <w:sz w:val="24"/>
          <w:szCs w:val="24"/>
        </w:rPr>
        <w:t>al Titular de la Unidad de Transparencia del</w:t>
      </w:r>
      <w:r w:rsidRPr="00E95A6C">
        <w:rPr>
          <w:rFonts w:ascii="Palatino Linotype" w:hAnsi="Palatino Linotype" w:cs="Arial"/>
          <w:b/>
          <w:sz w:val="24"/>
          <w:szCs w:val="24"/>
        </w:rPr>
        <w:t xml:space="preserve"> SUJETO OBLIGADO</w:t>
      </w:r>
      <w:r w:rsidRPr="00E95A6C">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E95A6C">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rsidR="00C216D4" w:rsidRPr="00E95A6C" w:rsidRDefault="00C216D4" w:rsidP="00C216D4">
      <w:pPr>
        <w:pStyle w:val="Sinespaciado"/>
        <w:spacing w:line="360" w:lineRule="auto"/>
        <w:jc w:val="both"/>
        <w:rPr>
          <w:rFonts w:ascii="Palatino Linotype" w:hAnsi="Palatino Linotype" w:cs="Arial"/>
          <w:sz w:val="24"/>
          <w:szCs w:val="24"/>
        </w:rPr>
      </w:pPr>
    </w:p>
    <w:p w:rsidR="00EF4D17" w:rsidRDefault="00C216D4" w:rsidP="00C216D4">
      <w:pPr>
        <w:pStyle w:val="Sinespaciado"/>
        <w:spacing w:line="360" w:lineRule="auto"/>
        <w:jc w:val="both"/>
        <w:rPr>
          <w:rFonts w:ascii="Palatino Linotype" w:hAnsi="Palatino Linotype"/>
          <w:color w:val="222222"/>
          <w:sz w:val="24"/>
          <w:szCs w:val="24"/>
          <w:shd w:val="clear" w:color="auto" w:fill="FFFFFF"/>
        </w:rPr>
      </w:pPr>
      <w:r w:rsidRPr="00E95A6C">
        <w:rPr>
          <w:rFonts w:ascii="Palatino Linotype" w:hAnsi="Palatino Linotype" w:cs="Arial"/>
          <w:b/>
          <w:sz w:val="24"/>
          <w:szCs w:val="24"/>
        </w:rPr>
        <w:t xml:space="preserve">CUARTO. Notifíquese </w:t>
      </w:r>
      <w:r w:rsidRPr="00E95A6C">
        <w:rPr>
          <w:rFonts w:ascii="Palatino Linotype" w:hAnsi="Palatino Linotype" w:cs="Arial"/>
          <w:sz w:val="24"/>
          <w:szCs w:val="24"/>
        </w:rPr>
        <w:t>la presente resolución a</w:t>
      </w:r>
      <w:r w:rsidR="002638D9" w:rsidRPr="00E95A6C">
        <w:rPr>
          <w:rFonts w:ascii="Palatino Linotype" w:hAnsi="Palatino Linotype" w:cs="Arial"/>
          <w:sz w:val="24"/>
          <w:szCs w:val="24"/>
        </w:rPr>
        <w:t xml:space="preserve"> </w:t>
      </w:r>
      <w:r w:rsidR="00D23781" w:rsidRPr="00E95A6C">
        <w:rPr>
          <w:rFonts w:ascii="Palatino Linotype" w:hAnsi="Palatino Linotype" w:cs="Arial"/>
          <w:sz w:val="24"/>
          <w:szCs w:val="24"/>
        </w:rPr>
        <w:t>l</w:t>
      </w:r>
      <w:r w:rsidR="002638D9" w:rsidRPr="00E95A6C">
        <w:rPr>
          <w:rFonts w:ascii="Palatino Linotype" w:hAnsi="Palatino Linotype" w:cs="Arial"/>
          <w:sz w:val="24"/>
          <w:szCs w:val="24"/>
        </w:rPr>
        <w:t>a</w:t>
      </w:r>
      <w:r w:rsidRPr="00E95A6C">
        <w:rPr>
          <w:rFonts w:ascii="Palatino Linotype" w:hAnsi="Palatino Linotype" w:cs="Arial"/>
          <w:sz w:val="24"/>
          <w:szCs w:val="24"/>
        </w:rPr>
        <w:t xml:space="preserve"> Recurrente y hágase de su conocimiento que, </w:t>
      </w:r>
      <w:r w:rsidRPr="00E95A6C">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E95A6C">
        <w:rPr>
          <w:rStyle w:val="apple-converted-space"/>
          <w:rFonts w:ascii="Palatino Linotype" w:hAnsi="Palatino Linotype"/>
          <w:color w:val="222222"/>
          <w:sz w:val="24"/>
          <w:szCs w:val="24"/>
          <w:shd w:val="clear" w:color="auto" w:fill="FFFFFF"/>
        </w:rPr>
        <w:t xml:space="preserve"> </w:t>
      </w:r>
      <w:r w:rsidRPr="00E95A6C">
        <w:rPr>
          <w:rFonts w:ascii="Palatino Linotype" w:hAnsi="Palatino Linotype"/>
          <w:color w:val="222222"/>
          <w:sz w:val="24"/>
          <w:szCs w:val="24"/>
          <w:shd w:val="clear" w:color="auto" w:fill="FFFFFF"/>
        </w:rPr>
        <w:t>podrá promover el Juicio de Amparo en los términos de las leyes aplicables.</w:t>
      </w:r>
    </w:p>
    <w:p w:rsidR="004E5865" w:rsidRDefault="004E5865" w:rsidP="00C216D4">
      <w:pPr>
        <w:pStyle w:val="Sinespaciado"/>
        <w:spacing w:line="360" w:lineRule="auto"/>
        <w:jc w:val="both"/>
        <w:rPr>
          <w:rFonts w:ascii="Palatino Linotype" w:hAnsi="Palatino Linotype"/>
          <w:color w:val="222222"/>
          <w:sz w:val="24"/>
          <w:szCs w:val="24"/>
          <w:shd w:val="clear" w:color="auto" w:fill="FFFFFF"/>
        </w:rPr>
      </w:pPr>
    </w:p>
    <w:p w:rsidR="002419D8" w:rsidRDefault="007E2E80" w:rsidP="00E41AC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E5468">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854336">
        <w:rPr>
          <w:rFonts w:ascii="Palatino Linotype" w:hAnsi="Palatino Linotype"/>
          <w:sz w:val="24"/>
          <w:szCs w:val="24"/>
        </w:rPr>
        <w:t>VIGÉSIMA NOVENA</w:t>
      </w:r>
      <w:r w:rsidR="001930CB">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854336">
        <w:rPr>
          <w:rFonts w:ascii="Palatino Linotype" w:hAnsi="Palatino Linotype"/>
          <w:sz w:val="24"/>
          <w:szCs w:val="24"/>
        </w:rPr>
        <w:t>CATORCE DE AGOSTO</w:t>
      </w:r>
      <w:r w:rsidR="00C105C7">
        <w:rPr>
          <w:rFonts w:ascii="Palatino Linotype" w:hAnsi="Palatino Linotype"/>
          <w:sz w:val="24"/>
          <w:szCs w:val="24"/>
        </w:rPr>
        <w:t xml:space="preserve"> DE 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C791F">
        <w:rPr>
          <w:rFonts w:ascii="Palatino Linotype" w:hAnsi="Palatino Linotype"/>
          <w:sz w:val="24"/>
          <w:szCs w:val="24"/>
        </w:rPr>
        <w:t>-----------------------------------</w:t>
      </w:r>
      <w:r w:rsidR="00DE5468">
        <w:rPr>
          <w:rFonts w:ascii="Palatino Linotype" w:hAnsi="Palatino Linotype"/>
          <w:sz w:val="24"/>
          <w:szCs w:val="24"/>
        </w:rPr>
        <w:t>-</w:t>
      </w:r>
      <w:r w:rsidR="001C791F">
        <w:rPr>
          <w:rFonts w:ascii="Palatino Linotype" w:hAnsi="Palatino Linotype"/>
          <w:sz w:val="24"/>
          <w:szCs w:val="24"/>
        </w:rPr>
        <w:t>---</w:t>
      </w:r>
      <w:r w:rsidR="00D71A39">
        <w:rPr>
          <w:rFonts w:ascii="Palatino Linotype" w:hAnsi="Palatino Linotype"/>
          <w:sz w:val="24"/>
          <w:szCs w:val="24"/>
        </w:rPr>
        <w:t>------------------------------</w:t>
      </w:r>
      <w:r w:rsidR="00E41ACC">
        <w:rPr>
          <w:rFonts w:ascii="Palatino Linotype" w:hAnsi="Palatino Linotype"/>
          <w:sz w:val="24"/>
          <w:szCs w:val="24"/>
        </w:rPr>
        <w:t>---------------------------------------------------------------------------------------------------------------------------------------------------------------------------------------------------------------------------------------------</w:t>
      </w:r>
      <w:r w:rsidR="002C35EA">
        <w:rPr>
          <w:rFonts w:ascii="Palatino Linotype" w:hAnsi="Palatino Linotype"/>
          <w:sz w:val="24"/>
          <w:szCs w:val="24"/>
        </w:rPr>
        <w:t>----------------------</w:t>
      </w:r>
      <w:r w:rsidR="009A7563">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58BB" w:rsidRPr="001D58BB" w:rsidTr="00D33787">
        <w:tc>
          <w:tcPr>
            <w:tcW w:w="9062" w:type="dxa"/>
            <w:gridSpan w:val="2"/>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3D490B" w:rsidRPr="001D58BB" w:rsidRDefault="003D490B"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Zulema Martínez Sánchez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 Presidenta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Eva Abaid Yapur</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José Guadalupe Luna Hernández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Javier Martínez Cruz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sz w:val="24"/>
                <w:szCs w:val="24"/>
              </w:rPr>
              <w:t>(Rúbrica)</w:t>
            </w:r>
          </w:p>
        </w:tc>
        <w:tc>
          <w:tcPr>
            <w:tcW w:w="4531" w:type="dxa"/>
          </w:tcPr>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Luis Gustavo Parra Noriega</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D33787">
        <w:tc>
          <w:tcPr>
            <w:tcW w:w="9062" w:type="dxa"/>
            <w:gridSpan w:val="2"/>
          </w:tcPr>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2419D8" w:rsidRPr="001D58BB" w:rsidRDefault="002419D8" w:rsidP="00D33787">
            <w:pPr>
              <w:pStyle w:val="Sinespaciado"/>
              <w:jc w:val="both"/>
              <w:rPr>
                <w:rFonts w:ascii="Palatino Linotype" w:hAnsi="Palatino Linotype"/>
                <w:b/>
                <w:sz w:val="24"/>
                <w:szCs w:val="24"/>
              </w:rPr>
            </w:pPr>
          </w:p>
          <w:p w:rsidR="003D490B" w:rsidRPr="001D58BB" w:rsidRDefault="003D490B" w:rsidP="00D33787">
            <w:pPr>
              <w:pStyle w:val="Sinespaciado"/>
              <w:jc w:val="both"/>
              <w:rPr>
                <w:rFonts w:ascii="Palatino Linotype" w:hAnsi="Palatino Linotype"/>
                <w:b/>
                <w:sz w:val="24"/>
                <w:szCs w:val="24"/>
              </w:rPr>
            </w:pPr>
          </w:p>
          <w:p w:rsidR="002419D8" w:rsidRPr="001D58BB" w:rsidRDefault="002419D8" w:rsidP="00D33787">
            <w:pPr>
              <w:pStyle w:val="Sinespaciado"/>
              <w:jc w:val="center"/>
              <w:rPr>
                <w:rFonts w:ascii="Palatino Linotype" w:hAnsi="Palatino Linotype"/>
                <w:b/>
                <w:sz w:val="24"/>
                <w:szCs w:val="24"/>
              </w:rPr>
            </w:pPr>
            <w:r w:rsidRPr="001D58BB">
              <w:rPr>
                <w:rFonts w:ascii="Palatino Linotype" w:hAnsi="Palatino Linotype"/>
                <w:b/>
                <w:sz w:val="24"/>
                <w:szCs w:val="24"/>
              </w:rPr>
              <w:t>Alexis Tapia Ramírez</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Secretario Técnico del Pleno</w:t>
            </w:r>
          </w:p>
          <w:p w:rsidR="002419D8" w:rsidRPr="001D58BB" w:rsidRDefault="002419D8" w:rsidP="00D33787">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bl>
    <w:p w:rsidR="004617C7" w:rsidRPr="007D07B1" w:rsidRDefault="004617C7" w:rsidP="0014447C">
      <w:pPr>
        <w:pStyle w:val="Sinespaciado"/>
        <w:jc w:val="both"/>
        <w:rPr>
          <w:rFonts w:ascii="Palatino Linotype" w:hAnsi="Palatino Linotype"/>
          <w:sz w:val="40"/>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854336">
        <w:rPr>
          <w:rFonts w:ascii="Palatino Linotype" w:hAnsi="Palatino Linotype"/>
          <w:sz w:val="20"/>
          <w:szCs w:val="20"/>
        </w:rPr>
        <w:t>catorce de agosto</w:t>
      </w:r>
      <w:r w:rsidR="007F3794">
        <w:rPr>
          <w:rFonts w:ascii="Palatino Linotype" w:hAnsi="Palatino Linotype"/>
          <w:sz w:val="20"/>
          <w:szCs w:val="20"/>
        </w:rPr>
        <w:t xml:space="preserve"> de dos mil diecinueve</w:t>
      </w:r>
      <w:r w:rsidRPr="00E02B94">
        <w:rPr>
          <w:rFonts w:ascii="Palatino Linotype" w:hAnsi="Palatino Linotype"/>
          <w:sz w:val="20"/>
          <w:szCs w:val="20"/>
        </w:rPr>
        <w:t xml:space="preserve">, emitida en el recurso de revisión </w:t>
      </w:r>
      <w:r w:rsidR="002C35EA">
        <w:rPr>
          <w:rFonts w:ascii="Palatino Linotype" w:hAnsi="Palatino Linotype"/>
          <w:bCs/>
          <w:sz w:val="20"/>
          <w:szCs w:val="20"/>
          <w:lang w:eastAsia="es-MX"/>
        </w:rPr>
        <w:t>04855</w:t>
      </w:r>
      <w:r w:rsidR="007F3794">
        <w:rPr>
          <w:rFonts w:ascii="Palatino Linotype" w:hAnsi="Palatino Linotype"/>
          <w:bCs/>
          <w:sz w:val="20"/>
          <w:szCs w:val="20"/>
          <w:lang w:eastAsia="es-MX"/>
        </w:rPr>
        <w:t>/INFOEM/IP/RR/2019</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3059CC">
      <w:headerReference w:type="default" r:id="rId11"/>
      <w:footerReference w:type="default" r:id="rId12"/>
      <w:headerReference w:type="first" r:id="rId13"/>
      <w:footerReference w:type="first" r:id="rId14"/>
      <w:pgSz w:w="12240" w:h="15840"/>
      <w:pgMar w:top="1417" w:right="1467"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F02" w:rsidRDefault="00ED6F02" w:rsidP="007E2E80">
      <w:pPr>
        <w:spacing w:after="0" w:line="240" w:lineRule="auto"/>
      </w:pPr>
      <w:r>
        <w:separator/>
      </w:r>
    </w:p>
  </w:endnote>
  <w:endnote w:type="continuationSeparator" w:id="0">
    <w:p w:rsidR="00ED6F02" w:rsidRDefault="00ED6F0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E3F" w:rsidRPr="000B69FA" w:rsidRDefault="00B30E3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854336">
      <w:rPr>
        <w:rFonts w:ascii="Palatino Linotype" w:hAnsi="Palatino Linotype"/>
        <w:b/>
        <w:bCs/>
        <w:sz w:val="20"/>
      </w:rPr>
      <w:fldChar w:fldCharType="begin"/>
    </w:r>
    <w:r w:rsidRPr="00854336">
      <w:rPr>
        <w:rFonts w:ascii="Palatino Linotype" w:hAnsi="Palatino Linotype"/>
        <w:b/>
        <w:bCs/>
        <w:sz w:val="20"/>
      </w:rPr>
      <w:instrText>PAGE  \* Arabic  \* MERGEFORMAT</w:instrText>
    </w:r>
    <w:r w:rsidRPr="00854336">
      <w:rPr>
        <w:rFonts w:ascii="Palatino Linotype" w:hAnsi="Palatino Linotype"/>
        <w:b/>
        <w:bCs/>
        <w:sz w:val="20"/>
      </w:rPr>
      <w:fldChar w:fldCharType="separate"/>
    </w:r>
    <w:r w:rsidR="00127248">
      <w:rPr>
        <w:rFonts w:ascii="Palatino Linotype" w:hAnsi="Palatino Linotype"/>
        <w:b/>
        <w:bCs/>
        <w:noProof/>
        <w:sz w:val="20"/>
      </w:rPr>
      <w:t>27</w:t>
    </w:r>
    <w:r w:rsidRPr="00854336">
      <w:rPr>
        <w:rFonts w:ascii="Palatino Linotype" w:hAnsi="Palatino Linotype"/>
        <w:b/>
        <w:bCs/>
        <w:sz w:val="20"/>
      </w:rPr>
      <w:fldChar w:fldCharType="end"/>
    </w:r>
    <w:r w:rsidRPr="00854336">
      <w:rPr>
        <w:rFonts w:ascii="Palatino Linotype" w:hAnsi="Palatino Linotype"/>
        <w:b/>
        <w:sz w:val="20"/>
      </w:rPr>
      <w:t xml:space="preserve"> </w:t>
    </w:r>
    <w:r w:rsidRPr="000B69FA">
      <w:rPr>
        <w:rFonts w:ascii="Palatino Linotype" w:hAnsi="Palatino Linotype"/>
        <w:sz w:val="20"/>
      </w:rPr>
      <w:t xml:space="preserve">de </w:t>
    </w:r>
    <w:r w:rsidRPr="00854336">
      <w:rPr>
        <w:rFonts w:ascii="Palatino Linotype" w:hAnsi="Palatino Linotype"/>
        <w:b/>
        <w:bCs/>
        <w:sz w:val="20"/>
      </w:rPr>
      <w:fldChar w:fldCharType="begin"/>
    </w:r>
    <w:r w:rsidRPr="00854336">
      <w:rPr>
        <w:rFonts w:ascii="Palatino Linotype" w:hAnsi="Palatino Linotype"/>
        <w:b/>
        <w:bCs/>
        <w:sz w:val="20"/>
      </w:rPr>
      <w:instrText>NUMPAGES  \* Arabic  \* MERGEFORMAT</w:instrText>
    </w:r>
    <w:r w:rsidRPr="00854336">
      <w:rPr>
        <w:rFonts w:ascii="Palatino Linotype" w:hAnsi="Palatino Linotype"/>
        <w:b/>
        <w:bCs/>
        <w:sz w:val="20"/>
      </w:rPr>
      <w:fldChar w:fldCharType="separate"/>
    </w:r>
    <w:r w:rsidR="00127248">
      <w:rPr>
        <w:rFonts w:ascii="Palatino Linotype" w:hAnsi="Palatino Linotype"/>
        <w:b/>
        <w:bCs/>
        <w:noProof/>
        <w:sz w:val="20"/>
      </w:rPr>
      <w:t>27</w:t>
    </w:r>
    <w:r w:rsidRPr="00854336">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E3F" w:rsidRPr="00854336" w:rsidRDefault="00B30E3F" w:rsidP="00050A9C">
    <w:pPr>
      <w:pStyle w:val="Piedepgina"/>
      <w:jc w:val="right"/>
      <w:rPr>
        <w:rFonts w:ascii="Palatino Linotype" w:hAnsi="Palatino Linotype"/>
        <w:sz w:val="20"/>
      </w:rPr>
    </w:pPr>
    <w:r w:rsidRPr="00854336">
      <w:rPr>
        <w:rFonts w:ascii="Palatino Linotype" w:hAnsi="Palatino Linotype"/>
        <w:sz w:val="20"/>
      </w:rPr>
      <w:t xml:space="preserve">Página </w:t>
    </w:r>
    <w:r w:rsidRPr="00854336">
      <w:rPr>
        <w:rFonts w:ascii="Palatino Linotype" w:hAnsi="Palatino Linotype"/>
        <w:b/>
        <w:bCs/>
        <w:sz w:val="20"/>
      </w:rPr>
      <w:fldChar w:fldCharType="begin"/>
    </w:r>
    <w:r w:rsidRPr="00854336">
      <w:rPr>
        <w:rFonts w:ascii="Palatino Linotype" w:hAnsi="Palatino Linotype"/>
        <w:b/>
        <w:bCs/>
        <w:sz w:val="20"/>
      </w:rPr>
      <w:instrText>PAGE  \* Arabic  \* MERGEFORMAT</w:instrText>
    </w:r>
    <w:r w:rsidRPr="00854336">
      <w:rPr>
        <w:rFonts w:ascii="Palatino Linotype" w:hAnsi="Palatino Linotype"/>
        <w:b/>
        <w:bCs/>
        <w:sz w:val="20"/>
      </w:rPr>
      <w:fldChar w:fldCharType="separate"/>
    </w:r>
    <w:r w:rsidR="00823A09">
      <w:rPr>
        <w:rFonts w:ascii="Palatino Linotype" w:hAnsi="Palatino Linotype"/>
        <w:b/>
        <w:bCs/>
        <w:noProof/>
        <w:sz w:val="20"/>
      </w:rPr>
      <w:t>1</w:t>
    </w:r>
    <w:r w:rsidRPr="00854336">
      <w:rPr>
        <w:rFonts w:ascii="Palatino Linotype" w:hAnsi="Palatino Linotype"/>
        <w:b/>
        <w:bCs/>
        <w:sz w:val="20"/>
      </w:rPr>
      <w:fldChar w:fldCharType="end"/>
    </w:r>
    <w:r w:rsidRPr="00854336">
      <w:rPr>
        <w:rFonts w:ascii="Palatino Linotype" w:hAnsi="Palatino Linotype"/>
        <w:sz w:val="20"/>
      </w:rPr>
      <w:t xml:space="preserve"> de </w:t>
    </w:r>
    <w:r w:rsidRPr="00854336">
      <w:rPr>
        <w:rFonts w:ascii="Palatino Linotype" w:hAnsi="Palatino Linotype"/>
        <w:b/>
        <w:bCs/>
        <w:sz w:val="20"/>
      </w:rPr>
      <w:fldChar w:fldCharType="begin"/>
    </w:r>
    <w:r w:rsidRPr="00854336">
      <w:rPr>
        <w:rFonts w:ascii="Palatino Linotype" w:hAnsi="Palatino Linotype"/>
        <w:b/>
        <w:bCs/>
        <w:sz w:val="20"/>
      </w:rPr>
      <w:instrText>NUMPAGES  \* Arabic  \* MERGEFORMAT</w:instrText>
    </w:r>
    <w:r w:rsidRPr="00854336">
      <w:rPr>
        <w:rFonts w:ascii="Palatino Linotype" w:hAnsi="Palatino Linotype"/>
        <w:b/>
        <w:bCs/>
        <w:sz w:val="20"/>
      </w:rPr>
      <w:fldChar w:fldCharType="separate"/>
    </w:r>
    <w:r w:rsidR="00823A09">
      <w:rPr>
        <w:rFonts w:ascii="Palatino Linotype" w:hAnsi="Palatino Linotype"/>
        <w:b/>
        <w:bCs/>
        <w:noProof/>
        <w:sz w:val="20"/>
      </w:rPr>
      <w:t>27</w:t>
    </w:r>
    <w:r w:rsidRPr="00854336">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F02" w:rsidRDefault="00ED6F02" w:rsidP="007E2E80">
      <w:pPr>
        <w:spacing w:after="0" w:line="240" w:lineRule="auto"/>
      </w:pPr>
      <w:r>
        <w:separator/>
      </w:r>
    </w:p>
  </w:footnote>
  <w:footnote w:type="continuationSeparator" w:id="0">
    <w:p w:rsidR="00ED6F02" w:rsidRDefault="00ED6F02" w:rsidP="007E2E80">
      <w:pPr>
        <w:spacing w:after="0" w:line="240" w:lineRule="auto"/>
      </w:pPr>
      <w:r>
        <w:continuationSeparator/>
      </w:r>
    </w:p>
  </w:footnote>
  <w:footnote w:id="1">
    <w:p w:rsidR="00B30E3F" w:rsidRPr="00615B4B" w:rsidRDefault="00B30E3F" w:rsidP="00A7692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B30E3F" w:rsidRPr="00615B4B" w:rsidRDefault="00B30E3F" w:rsidP="00A7692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30E3F" w:rsidRDefault="00B30E3F" w:rsidP="00B30E3F">
      <w:pPr>
        <w:pStyle w:val="Textonotapie"/>
        <w:rPr>
          <w:rFonts w:ascii="Palatino Linotype" w:hAnsi="Palatino Linotype"/>
          <w:i/>
          <w:sz w:val="18"/>
          <w:szCs w:val="18"/>
        </w:rPr>
      </w:pPr>
      <w:r w:rsidRPr="00B30E3F">
        <w:rPr>
          <w:rStyle w:val="Refdenotaalpie"/>
          <w:rFonts w:ascii="Palatino Linotype" w:hAnsi="Palatino Linotype"/>
          <w:i/>
          <w:sz w:val="18"/>
          <w:szCs w:val="18"/>
        </w:rPr>
        <w:footnoteRef/>
      </w:r>
      <w:r w:rsidRPr="00B30E3F">
        <w:rPr>
          <w:rFonts w:ascii="Palatino Linotype" w:hAnsi="Palatino Linotype"/>
          <w:i/>
          <w:sz w:val="18"/>
          <w:szCs w:val="18"/>
        </w:rPr>
        <w:t xml:space="preserve"> </w:t>
      </w:r>
      <w:r w:rsidRPr="00B30E3F">
        <w:rPr>
          <w:rFonts w:ascii="Palatino Linotype" w:hAnsi="Palatino Linotype"/>
          <w:b/>
          <w:bCs/>
          <w:i/>
          <w:sz w:val="18"/>
          <w:szCs w:val="18"/>
        </w:rPr>
        <w:t xml:space="preserve">Artículo 92. </w:t>
      </w:r>
      <w:r w:rsidRPr="00B30E3F">
        <w:rPr>
          <w:rFonts w:ascii="Palatino Linotype" w:hAnsi="Palatino Linotype"/>
          <w:i/>
          <w:sz w:val="18"/>
          <w:szCs w:val="18"/>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30E3F" w:rsidRPr="00B30E3F" w:rsidRDefault="00B30E3F" w:rsidP="00B30E3F">
      <w:pPr>
        <w:pStyle w:val="Textonotapie"/>
        <w:rPr>
          <w:rFonts w:ascii="Palatino Linotype" w:hAnsi="Palatino Linotype"/>
          <w:i/>
          <w:sz w:val="18"/>
          <w:szCs w:val="18"/>
        </w:rPr>
      </w:pPr>
      <w:r>
        <w:rPr>
          <w:rFonts w:ascii="Palatino Linotype" w:hAnsi="Palatino Linotype"/>
          <w:i/>
          <w:sz w:val="18"/>
          <w:szCs w:val="18"/>
        </w:rPr>
        <w:t>(…)</w:t>
      </w:r>
    </w:p>
    <w:p w:rsidR="00B30E3F" w:rsidRPr="00B30E3F" w:rsidRDefault="00B30E3F" w:rsidP="00B30E3F">
      <w:pPr>
        <w:pStyle w:val="Textonotapie"/>
        <w:rPr>
          <w:rFonts w:ascii="Palatino Linotype" w:hAnsi="Palatino Linotype"/>
          <w:i/>
          <w:sz w:val="18"/>
          <w:szCs w:val="18"/>
        </w:rPr>
      </w:pPr>
      <w:r w:rsidRPr="00B30E3F">
        <w:rPr>
          <w:rFonts w:ascii="Palatino Linotype" w:hAnsi="Palatino Linotype"/>
          <w:b/>
          <w:bCs/>
          <w:i/>
          <w:sz w:val="18"/>
          <w:szCs w:val="18"/>
        </w:rPr>
        <w:t xml:space="preserve">XXV. </w:t>
      </w:r>
      <w:r w:rsidRPr="00B30E3F">
        <w:rPr>
          <w:rFonts w:ascii="Palatino Linotype" w:hAnsi="Palatino Linotype"/>
          <w:i/>
          <w:sz w:val="18"/>
          <w:szCs w:val="18"/>
        </w:rPr>
        <w:t xml:space="preserve">La información financiera sobre el presupuesto asignado, así como los informes del ejercicio trimestral del gasto, en términos de la Ley General de Contabilidad Gubernamental y demás disposiciones jurídicas aplicables; </w:t>
      </w:r>
    </w:p>
    <w:p w:rsidR="00B30E3F" w:rsidRPr="00B30E3F" w:rsidRDefault="00B30E3F" w:rsidP="00B30E3F">
      <w:pPr>
        <w:pStyle w:val="Textonotapie"/>
        <w:rPr>
          <w:rFonts w:ascii="Palatino Linotype" w:hAnsi="Palatino Linotype"/>
          <w:i/>
          <w:sz w:val="18"/>
          <w:szCs w:val="18"/>
        </w:rPr>
      </w:pPr>
      <w:r>
        <w:rPr>
          <w:rFonts w:ascii="Palatino Linotype" w:hAnsi="Palatino Linotype"/>
          <w:i/>
          <w:sz w:val="18"/>
          <w:szCs w:val="18"/>
        </w:rPr>
        <w:t>(…)</w:t>
      </w:r>
    </w:p>
    <w:p w:rsidR="00B30E3F" w:rsidRDefault="00B30E3F">
      <w:pPr>
        <w:pStyle w:val="Textonotapie"/>
        <w:rPr>
          <w:rFonts w:ascii="Palatino Linotype" w:hAnsi="Palatino Linotype"/>
          <w:i/>
          <w:sz w:val="18"/>
          <w:szCs w:val="18"/>
        </w:rPr>
      </w:pPr>
      <w:r w:rsidRPr="00B30E3F">
        <w:rPr>
          <w:rFonts w:ascii="Palatino Linotype" w:hAnsi="Palatino Linotype"/>
          <w:b/>
          <w:bCs/>
          <w:i/>
          <w:sz w:val="18"/>
          <w:szCs w:val="18"/>
        </w:rPr>
        <w:t xml:space="preserve">XXXVI. </w:t>
      </w:r>
      <w:r w:rsidRPr="00B30E3F">
        <w:rPr>
          <w:rFonts w:ascii="Palatino Linotype" w:hAnsi="Palatino Linotype"/>
          <w:i/>
          <w:sz w:val="18"/>
          <w:szCs w:val="18"/>
        </w:rPr>
        <w:t>Padrón de proveedores y contratistas;</w:t>
      </w:r>
    </w:p>
    <w:p w:rsidR="00B30E3F" w:rsidRDefault="00B30E3F">
      <w:pPr>
        <w:pStyle w:val="Textonotapie"/>
      </w:pPr>
      <w:r>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E3F" w:rsidRDefault="00B30E3F">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30E3F" w:rsidTr="00182616">
      <w:trPr>
        <w:trHeight w:val="227"/>
      </w:trPr>
      <w:tc>
        <w:tcPr>
          <w:tcW w:w="5949" w:type="dxa"/>
          <w:hideMark/>
        </w:tcPr>
        <w:p w:rsidR="00B30E3F" w:rsidRDefault="00B30E3F"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B30E3F" w:rsidRDefault="00B30E3F" w:rsidP="00104EDA">
          <w:pPr>
            <w:spacing w:after="120" w:line="256" w:lineRule="auto"/>
            <w:ind w:left="77" w:right="214"/>
            <w:jc w:val="right"/>
            <w:rPr>
              <w:rFonts w:ascii="Palatino Linotype" w:hAnsi="Palatino Linotype" w:cs="Arial"/>
              <w:szCs w:val="20"/>
            </w:rPr>
          </w:pPr>
          <w:r>
            <w:rPr>
              <w:rFonts w:ascii="Palatino Linotype" w:hAnsi="Palatino Linotype" w:cs="Arial"/>
              <w:bCs/>
              <w:sz w:val="24"/>
              <w:lang w:eastAsia="es-MX"/>
            </w:rPr>
            <w:t>04855/INFOEM/IP/RR/2019</w:t>
          </w:r>
        </w:p>
      </w:tc>
    </w:tr>
    <w:tr w:rsidR="00B30E3F" w:rsidTr="00182616">
      <w:trPr>
        <w:trHeight w:val="242"/>
      </w:trPr>
      <w:tc>
        <w:tcPr>
          <w:tcW w:w="5949" w:type="dxa"/>
          <w:hideMark/>
        </w:tcPr>
        <w:p w:rsidR="00B30E3F" w:rsidRDefault="00B30E3F"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B30E3F" w:rsidRDefault="00B30E3F"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Tecámac</w:t>
          </w:r>
        </w:p>
      </w:tc>
    </w:tr>
    <w:tr w:rsidR="00B30E3F" w:rsidTr="00182616">
      <w:trPr>
        <w:trHeight w:val="342"/>
      </w:trPr>
      <w:tc>
        <w:tcPr>
          <w:tcW w:w="5949" w:type="dxa"/>
          <w:hideMark/>
        </w:tcPr>
        <w:p w:rsidR="00B30E3F" w:rsidRDefault="00B30E3F"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B30E3F" w:rsidRDefault="00B30E3F"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B30E3F" w:rsidRDefault="00B30E3F">
    <w:pPr>
      <w:pStyle w:val="Encabezado"/>
    </w:pPr>
  </w:p>
  <w:p w:rsidR="00B30E3F" w:rsidRDefault="00B30E3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30E3F" w:rsidTr="00182616">
      <w:trPr>
        <w:trHeight w:val="227"/>
      </w:trPr>
      <w:tc>
        <w:tcPr>
          <w:tcW w:w="5103" w:type="dxa"/>
          <w:hideMark/>
        </w:tcPr>
        <w:p w:rsidR="00B30E3F" w:rsidRDefault="00B30E3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B30E3F" w:rsidRPr="00B4142F" w:rsidRDefault="00B30E3F"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04855/INFOEM/IP/RR/2019</w:t>
          </w:r>
        </w:p>
      </w:tc>
    </w:tr>
    <w:tr w:rsidR="00B30E3F" w:rsidTr="00182616">
      <w:trPr>
        <w:trHeight w:val="196"/>
      </w:trPr>
      <w:tc>
        <w:tcPr>
          <w:tcW w:w="5103" w:type="dxa"/>
          <w:hideMark/>
        </w:tcPr>
        <w:p w:rsidR="00B30E3F" w:rsidRDefault="00B30E3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B30E3F" w:rsidRPr="00F06FED" w:rsidRDefault="00823A09" w:rsidP="00104EDA">
          <w:pPr>
            <w:spacing w:after="120" w:line="256" w:lineRule="auto"/>
            <w:ind w:left="77" w:right="214"/>
            <w:jc w:val="right"/>
            <w:rPr>
              <w:rFonts w:ascii="Palatino Linotype" w:hAnsi="Palatino Linotype" w:cs="Arial"/>
            </w:rPr>
          </w:pPr>
          <w:r>
            <w:rPr>
              <w:rFonts w:ascii="Palatino Linotype" w:hAnsi="Palatino Linotype" w:cs="Arial"/>
            </w:rPr>
            <w:t>XXXXXXXXXXXXXXXXXXXXXX XXXXX</w:t>
          </w:r>
        </w:p>
      </w:tc>
    </w:tr>
    <w:tr w:rsidR="00B30E3F" w:rsidTr="00182616">
      <w:trPr>
        <w:trHeight w:val="242"/>
      </w:trPr>
      <w:tc>
        <w:tcPr>
          <w:tcW w:w="5103" w:type="dxa"/>
          <w:hideMark/>
        </w:tcPr>
        <w:p w:rsidR="00B30E3F" w:rsidRDefault="00B30E3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B30E3F" w:rsidRDefault="00B30E3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Tecámac</w:t>
          </w:r>
        </w:p>
      </w:tc>
    </w:tr>
    <w:tr w:rsidR="00B30E3F" w:rsidTr="00182616">
      <w:trPr>
        <w:trHeight w:val="342"/>
      </w:trPr>
      <w:tc>
        <w:tcPr>
          <w:tcW w:w="5103" w:type="dxa"/>
          <w:hideMark/>
        </w:tcPr>
        <w:p w:rsidR="00B30E3F" w:rsidRDefault="00B30E3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B30E3F" w:rsidRDefault="00B30E3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B30E3F" w:rsidRDefault="00B30E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3570DB"/>
    <w:multiLevelType w:val="hybridMultilevel"/>
    <w:tmpl w:val="54BE92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7C39D4"/>
    <w:multiLevelType w:val="hybridMultilevel"/>
    <w:tmpl w:val="773249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423A0"/>
    <w:multiLevelType w:val="hybridMultilevel"/>
    <w:tmpl w:val="C570E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5E62B2"/>
    <w:multiLevelType w:val="hybridMultilevel"/>
    <w:tmpl w:val="2E8E8C56"/>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CAB11C7"/>
    <w:multiLevelType w:val="hybridMultilevel"/>
    <w:tmpl w:val="07024CB6"/>
    <w:lvl w:ilvl="0" w:tplc="9544FC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015552"/>
    <w:multiLevelType w:val="hybridMultilevel"/>
    <w:tmpl w:val="E0F83B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28"/>
  </w:num>
  <w:num w:numId="5">
    <w:abstractNumId w:val="5"/>
  </w:num>
  <w:num w:numId="6">
    <w:abstractNumId w:val="3"/>
  </w:num>
  <w:num w:numId="7">
    <w:abstractNumId w:val="16"/>
  </w:num>
  <w:num w:numId="8">
    <w:abstractNumId w:val="14"/>
  </w:num>
  <w:num w:numId="9">
    <w:abstractNumId w:val="23"/>
  </w:num>
  <w:num w:numId="10">
    <w:abstractNumId w:val="8"/>
  </w:num>
  <w:num w:numId="11">
    <w:abstractNumId w:val="24"/>
  </w:num>
  <w:num w:numId="12">
    <w:abstractNumId w:val="22"/>
  </w:num>
  <w:num w:numId="13">
    <w:abstractNumId w:val="18"/>
  </w:num>
  <w:num w:numId="14">
    <w:abstractNumId w:val="11"/>
  </w:num>
  <w:num w:numId="15">
    <w:abstractNumId w:val="1"/>
  </w:num>
  <w:num w:numId="16">
    <w:abstractNumId w:val="7"/>
  </w:num>
  <w:num w:numId="17">
    <w:abstractNumId w:val="27"/>
  </w:num>
  <w:num w:numId="18">
    <w:abstractNumId w:val="21"/>
  </w:num>
  <w:num w:numId="19">
    <w:abstractNumId w:val="9"/>
  </w:num>
  <w:num w:numId="20">
    <w:abstractNumId w:val="25"/>
  </w:num>
  <w:num w:numId="21">
    <w:abstractNumId w:val="13"/>
  </w:num>
  <w:num w:numId="22">
    <w:abstractNumId w:val="26"/>
  </w:num>
  <w:num w:numId="23">
    <w:abstractNumId w:val="12"/>
  </w:num>
  <w:num w:numId="24">
    <w:abstractNumId w:val="20"/>
  </w:num>
  <w:num w:numId="25">
    <w:abstractNumId w:val="19"/>
  </w:num>
  <w:num w:numId="26">
    <w:abstractNumId w:val="29"/>
  </w:num>
  <w:num w:numId="27">
    <w:abstractNumId w:val="15"/>
  </w:num>
  <w:num w:numId="28">
    <w:abstractNumId w:val="17"/>
  </w:num>
  <w:num w:numId="29">
    <w:abstractNumId w:val="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3601"/>
    <w:rsid w:val="000145BA"/>
    <w:rsid w:val="000146A2"/>
    <w:rsid w:val="00014D80"/>
    <w:rsid w:val="00015A5D"/>
    <w:rsid w:val="00020FB6"/>
    <w:rsid w:val="0002294D"/>
    <w:rsid w:val="00022E72"/>
    <w:rsid w:val="000276E0"/>
    <w:rsid w:val="000319CB"/>
    <w:rsid w:val="00032DBD"/>
    <w:rsid w:val="00033949"/>
    <w:rsid w:val="00033A37"/>
    <w:rsid w:val="00040E4E"/>
    <w:rsid w:val="000417CA"/>
    <w:rsid w:val="00043018"/>
    <w:rsid w:val="00047DD5"/>
    <w:rsid w:val="00050A9C"/>
    <w:rsid w:val="00051311"/>
    <w:rsid w:val="000526BF"/>
    <w:rsid w:val="00053C9B"/>
    <w:rsid w:val="00055831"/>
    <w:rsid w:val="00055D7B"/>
    <w:rsid w:val="00057570"/>
    <w:rsid w:val="0007328F"/>
    <w:rsid w:val="000738E9"/>
    <w:rsid w:val="00074FC3"/>
    <w:rsid w:val="0007742A"/>
    <w:rsid w:val="000862EF"/>
    <w:rsid w:val="0008795C"/>
    <w:rsid w:val="00095218"/>
    <w:rsid w:val="000A23EA"/>
    <w:rsid w:val="000A27C1"/>
    <w:rsid w:val="000A3B93"/>
    <w:rsid w:val="000B2E5B"/>
    <w:rsid w:val="000B44A2"/>
    <w:rsid w:val="000C5F79"/>
    <w:rsid w:val="000C6125"/>
    <w:rsid w:val="000D47AB"/>
    <w:rsid w:val="000D6982"/>
    <w:rsid w:val="000D756B"/>
    <w:rsid w:val="000E5C62"/>
    <w:rsid w:val="000E7C0A"/>
    <w:rsid w:val="000F18B2"/>
    <w:rsid w:val="000F199E"/>
    <w:rsid w:val="000F3722"/>
    <w:rsid w:val="0010352B"/>
    <w:rsid w:val="00104EDA"/>
    <w:rsid w:val="00112E80"/>
    <w:rsid w:val="00113B41"/>
    <w:rsid w:val="00114A3F"/>
    <w:rsid w:val="00114C3C"/>
    <w:rsid w:val="0012508A"/>
    <w:rsid w:val="00127248"/>
    <w:rsid w:val="001307AF"/>
    <w:rsid w:val="00132E9F"/>
    <w:rsid w:val="00135494"/>
    <w:rsid w:val="00137BC4"/>
    <w:rsid w:val="00140AE4"/>
    <w:rsid w:val="0014191F"/>
    <w:rsid w:val="00143AC6"/>
    <w:rsid w:val="0014447C"/>
    <w:rsid w:val="001510E8"/>
    <w:rsid w:val="00151C12"/>
    <w:rsid w:val="00153C33"/>
    <w:rsid w:val="0015409F"/>
    <w:rsid w:val="001552E9"/>
    <w:rsid w:val="001602EB"/>
    <w:rsid w:val="00161679"/>
    <w:rsid w:val="00162176"/>
    <w:rsid w:val="00165929"/>
    <w:rsid w:val="00166046"/>
    <w:rsid w:val="00166602"/>
    <w:rsid w:val="00166FB7"/>
    <w:rsid w:val="00174BE6"/>
    <w:rsid w:val="0018081E"/>
    <w:rsid w:val="00180F6B"/>
    <w:rsid w:val="00181E8D"/>
    <w:rsid w:val="00182616"/>
    <w:rsid w:val="00190F8D"/>
    <w:rsid w:val="001920BF"/>
    <w:rsid w:val="00192E42"/>
    <w:rsid w:val="001930CB"/>
    <w:rsid w:val="001A0F85"/>
    <w:rsid w:val="001A17B9"/>
    <w:rsid w:val="001A27CB"/>
    <w:rsid w:val="001A4700"/>
    <w:rsid w:val="001C0CE9"/>
    <w:rsid w:val="001C3BBA"/>
    <w:rsid w:val="001C407E"/>
    <w:rsid w:val="001C791F"/>
    <w:rsid w:val="001D3382"/>
    <w:rsid w:val="001D3A62"/>
    <w:rsid w:val="001D58BB"/>
    <w:rsid w:val="001D61D0"/>
    <w:rsid w:val="001D6DBE"/>
    <w:rsid w:val="001E0028"/>
    <w:rsid w:val="001E00EF"/>
    <w:rsid w:val="001E07AC"/>
    <w:rsid w:val="001E2CD6"/>
    <w:rsid w:val="001E59DA"/>
    <w:rsid w:val="001E60B7"/>
    <w:rsid w:val="001F021C"/>
    <w:rsid w:val="001F19E0"/>
    <w:rsid w:val="001F4592"/>
    <w:rsid w:val="00203FA5"/>
    <w:rsid w:val="00207DA3"/>
    <w:rsid w:val="002108D8"/>
    <w:rsid w:val="00211473"/>
    <w:rsid w:val="00212498"/>
    <w:rsid w:val="00216B8D"/>
    <w:rsid w:val="00217292"/>
    <w:rsid w:val="002252AD"/>
    <w:rsid w:val="0023199E"/>
    <w:rsid w:val="002419D8"/>
    <w:rsid w:val="002450D9"/>
    <w:rsid w:val="00245B0A"/>
    <w:rsid w:val="0024605F"/>
    <w:rsid w:val="002508D1"/>
    <w:rsid w:val="002543BD"/>
    <w:rsid w:val="00254523"/>
    <w:rsid w:val="002572CF"/>
    <w:rsid w:val="002611C1"/>
    <w:rsid w:val="0026191D"/>
    <w:rsid w:val="002636B7"/>
    <w:rsid w:val="002638D9"/>
    <w:rsid w:val="00265643"/>
    <w:rsid w:val="00271762"/>
    <w:rsid w:val="0028585E"/>
    <w:rsid w:val="00287072"/>
    <w:rsid w:val="00290397"/>
    <w:rsid w:val="002933BD"/>
    <w:rsid w:val="002936EF"/>
    <w:rsid w:val="002A1927"/>
    <w:rsid w:val="002B194A"/>
    <w:rsid w:val="002B1C55"/>
    <w:rsid w:val="002B2A9B"/>
    <w:rsid w:val="002B5B14"/>
    <w:rsid w:val="002C2D19"/>
    <w:rsid w:val="002C35EA"/>
    <w:rsid w:val="002D4991"/>
    <w:rsid w:val="002D6110"/>
    <w:rsid w:val="002E197A"/>
    <w:rsid w:val="002E22D8"/>
    <w:rsid w:val="002E2D4C"/>
    <w:rsid w:val="002E6036"/>
    <w:rsid w:val="002F044A"/>
    <w:rsid w:val="002F160B"/>
    <w:rsid w:val="002F17FB"/>
    <w:rsid w:val="002F1FB1"/>
    <w:rsid w:val="002F67C7"/>
    <w:rsid w:val="00301A01"/>
    <w:rsid w:val="003021C1"/>
    <w:rsid w:val="00304C91"/>
    <w:rsid w:val="003059CC"/>
    <w:rsid w:val="003063F3"/>
    <w:rsid w:val="00307784"/>
    <w:rsid w:val="00310760"/>
    <w:rsid w:val="00311191"/>
    <w:rsid w:val="00311C61"/>
    <w:rsid w:val="00312E7E"/>
    <w:rsid w:val="00316132"/>
    <w:rsid w:val="00322F87"/>
    <w:rsid w:val="00326769"/>
    <w:rsid w:val="00327932"/>
    <w:rsid w:val="00336EDF"/>
    <w:rsid w:val="00347EEB"/>
    <w:rsid w:val="003527CA"/>
    <w:rsid w:val="0035375B"/>
    <w:rsid w:val="00360973"/>
    <w:rsid w:val="00361D83"/>
    <w:rsid w:val="00363308"/>
    <w:rsid w:val="0036513D"/>
    <w:rsid w:val="00365ADF"/>
    <w:rsid w:val="00374450"/>
    <w:rsid w:val="00375FF5"/>
    <w:rsid w:val="0038385D"/>
    <w:rsid w:val="00385FE4"/>
    <w:rsid w:val="003872BE"/>
    <w:rsid w:val="003908F4"/>
    <w:rsid w:val="00390A54"/>
    <w:rsid w:val="003919AC"/>
    <w:rsid w:val="0039265B"/>
    <w:rsid w:val="003A13D2"/>
    <w:rsid w:val="003A21CE"/>
    <w:rsid w:val="003A2EC7"/>
    <w:rsid w:val="003A3096"/>
    <w:rsid w:val="003A7A6F"/>
    <w:rsid w:val="003B0D59"/>
    <w:rsid w:val="003C25F7"/>
    <w:rsid w:val="003C3124"/>
    <w:rsid w:val="003C3EF4"/>
    <w:rsid w:val="003C74AF"/>
    <w:rsid w:val="003D2672"/>
    <w:rsid w:val="003D3420"/>
    <w:rsid w:val="003D4709"/>
    <w:rsid w:val="003D490B"/>
    <w:rsid w:val="003D5F05"/>
    <w:rsid w:val="003E08B9"/>
    <w:rsid w:val="003E12CE"/>
    <w:rsid w:val="003E12ED"/>
    <w:rsid w:val="003F2835"/>
    <w:rsid w:val="003F3606"/>
    <w:rsid w:val="003F56F1"/>
    <w:rsid w:val="003F6007"/>
    <w:rsid w:val="00400852"/>
    <w:rsid w:val="00404F9D"/>
    <w:rsid w:val="00406B61"/>
    <w:rsid w:val="00407282"/>
    <w:rsid w:val="004132B8"/>
    <w:rsid w:val="004171DA"/>
    <w:rsid w:val="00417EBD"/>
    <w:rsid w:val="00422BFE"/>
    <w:rsid w:val="00423C27"/>
    <w:rsid w:val="00423DAA"/>
    <w:rsid w:val="00425199"/>
    <w:rsid w:val="00427301"/>
    <w:rsid w:val="00433514"/>
    <w:rsid w:val="00443826"/>
    <w:rsid w:val="004440DD"/>
    <w:rsid w:val="0045270C"/>
    <w:rsid w:val="0045396C"/>
    <w:rsid w:val="004572BE"/>
    <w:rsid w:val="004617C7"/>
    <w:rsid w:val="004657BE"/>
    <w:rsid w:val="004666AF"/>
    <w:rsid w:val="00475B53"/>
    <w:rsid w:val="0047638F"/>
    <w:rsid w:val="004807F7"/>
    <w:rsid w:val="00482C85"/>
    <w:rsid w:val="004830B5"/>
    <w:rsid w:val="00483BB8"/>
    <w:rsid w:val="00484E47"/>
    <w:rsid w:val="00485E0C"/>
    <w:rsid w:val="00486B11"/>
    <w:rsid w:val="00487B8B"/>
    <w:rsid w:val="00491B39"/>
    <w:rsid w:val="0049306E"/>
    <w:rsid w:val="00497B93"/>
    <w:rsid w:val="004A3433"/>
    <w:rsid w:val="004A4500"/>
    <w:rsid w:val="004A51FF"/>
    <w:rsid w:val="004B2C63"/>
    <w:rsid w:val="004C43EB"/>
    <w:rsid w:val="004C7E18"/>
    <w:rsid w:val="004D1BBE"/>
    <w:rsid w:val="004D23A9"/>
    <w:rsid w:val="004D5421"/>
    <w:rsid w:val="004E1092"/>
    <w:rsid w:val="004E5865"/>
    <w:rsid w:val="004F1C97"/>
    <w:rsid w:val="004F483E"/>
    <w:rsid w:val="004F6A5B"/>
    <w:rsid w:val="0050104C"/>
    <w:rsid w:val="005023F4"/>
    <w:rsid w:val="005033CC"/>
    <w:rsid w:val="00507FE7"/>
    <w:rsid w:val="00513A54"/>
    <w:rsid w:val="0052393E"/>
    <w:rsid w:val="00524986"/>
    <w:rsid w:val="00525A73"/>
    <w:rsid w:val="00526740"/>
    <w:rsid w:val="00530BFE"/>
    <w:rsid w:val="0053215F"/>
    <w:rsid w:val="005328FB"/>
    <w:rsid w:val="0053423E"/>
    <w:rsid w:val="00537419"/>
    <w:rsid w:val="005421C7"/>
    <w:rsid w:val="005448FA"/>
    <w:rsid w:val="00546471"/>
    <w:rsid w:val="00547806"/>
    <w:rsid w:val="005601F0"/>
    <w:rsid w:val="00561C2B"/>
    <w:rsid w:val="00566699"/>
    <w:rsid w:val="005733EB"/>
    <w:rsid w:val="005737AA"/>
    <w:rsid w:val="00574E3B"/>
    <w:rsid w:val="0057534D"/>
    <w:rsid w:val="00576200"/>
    <w:rsid w:val="005872F9"/>
    <w:rsid w:val="00590126"/>
    <w:rsid w:val="00591988"/>
    <w:rsid w:val="00596856"/>
    <w:rsid w:val="005A6F55"/>
    <w:rsid w:val="005B2616"/>
    <w:rsid w:val="005B2A31"/>
    <w:rsid w:val="005B42CD"/>
    <w:rsid w:val="005B7E58"/>
    <w:rsid w:val="005C057C"/>
    <w:rsid w:val="005C3192"/>
    <w:rsid w:val="005C76D5"/>
    <w:rsid w:val="005D02A8"/>
    <w:rsid w:val="005D1FF0"/>
    <w:rsid w:val="005D5EEB"/>
    <w:rsid w:val="005E283C"/>
    <w:rsid w:val="005E28DA"/>
    <w:rsid w:val="005F0CCB"/>
    <w:rsid w:val="005F1462"/>
    <w:rsid w:val="005F3FBD"/>
    <w:rsid w:val="00600D67"/>
    <w:rsid w:val="0060633A"/>
    <w:rsid w:val="006121FC"/>
    <w:rsid w:val="006149F1"/>
    <w:rsid w:val="00614F4E"/>
    <w:rsid w:val="00620FA6"/>
    <w:rsid w:val="0062102B"/>
    <w:rsid w:val="00622A9F"/>
    <w:rsid w:val="006246A5"/>
    <w:rsid w:val="00627F9C"/>
    <w:rsid w:val="00631F1B"/>
    <w:rsid w:val="00633C3F"/>
    <w:rsid w:val="00636F8F"/>
    <w:rsid w:val="00640D07"/>
    <w:rsid w:val="00640EA6"/>
    <w:rsid w:val="00642541"/>
    <w:rsid w:val="00644363"/>
    <w:rsid w:val="006446F7"/>
    <w:rsid w:val="00644F96"/>
    <w:rsid w:val="00647B4C"/>
    <w:rsid w:val="006565EA"/>
    <w:rsid w:val="00660763"/>
    <w:rsid w:val="00661204"/>
    <w:rsid w:val="006639E2"/>
    <w:rsid w:val="006648B7"/>
    <w:rsid w:val="0066610F"/>
    <w:rsid w:val="00673D7C"/>
    <w:rsid w:val="00674416"/>
    <w:rsid w:val="006749FD"/>
    <w:rsid w:val="00676C32"/>
    <w:rsid w:val="00680F8F"/>
    <w:rsid w:val="006848F5"/>
    <w:rsid w:val="00684E94"/>
    <w:rsid w:val="006850A8"/>
    <w:rsid w:val="00686046"/>
    <w:rsid w:val="006861BE"/>
    <w:rsid w:val="0069776E"/>
    <w:rsid w:val="006A0ADE"/>
    <w:rsid w:val="006A29C5"/>
    <w:rsid w:val="006A3A54"/>
    <w:rsid w:val="006A561E"/>
    <w:rsid w:val="006A7BF7"/>
    <w:rsid w:val="006B280D"/>
    <w:rsid w:val="006C2E42"/>
    <w:rsid w:val="006C6176"/>
    <w:rsid w:val="006D1136"/>
    <w:rsid w:val="006D254A"/>
    <w:rsid w:val="006D4AD4"/>
    <w:rsid w:val="006D780C"/>
    <w:rsid w:val="006E020B"/>
    <w:rsid w:val="006E0601"/>
    <w:rsid w:val="006E1191"/>
    <w:rsid w:val="006E6394"/>
    <w:rsid w:val="006E69B5"/>
    <w:rsid w:val="006E6C81"/>
    <w:rsid w:val="006F18FD"/>
    <w:rsid w:val="006F2076"/>
    <w:rsid w:val="006F2FDD"/>
    <w:rsid w:val="006F4A35"/>
    <w:rsid w:val="006F6C87"/>
    <w:rsid w:val="00702DB6"/>
    <w:rsid w:val="00704910"/>
    <w:rsid w:val="00705D1C"/>
    <w:rsid w:val="00711C4D"/>
    <w:rsid w:val="0071210D"/>
    <w:rsid w:val="00714D2E"/>
    <w:rsid w:val="00717529"/>
    <w:rsid w:val="007218F2"/>
    <w:rsid w:val="0072548E"/>
    <w:rsid w:val="007256EA"/>
    <w:rsid w:val="007308E2"/>
    <w:rsid w:val="00730DE0"/>
    <w:rsid w:val="0073674B"/>
    <w:rsid w:val="0074093D"/>
    <w:rsid w:val="007543A0"/>
    <w:rsid w:val="0076024D"/>
    <w:rsid w:val="00761E90"/>
    <w:rsid w:val="00762400"/>
    <w:rsid w:val="00763D73"/>
    <w:rsid w:val="007640C8"/>
    <w:rsid w:val="00766E80"/>
    <w:rsid w:val="007676AF"/>
    <w:rsid w:val="00771933"/>
    <w:rsid w:val="00776087"/>
    <w:rsid w:val="00777017"/>
    <w:rsid w:val="00785145"/>
    <w:rsid w:val="00786497"/>
    <w:rsid w:val="00797BE3"/>
    <w:rsid w:val="007A0571"/>
    <w:rsid w:val="007A223B"/>
    <w:rsid w:val="007A4E13"/>
    <w:rsid w:val="007B0292"/>
    <w:rsid w:val="007B0E30"/>
    <w:rsid w:val="007B2098"/>
    <w:rsid w:val="007B48AB"/>
    <w:rsid w:val="007C4240"/>
    <w:rsid w:val="007C7BF3"/>
    <w:rsid w:val="007D0387"/>
    <w:rsid w:val="007D07B1"/>
    <w:rsid w:val="007D0CFF"/>
    <w:rsid w:val="007D4F78"/>
    <w:rsid w:val="007D62D3"/>
    <w:rsid w:val="007E2E80"/>
    <w:rsid w:val="007E7D5D"/>
    <w:rsid w:val="007F2237"/>
    <w:rsid w:val="007F282E"/>
    <w:rsid w:val="007F329F"/>
    <w:rsid w:val="007F3794"/>
    <w:rsid w:val="007F7846"/>
    <w:rsid w:val="0080126D"/>
    <w:rsid w:val="008041A7"/>
    <w:rsid w:val="00807197"/>
    <w:rsid w:val="008078C2"/>
    <w:rsid w:val="00810976"/>
    <w:rsid w:val="00814C77"/>
    <w:rsid w:val="00821898"/>
    <w:rsid w:val="00823454"/>
    <w:rsid w:val="00823A09"/>
    <w:rsid w:val="00824894"/>
    <w:rsid w:val="00830E3A"/>
    <w:rsid w:val="00831CCC"/>
    <w:rsid w:val="0083540E"/>
    <w:rsid w:val="0083761F"/>
    <w:rsid w:val="008450F3"/>
    <w:rsid w:val="008455DC"/>
    <w:rsid w:val="00847DC1"/>
    <w:rsid w:val="00853CC3"/>
    <w:rsid w:val="00854336"/>
    <w:rsid w:val="00855C7E"/>
    <w:rsid w:val="00863A1D"/>
    <w:rsid w:val="0086441A"/>
    <w:rsid w:val="00867D56"/>
    <w:rsid w:val="00870064"/>
    <w:rsid w:val="00870220"/>
    <w:rsid w:val="008725EE"/>
    <w:rsid w:val="0087345F"/>
    <w:rsid w:val="00887CA6"/>
    <w:rsid w:val="00892543"/>
    <w:rsid w:val="00893E0F"/>
    <w:rsid w:val="00896101"/>
    <w:rsid w:val="008A1C19"/>
    <w:rsid w:val="008B40C5"/>
    <w:rsid w:val="008B440B"/>
    <w:rsid w:val="008B6907"/>
    <w:rsid w:val="008B6AE4"/>
    <w:rsid w:val="008B6DAC"/>
    <w:rsid w:val="008C0E72"/>
    <w:rsid w:val="008C0F70"/>
    <w:rsid w:val="008C651F"/>
    <w:rsid w:val="008C7CEB"/>
    <w:rsid w:val="008D17A8"/>
    <w:rsid w:val="008E05FB"/>
    <w:rsid w:val="008E572E"/>
    <w:rsid w:val="008E63C2"/>
    <w:rsid w:val="008F3739"/>
    <w:rsid w:val="008F4829"/>
    <w:rsid w:val="008F79AE"/>
    <w:rsid w:val="00903599"/>
    <w:rsid w:val="00905CE1"/>
    <w:rsid w:val="009176E1"/>
    <w:rsid w:val="00920D11"/>
    <w:rsid w:val="00924832"/>
    <w:rsid w:val="00924E30"/>
    <w:rsid w:val="00926D76"/>
    <w:rsid w:val="009272C6"/>
    <w:rsid w:val="009275A1"/>
    <w:rsid w:val="00927ABA"/>
    <w:rsid w:val="009300E9"/>
    <w:rsid w:val="00930F68"/>
    <w:rsid w:val="009339EC"/>
    <w:rsid w:val="0093743A"/>
    <w:rsid w:val="00942349"/>
    <w:rsid w:val="00943B37"/>
    <w:rsid w:val="009443C5"/>
    <w:rsid w:val="009468DB"/>
    <w:rsid w:val="00946A93"/>
    <w:rsid w:val="00954DC1"/>
    <w:rsid w:val="00954E06"/>
    <w:rsid w:val="00960D8F"/>
    <w:rsid w:val="0096284F"/>
    <w:rsid w:val="0096359D"/>
    <w:rsid w:val="00967270"/>
    <w:rsid w:val="0097111D"/>
    <w:rsid w:val="0097416D"/>
    <w:rsid w:val="00974508"/>
    <w:rsid w:val="009759F9"/>
    <w:rsid w:val="009820BB"/>
    <w:rsid w:val="00984CA8"/>
    <w:rsid w:val="009859B8"/>
    <w:rsid w:val="00987008"/>
    <w:rsid w:val="00991C58"/>
    <w:rsid w:val="00994FE7"/>
    <w:rsid w:val="009A10DA"/>
    <w:rsid w:val="009A1D2E"/>
    <w:rsid w:val="009A3AEB"/>
    <w:rsid w:val="009A7563"/>
    <w:rsid w:val="009B205B"/>
    <w:rsid w:val="009B3592"/>
    <w:rsid w:val="009B634A"/>
    <w:rsid w:val="009B70C3"/>
    <w:rsid w:val="009C1EA2"/>
    <w:rsid w:val="009C2D73"/>
    <w:rsid w:val="009C3FC7"/>
    <w:rsid w:val="009C4183"/>
    <w:rsid w:val="009C5156"/>
    <w:rsid w:val="009D00B5"/>
    <w:rsid w:val="009D0E4A"/>
    <w:rsid w:val="009D46DE"/>
    <w:rsid w:val="009D56AA"/>
    <w:rsid w:val="009D77B2"/>
    <w:rsid w:val="009E0089"/>
    <w:rsid w:val="009E0332"/>
    <w:rsid w:val="009E396D"/>
    <w:rsid w:val="009E5D77"/>
    <w:rsid w:val="009F7B22"/>
    <w:rsid w:val="00A06551"/>
    <w:rsid w:val="00A10000"/>
    <w:rsid w:val="00A10775"/>
    <w:rsid w:val="00A112EB"/>
    <w:rsid w:val="00A11783"/>
    <w:rsid w:val="00A16AD7"/>
    <w:rsid w:val="00A21213"/>
    <w:rsid w:val="00A217FA"/>
    <w:rsid w:val="00A2199B"/>
    <w:rsid w:val="00A22469"/>
    <w:rsid w:val="00A22BBA"/>
    <w:rsid w:val="00A3134D"/>
    <w:rsid w:val="00A31E6A"/>
    <w:rsid w:val="00A33B3A"/>
    <w:rsid w:val="00A34D26"/>
    <w:rsid w:val="00A35392"/>
    <w:rsid w:val="00A35B31"/>
    <w:rsid w:val="00A35FBB"/>
    <w:rsid w:val="00A4214D"/>
    <w:rsid w:val="00A422CD"/>
    <w:rsid w:val="00A50C85"/>
    <w:rsid w:val="00A62727"/>
    <w:rsid w:val="00A64E9E"/>
    <w:rsid w:val="00A64FF4"/>
    <w:rsid w:val="00A65C29"/>
    <w:rsid w:val="00A666CE"/>
    <w:rsid w:val="00A76922"/>
    <w:rsid w:val="00A81C5D"/>
    <w:rsid w:val="00A83CC3"/>
    <w:rsid w:val="00A871F0"/>
    <w:rsid w:val="00A9172E"/>
    <w:rsid w:val="00A92336"/>
    <w:rsid w:val="00A924AF"/>
    <w:rsid w:val="00A94BF6"/>
    <w:rsid w:val="00AA4F9A"/>
    <w:rsid w:val="00AA5A0A"/>
    <w:rsid w:val="00AA5F4F"/>
    <w:rsid w:val="00AB1AF3"/>
    <w:rsid w:val="00AD0168"/>
    <w:rsid w:val="00AD3C94"/>
    <w:rsid w:val="00AD5BD6"/>
    <w:rsid w:val="00AD767C"/>
    <w:rsid w:val="00AE0498"/>
    <w:rsid w:val="00AE486D"/>
    <w:rsid w:val="00AE658B"/>
    <w:rsid w:val="00AF188D"/>
    <w:rsid w:val="00AF4065"/>
    <w:rsid w:val="00AF4386"/>
    <w:rsid w:val="00AF67C7"/>
    <w:rsid w:val="00B04978"/>
    <w:rsid w:val="00B06243"/>
    <w:rsid w:val="00B062BE"/>
    <w:rsid w:val="00B063A5"/>
    <w:rsid w:val="00B070F5"/>
    <w:rsid w:val="00B12CBA"/>
    <w:rsid w:val="00B16CAC"/>
    <w:rsid w:val="00B1716E"/>
    <w:rsid w:val="00B30E3F"/>
    <w:rsid w:val="00B31ACE"/>
    <w:rsid w:val="00B341EE"/>
    <w:rsid w:val="00B34950"/>
    <w:rsid w:val="00B41108"/>
    <w:rsid w:val="00B43296"/>
    <w:rsid w:val="00B446CC"/>
    <w:rsid w:val="00B501B2"/>
    <w:rsid w:val="00B549E1"/>
    <w:rsid w:val="00B55472"/>
    <w:rsid w:val="00B56587"/>
    <w:rsid w:val="00B56C20"/>
    <w:rsid w:val="00B63982"/>
    <w:rsid w:val="00B673A9"/>
    <w:rsid w:val="00B75842"/>
    <w:rsid w:val="00B77BD6"/>
    <w:rsid w:val="00B818EA"/>
    <w:rsid w:val="00B867F4"/>
    <w:rsid w:val="00B93C5C"/>
    <w:rsid w:val="00B952E1"/>
    <w:rsid w:val="00B97CAC"/>
    <w:rsid w:val="00BA011E"/>
    <w:rsid w:val="00BA05C1"/>
    <w:rsid w:val="00BA1A75"/>
    <w:rsid w:val="00BA2B89"/>
    <w:rsid w:val="00BA5906"/>
    <w:rsid w:val="00BA69A0"/>
    <w:rsid w:val="00BB2359"/>
    <w:rsid w:val="00BB4E00"/>
    <w:rsid w:val="00BB5C3A"/>
    <w:rsid w:val="00BB77FB"/>
    <w:rsid w:val="00BC64D4"/>
    <w:rsid w:val="00BD115E"/>
    <w:rsid w:val="00BD20DA"/>
    <w:rsid w:val="00BE100C"/>
    <w:rsid w:val="00BE163E"/>
    <w:rsid w:val="00BE48F3"/>
    <w:rsid w:val="00BE6D77"/>
    <w:rsid w:val="00BE72FB"/>
    <w:rsid w:val="00BF062B"/>
    <w:rsid w:val="00BF0AEC"/>
    <w:rsid w:val="00BF107A"/>
    <w:rsid w:val="00BF123B"/>
    <w:rsid w:val="00BF123D"/>
    <w:rsid w:val="00BF3765"/>
    <w:rsid w:val="00BF4E38"/>
    <w:rsid w:val="00BF5EE2"/>
    <w:rsid w:val="00BF69B1"/>
    <w:rsid w:val="00BF6EA1"/>
    <w:rsid w:val="00C01DE0"/>
    <w:rsid w:val="00C07F1B"/>
    <w:rsid w:val="00C105C7"/>
    <w:rsid w:val="00C10AAE"/>
    <w:rsid w:val="00C115F4"/>
    <w:rsid w:val="00C2107B"/>
    <w:rsid w:val="00C216D4"/>
    <w:rsid w:val="00C25822"/>
    <w:rsid w:val="00C25B89"/>
    <w:rsid w:val="00C277F4"/>
    <w:rsid w:val="00C34B47"/>
    <w:rsid w:val="00C35F18"/>
    <w:rsid w:val="00C40345"/>
    <w:rsid w:val="00C458EC"/>
    <w:rsid w:val="00C521C4"/>
    <w:rsid w:val="00C61A93"/>
    <w:rsid w:val="00C638F5"/>
    <w:rsid w:val="00C650AB"/>
    <w:rsid w:val="00C67A59"/>
    <w:rsid w:val="00C76D26"/>
    <w:rsid w:val="00C801A2"/>
    <w:rsid w:val="00C8573E"/>
    <w:rsid w:val="00C90CE9"/>
    <w:rsid w:val="00C91661"/>
    <w:rsid w:val="00C921D5"/>
    <w:rsid w:val="00C95F13"/>
    <w:rsid w:val="00CA2ED9"/>
    <w:rsid w:val="00CA3DD3"/>
    <w:rsid w:val="00CA5271"/>
    <w:rsid w:val="00CA5EC1"/>
    <w:rsid w:val="00CC5EB6"/>
    <w:rsid w:val="00CD3957"/>
    <w:rsid w:val="00CD5D9E"/>
    <w:rsid w:val="00CD60A4"/>
    <w:rsid w:val="00CE15C8"/>
    <w:rsid w:val="00CE26AE"/>
    <w:rsid w:val="00CF03C7"/>
    <w:rsid w:val="00CF27C6"/>
    <w:rsid w:val="00CF7E3D"/>
    <w:rsid w:val="00D01B24"/>
    <w:rsid w:val="00D020E2"/>
    <w:rsid w:val="00D04234"/>
    <w:rsid w:val="00D0540D"/>
    <w:rsid w:val="00D062EA"/>
    <w:rsid w:val="00D12C1C"/>
    <w:rsid w:val="00D13B83"/>
    <w:rsid w:val="00D149D9"/>
    <w:rsid w:val="00D14D51"/>
    <w:rsid w:val="00D14E3B"/>
    <w:rsid w:val="00D17D2C"/>
    <w:rsid w:val="00D207DF"/>
    <w:rsid w:val="00D23781"/>
    <w:rsid w:val="00D23F11"/>
    <w:rsid w:val="00D314F6"/>
    <w:rsid w:val="00D32304"/>
    <w:rsid w:val="00D323BC"/>
    <w:rsid w:val="00D32449"/>
    <w:rsid w:val="00D32E6F"/>
    <w:rsid w:val="00D33787"/>
    <w:rsid w:val="00D37E6E"/>
    <w:rsid w:val="00D43DD3"/>
    <w:rsid w:val="00D52643"/>
    <w:rsid w:val="00D528F9"/>
    <w:rsid w:val="00D5329C"/>
    <w:rsid w:val="00D54889"/>
    <w:rsid w:val="00D57072"/>
    <w:rsid w:val="00D57A8D"/>
    <w:rsid w:val="00D62BC7"/>
    <w:rsid w:val="00D633B6"/>
    <w:rsid w:val="00D64F6D"/>
    <w:rsid w:val="00D70758"/>
    <w:rsid w:val="00D71A39"/>
    <w:rsid w:val="00D72377"/>
    <w:rsid w:val="00D73F9B"/>
    <w:rsid w:val="00D74EB6"/>
    <w:rsid w:val="00D756E2"/>
    <w:rsid w:val="00D760EF"/>
    <w:rsid w:val="00D77F62"/>
    <w:rsid w:val="00D80239"/>
    <w:rsid w:val="00D82C3F"/>
    <w:rsid w:val="00D83520"/>
    <w:rsid w:val="00D923BA"/>
    <w:rsid w:val="00DA0E70"/>
    <w:rsid w:val="00DA21DB"/>
    <w:rsid w:val="00DA26AF"/>
    <w:rsid w:val="00DA5A00"/>
    <w:rsid w:val="00DA6917"/>
    <w:rsid w:val="00DB2439"/>
    <w:rsid w:val="00DB49E0"/>
    <w:rsid w:val="00DB5FF7"/>
    <w:rsid w:val="00DC0CB0"/>
    <w:rsid w:val="00DC4E35"/>
    <w:rsid w:val="00DC5D92"/>
    <w:rsid w:val="00DD08ED"/>
    <w:rsid w:val="00DD13E2"/>
    <w:rsid w:val="00DD2781"/>
    <w:rsid w:val="00DD2D53"/>
    <w:rsid w:val="00DD51A5"/>
    <w:rsid w:val="00DD5971"/>
    <w:rsid w:val="00DD5DC9"/>
    <w:rsid w:val="00DE0587"/>
    <w:rsid w:val="00DE16E2"/>
    <w:rsid w:val="00DE3362"/>
    <w:rsid w:val="00DE5468"/>
    <w:rsid w:val="00DF0AF9"/>
    <w:rsid w:val="00DF1527"/>
    <w:rsid w:val="00DF2F2C"/>
    <w:rsid w:val="00DF3485"/>
    <w:rsid w:val="00DF51C8"/>
    <w:rsid w:val="00E014FE"/>
    <w:rsid w:val="00E02B94"/>
    <w:rsid w:val="00E03878"/>
    <w:rsid w:val="00E05ADF"/>
    <w:rsid w:val="00E15F31"/>
    <w:rsid w:val="00E23E06"/>
    <w:rsid w:val="00E25492"/>
    <w:rsid w:val="00E26967"/>
    <w:rsid w:val="00E26EB3"/>
    <w:rsid w:val="00E31685"/>
    <w:rsid w:val="00E37AA1"/>
    <w:rsid w:val="00E41ACC"/>
    <w:rsid w:val="00E426C9"/>
    <w:rsid w:val="00E434EF"/>
    <w:rsid w:val="00E50EFF"/>
    <w:rsid w:val="00E50F4B"/>
    <w:rsid w:val="00E51947"/>
    <w:rsid w:val="00E53096"/>
    <w:rsid w:val="00E56111"/>
    <w:rsid w:val="00E57C04"/>
    <w:rsid w:val="00E60476"/>
    <w:rsid w:val="00E61468"/>
    <w:rsid w:val="00E61AD1"/>
    <w:rsid w:val="00E63312"/>
    <w:rsid w:val="00E65AE8"/>
    <w:rsid w:val="00E6741A"/>
    <w:rsid w:val="00E70CAE"/>
    <w:rsid w:val="00E71020"/>
    <w:rsid w:val="00E726BA"/>
    <w:rsid w:val="00E73222"/>
    <w:rsid w:val="00E83DA0"/>
    <w:rsid w:val="00E8669D"/>
    <w:rsid w:val="00E93579"/>
    <w:rsid w:val="00E95A6C"/>
    <w:rsid w:val="00EA0886"/>
    <w:rsid w:val="00EA2AAB"/>
    <w:rsid w:val="00EA46A2"/>
    <w:rsid w:val="00EB2068"/>
    <w:rsid w:val="00EB6CF8"/>
    <w:rsid w:val="00EC1776"/>
    <w:rsid w:val="00EC4B6A"/>
    <w:rsid w:val="00ED4829"/>
    <w:rsid w:val="00ED5BAB"/>
    <w:rsid w:val="00ED60C2"/>
    <w:rsid w:val="00ED6CAE"/>
    <w:rsid w:val="00ED6F02"/>
    <w:rsid w:val="00ED7486"/>
    <w:rsid w:val="00ED78F3"/>
    <w:rsid w:val="00EE03F5"/>
    <w:rsid w:val="00EE11FA"/>
    <w:rsid w:val="00EE2EAD"/>
    <w:rsid w:val="00EF4D17"/>
    <w:rsid w:val="00EF6B28"/>
    <w:rsid w:val="00EF7FA1"/>
    <w:rsid w:val="00F059BF"/>
    <w:rsid w:val="00F07DC2"/>
    <w:rsid w:val="00F1770B"/>
    <w:rsid w:val="00F2178A"/>
    <w:rsid w:val="00F2343A"/>
    <w:rsid w:val="00F269D2"/>
    <w:rsid w:val="00F26F12"/>
    <w:rsid w:val="00F31F81"/>
    <w:rsid w:val="00F35946"/>
    <w:rsid w:val="00F37957"/>
    <w:rsid w:val="00F44637"/>
    <w:rsid w:val="00F45389"/>
    <w:rsid w:val="00F4708B"/>
    <w:rsid w:val="00F51438"/>
    <w:rsid w:val="00F53B53"/>
    <w:rsid w:val="00F60F3F"/>
    <w:rsid w:val="00F64701"/>
    <w:rsid w:val="00F66A72"/>
    <w:rsid w:val="00F755A2"/>
    <w:rsid w:val="00F76224"/>
    <w:rsid w:val="00F7667E"/>
    <w:rsid w:val="00F83F9F"/>
    <w:rsid w:val="00F8521C"/>
    <w:rsid w:val="00F86466"/>
    <w:rsid w:val="00F8646C"/>
    <w:rsid w:val="00F92D09"/>
    <w:rsid w:val="00F94CDE"/>
    <w:rsid w:val="00F970B1"/>
    <w:rsid w:val="00F97341"/>
    <w:rsid w:val="00FA1D6C"/>
    <w:rsid w:val="00FA3E59"/>
    <w:rsid w:val="00FA47E2"/>
    <w:rsid w:val="00FA5EE9"/>
    <w:rsid w:val="00FA70AB"/>
    <w:rsid w:val="00FA7200"/>
    <w:rsid w:val="00FB2F77"/>
    <w:rsid w:val="00FB494C"/>
    <w:rsid w:val="00FB55E9"/>
    <w:rsid w:val="00FC7D8B"/>
    <w:rsid w:val="00FD02FC"/>
    <w:rsid w:val="00FD362B"/>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A3A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506600982">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607676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07694749">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9611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E5E93-0423-4B7A-95F1-4A8128BE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6294</Words>
  <Characters>34621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2019-06-10T22:08:00Z</cp:lastPrinted>
  <dcterms:created xsi:type="dcterms:W3CDTF">2019-08-28T00:51:00Z</dcterms:created>
  <dcterms:modified xsi:type="dcterms:W3CDTF">2019-08-28T00:51:00Z</dcterms:modified>
</cp:coreProperties>
</file>