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04505E" w14:textId="272A590E" w:rsidR="00E731A1" w:rsidRPr="00DD7BE8" w:rsidRDefault="00BA512E" w:rsidP="00DD7BE8">
      <w:pPr>
        <w:spacing w:before="240" w:after="240" w:line="360" w:lineRule="auto"/>
        <w:jc w:val="center"/>
        <w:rPr>
          <w:rFonts w:ascii="Palatino Linotype" w:hAnsi="Palatino Linotype"/>
          <w:b/>
        </w:rPr>
      </w:pPr>
      <w:r w:rsidRPr="00DD7BE8">
        <w:rPr>
          <w:rFonts w:ascii="Palatino Linotype" w:hAnsi="Palatino Linotype"/>
          <w:b/>
        </w:rPr>
        <w:t>LÍNEAS ARGUMENTATIVAS</w:t>
      </w:r>
    </w:p>
    <w:p w14:paraId="2B42B5B0" w14:textId="0892704B" w:rsidR="005518EB" w:rsidRDefault="002E118F" w:rsidP="00DD7BE8">
      <w:pPr>
        <w:spacing w:before="240" w:after="360" w:line="360" w:lineRule="auto"/>
        <w:contextualSpacing/>
        <w:jc w:val="both"/>
        <w:rPr>
          <w:rFonts w:ascii="Palatino Linotype" w:eastAsia="Times New Roman" w:hAnsi="Palatino Linotype"/>
        </w:rPr>
      </w:pPr>
      <w:r w:rsidRPr="00DD7BE8">
        <w:rPr>
          <w:rFonts w:ascii="Palatino Linotype" w:eastAsia="Times New Roman" w:hAnsi="Palatino Linotype"/>
          <w:b/>
        </w:rPr>
        <w:t>DEBERES DE LAS AUTORIDADES.</w:t>
      </w:r>
      <w:r w:rsidRPr="00DD7BE8">
        <w:rPr>
          <w:rFonts w:ascii="Palatino Linotype" w:eastAsia="Times New Roman" w:hAnsi="Palatino Linotype"/>
        </w:rPr>
        <w:t xml:space="preserve"> El derecho humano de acceso a la información pública es un derecho humano constitucionalmente reconocido en consecuencia todas las autoridades en el ámbito de sus competencias tienen la obligación de respeta</w:t>
      </w:r>
      <w:r w:rsidR="003375CD" w:rsidRPr="00DD7BE8">
        <w:rPr>
          <w:rFonts w:ascii="Palatino Linotype" w:eastAsia="Times New Roman" w:hAnsi="Palatino Linotype"/>
        </w:rPr>
        <w:t>rlo, protegerlo y garantizarlo.</w:t>
      </w:r>
    </w:p>
    <w:p w14:paraId="74EAB3D3" w14:textId="77777777" w:rsidR="00DD7BE8" w:rsidRPr="00DD7BE8" w:rsidRDefault="00DD7BE8" w:rsidP="00DD7BE8">
      <w:pPr>
        <w:spacing w:before="240" w:after="360" w:line="360" w:lineRule="auto"/>
        <w:contextualSpacing/>
        <w:jc w:val="both"/>
        <w:rPr>
          <w:rFonts w:ascii="Palatino Linotype" w:eastAsia="Times New Roman" w:hAnsi="Palatino Linotype"/>
          <w:sz w:val="12"/>
        </w:rPr>
      </w:pPr>
    </w:p>
    <w:p w14:paraId="63AAC91B" w14:textId="2D0DF8E6" w:rsidR="0006548A" w:rsidRPr="00DD7BE8" w:rsidRDefault="0095468B" w:rsidP="00DD7BE8">
      <w:pPr>
        <w:spacing w:before="240" w:after="240" w:line="360" w:lineRule="auto"/>
        <w:jc w:val="both"/>
        <w:rPr>
          <w:rFonts w:ascii="Palatino Linotype" w:eastAsia="MS Mincho" w:hAnsi="Palatino Linotype" w:cs="Times New Roman"/>
        </w:rPr>
      </w:pPr>
      <w:r w:rsidRPr="00DD7BE8">
        <w:rPr>
          <w:rFonts w:ascii="Palatino Linotype" w:eastAsia="MS Mincho" w:hAnsi="Palatino Linotype" w:cs="Times New Roman"/>
          <w:b/>
        </w:rPr>
        <w:t xml:space="preserve">DERECHO DE ACCESO A LA INFORMACIÓN PÚBLICA. </w:t>
      </w:r>
      <w:r w:rsidRPr="00DD7BE8">
        <w:rPr>
          <w:rFonts w:ascii="Palatino Linotype" w:eastAsia="MS Mincho" w:hAnsi="Palatino Linotype" w:cs="Times New Roman"/>
        </w:rPr>
        <w:t>El derecho de acceso a la información pública se satisface en aquellos casos en que se atienda cada punto de la solicitud de información, haciendo entrega del soporte documental en que conste la información requerida.</w:t>
      </w:r>
    </w:p>
    <w:p w14:paraId="5712A9D8" w14:textId="6B01A9E6" w:rsidR="00C9604F" w:rsidRPr="00DD7BE8" w:rsidRDefault="0095468B" w:rsidP="00DD7BE8">
      <w:pPr>
        <w:spacing w:before="240" w:after="240" w:line="360" w:lineRule="auto"/>
        <w:jc w:val="both"/>
        <w:rPr>
          <w:rFonts w:ascii="Palatino Linotype" w:eastAsia="Times New Roman" w:hAnsi="Palatino Linotype" w:cs="Arial"/>
        </w:rPr>
      </w:pPr>
      <w:r w:rsidRPr="00DD7BE8">
        <w:rPr>
          <w:rFonts w:ascii="Palatino Linotype" w:eastAsia="Calibri" w:hAnsi="Palatino Linotype" w:cs="Arial"/>
          <w:b/>
          <w:lang w:val="es-ES" w:eastAsia="es-MX"/>
        </w:rPr>
        <w:t>DE LAS FORMALIDADES LEGALES DE LA CLASIFICACIÓN DE LA INFORMACIÓN.</w:t>
      </w:r>
      <w:r w:rsidRPr="00DD7BE8">
        <w:rPr>
          <w:rFonts w:ascii="Palatino Linotype" w:eastAsia="Calibri" w:hAnsi="Palatino Linotype" w:cs="Arial"/>
          <w:lang w:val="es-ES" w:eastAsia="es-MX"/>
        </w:rPr>
        <w:t xml:space="preserve"> Para que los sujetos obligados procedan a la clasificación de la información como confidencial, es necesario que en las documentales públicas se contengan datos personales que deban de ser protegidos y cuya exposición  pueda perjudicar la esfera más íntima de las personas, por lo que resulta necesario clasificarlas observando las formalidades que establece la Ley de Transparencia y Acceso a la Información Pública del Estado de México y Municipio, en sus artículos 49 fracción</w:t>
      </w:r>
      <w:r w:rsidRPr="00DD7BE8">
        <w:rPr>
          <w:rFonts w:ascii="Palatino Linotype" w:eastAsia="Calibri" w:hAnsi="Palatino Linotype" w:cs="Arial"/>
          <w:bCs/>
          <w:lang w:val="es-MX" w:eastAsia="en-US"/>
        </w:rPr>
        <w:t xml:space="preserve"> VIII,</w:t>
      </w:r>
      <w:r w:rsidRPr="00DD7BE8">
        <w:rPr>
          <w:rFonts w:ascii="Palatino Linotype" w:eastAsia="Calibri" w:hAnsi="Palatino Linotype" w:cs="Arial"/>
          <w:lang w:val="es-ES" w:eastAsia="es-MX"/>
        </w:rPr>
        <w:t xml:space="preserve"> 122, 135 </w:t>
      </w:r>
      <w:r w:rsidRPr="00DD7BE8">
        <w:rPr>
          <w:rFonts w:ascii="Palatino Linotype" w:eastAsia="Times New Roman" w:hAnsi="Palatino Linotype" w:cs="Arial"/>
        </w:rPr>
        <w:t>143 y 149, así como los establecido en los Lineamientos Generales en Materia de Clasificación</w:t>
      </w:r>
      <w:r w:rsidRPr="00DD7BE8">
        <w:rPr>
          <w:rFonts w:ascii="Palatino Linotype" w:eastAsia="Times New Roman" w:hAnsi="Palatino Linotype" w:cs="Times New Roman"/>
        </w:rPr>
        <w:t xml:space="preserve"> </w:t>
      </w:r>
      <w:r w:rsidRPr="00DD7BE8">
        <w:rPr>
          <w:rFonts w:ascii="Palatino Linotype" w:eastAsia="Times New Roman" w:hAnsi="Palatino Linotype" w:cs="Arial"/>
        </w:rPr>
        <w:t>y Desclasificación de la Información.</w:t>
      </w:r>
    </w:p>
    <w:p w14:paraId="31137936" w14:textId="302D1D0F" w:rsidR="00BC61B2" w:rsidRPr="00DD7BE8" w:rsidRDefault="00A20B1F" w:rsidP="00DD7BE8">
      <w:pPr>
        <w:spacing w:line="360" w:lineRule="auto"/>
        <w:jc w:val="center"/>
        <w:rPr>
          <w:rFonts w:ascii="Palatino Linotype" w:eastAsia="Times New Roman" w:hAnsi="Palatino Linotype" w:cs="Times New Roman"/>
          <w:b/>
        </w:rPr>
      </w:pPr>
      <w:r w:rsidRPr="00DD7BE8">
        <w:rPr>
          <w:rFonts w:ascii="Palatino Linotype" w:eastAsia="Times New Roman" w:hAnsi="Palatino Linotype" w:cs="Times New Roman"/>
          <w:b/>
        </w:rPr>
        <w:lastRenderedPageBreak/>
        <w:t>ÍNDICE</w:t>
      </w:r>
    </w:p>
    <w:sdt>
      <w:sdtPr>
        <w:rPr>
          <w:rFonts w:asciiTheme="minorHAnsi" w:eastAsiaTheme="minorEastAsia" w:hAnsiTheme="minorHAnsi" w:cstheme="minorBidi"/>
          <w:szCs w:val="24"/>
          <w:lang w:val="es-ES" w:eastAsia="es-ES"/>
        </w:rPr>
        <w:id w:val="-1245946457"/>
        <w:docPartObj>
          <w:docPartGallery w:val="Table of Contents"/>
          <w:docPartUnique/>
        </w:docPartObj>
      </w:sdtPr>
      <w:sdtEndPr>
        <w:rPr>
          <w:b/>
          <w:bCs/>
        </w:rPr>
      </w:sdtEndPr>
      <w:sdtContent>
        <w:p w14:paraId="79CB4F2F" w14:textId="5EC6EBE8" w:rsidR="00DA7E2F" w:rsidRPr="00DD7BE8" w:rsidRDefault="00DA7E2F" w:rsidP="00DD7BE8">
          <w:pPr>
            <w:pStyle w:val="TtulodeTDC"/>
            <w:spacing w:before="0" w:line="360" w:lineRule="auto"/>
            <w:rPr>
              <w:sz w:val="21"/>
              <w:szCs w:val="21"/>
            </w:rPr>
          </w:pPr>
        </w:p>
        <w:p w14:paraId="30456D9A" w14:textId="77777777" w:rsidR="0011227C" w:rsidRPr="00DD7BE8" w:rsidRDefault="00DA7E2F" w:rsidP="00DD7BE8">
          <w:pPr>
            <w:pStyle w:val="TDC1"/>
            <w:spacing w:line="360" w:lineRule="auto"/>
            <w:ind w:left="0"/>
            <w:rPr>
              <w:rFonts w:ascii="Palatino Linotype" w:hAnsi="Palatino Linotype"/>
              <w:noProof/>
              <w:sz w:val="21"/>
              <w:szCs w:val="21"/>
              <w:lang w:val="es-MX" w:eastAsia="es-MX"/>
            </w:rPr>
          </w:pPr>
          <w:r w:rsidRPr="00DD7BE8">
            <w:rPr>
              <w:rFonts w:ascii="Palatino Linotype" w:hAnsi="Palatino Linotype"/>
              <w:sz w:val="21"/>
              <w:szCs w:val="21"/>
            </w:rPr>
            <w:fldChar w:fldCharType="begin"/>
          </w:r>
          <w:r w:rsidRPr="00DD7BE8">
            <w:rPr>
              <w:rFonts w:ascii="Palatino Linotype" w:hAnsi="Palatino Linotype"/>
              <w:sz w:val="21"/>
              <w:szCs w:val="21"/>
            </w:rPr>
            <w:instrText xml:space="preserve"> TOC \o "1-3" \h \z \u </w:instrText>
          </w:r>
          <w:r w:rsidRPr="00DD7BE8">
            <w:rPr>
              <w:rFonts w:ascii="Palatino Linotype" w:hAnsi="Palatino Linotype"/>
              <w:sz w:val="21"/>
              <w:szCs w:val="21"/>
            </w:rPr>
            <w:fldChar w:fldCharType="separate"/>
          </w:r>
          <w:hyperlink w:anchor="_Toc24051505" w:history="1">
            <w:r w:rsidR="0011227C" w:rsidRPr="00DD7BE8">
              <w:rPr>
                <w:rStyle w:val="Hipervnculo"/>
                <w:rFonts w:ascii="Palatino Linotype" w:hAnsi="Palatino Linotype"/>
                <w:b/>
                <w:noProof/>
                <w:sz w:val="21"/>
                <w:szCs w:val="21"/>
              </w:rPr>
              <w:t>ANTECEDENTES</w:t>
            </w:r>
            <w:r w:rsidR="0011227C" w:rsidRPr="00DD7BE8">
              <w:rPr>
                <w:rFonts w:ascii="Palatino Linotype" w:hAnsi="Palatino Linotype"/>
                <w:noProof/>
                <w:webHidden/>
                <w:sz w:val="21"/>
                <w:szCs w:val="21"/>
              </w:rPr>
              <w:tab/>
            </w:r>
            <w:r w:rsidR="0011227C" w:rsidRPr="00DD7BE8">
              <w:rPr>
                <w:rFonts w:ascii="Palatino Linotype" w:hAnsi="Palatino Linotype"/>
                <w:noProof/>
                <w:webHidden/>
                <w:sz w:val="21"/>
                <w:szCs w:val="21"/>
              </w:rPr>
              <w:fldChar w:fldCharType="begin"/>
            </w:r>
            <w:r w:rsidR="0011227C" w:rsidRPr="00DD7BE8">
              <w:rPr>
                <w:rFonts w:ascii="Palatino Linotype" w:hAnsi="Palatino Linotype"/>
                <w:noProof/>
                <w:webHidden/>
                <w:sz w:val="21"/>
                <w:szCs w:val="21"/>
              </w:rPr>
              <w:instrText xml:space="preserve"> PAGEREF _Toc24051505 \h </w:instrText>
            </w:r>
            <w:r w:rsidR="0011227C" w:rsidRPr="00DD7BE8">
              <w:rPr>
                <w:rFonts w:ascii="Palatino Linotype" w:hAnsi="Palatino Linotype"/>
                <w:noProof/>
                <w:webHidden/>
                <w:sz w:val="21"/>
                <w:szCs w:val="21"/>
              </w:rPr>
            </w:r>
            <w:r w:rsidR="0011227C" w:rsidRPr="00DD7BE8">
              <w:rPr>
                <w:rFonts w:ascii="Palatino Linotype" w:hAnsi="Palatino Linotype"/>
                <w:noProof/>
                <w:webHidden/>
                <w:sz w:val="21"/>
                <w:szCs w:val="21"/>
              </w:rPr>
              <w:fldChar w:fldCharType="separate"/>
            </w:r>
            <w:r w:rsidR="007F3F14">
              <w:rPr>
                <w:rFonts w:ascii="Palatino Linotype" w:hAnsi="Palatino Linotype"/>
                <w:noProof/>
                <w:webHidden/>
                <w:sz w:val="21"/>
                <w:szCs w:val="21"/>
              </w:rPr>
              <w:t>3</w:t>
            </w:r>
            <w:r w:rsidR="0011227C" w:rsidRPr="00DD7BE8">
              <w:rPr>
                <w:rFonts w:ascii="Palatino Linotype" w:hAnsi="Palatino Linotype"/>
                <w:noProof/>
                <w:webHidden/>
                <w:sz w:val="21"/>
                <w:szCs w:val="21"/>
              </w:rPr>
              <w:fldChar w:fldCharType="end"/>
            </w:r>
          </w:hyperlink>
        </w:p>
        <w:p w14:paraId="3EC0FDC4" w14:textId="77777777" w:rsidR="0011227C" w:rsidRPr="00DD7BE8" w:rsidRDefault="00BC3449" w:rsidP="00DD7BE8">
          <w:pPr>
            <w:pStyle w:val="TDC1"/>
            <w:spacing w:line="360" w:lineRule="auto"/>
            <w:ind w:left="0"/>
            <w:rPr>
              <w:rFonts w:ascii="Palatino Linotype" w:hAnsi="Palatino Linotype"/>
              <w:noProof/>
              <w:sz w:val="21"/>
              <w:szCs w:val="21"/>
              <w:lang w:val="es-MX" w:eastAsia="es-MX"/>
            </w:rPr>
          </w:pPr>
          <w:hyperlink w:anchor="_Toc24051508" w:history="1">
            <w:r w:rsidR="0011227C" w:rsidRPr="00DD7BE8">
              <w:rPr>
                <w:rStyle w:val="Hipervnculo"/>
                <w:rFonts w:ascii="Palatino Linotype" w:hAnsi="Palatino Linotype"/>
                <w:b/>
                <w:noProof/>
                <w:sz w:val="21"/>
                <w:szCs w:val="21"/>
              </w:rPr>
              <w:t>CONSIDERANDO</w:t>
            </w:r>
            <w:r w:rsidR="0011227C" w:rsidRPr="00DD7BE8">
              <w:rPr>
                <w:rFonts w:ascii="Palatino Linotype" w:hAnsi="Palatino Linotype"/>
                <w:noProof/>
                <w:webHidden/>
                <w:sz w:val="21"/>
                <w:szCs w:val="21"/>
              </w:rPr>
              <w:tab/>
            </w:r>
            <w:r w:rsidR="0011227C" w:rsidRPr="00DD7BE8">
              <w:rPr>
                <w:rFonts w:ascii="Palatino Linotype" w:hAnsi="Palatino Linotype"/>
                <w:noProof/>
                <w:webHidden/>
                <w:sz w:val="21"/>
                <w:szCs w:val="21"/>
              </w:rPr>
              <w:fldChar w:fldCharType="begin"/>
            </w:r>
            <w:r w:rsidR="0011227C" w:rsidRPr="00DD7BE8">
              <w:rPr>
                <w:rFonts w:ascii="Palatino Linotype" w:hAnsi="Palatino Linotype"/>
                <w:noProof/>
                <w:webHidden/>
                <w:sz w:val="21"/>
                <w:szCs w:val="21"/>
              </w:rPr>
              <w:instrText xml:space="preserve"> PAGEREF _Toc24051508 \h </w:instrText>
            </w:r>
            <w:r w:rsidR="0011227C" w:rsidRPr="00DD7BE8">
              <w:rPr>
                <w:rFonts w:ascii="Palatino Linotype" w:hAnsi="Palatino Linotype"/>
                <w:noProof/>
                <w:webHidden/>
                <w:sz w:val="21"/>
                <w:szCs w:val="21"/>
              </w:rPr>
            </w:r>
            <w:r w:rsidR="0011227C" w:rsidRPr="00DD7BE8">
              <w:rPr>
                <w:rFonts w:ascii="Palatino Linotype" w:hAnsi="Palatino Linotype"/>
                <w:noProof/>
                <w:webHidden/>
                <w:sz w:val="21"/>
                <w:szCs w:val="21"/>
              </w:rPr>
              <w:fldChar w:fldCharType="separate"/>
            </w:r>
            <w:r w:rsidR="007F3F14">
              <w:rPr>
                <w:rFonts w:ascii="Palatino Linotype" w:hAnsi="Palatino Linotype"/>
                <w:noProof/>
                <w:webHidden/>
                <w:sz w:val="21"/>
                <w:szCs w:val="21"/>
              </w:rPr>
              <w:t>17</w:t>
            </w:r>
            <w:r w:rsidR="0011227C" w:rsidRPr="00DD7BE8">
              <w:rPr>
                <w:rFonts w:ascii="Palatino Linotype" w:hAnsi="Palatino Linotype"/>
                <w:noProof/>
                <w:webHidden/>
                <w:sz w:val="21"/>
                <w:szCs w:val="21"/>
              </w:rPr>
              <w:fldChar w:fldCharType="end"/>
            </w:r>
          </w:hyperlink>
        </w:p>
        <w:p w14:paraId="0CD42A10" w14:textId="77777777" w:rsidR="0011227C" w:rsidRPr="00DD7BE8" w:rsidRDefault="00BC3449" w:rsidP="00DD7BE8">
          <w:pPr>
            <w:pStyle w:val="TDC2"/>
            <w:spacing w:line="360" w:lineRule="auto"/>
            <w:ind w:left="0" w:firstLine="0"/>
            <w:rPr>
              <w:rFonts w:ascii="Palatino Linotype" w:hAnsi="Palatino Linotype"/>
              <w:noProof/>
              <w:sz w:val="21"/>
              <w:szCs w:val="21"/>
              <w:lang w:val="es-MX" w:eastAsia="es-MX"/>
            </w:rPr>
          </w:pPr>
          <w:hyperlink w:anchor="_Toc24051509" w:history="1">
            <w:r w:rsidR="0011227C" w:rsidRPr="00DD7BE8">
              <w:rPr>
                <w:rStyle w:val="Hipervnculo"/>
                <w:rFonts w:ascii="Palatino Linotype" w:hAnsi="Palatino Linotype"/>
                <w:b/>
                <w:noProof/>
                <w:sz w:val="21"/>
                <w:szCs w:val="21"/>
              </w:rPr>
              <w:t>PRIMERO. De la competencia</w:t>
            </w:r>
            <w:r w:rsidR="0011227C" w:rsidRPr="00DD7BE8">
              <w:rPr>
                <w:rFonts w:ascii="Palatino Linotype" w:hAnsi="Palatino Linotype"/>
                <w:noProof/>
                <w:webHidden/>
                <w:sz w:val="21"/>
                <w:szCs w:val="21"/>
              </w:rPr>
              <w:tab/>
            </w:r>
            <w:r w:rsidR="0011227C" w:rsidRPr="00DD7BE8">
              <w:rPr>
                <w:rFonts w:ascii="Palatino Linotype" w:hAnsi="Palatino Linotype"/>
                <w:noProof/>
                <w:webHidden/>
                <w:sz w:val="21"/>
                <w:szCs w:val="21"/>
              </w:rPr>
              <w:fldChar w:fldCharType="begin"/>
            </w:r>
            <w:r w:rsidR="0011227C" w:rsidRPr="00DD7BE8">
              <w:rPr>
                <w:rFonts w:ascii="Palatino Linotype" w:hAnsi="Palatino Linotype"/>
                <w:noProof/>
                <w:webHidden/>
                <w:sz w:val="21"/>
                <w:szCs w:val="21"/>
              </w:rPr>
              <w:instrText xml:space="preserve"> PAGEREF _Toc24051509 \h </w:instrText>
            </w:r>
            <w:r w:rsidR="0011227C" w:rsidRPr="00DD7BE8">
              <w:rPr>
                <w:rFonts w:ascii="Palatino Linotype" w:hAnsi="Palatino Linotype"/>
                <w:noProof/>
                <w:webHidden/>
                <w:sz w:val="21"/>
                <w:szCs w:val="21"/>
              </w:rPr>
            </w:r>
            <w:r w:rsidR="0011227C" w:rsidRPr="00DD7BE8">
              <w:rPr>
                <w:rFonts w:ascii="Palatino Linotype" w:hAnsi="Palatino Linotype"/>
                <w:noProof/>
                <w:webHidden/>
                <w:sz w:val="21"/>
                <w:szCs w:val="21"/>
              </w:rPr>
              <w:fldChar w:fldCharType="separate"/>
            </w:r>
            <w:r w:rsidR="007F3F14">
              <w:rPr>
                <w:rFonts w:ascii="Palatino Linotype" w:hAnsi="Palatino Linotype"/>
                <w:noProof/>
                <w:webHidden/>
                <w:sz w:val="21"/>
                <w:szCs w:val="21"/>
              </w:rPr>
              <w:t>17</w:t>
            </w:r>
            <w:r w:rsidR="0011227C" w:rsidRPr="00DD7BE8">
              <w:rPr>
                <w:rFonts w:ascii="Palatino Linotype" w:hAnsi="Palatino Linotype"/>
                <w:noProof/>
                <w:webHidden/>
                <w:sz w:val="21"/>
                <w:szCs w:val="21"/>
              </w:rPr>
              <w:fldChar w:fldCharType="end"/>
            </w:r>
          </w:hyperlink>
        </w:p>
        <w:p w14:paraId="425E63D5" w14:textId="77777777" w:rsidR="0011227C" w:rsidRPr="00DD7BE8" w:rsidRDefault="00BC3449" w:rsidP="00DD7BE8">
          <w:pPr>
            <w:pStyle w:val="TDC2"/>
            <w:spacing w:line="360" w:lineRule="auto"/>
            <w:ind w:left="0" w:firstLine="0"/>
            <w:rPr>
              <w:rFonts w:ascii="Palatino Linotype" w:hAnsi="Palatino Linotype"/>
              <w:noProof/>
              <w:sz w:val="21"/>
              <w:szCs w:val="21"/>
              <w:lang w:val="es-MX" w:eastAsia="es-MX"/>
            </w:rPr>
          </w:pPr>
          <w:hyperlink w:anchor="_Toc24051510" w:history="1">
            <w:r w:rsidR="0011227C" w:rsidRPr="00DD7BE8">
              <w:rPr>
                <w:rStyle w:val="Hipervnculo"/>
                <w:rFonts w:ascii="Palatino Linotype" w:hAnsi="Palatino Linotype"/>
                <w:b/>
                <w:noProof/>
                <w:sz w:val="21"/>
                <w:szCs w:val="21"/>
              </w:rPr>
              <w:t>SEGUNDO. De la oportunidad y procedencia.</w:t>
            </w:r>
            <w:r w:rsidR="0011227C" w:rsidRPr="00DD7BE8">
              <w:rPr>
                <w:rFonts w:ascii="Palatino Linotype" w:hAnsi="Palatino Linotype"/>
                <w:noProof/>
                <w:webHidden/>
                <w:sz w:val="21"/>
                <w:szCs w:val="21"/>
              </w:rPr>
              <w:tab/>
            </w:r>
            <w:r w:rsidR="0011227C" w:rsidRPr="00DD7BE8">
              <w:rPr>
                <w:rFonts w:ascii="Palatino Linotype" w:hAnsi="Palatino Linotype"/>
                <w:noProof/>
                <w:webHidden/>
                <w:sz w:val="21"/>
                <w:szCs w:val="21"/>
              </w:rPr>
              <w:fldChar w:fldCharType="begin"/>
            </w:r>
            <w:r w:rsidR="0011227C" w:rsidRPr="00DD7BE8">
              <w:rPr>
                <w:rFonts w:ascii="Palatino Linotype" w:hAnsi="Palatino Linotype"/>
                <w:noProof/>
                <w:webHidden/>
                <w:sz w:val="21"/>
                <w:szCs w:val="21"/>
              </w:rPr>
              <w:instrText xml:space="preserve"> PAGEREF _Toc24051510 \h </w:instrText>
            </w:r>
            <w:r w:rsidR="0011227C" w:rsidRPr="00DD7BE8">
              <w:rPr>
                <w:rFonts w:ascii="Palatino Linotype" w:hAnsi="Palatino Linotype"/>
                <w:noProof/>
                <w:webHidden/>
                <w:sz w:val="21"/>
                <w:szCs w:val="21"/>
              </w:rPr>
            </w:r>
            <w:r w:rsidR="0011227C" w:rsidRPr="00DD7BE8">
              <w:rPr>
                <w:rFonts w:ascii="Palatino Linotype" w:hAnsi="Palatino Linotype"/>
                <w:noProof/>
                <w:webHidden/>
                <w:sz w:val="21"/>
                <w:szCs w:val="21"/>
              </w:rPr>
              <w:fldChar w:fldCharType="separate"/>
            </w:r>
            <w:r w:rsidR="007F3F14">
              <w:rPr>
                <w:rFonts w:ascii="Palatino Linotype" w:hAnsi="Palatino Linotype"/>
                <w:noProof/>
                <w:webHidden/>
                <w:sz w:val="21"/>
                <w:szCs w:val="21"/>
              </w:rPr>
              <w:t>18</w:t>
            </w:r>
            <w:r w:rsidR="0011227C" w:rsidRPr="00DD7BE8">
              <w:rPr>
                <w:rFonts w:ascii="Palatino Linotype" w:hAnsi="Palatino Linotype"/>
                <w:noProof/>
                <w:webHidden/>
                <w:sz w:val="21"/>
                <w:szCs w:val="21"/>
              </w:rPr>
              <w:fldChar w:fldCharType="end"/>
            </w:r>
          </w:hyperlink>
        </w:p>
        <w:p w14:paraId="3A28A8D0" w14:textId="77777777" w:rsidR="0011227C" w:rsidRPr="00DD7BE8" w:rsidRDefault="00BC3449" w:rsidP="00DD7BE8">
          <w:pPr>
            <w:pStyle w:val="TDC1"/>
            <w:spacing w:line="360" w:lineRule="auto"/>
            <w:ind w:left="0"/>
            <w:rPr>
              <w:rFonts w:ascii="Palatino Linotype" w:hAnsi="Palatino Linotype"/>
              <w:noProof/>
              <w:sz w:val="21"/>
              <w:szCs w:val="21"/>
              <w:lang w:val="es-MX" w:eastAsia="es-MX"/>
            </w:rPr>
          </w:pPr>
          <w:hyperlink w:anchor="_Toc24051511" w:history="1">
            <w:r w:rsidR="0011227C" w:rsidRPr="00DD7BE8">
              <w:rPr>
                <w:rStyle w:val="Hipervnculo"/>
                <w:rFonts w:ascii="Palatino Linotype" w:hAnsi="Palatino Linotype"/>
                <w:b/>
                <w:noProof/>
                <w:sz w:val="21"/>
                <w:szCs w:val="21"/>
              </w:rPr>
              <w:t xml:space="preserve">TERCERO. Del planteamiento de la </w:t>
            </w:r>
            <w:r w:rsidR="0011227C" w:rsidRPr="00DD7BE8">
              <w:rPr>
                <w:rStyle w:val="Hipervnculo"/>
                <w:rFonts w:ascii="Palatino Linotype" w:hAnsi="Palatino Linotype"/>
                <w:b/>
                <w:i/>
                <w:noProof/>
                <w:sz w:val="21"/>
                <w:szCs w:val="21"/>
              </w:rPr>
              <w:t>Litis.</w:t>
            </w:r>
            <w:r w:rsidR="0011227C" w:rsidRPr="00DD7BE8">
              <w:rPr>
                <w:rFonts w:ascii="Palatino Linotype" w:hAnsi="Palatino Linotype"/>
                <w:noProof/>
                <w:webHidden/>
                <w:sz w:val="21"/>
                <w:szCs w:val="21"/>
              </w:rPr>
              <w:tab/>
            </w:r>
            <w:r w:rsidR="0011227C" w:rsidRPr="00DD7BE8">
              <w:rPr>
                <w:rFonts w:ascii="Palatino Linotype" w:hAnsi="Palatino Linotype"/>
                <w:noProof/>
                <w:webHidden/>
                <w:sz w:val="21"/>
                <w:szCs w:val="21"/>
              </w:rPr>
              <w:fldChar w:fldCharType="begin"/>
            </w:r>
            <w:r w:rsidR="0011227C" w:rsidRPr="00DD7BE8">
              <w:rPr>
                <w:rFonts w:ascii="Palatino Linotype" w:hAnsi="Palatino Linotype"/>
                <w:noProof/>
                <w:webHidden/>
                <w:sz w:val="21"/>
                <w:szCs w:val="21"/>
              </w:rPr>
              <w:instrText xml:space="preserve"> PAGEREF _Toc24051511 \h </w:instrText>
            </w:r>
            <w:r w:rsidR="0011227C" w:rsidRPr="00DD7BE8">
              <w:rPr>
                <w:rFonts w:ascii="Palatino Linotype" w:hAnsi="Palatino Linotype"/>
                <w:noProof/>
                <w:webHidden/>
                <w:sz w:val="21"/>
                <w:szCs w:val="21"/>
              </w:rPr>
            </w:r>
            <w:r w:rsidR="0011227C" w:rsidRPr="00DD7BE8">
              <w:rPr>
                <w:rFonts w:ascii="Palatino Linotype" w:hAnsi="Palatino Linotype"/>
                <w:noProof/>
                <w:webHidden/>
                <w:sz w:val="21"/>
                <w:szCs w:val="21"/>
              </w:rPr>
              <w:fldChar w:fldCharType="separate"/>
            </w:r>
            <w:r w:rsidR="007F3F14">
              <w:rPr>
                <w:rFonts w:ascii="Palatino Linotype" w:hAnsi="Palatino Linotype"/>
                <w:noProof/>
                <w:webHidden/>
                <w:sz w:val="21"/>
                <w:szCs w:val="21"/>
              </w:rPr>
              <w:t>19</w:t>
            </w:r>
            <w:r w:rsidR="0011227C" w:rsidRPr="00DD7BE8">
              <w:rPr>
                <w:rFonts w:ascii="Palatino Linotype" w:hAnsi="Palatino Linotype"/>
                <w:noProof/>
                <w:webHidden/>
                <w:sz w:val="21"/>
                <w:szCs w:val="21"/>
              </w:rPr>
              <w:fldChar w:fldCharType="end"/>
            </w:r>
          </w:hyperlink>
        </w:p>
        <w:p w14:paraId="44E10383" w14:textId="77777777" w:rsidR="0011227C" w:rsidRPr="00DD7BE8" w:rsidRDefault="00BC3449" w:rsidP="00DD7BE8">
          <w:pPr>
            <w:pStyle w:val="TDC1"/>
            <w:spacing w:line="360" w:lineRule="auto"/>
            <w:ind w:left="0"/>
            <w:rPr>
              <w:rFonts w:ascii="Palatino Linotype" w:hAnsi="Palatino Linotype"/>
              <w:noProof/>
              <w:sz w:val="21"/>
              <w:szCs w:val="21"/>
              <w:lang w:val="es-MX" w:eastAsia="es-MX"/>
            </w:rPr>
          </w:pPr>
          <w:hyperlink w:anchor="_Toc24051512" w:history="1">
            <w:r w:rsidR="0011227C" w:rsidRPr="00DD7BE8">
              <w:rPr>
                <w:rStyle w:val="Hipervnculo"/>
                <w:rFonts w:ascii="Palatino Linotype" w:hAnsi="Palatino Linotype"/>
                <w:b/>
                <w:noProof/>
                <w:sz w:val="21"/>
                <w:szCs w:val="21"/>
              </w:rPr>
              <w:t>CUARTO.</w:t>
            </w:r>
            <w:r w:rsidR="0011227C" w:rsidRPr="00DD7BE8">
              <w:rPr>
                <w:rStyle w:val="Hipervnculo"/>
                <w:rFonts w:ascii="Palatino Linotype" w:hAnsi="Palatino Linotype"/>
                <w:noProof/>
                <w:sz w:val="21"/>
                <w:szCs w:val="21"/>
              </w:rPr>
              <w:t xml:space="preserve"> </w:t>
            </w:r>
            <w:r w:rsidR="0011227C" w:rsidRPr="00DD7BE8">
              <w:rPr>
                <w:rStyle w:val="Hipervnculo"/>
                <w:rFonts w:ascii="Palatino Linotype" w:hAnsi="Palatino Linotype"/>
                <w:b/>
                <w:noProof/>
                <w:sz w:val="21"/>
                <w:szCs w:val="21"/>
              </w:rPr>
              <w:t>Del estudio y resolución del asunto.</w:t>
            </w:r>
            <w:r w:rsidR="0011227C" w:rsidRPr="00DD7BE8">
              <w:rPr>
                <w:rFonts w:ascii="Palatino Linotype" w:hAnsi="Palatino Linotype"/>
                <w:noProof/>
                <w:webHidden/>
                <w:sz w:val="21"/>
                <w:szCs w:val="21"/>
              </w:rPr>
              <w:tab/>
            </w:r>
            <w:r w:rsidR="0011227C" w:rsidRPr="00DD7BE8">
              <w:rPr>
                <w:rFonts w:ascii="Palatino Linotype" w:hAnsi="Palatino Linotype"/>
                <w:noProof/>
                <w:webHidden/>
                <w:sz w:val="21"/>
                <w:szCs w:val="21"/>
              </w:rPr>
              <w:fldChar w:fldCharType="begin"/>
            </w:r>
            <w:r w:rsidR="0011227C" w:rsidRPr="00DD7BE8">
              <w:rPr>
                <w:rFonts w:ascii="Palatino Linotype" w:hAnsi="Palatino Linotype"/>
                <w:noProof/>
                <w:webHidden/>
                <w:sz w:val="21"/>
                <w:szCs w:val="21"/>
              </w:rPr>
              <w:instrText xml:space="preserve"> PAGEREF _Toc24051512 \h </w:instrText>
            </w:r>
            <w:r w:rsidR="0011227C" w:rsidRPr="00DD7BE8">
              <w:rPr>
                <w:rFonts w:ascii="Palatino Linotype" w:hAnsi="Palatino Linotype"/>
                <w:noProof/>
                <w:webHidden/>
                <w:sz w:val="21"/>
                <w:szCs w:val="21"/>
              </w:rPr>
            </w:r>
            <w:r w:rsidR="0011227C" w:rsidRPr="00DD7BE8">
              <w:rPr>
                <w:rFonts w:ascii="Palatino Linotype" w:hAnsi="Palatino Linotype"/>
                <w:noProof/>
                <w:webHidden/>
                <w:sz w:val="21"/>
                <w:szCs w:val="21"/>
              </w:rPr>
              <w:fldChar w:fldCharType="separate"/>
            </w:r>
            <w:r w:rsidR="007F3F14">
              <w:rPr>
                <w:rFonts w:ascii="Palatino Linotype" w:hAnsi="Palatino Linotype"/>
                <w:noProof/>
                <w:webHidden/>
                <w:sz w:val="21"/>
                <w:szCs w:val="21"/>
              </w:rPr>
              <w:t>20</w:t>
            </w:r>
            <w:r w:rsidR="0011227C" w:rsidRPr="00DD7BE8">
              <w:rPr>
                <w:rFonts w:ascii="Palatino Linotype" w:hAnsi="Palatino Linotype"/>
                <w:noProof/>
                <w:webHidden/>
                <w:sz w:val="21"/>
                <w:szCs w:val="21"/>
              </w:rPr>
              <w:fldChar w:fldCharType="end"/>
            </w:r>
          </w:hyperlink>
        </w:p>
        <w:p w14:paraId="07508B2A" w14:textId="77777777" w:rsidR="0011227C" w:rsidRPr="00DD7BE8" w:rsidRDefault="00BC3449" w:rsidP="00DD7BE8">
          <w:pPr>
            <w:pStyle w:val="TDC1"/>
            <w:spacing w:line="360" w:lineRule="auto"/>
            <w:ind w:left="0"/>
            <w:rPr>
              <w:rFonts w:ascii="Palatino Linotype" w:hAnsi="Palatino Linotype"/>
              <w:noProof/>
              <w:sz w:val="21"/>
              <w:szCs w:val="21"/>
              <w:lang w:val="es-MX" w:eastAsia="es-MX"/>
            </w:rPr>
          </w:pPr>
          <w:hyperlink w:anchor="_Toc24051513" w:history="1">
            <w:r w:rsidR="0011227C" w:rsidRPr="00DD7BE8">
              <w:rPr>
                <w:rStyle w:val="Hipervnculo"/>
                <w:rFonts w:ascii="Palatino Linotype" w:eastAsiaTheme="majorEastAsia" w:hAnsi="Palatino Linotype" w:cstheme="majorBidi"/>
                <w:b/>
                <w:noProof/>
                <w:sz w:val="21"/>
                <w:szCs w:val="21"/>
                <w:lang w:val="es-MX" w:eastAsia="en-US"/>
              </w:rPr>
              <w:t>I. Del deber de las autoridades de promover, respetar, proteger, y garantizar el derecho de acceso a la información pública.</w:t>
            </w:r>
            <w:r w:rsidR="0011227C" w:rsidRPr="00DD7BE8">
              <w:rPr>
                <w:rFonts w:ascii="Palatino Linotype" w:hAnsi="Palatino Linotype"/>
                <w:noProof/>
                <w:webHidden/>
                <w:sz w:val="21"/>
                <w:szCs w:val="21"/>
              </w:rPr>
              <w:tab/>
            </w:r>
            <w:r w:rsidR="0011227C" w:rsidRPr="00DD7BE8">
              <w:rPr>
                <w:rFonts w:ascii="Palatino Linotype" w:hAnsi="Palatino Linotype"/>
                <w:noProof/>
                <w:webHidden/>
                <w:sz w:val="21"/>
                <w:szCs w:val="21"/>
              </w:rPr>
              <w:fldChar w:fldCharType="begin"/>
            </w:r>
            <w:r w:rsidR="0011227C" w:rsidRPr="00DD7BE8">
              <w:rPr>
                <w:rFonts w:ascii="Palatino Linotype" w:hAnsi="Palatino Linotype"/>
                <w:noProof/>
                <w:webHidden/>
                <w:sz w:val="21"/>
                <w:szCs w:val="21"/>
              </w:rPr>
              <w:instrText xml:space="preserve"> PAGEREF _Toc24051513 \h </w:instrText>
            </w:r>
            <w:r w:rsidR="0011227C" w:rsidRPr="00DD7BE8">
              <w:rPr>
                <w:rFonts w:ascii="Palatino Linotype" w:hAnsi="Palatino Linotype"/>
                <w:noProof/>
                <w:webHidden/>
                <w:sz w:val="21"/>
                <w:szCs w:val="21"/>
              </w:rPr>
            </w:r>
            <w:r w:rsidR="0011227C" w:rsidRPr="00DD7BE8">
              <w:rPr>
                <w:rFonts w:ascii="Palatino Linotype" w:hAnsi="Palatino Linotype"/>
                <w:noProof/>
                <w:webHidden/>
                <w:sz w:val="21"/>
                <w:szCs w:val="21"/>
              </w:rPr>
              <w:fldChar w:fldCharType="separate"/>
            </w:r>
            <w:r w:rsidR="007F3F14">
              <w:rPr>
                <w:rFonts w:ascii="Palatino Linotype" w:hAnsi="Palatino Linotype"/>
                <w:noProof/>
                <w:webHidden/>
                <w:sz w:val="21"/>
                <w:szCs w:val="21"/>
              </w:rPr>
              <w:t>20</w:t>
            </w:r>
            <w:r w:rsidR="0011227C" w:rsidRPr="00DD7BE8">
              <w:rPr>
                <w:rFonts w:ascii="Palatino Linotype" w:hAnsi="Palatino Linotype"/>
                <w:noProof/>
                <w:webHidden/>
                <w:sz w:val="21"/>
                <w:szCs w:val="21"/>
              </w:rPr>
              <w:fldChar w:fldCharType="end"/>
            </w:r>
          </w:hyperlink>
        </w:p>
        <w:p w14:paraId="37F7842E" w14:textId="77777777" w:rsidR="0011227C" w:rsidRPr="00DD7BE8" w:rsidRDefault="00BC3449" w:rsidP="00DD7BE8">
          <w:pPr>
            <w:pStyle w:val="TDC1"/>
            <w:spacing w:line="360" w:lineRule="auto"/>
            <w:ind w:left="0"/>
            <w:rPr>
              <w:rFonts w:ascii="Palatino Linotype" w:hAnsi="Palatino Linotype"/>
              <w:noProof/>
              <w:sz w:val="21"/>
              <w:szCs w:val="21"/>
              <w:lang w:val="es-MX" w:eastAsia="es-MX"/>
            </w:rPr>
          </w:pPr>
          <w:hyperlink w:anchor="_Toc24051514" w:history="1">
            <w:r w:rsidR="0011227C" w:rsidRPr="00DD7BE8">
              <w:rPr>
                <w:rStyle w:val="Hipervnculo"/>
                <w:rFonts w:ascii="Palatino Linotype" w:eastAsiaTheme="majorEastAsia" w:hAnsi="Palatino Linotype" w:cstheme="majorBidi"/>
                <w:b/>
                <w:noProof/>
                <w:sz w:val="21"/>
                <w:szCs w:val="21"/>
                <w:lang w:val="es-MX" w:eastAsia="en-US"/>
              </w:rPr>
              <w:t>II.  De la respuesta emitida por el Sujeto Obligado.</w:t>
            </w:r>
            <w:r w:rsidR="0011227C" w:rsidRPr="00DD7BE8">
              <w:rPr>
                <w:rFonts w:ascii="Palatino Linotype" w:hAnsi="Palatino Linotype"/>
                <w:noProof/>
                <w:webHidden/>
                <w:sz w:val="21"/>
                <w:szCs w:val="21"/>
              </w:rPr>
              <w:tab/>
            </w:r>
            <w:r w:rsidR="0011227C" w:rsidRPr="00DD7BE8">
              <w:rPr>
                <w:rFonts w:ascii="Palatino Linotype" w:hAnsi="Palatino Linotype"/>
                <w:noProof/>
                <w:webHidden/>
                <w:sz w:val="21"/>
                <w:szCs w:val="21"/>
              </w:rPr>
              <w:fldChar w:fldCharType="begin"/>
            </w:r>
            <w:r w:rsidR="0011227C" w:rsidRPr="00DD7BE8">
              <w:rPr>
                <w:rFonts w:ascii="Palatino Linotype" w:hAnsi="Palatino Linotype"/>
                <w:noProof/>
                <w:webHidden/>
                <w:sz w:val="21"/>
                <w:szCs w:val="21"/>
              </w:rPr>
              <w:instrText xml:space="preserve"> PAGEREF _Toc24051514 \h </w:instrText>
            </w:r>
            <w:r w:rsidR="0011227C" w:rsidRPr="00DD7BE8">
              <w:rPr>
                <w:rFonts w:ascii="Palatino Linotype" w:hAnsi="Palatino Linotype"/>
                <w:noProof/>
                <w:webHidden/>
                <w:sz w:val="21"/>
                <w:szCs w:val="21"/>
              </w:rPr>
            </w:r>
            <w:r w:rsidR="0011227C" w:rsidRPr="00DD7BE8">
              <w:rPr>
                <w:rFonts w:ascii="Palatino Linotype" w:hAnsi="Palatino Linotype"/>
                <w:noProof/>
                <w:webHidden/>
                <w:sz w:val="21"/>
                <w:szCs w:val="21"/>
              </w:rPr>
              <w:fldChar w:fldCharType="separate"/>
            </w:r>
            <w:r w:rsidR="007F3F14">
              <w:rPr>
                <w:rFonts w:ascii="Palatino Linotype" w:hAnsi="Palatino Linotype"/>
                <w:noProof/>
                <w:webHidden/>
                <w:sz w:val="21"/>
                <w:szCs w:val="21"/>
              </w:rPr>
              <w:t>23</w:t>
            </w:r>
            <w:r w:rsidR="0011227C" w:rsidRPr="00DD7BE8">
              <w:rPr>
                <w:rFonts w:ascii="Palatino Linotype" w:hAnsi="Palatino Linotype"/>
                <w:noProof/>
                <w:webHidden/>
                <w:sz w:val="21"/>
                <w:szCs w:val="21"/>
              </w:rPr>
              <w:fldChar w:fldCharType="end"/>
            </w:r>
          </w:hyperlink>
        </w:p>
        <w:p w14:paraId="2D969BD9" w14:textId="77777777" w:rsidR="0011227C" w:rsidRPr="00DD7BE8" w:rsidRDefault="00BC3449" w:rsidP="00DD7BE8">
          <w:pPr>
            <w:pStyle w:val="TDC1"/>
            <w:spacing w:line="360" w:lineRule="auto"/>
            <w:ind w:left="0"/>
            <w:rPr>
              <w:rFonts w:ascii="Palatino Linotype" w:hAnsi="Palatino Linotype"/>
              <w:noProof/>
              <w:sz w:val="21"/>
              <w:szCs w:val="21"/>
              <w:lang w:val="es-MX" w:eastAsia="es-MX"/>
            </w:rPr>
          </w:pPr>
          <w:hyperlink w:anchor="_Toc24051515" w:history="1">
            <w:r w:rsidR="0011227C" w:rsidRPr="00DD7BE8">
              <w:rPr>
                <w:rStyle w:val="Hipervnculo"/>
                <w:rFonts w:ascii="Palatino Linotype" w:eastAsiaTheme="majorEastAsia" w:hAnsi="Palatino Linotype" w:cstheme="majorBidi"/>
                <w:b/>
                <w:noProof/>
                <w:sz w:val="21"/>
                <w:szCs w:val="21"/>
                <w:lang w:val="es-MX" w:eastAsia="en-US"/>
              </w:rPr>
              <w:t>a) Análisis de la reserva en términos del artículo 140, fracción I, de la Ley de Trasparencia y Acceso a la Información Pública del Estado de México y Municipios.</w:t>
            </w:r>
            <w:r w:rsidR="0011227C" w:rsidRPr="00DD7BE8">
              <w:rPr>
                <w:rFonts w:ascii="Palatino Linotype" w:hAnsi="Palatino Linotype"/>
                <w:noProof/>
                <w:webHidden/>
                <w:sz w:val="21"/>
                <w:szCs w:val="21"/>
              </w:rPr>
              <w:tab/>
            </w:r>
            <w:r w:rsidR="0011227C" w:rsidRPr="00DD7BE8">
              <w:rPr>
                <w:rFonts w:ascii="Palatino Linotype" w:hAnsi="Palatino Linotype"/>
                <w:noProof/>
                <w:webHidden/>
                <w:sz w:val="21"/>
                <w:szCs w:val="21"/>
              </w:rPr>
              <w:fldChar w:fldCharType="begin"/>
            </w:r>
            <w:r w:rsidR="0011227C" w:rsidRPr="00DD7BE8">
              <w:rPr>
                <w:rFonts w:ascii="Palatino Linotype" w:hAnsi="Palatino Linotype"/>
                <w:noProof/>
                <w:webHidden/>
                <w:sz w:val="21"/>
                <w:szCs w:val="21"/>
              </w:rPr>
              <w:instrText xml:space="preserve"> PAGEREF _Toc24051515 \h </w:instrText>
            </w:r>
            <w:r w:rsidR="0011227C" w:rsidRPr="00DD7BE8">
              <w:rPr>
                <w:rFonts w:ascii="Palatino Linotype" w:hAnsi="Palatino Linotype"/>
                <w:noProof/>
                <w:webHidden/>
                <w:sz w:val="21"/>
                <w:szCs w:val="21"/>
              </w:rPr>
            </w:r>
            <w:r w:rsidR="0011227C" w:rsidRPr="00DD7BE8">
              <w:rPr>
                <w:rFonts w:ascii="Palatino Linotype" w:hAnsi="Palatino Linotype"/>
                <w:noProof/>
                <w:webHidden/>
                <w:sz w:val="21"/>
                <w:szCs w:val="21"/>
              </w:rPr>
              <w:fldChar w:fldCharType="separate"/>
            </w:r>
            <w:r w:rsidR="007F3F14">
              <w:rPr>
                <w:rFonts w:ascii="Palatino Linotype" w:hAnsi="Palatino Linotype"/>
                <w:noProof/>
                <w:webHidden/>
                <w:sz w:val="21"/>
                <w:szCs w:val="21"/>
              </w:rPr>
              <w:t>31</w:t>
            </w:r>
            <w:r w:rsidR="0011227C" w:rsidRPr="00DD7BE8">
              <w:rPr>
                <w:rFonts w:ascii="Palatino Linotype" w:hAnsi="Palatino Linotype"/>
                <w:noProof/>
                <w:webHidden/>
                <w:sz w:val="21"/>
                <w:szCs w:val="21"/>
              </w:rPr>
              <w:fldChar w:fldCharType="end"/>
            </w:r>
          </w:hyperlink>
        </w:p>
        <w:p w14:paraId="05E5A416" w14:textId="77777777" w:rsidR="0011227C" w:rsidRPr="00DD7BE8" w:rsidRDefault="00BC3449" w:rsidP="00DD7BE8">
          <w:pPr>
            <w:pStyle w:val="TDC2"/>
            <w:spacing w:line="360" w:lineRule="auto"/>
            <w:ind w:left="0" w:firstLine="0"/>
            <w:rPr>
              <w:rFonts w:ascii="Palatino Linotype" w:hAnsi="Palatino Linotype"/>
              <w:noProof/>
              <w:sz w:val="21"/>
              <w:szCs w:val="21"/>
              <w:lang w:val="es-MX" w:eastAsia="es-MX"/>
            </w:rPr>
          </w:pPr>
          <w:hyperlink w:anchor="_Toc24051516" w:history="1">
            <w:r w:rsidR="0011227C" w:rsidRPr="00DD7BE8">
              <w:rPr>
                <w:rStyle w:val="Hipervnculo"/>
                <w:rFonts w:ascii="Palatino Linotype" w:eastAsiaTheme="majorEastAsia" w:hAnsi="Palatino Linotype" w:cs="Times New Roman"/>
                <w:b/>
                <w:noProof/>
                <w:sz w:val="21"/>
                <w:szCs w:val="21"/>
                <w:lang w:val="es-MX" w:eastAsia="es-ES_tradnl"/>
              </w:rPr>
              <w:t>QUINTO. De la versión pública.</w:t>
            </w:r>
            <w:r w:rsidR="0011227C" w:rsidRPr="00DD7BE8">
              <w:rPr>
                <w:rFonts w:ascii="Palatino Linotype" w:hAnsi="Palatino Linotype"/>
                <w:noProof/>
                <w:webHidden/>
                <w:sz w:val="21"/>
                <w:szCs w:val="21"/>
              </w:rPr>
              <w:tab/>
            </w:r>
            <w:r w:rsidR="0011227C" w:rsidRPr="00DD7BE8">
              <w:rPr>
                <w:rFonts w:ascii="Palatino Linotype" w:hAnsi="Palatino Linotype"/>
                <w:noProof/>
                <w:webHidden/>
                <w:sz w:val="21"/>
                <w:szCs w:val="21"/>
              </w:rPr>
              <w:fldChar w:fldCharType="begin"/>
            </w:r>
            <w:r w:rsidR="0011227C" w:rsidRPr="00DD7BE8">
              <w:rPr>
                <w:rFonts w:ascii="Palatino Linotype" w:hAnsi="Palatino Linotype"/>
                <w:noProof/>
                <w:webHidden/>
                <w:sz w:val="21"/>
                <w:szCs w:val="21"/>
              </w:rPr>
              <w:instrText xml:space="preserve"> PAGEREF _Toc24051516 \h </w:instrText>
            </w:r>
            <w:r w:rsidR="0011227C" w:rsidRPr="00DD7BE8">
              <w:rPr>
                <w:rFonts w:ascii="Palatino Linotype" w:hAnsi="Palatino Linotype"/>
                <w:noProof/>
                <w:webHidden/>
                <w:sz w:val="21"/>
                <w:szCs w:val="21"/>
              </w:rPr>
            </w:r>
            <w:r w:rsidR="0011227C" w:rsidRPr="00DD7BE8">
              <w:rPr>
                <w:rFonts w:ascii="Palatino Linotype" w:hAnsi="Palatino Linotype"/>
                <w:noProof/>
                <w:webHidden/>
                <w:sz w:val="21"/>
                <w:szCs w:val="21"/>
              </w:rPr>
              <w:fldChar w:fldCharType="separate"/>
            </w:r>
            <w:r w:rsidR="007F3F14">
              <w:rPr>
                <w:rFonts w:ascii="Palatino Linotype" w:hAnsi="Palatino Linotype"/>
                <w:noProof/>
                <w:webHidden/>
                <w:sz w:val="21"/>
                <w:szCs w:val="21"/>
              </w:rPr>
              <w:t>38</w:t>
            </w:r>
            <w:r w:rsidR="0011227C" w:rsidRPr="00DD7BE8">
              <w:rPr>
                <w:rFonts w:ascii="Palatino Linotype" w:hAnsi="Palatino Linotype"/>
                <w:noProof/>
                <w:webHidden/>
                <w:sz w:val="21"/>
                <w:szCs w:val="21"/>
              </w:rPr>
              <w:fldChar w:fldCharType="end"/>
            </w:r>
          </w:hyperlink>
        </w:p>
        <w:p w14:paraId="55D481B5" w14:textId="77777777" w:rsidR="0011227C" w:rsidRPr="00DD7BE8" w:rsidRDefault="00BC3449" w:rsidP="00DD7BE8">
          <w:pPr>
            <w:pStyle w:val="TDC1"/>
            <w:spacing w:line="360" w:lineRule="auto"/>
            <w:ind w:left="0"/>
            <w:rPr>
              <w:rFonts w:ascii="Palatino Linotype" w:hAnsi="Palatino Linotype"/>
              <w:noProof/>
              <w:sz w:val="21"/>
              <w:szCs w:val="21"/>
              <w:lang w:val="es-MX" w:eastAsia="es-MX"/>
            </w:rPr>
          </w:pPr>
          <w:hyperlink w:anchor="_Toc24051517" w:history="1">
            <w:r w:rsidR="0011227C" w:rsidRPr="00DD7BE8">
              <w:rPr>
                <w:rStyle w:val="Hipervnculo"/>
                <w:rFonts w:ascii="Palatino Linotype" w:eastAsiaTheme="majorEastAsia" w:hAnsi="Palatino Linotype" w:cstheme="majorBidi"/>
                <w:b/>
                <w:noProof/>
                <w:sz w:val="21"/>
                <w:szCs w:val="21"/>
                <w:lang w:val="es-MX" w:eastAsia="en-US"/>
              </w:rPr>
              <w:t>I. Requisitos previos.</w:t>
            </w:r>
            <w:r w:rsidR="0011227C" w:rsidRPr="00DD7BE8">
              <w:rPr>
                <w:rFonts w:ascii="Palatino Linotype" w:hAnsi="Palatino Linotype"/>
                <w:noProof/>
                <w:webHidden/>
                <w:sz w:val="21"/>
                <w:szCs w:val="21"/>
              </w:rPr>
              <w:tab/>
            </w:r>
            <w:r w:rsidR="0011227C" w:rsidRPr="00DD7BE8">
              <w:rPr>
                <w:rFonts w:ascii="Palatino Linotype" w:hAnsi="Palatino Linotype"/>
                <w:noProof/>
                <w:webHidden/>
                <w:sz w:val="21"/>
                <w:szCs w:val="21"/>
              </w:rPr>
              <w:fldChar w:fldCharType="begin"/>
            </w:r>
            <w:r w:rsidR="0011227C" w:rsidRPr="00DD7BE8">
              <w:rPr>
                <w:rFonts w:ascii="Palatino Linotype" w:hAnsi="Palatino Linotype"/>
                <w:noProof/>
                <w:webHidden/>
                <w:sz w:val="21"/>
                <w:szCs w:val="21"/>
              </w:rPr>
              <w:instrText xml:space="preserve"> PAGEREF _Toc24051517 \h </w:instrText>
            </w:r>
            <w:r w:rsidR="0011227C" w:rsidRPr="00DD7BE8">
              <w:rPr>
                <w:rFonts w:ascii="Palatino Linotype" w:hAnsi="Palatino Linotype"/>
                <w:noProof/>
                <w:webHidden/>
                <w:sz w:val="21"/>
                <w:szCs w:val="21"/>
              </w:rPr>
            </w:r>
            <w:r w:rsidR="0011227C" w:rsidRPr="00DD7BE8">
              <w:rPr>
                <w:rFonts w:ascii="Palatino Linotype" w:hAnsi="Palatino Linotype"/>
                <w:noProof/>
                <w:webHidden/>
                <w:sz w:val="21"/>
                <w:szCs w:val="21"/>
              </w:rPr>
              <w:fldChar w:fldCharType="separate"/>
            </w:r>
            <w:r w:rsidR="007F3F14">
              <w:rPr>
                <w:rFonts w:ascii="Palatino Linotype" w:hAnsi="Palatino Linotype"/>
                <w:noProof/>
                <w:webHidden/>
                <w:sz w:val="21"/>
                <w:szCs w:val="21"/>
              </w:rPr>
              <w:t>40</w:t>
            </w:r>
            <w:r w:rsidR="0011227C" w:rsidRPr="00DD7BE8">
              <w:rPr>
                <w:rFonts w:ascii="Palatino Linotype" w:hAnsi="Palatino Linotype"/>
                <w:noProof/>
                <w:webHidden/>
                <w:sz w:val="21"/>
                <w:szCs w:val="21"/>
              </w:rPr>
              <w:fldChar w:fldCharType="end"/>
            </w:r>
          </w:hyperlink>
        </w:p>
        <w:p w14:paraId="5480F2EA" w14:textId="77777777" w:rsidR="0011227C" w:rsidRPr="00DD7BE8" w:rsidRDefault="00BC3449" w:rsidP="00DD7BE8">
          <w:pPr>
            <w:pStyle w:val="TDC1"/>
            <w:spacing w:line="360" w:lineRule="auto"/>
            <w:ind w:left="0"/>
            <w:rPr>
              <w:rFonts w:ascii="Palatino Linotype" w:hAnsi="Palatino Linotype"/>
              <w:noProof/>
              <w:sz w:val="21"/>
              <w:szCs w:val="21"/>
              <w:lang w:val="es-MX" w:eastAsia="es-MX"/>
            </w:rPr>
          </w:pPr>
          <w:hyperlink w:anchor="_Toc24051518" w:history="1">
            <w:r w:rsidR="0011227C" w:rsidRPr="00DD7BE8">
              <w:rPr>
                <w:rStyle w:val="Hipervnculo"/>
                <w:rFonts w:ascii="Palatino Linotype" w:eastAsiaTheme="majorEastAsia" w:hAnsi="Palatino Linotype" w:cstheme="majorBidi"/>
                <w:b/>
                <w:noProof/>
                <w:sz w:val="21"/>
                <w:szCs w:val="21"/>
                <w:lang w:val="es-MX" w:eastAsia="en-US"/>
              </w:rPr>
              <w:t>II. Supuestos de clasificación.</w:t>
            </w:r>
            <w:r w:rsidR="0011227C" w:rsidRPr="00DD7BE8">
              <w:rPr>
                <w:rFonts w:ascii="Palatino Linotype" w:hAnsi="Palatino Linotype"/>
                <w:noProof/>
                <w:webHidden/>
                <w:sz w:val="21"/>
                <w:szCs w:val="21"/>
              </w:rPr>
              <w:tab/>
            </w:r>
            <w:r w:rsidR="0011227C" w:rsidRPr="00DD7BE8">
              <w:rPr>
                <w:rFonts w:ascii="Palatino Linotype" w:hAnsi="Palatino Linotype"/>
                <w:noProof/>
                <w:webHidden/>
                <w:sz w:val="21"/>
                <w:szCs w:val="21"/>
              </w:rPr>
              <w:fldChar w:fldCharType="begin"/>
            </w:r>
            <w:r w:rsidR="0011227C" w:rsidRPr="00DD7BE8">
              <w:rPr>
                <w:rFonts w:ascii="Palatino Linotype" w:hAnsi="Palatino Linotype"/>
                <w:noProof/>
                <w:webHidden/>
                <w:sz w:val="21"/>
                <w:szCs w:val="21"/>
              </w:rPr>
              <w:instrText xml:space="preserve"> PAGEREF _Toc24051518 \h </w:instrText>
            </w:r>
            <w:r w:rsidR="0011227C" w:rsidRPr="00DD7BE8">
              <w:rPr>
                <w:rFonts w:ascii="Palatino Linotype" w:hAnsi="Palatino Linotype"/>
                <w:noProof/>
                <w:webHidden/>
                <w:sz w:val="21"/>
                <w:szCs w:val="21"/>
              </w:rPr>
            </w:r>
            <w:r w:rsidR="0011227C" w:rsidRPr="00DD7BE8">
              <w:rPr>
                <w:rFonts w:ascii="Palatino Linotype" w:hAnsi="Palatino Linotype"/>
                <w:noProof/>
                <w:webHidden/>
                <w:sz w:val="21"/>
                <w:szCs w:val="21"/>
              </w:rPr>
              <w:fldChar w:fldCharType="separate"/>
            </w:r>
            <w:r w:rsidR="007F3F14">
              <w:rPr>
                <w:rFonts w:ascii="Palatino Linotype" w:hAnsi="Palatino Linotype"/>
                <w:noProof/>
                <w:webHidden/>
                <w:sz w:val="21"/>
                <w:szCs w:val="21"/>
              </w:rPr>
              <w:t>41</w:t>
            </w:r>
            <w:r w:rsidR="0011227C" w:rsidRPr="00DD7BE8">
              <w:rPr>
                <w:rFonts w:ascii="Palatino Linotype" w:hAnsi="Palatino Linotype"/>
                <w:noProof/>
                <w:webHidden/>
                <w:sz w:val="21"/>
                <w:szCs w:val="21"/>
              </w:rPr>
              <w:fldChar w:fldCharType="end"/>
            </w:r>
          </w:hyperlink>
        </w:p>
        <w:p w14:paraId="71F3E601" w14:textId="77777777" w:rsidR="0011227C" w:rsidRPr="00DD7BE8" w:rsidRDefault="00BC3449" w:rsidP="00DD7BE8">
          <w:pPr>
            <w:pStyle w:val="TDC1"/>
            <w:spacing w:line="360" w:lineRule="auto"/>
            <w:ind w:left="0"/>
            <w:rPr>
              <w:rFonts w:ascii="Palatino Linotype" w:hAnsi="Palatino Linotype"/>
              <w:noProof/>
              <w:sz w:val="21"/>
              <w:szCs w:val="21"/>
              <w:lang w:val="es-MX" w:eastAsia="es-MX"/>
            </w:rPr>
          </w:pPr>
          <w:hyperlink w:anchor="_Toc24051519" w:history="1">
            <w:r w:rsidR="0011227C" w:rsidRPr="00DD7BE8">
              <w:rPr>
                <w:rStyle w:val="Hipervnculo"/>
                <w:rFonts w:ascii="Palatino Linotype" w:eastAsiaTheme="majorEastAsia" w:hAnsi="Palatino Linotype" w:cstheme="majorBidi"/>
                <w:b/>
                <w:noProof/>
                <w:sz w:val="21"/>
                <w:szCs w:val="21"/>
                <w:lang w:val="es-MX" w:eastAsia="en-US"/>
              </w:rPr>
              <w:t>III. Formalidades para emitir el acuerdo de clasificación.</w:t>
            </w:r>
            <w:r w:rsidR="0011227C" w:rsidRPr="00DD7BE8">
              <w:rPr>
                <w:rFonts w:ascii="Palatino Linotype" w:hAnsi="Palatino Linotype"/>
                <w:noProof/>
                <w:webHidden/>
                <w:sz w:val="21"/>
                <w:szCs w:val="21"/>
              </w:rPr>
              <w:tab/>
            </w:r>
            <w:r w:rsidR="0011227C" w:rsidRPr="00DD7BE8">
              <w:rPr>
                <w:rFonts w:ascii="Palatino Linotype" w:hAnsi="Palatino Linotype"/>
                <w:noProof/>
                <w:webHidden/>
                <w:sz w:val="21"/>
                <w:szCs w:val="21"/>
              </w:rPr>
              <w:fldChar w:fldCharType="begin"/>
            </w:r>
            <w:r w:rsidR="0011227C" w:rsidRPr="00DD7BE8">
              <w:rPr>
                <w:rFonts w:ascii="Palatino Linotype" w:hAnsi="Palatino Linotype"/>
                <w:noProof/>
                <w:webHidden/>
                <w:sz w:val="21"/>
                <w:szCs w:val="21"/>
              </w:rPr>
              <w:instrText xml:space="preserve"> PAGEREF _Toc24051519 \h </w:instrText>
            </w:r>
            <w:r w:rsidR="0011227C" w:rsidRPr="00DD7BE8">
              <w:rPr>
                <w:rFonts w:ascii="Palatino Linotype" w:hAnsi="Palatino Linotype"/>
                <w:noProof/>
                <w:webHidden/>
                <w:sz w:val="21"/>
                <w:szCs w:val="21"/>
              </w:rPr>
            </w:r>
            <w:r w:rsidR="0011227C" w:rsidRPr="00DD7BE8">
              <w:rPr>
                <w:rFonts w:ascii="Palatino Linotype" w:hAnsi="Palatino Linotype"/>
                <w:noProof/>
                <w:webHidden/>
                <w:sz w:val="21"/>
                <w:szCs w:val="21"/>
              </w:rPr>
              <w:fldChar w:fldCharType="separate"/>
            </w:r>
            <w:r w:rsidR="007F3F14">
              <w:rPr>
                <w:rFonts w:ascii="Palatino Linotype" w:hAnsi="Palatino Linotype"/>
                <w:noProof/>
                <w:webHidden/>
                <w:sz w:val="21"/>
                <w:szCs w:val="21"/>
              </w:rPr>
              <w:t>44</w:t>
            </w:r>
            <w:r w:rsidR="0011227C" w:rsidRPr="00DD7BE8">
              <w:rPr>
                <w:rFonts w:ascii="Palatino Linotype" w:hAnsi="Palatino Linotype"/>
                <w:noProof/>
                <w:webHidden/>
                <w:sz w:val="21"/>
                <w:szCs w:val="21"/>
              </w:rPr>
              <w:fldChar w:fldCharType="end"/>
            </w:r>
          </w:hyperlink>
        </w:p>
        <w:p w14:paraId="34CB9CE4" w14:textId="77777777" w:rsidR="0011227C" w:rsidRPr="00DD7BE8" w:rsidRDefault="00BC3449" w:rsidP="00DD7BE8">
          <w:pPr>
            <w:pStyle w:val="TDC1"/>
            <w:spacing w:line="360" w:lineRule="auto"/>
            <w:ind w:left="0"/>
            <w:rPr>
              <w:rFonts w:ascii="Palatino Linotype" w:hAnsi="Palatino Linotype"/>
              <w:noProof/>
              <w:sz w:val="21"/>
              <w:szCs w:val="21"/>
              <w:lang w:val="es-MX" w:eastAsia="es-MX"/>
            </w:rPr>
          </w:pPr>
          <w:hyperlink w:anchor="_Toc24051520" w:history="1">
            <w:r w:rsidR="0011227C" w:rsidRPr="00DD7BE8">
              <w:rPr>
                <w:rStyle w:val="Hipervnculo"/>
                <w:rFonts w:ascii="Palatino Linotype" w:eastAsiaTheme="majorEastAsia" w:hAnsi="Palatino Linotype" w:cstheme="majorBidi"/>
                <w:b/>
                <w:noProof/>
                <w:sz w:val="21"/>
                <w:szCs w:val="21"/>
                <w:lang w:val="es-MX" w:eastAsia="en-US"/>
              </w:rPr>
              <w:t>IV. Requisitos de fondo del acuerdo de clasificación.</w:t>
            </w:r>
            <w:r w:rsidR="0011227C" w:rsidRPr="00DD7BE8">
              <w:rPr>
                <w:rFonts w:ascii="Palatino Linotype" w:hAnsi="Palatino Linotype"/>
                <w:noProof/>
                <w:webHidden/>
                <w:sz w:val="21"/>
                <w:szCs w:val="21"/>
              </w:rPr>
              <w:tab/>
            </w:r>
            <w:r w:rsidR="0011227C" w:rsidRPr="00DD7BE8">
              <w:rPr>
                <w:rFonts w:ascii="Palatino Linotype" w:hAnsi="Palatino Linotype"/>
                <w:noProof/>
                <w:webHidden/>
                <w:sz w:val="21"/>
                <w:szCs w:val="21"/>
              </w:rPr>
              <w:fldChar w:fldCharType="begin"/>
            </w:r>
            <w:r w:rsidR="0011227C" w:rsidRPr="00DD7BE8">
              <w:rPr>
                <w:rFonts w:ascii="Palatino Linotype" w:hAnsi="Palatino Linotype"/>
                <w:noProof/>
                <w:webHidden/>
                <w:sz w:val="21"/>
                <w:szCs w:val="21"/>
              </w:rPr>
              <w:instrText xml:space="preserve"> PAGEREF _Toc24051520 \h </w:instrText>
            </w:r>
            <w:r w:rsidR="0011227C" w:rsidRPr="00DD7BE8">
              <w:rPr>
                <w:rFonts w:ascii="Palatino Linotype" w:hAnsi="Palatino Linotype"/>
                <w:noProof/>
                <w:webHidden/>
                <w:sz w:val="21"/>
                <w:szCs w:val="21"/>
              </w:rPr>
            </w:r>
            <w:r w:rsidR="0011227C" w:rsidRPr="00DD7BE8">
              <w:rPr>
                <w:rFonts w:ascii="Palatino Linotype" w:hAnsi="Palatino Linotype"/>
                <w:noProof/>
                <w:webHidden/>
                <w:sz w:val="21"/>
                <w:szCs w:val="21"/>
              </w:rPr>
              <w:fldChar w:fldCharType="separate"/>
            </w:r>
            <w:r w:rsidR="007F3F14">
              <w:rPr>
                <w:rFonts w:ascii="Palatino Linotype" w:hAnsi="Palatino Linotype"/>
                <w:noProof/>
                <w:webHidden/>
                <w:sz w:val="21"/>
                <w:szCs w:val="21"/>
              </w:rPr>
              <w:t>45</w:t>
            </w:r>
            <w:r w:rsidR="0011227C" w:rsidRPr="00DD7BE8">
              <w:rPr>
                <w:rFonts w:ascii="Palatino Linotype" w:hAnsi="Palatino Linotype"/>
                <w:noProof/>
                <w:webHidden/>
                <w:sz w:val="21"/>
                <w:szCs w:val="21"/>
              </w:rPr>
              <w:fldChar w:fldCharType="end"/>
            </w:r>
          </w:hyperlink>
        </w:p>
        <w:p w14:paraId="024E994B" w14:textId="77777777" w:rsidR="0011227C" w:rsidRPr="00DD7BE8" w:rsidRDefault="00BC3449" w:rsidP="00DD7BE8">
          <w:pPr>
            <w:pStyle w:val="TDC1"/>
            <w:spacing w:line="360" w:lineRule="auto"/>
            <w:ind w:left="0"/>
            <w:rPr>
              <w:rFonts w:ascii="Palatino Linotype" w:hAnsi="Palatino Linotype"/>
              <w:noProof/>
              <w:sz w:val="21"/>
              <w:szCs w:val="21"/>
              <w:lang w:val="es-MX" w:eastAsia="es-MX"/>
            </w:rPr>
          </w:pPr>
          <w:hyperlink w:anchor="_Toc24051521" w:history="1">
            <w:r w:rsidR="0011227C" w:rsidRPr="00DD7BE8">
              <w:rPr>
                <w:rStyle w:val="Hipervnculo"/>
                <w:rFonts w:ascii="Palatino Linotype" w:eastAsiaTheme="majorEastAsia" w:hAnsi="Palatino Linotype" w:cstheme="majorBidi"/>
                <w:b/>
                <w:noProof/>
                <w:sz w:val="21"/>
                <w:szCs w:val="21"/>
                <w:lang w:val="es-MX" w:eastAsia="en-US"/>
              </w:rPr>
              <w:t>V. Condiciones especiales de la clasificación de la información como confidencial.</w:t>
            </w:r>
            <w:r w:rsidR="0011227C" w:rsidRPr="00DD7BE8">
              <w:rPr>
                <w:rFonts w:ascii="Palatino Linotype" w:hAnsi="Palatino Linotype"/>
                <w:noProof/>
                <w:webHidden/>
                <w:sz w:val="21"/>
                <w:szCs w:val="21"/>
              </w:rPr>
              <w:tab/>
            </w:r>
            <w:r w:rsidR="0011227C" w:rsidRPr="00DD7BE8">
              <w:rPr>
                <w:rFonts w:ascii="Palatino Linotype" w:hAnsi="Palatino Linotype"/>
                <w:noProof/>
                <w:webHidden/>
                <w:sz w:val="21"/>
                <w:szCs w:val="21"/>
              </w:rPr>
              <w:fldChar w:fldCharType="begin"/>
            </w:r>
            <w:r w:rsidR="0011227C" w:rsidRPr="00DD7BE8">
              <w:rPr>
                <w:rFonts w:ascii="Palatino Linotype" w:hAnsi="Palatino Linotype"/>
                <w:noProof/>
                <w:webHidden/>
                <w:sz w:val="21"/>
                <w:szCs w:val="21"/>
              </w:rPr>
              <w:instrText xml:space="preserve"> PAGEREF _Toc24051521 \h </w:instrText>
            </w:r>
            <w:r w:rsidR="0011227C" w:rsidRPr="00DD7BE8">
              <w:rPr>
                <w:rFonts w:ascii="Palatino Linotype" w:hAnsi="Palatino Linotype"/>
                <w:noProof/>
                <w:webHidden/>
                <w:sz w:val="21"/>
                <w:szCs w:val="21"/>
              </w:rPr>
            </w:r>
            <w:r w:rsidR="0011227C" w:rsidRPr="00DD7BE8">
              <w:rPr>
                <w:rFonts w:ascii="Palatino Linotype" w:hAnsi="Palatino Linotype"/>
                <w:noProof/>
                <w:webHidden/>
                <w:sz w:val="21"/>
                <w:szCs w:val="21"/>
              </w:rPr>
              <w:fldChar w:fldCharType="separate"/>
            </w:r>
            <w:r w:rsidR="007F3F14">
              <w:rPr>
                <w:rFonts w:ascii="Palatino Linotype" w:hAnsi="Palatino Linotype"/>
                <w:noProof/>
                <w:webHidden/>
                <w:sz w:val="21"/>
                <w:szCs w:val="21"/>
              </w:rPr>
              <w:t>49</w:t>
            </w:r>
            <w:r w:rsidR="0011227C" w:rsidRPr="00DD7BE8">
              <w:rPr>
                <w:rFonts w:ascii="Palatino Linotype" w:hAnsi="Palatino Linotype"/>
                <w:noProof/>
                <w:webHidden/>
                <w:sz w:val="21"/>
                <w:szCs w:val="21"/>
              </w:rPr>
              <w:fldChar w:fldCharType="end"/>
            </w:r>
          </w:hyperlink>
        </w:p>
        <w:p w14:paraId="1C5B8A25" w14:textId="77777777" w:rsidR="0011227C" w:rsidRPr="00DD7BE8" w:rsidRDefault="00BC3449" w:rsidP="00DD7BE8">
          <w:pPr>
            <w:pStyle w:val="TDC1"/>
            <w:spacing w:line="360" w:lineRule="auto"/>
            <w:ind w:left="0"/>
            <w:rPr>
              <w:rFonts w:ascii="Palatino Linotype" w:hAnsi="Palatino Linotype"/>
              <w:noProof/>
              <w:sz w:val="21"/>
              <w:szCs w:val="21"/>
              <w:lang w:val="es-MX" w:eastAsia="es-MX"/>
            </w:rPr>
          </w:pPr>
          <w:hyperlink w:anchor="_Toc24051522" w:history="1">
            <w:r w:rsidR="0011227C" w:rsidRPr="00DD7BE8">
              <w:rPr>
                <w:rStyle w:val="Hipervnculo"/>
                <w:rFonts w:ascii="Palatino Linotype" w:hAnsi="Palatino Linotype"/>
                <w:b/>
                <w:noProof/>
                <w:sz w:val="21"/>
                <w:szCs w:val="21"/>
              </w:rPr>
              <w:t>R E S O L U T I V O S</w:t>
            </w:r>
            <w:r w:rsidR="0011227C" w:rsidRPr="00DD7BE8">
              <w:rPr>
                <w:rFonts w:ascii="Palatino Linotype" w:hAnsi="Palatino Linotype"/>
                <w:noProof/>
                <w:webHidden/>
                <w:sz w:val="21"/>
                <w:szCs w:val="21"/>
              </w:rPr>
              <w:tab/>
            </w:r>
            <w:r w:rsidR="0011227C" w:rsidRPr="00DD7BE8">
              <w:rPr>
                <w:rFonts w:ascii="Palatino Linotype" w:hAnsi="Palatino Linotype"/>
                <w:noProof/>
                <w:webHidden/>
                <w:sz w:val="21"/>
                <w:szCs w:val="21"/>
              </w:rPr>
              <w:fldChar w:fldCharType="begin"/>
            </w:r>
            <w:r w:rsidR="0011227C" w:rsidRPr="00DD7BE8">
              <w:rPr>
                <w:rFonts w:ascii="Palatino Linotype" w:hAnsi="Palatino Linotype"/>
                <w:noProof/>
                <w:webHidden/>
                <w:sz w:val="21"/>
                <w:szCs w:val="21"/>
              </w:rPr>
              <w:instrText xml:space="preserve"> PAGEREF _Toc24051522 \h </w:instrText>
            </w:r>
            <w:r w:rsidR="0011227C" w:rsidRPr="00DD7BE8">
              <w:rPr>
                <w:rFonts w:ascii="Palatino Linotype" w:hAnsi="Palatino Linotype"/>
                <w:noProof/>
                <w:webHidden/>
                <w:sz w:val="21"/>
                <w:szCs w:val="21"/>
              </w:rPr>
            </w:r>
            <w:r w:rsidR="0011227C" w:rsidRPr="00DD7BE8">
              <w:rPr>
                <w:rFonts w:ascii="Palatino Linotype" w:hAnsi="Palatino Linotype"/>
                <w:noProof/>
                <w:webHidden/>
                <w:sz w:val="21"/>
                <w:szCs w:val="21"/>
              </w:rPr>
              <w:fldChar w:fldCharType="separate"/>
            </w:r>
            <w:r w:rsidR="007F3F14">
              <w:rPr>
                <w:rFonts w:ascii="Palatino Linotype" w:hAnsi="Palatino Linotype"/>
                <w:noProof/>
                <w:webHidden/>
                <w:sz w:val="21"/>
                <w:szCs w:val="21"/>
              </w:rPr>
              <w:t>52</w:t>
            </w:r>
            <w:r w:rsidR="0011227C" w:rsidRPr="00DD7BE8">
              <w:rPr>
                <w:rFonts w:ascii="Palatino Linotype" w:hAnsi="Palatino Linotype"/>
                <w:noProof/>
                <w:webHidden/>
                <w:sz w:val="21"/>
                <w:szCs w:val="21"/>
              </w:rPr>
              <w:fldChar w:fldCharType="end"/>
            </w:r>
          </w:hyperlink>
        </w:p>
        <w:p w14:paraId="34386B0A" w14:textId="77777777" w:rsidR="00DD7BE8" w:rsidRDefault="00DA7E2F" w:rsidP="00DD7BE8">
          <w:pPr>
            <w:spacing w:line="360" w:lineRule="auto"/>
            <w:jc w:val="both"/>
            <w:rPr>
              <w:rFonts w:ascii="Palatino Linotype" w:hAnsi="Palatino Linotype"/>
              <w:b/>
              <w:bCs/>
              <w:lang w:val="es-ES"/>
            </w:rPr>
          </w:pPr>
          <w:r w:rsidRPr="00DD7BE8">
            <w:rPr>
              <w:rFonts w:ascii="Palatino Linotype" w:hAnsi="Palatino Linotype"/>
              <w:b/>
              <w:bCs/>
              <w:sz w:val="21"/>
              <w:szCs w:val="21"/>
              <w:lang w:val="es-ES"/>
            </w:rPr>
            <w:lastRenderedPageBreak/>
            <w:fldChar w:fldCharType="end"/>
          </w:r>
        </w:p>
      </w:sdtContent>
    </w:sdt>
    <w:p w14:paraId="73F7F940" w14:textId="71BB299D" w:rsidR="00662C69" w:rsidRPr="00DD7BE8" w:rsidRDefault="009B11D6" w:rsidP="00DD7BE8">
      <w:pPr>
        <w:spacing w:line="360" w:lineRule="auto"/>
        <w:jc w:val="both"/>
        <w:rPr>
          <w:rFonts w:ascii="Palatino Linotype" w:hAnsi="Palatino Linotype"/>
        </w:rPr>
      </w:pPr>
      <w:r w:rsidRPr="00DD7BE8">
        <w:rPr>
          <w:rFonts w:ascii="Palatino Linotype" w:hAnsi="Palatino Linotype"/>
        </w:rPr>
        <w:t>R</w:t>
      </w:r>
      <w:r w:rsidR="00662C69" w:rsidRPr="00DD7BE8">
        <w:rPr>
          <w:rFonts w:ascii="Palatino Linotype" w:hAnsi="Palatino Linotype"/>
        </w:rPr>
        <w:t>esolución del Pleno del Instituto de Transparencia, Acceso a la Información Pública y Protección de Datos Personales del Estado de México y Mun</w:t>
      </w:r>
      <w:r w:rsidR="000D5A1D" w:rsidRPr="00DD7BE8">
        <w:rPr>
          <w:rFonts w:ascii="Palatino Linotype" w:hAnsi="Palatino Linotype"/>
        </w:rPr>
        <w:t>icipios, con</w:t>
      </w:r>
      <w:r w:rsidR="00662C69" w:rsidRPr="00DD7BE8">
        <w:rPr>
          <w:rFonts w:ascii="Palatino Linotype" w:hAnsi="Palatino Linotype"/>
        </w:rPr>
        <w:t xml:space="preserve"> </w:t>
      </w:r>
      <w:r w:rsidR="00485DB6" w:rsidRPr="00DD7BE8">
        <w:rPr>
          <w:rFonts w:ascii="Palatino Linotype" w:hAnsi="Palatino Linotype"/>
        </w:rPr>
        <w:t xml:space="preserve">domicilio </w:t>
      </w:r>
      <w:r w:rsidR="00662C69" w:rsidRPr="00DD7BE8">
        <w:rPr>
          <w:rFonts w:ascii="Palatino Linotype" w:hAnsi="Palatino Linotype"/>
        </w:rPr>
        <w:t xml:space="preserve">en Metepec, Estado de México; de </w:t>
      </w:r>
      <w:r w:rsidR="00F617A3" w:rsidRPr="00DD7BE8">
        <w:rPr>
          <w:rFonts w:ascii="Palatino Linotype" w:hAnsi="Palatino Linotype"/>
        </w:rPr>
        <w:t>fecha trece</w:t>
      </w:r>
      <w:r w:rsidR="00D336DB" w:rsidRPr="00DD7BE8">
        <w:rPr>
          <w:rFonts w:ascii="Palatino Linotype" w:hAnsi="Palatino Linotype"/>
        </w:rPr>
        <w:t xml:space="preserve"> </w:t>
      </w:r>
      <w:r w:rsidR="00662C69" w:rsidRPr="00DD7BE8">
        <w:rPr>
          <w:rFonts w:ascii="Palatino Linotype" w:hAnsi="Palatino Linotype"/>
        </w:rPr>
        <w:t>(</w:t>
      </w:r>
      <w:r w:rsidR="00F617A3" w:rsidRPr="00DD7BE8">
        <w:rPr>
          <w:rFonts w:ascii="Palatino Linotype" w:hAnsi="Palatino Linotype"/>
        </w:rPr>
        <w:t>13</w:t>
      </w:r>
      <w:r w:rsidR="00662C69" w:rsidRPr="00DD7BE8">
        <w:rPr>
          <w:rFonts w:ascii="Palatino Linotype" w:hAnsi="Palatino Linotype"/>
        </w:rPr>
        <w:t>) de</w:t>
      </w:r>
      <w:r w:rsidR="00F617A3" w:rsidRPr="00DD7BE8">
        <w:rPr>
          <w:rFonts w:ascii="Palatino Linotype" w:hAnsi="Palatino Linotype"/>
        </w:rPr>
        <w:t xml:space="preserve"> noviembre </w:t>
      </w:r>
      <w:r w:rsidR="00662C69" w:rsidRPr="00DD7BE8">
        <w:rPr>
          <w:rFonts w:ascii="Palatino Linotype" w:hAnsi="Palatino Linotype"/>
        </w:rPr>
        <w:t xml:space="preserve">de dos mil </w:t>
      </w:r>
      <w:r w:rsidR="007B32C0" w:rsidRPr="00DD7BE8">
        <w:rPr>
          <w:rFonts w:ascii="Palatino Linotype" w:hAnsi="Palatino Linotype"/>
        </w:rPr>
        <w:t>diecinueve</w:t>
      </w:r>
      <w:r w:rsidR="00662C69" w:rsidRPr="00DD7BE8">
        <w:rPr>
          <w:rFonts w:ascii="Palatino Linotype" w:hAnsi="Palatino Linotype"/>
        </w:rPr>
        <w:t>.</w:t>
      </w:r>
    </w:p>
    <w:p w14:paraId="2171CFE0" w14:textId="5716330C" w:rsidR="00DA2F64" w:rsidRPr="00DD7BE8" w:rsidRDefault="00662C69" w:rsidP="00DD7BE8">
      <w:pPr>
        <w:spacing w:before="240" w:after="360" w:line="360" w:lineRule="auto"/>
        <w:jc w:val="both"/>
        <w:rPr>
          <w:rFonts w:ascii="Palatino Linotype" w:hAnsi="Palatino Linotype"/>
          <w:b/>
        </w:rPr>
      </w:pPr>
      <w:r w:rsidRPr="00DD7BE8">
        <w:rPr>
          <w:rFonts w:ascii="Palatino Linotype" w:hAnsi="Palatino Linotype"/>
          <w:b/>
        </w:rPr>
        <w:t>VISTO</w:t>
      </w:r>
      <w:r w:rsidR="002E118F" w:rsidRPr="00DD7BE8">
        <w:rPr>
          <w:rFonts w:ascii="Palatino Linotype" w:hAnsi="Palatino Linotype"/>
          <w:b/>
        </w:rPr>
        <w:t>S</w:t>
      </w:r>
      <w:r w:rsidRPr="00DD7BE8">
        <w:rPr>
          <w:rFonts w:ascii="Palatino Linotype" w:hAnsi="Palatino Linotype"/>
        </w:rPr>
        <w:t xml:space="preserve"> l</w:t>
      </w:r>
      <w:r w:rsidR="002E118F" w:rsidRPr="00DD7BE8">
        <w:rPr>
          <w:rFonts w:ascii="Palatino Linotype" w:hAnsi="Palatino Linotype"/>
        </w:rPr>
        <w:t>os</w:t>
      </w:r>
      <w:r w:rsidRPr="00DD7BE8">
        <w:rPr>
          <w:rFonts w:ascii="Palatino Linotype" w:hAnsi="Palatino Linotype"/>
        </w:rPr>
        <w:t xml:space="preserve"> expediente</w:t>
      </w:r>
      <w:r w:rsidR="002E118F" w:rsidRPr="00DD7BE8">
        <w:rPr>
          <w:rFonts w:ascii="Palatino Linotype" w:hAnsi="Palatino Linotype"/>
        </w:rPr>
        <w:t>s</w:t>
      </w:r>
      <w:r w:rsidRPr="00DD7BE8">
        <w:rPr>
          <w:rFonts w:ascii="Palatino Linotype" w:hAnsi="Palatino Linotype"/>
        </w:rPr>
        <w:t xml:space="preserve"> electrónico</w:t>
      </w:r>
      <w:r w:rsidR="002E118F" w:rsidRPr="00DD7BE8">
        <w:rPr>
          <w:rFonts w:ascii="Palatino Linotype" w:hAnsi="Palatino Linotype"/>
        </w:rPr>
        <w:t>s</w:t>
      </w:r>
      <w:r w:rsidRPr="00DD7BE8">
        <w:rPr>
          <w:rFonts w:ascii="Palatino Linotype" w:hAnsi="Palatino Linotype"/>
        </w:rPr>
        <w:t xml:space="preserve"> for</w:t>
      </w:r>
      <w:r w:rsidR="00335BFE" w:rsidRPr="00DD7BE8">
        <w:rPr>
          <w:rFonts w:ascii="Palatino Linotype" w:hAnsi="Palatino Linotype"/>
        </w:rPr>
        <w:t>mado</w:t>
      </w:r>
      <w:r w:rsidR="002E118F" w:rsidRPr="00DD7BE8">
        <w:rPr>
          <w:rFonts w:ascii="Palatino Linotype" w:hAnsi="Palatino Linotype"/>
        </w:rPr>
        <w:t>s</w:t>
      </w:r>
      <w:r w:rsidR="00335BFE" w:rsidRPr="00DD7BE8">
        <w:rPr>
          <w:rFonts w:ascii="Palatino Linotype" w:hAnsi="Palatino Linotype"/>
        </w:rPr>
        <w:t xml:space="preserve"> con motivo de los</w:t>
      </w:r>
      <w:r w:rsidRPr="00DD7BE8">
        <w:rPr>
          <w:rFonts w:ascii="Palatino Linotype" w:hAnsi="Palatino Linotype"/>
        </w:rPr>
        <w:t xml:space="preserve"> recurso</w:t>
      </w:r>
      <w:r w:rsidR="00335BFE" w:rsidRPr="00DD7BE8">
        <w:rPr>
          <w:rFonts w:ascii="Palatino Linotype" w:hAnsi="Palatino Linotype"/>
        </w:rPr>
        <w:t>s</w:t>
      </w:r>
      <w:r w:rsidR="004B5C6B" w:rsidRPr="00DD7BE8">
        <w:rPr>
          <w:rFonts w:ascii="Palatino Linotype" w:hAnsi="Palatino Linotype"/>
        </w:rPr>
        <w:t xml:space="preserve"> de revisión</w:t>
      </w:r>
      <w:r w:rsidR="006D357C" w:rsidRPr="00DD7BE8">
        <w:rPr>
          <w:rFonts w:ascii="Palatino Linotype" w:hAnsi="Palatino Linotype"/>
          <w:b/>
        </w:rPr>
        <w:t xml:space="preserve"> </w:t>
      </w:r>
      <w:r w:rsidR="00F617A3" w:rsidRPr="00DD7BE8">
        <w:rPr>
          <w:rFonts w:ascii="Palatino Linotype" w:hAnsi="Palatino Linotype"/>
          <w:b/>
        </w:rPr>
        <w:t>07223</w:t>
      </w:r>
      <w:r w:rsidR="006D357C" w:rsidRPr="00DD7BE8">
        <w:rPr>
          <w:rFonts w:ascii="Palatino Linotype" w:hAnsi="Palatino Linotype"/>
          <w:b/>
        </w:rPr>
        <w:t>/INFOEM/IP/RR/2019</w:t>
      </w:r>
      <w:r w:rsidR="00F617A3" w:rsidRPr="00DD7BE8">
        <w:rPr>
          <w:rFonts w:ascii="Palatino Linotype" w:hAnsi="Palatino Linotype"/>
          <w:b/>
        </w:rPr>
        <w:t>, 07224</w:t>
      </w:r>
      <w:r w:rsidR="006D357C" w:rsidRPr="00DD7BE8">
        <w:rPr>
          <w:rFonts w:ascii="Palatino Linotype" w:hAnsi="Palatino Linotype"/>
          <w:b/>
        </w:rPr>
        <w:t>/INFOEM/IP/RR/2019</w:t>
      </w:r>
      <w:r w:rsidR="007B32C0" w:rsidRPr="00DD7BE8">
        <w:rPr>
          <w:rFonts w:ascii="Palatino Linotype" w:hAnsi="Palatino Linotype"/>
          <w:b/>
        </w:rPr>
        <w:t xml:space="preserve"> </w:t>
      </w:r>
      <w:r w:rsidR="00F617A3" w:rsidRPr="00DD7BE8">
        <w:rPr>
          <w:rFonts w:ascii="Palatino Linotype" w:hAnsi="Palatino Linotype"/>
          <w:b/>
        </w:rPr>
        <w:t>07225</w:t>
      </w:r>
      <w:r w:rsidR="006073E1" w:rsidRPr="00DD7BE8">
        <w:rPr>
          <w:rFonts w:ascii="Palatino Linotype" w:hAnsi="Palatino Linotype"/>
          <w:b/>
        </w:rPr>
        <w:t>/INFOEM/IP/RR/2019</w:t>
      </w:r>
      <w:r w:rsidR="00F617A3" w:rsidRPr="00DD7BE8">
        <w:rPr>
          <w:rFonts w:ascii="Palatino Linotype" w:hAnsi="Palatino Linotype"/>
          <w:b/>
        </w:rPr>
        <w:t>, 07226</w:t>
      </w:r>
      <w:r w:rsidR="006073E1" w:rsidRPr="00DD7BE8">
        <w:rPr>
          <w:rFonts w:ascii="Palatino Linotype" w:hAnsi="Palatino Linotype"/>
          <w:b/>
        </w:rPr>
        <w:t xml:space="preserve">/INFOEM/IP/RR/2019 </w:t>
      </w:r>
      <w:r w:rsidR="00F617A3" w:rsidRPr="00DD7BE8">
        <w:rPr>
          <w:rFonts w:ascii="Palatino Linotype" w:hAnsi="Palatino Linotype"/>
          <w:b/>
        </w:rPr>
        <w:t>07227/INFOEM/IP/RR/2019 y 07228</w:t>
      </w:r>
      <w:r w:rsidR="006073E1" w:rsidRPr="00DD7BE8">
        <w:rPr>
          <w:rFonts w:ascii="Palatino Linotype" w:hAnsi="Palatino Linotype"/>
          <w:b/>
        </w:rPr>
        <w:t xml:space="preserve">/INFOEM/IP/RR/2019 </w:t>
      </w:r>
      <w:r w:rsidRPr="00DD7BE8">
        <w:rPr>
          <w:rFonts w:ascii="Palatino Linotype" w:hAnsi="Palatino Linotype"/>
        </w:rPr>
        <w:t>promovido</w:t>
      </w:r>
      <w:r w:rsidR="00335BFE" w:rsidRPr="00DD7BE8">
        <w:rPr>
          <w:rFonts w:ascii="Palatino Linotype" w:hAnsi="Palatino Linotype"/>
        </w:rPr>
        <w:t>s</w:t>
      </w:r>
      <w:r w:rsidRPr="00DD7BE8">
        <w:rPr>
          <w:rFonts w:ascii="Palatino Linotype" w:hAnsi="Palatino Linotype"/>
        </w:rPr>
        <w:t xml:space="preserve"> por </w:t>
      </w:r>
      <w:r w:rsidR="003E7006" w:rsidRPr="003E7006">
        <w:rPr>
          <w:rFonts w:ascii="Palatino Linotype" w:hAnsi="Palatino Linotype"/>
          <w:b/>
          <w:highlight w:val="black"/>
        </w:rPr>
        <w:t>------------------------------</w:t>
      </w:r>
      <w:r w:rsidRPr="00DD7BE8">
        <w:rPr>
          <w:rFonts w:ascii="Palatino Linotype" w:hAnsi="Palatino Linotype"/>
          <w:b/>
        </w:rPr>
        <w:t xml:space="preserve">, </w:t>
      </w:r>
      <w:r w:rsidRPr="00DD7BE8">
        <w:rPr>
          <w:rFonts w:ascii="Palatino Linotype" w:hAnsi="Palatino Linotype" w:cs="Arial"/>
        </w:rPr>
        <w:t xml:space="preserve">en su </w:t>
      </w:r>
      <w:r w:rsidR="00D83C17" w:rsidRPr="00DD7BE8">
        <w:rPr>
          <w:rFonts w:ascii="Palatino Linotype" w:hAnsi="Palatino Linotype" w:cs="Arial"/>
        </w:rPr>
        <w:t>calidad</w:t>
      </w:r>
      <w:r w:rsidRPr="00DD7BE8">
        <w:rPr>
          <w:rFonts w:ascii="Palatino Linotype" w:hAnsi="Palatino Linotype" w:cs="Arial"/>
        </w:rPr>
        <w:t xml:space="preserve"> de </w:t>
      </w:r>
      <w:r w:rsidRPr="00DD7BE8">
        <w:rPr>
          <w:rFonts w:ascii="Palatino Linotype" w:hAnsi="Palatino Linotype" w:cs="Arial"/>
          <w:b/>
        </w:rPr>
        <w:t>RECURRENTE</w:t>
      </w:r>
      <w:r w:rsidRPr="00DD7BE8">
        <w:rPr>
          <w:rFonts w:ascii="Palatino Linotype" w:hAnsi="Palatino Linotype" w:cs="Arial"/>
        </w:rPr>
        <w:t xml:space="preserve">, en contra </w:t>
      </w:r>
      <w:r w:rsidR="00DD7BE8">
        <w:rPr>
          <w:rFonts w:ascii="Palatino Linotype" w:hAnsi="Palatino Linotype" w:cs="Arial"/>
        </w:rPr>
        <w:t>de la</w:t>
      </w:r>
      <w:r w:rsidR="00BA512E" w:rsidRPr="00DD7BE8">
        <w:rPr>
          <w:rFonts w:ascii="Palatino Linotype" w:hAnsi="Palatino Linotype" w:cs="Arial"/>
        </w:rPr>
        <w:t xml:space="preserve"> respuesta</w:t>
      </w:r>
      <w:r w:rsidR="00843908" w:rsidRPr="00DD7BE8">
        <w:rPr>
          <w:rFonts w:ascii="Palatino Linotype" w:hAnsi="Palatino Linotype" w:cs="Arial"/>
        </w:rPr>
        <w:t xml:space="preserve"> de</w:t>
      </w:r>
      <w:r w:rsidR="000D1606" w:rsidRPr="00DD7BE8">
        <w:rPr>
          <w:rFonts w:ascii="Palatino Linotype" w:hAnsi="Palatino Linotype" w:cs="Arial"/>
        </w:rPr>
        <w:t xml:space="preserve">l </w:t>
      </w:r>
      <w:r w:rsidR="006D357C" w:rsidRPr="00DD7BE8">
        <w:rPr>
          <w:rFonts w:ascii="Palatino Linotype" w:hAnsi="Palatino Linotype" w:cs="Arial"/>
          <w:b/>
        </w:rPr>
        <w:t>Ayuntamient</w:t>
      </w:r>
      <w:r w:rsidR="00F617A3" w:rsidRPr="00DD7BE8">
        <w:rPr>
          <w:rFonts w:ascii="Palatino Linotype" w:hAnsi="Palatino Linotype" w:cs="Arial"/>
          <w:b/>
        </w:rPr>
        <w:t>o de Coacalco de Berriozábal</w:t>
      </w:r>
      <w:r w:rsidR="0036073F" w:rsidRPr="00DD7BE8">
        <w:rPr>
          <w:rFonts w:ascii="Palatino Linotype" w:hAnsi="Palatino Linotype"/>
          <w:b/>
        </w:rPr>
        <w:t xml:space="preserve">, </w:t>
      </w:r>
      <w:r w:rsidRPr="00DD7BE8">
        <w:rPr>
          <w:rFonts w:ascii="Palatino Linotype" w:hAnsi="Palatino Linotype"/>
        </w:rPr>
        <w:t>en lo sucesivo el</w:t>
      </w:r>
      <w:r w:rsidRPr="00DD7BE8">
        <w:rPr>
          <w:rFonts w:ascii="Palatino Linotype" w:hAnsi="Palatino Linotype"/>
          <w:b/>
        </w:rPr>
        <w:t xml:space="preserve"> SUJETO OBLIGADO, </w:t>
      </w:r>
      <w:r w:rsidRPr="00DD7BE8">
        <w:rPr>
          <w:rFonts w:ascii="Palatino Linotype" w:hAnsi="Palatino Linotype"/>
        </w:rPr>
        <w:t>se procede a dictar la presente resolución, con base en los siguientes:</w:t>
      </w:r>
    </w:p>
    <w:p w14:paraId="769E1410" w14:textId="5740327F" w:rsidR="00587366" w:rsidRPr="00DD7BE8" w:rsidRDefault="00662C69" w:rsidP="00DD7BE8">
      <w:pPr>
        <w:pStyle w:val="Ttulo1"/>
        <w:spacing w:line="360" w:lineRule="auto"/>
        <w:jc w:val="center"/>
        <w:rPr>
          <w:b/>
          <w:szCs w:val="24"/>
        </w:rPr>
      </w:pPr>
      <w:bookmarkStart w:id="0" w:name="_Toc461555884"/>
      <w:bookmarkStart w:id="1" w:name="_Toc466371847"/>
      <w:bookmarkStart w:id="2" w:name="_Toc24051505"/>
      <w:r w:rsidRPr="00DD7BE8">
        <w:rPr>
          <w:b/>
          <w:szCs w:val="24"/>
        </w:rPr>
        <w:t>ANTECEDENTES</w:t>
      </w:r>
      <w:bookmarkEnd w:id="0"/>
      <w:bookmarkEnd w:id="1"/>
      <w:bookmarkEnd w:id="2"/>
    </w:p>
    <w:p w14:paraId="4F797A84" w14:textId="73B61288" w:rsidR="00A40EF1" w:rsidRPr="00DD7BE8" w:rsidRDefault="00F617A3" w:rsidP="00DD7BE8">
      <w:pPr>
        <w:pStyle w:val="Prrafodelista"/>
        <w:numPr>
          <w:ilvl w:val="0"/>
          <w:numId w:val="1"/>
        </w:numPr>
        <w:spacing w:before="240" w:after="240" w:line="360" w:lineRule="auto"/>
        <w:ind w:left="0" w:firstLine="0"/>
        <w:jc w:val="both"/>
        <w:rPr>
          <w:rFonts w:ascii="Palatino Linotype" w:eastAsia="Calibri" w:hAnsi="Palatino Linotype" w:cs="Arial"/>
          <w:lang w:val="es-ES"/>
        </w:rPr>
      </w:pPr>
      <w:r w:rsidRPr="00DD7BE8">
        <w:rPr>
          <w:rFonts w:ascii="Palatino Linotype" w:eastAsia="Calibri" w:hAnsi="Palatino Linotype" w:cs="Arial"/>
          <w:lang w:val="es-ES"/>
        </w:rPr>
        <w:t>El día seis (06) de agosto</w:t>
      </w:r>
      <w:r w:rsidR="001D1810" w:rsidRPr="00DD7BE8">
        <w:rPr>
          <w:rFonts w:ascii="Palatino Linotype" w:eastAsia="Calibri" w:hAnsi="Palatino Linotype" w:cs="Arial"/>
          <w:lang w:val="es-ES"/>
        </w:rPr>
        <w:t xml:space="preserve"> </w:t>
      </w:r>
      <w:r w:rsidR="00AB274F" w:rsidRPr="00DD7BE8">
        <w:rPr>
          <w:rFonts w:ascii="Palatino Linotype" w:eastAsia="Calibri" w:hAnsi="Palatino Linotype" w:cs="Arial"/>
          <w:lang w:val="es-ES"/>
        </w:rPr>
        <w:t xml:space="preserve">de </w:t>
      </w:r>
      <w:r w:rsidR="00DB4BEF" w:rsidRPr="00DD7BE8">
        <w:rPr>
          <w:rFonts w:ascii="Palatino Linotype" w:eastAsia="Calibri" w:hAnsi="Palatino Linotype" w:cs="Arial"/>
          <w:lang w:val="es-ES"/>
        </w:rPr>
        <w:t xml:space="preserve">dos mil </w:t>
      </w:r>
      <w:r w:rsidR="00166794" w:rsidRPr="00DD7BE8">
        <w:rPr>
          <w:rFonts w:ascii="Palatino Linotype" w:eastAsia="Calibri" w:hAnsi="Palatino Linotype" w:cs="Arial"/>
          <w:lang w:val="es-ES"/>
        </w:rPr>
        <w:t>dieci</w:t>
      </w:r>
      <w:r w:rsidR="00FA14DD" w:rsidRPr="00DD7BE8">
        <w:rPr>
          <w:rFonts w:ascii="Palatino Linotype" w:eastAsia="Calibri" w:hAnsi="Palatino Linotype" w:cs="Arial"/>
          <w:lang w:val="es-ES"/>
        </w:rPr>
        <w:t>nueve</w:t>
      </w:r>
      <w:r w:rsidR="00DB4BEF" w:rsidRPr="00DD7BE8">
        <w:rPr>
          <w:rFonts w:ascii="Palatino Linotype" w:eastAsia="Calibri" w:hAnsi="Palatino Linotype" w:cs="Arial"/>
          <w:lang w:val="es-ES"/>
        </w:rPr>
        <w:t>,</w:t>
      </w:r>
      <w:r w:rsidR="00DB4BEF" w:rsidRPr="00DD7BE8">
        <w:rPr>
          <w:rFonts w:ascii="Palatino Linotype" w:eastAsia="Calibri" w:hAnsi="Palatino Linotype" w:cs="Times New Roman"/>
          <w:lang w:val="es-ES"/>
        </w:rPr>
        <w:t xml:space="preserve"> </w:t>
      </w:r>
      <w:r w:rsidR="00DA2F64" w:rsidRPr="00DD7BE8">
        <w:rPr>
          <w:rFonts w:ascii="Palatino Linotype" w:eastAsia="Calibri" w:hAnsi="Palatino Linotype" w:cs="Times New Roman"/>
          <w:lang w:val="es-ES"/>
        </w:rPr>
        <w:t>la</w:t>
      </w:r>
      <w:r w:rsidR="00FA14DD" w:rsidRPr="00DD7BE8">
        <w:rPr>
          <w:rFonts w:ascii="Palatino Linotype" w:eastAsia="Calibri" w:hAnsi="Palatino Linotype" w:cs="Times New Roman"/>
          <w:lang w:val="es-ES"/>
        </w:rPr>
        <w:t xml:space="preserve"> parte</w:t>
      </w:r>
      <w:r w:rsidR="00E62303" w:rsidRPr="00DD7BE8">
        <w:rPr>
          <w:rFonts w:ascii="Palatino Linotype" w:hAnsi="Palatino Linotype"/>
          <w:b/>
        </w:rPr>
        <w:t xml:space="preserve"> RECURRENTE</w:t>
      </w:r>
      <w:r w:rsidR="00AB274F" w:rsidRPr="00DD7BE8">
        <w:rPr>
          <w:rFonts w:ascii="Palatino Linotype" w:hAnsi="Palatino Linotype"/>
          <w:b/>
        </w:rPr>
        <w:t xml:space="preserve"> </w:t>
      </w:r>
      <w:r w:rsidR="003116A6" w:rsidRPr="00DD7BE8">
        <w:rPr>
          <w:rFonts w:ascii="Palatino Linotype" w:eastAsia="Calibri" w:hAnsi="Palatino Linotype" w:cs="Arial"/>
          <w:lang w:val="es-ES"/>
        </w:rPr>
        <w:t xml:space="preserve">presentó ante el </w:t>
      </w:r>
      <w:r w:rsidR="003116A6" w:rsidRPr="00DD7BE8">
        <w:rPr>
          <w:rFonts w:ascii="Palatino Linotype" w:eastAsia="Calibri" w:hAnsi="Palatino Linotype" w:cs="Arial"/>
          <w:b/>
          <w:lang w:val="es-ES"/>
        </w:rPr>
        <w:t>SUJETO OBLIGADO</w:t>
      </w:r>
      <w:r w:rsidR="003116A6" w:rsidRPr="00DD7BE8">
        <w:rPr>
          <w:rFonts w:ascii="Palatino Linotype" w:eastAsia="Calibri" w:hAnsi="Palatino Linotype" w:cs="Arial"/>
        </w:rPr>
        <w:t xml:space="preserve"> vía</w:t>
      </w:r>
      <w:r w:rsidR="00DB4BEF" w:rsidRPr="00DD7BE8">
        <w:rPr>
          <w:rFonts w:ascii="Palatino Linotype" w:eastAsia="Calibri" w:hAnsi="Palatino Linotype" w:cs="Arial"/>
        </w:rPr>
        <w:t xml:space="preserve"> </w:t>
      </w:r>
      <w:r w:rsidR="00DB4BEF" w:rsidRPr="00DD7BE8">
        <w:rPr>
          <w:rFonts w:ascii="Palatino Linotype" w:eastAsia="Calibri" w:hAnsi="Palatino Linotype" w:cs="Arial"/>
          <w:lang w:val="es-ES"/>
        </w:rPr>
        <w:t xml:space="preserve">Sistema de Acceso a la Información Mexiquense </w:t>
      </w:r>
      <w:r w:rsidR="006B7A58" w:rsidRPr="00DD7BE8">
        <w:rPr>
          <w:rFonts w:ascii="Palatino Linotype" w:eastAsia="Calibri" w:hAnsi="Palatino Linotype" w:cs="Arial"/>
          <w:lang w:val="es-ES"/>
        </w:rPr>
        <w:t>(</w:t>
      </w:r>
      <w:r w:rsidR="00DB4BEF" w:rsidRPr="00DD7BE8">
        <w:rPr>
          <w:rFonts w:ascii="Palatino Linotype" w:eastAsia="Calibri" w:hAnsi="Palatino Linotype" w:cs="Arial"/>
          <w:b/>
          <w:lang w:val="es-ES"/>
        </w:rPr>
        <w:t>SAIMEX</w:t>
      </w:r>
      <w:r w:rsidR="006B7A58" w:rsidRPr="00DD7BE8">
        <w:rPr>
          <w:rFonts w:ascii="Palatino Linotype" w:eastAsia="Calibri" w:hAnsi="Palatino Linotype" w:cs="Arial"/>
          <w:b/>
          <w:lang w:val="es-ES"/>
        </w:rPr>
        <w:t>)</w:t>
      </w:r>
      <w:r w:rsidR="00DB4BEF" w:rsidRPr="00DD7BE8">
        <w:rPr>
          <w:rFonts w:ascii="Palatino Linotype" w:eastAsia="Calibri" w:hAnsi="Palatino Linotype" w:cs="Arial"/>
          <w:lang w:val="es-ES"/>
        </w:rPr>
        <w:t>, la</w:t>
      </w:r>
      <w:r w:rsidR="003940F6" w:rsidRPr="00DD7BE8">
        <w:rPr>
          <w:rFonts w:ascii="Palatino Linotype" w:eastAsia="Calibri" w:hAnsi="Palatino Linotype" w:cs="Arial"/>
          <w:lang w:val="es-ES"/>
        </w:rPr>
        <w:t>s</w:t>
      </w:r>
      <w:r w:rsidR="00DB4BEF" w:rsidRPr="00DD7BE8">
        <w:rPr>
          <w:rFonts w:ascii="Palatino Linotype" w:eastAsia="Calibri" w:hAnsi="Palatino Linotype" w:cs="Arial"/>
          <w:lang w:val="es-ES"/>
        </w:rPr>
        <w:t xml:space="preserve"> solicitud</w:t>
      </w:r>
      <w:r w:rsidR="004B5C6B" w:rsidRPr="00DD7BE8">
        <w:rPr>
          <w:rFonts w:ascii="Palatino Linotype" w:eastAsia="Calibri" w:hAnsi="Palatino Linotype" w:cs="Arial"/>
          <w:lang w:val="es-ES"/>
        </w:rPr>
        <w:t>es</w:t>
      </w:r>
      <w:r w:rsidR="00DB4BEF" w:rsidRPr="00DD7BE8">
        <w:rPr>
          <w:rFonts w:ascii="Palatino Linotype" w:eastAsia="Calibri" w:hAnsi="Palatino Linotype" w:cs="Arial"/>
          <w:lang w:val="es-ES"/>
        </w:rPr>
        <w:t xml:space="preserve"> de información pública</w:t>
      </w:r>
      <w:r w:rsidR="004B5C6B" w:rsidRPr="00DD7BE8">
        <w:rPr>
          <w:rFonts w:ascii="Palatino Linotype" w:eastAsia="Calibri" w:hAnsi="Palatino Linotype" w:cs="Arial"/>
          <w:lang w:val="es-ES"/>
        </w:rPr>
        <w:t xml:space="preserve">, </w:t>
      </w:r>
      <w:r w:rsidR="00B5559A" w:rsidRPr="00DD7BE8">
        <w:rPr>
          <w:rFonts w:ascii="Palatino Linotype" w:eastAsia="Calibri" w:hAnsi="Palatino Linotype" w:cs="Arial"/>
          <w:lang w:val="es-ES"/>
        </w:rPr>
        <w:t>registradas con los números</w:t>
      </w:r>
      <w:r w:rsidRPr="00DD7BE8">
        <w:rPr>
          <w:rFonts w:ascii="Palatino Linotype" w:eastAsia="Calibri" w:hAnsi="Palatino Linotype" w:cs="Arial"/>
          <w:lang w:val="es-ES"/>
        </w:rPr>
        <w:t xml:space="preserve"> </w:t>
      </w:r>
      <w:r w:rsidR="00F93E20" w:rsidRPr="00DD7BE8">
        <w:rPr>
          <w:rFonts w:ascii="Palatino Linotype" w:eastAsia="Calibri" w:hAnsi="Palatino Linotype" w:cs="Arial"/>
          <w:b/>
          <w:bCs/>
          <w:color w:val="000000" w:themeColor="text1"/>
        </w:rPr>
        <w:t> </w:t>
      </w:r>
      <w:hyperlink r:id="rId8" w:history="1">
        <w:r w:rsidRPr="00DD7BE8">
          <w:rPr>
            <w:rStyle w:val="Hipervnculo"/>
            <w:rFonts w:ascii="Palatino Linotype" w:eastAsia="Calibri" w:hAnsi="Palatino Linotype" w:cs="Arial"/>
            <w:b/>
            <w:bCs/>
            <w:color w:val="000000" w:themeColor="text1"/>
            <w:u w:val="none"/>
          </w:rPr>
          <w:t>00316/COACALCO/IP/2019</w:t>
        </w:r>
      </w:hyperlink>
      <w:r w:rsidRPr="00DD7BE8">
        <w:rPr>
          <w:rFonts w:ascii="Palatino Linotype" w:eastAsia="Calibri" w:hAnsi="Palatino Linotype" w:cs="Arial"/>
          <w:b/>
          <w:bCs/>
        </w:rPr>
        <w:t xml:space="preserve">, </w:t>
      </w:r>
      <w:hyperlink r:id="rId9" w:history="1">
        <w:r w:rsidRPr="00DD7BE8">
          <w:rPr>
            <w:rStyle w:val="Hipervnculo"/>
            <w:rFonts w:ascii="Palatino Linotype" w:eastAsia="Calibri" w:hAnsi="Palatino Linotype" w:cs="Arial"/>
            <w:b/>
            <w:bCs/>
            <w:color w:val="000000" w:themeColor="text1"/>
            <w:u w:val="none"/>
          </w:rPr>
          <w:t>00317/COACALCO/IP/2019</w:t>
        </w:r>
      </w:hyperlink>
      <w:r w:rsidRPr="00DD7BE8">
        <w:rPr>
          <w:rFonts w:ascii="Palatino Linotype" w:eastAsia="Calibri" w:hAnsi="Palatino Linotype" w:cs="Arial"/>
          <w:b/>
          <w:bCs/>
          <w:color w:val="000000" w:themeColor="text1"/>
        </w:rPr>
        <w:t xml:space="preserve">, </w:t>
      </w:r>
      <w:hyperlink r:id="rId10" w:history="1">
        <w:r w:rsidRPr="00DD7BE8">
          <w:rPr>
            <w:rStyle w:val="Hipervnculo"/>
            <w:rFonts w:ascii="Palatino Linotype" w:eastAsia="Calibri" w:hAnsi="Palatino Linotype" w:cs="Arial"/>
            <w:b/>
            <w:bCs/>
            <w:color w:val="000000" w:themeColor="text1"/>
            <w:u w:val="none"/>
          </w:rPr>
          <w:t>00318/COACALCO/IP/2019</w:t>
        </w:r>
      </w:hyperlink>
      <w:r w:rsidRPr="00DD7BE8">
        <w:rPr>
          <w:rFonts w:ascii="Palatino Linotype" w:eastAsia="Calibri" w:hAnsi="Palatino Linotype" w:cs="Arial"/>
          <w:b/>
          <w:bCs/>
          <w:color w:val="000000" w:themeColor="text1"/>
        </w:rPr>
        <w:t xml:space="preserve">, </w:t>
      </w:r>
      <w:hyperlink r:id="rId11" w:history="1">
        <w:r w:rsidRPr="00DD7BE8">
          <w:rPr>
            <w:rStyle w:val="Hipervnculo"/>
            <w:rFonts w:ascii="Palatino Linotype" w:eastAsia="Calibri" w:hAnsi="Palatino Linotype" w:cs="Arial"/>
            <w:b/>
            <w:bCs/>
            <w:color w:val="000000" w:themeColor="text1"/>
            <w:u w:val="none"/>
          </w:rPr>
          <w:t>00319/COACALCO/IP/2019</w:t>
        </w:r>
      </w:hyperlink>
      <w:r w:rsidRPr="00DD7BE8">
        <w:rPr>
          <w:rFonts w:ascii="Palatino Linotype" w:eastAsia="Calibri" w:hAnsi="Palatino Linotype" w:cs="Arial"/>
          <w:b/>
          <w:bCs/>
          <w:color w:val="000000" w:themeColor="text1"/>
        </w:rPr>
        <w:t xml:space="preserve">, </w:t>
      </w:r>
      <w:hyperlink r:id="rId12" w:history="1">
        <w:r w:rsidRPr="00DD7BE8">
          <w:rPr>
            <w:rStyle w:val="Hipervnculo"/>
            <w:rFonts w:ascii="Palatino Linotype" w:eastAsia="Calibri" w:hAnsi="Palatino Linotype" w:cs="Arial"/>
            <w:b/>
            <w:bCs/>
            <w:color w:val="000000" w:themeColor="text1"/>
            <w:u w:val="none"/>
          </w:rPr>
          <w:t>00320/COACALCO/IP/2019</w:t>
        </w:r>
      </w:hyperlink>
      <w:r w:rsidRPr="00DD7BE8">
        <w:rPr>
          <w:rFonts w:ascii="Palatino Linotype" w:eastAsia="Calibri" w:hAnsi="Palatino Linotype" w:cs="Arial"/>
          <w:b/>
          <w:bCs/>
          <w:color w:val="000000" w:themeColor="text1"/>
        </w:rPr>
        <w:t xml:space="preserve"> y </w:t>
      </w:r>
      <w:hyperlink r:id="rId13" w:history="1">
        <w:r w:rsidRPr="00DD7BE8">
          <w:rPr>
            <w:rStyle w:val="Hipervnculo"/>
            <w:rFonts w:ascii="Palatino Linotype" w:eastAsia="Calibri" w:hAnsi="Palatino Linotype" w:cs="Arial"/>
            <w:b/>
            <w:bCs/>
            <w:color w:val="000000" w:themeColor="text1"/>
            <w:u w:val="none"/>
          </w:rPr>
          <w:t>00321/COACALCO/IP/2019</w:t>
        </w:r>
      </w:hyperlink>
      <w:r w:rsidR="001D1810" w:rsidRPr="00DD7BE8">
        <w:rPr>
          <w:rFonts w:ascii="Palatino Linotype" w:eastAsia="Calibri" w:hAnsi="Palatino Linotype" w:cs="Arial"/>
          <w:b/>
          <w:bCs/>
          <w:color w:val="000000" w:themeColor="text1"/>
        </w:rPr>
        <w:t>.</w:t>
      </w:r>
    </w:p>
    <w:p w14:paraId="49EACD2C" w14:textId="77777777" w:rsidR="005B1B6A" w:rsidRPr="00DD7BE8" w:rsidRDefault="005B1B6A" w:rsidP="00DD7BE8">
      <w:pPr>
        <w:pStyle w:val="Prrafodelista"/>
        <w:spacing w:before="240" w:after="240" w:line="360" w:lineRule="auto"/>
        <w:ind w:left="360"/>
        <w:jc w:val="both"/>
        <w:rPr>
          <w:rFonts w:ascii="Palatino Linotype" w:eastAsia="Calibri" w:hAnsi="Palatino Linotype" w:cs="Arial"/>
          <w:lang w:val="es-ES"/>
        </w:rPr>
      </w:pPr>
    </w:p>
    <w:p w14:paraId="05690C70" w14:textId="782963E4" w:rsidR="00D617B7" w:rsidRPr="00DD7BE8" w:rsidRDefault="0042490C" w:rsidP="00DD7BE8">
      <w:pPr>
        <w:pStyle w:val="Prrafodelista"/>
        <w:numPr>
          <w:ilvl w:val="0"/>
          <w:numId w:val="1"/>
        </w:numPr>
        <w:spacing w:before="240" w:after="240" w:line="360" w:lineRule="auto"/>
        <w:ind w:left="0" w:firstLine="0"/>
        <w:jc w:val="both"/>
        <w:rPr>
          <w:rFonts w:ascii="Palatino Linotype" w:eastAsia="Calibri" w:hAnsi="Palatino Linotype" w:cs="Arial"/>
          <w:lang w:val="es-ES"/>
        </w:rPr>
      </w:pPr>
      <w:r w:rsidRPr="00DD7BE8">
        <w:rPr>
          <w:rFonts w:ascii="Palatino Linotype" w:eastAsia="Calibri" w:hAnsi="Palatino Linotype" w:cs="Arial"/>
          <w:lang w:val="es-ES"/>
        </w:rPr>
        <w:t>Solicitudes de información mediante</w:t>
      </w:r>
      <w:r w:rsidR="00DB4BEF" w:rsidRPr="00DD7BE8">
        <w:rPr>
          <w:rFonts w:ascii="Palatino Linotype" w:eastAsia="Calibri" w:hAnsi="Palatino Linotype" w:cs="Arial"/>
          <w:lang w:val="es-ES"/>
        </w:rPr>
        <w:t xml:space="preserve"> la</w:t>
      </w:r>
      <w:r w:rsidR="00DC301A" w:rsidRPr="00DD7BE8">
        <w:rPr>
          <w:rFonts w:ascii="Palatino Linotype" w:eastAsia="Calibri" w:hAnsi="Palatino Linotype" w:cs="Arial"/>
          <w:lang w:val="es-ES"/>
        </w:rPr>
        <w:t>s</w:t>
      </w:r>
      <w:r w:rsidR="00DB4BEF" w:rsidRPr="00DD7BE8">
        <w:rPr>
          <w:rFonts w:ascii="Palatino Linotype" w:eastAsia="Calibri" w:hAnsi="Palatino Linotype" w:cs="Arial"/>
          <w:lang w:val="es-ES"/>
        </w:rPr>
        <w:t xml:space="preserve"> cual</w:t>
      </w:r>
      <w:r w:rsidR="00DC301A" w:rsidRPr="00DD7BE8">
        <w:rPr>
          <w:rFonts w:ascii="Palatino Linotype" w:eastAsia="Calibri" w:hAnsi="Palatino Linotype" w:cs="Arial"/>
          <w:lang w:val="es-ES"/>
        </w:rPr>
        <w:t>es</w:t>
      </w:r>
      <w:r w:rsidR="00AD7314" w:rsidRPr="00DD7BE8">
        <w:rPr>
          <w:rFonts w:ascii="Palatino Linotype" w:eastAsia="Calibri" w:hAnsi="Palatino Linotype" w:cs="Arial"/>
          <w:lang w:val="es-ES"/>
        </w:rPr>
        <w:t xml:space="preserve"> requirió </w:t>
      </w:r>
      <w:r w:rsidR="00B5559A" w:rsidRPr="00DD7BE8">
        <w:rPr>
          <w:rFonts w:ascii="Palatino Linotype" w:eastAsia="Calibri" w:hAnsi="Palatino Linotype" w:cs="Arial"/>
          <w:lang w:val="es-ES"/>
        </w:rPr>
        <w:t xml:space="preserve"> lo siguiente</w:t>
      </w:r>
      <w:r w:rsidR="00DB4BEF" w:rsidRPr="00DD7BE8">
        <w:rPr>
          <w:rFonts w:ascii="Palatino Linotype" w:eastAsia="Calibri" w:hAnsi="Palatino Linotype" w:cs="Arial"/>
          <w:lang w:val="es-ES"/>
        </w:rPr>
        <w:t>:</w:t>
      </w:r>
    </w:p>
    <w:p w14:paraId="768405F8" w14:textId="77777777" w:rsidR="00F617A3" w:rsidRPr="00DD7BE8" w:rsidRDefault="00F617A3" w:rsidP="00DD7BE8">
      <w:pPr>
        <w:pStyle w:val="Prrafodelista"/>
        <w:spacing w:before="240" w:after="240" w:line="360" w:lineRule="auto"/>
        <w:ind w:left="0"/>
        <w:jc w:val="both"/>
        <w:rPr>
          <w:rFonts w:ascii="Palatino Linotype" w:eastAsia="Calibri" w:hAnsi="Palatino Linotype" w:cs="Arial"/>
          <w:lang w:val="es-ES"/>
        </w:rPr>
      </w:pPr>
    </w:p>
    <w:p w14:paraId="2001C628" w14:textId="360B954E" w:rsidR="00F617A3" w:rsidRPr="00DD7BE8" w:rsidRDefault="00BC3449" w:rsidP="00DD7BE8">
      <w:pPr>
        <w:pStyle w:val="Prrafodelista"/>
        <w:spacing w:line="360" w:lineRule="auto"/>
        <w:ind w:left="0"/>
        <w:jc w:val="both"/>
        <w:rPr>
          <w:rFonts w:ascii="Palatino Linotype" w:eastAsia="Calibri" w:hAnsi="Palatino Linotype" w:cs="Arial"/>
          <w:b/>
          <w:bCs/>
        </w:rPr>
      </w:pPr>
      <w:hyperlink r:id="rId14" w:history="1">
        <w:r w:rsidR="00F617A3" w:rsidRPr="00DD7BE8">
          <w:rPr>
            <w:rStyle w:val="Hipervnculo"/>
            <w:rFonts w:ascii="Palatino Linotype" w:eastAsia="Calibri" w:hAnsi="Palatino Linotype" w:cs="Arial"/>
            <w:b/>
            <w:bCs/>
            <w:color w:val="000000" w:themeColor="text1"/>
            <w:u w:val="none"/>
          </w:rPr>
          <w:t>00316/COACALCO/IP/2019</w:t>
        </w:r>
      </w:hyperlink>
      <w:r w:rsidR="00F617A3" w:rsidRPr="00DD7BE8">
        <w:rPr>
          <w:rFonts w:ascii="Palatino Linotype" w:eastAsia="Calibri" w:hAnsi="Palatino Linotype" w:cs="Arial"/>
          <w:b/>
          <w:bCs/>
        </w:rPr>
        <w:t xml:space="preserve">: </w:t>
      </w:r>
      <w:r w:rsidR="00F617A3" w:rsidRPr="00DD7BE8">
        <w:rPr>
          <w:rFonts w:ascii="Palatino Linotype" w:eastAsia="Calibri" w:hAnsi="Palatino Linotype" w:cs="Arial"/>
          <w:bCs/>
          <w:i/>
        </w:rPr>
        <w:t xml:space="preserve">“Solicito evidencia digital de todas las cuentas bancarias, bancos, números de contratos y todos los movimientos bancarios y conciliaciones de dichas cuentas, todo lo anterior del 1 al 31 de enero del año 2019, tal y como fue entregado en el informe mensual, esto de conformidad con el Criterio "11-17" emitido por el Instituto Nacional de Transparencia en donde refiere que las cuentas bancarias y/o clave interbancaria de los sujetos obligados es información de carácter </w:t>
      </w:r>
      <w:proofErr w:type="spellStart"/>
      <w:r w:rsidR="00F617A3" w:rsidRPr="00DD7BE8">
        <w:rPr>
          <w:rFonts w:ascii="Palatino Linotype" w:eastAsia="Calibri" w:hAnsi="Palatino Linotype" w:cs="Arial"/>
          <w:bCs/>
          <w:i/>
        </w:rPr>
        <w:t>publico</w:t>
      </w:r>
      <w:proofErr w:type="spellEnd"/>
      <w:r w:rsidR="00F617A3" w:rsidRPr="00DD7BE8">
        <w:rPr>
          <w:rFonts w:ascii="Palatino Linotype" w:eastAsia="Calibri" w:hAnsi="Palatino Linotype" w:cs="Arial"/>
          <w:bCs/>
          <w:i/>
        </w:rPr>
        <w:t>.”</w:t>
      </w:r>
    </w:p>
    <w:p w14:paraId="1406693F" w14:textId="77777777" w:rsidR="00F617A3" w:rsidRPr="00DD7BE8" w:rsidRDefault="00F617A3" w:rsidP="00DD7BE8">
      <w:pPr>
        <w:pStyle w:val="Prrafodelista"/>
        <w:spacing w:line="360" w:lineRule="auto"/>
        <w:ind w:left="0"/>
        <w:jc w:val="both"/>
        <w:rPr>
          <w:rFonts w:ascii="Palatino Linotype" w:eastAsia="Calibri" w:hAnsi="Palatino Linotype" w:cs="Arial"/>
          <w:b/>
          <w:bCs/>
        </w:rPr>
      </w:pPr>
    </w:p>
    <w:p w14:paraId="7358CC78" w14:textId="77051731" w:rsidR="00F617A3" w:rsidRPr="00DD7BE8" w:rsidRDefault="00BC3449" w:rsidP="00DD7BE8">
      <w:pPr>
        <w:pStyle w:val="Prrafodelista"/>
        <w:spacing w:line="360" w:lineRule="auto"/>
        <w:ind w:left="0"/>
        <w:jc w:val="both"/>
        <w:rPr>
          <w:rFonts w:ascii="Palatino Linotype" w:eastAsia="Calibri" w:hAnsi="Palatino Linotype" w:cs="Arial"/>
          <w:b/>
          <w:bCs/>
          <w:color w:val="000000" w:themeColor="text1"/>
        </w:rPr>
      </w:pPr>
      <w:hyperlink r:id="rId15" w:history="1">
        <w:r w:rsidR="00F617A3" w:rsidRPr="00DD7BE8">
          <w:rPr>
            <w:rStyle w:val="Hipervnculo"/>
            <w:rFonts w:ascii="Palatino Linotype" w:eastAsia="Calibri" w:hAnsi="Palatino Linotype" w:cs="Arial"/>
            <w:b/>
            <w:bCs/>
            <w:color w:val="000000" w:themeColor="text1"/>
            <w:u w:val="none"/>
          </w:rPr>
          <w:t>00317/COACALCO/IP/2019</w:t>
        </w:r>
      </w:hyperlink>
      <w:r w:rsidR="00F617A3" w:rsidRPr="00DD7BE8">
        <w:rPr>
          <w:rFonts w:ascii="Palatino Linotype" w:eastAsia="Calibri" w:hAnsi="Palatino Linotype" w:cs="Arial"/>
          <w:b/>
          <w:bCs/>
          <w:color w:val="000000" w:themeColor="text1"/>
        </w:rPr>
        <w:t>:</w:t>
      </w:r>
      <w:r w:rsidR="00F617A3" w:rsidRPr="00DD7BE8">
        <w:rPr>
          <w:rFonts w:ascii="Palatino Linotype" w:hAnsi="Palatino Linotype"/>
        </w:rPr>
        <w:t xml:space="preserve"> </w:t>
      </w:r>
      <w:r w:rsidR="00F617A3" w:rsidRPr="00DD7BE8">
        <w:rPr>
          <w:rFonts w:ascii="Palatino Linotype" w:hAnsi="Palatino Linotype"/>
          <w:i/>
        </w:rPr>
        <w:t>“</w:t>
      </w:r>
      <w:r w:rsidR="00F617A3" w:rsidRPr="00DD7BE8">
        <w:rPr>
          <w:rFonts w:ascii="Palatino Linotype" w:eastAsia="Calibri" w:hAnsi="Palatino Linotype" w:cs="Arial"/>
          <w:bCs/>
          <w:i/>
          <w:color w:val="000000" w:themeColor="text1"/>
        </w:rPr>
        <w:t xml:space="preserve">Solicito evidencia digital de todas las cuentas bancarias, bancos, números de contratos y todos los movimientos bancarios y conciliaciones de dichas cuentas, todo lo anterior del 1 al 28 de febrero del año 2019, tal y como fue entregado en el informe mensual, esto de conformidad con el Criterio "11-17" emitido por el Instituto Nacional de Transparencia en donde refiere que las cuentas bancarias y/o clave interbancaria de los sujetos obligados es información de carácter </w:t>
      </w:r>
      <w:proofErr w:type="spellStart"/>
      <w:r w:rsidR="00F617A3" w:rsidRPr="00DD7BE8">
        <w:rPr>
          <w:rFonts w:ascii="Palatino Linotype" w:eastAsia="Calibri" w:hAnsi="Palatino Linotype" w:cs="Arial"/>
          <w:bCs/>
          <w:i/>
          <w:color w:val="000000" w:themeColor="text1"/>
        </w:rPr>
        <w:t>publico</w:t>
      </w:r>
      <w:proofErr w:type="spellEnd"/>
      <w:r w:rsidR="00F617A3" w:rsidRPr="00DD7BE8">
        <w:rPr>
          <w:rFonts w:ascii="Palatino Linotype" w:eastAsia="Calibri" w:hAnsi="Palatino Linotype" w:cs="Arial"/>
          <w:bCs/>
          <w:i/>
          <w:color w:val="000000" w:themeColor="text1"/>
        </w:rPr>
        <w:t>.”</w:t>
      </w:r>
    </w:p>
    <w:p w14:paraId="1D8DBA4A" w14:textId="77777777" w:rsidR="00F617A3" w:rsidRPr="00DD7BE8" w:rsidRDefault="00F617A3" w:rsidP="00DD7BE8">
      <w:pPr>
        <w:pStyle w:val="Prrafodelista"/>
        <w:spacing w:line="360" w:lineRule="auto"/>
        <w:ind w:left="0"/>
        <w:jc w:val="both"/>
        <w:rPr>
          <w:rFonts w:ascii="Palatino Linotype" w:eastAsia="Calibri" w:hAnsi="Palatino Linotype" w:cs="Arial"/>
          <w:b/>
          <w:bCs/>
          <w:color w:val="000000" w:themeColor="text1"/>
        </w:rPr>
      </w:pPr>
    </w:p>
    <w:p w14:paraId="765E9D8E" w14:textId="7D4AB48E" w:rsidR="00F617A3" w:rsidRPr="00DD7BE8" w:rsidRDefault="00BC3449" w:rsidP="00DD7BE8">
      <w:pPr>
        <w:pStyle w:val="Prrafodelista"/>
        <w:spacing w:line="360" w:lineRule="auto"/>
        <w:ind w:left="0"/>
        <w:jc w:val="both"/>
        <w:rPr>
          <w:rFonts w:ascii="Palatino Linotype" w:eastAsia="Calibri" w:hAnsi="Palatino Linotype" w:cs="Arial"/>
          <w:b/>
          <w:bCs/>
          <w:color w:val="000000" w:themeColor="text1"/>
        </w:rPr>
      </w:pPr>
      <w:hyperlink r:id="rId16" w:history="1">
        <w:r w:rsidR="00F617A3" w:rsidRPr="00DD7BE8">
          <w:rPr>
            <w:rStyle w:val="Hipervnculo"/>
            <w:rFonts w:ascii="Palatino Linotype" w:eastAsia="Calibri" w:hAnsi="Palatino Linotype" w:cs="Arial"/>
            <w:b/>
            <w:bCs/>
            <w:color w:val="000000" w:themeColor="text1"/>
            <w:u w:val="none"/>
          </w:rPr>
          <w:t>00318/COACALCO/IP/2019</w:t>
        </w:r>
      </w:hyperlink>
      <w:r w:rsidR="00F617A3" w:rsidRPr="00DD7BE8">
        <w:rPr>
          <w:rFonts w:ascii="Palatino Linotype" w:eastAsia="Calibri" w:hAnsi="Palatino Linotype" w:cs="Arial"/>
          <w:b/>
          <w:bCs/>
          <w:color w:val="000000" w:themeColor="text1"/>
        </w:rPr>
        <w:t>: “</w:t>
      </w:r>
      <w:r w:rsidR="00F617A3" w:rsidRPr="00DD7BE8">
        <w:rPr>
          <w:rFonts w:ascii="Palatino Linotype" w:eastAsia="Calibri" w:hAnsi="Palatino Linotype" w:cs="Arial"/>
          <w:bCs/>
          <w:i/>
          <w:color w:val="000000" w:themeColor="text1"/>
        </w:rPr>
        <w:t xml:space="preserve">Solicito evidencia digital de todas las cuentas bancarias, bancos, números de contratos y todos los movimientos bancarios y conciliaciones de dichas cuentas, todo lo anterior del 1 al 31 de marzo del año 2019, tal y como fue entregado en el informe mensual, esto de conformidad con el Criterio "11-17" emitido por el Instituto Nacional de Transparencia en donde refiere que las cuentas bancarias y/o clave interbancaria de los sujetos obligados es información de carácter </w:t>
      </w:r>
      <w:proofErr w:type="spellStart"/>
      <w:r w:rsidR="00F617A3" w:rsidRPr="00DD7BE8">
        <w:rPr>
          <w:rFonts w:ascii="Palatino Linotype" w:eastAsia="Calibri" w:hAnsi="Palatino Linotype" w:cs="Arial"/>
          <w:bCs/>
          <w:i/>
          <w:color w:val="000000" w:themeColor="text1"/>
        </w:rPr>
        <w:t>publico</w:t>
      </w:r>
      <w:proofErr w:type="spellEnd"/>
      <w:r w:rsidR="00F617A3" w:rsidRPr="00DD7BE8">
        <w:rPr>
          <w:rFonts w:ascii="Palatino Linotype" w:eastAsia="Calibri" w:hAnsi="Palatino Linotype" w:cs="Arial"/>
          <w:bCs/>
          <w:i/>
          <w:color w:val="000000" w:themeColor="text1"/>
        </w:rPr>
        <w:t>.”</w:t>
      </w:r>
    </w:p>
    <w:p w14:paraId="2E3DA85A" w14:textId="77777777" w:rsidR="00F617A3" w:rsidRPr="00DD7BE8" w:rsidRDefault="00F617A3" w:rsidP="00DD7BE8">
      <w:pPr>
        <w:pStyle w:val="Prrafodelista"/>
        <w:spacing w:line="360" w:lineRule="auto"/>
        <w:ind w:left="0"/>
        <w:rPr>
          <w:rFonts w:ascii="Palatino Linotype" w:eastAsia="Calibri" w:hAnsi="Palatino Linotype" w:cs="Arial"/>
          <w:b/>
          <w:bCs/>
          <w:color w:val="000000" w:themeColor="text1"/>
        </w:rPr>
      </w:pPr>
    </w:p>
    <w:p w14:paraId="75FC8166" w14:textId="131BA366" w:rsidR="00F617A3" w:rsidRPr="00DD7BE8" w:rsidRDefault="00BC3449" w:rsidP="00DD7BE8">
      <w:pPr>
        <w:pStyle w:val="Prrafodelista"/>
        <w:spacing w:line="360" w:lineRule="auto"/>
        <w:ind w:left="0"/>
        <w:jc w:val="both"/>
        <w:rPr>
          <w:rFonts w:ascii="Palatino Linotype" w:eastAsia="Calibri" w:hAnsi="Palatino Linotype" w:cs="Arial"/>
          <w:bCs/>
          <w:i/>
          <w:color w:val="000000" w:themeColor="text1"/>
        </w:rPr>
      </w:pPr>
      <w:hyperlink r:id="rId17" w:history="1">
        <w:r w:rsidR="00F617A3" w:rsidRPr="00DD7BE8">
          <w:rPr>
            <w:rStyle w:val="Hipervnculo"/>
            <w:rFonts w:ascii="Palatino Linotype" w:eastAsia="Calibri" w:hAnsi="Palatino Linotype" w:cs="Arial"/>
            <w:b/>
            <w:bCs/>
            <w:color w:val="000000" w:themeColor="text1"/>
            <w:u w:val="none"/>
          </w:rPr>
          <w:t>00319/COACALCO/IP/2019</w:t>
        </w:r>
      </w:hyperlink>
      <w:r w:rsidR="00F617A3" w:rsidRPr="00DD7BE8">
        <w:rPr>
          <w:rFonts w:ascii="Palatino Linotype" w:eastAsia="Calibri" w:hAnsi="Palatino Linotype" w:cs="Arial"/>
          <w:b/>
          <w:bCs/>
          <w:color w:val="000000" w:themeColor="text1"/>
        </w:rPr>
        <w:t xml:space="preserve">: </w:t>
      </w:r>
      <w:r w:rsidR="00F617A3" w:rsidRPr="00DD7BE8">
        <w:rPr>
          <w:rFonts w:ascii="Palatino Linotype" w:eastAsia="Calibri" w:hAnsi="Palatino Linotype" w:cs="Arial"/>
          <w:bCs/>
          <w:i/>
          <w:color w:val="000000" w:themeColor="text1"/>
        </w:rPr>
        <w:t xml:space="preserve">“Solicito evidencia digital de todas las cuentas bancarias, bancos, números de contratos y todos los movimientos bancarios y conciliaciones de dichas cuentas, todo lo anterior del 1 al 30 de abril del año 2019, tal y como fue entregado en el informe mensual, esto de conformidad con el Criterio "11-17" emitido por el Instituto Nacional de Transparencia en donde refiere que las cuentas bancarias y/o clave interbancaria de los sujetos obligados es información de carácter </w:t>
      </w:r>
      <w:proofErr w:type="spellStart"/>
      <w:r w:rsidR="00F617A3" w:rsidRPr="00DD7BE8">
        <w:rPr>
          <w:rFonts w:ascii="Palatino Linotype" w:eastAsia="Calibri" w:hAnsi="Palatino Linotype" w:cs="Arial"/>
          <w:bCs/>
          <w:i/>
          <w:color w:val="000000" w:themeColor="text1"/>
        </w:rPr>
        <w:t>publico</w:t>
      </w:r>
      <w:proofErr w:type="spellEnd"/>
      <w:r w:rsidR="00F617A3" w:rsidRPr="00DD7BE8">
        <w:rPr>
          <w:rFonts w:ascii="Palatino Linotype" w:eastAsia="Calibri" w:hAnsi="Palatino Linotype" w:cs="Arial"/>
          <w:bCs/>
          <w:i/>
          <w:color w:val="000000" w:themeColor="text1"/>
        </w:rPr>
        <w:t>.”</w:t>
      </w:r>
    </w:p>
    <w:p w14:paraId="0927837E" w14:textId="77777777" w:rsidR="00F617A3" w:rsidRPr="00DD7BE8" w:rsidRDefault="00F617A3" w:rsidP="00DD7BE8">
      <w:pPr>
        <w:pStyle w:val="Prrafodelista"/>
        <w:spacing w:line="360" w:lineRule="auto"/>
        <w:ind w:left="0"/>
        <w:rPr>
          <w:rFonts w:ascii="Palatino Linotype" w:eastAsia="Calibri" w:hAnsi="Palatino Linotype" w:cs="Arial"/>
          <w:b/>
          <w:bCs/>
          <w:color w:val="000000" w:themeColor="text1"/>
        </w:rPr>
      </w:pPr>
    </w:p>
    <w:p w14:paraId="7ED1781C" w14:textId="229B7BBC" w:rsidR="00F617A3" w:rsidRPr="00DD7BE8" w:rsidRDefault="00BC3449" w:rsidP="00DD7BE8">
      <w:pPr>
        <w:pStyle w:val="Prrafodelista"/>
        <w:spacing w:line="360" w:lineRule="auto"/>
        <w:ind w:left="0"/>
        <w:jc w:val="both"/>
        <w:rPr>
          <w:rFonts w:ascii="Palatino Linotype" w:eastAsia="Calibri" w:hAnsi="Palatino Linotype" w:cs="Arial"/>
          <w:b/>
          <w:bCs/>
          <w:color w:val="000000" w:themeColor="text1"/>
        </w:rPr>
      </w:pPr>
      <w:hyperlink r:id="rId18" w:history="1">
        <w:r w:rsidR="00F617A3" w:rsidRPr="00DD7BE8">
          <w:rPr>
            <w:rStyle w:val="Hipervnculo"/>
            <w:rFonts w:ascii="Palatino Linotype" w:eastAsia="Calibri" w:hAnsi="Palatino Linotype" w:cs="Arial"/>
            <w:b/>
            <w:bCs/>
            <w:color w:val="000000" w:themeColor="text1"/>
            <w:u w:val="none"/>
          </w:rPr>
          <w:t>00320/COACALCO/IP/2019</w:t>
        </w:r>
      </w:hyperlink>
      <w:r w:rsidR="00F617A3" w:rsidRPr="00DD7BE8">
        <w:rPr>
          <w:rFonts w:ascii="Palatino Linotype" w:eastAsia="Calibri" w:hAnsi="Palatino Linotype" w:cs="Arial"/>
          <w:b/>
          <w:bCs/>
          <w:color w:val="000000" w:themeColor="text1"/>
        </w:rPr>
        <w:t xml:space="preserve">: </w:t>
      </w:r>
      <w:r w:rsidR="00F617A3" w:rsidRPr="00DD7BE8">
        <w:rPr>
          <w:rFonts w:ascii="Palatino Linotype" w:eastAsia="Calibri" w:hAnsi="Palatino Linotype" w:cs="Arial"/>
          <w:bCs/>
          <w:i/>
          <w:color w:val="000000" w:themeColor="text1"/>
        </w:rPr>
        <w:t xml:space="preserve">“Solicito evidencia digital de todas las cuentas bancarias, bancos, números de contratos y todos los movimientos bancarios y conciliaciones de dichas cuentas, todo lo anterior del 1 al 31 de mayo del año 2019, tal y como fue entregado en el informe mensual, esto de conformidad con el Criterio "11-17" emitido por el Instituto Nacional de Transparencia en donde refiere que las cuentas bancarias y/o clave interbancaria de los sujetos obligados es información de carácter </w:t>
      </w:r>
      <w:proofErr w:type="spellStart"/>
      <w:r w:rsidR="00F617A3" w:rsidRPr="00DD7BE8">
        <w:rPr>
          <w:rFonts w:ascii="Palatino Linotype" w:eastAsia="Calibri" w:hAnsi="Palatino Linotype" w:cs="Arial"/>
          <w:bCs/>
          <w:i/>
          <w:color w:val="000000" w:themeColor="text1"/>
        </w:rPr>
        <w:t>publico</w:t>
      </w:r>
      <w:proofErr w:type="spellEnd"/>
      <w:r w:rsidR="00F617A3" w:rsidRPr="00DD7BE8">
        <w:rPr>
          <w:rFonts w:ascii="Palatino Linotype" w:eastAsia="Calibri" w:hAnsi="Palatino Linotype" w:cs="Arial"/>
          <w:bCs/>
          <w:i/>
          <w:color w:val="000000" w:themeColor="text1"/>
        </w:rPr>
        <w:t>.”</w:t>
      </w:r>
    </w:p>
    <w:p w14:paraId="03CD6A89" w14:textId="77777777" w:rsidR="00F617A3" w:rsidRPr="00DD7BE8" w:rsidRDefault="00F617A3" w:rsidP="00DD7BE8">
      <w:pPr>
        <w:pStyle w:val="Prrafodelista"/>
        <w:spacing w:line="360" w:lineRule="auto"/>
        <w:ind w:left="0"/>
        <w:rPr>
          <w:rFonts w:ascii="Palatino Linotype" w:eastAsia="Calibri" w:hAnsi="Palatino Linotype" w:cs="Arial"/>
          <w:b/>
          <w:bCs/>
          <w:color w:val="000000" w:themeColor="text1"/>
        </w:rPr>
      </w:pPr>
    </w:p>
    <w:p w14:paraId="697CDC04" w14:textId="0E2DA9F0" w:rsidR="001D1810" w:rsidRPr="00DD7BE8" w:rsidRDefault="00BC3449" w:rsidP="00DD7BE8">
      <w:pPr>
        <w:pStyle w:val="Prrafodelista"/>
        <w:spacing w:line="360" w:lineRule="auto"/>
        <w:ind w:left="0"/>
        <w:jc w:val="both"/>
        <w:rPr>
          <w:rFonts w:ascii="Palatino Linotype" w:eastAsia="Calibri" w:hAnsi="Palatino Linotype" w:cs="Arial"/>
          <w:b/>
          <w:bCs/>
          <w:color w:val="000000" w:themeColor="text1"/>
        </w:rPr>
      </w:pPr>
      <w:hyperlink r:id="rId19" w:history="1">
        <w:r w:rsidR="00F617A3" w:rsidRPr="00DD7BE8">
          <w:rPr>
            <w:rStyle w:val="Hipervnculo"/>
            <w:rFonts w:ascii="Palatino Linotype" w:eastAsia="Calibri" w:hAnsi="Palatino Linotype" w:cs="Arial"/>
            <w:b/>
            <w:bCs/>
            <w:color w:val="000000" w:themeColor="text1"/>
            <w:u w:val="none"/>
          </w:rPr>
          <w:t>00321/COACALCO/IP/2019</w:t>
        </w:r>
      </w:hyperlink>
      <w:r w:rsidR="00F617A3" w:rsidRPr="00DD7BE8">
        <w:rPr>
          <w:rFonts w:ascii="Palatino Linotype" w:eastAsia="Calibri" w:hAnsi="Palatino Linotype" w:cs="Arial"/>
          <w:b/>
          <w:bCs/>
          <w:color w:val="000000" w:themeColor="text1"/>
        </w:rPr>
        <w:t xml:space="preserve">: </w:t>
      </w:r>
      <w:r w:rsidR="00F617A3" w:rsidRPr="00DD7BE8">
        <w:rPr>
          <w:rFonts w:ascii="Palatino Linotype" w:eastAsia="Calibri" w:hAnsi="Palatino Linotype" w:cs="Arial"/>
          <w:bCs/>
          <w:i/>
          <w:color w:val="000000" w:themeColor="text1"/>
        </w:rPr>
        <w:t xml:space="preserve">“Solicito evidencia digital de todas las cuentas bancarias, bancos, números de contratos y todos los movimientos bancarios y conciliaciones de dichas cuentas, todo lo anterior del 1 al 30 de junio del año 2019, tal y como fue entregado en el informe mensual, esto de conformidad con el Criterio "11-17" emitido por el Instituto Nacional de Transparencia en donde refiere que las cuentas bancarias y/o clave interbancaria de los sujetos obligados es información de carácter </w:t>
      </w:r>
      <w:proofErr w:type="spellStart"/>
      <w:r w:rsidR="00F617A3" w:rsidRPr="00DD7BE8">
        <w:rPr>
          <w:rFonts w:ascii="Palatino Linotype" w:eastAsia="Calibri" w:hAnsi="Palatino Linotype" w:cs="Arial"/>
          <w:bCs/>
          <w:i/>
          <w:color w:val="000000" w:themeColor="text1"/>
        </w:rPr>
        <w:t>publico</w:t>
      </w:r>
      <w:proofErr w:type="spellEnd"/>
      <w:r w:rsidR="00F617A3" w:rsidRPr="00DD7BE8">
        <w:rPr>
          <w:rFonts w:ascii="Palatino Linotype" w:eastAsia="Calibri" w:hAnsi="Palatino Linotype" w:cs="Arial"/>
          <w:b/>
          <w:bCs/>
          <w:color w:val="000000" w:themeColor="text1"/>
        </w:rPr>
        <w:t>.”</w:t>
      </w:r>
    </w:p>
    <w:p w14:paraId="736F785C" w14:textId="77777777" w:rsidR="001D1810" w:rsidRPr="00DD7BE8" w:rsidRDefault="001D1810" w:rsidP="00DD7BE8">
      <w:pPr>
        <w:pStyle w:val="Prrafodelista"/>
        <w:spacing w:before="240" w:after="240" w:line="360" w:lineRule="auto"/>
        <w:ind w:left="0"/>
        <w:jc w:val="both"/>
        <w:rPr>
          <w:rFonts w:ascii="Palatino Linotype" w:eastAsia="Calibri" w:hAnsi="Palatino Linotype" w:cs="Arial"/>
          <w:lang w:val="es-ES"/>
        </w:rPr>
      </w:pPr>
    </w:p>
    <w:p w14:paraId="58C44458" w14:textId="77777777" w:rsidR="00F75AB0" w:rsidRPr="00DD7BE8" w:rsidRDefault="00EF758E" w:rsidP="00DD7BE8">
      <w:pPr>
        <w:pStyle w:val="Prrafodelista"/>
        <w:numPr>
          <w:ilvl w:val="0"/>
          <w:numId w:val="1"/>
        </w:numPr>
        <w:tabs>
          <w:tab w:val="left" w:pos="0"/>
        </w:tabs>
        <w:spacing w:line="360" w:lineRule="auto"/>
        <w:ind w:left="0" w:firstLine="0"/>
        <w:jc w:val="both"/>
        <w:rPr>
          <w:rFonts w:ascii="Palatino Linotype" w:hAnsi="Palatino Linotype"/>
          <w:color w:val="000000"/>
        </w:rPr>
      </w:pPr>
      <w:r w:rsidRPr="00DD7BE8">
        <w:rPr>
          <w:rFonts w:ascii="Palatino Linotype" w:eastAsia="Calibri" w:hAnsi="Palatino Linotype" w:cs="Times New Roman"/>
          <w:lang w:val="es-ES"/>
        </w:rPr>
        <w:t>Se hace constar que en todas las solicitudes se s</w:t>
      </w:r>
      <w:r w:rsidR="005E570D" w:rsidRPr="00DD7BE8">
        <w:rPr>
          <w:rFonts w:ascii="Palatino Linotype" w:eastAsia="Calibri" w:hAnsi="Palatino Linotype" w:cs="Times New Roman"/>
          <w:lang w:val="es-ES"/>
        </w:rPr>
        <w:t>eñaló como modalid</w:t>
      </w:r>
      <w:r w:rsidRPr="00DD7BE8">
        <w:rPr>
          <w:rFonts w:ascii="Palatino Linotype" w:eastAsia="Calibri" w:hAnsi="Palatino Linotype" w:cs="Times New Roman"/>
          <w:lang w:val="es-ES"/>
        </w:rPr>
        <w:t>ad de entrega de l</w:t>
      </w:r>
      <w:r w:rsidR="00A40EF1" w:rsidRPr="00DD7BE8">
        <w:rPr>
          <w:rFonts w:ascii="Palatino Linotype" w:eastAsia="Calibri" w:hAnsi="Palatino Linotype" w:cs="Times New Roman"/>
          <w:lang w:val="es-ES"/>
        </w:rPr>
        <w:t>a información</w:t>
      </w:r>
      <w:r w:rsidRPr="00DD7BE8">
        <w:rPr>
          <w:rFonts w:ascii="Palatino Linotype" w:eastAsia="Calibri" w:hAnsi="Palatino Linotype" w:cs="Times New Roman"/>
          <w:lang w:val="es-ES"/>
        </w:rPr>
        <w:t xml:space="preserve"> a través del Sistema de Acceso a la Información Mexiquense </w:t>
      </w:r>
      <w:r w:rsidRPr="00DD7BE8">
        <w:rPr>
          <w:rFonts w:ascii="Palatino Linotype" w:eastAsia="Calibri" w:hAnsi="Palatino Linotype" w:cs="Times New Roman"/>
          <w:b/>
          <w:lang w:val="es-ES"/>
        </w:rPr>
        <w:t>(SAIMEX).</w:t>
      </w:r>
    </w:p>
    <w:p w14:paraId="280D5FCD" w14:textId="77777777" w:rsidR="00F75AB0" w:rsidRPr="00DD7BE8" w:rsidRDefault="00F75AB0" w:rsidP="00DD7BE8">
      <w:pPr>
        <w:pStyle w:val="Prrafodelista"/>
        <w:tabs>
          <w:tab w:val="left" w:pos="0"/>
        </w:tabs>
        <w:spacing w:line="360" w:lineRule="auto"/>
        <w:ind w:left="0"/>
        <w:jc w:val="both"/>
        <w:rPr>
          <w:rFonts w:ascii="Palatino Linotype" w:hAnsi="Palatino Linotype"/>
          <w:color w:val="000000"/>
        </w:rPr>
      </w:pPr>
    </w:p>
    <w:p w14:paraId="28529681" w14:textId="5CD13825" w:rsidR="00F75AB0" w:rsidRPr="00DD7BE8" w:rsidRDefault="00F75AB0" w:rsidP="00DD7BE8">
      <w:pPr>
        <w:pStyle w:val="Prrafodelista"/>
        <w:numPr>
          <w:ilvl w:val="0"/>
          <w:numId w:val="1"/>
        </w:numPr>
        <w:tabs>
          <w:tab w:val="left" w:pos="0"/>
        </w:tabs>
        <w:spacing w:line="360" w:lineRule="auto"/>
        <w:ind w:left="0" w:firstLine="0"/>
        <w:jc w:val="both"/>
        <w:rPr>
          <w:rFonts w:ascii="Palatino Linotype" w:hAnsi="Palatino Linotype"/>
          <w:color w:val="000000"/>
        </w:rPr>
      </w:pPr>
      <w:r w:rsidRPr="00DD7BE8">
        <w:rPr>
          <w:rFonts w:ascii="Palatino Linotype" w:hAnsi="Palatino Linotype"/>
          <w:color w:val="000000" w:themeColor="text1"/>
        </w:rPr>
        <w:t>E</w:t>
      </w:r>
      <w:r w:rsidR="00804EB8" w:rsidRPr="00DD7BE8">
        <w:rPr>
          <w:rFonts w:ascii="Palatino Linotype" w:hAnsi="Palatino Linotype"/>
          <w:color w:val="000000" w:themeColor="text1"/>
        </w:rPr>
        <w:t>n fecha cinco (05</w:t>
      </w:r>
      <w:r w:rsidRPr="00DD7BE8">
        <w:rPr>
          <w:rFonts w:ascii="Palatino Linotype" w:hAnsi="Palatino Linotype"/>
          <w:color w:val="000000" w:themeColor="text1"/>
        </w:rPr>
        <w:t>) de</w:t>
      </w:r>
      <w:r w:rsidR="00974405" w:rsidRPr="00DD7BE8">
        <w:rPr>
          <w:rFonts w:ascii="Palatino Linotype" w:hAnsi="Palatino Linotype"/>
          <w:color w:val="000000" w:themeColor="text1"/>
        </w:rPr>
        <w:t xml:space="preserve"> septiembre del año</w:t>
      </w:r>
      <w:r w:rsidRPr="00DD7BE8">
        <w:rPr>
          <w:rFonts w:ascii="Palatino Linotype" w:hAnsi="Palatino Linotype"/>
          <w:color w:val="000000" w:themeColor="text1"/>
        </w:rPr>
        <w:t xml:space="preserve"> dos mil diecinueve, el </w:t>
      </w:r>
      <w:r w:rsidRPr="00DD7BE8">
        <w:rPr>
          <w:rFonts w:ascii="Palatino Linotype" w:hAnsi="Palatino Linotype"/>
          <w:b/>
          <w:color w:val="000000" w:themeColor="text1"/>
        </w:rPr>
        <w:t xml:space="preserve">SUJETO OBLIGADO </w:t>
      </w:r>
      <w:r w:rsidRPr="00DD7BE8">
        <w:rPr>
          <w:rFonts w:ascii="Palatino Linotype" w:hAnsi="Palatino Linotype"/>
          <w:color w:val="000000" w:themeColor="text1"/>
        </w:rPr>
        <w:t>emitió su respectiva respuesta</w:t>
      </w:r>
      <w:r w:rsidR="00B67D97" w:rsidRPr="00DD7BE8">
        <w:rPr>
          <w:rFonts w:ascii="Palatino Linotype" w:hAnsi="Palatino Linotype"/>
          <w:color w:val="000000" w:themeColor="text1"/>
        </w:rPr>
        <w:t>s</w:t>
      </w:r>
      <w:r w:rsidRPr="00DD7BE8">
        <w:rPr>
          <w:rFonts w:ascii="Palatino Linotype" w:hAnsi="Palatino Linotype"/>
          <w:color w:val="000000" w:themeColor="text1"/>
        </w:rPr>
        <w:t xml:space="preserve"> a la solicitud</w:t>
      </w:r>
      <w:r w:rsidR="00B67D97" w:rsidRPr="00DD7BE8">
        <w:rPr>
          <w:rFonts w:ascii="Palatino Linotype" w:hAnsi="Palatino Linotype"/>
          <w:color w:val="000000" w:themeColor="text1"/>
        </w:rPr>
        <w:t>es</w:t>
      </w:r>
      <w:r w:rsidRPr="00DD7BE8">
        <w:rPr>
          <w:rFonts w:ascii="Palatino Linotype" w:hAnsi="Palatino Linotype"/>
          <w:color w:val="000000" w:themeColor="text1"/>
        </w:rPr>
        <w:t xml:space="preserve"> de información presentada</w:t>
      </w:r>
      <w:r w:rsidR="00B67D97" w:rsidRPr="00DD7BE8">
        <w:rPr>
          <w:rFonts w:ascii="Palatino Linotype" w:hAnsi="Palatino Linotype"/>
          <w:color w:val="000000" w:themeColor="text1"/>
        </w:rPr>
        <w:t>s</w:t>
      </w:r>
      <w:r w:rsidRPr="00DD7BE8">
        <w:rPr>
          <w:rFonts w:ascii="Palatino Linotype" w:hAnsi="Palatino Linotype"/>
          <w:color w:val="000000" w:themeColor="text1"/>
        </w:rPr>
        <w:t>, a través de los escritos siguientes:</w:t>
      </w:r>
    </w:p>
    <w:p w14:paraId="56618F0F" w14:textId="77777777" w:rsidR="00F75AB0" w:rsidRPr="00DD7BE8" w:rsidRDefault="00F75AB0" w:rsidP="00DD7BE8">
      <w:pPr>
        <w:pStyle w:val="Prrafodelista"/>
        <w:spacing w:line="360" w:lineRule="auto"/>
        <w:rPr>
          <w:rFonts w:ascii="Palatino Linotype" w:hAnsi="Palatino Linotype"/>
          <w:color w:val="000000"/>
        </w:rPr>
      </w:pPr>
    </w:p>
    <w:p w14:paraId="429A80CD" w14:textId="497BE4C2" w:rsidR="001F40F9" w:rsidRPr="00DD7BE8" w:rsidRDefault="001F40F9" w:rsidP="00DD7BE8">
      <w:pPr>
        <w:pStyle w:val="Prrafodelista"/>
        <w:tabs>
          <w:tab w:val="left" w:pos="0"/>
        </w:tabs>
        <w:spacing w:line="360" w:lineRule="auto"/>
        <w:ind w:left="0"/>
        <w:jc w:val="both"/>
        <w:rPr>
          <w:rFonts w:ascii="Palatino Linotype" w:hAnsi="Palatino Linotype"/>
          <w:b/>
          <w:color w:val="000000" w:themeColor="text1"/>
        </w:rPr>
      </w:pPr>
      <w:r w:rsidRPr="00DD7BE8">
        <w:rPr>
          <w:rFonts w:ascii="Palatino Linotype" w:hAnsi="Palatino Linotype"/>
          <w:b/>
          <w:bCs/>
          <w:color w:val="000000" w:themeColor="text1"/>
        </w:rPr>
        <w:t>Solicitud</w:t>
      </w:r>
      <w:r w:rsidR="00804EB8" w:rsidRPr="00DD7BE8">
        <w:rPr>
          <w:rStyle w:val="Hipervnculo"/>
          <w:rFonts w:ascii="Palatino Linotype" w:hAnsi="Palatino Linotype"/>
          <w:b/>
          <w:bCs/>
          <w:color w:val="000000" w:themeColor="text1"/>
          <w:u w:val="none"/>
        </w:rPr>
        <w:t xml:space="preserve"> </w:t>
      </w:r>
      <w:hyperlink r:id="rId20" w:history="1">
        <w:r w:rsidR="00804EB8" w:rsidRPr="00DD7BE8">
          <w:rPr>
            <w:rStyle w:val="Hipervnculo"/>
            <w:rFonts w:ascii="Palatino Linotype" w:eastAsia="Calibri" w:hAnsi="Palatino Linotype" w:cs="Arial"/>
            <w:b/>
            <w:bCs/>
            <w:color w:val="000000" w:themeColor="text1"/>
            <w:u w:val="none"/>
          </w:rPr>
          <w:t>00316/COACALCO/IP/2019</w:t>
        </w:r>
      </w:hyperlink>
      <w:r w:rsidR="00804EB8" w:rsidRPr="00DD7BE8">
        <w:rPr>
          <w:rFonts w:ascii="Palatino Linotype" w:eastAsia="Calibri" w:hAnsi="Palatino Linotype" w:cs="Arial"/>
          <w:b/>
          <w:bCs/>
        </w:rPr>
        <w:t xml:space="preserve">: </w:t>
      </w:r>
      <w:r w:rsidRPr="00DD7BE8">
        <w:rPr>
          <w:rFonts w:ascii="Palatino Linotype" w:hAnsi="Palatino Linotype"/>
          <w:b/>
          <w:color w:val="000000" w:themeColor="text1"/>
        </w:rPr>
        <w:t xml:space="preserve"> </w:t>
      </w:r>
    </w:p>
    <w:p w14:paraId="083AFE69" w14:textId="77777777" w:rsidR="00804EB8" w:rsidRPr="00DD7BE8" w:rsidRDefault="00804EB8" w:rsidP="00DD7BE8">
      <w:pPr>
        <w:pStyle w:val="Prrafodelista"/>
        <w:tabs>
          <w:tab w:val="left" w:pos="0"/>
        </w:tabs>
        <w:spacing w:line="360" w:lineRule="auto"/>
        <w:ind w:left="0"/>
        <w:jc w:val="both"/>
        <w:rPr>
          <w:rFonts w:ascii="Palatino Linotype" w:hAnsi="Palatino Linotype"/>
          <w:b/>
          <w:color w:val="000000" w:themeColor="text1"/>
        </w:rPr>
      </w:pPr>
    </w:p>
    <w:p w14:paraId="79D617C9" w14:textId="653491C7" w:rsidR="001F40F9" w:rsidRPr="00DD7BE8" w:rsidRDefault="00804EB8" w:rsidP="00DD7BE8">
      <w:pPr>
        <w:pStyle w:val="Prrafodelista"/>
        <w:numPr>
          <w:ilvl w:val="0"/>
          <w:numId w:val="21"/>
        </w:numPr>
        <w:tabs>
          <w:tab w:val="left" w:pos="0"/>
        </w:tabs>
        <w:spacing w:line="360" w:lineRule="auto"/>
        <w:jc w:val="both"/>
        <w:rPr>
          <w:rFonts w:ascii="Palatino Linotype" w:hAnsi="Palatino Linotype"/>
          <w:b/>
          <w:bCs/>
          <w:color w:val="000000" w:themeColor="text1"/>
        </w:rPr>
      </w:pPr>
      <w:r w:rsidRPr="00DD7BE8">
        <w:rPr>
          <w:rStyle w:val="Hipervnculo"/>
          <w:rFonts w:ascii="Palatino Linotype" w:hAnsi="Palatino Linotype"/>
          <w:b/>
          <w:bCs/>
          <w:color w:val="000000" w:themeColor="text1"/>
          <w:u w:val="none"/>
        </w:rPr>
        <w:t>316.pdf</w:t>
      </w:r>
      <w:r w:rsidR="001F40F9" w:rsidRPr="00DD7BE8">
        <w:rPr>
          <w:rFonts w:ascii="Palatino Linotype" w:hAnsi="Palatino Linotype"/>
          <w:b/>
          <w:bCs/>
          <w:color w:val="000000" w:themeColor="text1"/>
        </w:rPr>
        <w:t xml:space="preserve">: </w:t>
      </w:r>
      <w:r w:rsidR="001F40F9" w:rsidRPr="00DD7BE8">
        <w:rPr>
          <w:rFonts w:ascii="Palatino Linotype" w:hAnsi="Palatino Linotype"/>
          <w:bCs/>
          <w:color w:val="000000" w:themeColor="text1"/>
        </w:rPr>
        <w:t>Documento electrónico que en tres (03) hojas contiene</w:t>
      </w:r>
      <w:r w:rsidRPr="00DD7BE8">
        <w:rPr>
          <w:rFonts w:ascii="Palatino Linotype" w:hAnsi="Palatino Linotype"/>
          <w:bCs/>
          <w:color w:val="000000" w:themeColor="text1"/>
        </w:rPr>
        <w:t xml:space="preserve"> el oficio TMC/EGRE</w:t>
      </w:r>
      <w:r w:rsidR="00446531" w:rsidRPr="00DD7BE8">
        <w:rPr>
          <w:rFonts w:ascii="Palatino Linotype" w:hAnsi="Palatino Linotype"/>
          <w:bCs/>
          <w:color w:val="000000" w:themeColor="text1"/>
        </w:rPr>
        <w:t xml:space="preserve">/1357/2019 dirigido al Titular de la Unidad de Transparencia y suscrito por el Tesorero Municipal, mediante el cual se pretende la clasificación de la información en calidad de reservada señalando lo siguiente “ </w:t>
      </w:r>
      <w:r w:rsidR="00446531" w:rsidRPr="00DD7BE8">
        <w:rPr>
          <w:rFonts w:ascii="Palatino Linotype" w:hAnsi="Palatino Linotype"/>
          <w:bCs/>
          <w:i/>
          <w:color w:val="000000" w:themeColor="text1"/>
        </w:rPr>
        <w:t xml:space="preserve">Se hace del conocimiento a este comité que, en fecha diecinueve de junio del dos mil diecinueve, se inició un proceso de auditoria ante el Órgano Superior de Fiscalización del Estado de México a la </w:t>
      </w:r>
      <w:r w:rsidR="00446531" w:rsidRPr="00DD7BE8">
        <w:rPr>
          <w:rStyle w:val="Hipervnculo"/>
          <w:rFonts w:ascii="Palatino Linotype" w:hAnsi="Palatino Linotype"/>
          <w:b/>
          <w:bCs/>
          <w:i/>
          <w:color w:val="000000" w:themeColor="text1"/>
          <w:u w:val="none"/>
        </w:rPr>
        <w:t>T</w:t>
      </w:r>
      <w:r w:rsidR="00446531" w:rsidRPr="00DD7BE8">
        <w:rPr>
          <w:rFonts w:ascii="Palatino Linotype" w:hAnsi="Palatino Linotype"/>
          <w:bCs/>
          <w:i/>
          <w:color w:val="000000" w:themeColor="text1"/>
        </w:rPr>
        <w:t>esorería Municipal de Coacalco de Berriozábal, motivo por el cual se actualiza el supuesto contenido en el artículo 140 fracción V de la Ley de Transparencia y Acceso a la Información pública del Estado de México y Municipio</w:t>
      </w:r>
      <w:r w:rsidR="00446531" w:rsidRPr="00DD7BE8">
        <w:rPr>
          <w:rFonts w:ascii="Palatino Linotype" w:hAnsi="Palatino Linotype"/>
          <w:bCs/>
          <w:color w:val="000000" w:themeColor="text1"/>
        </w:rPr>
        <w:t xml:space="preserve"> …” (Sic). </w:t>
      </w:r>
      <w:r w:rsidR="00E16ADB" w:rsidRPr="00DD7BE8">
        <w:rPr>
          <w:rFonts w:ascii="Palatino Linotype" w:hAnsi="Palatino Linotype"/>
          <w:bCs/>
          <w:color w:val="000000" w:themeColor="text1"/>
        </w:rPr>
        <w:t xml:space="preserve"> </w:t>
      </w:r>
    </w:p>
    <w:p w14:paraId="4F3A5F7F" w14:textId="77777777" w:rsidR="00E16ADB" w:rsidRPr="00DD7BE8" w:rsidRDefault="00E16ADB" w:rsidP="00DD7BE8">
      <w:pPr>
        <w:tabs>
          <w:tab w:val="left" w:pos="0"/>
        </w:tabs>
        <w:spacing w:line="360" w:lineRule="auto"/>
        <w:ind w:left="360"/>
        <w:jc w:val="both"/>
        <w:rPr>
          <w:rFonts w:ascii="Palatino Linotype" w:hAnsi="Palatino Linotype"/>
          <w:b/>
          <w:bCs/>
          <w:color w:val="000000" w:themeColor="text1"/>
        </w:rPr>
      </w:pPr>
    </w:p>
    <w:p w14:paraId="6BB00CAE" w14:textId="2DC179E0" w:rsidR="00E16ADB" w:rsidRPr="00DD7BE8" w:rsidRDefault="00BC3449" w:rsidP="00DD7BE8">
      <w:pPr>
        <w:pStyle w:val="Prrafodelista"/>
        <w:numPr>
          <w:ilvl w:val="0"/>
          <w:numId w:val="21"/>
        </w:numPr>
        <w:tabs>
          <w:tab w:val="left" w:pos="0"/>
        </w:tabs>
        <w:spacing w:line="360" w:lineRule="auto"/>
        <w:jc w:val="both"/>
        <w:rPr>
          <w:rFonts w:ascii="Palatino Linotype" w:hAnsi="Palatino Linotype"/>
          <w:b/>
          <w:color w:val="000000" w:themeColor="text1"/>
        </w:rPr>
      </w:pPr>
      <w:hyperlink r:id="rId21" w:tgtFrame="_blank" w:history="1">
        <w:r w:rsidR="00446531" w:rsidRPr="00DD7BE8">
          <w:rPr>
            <w:rStyle w:val="Hipervnculo"/>
            <w:rFonts w:ascii="Palatino Linotype" w:hAnsi="Palatino Linotype"/>
            <w:b/>
            <w:bCs/>
            <w:color w:val="000000" w:themeColor="text1"/>
            <w:u w:val="none"/>
          </w:rPr>
          <w:t>RESPUESTA INTEGRADORA SOLICITUD 0316.docx</w:t>
        </w:r>
      </w:hyperlink>
      <w:hyperlink r:id="rId22" w:tgtFrame="_blank" w:history="1"/>
      <w:r w:rsidR="00E16ADB" w:rsidRPr="00DD7BE8">
        <w:rPr>
          <w:rFonts w:ascii="Palatino Linotype" w:hAnsi="Palatino Linotype"/>
          <w:b/>
          <w:color w:val="000000" w:themeColor="text1"/>
        </w:rPr>
        <w:t xml:space="preserve">: </w:t>
      </w:r>
      <w:r w:rsidR="00446531" w:rsidRPr="00DD7BE8">
        <w:rPr>
          <w:rFonts w:ascii="Palatino Linotype" w:hAnsi="Palatino Linotype"/>
          <w:color w:val="000000" w:themeColor="text1"/>
        </w:rPr>
        <w:t>Documento electrónico que en cuatro (04) hojas contiene el oficio UT/IVA/1097/2019, dirigido al particular y suscrito por el titular de la unidad de transparencia mediante el cual se pone a disposición</w:t>
      </w:r>
      <w:r w:rsidR="00F809DA" w:rsidRPr="00DD7BE8">
        <w:rPr>
          <w:rFonts w:ascii="Palatino Linotype" w:hAnsi="Palatino Linotype"/>
          <w:color w:val="000000" w:themeColor="text1"/>
        </w:rPr>
        <w:t xml:space="preserve"> el acuerdo </w:t>
      </w:r>
      <w:r w:rsidR="00F809DA" w:rsidRPr="00DD7BE8">
        <w:rPr>
          <w:rFonts w:ascii="Palatino Linotype" w:hAnsi="Palatino Linotype"/>
          <w:b/>
          <w:color w:val="000000" w:themeColor="text1"/>
        </w:rPr>
        <w:t>ACT/TRANSCOA/VIGESIMOCUARTA/EXTRAORD/4/2019/CUARTO</w:t>
      </w:r>
      <w:r w:rsidR="00F809DA" w:rsidRPr="00DD7BE8">
        <w:rPr>
          <w:rFonts w:ascii="Palatino Linotype" w:hAnsi="Palatino Linotype"/>
          <w:color w:val="000000" w:themeColor="text1"/>
        </w:rPr>
        <w:t xml:space="preserve"> tomado en la Vigésimo Cuarta Sesión</w:t>
      </w:r>
      <w:r w:rsidR="00946116" w:rsidRPr="00DD7BE8">
        <w:rPr>
          <w:rFonts w:ascii="Palatino Linotype" w:hAnsi="Palatino Linotype"/>
          <w:color w:val="000000" w:themeColor="text1"/>
        </w:rPr>
        <w:t xml:space="preserve"> Extraordinaria</w:t>
      </w:r>
      <w:r w:rsidR="00F809DA" w:rsidRPr="00DD7BE8">
        <w:rPr>
          <w:rFonts w:ascii="Palatino Linotype" w:hAnsi="Palatino Linotype"/>
          <w:color w:val="000000" w:themeColor="text1"/>
        </w:rPr>
        <w:t xml:space="preserve"> del Comité de Transparencia, mediante el cual de determina la reserva de la información solicitada a propuesta del servidor público habilitado</w:t>
      </w:r>
      <w:r w:rsidR="00E16ADB" w:rsidRPr="00DD7BE8">
        <w:rPr>
          <w:rFonts w:ascii="Palatino Linotype" w:hAnsi="Palatino Linotype"/>
          <w:color w:val="000000" w:themeColor="text1"/>
        </w:rPr>
        <w:t xml:space="preserve">.  </w:t>
      </w:r>
    </w:p>
    <w:p w14:paraId="6DCDBEA9" w14:textId="77777777" w:rsidR="001F40F9" w:rsidRPr="00DD7BE8" w:rsidRDefault="001F40F9" w:rsidP="00DD7BE8">
      <w:pPr>
        <w:pStyle w:val="Prrafodelista"/>
        <w:tabs>
          <w:tab w:val="left" w:pos="0"/>
        </w:tabs>
        <w:spacing w:line="360" w:lineRule="auto"/>
        <w:ind w:left="0"/>
        <w:jc w:val="both"/>
        <w:rPr>
          <w:rFonts w:ascii="Palatino Linotype" w:hAnsi="Palatino Linotype"/>
          <w:b/>
          <w:color w:val="000000" w:themeColor="text1"/>
        </w:rPr>
      </w:pPr>
    </w:p>
    <w:p w14:paraId="7A8BD7DD" w14:textId="192E5215" w:rsidR="00F5061D" w:rsidRPr="00DD7BE8" w:rsidRDefault="001F40F9" w:rsidP="00DD7BE8">
      <w:pPr>
        <w:pStyle w:val="Prrafodelista"/>
        <w:tabs>
          <w:tab w:val="left" w:pos="0"/>
        </w:tabs>
        <w:spacing w:line="360" w:lineRule="auto"/>
        <w:ind w:left="0"/>
        <w:jc w:val="both"/>
        <w:rPr>
          <w:rFonts w:ascii="Palatino Linotype" w:hAnsi="Palatino Linotype"/>
          <w:b/>
          <w:bCs/>
          <w:color w:val="000000" w:themeColor="text1"/>
        </w:rPr>
      </w:pPr>
      <w:r w:rsidRPr="00DD7BE8">
        <w:rPr>
          <w:rFonts w:ascii="Palatino Linotype" w:hAnsi="Palatino Linotype"/>
          <w:b/>
          <w:bCs/>
          <w:color w:val="000000" w:themeColor="text1"/>
        </w:rPr>
        <w:t>Solicitud</w:t>
      </w:r>
      <w:r w:rsidR="00F809DA" w:rsidRPr="00DD7BE8">
        <w:rPr>
          <w:rStyle w:val="Hipervnculo"/>
          <w:rFonts w:ascii="Palatino Linotype" w:hAnsi="Palatino Linotype"/>
          <w:b/>
          <w:bCs/>
          <w:color w:val="000000" w:themeColor="text1"/>
          <w:u w:val="none"/>
        </w:rPr>
        <w:t xml:space="preserve">  </w:t>
      </w:r>
      <w:hyperlink r:id="rId23" w:history="1">
        <w:r w:rsidR="00F809DA" w:rsidRPr="00DD7BE8">
          <w:rPr>
            <w:rStyle w:val="Hipervnculo"/>
            <w:rFonts w:ascii="Palatino Linotype" w:eastAsia="Calibri" w:hAnsi="Palatino Linotype" w:cs="Arial"/>
            <w:b/>
            <w:bCs/>
            <w:color w:val="000000" w:themeColor="text1"/>
            <w:u w:val="none"/>
          </w:rPr>
          <w:t>00317/COACALCO/IP/2019</w:t>
        </w:r>
      </w:hyperlink>
      <w:r w:rsidRPr="00DD7BE8">
        <w:rPr>
          <w:rFonts w:ascii="Palatino Linotype" w:hAnsi="Palatino Linotype"/>
          <w:b/>
          <w:bCs/>
          <w:color w:val="000000" w:themeColor="text1"/>
        </w:rPr>
        <w:t xml:space="preserve">: </w:t>
      </w:r>
    </w:p>
    <w:p w14:paraId="32094017" w14:textId="77777777" w:rsidR="00F5061D" w:rsidRPr="00DD7BE8" w:rsidRDefault="00F5061D" w:rsidP="00DD7BE8">
      <w:pPr>
        <w:pStyle w:val="Prrafodelista"/>
        <w:tabs>
          <w:tab w:val="left" w:pos="0"/>
        </w:tabs>
        <w:spacing w:line="360" w:lineRule="auto"/>
        <w:ind w:left="0"/>
        <w:jc w:val="both"/>
        <w:rPr>
          <w:rFonts w:ascii="Palatino Linotype" w:hAnsi="Palatino Linotype"/>
          <w:b/>
          <w:bCs/>
          <w:color w:val="000000" w:themeColor="text1"/>
        </w:rPr>
      </w:pPr>
    </w:p>
    <w:p w14:paraId="706129AE" w14:textId="213E44D2" w:rsidR="00F809DA" w:rsidRPr="00DD7BE8" w:rsidRDefault="00F809DA" w:rsidP="00DD7BE8">
      <w:pPr>
        <w:pStyle w:val="Prrafodelista"/>
        <w:numPr>
          <w:ilvl w:val="0"/>
          <w:numId w:val="21"/>
        </w:numPr>
        <w:tabs>
          <w:tab w:val="left" w:pos="0"/>
        </w:tabs>
        <w:spacing w:line="360" w:lineRule="auto"/>
        <w:jc w:val="both"/>
        <w:rPr>
          <w:rFonts w:ascii="Palatino Linotype" w:hAnsi="Palatino Linotype"/>
          <w:b/>
          <w:bCs/>
          <w:color w:val="000000" w:themeColor="text1"/>
        </w:rPr>
      </w:pPr>
      <w:r w:rsidRPr="00DD7BE8">
        <w:rPr>
          <w:rStyle w:val="Hipervnculo"/>
          <w:rFonts w:ascii="Palatino Linotype" w:hAnsi="Palatino Linotype"/>
          <w:b/>
          <w:bCs/>
          <w:color w:val="000000" w:themeColor="text1"/>
          <w:u w:val="none"/>
        </w:rPr>
        <w:t>317.pdf</w:t>
      </w:r>
      <w:r w:rsidRPr="00DD7BE8">
        <w:rPr>
          <w:rFonts w:ascii="Palatino Linotype" w:hAnsi="Palatino Linotype"/>
          <w:b/>
          <w:bCs/>
          <w:color w:val="000000" w:themeColor="text1"/>
        </w:rPr>
        <w:t xml:space="preserve">: </w:t>
      </w:r>
      <w:r w:rsidRPr="00DD7BE8">
        <w:rPr>
          <w:rFonts w:ascii="Palatino Linotype" w:hAnsi="Palatino Linotype"/>
          <w:bCs/>
          <w:color w:val="000000" w:themeColor="text1"/>
        </w:rPr>
        <w:t xml:space="preserve">Documento electrónico que en tres (03) hojas contiene el oficio TMC/EGRE/1358/2019 dirigido al Titular de la Unidad de Transparencia y suscrito por el Tesorero Municipal, mediante el cual se pretende la clasificación de la información en calidad de reservada señalando lo siguiente “ </w:t>
      </w:r>
      <w:r w:rsidRPr="00DD7BE8">
        <w:rPr>
          <w:rFonts w:ascii="Palatino Linotype" w:hAnsi="Palatino Linotype"/>
          <w:bCs/>
          <w:i/>
          <w:color w:val="000000" w:themeColor="text1"/>
        </w:rPr>
        <w:t xml:space="preserve">Se hace del conocimiento a este comité que, en fecha diecinueve de junio del dos mil diecinueve, se inició un proceso de auditoria ante el Órgano Superior de Fiscalización del Estado de México a la </w:t>
      </w:r>
      <w:r w:rsidRPr="00DD7BE8">
        <w:rPr>
          <w:rStyle w:val="Hipervnculo"/>
          <w:rFonts w:ascii="Palatino Linotype" w:hAnsi="Palatino Linotype"/>
          <w:b/>
          <w:bCs/>
          <w:i/>
          <w:color w:val="000000" w:themeColor="text1"/>
          <w:u w:val="none"/>
        </w:rPr>
        <w:t>T</w:t>
      </w:r>
      <w:r w:rsidRPr="00DD7BE8">
        <w:rPr>
          <w:rFonts w:ascii="Palatino Linotype" w:hAnsi="Palatino Linotype"/>
          <w:bCs/>
          <w:i/>
          <w:color w:val="000000" w:themeColor="text1"/>
        </w:rPr>
        <w:t>esorería Municipal de Coacalco de Berriozábal, motivo por el cual se actualiza el supuesto contenido en el artículo 140 fracción V de la Ley de Transparencia y Acceso a la Información pública del Estado de México y Municipio</w:t>
      </w:r>
      <w:r w:rsidRPr="00DD7BE8">
        <w:rPr>
          <w:rFonts w:ascii="Palatino Linotype" w:hAnsi="Palatino Linotype"/>
          <w:bCs/>
          <w:color w:val="000000" w:themeColor="text1"/>
        </w:rPr>
        <w:t xml:space="preserve"> …” (Sic).  </w:t>
      </w:r>
    </w:p>
    <w:p w14:paraId="5A88E215" w14:textId="77777777" w:rsidR="00F809DA" w:rsidRPr="00DD7BE8" w:rsidRDefault="00F809DA" w:rsidP="00DD7BE8">
      <w:pPr>
        <w:tabs>
          <w:tab w:val="left" w:pos="0"/>
        </w:tabs>
        <w:spacing w:line="360" w:lineRule="auto"/>
        <w:ind w:left="360"/>
        <w:jc w:val="both"/>
        <w:rPr>
          <w:rFonts w:ascii="Palatino Linotype" w:hAnsi="Palatino Linotype"/>
          <w:b/>
          <w:bCs/>
          <w:color w:val="000000" w:themeColor="text1"/>
        </w:rPr>
      </w:pPr>
    </w:p>
    <w:p w14:paraId="505632CB" w14:textId="61408EE2" w:rsidR="00F809DA" w:rsidRPr="00DD7BE8" w:rsidRDefault="00BC3449" w:rsidP="00DD7BE8">
      <w:pPr>
        <w:pStyle w:val="Prrafodelista"/>
        <w:numPr>
          <w:ilvl w:val="0"/>
          <w:numId w:val="21"/>
        </w:numPr>
        <w:tabs>
          <w:tab w:val="left" w:pos="0"/>
        </w:tabs>
        <w:spacing w:line="360" w:lineRule="auto"/>
        <w:jc w:val="both"/>
        <w:rPr>
          <w:rFonts w:ascii="Palatino Linotype" w:hAnsi="Palatino Linotype"/>
          <w:b/>
          <w:color w:val="000000" w:themeColor="text1"/>
        </w:rPr>
      </w:pPr>
      <w:hyperlink r:id="rId24" w:tgtFrame="_blank" w:history="1">
        <w:r w:rsidR="00F809DA" w:rsidRPr="00DD7BE8">
          <w:rPr>
            <w:rStyle w:val="Hipervnculo"/>
            <w:rFonts w:ascii="Palatino Linotype" w:hAnsi="Palatino Linotype"/>
            <w:b/>
            <w:bCs/>
            <w:color w:val="000000" w:themeColor="text1"/>
            <w:u w:val="none"/>
          </w:rPr>
          <w:t>RESPUESTA INTEGRADORA SOLICITUD 0317.docx</w:t>
        </w:r>
      </w:hyperlink>
      <w:hyperlink r:id="rId25" w:tgtFrame="_blank" w:history="1"/>
      <w:r w:rsidR="00F809DA" w:rsidRPr="00DD7BE8">
        <w:rPr>
          <w:rFonts w:ascii="Palatino Linotype" w:hAnsi="Palatino Linotype"/>
          <w:b/>
          <w:color w:val="000000" w:themeColor="text1"/>
        </w:rPr>
        <w:t xml:space="preserve">: </w:t>
      </w:r>
      <w:r w:rsidR="00F809DA" w:rsidRPr="00DD7BE8">
        <w:rPr>
          <w:rFonts w:ascii="Palatino Linotype" w:hAnsi="Palatino Linotype"/>
          <w:color w:val="000000" w:themeColor="text1"/>
        </w:rPr>
        <w:t xml:space="preserve">Documento electrónico que en cuatro (04) hojas contiene el oficio UT/IVA/1098/2019, dirigido al particular y suscrito por el titular de la unidad de transparencia mediante el cual se pone a disposición el acuerdo </w:t>
      </w:r>
      <w:r w:rsidR="00F809DA" w:rsidRPr="00DD7BE8">
        <w:rPr>
          <w:rFonts w:ascii="Palatino Linotype" w:hAnsi="Palatino Linotype"/>
          <w:b/>
          <w:color w:val="000000" w:themeColor="text1"/>
        </w:rPr>
        <w:t>ACT/TRANSCOA/VIGES</w:t>
      </w:r>
      <w:r w:rsidR="00946116" w:rsidRPr="00DD7BE8">
        <w:rPr>
          <w:rFonts w:ascii="Palatino Linotype" w:hAnsi="Palatino Linotype"/>
          <w:b/>
          <w:color w:val="000000" w:themeColor="text1"/>
        </w:rPr>
        <w:t>IMOCUARTA/EXTRAORD/4/2019/QUINTO</w:t>
      </w:r>
      <w:r w:rsidR="00F809DA" w:rsidRPr="00DD7BE8">
        <w:rPr>
          <w:rFonts w:ascii="Palatino Linotype" w:hAnsi="Palatino Linotype"/>
          <w:color w:val="000000" w:themeColor="text1"/>
        </w:rPr>
        <w:t xml:space="preserve"> tomado en la Vigésimo Cuarta Sesión</w:t>
      </w:r>
      <w:r w:rsidR="00946116" w:rsidRPr="00DD7BE8">
        <w:rPr>
          <w:rFonts w:ascii="Palatino Linotype" w:hAnsi="Palatino Linotype"/>
          <w:color w:val="000000" w:themeColor="text1"/>
        </w:rPr>
        <w:t xml:space="preserve"> Extraordinaria</w:t>
      </w:r>
      <w:r w:rsidR="00F809DA" w:rsidRPr="00DD7BE8">
        <w:rPr>
          <w:rFonts w:ascii="Palatino Linotype" w:hAnsi="Palatino Linotype"/>
          <w:color w:val="000000" w:themeColor="text1"/>
        </w:rPr>
        <w:t xml:space="preserve"> del Comité de Transparencia, mediante el cual de determina la reserva de la información solicitada a propuesta del servidor público habilitado.  </w:t>
      </w:r>
    </w:p>
    <w:p w14:paraId="27E4A8CA" w14:textId="77777777" w:rsidR="00F5061D" w:rsidRPr="00DD7BE8" w:rsidRDefault="00F5061D" w:rsidP="00DD7BE8">
      <w:pPr>
        <w:tabs>
          <w:tab w:val="left" w:pos="0"/>
        </w:tabs>
        <w:spacing w:line="360" w:lineRule="auto"/>
        <w:jc w:val="both"/>
        <w:rPr>
          <w:rFonts w:ascii="Palatino Linotype" w:hAnsi="Palatino Linotype"/>
          <w:b/>
          <w:bCs/>
          <w:color w:val="000000" w:themeColor="text1"/>
        </w:rPr>
      </w:pPr>
    </w:p>
    <w:p w14:paraId="28BAE3FB" w14:textId="754C2BAB" w:rsidR="00F5061D" w:rsidRPr="00DD7BE8" w:rsidRDefault="001F40F9" w:rsidP="00DD7BE8">
      <w:pPr>
        <w:pStyle w:val="Prrafodelista"/>
        <w:tabs>
          <w:tab w:val="left" w:pos="0"/>
        </w:tabs>
        <w:spacing w:line="360" w:lineRule="auto"/>
        <w:ind w:left="0"/>
        <w:jc w:val="both"/>
        <w:rPr>
          <w:rFonts w:ascii="Palatino Linotype" w:hAnsi="Palatino Linotype"/>
          <w:b/>
          <w:bCs/>
          <w:color w:val="000000" w:themeColor="text1"/>
        </w:rPr>
      </w:pPr>
      <w:r w:rsidRPr="00DD7BE8">
        <w:rPr>
          <w:rFonts w:ascii="Palatino Linotype" w:hAnsi="Palatino Linotype"/>
          <w:b/>
          <w:bCs/>
          <w:color w:val="000000" w:themeColor="text1"/>
        </w:rPr>
        <w:t>Solicitud</w:t>
      </w:r>
      <w:r w:rsidR="00F809DA" w:rsidRPr="00DD7BE8">
        <w:rPr>
          <w:rStyle w:val="Hipervnculo"/>
          <w:rFonts w:ascii="Palatino Linotype" w:hAnsi="Palatino Linotype"/>
          <w:b/>
          <w:bCs/>
          <w:color w:val="000000" w:themeColor="text1"/>
          <w:u w:val="none"/>
        </w:rPr>
        <w:t xml:space="preserve"> </w:t>
      </w:r>
      <w:hyperlink r:id="rId26" w:history="1">
        <w:r w:rsidR="00F809DA" w:rsidRPr="00DD7BE8">
          <w:rPr>
            <w:rStyle w:val="Hipervnculo"/>
            <w:rFonts w:ascii="Palatino Linotype" w:eastAsia="Calibri" w:hAnsi="Palatino Linotype" w:cs="Arial"/>
            <w:b/>
            <w:bCs/>
            <w:color w:val="000000" w:themeColor="text1"/>
            <w:u w:val="none"/>
          </w:rPr>
          <w:t>00318/COACALCO/IP/2019</w:t>
        </w:r>
      </w:hyperlink>
      <w:r w:rsidRPr="00DD7BE8">
        <w:rPr>
          <w:rFonts w:ascii="Palatino Linotype" w:hAnsi="Palatino Linotype"/>
          <w:b/>
          <w:bCs/>
          <w:color w:val="000000" w:themeColor="text1"/>
        </w:rPr>
        <w:t>:</w:t>
      </w:r>
    </w:p>
    <w:p w14:paraId="0C4D0141" w14:textId="77777777" w:rsidR="00033F39" w:rsidRPr="00DD7BE8" w:rsidRDefault="00033F39" w:rsidP="00DD7BE8">
      <w:pPr>
        <w:pStyle w:val="Prrafodelista"/>
        <w:tabs>
          <w:tab w:val="left" w:pos="0"/>
        </w:tabs>
        <w:spacing w:line="360" w:lineRule="auto"/>
        <w:ind w:left="0"/>
        <w:jc w:val="both"/>
        <w:rPr>
          <w:rFonts w:ascii="Palatino Linotype" w:hAnsi="Palatino Linotype"/>
          <w:b/>
          <w:bCs/>
          <w:color w:val="000000" w:themeColor="text1"/>
        </w:rPr>
      </w:pPr>
    </w:p>
    <w:p w14:paraId="0BAC3B3E" w14:textId="3D753371" w:rsidR="00F809DA" w:rsidRPr="00DD7BE8" w:rsidRDefault="00F809DA" w:rsidP="00DD7BE8">
      <w:pPr>
        <w:numPr>
          <w:ilvl w:val="0"/>
          <w:numId w:val="21"/>
        </w:numPr>
        <w:tabs>
          <w:tab w:val="left" w:pos="0"/>
        </w:tabs>
        <w:spacing w:line="360" w:lineRule="auto"/>
        <w:contextualSpacing/>
        <w:jc w:val="both"/>
        <w:rPr>
          <w:rFonts w:ascii="Palatino Linotype" w:hAnsi="Palatino Linotype"/>
          <w:b/>
          <w:bCs/>
          <w:color w:val="000000" w:themeColor="text1"/>
        </w:rPr>
      </w:pPr>
      <w:r w:rsidRPr="00DD7BE8">
        <w:rPr>
          <w:rFonts w:ascii="Palatino Linotype" w:hAnsi="Palatino Linotype"/>
          <w:b/>
          <w:bCs/>
          <w:color w:val="000000" w:themeColor="text1"/>
        </w:rPr>
        <w:t xml:space="preserve">318.pdf: </w:t>
      </w:r>
      <w:r w:rsidRPr="00DD7BE8">
        <w:rPr>
          <w:rFonts w:ascii="Palatino Linotype" w:hAnsi="Palatino Linotype"/>
          <w:bCs/>
          <w:color w:val="000000" w:themeColor="text1"/>
        </w:rPr>
        <w:t xml:space="preserve">Documento electrónico que en tres (03) hojas contiene el oficio TMC/EGRE/1359/2019 dirigido al Titular de la Unidad de Transparencia y suscrito por el Tesorero Municipal, mediante el cual se pretende la clasificación de la información en calidad de reservada señalando lo siguiente “ </w:t>
      </w:r>
      <w:r w:rsidRPr="00DD7BE8">
        <w:rPr>
          <w:rFonts w:ascii="Palatino Linotype" w:hAnsi="Palatino Linotype"/>
          <w:bCs/>
          <w:i/>
          <w:color w:val="000000" w:themeColor="text1"/>
        </w:rPr>
        <w:t xml:space="preserve">Se hace del conocimiento a este comité que, en fecha diecinueve de junio del dos mil diecinueve, se inició un proceso de auditoria ante el Órgano Superior de Fiscalización del Estado de México a la </w:t>
      </w:r>
      <w:r w:rsidR="00446531" w:rsidRPr="00DD7BE8">
        <w:rPr>
          <w:rFonts w:ascii="Palatino Linotype" w:hAnsi="Palatino Linotype"/>
          <w:b/>
          <w:bCs/>
          <w:i/>
          <w:color w:val="000000" w:themeColor="text1"/>
        </w:rPr>
        <w:t>T</w:t>
      </w:r>
      <w:r w:rsidRPr="00DD7BE8">
        <w:rPr>
          <w:rFonts w:ascii="Palatino Linotype" w:hAnsi="Palatino Linotype"/>
          <w:bCs/>
          <w:i/>
          <w:color w:val="000000" w:themeColor="text1"/>
        </w:rPr>
        <w:t>esorería Municipal de Coacalco de Berriozábal, motivo por el cual se actualiza el supuesto contenido en el artículo 140 fracción V de la Ley de Transparencia y Acceso a la Información pública del Estado de México y Municipio</w:t>
      </w:r>
      <w:r w:rsidRPr="00DD7BE8">
        <w:rPr>
          <w:rFonts w:ascii="Palatino Linotype" w:hAnsi="Palatino Linotype"/>
          <w:bCs/>
          <w:color w:val="000000" w:themeColor="text1"/>
        </w:rPr>
        <w:t xml:space="preserve"> …” (Sic).  </w:t>
      </w:r>
    </w:p>
    <w:p w14:paraId="696983A0" w14:textId="77777777" w:rsidR="00F809DA" w:rsidRPr="00DD7BE8" w:rsidRDefault="00F809DA" w:rsidP="00DD7BE8">
      <w:pPr>
        <w:tabs>
          <w:tab w:val="left" w:pos="0"/>
        </w:tabs>
        <w:spacing w:line="360" w:lineRule="auto"/>
        <w:ind w:left="360"/>
        <w:jc w:val="both"/>
        <w:rPr>
          <w:rFonts w:ascii="Palatino Linotype" w:hAnsi="Palatino Linotype"/>
          <w:b/>
          <w:bCs/>
          <w:color w:val="000000" w:themeColor="text1"/>
        </w:rPr>
      </w:pPr>
    </w:p>
    <w:p w14:paraId="0FEB8F1F" w14:textId="68291337" w:rsidR="00F809DA" w:rsidRPr="00DD7BE8" w:rsidRDefault="00BC3449" w:rsidP="00DD7BE8">
      <w:pPr>
        <w:numPr>
          <w:ilvl w:val="0"/>
          <w:numId w:val="21"/>
        </w:numPr>
        <w:tabs>
          <w:tab w:val="left" w:pos="0"/>
        </w:tabs>
        <w:spacing w:line="360" w:lineRule="auto"/>
        <w:contextualSpacing/>
        <w:jc w:val="both"/>
        <w:rPr>
          <w:rFonts w:ascii="Palatino Linotype" w:hAnsi="Palatino Linotype"/>
          <w:b/>
          <w:color w:val="000000" w:themeColor="text1"/>
        </w:rPr>
      </w:pPr>
      <w:hyperlink r:id="rId27" w:tgtFrame="_blank" w:history="1">
        <w:r w:rsidR="00F809DA" w:rsidRPr="00DD7BE8">
          <w:rPr>
            <w:rFonts w:ascii="Palatino Linotype" w:hAnsi="Palatino Linotype"/>
            <w:b/>
            <w:bCs/>
            <w:color w:val="000000" w:themeColor="text1"/>
          </w:rPr>
          <w:t>RESPUESTA INTEGRADORA SOLICITUD 0318.docx</w:t>
        </w:r>
      </w:hyperlink>
      <w:hyperlink r:id="rId28" w:tgtFrame="_blank" w:history="1"/>
      <w:r w:rsidR="00F809DA" w:rsidRPr="00DD7BE8">
        <w:rPr>
          <w:rFonts w:ascii="Palatino Linotype" w:hAnsi="Palatino Linotype"/>
          <w:b/>
          <w:color w:val="000000" w:themeColor="text1"/>
        </w:rPr>
        <w:t xml:space="preserve">: </w:t>
      </w:r>
      <w:r w:rsidR="00F809DA" w:rsidRPr="00DD7BE8">
        <w:rPr>
          <w:rFonts w:ascii="Palatino Linotype" w:hAnsi="Palatino Linotype"/>
          <w:color w:val="000000" w:themeColor="text1"/>
        </w:rPr>
        <w:t xml:space="preserve">Documento electrónico que en cuatro (04) hojas contiene el oficio UT/IVA/1099/2019, dirigido al particular y suscrito por el titular de la unidad de transparencia mediante el cual se pone a disposición el acuerdo </w:t>
      </w:r>
      <w:r w:rsidR="00F809DA" w:rsidRPr="00DD7BE8">
        <w:rPr>
          <w:rFonts w:ascii="Palatino Linotype" w:hAnsi="Palatino Linotype"/>
          <w:b/>
          <w:color w:val="000000" w:themeColor="text1"/>
        </w:rPr>
        <w:t>ACT/TRANSCOA/VIGES</w:t>
      </w:r>
      <w:r w:rsidR="00946116" w:rsidRPr="00DD7BE8">
        <w:rPr>
          <w:rFonts w:ascii="Palatino Linotype" w:hAnsi="Palatino Linotype"/>
          <w:b/>
          <w:color w:val="000000" w:themeColor="text1"/>
        </w:rPr>
        <w:t>IMOCUARTA/EXTRAORD/4/2019/SEXTO</w:t>
      </w:r>
      <w:r w:rsidR="00F809DA" w:rsidRPr="00DD7BE8">
        <w:rPr>
          <w:rFonts w:ascii="Palatino Linotype" w:hAnsi="Palatino Linotype"/>
          <w:color w:val="000000" w:themeColor="text1"/>
        </w:rPr>
        <w:t xml:space="preserve"> tomado en la Vigésimo Cuarta Sesión</w:t>
      </w:r>
      <w:r w:rsidR="00946116" w:rsidRPr="00DD7BE8">
        <w:rPr>
          <w:rFonts w:ascii="Palatino Linotype" w:hAnsi="Palatino Linotype"/>
          <w:color w:val="000000" w:themeColor="text1"/>
        </w:rPr>
        <w:t xml:space="preserve"> Extraordinaria</w:t>
      </w:r>
      <w:r w:rsidR="00F809DA" w:rsidRPr="00DD7BE8">
        <w:rPr>
          <w:rFonts w:ascii="Palatino Linotype" w:hAnsi="Palatino Linotype"/>
          <w:color w:val="000000" w:themeColor="text1"/>
        </w:rPr>
        <w:t xml:space="preserve"> del Comité de Transparencia, mediante el cual de determina la reserva de la información solicitada a propuesta del servidor público habilitado.  </w:t>
      </w:r>
    </w:p>
    <w:p w14:paraId="4907E630" w14:textId="77777777" w:rsidR="00033F39" w:rsidRPr="00DD7BE8" w:rsidRDefault="00033F39" w:rsidP="00DD7BE8">
      <w:pPr>
        <w:tabs>
          <w:tab w:val="left" w:pos="0"/>
        </w:tabs>
        <w:spacing w:line="360" w:lineRule="auto"/>
        <w:jc w:val="both"/>
        <w:rPr>
          <w:rFonts w:ascii="Palatino Linotype" w:hAnsi="Palatino Linotype"/>
          <w:b/>
          <w:bCs/>
          <w:color w:val="000000" w:themeColor="text1"/>
        </w:rPr>
      </w:pPr>
    </w:p>
    <w:p w14:paraId="345AA977" w14:textId="3E90058F" w:rsidR="001F40F9" w:rsidRPr="00DD7BE8" w:rsidRDefault="001F40F9" w:rsidP="00DD7BE8">
      <w:pPr>
        <w:pStyle w:val="Prrafodelista"/>
        <w:tabs>
          <w:tab w:val="left" w:pos="0"/>
        </w:tabs>
        <w:spacing w:line="360" w:lineRule="auto"/>
        <w:ind w:left="0"/>
        <w:jc w:val="both"/>
        <w:rPr>
          <w:rFonts w:ascii="Palatino Linotype" w:hAnsi="Palatino Linotype"/>
          <w:b/>
          <w:bCs/>
          <w:color w:val="000000" w:themeColor="text1"/>
        </w:rPr>
      </w:pPr>
      <w:r w:rsidRPr="00DD7BE8">
        <w:rPr>
          <w:rFonts w:ascii="Palatino Linotype" w:hAnsi="Palatino Linotype"/>
          <w:b/>
          <w:bCs/>
          <w:color w:val="000000" w:themeColor="text1"/>
        </w:rPr>
        <w:t xml:space="preserve">Solicitud </w:t>
      </w:r>
      <w:r w:rsidR="00F809DA" w:rsidRPr="00DD7BE8">
        <w:rPr>
          <w:rFonts w:ascii="Palatino Linotype" w:hAnsi="Palatino Linotype"/>
          <w:b/>
          <w:bCs/>
          <w:color w:val="000000" w:themeColor="text1"/>
        </w:rPr>
        <w:t xml:space="preserve"> 00319/COACALCO/IP/2019</w:t>
      </w:r>
      <w:hyperlink r:id="rId29" w:history="1"/>
      <w:r w:rsidR="00112FBF" w:rsidRPr="00DD7BE8">
        <w:rPr>
          <w:rFonts w:ascii="Palatino Linotype" w:hAnsi="Palatino Linotype"/>
          <w:b/>
          <w:color w:val="000000" w:themeColor="text1"/>
        </w:rPr>
        <w:t xml:space="preserve"> </w:t>
      </w:r>
      <w:r w:rsidRPr="00DD7BE8">
        <w:rPr>
          <w:rFonts w:ascii="Palatino Linotype" w:hAnsi="Palatino Linotype"/>
          <w:b/>
          <w:bCs/>
          <w:color w:val="000000" w:themeColor="text1"/>
        </w:rPr>
        <w:t>:</w:t>
      </w:r>
    </w:p>
    <w:p w14:paraId="1FAF3345" w14:textId="77777777" w:rsidR="00033F39" w:rsidRPr="00DD7BE8" w:rsidRDefault="00033F39" w:rsidP="00DD7BE8">
      <w:pPr>
        <w:pStyle w:val="Prrafodelista"/>
        <w:tabs>
          <w:tab w:val="left" w:pos="0"/>
        </w:tabs>
        <w:spacing w:line="360" w:lineRule="auto"/>
        <w:ind w:left="0"/>
        <w:jc w:val="both"/>
        <w:rPr>
          <w:rFonts w:ascii="Palatino Linotype" w:hAnsi="Palatino Linotype"/>
          <w:b/>
          <w:bCs/>
          <w:color w:val="000000" w:themeColor="text1"/>
        </w:rPr>
      </w:pPr>
    </w:p>
    <w:p w14:paraId="3E023FC1" w14:textId="2908C08A" w:rsidR="00F809DA" w:rsidRPr="00DD7BE8" w:rsidRDefault="00F809DA" w:rsidP="00DD7BE8">
      <w:pPr>
        <w:numPr>
          <w:ilvl w:val="0"/>
          <w:numId w:val="21"/>
        </w:numPr>
        <w:tabs>
          <w:tab w:val="left" w:pos="0"/>
        </w:tabs>
        <w:spacing w:line="360" w:lineRule="auto"/>
        <w:contextualSpacing/>
        <w:jc w:val="both"/>
        <w:rPr>
          <w:rFonts w:ascii="Palatino Linotype" w:hAnsi="Palatino Linotype"/>
          <w:b/>
          <w:bCs/>
          <w:color w:val="000000" w:themeColor="text1"/>
        </w:rPr>
      </w:pPr>
      <w:r w:rsidRPr="00DD7BE8">
        <w:rPr>
          <w:rFonts w:ascii="Palatino Linotype" w:hAnsi="Palatino Linotype"/>
          <w:b/>
          <w:bCs/>
          <w:color w:val="000000" w:themeColor="text1"/>
        </w:rPr>
        <w:t xml:space="preserve">319.pdf: </w:t>
      </w:r>
      <w:r w:rsidRPr="00DD7BE8">
        <w:rPr>
          <w:rFonts w:ascii="Palatino Linotype" w:hAnsi="Palatino Linotype"/>
          <w:bCs/>
          <w:color w:val="000000" w:themeColor="text1"/>
        </w:rPr>
        <w:t xml:space="preserve">Documento electrónico que en tres (03) hojas contiene el oficio TMC/EGRE/1363/2019 dirigido al Titular de la Unidad de Transparencia y suscrito por el Tesorero Municipal, mediante el cual se pretende la clasificación de la información en calidad de reservada señalando lo siguiente “ </w:t>
      </w:r>
      <w:r w:rsidRPr="00DD7BE8">
        <w:rPr>
          <w:rFonts w:ascii="Palatino Linotype" w:hAnsi="Palatino Linotype"/>
          <w:bCs/>
          <w:i/>
          <w:color w:val="000000" w:themeColor="text1"/>
        </w:rPr>
        <w:t xml:space="preserve">Se hace del conocimiento a este comité que, en fecha diecinueve de junio del dos mil diecinueve, se inició un proceso de auditoria ante el Órgano Superior de Fiscalización del Estado de México a la </w:t>
      </w:r>
      <w:r w:rsidRPr="00DD7BE8">
        <w:rPr>
          <w:rFonts w:ascii="Palatino Linotype" w:hAnsi="Palatino Linotype"/>
          <w:b/>
          <w:bCs/>
          <w:i/>
          <w:color w:val="000000" w:themeColor="text1"/>
        </w:rPr>
        <w:t>T</w:t>
      </w:r>
      <w:r w:rsidRPr="00DD7BE8">
        <w:rPr>
          <w:rFonts w:ascii="Palatino Linotype" w:hAnsi="Palatino Linotype"/>
          <w:bCs/>
          <w:i/>
          <w:color w:val="000000" w:themeColor="text1"/>
        </w:rPr>
        <w:t>esorería Municipal de Coacalco de Berriozábal, motivo por el cual se actualiza el supuesto contenido en el artículo 140 fracción V de la Ley de Transparencia y Acceso a la Información pública del Estado de México y Municipio</w:t>
      </w:r>
      <w:r w:rsidRPr="00DD7BE8">
        <w:rPr>
          <w:rFonts w:ascii="Palatino Linotype" w:hAnsi="Palatino Linotype"/>
          <w:bCs/>
          <w:color w:val="000000" w:themeColor="text1"/>
        </w:rPr>
        <w:t xml:space="preserve"> …” (Sic).  </w:t>
      </w:r>
    </w:p>
    <w:p w14:paraId="7754A9B3" w14:textId="77777777" w:rsidR="00F809DA" w:rsidRPr="00DD7BE8" w:rsidRDefault="00F809DA" w:rsidP="00DD7BE8">
      <w:pPr>
        <w:tabs>
          <w:tab w:val="left" w:pos="0"/>
        </w:tabs>
        <w:spacing w:line="360" w:lineRule="auto"/>
        <w:ind w:left="360"/>
        <w:jc w:val="both"/>
        <w:rPr>
          <w:rFonts w:ascii="Palatino Linotype" w:hAnsi="Palatino Linotype"/>
          <w:b/>
          <w:bCs/>
          <w:color w:val="000000" w:themeColor="text1"/>
        </w:rPr>
      </w:pPr>
    </w:p>
    <w:p w14:paraId="05FF2906" w14:textId="0F815361" w:rsidR="00F809DA" w:rsidRPr="00DD7BE8" w:rsidRDefault="00BC3449" w:rsidP="00DD7BE8">
      <w:pPr>
        <w:numPr>
          <w:ilvl w:val="0"/>
          <w:numId w:val="21"/>
        </w:numPr>
        <w:tabs>
          <w:tab w:val="left" w:pos="0"/>
        </w:tabs>
        <w:spacing w:line="360" w:lineRule="auto"/>
        <w:contextualSpacing/>
        <w:jc w:val="both"/>
        <w:rPr>
          <w:rFonts w:ascii="Palatino Linotype" w:hAnsi="Palatino Linotype"/>
          <w:b/>
          <w:color w:val="000000" w:themeColor="text1"/>
        </w:rPr>
      </w:pPr>
      <w:hyperlink r:id="rId30" w:tgtFrame="_blank" w:history="1">
        <w:r w:rsidR="00F809DA" w:rsidRPr="00DD7BE8">
          <w:rPr>
            <w:rFonts w:ascii="Palatino Linotype" w:hAnsi="Palatino Linotype"/>
            <w:b/>
            <w:bCs/>
            <w:color w:val="000000" w:themeColor="text1"/>
          </w:rPr>
          <w:t>RESPUESTA INTEGRADORA SOLICITUD 0319.docx</w:t>
        </w:r>
      </w:hyperlink>
      <w:hyperlink r:id="rId31" w:tgtFrame="_blank" w:history="1"/>
      <w:r w:rsidR="00F809DA" w:rsidRPr="00DD7BE8">
        <w:rPr>
          <w:rFonts w:ascii="Palatino Linotype" w:hAnsi="Palatino Linotype"/>
          <w:b/>
          <w:color w:val="000000" w:themeColor="text1"/>
        </w:rPr>
        <w:t xml:space="preserve">: </w:t>
      </w:r>
      <w:r w:rsidR="00F809DA" w:rsidRPr="00DD7BE8">
        <w:rPr>
          <w:rFonts w:ascii="Palatino Linotype" w:hAnsi="Palatino Linotype"/>
          <w:color w:val="000000" w:themeColor="text1"/>
        </w:rPr>
        <w:t xml:space="preserve">Documento electrónico que en cuatro (04) hojas contiene el oficio UT/IVA/1100/2019, dirigido al particular y suscrito por el titular de la unidad de transparencia mediante el cual se pone a disposición el acuerdo </w:t>
      </w:r>
      <w:r w:rsidR="00F809DA" w:rsidRPr="00DD7BE8">
        <w:rPr>
          <w:rFonts w:ascii="Palatino Linotype" w:hAnsi="Palatino Linotype"/>
          <w:b/>
          <w:color w:val="000000" w:themeColor="text1"/>
        </w:rPr>
        <w:t>ACT/TRANSCOA/VIGES</w:t>
      </w:r>
      <w:r w:rsidR="00946116" w:rsidRPr="00DD7BE8">
        <w:rPr>
          <w:rFonts w:ascii="Palatino Linotype" w:hAnsi="Palatino Linotype"/>
          <w:b/>
          <w:color w:val="000000" w:themeColor="text1"/>
        </w:rPr>
        <w:t>IMOCUARTA/EXTRAORD/4/2019/SÉPTIMO</w:t>
      </w:r>
      <w:r w:rsidR="00F809DA" w:rsidRPr="00DD7BE8">
        <w:rPr>
          <w:rFonts w:ascii="Palatino Linotype" w:hAnsi="Palatino Linotype"/>
          <w:color w:val="000000" w:themeColor="text1"/>
        </w:rPr>
        <w:t xml:space="preserve"> tomado en la Vigésimo Cuarta Sesión </w:t>
      </w:r>
      <w:r w:rsidR="00946116" w:rsidRPr="00DD7BE8">
        <w:rPr>
          <w:rFonts w:ascii="Palatino Linotype" w:hAnsi="Palatino Linotype"/>
          <w:color w:val="000000" w:themeColor="text1"/>
        </w:rPr>
        <w:t xml:space="preserve">Extraordinaria </w:t>
      </w:r>
      <w:r w:rsidR="00F809DA" w:rsidRPr="00DD7BE8">
        <w:rPr>
          <w:rFonts w:ascii="Palatino Linotype" w:hAnsi="Palatino Linotype"/>
          <w:color w:val="000000" w:themeColor="text1"/>
        </w:rPr>
        <w:t xml:space="preserve">del Comité de Transparencia, mediante el cual de determina la reserva de la información solicitada a propuesta del servidor público habilitado.  </w:t>
      </w:r>
    </w:p>
    <w:p w14:paraId="282BE563" w14:textId="77777777" w:rsidR="00033F39" w:rsidRPr="00DD7BE8" w:rsidRDefault="00033F39" w:rsidP="00DD7BE8">
      <w:pPr>
        <w:pStyle w:val="Prrafodelista"/>
        <w:tabs>
          <w:tab w:val="left" w:pos="0"/>
        </w:tabs>
        <w:spacing w:line="360" w:lineRule="auto"/>
        <w:jc w:val="both"/>
        <w:rPr>
          <w:rFonts w:ascii="Palatino Linotype" w:hAnsi="Palatino Linotype"/>
          <w:b/>
          <w:bCs/>
          <w:color w:val="000000" w:themeColor="text1"/>
        </w:rPr>
      </w:pPr>
    </w:p>
    <w:p w14:paraId="03E95558" w14:textId="3FEA2927" w:rsidR="001F40F9" w:rsidRPr="00DD7BE8" w:rsidRDefault="001F40F9" w:rsidP="00DD7BE8">
      <w:pPr>
        <w:pStyle w:val="Prrafodelista"/>
        <w:tabs>
          <w:tab w:val="left" w:pos="0"/>
        </w:tabs>
        <w:spacing w:line="360" w:lineRule="auto"/>
        <w:ind w:left="0"/>
        <w:jc w:val="both"/>
        <w:rPr>
          <w:rFonts w:ascii="Palatino Linotype" w:hAnsi="Palatino Linotype"/>
          <w:b/>
          <w:bCs/>
          <w:color w:val="000000" w:themeColor="text1"/>
        </w:rPr>
      </w:pPr>
      <w:r w:rsidRPr="00DD7BE8">
        <w:rPr>
          <w:rFonts w:ascii="Palatino Linotype" w:hAnsi="Palatino Linotype"/>
          <w:b/>
          <w:bCs/>
          <w:color w:val="000000" w:themeColor="text1"/>
        </w:rPr>
        <w:t>Solicitud</w:t>
      </w:r>
      <w:r w:rsidR="00F809DA" w:rsidRPr="00DD7BE8">
        <w:rPr>
          <w:rFonts w:ascii="Palatino Linotype" w:hAnsi="Palatino Linotype"/>
          <w:b/>
          <w:bCs/>
          <w:color w:val="000000" w:themeColor="text1"/>
        </w:rPr>
        <w:t xml:space="preserve"> 00320/COACALCO/IP/2019</w:t>
      </w:r>
      <w:r w:rsidRPr="00DD7BE8">
        <w:rPr>
          <w:rFonts w:ascii="Palatino Linotype" w:hAnsi="Palatino Linotype"/>
          <w:b/>
          <w:bCs/>
          <w:color w:val="000000" w:themeColor="text1"/>
        </w:rPr>
        <w:t xml:space="preserve"> </w:t>
      </w:r>
      <w:hyperlink r:id="rId32" w:history="1"/>
      <w:r w:rsidRPr="00DD7BE8">
        <w:rPr>
          <w:rFonts w:ascii="Palatino Linotype" w:hAnsi="Palatino Linotype"/>
          <w:b/>
          <w:bCs/>
          <w:color w:val="000000" w:themeColor="text1"/>
        </w:rPr>
        <w:t>:</w:t>
      </w:r>
    </w:p>
    <w:p w14:paraId="5840F5D7" w14:textId="77777777" w:rsidR="000920E5" w:rsidRPr="00DD7BE8" w:rsidRDefault="000920E5" w:rsidP="00DD7BE8">
      <w:pPr>
        <w:pStyle w:val="Prrafodelista"/>
        <w:tabs>
          <w:tab w:val="left" w:pos="0"/>
        </w:tabs>
        <w:spacing w:line="360" w:lineRule="auto"/>
        <w:ind w:left="0"/>
        <w:jc w:val="both"/>
        <w:rPr>
          <w:rFonts w:ascii="Palatino Linotype" w:hAnsi="Palatino Linotype"/>
          <w:b/>
          <w:bCs/>
          <w:color w:val="000000" w:themeColor="text1"/>
        </w:rPr>
      </w:pPr>
    </w:p>
    <w:p w14:paraId="68CDA4D0" w14:textId="045B8E12" w:rsidR="00F809DA" w:rsidRPr="00DD7BE8" w:rsidRDefault="00F809DA" w:rsidP="00DD7BE8">
      <w:pPr>
        <w:numPr>
          <w:ilvl w:val="0"/>
          <w:numId w:val="21"/>
        </w:numPr>
        <w:tabs>
          <w:tab w:val="left" w:pos="0"/>
        </w:tabs>
        <w:spacing w:line="360" w:lineRule="auto"/>
        <w:contextualSpacing/>
        <w:jc w:val="both"/>
        <w:rPr>
          <w:rFonts w:ascii="Palatino Linotype" w:hAnsi="Palatino Linotype"/>
          <w:b/>
          <w:bCs/>
          <w:color w:val="000000" w:themeColor="text1"/>
        </w:rPr>
      </w:pPr>
      <w:r w:rsidRPr="00DD7BE8">
        <w:rPr>
          <w:rFonts w:ascii="Palatino Linotype" w:hAnsi="Palatino Linotype"/>
          <w:b/>
          <w:bCs/>
          <w:color w:val="000000" w:themeColor="text1"/>
        </w:rPr>
        <w:t xml:space="preserve">320.pdf: </w:t>
      </w:r>
      <w:r w:rsidRPr="00DD7BE8">
        <w:rPr>
          <w:rFonts w:ascii="Palatino Linotype" w:hAnsi="Palatino Linotype"/>
          <w:bCs/>
          <w:color w:val="000000" w:themeColor="text1"/>
        </w:rPr>
        <w:t xml:space="preserve">Documento electrónico que en tres (03) hojas contiene el oficio TMC/EGRE/1360/2019 dirigido al Titular de la Unidad de Transparencia y suscrito por el Tesorero Municipal, mediante el cual se pretende la clasificación de la información en calidad de reservada señalando lo siguiente “ </w:t>
      </w:r>
      <w:r w:rsidRPr="00DD7BE8">
        <w:rPr>
          <w:rFonts w:ascii="Palatino Linotype" w:hAnsi="Palatino Linotype"/>
          <w:bCs/>
          <w:i/>
          <w:color w:val="000000" w:themeColor="text1"/>
        </w:rPr>
        <w:t xml:space="preserve">Se hace del conocimiento a este comité que, en fecha diecinueve de junio del dos mil diecinueve, se inició un proceso de auditoria ante el Órgano Superior de Fiscalización del Estado de México a la </w:t>
      </w:r>
      <w:r w:rsidRPr="00DD7BE8">
        <w:rPr>
          <w:rFonts w:ascii="Palatino Linotype" w:hAnsi="Palatino Linotype"/>
          <w:b/>
          <w:bCs/>
          <w:i/>
          <w:color w:val="000000" w:themeColor="text1"/>
        </w:rPr>
        <w:t>T</w:t>
      </w:r>
      <w:r w:rsidRPr="00DD7BE8">
        <w:rPr>
          <w:rFonts w:ascii="Palatino Linotype" w:hAnsi="Palatino Linotype"/>
          <w:bCs/>
          <w:i/>
          <w:color w:val="000000" w:themeColor="text1"/>
        </w:rPr>
        <w:t>esorería Municipal de Coacalco de Berriozábal, motivo por el cual se actualiza el supuesto contenido en el artículo 140 fracción V de la Ley de Transparencia y Acceso a la Información pública del Estado de México y Municipio</w:t>
      </w:r>
      <w:r w:rsidRPr="00DD7BE8">
        <w:rPr>
          <w:rFonts w:ascii="Palatino Linotype" w:hAnsi="Palatino Linotype"/>
          <w:bCs/>
          <w:color w:val="000000" w:themeColor="text1"/>
        </w:rPr>
        <w:t xml:space="preserve"> …” (Sic).  </w:t>
      </w:r>
    </w:p>
    <w:p w14:paraId="3438B2E1" w14:textId="77777777" w:rsidR="00F809DA" w:rsidRPr="00DD7BE8" w:rsidRDefault="00F809DA" w:rsidP="00DD7BE8">
      <w:pPr>
        <w:tabs>
          <w:tab w:val="left" w:pos="0"/>
        </w:tabs>
        <w:spacing w:line="360" w:lineRule="auto"/>
        <w:ind w:left="360"/>
        <w:jc w:val="both"/>
        <w:rPr>
          <w:rFonts w:ascii="Palatino Linotype" w:hAnsi="Palatino Linotype"/>
          <w:b/>
          <w:bCs/>
          <w:color w:val="000000" w:themeColor="text1"/>
        </w:rPr>
      </w:pPr>
    </w:p>
    <w:p w14:paraId="7E332A1E" w14:textId="66ED9E1A" w:rsidR="00F809DA" w:rsidRPr="00DD7BE8" w:rsidRDefault="00BC3449" w:rsidP="00DD7BE8">
      <w:pPr>
        <w:numPr>
          <w:ilvl w:val="0"/>
          <w:numId w:val="21"/>
        </w:numPr>
        <w:tabs>
          <w:tab w:val="left" w:pos="0"/>
        </w:tabs>
        <w:spacing w:line="360" w:lineRule="auto"/>
        <w:contextualSpacing/>
        <w:jc w:val="both"/>
        <w:rPr>
          <w:rFonts w:ascii="Palatino Linotype" w:hAnsi="Palatino Linotype"/>
          <w:b/>
          <w:color w:val="000000" w:themeColor="text1"/>
        </w:rPr>
      </w:pPr>
      <w:hyperlink r:id="rId33" w:tgtFrame="_blank" w:history="1">
        <w:r w:rsidR="00F809DA" w:rsidRPr="00DD7BE8">
          <w:rPr>
            <w:rFonts w:ascii="Palatino Linotype" w:hAnsi="Palatino Linotype"/>
            <w:b/>
            <w:bCs/>
            <w:color w:val="000000" w:themeColor="text1"/>
          </w:rPr>
          <w:t>RESPUESTA INTEGRADORA SOLICITUD 0320.docx</w:t>
        </w:r>
      </w:hyperlink>
      <w:hyperlink r:id="rId34" w:tgtFrame="_blank" w:history="1"/>
      <w:r w:rsidR="00F809DA" w:rsidRPr="00DD7BE8">
        <w:rPr>
          <w:rFonts w:ascii="Palatino Linotype" w:hAnsi="Palatino Linotype"/>
          <w:b/>
          <w:color w:val="000000" w:themeColor="text1"/>
        </w:rPr>
        <w:t xml:space="preserve">: </w:t>
      </w:r>
      <w:r w:rsidR="00F809DA" w:rsidRPr="00DD7BE8">
        <w:rPr>
          <w:rFonts w:ascii="Palatino Linotype" w:hAnsi="Palatino Linotype"/>
          <w:color w:val="000000" w:themeColor="text1"/>
        </w:rPr>
        <w:t xml:space="preserve">Documento electrónico que en cuatro (04) hojas contiene el oficio UT/IVA/1101/2019, dirigido al particular y suscrito por el titular de la unidad de transparencia mediante el cual se pone a disposición el acuerdo </w:t>
      </w:r>
      <w:r w:rsidR="00F809DA" w:rsidRPr="00DD7BE8">
        <w:rPr>
          <w:rFonts w:ascii="Palatino Linotype" w:hAnsi="Palatino Linotype"/>
          <w:b/>
          <w:color w:val="000000" w:themeColor="text1"/>
        </w:rPr>
        <w:t>ACT/TRANSCOA/VIGES</w:t>
      </w:r>
      <w:r w:rsidR="00946116" w:rsidRPr="00DD7BE8">
        <w:rPr>
          <w:rFonts w:ascii="Palatino Linotype" w:hAnsi="Palatino Linotype"/>
          <w:b/>
          <w:color w:val="000000" w:themeColor="text1"/>
        </w:rPr>
        <w:t>IMOCUARTA/EXTRAORD/4/2019/OCTAVO</w:t>
      </w:r>
      <w:r w:rsidR="00F809DA" w:rsidRPr="00DD7BE8">
        <w:rPr>
          <w:rFonts w:ascii="Palatino Linotype" w:hAnsi="Palatino Linotype"/>
          <w:color w:val="000000" w:themeColor="text1"/>
        </w:rPr>
        <w:t xml:space="preserve"> tomado en la Vigésimo Cuarta Sesión</w:t>
      </w:r>
      <w:r w:rsidR="00946116" w:rsidRPr="00DD7BE8">
        <w:rPr>
          <w:rFonts w:ascii="Palatino Linotype" w:hAnsi="Palatino Linotype"/>
          <w:color w:val="000000" w:themeColor="text1"/>
        </w:rPr>
        <w:t xml:space="preserve"> Extraordinaria</w:t>
      </w:r>
      <w:r w:rsidR="00F809DA" w:rsidRPr="00DD7BE8">
        <w:rPr>
          <w:rFonts w:ascii="Palatino Linotype" w:hAnsi="Palatino Linotype"/>
          <w:color w:val="000000" w:themeColor="text1"/>
        </w:rPr>
        <w:t xml:space="preserve"> del Comité de Transparencia, mediante el cual de determina la reserva de la información solicitada a propuesta del servidor público habilitado.  </w:t>
      </w:r>
    </w:p>
    <w:p w14:paraId="1CBC21A1" w14:textId="77777777" w:rsidR="000920E5" w:rsidRPr="00DD7BE8" w:rsidRDefault="000920E5" w:rsidP="00DD7BE8">
      <w:pPr>
        <w:tabs>
          <w:tab w:val="left" w:pos="0"/>
        </w:tabs>
        <w:spacing w:line="360" w:lineRule="auto"/>
        <w:jc w:val="both"/>
        <w:rPr>
          <w:rFonts w:ascii="Palatino Linotype" w:hAnsi="Palatino Linotype"/>
          <w:b/>
          <w:bCs/>
          <w:color w:val="000000" w:themeColor="text1"/>
        </w:rPr>
      </w:pPr>
    </w:p>
    <w:p w14:paraId="0B10EA5D" w14:textId="62CFB450" w:rsidR="000920E5" w:rsidRPr="00DD7BE8" w:rsidRDefault="00F75AB0" w:rsidP="00DD7BE8">
      <w:pPr>
        <w:pStyle w:val="Prrafodelista"/>
        <w:tabs>
          <w:tab w:val="left" w:pos="0"/>
        </w:tabs>
        <w:spacing w:line="360" w:lineRule="auto"/>
        <w:ind w:left="0"/>
        <w:jc w:val="both"/>
        <w:rPr>
          <w:rFonts w:ascii="Palatino Linotype" w:hAnsi="Palatino Linotype"/>
          <w:b/>
          <w:color w:val="000000" w:themeColor="text1"/>
        </w:rPr>
      </w:pPr>
      <w:r w:rsidRPr="00DD7BE8">
        <w:rPr>
          <w:rFonts w:ascii="Palatino Linotype" w:hAnsi="Palatino Linotype"/>
          <w:b/>
          <w:bCs/>
          <w:color w:val="000000" w:themeColor="text1"/>
        </w:rPr>
        <w:t xml:space="preserve"> </w:t>
      </w:r>
      <w:r w:rsidR="001F40F9" w:rsidRPr="00DD7BE8">
        <w:rPr>
          <w:rFonts w:ascii="Palatino Linotype" w:hAnsi="Palatino Linotype"/>
          <w:b/>
          <w:bCs/>
          <w:color w:val="000000" w:themeColor="text1"/>
        </w:rPr>
        <w:t xml:space="preserve">Solicitud </w:t>
      </w:r>
      <w:r w:rsidR="00946116" w:rsidRPr="00DD7BE8">
        <w:rPr>
          <w:rFonts w:ascii="Palatino Linotype" w:hAnsi="Palatino Linotype"/>
          <w:b/>
          <w:bCs/>
          <w:color w:val="000000" w:themeColor="text1"/>
        </w:rPr>
        <w:t xml:space="preserve">00321/COACALCO/IP/2019 </w:t>
      </w:r>
      <w:hyperlink r:id="rId35" w:history="1"/>
      <w:r w:rsidR="001F40F9" w:rsidRPr="00DD7BE8">
        <w:rPr>
          <w:rFonts w:ascii="Palatino Linotype" w:hAnsi="Palatino Linotype"/>
          <w:b/>
          <w:color w:val="000000" w:themeColor="text1"/>
        </w:rPr>
        <w:t>:</w:t>
      </w:r>
    </w:p>
    <w:p w14:paraId="10737DF3" w14:textId="77777777" w:rsidR="000920E5" w:rsidRPr="00DD7BE8" w:rsidRDefault="000920E5" w:rsidP="00DD7BE8">
      <w:pPr>
        <w:pStyle w:val="Prrafodelista"/>
        <w:tabs>
          <w:tab w:val="left" w:pos="0"/>
        </w:tabs>
        <w:spacing w:line="360" w:lineRule="auto"/>
        <w:ind w:left="0"/>
        <w:jc w:val="both"/>
        <w:rPr>
          <w:rFonts w:ascii="Palatino Linotype" w:hAnsi="Palatino Linotype"/>
          <w:b/>
          <w:color w:val="000000" w:themeColor="text1"/>
        </w:rPr>
      </w:pPr>
    </w:p>
    <w:p w14:paraId="01089949" w14:textId="24B1A93E" w:rsidR="00F809DA" w:rsidRPr="00DD7BE8" w:rsidRDefault="00946116" w:rsidP="00DD7BE8">
      <w:pPr>
        <w:numPr>
          <w:ilvl w:val="0"/>
          <w:numId w:val="21"/>
        </w:numPr>
        <w:tabs>
          <w:tab w:val="left" w:pos="0"/>
        </w:tabs>
        <w:spacing w:line="360" w:lineRule="auto"/>
        <w:contextualSpacing/>
        <w:jc w:val="both"/>
        <w:rPr>
          <w:rFonts w:ascii="Palatino Linotype" w:hAnsi="Palatino Linotype"/>
          <w:b/>
          <w:bCs/>
          <w:color w:val="000000" w:themeColor="text1"/>
        </w:rPr>
      </w:pPr>
      <w:r w:rsidRPr="00DD7BE8">
        <w:rPr>
          <w:rFonts w:ascii="Palatino Linotype" w:hAnsi="Palatino Linotype"/>
          <w:b/>
          <w:bCs/>
          <w:color w:val="000000" w:themeColor="text1"/>
        </w:rPr>
        <w:t xml:space="preserve">321.pdf: </w:t>
      </w:r>
      <w:r w:rsidRPr="00DD7BE8">
        <w:rPr>
          <w:rFonts w:ascii="Palatino Linotype" w:hAnsi="Palatino Linotype"/>
          <w:bCs/>
          <w:color w:val="000000" w:themeColor="text1"/>
        </w:rPr>
        <w:t xml:space="preserve">Documento electrónico que en tres (03) hojas contiene el oficio TMC/EGRE/1361/2019 dirigido al Titular de la Unidad de Transparencia y suscrito por el Tesorero Municipal, mediante el cual se pretende la clasificación de la información en calidad de reservada señalando lo siguiente “ </w:t>
      </w:r>
      <w:r w:rsidRPr="00DD7BE8">
        <w:rPr>
          <w:rFonts w:ascii="Palatino Linotype" w:hAnsi="Palatino Linotype"/>
          <w:bCs/>
          <w:i/>
          <w:color w:val="000000" w:themeColor="text1"/>
        </w:rPr>
        <w:t xml:space="preserve">Se hace del conocimiento a este comité que, en fecha diecinueve de junio del dos mil diecinueve, se inició un proceso de auditoria ante el Órgano Superior de Fiscalización del Estado de México a la </w:t>
      </w:r>
      <w:r w:rsidRPr="00DD7BE8">
        <w:rPr>
          <w:rFonts w:ascii="Palatino Linotype" w:hAnsi="Palatino Linotype"/>
          <w:b/>
          <w:bCs/>
          <w:i/>
          <w:color w:val="000000" w:themeColor="text1"/>
        </w:rPr>
        <w:t>T</w:t>
      </w:r>
      <w:r w:rsidR="00F809DA" w:rsidRPr="00DD7BE8">
        <w:rPr>
          <w:rFonts w:ascii="Palatino Linotype" w:hAnsi="Palatino Linotype"/>
          <w:bCs/>
          <w:i/>
          <w:color w:val="000000" w:themeColor="text1"/>
        </w:rPr>
        <w:t>esorería</w:t>
      </w:r>
      <w:r w:rsidRPr="00DD7BE8">
        <w:rPr>
          <w:rFonts w:ascii="Palatino Linotype" w:hAnsi="Palatino Linotype"/>
          <w:bCs/>
          <w:i/>
          <w:color w:val="000000" w:themeColor="text1"/>
        </w:rPr>
        <w:t xml:space="preserve"> Municipal de Coacalco de Berriozábal, motivo por el cual se actualiza el supuesto contenido en el artículo 140 fracción V de la Ley de Transparencia y Acceso a la Información pública del Estado de México y Municipio</w:t>
      </w:r>
      <w:r w:rsidRPr="00DD7BE8">
        <w:rPr>
          <w:rFonts w:ascii="Palatino Linotype" w:hAnsi="Palatino Linotype"/>
          <w:bCs/>
          <w:color w:val="000000" w:themeColor="text1"/>
        </w:rPr>
        <w:t xml:space="preserve"> …” (Sic). </w:t>
      </w:r>
      <w:r w:rsidR="00F809DA" w:rsidRPr="00DD7BE8">
        <w:rPr>
          <w:rFonts w:ascii="Palatino Linotype" w:hAnsi="Palatino Linotype"/>
          <w:bCs/>
          <w:color w:val="000000" w:themeColor="text1"/>
        </w:rPr>
        <w:t xml:space="preserve"> </w:t>
      </w:r>
    </w:p>
    <w:p w14:paraId="41ED41B0" w14:textId="77777777" w:rsidR="00946116" w:rsidRPr="00DD7BE8" w:rsidRDefault="00946116" w:rsidP="00DD7BE8">
      <w:pPr>
        <w:tabs>
          <w:tab w:val="left" w:pos="0"/>
        </w:tabs>
        <w:spacing w:line="360" w:lineRule="auto"/>
        <w:ind w:left="360"/>
        <w:jc w:val="both"/>
        <w:rPr>
          <w:rFonts w:ascii="Palatino Linotype" w:hAnsi="Palatino Linotype"/>
          <w:b/>
          <w:bCs/>
          <w:color w:val="000000" w:themeColor="text1"/>
        </w:rPr>
      </w:pPr>
    </w:p>
    <w:p w14:paraId="45FDD14F" w14:textId="1F5AF1FA" w:rsidR="00946116" w:rsidRPr="00DD7BE8" w:rsidRDefault="00BC3449" w:rsidP="00DD7BE8">
      <w:pPr>
        <w:numPr>
          <w:ilvl w:val="0"/>
          <w:numId w:val="21"/>
        </w:numPr>
        <w:tabs>
          <w:tab w:val="left" w:pos="0"/>
        </w:tabs>
        <w:spacing w:line="360" w:lineRule="auto"/>
        <w:contextualSpacing/>
        <w:jc w:val="both"/>
        <w:rPr>
          <w:rFonts w:ascii="Palatino Linotype" w:hAnsi="Palatino Linotype"/>
          <w:b/>
          <w:color w:val="000000" w:themeColor="text1"/>
        </w:rPr>
      </w:pPr>
      <w:hyperlink r:id="rId36" w:tgtFrame="_blank" w:history="1">
        <w:r w:rsidR="00946116" w:rsidRPr="00DD7BE8">
          <w:rPr>
            <w:rFonts w:ascii="Palatino Linotype" w:hAnsi="Palatino Linotype"/>
            <w:b/>
            <w:bCs/>
            <w:color w:val="000000" w:themeColor="text1"/>
          </w:rPr>
          <w:t>RESPUESTA INTEGRADORA SOLICITUD 0320.docx</w:t>
        </w:r>
      </w:hyperlink>
      <w:hyperlink r:id="rId37" w:tgtFrame="_blank" w:history="1"/>
      <w:r w:rsidR="00946116" w:rsidRPr="00DD7BE8">
        <w:rPr>
          <w:rFonts w:ascii="Palatino Linotype" w:hAnsi="Palatino Linotype"/>
          <w:b/>
          <w:color w:val="000000" w:themeColor="text1"/>
        </w:rPr>
        <w:t xml:space="preserve">: </w:t>
      </w:r>
      <w:r w:rsidR="00946116" w:rsidRPr="00DD7BE8">
        <w:rPr>
          <w:rFonts w:ascii="Palatino Linotype" w:hAnsi="Palatino Linotype"/>
          <w:color w:val="000000" w:themeColor="text1"/>
        </w:rPr>
        <w:t xml:space="preserve">Documento electrónico que en cuatro (04) hojas contiene el oficio UT/IVA/1102/2019, dirigido al particular y suscrito por el titular de la unidad de transparencia mediante el cual se pone a disposición el acuerdo </w:t>
      </w:r>
      <w:r w:rsidR="00946116" w:rsidRPr="00DD7BE8">
        <w:rPr>
          <w:rFonts w:ascii="Palatino Linotype" w:hAnsi="Palatino Linotype"/>
          <w:b/>
          <w:color w:val="000000" w:themeColor="text1"/>
        </w:rPr>
        <w:t>ACT/TRANSCOA/VIGESIMOCUARTA/EXTRAORD/4/2019/NOVENO</w:t>
      </w:r>
      <w:r w:rsidR="00946116" w:rsidRPr="00DD7BE8">
        <w:rPr>
          <w:rFonts w:ascii="Palatino Linotype" w:hAnsi="Palatino Linotype"/>
          <w:color w:val="000000" w:themeColor="text1"/>
        </w:rPr>
        <w:t xml:space="preserve"> tomado en la Vigésimo Cuarta Sesión Extraordinaria del Comité de Transparencia, mediante el cual de determina la reserva de la información solicitada a propuesta del servidor público habilitado.  </w:t>
      </w:r>
    </w:p>
    <w:p w14:paraId="4C3AD831" w14:textId="3E807353" w:rsidR="001D5070" w:rsidRPr="00DD7BE8" w:rsidRDefault="001D5070" w:rsidP="00DD7BE8">
      <w:pPr>
        <w:pStyle w:val="Prrafodelista"/>
        <w:tabs>
          <w:tab w:val="left" w:pos="0"/>
        </w:tabs>
        <w:spacing w:line="360" w:lineRule="auto"/>
        <w:ind w:left="0"/>
        <w:jc w:val="both"/>
        <w:rPr>
          <w:rFonts w:ascii="Palatino Linotype" w:hAnsi="Palatino Linotype"/>
          <w:color w:val="000000"/>
        </w:rPr>
      </w:pPr>
    </w:p>
    <w:p w14:paraId="2373E3E2" w14:textId="31AAACF4" w:rsidR="00833E18" w:rsidRPr="00DD7BE8" w:rsidRDefault="00974405" w:rsidP="00DD7BE8">
      <w:pPr>
        <w:pStyle w:val="Prrafodelista"/>
        <w:numPr>
          <w:ilvl w:val="0"/>
          <w:numId w:val="1"/>
        </w:numPr>
        <w:spacing w:line="360" w:lineRule="auto"/>
        <w:ind w:left="0" w:firstLine="0"/>
        <w:jc w:val="both"/>
        <w:rPr>
          <w:rFonts w:ascii="Palatino Linotype" w:hAnsi="Palatino Linotype"/>
          <w:b/>
          <w:i/>
        </w:rPr>
      </w:pPr>
      <w:r w:rsidRPr="00DD7BE8">
        <w:rPr>
          <w:rFonts w:ascii="Palatino Linotype" w:eastAsia="Times New Roman" w:hAnsi="Palatino Linotype" w:cs="Arial"/>
        </w:rPr>
        <w:t>El día</w:t>
      </w:r>
      <w:r w:rsidR="00112FBF" w:rsidRPr="00DD7BE8">
        <w:rPr>
          <w:rFonts w:ascii="Palatino Linotype" w:eastAsia="Times New Roman" w:hAnsi="Palatino Linotype" w:cs="Arial"/>
        </w:rPr>
        <w:t xml:space="preserve"> </w:t>
      </w:r>
      <w:r w:rsidRPr="00DD7BE8">
        <w:rPr>
          <w:rFonts w:ascii="Palatino Linotype" w:eastAsia="Times New Roman" w:hAnsi="Palatino Linotype" w:cs="Arial"/>
        </w:rPr>
        <w:t>nueve (09</w:t>
      </w:r>
      <w:r w:rsidR="00112FBF" w:rsidRPr="00DD7BE8">
        <w:rPr>
          <w:rFonts w:ascii="Palatino Linotype" w:eastAsia="Times New Roman" w:hAnsi="Palatino Linotype" w:cs="Arial"/>
        </w:rPr>
        <w:t>)</w:t>
      </w:r>
      <w:r w:rsidRPr="00DD7BE8">
        <w:rPr>
          <w:rFonts w:ascii="Palatino Linotype" w:eastAsia="Times New Roman" w:hAnsi="Palatino Linotype" w:cs="Arial"/>
        </w:rPr>
        <w:t xml:space="preserve"> de septiembre </w:t>
      </w:r>
      <w:r w:rsidR="00112FBF" w:rsidRPr="00DD7BE8">
        <w:rPr>
          <w:rFonts w:ascii="Palatino Linotype" w:eastAsia="Times New Roman" w:hAnsi="Palatino Linotype" w:cs="Arial"/>
        </w:rPr>
        <w:t>d</w:t>
      </w:r>
      <w:r w:rsidR="00664106" w:rsidRPr="00DD7BE8">
        <w:rPr>
          <w:rFonts w:ascii="Palatino Linotype" w:eastAsia="Times New Roman" w:hAnsi="Palatino Linotype" w:cs="Arial"/>
          <w:lang w:val="es-ES"/>
        </w:rPr>
        <w:t>el presente año</w:t>
      </w:r>
      <w:r w:rsidR="00D408B6" w:rsidRPr="00DD7BE8">
        <w:rPr>
          <w:rFonts w:ascii="Palatino Linotype" w:eastAsia="Times New Roman" w:hAnsi="Palatino Linotype" w:cs="Arial"/>
          <w:lang w:val="es-ES"/>
        </w:rPr>
        <w:t xml:space="preserve">, se </w:t>
      </w:r>
      <w:r w:rsidR="00664106" w:rsidRPr="00DD7BE8">
        <w:rPr>
          <w:rFonts w:ascii="Palatino Linotype" w:eastAsia="Times New Roman" w:hAnsi="Palatino Linotype" w:cs="Arial"/>
          <w:lang w:val="es-ES"/>
        </w:rPr>
        <w:t xml:space="preserve">interpusieron </w:t>
      </w:r>
      <w:r w:rsidR="00112FBF" w:rsidRPr="00DD7BE8">
        <w:rPr>
          <w:rFonts w:ascii="Palatino Linotype" w:eastAsia="Times New Roman" w:hAnsi="Palatino Linotype" w:cs="Arial"/>
          <w:lang w:val="es-ES"/>
        </w:rPr>
        <w:t>por el</w:t>
      </w:r>
      <w:r w:rsidR="00740857" w:rsidRPr="00DD7BE8">
        <w:rPr>
          <w:rFonts w:ascii="Palatino Linotype" w:eastAsia="Times New Roman" w:hAnsi="Palatino Linotype" w:cs="Arial"/>
          <w:lang w:val="es-ES"/>
        </w:rPr>
        <w:t xml:space="preserve"> parte</w:t>
      </w:r>
      <w:r w:rsidR="00C64BCF" w:rsidRPr="00DD7BE8">
        <w:rPr>
          <w:rFonts w:ascii="Palatino Linotype" w:eastAsia="Times New Roman" w:hAnsi="Palatino Linotype" w:cs="Arial"/>
          <w:lang w:val="es-ES"/>
        </w:rPr>
        <w:t xml:space="preserve"> </w:t>
      </w:r>
      <w:r w:rsidR="00C9715E" w:rsidRPr="00DD7BE8">
        <w:rPr>
          <w:rFonts w:ascii="Palatino Linotype" w:eastAsia="Times New Roman" w:hAnsi="Palatino Linotype" w:cs="Arial"/>
          <w:b/>
          <w:lang w:val="es-ES"/>
        </w:rPr>
        <w:t>RECURRENTE</w:t>
      </w:r>
      <w:r w:rsidR="00D408B6" w:rsidRPr="00DD7BE8">
        <w:rPr>
          <w:rFonts w:ascii="Palatino Linotype" w:eastAsia="Times New Roman" w:hAnsi="Palatino Linotype" w:cs="Arial"/>
          <w:lang w:val="es-ES"/>
        </w:rPr>
        <w:t xml:space="preserve">, </w:t>
      </w:r>
      <w:r w:rsidR="00C64BCF" w:rsidRPr="00DD7BE8">
        <w:rPr>
          <w:rFonts w:ascii="Palatino Linotype" w:eastAsia="Times New Roman" w:hAnsi="Palatino Linotype" w:cs="Arial"/>
          <w:lang w:val="es-ES"/>
        </w:rPr>
        <w:t>l</w:t>
      </w:r>
      <w:r w:rsidR="00D408B6" w:rsidRPr="00DD7BE8">
        <w:rPr>
          <w:rFonts w:ascii="Palatino Linotype" w:eastAsia="Times New Roman" w:hAnsi="Palatino Linotype" w:cs="Arial"/>
          <w:lang w:val="es-ES"/>
        </w:rPr>
        <w:t>os</w:t>
      </w:r>
      <w:r w:rsidR="00C64BCF" w:rsidRPr="00DD7BE8">
        <w:rPr>
          <w:rFonts w:ascii="Palatino Linotype" w:eastAsia="Times New Roman" w:hAnsi="Palatino Linotype" w:cs="Arial"/>
          <w:lang w:val="es-ES"/>
        </w:rPr>
        <w:t xml:space="preserve"> recurso</w:t>
      </w:r>
      <w:r w:rsidR="00D408B6" w:rsidRPr="00DD7BE8">
        <w:rPr>
          <w:rFonts w:ascii="Palatino Linotype" w:eastAsia="Times New Roman" w:hAnsi="Palatino Linotype" w:cs="Arial"/>
          <w:lang w:val="es-ES"/>
        </w:rPr>
        <w:t>s</w:t>
      </w:r>
      <w:r w:rsidR="00C64BCF" w:rsidRPr="00DD7BE8">
        <w:rPr>
          <w:rFonts w:ascii="Palatino Linotype" w:eastAsia="Times New Roman" w:hAnsi="Palatino Linotype" w:cs="Arial"/>
          <w:lang w:val="es-ES"/>
        </w:rPr>
        <w:t xml:space="preserve"> de revisión</w:t>
      </w:r>
      <w:r w:rsidRPr="00DD7BE8">
        <w:rPr>
          <w:rFonts w:ascii="Palatino Linotype" w:hAnsi="Palatino Linotype"/>
          <w:b/>
        </w:rPr>
        <w:t xml:space="preserve"> 07223/INFOEM/IP/RR/2019, 07224/INFOEM/IP/RR/2019 07225/INFOEM/IP/RR/2019, 07226/INFOEM/IP/RR/2019 07227/INFOEM/IP/RR/2019 y 07228/INFOEM/IP/RR/2019</w:t>
      </w:r>
      <w:r w:rsidR="009A0461" w:rsidRPr="00DD7BE8">
        <w:rPr>
          <w:rFonts w:ascii="Palatino Linotype" w:eastAsia="Calibri" w:hAnsi="Palatino Linotype" w:cs="Arial"/>
          <w:b/>
          <w:lang w:val="es-ES"/>
        </w:rPr>
        <w:t>;</w:t>
      </w:r>
      <w:r w:rsidR="004D68F8" w:rsidRPr="00DD7BE8">
        <w:rPr>
          <w:rFonts w:ascii="Palatino Linotype" w:eastAsia="Times New Roman" w:hAnsi="Palatino Linotype" w:cs="Arial"/>
          <w:lang w:val="es-ES"/>
        </w:rPr>
        <w:t xml:space="preserve"> </w:t>
      </w:r>
      <w:bookmarkStart w:id="3" w:name="_Toc461555885"/>
      <w:bookmarkStart w:id="4" w:name="_Toc465264612"/>
      <w:bookmarkStart w:id="5" w:name="_Toc465264857"/>
      <w:bookmarkStart w:id="6" w:name="_Toc465266508"/>
      <w:bookmarkStart w:id="7" w:name="_Toc466302240"/>
      <w:bookmarkStart w:id="8" w:name="_Toc466371848"/>
      <w:bookmarkStart w:id="9" w:name="_Toc466371907"/>
      <w:bookmarkStart w:id="10" w:name="_Toc466377637"/>
      <w:bookmarkStart w:id="11" w:name="_Toc475619390"/>
      <w:bookmarkStart w:id="12" w:name="_Toc476048182"/>
      <w:bookmarkStart w:id="13" w:name="_Toc476071561"/>
      <w:bookmarkStart w:id="14" w:name="_Toc491370292"/>
      <w:r w:rsidR="00C90879" w:rsidRPr="00DD7BE8">
        <w:rPr>
          <w:rFonts w:ascii="Palatino Linotype" w:eastAsia="Times New Roman" w:hAnsi="Palatino Linotype" w:cs="Arial"/>
          <w:lang w:val="es-ES"/>
        </w:rPr>
        <w:t>en contra</w:t>
      </w:r>
      <w:r w:rsidR="008319E2" w:rsidRPr="00DD7BE8">
        <w:rPr>
          <w:rFonts w:ascii="Palatino Linotype" w:eastAsia="Times New Roman" w:hAnsi="Palatino Linotype" w:cs="Arial"/>
          <w:lang w:val="es-ES"/>
        </w:rPr>
        <w:t xml:space="preserve"> de la</w:t>
      </w:r>
      <w:r w:rsidR="00112FBF" w:rsidRPr="00DD7BE8">
        <w:rPr>
          <w:rFonts w:ascii="Palatino Linotype" w:eastAsia="Times New Roman" w:hAnsi="Palatino Linotype" w:cs="Arial"/>
          <w:lang w:val="es-ES"/>
        </w:rPr>
        <w:t xml:space="preserve">s respuestas </w:t>
      </w:r>
      <w:r w:rsidR="008319E2" w:rsidRPr="00DD7BE8">
        <w:rPr>
          <w:rFonts w:ascii="Palatino Linotype" w:eastAsia="Times New Roman" w:hAnsi="Palatino Linotype" w:cs="Arial"/>
          <w:lang w:val="es-ES"/>
        </w:rPr>
        <w:t>señalando</w:t>
      </w:r>
      <w:r w:rsidRPr="00DD7BE8">
        <w:rPr>
          <w:rFonts w:ascii="Palatino Linotype" w:eastAsia="Times New Roman" w:hAnsi="Palatino Linotype" w:cs="Arial"/>
          <w:lang w:val="es-ES"/>
        </w:rPr>
        <w:t xml:space="preserve"> en todos y cada uno</w:t>
      </w:r>
      <w:r w:rsidR="008319E2" w:rsidRPr="00DD7BE8">
        <w:rPr>
          <w:rFonts w:ascii="Palatino Linotype" w:eastAsia="Times New Roman" w:hAnsi="Palatino Linotype" w:cs="Arial"/>
          <w:lang w:val="es-ES"/>
        </w:rPr>
        <w:t xml:space="preserve"> como: </w:t>
      </w:r>
      <w:bookmarkStart w:id="15" w:name="_Toc491971186"/>
      <w:bookmarkStart w:id="16" w:name="_Toc495043348"/>
      <w:bookmarkStart w:id="17" w:name="_Toc495490222"/>
      <w:bookmarkStart w:id="18" w:name="_Toc495490292"/>
      <w:bookmarkStart w:id="19" w:name="_Toc503989305"/>
      <w:bookmarkStart w:id="20" w:name="_Toc503989327"/>
      <w:bookmarkStart w:id="21" w:name="_Toc504070934"/>
      <w:bookmarkStart w:id="22" w:name="_Toc507607100"/>
      <w:bookmarkStart w:id="23" w:name="_Toc513637193"/>
      <w:bookmarkStart w:id="24" w:name="_Toc517374347"/>
      <w:bookmarkStart w:id="25" w:name="_Toc517426507"/>
      <w:bookmarkStart w:id="26" w:name="_Toc517426552"/>
      <w:bookmarkStart w:id="27" w:name="_Toc520879413"/>
      <w:bookmarkStart w:id="28" w:name="_Toc520914922"/>
      <w:bookmarkStart w:id="29" w:name="_Toc520930776"/>
      <w:bookmarkStart w:id="30" w:name="_Toc520932703"/>
    </w:p>
    <w:p w14:paraId="4F81C177" w14:textId="77777777" w:rsidR="00112FBF" w:rsidRPr="00DD7BE8" w:rsidRDefault="00112FBF" w:rsidP="00DD7BE8">
      <w:pPr>
        <w:spacing w:line="360" w:lineRule="auto"/>
        <w:ind w:right="616"/>
        <w:jc w:val="both"/>
        <w:rPr>
          <w:rFonts w:ascii="Palatino Linotype" w:eastAsia="Calibri" w:hAnsi="Palatino Linotype" w:cs="Arial"/>
          <w:b/>
          <w:lang w:val="es-ES"/>
        </w:rPr>
      </w:pPr>
    </w:p>
    <w:p w14:paraId="070C6DE9" w14:textId="04964894" w:rsidR="000D5A1D" w:rsidRPr="00DD7BE8" w:rsidRDefault="009E4942" w:rsidP="00DD7BE8">
      <w:pPr>
        <w:pStyle w:val="Prrafodelista"/>
        <w:numPr>
          <w:ilvl w:val="0"/>
          <w:numId w:val="2"/>
        </w:numPr>
        <w:spacing w:line="360" w:lineRule="auto"/>
        <w:ind w:right="616"/>
        <w:jc w:val="both"/>
        <w:rPr>
          <w:rFonts w:ascii="Palatino Linotype" w:eastAsia="Calibri" w:hAnsi="Palatino Linotype" w:cs="Arial"/>
          <w:lang w:val="es-ES"/>
        </w:rPr>
      </w:pPr>
      <w:bookmarkStart w:id="31" w:name="_Toc521527061"/>
      <w:bookmarkStart w:id="32" w:name="_Toc521536199"/>
      <w:bookmarkStart w:id="33" w:name="_Toc529402639"/>
      <w:bookmarkStart w:id="34" w:name="_Toc11347064"/>
      <w:bookmarkStart w:id="35" w:name="_Toc13602323"/>
      <w:bookmarkStart w:id="36" w:name="_Toc18070410"/>
      <w:bookmarkStart w:id="37" w:name="_Toc24051506"/>
      <w:r w:rsidRPr="00DD7BE8">
        <w:rPr>
          <w:rStyle w:val="Ttulo2Car"/>
          <w:rFonts w:ascii="Palatino Linotype" w:hAnsi="Palatino Linotype"/>
          <w:b/>
          <w:color w:val="auto"/>
          <w:sz w:val="24"/>
          <w:szCs w:val="24"/>
          <w:lang w:val="es-ES"/>
        </w:rPr>
        <w:t>Acto impugnado:</w:t>
      </w:r>
      <w:bookmarkStart w:id="38" w:name="_Toc461555886"/>
      <w:bookmarkStart w:id="39" w:name="_Toc465264613"/>
      <w:bookmarkStart w:id="40" w:name="_Toc465264858"/>
      <w:bookmarkStart w:id="41" w:name="_Toc465266509"/>
      <w:bookmarkStart w:id="42" w:name="_Toc466302241"/>
      <w:bookmarkStart w:id="43" w:name="_Toc466371849"/>
      <w:bookmarkStart w:id="44" w:name="_Toc466371908"/>
      <w:bookmarkStart w:id="45" w:name="_Toc466377638"/>
      <w:bookmarkEnd w:id="3"/>
      <w:bookmarkEnd w:id="4"/>
      <w:bookmarkEnd w:id="5"/>
      <w:bookmarkEnd w:id="6"/>
      <w:bookmarkEnd w:id="7"/>
      <w:bookmarkEnd w:id="8"/>
      <w:bookmarkEnd w:id="9"/>
      <w:bookmarkEnd w:id="10"/>
      <w:r w:rsidR="001E3F91" w:rsidRPr="00DD7BE8">
        <w:rPr>
          <w:rStyle w:val="Ttulo2Car"/>
          <w:rFonts w:ascii="Palatino Linotype" w:hAnsi="Palatino Linotype"/>
          <w:i/>
          <w:color w:val="auto"/>
          <w:sz w:val="24"/>
          <w:szCs w:val="24"/>
          <w:lang w:val="es-ES"/>
        </w:rPr>
        <w:t>”</w:t>
      </w:r>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8"/>
      <w:bookmarkEnd w:id="39"/>
      <w:bookmarkEnd w:id="40"/>
      <w:bookmarkEnd w:id="41"/>
      <w:bookmarkEnd w:id="42"/>
      <w:bookmarkEnd w:id="43"/>
      <w:bookmarkEnd w:id="44"/>
      <w:bookmarkEnd w:id="45"/>
      <w:r w:rsidR="00974405" w:rsidRPr="00DD7BE8">
        <w:rPr>
          <w:rStyle w:val="Ttulo2Car"/>
          <w:rFonts w:ascii="Palatino Linotype" w:hAnsi="Palatino Linotype"/>
          <w:i/>
          <w:color w:val="auto"/>
          <w:sz w:val="24"/>
          <w:szCs w:val="24"/>
          <w:lang w:val="es-ES"/>
        </w:rPr>
        <w:t>¿CLASIFICACION DE INFORMACION POR CINCO AÑOS POR UNA AUDITORIA?</w:t>
      </w:r>
      <w:proofErr w:type="gramStart"/>
      <w:r w:rsidR="00974405" w:rsidRPr="00DD7BE8">
        <w:rPr>
          <w:rStyle w:val="Ttulo2Car"/>
          <w:rFonts w:ascii="Palatino Linotype" w:hAnsi="Palatino Linotype"/>
          <w:i/>
          <w:color w:val="auto"/>
          <w:sz w:val="24"/>
          <w:szCs w:val="24"/>
          <w:lang w:val="es-ES"/>
        </w:rPr>
        <w:t>.”</w:t>
      </w:r>
      <w:bookmarkEnd w:id="37"/>
      <w:proofErr w:type="gramEnd"/>
      <w:r w:rsidR="00E62303" w:rsidRPr="00DD7BE8">
        <w:rPr>
          <w:rFonts w:ascii="Palatino Linotype" w:eastAsia="Calibri" w:hAnsi="Palatino Linotype" w:cs="Arial"/>
          <w:lang w:val="es-ES"/>
        </w:rPr>
        <w:t xml:space="preserve"> </w:t>
      </w:r>
      <w:r w:rsidR="00515227" w:rsidRPr="00DD7BE8">
        <w:rPr>
          <w:rFonts w:ascii="Palatino Linotype" w:eastAsia="Calibri" w:hAnsi="Palatino Linotype" w:cs="Arial"/>
          <w:lang w:val="es-ES"/>
        </w:rPr>
        <w:t>(Sic).</w:t>
      </w:r>
    </w:p>
    <w:p w14:paraId="58D5B347" w14:textId="77777777" w:rsidR="00697BEA" w:rsidRPr="00DD7BE8" w:rsidRDefault="00697BEA" w:rsidP="00DD7BE8">
      <w:pPr>
        <w:pStyle w:val="Prrafodelista"/>
        <w:spacing w:line="360" w:lineRule="auto"/>
        <w:ind w:right="616"/>
        <w:jc w:val="both"/>
        <w:rPr>
          <w:rFonts w:ascii="Palatino Linotype" w:eastAsia="Calibri" w:hAnsi="Palatino Linotype" w:cs="Arial"/>
          <w:b/>
          <w:lang w:val="es-ES"/>
        </w:rPr>
      </w:pPr>
    </w:p>
    <w:p w14:paraId="6F628B5B" w14:textId="62C2B349" w:rsidR="00833E18" w:rsidRPr="00DD7BE8" w:rsidRDefault="009E4942" w:rsidP="00DD7BE8">
      <w:pPr>
        <w:pStyle w:val="Prrafodelista"/>
        <w:numPr>
          <w:ilvl w:val="0"/>
          <w:numId w:val="2"/>
        </w:numPr>
        <w:spacing w:line="360" w:lineRule="auto"/>
        <w:ind w:right="616"/>
        <w:jc w:val="both"/>
        <w:rPr>
          <w:rFonts w:ascii="Palatino Linotype" w:hAnsi="Palatino Linotype"/>
          <w:b/>
        </w:rPr>
      </w:pPr>
      <w:bookmarkStart w:id="46" w:name="_Toc461555887"/>
      <w:bookmarkStart w:id="47" w:name="_Toc465264614"/>
      <w:bookmarkStart w:id="48" w:name="_Toc465264859"/>
      <w:bookmarkStart w:id="49" w:name="_Toc465266510"/>
      <w:bookmarkStart w:id="50" w:name="_Toc466302242"/>
      <w:bookmarkStart w:id="51" w:name="_Toc466371850"/>
      <w:bookmarkStart w:id="52" w:name="_Toc466371909"/>
      <w:bookmarkStart w:id="53" w:name="_Toc466377639"/>
      <w:bookmarkStart w:id="54" w:name="_Toc475619391"/>
      <w:bookmarkStart w:id="55" w:name="_Toc476048183"/>
      <w:bookmarkStart w:id="56" w:name="_Toc476071562"/>
      <w:bookmarkStart w:id="57" w:name="_Toc491370293"/>
      <w:bookmarkStart w:id="58" w:name="_Toc491971187"/>
      <w:bookmarkStart w:id="59" w:name="_Toc495043349"/>
      <w:bookmarkStart w:id="60" w:name="_Toc495490223"/>
      <w:bookmarkStart w:id="61" w:name="_Toc495490293"/>
      <w:bookmarkStart w:id="62" w:name="_Toc503989306"/>
      <w:bookmarkStart w:id="63" w:name="_Toc503989328"/>
      <w:bookmarkStart w:id="64" w:name="_Toc504070935"/>
      <w:bookmarkStart w:id="65" w:name="_Toc507607101"/>
      <w:bookmarkStart w:id="66" w:name="_Toc513637194"/>
      <w:bookmarkStart w:id="67" w:name="_Toc517374348"/>
      <w:bookmarkStart w:id="68" w:name="_Toc517426508"/>
      <w:bookmarkStart w:id="69" w:name="_Toc517426553"/>
      <w:bookmarkStart w:id="70" w:name="_Toc529402640"/>
      <w:bookmarkStart w:id="71" w:name="_Toc18070411"/>
      <w:bookmarkStart w:id="72" w:name="_Toc520879414"/>
      <w:bookmarkStart w:id="73" w:name="_Toc520914923"/>
      <w:bookmarkStart w:id="74" w:name="_Toc520930777"/>
      <w:bookmarkStart w:id="75" w:name="_Toc520932704"/>
      <w:bookmarkStart w:id="76" w:name="_Toc521527062"/>
      <w:bookmarkStart w:id="77" w:name="_Toc521536200"/>
      <w:bookmarkStart w:id="78" w:name="_Toc11347065"/>
      <w:bookmarkStart w:id="79" w:name="_Toc13602324"/>
      <w:bookmarkStart w:id="80" w:name="_Toc24051507"/>
      <w:r w:rsidRPr="00DD7BE8">
        <w:rPr>
          <w:rStyle w:val="Ttulo2Car"/>
          <w:rFonts w:ascii="Palatino Linotype" w:hAnsi="Palatino Linotype"/>
          <w:b/>
          <w:color w:val="auto"/>
          <w:sz w:val="24"/>
          <w:szCs w:val="24"/>
          <w:lang w:val="es-ES"/>
        </w:rPr>
        <w:t>Razones o Motivos de inconformidad:</w:t>
      </w:r>
      <w:bookmarkEnd w:id="46"/>
      <w:bookmarkEnd w:id="47"/>
      <w:bookmarkEnd w:id="48"/>
      <w:bookmarkEnd w:id="49"/>
      <w:bookmarkEnd w:id="50"/>
      <w:bookmarkEnd w:id="51"/>
      <w:bookmarkEnd w:id="52"/>
      <w:bookmarkEnd w:id="53"/>
      <w:r w:rsidR="000631D9" w:rsidRPr="00DD7BE8">
        <w:rPr>
          <w:rStyle w:val="Ttulo2Car"/>
          <w:rFonts w:ascii="Palatino Linotype" w:hAnsi="Palatino Linotype"/>
          <w:b/>
          <w:color w:val="auto"/>
          <w:sz w:val="24"/>
          <w:szCs w:val="24"/>
          <w:lang w:val="es-ES"/>
        </w:rPr>
        <w:t xml:space="preserve"> </w:t>
      </w:r>
      <w:bookmarkEnd w:id="54"/>
      <w:bookmarkEnd w:id="55"/>
      <w:bookmarkEnd w:id="56"/>
      <w:bookmarkEnd w:id="57"/>
      <w:bookmarkEnd w:id="58"/>
      <w:bookmarkEnd w:id="59"/>
      <w:bookmarkEnd w:id="60"/>
      <w:bookmarkEnd w:id="61"/>
      <w:bookmarkEnd w:id="62"/>
      <w:bookmarkEnd w:id="63"/>
      <w:bookmarkEnd w:id="64"/>
      <w:bookmarkEnd w:id="65"/>
      <w:bookmarkEnd w:id="66"/>
      <w:r w:rsidR="00664106" w:rsidRPr="00DD7BE8">
        <w:rPr>
          <w:rStyle w:val="Ttulo2Car"/>
          <w:rFonts w:ascii="Palatino Linotype" w:hAnsi="Palatino Linotype"/>
          <w:i/>
          <w:color w:val="auto"/>
          <w:sz w:val="24"/>
          <w:szCs w:val="24"/>
          <w:lang w:val="es-ES"/>
        </w:rPr>
        <w:t>“</w:t>
      </w:r>
      <w:bookmarkEnd w:id="67"/>
      <w:bookmarkEnd w:id="68"/>
      <w:bookmarkEnd w:id="69"/>
      <w:bookmarkEnd w:id="70"/>
      <w:bookmarkEnd w:id="71"/>
      <w:bookmarkEnd w:id="72"/>
      <w:bookmarkEnd w:id="73"/>
      <w:bookmarkEnd w:id="74"/>
      <w:bookmarkEnd w:id="75"/>
      <w:bookmarkEnd w:id="76"/>
      <w:bookmarkEnd w:id="77"/>
      <w:bookmarkEnd w:id="78"/>
      <w:bookmarkEnd w:id="79"/>
      <w:r w:rsidR="00974405" w:rsidRPr="00DD7BE8">
        <w:rPr>
          <w:rStyle w:val="Ttulo2Car"/>
          <w:rFonts w:ascii="Palatino Linotype" w:hAnsi="Palatino Linotype"/>
          <w:i/>
          <w:color w:val="auto"/>
          <w:sz w:val="24"/>
          <w:szCs w:val="24"/>
          <w:lang w:val="es-ES"/>
        </w:rPr>
        <w:t>ESTO ES UNA BURLA, EL MUNICIPIO DE COACALCO PIDE PRORROGAS PARA ENTREGAR HOJAS EN BLANCO O ARCHIVOS DAÑADOS, O INFORMACION INCOMPLETA, O LA NUEVA MODALIDAD, CLASIFICAR LA INFORMACION POR CINCO AÑOS YA QUE SE ENCUENTRAN EN AUDITORIA, ¿EN QUE MUNICIPIO UNA AUDITORIA DURA CINCO AÑOS? SE BURLAN TANTO DEL INSTITUTO COMO DE LOS RECURRENTES.” (Sic)</w:t>
      </w:r>
      <w:bookmarkEnd w:id="80"/>
    </w:p>
    <w:p w14:paraId="07CB2E46" w14:textId="77777777" w:rsidR="00340FE1" w:rsidRPr="00DD7BE8" w:rsidRDefault="00340FE1" w:rsidP="00DD7BE8">
      <w:pPr>
        <w:pStyle w:val="Prrafodelista"/>
        <w:spacing w:before="240" w:after="240" w:line="360" w:lineRule="auto"/>
        <w:ind w:left="0"/>
        <w:jc w:val="both"/>
        <w:rPr>
          <w:rFonts w:ascii="Palatino Linotype" w:eastAsia="Times New Roman" w:hAnsi="Palatino Linotype" w:cs="Arial"/>
        </w:rPr>
      </w:pPr>
    </w:p>
    <w:p w14:paraId="2D721437" w14:textId="01239EE3" w:rsidR="00664106" w:rsidRPr="00DD7BE8" w:rsidRDefault="00664106" w:rsidP="00DD7BE8">
      <w:pPr>
        <w:pStyle w:val="Prrafodelista"/>
        <w:numPr>
          <w:ilvl w:val="0"/>
          <w:numId w:val="1"/>
        </w:numPr>
        <w:spacing w:before="240" w:after="240" w:line="360" w:lineRule="auto"/>
        <w:ind w:left="0" w:firstLine="0"/>
        <w:jc w:val="both"/>
        <w:rPr>
          <w:rFonts w:ascii="Palatino Linotype" w:eastAsia="Times New Roman" w:hAnsi="Palatino Linotype" w:cs="Arial"/>
        </w:rPr>
      </w:pPr>
      <w:r w:rsidRPr="00DD7BE8">
        <w:rPr>
          <w:rFonts w:ascii="Palatino Linotype" w:hAnsi="Palatino Linotype" w:cs="Arial"/>
          <w:bCs/>
        </w:rPr>
        <w:t xml:space="preserve">Asimismo con fundamento en lo dispuesto por el </w:t>
      </w:r>
      <w:r w:rsidRPr="00DD7BE8">
        <w:rPr>
          <w:rFonts w:ascii="Palatino Linotype" w:eastAsia="Calibri" w:hAnsi="Palatino Linotype" w:cs="Arial"/>
        </w:rPr>
        <w:t xml:space="preserve">artículo 185 fracción I de la </w:t>
      </w:r>
      <w:r w:rsidRPr="00DD7BE8">
        <w:rPr>
          <w:rFonts w:ascii="Palatino Linotype" w:eastAsia="Calibri" w:hAnsi="Palatino Linotype" w:cs="Arial"/>
          <w:b/>
        </w:rPr>
        <w:t>Ley de Transparencia y Acceso a la Información Pública del Estado de México y Municipios,</w:t>
      </w:r>
      <w:r w:rsidRPr="00DD7BE8">
        <w:rPr>
          <w:rFonts w:ascii="Palatino Linotype" w:hAnsi="Palatino Linotype" w:cs="Arial"/>
        </w:rPr>
        <w:t xml:space="preserve"> </w:t>
      </w:r>
      <w:r w:rsidR="00AE0514" w:rsidRPr="00DD7BE8">
        <w:rPr>
          <w:rFonts w:ascii="Palatino Linotype" w:hAnsi="Palatino Linotype" w:cs="Arial"/>
        </w:rPr>
        <w:t xml:space="preserve">el </w:t>
      </w:r>
      <w:r w:rsidR="00AE0514" w:rsidRPr="00DD7BE8">
        <w:rPr>
          <w:rFonts w:ascii="Palatino Linotype" w:eastAsia="Times New Roman" w:hAnsi="Palatino Linotype" w:cs="Arial"/>
        </w:rPr>
        <w:t>recurso</w:t>
      </w:r>
      <w:r w:rsidRPr="00DD7BE8">
        <w:rPr>
          <w:rFonts w:ascii="Palatino Linotype" w:eastAsia="Times New Roman" w:hAnsi="Palatino Linotype" w:cs="Arial"/>
        </w:rPr>
        <w:t xml:space="preserve"> de revisión con número </w:t>
      </w:r>
      <w:r w:rsidR="006C6666" w:rsidRPr="00DD7BE8">
        <w:rPr>
          <w:rFonts w:ascii="Palatino Linotype" w:eastAsia="Times New Roman" w:hAnsi="Palatino Linotype" w:cs="Arial"/>
          <w:b/>
        </w:rPr>
        <w:t>07223</w:t>
      </w:r>
      <w:r w:rsidR="00AE0514" w:rsidRPr="00DD7BE8">
        <w:rPr>
          <w:rFonts w:ascii="Palatino Linotype" w:eastAsia="Times New Roman" w:hAnsi="Palatino Linotype" w:cs="Arial"/>
          <w:b/>
        </w:rPr>
        <w:t>/INFOEM/IP/RR/2019</w:t>
      </w:r>
      <w:r w:rsidR="006C6666" w:rsidRPr="00DD7BE8">
        <w:rPr>
          <w:rFonts w:ascii="Palatino Linotype" w:eastAsia="Times New Roman" w:hAnsi="Palatino Linotype" w:cs="Arial"/>
          <w:b/>
        </w:rPr>
        <w:t xml:space="preserve"> y 07228</w:t>
      </w:r>
      <w:r w:rsidR="00040774" w:rsidRPr="00DD7BE8">
        <w:rPr>
          <w:rFonts w:ascii="Palatino Linotype" w:eastAsia="Times New Roman" w:hAnsi="Palatino Linotype" w:cs="Arial"/>
          <w:b/>
        </w:rPr>
        <w:t>/INFOEM/IP/RR/2019</w:t>
      </w:r>
      <w:r w:rsidR="00394EE2" w:rsidRPr="00DD7BE8">
        <w:rPr>
          <w:rFonts w:ascii="Palatino Linotype" w:eastAsia="Times New Roman" w:hAnsi="Palatino Linotype" w:cs="Arial"/>
          <w:b/>
        </w:rPr>
        <w:t xml:space="preserve">, </w:t>
      </w:r>
      <w:r w:rsidR="007857A6" w:rsidRPr="00DD7BE8">
        <w:rPr>
          <w:rFonts w:ascii="Palatino Linotype" w:eastAsia="Times New Roman" w:hAnsi="Palatino Linotype" w:cs="Arial"/>
        </w:rPr>
        <w:t>fue</w:t>
      </w:r>
      <w:r w:rsidR="006C6666" w:rsidRPr="00DD7BE8">
        <w:rPr>
          <w:rFonts w:ascii="Palatino Linotype" w:eastAsia="Times New Roman" w:hAnsi="Palatino Linotype" w:cs="Arial"/>
        </w:rPr>
        <w:t>ron</w:t>
      </w:r>
      <w:r w:rsidR="007857A6" w:rsidRPr="00DD7BE8">
        <w:rPr>
          <w:rFonts w:ascii="Palatino Linotype" w:eastAsia="Times New Roman" w:hAnsi="Palatino Linotype" w:cs="Arial"/>
        </w:rPr>
        <w:t xml:space="preserve"> turnado</w:t>
      </w:r>
      <w:r w:rsidR="006C6666" w:rsidRPr="00DD7BE8">
        <w:rPr>
          <w:rFonts w:ascii="Palatino Linotype" w:eastAsia="Times New Roman" w:hAnsi="Palatino Linotype" w:cs="Arial"/>
        </w:rPr>
        <w:t>s</w:t>
      </w:r>
      <w:r w:rsidRPr="00DD7BE8">
        <w:rPr>
          <w:rFonts w:ascii="Palatino Linotype" w:eastAsia="Calibri" w:hAnsi="Palatino Linotype" w:cs="Arial"/>
          <w:b/>
        </w:rPr>
        <w:t xml:space="preserve"> </w:t>
      </w:r>
      <w:r w:rsidRPr="00DD7BE8">
        <w:rPr>
          <w:rFonts w:ascii="Palatino Linotype" w:eastAsia="Times New Roman" w:hAnsi="Palatino Linotype" w:cs="Arial"/>
        </w:rPr>
        <w:t xml:space="preserve">al </w:t>
      </w:r>
      <w:r w:rsidRPr="00DD7BE8">
        <w:rPr>
          <w:rFonts w:ascii="Palatino Linotype" w:eastAsia="Times New Roman" w:hAnsi="Palatino Linotype" w:cs="Arial"/>
          <w:b/>
        </w:rPr>
        <w:t xml:space="preserve">Comisionado José Guadalupe Luna Hernández </w:t>
      </w:r>
      <w:r w:rsidRPr="00DD7BE8">
        <w:rPr>
          <w:rFonts w:ascii="Palatino Linotype" w:eastAsia="Times New Roman" w:hAnsi="Palatino Linotype" w:cs="Arial"/>
        </w:rPr>
        <w:t xml:space="preserve">con el objeto de su análisis, posteriormente el Pleno </w:t>
      </w:r>
      <w:r w:rsidRPr="00DD7BE8">
        <w:rPr>
          <w:rFonts w:ascii="Palatino Linotype" w:eastAsia="MS Mincho" w:hAnsi="Palatino Linotype" w:cs="Arial"/>
        </w:rPr>
        <w:t>de este Órgano Autónomo, en la</w:t>
      </w:r>
      <w:r w:rsidR="009515A7" w:rsidRPr="00DD7BE8">
        <w:rPr>
          <w:rFonts w:ascii="Palatino Linotype" w:eastAsia="MS Mincho" w:hAnsi="Palatino Linotype" w:cs="Arial"/>
          <w:b/>
        </w:rPr>
        <w:t xml:space="preserve"> </w:t>
      </w:r>
      <w:r w:rsidR="006C6666" w:rsidRPr="00DD7BE8">
        <w:rPr>
          <w:rFonts w:ascii="Palatino Linotype" w:eastAsia="MS Mincho" w:hAnsi="Palatino Linotype" w:cs="Arial"/>
          <w:b/>
        </w:rPr>
        <w:t>Trigésimo Quinta</w:t>
      </w:r>
      <w:r w:rsidR="00952AD9" w:rsidRPr="00DD7BE8">
        <w:rPr>
          <w:rFonts w:ascii="Palatino Linotype" w:eastAsia="MS Mincho" w:hAnsi="Palatino Linotype" w:cs="Arial"/>
          <w:b/>
        </w:rPr>
        <w:t xml:space="preserve"> </w:t>
      </w:r>
      <w:r w:rsidR="006C6666" w:rsidRPr="00DD7BE8">
        <w:rPr>
          <w:rFonts w:ascii="Palatino Linotype" w:eastAsia="MS Mincho" w:hAnsi="Palatino Linotype" w:cs="Arial"/>
          <w:b/>
        </w:rPr>
        <w:t>Sesión</w:t>
      </w:r>
      <w:r w:rsidRPr="00DD7BE8">
        <w:rPr>
          <w:rFonts w:ascii="Palatino Linotype" w:eastAsia="MS Mincho" w:hAnsi="Palatino Linotype" w:cs="Arial"/>
          <w:b/>
        </w:rPr>
        <w:t xml:space="preserve"> Ordinaria</w:t>
      </w:r>
      <w:r w:rsidRPr="00DD7BE8">
        <w:rPr>
          <w:rFonts w:ascii="Palatino Linotype" w:eastAsia="MS Mincho" w:hAnsi="Palatino Linotype" w:cs="Arial"/>
        </w:rPr>
        <w:t xml:space="preserve"> de fecha</w:t>
      </w:r>
      <w:r w:rsidR="00040774" w:rsidRPr="00DD7BE8">
        <w:rPr>
          <w:rFonts w:ascii="Palatino Linotype" w:eastAsia="MS Mincho" w:hAnsi="Palatino Linotype" w:cs="Arial"/>
        </w:rPr>
        <w:t xml:space="preserve"> </w:t>
      </w:r>
      <w:r w:rsidR="006C6666" w:rsidRPr="00DD7BE8">
        <w:rPr>
          <w:rFonts w:ascii="Palatino Linotype" w:eastAsia="MS Mincho" w:hAnsi="Palatino Linotype" w:cs="Arial"/>
        </w:rPr>
        <w:t>veinticinco</w:t>
      </w:r>
      <w:r w:rsidR="007857A6" w:rsidRPr="00DD7BE8">
        <w:rPr>
          <w:rFonts w:ascii="Palatino Linotype" w:eastAsia="MS Mincho" w:hAnsi="Palatino Linotype" w:cs="Arial"/>
          <w:b/>
        </w:rPr>
        <w:t xml:space="preserve"> </w:t>
      </w:r>
      <w:r w:rsidR="008319E2" w:rsidRPr="00DD7BE8">
        <w:rPr>
          <w:rFonts w:ascii="Palatino Linotype" w:eastAsia="MS Mincho" w:hAnsi="Palatino Linotype" w:cs="Arial"/>
        </w:rPr>
        <w:t>(</w:t>
      </w:r>
      <w:r w:rsidR="006C6666" w:rsidRPr="00DD7BE8">
        <w:rPr>
          <w:rFonts w:ascii="Palatino Linotype" w:eastAsia="MS Mincho" w:hAnsi="Palatino Linotype" w:cs="Arial"/>
        </w:rPr>
        <w:t>25</w:t>
      </w:r>
      <w:r w:rsidRPr="00DD7BE8">
        <w:rPr>
          <w:rFonts w:ascii="Palatino Linotype" w:eastAsia="MS Mincho" w:hAnsi="Palatino Linotype" w:cs="Arial"/>
        </w:rPr>
        <w:t>)</w:t>
      </w:r>
      <w:r w:rsidR="006C6666" w:rsidRPr="00DD7BE8">
        <w:rPr>
          <w:rFonts w:ascii="Palatino Linotype" w:eastAsia="MS Mincho" w:hAnsi="Palatino Linotype" w:cs="Arial"/>
        </w:rPr>
        <w:t xml:space="preserve"> de septiembre</w:t>
      </w:r>
      <w:r w:rsidR="00040774" w:rsidRPr="00DD7BE8">
        <w:rPr>
          <w:rFonts w:ascii="Palatino Linotype" w:eastAsia="MS Mincho" w:hAnsi="Palatino Linotype" w:cs="Arial"/>
        </w:rPr>
        <w:t xml:space="preserve"> </w:t>
      </w:r>
      <w:r w:rsidRPr="00DD7BE8">
        <w:rPr>
          <w:rFonts w:ascii="Palatino Linotype" w:eastAsia="MS Mincho" w:hAnsi="Palatino Linotype" w:cs="Arial"/>
        </w:rPr>
        <w:t>de</w:t>
      </w:r>
      <w:r w:rsidRPr="00DD7BE8">
        <w:rPr>
          <w:rFonts w:ascii="Palatino Linotype" w:eastAsia="MS Mincho" w:hAnsi="Palatino Linotype" w:cs="Arial"/>
          <w:b/>
        </w:rPr>
        <w:t xml:space="preserve"> </w:t>
      </w:r>
      <w:r w:rsidR="007857A6" w:rsidRPr="00DD7BE8">
        <w:rPr>
          <w:rFonts w:ascii="Palatino Linotype" w:eastAsia="MS Mincho" w:hAnsi="Palatino Linotype" w:cs="Arial"/>
        </w:rPr>
        <w:t>dos mil diecinueve</w:t>
      </w:r>
      <w:r w:rsidR="008319E2" w:rsidRPr="00DD7BE8">
        <w:rPr>
          <w:rFonts w:ascii="Palatino Linotype" w:eastAsia="MS Mincho" w:hAnsi="Palatino Linotype" w:cs="Arial"/>
        </w:rPr>
        <w:t xml:space="preserve"> ordenó la acumulación de</w:t>
      </w:r>
      <w:r w:rsidR="006C6666" w:rsidRPr="00DD7BE8">
        <w:rPr>
          <w:rFonts w:ascii="Palatino Linotype" w:eastAsia="MS Mincho" w:hAnsi="Palatino Linotype" w:cs="Arial"/>
        </w:rPr>
        <w:t xml:space="preserve">l </w:t>
      </w:r>
      <w:r w:rsidR="008319E2" w:rsidRPr="00DD7BE8">
        <w:rPr>
          <w:rFonts w:ascii="Palatino Linotype" w:eastAsia="Times New Roman" w:hAnsi="Palatino Linotype" w:cs="Arial"/>
        </w:rPr>
        <w:t>recurso</w:t>
      </w:r>
      <w:r w:rsidRPr="00DD7BE8">
        <w:rPr>
          <w:rFonts w:ascii="Palatino Linotype" w:eastAsia="Times New Roman" w:hAnsi="Palatino Linotype" w:cs="Arial"/>
        </w:rPr>
        <w:t xml:space="preserve"> de revisión </w:t>
      </w:r>
      <w:r w:rsidR="006C6666" w:rsidRPr="00DD7BE8">
        <w:rPr>
          <w:rFonts w:ascii="Palatino Linotype" w:eastAsia="MS Mincho" w:hAnsi="Palatino Linotype" w:cs="Arial"/>
          <w:b/>
          <w:bCs/>
        </w:rPr>
        <w:t>07224/INFOEM/IP/RR/2019</w:t>
      </w:r>
      <w:r w:rsidR="00FB63C6" w:rsidRPr="00DD7BE8">
        <w:rPr>
          <w:rFonts w:ascii="Palatino Linotype" w:eastAsia="MS Mincho" w:hAnsi="Palatino Linotype" w:cs="Arial"/>
          <w:b/>
          <w:bCs/>
        </w:rPr>
        <w:t xml:space="preserve">, </w:t>
      </w:r>
      <w:r w:rsidRPr="00DD7BE8">
        <w:rPr>
          <w:rFonts w:ascii="Palatino Linotype" w:eastAsia="MS Mincho" w:hAnsi="Palatino Linotype" w:cs="Arial"/>
          <w:bCs/>
        </w:rPr>
        <w:t xml:space="preserve">del Comisionado </w:t>
      </w:r>
      <w:r w:rsidRPr="00DD7BE8">
        <w:rPr>
          <w:rFonts w:ascii="Palatino Linotype" w:eastAsia="MS Mincho" w:hAnsi="Palatino Linotype" w:cs="Arial"/>
          <w:b/>
          <w:bCs/>
        </w:rPr>
        <w:t xml:space="preserve">Javier </w:t>
      </w:r>
      <w:r w:rsidR="008319E2" w:rsidRPr="00DD7BE8">
        <w:rPr>
          <w:rFonts w:ascii="Palatino Linotype" w:eastAsia="MS Mincho" w:hAnsi="Palatino Linotype" w:cs="Arial"/>
          <w:b/>
          <w:bCs/>
        </w:rPr>
        <w:t>Martínez Cruz</w:t>
      </w:r>
      <w:r w:rsidR="006C6666" w:rsidRPr="00DD7BE8">
        <w:rPr>
          <w:rFonts w:ascii="Palatino Linotype" w:eastAsia="MS Mincho" w:hAnsi="Palatino Linotype" w:cs="Arial"/>
          <w:b/>
          <w:bCs/>
        </w:rPr>
        <w:t>; 07225</w:t>
      </w:r>
      <w:r w:rsidR="00040774" w:rsidRPr="00DD7BE8">
        <w:rPr>
          <w:rFonts w:ascii="Palatino Linotype" w:eastAsia="MS Mincho" w:hAnsi="Palatino Linotype" w:cs="Arial"/>
          <w:b/>
          <w:bCs/>
        </w:rPr>
        <w:t xml:space="preserve">/INFOEM/IP/RR/2019 </w:t>
      </w:r>
      <w:r w:rsidR="00040774" w:rsidRPr="00DD7BE8">
        <w:rPr>
          <w:rFonts w:ascii="Palatino Linotype" w:eastAsia="MS Mincho" w:hAnsi="Palatino Linotype" w:cs="Arial"/>
          <w:bCs/>
        </w:rPr>
        <w:t xml:space="preserve">de la Comisionada Presidenta </w:t>
      </w:r>
      <w:r w:rsidR="00040774" w:rsidRPr="00DD7BE8">
        <w:rPr>
          <w:rFonts w:ascii="Palatino Linotype" w:eastAsia="MS Mincho" w:hAnsi="Palatino Linotype" w:cs="Arial"/>
          <w:b/>
          <w:bCs/>
        </w:rPr>
        <w:t>Zulema Martínez Sánchez</w:t>
      </w:r>
      <w:r w:rsidR="006C6666" w:rsidRPr="00DD7BE8">
        <w:rPr>
          <w:rFonts w:ascii="Palatino Linotype" w:eastAsia="MS Mincho" w:hAnsi="Palatino Linotype" w:cs="Arial"/>
          <w:bCs/>
        </w:rPr>
        <w:t>;</w:t>
      </w:r>
      <w:r w:rsidR="002B62AC" w:rsidRPr="00DD7BE8">
        <w:rPr>
          <w:rFonts w:ascii="Palatino Linotype" w:eastAsia="MS Mincho" w:hAnsi="Palatino Linotype" w:cs="Arial"/>
          <w:bCs/>
        </w:rPr>
        <w:t xml:space="preserve"> </w:t>
      </w:r>
      <w:r w:rsidR="006C6666" w:rsidRPr="00DD7BE8">
        <w:rPr>
          <w:rFonts w:ascii="Palatino Linotype" w:eastAsia="MS Mincho" w:hAnsi="Palatino Linotype" w:cs="Arial"/>
          <w:b/>
          <w:bCs/>
        </w:rPr>
        <w:t>07226</w:t>
      </w:r>
      <w:r w:rsidR="00040774" w:rsidRPr="00DD7BE8">
        <w:rPr>
          <w:rFonts w:ascii="Palatino Linotype" w:eastAsia="MS Mincho" w:hAnsi="Palatino Linotype" w:cs="Arial"/>
          <w:b/>
          <w:bCs/>
        </w:rPr>
        <w:t xml:space="preserve">/INFOEM/IP/RR/2019 </w:t>
      </w:r>
      <w:r w:rsidR="00040774" w:rsidRPr="00DD7BE8">
        <w:rPr>
          <w:rFonts w:ascii="Palatino Linotype" w:eastAsia="MS Mincho" w:hAnsi="Palatino Linotype" w:cs="Arial"/>
          <w:bCs/>
        </w:rPr>
        <w:t>de</w:t>
      </w:r>
      <w:r w:rsidR="006C6666" w:rsidRPr="00DD7BE8">
        <w:rPr>
          <w:rFonts w:ascii="Palatino Linotype" w:eastAsia="MS Mincho" w:hAnsi="Palatino Linotype" w:cs="Arial"/>
          <w:bCs/>
        </w:rPr>
        <w:t xml:space="preserve">l Comisionado </w:t>
      </w:r>
      <w:r w:rsidR="006C6666" w:rsidRPr="00DD7BE8">
        <w:rPr>
          <w:rFonts w:ascii="Palatino Linotype" w:eastAsia="MS Mincho" w:hAnsi="Palatino Linotype" w:cs="Arial"/>
          <w:b/>
          <w:bCs/>
        </w:rPr>
        <w:t>Luis Gustavo Parra Noriega;</w:t>
      </w:r>
      <w:r w:rsidR="006C6666" w:rsidRPr="00DD7BE8">
        <w:rPr>
          <w:rFonts w:ascii="Palatino Linotype" w:eastAsia="MS Mincho" w:hAnsi="Palatino Linotype" w:cs="Arial"/>
          <w:bCs/>
        </w:rPr>
        <w:t xml:space="preserve"> y </w:t>
      </w:r>
      <w:r w:rsidR="006C6666" w:rsidRPr="00DD7BE8">
        <w:rPr>
          <w:rFonts w:ascii="Palatino Linotype" w:eastAsia="MS Mincho" w:hAnsi="Palatino Linotype" w:cs="Arial"/>
          <w:b/>
          <w:bCs/>
        </w:rPr>
        <w:t>07227/INFOEM/IP/RR/2019</w:t>
      </w:r>
      <w:r w:rsidR="006C6666" w:rsidRPr="00DD7BE8">
        <w:rPr>
          <w:rFonts w:ascii="Palatino Linotype" w:eastAsia="MS Mincho" w:hAnsi="Palatino Linotype" w:cs="Arial"/>
          <w:bCs/>
        </w:rPr>
        <w:t xml:space="preserve"> de</w:t>
      </w:r>
      <w:r w:rsidR="00040774" w:rsidRPr="00DD7BE8">
        <w:rPr>
          <w:rFonts w:ascii="Palatino Linotype" w:eastAsia="MS Mincho" w:hAnsi="Palatino Linotype" w:cs="Arial"/>
          <w:bCs/>
        </w:rPr>
        <w:t xml:space="preserve"> la Comisionada </w:t>
      </w:r>
      <w:r w:rsidR="00040774" w:rsidRPr="00DD7BE8">
        <w:rPr>
          <w:rFonts w:ascii="Palatino Linotype" w:eastAsia="MS Mincho" w:hAnsi="Palatino Linotype" w:cs="Arial"/>
          <w:b/>
          <w:bCs/>
        </w:rPr>
        <w:t xml:space="preserve">Eva </w:t>
      </w:r>
      <w:proofErr w:type="spellStart"/>
      <w:r w:rsidR="00040774" w:rsidRPr="00DD7BE8">
        <w:rPr>
          <w:rFonts w:ascii="Palatino Linotype" w:eastAsia="MS Mincho" w:hAnsi="Palatino Linotype" w:cs="Arial"/>
          <w:b/>
          <w:bCs/>
        </w:rPr>
        <w:t>Abaid</w:t>
      </w:r>
      <w:proofErr w:type="spellEnd"/>
      <w:r w:rsidR="00040774" w:rsidRPr="00DD7BE8">
        <w:rPr>
          <w:rFonts w:ascii="Palatino Linotype" w:eastAsia="MS Mincho" w:hAnsi="Palatino Linotype" w:cs="Arial"/>
          <w:b/>
          <w:bCs/>
        </w:rPr>
        <w:t xml:space="preserve"> </w:t>
      </w:r>
      <w:proofErr w:type="spellStart"/>
      <w:r w:rsidR="00040774" w:rsidRPr="00DD7BE8">
        <w:rPr>
          <w:rFonts w:ascii="Palatino Linotype" w:eastAsia="MS Mincho" w:hAnsi="Palatino Linotype" w:cs="Arial"/>
          <w:b/>
          <w:bCs/>
        </w:rPr>
        <w:t>Ya</w:t>
      </w:r>
      <w:r w:rsidR="002B62AC" w:rsidRPr="00DD7BE8">
        <w:rPr>
          <w:rFonts w:ascii="Palatino Linotype" w:eastAsia="MS Mincho" w:hAnsi="Palatino Linotype" w:cs="Arial"/>
          <w:b/>
          <w:bCs/>
        </w:rPr>
        <w:t>pur</w:t>
      </w:r>
      <w:proofErr w:type="spellEnd"/>
      <w:r w:rsidRPr="00DD7BE8">
        <w:rPr>
          <w:rFonts w:ascii="Palatino Linotype" w:eastAsia="Times New Roman" w:hAnsi="Palatino Linotype" w:cs="Arial"/>
          <w:b/>
        </w:rPr>
        <w:t xml:space="preserve">;  </w:t>
      </w:r>
      <w:r w:rsidRPr="00DD7BE8">
        <w:rPr>
          <w:rFonts w:ascii="Palatino Linotype" w:eastAsia="MS Mincho" w:hAnsi="Palatino Linotype" w:cs="Arial"/>
        </w:rPr>
        <w:t>a efecto de que ésta Ponencia formulara y presentara el proyecto de resolución correspondiente</w:t>
      </w:r>
      <w:r w:rsidRPr="00DD7BE8">
        <w:rPr>
          <w:rFonts w:ascii="Palatino Linotype" w:eastAsia="Times New Roman" w:hAnsi="Palatino Linotype" w:cs="Arial"/>
        </w:rPr>
        <w:t xml:space="preserve"> de conformidad con el numeral ONCE incisos b) y c) de los </w:t>
      </w:r>
      <w:r w:rsidRPr="00DD7BE8">
        <w:rPr>
          <w:rFonts w:ascii="Palatino Linotype" w:eastAsia="Times New Roman" w:hAnsi="Palatino Linotype" w:cs="Arial"/>
          <w:b/>
        </w:rPr>
        <w:t>Lineamientos para la Recepción, Trámite y Resolución de las Solicitudes de Acceso a la Información Pública, así como de los Recursos de Revisión que deberán observar los Sujetos Obligados por la Ley de Transparencia Estatal</w:t>
      </w:r>
      <w:r w:rsidRPr="00DD7BE8">
        <w:rPr>
          <w:rFonts w:ascii="Palatino Linotype" w:hAnsi="Palatino Linotype"/>
          <w:i/>
          <w:vertAlign w:val="superscript"/>
        </w:rPr>
        <w:footnoteReference w:id="1"/>
      </w:r>
      <w:r w:rsidRPr="00DD7BE8">
        <w:rPr>
          <w:rFonts w:ascii="Palatino Linotype" w:eastAsia="Times New Roman" w:hAnsi="Palatino Linotype" w:cs="Arial"/>
        </w:rPr>
        <w:t>, que señala:</w:t>
      </w:r>
    </w:p>
    <w:p w14:paraId="0C7E5E12" w14:textId="77777777" w:rsidR="00664106" w:rsidRPr="00DD7BE8" w:rsidRDefault="00664106" w:rsidP="00DD7BE8">
      <w:pPr>
        <w:autoSpaceDE w:val="0"/>
        <w:autoSpaceDN w:val="0"/>
        <w:adjustRightInd w:val="0"/>
        <w:spacing w:before="240" w:after="240" w:line="360" w:lineRule="auto"/>
        <w:ind w:left="567" w:right="567"/>
        <w:contextualSpacing/>
        <w:jc w:val="both"/>
        <w:rPr>
          <w:rFonts w:ascii="Palatino Linotype" w:eastAsia="Times New Roman" w:hAnsi="Palatino Linotype" w:cs="Arial"/>
          <w:i/>
        </w:rPr>
      </w:pPr>
      <w:r w:rsidRPr="00DD7BE8">
        <w:rPr>
          <w:rFonts w:ascii="Palatino Linotype" w:eastAsia="Times New Roman" w:hAnsi="Palatino Linotype" w:cs="Arial"/>
          <w:b/>
          <w:i/>
        </w:rPr>
        <w:t>ONCE.</w:t>
      </w:r>
      <w:r w:rsidRPr="00DD7BE8">
        <w:rPr>
          <w:rFonts w:ascii="Palatino Linotype" w:eastAsia="Times New Roman" w:hAnsi="Palatino Linotype" w:cs="Arial"/>
          <w:i/>
        </w:rPr>
        <w:t xml:space="preserve"> El Instituto, para mejor resolver y evitar la emisión de resoluciones contradictorias, podrá acordar la acumulación de los expedientes de recursos de revisión, de oficio o a petición de parte cuando:</w:t>
      </w:r>
    </w:p>
    <w:p w14:paraId="66EB9514" w14:textId="77777777" w:rsidR="00664106" w:rsidRPr="00DD7BE8" w:rsidRDefault="00664106" w:rsidP="00DD7BE8">
      <w:pPr>
        <w:autoSpaceDE w:val="0"/>
        <w:autoSpaceDN w:val="0"/>
        <w:adjustRightInd w:val="0"/>
        <w:spacing w:before="240" w:after="240" w:line="360" w:lineRule="auto"/>
        <w:ind w:left="567" w:right="567"/>
        <w:contextualSpacing/>
        <w:jc w:val="both"/>
        <w:rPr>
          <w:rFonts w:ascii="Palatino Linotype" w:eastAsia="Times New Roman" w:hAnsi="Palatino Linotype" w:cs="Arial"/>
          <w:i/>
        </w:rPr>
      </w:pPr>
      <w:r w:rsidRPr="00DD7BE8">
        <w:rPr>
          <w:rFonts w:ascii="Palatino Linotype" w:eastAsia="Times New Roman" w:hAnsi="Palatino Linotype" w:cs="Arial"/>
          <w:i/>
        </w:rPr>
        <w:t>…</w:t>
      </w:r>
    </w:p>
    <w:p w14:paraId="76C31779" w14:textId="77777777" w:rsidR="00664106" w:rsidRPr="00DD7BE8" w:rsidRDefault="00664106" w:rsidP="00DD7BE8">
      <w:pPr>
        <w:spacing w:before="240" w:after="240" w:line="360" w:lineRule="auto"/>
        <w:ind w:left="567" w:right="567"/>
        <w:jc w:val="both"/>
        <w:rPr>
          <w:rFonts w:ascii="Palatino Linotype" w:eastAsia="Times New Roman" w:hAnsi="Palatino Linotype" w:cs="Times New Roman"/>
          <w:i/>
          <w:color w:val="000000"/>
        </w:rPr>
      </w:pPr>
      <w:r w:rsidRPr="00DD7BE8">
        <w:rPr>
          <w:rFonts w:ascii="Palatino Linotype" w:eastAsia="Times New Roman" w:hAnsi="Palatino Linotype" w:cs="Times New Roman"/>
          <w:i/>
          <w:color w:val="000000"/>
        </w:rPr>
        <w:t>b) Las partes o los actos impugnados sean iguales</w:t>
      </w:r>
    </w:p>
    <w:p w14:paraId="35687CC9" w14:textId="77777777" w:rsidR="00664106" w:rsidRPr="00DD7BE8" w:rsidRDefault="00664106" w:rsidP="00DD7BE8">
      <w:pPr>
        <w:autoSpaceDE w:val="0"/>
        <w:autoSpaceDN w:val="0"/>
        <w:adjustRightInd w:val="0"/>
        <w:spacing w:before="240" w:after="240" w:line="360" w:lineRule="auto"/>
        <w:ind w:left="567" w:right="567"/>
        <w:contextualSpacing/>
        <w:jc w:val="both"/>
        <w:rPr>
          <w:rFonts w:ascii="Palatino Linotype" w:eastAsia="Times New Roman" w:hAnsi="Palatino Linotype" w:cs="Arial"/>
          <w:i/>
        </w:rPr>
      </w:pPr>
      <w:r w:rsidRPr="00DD7BE8">
        <w:rPr>
          <w:rFonts w:ascii="Palatino Linotype" w:eastAsia="Times New Roman" w:hAnsi="Palatino Linotype" w:cs="Arial"/>
          <w:i/>
        </w:rPr>
        <w:t>c) Cuando se trate del mismo solicitante, el mismo SUJETO OBLIGADO, aunque se trate de solicitudes diversas;</w:t>
      </w:r>
    </w:p>
    <w:p w14:paraId="0488005E" w14:textId="77777777" w:rsidR="00664106" w:rsidRPr="00DD7BE8" w:rsidRDefault="00664106" w:rsidP="00DD7BE8">
      <w:pPr>
        <w:autoSpaceDE w:val="0"/>
        <w:autoSpaceDN w:val="0"/>
        <w:adjustRightInd w:val="0"/>
        <w:spacing w:before="240" w:after="240" w:line="360" w:lineRule="auto"/>
        <w:ind w:left="567" w:right="567"/>
        <w:contextualSpacing/>
        <w:jc w:val="both"/>
        <w:rPr>
          <w:rFonts w:ascii="Palatino Linotype" w:eastAsia="Times New Roman" w:hAnsi="Palatino Linotype" w:cs="Arial"/>
          <w:i/>
        </w:rPr>
      </w:pPr>
      <w:r w:rsidRPr="00DD7BE8">
        <w:rPr>
          <w:rFonts w:ascii="Palatino Linotype" w:eastAsia="Times New Roman" w:hAnsi="Palatino Linotype" w:cs="Arial"/>
          <w:i/>
        </w:rPr>
        <w:t>(…)</w:t>
      </w:r>
    </w:p>
    <w:p w14:paraId="7082C55A" w14:textId="455C9342" w:rsidR="00664106" w:rsidRPr="00DD7BE8" w:rsidRDefault="00F762D0" w:rsidP="00DD7BE8">
      <w:pPr>
        <w:pStyle w:val="Prrafodelista"/>
        <w:numPr>
          <w:ilvl w:val="0"/>
          <w:numId w:val="1"/>
        </w:numPr>
        <w:spacing w:before="240" w:after="240" w:line="360" w:lineRule="auto"/>
        <w:ind w:left="0" w:firstLine="0"/>
        <w:jc w:val="both"/>
        <w:rPr>
          <w:rFonts w:ascii="Palatino Linotype" w:hAnsi="Palatino Linotype"/>
        </w:rPr>
      </w:pPr>
      <w:r w:rsidRPr="00DD7BE8">
        <w:rPr>
          <w:rFonts w:ascii="Palatino Linotype" w:hAnsi="Palatino Linotype"/>
        </w:rPr>
        <w:t xml:space="preserve">En ese tenor </w:t>
      </w:r>
      <w:r w:rsidR="00664106" w:rsidRPr="00DD7BE8">
        <w:rPr>
          <w:rFonts w:ascii="Palatino Linotype" w:hAnsi="Palatino Linotype"/>
        </w:rPr>
        <w:t>resulta conveniente su trámite de forma unificada para mejor resolver y evitar la emisión de resoluciones contradictorias, fue procedente que este Órgano Garante realizara la acumulación respectiva, de conformidad con lo dispuesto en el artículo 18 del Código de Procedimientos Administrativos del Estado de México, de aplicación supletoria en términos del artículo 195 de la Ley de Transparencia y Acceso a la Información Pública del Estado de México y Municipios en vigor, que a la letra señalan:</w:t>
      </w:r>
    </w:p>
    <w:p w14:paraId="63D9F82B" w14:textId="77777777" w:rsidR="00664106" w:rsidRPr="00DD7BE8" w:rsidRDefault="00664106" w:rsidP="00DD7BE8">
      <w:pPr>
        <w:spacing w:before="240" w:after="240" w:line="360" w:lineRule="auto"/>
        <w:ind w:left="709" w:right="616"/>
        <w:contextualSpacing/>
        <w:jc w:val="center"/>
        <w:rPr>
          <w:rFonts w:ascii="Palatino Linotype" w:hAnsi="Palatino Linotype"/>
          <w:b/>
          <w:i/>
        </w:rPr>
      </w:pPr>
      <w:r w:rsidRPr="00DD7BE8">
        <w:rPr>
          <w:rFonts w:ascii="Palatino Linotype" w:hAnsi="Palatino Linotype"/>
          <w:b/>
          <w:i/>
        </w:rPr>
        <w:t>Código de Procedimientos Administrativos del Estado de México.</w:t>
      </w:r>
    </w:p>
    <w:p w14:paraId="3C1267CE" w14:textId="77777777" w:rsidR="00664106" w:rsidRPr="00DD7BE8" w:rsidRDefault="00664106" w:rsidP="00DD7BE8">
      <w:pPr>
        <w:spacing w:before="240" w:after="240" w:line="360" w:lineRule="auto"/>
        <w:ind w:left="709" w:right="616"/>
        <w:contextualSpacing/>
        <w:jc w:val="center"/>
        <w:rPr>
          <w:rFonts w:ascii="Palatino Linotype" w:hAnsi="Palatino Linotype"/>
          <w:b/>
          <w:i/>
        </w:rPr>
      </w:pPr>
    </w:p>
    <w:p w14:paraId="2925300A" w14:textId="77777777" w:rsidR="00664106" w:rsidRPr="00DD7BE8" w:rsidRDefault="00664106" w:rsidP="00DD7BE8">
      <w:pPr>
        <w:spacing w:before="240" w:after="240" w:line="360" w:lineRule="auto"/>
        <w:ind w:left="709" w:right="616"/>
        <w:contextualSpacing/>
        <w:jc w:val="both"/>
        <w:rPr>
          <w:rFonts w:ascii="Palatino Linotype" w:hAnsi="Palatino Linotype"/>
          <w:i/>
        </w:rPr>
      </w:pPr>
      <w:r w:rsidRPr="00DD7BE8">
        <w:rPr>
          <w:rFonts w:ascii="Palatino Linotype" w:hAnsi="Palatino Linotype"/>
          <w:b/>
          <w:i/>
        </w:rPr>
        <w:t>“Artículo 18.-</w:t>
      </w:r>
      <w:r w:rsidRPr="00DD7BE8">
        <w:rPr>
          <w:rFonts w:ascii="Palatino Linotype" w:hAnsi="Palatino Linotype"/>
          <w:i/>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14:paraId="12B0C02F" w14:textId="77777777" w:rsidR="00664106" w:rsidRPr="00DD7BE8" w:rsidRDefault="00664106" w:rsidP="00DD7BE8">
      <w:pPr>
        <w:spacing w:before="240" w:after="240" w:line="360" w:lineRule="auto"/>
        <w:ind w:left="709" w:right="616"/>
        <w:contextualSpacing/>
        <w:jc w:val="both"/>
        <w:rPr>
          <w:rFonts w:ascii="Palatino Linotype" w:hAnsi="Palatino Linotype"/>
          <w:i/>
        </w:rPr>
      </w:pPr>
    </w:p>
    <w:p w14:paraId="21C988AB" w14:textId="77777777" w:rsidR="00664106" w:rsidRPr="00DD7BE8" w:rsidRDefault="00664106" w:rsidP="00DD7BE8">
      <w:pPr>
        <w:spacing w:before="240" w:after="240" w:line="360" w:lineRule="auto"/>
        <w:ind w:left="709" w:right="616"/>
        <w:contextualSpacing/>
        <w:jc w:val="center"/>
        <w:rPr>
          <w:rFonts w:ascii="Palatino Linotype" w:hAnsi="Palatino Linotype"/>
          <w:b/>
          <w:i/>
        </w:rPr>
      </w:pPr>
      <w:r w:rsidRPr="00DD7BE8">
        <w:rPr>
          <w:rFonts w:ascii="Palatino Linotype" w:hAnsi="Palatino Linotype"/>
          <w:b/>
          <w:i/>
        </w:rPr>
        <w:t>Ley de Transparencia y Acceso a la Información Pública del Estado de México y Municipios</w:t>
      </w:r>
    </w:p>
    <w:p w14:paraId="4B8CC76F" w14:textId="77777777" w:rsidR="00664106" w:rsidRPr="00DD7BE8" w:rsidRDefault="00664106" w:rsidP="00DD7BE8">
      <w:pPr>
        <w:spacing w:before="240" w:after="240" w:line="360" w:lineRule="auto"/>
        <w:ind w:left="709" w:right="616"/>
        <w:contextualSpacing/>
        <w:jc w:val="both"/>
        <w:rPr>
          <w:rFonts w:ascii="Palatino Linotype" w:hAnsi="Palatino Linotype"/>
          <w:i/>
        </w:rPr>
      </w:pPr>
      <w:r w:rsidRPr="00DD7BE8">
        <w:rPr>
          <w:rFonts w:ascii="Palatino Linotype" w:hAnsi="Palatino Linotype"/>
          <w:b/>
          <w:i/>
        </w:rPr>
        <w:t>“Artículo 195.</w:t>
      </w:r>
      <w:r w:rsidRPr="00DD7BE8">
        <w:rPr>
          <w:rFonts w:ascii="Palatino Linotype" w:hAnsi="Palatino Linotype"/>
          <w:i/>
        </w:rPr>
        <w:t xml:space="preserve"> En la tramitación del recurso de revisión se aplicarán supletoriamente las disposiciones contenidas en el Código de Procedimientos Administrativos del Estado de México.”</w:t>
      </w:r>
    </w:p>
    <w:p w14:paraId="1530B810" w14:textId="4E8627B8" w:rsidR="002B62AC" w:rsidRPr="00DD7BE8" w:rsidRDefault="006F0635" w:rsidP="00DD7BE8">
      <w:pPr>
        <w:pStyle w:val="Prrafodelista"/>
        <w:numPr>
          <w:ilvl w:val="0"/>
          <w:numId w:val="1"/>
        </w:numPr>
        <w:spacing w:before="240" w:after="240" w:line="360" w:lineRule="auto"/>
        <w:ind w:left="0" w:firstLine="0"/>
        <w:jc w:val="both"/>
        <w:rPr>
          <w:rFonts w:ascii="Palatino Linotype" w:hAnsi="Palatino Linotype"/>
        </w:rPr>
      </w:pPr>
      <w:r w:rsidRPr="00DD7BE8">
        <w:rPr>
          <w:rFonts w:ascii="Palatino Linotype" w:eastAsia="Calibri" w:hAnsi="Palatino Linotype" w:cs="Arial"/>
          <w:lang w:val="es-ES"/>
        </w:rPr>
        <w:t>Los</w:t>
      </w:r>
      <w:r w:rsidR="00FE49E3" w:rsidRPr="00DD7BE8">
        <w:rPr>
          <w:rFonts w:ascii="Palatino Linotype" w:eastAsia="Calibri" w:hAnsi="Palatino Linotype" w:cs="Arial"/>
          <w:lang w:val="es-ES"/>
        </w:rPr>
        <w:t xml:space="preserve"> </w:t>
      </w:r>
      <w:r w:rsidR="0004686A" w:rsidRPr="00DD7BE8">
        <w:rPr>
          <w:rFonts w:ascii="Palatino Linotype" w:eastAsia="Calibri" w:hAnsi="Palatino Linotype" w:cs="Arial"/>
          <w:lang w:val="es-ES"/>
        </w:rPr>
        <w:t>Comisionado</w:t>
      </w:r>
      <w:r w:rsidRPr="00DD7BE8">
        <w:rPr>
          <w:rFonts w:ascii="Palatino Linotype" w:eastAsia="Calibri" w:hAnsi="Palatino Linotype" w:cs="Arial"/>
          <w:lang w:val="es-ES"/>
        </w:rPr>
        <w:t>s</w:t>
      </w:r>
      <w:r w:rsidR="0004686A" w:rsidRPr="00DD7BE8">
        <w:rPr>
          <w:rFonts w:ascii="Palatino Linotype" w:eastAsia="Calibri" w:hAnsi="Palatino Linotype" w:cs="Arial"/>
          <w:lang w:val="es-ES"/>
        </w:rPr>
        <w:t xml:space="preserve"> Ponente</w:t>
      </w:r>
      <w:r w:rsidRPr="00DD7BE8">
        <w:rPr>
          <w:rFonts w:ascii="Palatino Linotype" w:eastAsia="Calibri" w:hAnsi="Palatino Linotype" w:cs="Arial"/>
          <w:lang w:val="es-ES"/>
        </w:rPr>
        <w:t>s</w:t>
      </w:r>
      <w:r w:rsidR="0004686A" w:rsidRPr="00DD7BE8">
        <w:rPr>
          <w:rFonts w:ascii="Palatino Linotype" w:eastAsia="Calibri" w:hAnsi="Palatino Linotype" w:cs="Arial"/>
          <w:lang w:val="es-ES"/>
        </w:rPr>
        <w:t xml:space="preserve"> con fundamento en lo dispuesto por el artículo 185 fracción II de la ley de la materia, a través </w:t>
      </w:r>
      <w:r w:rsidR="00664106" w:rsidRPr="00DD7BE8">
        <w:rPr>
          <w:rFonts w:ascii="Palatino Linotype" w:eastAsia="Calibri" w:hAnsi="Palatino Linotype" w:cs="Arial"/>
          <w:lang w:val="es-ES"/>
        </w:rPr>
        <w:t>de los</w:t>
      </w:r>
      <w:r w:rsidR="0004686A" w:rsidRPr="00DD7BE8">
        <w:rPr>
          <w:rFonts w:ascii="Palatino Linotype" w:eastAsia="Calibri" w:hAnsi="Palatino Linotype" w:cs="Arial"/>
          <w:lang w:val="es-ES"/>
        </w:rPr>
        <w:t xml:space="preserve"> </w:t>
      </w:r>
      <w:r w:rsidR="00B81371" w:rsidRPr="00DD7BE8">
        <w:rPr>
          <w:rFonts w:ascii="Palatino Linotype" w:eastAsia="Calibri" w:hAnsi="Palatino Linotype" w:cs="Arial"/>
          <w:lang w:val="es-ES"/>
        </w:rPr>
        <w:t>acuerdo</w:t>
      </w:r>
      <w:r w:rsidR="00664106" w:rsidRPr="00DD7BE8">
        <w:rPr>
          <w:rFonts w:ascii="Palatino Linotype" w:eastAsia="Calibri" w:hAnsi="Palatino Linotype" w:cs="Arial"/>
          <w:lang w:val="es-ES"/>
        </w:rPr>
        <w:t>s</w:t>
      </w:r>
      <w:r w:rsidR="00B81371" w:rsidRPr="00DD7BE8">
        <w:rPr>
          <w:rFonts w:ascii="Palatino Linotype" w:eastAsia="Calibri" w:hAnsi="Palatino Linotype" w:cs="Arial"/>
          <w:lang w:val="es-ES"/>
        </w:rPr>
        <w:t xml:space="preserve"> </w:t>
      </w:r>
      <w:r w:rsidR="00F147C6" w:rsidRPr="00DD7BE8">
        <w:rPr>
          <w:rFonts w:ascii="Palatino Linotype" w:eastAsia="Calibri" w:hAnsi="Palatino Linotype" w:cs="Arial"/>
          <w:lang w:val="es-ES"/>
        </w:rPr>
        <w:t xml:space="preserve">de admisión </w:t>
      </w:r>
      <w:r w:rsidR="00B81371" w:rsidRPr="00DD7BE8">
        <w:rPr>
          <w:rFonts w:ascii="Palatino Linotype" w:eastAsia="Calibri" w:hAnsi="Palatino Linotype" w:cs="Arial"/>
          <w:lang w:val="es-ES"/>
        </w:rPr>
        <w:t>de fecha</w:t>
      </w:r>
      <w:r w:rsidR="006C6666" w:rsidRPr="00DD7BE8">
        <w:rPr>
          <w:rFonts w:ascii="Palatino Linotype" w:eastAsia="Calibri" w:hAnsi="Palatino Linotype" w:cs="Arial"/>
          <w:lang w:val="es-ES"/>
        </w:rPr>
        <w:t xml:space="preserve"> trece</w:t>
      </w:r>
      <w:r w:rsidR="002B62AC" w:rsidRPr="00DD7BE8">
        <w:rPr>
          <w:rFonts w:ascii="Palatino Linotype" w:eastAsia="Calibri" w:hAnsi="Palatino Linotype" w:cs="Arial"/>
          <w:lang w:val="es-ES"/>
        </w:rPr>
        <w:t xml:space="preserve"> </w:t>
      </w:r>
      <w:r w:rsidR="001D0E73" w:rsidRPr="00DD7BE8">
        <w:rPr>
          <w:rFonts w:ascii="Palatino Linotype" w:eastAsia="Calibri" w:hAnsi="Palatino Linotype" w:cs="Arial"/>
          <w:lang w:val="es-ES"/>
        </w:rPr>
        <w:t>(</w:t>
      </w:r>
      <w:r w:rsidR="006C6666" w:rsidRPr="00DD7BE8">
        <w:rPr>
          <w:rFonts w:ascii="Palatino Linotype" w:eastAsia="Calibri" w:hAnsi="Palatino Linotype" w:cs="Arial"/>
          <w:lang w:val="es-ES"/>
        </w:rPr>
        <w:t>13</w:t>
      </w:r>
      <w:r w:rsidR="006B12CA" w:rsidRPr="00DD7BE8">
        <w:rPr>
          <w:rFonts w:ascii="Palatino Linotype" w:eastAsia="Calibri" w:hAnsi="Palatino Linotype" w:cs="Arial"/>
          <w:lang w:val="es-ES"/>
        </w:rPr>
        <w:t>)</w:t>
      </w:r>
      <w:r w:rsidR="002B62AC" w:rsidRPr="00DD7BE8">
        <w:rPr>
          <w:rFonts w:ascii="Palatino Linotype" w:eastAsia="Calibri" w:hAnsi="Palatino Linotype" w:cs="Arial"/>
          <w:lang w:val="es-ES"/>
        </w:rPr>
        <w:t xml:space="preserve"> </w:t>
      </w:r>
      <w:r w:rsidR="006C6666" w:rsidRPr="00DD7BE8">
        <w:rPr>
          <w:rFonts w:ascii="Palatino Linotype" w:eastAsia="Calibri" w:hAnsi="Palatino Linotype" w:cs="Arial"/>
          <w:lang w:val="es-ES"/>
        </w:rPr>
        <w:t>de septiembre</w:t>
      </w:r>
      <w:r w:rsidR="002B62AC" w:rsidRPr="00DD7BE8">
        <w:rPr>
          <w:rFonts w:ascii="Palatino Linotype" w:eastAsia="Calibri" w:hAnsi="Palatino Linotype" w:cs="Arial"/>
          <w:lang w:val="es-ES"/>
        </w:rPr>
        <w:t xml:space="preserve"> </w:t>
      </w:r>
      <w:r w:rsidR="006B12CA" w:rsidRPr="00DD7BE8">
        <w:rPr>
          <w:rFonts w:ascii="Palatino Linotype" w:eastAsia="Calibri" w:hAnsi="Palatino Linotype" w:cs="Arial"/>
          <w:lang w:val="es-ES"/>
        </w:rPr>
        <w:t>del año en curso</w:t>
      </w:r>
      <w:r w:rsidR="006A1047" w:rsidRPr="00DD7BE8">
        <w:rPr>
          <w:rFonts w:ascii="Palatino Linotype" w:eastAsia="Calibri" w:hAnsi="Palatino Linotype" w:cs="Arial"/>
          <w:lang w:val="es-ES"/>
        </w:rPr>
        <w:t xml:space="preserve">, </w:t>
      </w:r>
      <w:r w:rsidRPr="00DD7BE8">
        <w:rPr>
          <w:rFonts w:ascii="Palatino Linotype" w:eastAsia="Calibri" w:hAnsi="Palatino Linotype" w:cs="Arial"/>
          <w:lang w:val="es-ES"/>
        </w:rPr>
        <w:t>pusieron</w:t>
      </w:r>
      <w:r w:rsidR="00740857" w:rsidRPr="00DD7BE8">
        <w:rPr>
          <w:rFonts w:ascii="Palatino Linotype" w:eastAsia="Calibri" w:hAnsi="Palatino Linotype" w:cs="Arial"/>
          <w:lang w:val="es-ES"/>
        </w:rPr>
        <w:t xml:space="preserve"> a</w:t>
      </w:r>
      <w:r w:rsidR="00B81371" w:rsidRPr="00DD7BE8">
        <w:rPr>
          <w:rFonts w:ascii="Palatino Linotype" w:eastAsia="Calibri" w:hAnsi="Palatino Linotype" w:cs="Arial"/>
          <w:lang w:val="es-ES"/>
        </w:rPr>
        <w:t xml:space="preserve"> </w:t>
      </w:r>
      <w:r w:rsidR="00875167" w:rsidRPr="00DD7BE8">
        <w:rPr>
          <w:rFonts w:ascii="Palatino Linotype" w:eastAsia="Calibri" w:hAnsi="Palatino Linotype" w:cs="Arial"/>
          <w:lang w:val="es-ES"/>
        </w:rPr>
        <w:t>disposición</w:t>
      </w:r>
      <w:r w:rsidR="00B81371" w:rsidRPr="00DD7BE8">
        <w:rPr>
          <w:rFonts w:ascii="Palatino Linotype" w:eastAsia="Calibri" w:hAnsi="Palatino Linotype" w:cs="Arial"/>
          <w:lang w:val="es-ES"/>
        </w:rPr>
        <w:t xml:space="preserve"> de las partes l</w:t>
      </w:r>
      <w:r w:rsidR="001D0E73" w:rsidRPr="00DD7BE8">
        <w:rPr>
          <w:rFonts w:ascii="Palatino Linotype" w:eastAsia="Calibri" w:hAnsi="Palatino Linotype" w:cs="Arial"/>
          <w:lang w:val="es-ES"/>
        </w:rPr>
        <w:t>os</w:t>
      </w:r>
      <w:r w:rsidR="00B81371" w:rsidRPr="00DD7BE8">
        <w:rPr>
          <w:rFonts w:ascii="Palatino Linotype" w:eastAsia="Calibri" w:hAnsi="Palatino Linotype" w:cs="Arial"/>
          <w:lang w:val="es-ES"/>
        </w:rPr>
        <w:t xml:space="preserve"> expediente</w:t>
      </w:r>
      <w:r w:rsidR="001D0E73" w:rsidRPr="00DD7BE8">
        <w:rPr>
          <w:rFonts w:ascii="Palatino Linotype" w:eastAsia="Calibri" w:hAnsi="Palatino Linotype" w:cs="Arial"/>
          <w:lang w:val="es-ES"/>
        </w:rPr>
        <w:t>s</w:t>
      </w:r>
      <w:r w:rsidR="00B81371" w:rsidRPr="00DD7BE8">
        <w:rPr>
          <w:rFonts w:ascii="Palatino Linotype" w:eastAsia="Calibri" w:hAnsi="Palatino Linotype" w:cs="Arial"/>
          <w:lang w:val="es-ES"/>
        </w:rPr>
        <w:t xml:space="preserve"> electrónico</w:t>
      </w:r>
      <w:r w:rsidR="001D0E73" w:rsidRPr="00DD7BE8">
        <w:rPr>
          <w:rFonts w:ascii="Palatino Linotype" w:eastAsia="Calibri" w:hAnsi="Palatino Linotype" w:cs="Arial"/>
          <w:lang w:val="es-ES"/>
        </w:rPr>
        <w:t>s</w:t>
      </w:r>
      <w:r w:rsidR="00B81371" w:rsidRPr="00DD7BE8">
        <w:rPr>
          <w:rFonts w:ascii="Palatino Linotype" w:eastAsia="Calibri" w:hAnsi="Palatino Linotype" w:cs="Arial"/>
          <w:lang w:val="es-ES"/>
        </w:rPr>
        <w:t xml:space="preserve"> </w:t>
      </w:r>
      <w:r w:rsidR="00B81371" w:rsidRPr="00DD7BE8">
        <w:rPr>
          <w:rFonts w:ascii="Palatino Linotype" w:eastAsia="Calibri" w:hAnsi="Palatino Linotype" w:cs="Arial"/>
        </w:rPr>
        <w:t xml:space="preserve">vía </w:t>
      </w:r>
      <w:r w:rsidR="00B81371" w:rsidRPr="00DD7BE8">
        <w:rPr>
          <w:rFonts w:ascii="Palatino Linotype" w:eastAsia="Calibri" w:hAnsi="Palatino Linotype" w:cs="Arial"/>
          <w:lang w:val="es-ES"/>
        </w:rPr>
        <w:t xml:space="preserve">Sistema de Acceso a la Información Mexiquense </w:t>
      </w:r>
      <w:r w:rsidR="00B81371" w:rsidRPr="00DD7BE8">
        <w:rPr>
          <w:rFonts w:ascii="Palatino Linotype" w:eastAsia="Calibri" w:hAnsi="Palatino Linotype" w:cs="Arial"/>
          <w:b/>
          <w:lang w:val="es-ES"/>
        </w:rPr>
        <w:t xml:space="preserve">SAIMEX </w:t>
      </w:r>
      <w:r w:rsidR="00B81371" w:rsidRPr="00DD7BE8">
        <w:rPr>
          <w:rFonts w:ascii="Palatino Linotype" w:eastAsia="Calibri" w:hAnsi="Palatino Linotype" w:cs="Arial"/>
          <w:lang w:val="es-ES"/>
        </w:rPr>
        <w:t xml:space="preserve">a efecto de que en un plazo máximo de siete días </w:t>
      </w:r>
      <w:r w:rsidR="00875167" w:rsidRPr="00DD7BE8">
        <w:rPr>
          <w:rFonts w:ascii="Palatino Linotype" w:eastAsia="Calibri" w:hAnsi="Palatino Linotype" w:cs="Arial"/>
          <w:lang w:val="es-ES"/>
        </w:rPr>
        <w:t>manifestaran</w:t>
      </w:r>
      <w:r w:rsidR="00B81371" w:rsidRPr="00DD7BE8">
        <w:rPr>
          <w:rFonts w:ascii="Palatino Linotype" w:eastAsia="Calibri" w:hAnsi="Palatino Linotype" w:cs="Arial"/>
          <w:lang w:val="es-ES"/>
        </w:rPr>
        <w:t xml:space="preserve"> lo que a</w:t>
      </w:r>
      <w:r w:rsidR="003A2029" w:rsidRPr="00DD7BE8">
        <w:rPr>
          <w:rFonts w:ascii="Palatino Linotype" w:eastAsia="Calibri" w:hAnsi="Palatino Linotype" w:cs="Arial"/>
          <w:lang w:val="es-ES"/>
        </w:rPr>
        <w:t xml:space="preserve"> su</w:t>
      </w:r>
      <w:r w:rsidR="00B81371" w:rsidRPr="00DD7BE8">
        <w:rPr>
          <w:rFonts w:ascii="Palatino Linotype" w:eastAsia="Calibri" w:hAnsi="Palatino Linotype" w:cs="Arial"/>
          <w:lang w:val="es-ES"/>
        </w:rPr>
        <w:t xml:space="preserve"> derecho conviniera</w:t>
      </w:r>
      <w:r w:rsidR="00875167" w:rsidRPr="00DD7BE8">
        <w:rPr>
          <w:rFonts w:ascii="Palatino Linotype" w:eastAsia="Calibri" w:hAnsi="Palatino Linotype" w:cs="Arial"/>
          <w:lang w:val="es-ES"/>
        </w:rPr>
        <w:t>n</w:t>
      </w:r>
      <w:r w:rsidR="00032493" w:rsidRPr="00DD7BE8">
        <w:rPr>
          <w:rFonts w:ascii="Palatino Linotype" w:eastAsia="Calibri" w:hAnsi="Palatino Linotype" w:cs="Arial"/>
          <w:lang w:val="es-ES"/>
        </w:rPr>
        <w:t>,</w:t>
      </w:r>
      <w:r w:rsidR="00B81371" w:rsidRPr="00DD7BE8">
        <w:rPr>
          <w:rFonts w:ascii="Palatino Linotype" w:eastAsia="Calibri" w:hAnsi="Palatino Linotype" w:cs="Arial"/>
          <w:lang w:val="es-ES"/>
        </w:rPr>
        <w:t xml:space="preserve"> </w:t>
      </w:r>
      <w:r w:rsidR="00875167" w:rsidRPr="00DD7BE8">
        <w:rPr>
          <w:rFonts w:ascii="Palatino Linotype" w:eastAsia="Calibri" w:hAnsi="Palatino Linotype" w:cs="Arial"/>
          <w:lang w:val="es-ES"/>
        </w:rPr>
        <w:t>ofrecieran pruebas y</w:t>
      </w:r>
      <w:r w:rsidR="00132C06" w:rsidRPr="00DD7BE8">
        <w:rPr>
          <w:rFonts w:ascii="Palatino Linotype" w:eastAsia="Calibri" w:hAnsi="Palatino Linotype" w:cs="Arial"/>
          <w:lang w:val="es-ES"/>
        </w:rPr>
        <w:t xml:space="preserve"> </w:t>
      </w:r>
      <w:r w:rsidR="00875167" w:rsidRPr="00DD7BE8">
        <w:rPr>
          <w:rFonts w:ascii="Palatino Linotype" w:eastAsia="Calibri" w:hAnsi="Palatino Linotype" w:cs="Arial"/>
          <w:lang w:val="es-ES"/>
        </w:rPr>
        <w:t>alegatos según corresponda a</w:t>
      </w:r>
      <w:r w:rsidR="004C20F2" w:rsidRPr="00DD7BE8">
        <w:rPr>
          <w:rFonts w:ascii="Palatino Linotype" w:eastAsia="Calibri" w:hAnsi="Palatino Linotype" w:cs="Arial"/>
          <w:lang w:val="es-ES"/>
        </w:rPr>
        <w:t xml:space="preserve"> </w:t>
      </w:r>
      <w:r w:rsidR="00875167" w:rsidRPr="00DD7BE8">
        <w:rPr>
          <w:rFonts w:ascii="Palatino Linotype" w:eastAsia="Calibri" w:hAnsi="Palatino Linotype" w:cs="Arial"/>
          <w:lang w:val="es-ES"/>
        </w:rPr>
        <w:t>l</w:t>
      </w:r>
      <w:r w:rsidR="004C20F2" w:rsidRPr="00DD7BE8">
        <w:rPr>
          <w:rFonts w:ascii="Palatino Linotype" w:eastAsia="Calibri" w:hAnsi="Palatino Linotype" w:cs="Arial"/>
          <w:lang w:val="es-ES"/>
        </w:rPr>
        <w:t>os</w:t>
      </w:r>
      <w:r w:rsidR="00875167" w:rsidRPr="00DD7BE8">
        <w:rPr>
          <w:rFonts w:ascii="Palatino Linotype" w:eastAsia="Calibri" w:hAnsi="Palatino Linotype" w:cs="Arial"/>
          <w:lang w:val="es-ES"/>
        </w:rPr>
        <w:t xml:space="preserve"> caso</w:t>
      </w:r>
      <w:r w:rsidR="004C20F2" w:rsidRPr="00DD7BE8">
        <w:rPr>
          <w:rFonts w:ascii="Palatino Linotype" w:eastAsia="Calibri" w:hAnsi="Palatino Linotype" w:cs="Arial"/>
          <w:lang w:val="es-ES"/>
        </w:rPr>
        <w:t>s</w:t>
      </w:r>
      <w:r w:rsidR="00875167" w:rsidRPr="00DD7BE8">
        <w:rPr>
          <w:rFonts w:ascii="Palatino Linotype" w:eastAsia="Calibri" w:hAnsi="Palatino Linotype" w:cs="Arial"/>
          <w:lang w:val="es-ES"/>
        </w:rPr>
        <w:t xml:space="preserve"> concreto</w:t>
      </w:r>
      <w:r w:rsidR="007857A6" w:rsidRPr="00DD7BE8">
        <w:rPr>
          <w:rFonts w:ascii="Palatino Linotype" w:eastAsia="Calibri" w:hAnsi="Palatino Linotype" w:cs="Arial"/>
          <w:lang w:val="es-ES"/>
        </w:rPr>
        <w:t>s</w:t>
      </w:r>
      <w:r w:rsidR="00492352" w:rsidRPr="00DD7BE8">
        <w:rPr>
          <w:rFonts w:ascii="Palatino Linotype" w:eastAsia="Calibri" w:hAnsi="Palatino Linotype" w:cs="Arial"/>
          <w:lang w:val="es-ES"/>
        </w:rPr>
        <w:t>.</w:t>
      </w:r>
    </w:p>
    <w:p w14:paraId="716C3B84" w14:textId="77777777" w:rsidR="002B62AC" w:rsidRPr="00DD7BE8" w:rsidRDefault="002B62AC" w:rsidP="00DD7BE8">
      <w:pPr>
        <w:pStyle w:val="Prrafodelista"/>
        <w:spacing w:before="240" w:after="240" w:line="360" w:lineRule="auto"/>
        <w:ind w:left="0"/>
        <w:jc w:val="both"/>
        <w:rPr>
          <w:rFonts w:ascii="Palatino Linotype" w:hAnsi="Palatino Linotype"/>
        </w:rPr>
      </w:pPr>
    </w:p>
    <w:p w14:paraId="02E8B999" w14:textId="7D484914" w:rsidR="00492352" w:rsidRPr="00DD7BE8" w:rsidRDefault="002B62AC" w:rsidP="00DD7BE8">
      <w:pPr>
        <w:pStyle w:val="Prrafodelista"/>
        <w:numPr>
          <w:ilvl w:val="0"/>
          <w:numId w:val="1"/>
        </w:numPr>
        <w:spacing w:before="240" w:after="240" w:line="360" w:lineRule="auto"/>
        <w:ind w:left="0" w:firstLine="0"/>
        <w:jc w:val="both"/>
        <w:rPr>
          <w:rFonts w:ascii="Palatino Linotype" w:hAnsi="Palatino Linotype"/>
        </w:rPr>
      </w:pPr>
      <w:r w:rsidRPr="00DD7BE8">
        <w:rPr>
          <w:rFonts w:ascii="Palatino Linotype" w:hAnsi="Palatino Linotype"/>
        </w:rPr>
        <w:t>El</w:t>
      </w:r>
      <w:r w:rsidRPr="00DD7BE8">
        <w:rPr>
          <w:rFonts w:ascii="Palatino Linotype" w:hAnsi="Palatino Linotype"/>
          <w:b/>
        </w:rPr>
        <w:t xml:space="preserve"> SUJETO OBLIGADO</w:t>
      </w:r>
      <w:r w:rsidRPr="00DD7BE8">
        <w:rPr>
          <w:rFonts w:ascii="Palatino Linotype" w:hAnsi="Palatino Linotype"/>
        </w:rPr>
        <w:t xml:space="preserve"> los días veinticinco (25) de</w:t>
      </w:r>
      <w:r w:rsidR="006C6666" w:rsidRPr="00DD7BE8">
        <w:rPr>
          <w:rFonts w:ascii="Palatino Linotype" w:hAnsi="Palatino Linotype"/>
        </w:rPr>
        <w:t xml:space="preserve"> septiembre </w:t>
      </w:r>
      <w:r w:rsidRPr="00DD7BE8">
        <w:rPr>
          <w:rFonts w:ascii="Palatino Linotype" w:hAnsi="Palatino Linotype"/>
        </w:rPr>
        <w:t xml:space="preserve">de dos mil diecinueve, rindió los informes justificados respectivos dentro de todos los recursos de revisión que se resuelven; no obstante, no fueron puestos a disposición de la </w:t>
      </w:r>
      <w:r w:rsidRPr="00DD7BE8">
        <w:rPr>
          <w:rFonts w:ascii="Palatino Linotype" w:hAnsi="Palatino Linotype"/>
          <w:b/>
        </w:rPr>
        <w:t>RECURRENTE</w:t>
      </w:r>
      <w:r w:rsidRPr="00DD7BE8">
        <w:rPr>
          <w:rFonts w:ascii="Palatino Linotype" w:hAnsi="Palatino Linotype"/>
        </w:rPr>
        <w:t xml:space="preserve"> debido a </w:t>
      </w:r>
      <w:r w:rsidR="006C6666" w:rsidRPr="00DD7BE8">
        <w:rPr>
          <w:rFonts w:ascii="Palatino Linotype" w:hAnsi="Palatino Linotype"/>
        </w:rPr>
        <w:t>no aportaban elementos novedosos con relación a la respuesta primigenia</w:t>
      </w:r>
      <w:r w:rsidRPr="00DD7BE8">
        <w:rPr>
          <w:rFonts w:ascii="Palatino Linotype" w:hAnsi="Palatino Linotype"/>
        </w:rPr>
        <w:t>. Sin embargo, con la finalidad de que no exista opacidad, se harán del conocimiento de la particular al momento de la notificación de la presente resolución. Por su parte el recurrente fue omiso en realizar manifestaciones que a su derecho convinieran y asistieran.</w:t>
      </w:r>
    </w:p>
    <w:p w14:paraId="0DFB2D0A" w14:textId="77777777" w:rsidR="002B62AC" w:rsidRPr="00DD7BE8" w:rsidRDefault="002B62AC" w:rsidP="00DD7BE8">
      <w:pPr>
        <w:pStyle w:val="Prrafodelista"/>
        <w:spacing w:before="240" w:after="240" w:line="360" w:lineRule="auto"/>
        <w:ind w:left="0"/>
        <w:jc w:val="both"/>
        <w:rPr>
          <w:rFonts w:ascii="Palatino Linotype" w:hAnsi="Palatino Linotype"/>
        </w:rPr>
      </w:pPr>
    </w:p>
    <w:p w14:paraId="0D3CAB57" w14:textId="74487637" w:rsidR="00664106" w:rsidRPr="00DD7BE8" w:rsidRDefault="00861622" w:rsidP="00DD7BE8">
      <w:pPr>
        <w:pStyle w:val="Prrafodelista"/>
        <w:numPr>
          <w:ilvl w:val="0"/>
          <w:numId w:val="1"/>
        </w:numPr>
        <w:spacing w:before="240" w:after="240" w:line="360" w:lineRule="auto"/>
        <w:ind w:left="0" w:firstLine="0"/>
        <w:jc w:val="both"/>
        <w:rPr>
          <w:rFonts w:ascii="Palatino Linotype" w:hAnsi="Palatino Linotype"/>
        </w:rPr>
      </w:pPr>
      <w:r w:rsidRPr="00DD7BE8">
        <w:rPr>
          <w:rFonts w:ascii="Palatino Linotype" w:hAnsi="Palatino Linotype"/>
        </w:rPr>
        <w:t xml:space="preserve">El Comisionado Ponente decretó </w:t>
      </w:r>
      <w:r w:rsidR="00512F22" w:rsidRPr="00DD7BE8">
        <w:rPr>
          <w:rFonts w:ascii="Palatino Linotype" w:hAnsi="Palatino Linotype"/>
        </w:rPr>
        <w:t>l</w:t>
      </w:r>
      <w:r w:rsidR="00E34501" w:rsidRPr="00DD7BE8">
        <w:rPr>
          <w:rFonts w:ascii="Palatino Linotype" w:hAnsi="Palatino Linotype"/>
        </w:rPr>
        <w:t>os</w:t>
      </w:r>
      <w:r w:rsidR="00512F22" w:rsidRPr="00DD7BE8">
        <w:rPr>
          <w:rFonts w:ascii="Palatino Linotype" w:hAnsi="Palatino Linotype"/>
        </w:rPr>
        <w:t xml:space="preserve"> cierre</w:t>
      </w:r>
      <w:r w:rsidR="00E34501" w:rsidRPr="00DD7BE8">
        <w:rPr>
          <w:rFonts w:ascii="Palatino Linotype" w:hAnsi="Palatino Linotype"/>
        </w:rPr>
        <w:t>s</w:t>
      </w:r>
      <w:r w:rsidR="00512F22" w:rsidRPr="00DD7BE8">
        <w:rPr>
          <w:rFonts w:ascii="Palatino Linotype" w:hAnsi="Palatino Linotype"/>
        </w:rPr>
        <w:t xml:space="preserve"> de instrucción</w:t>
      </w:r>
      <w:r w:rsidR="00512F22" w:rsidRPr="00DD7BE8">
        <w:rPr>
          <w:rFonts w:ascii="Palatino Linotype" w:hAnsi="Palatino Linotype" w:cs="Arial"/>
        </w:rPr>
        <w:t xml:space="preserve"> </w:t>
      </w:r>
      <w:r w:rsidR="00BF1B7F" w:rsidRPr="00DD7BE8">
        <w:rPr>
          <w:rFonts w:ascii="Palatino Linotype" w:hAnsi="Palatino Linotype" w:cs="Arial"/>
        </w:rPr>
        <w:t xml:space="preserve">de </w:t>
      </w:r>
      <w:r w:rsidR="0050309F" w:rsidRPr="00DD7BE8">
        <w:rPr>
          <w:rFonts w:ascii="Palatino Linotype" w:hAnsi="Palatino Linotype" w:cs="Arial"/>
        </w:rPr>
        <w:t>l</w:t>
      </w:r>
      <w:r w:rsidR="006D42C5" w:rsidRPr="00DD7BE8">
        <w:rPr>
          <w:rFonts w:ascii="Palatino Linotype" w:hAnsi="Palatino Linotype" w:cs="Arial"/>
        </w:rPr>
        <w:t>os</w:t>
      </w:r>
      <w:r w:rsidR="00BF1B7F" w:rsidRPr="00DD7BE8">
        <w:rPr>
          <w:rFonts w:ascii="Palatino Linotype" w:hAnsi="Palatino Linotype" w:cs="Arial"/>
        </w:rPr>
        <w:t xml:space="preserve"> recursos de revisión </w:t>
      </w:r>
      <w:r w:rsidR="00512F22" w:rsidRPr="00DD7BE8">
        <w:rPr>
          <w:rFonts w:ascii="Palatino Linotype" w:hAnsi="Palatino Linotype"/>
        </w:rPr>
        <w:t>mediante acuerdo</w:t>
      </w:r>
      <w:r w:rsidR="004C20F2" w:rsidRPr="00DD7BE8">
        <w:rPr>
          <w:rFonts w:ascii="Palatino Linotype" w:hAnsi="Palatino Linotype"/>
        </w:rPr>
        <w:t>s</w:t>
      </w:r>
      <w:r w:rsidR="00BF1B7F" w:rsidRPr="00DD7BE8">
        <w:rPr>
          <w:rFonts w:ascii="Palatino Linotype" w:hAnsi="Palatino Linotype"/>
        </w:rPr>
        <w:t xml:space="preserve"> de fecha</w:t>
      </w:r>
      <w:r w:rsidR="006C6666" w:rsidRPr="00DD7BE8">
        <w:rPr>
          <w:rFonts w:ascii="Palatino Linotype" w:hAnsi="Palatino Linotype"/>
        </w:rPr>
        <w:t xml:space="preserve"> ocho (08</w:t>
      </w:r>
      <w:r w:rsidR="00062379" w:rsidRPr="00DD7BE8">
        <w:rPr>
          <w:rFonts w:ascii="Palatino Linotype" w:hAnsi="Palatino Linotype"/>
        </w:rPr>
        <w:t>)</w:t>
      </w:r>
      <w:r w:rsidR="009E3847" w:rsidRPr="00DD7BE8">
        <w:rPr>
          <w:rFonts w:ascii="Palatino Linotype" w:hAnsi="Palatino Linotype"/>
        </w:rPr>
        <w:t xml:space="preserve"> de</w:t>
      </w:r>
      <w:r w:rsidR="006C6666" w:rsidRPr="00DD7BE8">
        <w:rPr>
          <w:rFonts w:ascii="Palatino Linotype" w:hAnsi="Palatino Linotype"/>
        </w:rPr>
        <w:t xml:space="preserve"> noviembre</w:t>
      </w:r>
      <w:r w:rsidR="00E07BCC" w:rsidRPr="00DD7BE8">
        <w:rPr>
          <w:rFonts w:ascii="Palatino Linotype" w:hAnsi="Palatino Linotype"/>
        </w:rPr>
        <w:t xml:space="preserve"> dos mil diecinueve</w:t>
      </w:r>
      <w:r w:rsidR="00C862C4" w:rsidRPr="00DD7BE8">
        <w:rPr>
          <w:rFonts w:ascii="Palatino Linotype" w:hAnsi="Palatino Linotype"/>
        </w:rPr>
        <w:t xml:space="preserve">, </w:t>
      </w:r>
      <w:r w:rsidR="006B12CA" w:rsidRPr="00DD7BE8">
        <w:rPr>
          <w:rFonts w:ascii="Palatino Linotype" w:hAnsi="Palatino Linotype" w:cs="Arial"/>
        </w:rPr>
        <w:t>por lo que</w:t>
      </w:r>
      <w:r w:rsidR="00702482" w:rsidRPr="00DD7BE8">
        <w:rPr>
          <w:rFonts w:ascii="Palatino Linotype" w:hAnsi="Palatino Linotype" w:cs="Arial"/>
        </w:rPr>
        <w:t xml:space="preserve">, ordenó turnar el expediente a resolución, misma que ahora se pronuncia. </w:t>
      </w:r>
      <w:bookmarkStart w:id="81" w:name="_Toc461555889"/>
      <w:bookmarkStart w:id="82" w:name="_Toc466371858"/>
    </w:p>
    <w:p w14:paraId="4792E119" w14:textId="77777777" w:rsidR="0000724D" w:rsidRPr="00DD7BE8" w:rsidRDefault="0000724D" w:rsidP="00DD7BE8">
      <w:pPr>
        <w:pStyle w:val="Prrafodelista"/>
        <w:spacing w:before="240" w:after="240" w:line="360" w:lineRule="auto"/>
        <w:ind w:left="360"/>
        <w:jc w:val="both"/>
        <w:rPr>
          <w:rFonts w:ascii="Palatino Linotype" w:hAnsi="Palatino Linotype"/>
        </w:rPr>
      </w:pPr>
    </w:p>
    <w:p w14:paraId="6264FBA7" w14:textId="5ABA3AA0" w:rsidR="006D2E5C" w:rsidRPr="00DD7BE8" w:rsidRDefault="006C6666" w:rsidP="00DD7BE8">
      <w:pPr>
        <w:pStyle w:val="Prrafodelista"/>
        <w:numPr>
          <w:ilvl w:val="0"/>
          <w:numId w:val="1"/>
        </w:numPr>
        <w:spacing w:before="240" w:after="240" w:line="360" w:lineRule="auto"/>
        <w:ind w:left="0" w:firstLine="0"/>
        <w:jc w:val="both"/>
        <w:rPr>
          <w:rFonts w:ascii="Palatino Linotype" w:hAnsi="Palatino Linotype"/>
        </w:rPr>
      </w:pPr>
      <w:r w:rsidRPr="00DD7BE8">
        <w:rPr>
          <w:rFonts w:ascii="Palatino Linotype" w:eastAsia="Calibri" w:hAnsi="Palatino Linotype" w:cs="Arial"/>
          <w:color w:val="000000" w:themeColor="text1"/>
        </w:rPr>
        <w:t>El día ocho (08</w:t>
      </w:r>
      <w:r w:rsidR="006D3485" w:rsidRPr="00DD7BE8">
        <w:rPr>
          <w:rFonts w:ascii="Palatino Linotype" w:eastAsia="Calibri" w:hAnsi="Palatino Linotype" w:cs="Arial"/>
          <w:color w:val="000000" w:themeColor="text1"/>
        </w:rPr>
        <w:t>) de</w:t>
      </w:r>
      <w:r w:rsidRPr="00DD7BE8">
        <w:rPr>
          <w:rFonts w:ascii="Palatino Linotype" w:eastAsia="Calibri" w:hAnsi="Palatino Linotype" w:cs="Arial"/>
          <w:color w:val="000000" w:themeColor="text1"/>
        </w:rPr>
        <w:t xml:space="preserve"> noviembre</w:t>
      </w:r>
      <w:r w:rsidR="00E07BCC" w:rsidRPr="00DD7BE8">
        <w:rPr>
          <w:rFonts w:ascii="Palatino Linotype" w:eastAsia="Calibri" w:hAnsi="Palatino Linotype" w:cs="Arial"/>
          <w:color w:val="000000" w:themeColor="text1"/>
        </w:rPr>
        <w:t xml:space="preserve"> de dos mil diecinueve</w:t>
      </w:r>
      <w:r w:rsidR="0000724D" w:rsidRPr="00DD7BE8">
        <w:rPr>
          <w:rFonts w:ascii="Palatino Linotype" w:eastAsia="Calibri" w:hAnsi="Palatino Linotype" w:cs="Arial"/>
          <w:color w:val="000000" w:themeColor="text1"/>
        </w:rPr>
        <w:t xml:space="preserve"> y con fundamento en el artículo 181 tercer párrafo de la </w:t>
      </w:r>
      <w:r w:rsidR="0000724D" w:rsidRPr="00DD7BE8">
        <w:rPr>
          <w:rFonts w:ascii="Palatino Linotype" w:eastAsia="Calibri" w:hAnsi="Palatino Linotype" w:cs="Arial"/>
          <w:b/>
          <w:bCs/>
          <w:color w:val="000000" w:themeColor="text1"/>
        </w:rPr>
        <w:t>Ley de Transparencia y Acceso a la Información Pública del Estado de México y Municipios, </w:t>
      </w:r>
      <w:r w:rsidR="0000724D" w:rsidRPr="00DD7BE8">
        <w:rPr>
          <w:rFonts w:ascii="Palatino Linotype" w:eastAsia="Calibri" w:hAnsi="Palatino Linotype" w:cs="Arial"/>
          <w:color w:val="000000" w:themeColor="text1"/>
        </w:rPr>
        <w:t>se notificó que el plazo de 30 días para resolver los recursos de revisión, serían ampliados por un periodo de 15 días hábiles adicionales, debido a la naturaleza, complejidad del asunto y para un mejor estudio.</w:t>
      </w:r>
    </w:p>
    <w:p w14:paraId="4F5486E7" w14:textId="77777777" w:rsidR="006D2E5C" w:rsidRPr="00DD7BE8" w:rsidRDefault="006D2E5C" w:rsidP="00DD7BE8">
      <w:pPr>
        <w:pStyle w:val="Prrafodelista"/>
        <w:spacing w:before="240" w:after="240" w:line="360" w:lineRule="auto"/>
        <w:ind w:left="0"/>
        <w:jc w:val="both"/>
        <w:rPr>
          <w:rFonts w:ascii="Palatino Linotype" w:hAnsi="Palatino Linotype"/>
        </w:rPr>
      </w:pPr>
    </w:p>
    <w:p w14:paraId="14FE8D1D" w14:textId="04783F78" w:rsidR="00702482" w:rsidRPr="00DD7BE8" w:rsidRDefault="007C0013" w:rsidP="00DD7BE8">
      <w:pPr>
        <w:pStyle w:val="Ttulo1"/>
        <w:spacing w:line="360" w:lineRule="auto"/>
        <w:jc w:val="center"/>
        <w:rPr>
          <w:b/>
          <w:szCs w:val="24"/>
        </w:rPr>
      </w:pPr>
      <w:bookmarkStart w:id="83" w:name="_Toc24051508"/>
      <w:r w:rsidRPr="00DD7BE8">
        <w:rPr>
          <w:b/>
          <w:szCs w:val="24"/>
        </w:rPr>
        <w:t>CONSIDERANDO</w:t>
      </w:r>
      <w:bookmarkEnd w:id="81"/>
      <w:bookmarkEnd w:id="82"/>
      <w:bookmarkEnd w:id="83"/>
    </w:p>
    <w:p w14:paraId="1C4B1F3E" w14:textId="77777777" w:rsidR="00236140" w:rsidRPr="00DD7BE8" w:rsidRDefault="00236140" w:rsidP="00DD7BE8">
      <w:pPr>
        <w:spacing w:line="360" w:lineRule="auto"/>
        <w:rPr>
          <w:rFonts w:ascii="Palatino Linotype" w:hAnsi="Palatino Linotype"/>
          <w:lang w:val="es-MX" w:eastAsia="en-US"/>
        </w:rPr>
      </w:pPr>
    </w:p>
    <w:p w14:paraId="629A5BE2" w14:textId="56C3E7D5" w:rsidR="007C0013" w:rsidRPr="00DD7BE8" w:rsidRDefault="007C0013" w:rsidP="00DD7BE8">
      <w:pPr>
        <w:pStyle w:val="Ttulo2"/>
        <w:spacing w:line="360" w:lineRule="auto"/>
        <w:rPr>
          <w:rFonts w:ascii="Palatino Linotype" w:hAnsi="Palatino Linotype"/>
          <w:b/>
          <w:color w:val="auto"/>
          <w:sz w:val="24"/>
          <w:szCs w:val="24"/>
        </w:rPr>
      </w:pPr>
      <w:bookmarkStart w:id="84" w:name="_Toc461555890"/>
      <w:bookmarkStart w:id="85" w:name="_Toc466371859"/>
      <w:bookmarkStart w:id="86" w:name="_Toc24051509"/>
      <w:r w:rsidRPr="00DD7BE8">
        <w:rPr>
          <w:rFonts w:ascii="Palatino Linotype" w:hAnsi="Palatino Linotype"/>
          <w:b/>
          <w:color w:val="auto"/>
          <w:sz w:val="24"/>
          <w:szCs w:val="24"/>
        </w:rPr>
        <w:t>PRIMERO. De la competencia</w:t>
      </w:r>
      <w:bookmarkEnd w:id="84"/>
      <w:bookmarkEnd w:id="85"/>
      <w:bookmarkEnd w:id="86"/>
    </w:p>
    <w:p w14:paraId="7796F3C8" w14:textId="77777777" w:rsidR="006D0DAE" w:rsidRPr="00DD7BE8" w:rsidRDefault="006D0DAE" w:rsidP="00DD7BE8">
      <w:pPr>
        <w:spacing w:line="360" w:lineRule="auto"/>
        <w:rPr>
          <w:rFonts w:ascii="Palatino Linotype" w:hAnsi="Palatino Linotype"/>
          <w:lang w:val="es-MX" w:eastAsia="en-US"/>
        </w:rPr>
      </w:pPr>
    </w:p>
    <w:p w14:paraId="0BF52B18" w14:textId="0F2D6905" w:rsidR="005A228F" w:rsidRPr="00DD7BE8" w:rsidRDefault="00A45546" w:rsidP="00DD7BE8">
      <w:pPr>
        <w:pStyle w:val="Prrafodelista"/>
        <w:numPr>
          <w:ilvl w:val="0"/>
          <w:numId w:val="1"/>
        </w:numPr>
        <w:spacing w:line="360" w:lineRule="auto"/>
        <w:ind w:left="0" w:firstLine="0"/>
        <w:jc w:val="both"/>
        <w:rPr>
          <w:rFonts w:ascii="Palatino Linotype" w:eastAsia="Calibri" w:hAnsi="Palatino Linotype" w:cs="Times New Roman"/>
          <w:b/>
          <w:lang w:val="es-ES"/>
        </w:rPr>
      </w:pPr>
      <w:r w:rsidRPr="00DD7BE8">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DD7BE8">
        <w:rPr>
          <w:rFonts w:ascii="Palatino Linotype" w:eastAsia="Calibri" w:hAnsi="Palatino Linotype" w:cs="Times New Roman"/>
          <w:b/>
          <w:lang w:val="es-ES"/>
        </w:rPr>
        <w:t>Constitución Política de los Estados Unidos Mexicanos</w:t>
      </w:r>
      <w:r w:rsidR="002B62AC" w:rsidRPr="00DD7BE8">
        <w:rPr>
          <w:rFonts w:ascii="Palatino Linotype" w:eastAsia="Calibri" w:hAnsi="Palatino Linotype" w:cs="Times New Roman"/>
          <w:lang w:val="es-ES"/>
        </w:rPr>
        <w:t>; 5, párrafos vigésimo segundo</w:t>
      </w:r>
      <w:r w:rsidRPr="00DD7BE8">
        <w:rPr>
          <w:rFonts w:ascii="Palatino Linotype" w:eastAsia="Calibri" w:hAnsi="Palatino Linotype" w:cs="Times New Roman"/>
          <w:lang w:val="es-ES"/>
        </w:rPr>
        <w:t xml:space="preserve">, vigésimo </w:t>
      </w:r>
      <w:r w:rsidR="002B62AC" w:rsidRPr="00DD7BE8">
        <w:rPr>
          <w:rFonts w:ascii="Palatino Linotype" w:eastAsia="Calibri" w:hAnsi="Palatino Linotype" w:cs="Times New Roman"/>
          <w:lang w:val="es-ES"/>
        </w:rPr>
        <w:t>tercero y vigésimo cuarto</w:t>
      </w:r>
      <w:r w:rsidRPr="00DD7BE8">
        <w:rPr>
          <w:rFonts w:ascii="Palatino Linotype" w:eastAsia="Calibri" w:hAnsi="Palatino Linotype" w:cs="Times New Roman"/>
          <w:lang w:val="es-ES"/>
        </w:rPr>
        <w:t xml:space="preserve"> fracciones IV y V de la </w:t>
      </w:r>
      <w:r w:rsidRPr="00DD7BE8">
        <w:rPr>
          <w:rFonts w:ascii="Palatino Linotype" w:eastAsia="Calibri" w:hAnsi="Palatino Linotype" w:cs="Times New Roman"/>
          <w:b/>
          <w:lang w:val="es-ES"/>
        </w:rPr>
        <w:t>Constitución Política del Estado Libre y Soberano de México</w:t>
      </w:r>
      <w:r w:rsidRPr="00DD7BE8">
        <w:rPr>
          <w:rFonts w:ascii="Palatino Linotype" w:eastAsia="Calibri" w:hAnsi="Palatino Linotype" w:cs="Times New Roman"/>
          <w:lang w:val="es-ES"/>
        </w:rPr>
        <w:t xml:space="preserve">; artículos 1, 2 fracción II, 13, 29, 36 fracciones I y II, 176, 178, 179, 181 párrafo tercero y 185 </w:t>
      </w:r>
      <w:r w:rsidRPr="00DD7BE8">
        <w:rPr>
          <w:rFonts w:ascii="Palatino Linotype" w:eastAsia="Calibri" w:hAnsi="Palatino Linotype" w:cs="Arial"/>
          <w:lang w:val="es-ES"/>
        </w:rPr>
        <w:t xml:space="preserve">de la </w:t>
      </w:r>
      <w:r w:rsidRPr="00DD7BE8">
        <w:rPr>
          <w:rFonts w:ascii="Palatino Linotype" w:eastAsia="Calibri" w:hAnsi="Palatino Linotype" w:cs="Arial"/>
          <w:b/>
          <w:lang w:val="es-ES"/>
        </w:rPr>
        <w:t>Ley de Transparencia y Acceso a la Información Pública del Estado de México y Municipios</w:t>
      </w:r>
      <w:r w:rsidR="00DA73EE" w:rsidRPr="00DD7BE8">
        <w:rPr>
          <w:rFonts w:ascii="Palatino Linotype" w:eastAsia="Calibri" w:hAnsi="Palatino Linotype" w:cs="Arial"/>
          <w:lang w:val="es-ES"/>
        </w:rPr>
        <w:t>;</w:t>
      </w:r>
      <w:r w:rsidRPr="00DD7BE8">
        <w:rPr>
          <w:rFonts w:ascii="Palatino Linotype" w:eastAsia="Calibri" w:hAnsi="Palatino Linotype" w:cs="Arial"/>
          <w:lang w:val="es-ES"/>
        </w:rPr>
        <w:t xml:space="preserve"> y 10, 7, 9 fracciones I y XXIV, y 11 del </w:t>
      </w:r>
      <w:r w:rsidRPr="00DD7BE8">
        <w:rPr>
          <w:rFonts w:ascii="Palatino Linotype" w:eastAsia="Calibri" w:hAnsi="Palatino Linotype" w:cs="Arial"/>
          <w:b/>
          <w:lang w:val="es-ES"/>
        </w:rPr>
        <w:t>Reglamento Interior del Instituto de Transparencia, Acceso a la Información Pública y Protección de Datos Personales del Estado de México y Municipios.</w:t>
      </w:r>
    </w:p>
    <w:p w14:paraId="3F4CA824" w14:textId="1C051A2C" w:rsidR="00062379" w:rsidRPr="00DD7BE8" w:rsidRDefault="00062379" w:rsidP="00DD7BE8">
      <w:pPr>
        <w:pStyle w:val="Prrafodelista"/>
        <w:spacing w:line="360" w:lineRule="auto"/>
        <w:ind w:left="360"/>
        <w:jc w:val="both"/>
        <w:rPr>
          <w:rFonts w:ascii="Palatino Linotype" w:eastAsia="Calibri" w:hAnsi="Palatino Linotype" w:cs="Times New Roman"/>
          <w:b/>
          <w:lang w:val="es-ES"/>
        </w:rPr>
      </w:pPr>
    </w:p>
    <w:p w14:paraId="1EEDC16F" w14:textId="77B666CF" w:rsidR="006D0DAE" w:rsidRPr="00DD7BE8" w:rsidRDefault="007C0013" w:rsidP="00DD7BE8">
      <w:pPr>
        <w:pStyle w:val="Ttulo2"/>
        <w:spacing w:line="360" w:lineRule="auto"/>
        <w:rPr>
          <w:rFonts w:ascii="Palatino Linotype" w:hAnsi="Palatino Linotype"/>
          <w:b/>
          <w:color w:val="auto"/>
          <w:sz w:val="24"/>
          <w:szCs w:val="24"/>
        </w:rPr>
      </w:pPr>
      <w:bookmarkStart w:id="87" w:name="_Toc461555891"/>
      <w:bookmarkStart w:id="88" w:name="_Toc466371860"/>
      <w:bookmarkStart w:id="89" w:name="_Toc24051510"/>
      <w:r w:rsidRPr="00DD7BE8">
        <w:rPr>
          <w:rFonts w:ascii="Palatino Linotype" w:hAnsi="Palatino Linotype"/>
          <w:b/>
          <w:color w:val="auto"/>
          <w:sz w:val="24"/>
          <w:szCs w:val="24"/>
        </w:rPr>
        <w:t>SEGUNDO. De la oportunidad y proced</w:t>
      </w:r>
      <w:r w:rsidR="00F35C44" w:rsidRPr="00DD7BE8">
        <w:rPr>
          <w:rFonts w:ascii="Palatino Linotype" w:hAnsi="Palatino Linotype"/>
          <w:b/>
          <w:color w:val="auto"/>
          <w:sz w:val="24"/>
          <w:szCs w:val="24"/>
        </w:rPr>
        <w:t>encia</w:t>
      </w:r>
      <w:r w:rsidRPr="00DD7BE8">
        <w:rPr>
          <w:rFonts w:ascii="Palatino Linotype" w:hAnsi="Palatino Linotype"/>
          <w:b/>
          <w:color w:val="auto"/>
          <w:sz w:val="24"/>
          <w:szCs w:val="24"/>
        </w:rPr>
        <w:t>.</w:t>
      </w:r>
      <w:bookmarkEnd w:id="87"/>
      <w:bookmarkEnd w:id="88"/>
      <w:bookmarkEnd w:id="89"/>
    </w:p>
    <w:p w14:paraId="7C3BD04B" w14:textId="5BF7B239" w:rsidR="00340FE1" w:rsidRPr="00DD7BE8" w:rsidRDefault="00340FE1" w:rsidP="00DD7BE8">
      <w:pPr>
        <w:pStyle w:val="Prrafodelista"/>
        <w:numPr>
          <w:ilvl w:val="0"/>
          <w:numId w:val="1"/>
        </w:numPr>
        <w:spacing w:before="240" w:after="240" w:line="360" w:lineRule="auto"/>
        <w:ind w:left="0" w:firstLine="0"/>
        <w:jc w:val="both"/>
        <w:rPr>
          <w:rFonts w:ascii="Palatino Linotype" w:eastAsia="Times New Roman" w:hAnsi="Palatino Linotype" w:cs="Arial"/>
          <w:color w:val="000000"/>
        </w:rPr>
      </w:pPr>
      <w:r w:rsidRPr="00DD7BE8">
        <w:rPr>
          <w:rFonts w:ascii="Palatino Linotype" w:eastAsia="Calibri" w:hAnsi="Palatino Linotype" w:cs="Arial"/>
          <w:lang w:val="es-MX"/>
        </w:rPr>
        <w:t>Los</w:t>
      </w:r>
      <w:r w:rsidRPr="00DD7BE8">
        <w:rPr>
          <w:rFonts w:ascii="Palatino Linotype" w:eastAsia="Calibri" w:hAnsi="Palatino Linotype" w:cs="Arial"/>
        </w:rPr>
        <w:t xml:space="preserve"> medios de impugnación fueron presentados a través del </w:t>
      </w:r>
      <w:r w:rsidRPr="00DD7BE8">
        <w:rPr>
          <w:rFonts w:ascii="Palatino Linotype" w:eastAsia="Calibri" w:hAnsi="Palatino Linotype" w:cs="Arial"/>
          <w:b/>
        </w:rPr>
        <w:t>SAIMEX,</w:t>
      </w:r>
      <w:r w:rsidRPr="00DD7BE8">
        <w:rPr>
          <w:rFonts w:ascii="Palatino Linotype" w:eastAsia="Calibri" w:hAnsi="Palatino Linotype" w:cs="Arial"/>
        </w:rPr>
        <w:t xml:space="preserve"> en el formato previamente aprobado para tal efecto y dentro del plazo legal de quince días hábiles otorgados; para el caso en particular es de señalar que el </w:t>
      </w:r>
      <w:r w:rsidRPr="00DD7BE8">
        <w:rPr>
          <w:rFonts w:ascii="Palatino Linotype" w:eastAsia="Calibri" w:hAnsi="Palatino Linotype" w:cs="Arial"/>
          <w:b/>
        </w:rPr>
        <w:t>SUJETO OBLIGADO</w:t>
      </w:r>
      <w:r w:rsidRPr="00DD7BE8">
        <w:rPr>
          <w:rFonts w:ascii="Palatino Linotype" w:eastAsia="Calibri" w:hAnsi="Palatino Linotype" w:cs="Arial"/>
        </w:rPr>
        <w:t xml:space="preserve"> emitió sus respuestas a las solicitudes de información de</w:t>
      </w:r>
      <w:r w:rsidR="005518EB" w:rsidRPr="00DD7BE8">
        <w:rPr>
          <w:rFonts w:ascii="Palatino Linotype" w:eastAsia="Calibri" w:hAnsi="Palatino Linotype" w:cs="Arial"/>
        </w:rPr>
        <w:t xml:space="preserve"> referencia el cinco (05</w:t>
      </w:r>
      <w:r w:rsidRPr="00DD7BE8">
        <w:rPr>
          <w:rFonts w:ascii="Palatino Linotype" w:eastAsia="Calibri" w:hAnsi="Palatino Linotype" w:cs="Arial"/>
        </w:rPr>
        <w:t>) de</w:t>
      </w:r>
      <w:r w:rsidR="005518EB" w:rsidRPr="00DD7BE8">
        <w:rPr>
          <w:rFonts w:ascii="Palatino Linotype" w:eastAsia="Calibri" w:hAnsi="Palatino Linotype" w:cs="Arial"/>
        </w:rPr>
        <w:t xml:space="preserve"> septiembre </w:t>
      </w:r>
      <w:r w:rsidRPr="00DD7BE8">
        <w:rPr>
          <w:rFonts w:ascii="Palatino Linotype" w:eastAsia="Calibri" w:hAnsi="Palatino Linotype" w:cs="Arial"/>
        </w:rPr>
        <w:t xml:space="preserve">de dos mil diecinueve, </w:t>
      </w:r>
      <w:r w:rsidRPr="00DD7BE8">
        <w:rPr>
          <w:rFonts w:ascii="Palatino Linotype" w:hAnsi="Palatino Linotype" w:cs="Arial"/>
        </w:rPr>
        <w:t>de tal forma que los plazos para interponer los recursos tr</w:t>
      </w:r>
      <w:r w:rsidR="005518EB" w:rsidRPr="00DD7BE8">
        <w:rPr>
          <w:rFonts w:ascii="Palatino Linotype" w:hAnsi="Palatino Linotype" w:cs="Arial"/>
        </w:rPr>
        <w:t>anscurrieron del día seis (06</w:t>
      </w:r>
      <w:r w:rsidRPr="00DD7BE8">
        <w:rPr>
          <w:rFonts w:ascii="Palatino Linotype" w:hAnsi="Palatino Linotype" w:cs="Arial"/>
        </w:rPr>
        <w:t xml:space="preserve">) </w:t>
      </w:r>
      <w:r w:rsidR="005518EB" w:rsidRPr="00DD7BE8">
        <w:rPr>
          <w:rFonts w:ascii="Palatino Linotype" w:hAnsi="Palatino Linotype" w:cs="Arial"/>
        </w:rPr>
        <w:t>al veintisiete (27</w:t>
      </w:r>
      <w:r w:rsidR="00FA7ADC" w:rsidRPr="00DD7BE8">
        <w:rPr>
          <w:rFonts w:ascii="Palatino Linotype" w:hAnsi="Palatino Linotype" w:cs="Arial"/>
        </w:rPr>
        <w:t>) de</w:t>
      </w:r>
      <w:r w:rsidR="005518EB" w:rsidRPr="00DD7BE8">
        <w:rPr>
          <w:rFonts w:ascii="Palatino Linotype" w:hAnsi="Palatino Linotype" w:cs="Arial"/>
        </w:rPr>
        <w:t xml:space="preserve"> septiembre  </w:t>
      </w:r>
      <w:r w:rsidRPr="00DD7BE8">
        <w:rPr>
          <w:rFonts w:ascii="Palatino Linotype" w:hAnsi="Palatino Linotype" w:cs="Arial"/>
        </w:rPr>
        <w:t>de dos mil dieci</w:t>
      </w:r>
      <w:r w:rsidR="00FA7ADC" w:rsidRPr="00DD7BE8">
        <w:rPr>
          <w:rFonts w:ascii="Palatino Linotype" w:hAnsi="Palatino Linotype" w:cs="Arial"/>
        </w:rPr>
        <w:t>nueve</w:t>
      </w:r>
      <w:r w:rsidR="005518EB" w:rsidRPr="00DD7BE8">
        <w:rPr>
          <w:rFonts w:ascii="Palatino Linotype" w:hAnsi="Palatino Linotype" w:cs="Arial"/>
        </w:rPr>
        <w:t xml:space="preserve"> </w:t>
      </w:r>
      <w:r w:rsidRPr="00DD7BE8">
        <w:rPr>
          <w:rFonts w:ascii="Palatino Linotype" w:hAnsi="Palatino Linotype" w:cs="Arial"/>
        </w:rPr>
        <w:t>respect</w:t>
      </w:r>
      <w:r w:rsidR="005518EB" w:rsidRPr="00DD7BE8">
        <w:rPr>
          <w:rFonts w:ascii="Palatino Linotype" w:hAnsi="Palatino Linotype" w:cs="Arial"/>
        </w:rPr>
        <w:t>ivamente. En consecuencia, si el</w:t>
      </w:r>
      <w:r w:rsidRPr="00DD7BE8">
        <w:rPr>
          <w:rFonts w:ascii="Palatino Linotype" w:hAnsi="Palatino Linotype" w:cs="Arial"/>
        </w:rPr>
        <w:t xml:space="preserve"> hoy </w:t>
      </w:r>
      <w:r w:rsidRPr="00DD7BE8">
        <w:rPr>
          <w:rFonts w:ascii="Palatino Linotype" w:hAnsi="Palatino Linotype" w:cs="Arial"/>
          <w:b/>
        </w:rPr>
        <w:t>RECURRENTE</w:t>
      </w:r>
      <w:r w:rsidRPr="00DD7BE8">
        <w:rPr>
          <w:rFonts w:ascii="Palatino Linotype" w:hAnsi="Palatino Linotype" w:cs="Arial"/>
        </w:rPr>
        <w:t xml:space="preserve"> presentó sus inconformidades el día </w:t>
      </w:r>
      <w:r w:rsidR="005518EB" w:rsidRPr="00DD7BE8">
        <w:rPr>
          <w:rFonts w:ascii="Palatino Linotype" w:hAnsi="Palatino Linotype" w:cs="Arial"/>
        </w:rPr>
        <w:t>nueve (09</w:t>
      </w:r>
      <w:r w:rsidRPr="00DD7BE8">
        <w:rPr>
          <w:rFonts w:ascii="Palatino Linotype" w:hAnsi="Palatino Linotype" w:cs="Arial"/>
        </w:rPr>
        <w:t>) de</w:t>
      </w:r>
      <w:r w:rsidR="00FA7ADC" w:rsidRPr="00DD7BE8">
        <w:rPr>
          <w:rFonts w:ascii="Palatino Linotype" w:hAnsi="Palatino Linotype" w:cs="Arial"/>
        </w:rPr>
        <w:t xml:space="preserve"> </w:t>
      </w:r>
      <w:r w:rsidR="005518EB" w:rsidRPr="00DD7BE8">
        <w:rPr>
          <w:rFonts w:ascii="Palatino Linotype" w:hAnsi="Palatino Linotype" w:cs="Arial"/>
        </w:rPr>
        <w:t xml:space="preserve">septiembre </w:t>
      </w:r>
      <w:r w:rsidR="00FA7ADC" w:rsidRPr="00DD7BE8">
        <w:rPr>
          <w:rFonts w:ascii="Palatino Linotype" w:hAnsi="Palatino Linotype" w:cs="Arial"/>
        </w:rPr>
        <w:t>de dos mil diecinueve</w:t>
      </w:r>
      <w:r w:rsidRPr="00DD7BE8">
        <w:rPr>
          <w:rFonts w:ascii="Palatino Linotype" w:hAnsi="Palatino Linotype" w:cs="Arial"/>
        </w:rPr>
        <w:t xml:space="preserve">, </w:t>
      </w:r>
      <w:r w:rsidRPr="00DD7BE8">
        <w:rPr>
          <w:rFonts w:ascii="Palatino Linotype" w:hAnsi="Palatino Linotype" w:cs="Arial"/>
          <w:color w:val="000000" w:themeColor="text1"/>
        </w:rPr>
        <w:t xml:space="preserve">se encuentran dentro de los márgenes temporales previstos en el artículo 178 de la Ley de Transparencia y Acceso a la Información Pública del Estado de México y Municipios. </w:t>
      </w:r>
      <w:r w:rsidRPr="00DD7BE8">
        <w:rPr>
          <w:rFonts w:ascii="Palatino Linotype" w:hAnsi="Palatino Linotype"/>
        </w:rPr>
        <w:t xml:space="preserve">En ese sentido, no existiendo causas de </w:t>
      </w:r>
      <w:proofErr w:type="spellStart"/>
      <w:r w:rsidRPr="00DD7BE8">
        <w:rPr>
          <w:rFonts w:ascii="Palatino Linotype" w:hAnsi="Palatino Linotype"/>
        </w:rPr>
        <w:t>desechamiento</w:t>
      </w:r>
      <w:proofErr w:type="spellEnd"/>
      <w:r w:rsidRPr="00DD7BE8">
        <w:rPr>
          <w:rFonts w:ascii="Palatino Linotype" w:hAnsi="Palatino Linotype"/>
        </w:rPr>
        <w:t xml:space="preserve"> por extemporaneidad, el recurso de revisión que hoy nos ocupa, resulta procedente.</w:t>
      </w:r>
    </w:p>
    <w:p w14:paraId="315E1410" w14:textId="2F616A96" w:rsidR="008E07AD" w:rsidRPr="00DD7BE8" w:rsidRDefault="005518EB" w:rsidP="00DD7BE8">
      <w:pPr>
        <w:pStyle w:val="Prrafodelista"/>
        <w:numPr>
          <w:ilvl w:val="0"/>
          <w:numId w:val="1"/>
        </w:numPr>
        <w:spacing w:before="240" w:after="240" w:line="360" w:lineRule="auto"/>
        <w:ind w:left="0" w:firstLine="0"/>
        <w:jc w:val="both"/>
        <w:rPr>
          <w:rFonts w:ascii="Palatino Linotype" w:eastAsia="Times New Roman" w:hAnsi="Palatino Linotype" w:cs="Arial"/>
          <w:color w:val="000000"/>
        </w:rPr>
      </w:pPr>
      <w:r w:rsidRPr="00DD7BE8">
        <w:rPr>
          <w:rFonts w:ascii="Palatino Linotype" w:eastAsia="Calibri" w:hAnsi="Palatino Linotype" w:cs="Arial"/>
        </w:rPr>
        <w:t>En ese orden de ideas, los</w:t>
      </w:r>
      <w:r w:rsidR="00340FE1" w:rsidRPr="00DD7BE8">
        <w:rPr>
          <w:rFonts w:ascii="Palatino Linotype" w:eastAsia="Calibri" w:hAnsi="Palatino Linotype" w:cs="Arial"/>
        </w:rPr>
        <w:t xml:space="preserve"> escrito contiene las formalidades previstas por el artículo 180 último párrafo de la Ley de la materia, por lo que es procedente que este Instituto de Transparencia, Acceso a la Información Pública y Protección de Datos Personales del Estado de México y Municipios, conozca y resuelva el presente recurso.</w:t>
      </w:r>
    </w:p>
    <w:p w14:paraId="653DDD9D" w14:textId="116BB08C" w:rsidR="000A0913" w:rsidRPr="00DD7BE8" w:rsidRDefault="0044176A" w:rsidP="00DD7BE8">
      <w:pPr>
        <w:pStyle w:val="Ttulo1"/>
        <w:spacing w:line="360" w:lineRule="auto"/>
        <w:rPr>
          <w:b/>
          <w:i/>
          <w:color w:val="000000" w:themeColor="text1"/>
          <w:szCs w:val="24"/>
        </w:rPr>
      </w:pPr>
      <w:bookmarkStart w:id="90" w:name="_Toc503862490"/>
      <w:bookmarkStart w:id="91" w:name="_Toc509403241"/>
      <w:bookmarkStart w:id="92" w:name="_Toc24051511"/>
      <w:r w:rsidRPr="00DD7BE8">
        <w:rPr>
          <w:b/>
          <w:color w:val="000000" w:themeColor="text1"/>
          <w:szCs w:val="24"/>
        </w:rPr>
        <w:t>TERCERO</w:t>
      </w:r>
      <w:r w:rsidR="006A4F64" w:rsidRPr="00DD7BE8">
        <w:rPr>
          <w:b/>
          <w:color w:val="000000" w:themeColor="text1"/>
          <w:szCs w:val="24"/>
        </w:rPr>
        <w:t xml:space="preserve">. </w:t>
      </w:r>
      <w:bookmarkEnd w:id="90"/>
      <w:bookmarkEnd w:id="91"/>
      <w:r w:rsidR="00327323" w:rsidRPr="00DD7BE8">
        <w:rPr>
          <w:b/>
          <w:color w:val="000000" w:themeColor="text1"/>
          <w:szCs w:val="24"/>
        </w:rPr>
        <w:t xml:space="preserve">Del planteamiento de la </w:t>
      </w:r>
      <w:r w:rsidR="00327323" w:rsidRPr="00DD7BE8">
        <w:rPr>
          <w:b/>
          <w:i/>
          <w:color w:val="000000" w:themeColor="text1"/>
          <w:szCs w:val="24"/>
        </w:rPr>
        <w:t>Litis.</w:t>
      </w:r>
      <w:bookmarkEnd w:id="92"/>
    </w:p>
    <w:p w14:paraId="6AE444FA" w14:textId="77777777" w:rsidR="00FA7ADC" w:rsidRPr="00DD7BE8" w:rsidRDefault="000A0913" w:rsidP="00DD7BE8">
      <w:pPr>
        <w:pStyle w:val="Prrafodelista"/>
        <w:numPr>
          <w:ilvl w:val="0"/>
          <w:numId w:val="1"/>
        </w:numPr>
        <w:spacing w:before="240" w:after="240" w:line="360" w:lineRule="auto"/>
        <w:ind w:left="0" w:firstLine="0"/>
        <w:jc w:val="both"/>
        <w:rPr>
          <w:rFonts w:ascii="Palatino Linotype" w:eastAsia="Times New Roman" w:hAnsi="Palatino Linotype" w:cs="Times New Roman"/>
          <w:i/>
        </w:rPr>
      </w:pPr>
      <w:r w:rsidRPr="00DD7BE8">
        <w:rPr>
          <w:rFonts w:ascii="Palatino Linotype" w:eastAsia="Times New Roman" w:hAnsi="Palatino Linotype" w:cs="Arial"/>
        </w:rPr>
        <w:t xml:space="preserve">El Recurso Revisión tiene como finalidad reparar cualquier posible afectación al derecho de acceso a la información pública en términos del Título Octavo de la </w:t>
      </w:r>
      <w:r w:rsidRPr="00DD7BE8">
        <w:rPr>
          <w:rFonts w:ascii="Palatino Linotype" w:eastAsia="Calibri" w:hAnsi="Palatino Linotype" w:cs="Arial"/>
          <w:b/>
          <w:lang w:val="es-ES"/>
        </w:rPr>
        <w:t>Ley de Transparencia y Acceso a la Información Pública del Estado de México y Municipios</w:t>
      </w:r>
      <w:r w:rsidRPr="00DD7BE8">
        <w:rPr>
          <w:rFonts w:ascii="Palatino Linotype" w:eastAsia="Times New Roman" w:hAnsi="Palatino Linotype" w:cs="Arial"/>
        </w:rPr>
        <w:t xml:space="preserve"> y determinar la confirmación; revocación o modificación; </w:t>
      </w:r>
      <w:proofErr w:type="spellStart"/>
      <w:r w:rsidRPr="00DD7BE8">
        <w:rPr>
          <w:rFonts w:ascii="Palatino Linotype" w:eastAsia="Times New Roman" w:hAnsi="Palatino Linotype" w:cs="Arial"/>
        </w:rPr>
        <w:t>desechamiento</w:t>
      </w:r>
      <w:proofErr w:type="spellEnd"/>
      <w:r w:rsidRPr="00DD7BE8">
        <w:rPr>
          <w:rFonts w:ascii="Palatino Linotype" w:eastAsia="Times New Roman" w:hAnsi="Palatino Linotype" w:cs="Arial"/>
        </w:rPr>
        <w:t xml:space="preserve"> o sobreseimiento; y en su caso ordenar la entrega de la información, respecto a las respuestas o falta de ellas de los Sujetos Obligados. </w:t>
      </w:r>
    </w:p>
    <w:p w14:paraId="26346C97" w14:textId="77777777" w:rsidR="00FA7ADC" w:rsidRPr="00DD7BE8" w:rsidRDefault="00FA7ADC" w:rsidP="00DD7BE8">
      <w:pPr>
        <w:pStyle w:val="Prrafodelista"/>
        <w:spacing w:before="240" w:after="240" w:line="360" w:lineRule="auto"/>
        <w:ind w:left="0"/>
        <w:jc w:val="both"/>
        <w:rPr>
          <w:rFonts w:ascii="Palatino Linotype" w:eastAsia="Times New Roman" w:hAnsi="Palatino Linotype" w:cs="Times New Roman"/>
          <w:i/>
        </w:rPr>
      </w:pPr>
    </w:p>
    <w:p w14:paraId="6A0616C0" w14:textId="0326229A" w:rsidR="000A0913" w:rsidRPr="00DD7BE8" w:rsidRDefault="00FA7ADC" w:rsidP="00DD7BE8">
      <w:pPr>
        <w:pStyle w:val="Prrafodelista"/>
        <w:numPr>
          <w:ilvl w:val="0"/>
          <w:numId w:val="1"/>
        </w:numPr>
        <w:spacing w:before="240" w:after="240" w:line="360" w:lineRule="auto"/>
        <w:ind w:left="0" w:firstLine="0"/>
        <w:jc w:val="both"/>
        <w:rPr>
          <w:rFonts w:ascii="Palatino Linotype" w:eastAsia="Times New Roman" w:hAnsi="Palatino Linotype" w:cs="Times New Roman"/>
          <w:i/>
        </w:rPr>
      </w:pPr>
      <w:r w:rsidRPr="00DD7BE8">
        <w:rPr>
          <w:rFonts w:ascii="Palatino Linotype" w:eastAsia="Times New Roman" w:hAnsi="Palatino Linotype" w:cs="Arial"/>
        </w:rPr>
        <w:t>Así, de las constancias que obran en el expediente al rubro indicado, se desprende que</w:t>
      </w:r>
      <w:r w:rsidRPr="00DD7BE8">
        <w:rPr>
          <w:rFonts w:ascii="Palatino Linotype" w:eastAsia="Times New Roman" w:hAnsi="Palatino Linotype" w:cs="Times New Roman"/>
        </w:rPr>
        <w:t xml:space="preserve"> el particular solicitó al </w:t>
      </w:r>
      <w:r w:rsidR="005518EB" w:rsidRPr="00DD7BE8">
        <w:rPr>
          <w:rFonts w:ascii="Palatino Linotype" w:eastAsia="Times New Roman" w:hAnsi="Palatino Linotype" w:cs="Times New Roman"/>
          <w:b/>
        </w:rPr>
        <w:t xml:space="preserve">Ayuntamiento de Coacalco de Berriozábal </w:t>
      </w:r>
      <w:r w:rsidRPr="00DD7BE8">
        <w:rPr>
          <w:rFonts w:ascii="Palatino Linotype" w:eastAsia="Times New Roman" w:hAnsi="Palatino Linotype" w:cs="Times New Roman"/>
          <w:b/>
        </w:rPr>
        <w:t xml:space="preserve"> </w:t>
      </w:r>
      <w:r w:rsidRPr="00DD7BE8">
        <w:rPr>
          <w:rFonts w:ascii="Palatino Linotype" w:eastAsia="Times New Roman" w:hAnsi="Palatino Linotype" w:cs="Times New Roman"/>
        </w:rPr>
        <w:t xml:space="preserve">diversa información relacionada con </w:t>
      </w:r>
      <w:r w:rsidR="005518EB" w:rsidRPr="00DD7BE8">
        <w:rPr>
          <w:rFonts w:ascii="Palatino Linotype" w:eastAsia="Times New Roman" w:hAnsi="Palatino Linotype" w:cs="Times New Roman"/>
        </w:rPr>
        <w:t xml:space="preserve">cuantas bancarias, </w:t>
      </w:r>
      <w:r w:rsidR="00FD0836" w:rsidRPr="00DD7BE8">
        <w:rPr>
          <w:rFonts w:ascii="Palatino Linotype" w:eastAsia="Times New Roman" w:hAnsi="Palatino Linotype" w:cs="Times New Roman"/>
        </w:rPr>
        <w:t>bancos, números de contratos, movimientos bancarios y conciliaciones de diversas fechas</w:t>
      </w:r>
      <w:r w:rsidRPr="00DD7BE8">
        <w:rPr>
          <w:rFonts w:ascii="Palatino Linotype" w:eastAsia="Times New Roman" w:hAnsi="Palatino Linotype" w:cs="Times New Roman"/>
        </w:rPr>
        <w:t xml:space="preserve">, solicitudes que de acuerdo a las constancias que obran en el Sistema de Acceso a la Información Mexiquense </w:t>
      </w:r>
      <w:r w:rsidRPr="00DD7BE8">
        <w:rPr>
          <w:rFonts w:ascii="Palatino Linotype" w:eastAsia="Times New Roman" w:hAnsi="Palatino Linotype" w:cs="Times New Roman"/>
          <w:b/>
        </w:rPr>
        <w:t>(SAIMEX)</w:t>
      </w:r>
      <w:r w:rsidRPr="00DD7BE8">
        <w:rPr>
          <w:rFonts w:ascii="Palatino Linotype" w:eastAsia="Times New Roman" w:hAnsi="Palatino Linotype" w:cs="Times New Roman"/>
        </w:rPr>
        <w:t xml:space="preserve">, </w:t>
      </w:r>
      <w:r w:rsidR="00FD0836" w:rsidRPr="00DD7BE8">
        <w:rPr>
          <w:rFonts w:ascii="Palatino Linotype" w:eastAsia="Times New Roman" w:hAnsi="Palatino Linotype" w:cs="Times New Roman"/>
        </w:rPr>
        <w:t xml:space="preserve">no </w:t>
      </w:r>
      <w:r w:rsidRPr="00DD7BE8">
        <w:rPr>
          <w:rFonts w:ascii="Palatino Linotype" w:eastAsia="Times New Roman" w:hAnsi="Palatino Linotype" w:cs="Times New Roman"/>
        </w:rPr>
        <w:t>fueron atendidas</w:t>
      </w:r>
      <w:r w:rsidR="00FD0836" w:rsidRPr="00DD7BE8">
        <w:rPr>
          <w:rFonts w:ascii="Palatino Linotype" w:eastAsia="Times New Roman" w:hAnsi="Palatino Linotype" w:cs="Times New Roman"/>
        </w:rPr>
        <w:t xml:space="preserve"> satisfactoriamente </w:t>
      </w:r>
      <w:r w:rsidRPr="00DD7BE8">
        <w:rPr>
          <w:rFonts w:ascii="Palatino Linotype" w:eastAsia="Times New Roman" w:hAnsi="Palatino Linotype" w:cs="Times New Roman"/>
        </w:rPr>
        <w:t xml:space="preserve">por el </w:t>
      </w:r>
      <w:r w:rsidRPr="00DD7BE8">
        <w:rPr>
          <w:rFonts w:ascii="Palatino Linotype" w:eastAsia="Times New Roman" w:hAnsi="Palatino Linotype" w:cs="Times New Roman"/>
          <w:b/>
        </w:rPr>
        <w:t xml:space="preserve">SUJETO OBLIGADO, </w:t>
      </w:r>
      <w:r w:rsidRPr="00DD7BE8">
        <w:rPr>
          <w:rFonts w:ascii="Palatino Linotype" w:eastAsia="Times New Roman" w:hAnsi="Palatino Linotype" w:cs="Times New Roman"/>
        </w:rPr>
        <w:t xml:space="preserve">razón por la cual, el particular se duele e interpone el presente recurso de revisión, argumentado en términos generales como razones o motivos de inconformidad la </w:t>
      </w:r>
      <w:r w:rsidR="00FD0836" w:rsidRPr="00DD7BE8">
        <w:rPr>
          <w:rFonts w:ascii="Palatino Linotype" w:eastAsia="Times New Roman" w:hAnsi="Palatino Linotype" w:cs="Times New Roman"/>
        </w:rPr>
        <w:t xml:space="preserve">falta, deficiencia o insuficiencia de la fundamentación y motivación de la respuesta. </w:t>
      </w:r>
    </w:p>
    <w:p w14:paraId="3C54779A" w14:textId="33F0671B" w:rsidR="000A0913" w:rsidRPr="00DD7BE8" w:rsidRDefault="000A0913" w:rsidP="00DD7BE8">
      <w:pPr>
        <w:numPr>
          <w:ilvl w:val="0"/>
          <w:numId w:val="1"/>
        </w:numPr>
        <w:tabs>
          <w:tab w:val="left" w:pos="284"/>
        </w:tabs>
        <w:spacing w:before="240" w:after="240" w:line="360" w:lineRule="auto"/>
        <w:ind w:left="0" w:firstLine="0"/>
        <w:contextualSpacing/>
        <w:jc w:val="both"/>
        <w:rPr>
          <w:rFonts w:ascii="Palatino Linotype" w:eastAsia="Times New Roman" w:hAnsi="Palatino Linotype" w:cs="Times New Roman"/>
          <w:i/>
        </w:rPr>
      </w:pPr>
      <w:r w:rsidRPr="00DD7BE8">
        <w:rPr>
          <w:rFonts w:ascii="Palatino Linotype" w:eastAsia="Times New Roman" w:hAnsi="Palatino Linotype" w:cs="Arial"/>
        </w:rPr>
        <w:t xml:space="preserve">Por lo tanto, el presente recurso de revisión se circunscribe en determinar si el </w:t>
      </w:r>
      <w:r w:rsidRPr="00DD7BE8">
        <w:rPr>
          <w:rFonts w:ascii="Palatino Linotype" w:eastAsia="Times New Roman" w:hAnsi="Palatino Linotype" w:cs="Arial"/>
          <w:b/>
        </w:rPr>
        <w:t>SUJETO</w:t>
      </w:r>
      <w:r w:rsidRPr="00DD7BE8">
        <w:rPr>
          <w:rFonts w:ascii="Palatino Linotype" w:eastAsia="Times New Roman" w:hAnsi="Palatino Linotype" w:cs="Arial"/>
        </w:rPr>
        <w:t xml:space="preserve"> </w:t>
      </w:r>
      <w:r w:rsidRPr="00DD7BE8">
        <w:rPr>
          <w:rFonts w:ascii="Palatino Linotype" w:eastAsia="Times New Roman" w:hAnsi="Palatino Linotype" w:cs="Arial"/>
          <w:b/>
        </w:rPr>
        <w:t>OBLIGADO</w:t>
      </w:r>
      <w:r w:rsidRPr="00DD7BE8">
        <w:rPr>
          <w:rFonts w:ascii="Palatino Linotype" w:eastAsia="Times New Roman" w:hAnsi="Palatino Linotype" w:cs="Arial"/>
        </w:rPr>
        <w:t xml:space="preserve"> con su manifestación </w:t>
      </w:r>
      <w:r w:rsidRPr="00DD7BE8">
        <w:rPr>
          <w:rFonts w:ascii="Palatino Linotype" w:eastAsia="Times New Roman" w:hAnsi="Palatino Linotype" w:cs="Times New Roman"/>
        </w:rPr>
        <w:t>actualiza las causales de procedencia</w:t>
      </w:r>
      <w:r w:rsidRPr="00DD7BE8">
        <w:rPr>
          <w:rFonts w:ascii="Palatino Linotype" w:eastAsia="Times New Roman" w:hAnsi="Palatino Linotype" w:cs="Times New Roman"/>
          <w:b/>
        </w:rPr>
        <w:t xml:space="preserve"> </w:t>
      </w:r>
      <w:r w:rsidRPr="00DD7BE8">
        <w:rPr>
          <w:rFonts w:ascii="Palatino Linotype" w:eastAsia="Times New Roman" w:hAnsi="Palatino Linotype" w:cs="Arial"/>
          <w:lang w:eastAsia="es-MX"/>
        </w:rPr>
        <w:t xml:space="preserve">contenidas en </w:t>
      </w:r>
      <w:r w:rsidRPr="00DD7BE8">
        <w:rPr>
          <w:rFonts w:ascii="Palatino Linotype" w:eastAsia="Times New Roman" w:hAnsi="Palatino Linotype" w:cs="Arial"/>
          <w:lang w:val="es-ES" w:eastAsia="es-MX"/>
        </w:rPr>
        <w:t xml:space="preserve">el artículo 179 fracciones </w:t>
      </w:r>
      <w:r w:rsidR="00FD0836" w:rsidRPr="00DD7BE8">
        <w:rPr>
          <w:rFonts w:ascii="Palatino Linotype" w:eastAsia="Times New Roman" w:hAnsi="Palatino Linotype" w:cs="Arial"/>
          <w:lang w:val="es-ES" w:eastAsia="es-MX"/>
        </w:rPr>
        <w:t xml:space="preserve"> VI y XIII </w:t>
      </w:r>
      <w:r w:rsidRPr="00DD7BE8">
        <w:rPr>
          <w:rFonts w:ascii="Palatino Linotype" w:eastAsia="Times New Roman" w:hAnsi="Palatino Linotype" w:cs="Arial"/>
          <w:lang w:val="es-ES" w:eastAsia="es-MX"/>
        </w:rPr>
        <w:t xml:space="preserve">de la </w:t>
      </w:r>
      <w:r w:rsidRPr="00DD7BE8">
        <w:rPr>
          <w:rFonts w:ascii="Palatino Linotype" w:eastAsia="Calibri" w:hAnsi="Palatino Linotype" w:cs="Arial"/>
          <w:b/>
          <w:lang w:val="es-ES"/>
        </w:rPr>
        <w:t>Ley de Transparencia y Acceso a la Información Pública del Estado de México y Municipios</w:t>
      </w:r>
      <w:r w:rsidRPr="00DD7BE8">
        <w:rPr>
          <w:rFonts w:ascii="Palatino Linotype" w:eastAsia="Times New Roman" w:hAnsi="Palatino Linotype" w:cs="Arial"/>
          <w:lang w:val="es-ES" w:eastAsia="es-MX"/>
        </w:rPr>
        <w:t xml:space="preserve"> y determinar si el sujeto obligado genera, posee o administra la información solicitada.  </w:t>
      </w:r>
    </w:p>
    <w:p w14:paraId="1C1D12F9" w14:textId="28B036CD" w:rsidR="00D378D8" w:rsidRPr="00DD7BE8" w:rsidRDefault="0044176A" w:rsidP="00DD7BE8">
      <w:pPr>
        <w:pStyle w:val="Ttulo1"/>
        <w:spacing w:line="360" w:lineRule="auto"/>
        <w:rPr>
          <w:b/>
          <w:szCs w:val="24"/>
        </w:rPr>
      </w:pPr>
      <w:bookmarkStart w:id="93" w:name="_Toc467081898"/>
      <w:bookmarkStart w:id="94" w:name="_Toc24051512"/>
      <w:bookmarkStart w:id="95" w:name="_Toc454968928"/>
      <w:bookmarkStart w:id="96" w:name="_Toc455743517"/>
      <w:bookmarkStart w:id="97" w:name="_Toc458016386"/>
      <w:bookmarkStart w:id="98" w:name="_Toc461555893"/>
      <w:r w:rsidRPr="00DD7BE8">
        <w:rPr>
          <w:b/>
          <w:szCs w:val="24"/>
        </w:rPr>
        <w:t>CUARTO</w:t>
      </w:r>
      <w:r w:rsidR="00007E8A" w:rsidRPr="00DD7BE8">
        <w:rPr>
          <w:b/>
          <w:szCs w:val="24"/>
        </w:rPr>
        <w:t>.</w:t>
      </w:r>
      <w:r w:rsidR="00007E8A" w:rsidRPr="00DD7BE8">
        <w:rPr>
          <w:szCs w:val="24"/>
        </w:rPr>
        <w:t xml:space="preserve"> </w:t>
      </w:r>
      <w:bookmarkEnd w:id="93"/>
      <w:r w:rsidR="002B6755" w:rsidRPr="00DD7BE8">
        <w:rPr>
          <w:b/>
          <w:szCs w:val="24"/>
        </w:rPr>
        <w:t>Del estudio y resolución del asunto.</w:t>
      </w:r>
      <w:bookmarkEnd w:id="94"/>
    </w:p>
    <w:p w14:paraId="32044B46" w14:textId="77777777" w:rsidR="003F33D8" w:rsidRPr="00DD7BE8" w:rsidRDefault="003F33D8" w:rsidP="00DD7BE8">
      <w:pPr>
        <w:keepNext/>
        <w:keepLines/>
        <w:spacing w:before="240" w:line="360" w:lineRule="auto"/>
        <w:outlineLvl w:val="0"/>
        <w:rPr>
          <w:rFonts w:ascii="Palatino Linotype" w:eastAsiaTheme="majorEastAsia" w:hAnsi="Palatino Linotype" w:cstheme="majorBidi"/>
          <w:b/>
          <w:color w:val="000000" w:themeColor="text1"/>
          <w:lang w:val="es-MX" w:eastAsia="en-US"/>
        </w:rPr>
      </w:pPr>
      <w:bookmarkStart w:id="99" w:name="_Toc5711921"/>
      <w:bookmarkStart w:id="100" w:name="_Toc17971397"/>
      <w:bookmarkStart w:id="101" w:name="_Toc24051513"/>
      <w:r w:rsidRPr="00DD7BE8">
        <w:rPr>
          <w:rFonts w:ascii="Palatino Linotype" w:eastAsiaTheme="majorEastAsia" w:hAnsi="Palatino Linotype" w:cstheme="majorBidi"/>
          <w:b/>
          <w:color w:val="000000" w:themeColor="text1"/>
          <w:lang w:val="es-MX" w:eastAsia="en-US"/>
        </w:rPr>
        <w:t>I. Del deber de las autoridades de promover, respetar, proteger, y garantizar el derecho de acceso a la información pública.</w:t>
      </w:r>
      <w:bookmarkEnd w:id="99"/>
      <w:bookmarkEnd w:id="100"/>
      <w:bookmarkEnd w:id="101"/>
      <w:r w:rsidRPr="00DD7BE8">
        <w:rPr>
          <w:rFonts w:ascii="Palatino Linotype" w:eastAsiaTheme="majorEastAsia" w:hAnsi="Palatino Linotype" w:cstheme="majorBidi"/>
          <w:b/>
          <w:color w:val="000000" w:themeColor="text1"/>
          <w:lang w:val="es-MX" w:eastAsia="en-US"/>
        </w:rPr>
        <w:t xml:space="preserve"> </w:t>
      </w:r>
    </w:p>
    <w:p w14:paraId="69C8839C" w14:textId="77777777" w:rsidR="003F33D8" w:rsidRPr="00DD7BE8" w:rsidRDefault="003F33D8" w:rsidP="00DD7BE8">
      <w:pPr>
        <w:spacing w:line="360" w:lineRule="auto"/>
        <w:ind w:left="1080"/>
        <w:contextualSpacing/>
        <w:rPr>
          <w:rFonts w:ascii="Palatino Linotype" w:hAnsi="Palatino Linotype"/>
          <w:b/>
          <w:lang w:val="es-MX" w:eastAsia="en-US"/>
        </w:rPr>
      </w:pPr>
    </w:p>
    <w:p w14:paraId="2F417B47" w14:textId="21DEFDCE" w:rsidR="003F33D8" w:rsidRPr="00DD7BE8" w:rsidRDefault="003F33D8" w:rsidP="00DD7BE8">
      <w:pPr>
        <w:pStyle w:val="Prrafodelista"/>
        <w:numPr>
          <w:ilvl w:val="0"/>
          <w:numId w:val="1"/>
        </w:numPr>
        <w:spacing w:before="240" w:after="240" w:line="360" w:lineRule="auto"/>
        <w:ind w:left="0" w:firstLine="0"/>
        <w:jc w:val="both"/>
        <w:rPr>
          <w:rFonts w:ascii="Palatino Linotype" w:hAnsi="Palatino Linotype" w:cs="Arial"/>
          <w:lang w:val="es-MX"/>
        </w:rPr>
      </w:pPr>
      <w:r w:rsidRPr="00DD7BE8">
        <w:rPr>
          <w:rFonts w:ascii="Palatino Linotype" w:hAnsi="Palatino Linotype" w:cs="Arial"/>
          <w:lang w:val="es-MX"/>
        </w:rPr>
        <w:t xml:space="preserve">Es menester precisar que este Órgano Garante parte de que 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 </w:t>
      </w:r>
      <w:r w:rsidRPr="00DD7BE8">
        <w:rPr>
          <w:rFonts w:ascii="Palatino Linotype" w:hAnsi="Palatino Linotype" w:cs="Arial"/>
          <w:b/>
          <w:lang w:val="es-MX"/>
        </w:rPr>
        <w:t>SUJETO OBLIGADO</w:t>
      </w:r>
      <w:r w:rsidRPr="00DD7BE8">
        <w:rPr>
          <w:rFonts w:ascii="Palatino Linotype" w:hAnsi="Palatino Linotype" w:cs="Arial"/>
          <w:lang w:val="es-MX"/>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DD7BE8">
        <w:rPr>
          <w:rFonts w:ascii="Palatino Linotype" w:hAnsi="Palatino Linotype" w:cs="Arial"/>
          <w:b/>
          <w:lang w:val="es-MX"/>
        </w:rPr>
        <w:t xml:space="preserve">Constitución Política de los Estados Unidos Mexicanos </w:t>
      </w:r>
      <w:r w:rsidRPr="00DD7BE8">
        <w:rPr>
          <w:rFonts w:ascii="Palatino Linotype" w:hAnsi="Palatino Linotype" w:cs="Arial"/>
          <w:lang w:val="es-MX"/>
        </w:rPr>
        <w:t xml:space="preserve">al señalar la obligación de “promover, respetar, proteger y garantizar los derechos humanos”, entre los cuales se encuentra dicho derecho. </w:t>
      </w:r>
    </w:p>
    <w:p w14:paraId="223B4527" w14:textId="054FE805" w:rsidR="003F33D8" w:rsidRDefault="003F33D8" w:rsidP="00DD7BE8">
      <w:pPr>
        <w:numPr>
          <w:ilvl w:val="0"/>
          <w:numId w:val="1"/>
        </w:numPr>
        <w:spacing w:before="240" w:after="240" w:line="360" w:lineRule="auto"/>
        <w:ind w:left="0" w:firstLine="0"/>
        <w:contextualSpacing/>
        <w:jc w:val="both"/>
        <w:rPr>
          <w:rFonts w:ascii="Palatino Linotype" w:hAnsi="Palatino Linotype" w:cs="Arial"/>
          <w:lang w:val="es-MX"/>
        </w:rPr>
      </w:pPr>
      <w:r w:rsidRPr="00DD7BE8">
        <w:rPr>
          <w:rFonts w:ascii="Palatino Linotype" w:hAnsi="Palatino Linotype" w:cs="Arial"/>
          <w:lang w:val="es-MX"/>
        </w:rPr>
        <w:t xml:space="preserve">Ahora bien, el Derecho de Acceso a la Información Pública se define como: </w:t>
      </w:r>
      <w:r w:rsidRPr="00DD7BE8">
        <w:rPr>
          <w:rFonts w:ascii="Palatino Linotype" w:hAnsi="Palatino Linotype" w:cs="Arial"/>
          <w:i/>
          <w:lang w:val="es-MX"/>
        </w:rPr>
        <w:t>La igualdad de oportunidades para recibir, buscar e impartir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que se constituye como una herramienta fundamental para ejercer el control democrático de las gestiones estatales, de forma tal que puedan cuestionar, indagar y considerar si se está dando un adecuado cumplimiento a las funciones públicas, fomentando la transparencia de las actividades estatales y promoviendo la responsabilidad de los funcionarios sobre su gestión pública, que permite saber qué están haciendo los gobiernos por sus pueblos, sin lo cual la verdad languidecería y la participación en el gobierno permanecería fragmentada.</w:t>
      </w:r>
    </w:p>
    <w:p w14:paraId="6584C3E8" w14:textId="77777777" w:rsidR="00DD7BE8" w:rsidRPr="00DD7BE8" w:rsidRDefault="00DD7BE8" w:rsidP="00DD7BE8">
      <w:pPr>
        <w:spacing w:before="240" w:after="240" w:line="360" w:lineRule="auto"/>
        <w:contextualSpacing/>
        <w:jc w:val="both"/>
        <w:rPr>
          <w:rFonts w:ascii="Palatino Linotype" w:hAnsi="Palatino Linotype" w:cs="Arial"/>
          <w:lang w:val="es-MX"/>
        </w:rPr>
      </w:pPr>
    </w:p>
    <w:p w14:paraId="56D8AB54" w14:textId="77777777" w:rsidR="003F33D8" w:rsidRPr="00DD7BE8" w:rsidRDefault="003F33D8" w:rsidP="00DD7BE8">
      <w:pPr>
        <w:numPr>
          <w:ilvl w:val="0"/>
          <w:numId w:val="1"/>
        </w:numPr>
        <w:spacing w:before="240" w:after="240" w:line="360" w:lineRule="auto"/>
        <w:ind w:left="0" w:firstLine="0"/>
        <w:contextualSpacing/>
        <w:jc w:val="both"/>
        <w:rPr>
          <w:rFonts w:ascii="Palatino Linotype" w:hAnsi="Palatino Linotype" w:cs="Arial"/>
          <w:lang w:val="es-MX"/>
        </w:rPr>
      </w:pPr>
      <w:r w:rsidRPr="00DD7BE8">
        <w:rPr>
          <w:rFonts w:ascii="Palatino Linotype" w:hAnsi="Palatino Linotype" w:cs="Arial"/>
          <w:lang w:val="es-MX"/>
        </w:rPr>
        <w:t>Por lo anterior, 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51319E44" w14:textId="77777777" w:rsidR="003F33D8" w:rsidRPr="00DD7BE8" w:rsidRDefault="003F33D8" w:rsidP="00DD7BE8">
      <w:pPr>
        <w:spacing w:before="240" w:after="240" w:line="360" w:lineRule="auto"/>
        <w:contextualSpacing/>
        <w:jc w:val="both"/>
        <w:rPr>
          <w:rFonts w:ascii="Palatino Linotype" w:hAnsi="Palatino Linotype" w:cs="Arial"/>
          <w:lang w:val="es-MX"/>
        </w:rPr>
      </w:pPr>
    </w:p>
    <w:p w14:paraId="77916DFE" w14:textId="18740EBA" w:rsidR="003F33D8" w:rsidRPr="00DD7BE8" w:rsidRDefault="003F33D8" w:rsidP="00DD7BE8">
      <w:pPr>
        <w:numPr>
          <w:ilvl w:val="0"/>
          <w:numId w:val="1"/>
        </w:numPr>
        <w:spacing w:before="240" w:after="240" w:line="360" w:lineRule="auto"/>
        <w:ind w:left="0" w:firstLine="0"/>
        <w:contextualSpacing/>
        <w:jc w:val="both"/>
        <w:rPr>
          <w:rFonts w:ascii="Palatino Linotype" w:hAnsi="Palatino Linotype" w:cs="Arial"/>
          <w:lang w:val="es-MX"/>
        </w:rPr>
      </w:pPr>
      <w:r w:rsidRPr="00DD7BE8">
        <w:rPr>
          <w:rFonts w:ascii="Palatino Linotype" w:hAnsi="Palatino Linotype" w:cs="Arial"/>
          <w:lang w:val="es-MX"/>
        </w:rPr>
        <w:t xml:space="preserve">En el caso concreto que nos ocupa analizar, el particular requirió del Ayuntamiento de </w:t>
      </w:r>
      <w:r w:rsidR="00FD0836" w:rsidRPr="00DD7BE8">
        <w:rPr>
          <w:rFonts w:ascii="Palatino Linotype" w:hAnsi="Palatino Linotype" w:cs="Arial"/>
          <w:lang w:val="es-MX"/>
        </w:rPr>
        <w:t xml:space="preserve">Coacalco de Berriozábal </w:t>
      </w:r>
      <w:r w:rsidRPr="00DD7BE8">
        <w:rPr>
          <w:rFonts w:ascii="Palatino Linotype" w:hAnsi="Palatino Linotype" w:cs="Arial"/>
          <w:lang w:val="es-MX"/>
        </w:rPr>
        <w:t>div</w:t>
      </w:r>
      <w:r w:rsidR="00C1411C" w:rsidRPr="00DD7BE8">
        <w:rPr>
          <w:rFonts w:ascii="Palatino Linotype" w:hAnsi="Palatino Linotype" w:cs="Arial"/>
          <w:lang w:val="es-MX"/>
        </w:rPr>
        <w:t xml:space="preserve">ersa información relacionada </w:t>
      </w:r>
      <w:r w:rsidR="00FD0836" w:rsidRPr="00DD7BE8">
        <w:rPr>
          <w:rFonts w:ascii="Palatino Linotype" w:eastAsia="Times New Roman" w:hAnsi="Palatino Linotype" w:cs="Times New Roman"/>
        </w:rPr>
        <w:t>con cuantas bancarias, bancos, números de contratos, movimientos bancarios y conciliaciones de diversas fechas</w:t>
      </w:r>
      <w:r w:rsidRPr="00DD7BE8">
        <w:rPr>
          <w:rFonts w:ascii="Palatino Linotype" w:hAnsi="Palatino Linotype" w:cs="Arial"/>
          <w:lang w:val="es-MX"/>
        </w:rPr>
        <w:t xml:space="preserve">; siendo importante señalar que el </w:t>
      </w:r>
      <w:r w:rsidRPr="00DD7BE8">
        <w:rPr>
          <w:rFonts w:ascii="Palatino Linotype" w:hAnsi="Palatino Linotype" w:cs="Arial"/>
          <w:b/>
          <w:lang w:val="es-MX"/>
        </w:rPr>
        <w:t>SUJETO OBLIGADO</w:t>
      </w:r>
      <w:r w:rsidRPr="00DD7BE8">
        <w:rPr>
          <w:rFonts w:ascii="Palatino Linotype" w:hAnsi="Palatino Linotype" w:cs="Arial"/>
          <w:lang w:val="es-MX"/>
        </w:rPr>
        <w:t xml:space="preserve"> </w:t>
      </w:r>
      <w:r w:rsidR="00FD0836" w:rsidRPr="00DD7BE8">
        <w:rPr>
          <w:rFonts w:ascii="Palatino Linotype" w:hAnsi="Palatino Linotype" w:cs="Arial"/>
          <w:lang w:val="es-MX"/>
        </w:rPr>
        <w:t xml:space="preserve">pretendió reservar la información solicitada, no obstante, no se advierten de manera fundada y motivada las razones que lo llevaran a dicha acción además, de que el acuerdo que pretende sustentar dicha clasificación no se encuentra suscrito por los integrantes del Comité de Transparencias, </w:t>
      </w:r>
      <w:r w:rsidRPr="00DD7BE8">
        <w:rPr>
          <w:rFonts w:ascii="Palatino Linotype" w:hAnsi="Palatino Linotype" w:cs="Arial"/>
          <w:lang w:val="es-MX"/>
        </w:rPr>
        <w:t xml:space="preserve">lo que constituye una afectación indiscutible al derecho humano de acceso a la información pública y en este sentido, el artículo primero Constitucional de forma clara y precisa dispone que como consecuencia de la obligación que tienen las autoridades de promover, respetar, proteger y garantizar el derecho humano, el Estado deberá prevenir, investigar, sancionar y reparar las violaciones a los derechos humanos.  </w:t>
      </w:r>
    </w:p>
    <w:p w14:paraId="21359A91" w14:textId="77777777" w:rsidR="003F33D8" w:rsidRPr="00DD7BE8" w:rsidRDefault="003F33D8" w:rsidP="00DD7BE8">
      <w:pPr>
        <w:spacing w:before="240" w:after="240" w:line="360" w:lineRule="auto"/>
        <w:contextualSpacing/>
        <w:jc w:val="both"/>
        <w:rPr>
          <w:rFonts w:ascii="Palatino Linotype" w:hAnsi="Palatino Linotype" w:cs="Arial"/>
          <w:lang w:val="es-MX"/>
        </w:rPr>
      </w:pPr>
    </w:p>
    <w:p w14:paraId="207778BB" w14:textId="77777777" w:rsidR="003F33D8" w:rsidRPr="00DD7BE8" w:rsidRDefault="003F33D8" w:rsidP="00DD7BE8">
      <w:pPr>
        <w:numPr>
          <w:ilvl w:val="0"/>
          <w:numId w:val="1"/>
        </w:numPr>
        <w:spacing w:before="240" w:after="240" w:line="360" w:lineRule="auto"/>
        <w:ind w:left="0" w:firstLine="0"/>
        <w:contextualSpacing/>
        <w:jc w:val="both"/>
        <w:rPr>
          <w:rFonts w:ascii="Palatino Linotype" w:hAnsi="Palatino Linotype" w:cs="Arial"/>
          <w:lang w:val="es-MX"/>
        </w:rPr>
      </w:pPr>
      <w:r w:rsidRPr="00DD7BE8">
        <w:rPr>
          <w:rFonts w:ascii="Palatino Linotype" w:hAnsi="Palatino Linotype" w:cs="Arial"/>
          <w:lang w:val="es-MX"/>
        </w:rPr>
        <w:t>En este orden de ideas, la Ley de Transparencia y Acceso a la Información Pública del Estado de México y Municipios, cuyo objeto es establecer principios, bases generales y procedimientos para tutelar y garantizar la transparencia y el derecho humano de acceso a la información pública en posesión de los sujetos obligados; en su artículo 176 establece que el recurso de revisión es la garantía secundaria mediante la cual se pretende reparar cualquier posible afectación al derecho de acceso a la información pública, siendo éste el medio a través del cual, este Órgano Garante después de realizar el análisis al procedimiento de acceso a la información, podrá determinar la posible afectación y, de ser el caso, ordenar la reparación a la violación del derecho en cuestión.</w:t>
      </w:r>
    </w:p>
    <w:p w14:paraId="7F98EF41" w14:textId="77777777" w:rsidR="003F33D8" w:rsidRPr="00DD7BE8" w:rsidRDefault="003F33D8" w:rsidP="00DD7BE8">
      <w:pPr>
        <w:spacing w:before="240" w:after="240" w:line="360" w:lineRule="auto"/>
        <w:contextualSpacing/>
        <w:jc w:val="both"/>
        <w:rPr>
          <w:rFonts w:ascii="Palatino Linotype" w:hAnsi="Palatino Linotype" w:cs="Arial"/>
          <w:lang w:val="es-MX"/>
        </w:rPr>
      </w:pPr>
    </w:p>
    <w:p w14:paraId="225F5F6C" w14:textId="0570BBB0" w:rsidR="003F33D8" w:rsidRPr="00DD7BE8" w:rsidRDefault="003F33D8" w:rsidP="00DD7BE8">
      <w:pPr>
        <w:keepNext/>
        <w:keepLines/>
        <w:spacing w:before="240" w:line="360" w:lineRule="auto"/>
        <w:outlineLvl w:val="0"/>
        <w:rPr>
          <w:rFonts w:ascii="Palatino Linotype" w:eastAsiaTheme="majorEastAsia" w:hAnsi="Palatino Linotype" w:cstheme="majorBidi"/>
          <w:b/>
          <w:color w:val="000000" w:themeColor="text1"/>
          <w:lang w:val="es-MX" w:eastAsia="en-US"/>
        </w:rPr>
      </w:pPr>
      <w:bookmarkStart w:id="102" w:name="_Toc16159421"/>
      <w:bookmarkStart w:id="103" w:name="_Toc17971398"/>
      <w:bookmarkStart w:id="104" w:name="_Toc24051514"/>
      <w:r w:rsidRPr="00DD7BE8">
        <w:rPr>
          <w:rFonts w:ascii="Palatino Linotype" w:eastAsiaTheme="majorEastAsia" w:hAnsi="Palatino Linotype" w:cstheme="majorBidi"/>
          <w:b/>
          <w:color w:val="000000" w:themeColor="text1"/>
          <w:lang w:val="es-MX" w:eastAsia="en-US"/>
        </w:rPr>
        <w:t>II.  De la respuesta emitida por el Sujeto Obligado.</w:t>
      </w:r>
      <w:bookmarkEnd w:id="102"/>
      <w:bookmarkEnd w:id="103"/>
      <w:bookmarkEnd w:id="104"/>
      <w:r w:rsidRPr="00DD7BE8">
        <w:rPr>
          <w:rFonts w:ascii="Palatino Linotype" w:eastAsiaTheme="majorEastAsia" w:hAnsi="Palatino Linotype" w:cstheme="majorBidi"/>
          <w:b/>
          <w:color w:val="000000" w:themeColor="text1"/>
          <w:lang w:val="es-MX" w:eastAsia="en-US"/>
        </w:rPr>
        <w:t xml:space="preserve">  </w:t>
      </w:r>
    </w:p>
    <w:p w14:paraId="3FDC82A2" w14:textId="77777777" w:rsidR="003F33D8" w:rsidRPr="00DD7BE8" w:rsidRDefault="003F33D8" w:rsidP="00DD7BE8">
      <w:pPr>
        <w:spacing w:line="360" w:lineRule="auto"/>
        <w:rPr>
          <w:rFonts w:ascii="Palatino Linotype" w:hAnsi="Palatino Linotype"/>
          <w:lang w:val="es-MX" w:eastAsia="en-US"/>
        </w:rPr>
      </w:pPr>
    </w:p>
    <w:p w14:paraId="098C56DF" w14:textId="77777777" w:rsidR="003F33D8" w:rsidRPr="00DD7BE8" w:rsidRDefault="003F33D8" w:rsidP="00DD7BE8">
      <w:pPr>
        <w:numPr>
          <w:ilvl w:val="0"/>
          <w:numId w:val="1"/>
        </w:numPr>
        <w:spacing w:before="240" w:after="240" w:line="360" w:lineRule="auto"/>
        <w:ind w:left="0" w:firstLine="0"/>
        <w:contextualSpacing/>
        <w:jc w:val="both"/>
        <w:rPr>
          <w:rFonts w:ascii="Palatino Linotype" w:hAnsi="Palatino Linotype" w:cs="Arial"/>
          <w:lang w:val="es-MX"/>
        </w:rPr>
      </w:pPr>
      <w:r w:rsidRPr="00DD7BE8">
        <w:rPr>
          <w:rFonts w:ascii="Palatino Linotype" w:hAnsi="Palatino Linotype" w:cs="Arial"/>
          <w:lang w:val="es-MX"/>
        </w:rPr>
        <w:t>Expuesto lo anterior y derivado del planteamiento de la Litis, se procede a analizar el contenido íntegro de las  actuaciones que obran en el expediente electrónico, y así este Órgano Garante dictar la resolución correspondiente, tomando en consideración los elementos aportados por las partes y apegándose en todo momento al principio de máxima publicidad de acuerdo a lo establecido en el artículo 8 de la Ley de Transparencia y Acceso a la Información Pública del Estado de México y Municipios.</w:t>
      </w:r>
    </w:p>
    <w:p w14:paraId="67ED7091" w14:textId="77777777" w:rsidR="003F33D8" w:rsidRPr="00DD7BE8" w:rsidRDefault="003F33D8" w:rsidP="00DD7BE8">
      <w:pPr>
        <w:spacing w:before="240" w:after="240" w:line="360" w:lineRule="auto"/>
        <w:contextualSpacing/>
        <w:jc w:val="both"/>
        <w:rPr>
          <w:rFonts w:ascii="Palatino Linotype" w:hAnsi="Palatino Linotype" w:cs="Arial"/>
          <w:lang w:val="es-MX"/>
        </w:rPr>
      </w:pPr>
    </w:p>
    <w:p w14:paraId="1B04566D" w14:textId="77777777" w:rsidR="003F33D8" w:rsidRPr="00DD7BE8" w:rsidRDefault="003F33D8" w:rsidP="00DD7BE8">
      <w:pPr>
        <w:numPr>
          <w:ilvl w:val="0"/>
          <w:numId w:val="1"/>
        </w:numPr>
        <w:spacing w:before="240" w:after="240" w:line="360" w:lineRule="auto"/>
        <w:ind w:left="0" w:firstLine="0"/>
        <w:contextualSpacing/>
        <w:jc w:val="both"/>
        <w:rPr>
          <w:rFonts w:ascii="Palatino Linotype" w:hAnsi="Palatino Linotype" w:cs="Arial"/>
          <w:i/>
          <w:lang w:val="es-MX"/>
        </w:rPr>
      </w:pPr>
      <w:r w:rsidRPr="00DD7BE8">
        <w:rPr>
          <w:rFonts w:ascii="Palatino Linotype" w:hAnsi="Palatino Linotype" w:cs="Times New Roman"/>
          <w:lang w:eastAsia="es-ES_tradnl"/>
        </w:rPr>
        <w:t xml:space="preserve">En efecto, uno de los objetivos con los que cuenta la Ley de Transparencia y Acceso a la Información pública del Estado de México y Municipios, es el  garantizar a toda persona el derecho de acceso a la información pública, mediante los procedimientos establecidos de forma sencilla, expedita, oportuna y gratuita, y con ello contribuir a la mejora de procedimientos y mecanismos que permitan transparentar la gestión pública y mejora la toma de decisiones, a través de la difusión de la información que obra en poder de los Sujetos Obligados.  </w:t>
      </w:r>
    </w:p>
    <w:p w14:paraId="737E5CBD" w14:textId="77777777" w:rsidR="00C1411C" w:rsidRPr="00DD7BE8" w:rsidRDefault="00C1411C" w:rsidP="00DD7BE8">
      <w:pPr>
        <w:pStyle w:val="Prrafodelista"/>
        <w:spacing w:line="360" w:lineRule="auto"/>
        <w:rPr>
          <w:rFonts w:ascii="Palatino Linotype" w:hAnsi="Palatino Linotype" w:cs="Arial"/>
          <w:i/>
          <w:lang w:val="es-MX"/>
        </w:rPr>
      </w:pPr>
    </w:p>
    <w:p w14:paraId="03B7A597" w14:textId="36EB9778" w:rsidR="00C1411C" w:rsidRPr="00DD7BE8" w:rsidRDefault="00C1411C" w:rsidP="00DD7BE8">
      <w:pPr>
        <w:pStyle w:val="Prrafodelista"/>
        <w:widowControl w:val="0"/>
        <w:numPr>
          <w:ilvl w:val="0"/>
          <w:numId w:val="1"/>
        </w:numPr>
        <w:autoSpaceDE w:val="0"/>
        <w:autoSpaceDN w:val="0"/>
        <w:adjustRightInd w:val="0"/>
        <w:spacing w:before="240" w:after="240" w:line="360" w:lineRule="auto"/>
        <w:ind w:left="0" w:firstLine="0"/>
        <w:jc w:val="both"/>
        <w:rPr>
          <w:rFonts w:ascii="Palatino Linotype" w:hAnsi="Palatino Linotype" w:cs="Arial"/>
        </w:rPr>
      </w:pPr>
      <w:r w:rsidRPr="00DD7BE8">
        <w:rPr>
          <w:rFonts w:ascii="Palatino Linotype" w:hAnsi="Palatino Linotype" w:cs="Times New Roman"/>
          <w:lang w:eastAsia="es-ES_tradnl"/>
        </w:rPr>
        <w:t xml:space="preserve">Expuesto lo anterior, </w:t>
      </w:r>
      <w:r w:rsidRPr="00DD7BE8">
        <w:rPr>
          <w:rFonts w:ascii="Palatino Linotype" w:hAnsi="Palatino Linotype" w:cs="Arial"/>
        </w:rPr>
        <w:t xml:space="preserve">es oportuno referir que el </w:t>
      </w:r>
      <w:r w:rsidRPr="00DD7BE8">
        <w:rPr>
          <w:rFonts w:ascii="Palatino Linotype" w:hAnsi="Palatino Linotype" w:cs="Arial"/>
          <w:b/>
        </w:rPr>
        <w:t>SUJETO OBLIGADO</w:t>
      </w:r>
      <w:r w:rsidRPr="00DD7BE8">
        <w:rPr>
          <w:rFonts w:ascii="Palatino Linotype" w:hAnsi="Palatino Linotype" w:cs="Arial"/>
        </w:rPr>
        <w:t xml:space="preserve">, estableció que la información solicitada consistente </w:t>
      </w:r>
      <w:r w:rsidR="000F37E2" w:rsidRPr="00DD7BE8">
        <w:rPr>
          <w:rFonts w:ascii="Palatino Linotype" w:hAnsi="Palatino Linotype" w:cs="Arial"/>
        </w:rPr>
        <w:t xml:space="preserve">en  las cuentas </w:t>
      </w:r>
      <w:r w:rsidRPr="00DD7BE8">
        <w:rPr>
          <w:rFonts w:ascii="Palatino Linotype" w:eastAsia="Times New Roman" w:hAnsi="Palatino Linotype" w:cs="Times New Roman"/>
        </w:rPr>
        <w:t>bancarias, bancos, números de contratos, movimientos bancarios y conciliaciones de diversas fechas</w:t>
      </w:r>
      <w:r w:rsidRPr="00DD7BE8">
        <w:rPr>
          <w:rFonts w:ascii="Palatino Linotype" w:hAnsi="Palatino Linotype" w:cs="Arial"/>
        </w:rPr>
        <w:t xml:space="preserve"> era información clasificada como reservada por lo que restringió el acceso a la información solicitada, con fundamento en los artículos 132, 140 y 168 de la Ley de Transparencia y Acceso a la Información Pública del Estado y Municipios, y demás aplicables.</w:t>
      </w:r>
    </w:p>
    <w:p w14:paraId="518532BF" w14:textId="4A3F9468" w:rsidR="00C1411C" w:rsidRPr="00DD7BE8" w:rsidRDefault="00C1411C" w:rsidP="00DD7BE8">
      <w:pPr>
        <w:numPr>
          <w:ilvl w:val="0"/>
          <w:numId w:val="1"/>
        </w:numPr>
        <w:spacing w:before="240" w:after="240" w:line="360" w:lineRule="auto"/>
        <w:ind w:left="0" w:right="49" w:firstLine="0"/>
        <w:contextualSpacing/>
        <w:jc w:val="both"/>
        <w:rPr>
          <w:rFonts w:ascii="Palatino Linotype" w:hAnsi="Palatino Linotype" w:cs="Arial"/>
        </w:rPr>
      </w:pPr>
      <w:r w:rsidRPr="00DD7BE8">
        <w:rPr>
          <w:rFonts w:ascii="Palatino Linotype" w:eastAsia="Times New Roman" w:hAnsi="Palatino Linotype" w:cs="Times New Roman"/>
          <w:lang w:val="es-ES"/>
        </w:rPr>
        <w:t>Derivado de dicha respuesta es que la parte recurrente manifestó al momento de interponer su recurso de revisión que se le negaba el acceso a la información solicitada por no encontrarse debidamente fundamentada y motivada la reserva de la información solicitada, en tal contexto del análisis a las constancias que integran el expediente  en que se actúa así como de la materia sobre la que versa la solicitud de acceso a la información pública, se advierte que los motivos de inconformidad devienen fundados y suficientes para revocar la respuesta del Sujeto Obligado en razón de las consideraciones de derecho que se exponen a continuación.</w:t>
      </w:r>
    </w:p>
    <w:p w14:paraId="7DF8B0C9" w14:textId="77777777" w:rsidR="00C1411C" w:rsidRPr="00DD7BE8" w:rsidRDefault="00C1411C" w:rsidP="00DD7BE8">
      <w:pPr>
        <w:numPr>
          <w:ilvl w:val="0"/>
          <w:numId w:val="1"/>
        </w:numPr>
        <w:spacing w:before="240" w:after="240" w:line="360" w:lineRule="auto"/>
        <w:ind w:left="0" w:right="49" w:firstLine="0"/>
        <w:contextualSpacing/>
        <w:jc w:val="both"/>
        <w:rPr>
          <w:rFonts w:ascii="Palatino Linotype" w:hAnsi="Palatino Linotype" w:cs="Arial"/>
        </w:rPr>
      </w:pPr>
      <w:r w:rsidRPr="00DD7BE8">
        <w:rPr>
          <w:rFonts w:ascii="Palatino Linotype" w:hAnsi="Palatino Linotype" w:cs="Arial"/>
        </w:rPr>
        <w:t xml:space="preserve">En primer término es necesario resaltar que el </w:t>
      </w:r>
      <w:r w:rsidRPr="00DD7BE8">
        <w:rPr>
          <w:rFonts w:ascii="Palatino Linotype" w:eastAsia="Times New Roman" w:hAnsi="Palatino Linotype" w:cs="Times New Roman"/>
          <w:lang w:val="es-ES"/>
        </w:rPr>
        <w:t xml:space="preserve">Sujeto Obligado </w:t>
      </w:r>
      <w:r w:rsidRPr="00DD7BE8">
        <w:rPr>
          <w:rFonts w:ascii="Palatino Linotype" w:eastAsia="Times New Roman" w:hAnsi="Palatino Linotype" w:cs="Arial"/>
          <w:lang w:val="es-ES"/>
        </w:rPr>
        <w:t xml:space="preserve">no niega contar con la información solicitada por el recurrente, </w:t>
      </w:r>
      <w:r w:rsidRPr="00DD7BE8">
        <w:rPr>
          <w:rFonts w:ascii="Palatino Linotype" w:eastAsia="Calibri" w:hAnsi="Palatino Linotype" w:cs="Arial"/>
          <w:lang w:val="es-MX" w:eastAsia="en-US"/>
        </w:rPr>
        <w:t xml:space="preserve">por lo contrario, se presume que dicha información la posee o administra al manifestar que no es posible entregarla, por considerar que es información clasificada de conformidad  con los dispositivos jurídicos que en su respuesta señala. </w:t>
      </w:r>
    </w:p>
    <w:p w14:paraId="48A30255" w14:textId="77777777" w:rsidR="00C1411C" w:rsidRPr="00DD7BE8" w:rsidRDefault="00C1411C" w:rsidP="00DD7BE8">
      <w:pPr>
        <w:spacing w:before="240" w:after="240" w:line="360" w:lineRule="auto"/>
        <w:ind w:right="49"/>
        <w:contextualSpacing/>
        <w:jc w:val="both"/>
        <w:rPr>
          <w:rFonts w:ascii="Palatino Linotype" w:hAnsi="Palatino Linotype" w:cs="Arial"/>
        </w:rPr>
      </w:pPr>
    </w:p>
    <w:p w14:paraId="309D65B3" w14:textId="77777777" w:rsidR="00C1411C" w:rsidRPr="00DD7BE8" w:rsidRDefault="00C1411C" w:rsidP="00DD7BE8">
      <w:pPr>
        <w:numPr>
          <w:ilvl w:val="0"/>
          <w:numId w:val="1"/>
        </w:numPr>
        <w:spacing w:before="240" w:after="240" w:line="360" w:lineRule="auto"/>
        <w:ind w:left="0" w:right="49" w:firstLine="0"/>
        <w:contextualSpacing/>
        <w:jc w:val="both"/>
        <w:rPr>
          <w:rFonts w:ascii="Palatino Linotype" w:hAnsi="Palatino Linotype" w:cs="Arial"/>
        </w:rPr>
      </w:pPr>
      <w:r w:rsidRPr="00DD7BE8">
        <w:rPr>
          <w:rFonts w:ascii="Palatino Linotype" w:eastAsia="Times New Roman" w:hAnsi="Palatino Linotype" w:cs="Times New Roman"/>
          <w:lang w:val="es-ES" w:eastAsia="es-MX"/>
        </w:rPr>
        <w:t>Lo anterior se afirma así, ya que ante una clasificación de la información, no puede coexistir a su vez una inexistencia de la misma, en virtud de que la inexistencia significa necesariamente que la información solicitada no se encuentra en los archivos del Sujeto Obligado, en atención a que no la genera, administra y/o posee como consecuencia del ejercicio de sus atribuciones, que habiendo tenido que generarla no lo hizo o que tuvo una existencia previa pero que por razones diversas actualmente ya no existe en sus archivos; y la clasificación de manera contraria implica que la información se ubica en los archivos del Sujeto Obligado, tan es así que le otorga el carácter de confidencial o reservada.</w:t>
      </w:r>
    </w:p>
    <w:p w14:paraId="2153504E" w14:textId="77777777" w:rsidR="00C1411C" w:rsidRPr="00DD7BE8" w:rsidRDefault="00C1411C" w:rsidP="00DD7BE8">
      <w:pPr>
        <w:spacing w:line="360" w:lineRule="auto"/>
        <w:ind w:left="720"/>
        <w:contextualSpacing/>
        <w:rPr>
          <w:rFonts w:ascii="Palatino Linotype" w:hAnsi="Palatino Linotype"/>
          <w:lang w:eastAsia="es-MX"/>
        </w:rPr>
      </w:pPr>
    </w:p>
    <w:p w14:paraId="143C96BB" w14:textId="77777777" w:rsidR="00C1411C" w:rsidRPr="00DD7BE8" w:rsidRDefault="00C1411C" w:rsidP="00DD7BE8">
      <w:pPr>
        <w:numPr>
          <w:ilvl w:val="0"/>
          <w:numId w:val="1"/>
        </w:numPr>
        <w:spacing w:before="240" w:after="240" w:line="360" w:lineRule="auto"/>
        <w:ind w:left="0" w:right="49" w:firstLine="0"/>
        <w:contextualSpacing/>
        <w:jc w:val="both"/>
        <w:rPr>
          <w:rFonts w:ascii="Palatino Linotype" w:hAnsi="Palatino Linotype" w:cs="Arial"/>
        </w:rPr>
      </w:pPr>
      <w:r w:rsidRPr="00DD7BE8">
        <w:rPr>
          <w:rFonts w:ascii="Palatino Linotype" w:hAnsi="Palatino Linotype"/>
          <w:lang w:eastAsia="es-MX"/>
        </w:rPr>
        <w:t>En otras palabras, la clasificación y la inexistencia se excluyen entre sí, por tanto, si en el presente caso, el Sujeto Obligado niega la entrega de la información que le solicitó el particular, está reconociendo implícitamente que la misma obra en sus archivos.</w:t>
      </w:r>
    </w:p>
    <w:p w14:paraId="736F47F7" w14:textId="77777777" w:rsidR="00C1411C" w:rsidRPr="00DD7BE8" w:rsidRDefault="00C1411C" w:rsidP="00DD7BE8">
      <w:pPr>
        <w:spacing w:line="360" w:lineRule="auto"/>
        <w:ind w:left="720"/>
        <w:contextualSpacing/>
        <w:rPr>
          <w:rFonts w:ascii="Palatino Linotype" w:eastAsia="Times New Roman" w:hAnsi="Palatino Linotype" w:cs="Times New Roman"/>
          <w:lang w:val="es-ES" w:eastAsia="es-MX"/>
        </w:rPr>
      </w:pPr>
    </w:p>
    <w:p w14:paraId="0F28CC3D" w14:textId="77777777" w:rsidR="00C1411C" w:rsidRPr="00DD7BE8" w:rsidRDefault="00C1411C" w:rsidP="00DD7BE8">
      <w:pPr>
        <w:numPr>
          <w:ilvl w:val="0"/>
          <w:numId w:val="1"/>
        </w:numPr>
        <w:spacing w:before="240" w:after="240" w:line="360" w:lineRule="auto"/>
        <w:ind w:left="0" w:right="49" w:firstLine="0"/>
        <w:contextualSpacing/>
        <w:jc w:val="both"/>
        <w:rPr>
          <w:rFonts w:ascii="Palatino Linotype" w:hAnsi="Palatino Linotype" w:cs="Arial"/>
        </w:rPr>
      </w:pPr>
      <w:r w:rsidRPr="00DD7BE8">
        <w:rPr>
          <w:rFonts w:ascii="Palatino Linotype" w:eastAsia="Times New Roman" w:hAnsi="Palatino Linotype" w:cs="Times New Roman"/>
          <w:lang w:val="es-ES" w:eastAsia="es-MX"/>
        </w:rPr>
        <w:t>Tiene aplicación al respecto el criterio sostenido por el ahora Instituto Nacional de Transparencia, Acceso a la Información y Protección de Datos Personales número 29/10, mismo que tiene como contenido el que a continuación se transcribe:</w:t>
      </w:r>
    </w:p>
    <w:p w14:paraId="73F7660F" w14:textId="77777777" w:rsidR="007353AA" w:rsidRPr="00DD7BE8" w:rsidRDefault="007353AA" w:rsidP="00DD7BE8">
      <w:pPr>
        <w:spacing w:before="240" w:after="240" w:line="360" w:lineRule="auto"/>
        <w:ind w:right="49"/>
        <w:contextualSpacing/>
        <w:jc w:val="both"/>
        <w:rPr>
          <w:rFonts w:ascii="Palatino Linotype" w:hAnsi="Palatino Linotype" w:cs="Arial"/>
        </w:rPr>
      </w:pPr>
    </w:p>
    <w:p w14:paraId="10744EB8" w14:textId="042D3D97" w:rsidR="003F33D8" w:rsidRPr="00DD7BE8" w:rsidRDefault="00C1411C" w:rsidP="00DD7BE8">
      <w:pPr>
        <w:spacing w:before="240" w:after="240" w:line="360" w:lineRule="auto"/>
        <w:ind w:left="851" w:right="900"/>
        <w:jc w:val="both"/>
        <w:rPr>
          <w:rFonts w:ascii="Palatino Linotype" w:eastAsia="Times New Roman" w:hAnsi="Palatino Linotype" w:cs="Times New Roman"/>
          <w:lang w:val="es-ES"/>
        </w:rPr>
      </w:pPr>
      <w:r w:rsidRPr="00DD7BE8">
        <w:rPr>
          <w:rFonts w:ascii="Palatino Linotype" w:eastAsia="Times New Roman" w:hAnsi="Palatino Linotype" w:cs="Times New Roman"/>
          <w:b/>
          <w:i/>
          <w:lang w:val="es-ES"/>
        </w:rPr>
        <w:t>“La clasificación y la inexistencia de información son conceptos que no pueden coexistir.</w:t>
      </w:r>
      <w:r w:rsidRPr="00DD7BE8">
        <w:rPr>
          <w:rFonts w:ascii="Palatino Linotype" w:eastAsia="Times New Roman" w:hAnsi="Palatino Linotype" w:cs="Times New Roman"/>
          <w:i/>
          <w:lang w:val="es-ES"/>
        </w:rPr>
        <w:t xml:space="preserve"> La inexistencia implica necesariamente que la información no se encuentra en los archivos de la autoridad, no obstante que la dependencia o entidad cuente con facultades para poseer dicha información. En este sentido, la inexistencia es una calidad que se atribuye a la información solicitada. Por su parte, la clasificación es una característica que adquiere la información concreta contenida en un documento específico, siempre que se encuentre en los supuestos establecidos en los artículos 13 y 14 de la Ley Federal de Transparencia y Acceso a la Información Pública Gubernamental, para el caso de la información reservada, y 18 del mismo ordenamiento, para el caso de la información confidencial. Por lo anterior, la clasificación y la inexistencia no coexisten entre sí, en virtud de que la clasificación de información implica invariablemente la existencia de un documento o documentos determinados, mientras que la inexistencia conlleva la ausencia de los mismos en los archivos de la dependencia o entidad de que se trate.”</w:t>
      </w:r>
    </w:p>
    <w:p w14:paraId="79A1E036" w14:textId="3075EE19" w:rsidR="007353AA" w:rsidRPr="00DD7BE8" w:rsidRDefault="007353AA" w:rsidP="00DD7BE8">
      <w:pPr>
        <w:numPr>
          <w:ilvl w:val="0"/>
          <w:numId w:val="1"/>
        </w:numPr>
        <w:spacing w:before="240" w:after="240" w:line="360" w:lineRule="auto"/>
        <w:ind w:left="0" w:firstLine="0"/>
        <w:contextualSpacing/>
        <w:jc w:val="both"/>
        <w:rPr>
          <w:rFonts w:ascii="Palatino Linotype" w:hAnsi="Palatino Linotype" w:cs="Arial"/>
          <w:i/>
          <w:lang w:val="es-MX"/>
        </w:rPr>
      </w:pPr>
      <w:r w:rsidRPr="00DD7BE8">
        <w:rPr>
          <w:rFonts w:ascii="Palatino Linotype" w:eastAsia="Times New Roman" w:hAnsi="Palatino Linotype" w:cs="Arial"/>
          <w:lang w:val="es-ES" w:eastAsia="es-MX"/>
        </w:rPr>
        <w:t xml:space="preserve">Precisado lo anterior, </w:t>
      </w:r>
      <w:r w:rsidRPr="00DD7BE8">
        <w:rPr>
          <w:rFonts w:ascii="Palatino Linotype" w:hAnsi="Palatino Linotype" w:cs="Arial"/>
        </w:rPr>
        <w:t xml:space="preserve">es oportuno referir que el </w:t>
      </w:r>
      <w:r w:rsidRPr="00DD7BE8">
        <w:rPr>
          <w:rFonts w:ascii="Palatino Linotype" w:hAnsi="Palatino Linotype" w:cs="Arial"/>
          <w:b/>
        </w:rPr>
        <w:t>SUJETO OBLIGADO</w:t>
      </w:r>
      <w:r w:rsidRPr="00DD7BE8">
        <w:rPr>
          <w:rFonts w:ascii="Palatino Linotype" w:hAnsi="Palatino Linotype" w:cs="Arial"/>
        </w:rPr>
        <w:t xml:space="preserve">, estableció que la información requerida estaba reservada en términos de los artículos 49, 140 y 168 de la  Ley de Transparencia y Acceso a la Información Pública del Estado y Municipios, de conformidad con los diversos acuerdos emitidos como a continuación se observa: </w:t>
      </w:r>
    </w:p>
    <w:p w14:paraId="3234CD97" w14:textId="77777777" w:rsidR="007353AA" w:rsidRPr="00DD7BE8" w:rsidRDefault="007353AA" w:rsidP="00DD7BE8">
      <w:pPr>
        <w:spacing w:before="240" w:after="240" w:line="360" w:lineRule="auto"/>
        <w:contextualSpacing/>
        <w:jc w:val="both"/>
        <w:rPr>
          <w:rFonts w:ascii="Palatino Linotype" w:hAnsi="Palatino Linotype" w:cs="Arial"/>
          <w:i/>
          <w:lang w:val="es-MX"/>
        </w:rPr>
      </w:pPr>
    </w:p>
    <w:p w14:paraId="2EBFF2B9" w14:textId="474688A4" w:rsidR="007353AA" w:rsidRPr="00DD7BE8" w:rsidRDefault="007353AA" w:rsidP="00DD7BE8">
      <w:pPr>
        <w:spacing w:before="240" w:after="240" w:line="360" w:lineRule="auto"/>
        <w:contextualSpacing/>
        <w:jc w:val="center"/>
        <w:rPr>
          <w:rFonts w:ascii="Palatino Linotype" w:hAnsi="Palatino Linotype" w:cs="Arial"/>
          <w:i/>
          <w:lang w:val="es-MX"/>
        </w:rPr>
      </w:pPr>
      <w:r w:rsidRPr="00DD7BE8">
        <w:rPr>
          <w:rFonts w:ascii="Palatino Linotype" w:hAnsi="Palatino Linotype"/>
          <w:noProof/>
          <w:lang w:val="es-MX" w:eastAsia="es-MX"/>
        </w:rPr>
        <w:drawing>
          <wp:inline distT="0" distB="0" distL="0" distR="0" wp14:anchorId="77F4DCFB" wp14:editId="404645B3">
            <wp:extent cx="4705350" cy="1171575"/>
            <wp:effectExtent l="19050" t="19050" r="19050" b="285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8"/>
                    <a:srcRect l="58215" t="24442" r="6073" b="59749"/>
                    <a:stretch/>
                  </pic:blipFill>
                  <pic:spPr bwMode="auto">
                    <a:xfrm>
                      <a:off x="0" y="0"/>
                      <a:ext cx="4708694" cy="1172408"/>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14:paraId="4849F177" w14:textId="5A41A3D2" w:rsidR="007353AA" w:rsidRPr="00DD7BE8" w:rsidRDefault="007353AA" w:rsidP="00DD7BE8">
      <w:pPr>
        <w:spacing w:before="240" w:after="240" w:line="360" w:lineRule="auto"/>
        <w:contextualSpacing/>
        <w:jc w:val="center"/>
        <w:rPr>
          <w:rFonts w:ascii="Palatino Linotype" w:hAnsi="Palatino Linotype" w:cs="Arial"/>
          <w:i/>
          <w:lang w:val="es-MX"/>
        </w:rPr>
      </w:pPr>
      <w:r w:rsidRPr="00DD7BE8">
        <w:rPr>
          <w:rFonts w:ascii="Palatino Linotype" w:hAnsi="Palatino Linotype"/>
          <w:noProof/>
          <w:lang w:val="es-MX" w:eastAsia="es-MX"/>
        </w:rPr>
        <mc:AlternateContent>
          <mc:Choice Requires="wps">
            <w:drawing>
              <wp:anchor distT="0" distB="0" distL="114300" distR="114300" simplePos="0" relativeHeight="251660288" behindDoc="0" locked="0" layoutInCell="1" allowOverlap="1" wp14:anchorId="34EABB7E" wp14:editId="6DB88134">
                <wp:simplePos x="0" y="0"/>
                <wp:positionH relativeFrom="column">
                  <wp:posOffset>1065218</wp:posOffset>
                </wp:positionH>
                <wp:positionV relativeFrom="paragraph">
                  <wp:posOffset>2390254</wp:posOffset>
                </wp:positionV>
                <wp:extent cx="2638425" cy="742950"/>
                <wp:effectExtent l="57150" t="38100" r="85725" b="95250"/>
                <wp:wrapNone/>
                <wp:docPr id="4" name="Rectángulo 4"/>
                <wp:cNvGraphicFramePr/>
                <a:graphic xmlns:a="http://schemas.openxmlformats.org/drawingml/2006/main">
                  <a:graphicData uri="http://schemas.microsoft.com/office/word/2010/wordprocessingShape">
                    <wps:wsp>
                      <wps:cNvSpPr/>
                      <wps:spPr>
                        <a:xfrm>
                          <a:off x="0" y="0"/>
                          <a:ext cx="2638425" cy="742950"/>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68B1F6" id="Rectángulo 4" o:spid="_x0000_s1026" style="position:absolute;margin-left:83.9pt;margin-top:188.2pt;width:207.75pt;height:58.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" filled="f" strokecolor="red" strokeweight="2.25pt">
                <v:shadow on="t" color="black" opacity="22937f" origin=",.5" offset="0,.63889mm"/>
              </v:rect>
            </w:pict>
          </mc:Fallback>
        </mc:AlternateContent>
      </w:r>
      <w:r w:rsidRPr="00DD7BE8">
        <w:rPr>
          <w:rFonts w:ascii="Palatino Linotype" w:hAnsi="Palatino Linotype"/>
          <w:noProof/>
          <w:lang w:val="es-MX" w:eastAsia="es-MX"/>
        </w:rPr>
        <w:drawing>
          <wp:inline distT="0" distB="0" distL="0" distR="0" wp14:anchorId="6CDCCD18" wp14:editId="483EDF83">
            <wp:extent cx="4733290" cy="3254991"/>
            <wp:effectExtent l="19050" t="19050" r="10160" b="2222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54990" t="16898" r="4277" b="7061"/>
                    <a:stretch/>
                  </pic:blipFill>
                  <pic:spPr bwMode="auto">
                    <a:xfrm>
                      <a:off x="0" y="0"/>
                      <a:ext cx="4758270" cy="3272169"/>
                    </a:xfrm>
                    <a:prstGeom prst="rect">
                      <a:avLst/>
                    </a:prstGeom>
                    <a:ln w="19050">
                      <a:solidFill>
                        <a:schemeClr val="tx1"/>
                      </a:solidFill>
                    </a:ln>
                    <a:extLst>
                      <a:ext uri="{53640926-AAD7-44D8-BBD7-CCE9431645EC}">
                        <a14:shadowObscured xmlns:a14="http://schemas.microsoft.com/office/drawing/2010/main"/>
                      </a:ext>
                    </a:extLst>
                  </pic:spPr>
                </pic:pic>
              </a:graphicData>
            </a:graphic>
          </wp:inline>
        </w:drawing>
      </w:r>
    </w:p>
    <w:p w14:paraId="4C92C6D9" w14:textId="742EEBBE" w:rsidR="007353AA" w:rsidRPr="00DD7BE8" w:rsidRDefault="007353AA" w:rsidP="00DD7BE8">
      <w:pPr>
        <w:pStyle w:val="Prrafodelista"/>
        <w:numPr>
          <w:ilvl w:val="0"/>
          <w:numId w:val="1"/>
        </w:numPr>
        <w:spacing w:before="240" w:after="240" w:line="360" w:lineRule="auto"/>
        <w:ind w:left="0" w:right="49" w:firstLine="0"/>
        <w:jc w:val="both"/>
        <w:rPr>
          <w:rFonts w:ascii="Palatino Linotype" w:hAnsi="Palatino Linotype" w:cs="Arial"/>
        </w:rPr>
      </w:pPr>
      <w:r w:rsidRPr="00DD7BE8">
        <w:rPr>
          <w:rFonts w:ascii="Palatino Linotype" w:eastAsia="Calibri" w:hAnsi="Palatino Linotype" w:cs="Tahoma"/>
          <w:bCs/>
          <w:iCs/>
          <w:lang w:val="es-ES" w:eastAsia="en-US"/>
        </w:rPr>
        <w:t>De la revisión del Acuerdo referido, se logra advertir por una parte que no fue debidamente suscrito por lo</w:t>
      </w:r>
      <w:r w:rsidR="009376E4" w:rsidRPr="00DD7BE8">
        <w:rPr>
          <w:rFonts w:ascii="Palatino Linotype" w:eastAsia="Calibri" w:hAnsi="Palatino Linotype" w:cs="Tahoma"/>
          <w:bCs/>
          <w:iCs/>
          <w:lang w:val="es-ES" w:eastAsia="en-US"/>
        </w:rPr>
        <w:t>s</w:t>
      </w:r>
      <w:r w:rsidRPr="00DD7BE8">
        <w:rPr>
          <w:rFonts w:ascii="Palatino Linotype" w:eastAsia="Calibri" w:hAnsi="Palatino Linotype" w:cs="Tahoma"/>
          <w:bCs/>
          <w:iCs/>
          <w:lang w:val="es-ES" w:eastAsia="en-US"/>
        </w:rPr>
        <w:t xml:space="preserve"> integrantes del Comité de Trasparencia</w:t>
      </w:r>
      <w:r w:rsidR="00DD0974" w:rsidRPr="00DD7BE8">
        <w:rPr>
          <w:rFonts w:ascii="Palatino Linotype" w:eastAsia="Calibri" w:hAnsi="Palatino Linotype" w:cs="Tahoma"/>
          <w:bCs/>
          <w:iCs/>
          <w:lang w:val="es-ES" w:eastAsia="en-US"/>
        </w:rPr>
        <w:t xml:space="preserve"> de conformidad con lo que establece la Ley</w:t>
      </w:r>
      <w:r w:rsidRPr="00DD7BE8">
        <w:rPr>
          <w:rFonts w:ascii="Palatino Linotype" w:eastAsia="Calibri" w:hAnsi="Palatino Linotype" w:cs="Tahoma"/>
          <w:bCs/>
          <w:iCs/>
          <w:lang w:val="es-ES" w:eastAsia="en-US"/>
        </w:rPr>
        <w:t xml:space="preserve"> o</w:t>
      </w:r>
      <w:r w:rsidR="00DD0974" w:rsidRPr="00DD7BE8">
        <w:rPr>
          <w:rFonts w:ascii="Palatino Linotype" w:eastAsia="Calibri" w:hAnsi="Palatino Linotype" w:cs="Tahoma"/>
          <w:bCs/>
          <w:iCs/>
          <w:lang w:val="es-ES" w:eastAsia="en-US"/>
        </w:rPr>
        <w:t xml:space="preserve"> al menos </w:t>
      </w:r>
      <w:r w:rsidRPr="00DD7BE8">
        <w:rPr>
          <w:rFonts w:ascii="Palatino Linotype" w:eastAsia="Calibri" w:hAnsi="Palatino Linotype" w:cs="Tahoma"/>
          <w:bCs/>
          <w:iCs/>
          <w:lang w:val="es-ES" w:eastAsia="en-US"/>
        </w:rPr>
        <w:t xml:space="preserve"> este Órgano garante no tiene certeza de su aprobación</w:t>
      </w:r>
      <w:r w:rsidR="00DD0974" w:rsidRPr="00DD7BE8">
        <w:rPr>
          <w:rFonts w:ascii="Palatino Linotype" w:eastAsia="Calibri" w:hAnsi="Palatino Linotype" w:cs="Tahoma"/>
          <w:bCs/>
          <w:iCs/>
          <w:lang w:val="es-ES" w:eastAsia="en-US"/>
        </w:rPr>
        <w:t xml:space="preserve"> y fidelidad </w:t>
      </w:r>
      <w:r w:rsidRPr="00DD7BE8">
        <w:rPr>
          <w:rFonts w:ascii="Palatino Linotype" w:eastAsia="Calibri" w:hAnsi="Palatino Linotype" w:cs="Tahoma"/>
          <w:bCs/>
          <w:iCs/>
          <w:lang w:val="es-ES" w:eastAsia="en-US"/>
        </w:rPr>
        <w:t xml:space="preserve"> por no apreciarse las firmas de los integres del mismo, y por otra</w:t>
      </w:r>
      <w:r w:rsidR="00DD0974" w:rsidRPr="00DD7BE8">
        <w:rPr>
          <w:rFonts w:ascii="Palatino Linotype" w:eastAsia="Calibri" w:hAnsi="Palatino Linotype" w:cs="Tahoma"/>
          <w:bCs/>
          <w:iCs/>
          <w:lang w:val="es-ES" w:eastAsia="en-US"/>
        </w:rPr>
        <w:t>,</w:t>
      </w:r>
      <w:r w:rsidRPr="00DD7BE8">
        <w:rPr>
          <w:rFonts w:ascii="Palatino Linotype" w:eastAsia="Calibri" w:hAnsi="Palatino Linotype" w:cs="Tahoma"/>
          <w:bCs/>
          <w:iCs/>
          <w:lang w:val="es-ES" w:eastAsia="en-US"/>
        </w:rPr>
        <w:t xml:space="preserve"> que mediante dicho documento se establecieron reservados documentos que pudieran dar cuenta de la información requerida, no obstante</w:t>
      </w:r>
      <w:r w:rsidRPr="00DD7BE8">
        <w:rPr>
          <w:rFonts w:ascii="Palatino Linotype" w:hAnsi="Palatino Linotype" w:cs="Tahoma"/>
        </w:rPr>
        <w:t xml:space="preserve">, conforme al artículo 134 de la Ley de Transparencia y Acceso a la Información Pública del Estado de México y Municipios, como el Sexto de los Lineamientos Generales en Materia de Clasificación y Desclasificación de la Información, así como para la Elaboración de Versiones Públicas –Lineamientos Generales-, los sujetos obligados no podrán emitir acuerdos de carácter general que clasifiquen documentos o expedientes; por lo que, la clasificación de información se llevará a cabo mediante un </w:t>
      </w:r>
      <w:r w:rsidRPr="00DD7BE8">
        <w:rPr>
          <w:rFonts w:ascii="Palatino Linotype" w:hAnsi="Palatino Linotype" w:cs="Tahoma"/>
          <w:b/>
        </w:rPr>
        <w:t>análisis caso por caso.</w:t>
      </w:r>
    </w:p>
    <w:p w14:paraId="35E345B4" w14:textId="77777777" w:rsidR="007353AA" w:rsidRPr="00DD7BE8" w:rsidRDefault="007353AA" w:rsidP="00DD7BE8">
      <w:pPr>
        <w:numPr>
          <w:ilvl w:val="0"/>
          <w:numId w:val="1"/>
        </w:numPr>
        <w:spacing w:before="240" w:after="240" w:line="360" w:lineRule="auto"/>
        <w:ind w:left="0" w:right="49" w:firstLine="0"/>
        <w:contextualSpacing/>
        <w:jc w:val="both"/>
        <w:rPr>
          <w:rFonts w:ascii="Palatino Linotype" w:hAnsi="Palatino Linotype" w:cs="Arial"/>
        </w:rPr>
      </w:pPr>
      <w:r w:rsidRPr="00DD7BE8">
        <w:rPr>
          <w:rFonts w:ascii="Palatino Linotype" w:hAnsi="Palatino Linotype" w:cs="Tahoma"/>
        </w:rPr>
        <w:t>En ese sentido, e</w:t>
      </w:r>
      <w:r w:rsidRPr="00DD7BE8">
        <w:rPr>
          <w:rFonts w:ascii="Palatino Linotype" w:hAnsi="Palatino Linotype" w:cs="Tahoma"/>
          <w:bCs/>
          <w:iCs/>
        </w:rPr>
        <w:t>l Octavo de los Lineamientos Generales, precisa lo siguiente:</w:t>
      </w:r>
    </w:p>
    <w:p w14:paraId="6AF5E02E" w14:textId="77777777" w:rsidR="007353AA" w:rsidRPr="00DD7BE8" w:rsidRDefault="007353AA" w:rsidP="00DD7BE8">
      <w:pPr>
        <w:shd w:val="clear" w:color="auto" w:fill="FFFFFF" w:themeFill="background1"/>
        <w:spacing w:line="360" w:lineRule="auto"/>
        <w:jc w:val="both"/>
        <w:rPr>
          <w:rFonts w:ascii="Palatino Linotype" w:hAnsi="Palatino Linotype" w:cs="Tahoma"/>
          <w:bCs/>
          <w:iCs/>
        </w:rPr>
      </w:pPr>
    </w:p>
    <w:p w14:paraId="75A64416" w14:textId="77777777" w:rsidR="007353AA" w:rsidRPr="00DD7BE8" w:rsidRDefault="007353AA" w:rsidP="00DD7BE8">
      <w:pPr>
        <w:numPr>
          <w:ilvl w:val="0"/>
          <w:numId w:val="40"/>
        </w:numPr>
        <w:shd w:val="clear" w:color="auto" w:fill="FFFFFF" w:themeFill="background1"/>
        <w:spacing w:line="360" w:lineRule="auto"/>
        <w:ind w:right="567"/>
        <w:jc w:val="both"/>
        <w:rPr>
          <w:rFonts w:ascii="Palatino Linotype" w:hAnsi="Palatino Linotype" w:cs="Tahoma"/>
          <w:bCs/>
        </w:rPr>
      </w:pPr>
      <w:r w:rsidRPr="00DD7BE8">
        <w:rPr>
          <w:rFonts w:ascii="Palatino Linotype" w:hAnsi="Palatino Linotype" w:cs="Tahoma"/>
          <w:b/>
          <w:bCs/>
        </w:rPr>
        <w:t>Para fundar la clasificación</w:t>
      </w:r>
      <w:r w:rsidRPr="00DD7BE8">
        <w:rPr>
          <w:rFonts w:ascii="Palatino Linotype" w:hAnsi="Palatino Linotype" w:cs="Tahoma"/>
          <w:bCs/>
        </w:rPr>
        <w:t xml:space="preserve"> de la información se deberán señalar el artículo, fracción, inciso, párrafo o numeral de la Ley aplicable;</w:t>
      </w:r>
    </w:p>
    <w:p w14:paraId="068EF81B" w14:textId="77777777" w:rsidR="007353AA" w:rsidRPr="00DD7BE8" w:rsidRDefault="007353AA" w:rsidP="00DD7BE8">
      <w:pPr>
        <w:shd w:val="clear" w:color="auto" w:fill="FFFFFF" w:themeFill="background1"/>
        <w:spacing w:line="360" w:lineRule="auto"/>
        <w:ind w:right="567"/>
        <w:jc w:val="both"/>
        <w:rPr>
          <w:rFonts w:ascii="Palatino Linotype" w:hAnsi="Palatino Linotype" w:cs="Tahoma"/>
          <w:bCs/>
        </w:rPr>
      </w:pPr>
    </w:p>
    <w:p w14:paraId="35D0DDE1" w14:textId="77777777" w:rsidR="007353AA" w:rsidRPr="00DD7BE8" w:rsidRDefault="007353AA" w:rsidP="00DD7BE8">
      <w:pPr>
        <w:numPr>
          <w:ilvl w:val="0"/>
          <w:numId w:val="40"/>
        </w:numPr>
        <w:shd w:val="clear" w:color="auto" w:fill="FFFFFF" w:themeFill="background1"/>
        <w:spacing w:line="360" w:lineRule="auto"/>
        <w:ind w:right="567"/>
        <w:jc w:val="both"/>
        <w:rPr>
          <w:rFonts w:ascii="Palatino Linotype" w:hAnsi="Palatino Linotype" w:cs="Tahoma"/>
          <w:bCs/>
        </w:rPr>
      </w:pPr>
      <w:r w:rsidRPr="00DD7BE8">
        <w:rPr>
          <w:rFonts w:ascii="Palatino Linotype" w:hAnsi="Palatino Linotype" w:cs="Tahoma"/>
          <w:b/>
          <w:bCs/>
        </w:rPr>
        <w:t>Para motivar la clasificación</w:t>
      </w:r>
      <w:r w:rsidRPr="00DD7BE8">
        <w:rPr>
          <w:rFonts w:ascii="Palatino Linotype" w:hAnsi="Palatino Linotype" w:cs="Tahoma"/>
          <w:bCs/>
        </w:rPr>
        <w:t xml:space="preserve"> se deberán indicar las razones y circunstancias especiales que lo llevaron a concluir que el caso particular se ajusta al supuesto previsto por la norma legal invocada.</w:t>
      </w:r>
    </w:p>
    <w:p w14:paraId="28DCD1D0" w14:textId="77777777" w:rsidR="007353AA" w:rsidRPr="00DD7BE8" w:rsidRDefault="007353AA" w:rsidP="00DD7BE8">
      <w:pPr>
        <w:spacing w:line="360" w:lineRule="auto"/>
        <w:ind w:left="720"/>
        <w:contextualSpacing/>
        <w:rPr>
          <w:rFonts w:ascii="Palatino Linotype" w:hAnsi="Palatino Linotype" w:cs="Tahoma"/>
          <w:bCs/>
        </w:rPr>
      </w:pPr>
    </w:p>
    <w:p w14:paraId="3A69E092" w14:textId="77777777" w:rsidR="007353AA" w:rsidRPr="00DD7BE8" w:rsidRDefault="007353AA" w:rsidP="00DD7BE8">
      <w:pPr>
        <w:numPr>
          <w:ilvl w:val="0"/>
          <w:numId w:val="1"/>
        </w:numPr>
        <w:shd w:val="clear" w:color="auto" w:fill="FFFFFF" w:themeFill="background1"/>
        <w:spacing w:line="360" w:lineRule="auto"/>
        <w:ind w:left="0" w:firstLine="0"/>
        <w:contextualSpacing/>
        <w:jc w:val="both"/>
        <w:rPr>
          <w:rFonts w:ascii="Palatino Linotype" w:hAnsi="Palatino Linotype" w:cs="Tahoma"/>
        </w:rPr>
      </w:pPr>
      <w:r w:rsidRPr="00DD7BE8">
        <w:rPr>
          <w:rFonts w:ascii="Palatino Linotype" w:hAnsi="Palatino Linotype" w:cs="Tahoma"/>
        </w:rPr>
        <w:t>Lo anterior, toma sustento con la Tesis aislada número I. 4o. P. 56 P, Octava Época, publicada en el Semanario Judicial de la Federación, Tomo XIV, noviembre de mil novecientos noventa y cuatro, (p. 450), que establece lo siguiente:</w:t>
      </w:r>
    </w:p>
    <w:p w14:paraId="0AD909DF" w14:textId="77777777" w:rsidR="007353AA" w:rsidRPr="00DD7BE8" w:rsidRDefault="007353AA" w:rsidP="00DD7BE8">
      <w:pPr>
        <w:shd w:val="clear" w:color="auto" w:fill="FFFFFF" w:themeFill="background1"/>
        <w:spacing w:line="360" w:lineRule="auto"/>
        <w:jc w:val="both"/>
        <w:rPr>
          <w:rFonts w:ascii="Palatino Linotype" w:hAnsi="Palatino Linotype" w:cs="Tahoma"/>
        </w:rPr>
      </w:pPr>
    </w:p>
    <w:p w14:paraId="435C78C4" w14:textId="77777777" w:rsidR="007353AA" w:rsidRPr="00DD7BE8" w:rsidRDefault="007353AA" w:rsidP="00DD7BE8">
      <w:pPr>
        <w:shd w:val="clear" w:color="auto" w:fill="FFFFFF" w:themeFill="background1"/>
        <w:spacing w:line="360" w:lineRule="auto"/>
        <w:ind w:left="567" w:right="567"/>
        <w:jc w:val="both"/>
        <w:rPr>
          <w:rFonts w:ascii="Palatino Linotype" w:hAnsi="Palatino Linotype" w:cs="Tahoma"/>
          <w:i/>
        </w:rPr>
      </w:pPr>
      <w:r w:rsidRPr="00DD7BE8">
        <w:rPr>
          <w:rFonts w:ascii="Palatino Linotype" w:hAnsi="Palatino Linotype" w:cs="Tahoma"/>
          <w:b/>
          <w:i/>
        </w:rPr>
        <w:t xml:space="preserve">“FUNDAMENTACION Y MOTIVACION, CONCEPTO DE. </w:t>
      </w:r>
      <w:r w:rsidRPr="00DD7BE8">
        <w:rPr>
          <w:rFonts w:ascii="Palatino Linotype" w:hAnsi="Palatino Linotype" w:cs="Tahoma"/>
          <w:i/>
        </w:rPr>
        <w:t>La garantía de legalidad consagrada en el artículo 16 de nuestra Carta Magna, establece que todo acto de autoridad precisa encontrarse debidamente fundado y motivado, entendiéndose por lo primero la obligación de la autoridad que lo emite, para citar los preceptos legales, sustantivos y adjetivos, en que se apoye la determinación adoptada; y por lo segundo, que exprese una serie de razonamientos lógico-jurídicos sobre el por qué consideró que el caso concreto se ajusta a la hipótesis normativa.”</w:t>
      </w:r>
    </w:p>
    <w:p w14:paraId="4D91DF5A" w14:textId="77777777" w:rsidR="007353AA" w:rsidRPr="00DD7BE8" w:rsidRDefault="007353AA" w:rsidP="00DD7BE8">
      <w:pPr>
        <w:shd w:val="clear" w:color="auto" w:fill="FFFFFF" w:themeFill="background1"/>
        <w:spacing w:line="360" w:lineRule="auto"/>
        <w:jc w:val="both"/>
        <w:rPr>
          <w:rFonts w:ascii="Palatino Linotype" w:hAnsi="Palatino Linotype" w:cs="Tahoma"/>
        </w:rPr>
      </w:pPr>
    </w:p>
    <w:p w14:paraId="70326BF7" w14:textId="77777777" w:rsidR="007353AA" w:rsidRPr="00DD7BE8" w:rsidRDefault="007353AA" w:rsidP="00DD7BE8">
      <w:pPr>
        <w:numPr>
          <w:ilvl w:val="0"/>
          <w:numId w:val="1"/>
        </w:numPr>
        <w:shd w:val="clear" w:color="auto" w:fill="FFFFFF" w:themeFill="background1"/>
        <w:spacing w:line="360" w:lineRule="auto"/>
        <w:ind w:left="0" w:firstLine="0"/>
        <w:contextualSpacing/>
        <w:jc w:val="both"/>
        <w:rPr>
          <w:rFonts w:ascii="Palatino Linotype" w:hAnsi="Palatino Linotype" w:cs="Tahoma"/>
        </w:rPr>
      </w:pPr>
      <w:r w:rsidRPr="00DD7BE8">
        <w:rPr>
          <w:rFonts w:ascii="Palatino Linotype" w:hAnsi="Palatino Linotype" w:cs="Tahoma"/>
        </w:rPr>
        <w:t>Conforme a lo anterior, se advierte lo siguiente:</w:t>
      </w:r>
    </w:p>
    <w:p w14:paraId="5964CEA0" w14:textId="77777777" w:rsidR="007353AA" w:rsidRPr="00DD7BE8" w:rsidRDefault="007353AA" w:rsidP="00DD7BE8">
      <w:pPr>
        <w:shd w:val="clear" w:color="auto" w:fill="FFFFFF" w:themeFill="background1"/>
        <w:spacing w:line="360" w:lineRule="auto"/>
        <w:jc w:val="both"/>
        <w:rPr>
          <w:rFonts w:ascii="Palatino Linotype" w:hAnsi="Palatino Linotype" w:cs="Tahoma"/>
        </w:rPr>
      </w:pPr>
    </w:p>
    <w:p w14:paraId="0B57BF8C" w14:textId="77777777" w:rsidR="007353AA" w:rsidRPr="00DD7BE8" w:rsidRDefault="007353AA" w:rsidP="00DD7BE8">
      <w:pPr>
        <w:numPr>
          <w:ilvl w:val="0"/>
          <w:numId w:val="41"/>
        </w:numPr>
        <w:shd w:val="clear" w:color="auto" w:fill="FFFFFF" w:themeFill="background1"/>
        <w:spacing w:line="360" w:lineRule="auto"/>
        <w:ind w:right="567"/>
        <w:contextualSpacing/>
        <w:jc w:val="both"/>
        <w:rPr>
          <w:rFonts w:ascii="Palatino Linotype" w:hAnsi="Palatino Linotype" w:cs="Tahoma"/>
          <w:b/>
        </w:rPr>
      </w:pPr>
      <w:r w:rsidRPr="00DD7BE8">
        <w:rPr>
          <w:rFonts w:ascii="Palatino Linotype" w:hAnsi="Palatino Linotype" w:cs="Tahoma"/>
          <w:b/>
        </w:rPr>
        <w:t xml:space="preserve">Fundamentación: </w:t>
      </w:r>
      <w:r w:rsidRPr="00DD7BE8">
        <w:rPr>
          <w:rFonts w:ascii="Palatino Linotype" w:hAnsi="Palatino Linotype" w:cs="Tahoma"/>
        </w:rPr>
        <w:t>Obligación de la autoridad que emite un acto, para citar los preceptos legales, sustantivos y adjetivos, en que se apoye para la determinación tomada.</w:t>
      </w:r>
    </w:p>
    <w:p w14:paraId="405C1528" w14:textId="77777777" w:rsidR="007353AA" w:rsidRPr="00DD7BE8" w:rsidRDefault="007353AA" w:rsidP="00DD7BE8">
      <w:pPr>
        <w:shd w:val="clear" w:color="auto" w:fill="FFFFFF" w:themeFill="background1"/>
        <w:spacing w:line="360" w:lineRule="auto"/>
        <w:ind w:left="720" w:right="567"/>
        <w:contextualSpacing/>
        <w:jc w:val="both"/>
        <w:rPr>
          <w:rFonts w:ascii="Palatino Linotype" w:hAnsi="Palatino Linotype" w:cs="Tahoma"/>
          <w:b/>
        </w:rPr>
      </w:pPr>
    </w:p>
    <w:p w14:paraId="27A47B52" w14:textId="77777777" w:rsidR="007353AA" w:rsidRPr="00DD7BE8" w:rsidRDefault="007353AA" w:rsidP="00DD7BE8">
      <w:pPr>
        <w:numPr>
          <w:ilvl w:val="0"/>
          <w:numId w:val="41"/>
        </w:numPr>
        <w:shd w:val="clear" w:color="auto" w:fill="FFFFFF" w:themeFill="background1"/>
        <w:spacing w:line="360" w:lineRule="auto"/>
        <w:ind w:right="567"/>
        <w:contextualSpacing/>
        <w:jc w:val="both"/>
        <w:rPr>
          <w:rFonts w:ascii="Palatino Linotype" w:hAnsi="Palatino Linotype" w:cs="Tahoma"/>
          <w:b/>
        </w:rPr>
      </w:pPr>
      <w:r w:rsidRPr="00DD7BE8">
        <w:rPr>
          <w:rFonts w:ascii="Palatino Linotype" w:hAnsi="Palatino Linotype" w:cs="Tahoma"/>
          <w:b/>
        </w:rPr>
        <w:t xml:space="preserve">Motivación: </w:t>
      </w:r>
      <w:r w:rsidRPr="00DD7BE8">
        <w:rPr>
          <w:rFonts w:ascii="Palatino Linotype" w:hAnsi="Palatino Linotype" w:cs="Tahoma"/>
        </w:rPr>
        <w:t>Razonamientos lógico-jurídicos sobre porque se consideró en el caso en concreto, que se ajusta a la hipótesis normativa.</w:t>
      </w:r>
    </w:p>
    <w:p w14:paraId="6C1BBFD2" w14:textId="77777777" w:rsidR="007353AA" w:rsidRPr="00DD7BE8" w:rsidRDefault="007353AA" w:rsidP="00DD7BE8">
      <w:pPr>
        <w:shd w:val="clear" w:color="auto" w:fill="FFFFFF" w:themeFill="background1"/>
        <w:spacing w:line="360" w:lineRule="auto"/>
        <w:jc w:val="both"/>
        <w:rPr>
          <w:rFonts w:ascii="Palatino Linotype" w:hAnsi="Palatino Linotype" w:cs="Tahoma"/>
        </w:rPr>
      </w:pPr>
    </w:p>
    <w:p w14:paraId="7F9ABC9E" w14:textId="1012F32A" w:rsidR="007353AA" w:rsidRPr="00DD7BE8" w:rsidRDefault="007353AA" w:rsidP="00DD7BE8">
      <w:pPr>
        <w:numPr>
          <w:ilvl w:val="0"/>
          <w:numId w:val="1"/>
        </w:numPr>
        <w:shd w:val="clear" w:color="auto" w:fill="FFFFFF" w:themeFill="background1"/>
        <w:spacing w:line="360" w:lineRule="auto"/>
        <w:ind w:left="0" w:firstLine="0"/>
        <w:contextualSpacing/>
        <w:jc w:val="both"/>
        <w:rPr>
          <w:rFonts w:ascii="Palatino Linotype" w:hAnsi="Palatino Linotype" w:cs="Tahoma"/>
        </w:rPr>
      </w:pPr>
      <w:r w:rsidRPr="00DD7BE8">
        <w:rPr>
          <w:rFonts w:ascii="Palatino Linotype" w:hAnsi="Palatino Linotype" w:cs="Tahoma"/>
        </w:rPr>
        <w:t xml:space="preserve">Al respecto, de la revisión del Acuerdo del </w:t>
      </w:r>
      <w:r w:rsidRPr="00DD7BE8">
        <w:rPr>
          <w:rFonts w:ascii="Palatino Linotype" w:hAnsi="Palatino Linotype" w:cs="Tahoma"/>
          <w:bCs/>
          <w:iCs/>
          <w:lang w:val="es-ES"/>
        </w:rPr>
        <w:t>Comité de Transparencia, se advierte que si bien el Sujeto Obligado clasificó información relacionada con lo solicitado y señaló los fundamentos jurídicos aplicables, lo cierto es que no motivo la reserva, pues no señaló las razones por las cuales eran aplicables los ordenamientos jurídicos señalados; aunado al hecho a que tampoco realizó debidamente la prueba de daño señalada en el artículo 129 de la Ley de Transparencia y Acceso a la Información Pública del Estado de México y Municipios y el trigésimo tercero de los Lineamientos Generales, que es la argumentación fundada y motivada que se debe realizar para acreditar que la divulgación de la información lesiona el interés jurídicamente protegido por la normatividad aplicable y que el daño que puede producirse con la publicidad de la información es mayor que el interés de conocerla.</w:t>
      </w:r>
    </w:p>
    <w:p w14:paraId="6E42F7CD" w14:textId="77777777" w:rsidR="007353AA" w:rsidRPr="00DD7BE8" w:rsidRDefault="007353AA" w:rsidP="00DD7BE8">
      <w:pPr>
        <w:shd w:val="clear" w:color="auto" w:fill="FFFFFF" w:themeFill="background1"/>
        <w:spacing w:line="360" w:lineRule="auto"/>
        <w:contextualSpacing/>
        <w:jc w:val="both"/>
        <w:rPr>
          <w:rFonts w:ascii="Palatino Linotype" w:hAnsi="Palatino Linotype" w:cs="Tahoma"/>
        </w:rPr>
      </w:pPr>
    </w:p>
    <w:p w14:paraId="1A295DCC" w14:textId="63569D97" w:rsidR="007353AA" w:rsidRPr="00DD7BE8" w:rsidRDefault="007353AA" w:rsidP="00DD7BE8">
      <w:pPr>
        <w:numPr>
          <w:ilvl w:val="0"/>
          <w:numId w:val="1"/>
        </w:numPr>
        <w:shd w:val="clear" w:color="auto" w:fill="FFFFFF" w:themeFill="background1"/>
        <w:spacing w:line="360" w:lineRule="auto"/>
        <w:ind w:left="0" w:firstLine="0"/>
        <w:contextualSpacing/>
        <w:jc w:val="both"/>
        <w:rPr>
          <w:rFonts w:ascii="Palatino Linotype" w:hAnsi="Palatino Linotype" w:cs="Tahoma"/>
        </w:rPr>
      </w:pPr>
      <w:r w:rsidRPr="00DD7BE8">
        <w:rPr>
          <w:rFonts w:ascii="Palatino Linotype" w:hAnsi="Palatino Linotype" w:cs="Tahoma"/>
        </w:rPr>
        <w:t xml:space="preserve">Por tales circunstancias y toda vez, que el Sujeto Obligado no indicó los motivos y razones por las cuales, la información requerida actualizaba las causales de reserva, en términos del artículo 140, fracción I y V de la Ley de Transparencia y Acceso a la Información Pública del Estado de México y Municipios, además de que el Acta del Comité de Transparencia no fue entregada con las formalidades que establece la Ley, no </w:t>
      </w:r>
      <w:r w:rsidRPr="00DD7BE8">
        <w:rPr>
          <w:rFonts w:ascii="Palatino Linotype" w:hAnsi="Palatino Linotype" w:cs="Tahoma"/>
          <w:b/>
        </w:rPr>
        <w:t xml:space="preserve">resulta procedente la clasificación señalada </w:t>
      </w:r>
      <w:r w:rsidRPr="00DD7BE8">
        <w:rPr>
          <w:rFonts w:ascii="Palatino Linotype" w:hAnsi="Palatino Linotype" w:cs="Tahoma"/>
        </w:rPr>
        <w:t>y por lo tanto,</w:t>
      </w:r>
      <w:r w:rsidRPr="00DD7BE8">
        <w:rPr>
          <w:rFonts w:ascii="Palatino Linotype" w:hAnsi="Palatino Linotype" w:cs="Tahoma"/>
          <w:lang w:eastAsia="es-MX"/>
        </w:rPr>
        <w:t xml:space="preserve"> el agravio hecho valer por la Particular es </w:t>
      </w:r>
      <w:r w:rsidRPr="00DD7BE8">
        <w:rPr>
          <w:rFonts w:ascii="Palatino Linotype" w:hAnsi="Palatino Linotype" w:cs="Tahoma"/>
          <w:b/>
          <w:lang w:eastAsia="es-MX"/>
        </w:rPr>
        <w:t>fundado.</w:t>
      </w:r>
    </w:p>
    <w:p w14:paraId="40002B5C" w14:textId="77777777" w:rsidR="007353AA" w:rsidRPr="00DD7BE8" w:rsidRDefault="007353AA" w:rsidP="00DD7BE8">
      <w:pPr>
        <w:spacing w:line="360" w:lineRule="auto"/>
        <w:ind w:left="720"/>
        <w:contextualSpacing/>
        <w:rPr>
          <w:rFonts w:ascii="Palatino Linotype" w:hAnsi="Palatino Linotype" w:cs="Tahoma"/>
        </w:rPr>
      </w:pPr>
    </w:p>
    <w:p w14:paraId="5FC420BD" w14:textId="3AE86AAC" w:rsidR="009376E4" w:rsidRPr="00DD7BE8" w:rsidRDefault="007353AA" w:rsidP="00DD7BE8">
      <w:pPr>
        <w:numPr>
          <w:ilvl w:val="0"/>
          <w:numId w:val="1"/>
        </w:numPr>
        <w:shd w:val="clear" w:color="auto" w:fill="FFFFFF" w:themeFill="background1"/>
        <w:spacing w:line="360" w:lineRule="auto"/>
        <w:ind w:left="0" w:firstLine="0"/>
        <w:contextualSpacing/>
        <w:jc w:val="both"/>
        <w:rPr>
          <w:rFonts w:ascii="Palatino Linotype" w:hAnsi="Palatino Linotype" w:cs="Tahoma"/>
        </w:rPr>
      </w:pPr>
      <w:r w:rsidRPr="00DD7BE8">
        <w:rPr>
          <w:rFonts w:ascii="Palatino Linotype" w:hAnsi="Palatino Linotype" w:cs="Tahoma"/>
        </w:rPr>
        <w:t xml:space="preserve">Sin menoscabar lo anterior, se procede analizar cada una de las causales de reserva señaladas por el Ayuntamiento de </w:t>
      </w:r>
      <w:r w:rsidR="009376E4" w:rsidRPr="00DD7BE8">
        <w:rPr>
          <w:rFonts w:ascii="Palatino Linotype" w:hAnsi="Palatino Linotype" w:cs="Tahoma"/>
        </w:rPr>
        <w:t>Coacalco de Berriozábal,</w:t>
      </w:r>
      <w:r w:rsidRPr="00DD7BE8">
        <w:rPr>
          <w:rFonts w:ascii="Palatino Linotype" w:hAnsi="Palatino Linotype" w:cs="Tahoma"/>
        </w:rPr>
        <w:t xml:space="preserve"> a través de la</w:t>
      </w:r>
      <w:r w:rsidR="009376E4" w:rsidRPr="00DD7BE8">
        <w:rPr>
          <w:rFonts w:ascii="Palatino Linotype" w:hAnsi="Palatino Linotype" w:cs="Tahoma"/>
        </w:rPr>
        <w:t xml:space="preserve"> Tesorería Municipal</w:t>
      </w:r>
      <w:r w:rsidRPr="00DD7BE8">
        <w:rPr>
          <w:rFonts w:ascii="Palatino Linotype" w:hAnsi="Palatino Linotype" w:cs="Tahoma"/>
        </w:rPr>
        <w:t>, conforme a lo siguiente.</w:t>
      </w:r>
    </w:p>
    <w:p w14:paraId="0228E7A1" w14:textId="77777777" w:rsidR="009376E4" w:rsidRPr="00DD7BE8" w:rsidRDefault="009376E4" w:rsidP="00DD7BE8">
      <w:pPr>
        <w:keepNext/>
        <w:keepLines/>
        <w:spacing w:before="240" w:line="360" w:lineRule="auto"/>
        <w:jc w:val="both"/>
        <w:outlineLvl w:val="0"/>
        <w:rPr>
          <w:rFonts w:ascii="Palatino Linotype" w:eastAsiaTheme="majorEastAsia" w:hAnsi="Palatino Linotype" w:cstheme="majorBidi"/>
          <w:b/>
          <w:color w:val="000000" w:themeColor="text1"/>
          <w:lang w:val="es-MX" w:eastAsia="en-US"/>
        </w:rPr>
      </w:pPr>
      <w:bookmarkStart w:id="105" w:name="_Toc23871924"/>
      <w:bookmarkStart w:id="106" w:name="_Toc24051515"/>
      <w:r w:rsidRPr="00DD7BE8">
        <w:rPr>
          <w:rFonts w:ascii="Palatino Linotype" w:eastAsiaTheme="majorEastAsia" w:hAnsi="Palatino Linotype" w:cstheme="majorBidi"/>
          <w:b/>
          <w:color w:val="000000" w:themeColor="text1"/>
          <w:lang w:val="es-MX" w:eastAsia="en-US"/>
        </w:rPr>
        <w:t>a) Análisis de la reserva en términos del artículo 140, fracción I, de la Ley de Trasparencia y Acceso a la Información Pública del Estado de México y Municipios.</w:t>
      </w:r>
      <w:bookmarkEnd w:id="105"/>
      <w:bookmarkEnd w:id="106"/>
      <w:r w:rsidRPr="00DD7BE8">
        <w:rPr>
          <w:rFonts w:ascii="Palatino Linotype" w:eastAsiaTheme="majorEastAsia" w:hAnsi="Palatino Linotype" w:cstheme="majorBidi"/>
          <w:b/>
          <w:color w:val="000000" w:themeColor="text1"/>
          <w:lang w:val="es-MX" w:eastAsia="en-US"/>
        </w:rPr>
        <w:t xml:space="preserve"> </w:t>
      </w:r>
    </w:p>
    <w:p w14:paraId="764AAD5A" w14:textId="77777777" w:rsidR="009376E4" w:rsidRPr="00DD7BE8" w:rsidRDefault="009376E4" w:rsidP="00DD7BE8">
      <w:pPr>
        <w:spacing w:line="360" w:lineRule="auto"/>
        <w:contextualSpacing/>
        <w:jc w:val="both"/>
        <w:rPr>
          <w:rFonts w:ascii="Palatino Linotype" w:eastAsia="Calibri" w:hAnsi="Palatino Linotype" w:cs="Tahoma"/>
          <w:iCs/>
          <w:lang w:val="es-ES" w:eastAsia="es-ES_tradnl"/>
        </w:rPr>
      </w:pPr>
    </w:p>
    <w:p w14:paraId="29E959CC" w14:textId="1F0C2DEF" w:rsidR="009376E4" w:rsidRPr="00DD7BE8" w:rsidRDefault="009376E4" w:rsidP="00DD7BE8">
      <w:pPr>
        <w:pStyle w:val="Prrafodelista"/>
        <w:numPr>
          <w:ilvl w:val="0"/>
          <w:numId w:val="1"/>
        </w:numPr>
        <w:shd w:val="clear" w:color="auto" w:fill="FFFFFF" w:themeFill="background1"/>
        <w:spacing w:line="360" w:lineRule="auto"/>
        <w:ind w:left="0" w:firstLine="0"/>
        <w:jc w:val="both"/>
        <w:rPr>
          <w:rFonts w:ascii="Palatino Linotype" w:hAnsi="Palatino Linotype" w:cs="Tahoma"/>
        </w:rPr>
      </w:pPr>
      <w:r w:rsidRPr="00DD7BE8">
        <w:rPr>
          <w:rFonts w:ascii="Palatino Linotype" w:eastAsia="Calibri" w:hAnsi="Palatino Linotype" w:cs="Tahoma"/>
          <w:iCs/>
          <w:lang w:val="es-ES" w:eastAsia="es-ES_tradnl"/>
        </w:rPr>
        <w:t>El</w:t>
      </w:r>
      <w:r w:rsidRPr="00DD7BE8">
        <w:rPr>
          <w:rFonts w:ascii="Palatino Linotype" w:eastAsia="Calibri" w:hAnsi="Palatino Linotype" w:cs="Tahoma"/>
          <w:b/>
          <w:iCs/>
          <w:lang w:val="es-ES" w:eastAsia="es-ES_tradnl"/>
        </w:rPr>
        <w:t xml:space="preserve"> </w:t>
      </w:r>
      <w:r w:rsidRPr="00DD7BE8">
        <w:rPr>
          <w:rFonts w:ascii="Palatino Linotype" w:eastAsia="Calibri" w:hAnsi="Palatino Linotype" w:cs="Tahoma"/>
          <w:iCs/>
          <w:lang w:val="es-ES" w:eastAsia="es-ES_tradnl"/>
        </w:rPr>
        <w:t>artículo 140, fracción I, de la Ley de Transparencia y Acceso a la Información Pública del Estado de México y Municipios, (homólogo del artículo 113, fracción I de la Ley General de Transparencia y Acceso a la Información Pública) prevé lo siguiente:</w:t>
      </w:r>
    </w:p>
    <w:p w14:paraId="7826BA80" w14:textId="77777777" w:rsidR="009376E4" w:rsidRPr="00DD7BE8" w:rsidRDefault="009376E4" w:rsidP="00DD7BE8">
      <w:pPr>
        <w:spacing w:line="360" w:lineRule="auto"/>
        <w:ind w:left="720"/>
        <w:contextualSpacing/>
        <w:rPr>
          <w:rFonts w:ascii="Palatino Linotype" w:hAnsi="Palatino Linotype" w:cs="Tahoma"/>
          <w:i/>
        </w:rPr>
      </w:pPr>
    </w:p>
    <w:p w14:paraId="188B5F3C" w14:textId="35D13F83" w:rsidR="000A0887" w:rsidRPr="00DD7BE8" w:rsidRDefault="009376E4" w:rsidP="00DD7BE8">
      <w:pPr>
        <w:shd w:val="clear" w:color="auto" w:fill="FFFFFF" w:themeFill="background1"/>
        <w:tabs>
          <w:tab w:val="left" w:pos="709"/>
        </w:tabs>
        <w:spacing w:line="360" w:lineRule="auto"/>
        <w:ind w:left="567" w:right="567"/>
        <w:contextualSpacing/>
        <w:jc w:val="both"/>
        <w:rPr>
          <w:rFonts w:ascii="Palatino Linotype" w:hAnsi="Palatino Linotype" w:cs="Tahoma"/>
          <w:i/>
          <w:iCs/>
          <w:lang w:val="es-ES"/>
        </w:rPr>
      </w:pPr>
      <w:r w:rsidRPr="00DD7BE8">
        <w:rPr>
          <w:rFonts w:ascii="Palatino Linotype" w:hAnsi="Palatino Linotype" w:cs="Tahoma"/>
          <w:i/>
          <w:iCs/>
          <w:lang w:val="es-ES"/>
        </w:rPr>
        <w:t>“</w:t>
      </w:r>
      <w:r w:rsidRPr="00DD7BE8">
        <w:rPr>
          <w:rFonts w:ascii="Palatino Linotype" w:hAnsi="Palatino Linotype" w:cs="Tahoma"/>
          <w:b/>
          <w:i/>
          <w:iCs/>
          <w:lang w:val="es-ES"/>
        </w:rPr>
        <w:t>Artículo 140.</w:t>
      </w:r>
      <w:r w:rsidRPr="00DD7BE8">
        <w:rPr>
          <w:rFonts w:ascii="Palatino Linotype" w:hAnsi="Palatino Linotype" w:cs="Tahoma"/>
          <w:i/>
          <w:iCs/>
          <w:lang w:val="es-ES"/>
        </w:rPr>
        <w:t xml:space="preserve"> El acceso a la información pública será restringido excepcionalmente, cuando por razones de interés público, ésta sea clasificada como reservada, conforme a los criterios siguientes: </w:t>
      </w:r>
    </w:p>
    <w:p w14:paraId="761AC649" w14:textId="2F870126" w:rsidR="000A0887" w:rsidRPr="00DD7BE8" w:rsidRDefault="000A0887" w:rsidP="00DD7BE8">
      <w:pPr>
        <w:shd w:val="clear" w:color="auto" w:fill="FFFFFF" w:themeFill="background1"/>
        <w:tabs>
          <w:tab w:val="left" w:pos="709"/>
        </w:tabs>
        <w:spacing w:line="360" w:lineRule="auto"/>
        <w:ind w:right="567" w:firstLine="567"/>
        <w:contextualSpacing/>
        <w:jc w:val="both"/>
        <w:rPr>
          <w:rFonts w:ascii="Palatino Linotype" w:hAnsi="Palatino Linotype" w:cs="Tahoma"/>
          <w:i/>
          <w:iCs/>
          <w:lang w:val="es-ES"/>
        </w:rPr>
      </w:pPr>
      <w:r w:rsidRPr="00DD7BE8">
        <w:rPr>
          <w:rFonts w:ascii="Palatino Linotype" w:hAnsi="Palatino Linotype" w:cs="Tahoma"/>
          <w:i/>
          <w:iCs/>
          <w:lang w:val="es-ES"/>
        </w:rPr>
        <w:t>(…)</w:t>
      </w:r>
    </w:p>
    <w:p w14:paraId="377E5FB4" w14:textId="77777777" w:rsidR="000A0887" w:rsidRPr="00DD7BE8" w:rsidRDefault="000A0887" w:rsidP="00DD7BE8">
      <w:pPr>
        <w:shd w:val="clear" w:color="auto" w:fill="FFFFFF" w:themeFill="background1"/>
        <w:tabs>
          <w:tab w:val="left" w:pos="709"/>
        </w:tabs>
        <w:spacing w:line="360" w:lineRule="auto"/>
        <w:ind w:right="567" w:firstLine="567"/>
        <w:contextualSpacing/>
        <w:jc w:val="both"/>
        <w:rPr>
          <w:rFonts w:ascii="Palatino Linotype" w:hAnsi="Palatino Linotype" w:cs="Tahoma"/>
          <w:i/>
          <w:iCs/>
          <w:lang w:val="es-ES"/>
        </w:rPr>
      </w:pPr>
    </w:p>
    <w:p w14:paraId="514A2F4C" w14:textId="77777777" w:rsidR="000A0887" w:rsidRPr="00DD7BE8" w:rsidRDefault="000A0887" w:rsidP="00DD7BE8">
      <w:pPr>
        <w:shd w:val="clear" w:color="auto" w:fill="FFFFFF" w:themeFill="background1"/>
        <w:tabs>
          <w:tab w:val="left" w:pos="709"/>
        </w:tabs>
        <w:spacing w:line="360" w:lineRule="auto"/>
        <w:ind w:left="567" w:right="567"/>
        <w:contextualSpacing/>
        <w:jc w:val="both"/>
        <w:rPr>
          <w:rFonts w:ascii="Palatino Linotype" w:hAnsi="Palatino Linotype"/>
          <w:i/>
        </w:rPr>
      </w:pPr>
      <w:r w:rsidRPr="00DD7BE8">
        <w:rPr>
          <w:rFonts w:ascii="Palatino Linotype" w:hAnsi="Palatino Linotype"/>
          <w:i/>
        </w:rPr>
        <w:t>V. Aquella cuya divulgación obstruya o pueda causar un serio perjuicio a:</w:t>
      </w:r>
    </w:p>
    <w:p w14:paraId="354DD90E" w14:textId="77777777" w:rsidR="000A0887" w:rsidRPr="00DD7BE8" w:rsidRDefault="000A0887" w:rsidP="00DD7BE8">
      <w:pPr>
        <w:shd w:val="clear" w:color="auto" w:fill="FFFFFF" w:themeFill="background1"/>
        <w:tabs>
          <w:tab w:val="left" w:pos="709"/>
        </w:tabs>
        <w:spacing w:line="360" w:lineRule="auto"/>
        <w:ind w:left="567" w:right="567"/>
        <w:contextualSpacing/>
        <w:jc w:val="both"/>
        <w:rPr>
          <w:rFonts w:ascii="Palatino Linotype" w:hAnsi="Palatino Linotype"/>
          <w:i/>
        </w:rPr>
      </w:pPr>
      <w:r w:rsidRPr="00DD7BE8">
        <w:rPr>
          <w:rFonts w:ascii="Palatino Linotype" w:hAnsi="Palatino Linotype"/>
          <w:i/>
        </w:rPr>
        <w:t xml:space="preserve"> 1. Las actividades de fiscalización, verificación, inspección, comprobación y auditoría sobre el cumplimiento de las Leyes; o</w:t>
      </w:r>
    </w:p>
    <w:p w14:paraId="715AE011" w14:textId="068CAE74" w:rsidR="009376E4" w:rsidRPr="00DD7BE8" w:rsidRDefault="000A0887" w:rsidP="00DD7BE8">
      <w:pPr>
        <w:shd w:val="clear" w:color="auto" w:fill="FFFFFF" w:themeFill="background1"/>
        <w:tabs>
          <w:tab w:val="left" w:pos="709"/>
        </w:tabs>
        <w:spacing w:line="360" w:lineRule="auto"/>
        <w:ind w:left="567" w:right="567"/>
        <w:contextualSpacing/>
        <w:jc w:val="both"/>
        <w:rPr>
          <w:rFonts w:ascii="Palatino Linotype" w:hAnsi="Palatino Linotype"/>
          <w:i/>
        </w:rPr>
      </w:pPr>
      <w:r w:rsidRPr="00DD7BE8">
        <w:rPr>
          <w:rFonts w:ascii="Palatino Linotype" w:hAnsi="Palatino Linotype"/>
          <w:i/>
        </w:rPr>
        <w:t xml:space="preserve"> 2. La recaudación de las contribuciones.</w:t>
      </w:r>
    </w:p>
    <w:p w14:paraId="7C35D8B9" w14:textId="77777777" w:rsidR="000A0887" w:rsidRPr="00DD7BE8" w:rsidRDefault="000A0887" w:rsidP="00DD7BE8">
      <w:pPr>
        <w:shd w:val="clear" w:color="auto" w:fill="FFFFFF" w:themeFill="background1"/>
        <w:tabs>
          <w:tab w:val="left" w:pos="709"/>
        </w:tabs>
        <w:spacing w:line="360" w:lineRule="auto"/>
        <w:ind w:left="567" w:right="567"/>
        <w:contextualSpacing/>
        <w:jc w:val="both"/>
        <w:rPr>
          <w:rFonts w:ascii="Palatino Linotype" w:hAnsi="Palatino Linotype" w:cs="Tahoma"/>
          <w:iCs/>
          <w:lang w:val="es-ES"/>
        </w:rPr>
      </w:pPr>
    </w:p>
    <w:p w14:paraId="75714BE3" w14:textId="425B8F2B" w:rsidR="009376E4" w:rsidRPr="00DD7BE8" w:rsidRDefault="000A0887" w:rsidP="00DD7BE8">
      <w:pPr>
        <w:shd w:val="clear" w:color="auto" w:fill="FFFFFF" w:themeFill="background1"/>
        <w:tabs>
          <w:tab w:val="left" w:pos="709"/>
        </w:tabs>
        <w:spacing w:line="360" w:lineRule="auto"/>
        <w:ind w:left="567" w:right="567"/>
        <w:contextualSpacing/>
        <w:jc w:val="both"/>
        <w:rPr>
          <w:rFonts w:ascii="Palatino Linotype" w:hAnsi="Palatino Linotype" w:cs="Tahoma"/>
          <w:i/>
          <w:iCs/>
          <w:lang w:val="es-ES"/>
        </w:rPr>
      </w:pPr>
      <w:r w:rsidRPr="00DD7BE8">
        <w:rPr>
          <w:rFonts w:ascii="Palatino Linotype" w:hAnsi="Palatino Linotype" w:cs="Tahoma"/>
          <w:i/>
          <w:iCs/>
          <w:lang w:val="es-ES"/>
        </w:rPr>
        <w:t xml:space="preserve"> </w:t>
      </w:r>
      <w:r w:rsidR="009376E4" w:rsidRPr="00DD7BE8">
        <w:rPr>
          <w:rFonts w:ascii="Palatino Linotype" w:hAnsi="Palatino Linotype" w:cs="Tahoma"/>
          <w:i/>
          <w:iCs/>
          <w:lang w:val="es-ES"/>
        </w:rPr>
        <w:t xml:space="preserve">(…)” </w:t>
      </w:r>
    </w:p>
    <w:p w14:paraId="16793C1A" w14:textId="77777777" w:rsidR="009376E4" w:rsidRPr="00DD7BE8" w:rsidRDefault="009376E4" w:rsidP="00DD7BE8">
      <w:pPr>
        <w:spacing w:line="360" w:lineRule="auto"/>
        <w:rPr>
          <w:rFonts w:ascii="Palatino Linotype" w:eastAsia="Calibri" w:hAnsi="Palatino Linotype" w:cs="Tahoma"/>
          <w:iCs/>
          <w:lang w:eastAsia="es-ES_tradnl"/>
        </w:rPr>
      </w:pPr>
    </w:p>
    <w:p w14:paraId="44037601" w14:textId="5D369AA3" w:rsidR="009376E4" w:rsidRPr="00DD7BE8" w:rsidRDefault="009376E4" w:rsidP="00DD7BE8">
      <w:pPr>
        <w:numPr>
          <w:ilvl w:val="0"/>
          <w:numId w:val="1"/>
        </w:numPr>
        <w:shd w:val="clear" w:color="auto" w:fill="FFFFFF" w:themeFill="background1"/>
        <w:spacing w:line="360" w:lineRule="auto"/>
        <w:ind w:left="0" w:firstLine="0"/>
        <w:contextualSpacing/>
        <w:jc w:val="both"/>
        <w:rPr>
          <w:rFonts w:ascii="Palatino Linotype" w:hAnsi="Palatino Linotype" w:cs="Tahoma"/>
        </w:rPr>
      </w:pPr>
      <w:r w:rsidRPr="00DD7BE8">
        <w:rPr>
          <w:rFonts w:ascii="Palatino Linotype" w:eastAsia="Calibri" w:hAnsi="Palatino Linotype" w:cs="Tahoma"/>
          <w:iCs/>
          <w:lang w:eastAsia="es-ES_tradnl"/>
        </w:rPr>
        <w:t xml:space="preserve">De dicho precepto normativo se desprende que podrá clasificarse como información reservada aquella cuya publicación </w:t>
      </w:r>
      <w:r w:rsidR="000A0887" w:rsidRPr="00DD7BE8">
        <w:rPr>
          <w:rFonts w:ascii="Palatino Linotype" w:eastAsia="Calibri" w:hAnsi="Palatino Linotype" w:cs="Tahoma"/>
          <w:iCs/>
          <w:lang w:eastAsia="es-ES_tradnl"/>
        </w:rPr>
        <w:t xml:space="preserve">obstruya o pueda causar un perjuicio a las actividades de fiscalización, verificación, comprobación y auditoria; </w:t>
      </w:r>
      <w:r w:rsidRPr="00DD7BE8">
        <w:rPr>
          <w:rFonts w:ascii="Palatino Linotype" w:eastAsia="Calibri" w:hAnsi="Palatino Linotype" w:cs="Tahoma"/>
          <w:iCs/>
          <w:lang w:eastAsia="es-ES_tradnl"/>
        </w:rPr>
        <w:t xml:space="preserve">y </w:t>
      </w:r>
      <w:r w:rsidR="000A0887" w:rsidRPr="00DD7BE8">
        <w:rPr>
          <w:rFonts w:ascii="Palatino Linotype" w:eastAsia="Calibri" w:hAnsi="Palatino Linotype" w:cs="Tahoma"/>
          <w:iCs/>
          <w:lang w:eastAsia="es-ES_tradnl"/>
        </w:rPr>
        <w:t xml:space="preserve">que  a su </w:t>
      </w:r>
      <w:r w:rsidRPr="00DD7BE8">
        <w:rPr>
          <w:rFonts w:ascii="Palatino Linotype" w:eastAsia="Calibri" w:hAnsi="Palatino Linotype" w:cs="Tahoma"/>
          <w:iCs/>
          <w:lang w:eastAsia="es-ES_tradnl"/>
        </w:rPr>
        <w:t>cuente con un propósito genuino y un efecto demostrable.</w:t>
      </w:r>
    </w:p>
    <w:p w14:paraId="53D2E5EB" w14:textId="77777777" w:rsidR="009376E4" w:rsidRPr="00DD7BE8" w:rsidRDefault="009376E4" w:rsidP="00DD7BE8">
      <w:pPr>
        <w:shd w:val="clear" w:color="auto" w:fill="FFFFFF" w:themeFill="background1"/>
        <w:spacing w:line="360" w:lineRule="auto"/>
        <w:contextualSpacing/>
        <w:jc w:val="both"/>
        <w:rPr>
          <w:rFonts w:ascii="Palatino Linotype" w:hAnsi="Palatino Linotype" w:cs="Tahoma"/>
        </w:rPr>
      </w:pPr>
    </w:p>
    <w:p w14:paraId="5CCB553E" w14:textId="77777777" w:rsidR="009376E4" w:rsidRPr="00DD7BE8" w:rsidRDefault="009376E4" w:rsidP="00DD7BE8">
      <w:pPr>
        <w:numPr>
          <w:ilvl w:val="0"/>
          <w:numId w:val="1"/>
        </w:numPr>
        <w:shd w:val="clear" w:color="auto" w:fill="FFFFFF" w:themeFill="background1"/>
        <w:spacing w:line="360" w:lineRule="auto"/>
        <w:ind w:left="0" w:firstLine="0"/>
        <w:contextualSpacing/>
        <w:jc w:val="both"/>
        <w:rPr>
          <w:rFonts w:ascii="Palatino Linotype" w:hAnsi="Palatino Linotype" w:cs="Tahoma"/>
        </w:rPr>
      </w:pPr>
      <w:r w:rsidRPr="00DD7BE8">
        <w:rPr>
          <w:rFonts w:ascii="Palatino Linotype" w:eastAsia="Calibri" w:hAnsi="Palatino Linotype" w:cs="Tahoma"/>
          <w:iCs/>
          <w:lang w:eastAsia="es-ES_tradnl"/>
        </w:rPr>
        <w:t xml:space="preserve">Por su parte, los </w:t>
      </w:r>
      <w:r w:rsidRPr="00DD7BE8">
        <w:rPr>
          <w:rFonts w:ascii="Palatino Linotype" w:eastAsia="Calibri" w:hAnsi="Palatino Linotype" w:cs="Tahoma"/>
          <w:bCs/>
          <w:iCs/>
          <w:lang w:eastAsia="es-ES_tradnl"/>
        </w:rPr>
        <w:t>Lineamientos Generales, disponen:</w:t>
      </w:r>
    </w:p>
    <w:p w14:paraId="7F920270" w14:textId="77777777" w:rsidR="009376E4" w:rsidRPr="00DD7BE8" w:rsidRDefault="009376E4" w:rsidP="00DD7BE8">
      <w:pPr>
        <w:spacing w:line="360" w:lineRule="auto"/>
        <w:jc w:val="both"/>
        <w:rPr>
          <w:rFonts w:ascii="Palatino Linotype" w:eastAsia="Calibri" w:hAnsi="Palatino Linotype" w:cs="Tahoma"/>
          <w:bCs/>
          <w:lang w:eastAsia="en-US"/>
        </w:rPr>
      </w:pPr>
    </w:p>
    <w:p w14:paraId="7B905EF5" w14:textId="77777777" w:rsidR="000A0887" w:rsidRPr="00DD7BE8" w:rsidRDefault="009376E4" w:rsidP="00DD7BE8">
      <w:pPr>
        <w:tabs>
          <w:tab w:val="left" w:pos="4962"/>
        </w:tabs>
        <w:spacing w:line="360" w:lineRule="auto"/>
        <w:ind w:left="567" w:right="567"/>
        <w:jc w:val="both"/>
        <w:rPr>
          <w:rFonts w:ascii="Palatino Linotype" w:hAnsi="Palatino Linotype"/>
          <w:i/>
        </w:rPr>
      </w:pPr>
      <w:r w:rsidRPr="00DD7BE8">
        <w:rPr>
          <w:rFonts w:ascii="Palatino Linotype" w:eastAsia="Calibri" w:hAnsi="Palatino Linotype" w:cs="Tahoma"/>
          <w:b/>
          <w:i/>
          <w:iCs/>
          <w:lang w:val="es-ES" w:eastAsia="es-ES_tradnl"/>
        </w:rPr>
        <w:t>“</w:t>
      </w:r>
      <w:r w:rsidR="000A0887" w:rsidRPr="00DD7BE8">
        <w:rPr>
          <w:rFonts w:ascii="Palatino Linotype" w:hAnsi="Palatino Linotype"/>
          <w:b/>
          <w:i/>
        </w:rPr>
        <w:t>Vigésimo cuarto</w:t>
      </w:r>
      <w:r w:rsidR="000A0887" w:rsidRPr="00DD7BE8">
        <w:rPr>
          <w:rFonts w:ascii="Palatino Linotype" w:hAnsi="Palatino Linotype"/>
          <w:i/>
        </w:rPr>
        <w:t>. De conformidad con el artículo 113, fracción VI de la Ley General, podrá considerarse como reservada, aquella información que obstruya las actividades de verificación, inspección y auditoría relativas al cumplimiento de las leyes, cuando se actualicen los siguientes elementos:</w:t>
      </w:r>
    </w:p>
    <w:p w14:paraId="1AC0188D" w14:textId="77777777" w:rsidR="000A0887" w:rsidRPr="00DD7BE8" w:rsidRDefault="000A0887" w:rsidP="00DD7BE8">
      <w:pPr>
        <w:tabs>
          <w:tab w:val="left" w:pos="4962"/>
        </w:tabs>
        <w:spacing w:line="360" w:lineRule="auto"/>
        <w:ind w:left="567" w:right="567"/>
        <w:jc w:val="both"/>
        <w:rPr>
          <w:rFonts w:ascii="Palatino Linotype" w:hAnsi="Palatino Linotype"/>
          <w:i/>
        </w:rPr>
      </w:pPr>
    </w:p>
    <w:p w14:paraId="567A91CB" w14:textId="77777777" w:rsidR="000A0887" w:rsidRPr="00DD7BE8" w:rsidRDefault="000A0887" w:rsidP="00DD7BE8">
      <w:pPr>
        <w:tabs>
          <w:tab w:val="left" w:pos="4962"/>
        </w:tabs>
        <w:spacing w:line="360" w:lineRule="auto"/>
        <w:ind w:left="567" w:right="567"/>
        <w:jc w:val="both"/>
        <w:rPr>
          <w:rFonts w:ascii="Palatino Linotype" w:hAnsi="Palatino Linotype"/>
          <w:i/>
        </w:rPr>
      </w:pPr>
      <w:r w:rsidRPr="00DD7BE8">
        <w:rPr>
          <w:rFonts w:ascii="Palatino Linotype" w:hAnsi="Palatino Linotype"/>
          <w:i/>
        </w:rPr>
        <w:t xml:space="preserve"> I. La existencia de un procedimiento de verificación del cumplimiento de las leyes; </w:t>
      </w:r>
    </w:p>
    <w:p w14:paraId="1AF79B1A" w14:textId="77777777" w:rsidR="000A0887" w:rsidRPr="00DD7BE8" w:rsidRDefault="000A0887" w:rsidP="00DD7BE8">
      <w:pPr>
        <w:tabs>
          <w:tab w:val="left" w:pos="4962"/>
        </w:tabs>
        <w:spacing w:line="360" w:lineRule="auto"/>
        <w:ind w:left="567" w:right="567"/>
        <w:jc w:val="both"/>
        <w:rPr>
          <w:rFonts w:ascii="Palatino Linotype" w:hAnsi="Palatino Linotype"/>
          <w:i/>
        </w:rPr>
      </w:pPr>
      <w:r w:rsidRPr="00DD7BE8">
        <w:rPr>
          <w:rFonts w:ascii="Palatino Linotype" w:hAnsi="Palatino Linotype"/>
          <w:i/>
        </w:rPr>
        <w:t xml:space="preserve">II. Que el procedimiento se encuentre en trámite; </w:t>
      </w:r>
    </w:p>
    <w:p w14:paraId="7AE942D7" w14:textId="77777777" w:rsidR="000A0887" w:rsidRPr="00DD7BE8" w:rsidRDefault="000A0887" w:rsidP="00DD7BE8">
      <w:pPr>
        <w:tabs>
          <w:tab w:val="left" w:pos="4962"/>
        </w:tabs>
        <w:spacing w:line="360" w:lineRule="auto"/>
        <w:ind w:left="567" w:right="567"/>
        <w:jc w:val="both"/>
        <w:rPr>
          <w:rFonts w:ascii="Palatino Linotype" w:hAnsi="Palatino Linotype"/>
          <w:i/>
        </w:rPr>
      </w:pPr>
      <w:r w:rsidRPr="00DD7BE8">
        <w:rPr>
          <w:rFonts w:ascii="Palatino Linotype" w:hAnsi="Palatino Linotype"/>
          <w:i/>
        </w:rPr>
        <w:t>III. La vinculación directa con las actividades que realiza la autoridad en el procedimiento de verificación del cumplimiento de las leyes, y</w:t>
      </w:r>
    </w:p>
    <w:p w14:paraId="716956F4" w14:textId="25CBD16A" w:rsidR="009376E4" w:rsidRPr="00DD7BE8" w:rsidRDefault="000A0887" w:rsidP="00DD7BE8">
      <w:pPr>
        <w:tabs>
          <w:tab w:val="left" w:pos="4962"/>
        </w:tabs>
        <w:spacing w:line="360" w:lineRule="auto"/>
        <w:ind w:left="567" w:right="567"/>
        <w:jc w:val="both"/>
        <w:rPr>
          <w:rFonts w:ascii="Palatino Linotype" w:hAnsi="Palatino Linotype"/>
          <w:i/>
        </w:rPr>
      </w:pPr>
      <w:r w:rsidRPr="00DD7BE8">
        <w:rPr>
          <w:rFonts w:ascii="Palatino Linotype" w:hAnsi="Palatino Linotype"/>
          <w:i/>
        </w:rPr>
        <w:t>IV. Que la difusión de la información impida u obstaculice las actividades de inspección, supervisión o vigilancia que realicen las autoridades en el procedimiento de verificación del cumplimiento de las leyes.</w:t>
      </w:r>
      <w:r w:rsidR="009376E4" w:rsidRPr="00DD7BE8">
        <w:rPr>
          <w:rFonts w:ascii="Palatino Linotype" w:eastAsia="Calibri" w:hAnsi="Palatino Linotype" w:cs="Tahoma"/>
          <w:i/>
          <w:iCs/>
          <w:lang w:eastAsia="es-ES_tradnl"/>
        </w:rPr>
        <w:t>”</w:t>
      </w:r>
    </w:p>
    <w:p w14:paraId="7139AFAC" w14:textId="77777777" w:rsidR="009376E4" w:rsidRPr="00DD7BE8" w:rsidRDefault="009376E4" w:rsidP="00DD7BE8">
      <w:pPr>
        <w:spacing w:line="360" w:lineRule="auto"/>
        <w:jc w:val="both"/>
        <w:rPr>
          <w:rFonts w:ascii="Palatino Linotype" w:eastAsia="Calibri" w:hAnsi="Palatino Linotype" w:cs="Tahoma"/>
          <w:bCs/>
          <w:lang w:eastAsia="en-US"/>
        </w:rPr>
      </w:pPr>
    </w:p>
    <w:p w14:paraId="4D153C04" w14:textId="3AE48359" w:rsidR="009376E4" w:rsidRPr="00DD7BE8" w:rsidRDefault="009376E4" w:rsidP="00DD7BE8">
      <w:pPr>
        <w:numPr>
          <w:ilvl w:val="0"/>
          <w:numId w:val="1"/>
        </w:numPr>
        <w:spacing w:line="360" w:lineRule="auto"/>
        <w:ind w:left="0" w:firstLine="0"/>
        <w:contextualSpacing/>
        <w:jc w:val="both"/>
        <w:rPr>
          <w:rFonts w:ascii="Palatino Linotype" w:eastAsia="Calibri" w:hAnsi="Palatino Linotype" w:cs="Tahoma"/>
          <w:bCs/>
          <w:lang w:eastAsia="en-US"/>
        </w:rPr>
      </w:pPr>
      <w:r w:rsidRPr="00DD7BE8">
        <w:rPr>
          <w:rFonts w:ascii="Palatino Linotype" w:eastAsia="Calibri" w:hAnsi="Palatino Linotype" w:cs="Tahoma"/>
          <w:bCs/>
          <w:lang w:eastAsia="en-US"/>
        </w:rPr>
        <w:t xml:space="preserve">Así, es posible observar que podrá clasificarse como información reservada, aquélla que comprometa </w:t>
      </w:r>
      <w:r w:rsidR="000A0887" w:rsidRPr="00DD7BE8">
        <w:rPr>
          <w:rFonts w:ascii="Palatino Linotype" w:eastAsia="Calibri" w:hAnsi="Palatino Linotype" w:cs="Tahoma"/>
          <w:bCs/>
          <w:lang w:eastAsia="en-US"/>
        </w:rPr>
        <w:t xml:space="preserve">acciones de verificación, inspección o supervisión fiscalización por ministerio de Ley a cargo de las Autoridades correspondientes. </w:t>
      </w:r>
      <w:r w:rsidRPr="00DD7BE8">
        <w:rPr>
          <w:rFonts w:ascii="Palatino Linotype" w:eastAsia="Calibri" w:hAnsi="Palatino Linotype" w:cs="Tahoma"/>
          <w:bCs/>
          <w:lang w:eastAsia="en-US"/>
        </w:rPr>
        <w:t xml:space="preserve"> </w:t>
      </w:r>
    </w:p>
    <w:p w14:paraId="6435FB3A" w14:textId="77777777" w:rsidR="009376E4" w:rsidRPr="00DD7BE8" w:rsidRDefault="009376E4" w:rsidP="00DD7BE8">
      <w:pPr>
        <w:spacing w:line="360" w:lineRule="auto"/>
        <w:contextualSpacing/>
        <w:jc w:val="both"/>
        <w:rPr>
          <w:rFonts w:ascii="Palatino Linotype" w:eastAsia="Calibri" w:hAnsi="Palatino Linotype" w:cs="Tahoma"/>
          <w:bCs/>
          <w:lang w:eastAsia="en-US"/>
        </w:rPr>
      </w:pPr>
    </w:p>
    <w:p w14:paraId="05F3D5A3" w14:textId="200EB7E7" w:rsidR="009376E4" w:rsidRPr="00DD7BE8" w:rsidRDefault="009376E4" w:rsidP="00DD7BE8">
      <w:pPr>
        <w:numPr>
          <w:ilvl w:val="0"/>
          <w:numId w:val="1"/>
        </w:numPr>
        <w:spacing w:line="360" w:lineRule="auto"/>
        <w:ind w:left="0" w:firstLine="0"/>
        <w:contextualSpacing/>
        <w:jc w:val="both"/>
        <w:rPr>
          <w:rFonts w:ascii="Palatino Linotype" w:eastAsia="Calibri" w:hAnsi="Palatino Linotype" w:cs="Tahoma"/>
          <w:bCs/>
          <w:lang w:eastAsia="en-US"/>
        </w:rPr>
      </w:pPr>
      <w:r w:rsidRPr="00DD7BE8">
        <w:rPr>
          <w:rFonts w:ascii="Palatino Linotype" w:eastAsia="Calibri" w:hAnsi="Palatino Linotype" w:cs="Tahoma"/>
          <w:bCs/>
          <w:lang w:eastAsia="en-US"/>
        </w:rPr>
        <w:t xml:space="preserve">En ese orden de ideas, el artículo </w:t>
      </w:r>
      <w:r w:rsidR="00175CD0" w:rsidRPr="00DD7BE8">
        <w:rPr>
          <w:rFonts w:ascii="Palatino Linotype" w:eastAsia="Calibri" w:hAnsi="Palatino Linotype" w:cs="Tahoma"/>
          <w:bCs/>
          <w:lang w:eastAsia="en-US"/>
        </w:rPr>
        <w:t xml:space="preserve">5 de la Ley de Fiscalización Superior del Estado de México, </w:t>
      </w:r>
      <w:r w:rsidRPr="00DD7BE8">
        <w:rPr>
          <w:rFonts w:ascii="Palatino Linotype" w:eastAsia="Calibri" w:hAnsi="Palatino Linotype" w:cs="Tahoma"/>
          <w:bCs/>
          <w:lang w:eastAsia="en-US"/>
        </w:rPr>
        <w:t>establece lo siguiente:</w:t>
      </w:r>
    </w:p>
    <w:p w14:paraId="76578176" w14:textId="77777777" w:rsidR="009376E4" w:rsidRPr="00DD7BE8" w:rsidRDefault="009376E4" w:rsidP="00DD7BE8">
      <w:pPr>
        <w:spacing w:line="360" w:lineRule="auto"/>
        <w:jc w:val="both"/>
        <w:rPr>
          <w:rFonts w:ascii="Palatino Linotype" w:eastAsia="Calibri" w:hAnsi="Palatino Linotype" w:cs="Tahoma"/>
          <w:bCs/>
          <w:lang w:eastAsia="en-US"/>
        </w:rPr>
      </w:pPr>
    </w:p>
    <w:p w14:paraId="79F7717C" w14:textId="359A3A7A" w:rsidR="009376E4" w:rsidRPr="00DD7BE8" w:rsidRDefault="009376E4" w:rsidP="00DD7BE8">
      <w:pPr>
        <w:spacing w:line="360" w:lineRule="auto"/>
        <w:ind w:left="567" w:right="567"/>
        <w:jc w:val="both"/>
        <w:rPr>
          <w:rFonts w:ascii="Palatino Linotype" w:eastAsia="Calibri" w:hAnsi="Palatino Linotype" w:cs="Tahoma"/>
          <w:bCs/>
          <w:i/>
          <w:lang w:eastAsia="en-US"/>
        </w:rPr>
      </w:pPr>
      <w:r w:rsidRPr="00DD7BE8">
        <w:rPr>
          <w:rFonts w:ascii="Palatino Linotype" w:eastAsia="Calibri" w:hAnsi="Palatino Linotype" w:cs="Tahoma"/>
          <w:bCs/>
          <w:i/>
          <w:lang w:eastAsia="en-US"/>
        </w:rPr>
        <w:t>“</w:t>
      </w:r>
      <w:r w:rsidR="00175CD0" w:rsidRPr="00DD7BE8">
        <w:rPr>
          <w:rFonts w:ascii="Palatino Linotype" w:eastAsia="Calibri" w:hAnsi="Palatino Linotype" w:cs="Tahoma"/>
          <w:b/>
          <w:bCs/>
          <w:i/>
          <w:lang w:eastAsia="en-US"/>
        </w:rPr>
        <w:t>Artículo 5.</w:t>
      </w:r>
      <w:r w:rsidR="00175CD0" w:rsidRPr="00DD7BE8">
        <w:rPr>
          <w:rFonts w:ascii="Palatino Linotype" w:eastAsia="Calibri" w:hAnsi="Palatino Linotype" w:cs="Tahoma"/>
          <w:bCs/>
          <w:i/>
          <w:lang w:eastAsia="en-US"/>
        </w:rPr>
        <w:t xml:space="preserve"> La fiscalización superior se podrá realizar de manera contemporánea a la ejecución de actos de gobierno y la aplicación de recursos públicos en los casos que corresponda, así como de manera posterior </w:t>
      </w:r>
      <w:r w:rsidR="00175CD0" w:rsidRPr="00DD7BE8">
        <w:rPr>
          <w:rFonts w:ascii="Palatino Linotype" w:eastAsia="Calibri" w:hAnsi="Palatino Linotype" w:cs="Tahoma"/>
          <w:b/>
          <w:bCs/>
          <w:i/>
          <w:lang w:eastAsia="en-US"/>
        </w:rPr>
        <w:t>al término de cada ejercicio fiscal</w:t>
      </w:r>
      <w:r w:rsidR="00175CD0" w:rsidRPr="00DD7BE8">
        <w:rPr>
          <w:rFonts w:ascii="Palatino Linotype" w:eastAsia="Calibri" w:hAnsi="Palatino Linotype" w:cs="Tahoma"/>
          <w:bCs/>
          <w:i/>
          <w:lang w:eastAsia="en-US"/>
        </w:rPr>
        <w:t xml:space="preserve"> y a la </w:t>
      </w:r>
      <w:r w:rsidR="00175CD0" w:rsidRPr="00DD7BE8">
        <w:rPr>
          <w:rFonts w:ascii="Palatino Linotype" w:eastAsia="Calibri" w:hAnsi="Palatino Linotype" w:cs="Tahoma"/>
          <w:b/>
          <w:bCs/>
          <w:i/>
          <w:lang w:eastAsia="en-US"/>
        </w:rPr>
        <w:t>presentación de las cuentas públicas</w:t>
      </w:r>
      <w:r w:rsidR="00175CD0" w:rsidRPr="00DD7BE8">
        <w:rPr>
          <w:rFonts w:ascii="Palatino Linotype" w:eastAsia="Calibri" w:hAnsi="Palatino Linotype" w:cs="Tahoma"/>
          <w:bCs/>
          <w:i/>
          <w:lang w:eastAsia="en-US"/>
        </w:rPr>
        <w:t>, de manera externa, independiente y autónoma de cualquier forma de control y evaluación internos de las entidades fiscalizables y de conformidad con lo establecido en la presente Ley. Para efectos del párrafo anterior, el Órgano Superior podrá solicitar la información que considere necesaria para la adecuada planeación de la fiscalización</w:t>
      </w:r>
      <w:r w:rsidRPr="00DD7BE8">
        <w:rPr>
          <w:rFonts w:ascii="Palatino Linotype" w:eastAsia="Calibri" w:hAnsi="Palatino Linotype" w:cs="Tahoma"/>
          <w:bCs/>
          <w:i/>
          <w:lang w:eastAsia="en-US"/>
        </w:rPr>
        <w:t>.”</w:t>
      </w:r>
    </w:p>
    <w:p w14:paraId="24C9AA6B" w14:textId="77777777" w:rsidR="009376E4" w:rsidRPr="00DD7BE8" w:rsidRDefault="009376E4" w:rsidP="00DD7BE8">
      <w:pPr>
        <w:spacing w:line="360" w:lineRule="auto"/>
        <w:jc w:val="both"/>
        <w:rPr>
          <w:rFonts w:ascii="Palatino Linotype" w:eastAsia="Calibri" w:hAnsi="Palatino Linotype" w:cs="Tahoma"/>
          <w:bCs/>
          <w:lang w:eastAsia="en-US"/>
        </w:rPr>
      </w:pPr>
    </w:p>
    <w:p w14:paraId="03D93C4C" w14:textId="10021492" w:rsidR="00175CD0" w:rsidRPr="00DD7BE8" w:rsidRDefault="009376E4" w:rsidP="00DD7BE8">
      <w:pPr>
        <w:numPr>
          <w:ilvl w:val="0"/>
          <w:numId w:val="1"/>
        </w:numPr>
        <w:spacing w:line="360" w:lineRule="auto"/>
        <w:ind w:left="0" w:firstLine="0"/>
        <w:contextualSpacing/>
        <w:jc w:val="both"/>
        <w:rPr>
          <w:rFonts w:ascii="Palatino Linotype" w:eastAsia="Calibri" w:hAnsi="Palatino Linotype" w:cs="Tahoma"/>
          <w:bCs/>
          <w:lang w:eastAsia="en-US"/>
        </w:rPr>
      </w:pPr>
      <w:r w:rsidRPr="00DD7BE8">
        <w:rPr>
          <w:rFonts w:ascii="Palatino Linotype" w:eastAsia="Calibri" w:hAnsi="Palatino Linotype" w:cs="Tahoma"/>
          <w:bCs/>
          <w:lang w:eastAsia="en-US"/>
        </w:rPr>
        <w:t>De lo anterior, se logra desprender que</w:t>
      </w:r>
      <w:r w:rsidR="00175CD0" w:rsidRPr="00DD7BE8">
        <w:rPr>
          <w:rFonts w:ascii="Palatino Linotype" w:eastAsia="Calibri" w:hAnsi="Palatino Linotype" w:cs="Tahoma"/>
          <w:bCs/>
          <w:lang w:eastAsia="en-US"/>
        </w:rPr>
        <w:t xml:space="preserve"> el Órgano Superior de Fiscalización del Estado de México tiene facultades para realizar acciones de fiscalización en todo momento, no obstante la información solicitada, esto es, </w:t>
      </w:r>
      <w:r w:rsidR="00FD0836" w:rsidRPr="00DD7BE8">
        <w:rPr>
          <w:rFonts w:ascii="Palatino Linotype" w:eastAsia="Calibri" w:hAnsi="Palatino Linotype" w:cs="Tahoma"/>
          <w:bCs/>
          <w:lang w:eastAsia="en-US"/>
        </w:rPr>
        <w:t>cuantas bancarias, bancos, números de contratos, movimientos bancarios y conciliaciones de diversas fechas</w:t>
      </w:r>
      <w:r w:rsidR="00175CD0" w:rsidRPr="00DD7BE8">
        <w:rPr>
          <w:rFonts w:ascii="Palatino Linotype" w:eastAsia="Calibri" w:hAnsi="Palatino Linotype" w:cs="Tahoma"/>
          <w:bCs/>
          <w:lang w:eastAsia="en-US"/>
        </w:rPr>
        <w:t xml:space="preserve"> ya fue entregada mediante los informes mensuales que el Ayuntamiento de Coacalco de Berriozábal  en calidad de Sujeto Fiscalmente Obligado tiene obligación de generar conforme lo señala el artículo 2 fracción antes señalada:   </w:t>
      </w:r>
    </w:p>
    <w:p w14:paraId="3EAFCF77" w14:textId="77777777" w:rsidR="00175CD0" w:rsidRPr="00DD7BE8" w:rsidRDefault="00175CD0" w:rsidP="00DD7BE8">
      <w:pPr>
        <w:spacing w:line="360" w:lineRule="auto"/>
        <w:contextualSpacing/>
        <w:jc w:val="both"/>
        <w:rPr>
          <w:rFonts w:ascii="Palatino Linotype" w:eastAsia="Calibri" w:hAnsi="Palatino Linotype" w:cs="Tahoma"/>
          <w:bCs/>
          <w:lang w:eastAsia="en-US"/>
        </w:rPr>
      </w:pPr>
    </w:p>
    <w:p w14:paraId="3210A96A" w14:textId="5453BAC3" w:rsidR="00175CD0" w:rsidRPr="00DD7BE8" w:rsidRDefault="00175CD0" w:rsidP="00DD7BE8">
      <w:pPr>
        <w:spacing w:line="360" w:lineRule="auto"/>
        <w:ind w:left="567" w:right="616"/>
        <w:contextualSpacing/>
        <w:jc w:val="both"/>
        <w:rPr>
          <w:rFonts w:ascii="Palatino Linotype" w:hAnsi="Palatino Linotype"/>
          <w:i/>
        </w:rPr>
      </w:pPr>
      <w:r w:rsidRPr="00DD7BE8">
        <w:rPr>
          <w:rFonts w:ascii="Palatino Linotype" w:hAnsi="Palatino Linotype"/>
          <w:i/>
        </w:rPr>
        <w:t>“</w:t>
      </w:r>
      <w:r w:rsidRPr="00DD7BE8">
        <w:rPr>
          <w:rFonts w:ascii="Palatino Linotype" w:hAnsi="Palatino Linotype"/>
          <w:b/>
          <w:i/>
        </w:rPr>
        <w:t>Artículo 2.</w:t>
      </w:r>
      <w:r w:rsidRPr="00DD7BE8">
        <w:rPr>
          <w:rFonts w:ascii="Palatino Linotype" w:hAnsi="Palatino Linotype"/>
          <w:i/>
        </w:rPr>
        <w:t xml:space="preserve"> Para los efectos de la presente Ley, se entenderá por:</w:t>
      </w:r>
    </w:p>
    <w:p w14:paraId="79B6DB19" w14:textId="56B11DAF" w:rsidR="00175CD0" w:rsidRPr="00DD7BE8" w:rsidRDefault="00175CD0" w:rsidP="00DD7BE8">
      <w:pPr>
        <w:spacing w:line="360" w:lineRule="auto"/>
        <w:ind w:left="567" w:right="616"/>
        <w:contextualSpacing/>
        <w:jc w:val="both"/>
        <w:rPr>
          <w:rFonts w:ascii="Palatino Linotype" w:hAnsi="Palatino Linotype"/>
          <w:i/>
        </w:rPr>
      </w:pPr>
      <w:r w:rsidRPr="00DD7BE8">
        <w:rPr>
          <w:rFonts w:ascii="Palatino Linotype" w:hAnsi="Palatino Linotype"/>
          <w:i/>
        </w:rPr>
        <w:t>(…)</w:t>
      </w:r>
    </w:p>
    <w:p w14:paraId="42B46CCE" w14:textId="77777777" w:rsidR="00175CD0" w:rsidRPr="00DD7BE8" w:rsidRDefault="00175CD0" w:rsidP="00DD7BE8">
      <w:pPr>
        <w:spacing w:line="360" w:lineRule="auto"/>
        <w:ind w:left="567" w:right="616"/>
        <w:contextualSpacing/>
        <w:jc w:val="both"/>
        <w:rPr>
          <w:rFonts w:ascii="Palatino Linotype" w:hAnsi="Palatino Linotype"/>
          <w:i/>
        </w:rPr>
      </w:pPr>
      <w:r w:rsidRPr="00DD7BE8">
        <w:rPr>
          <w:rFonts w:ascii="Palatino Linotype" w:hAnsi="Palatino Linotype"/>
          <w:b/>
          <w:i/>
        </w:rPr>
        <w:t>XI.</w:t>
      </w:r>
      <w:r w:rsidRPr="00DD7BE8">
        <w:rPr>
          <w:rFonts w:ascii="Palatino Linotype" w:hAnsi="Palatino Linotype"/>
          <w:i/>
        </w:rPr>
        <w:t xml:space="preserve"> </w:t>
      </w:r>
      <w:r w:rsidRPr="00DD7BE8">
        <w:rPr>
          <w:rFonts w:ascii="Palatino Linotype" w:hAnsi="Palatino Linotype"/>
          <w:b/>
          <w:i/>
        </w:rPr>
        <w:t>Informe Mensual:</w:t>
      </w:r>
      <w:r w:rsidRPr="00DD7BE8">
        <w:rPr>
          <w:rFonts w:ascii="Palatino Linotype" w:hAnsi="Palatino Linotype"/>
          <w:i/>
        </w:rPr>
        <w:t xml:space="preserve"> Al documento que mensualmente envían para su análisis al Órgano Superior de Fiscalización de la Legislatura, las Tesorerías Municipales y la Secretaría de Finanzas;</w:t>
      </w:r>
    </w:p>
    <w:p w14:paraId="77004A3C" w14:textId="7726CAAF" w:rsidR="00175CD0" w:rsidRPr="00DD7BE8" w:rsidRDefault="00175CD0" w:rsidP="00DD7BE8">
      <w:pPr>
        <w:spacing w:line="360" w:lineRule="auto"/>
        <w:ind w:left="567" w:right="616"/>
        <w:contextualSpacing/>
        <w:jc w:val="both"/>
        <w:rPr>
          <w:rFonts w:ascii="Palatino Linotype" w:hAnsi="Palatino Linotype"/>
          <w:i/>
        </w:rPr>
      </w:pPr>
      <w:r w:rsidRPr="00DD7BE8">
        <w:rPr>
          <w:rFonts w:ascii="Palatino Linotype" w:hAnsi="Palatino Linotype"/>
          <w:i/>
        </w:rPr>
        <w:t>(…)”</w:t>
      </w:r>
    </w:p>
    <w:p w14:paraId="56A94734" w14:textId="1E06C213" w:rsidR="009376E4" w:rsidRPr="00DD7BE8" w:rsidRDefault="00DD7BE8" w:rsidP="00DD7BE8">
      <w:pPr>
        <w:spacing w:line="360" w:lineRule="auto"/>
        <w:contextualSpacing/>
        <w:jc w:val="center"/>
        <w:rPr>
          <w:rFonts w:ascii="Palatino Linotype" w:eastAsia="Calibri" w:hAnsi="Palatino Linotype" w:cs="Tahoma"/>
          <w:bCs/>
          <w:lang w:eastAsia="en-US"/>
        </w:rPr>
      </w:pPr>
      <w:r>
        <w:rPr>
          <w:rFonts w:ascii="Palatino Linotype" w:hAnsi="Palatino Linotype"/>
          <w:noProof/>
          <w:lang w:val="es-MX" w:eastAsia="es-MX"/>
        </w:rPr>
        <mc:AlternateContent>
          <mc:Choice Requires="wps">
            <w:drawing>
              <wp:anchor distT="0" distB="0" distL="114300" distR="114300" simplePos="0" relativeHeight="251662336" behindDoc="0" locked="0" layoutInCell="1" allowOverlap="1" wp14:anchorId="0450196A" wp14:editId="6C857B0A">
                <wp:simplePos x="0" y="0"/>
                <wp:positionH relativeFrom="column">
                  <wp:posOffset>25334</wp:posOffset>
                </wp:positionH>
                <wp:positionV relativeFrom="paragraph">
                  <wp:posOffset>5650344</wp:posOffset>
                </wp:positionV>
                <wp:extent cx="5520519" cy="1337480"/>
                <wp:effectExtent l="57150" t="38100" r="61595" b="91440"/>
                <wp:wrapNone/>
                <wp:docPr id="7" name="Conector recto 7"/>
                <wp:cNvGraphicFramePr/>
                <a:graphic xmlns:a="http://schemas.openxmlformats.org/drawingml/2006/main">
                  <a:graphicData uri="http://schemas.microsoft.com/office/word/2010/wordprocessingShape">
                    <wps:wsp>
                      <wps:cNvCnPr/>
                      <wps:spPr>
                        <a:xfrm flipH="1" flipV="1">
                          <a:off x="0" y="0"/>
                          <a:ext cx="5520519" cy="133748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7FB0A0DF" id="Conector recto 7" o:spid="_x0000_s1026" style="position:absolute;flip:x y;z-index:251662336;visibility:visible;mso-wrap-style:square;mso-wrap-distance-left:9pt;mso-wrap-distance-top:0;mso-wrap-distance-right:9pt;mso-wrap-distance-bottom:0;mso-position-horizontal:absolute;mso-position-horizontal-relative:text;mso-position-vertical:absolute;mso-position-vertical-relative:text" from="2pt,444.9pt" to="436.7pt,55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" strokecolor="#4f81bd [3204]" strokeweight="2pt">
                <v:shadow on="t" color="black" opacity="24903f" origin=",.5" offset="0,.55556mm"/>
              </v:line>
            </w:pict>
          </mc:Fallback>
        </mc:AlternateContent>
      </w:r>
      <w:r w:rsidR="00684BC3" w:rsidRPr="00DD7BE8">
        <w:rPr>
          <w:rFonts w:ascii="Palatino Linotype" w:hAnsi="Palatino Linotype"/>
          <w:noProof/>
          <w:lang w:val="es-MX" w:eastAsia="es-MX"/>
        </w:rPr>
        <w:drawing>
          <wp:inline distT="0" distB="0" distL="0" distR="0" wp14:anchorId="7781DD99" wp14:editId="24E63E89">
            <wp:extent cx="5495925" cy="6086901"/>
            <wp:effectExtent l="0" t="0" r="0"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srcRect l="61269" t="29874" r="5284" b="28183"/>
                    <a:stretch/>
                  </pic:blipFill>
                  <pic:spPr bwMode="auto">
                    <a:xfrm>
                      <a:off x="0" y="0"/>
                      <a:ext cx="5511043" cy="6103645"/>
                    </a:xfrm>
                    <a:prstGeom prst="rect">
                      <a:avLst/>
                    </a:prstGeom>
                    <a:ln>
                      <a:noFill/>
                    </a:ln>
                    <a:extLst>
                      <a:ext uri="{53640926-AAD7-44D8-BBD7-CCE9431645EC}">
                        <a14:shadowObscured xmlns:a14="http://schemas.microsoft.com/office/drawing/2010/main"/>
                      </a:ext>
                    </a:extLst>
                  </pic:spPr>
                </pic:pic>
              </a:graphicData>
            </a:graphic>
          </wp:inline>
        </w:drawing>
      </w:r>
    </w:p>
    <w:p w14:paraId="3B774ABE" w14:textId="77777777" w:rsidR="00684BC3" w:rsidRPr="00DD7BE8" w:rsidRDefault="00684BC3" w:rsidP="00DD7BE8">
      <w:pPr>
        <w:spacing w:line="360" w:lineRule="auto"/>
        <w:contextualSpacing/>
        <w:jc w:val="both"/>
        <w:rPr>
          <w:rFonts w:ascii="Palatino Linotype" w:eastAsia="Calibri" w:hAnsi="Palatino Linotype" w:cs="Tahoma"/>
          <w:bCs/>
          <w:lang w:eastAsia="en-US"/>
        </w:rPr>
      </w:pPr>
    </w:p>
    <w:p w14:paraId="2B060712" w14:textId="57CE1EF3" w:rsidR="00684BC3" w:rsidRPr="00DD7BE8" w:rsidRDefault="00684BC3" w:rsidP="00DD7BE8">
      <w:pPr>
        <w:spacing w:line="360" w:lineRule="auto"/>
        <w:ind w:firstLine="426"/>
        <w:contextualSpacing/>
        <w:jc w:val="both"/>
        <w:rPr>
          <w:rFonts w:ascii="Palatino Linotype" w:eastAsia="Calibri" w:hAnsi="Palatino Linotype" w:cs="Tahoma"/>
          <w:bCs/>
          <w:lang w:eastAsia="en-US"/>
        </w:rPr>
      </w:pPr>
      <w:r w:rsidRPr="00DD7BE8">
        <w:rPr>
          <w:rFonts w:ascii="Palatino Linotype" w:hAnsi="Palatino Linotype"/>
          <w:noProof/>
          <w:lang w:val="es-MX" w:eastAsia="es-MX"/>
        </w:rPr>
        <mc:AlternateContent>
          <mc:Choice Requires="wps">
            <w:drawing>
              <wp:anchor distT="0" distB="0" distL="114300" distR="114300" simplePos="0" relativeHeight="251661312" behindDoc="0" locked="0" layoutInCell="1" allowOverlap="1" wp14:anchorId="7BBCBCEB" wp14:editId="40252504">
                <wp:simplePos x="0" y="0"/>
                <wp:positionH relativeFrom="column">
                  <wp:posOffset>434340</wp:posOffset>
                </wp:positionH>
                <wp:positionV relativeFrom="paragraph">
                  <wp:posOffset>2028825</wp:posOffset>
                </wp:positionV>
                <wp:extent cx="2228850" cy="1190625"/>
                <wp:effectExtent l="57150" t="19050" r="76200" b="104775"/>
                <wp:wrapNone/>
                <wp:docPr id="6" name="Rectángulo 6"/>
                <wp:cNvGraphicFramePr/>
                <a:graphic xmlns:a="http://schemas.openxmlformats.org/drawingml/2006/main">
                  <a:graphicData uri="http://schemas.microsoft.com/office/word/2010/wordprocessingShape">
                    <wps:wsp>
                      <wps:cNvSpPr/>
                      <wps:spPr>
                        <a:xfrm>
                          <a:off x="0" y="0"/>
                          <a:ext cx="2228850" cy="1190625"/>
                        </a:xfrm>
                        <a:prstGeom prst="rect">
                          <a:avLst/>
                        </a:prstGeom>
                        <a:noFill/>
                        <a:ln w="1905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8C71001" id="Rectángulo 6" o:spid="_x0000_s1026" style="position:absolute;margin-left:34.2pt;margin-top:159.75pt;width:175.5pt;height:93.7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" filled="f" strokecolor="red" strokeweight="1.5pt">
                <v:shadow on="t" color="black" opacity="22937f" origin=",.5" offset="0,.63889mm"/>
              </v:rect>
            </w:pict>
          </mc:Fallback>
        </mc:AlternateContent>
      </w:r>
      <w:r w:rsidRPr="00DD7BE8">
        <w:rPr>
          <w:rFonts w:ascii="Palatino Linotype" w:hAnsi="Palatino Linotype"/>
          <w:noProof/>
          <w:lang w:val="es-MX" w:eastAsia="es-MX"/>
        </w:rPr>
        <w:drawing>
          <wp:inline distT="0" distB="0" distL="0" distR="0" wp14:anchorId="0B5AC51B" wp14:editId="79CD467E">
            <wp:extent cx="5076825" cy="600583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1"/>
                    <a:srcRect l="62097" t="25045" r="5335" b="6457"/>
                    <a:stretch/>
                  </pic:blipFill>
                  <pic:spPr bwMode="auto">
                    <a:xfrm>
                      <a:off x="0" y="0"/>
                      <a:ext cx="5086035" cy="6016725"/>
                    </a:xfrm>
                    <a:prstGeom prst="rect">
                      <a:avLst/>
                    </a:prstGeom>
                    <a:ln>
                      <a:noFill/>
                    </a:ln>
                    <a:extLst>
                      <a:ext uri="{53640926-AAD7-44D8-BBD7-CCE9431645EC}">
                        <a14:shadowObscured xmlns:a14="http://schemas.microsoft.com/office/drawing/2010/main"/>
                      </a:ext>
                    </a:extLst>
                  </pic:spPr>
                </pic:pic>
              </a:graphicData>
            </a:graphic>
          </wp:inline>
        </w:drawing>
      </w:r>
    </w:p>
    <w:p w14:paraId="1D49DDEE" w14:textId="4CDB4D76" w:rsidR="00FB03E9" w:rsidRPr="00DD7BE8" w:rsidRDefault="009376E4" w:rsidP="00DD7BE8">
      <w:pPr>
        <w:numPr>
          <w:ilvl w:val="0"/>
          <w:numId w:val="1"/>
        </w:numPr>
        <w:spacing w:line="360" w:lineRule="auto"/>
        <w:ind w:left="0" w:firstLine="0"/>
        <w:contextualSpacing/>
        <w:jc w:val="both"/>
        <w:rPr>
          <w:rFonts w:ascii="Palatino Linotype" w:eastAsia="Calibri" w:hAnsi="Palatino Linotype" w:cs="Tahoma"/>
          <w:bCs/>
          <w:lang w:eastAsia="en-US"/>
        </w:rPr>
      </w:pPr>
      <w:r w:rsidRPr="00DD7BE8">
        <w:rPr>
          <w:rFonts w:ascii="Palatino Linotype" w:eastAsia="Calibri" w:hAnsi="Palatino Linotype" w:cs="Tahoma"/>
          <w:bCs/>
          <w:lang w:eastAsia="en-US"/>
        </w:rPr>
        <w:t>En ese contexto, el área que se pronunció</w:t>
      </w:r>
      <w:r w:rsidRPr="00DD7BE8">
        <w:rPr>
          <w:rFonts w:ascii="Palatino Linotype" w:eastAsia="Calibri" w:hAnsi="Palatino Linotype" w:cs="Tahoma"/>
          <w:bCs/>
          <w:iCs/>
          <w:lang w:eastAsia="en-US"/>
        </w:rPr>
        <w:t xml:space="preserve">, señaló que entregar la información </w:t>
      </w:r>
      <w:r w:rsidRPr="00DD7BE8">
        <w:rPr>
          <w:rFonts w:ascii="Palatino Linotype" w:eastAsia="Calibri" w:hAnsi="Palatino Linotype" w:cs="Tahoma"/>
          <w:bCs/>
          <w:i/>
          <w:iCs/>
          <w:lang w:eastAsia="en-US"/>
        </w:rPr>
        <w:t>“</w:t>
      </w:r>
      <w:r w:rsidR="00FB03E9" w:rsidRPr="00DD7BE8">
        <w:rPr>
          <w:rFonts w:ascii="Palatino Linotype" w:eastAsia="Calibri" w:hAnsi="Palatino Linotype" w:cs="Tahoma"/>
          <w:bCs/>
          <w:i/>
          <w:iCs/>
          <w:lang w:eastAsia="en-US"/>
        </w:rPr>
        <w:t>pone en peligro el correcto desarrollo de los procedimientos relacionados con el cumplimiento de los objetivos de la auditoria en mención”</w:t>
      </w:r>
      <w:r w:rsidRPr="00DD7BE8">
        <w:rPr>
          <w:rFonts w:ascii="Palatino Linotype" w:eastAsia="Calibri" w:hAnsi="Palatino Linotype" w:cs="Tahoma"/>
          <w:bCs/>
          <w:iCs/>
          <w:lang w:eastAsia="en-US"/>
        </w:rPr>
        <w:t>.</w:t>
      </w:r>
      <w:r w:rsidR="00FB03E9" w:rsidRPr="00DD7BE8">
        <w:rPr>
          <w:rFonts w:ascii="Palatino Linotype" w:eastAsia="Calibri" w:hAnsi="Palatino Linotype" w:cs="Tahoma"/>
          <w:bCs/>
          <w:lang w:eastAsia="en-US"/>
        </w:rPr>
        <w:t xml:space="preserve"> </w:t>
      </w:r>
      <w:r w:rsidRPr="00DD7BE8">
        <w:rPr>
          <w:rFonts w:ascii="Palatino Linotype" w:eastAsia="Calibri" w:hAnsi="Palatino Linotype" w:cs="Tahoma"/>
          <w:bCs/>
          <w:lang w:eastAsia="en-US"/>
        </w:rPr>
        <w:t xml:space="preserve">Al respecto, cabe precisar que proporcionar </w:t>
      </w:r>
      <w:r w:rsidR="00FB03E9" w:rsidRPr="00DD7BE8">
        <w:rPr>
          <w:rFonts w:ascii="Palatino Linotype" w:eastAsia="Calibri" w:hAnsi="Palatino Linotype" w:cs="Tahoma"/>
          <w:bCs/>
          <w:lang w:eastAsia="en-US"/>
        </w:rPr>
        <w:t>la información podría poner en riesgo las acciones de verificación si el ente fiscalizador</w:t>
      </w:r>
      <w:r w:rsidR="00654BCA" w:rsidRPr="00DD7BE8">
        <w:rPr>
          <w:rFonts w:ascii="Palatino Linotype" w:eastAsia="Calibri" w:hAnsi="Palatino Linotype" w:cs="Tahoma"/>
          <w:bCs/>
          <w:lang w:eastAsia="en-US"/>
        </w:rPr>
        <w:t xml:space="preserve"> un</w:t>
      </w:r>
      <w:r w:rsidR="00FB03E9" w:rsidRPr="00DD7BE8">
        <w:rPr>
          <w:rFonts w:ascii="Palatino Linotype" w:eastAsia="Calibri" w:hAnsi="Palatino Linotype" w:cs="Tahoma"/>
          <w:bCs/>
          <w:lang w:eastAsia="en-US"/>
        </w:rPr>
        <w:t xml:space="preserve"> no tuviera acceso a la información </w:t>
      </w:r>
      <w:r w:rsidR="00654BCA" w:rsidRPr="00DD7BE8">
        <w:rPr>
          <w:rFonts w:ascii="Palatino Linotype" w:eastAsia="Calibri" w:hAnsi="Palatino Linotype" w:cs="Tahoma"/>
          <w:bCs/>
          <w:lang w:eastAsia="en-US"/>
        </w:rPr>
        <w:t xml:space="preserve"> a fiscalizar </w:t>
      </w:r>
      <w:r w:rsidR="00FB03E9" w:rsidRPr="00DD7BE8">
        <w:rPr>
          <w:rFonts w:ascii="Palatino Linotype" w:eastAsia="Calibri" w:hAnsi="Palatino Linotype" w:cs="Tahoma"/>
          <w:bCs/>
          <w:lang w:eastAsia="en-US"/>
        </w:rPr>
        <w:t xml:space="preserve">por parte del ente </w:t>
      </w:r>
      <w:proofErr w:type="spellStart"/>
      <w:r w:rsidR="00FB03E9" w:rsidRPr="00DD7BE8">
        <w:rPr>
          <w:rFonts w:ascii="Palatino Linotype" w:eastAsia="Calibri" w:hAnsi="Palatino Linotype" w:cs="Tahoma"/>
          <w:bCs/>
          <w:lang w:eastAsia="en-US"/>
        </w:rPr>
        <w:t>fiscalizado</w:t>
      </w:r>
      <w:proofErr w:type="spellEnd"/>
      <w:r w:rsidR="00FB03E9" w:rsidRPr="00DD7BE8">
        <w:rPr>
          <w:rFonts w:ascii="Palatino Linotype" w:eastAsia="Calibri" w:hAnsi="Palatino Linotype" w:cs="Tahoma"/>
          <w:bCs/>
          <w:lang w:eastAsia="en-US"/>
        </w:rPr>
        <w:t xml:space="preserve">, </w:t>
      </w:r>
      <w:r w:rsidR="00654BCA" w:rsidRPr="00DD7BE8">
        <w:rPr>
          <w:rFonts w:ascii="Palatino Linotype" w:eastAsia="Calibri" w:hAnsi="Palatino Linotype" w:cs="Tahoma"/>
          <w:bCs/>
          <w:lang w:eastAsia="en-US"/>
        </w:rPr>
        <w:t xml:space="preserve">o proporcionara las métodos, estrategias o acciones de fiscalización </w:t>
      </w:r>
      <w:r w:rsidR="00FB03E9" w:rsidRPr="00DD7BE8">
        <w:rPr>
          <w:rFonts w:ascii="Palatino Linotype" w:eastAsia="Calibri" w:hAnsi="Palatino Linotype" w:cs="Tahoma"/>
          <w:bCs/>
          <w:lang w:eastAsia="en-US"/>
        </w:rPr>
        <w:t xml:space="preserve">lo que en el presente caso no ocurre, pues como ya se refirió la información solicitada es entregada </w:t>
      </w:r>
      <w:r w:rsidR="00654BCA" w:rsidRPr="00DD7BE8">
        <w:rPr>
          <w:rFonts w:ascii="Palatino Linotype" w:eastAsia="Calibri" w:hAnsi="Palatino Linotype" w:cs="Tahoma"/>
          <w:bCs/>
          <w:lang w:eastAsia="en-US"/>
        </w:rPr>
        <w:t xml:space="preserve">periódicamente </w:t>
      </w:r>
      <w:r w:rsidR="00FB03E9" w:rsidRPr="00DD7BE8">
        <w:rPr>
          <w:rFonts w:ascii="Palatino Linotype" w:eastAsia="Calibri" w:hAnsi="Palatino Linotype" w:cs="Tahoma"/>
          <w:bCs/>
          <w:lang w:eastAsia="en-US"/>
        </w:rPr>
        <w:t xml:space="preserve">por al </w:t>
      </w:r>
      <w:r w:rsidR="00FB03E9" w:rsidRPr="00DD7BE8">
        <w:rPr>
          <w:rFonts w:ascii="Palatino Linotype" w:eastAsia="Calibri" w:hAnsi="Palatino Linotype" w:cs="Tahoma"/>
          <w:b/>
          <w:bCs/>
          <w:lang w:eastAsia="en-US"/>
        </w:rPr>
        <w:t>OSFEM</w:t>
      </w:r>
      <w:r w:rsidR="00FB03E9" w:rsidRPr="00DD7BE8">
        <w:rPr>
          <w:rFonts w:ascii="Palatino Linotype" w:eastAsia="Calibri" w:hAnsi="Palatino Linotype" w:cs="Tahoma"/>
          <w:bCs/>
          <w:lang w:eastAsia="en-US"/>
        </w:rPr>
        <w:t>.</w:t>
      </w:r>
    </w:p>
    <w:p w14:paraId="4A546FA3" w14:textId="77777777" w:rsidR="00FB03E9" w:rsidRPr="00DD7BE8" w:rsidRDefault="00FB03E9" w:rsidP="00DD7BE8">
      <w:pPr>
        <w:spacing w:line="360" w:lineRule="auto"/>
        <w:contextualSpacing/>
        <w:jc w:val="both"/>
        <w:rPr>
          <w:rFonts w:ascii="Palatino Linotype" w:eastAsia="Calibri" w:hAnsi="Palatino Linotype" w:cs="Tahoma"/>
          <w:bCs/>
          <w:lang w:eastAsia="en-US"/>
        </w:rPr>
      </w:pPr>
    </w:p>
    <w:p w14:paraId="298B6AEB" w14:textId="72AB9A21" w:rsidR="000D3775" w:rsidRPr="00DD7BE8" w:rsidRDefault="009376E4" w:rsidP="00DD7BE8">
      <w:pPr>
        <w:numPr>
          <w:ilvl w:val="0"/>
          <w:numId w:val="1"/>
        </w:numPr>
        <w:spacing w:line="360" w:lineRule="auto"/>
        <w:ind w:left="0" w:firstLine="0"/>
        <w:contextualSpacing/>
        <w:jc w:val="both"/>
        <w:rPr>
          <w:rFonts w:ascii="Palatino Linotype" w:eastAsia="Calibri" w:hAnsi="Palatino Linotype" w:cs="Tahoma"/>
          <w:b/>
          <w:bCs/>
          <w:lang w:eastAsia="en-US"/>
        </w:rPr>
      </w:pPr>
      <w:r w:rsidRPr="00DD7BE8">
        <w:rPr>
          <w:rFonts w:ascii="Palatino Linotype" w:eastAsia="Calibri" w:hAnsi="Palatino Linotype" w:cs="Tahoma"/>
          <w:bCs/>
          <w:lang w:eastAsia="en-US"/>
        </w:rPr>
        <w:t>En</w:t>
      </w:r>
      <w:r w:rsidR="000D3775" w:rsidRPr="00DD7BE8">
        <w:rPr>
          <w:rFonts w:ascii="Palatino Linotype" w:eastAsia="Calibri" w:hAnsi="Palatino Linotype" w:cs="Tahoma"/>
          <w:bCs/>
          <w:lang w:eastAsia="en-US"/>
        </w:rPr>
        <w:t xml:space="preserve"> efecto</w:t>
      </w:r>
      <w:r w:rsidRPr="00DD7BE8">
        <w:rPr>
          <w:rFonts w:ascii="Palatino Linotype" w:eastAsia="Calibri" w:hAnsi="Palatino Linotype" w:cs="Tahoma"/>
          <w:bCs/>
          <w:lang w:eastAsia="en-US"/>
        </w:rPr>
        <w:t>, si bien proporcionar</w:t>
      </w:r>
      <w:r w:rsidR="00FB03E9" w:rsidRPr="00DD7BE8">
        <w:rPr>
          <w:rFonts w:ascii="Palatino Linotype" w:eastAsia="Calibri" w:hAnsi="Palatino Linotype" w:cs="Tahoma"/>
          <w:bCs/>
          <w:lang w:eastAsia="en-US"/>
        </w:rPr>
        <w:t xml:space="preserve"> la información solicitada pudiera estar inmersa en el cumulo de información</w:t>
      </w:r>
      <w:r w:rsidR="00684BC3" w:rsidRPr="00DD7BE8">
        <w:rPr>
          <w:rFonts w:ascii="Palatino Linotype" w:eastAsia="Calibri" w:hAnsi="Palatino Linotype" w:cs="Tahoma"/>
          <w:bCs/>
          <w:lang w:eastAsia="en-US"/>
        </w:rPr>
        <w:t xml:space="preserve"> a </w:t>
      </w:r>
      <w:r w:rsidR="00FB03E9" w:rsidRPr="00DD7BE8">
        <w:rPr>
          <w:rFonts w:ascii="Palatino Linotype" w:eastAsia="Calibri" w:hAnsi="Palatino Linotype" w:cs="Tahoma"/>
          <w:bCs/>
          <w:lang w:eastAsia="en-US"/>
        </w:rPr>
        <w:t xml:space="preserve"> fiscaliza</w:t>
      </w:r>
      <w:r w:rsidR="00684BC3" w:rsidRPr="00DD7BE8">
        <w:rPr>
          <w:rFonts w:ascii="Palatino Linotype" w:eastAsia="Calibri" w:hAnsi="Palatino Linotype" w:cs="Tahoma"/>
          <w:bCs/>
          <w:lang w:eastAsia="en-US"/>
        </w:rPr>
        <w:t>r</w:t>
      </w:r>
      <w:r w:rsidRPr="00DD7BE8">
        <w:rPr>
          <w:rFonts w:ascii="Palatino Linotype" w:eastAsia="Calibri" w:hAnsi="Palatino Linotype" w:cs="Tahoma"/>
          <w:bCs/>
          <w:lang w:eastAsia="en-US"/>
        </w:rPr>
        <w:t>, también lo es que este Instituto no advierte de qué</w:t>
      </w:r>
      <w:r w:rsidR="00FB03E9" w:rsidRPr="00DD7BE8">
        <w:rPr>
          <w:rFonts w:ascii="Palatino Linotype" w:eastAsia="Calibri" w:hAnsi="Palatino Linotype" w:cs="Tahoma"/>
          <w:bCs/>
          <w:lang w:eastAsia="en-US"/>
        </w:rPr>
        <w:t xml:space="preserve"> forma</w:t>
      </w:r>
      <w:r w:rsidR="00654BCA" w:rsidRPr="00DD7BE8">
        <w:rPr>
          <w:rFonts w:ascii="Palatino Linotype" w:eastAsia="Calibri" w:hAnsi="Palatino Linotype" w:cs="Tahoma"/>
          <w:bCs/>
          <w:lang w:eastAsia="en-US"/>
        </w:rPr>
        <w:t xml:space="preserve"> otorgar </w:t>
      </w:r>
      <w:r w:rsidR="00FB03E9" w:rsidRPr="00DD7BE8">
        <w:rPr>
          <w:rFonts w:ascii="Palatino Linotype" w:eastAsia="Calibri" w:hAnsi="Palatino Linotype" w:cs="Tahoma"/>
          <w:bCs/>
          <w:lang w:eastAsia="en-US"/>
        </w:rPr>
        <w:t xml:space="preserve"> las</w:t>
      </w:r>
      <w:r w:rsidRPr="00DD7BE8">
        <w:rPr>
          <w:rFonts w:ascii="Palatino Linotype" w:eastAsia="Calibri" w:hAnsi="Palatino Linotype" w:cs="Tahoma"/>
          <w:bCs/>
          <w:lang w:eastAsia="en-US"/>
        </w:rPr>
        <w:t xml:space="preserve"> </w:t>
      </w:r>
      <w:r w:rsidR="00FB03E9" w:rsidRPr="00DD7BE8">
        <w:rPr>
          <w:rFonts w:ascii="Palatino Linotype" w:eastAsia="Times New Roman" w:hAnsi="Palatino Linotype" w:cs="Times New Roman"/>
        </w:rPr>
        <w:t>cuentas bancarias, bancos, números de contratos, movimientos bancarios y conciliaciones de diversas fechas</w:t>
      </w:r>
      <w:r w:rsidR="00FB03E9" w:rsidRPr="00DD7BE8">
        <w:rPr>
          <w:rFonts w:ascii="Palatino Linotype" w:eastAsia="Calibri" w:hAnsi="Palatino Linotype" w:cs="Tahoma"/>
          <w:bCs/>
          <w:lang w:eastAsia="en-US"/>
        </w:rPr>
        <w:t xml:space="preserve">, </w:t>
      </w:r>
      <w:r w:rsidR="00654BCA" w:rsidRPr="00DD7BE8">
        <w:rPr>
          <w:rFonts w:ascii="Palatino Linotype" w:eastAsia="Calibri" w:hAnsi="Palatino Linotype" w:cs="Tahoma"/>
          <w:b/>
          <w:iCs/>
          <w:lang w:val="es-ES" w:eastAsia="es-ES_tradnl"/>
        </w:rPr>
        <w:t>dé</w:t>
      </w:r>
      <w:r w:rsidRPr="00DD7BE8">
        <w:rPr>
          <w:rFonts w:ascii="Palatino Linotype" w:eastAsia="Calibri" w:hAnsi="Palatino Linotype" w:cs="Tahoma"/>
          <w:b/>
          <w:iCs/>
          <w:lang w:val="es-ES" w:eastAsia="es-ES_tradnl"/>
        </w:rPr>
        <w:t xml:space="preserve"> c</w:t>
      </w:r>
      <w:r w:rsidR="00654BCA" w:rsidRPr="00DD7BE8">
        <w:rPr>
          <w:rFonts w:ascii="Palatino Linotype" w:eastAsia="Calibri" w:hAnsi="Palatino Linotype" w:cs="Tahoma"/>
          <w:b/>
          <w:iCs/>
          <w:lang w:val="es-ES" w:eastAsia="es-ES_tradnl"/>
        </w:rPr>
        <w:t>uenta de la forma de actuación</w:t>
      </w:r>
      <w:r w:rsidR="00684BC3" w:rsidRPr="00DD7BE8">
        <w:rPr>
          <w:rFonts w:ascii="Palatino Linotype" w:eastAsia="Calibri" w:hAnsi="Palatino Linotype" w:cs="Tahoma"/>
          <w:b/>
          <w:iCs/>
          <w:lang w:val="es-ES" w:eastAsia="es-ES_tradnl"/>
        </w:rPr>
        <w:t xml:space="preserve"> o capacidad de verificación </w:t>
      </w:r>
      <w:r w:rsidR="00654BCA" w:rsidRPr="00DD7BE8">
        <w:rPr>
          <w:rFonts w:ascii="Palatino Linotype" w:eastAsia="Calibri" w:hAnsi="Palatino Linotype" w:cs="Tahoma"/>
          <w:b/>
          <w:iCs/>
          <w:lang w:val="es-ES" w:eastAsia="es-ES_tradnl"/>
        </w:rPr>
        <w:t>por parte del ente fiscalizador para auditar al Ayuntamiento de Coacalco de Berriozábal</w:t>
      </w:r>
      <w:r w:rsidRPr="00DD7BE8">
        <w:rPr>
          <w:rFonts w:ascii="Palatino Linotype" w:eastAsia="Calibri" w:hAnsi="Palatino Linotype" w:cs="Tahoma"/>
          <w:b/>
          <w:iCs/>
          <w:lang w:val="es-ES" w:eastAsia="es-ES_tradnl"/>
        </w:rPr>
        <w:t xml:space="preserve">, </w:t>
      </w:r>
      <w:r w:rsidR="00654BCA" w:rsidRPr="00DD7BE8">
        <w:rPr>
          <w:rFonts w:ascii="Palatino Linotype" w:eastAsia="Calibri" w:hAnsi="Palatino Linotype" w:cs="Tahoma"/>
          <w:b/>
          <w:iCs/>
          <w:lang w:val="es-ES" w:eastAsia="es-ES_tradnl"/>
        </w:rPr>
        <w:t xml:space="preserve">así como </w:t>
      </w:r>
      <w:r w:rsidRPr="00DD7BE8">
        <w:rPr>
          <w:rFonts w:ascii="Palatino Linotype" w:eastAsia="Calibri" w:hAnsi="Palatino Linotype" w:cs="Tahoma"/>
          <w:b/>
          <w:iCs/>
          <w:lang w:val="es-ES" w:eastAsia="es-ES_tradnl"/>
        </w:rPr>
        <w:t>tampoco precisa</w:t>
      </w:r>
      <w:r w:rsidR="00654BCA" w:rsidRPr="00DD7BE8">
        <w:rPr>
          <w:rFonts w:ascii="Palatino Linotype" w:eastAsia="Calibri" w:hAnsi="Palatino Linotype" w:cs="Tahoma"/>
          <w:b/>
          <w:iCs/>
          <w:lang w:val="es-ES" w:eastAsia="es-ES_tradnl"/>
        </w:rPr>
        <w:t xml:space="preserve"> </w:t>
      </w:r>
      <w:r w:rsidRPr="00DD7BE8">
        <w:rPr>
          <w:rFonts w:ascii="Palatino Linotype" w:eastAsia="Calibri" w:hAnsi="Palatino Linotype" w:cs="Tahoma"/>
          <w:b/>
          <w:iCs/>
          <w:lang w:val="es-ES" w:eastAsia="es-ES_tradnl"/>
        </w:rPr>
        <w:t xml:space="preserve"> la</w:t>
      </w:r>
      <w:r w:rsidR="00654BCA" w:rsidRPr="00DD7BE8">
        <w:rPr>
          <w:rFonts w:ascii="Palatino Linotype" w:eastAsia="Calibri" w:hAnsi="Palatino Linotype" w:cs="Tahoma"/>
          <w:b/>
          <w:iCs/>
          <w:lang w:val="es-ES" w:eastAsia="es-ES_tradnl"/>
        </w:rPr>
        <w:t>s estrategias</w:t>
      </w:r>
      <w:r w:rsidR="000D3775" w:rsidRPr="00DD7BE8">
        <w:rPr>
          <w:rFonts w:ascii="Palatino Linotype" w:eastAsia="Calibri" w:hAnsi="Palatino Linotype" w:cs="Tahoma"/>
          <w:b/>
          <w:iCs/>
          <w:lang w:val="es-ES" w:eastAsia="es-ES_tradnl"/>
        </w:rPr>
        <w:t>, operaciones</w:t>
      </w:r>
      <w:r w:rsidR="00684BC3" w:rsidRPr="00DD7BE8">
        <w:rPr>
          <w:rFonts w:ascii="Palatino Linotype" w:eastAsia="Calibri" w:hAnsi="Palatino Linotype" w:cs="Tahoma"/>
          <w:b/>
          <w:iCs/>
          <w:lang w:val="es-ES" w:eastAsia="es-ES_tradnl"/>
        </w:rPr>
        <w:t>, procesos o herramientas</w:t>
      </w:r>
      <w:r w:rsidR="000D3775" w:rsidRPr="00DD7BE8">
        <w:rPr>
          <w:rFonts w:ascii="Palatino Linotype" w:eastAsia="Calibri" w:hAnsi="Palatino Linotype" w:cs="Tahoma"/>
          <w:b/>
          <w:iCs/>
          <w:lang w:val="es-ES" w:eastAsia="es-ES_tradnl"/>
        </w:rPr>
        <w:t xml:space="preserve"> implementadas en la auditoria en cuestión. </w:t>
      </w:r>
    </w:p>
    <w:p w14:paraId="3DE945E3" w14:textId="77777777" w:rsidR="000D3775" w:rsidRPr="00DD7BE8" w:rsidRDefault="000D3775" w:rsidP="00DD7BE8">
      <w:pPr>
        <w:pStyle w:val="Prrafodelista"/>
        <w:spacing w:line="360" w:lineRule="auto"/>
        <w:rPr>
          <w:rFonts w:ascii="Palatino Linotype" w:eastAsia="Calibri" w:hAnsi="Palatino Linotype" w:cs="Tahoma"/>
          <w:bCs/>
          <w:lang w:eastAsia="en-US"/>
        </w:rPr>
      </w:pPr>
    </w:p>
    <w:p w14:paraId="7FB3C317" w14:textId="0C3BB92A" w:rsidR="009376E4" w:rsidRPr="00DD7BE8" w:rsidRDefault="009376E4" w:rsidP="00DD7BE8">
      <w:pPr>
        <w:numPr>
          <w:ilvl w:val="0"/>
          <w:numId w:val="1"/>
        </w:numPr>
        <w:spacing w:line="360" w:lineRule="auto"/>
        <w:ind w:left="0" w:firstLine="0"/>
        <w:contextualSpacing/>
        <w:jc w:val="both"/>
        <w:rPr>
          <w:rFonts w:ascii="Palatino Linotype" w:eastAsia="Calibri" w:hAnsi="Palatino Linotype" w:cs="Tahoma"/>
          <w:b/>
          <w:bCs/>
          <w:lang w:eastAsia="en-US"/>
        </w:rPr>
      </w:pPr>
      <w:r w:rsidRPr="00DD7BE8">
        <w:rPr>
          <w:rFonts w:ascii="Palatino Linotype" w:eastAsia="Calibri" w:hAnsi="Palatino Linotype" w:cs="Tahoma"/>
          <w:bCs/>
          <w:lang w:eastAsia="en-US"/>
        </w:rPr>
        <w:t xml:space="preserve">Por tales consideraciones, se concluye que </w:t>
      </w:r>
      <w:r w:rsidRPr="00DD7BE8">
        <w:rPr>
          <w:rFonts w:ascii="Palatino Linotype" w:eastAsia="Calibri" w:hAnsi="Palatino Linotype" w:cs="Tahoma"/>
          <w:b/>
          <w:bCs/>
          <w:lang w:eastAsia="en-US"/>
        </w:rPr>
        <w:t>no se actualiza la causal de reserva establecid</w:t>
      </w:r>
      <w:r w:rsidR="000D3775" w:rsidRPr="00DD7BE8">
        <w:rPr>
          <w:rFonts w:ascii="Palatino Linotype" w:eastAsia="Calibri" w:hAnsi="Palatino Linotype" w:cs="Tahoma"/>
          <w:b/>
          <w:bCs/>
          <w:lang w:eastAsia="en-US"/>
        </w:rPr>
        <w:t>a en el artículo 140, fracción V punto 1</w:t>
      </w:r>
      <w:r w:rsidRPr="00DD7BE8">
        <w:rPr>
          <w:rFonts w:ascii="Palatino Linotype" w:eastAsia="Calibri" w:hAnsi="Palatino Linotype" w:cs="Tahoma"/>
          <w:b/>
          <w:bCs/>
          <w:lang w:eastAsia="en-US"/>
        </w:rPr>
        <w:t>, de la Ley de Transparencia y Acceso a la Información Pública del Estado de México y Municipios.</w:t>
      </w:r>
    </w:p>
    <w:p w14:paraId="2E5054E0" w14:textId="77777777" w:rsidR="009376E4" w:rsidRPr="00DD7BE8" w:rsidRDefault="009376E4" w:rsidP="00DD7BE8">
      <w:pPr>
        <w:spacing w:line="360" w:lineRule="auto"/>
        <w:ind w:left="720"/>
        <w:contextualSpacing/>
        <w:rPr>
          <w:rFonts w:ascii="Palatino Linotype" w:eastAsia="Calibri" w:hAnsi="Palatino Linotype" w:cs="Tahoma"/>
          <w:bCs/>
          <w:lang w:eastAsia="en-US"/>
        </w:rPr>
      </w:pPr>
    </w:p>
    <w:p w14:paraId="14765941" w14:textId="02549AF9" w:rsidR="009376E4" w:rsidRPr="00DD7BE8" w:rsidRDefault="009376E4" w:rsidP="00DD7BE8">
      <w:pPr>
        <w:numPr>
          <w:ilvl w:val="0"/>
          <w:numId w:val="1"/>
        </w:numPr>
        <w:spacing w:line="360" w:lineRule="auto"/>
        <w:ind w:left="0" w:firstLine="0"/>
        <w:contextualSpacing/>
        <w:jc w:val="both"/>
        <w:rPr>
          <w:rFonts w:ascii="Palatino Linotype" w:eastAsia="Calibri" w:hAnsi="Palatino Linotype" w:cs="Arial"/>
          <w:b/>
          <w:bCs/>
          <w:lang w:eastAsia="en-US"/>
        </w:rPr>
      </w:pPr>
      <w:r w:rsidRPr="00DD7BE8">
        <w:rPr>
          <w:rFonts w:ascii="Palatino Linotype" w:eastAsia="Calibri" w:hAnsi="Palatino Linotype" w:cs="Tahoma"/>
          <w:bCs/>
          <w:lang w:eastAsia="en-US"/>
        </w:rPr>
        <w:t>Además, conforme</w:t>
      </w:r>
      <w:r w:rsidR="000D3775" w:rsidRPr="00DD7BE8">
        <w:rPr>
          <w:rFonts w:ascii="Palatino Linotype" w:eastAsia="Calibri" w:hAnsi="Palatino Linotype" w:cs="Tahoma"/>
          <w:bCs/>
          <w:lang w:eastAsia="en-US"/>
        </w:rPr>
        <w:t xml:space="preserve"> al artículo 92, fracciones XXV y XXVIII</w:t>
      </w:r>
      <w:r w:rsidRPr="00DD7BE8">
        <w:rPr>
          <w:rFonts w:ascii="Palatino Linotype" w:eastAsia="Calibri" w:hAnsi="Palatino Linotype" w:cs="Tahoma"/>
          <w:bCs/>
          <w:lang w:eastAsia="en-US"/>
        </w:rPr>
        <w:t>, de la Ley de Transparencia y Acceso a la Información Pública del Es</w:t>
      </w:r>
      <w:r w:rsidR="000D3775" w:rsidRPr="00DD7BE8">
        <w:rPr>
          <w:rFonts w:ascii="Palatino Linotype" w:eastAsia="Calibri" w:hAnsi="Palatino Linotype" w:cs="Tahoma"/>
          <w:bCs/>
          <w:lang w:eastAsia="en-US"/>
        </w:rPr>
        <w:t xml:space="preserve">tado de México y Municipios, la información de carácter financiera en posesión de los </w:t>
      </w:r>
      <w:r w:rsidR="000D3775" w:rsidRPr="00DD7BE8">
        <w:rPr>
          <w:rFonts w:ascii="Palatino Linotype" w:eastAsia="Calibri" w:hAnsi="Palatino Linotype" w:cs="Tahoma"/>
          <w:b/>
          <w:bCs/>
          <w:lang w:eastAsia="en-US"/>
        </w:rPr>
        <w:t>SUJETOS OBLIGADOS</w:t>
      </w:r>
      <w:r w:rsidR="000D3775" w:rsidRPr="00DD7BE8">
        <w:rPr>
          <w:rFonts w:ascii="Palatino Linotype" w:eastAsia="Calibri" w:hAnsi="Palatino Linotype" w:cs="Tahoma"/>
          <w:bCs/>
          <w:lang w:eastAsia="en-US"/>
        </w:rPr>
        <w:t>, es</w:t>
      </w:r>
      <w:r w:rsidR="00684BC3" w:rsidRPr="00DD7BE8">
        <w:rPr>
          <w:rFonts w:ascii="Palatino Linotype" w:eastAsia="Calibri" w:hAnsi="Palatino Linotype" w:cs="Tahoma"/>
          <w:bCs/>
          <w:lang w:eastAsia="en-US"/>
        </w:rPr>
        <w:t xml:space="preserve"> de carácter público, </w:t>
      </w:r>
      <w:r w:rsidR="0011227C" w:rsidRPr="00DD7BE8">
        <w:rPr>
          <w:rFonts w:ascii="Palatino Linotype" w:eastAsia="Calibri" w:hAnsi="Palatino Linotype" w:cs="Tahoma"/>
          <w:bCs/>
          <w:lang w:eastAsia="en-US"/>
        </w:rPr>
        <w:t xml:space="preserve">por lo que es dable ordenar el o los documentos donde conste o se aprecien </w:t>
      </w:r>
      <w:r w:rsidR="0011227C" w:rsidRPr="00DD7BE8">
        <w:rPr>
          <w:rFonts w:ascii="Palatino Linotype" w:eastAsia="Calibri" w:hAnsi="Palatino Linotype" w:cs="Arial"/>
          <w:bCs/>
          <w:lang w:eastAsia="en-US"/>
        </w:rPr>
        <w:t>l</w:t>
      </w:r>
      <w:r w:rsidR="00684BC3" w:rsidRPr="00DD7BE8">
        <w:rPr>
          <w:rFonts w:ascii="Palatino Linotype" w:hAnsi="Palatino Linotype" w:cs="Arial"/>
          <w:color w:val="000000"/>
        </w:rPr>
        <w:t>as cuentas bancarias, bancos, números de contratos y todos los movimientos bancarios y co</w:t>
      </w:r>
      <w:r w:rsidR="0011227C" w:rsidRPr="00DD7BE8">
        <w:rPr>
          <w:rFonts w:ascii="Palatino Linotype" w:hAnsi="Palatino Linotype" w:cs="Arial"/>
          <w:color w:val="000000"/>
        </w:rPr>
        <w:t xml:space="preserve">nciliaciones de dichas cuentas </w:t>
      </w:r>
      <w:r w:rsidR="00684BC3" w:rsidRPr="00DD7BE8">
        <w:rPr>
          <w:rFonts w:ascii="Palatino Linotype" w:hAnsi="Palatino Linotype" w:cs="Arial"/>
          <w:color w:val="000000"/>
        </w:rPr>
        <w:t xml:space="preserve">del </w:t>
      </w:r>
      <w:r w:rsidR="00FF73FC" w:rsidRPr="00DD7BE8">
        <w:rPr>
          <w:rFonts w:ascii="Palatino Linotype" w:hAnsi="Palatino Linotype" w:cs="Arial"/>
          <w:color w:val="000000"/>
        </w:rPr>
        <w:t xml:space="preserve"> primero (0</w:t>
      </w:r>
      <w:r w:rsidR="00684BC3" w:rsidRPr="00DD7BE8">
        <w:rPr>
          <w:rFonts w:ascii="Palatino Linotype" w:hAnsi="Palatino Linotype" w:cs="Arial"/>
          <w:color w:val="000000"/>
        </w:rPr>
        <w:t>1</w:t>
      </w:r>
      <w:r w:rsidR="00FF73FC" w:rsidRPr="00DD7BE8">
        <w:rPr>
          <w:rFonts w:ascii="Palatino Linotype" w:hAnsi="Palatino Linotype" w:cs="Arial"/>
          <w:color w:val="000000"/>
        </w:rPr>
        <w:t>)</w:t>
      </w:r>
      <w:r w:rsidR="00684BC3" w:rsidRPr="00DD7BE8">
        <w:rPr>
          <w:rFonts w:ascii="Palatino Linotype" w:hAnsi="Palatino Linotype" w:cs="Arial"/>
          <w:color w:val="000000"/>
        </w:rPr>
        <w:t xml:space="preserve"> </w:t>
      </w:r>
      <w:r w:rsidR="0011227C" w:rsidRPr="00DD7BE8">
        <w:rPr>
          <w:rFonts w:ascii="Palatino Linotype" w:hAnsi="Palatino Linotype" w:cs="Arial"/>
          <w:color w:val="000000"/>
        </w:rPr>
        <w:t xml:space="preserve"> enero al</w:t>
      </w:r>
      <w:r w:rsidR="00FF73FC" w:rsidRPr="00DD7BE8">
        <w:rPr>
          <w:rFonts w:ascii="Palatino Linotype" w:hAnsi="Palatino Linotype" w:cs="Arial"/>
          <w:color w:val="000000"/>
        </w:rPr>
        <w:t xml:space="preserve"> treinta (</w:t>
      </w:r>
      <w:r w:rsidR="0011227C" w:rsidRPr="00DD7BE8">
        <w:rPr>
          <w:rFonts w:ascii="Palatino Linotype" w:hAnsi="Palatino Linotype" w:cs="Arial"/>
          <w:color w:val="000000"/>
        </w:rPr>
        <w:t>30</w:t>
      </w:r>
      <w:r w:rsidR="00FF73FC" w:rsidRPr="00DD7BE8">
        <w:rPr>
          <w:rFonts w:ascii="Palatino Linotype" w:hAnsi="Palatino Linotype" w:cs="Arial"/>
          <w:color w:val="000000"/>
        </w:rPr>
        <w:t>)</w:t>
      </w:r>
      <w:r w:rsidR="0011227C" w:rsidRPr="00DD7BE8">
        <w:rPr>
          <w:rFonts w:ascii="Palatino Linotype" w:hAnsi="Palatino Linotype" w:cs="Arial"/>
          <w:color w:val="000000"/>
        </w:rPr>
        <w:t xml:space="preserve"> de junio del año dos mil diecinueve, en versión pública de ser necesario, en términos del considerando </w:t>
      </w:r>
      <w:r w:rsidR="0011227C" w:rsidRPr="00DD7BE8">
        <w:rPr>
          <w:rFonts w:ascii="Palatino Linotype" w:hAnsi="Palatino Linotype" w:cs="Arial"/>
          <w:b/>
          <w:color w:val="000000"/>
        </w:rPr>
        <w:t>QUINTO.</w:t>
      </w:r>
      <w:r w:rsidR="0011227C" w:rsidRPr="00DD7BE8">
        <w:rPr>
          <w:rFonts w:ascii="Palatino Linotype" w:hAnsi="Palatino Linotype" w:cs="Arial"/>
          <w:color w:val="000000"/>
        </w:rPr>
        <w:t xml:space="preserve"> </w:t>
      </w:r>
    </w:p>
    <w:p w14:paraId="00EB9A2E" w14:textId="77777777" w:rsidR="0011227C" w:rsidRPr="00DD7BE8" w:rsidRDefault="0011227C" w:rsidP="00DD7BE8">
      <w:pPr>
        <w:spacing w:line="360" w:lineRule="auto"/>
        <w:contextualSpacing/>
        <w:jc w:val="both"/>
        <w:rPr>
          <w:rFonts w:ascii="Palatino Linotype" w:eastAsia="Calibri" w:hAnsi="Palatino Linotype" w:cs="Arial"/>
          <w:b/>
          <w:bCs/>
          <w:lang w:eastAsia="en-US"/>
        </w:rPr>
      </w:pPr>
    </w:p>
    <w:p w14:paraId="724C2728" w14:textId="77777777" w:rsidR="004D38F2" w:rsidRPr="00DD7BE8" w:rsidRDefault="004D38F2" w:rsidP="00DD7BE8">
      <w:pPr>
        <w:keepNext/>
        <w:keepLines/>
        <w:spacing w:before="40" w:line="360" w:lineRule="auto"/>
        <w:outlineLvl w:val="1"/>
        <w:rPr>
          <w:rFonts w:ascii="Palatino Linotype" w:eastAsiaTheme="majorEastAsia" w:hAnsi="Palatino Linotype" w:cs="Times New Roman"/>
          <w:b/>
          <w:lang w:val="es-MX" w:eastAsia="es-ES_tradnl"/>
        </w:rPr>
      </w:pPr>
      <w:bookmarkStart w:id="107" w:name="_Toc522635582"/>
      <w:bookmarkStart w:id="108" w:name="_Toc17991905"/>
      <w:bookmarkStart w:id="109" w:name="_Toc24051516"/>
      <w:r w:rsidRPr="00DD7BE8">
        <w:rPr>
          <w:rFonts w:ascii="Palatino Linotype" w:eastAsiaTheme="majorEastAsia" w:hAnsi="Palatino Linotype" w:cs="Times New Roman"/>
          <w:b/>
          <w:lang w:val="es-MX" w:eastAsia="es-ES_tradnl"/>
        </w:rPr>
        <w:t>QUINTO. De la versión pública.</w:t>
      </w:r>
      <w:bookmarkEnd w:id="107"/>
      <w:bookmarkEnd w:id="108"/>
      <w:bookmarkEnd w:id="109"/>
    </w:p>
    <w:p w14:paraId="6E871760" w14:textId="4E632C08" w:rsidR="004D38F2" w:rsidRPr="00DD7BE8" w:rsidRDefault="004D38F2" w:rsidP="00DD7BE8">
      <w:pPr>
        <w:pStyle w:val="Prrafodelista"/>
        <w:widowControl w:val="0"/>
        <w:numPr>
          <w:ilvl w:val="0"/>
          <w:numId w:val="1"/>
        </w:numPr>
        <w:tabs>
          <w:tab w:val="left" w:pos="426"/>
          <w:tab w:val="left" w:pos="7938"/>
        </w:tabs>
        <w:autoSpaceDE w:val="0"/>
        <w:autoSpaceDN w:val="0"/>
        <w:adjustRightInd w:val="0"/>
        <w:spacing w:before="240" w:after="240" w:line="360" w:lineRule="auto"/>
        <w:ind w:left="0" w:firstLine="0"/>
        <w:jc w:val="both"/>
        <w:rPr>
          <w:rFonts w:ascii="Palatino Linotype" w:hAnsi="Palatino Linotype" w:cs="Times New Roman"/>
          <w:lang w:eastAsia="es-ES_tradnl"/>
        </w:rPr>
      </w:pPr>
      <w:r w:rsidRPr="00DD7BE8">
        <w:rPr>
          <w:rFonts w:ascii="Palatino Linotype" w:hAnsi="Palatino Linotype" w:cs="Arial"/>
        </w:rPr>
        <w:t xml:space="preserve">Por otro lado, debe destacarse que debido a la naturaleza de la información solicitada, podrían obrar eventualmente datos personales susceptibles de protegerse, y toda vez que éste Instituto de </w:t>
      </w:r>
      <w:r w:rsidRPr="00DD7BE8">
        <w:rPr>
          <w:rFonts w:ascii="Palatino Linotype" w:hAnsi="Palatino Linotype" w:cs="Arial"/>
          <w:color w:val="000000" w:themeColor="text1"/>
        </w:rPr>
        <w:t xml:space="preserve">Transparencia, Acceso a la Información Pública y Protección de Datos Personales del Estado de México tiene el deber de velar por la protección de los datos personales aun tratándose de servidores públicos, el </w:t>
      </w:r>
      <w:r w:rsidRPr="00DD7BE8">
        <w:rPr>
          <w:rFonts w:ascii="Palatino Linotype" w:hAnsi="Palatino Linotype" w:cs="Arial"/>
          <w:b/>
          <w:color w:val="000000" w:themeColor="text1"/>
        </w:rPr>
        <w:t>SUJETO OBLIGADO</w:t>
      </w:r>
      <w:r w:rsidRPr="00DD7BE8">
        <w:rPr>
          <w:rFonts w:ascii="Palatino Linotype" w:hAnsi="Palatino Linotype" w:cs="Arial"/>
          <w:color w:val="000000" w:themeColor="text1"/>
        </w:rPr>
        <w:t xml:space="preserve"> deberá analizar el contenido de los oficios a efecto de asegurarse que no se encuentren datos personales y, en su caso, deberá generar las </w:t>
      </w:r>
      <w:r w:rsidRPr="00DD7BE8">
        <w:rPr>
          <w:rFonts w:ascii="Palatino Linotype" w:hAnsi="Palatino Linotype" w:cs="Arial"/>
          <w:b/>
          <w:color w:val="000000" w:themeColor="text1"/>
          <w:u w:val="single"/>
        </w:rPr>
        <w:t>versiones públicas</w:t>
      </w:r>
      <w:r w:rsidRPr="00DD7BE8">
        <w:rPr>
          <w:rFonts w:ascii="Palatino Linotype" w:hAnsi="Palatino Linotype" w:cs="Arial"/>
          <w:color w:val="000000" w:themeColor="text1"/>
        </w:rPr>
        <w:t xml:space="preserve"> de los documentos por las consideraciones que se estimen pertinentes.</w:t>
      </w:r>
    </w:p>
    <w:p w14:paraId="4F98B9BB" w14:textId="77777777" w:rsidR="004D38F2" w:rsidRPr="00DD7BE8" w:rsidRDefault="004D38F2" w:rsidP="00DD7BE8">
      <w:pPr>
        <w:widowControl w:val="0"/>
        <w:numPr>
          <w:ilvl w:val="0"/>
          <w:numId w:val="1"/>
        </w:numPr>
        <w:tabs>
          <w:tab w:val="left" w:pos="426"/>
        </w:tabs>
        <w:autoSpaceDE w:val="0"/>
        <w:autoSpaceDN w:val="0"/>
        <w:adjustRightInd w:val="0"/>
        <w:spacing w:before="240" w:after="240" w:line="360" w:lineRule="auto"/>
        <w:ind w:left="0" w:firstLine="0"/>
        <w:jc w:val="both"/>
        <w:rPr>
          <w:rFonts w:ascii="Palatino Linotype" w:hAnsi="Palatino Linotype" w:cs="Times New Roman"/>
          <w:lang w:eastAsia="es-ES_tradnl"/>
        </w:rPr>
      </w:pPr>
      <w:r w:rsidRPr="00DD7BE8">
        <w:rPr>
          <w:rFonts w:ascii="Palatino Linotype" w:hAnsi="Palatino Linotype" w:cs="Arial"/>
        </w:rPr>
        <w:t xml:space="preserve">Cabe señalar que la </w:t>
      </w:r>
      <w:r w:rsidRPr="00DD7BE8">
        <w:rPr>
          <w:rFonts w:ascii="Palatino Linotype" w:hAnsi="Palatino Linotype" w:cs="Arial"/>
          <w:color w:val="000000" w:themeColor="text1"/>
        </w:rPr>
        <w:t>clasificación total o parcial de la información requerida, mediante solicitud de acceso a la información pública, constituye una restricción al derecho humano de acceso a la información. Empero, como reiteradamente han dicho diversos órganos jurisdiccionales, ningún derecho es absoluto</w:t>
      </w:r>
      <w:r w:rsidRPr="00DD7BE8">
        <w:rPr>
          <w:rFonts w:ascii="Palatino Linotype" w:hAnsi="Palatino Linotype"/>
          <w:vertAlign w:val="superscript"/>
        </w:rPr>
        <w:footnoteReference w:id="2"/>
      </w:r>
      <w:r w:rsidRPr="00DD7BE8">
        <w:rPr>
          <w:rFonts w:ascii="Palatino Linotype" w:hAnsi="Palatino Linotype" w:cs="Arial"/>
          <w:color w:val="000000" w:themeColor="text1"/>
        </w:rPr>
        <w:t xml:space="preserve"> aunque 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preservar.</w:t>
      </w:r>
      <w:r w:rsidRPr="00DD7BE8">
        <w:rPr>
          <w:rFonts w:ascii="Palatino Linotype" w:hAnsi="Palatino Linotype"/>
          <w:vertAlign w:val="superscript"/>
        </w:rPr>
        <w:footnoteReference w:id="3"/>
      </w:r>
      <w:r w:rsidRPr="00DD7BE8">
        <w:rPr>
          <w:rFonts w:ascii="Palatino Linotype" w:hAnsi="Palatino Linotype" w:cs="Arial"/>
          <w:color w:val="000000" w:themeColor="text1"/>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14:paraId="311A1E84" w14:textId="77777777" w:rsidR="004D38F2" w:rsidRPr="00DD7BE8" w:rsidRDefault="004D38F2" w:rsidP="00DD7BE8">
      <w:pPr>
        <w:widowControl w:val="0"/>
        <w:numPr>
          <w:ilvl w:val="0"/>
          <w:numId w:val="1"/>
        </w:numPr>
        <w:tabs>
          <w:tab w:val="left" w:pos="426"/>
        </w:tabs>
        <w:autoSpaceDE w:val="0"/>
        <w:autoSpaceDN w:val="0"/>
        <w:adjustRightInd w:val="0"/>
        <w:spacing w:before="240" w:after="240" w:line="360" w:lineRule="auto"/>
        <w:ind w:left="0" w:firstLine="0"/>
        <w:jc w:val="both"/>
        <w:rPr>
          <w:rFonts w:ascii="Palatino Linotype" w:hAnsi="Palatino Linotype" w:cs="Times New Roman"/>
          <w:lang w:eastAsia="es-ES_tradnl"/>
        </w:rPr>
      </w:pPr>
      <w:r w:rsidRPr="00DD7BE8">
        <w:rPr>
          <w:rFonts w:ascii="Palatino Linotype" w:hAnsi="Palatino Linotype" w:cs="Arial"/>
        </w:rPr>
        <w:t xml:space="preserve">Así, el </w:t>
      </w:r>
      <w:r w:rsidRPr="00DD7BE8">
        <w:rPr>
          <w:rFonts w:ascii="Palatino Linotype" w:hAnsi="Palatino Linotype" w:cs="Arial"/>
          <w:color w:val="000000" w:themeColor="text1"/>
        </w:rPr>
        <w:t>grave problema que enfrentamos en general, es que los acuerdos de clasificación de la información que comúnmente emiten los Sujetos Obligados, siguen sin observar los requisitos en comento, tanto por la complejidad del procedimiento como por la falta de atención de los operadores jurídicos.</w:t>
      </w:r>
    </w:p>
    <w:p w14:paraId="521170CA" w14:textId="77777777" w:rsidR="004D38F2" w:rsidRPr="00DD7BE8" w:rsidRDefault="004D38F2" w:rsidP="00DD7BE8">
      <w:pPr>
        <w:keepNext/>
        <w:keepLines/>
        <w:spacing w:before="240" w:line="360" w:lineRule="auto"/>
        <w:outlineLvl w:val="0"/>
        <w:rPr>
          <w:rFonts w:ascii="Palatino Linotype" w:eastAsiaTheme="majorEastAsia" w:hAnsi="Palatino Linotype" w:cstheme="majorBidi"/>
          <w:b/>
          <w:color w:val="000000" w:themeColor="text1"/>
          <w:lang w:val="es-MX" w:eastAsia="en-US"/>
        </w:rPr>
      </w:pPr>
      <w:bookmarkStart w:id="110" w:name="_Toc17991906"/>
      <w:bookmarkStart w:id="111" w:name="_Toc24051517"/>
      <w:r w:rsidRPr="00DD7BE8">
        <w:rPr>
          <w:rFonts w:ascii="Palatino Linotype" w:eastAsiaTheme="majorEastAsia" w:hAnsi="Palatino Linotype" w:cstheme="majorBidi"/>
          <w:b/>
          <w:color w:val="000000" w:themeColor="text1"/>
          <w:lang w:val="es-MX" w:eastAsia="en-US"/>
        </w:rPr>
        <w:t>I. Requisitos previos.</w:t>
      </w:r>
      <w:bookmarkEnd w:id="110"/>
      <w:bookmarkEnd w:id="111"/>
    </w:p>
    <w:p w14:paraId="0220D020" w14:textId="77777777" w:rsidR="004D38F2" w:rsidRPr="00DD7BE8" w:rsidRDefault="004D38F2" w:rsidP="00DD7BE8">
      <w:pPr>
        <w:widowControl w:val="0"/>
        <w:numPr>
          <w:ilvl w:val="0"/>
          <w:numId w:val="1"/>
        </w:numPr>
        <w:tabs>
          <w:tab w:val="left" w:pos="426"/>
        </w:tabs>
        <w:autoSpaceDE w:val="0"/>
        <w:autoSpaceDN w:val="0"/>
        <w:adjustRightInd w:val="0"/>
        <w:spacing w:before="240" w:after="240" w:line="360" w:lineRule="auto"/>
        <w:ind w:left="0" w:firstLine="0"/>
        <w:jc w:val="both"/>
        <w:rPr>
          <w:rFonts w:ascii="Palatino Linotype" w:hAnsi="Palatino Linotype" w:cs="Times New Roman"/>
          <w:lang w:eastAsia="es-ES_tradnl"/>
        </w:rPr>
      </w:pPr>
      <w:r w:rsidRPr="00DD7BE8">
        <w:rPr>
          <w:rFonts w:ascii="Palatino Linotype" w:hAnsi="Palatino Linotype" w:cs="Arial"/>
        </w:rPr>
        <w:t xml:space="preserve">Los </w:t>
      </w:r>
      <w:r w:rsidRPr="00DD7BE8">
        <w:rPr>
          <w:rFonts w:ascii="Palatino Linotype" w:hAnsi="Palatino Linotype" w:cs="Arial"/>
          <w:color w:val="000000"/>
        </w:rPr>
        <w:t>artículos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quienes administran la información y los que PROPONEN su clasificación y no el Comité de Transparencia, toda vez que éste únicamente aprueba, modifica o revoca la propuesta de clasificación.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14:paraId="3FDD0DD4" w14:textId="77777777" w:rsidR="004D38F2" w:rsidRPr="00DD7BE8" w:rsidRDefault="004D38F2" w:rsidP="00DD7BE8">
      <w:pPr>
        <w:widowControl w:val="0"/>
        <w:numPr>
          <w:ilvl w:val="0"/>
          <w:numId w:val="1"/>
        </w:numPr>
        <w:tabs>
          <w:tab w:val="left" w:pos="426"/>
        </w:tabs>
        <w:autoSpaceDE w:val="0"/>
        <w:autoSpaceDN w:val="0"/>
        <w:adjustRightInd w:val="0"/>
        <w:spacing w:before="240" w:after="240" w:line="360" w:lineRule="auto"/>
        <w:ind w:left="0" w:firstLine="0"/>
        <w:jc w:val="both"/>
        <w:rPr>
          <w:rFonts w:ascii="Palatino Linotype" w:hAnsi="Palatino Linotype" w:cs="Times New Roman"/>
          <w:lang w:eastAsia="es-ES_tradnl"/>
        </w:rPr>
      </w:pPr>
      <w:r w:rsidRPr="00DD7BE8">
        <w:rPr>
          <w:rFonts w:ascii="Palatino Linotype" w:hAnsi="Palatino Linotype" w:cs="Arial"/>
        </w:rPr>
        <w:t xml:space="preserve">Además, </w:t>
      </w:r>
      <w:r w:rsidRPr="00DD7BE8">
        <w:rPr>
          <w:rFonts w:ascii="Palatino Linotype" w:hAnsi="Palatino Linotype" w:cs="Arial"/>
          <w:color w:val="000000" w:themeColor="text1"/>
        </w:rPr>
        <w:t xml:space="preserve">se debe señalar el procedimiento, de los tres que establecen los artículos 132 y 106 de la Ley Estatal y General, </w:t>
      </w:r>
      <w:r w:rsidRPr="00DD7BE8">
        <w:rPr>
          <w:rFonts w:ascii="Palatino Linotype" w:hAnsi="Palatino Linotype" w:cs="Arial"/>
          <w:color w:val="000000"/>
        </w:rPr>
        <w:t>respectivamente</w:t>
      </w:r>
      <w:r w:rsidRPr="00DD7BE8">
        <w:rPr>
          <w:rFonts w:ascii="Palatino Linotype" w:hAnsi="Palatino Linotype" w:cs="Arial"/>
          <w:color w:val="000000" w:themeColor="text1"/>
        </w:rPr>
        <w:t>, por el que se realiza dicha clasificación, a saber, cuando se atiende una solicitud de acceso a la información, porque lo determina una autoridad competente o porque se vaya a generar una versión pública para cumplir con sus obligaciones.</w:t>
      </w:r>
    </w:p>
    <w:p w14:paraId="1E684C52" w14:textId="77777777" w:rsidR="004D38F2" w:rsidRPr="00DD7BE8" w:rsidRDefault="004D38F2" w:rsidP="00DD7BE8">
      <w:pPr>
        <w:widowControl w:val="0"/>
        <w:numPr>
          <w:ilvl w:val="0"/>
          <w:numId w:val="1"/>
        </w:numPr>
        <w:tabs>
          <w:tab w:val="left" w:pos="426"/>
        </w:tabs>
        <w:autoSpaceDE w:val="0"/>
        <w:autoSpaceDN w:val="0"/>
        <w:adjustRightInd w:val="0"/>
        <w:spacing w:before="240" w:after="240" w:line="360" w:lineRule="auto"/>
        <w:ind w:left="0" w:firstLine="0"/>
        <w:jc w:val="both"/>
        <w:rPr>
          <w:rFonts w:ascii="Palatino Linotype" w:hAnsi="Palatino Linotype" w:cs="Times New Roman"/>
          <w:lang w:eastAsia="es-ES_tradnl"/>
        </w:rPr>
      </w:pPr>
      <w:r w:rsidRPr="00DD7BE8">
        <w:rPr>
          <w:rFonts w:ascii="Palatino Linotype" w:hAnsi="Palatino Linotype" w:cs="Arial"/>
        </w:rPr>
        <w:t xml:space="preserve">El </w:t>
      </w:r>
      <w:r w:rsidRPr="00DD7BE8">
        <w:rPr>
          <w:rFonts w:ascii="Palatino Linotype" w:hAnsi="Palatino Linotype" w:cs="Arial"/>
          <w:color w:val="000000" w:themeColor="text1"/>
        </w:rPr>
        <w:t xml:space="preserve">último de éstos requisitos previos consiste en que no se pueden emitir acuerdos de carácter general ni particular, según lo dispuesto en los artículos 134 y 108 de la Ley Estatal y de la Ley General, respectivamente, esto es, </w:t>
      </w:r>
      <w:r w:rsidRPr="00DD7BE8">
        <w:rPr>
          <w:rFonts w:ascii="Palatino Linotype" w:hAnsi="Palatino Linotype" w:cs="Arial"/>
          <w:b/>
          <w:color w:val="000000" w:themeColor="text1"/>
          <w:u w:val="single"/>
        </w:rPr>
        <w:t xml:space="preserve">no se puede hacer un acuerdo para clasificar de manera general todos los documentos de un expediente o área, </w:t>
      </w:r>
      <w:r w:rsidRPr="00DD7BE8">
        <w:rPr>
          <w:rFonts w:ascii="Palatino Linotype" w:hAnsi="Palatino Linotype" w:cs="Arial"/>
          <w:color w:val="000000" w:themeColor="text1"/>
        </w:rPr>
        <w:t>sin individualizar su análisis y tampoco se puede hacer un acuerdo por cada dato que se vaya a clasificar dentro de un documento con diez datos, por ejemplo, susceptibles de ser clasificados.</w:t>
      </w:r>
    </w:p>
    <w:p w14:paraId="2244A927" w14:textId="77777777" w:rsidR="004D38F2" w:rsidRPr="00DD7BE8" w:rsidRDefault="004D38F2" w:rsidP="00DD7BE8">
      <w:pPr>
        <w:keepNext/>
        <w:keepLines/>
        <w:spacing w:before="240" w:line="360" w:lineRule="auto"/>
        <w:outlineLvl w:val="0"/>
        <w:rPr>
          <w:rFonts w:ascii="Palatino Linotype" w:eastAsiaTheme="majorEastAsia" w:hAnsi="Palatino Linotype" w:cstheme="majorBidi"/>
          <w:b/>
          <w:color w:val="000000" w:themeColor="text1"/>
          <w:lang w:val="es-MX" w:eastAsia="en-US"/>
        </w:rPr>
      </w:pPr>
      <w:bookmarkStart w:id="112" w:name="_Toc17991907"/>
      <w:bookmarkStart w:id="113" w:name="_Toc24051518"/>
      <w:r w:rsidRPr="00DD7BE8">
        <w:rPr>
          <w:rFonts w:ascii="Palatino Linotype" w:eastAsiaTheme="majorEastAsia" w:hAnsi="Palatino Linotype" w:cstheme="majorBidi"/>
          <w:b/>
          <w:color w:val="000000" w:themeColor="text1"/>
          <w:lang w:val="es-MX" w:eastAsia="en-US"/>
        </w:rPr>
        <w:t>II. Supuestos de clasificación.</w:t>
      </w:r>
      <w:bookmarkEnd w:id="112"/>
      <w:bookmarkEnd w:id="113"/>
    </w:p>
    <w:p w14:paraId="3F19FBF5" w14:textId="77777777" w:rsidR="004D38F2" w:rsidRPr="00DD7BE8" w:rsidRDefault="004D38F2" w:rsidP="00DD7BE8">
      <w:pPr>
        <w:widowControl w:val="0"/>
        <w:numPr>
          <w:ilvl w:val="0"/>
          <w:numId w:val="1"/>
        </w:numPr>
        <w:tabs>
          <w:tab w:val="left" w:pos="426"/>
        </w:tabs>
        <w:autoSpaceDE w:val="0"/>
        <w:autoSpaceDN w:val="0"/>
        <w:adjustRightInd w:val="0"/>
        <w:spacing w:before="240" w:after="240" w:line="360" w:lineRule="auto"/>
        <w:ind w:left="0" w:firstLine="0"/>
        <w:jc w:val="both"/>
        <w:rPr>
          <w:rFonts w:ascii="Palatino Linotype" w:hAnsi="Palatino Linotype" w:cs="Times New Roman"/>
          <w:lang w:eastAsia="es-ES_tradnl"/>
        </w:rPr>
      </w:pPr>
      <w:r w:rsidRPr="00DD7BE8">
        <w:rPr>
          <w:rFonts w:ascii="Palatino Linotype" w:hAnsi="Palatino Linotype" w:cs="Arial"/>
        </w:rPr>
        <w:t xml:space="preserve">Las </w:t>
      </w:r>
      <w:r w:rsidRPr="00DD7BE8">
        <w:rPr>
          <w:rFonts w:ascii="Palatino Linotype" w:hAnsi="Palatino Linotype" w:cs="Arial"/>
          <w:color w:val="000000" w:themeColor="text1"/>
        </w:rPr>
        <w:t>disposiciones constitucionales y legales en la materia establecen los dos supuestos generales para clasificar la información: por reserva y por confidencialidad.</w:t>
      </w:r>
    </w:p>
    <w:p w14:paraId="62E3C815" w14:textId="77777777" w:rsidR="004D38F2" w:rsidRPr="00DD7BE8" w:rsidRDefault="004D38F2" w:rsidP="00DD7BE8">
      <w:pPr>
        <w:widowControl w:val="0"/>
        <w:numPr>
          <w:ilvl w:val="0"/>
          <w:numId w:val="1"/>
        </w:numPr>
        <w:tabs>
          <w:tab w:val="left" w:pos="426"/>
        </w:tabs>
        <w:autoSpaceDE w:val="0"/>
        <w:autoSpaceDN w:val="0"/>
        <w:adjustRightInd w:val="0"/>
        <w:spacing w:before="240" w:after="240" w:line="360" w:lineRule="auto"/>
        <w:ind w:left="0" w:firstLine="0"/>
        <w:jc w:val="both"/>
        <w:rPr>
          <w:rFonts w:ascii="Palatino Linotype" w:hAnsi="Palatino Linotype" w:cs="Times New Roman"/>
          <w:lang w:eastAsia="es-ES_tradnl"/>
        </w:rPr>
      </w:pPr>
      <w:r w:rsidRPr="00DD7BE8">
        <w:rPr>
          <w:rFonts w:ascii="Palatino Linotype" w:hAnsi="Palatino Linotype" w:cs="Arial"/>
        </w:rPr>
        <w:t xml:space="preserve">Los </w:t>
      </w:r>
      <w:r w:rsidRPr="00DD7BE8">
        <w:rPr>
          <w:rFonts w:ascii="Palatino Linotype" w:hAnsi="Palatino Linotype" w:cs="Arial"/>
          <w:color w:val="000000" w:themeColor="text1"/>
        </w:rPr>
        <w:t>artículos 143 y 116 de la Ley Estatal y de la Ley General, respectivamente, señalan los supuestos para que la información pueda ser clasificada como confidencial:</w:t>
      </w:r>
    </w:p>
    <w:p w14:paraId="577FC4EA" w14:textId="77777777" w:rsidR="004D38F2" w:rsidRPr="00DD7BE8" w:rsidRDefault="004D38F2" w:rsidP="00DD7BE8">
      <w:pPr>
        <w:tabs>
          <w:tab w:val="left" w:pos="5670"/>
        </w:tabs>
        <w:spacing w:line="360" w:lineRule="auto"/>
        <w:ind w:left="851" w:right="709"/>
        <w:jc w:val="both"/>
        <w:rPr>
          <w:rFonts w:ascii="Palatino Linotype" w:hAnsi="Palatino Linotype"/>
          <w:i/>
        </w:rPr>
      </w:pPr>
      <w:r w:rsidRPr="00DD7BE8">
        <w:rPr>
          <w:rFonts w:ascii="Palatino Linotype" w:hAnsi="Palatino Linotype"/>
          <w:bCs/>
          <w:i/>
        </w:rPr>
        <w:t xml:space="preserve">“I. </w:t>
      </w:r>
      <w:r w:rsidRPr="00DD7BE8">
        <w:rPr>
          <w:rFonts w:ascii="Palatino Linotype" w:hAnsi="Palatino Linotype"/>
          <w:i/>
        </w:rPr>
        <w:t xml:space="preserve">Se refiera a la información privada y los datos personales concernientes a una persona física o jurídica colectiva identificada o identificable; </w:t>
      </w:r>
    </w:p>
    <w:p w14:paraId="5BB22570" w14:textId="77777777" w:rsidR="004D38F2" w:rsidRPr="00DD7BE8" w:rsidRDefault="004D38F2" w:rsidP="00DD7BE8">
      <w:pPr>
        <w:tabs>
          <w:tab w:val="left" w:pos="5670"/>
        </w:tabs>
        <w:spacing w:line="360" w:lineRule="auto"/>
        <w:ind w:left="851" w:right="709"/>
        <w:jc w:val="both"/>
        <w:rPr>
          <w:rFonts w:ascii="Palatino Linotype" w:hAnsi="Palatino Linotype"/>
          <w:i/>
        </w:rPr>
      </w:pPr>
      <w:r w:rsidRPr="00DD7BE8">
        <w:rPr>
          <w:rFonts w:ascii="Palatino Linotype" w:hAnsi="Palatino Linotype"/>
          <w:bCs/>
          <w:i/>
        </w:rPr>
        <w:t xml:space="preserve">II. </w:t>
      </w:r>
      <w:r w:rsidRPr="00DD7BE8">
        <w:rPr>
          <w:rFonts w:ascii="Palatino Linotype" w:hAnsi="Palatino Linotype"/>
          <w:i/>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5C53311F" w14:textId="77777777" w:rsidR="004D38F2" w:rsidRPr="00DD7BE8" w:rsidRDefault="004D38F2" w:rsidP="00DD7BE8">
      <w:pPr>
        <w:tabs>
          <w:tab w:val="left" w:pos="5670"/>
        </w:tabs>
        <w:spacing w:line="360" w:lineRule="auto"/>
        <w:ind w:left="851" w:right="709"/>
        <w:jc w:val="both"/>
        <w:rPr>
          <w:rFonts w:ascii="Palatino Linotype" w:hAnsi="Palatino Linotype"/>
          <w:i/>
        </w:rPr>
      </w:pPr>
      <w:r w:rsidRPr="00DD7BE8">
        <w:rPr>
          <w:rFonts w:ascii="Palatino Linotype" w:hAnsi="Palatino Linotype"/>
          <w:bCs/>
          <w:i/>
        </w:rPr>
        <w:t xml:space="preserve">III. </w:t>
      </w:r>
      <w:r w:rsidRPr="00DD7BE8">
        <w:rPr>
          <w:rFonts w:ascii="Palatino Linotype" w:hAnsi="Palatino Linotype"/>
          <w:i/>
        </w:rPr>
        <w:t xml:space="preserve">La que presenten los particulares a los sujetos obligados, de conformidad con lo dispuesto por las leyes o los tratados internacionales. </w:t>
      </w:r>
    </w:p>
    <w:p w14:paraId="7E9060A1" w14:textId="77777777" w:rsidR="004D38F2" w:rsidRPr="00DD7BE8" w:rsidRDefault="004D38F2" w:rsidP="00DD7BE8">
      <w:pPr>
        <w:tabs>
          <w:tab w:val="left" w:pos="5670"/>
        </w:tabs>
        <w:spacing w:line="360" w:lineRule="auto"/>
        <w:ind w:left="851" w:right="709"/>
        <w:jc w:val="both"/>
        <w:rPr>
          <w:rFonts w:ascii="Palatino Linotype" w:hAnsi="Palatino Linotype"/>
          <w:i/>
          <w:sz w:val="12"/>
        </w:rPr>
      </w:pPr>
    </w:p>
    <w:p w14:paraId="03D7EFB0" w14:textId="77777777" w:rsidR="004D38F2" w:rsidRPr="00DD7BE8" w:rsidRDefault="004D38F2" w:rsidP="00DD7BE8">
      <w:pPr>
        <w:tabs>
          <w:tab w:val="left" w:pos="5670"/>
        </w:tabs>
        <w:spacing w:line="360" w:lineRule="auto"/>
        <w:ind w:left="851" w:right="709"/>
        <w:jc w:val="both"/>
        <w:rPr>
          <w:rFonts w:ascii="Palatino Linotype" w:hAnsi="Palatino Linotype"/>
          <w:i/>
        </w:rPr>
      </w:pPr>
      <w:r w:rsidRPr="00DD7BE8">
        <w:rPr>
          <w:rFonts w:ascii="Palatino Linotype" w:hAnsi="Palatino Linotype"/>
          <w:i/>
        </w:rPr>
        <w:t xml:space="preserve">La información confidencial no estará sujeta a temporalidad alguna y sólo podrán tener acceso a ella los titulares de la misma, sus representantes y los servidores públicos facultados para ello. </w:t>
      </w:r>
    </w:p>
    <w:p w14:paraId="038EDFAC" w14:textId="31D76A2A" w:rsidR="004D38F2" w:rsidRPr="00DD7BE8" w:rsidRDefault="004D38F2" w:rsidP="00DD7BE8">
      <w:pPr>
        <w:tabs>
          <w:tab w:val="left" w:pos="5670"/>
        </w:tabs>
        <w:spacing w:line="360" w:lineRule="auto"/>
        <w:ind w:left="851" w:right="709"/>
        <w:jc w:val="both"/>
        <w:rPr>
          <w:rFonts w:ascii="Palatino Linotype" w:eastAsia="Calibri" w:hAnsi="Palatino Linotype" w:cs="Times New Roman"/>
          <w:i/>
        </w:rPr>
      </w:pPr>
      <w:r w:rsidRPr="00DD7BE8">
        <w:rPr>
          <w:rFonts w:ascii="Palatino Linotype" w:hAnsi="Palatino Linotype"/>
          <w:i/>
        </w:rPr>
        <w:t>No se considerará confidencial la información que se encuentre en los registros públicos o en fuentes de acceso público, ni tampoco la que sea considerada por la present</w:t>
      </w:r>
      <w:r w:rsidR="00DD7BE8">
        <w:rPr>
          <w:rFonts w:ascii="Palatino Linotype" w:hAnsi="Palatino Linotype"/>
          <w:i/>
        </w:rPr>
        <w:t>e ley como información pública.</w:t>
      </w:r>
    </w:p>
    <w:p w14:paraId="1B276908" w14:textId="77777777" w:rsidR="004D38F2" w:rsidRPr="00DD7BE8" w:rsidRDefault="004D38F2" w:rsidP="00DD7BE8">
      <w:pPr>
        <w:widowControl w:val="0"/>
        <w:numPr>
          <w:ilvl w:val="0"/>
          <w:numId w:val="1"/>
        </w:numPr>
        <w:tabs>
          <w:tab w:val="left" w:pos="426"/>
        </w:tabs>
        <w:autoSpaceDE w:val="0"/>
        <w:autoSpaceDN w:val="0"/>
        <w:adjustRightInd w:val="0"/>
        <w:spacing w:before="240" w:after="240" w:line="360" w:lineRule="auto"/>
        <w:ind w:left="0" w:firstLine="0"/>
        <w:jc w:val="both"/>
        <w:rPr>
          <w:rFonts w:ascii="Palatino Linotype" w:hAnsi="Palatino Linotype" w:cs="Times New Roman"/>
          <w:lang w:eastAsia="es-ES_tradnl"/>
        </w:rPr>
      </w:pPr>
      <w:r w:rsidRPr="00DD7BE8">
        <w:rPr>
          <w:rFonts w:ascii="Palatino Linotype" w:hAnsi="Palatino Linotype" w:cs="Arial"/>
        </w:rPr>
        <w:t xml:space="preserve">Mientras </w:t>
      </w:r>
      <w:r w:rsidRPr="00DD7BE8">
        <w:rPr>
          <w:rFonts w:ascii="Palatino Linotype" w:hAnsi="Palatino Linotype" w:cs="Arial"/>
          <w:color w:val="000000" w:themeColor="text1"/>
        </w:rPr>
        <w:t>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51F51D70" w14:textId="77777777" w:rsidR="004D38F2" w:rsidRPr="00DD7BE8" w:rsidRDefault="004D38F2" w:rsidP="00DD7BE8">
      <w:pPr>
        <w:widowControl w:val="0"/>
        <w:numPr>
          <w:ilvl w:val="0"/>
          <w:numId w:val="1"/>
        </w:numPr>
        <w:tabs>
          <w:tab w:val="left" w:pos="426"/>
        </w:tabs>
        <w:autoSpaceDE w:val="0"/>
        <w:autoSpaceDN w:val="0"/>
        <w:adjustRightInd w:val="0"/>
        <w:spacing w:before="240" w:after="240" w:line="360" w:lineRule="auto"/>
        <w:ind w:left="0" w:firstLine="0"/>
        <w:jc w:val="both"/>
        <w:rPr>
          <w:rFonts w:ascii="Palatino Linotype" w:hAnsi="Palatino Linotype" w:cs="Times New Roman"/>
          <w:lang w:eastAsia="es-ES_tradnl"/>
        </w:rPr>
      </w:pPr>
      <w:r w:rsidRPr="00DD7BE8">
        <w:rPr>
          <w:rFonts w:ascii="Palatino Linotype" w:hAnsi="Palatino Linotype" w:cs="Arial"/>
        </w:rPr>
        <w:t xml:space="preserve">Entonces, como </w:t>
      </w:r>
      <w:r w:rsidRPr="00DD7BE8">
        <w:rPr>
          <w:rFonts w:ascii="Palatino Linotype" w:hAnsi="Palatino Linotype" w:cs="Arial"/>
          <w:color w:val="000000" w:themeColor="text1"/>
        </w:rPr>
        <w:t xml:space="preserve">consecuencia de lo anterior, el </w:t>
      </w:r>
      <w:r w:rsidRPr="00DD7BE8">
        <w:rPr>
          <w:rFonts w:ascii="Palatino Linotype" w:hAnsi="Palatino Linotype" w:cs="Arial"/>
          <w:b/>
          <w:color w:val="000000" w:themeColor="text1"/>
        </w:rPr>
        <w:t>SUJETO OBLIGADO</w:t>
      </w:r>
      <w:r w:rsidRPr="00DD7BE8">
        <w:rPr>
          <w:rFonts w:ascii="Palatino Linotype" w:hAnsi="Palatino Linotype" w:cs="Arial"/>
          <w:color w:val="000000" w:themeColor="text1"/>
        </w:rPr>
        <w:t xml:space="preserve"> debe identificar claramente el tipo de información y </w:t>
      </w:r>
      <w:r w:rsidRPr="00DD7BE8">
        <w:rPr>
          <w:rFonts w:ascii="Palatino Linotype" w:hAnsi="Palatino Linotype" w:cs="Arial"/>
          <w:b/>
          <w:u w:val="single"/>
        </w:rPr>
        <w:t>hacer un juicio de subsunción o encaje</w:t>
      </w:r>
      <w:r w:rsidRPr="00DD7BE8">
        <w:rPr>
          <w:rFonts w:ascii="Palatino Linotype" w:hAnsi="Palatino Linotype" w:cs="Arial"/>
          <w:color w:val="000000" w:themeColor="text1"/>
          <w:vertAlign w:val="superscript"/>
        </w:rPr>
        <w:footnoteReference w:id="4"/>
      </w:r>
      <w:r w:rsidRPr="00DD7BE8">
        <w:rPr>
          <w:rFonts w:ascii="Palatino Linotype" w:hAnsi="Palatino Linotype" w:cs="Arial"/>
          <w:color w:val="000000" w:themeColor="text1"/>
        </w:rPr>
        <w:t xml:space="preserve"> para acreditar que el supuesto de hecho corresponde estrictamente con la hipótesis jurídica. Esto también lo debe de realizar el servidor público habilitado y el titular del área que administra la información.</w:t>
      </w:r>
    </w:p>
    <w:p w14:paraId="4377411B" w14:textId="77777777" w:rsidR="004D38F2" w:rsidRPr="00DD7BE8" w:rsidRDefault="004D38F2" w:rsidP="00DD7BE8">
      <w:pPr>
        <w:keepNext/>
        <w:keepLines/>
        <w:spacing w:before="240" w:line="360" w:lineRule="auto"/>
        <w:outlineLvl w:val="0"/>
        <w:rPr>
          <w:rFonts w:ascii="Palatino Linotype" w:eastAsiaTheme="majorEastAsia" w:hAnsi="Palatino Linotype" w:cstheme="majorBidi"/>
          <w:b/>
          <w:color w:val="000000" w:themeColor="text1"/>
          <w:lang w:val="es-MX" w:eastAsia="en-US"/>
        </w:rPr>
      </w:pPr>
      <w:bookmarkStart w:id="114" w:name="_Toc17991908"/>
      <w:bookmarkStart w:id="115" w:name="_Toc24051519"/>
      <w:r w:rsidRPr="00DD7BE8">
        <w:rPr>
          <w:rFonts w:ascii="Palatino Linotype" w:eastAsiaTheme="majorEastAsia" w:hAnsi="Palatino Linotype" w:cstheme="majorBidi"/>
          <w:b/>
          <w:color w:val="000000" w:themeColor="text1"/>
          <w:lang w:val="es-MX" w:eastAsia="en-US"/>
        </w:rPr>
        <w:t>III. Formalidades para emitir el acuerdo de clasificación.</w:t>
      </w:r>
      <w:bookmarkEnd w:id="114"/>
      <w:bookmarkEnd w:id="115"/>
    </w:p>
    <w:p w14:paraId="51098678" w14:textId="77777777" w:rsidR="004D38F2" w:rsidRPr="00DD7BE8" w:rsidRDefault="004D38F2" w:rsidP="00DD7BE8">
      <w:pPr>
        <w:widowControl w:val="0"/>
        <w:numPr>
          <w:ilvl w:val="0"/>
          <w:numId w:val="1"/>
        </w:numPr>
        <w:tabs>
          <w:tab w:val="left" w:pos="426"/>
        </w:tabs>
        <w:autoSpaceDE w:val="0"/>
        <w:autoSpaceDN w:val="0"/>
        <w:adjustRightInd w:val="0"/>
        <w:spacing w:before="240" w:after="240" w:line="360" w:lineRule="auto"/>
        <w:ind w:left="0" w:firstLine="0"/>
        <w:jc w:val="both"/>
        <w:rPr>
          <w:rFonts w:ascii="Palatino Linotype" w:hAnsi="Palatino Linotype" w:cs="Times New Roman"/>
          <w:lang w:eastAsia="es-ES_tradnl"/>
        </w:rPr>
      </w:pPr>
      <w:r w:rsidRPr="00DD7BE8">
        <w:rPr>
          <w:rFonts w:ascii="Palatino Linotype" w:hAnsi="Palatino Linotype" w:cs="Arial"/>
        </w:rPr>
        <w:t xml:space="preserve">El </w:t>
      </w:r>
      <w:r w:rsidRPr="00DD7BE8">
        <w:rPr>
          <w:rFonts w:ascii="Palatino Linotype" w:hAnsi="Palatino Linotype" w:cs="Arial"/>
          <w:color w:val="000000" w:themeColor="text1"/>
        </w:rPr>
        <w:t>Comité de Transparencia, de acuerdo con lo dispuesto en los artículos 128 y 103 de la Ley Estatal y de la Ley General, respectivamente, y la fracción III del numeral Segundo de los Lineamientos Generales en Materia de Clasificación y Desclasificación de la Información, así como para la Elaboración de Versiones Públicas, en adelante los Lineamientos Generales, cuenta con las facultades para aprobar, modificar o revocar la clasificación de la información que haya propuesto. Ergo, el Comité es el encargado de aprobar, modificar o revocar la clasificación.</w:t>
      </w:r>
    </w:p>
    <w:p w14:paraId="75788561" w14:textId="77777777" w:rsidR="004D38F2" w:rsidRPr="00DD7BE8" w:rsidRDefault="004D38F2" w:rsidP="00DD7BE8">
      <w:pPr>
        <w:widowControl w:val="0"/>
        <w:numPr>
          <w:ilvl w:val="0"/>
          <w:numId w:val="1"/>
        </w:numPr>
        <w:tabs>
          <w:tab w:val="left" w:pos="426"/>
        </w:tabs>
        <w:autoSpaceDE w:val="0"/>
        <w:autoSpaceDN w:val="0"/>
        <w:adjustRightInd w:val="0"/>
        <w:spacing w:before="240" w:after="240" w:line="360" w:lineRule="auto"/>
        <w:ind w:left="0" w:firstLine="0"/>
        <w:jc w:val="both"/>
        <w:rPr>
          <w:rFonts w:ascii="Palatino Linotype" w:hAnsi="Palatino Linotype" w:cs="Times New Roman"/>
          <w:lang w:eastAsia="es-ES_tradnl"/>
        </w:rPr>
      </w:pPr>
      <w:r w:rsidRPr="00DD7BE8">
        <w:rPr>
          <w:rFonts w:ascii="Palatino Linotype" w:hAnsi="Palatino Linotype" w:cs="Arial"/>
        </w:rPr>
        <w:t xml:space="preserve">Evidentemente, </w:t>
      </w:r>
      <w:r w:rsidRPr="00DD7BE8">
        <w:rPr>
          <w:rFonts w:ascii="Palatino Linotype" w:hAnsi="Palatino Linotype" w:cs="Arial"/>
          <w:color w:val="000000" w:themeColor="text1"/>
        </w:rPr>
        <w:t xml:space="preserve">ésta decisión implica una restricción a un derecho humano, por lo tanto, puede generar un agravio a la particular y, en consecuencia, es necesario que </w:t>
      </w:r>
      <w:r w:rsidRPr="00DD7BE8">
        <w:rPr>
          <w:rFonts w:ascii="Palatino Linotype" w:hAnsi="Palatino Linotype" w:cs="Arial"/>
          <w:b/>
          <w:color w:val="000000" w:themeColor="text1"/>
          <w:u w:val="single"/>
        </w:rPr>
        <w:t>el acto reúna con los requisitos elementales</w:t>
      </w:r>
      <w:r w:rsidRPr="00DD7BE8">
        <w:rPr>
          <w:rFonts w:ascii="Palatino Linotype" w:hAnsi="Palatino Linotype" w:cs="Arial"/>
          <w:color w:val="000000" w:themeColor="text1"/>
        </w:rPr>
        <w:t>,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y el servidor público encargado de la protección de datos personales; integrado siempre por un número impar y que no debe de existir dependencia jerárquica entre sus integrantes. Cualquier otra composición del Comité puede generar vicios de legalidad de origen en el acto que restringe un derecho humano.</w:t>
      </w:r>
    </w:p>
    <w:p w14:paraId="2BA1C7A3" w14:textId="77777777" w:rsidR="004D38F2" w:rsidRPr="00DD7BE8" w:rsidRDefault="004D38F2" w:rsidP="00DD7BE8">
      <w:pPr>
        <w:widowControl w:val="0"/>
        <w:numPr>
          <w:ilvl w:val="0"/>
          <w:numId w:val="1"/>
        </w:numPr>
        <w:tabs>
          <w:tab w:val="left" w:pos="426"/>
        </w:tabs>
        <w:autoSpaceDE w:val="0"/>
        <w:autoSpaceDN w:val="0"/>
        <w:adjustRightInd w:val="0"/>
        <w:spacing w:before="240" w:after="240" w:line="360" w:lineRule="auto"/>
        <w:ind w:left="0" w:firstLine="0"/>
        <w:jc w:val="both"/>
        <w:rPr>
          <w:rFonts w:ascii="Palatino Linotype" w:hAnsi="Palatino Linotype" w:cs="Times New Roman"/>
          <w:lang w:eastAsia="es-ES_tradnl"/>
        </w:rPr>
      </w:pPr>
      <w:r w:rsidRPr="00DD7BE8">
        <w:rPr>
          <w:rFonts w:ascii="Palatino Linotype" w:hAnsi="Palatino Linotype" w:cs="Arial"/>
          <w:color w:val="000000" w:themeColor="text1"/>
        </w:rPr>
        <w:t>Por consiguiente, la decisión de aprobar, modificar o revocar la clasificación deberá de asentarse en un documento que registre la determinación a la que se llegue después de un análisis minucioso a partir de lo propuesto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w:t>
      </w:r>
    </w:p>
    <w:p w14:paraId="7874732E" w14:textId="77777777" w:rsidR="004D38F2" w:rsidRPr="00DD7BE8" w:rsidRDefault="004D38F2" w:rsidP="00DD7BE8">
      <w:pPr>
        <w:keepNext/>
        <w:keepLines/>
        <w:spacing w:before="240" w:line="360" w:lineRule="auto"/>
        <w:outlineLvl w:val="0"/>
        <w:rPr>
          <w:rFonts w:ascii="Palatino Linotype" w:eastAsiaTheme="majorEastAsia" w:hAnsi="Palatino Linotype" w:cstheme="majorBidi"/>
          <w:b/>
          <w:color w:val="000000" w:themeColor="text1"/>
          <w:lang w:val="es-MX" w:eastAsia="en-US"/>
        </w:rPr>
      </w:pPr>
      <w:bookmarkStart w:id="116" w:name="_Toc17991909"/>
      <w:bookmarkStart w:id="117" w:name="_Toc24051520"/>
      <w:r w:rsidRPr="00DD7BE8">
        <w:rPr>
          <w:rFonts w:ascii="Palatino Linotype" w:eastAsiaTheme="majorEastAsia" w:hAnsi="Palatino Linotype" w:cstheme="majorBidi"/>
          <w:b/>
          <w:color w:val="000000" w:themeColor="text1"/>
          <w:lang w:val="es-MX" w:eastAsia="en-US"/>
        </w:rPr>
        <w:t>IV. Requisitos de fondo del acuerdo de clasificación.</w:t>
      </w:r>
      <w:bookmarkEnd w:id="116"/>
      <w:bookmarkEnd w:id="117"/>
    </w:p>
    <w:p w14:paraId="2673AA0B" w14:textId="77777777" w:rsidR="004D38F2" w:rsidRPr="00DD7BE8" w:rsidRDefault="004D38F2" w:rsidP="00DD7BE8">
      <w:pPr>
        <w:widowControl w:val="0"/>
        <w:numPr>
          <w:ilvl w:val="0"/>
          <w:numId w:val="1"/>
        </w:numPr>
        <w:tabs>
          <w:tab w:val="left" w:pos="426"/>
        </w:tabs>
        <w:autoSpaceDE w:val="0"/>
        <w:autoSpaceDN w:val="0"/>
        <w:adjustRightInd w:val="0"/>
        <w:spacing w:before="240" w:after="240" w:line="360" w:lineRule="auto"/>
        <w:ind w:left="0" w:firstLine="0"/>
        <w:jc w:val="both"/>
        <w:rPr>
          <w:rFonts w:ascii="Palatino Linotype" w:hAnsi="Palatino Linotype" w:cs="Times New Roman"/>
          <w:lang w:eastAsia="es-ES_tradnl"/>
        </w:rPr>
      </w:pPr>
      <w:r w:rsidRPr="00DD7BE8">
        <w:rPr>
          <w:rFonts w:ascii="Palatino Linotype" w:hAnsi="Palatino Linotype" w:cs="Arial"/>
          <w:color w:val="000000" w:themeColor="text1"/>
        </w:rPr>
        <w:t>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w:t>
      </w:r>
    </w:p>
    <w:p w14:paraId="3E4F2510" w14:textId="77777777" w:rsidR="004D38F2" w:rsidRPr="00DD7BE8" w:rsidRDefault="004D38F2" w:rsidP="00DD7BE8">
      <w:pPr>
        <w:widowControl w:val="0"/>
        <w:numPr>
          <w:ilvl w:val="0"/>
          <w:numId w:val="1"/>
        </w:numPr>
        <w:tabs>
          <w:tab w:val="left" w:pos="426"/>
        </w:tabs>
        <w:autoSpaceDE w:val="0"/>
        <w:autoSpaceDN w:val="0"/>
        <w:adjustRightInd w:val="0"/>
        <w:spacing w:before="240" w:after="240" w:line="360" w:lineRule="auto"/>
        <w:ind w:left="0" w:firstLine="0"/>
        <w:jc w:val="both"/>
        <w:rPr>
          <w:rFonts w:ascii="Palatino Linotype" w:hAnsi="Palatino Linotype" w:cs="Times New Roman"/>
          <w:lang w:eastAsia="es-ES_tradnl"/>
        </w:rPr>
      </w:pPr>
      <w:r w:rsidRPr="00DD7BE8">
        <w:rPr>
          <w:rFonts w:ascii="Palatino Linotype" w:hAnsi="Palatino Linotype" w:cs="Times New Roman"/>
          <w:lang w:eastAsia="es-ES_tradnl"/>
        </w:rPr>
        <w:t xml:space="preserve">De lo </w:t>
      </w:r>
      <w:r w:rsidRPr="00DD7BE8">
        <w:rPr>
          <w:rFonts w:ascii="Palatino Linotype" w:hAnsi="Palatino Linotype" w:cs="Arial"/>
          <w:color w:val="000000" w:themeColor="text1"/>
        </w:rPr>
        <w:t xml:space="preserve">anterior, se desprende que para una correcta </w:t>
      </w:r>
      <w:r w:rsidRPr="00DD7BE8">
        <w:rPr>
          <w:rFonts w:ascii="Palatino Linotype" w:hAnsi="Palatino Linotype" w:cs="Arial"/>
          <w:b/>
          <w:color w:val="000000" w:themeColor="text1"/>
        </w:rPr>
        <w:t>clasificación total o parcial</w:t>
      </w:r>
      <w:r w:rsidRPr="00DD7BE8">
        <w:rPr>
          <w:rFonts w:ascii="Palatino Linotype" w:hAnsi="Palatino Linotype" w:cs="Arial"/>
          <w:color w:val="000000" w:themeColor="text1"/>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7D4DB212" w14:textId="77777777" w:rsidR="004D38F2" w:rsidRPr="00DD7BE8" w:rsidRDefault="004D38F2" w:rsidP="00DD7BE8">
      <w:pPr>
        <w:widowControl w:val="0"/>
        <w:numPr>
          <w:ilvl w:val="0"/>
          <w:numId w:val="1"/>
        </w:numPr>
        <w:tabs>
          <w:tab w:val="left" w:pos="426"/>
        </w:tabs>
        <w:autoSpaceDE w:val="0"/>
        <w:autoSpaceDN w:val="0"/>
        <w:adjustRightInd w:val="0"/>
        <w:spacing w:before="240" w:after="240" w:line="360" w:lineRule="auto"/>
        <w:ind w:left="0" w:firstLine="0"/>
        <w:jc w:val="both"/>
        <w:rPr>
          <w:rFonts w:ascii="Palatino Linotype" w:hAnsi="Palatino Linotype" w:cs="Times New Roman"/>
          <w:lang w:eastAsia="es-ES_tradnl"/>
        </w:rPr>
      </w:pPr>
      <w:r w:rsidRPr="00DD7BE8">
        <w:rPr>
          <w:rFonts w:ascii="Palatino Linotype" w:hAnsi="Palatino Linotype" w:cs="Arial"/>
          <w:color w:val="000000" w:themeColor="text1"/>
        </w:rPr>
        <w:t xml:space="preserve">Han sido vastos los estudios doctrinarios relativos a éstos derechos fundamentales y al principio de legalidad en ellos contenidos; como ejemplo, el procesalista José Ovalle Fabela, en su obra “Garantías Constitucionales del Proceso”, refiere que </w:t>
      </w:r>
      <w:r w:rsidRPr="00DD7BE8">
        <w:rPr>
          <w:rFonts w:ascii="Palatino Linotype" w:hAnsi="Palatino Linotype" w:cs="Arial"/>
          <w:i/>
          <w:color w:val="000000" w:themeColor="text1"/>
        </w:rPr>
        <w:t>“(...)la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 (...)”</w:t>
      </w:r>
      <w:r w:rsidRPr="00DD7BE8">
        <w:rPr>
          <w:rFonts w:ascii="Palatino Linotype" w:hAnsi="Palatino Linotype" w:cs="Arial"/>
          <w:i/>
          <w:color w:val="000000" w:themeColor="text1"/>
          <w:vertAlign w:val="superscript"/>
        </w:rPr>
        <w:footnoteReference w:id="5"/>
      </w:r>
    </w:p>
    <w:p w14:paraId="28B565E2" w14:textId="77777777" w:rsidR="004D38F2" w:rsidRPr="00DD7BE8" w:rsidRDefault="004D38F2" w:rsidP="00DD7BE8">
      <w:pPr>
        <w:widowControl w:val="0"/>
        <w:numPr>
          <w:ilvl w:val="0"/>
          <w:numId w:val="1"/>
        </w:numPr>
        <w:tabs>
          <w:tab w:val="left" w:pos="426"/>
        </w:tabs>
        <w:autoSpaceDE w:val="0"/>
        <w:autoSpaceDN w:val="0"/>
        <w:adjustRightInd w:val="0"/>
        <w:spacing w:before="240" w:after="240" w:line="360" w:lineRule="auto"/>
        <w:ind w:left="0" w:firstLine="0"/>
        <w:jc w:val="both"/>
        <w:rPr>
          <w:rFonts w:ascii="Palatino Linotype" w:hAnsi="Palatino Linotype" w:cs="Times New Roman"/>
          <w:lang w:eastAsia="es-ES_tradnl"/>
        </w:rPr>
      </w:pPr>
      <w:r w:rsidRPr="00DD7BE8">
        <w:rPr>
          <w:rFonts w:ascii="Palatino Linotype" w:hAnsi="Palatino Linotype" w:cs="Arial"/>
          <w:color w:val="000000" w:themeColor="text1"/>
        </w:rPr>
        <w:t>Por su parte, el intérprete judicial del país ha establecido una jurisprudencia respecto a qué debe entenderse por fundamentación y motivación, en los siguientes términos:</w:t>
      </w:r>
    </w:p>
    <w:p w14:paraId="521266FE" w14:textId="77777777" w:rsidR="004D38F2" w:rsidRPr="00DD7BE8" w:rsidRDefault="004D38F2" w:rsidP="00DD7BE8">
      <w:pPr>
        <w:spacing w:line="360" w:lineRule="auto"/>
        <w:ind w:left="851" w:right="567"/>
        <w:jc w:val="both"/>
        <w:rPr>
          <w:rFonts w:ascii="Palatino Linotype" w:hAnsi="Palatino Linotype"/>
          <w:i/>
        </w:rPr>
      </w:pPr>
      <w:r w:rsidRPr="00DD7BE8">
        <w:rPr>
          <w:rFonts w:ascii="Palatino Linotype" w:hAnsi="Palatino Linotype"/>
          <w:b/>
          <w:i/>
        </w:rPr>
        <w:t>“FUNDAMENTACIÓN Y MOTIVACIÓN.</w:t>
      </w:r>
      <w:r w:rsidRPr="00DD7BE8">
        <w:rPr>
          <w:rFonts w:ascii="Palatino Linotype" w:hAnsi="Palatino Linotype"/>
          <w:i/>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2705FA96" w14:textId="77777777" w:rsidR="004D38F2" w:rsidRPr="00DD7BE8" w:rsidRDefault="004D38F2" w:rsidP="00DD7BE8">
      <w:pPr>
        <w:spacing w:line="360" w:lineRule="auto"/>
        <w:ind w:left="851" w:right="567"/>
        <w:jc w:val="both"/>
        <w:rPr>
          <w:rFonts w:ascii="Palatino Linotype" w:hAnsi="Palatino Linotype"/>
          <w:i/>
          <w:sz w:val="12"/>
        </w:rPr>
      </w:pPr>
    </w:p>
    <w:p w14:paraId="2B6B1DF1" w14:textId="77777777" w:rsidR="004D38F2" w:rsidRPr="00DD7BE8" w:rsidRDefault="004D38F2" w:rsidP="00DD7BE8">
      <w:pPr>
        <w:spacing w:line="360" w:lineRule="auto"/>
        <w:ind w:left="851" w:right="567"/>
        <w:jc w:val="both"/>
        <w:rPr>
          <w:rFonts w:ascii="Palatino Linotype" w:hAnsi="Palatino Linotype"/>
          <w:i/>
        </w:rPr>
      </w:pPr>
      <w:r w:rsidRPr="00DD7BE8">
        <w:rPr>
          <w:rFonts w:ascii="Palatino Linotype" w:hAnsi="Palatino Linotype"/>
          <w:i/>
        </w:rPr>
        <w:t>SEGUNDO TRIBUNAL COLEGIADO DEL SEXTO CIRCUITO.</w:t>
      </w:r>
    </w:p>
    <w:p w14:paraId="47686B09" w14:textId="77777777" w:rsidR="004D38F2" w:rsidRPr="00DD7BE8" w:rsidRDefault="004D38F2" w:rsidP="00DD7BE8">
      <w:pPr>
        <w:spacing w:line="360" w:lineRule="auto"/>
        <w:ind w:left="851" w:right="567"/>
        <w:jc w:val="both"/>
        <w:rPr>
          <w:rFonts w:ascii="Palatino Linotype" w:hAnsi="Palatino Linotype"/>
          <w:i/>
        </w:rPr>
      </w:pPr>
      <w:r w:rsidRPr="00DD7BE8">
        <w:rPr>
          <w:rFonts w:ascii="Palatino Linotype" w:hAnsi="Palatino Linotype"/>
          <w:i/>
        </w:rPr>
        <w:t>Amparo directo 194/88. Bufete Industrial Construcciones, S.A. de C.V. 28 de junio de 1988. Unanimidad de votos. Ponente: Gustavo Calvillo Rangel. Secretario: Jorge Alberto González Álvarez.</w:t>
      </w:r>
    </w:p>
    <w:p w14:paraId="0BDF12DD" w14:textId="77777777" w:rsidR="004D38F2" w:rsidRPr="00DD7BE8" w:rsidRDefault="004D38F2" w:rsidP="00DD7BE8">
      <w:pPr>
        <w:spacing w:line="360" w:lineRule="auto"/>
        <w:ind w:left="851" w:right="567"/>
        <w:jc w:val="both"/>
        <w:rPr>
          <w:rFonts w:ascii="Palatino Linotype" w:hAnsi="Palatino Linotype"/>
          <w:i/>
        </w:rPr>
      </w:pPr>
      <w:r w:rsidRPr="00DD7BE8">
        <w:rPr>
          <w:rFonts w:ascii="Palatino Linotype" w:hAnsi="Palatino Linotype"/>
          <w:i/>
        </w:rPr>
        <w:t xml:space="preserve">Revisión fiscal 103/88. Instituto Mexicano del Seguro Social. 18 de octubre de 1988. Unanimidad de votos. Ponente: Arnoldo Nájera Virgen. Secretario: Alejandro </w:t>
      </w:r>
      <w:proofErr w:type="spellStart"/>
      <w:r w:rsidRPr="00DD7BE8">
        <w:rPr>
          <w:rFonts w:ascii="Palatino Linotype" w:hAnsi="Palatino Linotype"/>
          <w:i/>
        </w:rPr>
        <w:t>Esponda</w:t>
      </w:r>
      <w:proofErr w:type="spellEnd"/>
      <w:r w:rsidRPr="00DD7BE8">
        <w:rPr>
          <w:rFonts w:ascii="Palatino Linotype" w:hAnsi="Palatino Linotype"/>
          <w:i/>
        </w:rPr>
        <w:t xml:space="preserve"> Rincón.</w:t>
      </w:r>
    </w:p>
    <w:p w14:paraId="07E34C8E" w14:textId="77777777" w:rsidR="004D38F2" w:rsidRPr="00DD7BE8" w:rsidRDefault="004D38F2" w:rsidP="00DD7BE8">
      <w:pPr>
        <w:spacing w:line="360" w:lineRule="auto"/>
        <w:ind w:left="851" w:right="567"/>
        <w:jc w:val="both"/>
        <w:rPr>
          <w:rFonts w:ascii="Palatino Linotype" w:hAnsi="Palatino Linotype"/>
          <w:i/>
        </w:rPr>
      </w:pPr>
      <w:r w:rsidRPr="00DD7BE8">
        <w:rPr>
          <w:rFonts w:ascii="Palatino Linotype" w:hAnsi="Palatino Linotype"/>
          <w:i/>
        </w:rPr>
        <w:t xml:space="preserve">Amparo en revisión 333/88. </w:t>
      </w:r>
      <w:proofErr w:type="spellStart"/>
      <w:r w:rsidRPr="00DD7BE8">
        <w:rPr>
          <w:rFonts w:ascii="Palatino Linotype" w:hAnsi="Palatino Linotype"/>
          <w:i/>
        </w:rPr>
        <w:t>Adilia</w:t>
      </w:r>
      <w:proofErr w:type="spellEnd"/>
      <w:r w:rsidRPr="00DD7BE8">
        <w:rPr>
          <w:rFonts w:ascii="Palatino Linotype" w:hAnsi="Palatino Linotype"/>
          <w:i/>
        </w:rPr>
        <w:t xml:space="preserve"> Romero. 26 de octubre de 1988. Unanimidad de votos. Ponente: Arnoldo Nájera Virgen. Secretario: Enrique Crispín Campos Ramírez.</w:t>
      </w:r>
    </w:p>
    <w:p w14:paraId="35FC93C4" w14:textId="77777777" w:rsidR="004D38F2" w:rsidRPr="00DD7BE8" w:rsidRDefault="004D38F2" w:rsidP="00DD7BE8">
      <w:pPr>
        <w:spacing w:line="360" w:lineRule="auto"/>
        <w:ind w:left="851" w:right="567"/>
        <w:jc w:val="both"/>
        <w:rPr>
          <w:rFonts w:ascii="Palatino Linotype" w:hAnsi="Palatino Linotype"/>
          <w:i/>
        </w:rPr>
      </w:pPr>
      <w:r w:rsidRPr="00DD7BE8">
        <w:rPr>
          <w:rFonts w:ascii="Palatino Linotype" w:hAnsi="Palatino Linotype"/>
          <w:i/>
        </w:rPr>
        <w:t xml:space="preserve">Amparo en revisión 597/95. Emilio Maurer Bretón. 15 de noviembre de 1995. Unanimidad de votos. Ponente: Clementina Ramírez Moguel </w:t>
      </w:r>
      <w:proofErr w:type="spellStart"/>
      <w:r w:rsidRPr="00DD7BE8">
        <w:rPr>
          <w:rFonts w:ascii="Palatino Linotype" w:hAnsi="Palatino Linotype"/>
          <w:i/>
        </w:rPr>
        <w:t>Goyzueta</w:t>
      </w:r>
      <w:proofErr w:type="spellEnd"/>
      <w:r w:rsidRPr="00DD7BE8">
        <w:rPr>
          <w:rFonts w:ascii="Palatino Linotype" w:hAnsi="Palatino Linotype"/>
          <w:i/>
        </w:rPr>
        <w:t>. Secretario: Gonzalo Carrera Molina.</w:t>
      </w:r>
    </w:p>
    <w:p w14:paraId="35BD982D" w14:textId="77777777" w:rsidR="004D38F2" w:rsidRPr="00DD7BE8" w:rsidRDefault="004D38F2" w:rsidP="00DD7BE8">
      <w:pPr>
        <w:spacing w:line="360" w:lineRule="auto"/>
        <w:ind w:left="851" w:right="567"/>
        <w:jc w:val="both"/>
        <w:rPr>
          <w:rFonts w:ascii="Palatino Linotype" w:hAnsi="Palatino Linotype"/>
          <w:i/>
        </w:rPr>
      </w:pPr>
      <w:r w:rsidRPr="00DD7BE8">
        <w:rPr>
          <w:rFonts w:ascii="Palatino Linotype" w:hAnsi="Palatino Linotype"/>
          <w:i/>
        </w:rPr>
        <w:t xml:space="preserve">Amparo directo 7/96. Pedro Vicente López Miro. 21 de febrero de 1996. Unanimidad de votos. Ponente: María Eugenia Estela Martínez Cardiel. Secretario: Enrique </w:t>
      </w:r>
      <w:proofErr w:type="spellStart"/>
      <w:r w:rsidRPr="00DD7BE8">
        <w:rPr>
          <w:rFonts w:ascii="Palatino Linotype" w:hAnsi="Palatino Linotype"/>
          <w:i/>
        </w:rPr>
        <w:t>Baigts</w:t>
      </w:r>
      <w:proofErr w:type="spellEnd"/>
      <w:r w:rsidRPr="00DD7BE8">
        <w:rPr>
          <w:rFonts w:ascii="Palatino Linotype" w:hAnsi="Palatino Linotype"/>
          <w:i/>
        </w:rPr>
        <w:t xml:space="preserve"> Muñoz.</w:t>
      </w:r>
    </w:p>
    <w:p w14:paraId="4583C53F" w14:textId="77777777" w:rsidR="004D38F2" w:rsidRPr="00DD7BE8" w:rsidRDefault="004D38F2" w:rsidP="00DD7BE8">
      <w:pPr>
        <w:widowControl w:val="0"/>
        <w:numPr>
          <w:ilvl w:val="0"/>
          <w:numId w:val="1"/>
        </w:numPr>
        <w:tabs>
          <w:tab w:val="left" w:pos="426"/>
        </w:tabs>
        <w:autoSpaceDE w:val="0"/>
        <w:autoSpaceDN w:val="0"/>
        <w:adjustRightInd w:val="0"/>
        <w:spacing w:before="240" w:after="240" w:line="360" w:lineRule="auto"/>
        <w:ind w:left="0" w:firstLine="0"/>
        <w:jc w:val="both"/>
        <w:rPr>
          <w:rFonts w:ascii="Palatino Linotype" w:hAnsi="Palatino Linotype" w:cs="Times New Roman"/>
          <w:lang w:eastAsia="es-ES_tradnl"/>
        </w:rPr>
      </w:pPr>
      <w:r w:rsidRPr="00DD7BE8">
        <w:rPr>
          <w:rFonts w:ascii="Palatino Linotype" w:hAnsi="Palatino Linotype" w:cs="Arial"/>
          <w:color w:val="000000" w:themeColor="text1"/>
        </w:rPr>
        <w:t>Así</w:t>
      </w:r>
      <w:r w:rsidRPr="00DD7BE8">
        <w:rPr>
          <w:rFonts w:ascii="Palatino Linotype" w:eastAsia="Calibri" w:hAnsi="Palatino Linotype" w:cs="Times New Roman"/>
        </w:rPr>
        <w:t xml:space="preserve">, </w:t>
      </w:r>
      <w:r w:rsidRPr="00DD7BE8">
        <w:rPr>
          <w:rFonts w:ascii="Palatino Linotype" w:hAnsi="Palatino Linotype" w:cs="Arial"/>
          <w:color w:val="000000" w:themeColor="text1"/>
        </w:rPr>
        <w:t>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6B32E5FD" w14:textId="77777777" w:rsidR="004D38F2" w:rsidRPr="00DD7BE8" w:rsidRDefault="004D38F2" w:rsidP="00DD7BE8">
      <w:pPr>
        <w:widowControl w:val="0"/>
        <w:numPr>
          <w:ilvl w:val="0"/>
          <w:numId w:val="1"/>
        </w:numPr>
        <w:tabs>
          <w:tab w:val="left" w:pos="426"/>
        </w:tabs>
        <w:autoSpaceDE w:val="0"/>
        <w:autoSpaceDN w:val="0"/>
        <w:adjustRightInd w:val="0"/>
        <w:spacing w:before="240" w:after="240" w:line="360" w:lineRule="auto"/>
        <w:ind w:left="0" w:firstLine="0"/>
        <w:jc w:val="both"/>
        <w:rPr>
          <w:rFonts w:ascii="Palatino Linotype" w:hAnsi="Palatino Linotype" w:cs="Times New Roman"/>
          <w:lang w:eastAsia="es-ES_tradnl"/>
        </w:rPr>
      </w:pPr>
      <w:r w:rsidRPr="00DD7BE8">
        <w:rPr>
          <w:rFonts w:ascii="Palatino Linotype" w:hAnsi="Palatino Linotype" w:cs="Arial"/>
          <w:color w:val="000000" w:themeColor="text1"/>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1AAE0E87" w14:textId="77777777" w:rsidR="004D38F2" w:rsidRPr="00DD7BE8" w:rsidRDefault="004D38F2" w:rsidP="00DD7BE8">
      <w:pPr>
        <w:widowControl w:val="0"/>
        <w:numPr>
          <w:ilvl w:val="0"/>
          <w:numId w:val="1"/>
        </w:numPr>
        <w:tabs>
          <w:tab w:val="left" w:pos="426"/>
        </w:tabs>
        <w:autoSpaceDE w:val="0"/>
        <w:autoSpaceDN w:val="0"/>
        <w:adjustRightInd w:val="0"/>
        <w:spacing w:before="240" w:after="240" w:line="360" w:lineRule="auto"/>
        <w:ind w:left="0" w:firstLine="0"/>
        <w:jc w:val="both"/>
        <w:rPr>
          <w:rFonts w:ascii="Palatino Linotype" w:hAnsi="Palatino Linotype" w:cs="Times New Roman"/>
          <w:lang w:eastAsia="es-ES_tradnl"/>
        </w:rPr>
      </w:pPr>
      <w:r w:rsidRPr="00DD7BE8">
        <w:rPr>
          <w:rFonts w:ascii="Palatino Linotype" w:hAnsi="Palatino Linotype" w:cs="Arial"/>
          <w:color w:val="000000" w:themeColor="text1"/>
        </w:rPr>
        <w:t>En ese sentido, el numeral trigésimo tercero fracción V de los Lineamientos Generales, precisa que para motivar la clasificación se deben acreditar las circunstancias de tiempo, modo y lugar.</w:t>
      </w:r>
    </w:p>
    <w:p w14:paraId="22700F03" w14:textId="77777777" w:rsidR="004D38F2" w:rsidRPr="00DD7BE8" w:rsidRDefault="004D38F2" w:rsidP="00DD7BE8">
      <w:pPr>
        <w:widowControl w:val="0"/>
        <w:numPr>
          <w:ilvl w:val="0"/>
          <w:numId w:val="1"/>
        </w:numPr>
        <w:tabs>
          <w:tab w:val="left" w:pos="426"/>
        </w:tabs>
        <w:autoSpaceDE w:val="0"/>
        <w:autoSpaceDN w:val="0"/>
        <w:adjustRightInd w:val="0"/>
        <w:spacing w:before="240" w:after="240" w:line="360" w:lineRule="auto"/>
        <w:ind w:left="0" w:firstLine="0"/>
        <w:jc w:val="both"/>
        <w:rPr>
          <w:rFonts w:ascii="Palatino Linotype" w:hAnsi="Palatino Linotype" w:cs="Times New Roman"/>
          <w:lang w:eastAsia="es-ES_tradnl"/>
        </w:rPr>
      </w:pPr>
      <w:r w:rsidRPr="00DD7BE8">
        <w:rPr>
          <w:rFonts w:ascii="Palatino Linotype" w:hAnsi="Palatino Linotype" w:cs="Arial"/>
          <w:color w:val="000000" w:themeColor="text1"/>
        </w:rPr>
        <w:t>Ahora bien, para cada caso además de fundar y motivar, se</w:t>
      </w:r>
      <w:r w:rsidRPr="00DD7BE8">
        <w:rPr>
          <w:rFonts w:ascii="Palatino Linotype" w:hAnsi="Palatino Linotype" w:cs="Arial"/>
          <w:b/>
          <w:color w:val="000000" w:themeColor="text1"/>
          <w:u w:val="single"/>
        </w:rPr>
        <w:t xml:space="preserve"> debe identificar con claridad qué datos contenidos en las documentales son susceptibles de suprimirse</w:t>
      </w:r>
      <w:r w:rsidRPr="00DD7BE8">
        <w:rPr>
          <w:rFonts w:ascii="Palatino Linotype" w:hAnsi="Palatino Linotype" w:cs="Arial"/>
          <w:color w:val="000000" w:themeColor="text1"/>
        </w:rPr>
        <w:t>, por ejemplo, si una documental de naturaleza pública como lo es la nómina general, si bien el dato de sus remuneraciones es eminentemente público, no así todos los datos contenidos en dicho documento que son datos personales</w:t>
      </w:r>
      <w:r w:rsidRPr="00DD7BE8">
        <w:rPr>
          <w:rFonts w:ascii="Palatino Linotype" w:hAnsi="Palatino Linotype" w:cs="Arial"/>
          <w:color w:val="000000" w:themeColor="text1"/>
          <w:vertAlign w:val="superscript"/>
        </w:rPr>
        <w:footnoteReference w:id="6"/>
      </w:r>
      <w:r w:rsidRPr="00DD7BE8">
        <w:rPr>
          <w:rFonts w:ascii="Palatino Linotype" w:hAnsi="Palatino Linotype" w:cs="Arial"/>
          <w:color w:val="000000" w:themeColor="text1"/>
        </w:rPr>
        <w:t xml:space="preserve"> del servidor público que no tienen ninguna injerencia en el tema de la transparencia y la rendición de cuentas,  por ejemplo, Clave Única de Registro de Población (CURP), Registro Federal de Contribuyentes (R.F.C.), éstos son datos susceptibles de clasificarse como confidenciales mediante una versión pública que deje a la vista los datos que ofrezcan la información requerida.</w:t>
      </w:r>
    </w:p>
    <w:p w14:paraId="3FFCA1E2" w14:textId="77777777" w:rsidR="004D38F2" w:rsidRPr="00DD7BE8" w:rsidRDefault="004D38F2" w:rsidP="00DD7BE8">
      <w:pPr>
        <w:widowControl w:val="0"/>
        <w:numPr>
          <w:ilvl w:val="0"/>
          <w:numId w:val="1"/>
        </w:numPr>
        <w:tabs>
          <w:tab w:val="left" w:pos="426"/>
        </w:tabs>
        <w:autoSpaceDE w:val="0"/>
        <w:autoSpaceDN w:val="0"/>
        <w:adjustRightInd w:val="0"/>
        <w:spacing w:before="240" w:after="240" w:line="360" w:lineRule="auto"/>
        <w:ind w:left="0" w:firstLine="0"/>
        <w:jc w:val="both"/>
        <w:rPr>
          <w:rFonts w:ascii="Palatino Linotype" w:hAnsi="Palatino Linotype" w:cs="Times New Roman"/>
          <w:lang w:eastAsia="es-ES_tradnl"/>
        </w:rPr>
      </w:pPr>
      <w:r w:rsidRPr="00DD7BE8">
        <w:rPr>
          <w:rFonts w:ascii="Palatino Linotype" w:hAnsi="Palatino Linotype" w:cs="Arial"/>
          <w:color w:val="000000" w:themeColor="text1"/>
        </w:rPr>
        <w:t>Otro tipo de información confidencial constituyen los secretos bancario, fiduciario, industrial, comercial, fiscal, bursátil y postal, cuya titularidad corresponda a particulares, sujetos de derecho internacional o a sujetos obligados cuando no involucren el ejercicio de recursos públicos, así lo define la fracción XXI del artículo 3 de la Ley Estatal.</w:t>
      </w:r>
    </w:p>
    <w:p w14:paraId="59DB32FE" w14:textId="77777777" w:rsidR="004D38F2" w:rsidRPr="00DD7BE8" w:rsidRDefault="004D38F2" w:rsidP="00DD7BE8">
      <w:pPr>
        <w:keepNext/>
        <w:keepLines/>
        <w:tabs>
          <w:tab w:val="left" w:pos="7797"/>
          <w:tab w:val="left" w:pos="8222"/>
        </w:tabs>
        <w:spacing w:before="240" w:line="360" w:lineRule="auto"/>
        <w:outlineLvl w:val="0"/>
        <w:rPr>
          <w:rFonts w:ascii="Palatino Linotype" w:eastAsiaTheme="majorEastAsia" w:hAnsi="Palatino Linotype" w:cstheme="majorBidi"/>
          <w:b/>
          <w:color w:val="000000" w:themeColor="text1"/>
          <w:lang w:val="es-MX" w:eastAsia="en-US"/>
        </w:rPr>
      </w:pPr>
      <w:bookmarkStart w:id="118" w:name="_Toc17991910"/>
      <w:bookmarkStart w:id="119" w:name="_Toc24051521"/>
      <w:r w:rsidRPr="00DD7BE8">
        <w:rPr>
          <w:rFonts w:ascii="Palatino Linotype" w:eastAsiaTheme="majorEastAsia" w:hAnsi="Palatino Linotype" w:cstheme="majorBidi"/>
          <w:b/>
          <w:color w:val="000000" w:themeColor="text1"/>
          <w:lang w:val="es-MX" w:eastAsia="en-US"/>
        </w:rPr>
        <w:t>V. Condiciones especiales de la clasificación de la información como confidencial.</w:t>
      </w:r>
      <w:bookmarkEnd w:id="118"/>
      <w:bookmarkEnd w:id="119"/>
    </w:p>
    <w:p w14:paraId="49401696" w14:textId="77777777" w:rsidR="004D38F2" w:rsidRPr="00DD7BE8" w:rsidRDefault="004D38F2" w:rsidP="00DD7BE8">
      <w:pPr>
        <w:spacing w:line="360" w:lineRule="auto"/>
        <w:rPr>
          <w:rFonts w:ascii="Palatino Linotype" w:hAnsi="Palatino Linotype"/>
          <w:sz w:val="10"/>
          <w:lang w:val="es-MX" w:eastAsia="en-US"/>
        </w:rPr>
      </w:pPr>
    </w:p>
    <w:p w14:paraId="3AAF49F1" w14:textId="77777777" w:rsidR="004D38F2" w:rsidRPr="00DD7BE8" w:rsidRDefault="004D38F2" w:rsidP="00DD7BE8">
      <w:pPr>
        <w:widowControl w:val="0"/>
        <w:numPr>
          <w:ilvl w:val="0"/>
          <w:numId w:val="1"/>
        </w:numPr>
        <w:tabs>
          <w:tab w:val="left" w:pos="426"/>
          <w:tab w:val="left" w:pos="7797"/>
          <w:tab w:val="left" w:pos="8222"/>
        </w:tabs>
        <w:autoSpaceDE w:val="0"/>
        <w:autoSpaceDN w:val="0"/>
        <w:adjustRightInd w:val="0"/>
        <w:spacing w:before="240" w:after="240" w:line="360" w:lineRule="auto"/>
        <w:ind w:left="0" w:firstLine="0"/>
        <w:jc w:val="both"/>
        <w:rPr>
          <w:rFonts w:ascii="Palatino Linotype" w:hAnsi="Palatino Linotype" w:cs="Times New Roman"/>
          <w:lang w:eastAsia="es-ES_tradnl"/>
        </w:rPr>
      </w:pPr>
      <w:r w:rsidRPr="00DD7BE8">
        <w:rPr>
          <w:rFonts w:ascii="Palatino Linotype" w:hAnsi="Palatino Linotype" w:cs="Arial"/>
          <w:color w:val="000000" w:themeColor="text1"/>
        </w:rPr>
        <w:t>Los artículos 148 y 120 de la Ley Estatal y de la Ley General, respectivamente, establecen que aun tratándose de datos personales, se podrán proporcionar, incluso sin solicitar el consentimiento de su titular, cuando dichos datos correspondan a los siguientes supuestos:</w:t>
      </w:r>
    </w:p>
    <w:p w14:paraId="71B46708" w14:textId="77777777" w:rsidR="004D38F2" w:rsidRPr="00DD7BE8" w:rsidRDefault="004D38F2" w:rsidP="00DD7BE8">
      <w:pPr>
        <w:spacing w:line="360" w:lineRule="auto"/>
        <w:ind w:left="851" w:right="567"/>
        <w:jc w:val="both"/>
        <w:rPr>
          <w:rFonts w:ascii="Palatino Linotype" w:hAnsi="Palatino Linotype"/>
          <w:bCs/>
          <w:i/>
        </w:rPr>
      </w:pPr>
      <w:r w:rsidRPr="00DD7BE8">
        <w:rPr>
          <w:rFonts w:ascii="Palatino Linotype" w:hAnsi="Palatino Linotype"/>
          <w:bCs/>
          <w:i/>
        </w:rPr>
        <w:t>“I.</w:t>
      </w:r>
      <w:r w:rsidRPr="00DD7BE8">
        <w:rPr>
          <w:rFonts w:ascii="Palatino Linotype" w:hAnsi="Palatino Linotype"/>
          <w:i/>
        </w:rPr>
        <w:t xml:space="preserve"> La información se encuentre en registros públicos o fuentes de acceso público;</w:t>
      </w:r>
    </w:p>
    <w:p w14:paraId="30E19EDC" w14:textId="77777777" w:rsidR="004D38F2" w:rsidRPr="00DD7BE8" w:rsidRDefault="004D38F2" w:rsidP="00DD7BE8">
      <w:pPr>
        <w:spacing w:line="360" w:lineRule="auto"/>
        <w:ind w:left="851" w:right="567"/>
        <w:jc w:val="both"/>
        <w:rPr>
          <w:rFonts w:ascii="Palatino Linotype" w:hAnsi="Palatino Linotype"/>
          <w:bCs/>
          <w:i/>
        </w:rPr>
      </w:pPr>
      <w:r w:rsidRPr="00DD7BE8">
        <w:rPr>
          <w:rFonts w:ascii="Palatino Linotype" w:hAnsi="Palatino Linotype"/>
          <w:bCs/>
          <w:i/>
        </w:rPr>
        <w:t xml:space="preserve">II. </w:t>
      </w:r>
      <w:r w:rsidRPr="00DD7BE8">
        <w:rPr>
          <w:rFonts w:ascii="Palatino Linotype" w:hAnsi="Palatino Linotype"/>
          <w:i/>
        </w:rPr>
        <w:t>Por Ley tenga el carácter de pública;</w:t>
      </w:r>
    </w:p>
    <w:p w14:paraId="5A9828A0" w14:textId="77777777" w:rsidR="004D38F2" w:rsidRPr="00DD7BE8" w:rsidRDefault="004D38F2" w:rsidP="00DD7BE8">
      <w:pPr>
        <w:spacing w:line="360" w:lineRule="auto"/>
        <w:ind w:left="851" w:right="567"/>
        <w:jc w:val="both"/>
        <w:rPr>
          <w:rFonts w:ascii="Palatino Linotype" w:hAnsi="Palatino Linotype"/>
          <w:i/>
        </w:rPr>
      </w:pPr>
      <w:r w:rsidRPr="00DD7BE8">
        <w:rPr>
          <w:rFonts w:ascii="Palatino Linotype" w:hAnsi="Palatino Linotype"/>
          <w:bCs/>
          <w:i/>
        </w:rPr>
        <w:t xml:space="preserve">III. </w:t>
      </w:r>
      <w:r w:rsidRPr="00DD7BE8">
        <w:rPr>
          <w:rFonts w:ascii="Palatino Linotype" w:hAnsi="Palatino Linotype"/>
          <w:i/>
        </w:rPr>
        <w:t xml:space="preserve">Exista una orden judicial; </w:t>
      </w:r>
    </w:p>
    <w:p w14:paraId="1A5B5FA3" w14:textId="77777777" w:rsidR="004D38F2" w:rsidRPr="00DD7BE8" w:rsidRDefault="004D38F2" w:rsidP="00DD7BE8">
      <w:pPr>
        <w:spacing w:line="360" w:lineRule="auto"/>
        <w:ind w:left="851" w:right="567"/>
        <w:jc w:val="both"/>
        <w:rPr>
          <w:rFonts w:ascii="Palatino Linotype" w:hAnsi="Palatino Linotype"/>
          <w:i/>
        </w:rPr>
      </w:pPr>
      <w:r w:rsidRPr="00DD7BE8">
        <w:rPr>
          <w:rFonts w:ascii="Palatino Linotype" w:hAnsi="Palatino Linotype"/>
          <w:bCs/>
          <w:i/>
        </w:rPr>
        <w:t xml:space="preserve">IV. </w:t>
      </w:r>
      <w:r w:rsidRPr="00DD7BE8">
        <w:rPr>
          <w:rFonts w:ascii="Palatino Linotype" w:hAnsi="Palatino Linotype"/>
          <w:i/>
        </w:rPr>
        <w:t xml:space="preserve">Por razones de seguridad pública, o para proteger los derechos de terceros, se requiera su publicación; o </w:t>
      </w:r>
    </w:p>
    <w:p w14:paraId="3E70BE11" w14:textId="77777777" w:rsidR="004D38F2" w:rsidRPr="00DD7BE8" w:rsidRDefault="004D38F2" w:rsidP="00DD7BE8">
      <w:pPr>
        <w:spacing w:line="360" w:lineRule="auto"/>
        <w:ind w:left="851" w:right="567"/>
        <w:jc w:val="both"/>
        <w:rPr>
          <w:rFonts w:ascii="Palatino Linotype" w:hAnsi="Palatino Linotype" w:cs="Times New Roman"/>
          <w:lang w:eastAsia="es-ES_tradnl"/>
        </w:rPr>
      </w:pPr>
      <w:r w:rsidRPr="00DD7BE8">
        <w:rPr>
          <w:rFonts w:ascii="Palatino Linotype" w:hAnsi="Palatino Linotype"/>
          <w:bCs/>
          <w:i/>
        </w:rPr>
        <w:t xml:space="preserve">V. </w:t>
      </w:r>
      <w:r w:rsidRPr="00DD7BE8">
        <w:rPr>
          <w:rFonts w:ascii="Palatino Linotype" w:hAnsi="Palatino Linotype"/>
          <w:i/>
        </w:rPr>
        <w:t>Cuando se transmita entre sujetos obligados y entre éstos y los sujetos de derecho internacional, en términos de los tratados y los acuerdos interinstitucionales, siempre y cuando la información se utilice para el ejercicio de facultades propias de los mismos”</w:t>
      </w:r>
    </w:p>
    <w:p w14:paraId="06386174" w14:textId="77777777" w:rsidR="004D38F2" w:rsidRPr="00DD7BE8" w:rsidRDefault="004D38F2" w:rsidP="00DD7BE8">
      <w:pPr>
        <w:widowControl w:val="0"/>
        <w:numPr>
          <w:ilvl w:val="0"/>
          <w:numId w:val="1"/>
        </w:numPr>
        <w:tabs>
          <w:tab w:val="left" w:pos="426"/>
        </w:tabs>
        <w:autoSpaceDE w:val="0"/>
        <w:autoSpaceDN w:val="0"/>
        <w:adjustRightInd w:val="0"/>
        <w:spacing w:before="240" w:after="240" w:line="360" w:lineRule="auto"/>
        <w:ind w:left="0" w:firstLine="0"/>
        <w:jc w:val="both"/>
        <w:rPr>
          <w:rFonts w:ascii="Palatino Linotype" w:hAnsi="Palatino Linotype" w:cs="Times New Roman"/>
          <w:lang w:eastAsia="es-ES_tradnl"/>
        </w:rPr>
      </w:pPr>
      <w:r w:rsidRPr="00DD7BE8">
        <w:rPr>
          <w:rFonts w:ascii="Palatino Linotype" w:hAnsi="Palatino Linotype" w:cs="Arial"/>
          <w:color w:val="000000" w:themeColor="text1"/>
        </w:rPr>
        <w:t>Para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w:t>
      </w:r>
    </w:p>
    <w:p w14:paraId="3BFF595C" w14:textId="77777777" w:rsidR="004D38F2" w:rsidRPr="00DD7BE8" w:rsidRDefault="004D38F2" w:rsidP="00DD7BE8">
      <w:pPr>
        <w:widowControl w:val="0"/>
        <w:numPr>
          <w:ilvl w:val="0"/>
          <w:numId w:val="1"/>
        </w:numPr>
        <w:tabs>
          <w:tab w:val="left" w:pos="426"/>
        </w:tabs>
        <w:autoSpaceDE w:val="0"/>
        <w:autoSpaceDN w:val="0"/>
        <w:adjustRightInd w:val="0"/>
        <w:spacing w:before="240" w:after="240" w:line="360" w:lineRule="auto"/>
        <w:ind w:left="0" w:firstLine="0"/>
        <w:jc w:val="both"/>
        <w:rPr>
          <w:rFonts w:ascii="Palatino Linotype" w:hAnsi="Palatino Linotype" w:cs="Times New Roman"/>
          <w:lang w:eastAsia="es-ES_tradnl"/>
        </w:rPr>
      </w:pPr>
      <w:r w:rsidRPr="00DD7BE8">
        <w:rPr>
          <w:rFonts w:ascii="Palatino Linotype" w:hAnsi="Palatino Linotype" w:cs="Arial"/>
          <w:color w:val="000000" w:themeColor="text1"/>
        </w:rPr>
        <w:t>Empero, si la información que se pretende clasificar como confidencial no se encuentra en los supuestos antes señalados y es posible, se deberá consultar al titular de los datos si permite o no el acceso. De no ser posible, la realización de la consulta, procede, fundando y motivando, la clasificación.</w:t>
      </w:r>
    </w:p>
    <w:p w14:paraId="4E13FD6E" w14:textId="4F61420A" w:rsidR="004D38F2" w:rsidRPr="00DD7BE8" w:rsidRDefault="004D38F2" w:rsidP="00DD7BE8">
      <w:pPr>
        <w:widowControl w:val="0"/>
        <w:numPr>
          <w:ilvl w:val="0"/>
          <w:numId w:val="37"/>
        </w:numPr>
        <w:tabs>
          <w:tab w:val="left" w:pos="426"/>
        </w:tabs>
        <w:autoSpaceDE w:val="0"/>
        <w:autoSpaceDN w:val="0"/>
        <w:adjustRightInd w:val="0"/>
        <w:spacing w:before="240" w:after="240" w:line="360" w:lineRule="auto"/>
        <w:ind w:left="0" w:firstLine="0"/>
        <w:jc w:val="both"/>
        <w:rPr>
          <w:rFonts w:ascii="Palatino Linotype" w:hAnsi="Palatino Linotype" w:cs="Times New Roman"/>
          <w:lang w:eastAsia="es-ES_tradnl"/>
        </w:rPr>
      </w:pPr>
      <w:r w:rsidRPr="00DD7BE8">
        <w:rPr>
          <w:rFonts w:ascii="Palatino Linotype" w:hAnsi="Palatino Linotype" w:cs="Arial"/>
          <w:color w:val="000000" w:themeColor="text1"/>
        </w:rPr>
        <w:t>Luego entonces, en términos del artículo 179 f</w:t>
      </w:r>
      <w:r w:rsidR="0011227C" w:rsidRPr="00DD7BE8">
        <w:rPr>
          <w:rFonts w:ascii="Palatino Linotype" w:hAnsi="Palatino Linotype" w:cs="Arial"/>
          <w:color w:val="000000" w:themeColor="text1"/>
        </w:rPr>
        <w:t>racciones</w:t>
      </w:r>
      <w:r w:rsidRPr="00DD7BE8">
        <w:rPr>
          <w:rFonts w:ascii="Palatino Linotype" w:hAnsi="Palatino Linotype" w:cs="Arial"/>
          <w:color w:val="000000" w:themeColor="text1"/>
        </w:rPr>
        <w:t xml:space="preserve"> VI y XIII de la Ley de Transparencia y Acceso a la Información Pública del Estado de México y Municipios, </w:t>
      </w:r>
      <w:r w:rsidRPr="00DD7BE8">
        <w:rPr>
          <w:rFonts w:ascii="Palatino Linotype" w:eastAsia="MS Mincho" w:hAnsi="Palatino Linotype" w:cstheme="majorBidi"/>
        </w:rPr>
        <w:t xml:space="preserve">resultan </w:t>
      </w:r>
      <w:r w:rsidRPr="00DD7BE8">
        <w:rPr>
          <w:rFonts w:ascii="Palatino Linotype" w:eastAsia="Times New Roman" w:hAnsi="Palatino Linotype" w:cs="Arial"/>
        </w:rPr>
        <w:t>fundadas las</w:t>
      </w:r>
      <w:r w:rsidRPr="00DD7BE8">
        <w:rPr>
          <w:rFonts w:ascii="Palatino Linotype" w:eastAsia="Times New Roman" w:hAnsi="Palatino Linotype" w:cs="Arial"/>
          <w:b/>
        </w:rPr>
        <w:t xml:space="preserve"> </w:t>
      </w:r>
      <w:r w:rsidRPr="00DD7BE8">
        <w:rPr>
          <w:rFonts w:ascii="Palatino Linotype" w:eastAsia="Times New Roman" w:hAnsi="Palatino Linotype" w:cs="Arial"/>
          <w:lang w:val="es-ES"/>
        </w:rPr>
        <w:t xml:space="preserve">razones o motivos de inconformidad hechos valer por el </w:t>
      </w:r>
      <w:r w:rsidRPr="00DD7BE8">
        <w:rPr>
          <w:rFonts w:ascii="Palatino Linotype" w:eastAsia="Times New Roman" w:hAnsi="Palatino Linotype" w:cs="Arial"/>
          <w:b/>
          <w:lang w:val="es-ES"/>
        </w:rPr>
        <w:t>RECURRENTE</w:t>
      </w:r>
      <w:r w:rsidRPr="00DD7BE8">
        <w:rPr>
          <w:rFonts w:ascii="Palatino Linotype" w:eastAsia="Times New Roman" w:hAnsi="Palatino Linotype" w:cs="Arial"/>
          <w:lang w:val="es-ES"/>
        </w:rPr>
        <w:t xml:space="preserve"> </w:t>
      </w:r>
      <w:r w:rsidRPr="00DD7BE8">
        <w:rPr>
          <w:rFonts w:ascii="Palatino Linotype" w:eastAsia="Calibri" w:hAnsi="Palatino Linotype" w:cs="Arial"/>
          <w:lang w:val="es-ES"/>
        </w:rPr>
        <w:t>en los recursos de revisión en mérito</w:t>
      </w:r>
      <w:r w:rsidRPr="00DD7BE8">
        <w:rPr>
          <w:rFonts w:ascii="Palatino Linotype" w:eastAsia="Calibri" w:hAnsi="Palatino Linotype" w:cs="Times New Roman"/>
        </w:rPr>
        <w:t>.</w:t>
      </w:r>
    </w:p>
    <w:p w14:paraId="30E68767" w14:textId="56563667" w:rsidR="00AE4EE7" w:rsidRPr="00DD7BE8" w:rsidRDefault="00DD7BE8" w:rsidP="00DD7BE8">
      <w:pPr>
        <w:widowControl w:val="0"/>
        <w:numPr>
          <w:ilvl w:val="0"/>
          <w:numId w:val="37"/>
        </w:numPr>
        <w:tabs>
          <w:tab w:val="left" w:pos="426"/>
        </w:tabs>
        <w:autoSpaceDE w:val="0"/>
        <w:autoSpaceDN w:val="0"/>
        <w:adjustRightInd w:val="0"/>
        <w:spacing w:before="240" w:after="240" w:line="360" w:lineRule="auto"/>
        <w:ind w:left="0" w:firstLine="0"/>
        <w:jc w:val="both"/>
        <w:rPr>
          <w:rFonts w:ascii="Palatino Linotype" w:hAnsi="Palatino Linotype" w:cs="Times New Roman"/>
          <w:lang w:eastAsia="es-ES_tradnl"/>
        </w:rPr>
      </w:pPr>
      <w:r>
        <w:rPr>
          <w:rFonts w:ascii="Palatino Linotype" w:hAnsi="Palatino Linotype"/>
          <w:noProof/>
          <w:color w:val="000000" w:themeColor="text1"/>
          <w:lang w:val="es-MX" w:eastAsia="es-MX"/>
        </w:rPr>
        <mc:AlternateContent>
          <mc:Choice Requires="wps">
            <w:drawing>
              <wp:anchor distT="0" distB="0" distL="114300" distR="114300" simplePos="0" relativeHeight="251663360" behindDoc="0" locked="0" layoutInCell="1" allowOverlap="1" wp14:anchorId="4471DE91" wp14:editId="0DBC12C8">
                <wp:simplePos x="0" y="0"/>
                <wp:positionH relativeFrom="column">
                  <wp:posOffset>25334</wp:posOffset>
                </wp:positionH>
                <wp:positionV relativeFrom="paragraph">
                  <wp:posOffset>635948</wp:posOffset>
                </wp:positionV>
                <wp:extent cx="5540991" cy="4217158"/>
                <wp:effectExtent l="57150" t="38100" r="60325" b="88265"/>
                <wp:wrapNone/>
                <wp:docPr id="8" name="Conector recto 8"/>
                <wp:cNvGraphicFramePr/>
                <a:graphic xmlns:a="http://schemas.openxmlformats.org/drawingml/2006/main">
                  <a:graphicData uri="http://schemas.microsoft.com/office/word/2010/wordprocessingShape">
                    <wps:wsp>
                      <wps:cNvCnPr/>
                      <wps:spPr>
                        <a:xfrm flipH="1" flipV="1">
                          <a:off x="0" y="0"/>
                          <a:ext cx="5540991" cy="4217158"/>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3D918BE5" id="Conector recto 8" o:spid="_x0000_s1026" style="position:absolute;flip:x y;z-index:251663360;visibility:visible;mso-wrap-style:square;mso-wrap-distance-left:9pt;mso-wrap-distance-top:0;mso-wrap-distance-right:9pt;mso-wrap-distance-bottom:0;mso-position-horizontal:absolute;mso-position-horizontal-relative:text;mso-position-vertical:absolute;mso-position-vertical-relative:text" from="2pt,50.05pt" to="438.3pt,38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" strokecolor="#4f81bd [3204]" strokeweight="2pt">
                <v:shadow on="t" color="black" opacity="24903f" origin=",.5" offset="0,.55556mm"/>
              </v:line>
            </w:pict>
          </mc:Fallback>
        </mc:AlternateContent>
      </w:r>
      <w:r w:rsidR="004D38F2" w:rsidRPr="00DD7BE8">
        <w:rPr>
          <w:rFonts w:ascii="Palatino Linotype" w:hAnsi="Palatino Linotype"/>
          <w:color w:val="000000" w:themeColor="text1"/>
          <w:lang w:val="es-ES" w:eastAsia="es-MX"/>
        </w:rPr>
        <w:t xml:space="preserve">Por lo anteriormente expuesto y fundado, este </w:t>
      </w:r>
      <w:r w:rsidR="004D38F2" w:rsidRPr="00DD7BE8">
        <w:rPr>
          <w:rFonts w:ascii="Palatino Linotype" w:hAnsi="Palatino Linotype"/>
          <w:b/>
          <w:bCs/>
          <w:color w:val="000000" w:themeColor="text1"/>
          <w:lang w:val="es-ES" w:eastAsia="es-MX"/>
        </w:rPr>
        <w:t>ÓRGANO GARANTE</w:t>
      </w:r>
      <w:r w:rsidR="004D38F2" w:rsidRPr="00DD7BE8">
        <w:rPr>
          <w:rFonts w:ascii="Palatino Linotype" w:hAnsi="Palatino Linotype"/>
          <w:color w:val="000000" w:themeColor="text1"/>
          <w:lang w:val="es-ES" w:eastAsia="es-MX"/>
        </w:rPr>
        <w:t xml:space="preserve"> emite los siguientes:</w:t>
      </w:r>
    </w:p>
    <w:p w14:paraId="560639E1" w14:textId="77777777" w:rsidR="00DD7BE8" w:rsidRDefault="00DD7BE8" w:rsidP="00DD7BE8">
      <w:pPr>
        <w:widowControl w:val="0"/>
        <w:tabs>
          <w:tab w:val="left" w:pos="426"/>
        </w:tabs>
        <w:autoSpaceDE w:val="0"/>
        <w:autoSpaceDN w:val="0"/>
        <w:adjustRightInd w:val="0"/>
        <w:spacing w:before="240" w:after="240" w:line="360" w:lineRule="auto"/>
        <w:jc w:val="both"/>
        <w:rPr>
          <w:rFonts w:ascii="Palatino Linotype" w:hAnsi="Palatino Linotype"/>
          <w:color w:val="000000" w:themeColor="text1"/>
          <w:lang w:val="es-ES" w:eastAsia="es-MX"/>
        </w:rPr>
      </w:pPr>
    </w:p>
    <w:p w14:paraId="4417DD92" w14:textId="77777777" w:rsidR="00DD7BE8" w:rsidRDefault="00DD7BE8" w:rsidP="00DD7BE8">
      <w:pPr>
        <w:widowControl w:val="0"/>
        <w:tabs>
          <w:tab w:val="left" w:pos="426"/>
        </w:tabs>
        <w:autoSpaceDE w:val="0"/>
        <w:autoSpaceDN w:val="0"/>
        <w:adjustRightInd w:val="0"/>
        <w:spacing w:before="240" w:after="240" w:line="360" w:lineRule="auto"/>
        <w:jc w:val="both"/>
        <w:rPr>
          <w:rFonts w:ascii="Palatino Linotype" w:hAnsi="Palatino Linotype"/>
          <w:color w:val="000000" w:themeColor="text1"/>
          <w:lang w:val="es-ES" w:eastAsia="es-MX"/>
        </w:rPr>
      </w:pPr>
    </w:p>
    <w:p w14:paraId="1A6C3FE6" w14:textId="77777777" w:rsidR="00DD7BE8" w:rsidRDefault="00DD7BE8" w:rsidP="00DD7BE8">
      <w:pPr>
        <w:widowControl w:val="0"/>
        <w:tabs>
          <w:tab w:val="left" w:pos="426"/>
        </w:tabs>
        <w:autoSpaceDE w:val="0"/>
        <w:autoSpaceDN w:val="0"/>
        <w:adjustRightInd w:val="0"/>
        <w:spacing w:before="240" w:after="240" w:line="360" w:lineRule="auto"/>
        <w:jc w:val="both"/>
        <w:rPr>
          <w:rFonts w:ascii="Palatino Linotype" w:hAnsi="Palatino Linotype"/>
          <w:color w:val="000000" w:themeColor="text1"/>
          <w:lang w:val="es-ES" w:eastAsia="es-MX"/>
        </w:rPr>
      </w:pPr>
    </w:p>
    <w:p w14:paraId="45DC09D6" w14:textId="77777777" w:rsidR="00DD7BE8" w:rsidRDefault="00DD7BE8" w:rsidP="00DD7BE8">
      <w:pPr>
        <w:widowControl w:val="0"/>
        <w:tabs>
          <w:tab w:val="left" w:pos="426"/>
        </w:tabs>
        <w:autoSpaceDE w:val="0"/>
        <w:autoSpaceDN w:val="0"/>
        <w:adjustRightInd w:val="0"/>
        <w:spacing w:before="240" w:after="240" w:line="360" w:lineRule="auto"/>
        <w:jc w:val="both"/>
        <w:rPr>
          <w:rFonts w:ascii="Palatino Linotype" w:hAnsi="Palatino Linotype"/>
          <w:color w:val="000000" w:themeColor="text1"/>
          <w:lang w:val="es-ES" w:eastAsia="es-MX"/>
        </w:rPr>
      </w:pPr>
    </w:p>
    <w:p w14:paraId="257221D3" w14:textId="77777777" w:rsidR="00DD7BE8" w:rsidRPr="00DD7BE8" w:rsidRDefault="00DD7BE8" w:rsidP="00DD7BE8">
      <w:pPr>
        <w:widowControl w:val="0"/>
        <w:tabs>
          <w:tab w:val="left" w:pos="426"/>
        </w:tabs>
        <w:autoSpaceDE w:val="0"/>
        <w:autoSpaceDN w:val="0"/>
        <w:adjustRightInd w:val="0"/>
        <w:spacing w:before="240" w:after="240" w:line="360" w:lineRule="auto"/>
        <w:jc w:val="both"/>
        <w:rPr>
          <w:rFonts w:ascii="Palatino Linotype" w:hAnsi="Palatino Linotype" w:cs="Times New Roman"/>
          <w:lang w:eastAsia="es-ES_tradnl"/>
        </w:rPr>
      </w:pPr>
    </w:p>
    <w:p w14:paraId="2DF00469" w14:textId="6BE5EBB6" w:rsidR="005C6142" w:rsidRPr="00DD7BE8" w:rsidRDefault="00B83E2E" w:rsidP="00DD7BE8">
      <w:pPr>
        <w:pStyle w:val="Ttulo1"/>
        <w:spacing w:line="360" w:lineRule="auto"/>
        <w:jc w:val="center"/>
        <w:rPr>
          <w:b/>
          <w:color w:val="000000" w:themeColor="text1"/>
          <w:szCs w:val="24"/>
        </w:rPr>
      </w:pPr>
      <w:bookmarkStart w:id="120" w:name="_Toc466371865"/>
      <w:bookmarkStart w:id="121" w:name="_Toc466377653"/>
      <w:bookmarkStart w:id="122" w:name="_Toc490733631"/>
      <w:bookmarkStart w:id="123" w:name="_Toc495490236"/>
      <w:bookmarkStart w:id="124" w:name="_Toc24051522"/>
      <w:bookmarkEnd w:id="95"/>
      <w:bookmarkEnd w:id="96"/>
      <w:bookmarkEnd w:id="97"/>
      <w:bookmarkEnd w:id="98"/>
      <w:r w:rsidRPr="00DD7BE8">
        <w:rPr>
          <w:b/>
          <w:color w:val="000000" w:themeColor="text1"/>
          <w:szCs w:val="24"/>
        </w:rPr>
        <w:t>R E S O L U T I V O S</w:t>
      </w:r>
      <w:bookmarkEnd w:id="120"/>
      <w:bookmarkEnd w:id="121"/>
      <w:bookmarkEnd w:id="122"/>
      <w:bookmarkEnd w:id="123"/>
      <w:bookmarkEnd w:id="124"/>
    </w:p>
    <w:p w14:paraId="5A4BF86F" w14:textId="13374175" w:rsidR="00422718" w:rsidRPr="00DD7BE8" w:rsidRDefault="00C6671B" w:rsidP="00DD7BE8">
      <w:pPr>
        <w:spacing w:before="240" w:after="360" w:line="360" w:lineRule="auto"/>
        <w:jc w:val="both"/>
        <w:rPr>
          <w:rFonts w:ascii="Palatino Linotype" w:eastAsia="Times New Roman" w:hAnsi="Palatino Linotype" w:cs="Times New Roman"/>
        </w:rPr>
      </w:pPr>
      <w:r w:rsidRPr="00DD7BE8">
        <w:rPr>
          <w:rFonts w:ascii="Palatino Linotype" w:eastAsia="Times New Roman" w:hAnsi="Palatino Linotype" w:cs="Arial"/>
          <w:b/>
        </w:rPr>
        <w:t>PRIMERO</w:t>
      </w:r>
      <w:r w:rsidRPr="00DD7BE8">
        <w:rPr>
          <w:rFonts w:ascii="Palatino Linotype" w:eastAsia="Times New Roman" w:hAnsi="Palatino Linotype" w:cs="Arial"/>
          <w:lang w:val="es-ES"/>
        </w:rPr>
        <w:t xml:space="preserve">. Resultan fundadas las razones y motivos de </w:t>
      </w:r>
      <w:r w:rsidR="003D3073" w:rsidRPr="00DD7BE8">
        <w:rPr>
          <w:rFonts w:ascii="Palatino Linotype" w:eastAsia="Times New Roman" w:hAnsi="Palatino Linotype" w:cs="Arial"/>
          <w:lang w:val="es-ES"/>
        </w:rPr>
        <w:t>inconformidad hechos valer</w:t>
      </w:r>
      <w:r w:rsidR="00422718" w:rsidRPr="00DD7BE8">
        <w:rPr>
          <w:rFonts w:ascii="Palatino Linotype" w:eastAsia="Times New Roman" w:hAnsi="Palatino Linotype" w:cs="Arial"/>
          <w:lang w:val="es-ES"/>
        </w:rPr>
        <w:t xml:space="preserve"> en los recursos </w:t>
      </w:r>
      <w:r w:rsidR="003D3073" w:rsidRPr="00DD7BE8">
        <w:rPr>
          <w:rFonts w:ascii="Palatino Linotype" w:eastAsia="Times New Roman" w:hAnsi="Palatino Linotype" w:cs="Arial"/>
          <w:lang w:val="es-ES"/>
        </w:rPr>
        <w:t xml:space="preserve"> </w:t>
      </w:r>
      <w:r w:rsidR="00422718" w:rsidRPr="00DD7BE8">
        <w:rPr>
          <w:rFonts w:ascii="Palatino Linotype" w:hAnsi="Palatino Linotype"/>
          <w:b/>
        </w:rPr>
        <w:t xml:space="preserve">07223/INFOEM/IP/RR/2019, 07224/INFOEM/IP/RR/2019 07225/INFOEM/IP/RR/2019, 07226/INFOEM/IP/RR/2019 07227/INFOEM/IP/RR/2019 y 07228/INFOEM/IP/RR/2019 </w:t>
      </w:r>
      <w:r w:rsidR="00D011A2" w:rsidRPr="00DD7BE8">
        <w:rPr>
          <w:rFonts w:ascii="Palatino Linotype" w:eastAsia="Times New Roman" w:hAnsi="Palatino Linotype" w:cs="Times New Roman"/>
        </w:rPr>
        <w:t xml:space="preserve">en términos de los </w:t>
      </w:r>
      <w:r w:rsidR="00D011A2" w:rsidRPr="00DD7BE8">
        <w:rPr>
          <w:rFonts w:ascii="Palatino Linotype" w:eastAsia="Times New Roman" w:hAnsi="Palatino Linotype" w:cs="Times New Roman"/>
          <w:b/>
        </w:rPr>
        <w:t>C</w:t>
      </w:r>
      <w:r w:rsidRPr="00DD7BE8">
        <w:rPr>
          <w:rFonts w:ascii="Palatino Linotype" w:eastAsia="Times New Roman" w:hAnsi="Palatino Linotype" w:cs="Times New Roman"/>
          <w:b/>
        </w:rPr>
        <w:t>onsiderandos</w:t>
      </w:r>
      <w:r w:rsidRPr="00DD7BE8">
        <w:rPr>
          <w:rFonts w:ascii="Palatino Linotype" w:eastAsia="Times New Roman" w:hAnsi="Palatino Linotype" w:cs="Times New Roman"/>
        </w:rPr>
        <w:t xml:space="preserve"> </w:t>
      </w:r>
      <w:r w:rsidRPr="00DD7BE8">
        <w:rPr>
          <w:rFonts w:ascii="Palatino Linotype" w:eastAsia="Times New Roman" w:hAnsi="Palatino Linotype" w:cs="Times New Roman"/>
          <w:b/>
        </w:rPr>
        <w:t xml:space="preserve">CUARTO y QUINTO </w:t>
      </w:r>
      <w:r w:rsidR="00422718" w:rsidRPr="00DD7BE8">
        <w:rPr>
          <w:rFonts w:ascii="Palatino Linotype" w:eastAsia="Times New Roman" w:hAnsi="Palatino Linotype" w:cs="Times New Roman"/>
        </w:rPr>
        <w:t>de la presente resolución.</w:t>
      </w:r>
    </w:p>
    <w:p w14:paraId="7CFAAD51" w14:textId="7670FE8F" w:rsidR="00422718" w:rsidRPr="00DD7BE8" w:rsidRDefault="00C6671B" w:rsidP="00DD7BE8">
      <w:pPr>
        <w:spacing w:before="240" w:after="240" w:line="360" w:lineRule="auto"/>
        <w:jc w:val="both"/>
        <w:rPr>
          <w:rFonts w:ascii="Palatino Linotype" w:eastAsia="Calibri" w:hAnsi="Palatino Linotype" w:cs="Arial"/>
          <w:lang w:val="es-ES"/>
        </w:rPr>
      </w:pPr>
      <w:bookmarkStart w:id="125" w:name="_Toc503891607"/>
      <w:bookmarkStart w:id="126" w:name="_Toc511647757"/>
      <w:bookmarkStart w:id="127" w:name="_Toc511647818"/>
      <w:bookmarkStart w:id="128" w:name="_Toc477891768"/>
      <w:bookmarkStart w:id="129" w:name="_Toc477891858"/>
      <w:bookmarkStart w:id="130" w:name="_Toc481576259"/>
      <w:bookmarkStart w:id="131" w:name="_Toc492590391"/>
      <w:bookmarkStart w:id="132" w:name="_Toc462653937"/>
      <w:bookmarkStart w:id="133" w:name="_Toc453696502"/>
      <w:bookmarkStart w:id="134" w:name="_Toc454301155"/>
      <w:r w:rsidRPr="00DD7BE8">
        <w:rPr>
          <w:rFonts w:ascii="Palatino Linotype" w:eastAsia="Times New Roman" w:hAnsi="Palatino Linotype" w:cs="Times New Roman"/>
          <w:b/>
        </w:rPr>
        <w:t>SEGUNDO.</w:t>
      </w:r>
      <w:bookmarkEnd w:id="125"/>
      <w:bookmarkEnd w:id="126"/>
      <w:bookmarkEnd w:id="127"/>
      <w:r w:rsidR="001E380D" w:rsidRPr="00DD7BE8">
        <w:rPr>
          <w:rFonts w:ascii="Palatino Linotype" w:eastAsia="Times New Roman" w:hAnsi="Palatino Linotype" w:cs="Times New Roman"/>
          <w:b/>
        </w:rPr>
        <w:t xml:space="preserve"> </w:t>
      </w:r>
      <w:r w:rsidR="00422718" w:rsidRPr="00DD7BE8">
        <w:rPr>
          <w:rFonts w:ascii="Palatino Linotype" w:eastAsia="Times New Roman" w:hAnsi="Palatino Linotype" w:cs="Times New Roman"/>
        </w:rPr>
        <w:t xml:space="preserve"> </w:t>
      </w:r>
      <w:r w:rsidR="00422718" w:rsidRPr="00DD7BE8">
        <w:rPr>
          <w:rFonts w:ascii="Palatino Linotype" w:eastAsia="Calibri" w:hAnsi="Palatino Linotype" w:cs="Arial"/>
          <w:lang w:val="es-ES"/>
        </w:rPr>
        <w:t>Se</w:t>
      </w:r>
      <w:r w:rsidR="00422718" w:rsidRPr="00DD7BE8">
        <w:rPr>
          <w:rFonts w:ascii="Palatino Linotype" w:eastAsia="Calibri" w:hAnsi="Palatino Linotype" w:cs="Arial"/>
          <w:b/>
          <w:lang w:val="es-ES"/>
        </w:rPr>
        <w:t xml:space="preserve"> REVOCAN </w:t>
      </w:r>
      <w:r w:rsidR="00422718" w:rsidRPr="00DD7BE8">
        <w:rPr>
          <w:rFonts w:ascii="Palatino Linotype" w:eastAsia="Calibri" w:hAnsi="Palatino Linotype" w:cs="Arial"/>
          <w:lang w:val="es-ES"/>
        </w:rPr>
        <w:t xml:space="preserve">las respuestas emitidas por el </w:t>
      </w:r>
      <w:r w:rsidR="00422718" w:rsidRPr="00DD7BE8">
        <w:rPr>
          <w:rFonts w:ascii="Palatino Linotype" w:eastAsia="Calibri" w:hAnsi="Palatino Linotype" w:cs="Arial"/>
          <w:b/>
          <w:lang w:val="es-ES"/>
        </w:rPr>
        <w:t>Ayuntamiento de Coacalco</w:t>
      </w:r>
      <w:r w:rsidR="00FF73FC" w:rsidRPr="00DD7BE8">
        <w:rPr>
          <w:rFonts w:ascii="Palatino Linotype" w:eastAsia="Calibri" w:hAnsi="Palatino Linotype" w:cs="Arial"/>
          <w:b/>
          <w:lang w:val="es-ES"/>
        </w:rPr>
        <w:t xml:space="preserve"> de Berriozábal </w:t>
      </w:r>
      <w:r w:rsidR="00422718" w:rsidRPr="00DD7BE8">
        <w:rPr>
          <w:rFonts w:ascii="Palatino Linotype" w:eastAsia="Times New Roman" w:hAnsi="Palatino Linotype" w:cs="Times New Roman"/>
          <w:bCs/>
        </w:rPr>
        <w:t>y se</w:t>
      </w:r>
      <w:r w:rsidR="00422718" w:rsidRPr="00DD7BE8">
        <w:rPr>
          <w:rFonts w:ascii="Palatino Linotype" w:eastAsia="Times New Roman" w:hAnsi="Palatino Linotype" w:cs="Times New Roman"/>
          <w:b/>
          <w:bCs/>
        </w:rPr>
        <w:t xml:space="preserve"> ORDENA</w:t>
      </w:r>
      <w:r w:rsidR="00422718" w:rsidRPr="00DD7BE8">
        <w:rPr>
          <w:rFonts w:ascii="Palatino Linotype" w:eastAsia="Times New Roman" w:hAnsi="Palatino Linotype" w:cs="Arial"/>
          <w:lang w:val="es-ES"/>
        </w:rPr>
        <w:t xml:space="preserve"> </w:t>
      </w:r>
      <w:r w:rsidR="00422718" w:rsidRPr="00DD7BE8">
        <w:rPr>
          <w:rFonts w:ascii="Palatino Linotype" w:eastAsia="Calibri" w:hAnsi="Palatino Linotype" w:cs="Arial"/>
          <w:lang w:val="es-ES"/>
        </w:rPr>
        <w:t xml:space="preserve">entregar vía Sistema de Acceso a la Información Mexiquense </w:t>
      </w:r>
      <w:r w:rsidR="00422718" w:rsidRPr="00DD7BE8">
        <w:rPr>
          <w:rFonts w:ascii="Palatino Linotype" w:eastAsia="Calibri" w:hAnsi="Palatino Linotype" w:cs="Arial"/>
          <w:b/>
          <w:lang w:val="es-ES"/>
        </w:rPr>
        <w:t xml:space="preserve">(SAIMEX), </w:t>
      </w:r>
      <w:r w:rsidR="00422718" w:rsidRPr="00DD7BE8">
        <w:rPr>
          <w:rFonts w:ascii="Palatino Linotype" w:eastAsia="Calibri" w:hAnsi="Palatino Linotype" w:cs="Arial"/>
          <w:lang w:val="es-ES"/>
        </w:rPr>
        <w:t>en versión pública</w:t>
      </w:r>
      <w:r w:rsidR="00FF73FC" w:rsidRPr="00DD7BE8">
        <w:rPr>
          <w:rFonts w:ascii="Palatino Linotype" w:eastAsia="Calibri" w:hAnsi="Palatino Linotype" w:cs="Arial"/>
          <w:lang w:val="es-ES"/>
        </w:rPr>
        <w:t xml:space="preserve"> de ser el caso</w:t>
      </w:r>
      <w:r w:rsidR="00422718" w:rsidRPr="00DD7BE8">
        <w:rPr>
          <w:rFonts w:ascii="Palatino Linotype" w:eastAsia="Calibri" w:hAnsi="Palatino Linotype" w:cs="Arial"/>
          <w:lang w:val="es-ES"/>
        </w:rPr>
        <w:t xml:space="preserve">, </w:t>
      </w:r>
      <w:r w:rsidR="00FF73FC" w:rsidRPr="00DD7BE8">
        <w:rPr>
          <w:rFonts w:ascii="Palatino Linotype" w:eastAsia="Calibri" w:hAnsi="Palatino Linotype" w:cs="Arial"/>
          <w:lang w:val="es-ES"/>
        </w:rPr>
        <w:t xml:space="preserve">los documentos donde conste </w:t>
      </w:r>
      <w:r w:rsidR="00422718" w:rsidRPr="00DD7BE8">
        <w:rPr>
          <w:rFonts w:ascii="Palatino Linotype" w:eastAsia="Calibri" w:hAnsi="Palatino Linotype" w:cs="Arial"/>
          <w:lang w:val="es-ES"/>
        </w:rPr>
        <w:t xml:space="preserve">la siguiente </w:t>
      </w:r>
      <w:r w:rsidR="00AE4EE7" w:rsidRPr="00DD7BE8">
        <w:rPr>
          <w:rFonts w:ascii="Palatino Linotype" w:eastAsia="Calibri" w:hAnsi="Palatino Linotype" w:cs="Arial"/>
          <w:lang w:val="es-ES"/>
        </w:rPr>
        <w:t>información:</w:t>
      </w:r>
    </w:p>
    <w:bookmarkEnd w:id="128"/>
    <w:bookmarkEnd w:id="129"/>
    <w:bookmarkEnd w:id="130"/>
    <w:bookmarkEnd w:id="131"/>
    <w:bookmarkEnd w:id="132"/>
    <w:bookmarkEnd w:id="133"/>
    <w:bookmarkEnd w:id="134"/>
    <w:p w14:paraId="6FBA5DFF" w14:textId="719D54C3" w:rsidR="00D011A2" w:rsidRPr="00DD7BE8" w:rsidRDefault="00FF73FC" w:rsidP="00DD7BE8">
      <w:pPr>
        <w:pStyle w:val="Prrafodelista"/>
        <w:numPr>
          <w:ilvl w:val="1"/>
          <w:numId w:val="37"/>
        </w:numPr>
        <w:spacing w:before="240" w:after="240" w:line="360" w:lineRule="auto"/>
        <w:ind w:left="567" w:right="567" w:firstLine="0"/>
        <w:jc w:val="both"/>
        <w:rPr>
          <w:rFonts w:ascii="Palatino Linotype" w:eastAsia="Calibri" w:hAnsi="Palatino Linotype" w:cs="Arial"/>
          <w:b/>
          <w:lang w:val="es-ES"/>
        </w:rPr>
      </w:pPr>
      <w:r w:rsidRPr="00DD7BE8">
        <w:rPr>
          <w:rFonts w:ascii="Palatino Linotype" w:hAnsi="Palatino Linotype" w:cs="Arial"/>
          <w:b/>
          <w:color w:val="000000"/>
        </w:rPr>
        <w:t>Cuentas bancarias</w:t>
      </w:r>
      <w:r w:rsidR="00AE4EE7" w:rsidRPr="00DD7BE8">
        <w:rPr>
          <w:rFonts w:ascii="Palatino Linotype" w:hAnsi="Palatino Linotype" w:cs="Arial"/>
          <w:b/>
          <w:color w:val="000000"/>
        </w:rPr>
        <w:t>, bancos,</w:t>
      </w:r>
      <w:r w:rsidR="00552C9C" w:rsidRPr="00DD7BE8">
        <w:rPr>
          <w:rFonts w:ascii="Palatino Linotype" w:hAnsi="Palatino Linotype" w:cs="Arial"/>
          <w:b/>
          <w:color w:val="000000"/>
        </w:rPr>
        <w:t xml:space="preserve"> números de contratos,</w:t>
      </w:r>
      <w:r w:rsidRPr="00DD7BE8">
        <w:rPr>
          <w:rFonts w:ascii="Palatino Linotype" w:hAnsi="Palatino Linotype" w:cs="Arial"/>
          <w:b/>
          <w:color w:val="000000"/>
        </w:rPr>
        <w:t xml:space="preserve"> todos los movimientos bancarios y conciliaciones de dichas cuentas del primero (01)  enero al treinta (30) de junio del año dos mil diecinueve.</w:t>
      </w:r>
    </w:p>
    <w:p w14:paraId="34EDB122" w14:textId="5CD047BC" w:rsidR="00C6671B" w:rsidRPr="00DD7BE8" w:rsidRDefault="00C6671B" w:rsidP="00DD7BE8">
      <w:pPr>
        <w:spacing w:before="240" w:after="240" w:line="360" w:lineRule="auto"/>
        <w:jc w:val="both"/>
        <w:rPr>
          <w:rFonts w:ascii="Palatino Linotype" w:eastAsia="Times New Roman" w:hAnsi="Palatino Linotype" w:cs="Arial"/>
          <w:b/>
        </w:rPr>
      </w:pPr>
      <w:bookmarkStart w:id="135" w:name="_Toc503891610"/>
      <w:bookmarkStart w:id="136" w:name="_Toc453696503"/>
      <w:bookmarkStart w:id="137" w:name="_Toc454301156"/>
      <w:bookmarkStart w:id="138" w:name="_Toc462653938"/>
      <w:bookmarkStart w:id="139" w:name="_Toc477891769"/>
      <w:bookmarkStart w:id="140" w:name="_Toc477891859"/>
      <w:bookmarkStart w:id="141" w:name="_Toc481576260"/>
      <w:bookmarkStart w:id="142" w:name="_Toc492590392"/>
      <w:r w:rsidRPr="00DD7BE8">
        <w:rPr>
          <w:rFonts w:ascii="Palatino Linotype" w:eastAsia="Calibri" w:hAnsi="Palatino Linotype" w:cs="Arial"/>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w:t>
      </w:r>
      <w:r w:rsidR="00AE4EE7" w:rsidRPr="00DD7BE8">
        <w:rPr>
          <w:rFonts w:ascii="Palatino Linotype" w:eastAsia="Calibri" w:hAnsi="Palatino Linotype" w:cs="Arial"/>
        </w:rPr>
        <w:t xml:space="preserve">len y se ponga a disposición del </w:t>
      </w:r>
      <w:r w:rsidR="00AE4EE7" w:rsidRPr="00DD7BE8">
        <w:rPr>
          <w:rFonts w:ascii="Palatino Linotype" w:eastAsia="Calibri" w:hAnsi="Palatino Linotype" w:cs="Arial"/>
          <w:b/>
        </w:rPr>
        <w:t>RECURRENTE</w:t>
      </w:r>
      <w:r w:rsidR="00AE4EE7" w:rsidRPr="00DD7BE8">
        <w:rPr>
          <w:rFonts w:ascii="Palatino Linotype" w:eastAsia="Calibri" w:hAnsi="Palatino Linotype" w:cs="Arial"/>
        </w:rPr>
        <w:t>.</w:t>
      </w:r>
    </w:p>
    <w:p w14:paraId="1DB1427D" w14:textId="77777777" w:rsidR="00C6671B" w:rsidRPr="00DD7BE8" w:rsidRDefault="00C6671B" w:rsidP="00DD7BE8">
      <w:pPr>
        <w:tabs>
          <w:tab w:val="left" w:pos="8080"/>
        </w:tabs>
        <w:spacing w:before="240" w:line="360" w:lineRule="auto"/>
        <w:ind w:right="49"/>
        <w:jc w:val="both"/>
        <w:rPr>
          <w:rFonts w:ascii="Palatino Linotype" w:eastAsia="Times New Roman" w:hAnsi="Palatino Linotype" w:cs="Times New Roman"/>
          <w:shd w:val="clear" w:color="auto" w:fill="FFFFFF"/>
        </w:rPr>
      </w:pPr>
      <w:bookmarkStart w:id="143" w:name="_Toc511647758"/>
      <w:bookmarkStart w:id="144" w:name="_Toc511647819"/>
      <w:r w:rsidRPr="00DD7BE8">
        <w:rPr>
          <w:rFonts w:ascii="Palatino Linotype" w:eastAsia="Times New Roman" w:hAnsi="Palatino Linotype" w:cs="Times New Roman"/>
          <w:b/>
        </w:rPr>
        <w:t>TERCERO.</w:t>
      </w:r>
      <w:bookmarkEnd w:id="135"/>
      <w:bookmarkEnd w:id="143"/>
      <w:bookmarkEnd w:id="144"/>
      <w:r w:rsidRPr="00DD7BE8">
        <w:rPr>
          <w:rFonts w:ascii="Palatino Linotype" w:eastAsia="Times New Roman" w:hAnsi="Palatino Linotype" w:cs="Times New Roman"/>
          <w:b/>
        </w:rPr>
        <w:t xml:space="preserve"> </w:t>
      </w:r>
      <w:bookmarkEnd w:id="136"/>
      <w:bookmarkEnd w:id="137"/>
      <w:bookmarkEnd w:id="138"/>
      <w:bookmarkEnd w:id="139"/>
      <w:bookmarkEnd w:id="140"/>
      <w:bookmarkEnd w:id="141"/>
      <w:bookmarkEnd w:id="142"/>
      <w:r w:rsidRPr="00DD7BE8">
        <w:rPr>
          <w:rFonts w:ascii="Palatino Linotype" w:eastAsia="Palatino Linotype" w:hAnsi="Palatino Linotype" w:cs="Palatino Linotype"/>
          <w:b/>
        </w:rPr>
        <w:t xml:space="preserve">Notifíquese </w:t>
      </w:r>
      <w:r w:rsidRPr="00DD7BE8">
        <w:rPr>
          <w:rFonts w:ascii="Palatino Linotype" w:eastAsia="Palatino Linotype" w:hAnsi="Palatino Linotype" w:cs="Palatino Linotype"/>
        </w:rPr>
        <w:t xml:space="preserve">al Titular de la Unidad de Transparencia del </w:t>
      </w:r>
      <w:r w:rsidRPr="00DD7BE8">
        <w:rPr>
          <w:rFonts w:ascii="Palatino Linotype" w:eastAsia="Palatino Linotype" w:hAnsi="Palatino Linotype" w:cs="Palatino Linotype"/>
          <w:b/>
        </w:rPr>
        <w:t>SUJETO OBLIGADO</w:t>
      </w:r>
      <w:r w:rsidRPr="00DD7BE8">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DD7BE8">
        <w:rPr>
          <w:rFonts w:ascii="Palatino Linotype" w:eastAsia="Times New Roman" w:hAnsi="Palatino Linotype" w:cs="Times New Roman"/>
          <w:shd w:val="clear" w:color="auto" w:fill="FFFFFF"/>
        </w:rPr>
        <w:t>vigente, dé cumplimiento a lo ordenado dentro del plazo de diez días hábiles, debiendo rendir a este Instituto el informe de cumplimiento de la resolución en un plazo de tres días hábiles posteriores.</w:t>
      </w:r>
    </w:p>
    <w:p w14:paraId="345086C9" w14:textId="1D77E481" w:rsidR="00C6671B" w:rsidRPr="00DD7BE8" w:rsidRDefault="00C6671B" w:rsidP="00DD7BE8">
      <w:pPr>
        <w:tabs>
          <w:tab w:val="left" w:pos="8080"/>
        </w:tabs>
        <w:spacing w:before="240" w:line="360" w:lineRule="auto"/>
        <w:ind w:right="49"/>
        <w:jc w:val="both"/>
        <w:rPr>
          <w:rFonts w:ascii="Palatino Linotype" w:eastAsia="Times New Roman" w:hAnsi="Palatino Linotype" w:cs="Arial"/>
          <w:b/>
          <w:lang w:val="es-ES"/>
        </w:rPr>
      </w:pPr>
      <w:bookmarkStart w:id="145" w:name="_Toc492590393"/>
      <w:bookmarkStart w:id="146" w:name="_Toc503891611"/>
      <w:bookmarkStart w:id="147" w:name="_Toc511647759"/>
      <w:bookmarkStart w:id="148" w:name="_Toc511647820"/>
      <w:r w:rsidRPr="00DD7BE8">
        <w:rPr>
          <w:rFonts w:ascii="Palatino Linotype" w:eastAsia="Times New Roman" w:hAnsi="Palatino Linotype" w:cs="Times New Roman"/>
          <w:b/>
        </w:rPr>
        <w:t xml:space="preserve">CUARTO. </w:t>
      </w:r>
      <w:r w:rsidRPr="00DD7BE8">
        <w:rPr>
          <w:rFonts w:ascii="Palatino Linotype" w:eastAsia="Times New Roman" w:hAnsi="Palatino Linotype" w:cs="Times New Roman"/>
        </w:rPr>
        <w:t>Notifíquese a</w:t>
      </w:r>
      <w:bookmarkEnd w:id="145"/>
      <w:bookmarkEnd w:id="146"/>
      <w:bookmarkEnd w:id="147"/>
      <w:bookmarkEnd w:id="148"/>
      <w:r w:rsidRPr="00DD7BE8">
        <w:rPr>
          <w:rFonts w:ascii="Palatino Linotype" w:eastAsia="Times New Roman" w:hAnsi="Palatino Linotype" w:cs="Arial"/>
          <w:b/>
          <w:lang w:val="es-ES"/>
        </w:rPr>
        <w:t xml:space="preserve"> </w:t>
      </w:r>
      <w:r w:rsidR="003E7006" w:rsidRPr="003E7006">
        <w:rPr>
          <w:rFonts w:ascii="Palatino Linotype" w:eastAsia="Times New Roman" w:hAnsi="Palatino Linotype" w:cs="Arial"/>
          <w:b/>
          <w:highlight w:val="black"/>
        </w:rPr>
        <w:t>---------</w:t>
      </w:r>
      <w:r w:rsidR="003E7006">
        <w:rPr>
          <w:rFonts w:ascii="Palatino Linotype" w:eastAsia="Times New Roman" w:hAnsi="Palatino Linotype" w:cs="Arial"/>
          <w:b/>
          <w:highlight w:val="black"/>
        </w:rPr>
        <w:t>----</w:t>
      </w:r>
      <w:r w:rsidR="003E7006" w:rsidRPr="003E7006">
        <w:rPr>
          <w:rFonts w:ascii="Palatino Linotype" w:eastAsia="Times New Roman" w:hAnsi="Palatino Linotype" w:cs="Arial"/>
          <w:b/>
          <w:highlight w:val="black"/>
        </w:rPr>
        <w:t>----------</w:t>
      </w:r>
      <w:r w:rsidR="003E7006">
        <w:rPr>
          <w:rFonts w:ascii="Palatino Linotype" w:eastAsia="Times New Roman" w:hAnsi="Palatino Linotype" w:cs="Arial"/>
          <w:b/>
          <w:highlight w:val="black"/>
        </w:rPr>
        <w:t>---</w:t>
      </w:r>
      <w:r w:rsidR="003E7006" w:rsidRPr="003E7006">
        <w:rPr>
          <w:rFonts w:ascii="Palatino Linotype" w:eastAsia="Times New Roman" w:hAnsi="Palatino Linotype" w:cs="Arial"/>
          <w:b/>
          <w:highlight w:val="black"/>
        </w:rPr>
        <w:t>----</w:t>
      </w:r>
      <w:r w:rsidR="00FF73FC" w:rsidRPr="00DD7BE8">
        <w:rPr>
          <w:rFonts w:ascii="Palatino Linotype" w:eastAsia="Times New Roman" w:hAnsi="Palatino Linotype" w:cs="Arial"/>
          <w:b/>
        </w:rPr>
        <w:t xml:space="preserve"> </w:t>
      </w:r>
      <w:r w:rsidRPr="00DD7BE8">
        <w:rPr>
          <w:rFonts w:ascii="Palatino Linotype" w:eastAsia="Times New Roman" w:hAnsi="Palatino Linotype" w:cs="Times New Roman"/>
        </w:rPr>
        <w:t>la presente</w:t>
      </w:r>
      <w:r w:rsidRPr="00DD7BE8">
        <w:rPr>
          <w:rFonts w:ascii="Palatino Linotype" w:eastAsia="Times New Roman" w:hAnsi="Palatino Linotype" w:cs="Times New Roman"/>
          <w:lang w:val="es-ES" w:eastAsia="es-MX"/>
        </w:rPr>
        <w:t xml:space="preserve"> resolución</w:t>
      </w:r>
      <w:r w:rsidR="004D38F2" w:rsidRPr="00DD7BE8">
        <w:rPr>
          <w:rFonts w:ascii="Palatino Linotype" w:eastAsia="Times New Roman" w:hAnsi="Palatino Linotype" w:cs="Times New Roman"/>
          <w:lang w:val="es-ES" w:eastAsia="es-MX"/>
        </w:rPr>
        <w:t xml:space="preserve"> y los informes justificados correspondientes. </w:t>
      </w:r>
    </w:p>
    <w:p w14:paraId="104F8A8A" w14:textId="18C6CB74" w:rsidR="00C6671B" w:rsidRDefault="00DD7BE8" w:rsidP="00DD7BE8">
      <w:pPr>
        <w:shd w:val="clear" w:color="auto" w:fill="FFFFFF"/>
        <w:spacing w:before="240" w:after="360" w:line="360" w:lineRule="auto"/>
        <w:jc w:val="both"/>
        <w:rPr>
          <w:rFonts w:ascii="Palatino Linotype" w:eastAsia="Times New Roman" w:hAnsi="Palatino Linotype" w:cs="Times New Roman"/>
          <w:lang w:val="es-ES" w:eastAsia="es-MX"/>
        </w:rPr>
      </w:pPr>
      <w:r>
        <w:rPr>
          <w:rFonts w:ascii="Palatino Linotype" w:eastAsia="Calibri" w:hAnsi="Palatino Linotype" w:cs="Times New Roman"/>
          <w:b/>
          <w:noProof/>
          <w:lang w:val="es-MX" w:eastAsia="es-MX"/>
        </w:rPr>
        <mc:AlternateContent>
          <mc:Choice Requires="wps">
            <w:drawing>
              <wp:anchor distT="0" distB="0" distL="114300" distR="114300" simplePos="0" relativeHeight="251664384" behindDoc="0" locked="0" layoutInCell="1" allowOverlap="1" wp14:anchorId="33DD0427" wp14:editId="48C0B9B5">
                <wp:simplePos x="0" y="0"/>
                <wp:positionH relativeFrom="column">
                  <wp:posOffset>-1962</wp:posOffset>
                </wp:positionH>
                <wp:positionV relativeFrom="paragraph">
                  <wp:posOffset>1639797</wp:posOffset>
                </wp:positionV>
                <wp:extent cx="5561463" cy="3077571"/>
                <wp:effectExtent l="76200" t="57150" r="58420" b="85090"/>
                <wp:wrapNone/>
                <wp:docPr id="9" name="Conector recto 9"/>
                <wp:cNvGraphicFramePr/>
                <a:graphic xmlns:a="http://schemas.openxmlformats.org/drawingml/2006/main">
                  <a:graphicData uri="http://schemas.microsoft.com/office/word/2010/wordprocessingShape">
                    <wps:wsp>
                      <wps:cNvCnPr/>
                      <wps:spPr>
                        <a:xfrm flipH="1" flipV="1">
                          <a:off x="0" y="0"/>
                          <a:ext cx="5561463" cy="3077571"/>
                        </a:xfrm>
                        <a:prstGeom prst="line">
                          <a:avLst/>
                        </a:prstGeom>
                        <a:ln w="38100"/>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640515B4" id="Conector recto 9" o:spid="_x0000_s1026" style="position:absolute;flip:x y;z-index:251664384;visibility:visible;mso-wrap-style:square;mso-wrap-distance-left:9pt;mso-wrap-distance-top:0;mso-wrap-distance-right:9pt;mso-wrap-distance-bottom:0;mso-position-horizontal:absolute;mso-position-horizontal-relative:text;mso-position-vertical:absolute;mso-position-vertical-relative:text" from="-.15pt,129.1pt" to="437.75pt,37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" strokecolor="#4f81bd [3204]" strokeweight="3pt">
                <v:shadow on="t" color="black" opacity="24903f" origin=",.5" offset="0,.55556mm"/>
              </v:line>
            </w:pict>
          </mc:Fallback>
        </mc:AlternateContent>
      </w:r>
      <w:r w:rsidR="00C6671B" w:rsidRPr="00DD7BE8">
        <w:rPr>
          <w:rFonts w:ascii="Palatino Linotype" w:eastAsia="Calibri" w:hAnsi="Palatino Linotype" w:cs="Times New Roman"/>
          <w:b/>
          <w:lang w:val="es-MX" w:eastAsia="en-US"/>
        </w:rPr>
        <w:t>QUINTO.</w:t>
      </w:r>
      <w:r w:rsidR="00C6671B" w:rsidRPr="00DD7BE8">
        <w:rPr>
          <w:rFonts w:ascii="Palatino Linotype" w:eastAsia="Calibri" w:hAnsi="Palatino Linotype" w:cs="Times New Roman"/>
          <w:lang w:val="es-MX" w:eastAsia="en-US"/>
        </w:rPr>
        <w:t xml:space="preserve"> </w:t>
      </w:r>
      <w:r w:rsidR="00C6671B" w:rsidRPr="00DD7BE8">
        <w:rPr>
          <w:rFonts w:ascii="Palatino Linotype" w:eastAsia="Times New Roman" w:hAnsi="Palatino Linotype" w:cs="Times New Roman"/>
          <w:lang w:val="es-ES" w:eastAsia="es-MX"/>
        </w:rPr>
        <w:t>Se hace del conocimiento de</w:t>
      </w:r>
      <w:r w:rsidR="004D38F2" w:rsidRPr="00DD7BE8">
        <w:rPr>
          <w:rFonts w:ascii="Palatino Linotype" w:eastAsia="Times New Roman" w:hAnsi="Palatino Linotype" w:cs="Arial"/>
          <w:b/>
        </w:rPr>
        <w:t xml:space="preserve"> </w:t>
      </w:r>
      <w:r w:rsidR="003E7006" w:rsidRPr="003E7006">
        <w:rPr>
          <w:rFonts w:ascii="Palatino Linotype" w:eastAsia="Times New Roman" w:hAnsi="Palatino Linotype" w:cs="Times New Roman"/>
          <w:b/>
          <w:highlight w:val="black"/>
          <w:lang w:eastAsia="es-MX"/>
        </w:rPr>
        <w:t>-----------------------------</w:t>
      </w:r>
      <w:r w:rsidR="00FF73FC" w:rsidRPr="00DD7BE8">
        <w:rPr>
          <w:rFonts w:ascii="Palatino Linotype" w:eastAsia="Times New Roman" w:hAnsi="Palatino Linotype" w:cs="Times New Roman"/>
          <w:b/>
          <w:lang w:eastAsia="es-MX"/>
        </w:rPr>
        <w:t xml:space="preserve"> </w:t>
      </w:r>
      <w:r w:rsidR="00C6671B" w:rsidRPr="00DD7BE8">
        <w:rPr>
          <w:rFonts w:ascii="Palatino Linotype" w:eastAsia="Times New Roman" w:hAnsi="Palatino Linotype" w:cs="Times New Roman"/>
          <w:lang w:val="es-ES" w:eastAsia="es-MX"/>
        </w:rPr>
        <w:t>que, de conformidad con lo establecido en el artículo 196 de la Ley de Transparencia y Acceso a la Información Pública del Estado de México y Municipios, en caso de que considere que la resolución le cause algún perjuicio podrá impugnarla </w:t>
      </w:r>
      <w:r w:rsidR="00C6671B" w:rsidRPr="00DD7BE8">
        <w:rPr>
          <w:rFonts w:ascii="Palatino Linotype" w:eastAsia="Times New Roman" w:hAnsi="Palatino Linotype" w:cs="Times New Roman"/>
          <w:bCs/>
          <w:lang w:val="es-ES" w:eastAsia="es-MX"/>
        </w:rPr>
        <w:t>vía juicio de amparo</w:t>
      </w:r>
      <w:r w:rsidR="00C6671B" w:rsidRPr="00DD7BE8">
        <w:rPr>
          <w:rFonts w:ascii="Palatino Linotype" w:eastAsia="Times New Roman" w:hAnsi="Palatino Linotype" w:cs="Times New Roman"/>
          <w:lang w:val="es-ES" w:eastAsia="es-MX"/>
        </w:rPr>
        <w:t> en los términos de las leyes aplicables.</w:t>
      </w:r>
    </w:p>
    <w:p w14:paraId="032933F7" w14:textId="77777777" w:rsidR="00DD7BE8" w:rsidRDefault="00DD7BE8" w:rsidP="00DD7BE8">
      <w:pPr>
        <w:shd w:val="clear" w:color="auto" w:fill="FFFFFF"/>
        <w:spacing w:before="240" w:after="360" w:line="360" w:lineRule="auto"/>
        <w:jc w:val="both"/>
        <w:rPr>
          <w:rFonts w:ascii="Palatino Linotype" w:eastAsia="Times New Roman" w:hAnsi="Palatino Linotype" w:cs="Times New Roman"/>
          <w:lang w:val="es-ES" w:eastAsia="es-MX"/>
        </w:rPr>
      </w:pPr>
    </w:p>
    <w:p w14:paraId="6EA6DB62" w14:textId="77777777" w:rsidR="00DD7BE8" w:rsidRDefault="00DD7BE8" w:rsidP="00DD7BE8">
      <w:pPr>
        <w:shd w:val="clear" w:color="auto" w:fill="FFFFFF"/>
        <w:spacing w:before="240" w:after="360" w:line="360" w:lineRule="auto"/>
        <w:jc w:val="both"/>
        <w:rPr>
          <w:rFonts w:ascii="Palatino Linotype" w:eastAsia="Times New Roman" w:hAnsi="Palatino Linotype" w:cs="Times New Roman"/>
          <w:lang w:val="es-ES" w:eastAsia="es-MX"/>
        </w:rPr>
      </w:pPr>
    </w:p>
    <w:p w14:paraId="123B410E" w14:textId="77777777" w:rsidR="00DD7BE8" w:rsidRDefault="00DD7BE8" w:rsidP="00DD7BE8">
      <w:pPr>
        <w:shd w:val="clear" w:color="auto" w:fill="FFFFFF"/>
        <w:spacing w:before="240" w:after="360" w:line="360" w:lineRule="auto"/>
        <w:jc w:val="both"/>
        <w:rPr>
          <w:rFonts w:ascii="Palatino Linotype" w:eastAsia="Times New Roman" w:hAnsi="Palatino Linotype" w:cs="Times New Roman"/>
          <w:lang w:val="es-ES" w:eastAsia="es-MX"/>
        </w:rPr>
      </w:pPr>
    </w:p>
    <w:p w14:paraId="063B72B5" w14:textId="77777777" w:rsidR="00DD7BE8" w:rsidRPr="00DD7BE8" w:rsidRDefault="00DD7BE8" w:rsidP="00DD7BE8">
      <w:pPr>
        <w:shd w:val="clear" w:color="auto" w:fill="FFFFFF"/>
        <w:spacing w:before="240" w:after="360" w:line="360" w:lineRule="auto"/>
        <w:jc w:val="both"/>
        <w:rPr>
          <w:rFonts w:ascii="Palatino Linotype" w:eastAsia="Times New Roman" w:hAnsi="Palatino Linotype" w:cs="Times New Roman"/>
          <w:lang w:val="es-ES" w:eastAsia="es-MX"/>
        </w:rPr>
      </w:pPr>
    </w:p>
    <w:p w14:paraId="68BAA0EF" w14:textId="368FE7BB" w:rsidR="00C6671B" w:rsidRPr="00DD7BE8" w:rsidRDefault="00C6671B" w:rsidP="00DD7BE8">
      <w:pPr>
        <w:spacing w:before="240" w:after="240" w:line="360" w:lineRule="auto"/>
        <w:jc w:val="both"/>
        <w:rPr>
          <w:rFonts w:ascii="Palatino Linotype" w:eastAsia="MS Mincho" w:hAnsi="Palatino Linotype" w:cs="Arial"/>
          <w:color w:val="000000"/>
        </w:rPr>
      </w:pPr>
      <w:r w:rsidRPr="00DD7BE8">
        <w:rPr>
          <w:rFonts w:ascii="Palatino Linotype" w:eastAsia="MS Mincho" w:hAnsi="Palatino Linotype" w:cs="Times New Roman"/>
          <w:color w:val="000000"/>
        </w:rPr>
        <w:t>ASÍ LO RESUELVE, POR UNANIMIDAD DE VOTOS, EL PLENO DEL INSTITUTO DE TRANSPARENCIA, ACCESO A LA INFORMACIÓN PÚBLICA Y PROTECCIÓN DE DATOS PERSONALES DEL ESTADO DE MÉXICO Y MUNICIPIOS, CONFORMADO POR LOS COMISIONADOS ZULEMA MARTÍNEZ SÁNCHEZ</w:t>
      </w:r>
      <w:r w:rsidR="00DD7BE8">
        <w:rPr>
          <w:rFonts w:ascii="Palatino Linotype" w:eastAsia="MS Mincho" w:hAnsi="Palatino Linotype" w:cs="Times New Roman"/>
          <w:color w:val="000000"/>
        </w:rPr>
        <w:t xml:space="preserve"> CON AUSENCIA JUSTIFICADA</w:t>
      </w:r>
      <w:r w:rsidRPr="00DD7BE8">
        <w:rPr>
          <w:rFonts w:ascii="Palatino Linotype" w:eastAsia="MS Mincho" w:hAnsi="Palatino Linotype" w:cs="Times New Roman"/>
          <w:color w:val="000000"/>
        </w:rPr>
        <w:t>, EVA ABAID YAPUR</w:t>
      </w:r>
      <w:r w:rsidR="009C79A3">
        <w:rPr>
          <w:rFonts w:ascii="Palatino Linotype" w:eastAsia="MS Mincho" w:hAnsi="Palatino Linotype" w:cs="Times New Roman"/>
          <w:color w:val="000000"/>
        </w:rPr>
        <w:t xml:space="preserve"> EMITIENDO OPINIÓN </w:t>
      </w:r>
      <w:r w:rsidR="007F3F14">
        <w:rPr>
          <w:rFonts w:ascii="Palatino Linotype" w:eastAsia="MS Mincho" w:hAnsi="Palatino Linotype" w:cs="Times New Roman"/>
          <w:color w:val="000000"/>
        </w:rPr>
        <w:t>PARTICULAR</w:t>
      </w:r>
      <w:r w:rsidRPr="00DD7BE8">
        <w:rPr>
          <w:rFonts w:ascii="Palatino Linotype" w:eastAsia="MS Mincho" w:hAnsi="Palatino Linotype" w:cs="Times New Roman"/>
          <w:color w:val="000000"/>
        </w:rPr>
        <w:t>; JOSÉ GUADALUPE LUNA HERNÁNDEZ; JAVIER MARTÍNEZ CRUZ Y LU</w:t>
      </w:r>
      <w:r w:rsidR="00DD7BE8">
        <w:rPr>
          <w:rFonts w:ascii="Palatino Linotype" w:eastAsia="MS Mincho" w:hAnsi="Palatino Linotype" w:cs="Times New Roman"/>
          <w:color w:val="000000"/>
        </w:rPr>
        <w:t>IS GUSTAVO PARRA NORIEGA; EN LA CUADRAGÉSIMA SEGUNDA</w:t>
      </w:r>
      <w:r w:rsidRPr="00DD7BE8">
        <w:rPr>
          <w:rFonts w:ascii="Palatino Linotype" w:eastAsia="MS Mincho" w:hAnsi="Palatino Linotype" w:cs="Times New Roman"/>
          <w:color w:val="000000"/>
        </w:rPr>
        <w:t xml:space="preserve"> </w:t>
      </w:r>
      <w:r w:rsidR="00DD7BE8">
        <w:rPr>
          <w:rFonts w:ascii="Palatino Linotype" w:eastAsia="MS Mincho" w:hAnsi="Palatino Linotype" w:cs="Times New Roman"/>
          <w:color w:val="000000"/>
        </w:rPr>
        <w:t>SESIÓN ORDINARIA CELEBRADA EL TRECE (13) DE NOVIEMBRE DE DOS MIL DIECINUEVE</w:t>
      </w:r>
      <w:r w:rsidRPr="00DD7BE8">
        <w:rPr>
          <w:rFonts w:ascii="Palatino Linotype" w:eastAsia="MS Mincho" w:hAnsi="Palatino Linotype" w:cs="Times New Roman"/>
          <w:color w:val="000000"/>
        </w:rPr>
        <w:t xml:space="preserve">, ANTE </w:t>
      </w:r>
      <w:r w:rsidR="00DD7BE8">
        <w:rPr>
          <w:rFonts w:ascii="Palatino Linotype" w:eastAsia="MS Mincho" w:hAnsi="Palatino Linotype" w:cs="Times New Roman"/>
          <w:color w:val="000000"/>
        </w:rPr>
        <w:t xml:space="preserve">EL SECRETARIO TÉCNICO DEL PLENO, </w:t>
      </w:r>
      <w:r w:rsidRPr="00DD7BE8">
        <w:rPr>
          <w:rFonts w:ascii="Palatino Linotype" w:eastAsia="MS Mincho" w:hAnsi="Palatino Linotype" w:cs="Times New Roman"/>
          <w:color w:val="000000"/>
        </w:rPr>
        <w:t>ALEXIS TAPIA RAMÍREZ.</w:t>
      </w:r>
      <w:r w:rsidRPr="00DD7BE8">
        <w:rPr>
          <w:rFonts w:ascii="Palatino Linotype" w:eastAsia="MS Mincho" w:hAnsi="Palatino Linotype" w:cs="Arial"/>
          <w:color w:val="000000"/>
        </w:rPr>
        <w:t xml:space="preserve"> </w:t>
      </w:r>
    </w:p>
    <w:tbl>
      <w:tblPr>
        <w:tblStyle w:val="Tablaconcuadrcula12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2"/>
        <w:gridCol w:w="4387"/>
      </w:tblGrid>
      <w:tr w:rsidR="00C6671B" w:rsidRPr="00DD7BE8" w14:paraId="19D16C86" w14:textId="77777777" w:rsidTr="00C6671B">
        <w:trPr>
          <w:trHeight w:val="1807"/>
        </w:trPr>
        <w:tc>
          <w:tcPr>
            <w:tcW w:w="8779" w:type="dxa"/>
            <w:gridSpan w:val="2"/>
            <w:vAlign w:val="center"/>
          </w:tcPr>
          <w:p w14:paraId="5ABCF140" w14:textId="77777777" w:rsidR="00C6671B" w:rsidRDefault="00C6671B" w:rsidP="00DD7BE8">
            <w:pPr>
              <w:spacing w:line="360" w:lineRule="auto"/>
              <w:rPr>
                <w:rFonts w:ascii="Palatino Linotype" w:eastAsia="MS Mincho" w:hAnsi="Palatino Linotype" w:cs="Times New Roman"/>
                <w:b/>
                <w:color w:val="000000"/>
              </w:rPr>
            </w:pPr>
          </w:p>
          <w:p w14:paraId="30B71B38" w14:textId="77777777" w:rsidR="00DD7BE8" w:rsidRDefault="00DD7BE8" w:rsidP="00DD7BE8">
            <w:pPr>
              <w:spacing w:line="360" w:lineRule="auto"/>
              <w:rPr>
                <w:rFonts w:ascii="Palatino Linotype" w:eastAsia="MS Mincho" w:hAnsi="Palatino Linotype" w:cs="Times New Roman"/>
                <w:b/>
                <w:color w:val="000000"/>
              </w:rPr>
            </w:pPr>
          </w:p>
          <w:p w14:paraId="7B9BF175" w14:textId="77777777" w:rsidR="00DD7BE8" w:rsidRPr="00DD7BE8" w:rsidRDefault="00DD7BE8" w:rsidP="00DD7BE8">
            <w:pPr>
              <w:spacing w:line="360" w:lineRule="auto"/>
              <w:rPr>
                <w:rFonts w:ascii="Palatino Linotype" w:eastAsia="MS Mincho" w:hAnsi="Palatino Linotype" w:cs="Times New Roman"/>
                <w:b/>
                <w:color w:val="000000"/>
              </w:rPr>
            </w:pPr>
          </w:p>
          <w:p w14:paraId="1D800AD4" w14:textId="77777777" w:rsidR="00C6671B" w:rsidRPr="00DD7BE8" w:rsidRDefault="00C6671B" w:rsidP="00DD7BE8">
            <w:pPr>
              <w:spacing w:line="360" w:lineRule="auto"/>
              <w:jc w:val="center"/>
              <w:rPr>
                <w:rFonts w:ascii="Palatino Linotype" w:eastAsia="MS Mincho" w:hAnsi="Palatino Linotype" w:cs="Times New Roman"/>
                <w:b/>
                <w:color w:val="000000"/>
              </w:rPr>
            </w:pPr>
            <w:r w:rsidRPr="00DD7BE8">
              <w:rPr>
                <w:rFonts w:ascii="Palatino Linotype" w:eastAsia="MS Mincho" w:hAnsi="Palatino Linotype" w:cs="Times New Roman"/>
                <w:b/>
                <w:color w:val="000000"/>
              </w:rPr>
              <w:t>Zulema Martínez Sánchez</w:t>
            </w:r>
          </w:p>
          <w:p w14:paraId="542C340A" w14:textId="77777777" w:rsidR="00C6671B" w:rsidRPr="00DD7BE8" w:rsidRDefault="00C6671B" w:rsidP="00DD7BE8">
            <w:pPr>
              <w:spacing w:line="360" w:lineRule="auto"/>
              <w:jc w:val="center"/>
              <w:rPr>
                <w:rFonts w:ascii="Palatino Linotype" w:eastAsia="MS Mincho" w:hAnsi="Palatino Linotype" w:cs="Times New Roman"/>
                <w:color w:val="000000"/>
              </w:rPr>
            </w:pPr>
            <w:r w:rsidRPr="00DD7BE8">
              <w:rPr>
                <w:rFonts w:ascii="Palatino Linotype" w:eastAsia="MS Mincho" w:hAnsi="Palatino Linotype" w:cs="Times New Roman"/>
                <w:color w:val="000000"/>
              </w:rPr>
              <w:t>Comisionada Presidenta</w:t>
            </w:r>
          </w:p>
          <w:p w14:paraId="3ED55958" w14:textId="3C85E003" w:rsidR="00C6671B" w:rsidRPr="00DD7BE8" w:rsidRDefault="00DD7BE8" w:rsidP="00DD7BE8">
            <w:pPr>
              <w:spacing w:line="360" w:lineRule="auto"/>
              <w:jc w:val="center"/>
              <w:rPr>
                <w:rFonts w:ascii="Palatino Linotype" w:eastAsia="MS Mincho" w:hAnsi="Palatino Linotype" w:cs="Times New Roman"/>
                <w:color w:val="000000"/>
              </w:rPr>
            </w:pPr>
            <w:r>
              <w:rPr>
                <w:rFonts w:ascii="Palatino Linotype" w:eastAsia="MS Mincho" w:hAnsi="Palatino Linotype" w:cs="Times New Roman"/>
                <w:color w:val="000000"/>
              </w:rPr>
              <w:t>(Ausencia Justificada</w:t>
            </w:r>
            <w:r w:rsidR="00C6671B" w:rsidRPr="00DD7BE8">
              <w:rPr>
                <w:rFonts w:ascii="Palatino Linotype" w:eastAsia="MS Mincho" w:hAnsi="Palatino Linotype" w:cs="Times New Roman"/>
                <w:color w:val="000000"/>
              </w:rPr>
              <w:t xml:space="preserve">) </w:t>
            </w:r>
          </w:p>
        </w:tc>
      </w:tr>
      <w:tr w:rsidR="00C6671B" w:rsidRPr="00DD7BE8" w14:paraId="1FE7061E" w14:textId="77777777" w:rsidTr="00C6671B">
        <w:trPr>
          <w:trHeight w:val="2156"/>
        </w:trPr>
        <w:tc>
          <w:tcPr>
            <w:tcW w:w="4392" w:type="dxa"/>
            <w:vAlign w:val="center"/>
          </w:tcPr>
          <w:p w14:paraId="49FD8264" w14:textId="77777777" w:rsidR="00C6671B" w:rsidRPr="00DD7BE8" w:rsidRDefault="00C6671B" w:rsidP="00DD7BE8">
            <w:pPr>
              <w:spacing w:line="360" w:lineRule="auto"/>
              <w:rPr>
                <w:rFonts w:ascii="Palatino Linotype" w:eastAsia="MS Mincho" w:hAnsi="Palatino Linotype" w:cs="Times New Roman"/>
                <w:b/>
                <w:color w:val="000000"/>
              </w:rPr>
            </w:pPr>
          </w:p>
          <w:p w14:paraId="1D8022C0" w14:textId="77777777" w:rsidR="00C6671B" w:rsidRPr="00DD7BE8" w:rsidRDefault="00C6671B" w:rsidP="00DD7BE8">
            <w:pPr>
              <w:spacing w:line="360" w:lineRule="auto"/>
              <w:jc w:val="center"/>
              <w:rPr>
                <w:rFonts w:ascii="Palatino Linotype" w:eastAsia="MS Mincho" w:hAnsi="Palatino Linotype" w:cs="Times New Roman"/>
                <w:b/>
                <w:color w:val="000000"/>
                <w:sz w:val="8"/>
              </w:rPr>
            </w:pPr>
          </w:p>
          <w:p w14:paraId="57C1F338" w14:textId="77777777" w:rsidR="00C6671B" w:rsidRPr="00DD7BE8" w:rsidRDefault="00C6671B" w:rsidP="00DD7BE8">
            <w:pPr>
              <w:spacing w:line="360" w:lineRule="auto"/>
              <w:jc w:val="center"/>
              <w:rPr>
                <w:rFonts w:ascii="Palatino Linotype" w:eastAsia="MS Mincho" w:hAnsi="Palatino Linotype" w:cs="Times New Roman"/>
                <w:b/>
                <w:color w:val="000000"/>
              </w:rPr>
            </w:pPr>
            <w:r w:rsidRPr="00DD7BE8">
              <w:rPr>
                <w:rFonts w:ascii="Palatino Linotype" w:eastAsia="MS Mincho" w:hAnsi="Palatino Linotype" w:cs="Times New Roman"/>
                <w:b/>
                <w:color w:val="000000"/>
              </w:rPr>
              <w:t xml:space="preserve">Eva </w:t>
            </w:r>
            <w:proofErr w:type="spellStart"/>
            <w:r w:rsidRPr="00DD7BE8">
              <w:rPr>
                <w:rFonts w:ascii="Palatino Linotype" w:eastAsia="MS Mincho" w:hAnsi="Palatino Linotype" w:cs="Times New Roman"/>
                <w:b/>
                <w:color w:val="000000"/>
              </w:rPr>
              <w:t>Abaid</w:t>
            </w:r>
            <w:proofErr w:type="spellEnd"/>
            <w:r w:rsidRPr="00DD7BE8">
              <w:rPr>
                <w:rFonts w:ascii="Palatino Linotype" w:eastAsia="MS Mincho" w:hAnsi="Palatino Linotype" w:cs="Times New Roman"/>
                <w:b/>
                <w:color w:val="000000"/>
              </w:rPr>
              <w:t xml:space="preserve"> </w:t>
            </w:r>
            <w:proofErr w:type="spellStart"/>
            <w:r w:rsidRPr="00DD7BE8">
              <w:rPr>
                <w:rFonts w:ascii="Palatino Linotype" w:eastAsia="MS Mincho" w:hAnsi="Palatino Linotype" w:cs="Times New Roman"/>
                <w:b/>
                <w:color w:val="000000"/>
              </w:rPr>
              <w:t>Yapur</w:t>
            </w:r>
            <w:proofErr w:type="spellEnd"/>
          </w:p>
          <w:p w14:paraId="469C9285" w14:textId="77777777" w:rsidR="00C6671B" w:rsidRPr="00DD7BE8" w:rsidRDefault="00C6671B" w:rsidP="00DD7BE8">
            <w:pPr>
              <w:spacing w:line="360" w:lineRule="auto"/>
              <w:jc w:val="center"/>
              <w:rPr>
                <w:rFonts w:ascii="Palatino Linotype" w:eastAsia="MS Mincho" w:hAnsi="Palatino Linotype" w:cs="Times New Roman"/>
                <w:color w:val="000000"/>
              </w:rPr>
            </w:pPr>
            <w:r w:rsidRPr="00DD7BE8">
              <w:rPr>
                <w:rFonts w:ascii="Palatino Linotype" w:eastAsia="MS Mincho" w:hAnsi="Palatino Linotype" w:cs="Times New Roman"/>
                <w:color w:val="000000"/>
              </w:rPr>
              <w:t>Comisionada</w:t>
            </w:r>
          </w:p>
          <w:p w14:paraId="7FADD6B9" w14:textId="77777777" w:rsidR="00C6671B" w:rsidRPr="00DD7BE8" w:rsidRDefault="00C6671B" w:rsidP="00DD7BE8">
            <w:pPr>
              <w:spacing w:line="360" w:lineRule="auto"/>
              <w:jc w:val="center"/>
              <w:rPr>
                <w:rFonts w:ascii="Palatino Linotype" w:eastAsia="MS Mincho" w:hAnsi="Palatino Linotype" w:cs="Times New Roman"/>
                <w:color w:val="000000"/>
              </w:rPr>
            </w:pPr>
            <w:r w:rsidRPr="00DD7BE8">
              <w:rPr>
                <w:rFonts w:ascii="Palatino Linotype" w:eastAsia="MS Mincho" w:hAnsi="Palatino Linotype" w:cs="Times New Roman"/>
                <w:color w:val="000000"/>
              </w:rPr>
              <w:t>(Rúbrica)</w:t>
            </w:r>
          </w:p>
        </w:tc>
        <w:tc>
          <w:tcPr>
            <w:tcW w:w="4387" w:type="dxa"/>
            <w:vAlign w:val="center"/>
          </w:tcPr>
          <w:p w14:paraId="441551AF" w14:textId="77777777" w:rsidR="00C6671B" w:rsidRPr="00DD7BE8" w:rsidRDefault="00C6671B" w:rsidP="00DD7BE8">
            <w:pPr>
              <w:spacing w:line="360" w:lineRule="auto"/>
              <w:rPr>
                <w:rFonts w:ascii="Palatino Linotype" w:eastAsia="MS Mincho" w:hAnsi="Palatino Linotype" w:cs="Times New Roman"/>
                <w:b/>
                <w:color w:val="000000"/>
              </w:rPr>
            </w:pPr>
          </w:p>
          <w:p w14:paraId="00EB92A0" w14:textId="77777777" w:rsidR="00C6671B" w:rsidRPr="00DD7BE8" w:rsidRDefault="00C6671B" w:rsidP="00DD7BE8">
            <w:pPr>
              <w:spacing w:line="360" w:lineRule="auto"/>
              <w:jc w:val="center"/>
              <w:rPr>
                <w:rFonts w:ascii="Palatino Linotype" w:eastAsia="MS Mincho" w:hAnsi="Palatino Linotype" w:cs="Times New Roman"/>
                <w:b/>
                <w:color w:val="000000"/>
                <w:sz w:val="8"/>
              </w:rPr>
            </w:pPr>
          </w:p>
          <w:p w14:paraId="6864B4C0" w14:textId="77777777" w:rsidR="00C6671B" w:rsidRPr="00DD7BE8" w:rsidRDefault="00C6671B" w:rsidP="00DD7BE8">
            <w:pPr>
              <w:spacing w:line="360" w:lineRule="auto"/>
              <w:jc w:val="center"/>
              <w:rPr>
                <w:rFonts w:ascii="Palatino Linotype" w:eastAsia="MS Mincho" w:hAnsi="Palatino Linotype" w:cs="Times New Roman"/>
                <w:b/>
                <w:color w:val="000000"/>
              </w:rPr>
            </w:pPr>
            <w:r w:rsidRPr="00DD7BE8">
              <w:rPr>
                <w:rFonts w:ascii="Palatino Linotype" w:eastAsia="MS Mincho" w:hAnsi="Palatino Linotype" w:cs="Times New Roman"/>
                <w:b/>
                <w:color w:val="000000"/>
              </w:rPr>
              <w:t>José Guadalupe Luna Hernández</w:t>
            </w:r>
          </w:p>
          <w:p w14:paraId="7A772588" w14:textId="77777777" w:rsidR="00C6671B" w:rsidRPr="00DD7BE8" w:rsidRDefault="00C6671B" w:rsidP="00DD7BE8">
            <w:pPr>
              <w:spacing w:line="360" w:lineRule="auto"/>
              <w:jc w:val="center"/>
              <w:rPr>
                <w:rFonts w:ascii="Palatino Linotype" w:eastAsia="MS Mincho" w:hAnsi="Palatino Linotype" w:cs="Times New Roman"/>
                <w:color w:val="000000"/>
              </w:rPr>
            </w:pPr>
            <w:r w:rsidRPr="00DD7BE8">
              <w:rPr>
                <w:rFonts w:ascii="Palatino Linotype" w:eastAsia="MS Mincho" w:hAnsi="Palatino Linotype" w:cs="Times New Roman"/>
                <w:color w:val="000000"/>
              </w:rPr>
              <w:t>Comisionado</w:t>
            </w:r>
          </w:p>
          <w:p w14:paraId="47E7BA68" w14:textId="77777777" w:rsidR="00C6671B" w:rsidRPr="00DD7BE8" w:rsidRDefault="00C6671B" w:rsidP="00DD7BE8">
            <w:pPr>
              <w:spacing w:line="360" w:lineRule="auto"/>
              <w:jc w:val="center"/>
              <w:rPr>
                <w:rFonts w:ascii="Palatino Linotype" w:eastAsia="MS Mincho" w:hAnsi="Palatino Linotype" w:cs="Times New Roman"/>
                <w:color w:val="000000"/>
              </w:rPr>
            </w:pPr>
            <w:r w:rsidRPr="00DD7BE8">
              <w:rPr>
                <w:rFonts w:ascii="Palatino Linotype" w:eastAsia="MS Mincho" w:hAnsi="Palatino Linotype" w:cs="Times New Roman"/>
                <w:color w:val="000000"/>
              </w:rPr>
              <w:t>(Rúbrica)</w:t>
            </w:r>
          </w:p>
        </w:tc>
      </w:tr>
      <w:tr w:rsidR="00C6671B" w:rsidRPr="00DD7BE8" w14:paraId="7D8E33FD" w14:textId="77777777" w:rsidTr="00C6671B">
        <w:trPr>
          <w:trHeight w:val="2244"/>
        </w:trPr>
        <w:tc>
          <w:tcPr>
            <w:tcW w:w="4392" w:type="dxa"/>
            <w:vAlign w:val="center"/>
          </w:tcPr>
          <w:p w14:paraId="7CE27AAC" w14:textId="77777777" w:rsidR="00C6671B" w:rsidRDefault="00C6671B" w:rsidP="00DD7BE8">
            <w:pPr>
              <w:spacing w:line="360" w:lineRule="auto"/>
              <w:rPr>
                <w:rFonts w:ascii="Palatino Linotype" w:eastAsia="MS Mincho" w:hAnsi="Palatino Linotype" w:cs="Times New Roman"/>
                <w:b/>
                <w:color w:val="000000"/>
              </w:rPr>
            </w:pPr>
          </w:p>
          <w:p w14:paraId="76EF94B9" w14:textId="77777777" w:rsidR="00DD7BE8" w:rsidRDefault="00DD7BE8" w:rsidP="00DD7BE8">
            <w:pPr>
              <w:spacing w:line="360" w:lineRule="auto"/>
              <w:rPr>
                <w:rFonts w:ascii="Palatino Linotype" w:eastAsia="MS Mincho" w:hAnsi="Palatino Linotype" w:cs="Times New Roman"/>
                <w:b/>
                <w:color w:val="000000"/>
              </w:rPr>
            </w:pPr>
          </w:p>
          <w:p w14:paraId="602981E7" w14:textId="77777777" w:rsidR="00DD7BE8" w:rsidRPr="00DD7BE8" w:rsidRDefault="00DD7BE8" w:rsidP="00DD7BE8">
            <w:pPr>
              <w:spacing w:line="360" w:lineRule="auto"/>
              <w:rPr>
                <w:rFonts w:ascii="Palatino Linotype" w:eastAsia="MS Mincho" w:hAnsi="Palatino Linotype" w:cs="Times New Roman"/>
                <w:b/>
                <w:color w:val="000000"/>
              </w:rPr>
            </w:pPr>
          </w:p>
          <w:p w14:paraId="17890728" w14:textId="77777777" w:rsidR="00C6671B" w:rsidRPr="00DD7BE8" w:rsidRDefault="00C6671B" w:rsidP="00DD7BE8">
            <w:pPr>
              <w:spacing w:line="360" w:lineRule="auto"/>
              <w:jc w:val="center"/>
              <w:rPr>
                <w:rFonts w:ascii="Palatino Linotype" w:eastAsia="MS Mincho" w:hAnsi="Palatino Linotype" w:cs="Times New Roman"/>
                <w:b/>
                <w:color w:val="000000"/>
              </w:rPr>
            </w:pPr>
            <w:r w:rsidRPr="00DD7BE8">
              <w:rPr>
                <w:rFonts w:ascii="Palatino Linotype" w:eastAsia="MS Mincho" w:hAnsi="Palatino Linotype" w:cs="Times New Roman"/>
                <w:b/>
                <w:color w:val="000000"/>
              </w:rPr>
              <w:t>Javier Martínez Cruz</w:t>
            </w:r>
          </w:p>
          <w:p w14:paraId="7EE447F1" w14:textId="77777777" w:rsidR="00C6671B" w:rsidRPr="00DD7BE8" w:rsidRDefault="00C6671B" w:rsidP="00DD7BE8">
            <w:pPr>
              <w:spacing w:line="360" w:lineRule="auto"/>
              <w:jc w:val="center"/>
              <w:rPr>
                <w:rFonts w:ascii="Palatino Linotype" w:eastAsia="MS Mincho" w:hAnsi="Palatino Linotype" w:cs="Times New Roman"/>
                <w:color w:val="000000"/>
              </w:rPr>
            </w:pPr>
            <w:r w:rsidRPr="00DD7BE8">
              <w:rPr>
                <w:rFonts w:ascii="Palatino Linotype" w:eastAsia="MS Mincho" w:hAnsi="Palatino Linotype" w:cs="Times New Roman"/>
                <w:color w:val="000000"/>
              </w:rPr>
              <w:t>Comisionado</w:t>
            </w:r>
          </w:p>
          <w:p w14:paraId="16A8F485" w14:textId="77777777" w:rsidR="00C6671B" w:rsidRPr="00DD7BE8" w:rsidRDefault="00C6671B" w:rsidP="00DD7BE8">
            <w:pPr>
              <w:spacing w:line="360" w:lineRule="auto"/>
              <w:jc w:val="center"/>
              <w:rPr>
                <w:rFonts w:ascii="Palatino Linotype" w:eastAsia="MS Mincho" w:hAnsi="Palatino Linotype" w:cs="Times New Roman"/>
                <w:color w:val="000000"/>
              </w:rPr>
            </w:pPr>
            <w:r w:rsidRPr="00DD7BE8">
              <w:rPr>
                <w:rFonts w:ascii="Palatino Linotype" w:eastAsia="MS Mincho" w:hAnsi="Palatino Linotype" w:cs="Times New Roman"/>
                <w:color w:val="000000"/>
              </w:rPr>
              <w:t>(Rúbrica)</w:t>
            </w:r>
          </w:p>
        </w:tc>
        <w:tc>
          <w:tcPr>
            <w:tcW w:w="4387" w:type="dxa"/>
            <w:vAlign w:val="center"/>
          </w:tcPr>
          <w:p w14:paraId="6AB9517B" w14:textId="77777777" w:rsidR="00C6671B" w:rsidRDefault="00C6671B" w:rsidP="00DD7BE8">
            <w:pPr>
              <w:spacing w:line="360" w:lineRule="auto"/>
              <w:rPr>
                <w:rFonts w:ascii="Palatino Linotype" w:eastAsia="MS Mincho" w:hAnsi="Palatino Linotype" w:cs="Times New Roman"/>
                <w:color w:val="000000"/>
              </w:rPr>
            </w:pPr>
          </w:p>
          <w:p w14:paraId="33696F22" w14:textId="77777777" w:rsidR="00DD7BE8" w:rsidRDefault="00DD7BE8" w:rsidP="00DD7BE8">
            <w:pPr>
              <w:spacing w:line="360" w:lineRule="auto"/>
              <w:rPr>
                <w:rFonts w:ascii="Palatino Linotype" w:eastAsia="MS Mincho" w:hAnsi="Palatino Linotype" w:cs="Times New Roman"/>
                <w:color w:val="000000"/>
              </w:rPr>
            </w:pPr>
          </w:p>
          <w:p w14:paraId="6ED93AA0" w14:textId="77777777" w:rsidR="00DD7BE8" w:rsidRPr="00DD7BE8" w:rsidRDefault="00DD7BE8" w:rsidP="00DD7BE8">
            <w:pPr>
              <w:spacing w:line="360" w:lineRule="auto"/>
              <w:rPr>
                <w:rFonts w:ascii="Palatino Linotype" w:eastAsia="MS Mincho" w:hAnsi="Palatino Linotype" w:cs="Times New Roman"/>
                <w:color w:val="000000"/>
              </w:rPr>
            </w:pPr>
          </w:p>
          <w:p w14:paraId="6277BA3E" w14:textId="77777777" w:rsidR="00C6671B" w:rsidRPr="00DD7BE8" w:rsidRDefault="00C6671B" w:rsidP="00DD7BE8">
            <w:pPr>
              <w:spacing w:line="360" w:lineRule="auto"/>
              <w:jc w:val="center"/>
              <w:rPr>
                <w:rFonts w:ascii="Palatino Linotype" w:eastAsia="MS Mincho" w:hAnsi="Palatino Linotype" w:cs="Times New Roman"/>
                <w:b/>
                <w:color w:val="000000"/>
              </w:rPr>
            </w:pPr>
            <w:r w:rsidRPr="00DD7BE8">
              <w:rPr>
                <w:rFonts w:ascii="Palatino Linotype" w:eastAsia="MS Mincho" w:hAnsi="Palatino Linotype" w:cs="Times New Roman"/>
                <w:b/>
                <w:color w:val="000000"/>
              </w:rPr>
              <w:t xml:space="preserve">Luis Gustavo Parra Noriega </w:t>
            </w:r>
          </w:p>
          <w:p w14:paraId="2630BF35" w14:textId="77777777" w:rsidR="00C6671B" w:rsidRPr="00DD7BE8" w:rsidRDefault="00C6671B" w:rsidP="00DD7BE8">
            <w:pPr>
              <w:spacing w:line="360" w:lineRule="auto"/>
              <w:jc w:val="center"/>
              <w:rPr>
                <w:rFonts w:ascii="Palatino Linotype" w:eastAsia="MS Mincho" w:hAnsi="Palatino Linotype" w:cs="Times New Roman"/>
                <w:color w:val="000000"/>
              </w:rPr>
            </w:pPr>
            <w:r w:rsidRPr="00DD7BE8">
              <w:rPr>
                <w:rFonts w:ascii="Palatino Linotype" w:eastAsia="MS Mincho" w:hAnsi="Palatino Linotype" w:cs="Times New Roman"/>
                <w:color w:val="000000"/>
              </w:rPr>
              <w:t xml:space="preserve">Comisionado  </w:t>
            </w:r>
          </w:p>
          <w:p w14:paraId="37241033" w14:textId="77777777" w:rsidR="00C6671B" w:rsidRPr="00DD7BE8" w:rsidRDefault="00C6671B" w:rsidP="00DD7BE8">
            <w:pPr>
              <w:spacing w:line="360" w:lineRule="auto"/>
              <w:jc w:val="center"/>
              <w:rPr>
                <w:rFonts w:ascii="Palatino Linotype" w:eastAsia="MS Mincho" w:hAnsi="Palatino Linotype" w:cs="Times New Roman"/>
                <w:color w:val="000000"/>
              </w:rPr>
            </w:pPr>
            <w:r w:rsidRPr="00DD7BE8">
              <w:rPr>
                <w:rFonts w:ascii="Palatino Linotype" w:eastAsia="MS Mincho" w:hAnsi="Palatino Linotype" w:cs="Times New Roman"/>
                <w:color w:val="000000"/>
              </w:rPr>
              <w:t>(Rúbrica)</w:t>
            </w:r>
          </w:p>
        </w:tc>
      </w:tr>
      <w:tr w:rsidR="00C6671B" w:rsidRPr="00DD7BE8" w14:paraId="37882B71" w14:textId="77777777" w:rsidTr="00C6671B">
        <w:trPr>
          <w:trHeight w:val="1953"/>
        </w:trPr>
        <w:tc>
          <w:tcPr>
            <w:tcW w:w="8779" w:type="dxa"/>
            <w:gridSpan w:val="2"/>
            <w:vAlign w:val="center"/>
          </w:tcPr>
          <w:p w14:paraId="536D6B58" w14:textId="77777777" w:rsidR="00C6671B" w:rsidRPr="00DD7BE8" w:rsidRDefault="00C6671B" w:rsidP="00DD7BE8">
            <w:pPr>
              <w:spacing w:line="360" w:lineRule="auto"/>
              <w:jc w:val="center"/>
              <w:rPr>
                <w:rFonts w:ascii="Palatino Linotype" w:eastAsia="MS Mincho" w:hAnsi="Palatino Linotype" w:cs="Times New Roman"/>
                <w:b/>
                <w:color w:val="000000"/>
              </w:rPr>
            </w:pPr>
          </w:p>
          <w:p w14:paraId="27BBE151" w14:textId="77777777" w:rsidR="00C6671B" w:rsidRPr="00DD7BE8" w:rsidRDefault="00C6671B" w:rsidP="00DD7BE8">
            <w:pPr>
              <w:spacing w:line="360" w:lineRule="auto"/>
              <w:rPr>
                <w:rFonts w:ascii="Palatino Linotype" w:eastAsia="MS Mincho" w:hAnsi="Palatino Linotype" w:cs="Times New Roman"/>
                <w:b/>
                <w:color w:val="000000"/>
              </w:rPr>
            </w:pPr>
          </w:p>
          <w:p w14:paraId="6DBFABCD" w14:textId="77777777" w:rsidR="00C6671B" w:rsidRPr="00DD7BE8" w:rsidRDefault="00C6671B" w:rsidP="00DD7BE8">
            <w:pPr>
              <w:spacing w:line="360" w:lineRule="auto"/>
              <w:jc w:val="center"/>
              <w:rPr>
                <w:rFonts w:ascii="Palatino Linotype" w:eastAsia="MS Mincho" w:hAnsi="Palatino Linotype" w:cs="Times New Roman"/>
                <w:b/>
                <w:color w:val="000000"/>
              </w:rPr>
            </w:pPr>
            <w:r w:rsidRPr="00DD7BE8">
              <w:rPr>
                <w:rFonts w:ascii="Palatino Linotype" w:eastAsia="MS Mincho" w:hAnsi="Palatino Linotype" w:cs="Times New Roman"/>
                <w:b/>
                <w:color w:val="000000"/>
              </w:rPr>
              <w:t>Alexis Tapia Ramírez</w:t>
            </w:r>
          </w:p>
          <w:p w14:paraId="1EAAECB6" w14:textId="77777777" w:rsidR="00C6671B" w:rsidRDefault="00C6671B" w:rsidP="00DD7BE8">
            <w:pPr>
              <w:spacing w:line="360" w:lineRule="auto"/>
              <w:jc w:val="center"/>
              <w:rPr>
                <w:rFonts w:ascii="Palatino Linotype" w:eastAsia="MS Mincho" w:hAnsi="Palatino Linotype" w:cs="Times New Roman"/>
                <w:color w:val="000000"/>
              </w:rPr>
            </w:pPr>
            <w:r w:rsidRPr="00DD7BE8">
              <w:rPr>
                <w:rFonts w:ascii="Palatino Linotype" w:eastAsia="MS Mincho" w:hAnsi="Palatino Linotype" w:cs="Times New Roman"/>
                <w:color w:val="000000"/>
              </w:rPr>
              <w:t>Secretario Técnico del Pleno</w:t>
            </w:r>
          </w:p>
          <w:p w14:paraId="6D2ECD55" w14:textId="269875C4" w:rsidR="00DD7BE8" w:rsidRPr="00DD7BE8" w:rsidRDefault="00DD7BE8" w:rsidP="00DD7BE8">
            <w:pPr>
              <w:spacing w:line="360" w:lineRule="auto"/>
              <w:jc w:val="center"/>
              <w:rPr>
                <w:rFonts w:ascii="Palatino Linotype" w:eastAsia="MS Mincho" w:hAnsi="Palatino Linotype" w:cs="Times New Roman"/>
                <w:color w:val="000000"/>
              </w:rPr>
            </w:pPr>
            <w:r>
              <w:rPr>
                <w:rFonts w:ascii="Palatino Linotype" w:eastAsia="MS Mincho" w:hAnsi="Palatino Linotype" w:cs="Times New Roman"/>
                <w:color w:val="000000"/>
              </w:rPr>
              <w:t>(Rúbrica)</w:t>
            </w:r>
          </w:p>
        </w:tc>
        <w:bookmarkStart w:id="149" w:name="_GoBack"/>
        <w:bookmarkEnd w:id="149"/>
      </w:tr>
    </w:tbl>
    <w:p w14:paraId="7DF767BD" w14:textId="77777777" w:rsidR="00C6671B" w:rsidRPr="00DD7BE8" w:rsidRDefault="00C6671B" w:rsidP="00DD7BE8">
      <w:pPr>
        <w:spacing w:before="240" w:after="240" w:line="360" w:lineRule="auto"/>
        <w:jc w:val="both"/>
        <w:rPr>
          <w:rFonts w:ascii="Palatino Linotype" w:eastAsia="Times New Roman" w:hAnsi="Palatino Linotype" w:cs="Arial"/>
          <w:color w:val="000000"/>
        </w:rPr>
      </w:pPr>
    </w:p>
    <w:p w14:paraId="1753A7C3" w14:textId="7B604E16" w:rsidR="00C6671B" w:rsidRPr="00DD7BE8" w:rsidRDefault="00C6671B" w:rsidP="00DD7BE8">
      <w:pPr>
        <w:spacing w:before="240" w:after="240" w:line="360" w:lineRule="auto"/>
        <w:jc w:val="both"/>
        <w:rPr>
          <w:rFonts w:ascii="Palatino Linotype" w:eastAsia="Calibri" w:hAnsi="Palatino Linotype" w:cs="Arial"/>
          <w:b/>
          <w:color w:val="000000"/>
        </w:rPr>
      </w:pPr>
      <w:r w:rsidRPr="00DD7BE8">
        <w:rPr>
          <w:rFonts w:ascii="Palatino Linotype" w:eastAsia="Times New Roman" w:hAnsi="Palatino Linotype" w:cs="Arial"/>
          <w:color w:val="000000"/>
        </w:rPr>
        <w:t>Esta hoja corr</w:t>
      </w:r>
      <w:r w:rsidR="00FF73FC" w:rsidRPr="00DD7BE8">
        <w:rPr>
          <w:rFonts w:ascii="Palatino Linotype" w:eastAsia="Times New Roman" w:hAnsi="Palatino Linotype" w:cs="Arial"/>
          <w:color w:val="000000"/>
        </w:rPr>
        <w:t>esponde a la resolución de trece (13</w:t>
      </w:r>
      <w:r w:rsidRPr="00DD7BE8">
        <w:rPr>
          <w:rFonts w:ascii="Palatino Linotype" w:eastAsia="Times New Roman" w:hAnsi="Palatino Linotype" w:cs="Arial"/>
          <w:color w:val="000000"/>
        </w:rPr>
        <w:t>) de</w:t>
      </w:r>
      <w:r w:rsidR="00FF73FC" w:rsidRPr="00DD7BE8">
        <w:rPr>
          <w:rFonts w:ascii="Palatino Linotype" w:eastAsia="Times New Roman" w:hAnsi="Palatino Linotype" w:cs="Arial"/>
          <w:color w:val="000000"/>
        </w:rPr>
        <w:t xml:space="preserve"> noviembre </w:t>
      </w:r>
      <w:r w:rsidRPr="00DD7BE8">
        <w:rPr>
          <w:rFonts w:ascii="Palatino Linotype" w:eastAsia="Times New Roman" w:hAnsi="Palatino Linotype" w:cs="Arial"/>
          <w:color w:val="000000"/>
        </w:rPr>
        <w:t xml:space="preserve">de dos mil diecinueve, emitida en el recurso de revisión </w:t>
      </w:r>
      <w:r w:rsidR="00FF73FC" w:rsidRPr="00DD7BE8">
        <w:rPr>
          <w:rFonts w:ascii="Palatino Linotype" w:eastAsia="Times New Roman" w:hAnsi="Palatino Linotype" w:cs="Arial"/>
          <w:b/>
          <w:color w:val="000000"/>
        </w:rPr>
        <w:t>07223</w:t>
      </w:r>
      <w:r w:rsidRPr="00DD7BE8">
        <w:rPr>
          <w:rFonts w:ascii="Palatino Linotype" w:eastAsia="Times New Roman" w:hAnsi="Palatino Linotype" w:cs="Arial"/>
          <w:b/>
          <w:color w:val="000000"/>
        </w:rPr>
        <w:t>/INFOEM/IP/RR/2019 y acumulado</w:t>
      </w:r>
      <w:r w:rsidR="00FF73FC" w:rsidRPr="00DD7BE8">
        <w:rPr>
          <w:rFonts w:ascii="Palatino Linotype" w:eastAsia="Times New Roman" w:hAnsi="Palatino Linotype" w:cs="Arial"/>
          <w:b/>
          <w:color w:val="000000"/>
        </w:rPr>
        <w:t>s</w:t>
      </w:r>
      <w:r w:rsidRPr="00DD7BE8">
        <w:rPr>
          <w:rFonts w:ascii="Palatino Linotype" w:eastAsia="Times New Roman" w:hAnsi="Palatino Linotype" w:cs="Arial"/>
          <w:b/>
          <w:color w:val="000000"/>
        </w:rPr>
        <w:t xml:space="preserve">. </w:t>
      </w:r>
    </w:p>
    <w:p w14:paraId="7F579F1B" w14:textId="77777777" w:rsidR="00C6671B" w:rsidRPr="00DD7BE8" w:rsidRDefault="00C6671B" w:rsidP="00DD7BE8">
      <w:pPr>
        <w:spacing w:before="240" w:after="240" w:line="360" w:lineRule="auto"/>
        <w:jc w:val="both"/>
        <w:rPr>
          <w:rFonts w:ascii="Palatino Linotype" w:eastAsia="Times New Roman" w:hAnsi="Palatino Linotype" w:cs="Times New Roman"/>
        </w:rPr>
      </w:pPr>
    </w:p>
    <w:p w14:paraId="1EC41396" w14:textId="77777777" w:rsidR="005C6142" w:rsidRPr="00DD7BE8" w:rsidRDefault="005C6142" w:rsidP="00DD7BE8">
      <w:pPr>
        <w:spacing w:line="360" w:lineRule="auto"/>
        <w:rPr>
          <w:rFonts w:ascii="Palatino Linotype" w:hAnsi="Palatino Linotype"/>
          <w:lang w:val="es-MX" w:eastAsia="en-US"/>
        </w:rPr>
      </w:pPr>
    </w:p>
    <w:sectPr w:rsidR="005C6142" w:rsidRPr="00DD7BE8" w:rsidSect="00DD7BE8">
      <w:headerReference w:type="default" r:id="rId42"/>
      <w:footerReference w:type="default" r:id="rId43"/>
      <w:headerReference w:type="first" r:id="rId44"/>
      <w:footerReference w:type="first" r:id="rId45"/>
      <w:pgSz w:w="12240" w:h="15840"/>
      <w:pgMar w:top="2552" w:right="1752" w:bottom="2552"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4D9182D" w14:textId="77777777" w:rsidR="009D2D80" w:rsidRDefault="009D2D80" w:rsidP="00587366">
      <w:r>
        <w:separator/>
      </w:r>
    </w:p>
  </w:endnote>
  <w:endnote w:type="continuationSeparator" w:id="0">
    <w:p w14:paraId="084143DA" w14:textId="77777777" w:rsidR="009D2D80" w:rsidRDefault="009D2D80" w:rsidP="005873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Lucida Grande">
    <w:altName w:val="Arial"/>
    <w:charset w:val="00"/>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733850643"/>
      <w:docPartObj>
        <w:docPartGallery w:val="Page Numbers (Bottom of Page)"/>
        <w:docPartUnique/>
      </w:docPartObj>
    </w:sdtPr>
    <w:sdtEndPr/>
    <w:sdtContent>
      <w:sdt>
        <w:sdtPr>
          <w:rPr>
            <w:rFonts w:ascii="Palatino Linotype" w:hAnsi="Palatino Linotype"/>
            <w:sz w:val="28"/>
          </w:rPr>
          <w:id w:val="284547370"/>
          <w:docPartObj>
            <w:docPartGallery w:val="Page Numbers (Top of Page)"/>
            <w:docPartUnique/>
          </w:docPartObj>
        </w:sdtPr>
        <w:sdtEndPr/>
        <w:sdtContent>
          <w:p w14:paraId="187818B4" w14:textId="246A4717" w:rsidR="00422718" w:rsidRPr="00883450" w:rsidRDefault="00422718">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BC3449">
              <w:rPr>
                <w:rFonts w:ascii="Palatino Linotype" w:hAnsi="Palatino Linotype"/>
                <w:b/>
                <w:bCs/>
                <w:noProof/>
                <w:sz w:val="22"/>
                <w:szCs w:val="20"/>
              </w:rPr>
              <w:t>55</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BC3449">
              <w:rPr>
                <w:rFonts w:ascii="Palatino Linotype" w:hAnsi="Palatino Linotype"/>
                <w:b/>
                <w:bCs/>
                <w:noProof/>
                <w:sz w:val="22"/>
                <w:szCs w:val="20"/>
              </w:rPr>
              <w:t>55</w:t>
            </w:r>
            <w:r w:rsidRPr="00883450">
              <w:rPr>
                <w:rFonts w:ascii="Palatino Linotype" w:hAnsi="Palatino Linotype"/>
                <w:b/>
                <w:bCs/>
                <w:sz w:val="22"/>
                <w:szCs w:val="20"/>
              </w:rPr>
              <w:fldChar w:fldCharType="end"/>
            </w:r>
          </w:p>
        </w:sdtContent>
      </w:sdt>
    </w:sdtContent>
  </w:sdt>
  <w:p w14:paraId="6243EC1B" w14:textId="77777777" w:rsidR="00422718" w:rsidRDefault="0042271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422718" w:rsidRPr="00883450" w:rsidRDefault="00422718"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BC3449" w:rsidRPr="00BC3449">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BC3449" w:rsidRPr="00BC3449">
      <w:rPr>
        <w:rFonts w:ascii="Palatino Linotype" w:hAnsi="Palatino Linotype"/>
        <w:noProof/>
        <w:sz w:val="22"/>
        <w:szCs w:val="22"/>
        <w:lang w:val="es-ES"/>
      </w:rPr>
      <w:t>55</w:t>
    </w:r>
    <w:r w:rsidRPr="00883450">
      <w:rPr>
        <w:rFonts w:ascii="Palatino Linotype" w:hAnsi="Palatino Linotype"/>
        <w:sz w:val="22"/>
        <w:szCs w:val="22"/>
      </w:rPr>
      <w:fldChar w:fldCharType="end"/>
    </w:r>
  </w:p>
  <w:p w14:paraId="5F5C4865" w14:textId="77777777" w:rsidR="00422718" w:rsidRPr="00883450" w:rsidRDefault="00422718">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B1A0E7" w14:textId="77777777" w:rsidR="009D2D80" w:rsidRDefault="009D2D80" w:rsidP="00587366">
      <w:r>
        <w:separator/>
      </w:r>
    </w:p>
  </w:footnote>
  <w:footnote w:type="continuationSeparator" w:id="0">
    <w:p w14:paraId="1C8CAE7C" w14:textId="77777777" w:rsidR="009D2D80" w:rsidRDefault="009D2D80" w:rsidP="00587366">
      <w:r>
        <w:continuationSeparator/>
      </w:r>
    </w:p>
  </w:footnote>
  <w:footnote w:id="1">
    <w:p w14:paraId="117027BB" w14:textId="77777777" w:rsidR="00422718" w:rsidRPr="00F75272" w:rsidRDefault="00422718" w:rsidP="00664106">
      <w:pPr>
        <w:pStyle w:val="Textonotapie"/>
        <w:jc w:val="both"/>
        <w:rPr>
          <w:rFonts w:ascii="Palatino Linotype" w:hAnsi="Palatino Linotype"/>
          <w:sz w:val="16"/>
          <w:szCs w:val="16"/>
        </w:rPr>
      </w:pPr>
      <w:r w:rsidRPr="00F75272">
        <w:rPr>
          <w:rStyle w:val="Refdenotaalpie"/>
          <w:rFonts w:ascii="Palatino Linotype" w:hAnsi="Palatino Linotype"/>
          <w:sz w:val="16"/>
          <w:szCs w:val="16"/>
        </w:rPr>
        <w:footnoteRef/>
      </w:r>
      <w:r w:rsidRPr="00F75272">
        <w:rPr>
          <w:rFonts w:ascii="Palatino Linotype" w:hAnsi="Palatino Linotype"/>
          <w:sz w:val="16"/>
          <w:szCs w:val="16"/>
        </w:rPr>
        <w:t xml:space="preserve"> </w:t>
      </w:r>
      <w:r w:rsidRPr="00F75272">
        <w:rPr>
          <w:rFonts w:ascii="Palatino Linotype" w:eastAsia="Times New Roman" w:hAnsi="Palatino Linotype" w:cs="Arial"/>
          <w:sz w:val="16"/>
          <w:szCs w:val="16"/>
        </w:rPr>
        <w:t>Emitidos por este Instituto y publicados en el Periódico Oficial del Gobierno del Estado de México “Gaceta del Gobierno” en fecha treinta de octubre de dos mil ocho.</w:t>
      </w:r>
    </w:p>
  </w:footnote>
  <w:footnote w:id="2">
    <w:p w14:paraId="23C37AF0" w14:textId="77777777" w:rsidR="00422718" w:rsidRPr="00034B44" w:rsidRDefault="00422718" w:rsidP="004D38F2">
      <w:pPr>
        <w:pStyle w:val="Textonotapie"/>
        <w:jc w:val="both"/>
        <w:rPr>
          <w:rFonts w:ascii="Palatino Linotype" w:hAnsi="Palatino Linotype"/>
          <w:sz w:val="14"/>
        </w:rPr>
      </w:pPr>
      <w:r w:rsidRPr="00034B44">
        <w:rPr>
          <w:rStyle w:val="Refdenotaalpie"/>
          <w:rFonts w:ascii="Palatino Linotype" w:hAnsi="Palatino Linotype"/>
          <w:sz w:val="14"/>
        </w:rPr>
        <w:footnoteRef/>
      </w:r>
      <w:r w:rsidRPr="00034B44">
        <w:rPr>
          <w:rFonts w:ascii="Palatino Linotype" w:hAnsi="Palatino Linotype"/>
          <w:sz w:val="14"/>
          <w:lang w:val="es-ES"/>
        </w:rPr>
        <w:t xml:space="preserve"> </w:t>
      </w:r>
      <w:r w:rsidRPr="00034B44">
        <w:rPr>
          <w:rFonts w:ascii="Palatino Linotype" w:hAnsi="Palatino Linotype"/>
          <w:b/>
          <w:sz w:val="14"/>
        </w:rPr>
        <w:t>RESTRICCIONES A LOS DERECHOS FUNDAMENTALES. ELEMENTOS QUE EL JUEZ CONSTITUCIONAL DEBE TOMAR EN CUENTA PARA CONSIDERARLAS VÁLIDAS.</w:t>
      </w:r>
      <w:r w:rsidRPr="00034B44">
        <w:rPr>
          <w:rFonts w:ascii="Palatino Linotype" w:hAnsi="Palatino Linotype"/>
          <w:sz w:val="14"/>
        </w:rPr>
        <w:t xml:space="preserve"> Ningún derecho fundamental es absoluto y en esa medida todos admiten restricciones. Sin embargo, la regulación de dichas restricciones no puede ser arbitraria. Para que las medidas emitidas por el legislador ordinario con el propósito de restringir los derechos fundamentales sean válidas, deben satisfacer al menos los siguientes requisitos: a) ser admisibles dentro del ámbito constitucional, esto es, el legislador ordinario solo puede restringir o suspender el ejercicio de las garantizas individuales con objetivos que puedan enmarcarse dentro de las previsiones de la Carta Magna; b) ser necesarias para asegurar la obtención de los fines que fundamentan la restricción constitucional, es decir, no basta que la restricción sea en términos amplios útil para la obtención de esos objetivos, sino que debe ser la idónea para su realización,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persecución de un objetivo constitucional no puede hacerse a costa de una afectación innecesaria o desmedida a otros bienes y derechos constitucionalmente protegidos. Así́, el juzgador debe determinar en cada caso si la restricción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distinción legislativa se encuentra dentro de las opciones de tratamiento que pueden considerarse proporcionales. De igual manera, las restricciones deberán estar en consonancia con la ley, incluidas las normas internacionales de derechos humanos, y ser compatibles con la naturaleza de los derechos amparados por la Constitución, en aras de la consecución de los objetivos legítimos perseguidos, y ser estrictamente necesarias para promover el bienestar general en una sociedad democrática. </w:t>
      </w:r>
    </w:p>
    <w:p w14:paraId="1D500B0D" w14:textId="77777777" w:rsidR="00422718" w:rsidRPr="00034B44" w:rsidRDefault="00422718" w:rsidP="004D38F2">
      <w:pPr>
        <w:pStyle w:val="Textonotapie"/>
        <w:jc w:val="both"/>
        <w:rPr>
          <w:rFonts w:ascii="Palatino Linotype" w:hAnsi="Palatino Linotype"/>
          <w:sz w:val="14"/>
        </w:rPr>
      </w:pPr>
      <w:r w:rsidRPr="00034B44">
        <w:rPr>
          <w:rFonts w:ascii="Palatino Linotype" w:hAnsi="Palatino Linotype"/>
          <w:sz w:val="14"/>
        </w:rPr>
        <w:t>1a</w:t>
      </w:r>
      <w:proofErr w:type="gramStart"/>
      <w:r w:rsidRPr="00034B44">
        <w:rPr>
          <w:rFonts w:ascii="Palatino Linotype" w:hAnsi="Palatino Linotype"/>
          <w:sz w:val="14"/>
        </w:rPr>
        <w:t>./</w:t>
      </w:r>
      <w:proofErr w:type="gramEnd"/>
      <w:r w:rsidRPr="00034B44">
        <w:rPr>
          <w:rFonts w:ascii="Palatino Linotype" w:hAnsi="Palatino Linotype"/>
          <w:sz w:val="14"/>
        </w:rPr>
        <w:t xml:space="preserve">J. 2/2012 (9a.). Primera Sala. Decima Época. Semanario Judicial de la Federación y su Gaceta. Libro V, Febrero de 2012, Pág. 533.  </w:t>
      </w:r>
    </w:p>
  </w:footnote>
  <w:footnote w:id="3">
    <w:p w14:paraId="22C4BE9A" w14:textId="77777777" w:rsidR="00422718" w:rsidRPr="00034B44" w:rsidRDefault="00422718" w:rsidP="004D38F2">
      <w:pPr>
        <w:pStyle w:val="Textonotapie"/>
        <w:jc w:val="both"/>
        <w:rPr>
          <w:rFonts w:ascii="Palatino Linotype" w:hAnsi="Palatino Linotype"/>
          <w:sz w:val="14"/>
          <w:lang w:val="es-ES"/>
        </w:rPr>
      </w:pPr>
      <w:r w:rsidRPr="00034B44">
        <w:rPr>
          <w:rStyle w:val="Refdenotaalpie"/>
          <w:rFonts w:ascii="Palatino Linotype" w:hAnsi="Palatino Linotype"/>
          <w:sz w:val="14"/>
        </w:rPr>
        <w:footnoteRef/>
      </w:r>
      <w:r w:rsidRPr="00034B44">
        <w:rPr>
          <w:rFonts w:ascii="Palatino Linotype" w:hAnsi="Palatino Linotype"/>
          <w:sz w:val="14"/>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034B44">
        <w:rPr>
          <w:rFonts w:ascii="Palatino Linotype" w:hAnsi="Palatino Linotype"/>
          <w:i/>
          <w:sz w:val="14"/>
        </w:rPr>
        <w:t>Marco jurídico interamericano sobre el derecho a la libertad de expresión</w:t>
      </w:r>
      <w:r w:rsidRPr="00034B44">
        <w:rPr>
          <w:rFonts w:ascii="Palatino Linotype" w:hAnsi="Palatino Linotype"/>
          <w:sz w:val="14"/>
        </w:rPr>
        <w:t xml:space="preserve">. Párr. 67. </w:t>
      </w:r>
    </w:p>
  </w:footnote>
  <w:footnote w:id="4">
    <w:p w14:paraId="70D0DB5B" w14:textId="77777777" w:rsidR="00422718" w:rsidRPr="00034B44" w:rsidRDefault="00422718" w:rsidP="004D38F2">
      <w:pPr>
        <w:pStyle w:val="Textonotapie"/>
        <w:jc w:val="both"/>
        <w:rPr>
          <w:rFonts w:ascii="Palatino Linotype" w:hAnsi="Palatino Linotype"/>
          <w:sz w:val="18"/>
          <w:lang w:val="es-ES"/>
        </w:rPr>
      </w:pPr>
      <w:r w:rsidRPr="00034B44">
        <w:rPr>
          <w:rStyle w:val="Refdenotaalpie"/>
          <w:rFonts w:ascii="Palatino Linotype" w:hAnsi="Palatino Linotype"/>
        </w:rPr>
        <w:footnoteRef/>
      </w:r>
      <w:r w:rsidRPr="00034B44">
        <w:rPr>
          <w:rFonts w:ascii="Palatino Linotype" w:hAnsi="Palatino Linotype"/>
          <w:sz w:val="18"/>
        </w:rPr>
        <w:t xml:space="preserve"> </w:t>
      </w:r>
      <w:r w:rsidRPr="00034B44">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177C21DB" w14:textId="77777777" w:rsidR="00422718" w:rsidRPr="00034B44" w:rsidRDefault="00422718" w:rsidP="004D38F2">
      <w:pPr>
        <w:pStyle w:val="Textonotapie"/>
        <w:jc w:val="both"/>
        <w:rPr>
          <w:rFonts w:ascii="Palatino Linotype" w:hAnsi="Palatino Linotype"/>
          <w:sz w:val="18"/>
          <w:lang w:val="es-ES"/>
        </w:rPr>
      </w:pPr>
      <w:r w:rsidRPr="00034B44">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102B8256" w14:textId="77777777" w:rsidR="00422718" w:rsidRPr="00034B44" w:rsidRDefault="00422718" w:rsidP="004D38F2">
      <w:pPr>
        <w:pStyle w:val="Textonotapie"/>
        <w:jc w:val="both"/>
        <w:rPr>
          <w:rFonts w:ascii="Palatino Linotype" w:hAnsi="Palatino Linotype"/>
          <w:sz w:val="18"/>
          <w:lang w:val="es-ES"/>
        </w:rPr>
      </w:pPr>
      <w:r w:rsidRPr="00034B44">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sidRPr="00034B44">
        <w:rPr>
          <w:rFonts w:ascii="Palatino Linotype" w:hAnsi="Palatino Linotype"/>
          <w:sz w:val="18"/>
          <w:lang w:val="es-ES"/>
        </w:rPr>
        <w:t>Pp</w:t>
      </w:r>
      <w:proofErr w:type="spellEnd"/>
      <w:r w:rsidRPr="00034B44">
        <w:rPr>
          <w:rFonts w:ascii="Palatino Linotype" w:hAnsi="Palatino Linotype"/>
          <w:sz w:val="18"/>
          <w:lang w:val="es-ES"/>
        </w:rPr>
        <w:t xml:space="preserve"> 1-19. </w:t>
      </w:r>
    </w:p>
  </w:footnote>
  <w:footnote w:id="5">
    <w:p w14:paraId="7033E46C" w14:textId="77777777" w:rsidR="00422718" w:rsidRPr="00034B44" w:rsidRDefault="00422718" w:rsidP="004D38F2">
      <w:pPr>
        <w:pStyle w:val="Textonotapie"/>
        <w:jc w:val="both"/>
        <w:rPr>
          <w:rFonts w:ascii="Palatino Linotype" w:hAnsi="Palatino Linotype"/>
          <w:sz w:val="18"/>
          <w:lang w:val="es-ES"/>
        </w:rPr>
      </w:pPr>
      <w:r w:rsidRPr="00034B44">
        <w:rPr>
          <w:rStyle w:val="Refdenotaalpie"/>
          <w:rFonts w:ascii="Palatino Linotype" w:hAnsi="Palatino Linotype"/>
        </w:rPr>
        <w:footnoteRef/>
      </w:r>
      <w:r w:rsidRPr="00034B44">
        <w:rPr>
          <w:rFonts w:ascii="Palatino Linotype" w:hAnsi="Palatino Linotype"/>
          <w:sz w:val="18"/>
        </w:rPr>
        <w:t xml:space="preserve"> </w:t>
      </w:r>
      <w:r w:rsidRPr="00034B44">
        <w:rPr>
          <w:rFonts w:ascii="Palatino Linotype" w:hAnsi="Palatino Linotype"/>
          <w:sz w:val="18"/>
          <w:lang w:val="es-ES"/>
        </w:rPr>
        <w:t xml:space="preserve">Tribunales Colegiados de Circuito. Novena Época. Semanario Judicial de la Federación y su Gaceta. Tomo III, marzo de 1996. </w:t>
      </w:r>
      <w:proofErr w:type="spellStart"/>
      <w:r w:rsidRPr="00034B44">
        <w:rPr>
          <w:rFonts w:ascii="Palatino Linotype" w:hAnsi="Palatino Linotype"/>
          <w:sz w:val="18"/>
          <w:lang w:val="es-ES"/>
        </w:rPr>
        <w:t>Pág</w:t>
      </w:r>
      <w:proofErr w:type="spellEnd"/>
      <w:r w:rsidRPr="00034B44">
        <w:rPr>
          <w:rFonts w:ascii="Palatino Linotype" w:hAnsi="Palatino Linotype"/>
          <w:sz w:val="18"/>
          <w:lang w:val="es-ES"/>
        </w:rPr>
        <w:t xml:space="preserve"> 769. Consultado en http://sjf.scjn.gob.mx/sjfsist/Documentos/Tesis/203/203143.pdf  el viernes 16 de junio de 2017.</w:t>
      </w:r>
    </w:p>
  </w:footnote>
  <w:footnote w:id="6">
    <w:p w14:paraId="11CEF282" w14:textId="77777777" w:rsidR="00422718" w:rsidRPr="00034B44" w:rsidRDefault="00422718" w:rsidP="004D38F2">
      <w:pPr>
        <w:pStyle w:val="Textonotapie"/>
        <w:jc w:val="both"/>
        <w:rPr>
          <w:rFonts w:ascii="Palatino Linotype" w:hAnsi="Palatino Linotype"/>
          <w:sz w:val="18"/>
        </w:rPr>
      </w:pPr>
      <w:r w:rsidRPr="00034B44">
        <w:rPr>
          <w:rStyle w:val="Refdenotaalpie"/>
          <w:rFonts w:ascii="Palatino Linotype" w:hAnsi="Palatino Linotype"/>
        </w:rPr>
        <w:footnoteRef/>
      </w:r>
      <w:r w:rsidRPr="00034B44">
        <w:rPr>
          <w:rFonts w:ascii="Palatino Linotype" w:hAnsi="Palatino Linotype"/>
          <w:sz w:val="18"/>
        </w:rPr>
        <w:t xml:space="preserve"> Artículo 3. Para los efectos de la presente Ley se entenderá por:</w:t>
      </w:r>
    </w:p>
    <w:p w14:paraId="4B3A0EA9" w14:textId="77777777" w:rsidR="00422718" w:rsidRPr="00034B44" w:rsidRDefault="00422718" w:rsidP="004D38F2">
      <w:pPr>
        <w:pStyle w:val="Textonotapie"/>
        <w:jc w:val="both"/>
        <w:rPr>
          <w:rFonts w:ascii="Palatino Linotype" w:hAnsi="Palatino Linotype"/>
          <w:sz w:val="18"/>
        </w:rPr>
      </w:pPr>
      <w:r w:rsidRPr="00034B44">
        <w:rPr>
          <w:rFonts w:ascii="Palatino Linotype" w:hAnsi="Palatino Linotype"/>
          <w:sz w:val="18"/>
        </w:rPr>
        <w:t xml:space="preserve"> (…)</w:t>
      </w:r>
    </w:p>
    <w:p w14:paraId="0D515465" w14:textId="77777777" w:rsidR="00422718" w:rsidRPr="00034B44" w:rsidRDefault="00422718" w:rsidP="004D38F2">
      <w:pPr>
        <w:pStyle w:val="Textonotapie"/>
        <w:jc w:val="both"/>
        <w:rPr>
          <w:rFonts w:ascii="Palatino Linotype" w:hAnsi="Palatino Linotype"/>
          <w:sz w:val="18"/>
        </w:rPr>
      </w:pPr>
      <w:r w:rsidRPr="00034B44">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FE5A6E" w14:textId="33738EAE" w:rsidR="00422718" w:rsidRDefault="00422718" w:rsidP="005518EB">
    <w:pPr>
      <w:pStyle w:val="Encabezado"/>
      <w:tabs>
        <w:tab w:val="clear" w:pos="4252"/>
        <w:tab w:val="clear" w:pos="8504"/>
        <w:tab w:val="left" w:pos="6525"/>
        <w:tab w:val="left" w:pos="8460"/>
      </w:tabs>
    </w:pPr>
    <w:r>
      <w:tab/>
    </w:r>
    <w:r>
      <w:tab/>
    </w:r>
  </w:p>
  <w:p w14:paraId="64F5F23E" w14:textId="390690E5" w:rsidR="00422718" w:rsidRDefault="00422718">
    <w:pPr>
      <w:pStyle w:val="Encabezado"/>
    </w:pPr>
  </w:p>
  <w:tbl>
    <w:tblPr>
      <w:tblStyle w:val="Tablaconcuadrcula"/>
      <w:tblW w:w="6520"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6"/>
      <w:gridCol w:w="3964"/>
    </w:tblGrid>
    <w:tr w:rsidR="00422718" w:rsidRPr="00674A46" w14:paraId="07F2896E" w14:textId="77777777" w:rsidTr="000C1C1E">
      <w:trPr>
        <w:trHeight w:val="138"/>
        <w:jc w:val="right"/>
      </w:trPr>
      <w:tc>
        <w:tcPr>
          <w:tcW w:w="2556" w:type="dxa"/>
          <w:vAlign w:val="center"/>
        </w:tcPr>
        <w:p w14:paraId="4A5B1974" w14:textId="267F0F42" w:rsidR="00422718" w:rsidRPr="00674A46" w:rsidRDefault="00422718" w:rsidP="000C1C1E">
          <w:pPr>
            <w:ind w:right="34"/>
            <w:rPr>
              <w:rFonts w:ascii="Palatino Linotype" w:hAnsi="Palatino Linotype"/>
              <w:b/>
              <w:sz w:val="22"/>
              <w:szCs w:val="22"/>
            </w:rPr>
          </w:pPr>
          <w:r>
            <w:rPr>
              <w:rFonts w:ascii="Palatino Linotype" w:hAnsi="Palatino Linotype"/>
              <w:b/>
              <w:sz w:val="22"/>
              <w:szCs w:val="22"/>
            </w:rPr>
            <w:t>Recurso d</w:t>
          </w:r>
          <w:r w:rsidRPr="00674A46">
            <w:rPr>
              <w:rFonts w:ascii="Palatino Linotype" w:hAnsi="Palatino Linotype"/>
              <w:b/>
              <w:sz w:val="22"/>
              <w:szCs w:val="22"/>
            </w:rPr>
            <w:t>e Revisión:</w:t>
          </w:r>
        </w:p>
      </w:tc>
      <w:tc>
        <w:tcPr>
          <w:tcW w:w="3964" w:type="dxa"/>
          <w:vAlign w:val="center"/>
        </w:tcPr>
        <w:p w14:paraId="3A05B4B6" w14:textId="5EED861B" w:rsidR="00422718" w:rsidRPr="00674A46" w:rsidRDefault="007A00B2" w:rsidP="005518EB">
          <w:pPr>
            <w:pStyle w:val="Encabezado"/>
            <w:rPr>
              <w:rFonts w:ascii="Palatino Linotype" w:hAnsi="Palatino Linotype"/>
              <w:b/>
              <w:sz w:val="22"/>
              <w:szCs w:val="22"/>
            </w:rPr>
          </w:pPr>
          <w:r>
            <w:rPr>
              <w:rFonts w:ascii="Palatino Linotype" w:hAnsi="Palatino Linotype" w:cs="Arial"/>
              <w:b/>
              <w:bCs/>
              <w:sz w:val="22"/>
              <w:szCs w:val="22"/>
              <w:lang w:eastAsia="es-MX"/>
            </w:rPr>
            <w:t>07223/INFOEM/IP/RR/2019</w:t>
          </w:r>
          <w:r w:rsidR="00422718">
            <w:rPr>
              <w:rFonts w:ascii="Palatino Linotype" w:hAnsi="Palatino Linotype" w:cs="Arial"/>
              <w:b/>
              <w:bCs/>
              <w:sz w:val="22"/>
              <w:szCs w:val="22"/>
              <w:lang w:eastAsia="es-MX"/>
            </w:rPr>
            <w:t xml:space="preserve"> y acumulados.</w:t>
          </w:r>
        </w:p>
      </w:tc>
    </w:tr>
    <w:tr w:rsidR="00422718" w:rsidRPr="00674A46" w14:paraId="1B5D8690" w14:textId="77777777" w:rsidTr="000C1C1E">
      <w:trPr>
        <w:trHeight w:val="233"/>
        <w:jc w:val="right"/>
      </w:trPr>
      <w:tc>
        <w:tcPr>
          <w:tcW w:w="2556" w:type="dxa"/>
          <w:vAlign w:val="center"/>
        </w:tcPr>
        <w:p w14:paraId="3903F2C6" w14:textId="0AB19AD8" w:rsidR="00422718" w:rsidRPr="00674A46" w:rsidRDefault="00422718" w:rsidP="000C1C1E">
          <w:pPr>
            <w:ind w:right="34"/>
            <w:rPr>
              <w:rFonts w:ascii="Palatino Linotype" w:hAnsi="Palatino Linotype"/>
              <w:b/>
              <w:sz w:val="22"/>
              <w:szCs w:val="22"/>
            </w:rPr>
          </w:pPr>
          <w:r w:rsidRPr="00674A46">
            <w:rPr>
              <w:rFonts w:ascii="Palatino Linotype" w:hAnsi="Palatino Linotype"/>
              <w:b/>
              <w:sz w:val="22"/>
              <w:szCs w:val="22"/>
            </w:rPr>
            <w:t>Sujeto Obligado:</w:t>
          </w:r>
        </w:p>
      </w:tc>
      <w:tc>
        <w:tcPr>
          <w:tcW w:w="3964" w:type="dxa"/>
          <w:vAlign w:val="center"/>
        </w:tcPr>
        <w:p w14:paraId="03C799A2" w14:textId="28DBA74E" w:rsidR="00422718" w:rsidRPr="00B75F20" w:rsidRDefault="00422718" w:rsidP="006073E1">
          <w:pPr>
            <w:pStyle w:val="Encabezado"/>
            <w:rPr>
              <w:rFonts w:ascii="Palatino Linotype" w:hAnsi="Palatino Linotype"/>
              <w:b/>
              <w:sz w:val="22"/>
              <w:szCs w:val="22"/>
            </w:rPr>
          </w:pPr>
          <w:r w:rsidRPr="005518EB">
            <w:rPr>
              <w:rFonts w:ascii="Palatino Linotype" w:hAnsi="Palatino Linotype"/>
              <w:b/>
              <w:bCs/>
              <w:color w:val="000000"/>
              <w:sz w:val="22"/>
              <w:szCs w:val="22"/>
            </w:rPr>
            <w:t>Ayuntamiento de Coacalco de Berriozábal</w:t>
          </w:r>
        </w:p>
      </w:tc>
    </w:tr>
    <w:tr w:rsidR="00422718" w:rsidRPr="00674A46" w14:paraId="095EB01B" w14:textId="77777777" w:rsidTr="000C1C1E">
      <w:trPr>
        <w:trHeight w:val="321"/>
        <w:jc w:val="right"/>
      </w:trPr>
      <w:tc>
        <w:tcPr>
          <w:tcW w:w="2556" w:type="dxa"/>
          <w:vAlign w:val="center"/>
        </w:tcPr>
        <w:p w14:paraId="6E000A51" w14:textId="33AFA024" w:rsidR="00422718" w:rsidRPr="00674A46" w:rsidRDefault="00422718" w:rsidP="000C1C1E">
          <w:pPr>
            <w:ind w:right="34"/>
            <w:rPr>
              <w:rFonts w:ascii="Palatino Linotype" w:hAnsi="Palatino Linotype"/>
              <w:b/>
              <w:sz w:val="22"/>
              <w:szCs w:val="22"/>
            </w:rPr>
          </w:pPr>
          <w:r w:rsidRPr="00674A46">
            <w:rPr>
              <w:rFonts w:ascii="Palatino Linotype" w:hAnsi="Palatino Linotype"/>
              <w:b/>
              <w:sz w:val="22"/>
              <w:szCs w:val="22"/>
            </w:rPr>
            <w:t>Comisionado Ponente:</w:t>
          </w:r>
        </w:p>
      </w:tc>
      <w:tc>
        <w:tcPr>
          <w:tcW w:w="3964" w:type="dxa"/>
          <w:vAlign w:val="center"/>
        </w:tcPr>
        <w:p w14:paraId="07560085" w14:textId="1D387636" w:rsidR="00422718" w:rsidRPr="00674A46" w:rsidRDefault="00422718" w:rsidP="00352D74">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096C1B8" w14:textId="77777777" w:rsidR="00422718" w:rsidRDefault="00422718" w:rsidP="00472C41">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D4FEF" w14:textId="77777777" w:rsidR="00422718" w:rsidRDefault="00422718" w:rsidP="00472C41">
    <w:pPr>
      <w:pStyle w:val="Encabezado"/>
      <w:tabs>
        <w:tab w:val="clear" w:pos="4252"/>
        <w:tab w:val="clear" w:pos="8504"/>
        <w:tab w:val="left" w:pos="3103"/>
      </w:tabs>
    </w:pPr>
    <w:r>
      <w:tab/>
    </w:r>
  </w:p>
  <w:tbl>
    <w:tblPr>
      <w:tblStyle w:val="Tablaconcuadrcula"/>
      <w:tblW w:w="6242" w:type="dxa"/>
      <w:tblInd w:w="26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6"/>
      <w:gridCol w:w="3686"/>
    </w:tblGrid>
    <w:tr w:rsidR="00422718" w:rsidRPr="00674A46" w14:paraId="0A3256F2" w14:textId="77777777" w:rsidTr="007B32C0">
      <w:trPr>
        <w:trHeight w:val="138"/>
      </w:trPr>
      <w:tc>
        <w:tcPr>
          <w:tcW w:w="2556" w:type="dxa"/>
          <w:vAlign w:val="center"/>
        </w:tcPr>
        <w:p w14:paraId="3D80769D" w14:textId="0843A291" w:rsidR="00422718" w:rsidRPr="00674A46" w:rsidRDefault="00422718" w:rsidP="0095468B">
          <w:pPr>
            <w:rPr>
              <w:rFonts w:ascii="Palatino Linotype" w:hAnsi="Palatino Linotype"/>
              <w:b/>
              <w:sz w:val="22"/>
              <w:szCs w:val="22"/>
            </w:rPr>
          </w:pPr>
          <w:r>
            <w:rPr>
              <w:rFonts w:ascii="Palatino Linotype" w:hAnsi="Palatino Linotype"/>
              <w:b/>
              <w:sz w:val="22"/>
              <w:szCs w:val="22"/>
            </w:rPr>
            <w:t xml:space="preserve"> Recurso de Revisión:</w:t>
          </w:r>
        </w:p>
      </w:tc>
      <w:tc>
        <w:tcPr>
          <w:tcW w:w="3686" w:type="dxa"/>
          <w:vAlign w:val="center"/>
        </w:tcPr>
        <w:p w14:paraId="0453495E" w14:textId="4714AC86" w:rsidR="00422718" w:rsidRPr="000D1606" w:rsidRDefault="00422718" w:rsidP="000813F6">
          <w:pPr>
            <w:pStyle w:val="Encabezado"/>
            <w:rPr>
              <w:rFonts w:ascii="Palatino Linotype" w:hAnsi="Palatino Linotype" w:cs="Arial"/>
              <w:b/>
              <w:bCs/>
              <w:sz w:val="22"/>
              <w:szCs w:val="22"/>
              <w:lang w:eastAsia="es-MX"/>
            </w:rPr>
          </w:pPr>
          <w:r>
            <w:rPr>
              <w:rFonts w:ascii="Palatino Linotype" w:hAnsi="Palatino Linotype" w:cs="Arial"/>
              <w:b/>
              <w:bCs/>
              <w:sz w:val="22"/>
              <w:szCs w:val="22"/>
              <w:lang w:eastAsia="es-MX"/>
            </w:rPr>
            <w:t>07223/INFOEM/IP/RR/2019 y acumulados.</w:t>
          </w:r>
        </w:p>
      </w:tc>
    </w:tr>
    <w:tr w:rsidR="00422718" w:rsidRPr="00B75F20" w14:paraId="128C8B3C" w14:textId="77777777" w:rsidTr="007B32C0">
      <w:trPr>
        <w:trHeight w:val="233"/>
      </w:trPr>
      <w:tc>
        <w:tcPr>
          <w:tcW w:w="2556" w:type="dxa"/>
          <w:vAlign w:val="center"/>
        </w:tcPr>
        <w:p w14:paraId="483E3371" w14:textId="3089FF84" w:rsidR="00422718" w:rsidRPr="00674A46" w:rsidRDefault="00422718" w:rsidP="0095468B">
          <w:pPr>
            <w:rPr>
              <w:rFonts w:ascii="Palatino Linotype" w:hAnsi="Palatino Linotype"/>
              <w:b/>
              <w:sz w:val="22"/>
              <w:szCs w:val="22"/>
            </w:rPr>
          </w:pPr>
          <w:r>
            <w:rPr>
              <w:rFonts w:ascii="Palatino Linotype" w:hAnsi="Palatino Linotype"/>
              <w:b/>
              <w:sz w:val="22"/>
              <w:szCs w:val="22"/>
            </w:rPr>
            <w:t xml:space="preserve"> Recurrente: </w:t>
          </w:r>
        </w:p>
      </w:tc>
      <w:tc>
        <w:tcPr>
          <w:tcW w:w="3686" w:type="dxa"/>
        </w:tcPr>
        <w:p w14:paraId="1548525E" w14:textId="488C1E03" w:rsidR="00422718" w:rsidRPr="00B75F20" w:rsidRDefault="003E7006" w:rsidP="005518EB">
          <w:pPr>
            <w:pStyle w:val="Encabezado"/>
            <w:rPr>
              <w:rFonts w:ascii="Palatino Linotype" w:hAnsi="Palatino Linotype"/>
              <w:b/>
              <w:sz w:val="22"/>
              <w:szCs w:val="22"/>
            </w:rPr>
          </w:pPr>
          <w:r w:rsidRPr="003E7006">
            <w:rPr>
              <w:rFonts w:ascii="Palatino Linotype" w:hAnsi="Palatino Linotype"/>
              <w:b/>
              <w:sz w:val="22"/>
              <w:szCs w:val="22"/>
              <w:highlight w:val="black"/>
            </w:rPr>
            <w:t>-------------------------------</w:t>
          </w:r>
        </w:p>
      </w:tc>
    </w:tr>
    <w:tr w:rsidR="00422718" w:rsidRPr="00674A46" w14:paraId="41BE0704" w14:textId="77777777" w:rsidTr="007B32C0">
      <w:trPr>
        <w:trHeight w:val="321"/>
      </w:trPr>
      <w:tc>
        <w:tcPr>
          <w:tcW w:w="2556" w:type="dxa"/>
          <w:vAlign w:val="center"/>
        </w:tcPr>
        <w:p w14:paraId="34C64148" w14:textId="77E39B44" w:rsidR="00422718" w:rsidRPr="00674A46" w:rsidRDefault="00422718" w:rsidP="0095468B">
          <w:pPr>
            <w:rPr>
              <w:rFonts w:ascii="Palatino Linotype" w:hAnsi="Palatino Linotype"/>
              <w:b/>
              <w:sz w:val="22"/>
              <w:szCs w:val="22"/>
            </w:rPr>
          </w:pPr>
          <w:r>
            <w:rPr>
              <w:rFonts w:ascii="Palatino Linotype" w:hAnsi="Palatino Linotype"/>
              <w:b/>
              <w:sz w:val="22"/>
              <w:szCs w:val="22"/>
            </w:rPr>
            <w:t xml:space="preserve"> Sujeto Obligado: </w:t>
          </w:r>
        </w:p>
      </w:tc>
      <w:tc>
        <w:tcPr>
          <w:tcW w:w="3686" w:type="dxa"/>
          <w:vAlign w:val="center"/>
        </w:tcPr>
        <w:p w14:paraId="34C341BF" w14:textId="124241C8" w:rsidR="00422718" w:rsidRPr="00674A46" w:rsidRDefault="00422718" w:rsidP="00D336DB">
          <w:pPr>
            <w:pStyle w:val="Encabezado"/>
            <w:rPr>
              <w:rFonts w:ascii="Palatino Linotype" w:hAnsi="Palatino Linotype"/>
              <w:b/>
              <w:sz w:val="22"/>
              <w:szCs w:val="22"/>
            </w:rPr>
          </w:pPr>
          <w:r w:rsidRPr="005518EB">
            <w:rPr>
              <w:rFonts w:ascii="Palatino Linotype" w:hAnsi="Palatino Linotype"/>
              <w:b/>
              <w:bCs/>
              <w:color w:val="000000"/>
              <w:sz w:val="22"/>
              <w:szCs w:val="22"/>
            </w:rPr>
            <w:t>Ayuntamiento de Coacalco de Berriozábal</w:t>
          </w:r>
        </w:p>
      </w:tc>
    </w:tr>
    <w:tr w:rsidR="00422718" w:rsidRPr="00674A46" w14:paraId="0C8B6193" w14:textId="77777777" w:rsidTr="007B32C0">
      <w:trPr>
        <w:trHeight w:val="321"/>
      </w:trPr>
      <w:tc>
        <w:tcPr>
          <w:tcW w:w="2556" w:type="dxa"/>
          <w:vAlign w:val="center"/>
        </w:tcPr>
        <w:p w14:paraId="321FFAFF" w14:textId="6C6C7227" w:rsidR="00422718" w:rsidRPr="00674A46" w:rsidRDefault="00422718" w:rsidP="0095468B">
          <w:pPr>
            <w:rPr>
              <w:rFonts w:ascii="Palatino Linotype" w:hAnsi="Palatino Linotype"/>
              <w:b/>
              <w:sz w:val="22"/>
              <w:szCs w:val="22"/>
            </w:rPr>
          </w:pPr>
          <w:r>
            <w:rPr>
              <w:rFonts w:ascii="Palatino Linotype" w:hAnsi="Palatino Linotype"/>
              <w:b/>
              <w:sz w:val="22"/>
              <w:szCs w:val="22"/>
            </w:rPr>
            <w:t xml:space="preserve"> Comisionado Ponente: </w:t>
          </w:r>
        </w:p>
      </w:tc>
      <w:tc>
        <w:tcPr>
          <w:tcW w:w="3686" w:type="dxa"/>
          <w:vAlign w:val="center"/>
        </w:tcPr>
        <w:p w14:paraId="0FECDA9D" w14:textId="77777777" w:rsidR="00422718" w:rsidRPr="00674A46" w:rsidRDefault="00422718" w:rsidP="00472C41">
          <w:pPr>
            <w:pStyle w:val="Encabezado"/>
            <w:rPr>
              <w:rFonts w:ascii="Palatino Linotype" w:hAnsi="Palatino Linotype"/>
              <w:b/>
              <w:sz w:val="22"/>
              <w:szCs w:val="22"/>
            </w:rPr>
          </w:pPr>
          <w:r w:rsidRPr="00674A46">
            <w:rPr>
              <w:rFonts w:ascii="Palatino Linotype" w:hAnsi="Palatino Linotype"/>
              <w:b/>
              <w:sz w:val="22"/>
              <w:szCs w:val="22"/>
            </w:rPr>
            <w:t>José Guadalupe Luna Hernández</w:t>
          </w:r>
        </w:p>
      </w:tc>
    </w:tr>
  </w:tbl>
  <w:p w14:paraId="156B5574" w14:textId="3EA5B995" w:rsidR="00422718" w:rsidRDefault="00422718" w:rsidP="00472C41">
    <w:pPr>
      <w:pStyle w:val="Encabezado"/>
      <w:tabs>
        <w:tab w:val="clear" w:pos="4252"/>
        <w:tab w:val="clear" w:pos="8504"/>
        <w:tab w:val="left" w:pos="3103"/>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BB6CF2"/>
    <w:multiLevelType w:val="hybridMultilevel"/>
    <w:tmpl w:val="9028BEE4"/>
    <w:lvl w:ilvl="0" w:tplc="B100FBE2">
      <w:start w:val="1"/>
      <w:numFmt w:val="lowerLetter"/>
      <w:lvlText w:val="%1)"/>
      <w:lvlJc w:val="left"/>
      <w:pPr>
        <w:ind w:left="720" w:hanging="360"/>
      </w:pPr>
      <w:rPr>
        <w:rFonts w:eastAsiaTheme="majorEastAsia" w:cstheme="majorBidi" w:hint="default"/>
        <w:b/>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A3B263E"/>
    <w:multiLevelType w:val="hybridMultilevel"/>
    <w:tmpl w:val="9D4CDD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19542D4"/>
    <w:multiLevelType w:val="hybridMultilevel"/>
    <w:tmpl w:val="21F641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4414272"/>
    <w:multiLevelType w:val="hybridMultilevel"/>
    <w:tmpl w:val="F65CB7D4"/>
    <w:lvl w:ilvl="0" w:tplc="080A0001">
      <w:start w:val="1"/>
      <w:numFmt w:val="bullet"/>
      <w:lvlText w:val=""/>
      <w:lvlJc w:val="left"/>
      <w:pPr>
        <w:ind w:left="1298" w:hanging="360"/>
      </w:pPr>
      <w:rPr>
        <w:rFonts w:ascii="Symbol" w:hAnsi="Symbol" w:hint="default"/>
      </w:rPr>
    </w:lvl>
    <w:lvl w:ilvl="1" w:tplc="080A0003" w:tentative="1">
      <w:start w:val="1"/>
      <w:numFmt w:val="bullet"/>
      <w:lvlText w:val="o"/>
      <w:lvlJc w:val="left"/>
      <w:pPr>
        <w:ind w:left="2018" w:hanging="360"/>
      </w:pPr>
      <w:rPr>
        <w:rFonts w:ascii="Courier New" w:hAnsi="Courier New" w:cs="Courier New" w:hint="default"/>
      </w:rPr>
    </w:lvl>
    <w:lvl w:ilvl="2" w:tplc="080A0005" w:tentative="1">
      <w:start w:val="1"/>
      <w:numFmt w:val="bullet"/>
      <w:lvlText w:val=""/>
      <w:lvlJc w:val="left"/>
      <w:pPr>
        <w:ind w:left="2738" w:hanging="360"/>
      </w:pPr>
      <w:rPr>
        <w:rFonts w:ascii="Wingdings" w:hAnsi="Wingdings" w:hint="default"/>
      </w:rPr>
    </w:lvl>
    <w:lvl w:ilvl="3" w:tplc="080A0001" w:tentative="1">
      <w:start w:val="1"/>
      <w:numFmt w:val="bullet"/>
      <w:lvlText w:val=""/>
      <w:lvlJc w:val="left"/>
      <w:pPr>
        <w:ind w:left="3458" w:hanging="360"/>
      </w:pPr>
      <w:rPr>
        <w:rFonts w:ascii="Symbol" w:hAnsi="Symbol" w:hint="default"/>
      </w:rPr>
    </w:lvl>
    <w:lvl w:ilvl="4" w:tplc="080A0003" w:tentative="1">
      <w:start w:val="1"/>
      <w:numFmt w:val="bullet"/>
      <w:lvlText w:val="o"/>
      <w:lvlJc w:val="left"/>
      <w:pPr>
        <w:ind w:left="4178" w:hanging="360"/>
      </w:pPr>
      <w:rPr>
        <w:rFonts w:ascii="Courier New" w:hAnsi="Courier New" w:cs="Courier New" w:hint="default"/>
      </w:rPr>
    </w:lvl>
    <w:lvl w:ilvl="5" w:tplc="080A0005" w:tentative="1">
      <w:start w:val="1"/>
      <w:numFmt w:val="bullet"/>
      <w:lvlText w:val=""/>
      <w:lvlJc w:val="left"/>
      <w:pPr>
        <w:ind w:left="4898" w:hanging="360"/>
      </w:pPr>
      <w:rPr>
        <w:rFonts w:ascii="Wingdings" w:hAnsi="Wingdings" w:hint="default"/>
      </w:rPr>
    </w:lvl>
    <w:lvl w:ilvl="6" w:tplc="080A0001" w:tentative="1">
      <w:start w:val="1"/>
      <w:numFmt w:val="bullet"/>
      <w:lvlText w:val=""/>
      <w:lvlJc w:val="left"/>
      <w:pPr>
        <w:ind w:left="5618" w:hanging="360"/>
      </w:pPr>
      <w:rPr>
        <w:rFonts w:ascii="Symbol" w:hAnsi="Symbol" w:hint="default"/>
      </w:rPr>
    </w:lvl>
    <w:lvl w:ilvl="7" w:tplc="080A0003" w:tentative="1">
      <w:start w:val="1"/>
      <w:numFmt w:val="bullet"/>
      <w:lvlText w:val="o"/>
      <w:lvlJc w:val="left"/>
      <w:pPr>
        <w:ind w:left="6338" w:hanging="360"/>
      </w:pPr>
      <w:rPr>
        <w:rFonts w:ascii="Courier New" w:hAnsi="Courier New" w:cs="Courier New" w:hint="default"/>
      </w:rPr>
    </w:lvl>
    <w:lvl w:ilvl="8" w:tplc="080A0005" w:tentative="1">
      <w:start w:val="1"/>
      <w:numFmt w:val="bullet"/>
      <w:lvlText w:val=""/>
      <w:lvlJc w:val="left"/>
      <w:pPr>
        <w:ind w:left="7058" w:hanging="360"/>
      </w:pPr>
      <w:rPr>
        <w:rFonts w:ascii="Wingdings" w:hAnsi="Wingdings" w:hint="default"/>
      </w:rPr>
    </w:lvl>
  </w:abstractNum>
  <w:abstractNum w:abstractNumId="4">
    <w:nsid w:val="18CE4C82"/>
    <w:multiLevelType w:val="hybridMultilevel"/>
    <w:tmpl w:val="1A7EB71E"/>
    <w:lvl w:ilvl="0" w:tplc="A69082B6">
      <w:start w:val="1"/>
      <w:numFmt w:val="lowerLetter"/>
      <w:lvlText w:val="%1)"/>
      <w:lvlJc w:val="left"/>
      <w:pPr>
        <w:ind w:left="720" w:hanging="360"/>
      </w:pPr>
      <w:rPr>
        <w:rFonts w:eastAsiaTheme="majorEastAsia" w:cstheme="majorBidi"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C4F3F89"/>
    <w:multiLevelType w:val="hybridMultilevel"/>
    <w:tmpl w:val="507E6F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1D3B1576"/>
    <w:multiLevelType w:val="hybridMultilevel"/>
    <w:tmpl w:val="B1441B4C"/>
    <w:lvl w:ilvl="0" w:tplc="58063A80">
      <w:start w:val="1"/>
      <w:numFmt w:val="lowerLetter"/>
      <w:lvlText w:val="%1)"/>
      <w:lvlJc w:val="left"/>
      <w:pPr>
        <w:ind w:left="662" w:hanging="360"/>
      </w:pPr>
      <w:rPr>
        <w:rFonts w:hint="default"/>
        <w:b/>
        <w:i w:val="0"/>
      </w:rPr>
    </w:lvl>
    <w:lvl w:ilvl="1" w:tplc="080A0019" w:tentative="1">
      <w:start w:val="1"/>
      <w:numFmt w:val="lowerLetter"/>
      <w:lvlText w:val="%2."/>
      <w:lvlJc w:val="left"/>
      <w:pPr>
        <w:ind w:left="1382" w:hanging="360"/>
      </w:pPr>
    </w:lvl>
    <w:lvl w:ilvl="2" w:tplc="080A001B" w:tentative="1">
      <w:start w:val="1"/>
      <w:numFmt w:val="lowerRoman"/>
      <w:lvlText w:val="%3."/>
      <w:lvlJc w:val="right"/>
      <w:pPr>
        <w:ind w:left="2102" w:hanging="180"/>
      </w:pPr>
    </w:lvl>
    <w:lvl w:ilvl="3" w:tplc="080A000F" w:tentative="1">
      <w:start w:val="1"/>
      <w:numFmt w:val="decimal"/>
      <w:lvlText w:val="%4."/>
      <w:lvlJc w:val="left"/>
      <w:pPr>
        <w:ind w:left="2822" w:hanging="360"/>
      </w:pPr>
    </w:lvl>
    <w:lvl w:ilvl="4" w:tplc="080A0019" w:tentative="1">
      <w:start w:val="1"/>
      <w:numFmt w:val="lowerLetter"/>
      <w:lvlText w:val="%5."/>
      <w:lvlJc w:val="left"/>
      <w:pPr>
        <w:ind w:left="3542" w:hanging="360"/>
      </w:pPr>
    </w:lvl>
    <w:lvl w:ilvl="5" w:tplc="080A001B" w:tentative="1">
      <w:start w:val="1"/>
      <w:numFmt w:val="lowerRoman"/>
      <w:lvlText w:val="%6."/>
      <w:lvlJc w:val="right"/>
      <w:pPr>
        <w:ind w:left="4262" w:hanging="180"/>
      </w:pPr>
    </w:lvl>
    <w:lvl w:ilvl="6" w:tplc="080A000F" w:tentative="1">
      <w:start w:val="1"/>
      <w:numFmt w:val="decimal"/>
      <w:lvlText w:val="%7."/>
      <w:lvlJc w:val="left"/>
      <w:pPr>
        <w:ind w:left="4982" w:hanging="360"/>
      </w:pPr>
    </w:lvl>
    <w:lvl w:ilvl="7" w:tplc="080A0019" w:tentative="1">
      <w:start w:val="1"/>
      <w:numFmt w:val="lowerLetter"/>
      <w:lvlText w:val="%8."/>
      <w:lvlJc w:val="left"/>
      <w:pPr>
        <w:ind w:left="5702" w:hanging="360"/>
      </w:pPr>
    </w:lvl>
    <w:lvl w:ilvl="8" w:tplc="080A001B" w:tentative="1">
      <w:start w:val="1"/>
      <w:numFmt w:val="lowerRoman"/>
      <w:lvlText w:val="%9."/>
      <w:lvlJc w:val="right"/>
      <w:pPr>
        <w:ind w:left="6422" w:hanging="180"/>
      </w:pPr>
    </w:lvl>
  </w:abstractNum>
  <w:abstractNum w:abstractNumId="7">
    <w:nsid w:val="20F63E08"/>
    <w:multiLevelType w:val="hybridMultilevel"/>
    <w:tmpl w:val="18886A0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27470364"/>
    <w:multiLevelType w:val="hybridMultilevel"/>
    <w:tmpl w:val="312A9DA8"/>
    <w:lvl w:ilvl="0" w:tplc="E166A3E0">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9">
    <w:nsid w:val="27912435"/>
    <w:multiLevelType w:val="hybridMultilevel"/>
    <w:tmpl w:val="724C2840"/>
    <w:lvl w:ilvl="0" w:tplc="8884D7B8">
      <w:start w:val="1"/>
      <w:numFmt w:val="lowerLetter"/>
      <w:lvlText w:val="%1)"/>
      <w:lvlJc w:val="left"/>
      <w:pPr>
        <w:ind w:left="720" w:hanging="360"/>
      </w:pPr>
      <w:rPr>
        <w:rFonts w:ascii="Palatino Linotype" w:eastAsia="Calibri" w:hAnsi="Palatino Linotype" w:cs="Arial"/>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2D316392"/>
    <w:multiLevelType w:val="hybridMultilevel"/>
    <w:tmpl w:val="4A68F0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DBF2747"/>
    <w:multiLevelType w:val="hybridMultilevel"/>
    <w:tmpl w:val="7C54479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EA40F37"/>
    <w:multiLevelType w:val="hybridMultilevel"/>
    <w:tmpl w:val="D89C6D80"/>
    <w:lvl w:ilvl="0" w:tplc="080A0001">
      <w:start w:val="1"/>
      <w:numFmt w:val="bullet"/>
      <w:lvlText w:val=""/>
      <w:lvlJc w:val="left"/>
      <w:pPr>
        <w:ind w:left="1287" w:hanging="360"/>
      </w:pPr>
      <w:rPr>
        <w:rFonts w:ascii="Symbol" w:hAnsi="Symbol" w:hint="default"/>
      </w:rPr>
    </w:lvl>
    <w:lvl w:ilvl="1" w:tplc="080A0003">
      <w:start w:val="1"/>
      <w:numFmt w:val="bullet"/>
      <w:lvlText w:val="o"/>
      <w:lvlJc w:val="left"/>
      <w:pPr>
        <w:ind w:left="2007" w:hanging="360"/>
      </w:pPr>
      <w:rPr>
        <w:rFonts w:ascii="Courier New" w:hAnsi="Courier New" w:cs="Courier New" w:hint="default"/>
      </w:rPr>
    </w:lvl>
    <w:lvl w:ilvl="2" w:tplc="080A0005">
      <w:start w:val="1"/>
      <w:numFmt w:val="bullet"/>
      <w:lvlText w:val=""/>
      <w:lvlJc w:val="left"/>
      <w:pPr>
        <w:ind w:left="2727" w:hanging="360"/>
      </w:pPr>
      <w:rPr>
        <w:rFonts w:ascii="Wingdings" w:hAnsi="Wingdings" w:hint="default"/>
      </w:rPr>
    </w:lvl>
    <w:lvl w:ilvl="3" w:tplc="080A0001">
      <w:start w:val="1"/>
      <w:numFmt w:val="bullet"/>
      <w:lvlText w:val=""/>
      <w:lvlJc w:val="left"/>
      <w:pPr>
        <w:ind w:left="3447" w:hanging="360"/>
      </w:pPr>
      <w:rPr>
        <w:rFonts w:ascii="Symbol" w:hAnsi="Symbol" w:hint="default"/>
      </w:rPr>
    </w:lvl>
    <w:lvl w:ilvl="4" w:tplc="080A0003">
      <w:start w:val="1"/>
      <w:numFmt w:val="bullet"/>
      <w:lvlText w:val="o"/>
      <w:lvlJc w:val="left"/>
      <w:pPr>
        <w:ind w:left="4167" w:hanging="360"/>
      </w:pPr>
      <w:rPr>
        <w:rFonts w:ascii="Courier New" w:hAnsi="Courier New" w:cs="Courier New" w:hint="default"/>
      </w:rPr>
    </w:lvl>
    <w:lvl w:ilvl="5" w:tplc="080A0005">
      <w:start w:val="1"/>
      <w:numFmt w:val="bullet"/>
      <w:lvlText w:val=""/>
      <w:lvlJc w:val="left"/>
      <w:pPr>
        <w:ind w:left="4887" w:hanging="360"/>
      </w:pPr>
      <w:rPr>
        <w:rFonts w:ascii="Wingdings" w:hAnsi="Wingdings" w:hint="default"/>
      </w:rPr>
    </w:lvl>
    <w:lvl w:ilvl="6" w:tplc="080A0001">
      <w:start w:val="1"/>
      <w:numFmt w:val="bullet"/>
      <w:lvlText w:val=""/>
      <w:lvlJc w:val="left"/>
      <w:pPr>
        <w:ind w:left="5607" w:hanging="360"/>
      </w:pPr>
      <w:rPr>
        <w:rFonts w:ascii="Symbol" w:hAnsi="Symbol" w:hint="default"/>
      </w:rPr>
    </w:lvl>
    <w:lvl w:ilvl="7" w:tplc="080A0003">
      <w:start w:val="1"/>
      <w:numFmt w:val="bullet"/>
      <w:lvlText w:val="o"/>
      <w:lvlJc w:val="left"/>
      <w:pPr>
        <w:ind w:left="6327" w:hanging="360"/>
      </w:pPr>
      <w:rPr>
        <w:rFonts w:ascii="Courier New" w:hAnsi="Courier New" w:cs="Courier New" w:hint="default"/>
      </w:rPr>
    </w:lvl>
    <w:lvl w:ilvl="8" w:tplc="080A0005">
      <w:start w:val="1"/>
      <w:numFmt w:val="bullet"/>
      <w:lvlText w:val=""/>
      <w:lvlJc w:val="left"/>
      <w:pPr>
        <w:ind w:left="7047" w:hanging="360"/>
      </w:pPr>
      <w:rPr>
        <w:rFonts w:ascii="Wingdings" w:hAnsi="Wingdings" w:hint="default"/>
      </w:rPr>
    </w:lvl>
  </w:abstractNum>
  <w:abstractNum w:abstractNumId="13">
    <w:nsid w:val="2FE80C9F"/>
    <w:multiLevelType w:val="hybridMultilevel"/>
    <w:tmpl w:val="D960CF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307C5457"/>
    <w:multiLevelType w:val="hybridMultilevel"/>
    <w:tmpl w:val="0262DCEA"/>
    <w:lvl w:ilvl="0" w:tplc="B6264EA6">
      <w:start w:val="1"/>
      <w:numFmt w:val="lowerLetter"/>
      <w:lvlText w:val="%1)"/>
      <w:lvlJc w:val="left"/>
      <w:pPr>
        <w:ind w:left="720" w:hanging="360"/>
      </w:pPr>
      <w:rPr>
        <w:rFonts w:eastAsiaTheme="majorEastAsia" w:cstheme="majorBidi"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330F1125"/>
    <w:multiLevelType w:val="hybridMultilevel"/>
    <w:tmpl w:val="84EA9BE8"/>
    <w:lvl w:ilvl="0" w:tplc="7DCEBC4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34317490"/>
    <w:multiLevelType w:val="hybridMultilevel"/>
    <w:tmpl w:val="BFF4718C"/>
    <w:lvl w:ilvl="0" w:tplc="92BE0B36">
      <w:start w:val="1"/>
      <w:numFmt w:val="decimal"/>
      <w:lvlText w:val="%1."/>
      <w:lvlJc w:val="left"/>
      <w:pPr>
        <w:ind w:left="4330" w:hanging="360"/>
      </w:pPr>
      <w:rPr>
        <w:rFonts w:ascii="Palatino Linotype" w:hAnsi="Palatino Linotype" w:hint="default"/>
        <w:b/>
        <w:i w:val="0"/>
        <w:color w:val="auto"/>
        <w:sz w:val="24"/>
      </w:rPr>
    </w:lvl>
    <w:lvl w:ilvl="1" w:tplc="29E0ED44">
      <w:start w:val="1"/>
      <w:numFmt w:val="upperRoman"/>
      <w:lvlText w:val="%2."/>
      <w:lvlJc w:val="left"/>
      <w:pPr>
        <w:ind w:left="1800" w:hanging="720"/>
      </w:pPr>
      <w:rPr>
        <w:rFonts w:hint="default"/>
      </w:rPr>
    </w:lvl>
    <w:lvl w:ilvl="2" w:tplc="266AF9D4">
      <w:start w:val="1"/>
      <w:numFmt w:val="lowerLetter"/>
      <w:lvlText w:val="%3)"/>
      <w:lvlJc w:val="left"/>
      <w:pPr>
        <w:ind w:left="2820" w:hanging="840"/>
      </w:pPr>
      <w:rPr>
        <w:rFonts w:hint="default"/>
      </w:rPr>
    </w:lvl>
    <w:lvl w:ilvl="3" w:tplc="080A000F">
      <w:start w:val="1"/>
      <w:numFmt w:val="decimal"/>
      <w:lvlText w:val="%4."/>
      <w:lvlJc w:val="left"/>
      <w:pPr>
        <w:ind w:left="2880" w:hanging="360"/>
      </w:pPr>
    </w:lvl>
    <w:lvl w:ilvl="4" w:tplc="67B88E1E">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3C4B4BBA"/>
    <w:multiLevelType w:val="hybridMultilevel"/>
    <w:tmpl w:val="DA50DB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3E9E6DE7"/>
    <w:multiLevelType w:val="multilevel"/>
    <w:tmpl w:val="C73A9078"/>
    <w:lvl w:ilvl="0">
      <w:start w:val="5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nsid w:val="3EE52038"/>
    <w:multiLevelType w:val="multilevel"/>
    <w:tmpl w:val="697C47C0"/>
    <w:lvl w:ilvl="0">
      <w:start w:val="13"/>
      <w:numFmt w:val="decimal"/>
      <w:lvlText w:val="%1."/>
      <w:lvlJc w:val="left"/>
      <w:pPr>
        <w:ind w:left="720" w:hanging="360"/>
      </w:pPr>
      <w:rPr>
        <w:rFonts w:ascii="Palatino Linotype" w:hAnsi="Palatino Linotype" w:hint="default"/>
        <w:b/>
        <w:i w:val="0"/>
        <w:sz w:val="24"/>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180"/>
      </w:pPr>
      <w:rPr>
        <w:rFonts w:ascii="Symbol" w:hAnsi="Symbol"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nsid w:val="415E667D"/>
    <w:multiLevelType w:val="hybridMultilevel"/>
    <w:tmpl w:val="BBAC481C"/>
    <w:lvl w:ilvl="0" w:tplc="3C948BCC">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4786164C"/>
    <w:multiLevelType w:val="hybridMultilevel"/>
    <w:tmpl w:val="B1441B4C"/>
    <w:lvl w:ilvl="0" w:tplc="58063A80">
      <w:start w:val="1"/>
      <w:numFmt w:val="lowerLetter"/>
      <w:lvlText w:val="%1)"/>
      <w:lvlJc w:val="left"/>
      <w:pPr>
        <w:ind w:left="662" w:hanging="360"/>
      </w:pPr>
      <w:rPr>
        <w:rFonts w:hint="default"/>
        <w:b/>
        <w:i w:val="0"/>
      </w:rPr>
    </w:lvl>
    <w:lvl w:ilvl="1" w:tplc="080A0019" w:tentative="1">
      <w:start w:val="1"/>
      <w:numFmt w:val="lowerLetter"/>
      <w:lvlText w:val="%2."/>
      <w:lvlJc w:val="left"/>
      <w:pPr>
        <w:ind w:left="1382" w:hanging="360"/>
      </w:pPr>
    </w:lvl>
    <w:lvl w:ilvl="2" w:tplc="080A001B" w:tentative="1">
      <w:start w:val="1"/>
      <w:numFmt w:val="lowerRoman"/>
      <w:lvlText w:val="%3."/>
      <w:lvlJc w:val="right"/>
      <w:pPr>
        <w:ind w:left="2102" w:hanging="180"/>
      </w:pPr>
    </w:lvl>
    <w:lvl w:ilvl="3" w:tplc="080A000F" w:tentative="1">
      <w:start w:val="1"/>
      <w:numFmt w:val="decimal"/>
      <w:lvlText w:val="%4."/>
      <w:lvlJc w:val="left"/>
      <w:pPr>
        <w:ind w:left="2822" w:hanging="360"/>
      </w:pPr>
    </w:lvl>
    <w:lvl w:ilvl="4" w:tplc="080A0019" w:tentative="1">
      <w:start w:val="1"/>
      <w:numFmt w:val="lowerLetter"/>
      <w:lvlText w:val="%5."/>
      <w:lvlJc w:val="left"/>
      <w:pPr>
        <w:ind w:left="3542" w:hanging="360"/>
      </w:pPr>
    </w:lvl>
    <w:lvl w:ilvl="5" w:tplc="080A001B" w:tentative="1">
      <w:start w:val="1"/>
      <w:numFmt w:val="lowerRoman"/>
      <w:lvlText w:val="%6."/>
      <w:lvlJc w:val="right"/>
      <w:pPr>
        <w:ind w:left="4262" w:hanging="180"/>
      </w:pPr>
    </w:lvl>
    <w:lvl w:ilvl="6" w:tplc="080A000F" w:tentative="1">
      <w:start w:val="1"/>
      <w:numFmt w:val="decimal"/>
      <w:lvlText w:val="%7."/>
      <w:lvlJc w:val="left"/>
      <w:pPr>
        <w:ind w:left="4982" w:hanging="360"/>
      </w:pPr>
    </w:lvl>
    <w:lvl w:ilvl="7" w:tplc="080A0019" w:tentative="1">
      <w:start w:val="1"/>
      <w:numFmt w:val="lowerLetter"/>
      <w:lvlText w:val="%8."/>
      <w:lvlJc w:val="left"/>
      <w:pPr>
        <w:ind w:left="5702" w:hanging="360"/>
      </w:pPr>
    </w:lvl>
    <w:lvl w:ilvl="8" w:tplc="080A001B" w:tentative="1">
      <w:start w:val="1"/>
      <w:numFmt w:val="lowerRoman"/>
      <w:lvlText w:val="%9."/>
      <w:lvlJc w:val="right"/>
      <w:pPr>
        <w:ind w:left="6422" w:hanging="180"/>
      </w:pPr>
    </w:lvl>
  </w:abstractNum>
  <w:abstractNum w:abstractNumId="22">
    <w:nsid w:val="551B4474"/>
    <w:multiLevelType w:val="hybridMultilevel"/>
    <w:tmpl w:val="99E20044"/>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5ADD1377"/>
    <w:multiLevelType w:val="hybridMultilevel"/>
    <w:tmpl w:val="0262DCEA"/>
    <w:lvl w:ilvl="0" w:tplc="B6264EA6">
      <w:start w:val="1"/>
      <w:numFmt w:val="lowerLetter"/>
      <w:lvlText w:val="%1)"/>
      <w:lvlJc w:val="left"/>
      <w:pPr>
        <w:ind w:left="720" w:hanging="360"/>
      </w:pPr>
      <w:rPr>
        <w:rFonts w:eastAsiaTheme="majorEastAsia" w:cstheme="majorBidi"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5E06493A"/>
    <w:multiLevelType w:val="hybridMultilevel"/>
    <w:tmpl w:val="14463718"/>
    <w:lvl w:ilvl="0" w:tplc="080A0001">
      <w:start w:val="1"/>
      <w:numFmt w:val="bullet"/>
      <w:lvlText w:val=""/>
      <w:lvlJc w:val="left"/>
      <w:pPr>
        <w:ind w:left="578" w:hanging="360"/>
      </w:pPr>
      <w:rPr>
        <w:rFonts w:ascii="Symbol" w:hAnsi="Symbol" w:hint="default"/>
      </w:rPr>
    </w:lvl>
    <w:lvl w:ilvl="1" w:tplc="080A0003" w:tentative="1">
      <w:start w:val="1"/>
      <w:numFmt w:val="bullet"/>
      <w:lvlText w:val="o"/>
      <w:lvlJc w:val="left"/>
      <w:pPr>
        <w:ind w:left="1298" w:hanging="360"/>
      </w:pPr>
      <w:rPr>
        <w:rFonts w:ascii="Courier New" w:hAnsi="Courier New" w:cs="Courier New" w:hint="default"/>
      </w:rPr>
    </w:lvl>
    <w:lvl w:ilvl="2" w:tplc="080A0005" w:tentative="1">
      <w:start w:val="1"/>
      <w:numFmt w:val="bullet"/>
      <w:lvlText w:val=""/>
      <w:lvlJc w:val="left"/>
      <w:pPr>
        <w:ind w:left="2018" w:hanging="360"/>
      </w:pPr>
      <w:rPr>
        <w:rFonts w:ascii="Wingdings" w:hAnsi="Wingdings" w:hint="default"/>
      </w:rPr>
    </w:lvl>
    <w:lvl w:ilvl="3" w:tplc="080A0001" w:tentative="1">
      <w:start w:val="1"/>
      <w:numFmt w:val="bullet"/>
      <w:lvlText w:val=""/>
      <w:lvlJc w:val="left"/>
      <w:pPr>
        <w:ind w:left="2738" w:hanging="360"/>
      </w:pPr>
      <w:rPr>
        <w:rFonts w:ascii="Symbol" w:hAnsi="Symbol" w:hint="default"/>
      </w:rPr>
    </w:lvl>
    <w:lvl w:ilvl="4" w:tplc="080A0003" w:tentative="1">
      <w:start w:val="1"/>
      <w:numFmt w:val="bullet"/>
      <w:lvlText w:val="o"/>
      <w:lvlJc w:val="left"/>
      <w:pPr>
        <w:ind w:left="3458" w:hanging="360"/>
      </w:pPr>
      <w:rPr>
        <w:rFonts w:ascii="Courier New" w:hAnsi="Courier New" w:cs="Courier New" w:hint="default"/>
      </w:rPr>
    </w:lvl>
    <w:lvl w:ilvl="5" w:tplc="080A0005" w:tentative="1">
      <w:start w:val="1"/>
      <w:numFmt w:val="bullet"/>
      <w:lvlText w:val=""/>
      <w:lvlJc w:val="left"/>
      <w:pPr>
        <w:ind w:left="4178" w:hanging="360"/>
      </w:pPr>
      <w:rPr>
        <w:rFonts w:ascii="Wingdings" w:hAnsi="Wingdings" w:hint="default"/>
      </w:rPr>
    </w:lvl>
    <w:lvl w:ilvl="6" w:tplc="080A0001" w:tentative="1">
      <w:start w:val="1"/>
      <w:numFmt w:val="bullet"/>
      <w:lvlText w:val=""/>
      <w:lvlJc w:val="left"/>
      <w:pPr>
        <w:ind w:left="4898" w:hanging="360"/>
      </w:pPr>
      <w:rPr>
        <w:rFonts w:ascii="Symbol" w:hAnsi="Symbol" w:hint="default"/>
      </w:rPr>
    </w:lvl>
    <w:lvl w:ilvl="7" w:tplc="080A0003" w:tentative="1">
      <w:start w:val="1"/>
      <w:numFmt w:val="bullet"/>
      <w:lvlText w:val="o"/>
      <w:lvlJc w:val="left"/>
      <w:pPr>
        <w:ind w:left="5618" w:hanging="360"/>
      </w:pPr>
      <w:rPr>
        <w:rFonts w:ascii="Courier New" w:hAnsi="Courier New" w:cs="Courier New" w:hint="default"/>
      </w:rPr>
    </w:lvl>
    <w:lvl w:ilvl="8" w:tplc="080A0005" w:tentative="1">
      <w:start w:val="1"/>
      <w:numFmt w:val="bullet"/>
      <w:lvlText w:val=""/>
      <w:lvlJc w:val="left"/>
      <w:pPr>
        <w:ind w:left="6338" w:hanging="360"/>
      </w:pPr>
      <w:rPr>
        <w:rFonts w:ascii="Wingdings" w:hAnsi="Wingdings" w:hint="default"/>
      </w:rPr>
    </w:lvl>
  </w:abstractNum>
  <w:abstractNum w:abstractNumId="25">
    <w:nsid w:val="5E7A2F3F"/>
    <w:multiLevelType w:val="hybridMultilevel"/>
    <w:tmpl w:val="9DA2BD3C"/>
    <w:lvl w:ilvl="0" w:tplc="38906CDE">
      <w:start w:val="1"/>
      <w:numFmt w:val="lowerLetter"/>
      <w:lvlText w:val="%1)"/>
      <w:lvlJc w:val="left"/>
      <w:pPr>
        <w:ind w:left="928" w:hanging="360"/>
      </w:pPr>
      <w:rPr>
        <w:rFonts w:eastAsiaTheme="majorEastAsia" w:cstheme="majorBidi" w:hint="default"/>
        <w:b/>
        <w:color w:val="000000" w:themeColor="text1"/>
        <w:sz w:val="26"/>
      </w:rPr>
    </w:lvl>
    <w:lvl w:ilvl="1" w:tplc="080A0019" w:tentative="1">
      <w:start w:val="1"/>
      <w:numFmt w:val="lowerLetter"/>
      <w:lvlText w:val="%2."/>
      <w:lvlJc w:val="left"/>
      <w:pPr>
        <w:ind w:left="1648" w:hanging="360"/>
      </w:pPr>
    </w:lvl>
    <w:lvl w:ilvl="2" w:tplc="080A001B" w:tentative="1">
      <w:start w:val="1"/>
      <w:numFmt w:val="lowerRoman"/>
      <w:lvlText w:val="%3."/>
      <w:lvlJc w:val="right"/>
      <w:pPr>
        <w:ind w:left="2368" w:hanging="180"/>
      </w:pPr>
    </w:lvl>
    <w:lvl w:ilvl="3" w:tplc="080A000F" w:tentative="1">
      <w:start w:val="1"/>
      <w:numFmt w:val="decimal"/>
      <w:lvlText w:val="%4."/>
      <w:lvlJc w:val="left"/>
      <w:pPr>
        <w:ind w:left="3088" w:hanging="360"/>
      </w:pPr>
    </w:lvl>
    <w:lvl w:ilvl="4" w:tplc="080A0019" w:tentative="1">
      <w:start w:val="1"/>
      <w:numFmt w:val="lowerLetter"/>
      <w:lvlText w:val="%5."/>
      <w:lvlJc w:val="left"/>
      <w:pPr>
        <w:ind w:left="3808" w:hanging="360"/>
      </w:pPr>
    </w:lvl>
    <w:lvl w:ilvl="5" w:tplc="080A001B" w:tentative="1">
      <w:start w:val="1"/>
      <w:numFmt w:val="lowerRoman"/>
      <w:lvlText w:val="%6."/>
      <w:lvlJc w:val="right"/>
      <w:pPr>
        <w:ind w:left="4528" w:hanging="180"/>
      </w:pPr>
    </w:lvl>
    <w:lvl w:ilvl="6" w:tplc="080A000F" w:tentative="1">
      <w:start w:val="1"/>
      <w:numFmt w:val="decimal"/>
      <w:lvlText w:val="%7."/>
      <w:lvlJc w:val="left"/>
      <w:pPr>
        <w:ind w:left="5248" w:hanging="360"/>
      </w:pPr>
    </w:lvl>
    <w:lvl w:ilvl="7" w:tplc="080A0019" w:tentative="1">
      <w:start w:val="1"/>
      <w:numFmt w:val="lowerLetter"/>
      <w:lvlText w:val="%8."/>
      <w:lvlJc w:val="left"/>
      <w:pPr>
        <w:ind w:left="5968" w:hanging="360"/>
      </w:pPr>
    </w:lvl>
    <w:lvl w:ilvl="8" w:tplc="080A001B" w:tentative="1">
      <w:start w:val="1"/>
      <w:numFmt w:val="lowerRoman"/>
      <w:lvlText w:val="%9."/>
      <w:lvlJc w:val="right"/>
      <w:pPr>
        <w:ind w:left="6688" w:hanging="180"/>
      </w:pPr>
    </w:lvl>
  </w:abstractNum>
  <w:abstractNum w:abstractNumId="26">
    <w:nsid w:val="5F580327"/>
    <w:multiLevelType w:val="multilevel"/>
    <w:tmpl w:val="C73A9078"/>
    <w:lvl w:ilvl="0">
      <w:start w:val="51"/>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nsid w:val="5FCB39B1"/>
    <w:multiLevelType w:val="hybridMultilevel"/>
    <w:tmpl w:val="018A56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602B190D"/>
    <w:multiLevelType w:val="hybridMultilevel"/>
    <w:tmpl w:val="0DA02224"/>
    <w:lvl w:ilvl="0" w:tplc="29029D38">
      <w:start w:val="1"/>
      <w:numFmt w:val="decimal"/>
      <w:lvlText w:val="%1."/>
      <w:lvlJc w:val="left"/>
      <w:pPr>
        <w:ind w:left="720" w:hanging="360"/>
      </w:pPr>
      <w:rPr>
        <w:rFonts w:ascii="Palatino Linotype" w:hAnsi="Palatino Linotype" w:hint="default"/>
        <w:b/>
        <w:i w:val="0"/>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9">
    <w:nsid w:val="627A1FB0"/>
    <w:multiLevelType w:val="hybridMultilevel"/>
    <w:tmpl w:val="D750B2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645C778D"/>
    <w:multiLevelType w:val="hybridMultilevel"/>
    <w:tmpl w:val="88F46CDE"/>
    <w:lvl w:ilvl="0" w:tplc="36EEDAC6">
      <w:numFmt w:val="bullet"/>
      <w:lvlText w:val="-"/>
      <w:lvlJc w:val="left"/>
      <w:pPr>
        <w:ind w:left="720" w:hanging="360"/>
      </w:pPr>
      <w:rPr>
        <w:rFonts w:ascii="Palatino Linotype" w:eastAsiaTheme="minorEastAsia" w:hAnsi="Palatino Linotype"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66F215BE"/>
    <w:multiLevelType w:val="hybridMultilevel"/>
    <w:tmpl w:val="7EF4BB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6C0539D8"/>
    <w:multiLevelType w:val="hybridMultilevel"/>
    <w:tmpl w:val="9F8C4A4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6F875C07"/>
    <w:multiLevelType w:val="hybridMultilevel"/>
    <w:tmpl w:val="562AFADC"/>
    <w:lvl w:ilvl="0" w:tplc="D3EE106C">
      <w:start w:val="1"/>
      <w:numFmt w:val="decimal"/>
      <w:lvlText w:val="%1."/>
      <w:lvlJc w:val="left"/>
      <w:pPr>
        <w:ind w:left="2487" w:hanging="360"/>
      </w:pPr>
      <w:rPr>
        <w:rFonts w:ascii="Palatino Linotype" w:hAnsi="Palatino Linotype" w:hint="default"/>
        <w:b/>
        <w:i w:val="0"/>
        <w:color w:val="000000" w:themeColor="text1"/>
        <w:sz w:val="24"/>
      </w:rPr>
    </w:lvl>
    <w:lvl w:ilvl="1" w:tplc="080A0001">
      <w:start w:val="1"/>
      <w:numFmt w:val="bullet"/>
      <w:lvlText w:val=""/>
      <w:lvlJc w:val="left"/>
      <w:pPr>
        <w:ind w:left="1080" w:hanging="360"/>
      </w:pPr>
      <w:rPr>
        <w:rFonts w:ascii="Symbol" w:hAnsi="Symbol"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4">
    <w:nsid w:val="70F11379"/>
    <w:multiLevelType w:val="hybridMultilevel"/>
    <w:tmpl w:val="61E2A1F4"/>
    <w:lvl w:ilvl="0" w:tplc="6FF6BA0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72A86097"/>
    <w:multiLevelType w:val="hybridMultilevel"/>
    <w:tmpl w:val="CBAE49D4"/>
    <w:lvl w:ilvl="0" w:tplc="05E8EB2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73A25079"/>
    <w:multiLevelType w:val="hybridMultilevel"/>
    <w:tmpl w:val="01FC6AA6"/>
    <w:lvl w:ilvl="0" w:tplc="F5182E2A">
      <w:start w:val="41"/>
      <w:numFmt w:val="decimal"/>
      <w:lvlText w:val="%1."/>
      <w:lvlJc w:val="left"/>
      <w:pPr>
        <w:ind w:left="720" w:hanging="360"/>
      </w:pPr>
      <w:rPr>
        <w:rFonts w:eastAsia="Calibri" w:cs="Arial" w:hint="default"/>
        <w:b/>
        <w:i w:val="0"/>
        <w:color w:val="00000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7ADA4D23"/>
    <w:multiLevelType w:val="hybridMultilevel"/>
    <w:tmpl w:val="D59A05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7C4243FC"/>
    <w:multiLevelType w:val="hybridMultilevel"/>
    <w:tmpl w:val="CB30970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7CBA354C"/>
    <w:multiLevelType w:val="hybridMultilevel"/>
    <w:tmpl w:val="CCEC28A2"/>
    <w:lvl w:ilvl="0" w:tplc="080A0001">
      <w:start w:val="1"/>
      <w:numFmt w:val="bullet"/>
      <w:lvlText w:val=""/>
      <w:lvlJc w:val="left"/>
      <w:pPr>
        <w:ind w:left="2382" w:hanging="360"/>
      </w:pPr>
      <w:rPr>
        <w:rFonts w:ascii="Symbol" w:hAnsi="Symbol" w:hint="default"/>
      </w:rPr>
    </w:lvl>
    <w:lvl w:ilvl="1" w:tplc="080A0003">
      <w:start w:val="1"/>
      <w:numFmt w:val="bullet"/>
      <w:lvlText w:val="o"/>
      <w:lvlJc w:val="left"/>
      <w:pPr>
        <w:ind w:left="3102" w:hanging="360"/>
      </w:pPr>
      <w:rPr>
        <w:rFonts w:ascii="Courier New" w:hAnsi="Courier New" w:cs="Courier New" w:hint="default"/>
      </w:rPr>
    </w:lvl>
    <w:lvl w:ilvl="2" w:tplc="080A0005">
      <w:start w:val="1"/>
      <w:numFmt w:val="bullet"/>
      <w:lvlText w:val=""/>
      <w:lvlJc w:val="left"/>
      <w:pPr>
        <w:ind w:left="3822" w:hanging="360"/>
      </w:pPr>
      <w:rPr>
        <w:rFonts w:ascii="Wingdings" w:hAnsi="Wingdings" w:hint="default"/>
      </w:rPr>
    </w:lvl>
    <w:lvl w:ilvl="3" w:tplc="080A0001">
      <w:start w:val="1"/>
      <w:numFmt w:val="bullet"/>
      <w:lvlText w:val=""/>
      <w:lvlJc w:val="left"/>
      <w:pPr>
        <w:ind w:left="4542" w:hanging="360"/>
      </w:pPr>
      <w:rPr>
        <w:rFonts w:ascii="Symbol" w:hAnsi="Symbol" w:hint="default"/>
      </w:rPr>
    </w:lvl>
    <w:lvl w:ilvl="4" w:tplc="080A0003">
      <w:start w:val="1"/>
      <w:numFmt w:val="bullet"/>
      <w:lvlText w:val="o"/>
      <w:lvlJc w:val="left"/>
      <w:pPr>
        <w:ind w:left="5262" w:hanging="360"/>
      </w:pPr>
      <w:rPr>
        <w:rFonts w:ascii="Courier New" w:hAnsi="Courier New" w:cs="Courier New" w:hint="default"/>
      </w:rPr>
    </w:lvl>
    <w:lvl w:ilvl="5" w:tplc="080A0005">
      <w:start w:val="1"/>
      <w:numFmt w:val="bullet"/>
      <w:lvlText w:val=""/>
      <w:lvlJc w:val="left"/>
      <w:pPr>
        <w:ind w:left="5982" w:hanging="360"/>
      </w:pPr>
      <w:rPr>
        <w:rFonts w:ascii="Wingdings" w:hAnsi="Wingdings" w:hint="default"/>
      </w:rPr>
    </w:lvl>
    <w:lvl w:ilvl="6" w:tplc="080A0001">
      <w:start w:val="1"/>
      <w:numFmt w:val="bullet"/>
      <w:lvlText w:val=""/>
      <w:lvlJc w:val="left"/>
      <w:pPr>
        <w:ind w:left="6702" w:hanging="360"/>
      </w:pPr>
      <w:rPr>
        <w:rFonts w:ascii="Symbol" w:hAnsi="Symbol" w:hint="default"/>
      </w:rPr>
    </w:lvl>
    <w:lvl w:ilvl="7" w:tplc="080A0003">
      <w:start w:val="1"/>
      <w:numFmt w:val="bullet"/>
      <w:lvlText w:val="o"/>
      <w:lvlJc w:val="left"/>
      <w:pPr>
        <w:ind w:left="7422" w:hanging="360"/>
      </w:pPr>
      <w:rPr>
        <w:rFonts w:ascii="Courier New" w:hAnsi="Courier New" w:cs="Courier New" w:hint="default"/>
      </w:rPr>
    </w:lvl>
    <w:lvl w:ilvl="8" w:tplc="080A0005">
      <w:start w:val="1"/>
      <w:numFmt w:val="bullet"/>
      <w:lvlText w:val=""/>
      <w:lvlJc w:val="left"/>
      <w:pPr>
        <w:ind w:left="8142" w:hanging="360"/>
      </w:pPr>
      <w:rPr>
        <w:rFonts w:ascii="Wingdings" w:hAnsi="Wingdings" w:hint="default"/>
      </w:rPr>
    </w:lvl>
  </w:abstractNum>
  <w:abstractNum w:abstractNumId="40">
    <w:nsid w:val="7E054843"/>
    <w:multiLevelType w:val="hybridMultilevel"/>
    <w:tmpl w:val="7C54479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7E196450"/>
    <w:multiLevelType w:val="hybridMultilevel"/>
    <w:tmpl w:val="28A4AA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nsid w:val="7F2D4351"/>
    <w:multiLevelType w:val="hybridMultilevel"/>
    <w:tmpl w:val="938E53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3"/>
  </w:num>
  <w:num w:numId="2">
    <w:abstractNumId w:val="23"/>
  </w:num>
  <w:num w:numId="3">
    <w:abstractNumId w:val="21"/>
  </w:num>
  <w:num w:numId="4">
    <w:abstractNumId w:val="6"/>
  </w:num>
  <w:num w:numId="5">
    <w:abstractNumId w:val="0"/>
  </w:num>
  <w:num w:numId="6">
    <w:abstractNumId w:val="24"/>
  </w:num>
  <w:num w:numId="7">
    <w:abstractNumId w:val="22"/>
  </w:num>
  <w:num w:numId="8">
    <w:abstractNumId w:val="9"/>
  </w:num>
  <w:num w:numId="9">
    <w:abstractNumId w:val="36"/>
  </w:num>
  <w:num w:numId="10">
    <w:abstractNumId w:val="10"/>
  </w:num>
  <w:num w:numId="11">
    <w:abstractNumId w:val="39"/>
  </w:num>
  <w:num w:numId="12">
    <w:abstractNumId w:val="12"/>
  </w:num>
  <w:num w:numId="13">
    <w:abstractNumId w:val="16"/>
  </w:num>
  <w:num w:numId="14">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num>
  <w:num w:numId="16">
    <w:abstractNumId w:val="35"/>
  </w:num>
  <w:num w:numId="17">
    <w:abstractNumId w:val="20"/>
  </w:num>
  <w:num w:numId="18">
    <w:abstractNumId w:val="34"/>
  </w:num>
  <w:num w:numId="19">
    <w:abstractNumId w:val="15"/>
  </w:num>
  <w:num w:numId="20">
    <w:abstractNumId w:val="40"/>
  </w:num>
  <w:num w:numId="21">
    <w:abstractNumId w:val="17"/>
  </w:num>
  <w:num w:numId="22">
    <w:abstractNumId w:val="7"/>
  </w:num>
  <w:num w:numId="23">
    <w:abstractNumId w:val="2"/>
  </w:num>
  <w:num w:numId="24">
    <w:abstractNumId w:val="29"/>
  </w:num>
  <w:num w:numId="25">
    <w:abstractNumId w:val="1"/>
  </w:num>
  <w:num w:numId="26">
    <w:abstractNumId w:val="42"/>
  </w:num>
  <w:num w:numId="27">
    <w:abstractNumId w:val="13"/>
  </w:num>
  <w:num w:numId="28">
    <w:abstractNumId w:val="30"/>
  </w:num>
  <w:num w:numId="29">
    <w:abstractNumId w:val="38"/>
  </w:num>
  <w:num w:numId="30">
    <w:abstractNumId w:val="27"/>
  </w:num>
  <w:num w:numId="31">
    <w:abstractNumId w:val="3"/>
  </w:num>
  <w:num w:numId="32">
    <w:abstractNumId w:val="14"/>
  </w:num>
  <w:num w:numId="33">
    <w:abstractNumId w:val="4"/>
  </w:num>
  <w:num w:numId="34">
    <w:abstractNumId w:val="25"/>
  </w:num>
  <w:num w:numId="35">
    <w:abstractNumId w:val="19"/>
  </w:num>
  <w:num w:numId="36">
    <w:abstractNumId w:val="26"/>
  </w:num>
  <w:num w:numId="37">
    <w:abstractNumId w:val="18"/>
  </w:num>
  <w:num w:numId="38">
    <w:abstractNumId w:val="11"/>
  </w:num>
  <w:num w:numId="39">
    <w:abstractNumId w:val="31"/>
  </w:num>
  <w:num w:numId="40">
    <w:abstractNumId w:val="41"/>
  </w:num>
  <w:num w:numId="41">
    <w:abstractNumId w:val="5"/>
  </w:num>
  <w:num w:numId="42">
    <w:abstractNumId w:val="32"/>
  </w:num>
  <w:num w:numId="43">
    <w:abstractNumId w:val="3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310F"/>
    <w:rsid w:val="000033EC"/>
    <w:rsid w:val="00003A05"/>
    <w:rsid w:val="0000407F"/>
    <w:rsid w:val="000058E3"/>
    <w:rsid w:val="000060C4"/>
    <w:rsid w:val="00006F9D"/>
    <w:rsid w:val="0000724D"/>
    <w:rsid w:val="000072D1"/>
    <w:rsid w:val="00007E8A"/>
    <w:rsid w:val="0001106B"/>
    <w:rsid w:val="00012472"/>
    <w:rsid w:val="00016144"/>
    <w:rsid w:val="00017040"/>
    <w:rsid w:val="000203D3"/>
    <w:rsid w:val="000211F8"/>
    <w:rsid w:val="00027EA9"/>
    <w:rsid w:val="00027EF7"/>
    <w:rsid w:val="0003063D"/>
    <w:rsid w:val="000313DA"/>
    <w:rsid w:val="00031F10"/>
    <w:rsid w:val="000321E2"/>
    <w:rsid w:val="00032493"/>
    <w:rsid w:val="00033F39"/>
    <w:rsid w:val="000353D8"/>
    <w:rsid w:val="00040774"/>
    <w:rsid w:val="0004193F"/>
    <w:rsid w:val="00042380"/>
    <w:rsid w:val="0004246E"/>
    <w:rsid w:val="00042AFA"/>
    <w:rsid w:val="00043987"/>
    <w:rsid w:val="0004686A"/>
    <w:rsid w:val="000468E2"/>
    <w:rsid w:val="000514BA"/>
    <w:rsid w:val="0005237C"/>
    <w:rsid w:val="000525AF"/>
    <w:rsid w:val="00052A3C"/>
    <w:rsid w:val="00054A03"/>
    <w:rsid w:val="00056A79"/>
    <w:rsid w:val="000572EE"/>
    <w:rsid w:val="00061344"/>
    <w:rsid w:val="00062379"/>
    <w:rsid w:val="000631D9"/>
    <w:rsid w:val="000647ED"/>
    <w:rsid w:val="00064A37"/>
    <w:rsid w:val="00064B95"/>
    <w:rsid w:val="000652F1"/>
    <w:rsid w:val="0006548A"/>
    <w:rsid w:val="0006608C"/>
    <w:rsid w:val="00067F29"/>
    <w:rsid w:val="000700A4"/>
    <w:rsid w:val="0007471F"/>
    <w:rsid w:val="000775F3"/>
    <w:rsid w:val="000800AC"/>
    <w:rsid w:val="000813F6"/>
    <w:rsid w:val="00082D11"/>
    <w:rsid w:val="0008542A"/>
    <w:rsid w:val="00085BFA"/>
    <w:rsid w:val="0008694B"/>
    <w:rsid w:val="00090D6F"/>
    <w:rsid w:val="00090DBA"/>
    <w:rsid w:val="000920E5"/>
    <w:rsid w:val="00093E1E"/>
    <w:rsid w:val="00095A3E"/>
    <w:rsid w:val="0009781D"/>
    <w:rsid w:val="000A0887"/>
    <w:rsid w:val="000A0913"/>
    <w:rsid w:val="000A319B"/>
    <w:rsid w:val="000A3932"/>
    <w:rsid w:val="000A3F90"/>
    <w:rsid w:val="000A4932"/>
    <w:rsid w:val="000A4E44"/>
    <w:rsid w:val="000A5B93"/>
    <w:rsid w:val="000A6903"/>
    <w:rsid w:val="000A77ED"/>
    <w:rsid w:val="000B0370"/>
    <w:rsid w:val="000B15A6"/>
    <w:rsid w:val="000B19FB"/>
    <w:rsid w:val="000B38FC"/>
    <w:rsid w:val="000B5D79"/>
    <w:rsid w:val="000C0061"/>
    <w:rsid w:val="000C0663"/>
    <w:rsid w:val="000C10B9"/>
    <w:rsid w:val="000C1C1E"/>
    <w:rsid w:val="000C23C2"/>
    <w:rsid w:val="000C2E5F"/>
    <w:rsid w:val="000C372B"/>
    <w:rsid w:val="000C3861"/>
    <w:rsid w:val="000C4A8E"/>
    <w:rsid w:val="000C5A04"/>
    <w:rsid w:val="000C5ABF"/>
    <w:rsid w:val="000C5AF7"/>
    <w:rsid w:val="000D0855"/>
    <w:rsid w:val="000D09C0"/>
    <w:rsid w:val="000D1606"/>
    <w:rsid w:val="000D1E0F"/>
    <w:rsid w:val="000D20DD"/>
    <w:rsid w:val="000D3275"/>
    <w:rsid w:val="000D3775"/>
    <w:rsid w:val="000D5227"/>
    <w:rsid w:val="000D5A1D"/>
    <w:rsid w:val="000D61AC"/>
    <w:rsid w:val="000D7369"/>
    <w:rsid w:val="000D79A4"/>
    <w:rsid w:val="000D7A50"/>
    <w:rsid w:val="000E07DC"/>
    <w:rsid w:val="000E1E37"/>
    <w:rsid w:val="000E2665"/>
    <w:rsid w:val="000E58AD"/>
    <w:rsid w:val="000F0705"/>
    <w:rsid w:val="000F0CD8"/>
    <w:rsid w:val="000F2D8B"/>
    <w:rsid w:val="000F2EDD"/>
    <w:rsid w:val="000F37E2"/>
    <w:rsid w:val="00100DDD"/>
    <w:rsid w:val="00102447"/>
    <w:rsid w:val="00103888"/>
    <w:rsid w:val="00105CF9"/>
    <w:rsid w:val="00107499"/>
    <w:rsid w:val="00107557"/>
    <w:rsid w:val="00110A8E"/>
    <w:rsid w:val="0011167C"/>
    <w:rsid w:val="0011227C"/>
    <w:rsid w:val="001125C5"/>
    <w:rsid w:val="00112B02"/>
    <w:rsid w:val="00112FBF"/>
    <w:rsid w:val="00114A21"/>
    <w:rsid w:val="00115F0F"/>
    <w:rsid w:val="0012006D"/>
    <w:rsid w:val="001212F2"/>
    <w:rsid w:val="00121D5D"/>
    <w:rsid w:val="001253D1"/>
    <w:rsid w:val="00126619"/>
    <w:rsid w:val="001318D2"/>
    <w:rsid w:val="00132613"/>
    <w:rsid w:val="00132C06"/>
    <w:rsid w:val="001337C2"/>
    <w:rsid w:val="00133B79"/>
    <w:rsid w:val="00133CE5"/>
    <w:rsid w:val="00134946"/>
    <w:rsid w:val="00134B9C"/>
    <w:rsid w:val="001352E5"/>
    <w:rsid w:val="00137999"/>
    <w:rsid w:val="001407EE"/>
    <w:rsid w:val="00140D44"/>
    <w:rsid w:val="0014352A"/>
    <w:rsid w:val="001436BB"/>
    <w:rsid w:val="001459C8"/>
    <w:rsid w:val="00146EC3"/>
    <w:rsid w:val="00147864"/>
    <w:rsid w:val="0015165B"/>
    <w:rsid w:val="0015354C"/>
    <w:rsid w:val="00153833"/>
    <w:rsid w:val="0015466E"/>
    <w:rsid w:val="00154765"/>
    <w:rsid w:val="00154EF0"/>
    <w:rsid w:val="00155191"/>
    <w:rsid w:val="00155E24"/>
    <w:rsid w:val="00156A23"/>
    <w:rsid w:val="00157CD2"/>
    <w:rsid w:val="001631ED"/>
    <w:rsid w:val="001648EE"/>
    <w:rsid w:val="00164B65"/>
    <w:rsid w:val="0016518B"/>
    <w:rsid w:val="00166794"/>
    <w:rsid w:val="001734A2"/>
    <w:rsid w:val="00175CD0"/>
    <w:rsid w:val="00176CA6"/>
    <w:rsid w:val="001775DF"/>
    <w:rsid w:val="001831C5"/>
    <w:rsid w:val="00183907"/>
    <w:rsid w:val="00185071"/>
    <w:rsid w:val="00187763"/>
    <w:rsid w:val="00192E4B"/>
    <w:rsid w:val="00193AE9"/>
    <w:rsid w:val="00193C37"/>
    <w:rsid w:val="00195ADE"/>
    <w:rsid w:val="00196CF3"/>
    <w:rsid w:val="00197BA9"/>
    <w:rsid w:val="001A0571"/>
    <w:rsid w:val="001A12EE"/>
    <w:rsid w:val="001A138D"/>
    <w:rsid w:val="001A2857"/>
    <w:rsid w:val="001A2A89"/>
    <w:rsid w:val="001A44D1"/>
    <w:rsid w:val="001A5466"/>
    <w:rsid w:val="001A61E1"/>
    <w:rsid w:val="001A6A6D"/>
    <w:rsid w:val="001A6C1E"/>
    <w:rsid w:val="001B0F8D"/>
    <w:rsid w:val="001B1B20"/>
    <w:rsid w:val="001B3659"/>
    <w:rsid w:val="001B37CC"/>
    <w:rsid w:val="001B380C"/>
    <w:rsid w:val="001B53A0"/>
    <w:rsid w:val="001B5F70"/>
    <w:rsid w:val="001B7C0E"/>
    <w:rsid w:val="001C13B1"/>
    <w:rsid w:val="001C1C2A"/>
    <w:rsid w:val="001C1CDE"/>
    <w:rsid w:val="001C44C8"/>
    <w:rsid w:val="001C54A9"/>
    <w:rsid w:val="001C595F"/>
    <w:rsid w:val="001C6012"/>
    <w:rsid w:val="001C67B0"/>
    <w:rsid w:val="001C79FA"/>
    <w:rsid w:val="001D00FD"/>
    <w:rsid w:val="001D079B"/>
    <w:rsid w:val="001D07C9"/>
    <w:rsid w:val="001D088C"/>
    <w:rsid w:val="001D0E73"/>
    <w:rsid w:val="001D1324"/>
    <w:rsid w:val="001D1810"/>
    <w:rsid w:val="001D2FDE"/>
    <w:rsid w:val="001D3AB5"/>
    <w:rsid w:val="001D4D3A"/>
    <w:rsid w:val="001D5070"/>
    <w:rsid w:val="001D7E82"/>
    <w:rsid w:val="001E0AD2"/>
    <w:rsid w:val="001E3000"/>
    <w:rsid w:val="001E380D"/>
    <w:rsid w:val="001E3F91"/>
    <w:rsid w:val="001E4773"/>
    <w:rsid w:val="001E55B7"/>
    <w:rsid w:val="001E6822"/>
    <w:rsid w:val="001E69B4"/>
    <w:rsid w:val="001E74A5"/>
    <w:rsid w:val="001E7765"/>
    <w:rsid w:val="001E7871"/>
    <w:rsid w:val="001E7A48"/>
    <w:rsid w:val="001E7B9E"/>
    <w:rsid w:val="001F025B"/>
    <w:rsid w:val="001F1403"/>
    <w:rsid w:val="001F33E8"/>
    <w:rsid w:val="001F351E"/>
    <w:rsid w:val="001F40F9"/>
    <w:rsid w:val="001F7DE2"/>
    <w:rsid w:val="002007FF"/>
    <w:rsid w:val="002031F3"/>
    <w:rsid w:val="00205FB6"/>
    <w:rsid w:val="00210FAC"/>
    <w:rsid w:val="00211229"/>
    <w:rsid w:val="00212ABC"/>
    <w:rsid w:val="00212C9C"/>
    <w:rsid w:val="00213108"/>
    <w:rsid w:val="0021453E"/>
    <w:rsid w:val="0021475E"/>
    <w:rsid w:val="00214ACD"/>
    <w:rsid w:val="002151A5"/>
    <w:rsid w:val="002179AC"/>
    <w:rsid w:val="00220ADB"/>
    <w:rsid w:val="00220C2D"/>
    <w:rsid w:val="002217BA"/>
    <w:rsid w:val="00221EB7"/>
    <w:rsid w:val="00222C1C"/>
    <w:rsid w:val="00222E92"/>
    <w:rsid w:val="00223507"/>
    <w:rsid w:val="002269CC"/>
    <w:rsid w:val="0022734F"/>
    <w:rsid w:val="00230170"/>
    <w:rsid w:val="002305CF"/>
    <w:rsid w:val="002309A2"/>
    <w:rsid w:val="00232CC6"/>
    <w:rsid w:val="002342A9"/>
    <w:rsid w:val="002345FF"/>
    <w:rsid w:val="00235353"/>
    <w:rsid w:val="00236140"/>
    <w:rsid w:val="002363F1"/>
    <w:rsid w:val="00237611"/>
    <w:rsid w:val="00240396"/>
    <w:rsid w:val="0024139D"/>
    <w:rsid w:val="00242981"/>
    <w:rsid w:val="00244022"/>
    <w:rsid w:val="00244318"/>
    <w:rsid w:val="00244F8B"/>
    <w:rsid w:val="002458B8"/>
    <w:rsid w:val="00246E43"/>
    <w:rsid w:val="002522F4"/>
    <w:rsid w:val="00252B41"/>
    <w:rsid w:val="0025514B"/>
    <w:rsid w:val="0025524F"/>
    <w:rsid w:val="00255799"/>
    <w:rsid w:val="00255B21"/>
    <w:rsid w:val="002564AC"/>
    <w:rsid w:val="00257314"/>
    <w:rsid w:val="00260C1D"/>
    <w:rsid w:val="00261001"/>
    <w:rsid w:val="0026150E"/>
    <w:rsid w:val="00262A7D"/>
    <w:rsid w:val="00264CF7"/>
    <w:rsid w:val="00264D02"/>
    <w:rsid w:val="0026500D"/>
    <w:rsid w:val="00265CD7"/>
    <w:rsid w:val="002665BD"/>
    <w:rsid w:val="00270F45"/>
    <w:rsid w:val="00271B06"/>
    <w:rsid w:val="00273013"/>
    <w:rsid w:val="00273C37"/>
    <w:rsid w:val="0027430D"/>
    <w:rsid w:val="0027476B"/>
    <w:rsid w:val="002748F6"/>
    <w:rsid w:val="00275E8F"/>
    <w:rsid w:val="00277A35"/>
    <w:rsid w:val="00280994"/>
    <w:rsid w:val="00286AD1"/>
    <w:rsid w:val="002871EB"/>
    <w:rsid w:val="0029449D"/>
    <w:rsid w:val="002952D0"/>
    <w:rsid w:val="0029534C"/>
    <w:rsid w:val="002A35B6"/>
    <w:rsid w:val="002A3C1B"/>
    <w:rsid w:val="002A43F6"/>
    <w:rsid w:val="002B0014"/>
    <w:rsid w:val="002B085C"/>
    <w:rsid w:val="002B2A2E"/>
    <w:rsid w:val="002B2B22"/>
    <w:rsid w:val="002B2F59"/>
    <w:rsid w:val="002B378D"/>
    <w:rsid w:val="002B39AD"/>
    <w:rsid w:val="002B4D21"/>
    <w:rsid w:val="002B62AC"/>
    <w:rsid w:val="002B6755"/>
    <w:rsid w:val="002B7C77"/>
    <w:rsid w:val="002C0804"/>
    <w:rsid w:val="002C1100"/>
    <w:rsid w:val="002C2D44"/>
    <w:rsid w:val="002C4351"/>
    <w:rsid w:val="002C4715"/>
    <w:rsid w:val="002C4780"/>
    <w:rsid w:val="002C47ED"/>
    <w:rsid w:val="002C484A"/>
    <w:rsid w:val="002C4FB3"/>
    <w:rsid w:val="002C56FD"/>
    <w:rsid w:val="002C570D"/>
    <w:rsid w:val="002C6305"/>
    <w:rsid w:val="002C780A"/>
    <w:rsid w:val="002C7BE6"/>
    <w:rsid w:val="002D0CA7"/>
    <w:rsid w:val="002D10C8"/>
    <w:rsid w:val="002D1A38"/>
    <w:rsid w:val="002D2E16"/>
    <w:rsid w:val="002D35F3"/>
    <w:rsid w:val="002D373C"/>
    <w:rsid w:val="002D699F"/>
    <w:rsid w:val="002E118F"/>
    <w:rsid w:val="002E2080"/>
    <w:rsid w:val="002E2496"/>
    <w:rsid w:val="002E482C"/>
    <w:rsid w:val="002E6531"/>
    <w:rsid w:val="002E689B"/>
    <w:rsid w:val="002E74CE"/>
    <w:rsid w:val="002E7AD0"/>
    <w:rsid w:val="002F303C"/>
    <w:rsid w:val="002F3672"/>
    <w:rsid w:val="002F3B37"/>
    <w:rsid w:val="002F4D3F"/>
    <w:rsid w:val="002F4E71"/>
    <w:rsid w:val="002F6D19"/>
    <w:rsid w:val="002F72FA"/>
    <w:rsid w:val="003007E0"/>
    <w:rsid w:val="0030150B"/>
    <w:rsid w:val="00301B41"/>
    <w:rsid w:val="00301D47"/>
    <w:rsid w:val="003030B1"/>
    <w:rsid w:val="00303717"/>
    <w:rsid w:val="00303991"/>
    <w:rsid w:val="00304013"/>
    <w:rsid w:val="00304137"/>
    <w:rsid w:val="00305402"/>
    <w:rsid w:val="00305F6D"/>
    <w:rsid w:val="00306D03"/>
    <w:rsid w:val="00307227"/>
    <w:rsid w:val="003105D0"/>
    <w:rsid w:val="00310678"/>
    <w:rsid w:val="00310D66"/>
    <w:rsid w:val="003116A6"/>
    <w:rsid w:val="00315973"/>
    <w:rsid w:val="00316065"/>
    <w:rsid w:val="00317883"/>
    <w:rsid w:val="00317EFF"/>
    <w:rsid w:val="0032053F"/>
    <w:rsid w:val="003219E3"/>
    <w:rsid w:val="00321AA3"/>
    <w:rsid w:val="0032365B"/>
    <w:rsid w:val="00323895"/>
    <w:rsid w:val="003250F6"/>
    <w:rsid w:val="00327323"/>
    <w:rsid w:val="00327D79"/>
    <w:rsid w:val="00331992"/>
    <w:rsid w:val="003323D3"/>
    <w:rsid w:val="00333BE8"/>
    <w:rsid w:val="0033595B"/>
    <w:rsid w:val="00335BFE"/>
    <w:rsid w:val="0033608B"/>
    <w:rsid w:val="00337229"/>
    <w:rsid w:val="003375CD"/>
    <w:rsid w:val="003407D0"/>
    <w:rsid w:val="00340FE1"/>
    <w:rsid w:val="00345B79"/>
    <w:rsid w:val="00345D0F"/>
    <w:rsid w:val="00346885"/>
    <w:rsid w:val="003472B3"/>
    <w:rsid w:val="00347878"/>
    <w:rsid w:val="00347DC2"/>
    <w:rsid w:val="0035104F"/>
    <w:rsid w:val="00352D74"/>
    <w:rsid w:val="00355AEE"/>
    <w:rsid w:val="00355D3B"/>
    <w:rsid w:val="0036073F"/>
    <w:rsid w:val="003643B3"/>
    <w:rsid w:val="00366022"/>
    <w:rsid w:val="00370BB1"/>
    <w:rsid w:val="003721B2"/>
    <w:rsid w:val="003752C5"/>
    <w:rsid w:val="00376F41"/>
    <w:rsid w:val="00383C88"/>
    <w:rsid w:val="00383E66"/>
    <w:rsid w:val="00387872"/>
    <w:rsid w:val="00387DC9"/>
    <w:rsid w:val="0039193E"/>
    <w:rsid w:val="00391ADA"/>
    <w:rsid w:val="00392CDB"/>
    <w:rsid w:val="003930AC"/>
    <w:rsid w:val="00393580"/>
    <w:rsid w:val="0039380F"/>
    <w:rsid w:val="00393B71"/>
    <w:rsid w:val="00394095"/>
    <w:rsid w:val="003940F6"/>
    <w:rsid w:val="00394EE2"/>
    <w:rsid w:val="00395D7E"/>
    <w:rsid w:val="00396545"/>
    <w:rsid w:val="00396F71"/>
    <w:rsid w:val="00397EA0"/>
    <w:rsid w:val="003A2029"/>
    <w:rsid w:val="003A423A"/>
    <w:rsid w:val="003A5466"/>
    <w:rsid w:val="003A6417"/>
    <w:rsid w:val="003A65FE"/>
    <w:rsid w:val="003A6A5A"/>
    <w:rsid w:val="003A7221"/>
    <w:rsid w:val="003A7EAD"/>
    <w:rsid w:val="003B1B16"/>
    <w:rsid w:val="003B1DC1"/>
    <w:rsid w:val="003B286C"/>
    <w:rsid w:val="003B55AD"/>
    <w:rsid w:val="003B70DC"/>
    <w:rsid w:val="003B747A"/>
    <w:rsid w:val="003B7EC4"/>
    <w:rsid w:val="003C111B"/>
    <w:rsid w:val="003C1A6C"/>
    <w:rsid w:val="003C2344"/>
    <w:rsid w:val="003C2387"/>
    <w:rsid w:val="003C3A02"/>
    <w:rsid w:val="003C5164"/>
    <w:rsid w:val="003C5BD9"/>
    <w:rsid w:val="003C5D4F"/>
    <w:rsid w:val="003C7282"/>
    <w:rsid w:val="003D00D5"/>
    <w:rsid w:val="003D181D"/>
    <w:rsid w:val="003D20C4"/>
    <w:rsid w:val="003D2719"/>
    <w:rsid w:val="003D27B2"/>
    <w:rsid w:val="003D3073"/>
    <w:rsid w:val="003D46D0"/>
    <w:rsid w:val="003D48F5"/>
    <w:rsid w:val="003D5A38"/>
    <w:rsid w:val="003E03D3"/>
    <w:rsid w:val="003E2372"/>
    <w:rsid w:val="003E5785"/>
    <w:rsid w:val="003E6679"/>
    <w:rsid w:val="003E7006"/>
    <w:rsid w:val="003E712E"/>
    <w:rsid w:val="003E7F93"/>
    <w:rsid w:val="003F140F"/>
    <w:rsid w:val="003F15DB"/>
    <w:rsid w:val="003F186F"/>
    <w:rsid w:val="003F1FD5"/>
    <w:rsid w:val="003F22F2"/>
    <w:rsid w:val="003F2702"/>
    <w:rsid w:val="003F301B"/>
    <w:rsid w:val="003F320C"/>
    <w:rsid w:val="003F33D8"/>
    <w:rsid w:val="003F36A4"/>
    <w:rsid w:val="003F6055"/>
    <w:rsid w:val="003F70CA"/>
    <w:rsid w:val="003F7B36"/>
    <w:rsid w:val="00400F25"/>
    <w:rsid w:val="0040278D"/>
    <w:rsid w:val="00404C67"/>
    <w:rsid w:val="00405EBA"/>
    <w:rsid w:val="0040633D"/>
    <w:rsid w:val="00406EE3"/>
    <w:rsid w:val="00413CC5"/>
    <w:rsid w:val="00414607"/>
    <w:rsid w:val="00416727"/>
    <w:rsid w:val="00417A24"/>
    <w:rsid w:val="0042068A"/>
    <w:rsid w:val="004208F0"/>
    <w:rsid w:val="00421ACD"/>
    <w:rsid w:val="00422718"/>
    <w:rsid w:val="00423019"/>
    <w:rsid w:val="004239BC"/>
    <w:rsid w:val="0042490C"/>
    <w:rsid w:val="00425CAD"/>
    <w:rsid w:val="00426D7C"/>
    <w:rsid w:val="00427AE1"/>
    <w:rsid w:val="004300ED"/>
    <w:rsid w:val="00431687"/>
    <w:rsid w:val="00431CC9"/>
    <w:rsid w:val="00432762"/>
    <w:rsid w:val="00432B72"/>
    <w:rsid w:val="00433016"/>
    <w:rsid w:val="004342F1"/>
    <w:rsid w:val="004349C0"/>
    <w:rsid w:val="00435EBD"/>
    <w:rsid w:val="00437702"/>
    <w:rsid w:val="004401B5"/>
    <w:rsid w:val="0044176A"/>
    <w:rsid w:val="00441EB5"/>
    <w:rsid w:val="00442393"/>
    <w:rsid w:val="00442734"/>
    <w:rsid w:val="004436D7"/>
    <w:rsid w:val="00443DCB"/>
    <w:rsid w:val="00443DEB"/>
    <w:rsid w:val="0044478C"/>
    <w:rsid w:val="0044535B"/>
    <w:rsid w:val="00445FDA"/>
    <w:rsid w:val="00446531"/>
    <w:rsid w:val="00450A5F"/>
    <w:rsid w:val="00451514"/>
    <w:rsid w:val="00451B47"/>
    <w:rsid w:val="00451B87"/>
    <w:rsid w:val="00453BB4"/>
    <w:rsid w:val="00456348"/>
    <w:rsid w:val="00460749"/>
    <w:rsid w:val="004613B1"/>
    <w:rsid w:val="00461529"/>
    <w:rsid w:val="004635E2"/>
    <w:rsid w:val="00464A39"/>
    <w:rsid w:val="00464CB6"/>
    <w:rsid w:val="0046559B"/>
    <w:rsid w:val="0046566E"/>
    <w:rsid w:val="004672ED"/>
    <w:rsid w:val="0046744D"/>
    <w:rsid w:val="0047025A"/>
    <w:rsid w:val="00470D76"/>
    <w:rsid w:val="0047252A"/>
    <w:rsid w:val="00472C41"/>
    <w:rsid w:val="00473115"/>
    <w:rsid w:val="004764CB"/>
    <w:rsid w:val="00476730"/>
    <w:rsid w:val="00481A7B"/>
    <w:rsid w:val="00481B0D"/>
    <w:rsid w:val="0048386B"/>
    <w:rsid w:val="00483C14"/>
    <w:rsid w:val="00484D45"/>
    <w:rsid w:val="00485DB6"/>
    <w:rsid w:val="0048658E"/>
    <w:rsid w:val="00491C96"/>
    <w:rsid w:val="00492352"/>
    <w:rsid w:val="004923B6"/>
    <w:rsid w:val="00492E23"/>
    <w:rsid w:val="00494294"/>
    <w:rsid w:val="00495611"/>
    <w:rsid w:val="00496359"/>
    <w:rsid w:val="0049799A"/>
    <w:rsid w:val="004A11F6"/>
    <w:rsid w:val="004A14BE"/>
    <w:rsid w:val="004A2BF5"/>
    <w:rsid w:val="004A3085"/>
    <w:rsid w:val="004A4BD5"/>
    <w:rsid w:val="004A4CFD"/>
    <w:rsid w:val="004A677C"/>
    <w:rsid w:val="004A695E"/>
    <w:rsid w:val="004B1472"/>
    <w:rsid w:val="004B176B"/>
    <w:rsid w:val="004B293C"/>
    <w:rsid w:val="004B3704"/>
    <w:rsid w:val="004B3AD5"/>
    <w:rsid w:val="004B3D59"/>
    <w:rsid w:val="004B5C6B"/>
    <w:rsid w:val="004B73EF"/>
    <w:rsid w:val="004B7F1C"/>
    <w:rsid w:val="004C20F2"/>
    <w:rsid w:val="004C251E"/>
    <w:rsid w:val="004C3F25"/>
    <w:rsid w:val="004C525E"/>
    <w:rsid w:val="004C6664"/>
    <w:rsid w:val="004C67E2"/>
    <w:rsid w:val="004C750D"/>
    <w:rsid w:val="004D0490"/>
    <w:rsid w:val="004D12F1"/>
    <w:rsid w:val="004D1805"/>
    <w:rsid w:val="004D257A"/>
    <w:rsid w:val="004D284E"/>
    <w:rsid w:val="004D38F2"/>
    <w:rsid w:val="004D52DD"/>
    <w:rsid w:val="004D68F8"/>
    <w:rsid w:val="004D6D19"/>
    <w:rsid w:val="004E11D8"/>
    <w:rsid w:val="004E258D"/>
    <w:rsid w:val="004E6421"/>
    <w:rsid w:val="004F0C96"/>
    <w:rsid w:val="004F44C7"/>
    <w:rsid w:val="004F489F"/>
    <w:rsid w:val="004F48A1"/>
    <w:rsid w:val="004F4958"/>
    <w:rsid w:val="004F7606"/>
    <w:rsid w:val="004F766F"/>
    <w:rsid w:val="004F78B7"/>
    <w:rsid w:val="004F7944"/>
    <w:rsid w:val="00500930"/>
    <w:rsid w:val="0050309F"/>
    <w:rsid w:val="005041C2"/>
    <w:rsid w:val="00505CA0"/>
    <w:rsid w:val="0050690E"/>
    <w:rsid w:val="00506FB6"/>
    <w:rsid w:val="00507C08"/>
    <w:rsid w:val="00507D18"/>
    <w:rsid w:val="0051016E"/>
    <w:rsid w:val="005111D7"/>
    <w:rsid w:val="00511BC7"/>
    <w:rsid w:val="00512F22"/>
    <w:rsid w:val="005146AC"/>
    <w:rsid w:val="00515227"/>
    <w:rsid w:val="00515612"/>
    <w:rsid w:val="00515733"/>
    <w:rsid w:val="005167B1"/>
    <w:rsid w:val="00517D20"/>
    <w:rsid w:val="0052089E"/>
    <w:rsid w:val="005215EE"/>
    <w:rsid w:val="00521F15"/>
    <w:rsid w:val="005248B9"/>
    <w:rsid w:val="00524F8A"/>
    <w:rsid w:val="005251A9"/>
    <w:rsid w:val="00526446"/>
    <w:rsid w:val="00526BE2"/>
    <w:rsid w:val="00527433"/>
    <w:rsid w:val="00527495"/>
    <w:rsid w:val="00527E7A"/>
    <w:rsid w:val="0053544C"/>
    <w:rsid w:val="00537E2C"/>
    <w:rsid w:val="00542797"/>
    <w:rsid w:val="00542B3A"/>
    <w:rsid w:val="00544D6E"/>
    <w:rsid w:val="00544E24"/>
    <w:rsid w:val="00544EC9"/>
    <w:rsid w:val="005454A6"/>
    <w:rsid w:val="00546FBD"/>
    <w:rsid w:val="005518EB"/>
    <w:rsid w:val="00551B13"/>
    <w:rsid w:val="0055202D"/>
    <w:rsid w:val="005520BF"/>
    <w:rsid w:val="00552421"/>
    <w:rsid w:val="00552B7E"/>
    <w:rsid w:val="00552C9C"/>
    <w:rsid w:val="0055322E"/>
    <w:rsid w:val="00554A5A"/>
    <w:rsid w:val="0055544F"/>
    <w:rsid w:val="00556B04"/>
    <w:rsid w:val="00561C53"/>
    <w:rsid w:val="0056257C"/>
    <w:rsid w:val="00562B0A"/>
    <w:rsid w:val="00562CCE"/>
    <w:rsid w:val="00563846"/>
    <w:rsid w:val="0056452D"/>
    <w:rsid w:val="005669D6"/>
    <w:rsid w:val="00567998"/>
    <w:rsid w:val="00570E92"/>
    <w:rsid w:val="00571A39"/>
    <w:rsid w:val="0057343F"/>
    <w:rsid w:val="00576D09"/>
    <w:rsid w:val="00576EE1"/>
    <w:rsid w:val="00577884"/>
    <w:rsid w:val="005805F5"/>
    <w:rsid w:val="00581C0F"/>
    <w:rsid w:val="00581DEE"/>
    <w:rsid w:val="00582919"/>
    <w:rsid w:val="00583732"/>
    <w:rsid w:val="005839BF"/>
    <w:rsid w:val="00584E53"/>
    <w:rsid w:val="005862F0"/>
    <w:rsid w:val="00587366"/>
    <w:rsid w:val="00590037"/>
    <w:rsid w:val="00593476"/>
    <w:rsid w:val="00595511"/>
    <w:rsid w:val="00595717"/>
    <w:rsid w:val="00596A7B"/>
    <w:rsid w:val="005979D4"/>
    <w:rsid w:val="005A0486"/>
    <w:rsid w:val="005A1927"/>
    <w:rsid w:val="005A228F"/>
    <w:rsid w:val="005A2A65"/>
    <w:rsid w:val="005A3513"/>
    <w:rsid w:val="005A3BD7"/>
    <w:rsid w:val="005A7498"/>
    <w:rsid w:val="005A75B7"/>
    <w:rsid w:val="005A786F"/>
    <w:rsid w:val="005B083B"/>
    <w:rsid w:val="005B169C"/>
    <w:rsid w:val="005B1B6A"/>
    <w:rsid w:val="005B3A49"/>
    <w:rsid w:val="005B6ADF"/>
    <w:rsid w:val="005B6EC8"/>
    <w:rsid w:val="005B76C1"/>
    <w:rsid w:val="005B773D"/>
    <w:rsid w:val="005B7C5D"/>
    <w:rsid w:val="005C0B20"/>
    <w:rsid w:val="005C1A74"/>
    <w:rsid w:val="005C3294"/>
    <w:rsid w:val="005C347F"/>
    <w:rsid w:val="005C4986"/>
    <w:rsid w:val="005C6142"/>
    <w:rsid w:val="005C64E0"/>
    <w:rsid w:val="005C6F55"/>
    <w:rsid w:val="005D27DD"/>
    <w:rsid w:val="005D3493"/>
    <w:rsid w:val="005D4AD7"/>
    <w:rsid w:val="005D4C08"/>
    <w:rsid w:val="005D7D84"/>
    <w:rsid w:val="005E0D15"/>
    <w:rsid w:val="005E11D5"/>
    <w:rsid w:val="005E34D4"/>
    <w:rsid w:val="005E3AE2"/>
    <w:rsid w:val="005E3FDE"/>
    <w:rsid w:val="005E4393"/>
    <w:rsid w:val="005E50C3"/>
    <w:rsid w:val="005E55F2"/>
    <w:rsid w:val="005E570D"/>
    <w:rsid w:val="005E68FC"/>
    <w:rsid w:val="005F0137"/>
    <w:rsid w:val="005F1A24"/>
    <w:rsid w:val="005F487C"/>
    <w:rsid w:val="005F53A4"/>
    <w:rsid w:val="005F5924"/>
    <w:rsid w:val="005F5FE1"/>
    <w:rsid w:val="005F62B2"/>
    <w:rsid w:val="005F715E"/>
    <w:rsid w:val="006010DA"/>
    <w:rsid w:val="006017AB"/>
    <w:rsid w:val="00604AC3"/>
    <w:rsid w:val="00605865"/>
    <w:rsid w:val="0060623B"/>
    <w:rsid w:val="006073E1"/>
    <w:rsid w:val="00611BA6"/>
    <w:rsid w:val="00613191"/>
    <w:rsid w:val="00617813"/>
    <w:rsid w:val="006206CC"/>
    <w:rsid w:val="00620CFC"/>
    <w:rsid w:val="00622B06"/>
    <w:rsid w:val="00622BFD"/>
    <w:rsid w:val="00623028"/>
    <w:rsid w:val="00624649"/>
    <w:rsid w:val="006257CA"/>
    <w:rsid w:val="00627163"/>
    <w:rsid w:val="00632275"/>
    <w:rsid w:val="00634476"/>
    <w:rsid w:val="00642285"/>
    <w:rsid w:val="006431B1"/>
    <w:rsid w:val="0064393B"/>
    <w:rsid w:val="006440D4"/>
    <w:rsid w:val="00644375"/>
    <w:rsid w:val="00644A5C"/>
    <w:rsid w:val="00646A08"/>
    <w:rsid w:val="00650392"/>
    <w:rsid w:val="0065061D"/>
    <w:rsid w:val="00654BCA"/>
    <w:rsid w:val="0065715E"/>
    <w:rsid w:val="00657670"/>
    <w:rsid w:val="00657DE0"/>
    <w:rsid w:val="00657F4D"/>
    <w:rsid w:val="00662C69"/>
    <w:rsid w:val="006635BA"/>
    <w:rsid w:val="00664106"/>
    <w:rsid w:val="0066458B"/>
    <w:rsid w:val="0066610C"/>
    <w:rsid w:val="00670809"/>
    <w:rsid w:val="00671165"/>
    <w:rsid w:val="006718FB"/>
    <w:rsid w:val="00673695"/>
    <w:rsid w:val="00674701"/>
    <w:rsid w:val="00674A46"/>
    <w:rsid w:val="00674D2D"/>
    <w:rsid w:val="006752B0"/>
    <w:rsid w:val="00675431"/>
    <w:rsid w:val="00676959"/>
    <w:rsid w:val="00676C6B"/>
    <w:rsid w:val="006773FB"/>
    <w:rsid w:val="00677CA6"/>
    <w:rsid w:val="00680F25"/>
    <w:rsid w:val="0068461F"/>
    <w:rsid w:val="00684BC3"/>
    <w:rsid w:val="0068594B"/>
    <w:rsid w:val="00686B04"/>
    <w:rsid w:val="006901FA"/>
    <w:rsid w:val="00690660"/>
    <w:rsid w:val="006909D8"/>
    <w:rsid w:val="006915D7"/>
    <w:rsid w:val="0069218D"/>
    <w:rsid w:val="00693427"/>
    <w:rsid w:val="00694E2B"/>
    <w:rsid w:val="006958A7"/>
    <w:rsid w:val="006964F5"/>
    <w:rsid w:val="00696EF8"/>
    <w:rsid w:val="00697BEA"/>
    <w:rsid w:val="006A1047"/>
    <w:rsid w:val="006A26C9"/>
    <w:rsid w:val="006A3D7A"/>
    <w:rsid w:val="006A3DFC"/>
    <w:rsid w:val="006A464E"/>
    <w:rsid w:val="006A4F64"/>
    <w:rsid w:val="006A6D2E"/>
    <w:rsid w:val="006B0198"/>
    <w:rsid w:val="006B12CA"/>
    <w:rsid w:val="006B12E8"/>
    <w:rsid w:val="006B1C19"/>
    <w:rsid w:val="006B1E4C"/>
    <w:rsid w:val="006B5A58"/>
    <w:rsid w:val="006B7A58"/>
    <w:rsid w:val="006C19FE"/>
    <w:rsid w:val="006C1A97"/>
    <w:rsid w:val="006C2FEE"/>
    <w:rsid w:val="006C50C2"/>
    <w:rsid w:val="006C563A"/>
    <w:rsid w:val="006C6666"/>
    <w:rsid w:val="006D0DAE"/>
    <w:rsid w:val="006D26A5"/>
    <w:rsid w:val="006D27EF"/>
    <w:rsid w:val="006D2A07"/>
    <w:rsid w:val="006D2E5C"/>
    <w:rsid w:val="006D3024"/>
    <w:rsid w:val="006D3485"/>
    <w:rsid w:val="006D357C"/>
    <w:rsid w:val="006D42C5"/>
    <w:rsid w:val="006D52D1"/>
    <w:rsid w:val="006D6830"/>
    <w:rsid w:val="006D74C2"/>
    <w:rsid w:val="006E013D"/>
    <w:rsid w:val="006E1056"/>
    <w:rsid w:val="006E2236"/>
    <w:rsid w:val="006E3A2A"/>
    <w:rsid w:val="006E3C4C"/>
    <w:rsid w:val="006E4BD4"/>
    <w:rsid w:val="006E5950"/>
    <w:rsid w:val="006E5BBE"/>
    <w:rsid w:val="006E6105"/>
    <w:rsid w:val="006E67DF"/>
    <w:rsid w:val="006E6B65"/>
    <w:rsid w:val="006E7899"/>
    <w:rsid w:val="006E7CC5"/>
    <w:rsid w:val="006F0635"/>
    <w:rsid w:val="006F1AB0"/>
    <w:rsid w:val="006F1E31"/>
    <w:rsid w:val="006F2C12"/>
    <w:rsid w:val="006F2F92"/>
    <w:rsid w:val="006F3EC7"/>
    <w:rsid w:val="006F44C4"/>
    <w:rsid w:val="006F672F"/>
    <w:rsid w:val="006F6A74"/>
    <w:rsid w:val="006F7910"/>
    <w:rsid w:val="00700781"/>
    <w:rsid w:val="00702482"/>
    <w:rsid w:val="007050B1"/>
    <w:rsid w:val="00706C9E"/>
    <w:rsid w:val="00706EED"/>
    <w:rsid w:val="00707096"/>
    <w:rsid w:val="00707A12"/>
    <w:rsid w:val="00707C73"/>
    <w:rsid w:val="00712443"/>
    <w:rsid w:val="007136BC"/>
    <w:rsid w:val="00714576"/>
    <w:rsid w:val="007160D6"/>
    <w:rsid w:val="00721335"/>
    <w:rsid w:val="00721924"/>
    <w:rsid w:val="00721F66"/>
    <w:rsid w:val="00722B93"/>
    <w:rsid w:val="00731F1F"/>
    <w:rsid w:val="00732120"/>
    <w:rsid w:val="007353AA"/>
    <w:rsid w:val="007365AD"/>
    <w:rsid w:val="007366ED"/>
    <w:rsid w:val="00736FF1"/>
    <w:rsid w:val="00740857"/>
    <w:rsid w:val="007416F3"/>
    <w:rsid w:val="00742486"/>
    <w:rsid w:val="0074433B"/>
    <w:rsid w:val="007473D2"/>
    <w:rsid w:val="007479C2"/>
    <w:rsid w:val="00750A80"/>
    <w:rsid w:val="0075151E"/>
    <w:rsid w:val="007523B4"/>
    <w:rsid w:val="0075265E"/>
    <w:rsid w:val="00752ACD"/>
    <w:rsid w:val="0075440D"/>
    <w:rsid w:val="00754EF8"/>
    <w:rsid w:val="0075650E"/>
    <w:rsid w:val="00757995"/>
    <w:rsid w:val="00757ABA"/>
    <w:rsid w:val="007608BA"/>
    <w:rsid w:val="00762AD6"/>
    <w:rsid w:val="007644E6"/>
    <w:rsid w:val="007646E7"/>
    <w:rsid w:val="00764A36"/>
    <w:rsid w:val="00766DD3"/>
    <w:rsid w:val="00770859"/>
    <w:rsid w:val="00772D8B"/>
    <w:rsid w:val="00774A5F"/>
    <w:rsid w:val="00774DFD"/>
    <w:rsid w:val="007753FA"/>
    <w:rsid w:val="0077544D"/>
    <w:rsid w:val="0078079A"/>
    <w:rsid w:val="00781153"/>
    <w:rsid w:val="007819BE"/>
    <w:rsid w:val="00782CC2"/>
    <w:rsid w:val="007835D7"/>
    <w:rsid w:val="00783960"/>
    <w:rsid w:val="007857A6"/>
    <w:rsid w:val="00786CA5"/>
    <w:rsid w:val="007875A5"/>
    <w:rsid w:val="007914E4"/>
    <w:rsid w:val="00792574"/>
    <w:rsid w:val="007939E9"/>
    <w:rsid w:val="00793C80"/>
    <w:rsid w:val="00794AEF"/>
    <w:rsid w:val="007960B7"/>
    <w:rsid w:val="007A00B2"/>
    <w:rsid w:val="007A0692"/>
    <w:rsid w:val="007A082B"/>
    <w:rsid w:val="007A1303"/>
    <w:rsid w:val="007A1327"/>
    <w:rsid w:val="007A3A2E"/>
    <w:rsid w:val="007A65E0"/>
    <w:rsid w:val="007A70B9"/>
    <w:rsid w:val="007A7602"/>
    <w:rsid w:val="007B02B9"/>
    <w:rsid w:val="007B23EC"/>
    <w:rsid w:val="007B26B2"/>
    <w:rsid w:val="007B2FA7"/>
    <w:rsid w:val="007B30F3"/>
    <w:rsid w:val="007B30F8"/>
    <w:rsid w:val="007B32C0"/>
    <w:rsid w:val="007B55E7"/>
    <w:rsid w:val="007B58D0"/>
    <w:rsid w:val="007B6725"/>
    <w:rsid w:val="007B6888"/>
    <w:rsid w:val="007B694D"/>
    <w:rsid w:val="007C0013"/>
    <w:rsid w:val="007C0565"/>
    <w:rsid w:val="007C37D2"/>
    <w:rsid w:val="007D0C01"/>
    <w:rsid w:val="007D28B9"/>
    <w:rsid w:val="007D2B0E"/>
    <w:rsid w:val="007D3ED2"/>
    <w:rsid w:val="007D3FBD"/>
    <w:rsid w:val="007D4C2F"/>
    <w:rsid w:val="007D617C"/>
    <w:rsid w:val="007D74D6"/>
    <w:rsid w:val="007D7EF3"/>
    <w:rsid w:val="007E100A"/>
    <w:rsid w:val="007E2961"/>
    <w:rsid w:val="007E5125"/>
    <w:rsid w:val="007E5DB4"/>
    <w:rsid w:val="007E744C"/>
    <w:rsid w:val="007F0617"/>
    <w:rsid w:val="007F0711"/>
    <w:rsid w:val="007F2AF5"/>
    <w:rsid w:val="007F3F14"/>
    <w:rsid w:val="007F729E"/>
    <w:rsid w:val="00800DBD"/>
    <w:rsid w:val="00800E69"/>
    <w:rsid w:val="0080394C"/>
    <w:rsid w:val="008039C2"/>
    <w:rsid w:val="008046E4"/>
    <w:rsid w:val="00804B9B"/>
    <w:rsid w:val="00804EB8"/>
    <w:rsid w:val="00807201"/>
    <w:rsid w:val="00810F94"/>
    <w:rsid w:val="0081220D"/>
    <w:rsid w:val="00814427"/>
    <w:rsid w:val="008150A8"/>
    <w:rsid w:val="008167F5"/>
    <w:rsid w:val="00817D8E"/>
    <w:rsid w:val="008200A3"/>
    <w:rsid w:val="00820BF2"/>
    <w:rsid w:val="00824C4E"/>
    <w:rsid w:val="0083097C"/>
    <w:rsid w:val="00830D0B"/>
    <w:rsid w:val="008319E2"/>
    <w:rsid w:val="008320B5"/>
    <w:rsid w:val="00832ACC"/>
    <w:rsid w:val="00833D5D"/>
    <w:rsid w:val="00833E18"/>
    <w:rsid w:val="00833E4C"/>
    <w:rsid w:val="00835DC3"/>
    <w:rsid w:val="00836224"/>
    <w:rsid w:val="00837BE4"/>
    <w:rsid w:val="00837C11"/>
    <w:rsid w:val="00840559"/>
    <w:rsid w:val="00840EED"/>
    <w:rsid w:val="00842157"/>
    <w:rsid w:val="00843153"/>
    <w:rsid w:val="00843908"/>
    <w:rsid w:val="00845AFB"/>
    <w:rsid w:val="00845D12"/>
    <w:rsid w:val="00846713"/>
    <w:rsid w:val="008473FA"/>
    <w:rsid w:val="008475EF"/>
    <w:rsid w:val="00847830"/>
    <w:rsid w:val="00847E15"/>
    <w:rsid w:val="00847F80"/>
    <w:rsid w:val="00850354"/>
    <w:rsid w:val="00850495"/>
    <w:rsid w:val="00851078"/>
    <w:rsid w:val="00851A81"/>
    <w:rsid w:val="00851F4C"/>
    <w:rsid w:val="008523BA"/>
    <w:rsid w:val="00852913"/>
    <w:rsid w:val="00852B26"/>
    <w:rsid w:val="00853C9C"/>
    <w:rsid w:val="0085480B"/>
    <w:rsid w:val="008560F4"/>
    <w:rsid w:val="0086035C"/>
    <w:rsid w:val="00861622"/>
    <w:rsid w:val="008662C0"/>
    <w:rsid w:val="00866705"/>
    <w:rsid w:val="008702BC"/>
    <w:rsid w:val="00870ACC"/>
    <w:rsid w:val="0087153F"/>
    <w:rsid w:val="008720FE"/>
    <w:rsid w:val="00872C2F"/>
    <w:rsid w:val="00872DF8"/>
    <w:rsid w:val="008731CF"/>
    <w:rsid w:val="0087459A"/>
    <w:rsid w:val="008749F7"/>
    <w:rsid w:val="00875167"/>
    <w:rsid w:val="00876EBA"/>
    <w:rsid w:val="00881572"/>
    <w:rsid w:val="0088293F"/>
    <w:rsid w:val="00883450"/>
    <w:rsid w:val="00883864"/>
    <w:rsid w:val="0088398C"/>
    <w:rsid w:val="008845D2"/>
    <w:rsid w:val="00885165"/>
    <w:rsid w:val="00885C6E"/>
    <w:rsid w:val="00886672"/>
    <w:rsid w:val="00887497"/>
    <w:rsid w:val="0089067B"/>
    <w:rsid w:val="0089412A"/>
    <w:rsid w:val="008964FA"/>
    <w:rsid w:val="0089669A"/>
    <w:rsid w:val="00896AD4"/>
    <w:rsid w:val="008A0522"/>
    <w:rsid w:val="008A147D"/>
    <w:rsid w:val="008A1809"/>
    <w:rsid w:val="008A21BC"/>
    <w:rsid w:val="008A3CBD"/>
    <w:rsid w:val="008A52F3"/>
    <w:rsid w:val="008A63DF"/>
    <w:rsid w:val="008A7F67"/>
    <w:rsid w:val="008A7F7D"/>
    <w:rsid w:val="008B1804"/>
    <w:rsid w:val="008B1A5A"/>
    <w:rsid w:val="008B1D41"/>
    <w:rsid w:val="008B2A63"/>
    <w:rsid w:val="008B3170"/>
    <w:rsid w:val="008B382F"/>
    <w:rsid w:val="008B401E"/>
    <w:rsid w:val="008B4590"/>
    <w:rsid w:val="008B51DB"/>
    <w:rsid w:val="008B5C94"/>
    <w:rsid w:val="008B7CF1"/>
    <w:rsid w:val="008B7FFE"/>
    <w:rsid w:val="008C040B"/>
    <w:rsid w:val="008C0446"/>
    <w:rsid w:val="008C1702"/>
    <w:rsid w:val="008C1859"/>
    <w:rsid w:val="008C2B3C"/>
    <w:rsid w:val="008C2EBC"/>
    <w:rsid w:val="008C41A7"/>
    <w:rsid w:val="008C77D6"/>
    <w:rsid w:val="008D02A3"/>
    <w:rsid w:val="008D1075"/>
    <w:rsid w:val="008D2BCD"/>
    <w:rsid w:val="008D406E"/>
    <w:rsid w:val="008D4934"/>
    <w:rsid w:val="008D4E99"/>
    <w:rsid w:val="008D4EF4"/>
    <w:rsid w:val="008D4F17"/>
    <w:rsid w:val="008D5066"/>
    <w:rsid w:val="008D565F"/>
    <w:rsid w:val="008D6697"/>
    <w:rsid w:val="008D728C"/>
    <w:rsid w:val="008E0439"/>
    <w:rsid w:val="008E0674"/>
    <w:rsid w:val="008E07AD"/>
    <w:rsid w:val="008E0AF7"/>
    <w:rsid w:val="008E11CC"/>
    <w:rsid w:val="008E3535"/>
    <w:rsid w:val="008E4B02"/>
    <w:rsid w:val="008E5423"/>
    <w:rsid w:val="008E5EF3"/>
    <w:rsid w:val="008E6191"/>
    <w:rsid w:val="008E7B81"/>
    <w:rsid w:val="008F0BA5"/>
    <w:rsid w:val="008F12E6"/>
    <w:rsid w:val="008F1558"/>
    <w:rsid w:val="008F3751"/>
    <w:rsid w:val="008F383A"/>
    <w:rsid w:val="008F5024"/>
    <w:rsid w:val="008F5927"/>
    <w:rsid w:val="008F7E1B"/>
    <w:rsid w:val="00901474"/>
    <w:rsid w:val="0090174A"/>
    <w:rsid w:val="00902FBD"/>
    <w:rsid w:val="009036B3"/>
    <w:rsid w:val="00904297"/>
    <w:rsid w:val="009071FE"/>
    <w:rsid w:val="00907761"/>
    <w:rsid w:val="00913AA4"/>
    <w:rsid w:val="00915778"/>
    <w:rsid w:val="009164DD"/>
    <w:rsid w:val="009168CC"/>
    <w:rsid w:val="009210C9"/>
    <w:rsid w:val="00921E88"/>
    <w:rsid w:val="00924B24"/>
    <w:rsid w:val="00925C68"/>
    <w:rsid w:val="009278BD"/>
    <w:rsid w:val="009315B0"/>
    <w:rsid w:val="009316E9"/>
    <w:rsid w:val="00932C28"/>
    <w:rsid w:val="00934877"/>
    <w:rsid w:val="009365EA"/>
    <w:rsid w:val="009376E4"/>
    <w:rsid w:val="00940E36"/>
    <w:rsid w:val="00945A61"/>
    <w:rsid w:val="00945D65"/>
    <w:rsid w:val="00946116"/>
    <w:rsid w:val="00947812"/>
    <w:rsid w:val="00950154"/>
    <w:rsid w:val="00950677"/>
    <w:rsid w:val="009515A7"/>
    <w:rsid w:val="00952AD9"/>
    <w:rsid w:val="00953054"/>
    <w:rsid w:val="0095344E"/>
    <w:rsid w:val="00953DA2"/>
    <w:rsid w:val="0095468B"/>
    <w:rsid w:val="009556EE"/>
    <w:rsid w:val="009563A5"/>
    <w:rsid w:val="00956868"/>
    <w:rsid w:val="0095765F"/>
    <w:rsid w:val="009606E6"/>
    <w:rsid w:val="00961E39"/>
    <w:rsid w:val="00962F40"/>
    <w:rsid w:val="00963C76"/>
    <w:rsid w:val="00964298"/>
    <w:rsid w:val="0096527F"/>
    <w:rsid w:val="00967C35"/>
    <w:rsid w:val="00967DAE"/>
    <w:rsid w:val="00967FD3"/>
    <w:rsid w:val="00970F70"/>
    <w:rsid w:val="0097252B"/>
    <w:rsid w:val="00972668"/>
    <w:rsid w:val="009727B4"/>
    <w:rsid w:val="00972C36"/>
    <w:rsid w:val="00974405"/>
    <w:rsid w:val="00974D31"/>
    <w:rsid w:val="00982056"/>
    <w:rsid w:val="009830D3"/>
    <w:rsid w:val="00983108"/>
    <w:rsid w:val="00983B8F"/>
    <w:rsid w:val="009843F9"/>
    <w:rsid w:val="0098595E"/>
    <w:rsid w:val="00985F7C"/>
    <w:rsid w:val="00986073"/>
    <w:rsid w:val="00990EE2"/>
    <w:rsid w:val="009916D2"/>
    <w:rsid w:val="0099229C"/>
    <w:rsid w:val="00994C43"/>
    <w:rsid w:val="00995236"/>
    <w:rsid w:val="00995C9F"/>
    <w:rsid w:val="00996AA8"/>
    <w:rsid w:val="009974A6"/>
    <w:rsid w:val="0099752D"/>
    <w:rsid w:val="009A0461"/>
    <w:rsid w:val="009A05B6"/>
    <w:rsid w:val="009A11BF"/>
    <w:rsid w:val="009A2A08"/>
    <w:rsid w:val="009A42F1"/>
    <w:rsid w:val="009A4B79"/>
    <w:rsid w:val="009A50A8"/>
    <w:rsid w:val="009A5191"/>
    <w:rsid w:val="009A66D2"/>
    <w:rsid w:val="009B0F5C"/>
    <w:rsid w:val="009B11D6"/>
    <w:rsid w:val="009B2261"/>
    <w:rsid w:val="009B2EE9"/>
    <w:rsid w:val="009B39BF"/>
    <w:rsid w:val="009B4828"/>
    <w:rsid w:val="009B4864"/>
    <w:rsid w:val="009B5504"/>
    <w:rsid w:val="009B5506"/>
    <w:rsid w:val="009B649B"/>
    <w:rsid w:val="009B6E7F"/>
    <w:rsid w:val="009B6F16"/>
    <w:rsid w:val="009B76E3"/>
    <w:rsid w:val="009C0940"/>
    <w:rsid w:val="009C1D99"/>
    <w:rsid w:val="009C1F8B"/>
    <w:rsid w:val="009C2A06"/>
    <w:rsid w:val="009C534D"/>
    <w:rsid w:val="009C6786"/>
    <w:rsid w:val="009C79A3"/>
    <w:rsid w:val="009D08B2"/>
    <w:rsid w:val="009D120B"/>
    <w:rsid w:val="009D2556"/>
    <w:rsid w:val="009D2D80"/>
    <w:rsid w:val="009D3240"/>
    <w:rsid w:val="009D3A6E"/>
    <w:rsid w:val="009D5BB9"/>
    <w:rsid w:val="009D61D9"/>
    <w:rsid w:val="009E0AB4"/>
    <w:rsid w:val="009E153D"/>
    <w:rsid w:val="009E188C"/>
    <w:rsid w:val="009E3847"/>
    <w:rsid w:val="009E4942"/>
    <w:rsid w:val="009E63E3"/>
    <w:rsid w:val="009F061D"/>
    <w:rsid w:val="009F0B67"/>
    <w:rsid w:val="009F307E"/>
    <w:rsid w:val="009F43A8"/>
    <w:rsid w:val="009F4718"/>
    <w:rsid w:val="009F50DE"/>
    <w:rsid w:val="009F7BB0"/>
    <w:rsid w:val="00A01C26"/>
    <w:rsid w:val="00A01E3F"/>
    <w:rsid w:val="00A036C5"/>
    <w:rsid w:val="00A03AD2"/>
    <w:rsid w:val="00A07D84"/>
    <w:rsid w:val="00A10336"/>
    <w:rsid w:val="00A10CE2"/>
    <w:rsid w:val="00A13385"/>
    <w:rsid w:val="00A13707"/>
    <w:rsid w:val="00A13811"/>
    <w:rsid w:val="00A13F4F"/>
    <w:rsid w:val="00A15196"/>
    <w:rsid w:val="00A154CD"/>
    <w:rsid w:val="00A20B1F"/>
    <w:rsid w:val="00A23081"/>
    <w:rsid w:val="00A235D0"/>
    <w:rsid w:val="00A27A7F"/>
    <w:rsid w:val="00A312A6"/>
    <w:rsid w:val="00A31C1B"/>
    <w:rsid w:val="00A3276A"/>
    <w:rsid w:val="00A349D2"/>
    <w:rsid w:val="00A35492"/>
    <w:rsid w:val="00A36432"/>
    <w:rsid w:val="00A37B07"/>
    <w:rsid w:val="00A4022D"/>
    <w:rsid w:val="00A4044E"/>
    <w:rsid w:val="00A40EF1"/>
    <w:rsid w:val="00A41F16"/>
    <w:rsid w:val="00A42869"/>
    <w:rsid w:val="00A4379F"/>
    <w:rsid w:val="00A441F7"/>
    <w:rsid w:val="00A45039"/>
    <w:rsid w:val="00A45546"/>
    <w:rsid w:val="00A4585A"/>
    <w:rsid w:val="00A45AD5"/>
    <w:rsid w:val="00A45B12"/>
    <w:rsid w:val="00A462D5"/>
    <w:rsid w:val="00A46F7C"/>
    <w:rsid w:val="00A471A7"/>
    <w:rsid w:val="00A474A1"/>
    <w:rsid w:val="00A50B8A"/>
    <w:rsid w:val="00A514E7"/>
    <w:rsid w:val="00A51F40"/>
    <w:rsid w:val="00A55E91"/>
    <w:rsid w:val="00A56275"/>
    <w:rsid w:val="00A572BC"/>
    <w:rsid w:val="00A633C3"/>
    <w:rsid w:val="00A6599C"/>
    <w:rsid w:val="00A67428"/>
    <w:rsid w:val="00A679E3"/>
    <w:rsid w:val="00A67E39"/>
    <w:rsid w:val="00A70CF3"/>
    <w:rsid w:val="00A7155E"/>
    <w:rsid w:val="00A72243"/>
    <w:rsid w:val="00A727AD"/>
    <w:rsid w:val="00A72B2A"/>
    <w:rsid w:val="00A73B07"/>
    <w:rsid w:val="00A755EC"/>
    <w:rsid w:val="00A75C6B"/>
    <w:rsid w:val="00A76B0D"/>
    <w:rsid w:val="00A77442"/>
    <w:rsid w:val="00A80901"/>
    <w:rsid w:val="00A819B7"/>
    <w:rsid w:val="00A81AB5"/>
    <w:rsid w:val="00A81EAA"/>
    <w:rsid w:val="00A82724"/>
    <w:rsid w:val="00A82C5A"/>
    <w:rsid w:val="00A82DBB"/>
    <w:rsid w:val="00A8300D"/>
    <w:rsid w:val="00A8620F"/>
    <w:rsid w:val="00A86D39"/>
    <w:rsid w:val="00A8769A"/>
    <w:rsid w:val="00A90CFB"/>
    <w:rsid w:val="00A92EC0"/>
    <w:rsid w:val="00A92EED"/>
    <w:rsid w:val="00A9642E"/>
    <w:rsid w:val="00A9772B"/>
    <w:rsid w:val="00AA0660"/>
    <w:rsid w:val="00AA1801"/>
    <w:rsid w:val="00AA1AF1"/>
    <w:rsid w:val="00AA3279"/>
    <w:rsid w:val="00AA3875"/>
    <w:rsid w:val="00AA404A"/>
    <w:rsid w:val="00AA40DC"/>
    <w:rsid w:val="00AA6228"/>
    <w:rsid w:val="00AA69A4"/>
    <w:rsid w:val="00AA6D02"/>
    <w:rsid w:val="00AB26E1"/>
    <w:rsid w:val="00AB274F"/>
    <w:rsid w:val="00AB2D14"/>
    <w:rsid w:val="00AB4E49"/>
    <w:rsid w:val="00AB5F30"/>
    <w:rsid w:val="00AB6A62"/>
    <w:rsid w:val="00AB6BE3"/>
    <w:rsid w:val="00AB78A7"/>
    <w:rsid w:val="00AC0CAC"/>
    <w:rsid w:val="00AC37C3"/>
    <w:rsid w:val="00AC535B"/>
    <w:rsid w:val="00AC5F6A"/>
    <w:rsid w:val="00AD01F5"/>
    <w:rsid w:val="00AD0B3C"/>
    <w:rsid w:val="00AD1CC0"/>
    <w:rsid w:val="00AD22B5"/>
    <w:rsid w:val="00AD6AF4"/>
    <w:rsid w:val="00AD7314"/>
    <w:rsid w:val="00AD7590"/>
    <w:rsid w:val="00AD7FC2"/>
    <w:rsid w:val="00AE0514"/>
    <w:rsid w:val="00AE0D12"/>
    <w:rsid w:val="00AE2379"/>
    <w:rsid w:val="00AE258D"/>
    <w:rsid w:val="00AE4EE7"/>
    <w:rsid w:val="00AE72E8"/>
    <w:rsid w:val="00AF1F04"/>
    <w:rsid w:val="00AF3D59"/>
    <w:rsid w:val="00AF6794"/>
    <w:rsid w:val="00AF7056"/>
    <w:rsid w:val="00B016F7"/>
    <w:rsid w:val="00B0210A"/>
    <w:rsid w:val="00B055B9"/>
    <w:rsid w:val="00B0568A"/>
    <w:rsid w:val="00B13AD9"/>
    <w:rsid w:val="00B13D85"/>
    <w:rsid w:val="00B16296"/>
    <w:rsid w:val="00B166B9"/>
    <w:rsid w:val="00B1674D"/>
    <w:rsid w:val="00B16CCE"/>
    <w:rsid w:val="00B1786A"/>
    <w:rsid w:val="00B206D8"/>
    <w:rsid w:val="00B20FCA"/>
    <w:rsid w:val="00B2191E"/>
    <w:rsid w:val="00B23972"/>
    <w:rsid w:val="00B25BA8"/>
    <w:rsid w:val="00B278B6"/>
    <w:rsid w:val="00B312C7"/>
    <w:rsid w:val="00B316B9"/>
    <w:rsid w:val="00B32E58"/>
    <w:rsid w:val="00B335A2"/>
    <w:rsid w:val="00B337FF"/>
    <w:rsid w:val="00B34371"/>
    <w:rsid w:val="00B34D43"/>
    <w:rsid w:val="00B37104"/>
    <w:rsid w:val="00B37A5E"/>
    <w:rsid w:val="00B42238"/>
    <w:rsid w:val="00B423CB"/>
    <w:rsid w:val="00B447D7"/>
    <w:rsid w:val="00B46AE9"/>
    <w:rsid w:val="00B47D0D"/>
    <w:rsid w:val="00B51257"/>
    <w:rsid w:val="00B52B7D"/>
    <w:rsid w:val="00B531D2"/>
    <w:rsid w:val="00B53CCA"/>
    <w:rsid w:val="00B54441"/>
    <w:rsid w:val="00B54A5F"/>
    <w:rsid w:val="00B5559A"/>
    <w:rsid w:val="00B560C2"/>
    <w:rsid w:val="00B56409"/>
    <w:rsid w:val="00B56F9B"/>
    <w:rsid w:val="00B60641"/>
    <w:rsid w:val="00B6633C"/>
    <w:rsid w:val="00B667C6"/>
    <w:rsid w:val="00B67D97"/>
    <w:rsid w:val="00B709AD"/>
    <w:rsid w:val="00B72B45"/>
    <w:rsid w:val="00B72D4E"/>
    <w:rsid w:val="00B73838"/>
    <w:rsid w:val="00B7421A"/>
    <w:rsid w:val="00B74827"/>
    <w:rsid w:val="00B75948"/>
    <w:rsid w:val="00B75F20"/>
    <w:rsid w:val="00B7661A"/>
    <w:rsid w:val="00B77233"/>
    <w:rsid w:val="00B81371"/>
    <w:rsid w:val="00B83E2E"/>
    <w:rsid w:val="00B85408"/>
    <w:rsid w:val="00B86635"/>
    <w:rsid w:val="00B866D9"/>
    <w:rsid w:val="00B87A31"/>
    <w:rsid w:val="00B902E7"/>
    <w:rsid w:val="00B922D9"/>
    <w:rsid w:val="00B923ED"/>
    <w:rsid w:val="00B926D6"/>
    <w:rsid w:val="00B966BF"/>
    <w:rsid w:val="00B974B4"/>
    <w:rsid w:val="00BA4107"/>
    <w:rsid w:val="00BA4F66"/>
    <w:rsid w:val="00BA512E"/>
    <w:rsid w:val="00BA5BAA"/>
    <w:rsid w:val="00BA7987"/>
    <w:rsid w:val="00BA7CFA"/>
    <w:rsid w:val="00BB1309"/>
    <w:rsid w:val="00BB17E0"/>
    <w:rsid w:val="00BB2592"/>
    <w:rsid w:val="00BB3156"/>
    <w:rsid w:val="00BB462D"/>
    <w:rsid w:val="00BB5627"/>
    <w:rsid w:val="00BB5CA9"/>
    <w:rsid w:val="00BB6662"/>
    <w:rsid w:val="00BC0CE4"/>
    <w:rsid w:val="00BC260A"/>
    <w:rsid w:val="00BC30BF"/>
    <w:rsid w:val="00BC3150"/>
    <w:rsid w:val="00BC3449"/>
    <w:rsid w:val="00BC4126"/>
    <w:rsid w:val="00BC5FE0"/>
    <w:rsid w:val="00BC61B2"/>
    <w:rsid w:val="00BC7EB7"/>
    <w:rsid w:val="00BD02D5"/>
    <w:rsid w:val="00BD1B67"/>
    <w:rsid w:val="00BD33B6"/>
    <w:rsid w:val="00BD3D7F"/>
    <w:rsid w:val="00BD4FBC"/>
    <w:rsid w:val="00BD5197"/>
    <w:rsid w:val="00BD6509"/>
    <w:rsid w:val="00BD6560"/>
    <w:rsid w:val="00BD692D"/>
    <w:rsid w:val="00BE00FA"/>
    <w:rsid w:val="00BE0C95"/>
    <w:rsid w:val="00BE1299"/>
    <w:rsid w:val="00BE2752"/>
    <w:rsid w:val="00BE5006"/>
    <w:rsid w:val="00BE545A"/>
    <w:rsid w:val="00BE5E11"/>
    <w:rsid w:val="00BE644B"/>
    <w:rsid w:val="00BE6C95"/>
    <w:rsid w:val="00BE70CF"/>
    <w:rsid w:val="00BE74FA"/>
    <w:rsid w:val="00BF0A54"/>
    <w:rsid w:val="00BF0F1C"/>
    <w:rsid w:val="00BF116F"/>
    <w:rsid w:val="00BF1B7F"/>
    <w:rsid w:val="00BF3C7C"/>
    <w:rsid w:val="00BF6D83"/>
    <w:rsid w:val="00BF704D"/>
    <w:rsid w:val="00BF7824"/>
    <w:rsid w:val="00C002A2"/>
    <w:rsid w:val="00C02535"/>
    <w:rsid w:val="00C0462C"/>
    <w:rsid w:val="00C04666"/>
    <w:rsid w:val="00C047C5"/>
    <w:rsid w:val="00C04D22"/>
    <w:rsid w:val="00C056D3"/>
    <w:rsid w:val="00C06B9E"/>
    <w:rsid w:val="00C06ECA"/>
    <w:rsid w:val="00C11573"/>
    <w:rsid w:val="00C1411C"/>
    <w:rsid w:val="00C14CDF"/>
    <w:rsid w:val="00C16762"/>
    <w:rsid w:val="00C1726E"/>
    <w:rsid w:val="00C17637"/>
    <w:rsid w:val="00C176A6"/>
    <w:rsid w:val="00C179FC"/>
    <w:rsid w:val="00C207BC"/>
    <w:rsid w:val="00C20A70"/>
    <w:rsid w:val="00C2139F"/>
    <w:rsid w:val="00C21A6B"/>
    <w:rsid w:val="00C278D9"/>
    <w:rsid w:val="00C27ABF"/>
    <w:rsid w:val="00C27F66"/>
    <w:rsid w:val="00C30486"/>
    <w:rsid w:val="00C305DF"/>
    <w:rsid w:val="00C315FB"/>
    <w:rsid w:val="00C317BD"/>
    <w:rsid w:val="00C33279"/>
    <w:rsid w:val="00C3421B"/>
    <w:rsid w:val="00C34BA8"/>
    <w:rsid w:val="00C407AB"/>
    <w:rsid w:val="00C41015"/>
    <w:rsid w:val="00C42134"/>
    <w:rsid w:val="00C45BF0"/>
    <w:rsid w:val="00C47397"/>
    <w:rsid w:val="00C47468"/>
    <w:rsid w:val="00C51569"/>
    <w:rsid w:val="00C5235A"/>
    <w:rsid w:val="00C5573D"/>
    <w:rsid w:val="00C55AC9"/>
    <w:rsid w:val="00C61A25"/>
    <w:rsid w:val="00C6220B"/>
    <w:rsid w:val="00C6236D"/>
    <w:rsid w:val="00C63320"/>
    <w:rsid w:val="00C635F3"/>
    <w:rsid w:val="00C63CF2"/>
    <w:rsid w:val="00C640B7"/>
    <w:rsid w:val="00C648FC"/>
    <w:rsid w:val="00C64BCF"/>
    <w:rsid w:val="00C64C81"/>
    <w:rsid w:val="00C64FE7"/>
    <w:rsid w:val="00C6514C"/>
    <w:rsid w:val="00C663BE"/>
    <w:rsid w:val="00C6671B"/>
    <w:rsid w:val="00C71858"/>
    <w:rsid w:val="00C722C5"/>
    <w:rsid w:val="00C74781"/>
    <w:rsid w:val="00C7649D"/>
    <w:rsid w:val="00C76E42"/>
    <w:rsid w:val="00C77EC9"/>
    <w:rsid w:val="00C80034"/>
    <w:rsid w:val="00C83EA7"/>
    <w:rsid w:val="00C8443A"/>
    <w:rsid w:val="00C84559"/>
    <w:rsid w:val="00C859D6"/>
    <w:rsid w:val="00C862C4"/>
    <w:rsid w:val="00C86B34"/>
    <w:rsid w:val="00C90879"/>
    <w:rsid w:val="00C915C8"/>
    <w:rsid w:val="00C9373E"/>
    <w:rsid w:val="00C945A0"/>
    <w:rsid w:val="00C95593"/>
    <w:rsid w:val="00C95BE8"/>
    <w:rsid w:val="00C9604F"/>
    <w:rsid w:val="00C9715E"/>
    <w:rsid w:val="00CA2022"/>
    <w:rsid w:val="00CA21C9"/>
    <w:rsid w:val="00CB0EAB"/>
    <w:rsid w:val="00CB18D2"/>
    <w:rsid w:val="00CB2969"/>
    <w:rsid w:val="00CB3C69"/>
    <w:rsid w:val="00CB4CEC"/>
    <w:rsid w:val="00CB57BF"/>
    <w:rsid w:val="00CB6365"/>
    <w:rsid w:val="00CC0B5A"/>
    <w:rsid w:val="00CC2DE4"/>
    <w:rsid w:val="00CC360E"/>
    <w:rsid w:val="00CC3CBF"/>
    <w:rsid w:val="00CC43AD"/>
    <w:rsid w:val="00CC48D6"/>
    <w:rsid w:val="00CC5DEB"/>
    <w:rsid w:val="00CC62BA"/>
    <w:rsid w:val="00CC6378"/>
    <w:rsid w:val="00CD0E30"/>
    <w:rsid w:val="00CD369D"/>
    <w:rsid w:val="00CD4A18"/>
    <w:rsid w:val="00CD6866"/>
    <w:rsid w:val="00CD7218"/>
    <w:rsid w:val="00CD76D4"/>
    <w:rsid w:val="00CD7893"/>
    <w:rsid w:val="00CE03CC"/>
    <w:rsid w:val="00CE2277"/>
    <w:rsid w:val="00CE5CEE"/>
    <w:rsid w:val="00CE603F"/>
    <w:rsid w:val="00CE7E6A"/>
    <w:rsid w:val="00CF030B"/>
    <w:rsid w:val="00CF0FBA"/>
    <w:rsid w:val="00CF1B66"/>
    <w:rsid w:val="00CF4294"/>
    <w:rsid w:val="00CF67A5"/>
    <w:rsid w:val="00CF6EB2"/>
    <w:rsid w:val="00D011A2"/>
    <w:rsid w:val="00D038BF"/>
    <w:rsid w:val="00D063BD"/>
    <w:rsid w:val="00D06B38"/>
    <w:rsid w:val="00D0750E"/>
    <w:rsid w:val="00D1033C"/>
    <w:rsid w:val="00D10354"/>
    <w:rsid w:val="00D10D23"/>
    <w:rsid w:val="00D11804"/>
    <w:rsid w:val="00D12EE7"/>
    <w:rsid w:val="00D13221"/>
    <w:rsid w:val="00D1373C"/>
    <w:rsid w:val="00D13E7E"/>
    <w:rsid w:val="00D16FD4"/>
    <w:rsid w:val="00D25A9F"/>
    <w:rsid w:val="00D27279"/>
    <w:rsid w:val="00D2734A"/>
    <w:rsid w:val="00D27C11"/>
    <w:rsid w:val="00D306AB"/>
    <w:rsid w:val="00D31B93"/>
    <w:rsid w:val="00D336DB"/>
    <w:rsid w:val="00D3469A"/>
    <w:rsid w:val="00D34A5C"/>
    <w:rsid w:val="00D35986"/>
    <w:rsid w:val="00D3789A"/>
    <w:rsid w:val="00D378D8"/>
    <w:rsid w:val="00D407B7"/>
    <w:rsid w:val="00D408B6"/>
    <w:rsid w:val="00D409B3"/>
    <w:rsid w:val="00D418FB"/>
    <w:rsid w:val="00D41E2D"/>
    <w:rsid w:val="00D4287D"/>
    <w:rsid w:val="00D4793C"/>
    <w:rsid w:val="00D515DB"/>
    <w:rsid w:val="00D56D95"/>
    <w:rsid w:val="00D576BD"/>
    <w:rsid w:val="00D617B7"/>
    <w:rsid w:val="00D65068"/>
    <w:rsid w:val="00D65243"/>
    <w:rsid w:val="00D658A1"/>
    <w:rsid w:val="00D7176B"/>
    <w:rsid w:val="00D738F0"/>
    <w:rsid w:val="00D73FDD"/>
    <w:rsid w:val="00D74E08"/>
    <w:rsid w:val="00D801E8"/>
    <w:rsid w:val="00D82CB3"/>
    <w:rsid w:val="00D82FC0"/>
    <w:rsid w:val="00D830F3"/>
    <w:rsid w:val="00D8322A"/>
    <w:rsid w:val="00D83C17"/>
    <w:rsid w:val="00D84FAF"/>
    <w:rsid w:val="00D84FD2"/>
    <w:rsid w:val="00D85885"/>
    <w:rsid w:val="00D8594A"/>
    <w:rsid w:val="00D87527"/>
    <w:rsid w:val="00D87652"/>
    <w:rsid w:val="00D90C23"/>
    <w:rsid w:val="00D91ED7"/>
    <w:rsid w:val="00D92D08"/>
    <w:rsid w:val="00D9372E"/>
    <w:rsid w:val="00D947F0"/>
    <w:rsid w:val="00D94EA1"/>
    <w:rsid w:val="00D963CC"/>
    <w:rsid w:val="00D96E06"/>
    <w:rsid w:val="00DA1FCD"/>
    <w:rsid w:val="00DA2F64"/>
    <w:rsid w:val="00DA3A4F"/>
    <w:rsid w:val="00DA42C0"/>
    <w:rsid w:val="00DA52A2"/>
    <w:rsid w:val="00DA5E27"/>
    <w:rsid w:val="00DA73EE"/>
    <w:rsid w:val="00DA7E2F"/>
    <w:rsid w:val="00DB0C0B"/>
    <w:rsid w:val="00DB1979"/>
    <w:rsid w:val="00DB20EA"/>
    <w:rsid w:val="00DB31E7"/>
    <w:rsid w:val="00DB3A66"/>
    <w:rsid w:val="00DB4A78"/>
    <w:rsid w:val="00DB4BEF"/>
    <w:rsid w:val="00DB4F86"/>
    <w:rsid w:val="00DB7125"/>
    <w:rsid w:val="00DB78B2"/>
    <w:rsid w:val="00DB7D9A"/>
    <w:rsid w:val="00DC076C"/>
    <w:rsid w:val="00DC1792"/>
    <w:rsid w:val="00DC230C"/>
    <w:rsid w:val="00DC301A"/>
    <w:rsid w:val="00DC5FF8"/>
    <w:rsid w:val="00DC6AEA"/>
    <w:rsid w:val="00DC7377"/>
    <w:rsid w:val="00DC7A4D"/>
    <w:rsid w:val="00DD0974"/>
    <w:rsid w:val="00DD3114"/>
    <w:rsid w:val="00DD3BE6"/>
    <w:rsid w:val="00DD4849"/>
    <w:rsid w:val="00DD7BE8"/>
    <w:rsid w:val="00DD7CDB"/>
    <w:rsid w:val="00DE09AE"/>
    <w:rsid w:val="00DE0FC0"/>
    <w:rsid w:val="00DE2593"/>
    <w:rsid w:val="00DE3A31"/>
    <w:rsid w:val="00DE4715"/>
    <w:rsid w:val="00DE4A83"/>
    <w:rsid w:val="00DE5182"/>
    <w:rsid w:val="00DE55CA"/>
    <w:rsid w:val="00DF1C93"/>
    <w:rsid w:val="00DF1E5D"/>
    <w:rsid w:val="00DF26A0"/>
    <w:rsid w:val="00DF2ABA"/>
    <w:rsid w:val="00DF419C"/>
    <w:rsid w:val="00DF449A"/>
    <w:rsid w:val="00DF4FA8"/>
    <w:rsid w:val="00DF51C5"/>
    <w:rsid w:val="00DF651D"/>
    <w:rsid w:val="00DF70CC"/>
    <w:rsid w:val="00DF72C7"/>
    <w:rsid w:val="00DF7F9A"/>
    <w:rsid w:val="00E002EF"/>
    <w:rsid w:val="00E00C6B"/>
    <w:rsid w:val="00E03246"/>
    <w:rsid w:val="00E03508"/>
    <w:rsid w:val="00E03C0E"/>
    <w:rsid w:val="00E050D1"/>
    <w:rsid w:val="00E05B93"/>
    <w:rsid w:val="00E06E09"/>
    <w:rsid w:val="00E073C2"/>
    <w:rsid w:val="00E07BCC"/>
    <w:rsid w:val="00E10A7C"/>
    <w:rsid w:val="00E1123F"/>
    <w:rsid w:val="00E12D1C"/>
    <w:rsid w:val="00E13A3C"/>
    <w:rsid w:val="00E16370"/>
    <w:rsid w:val="00E16412"/>
    <w:rsid w:val="00E165DD"/>
    <w:rsid w:val="00E16ADB"/>
    <w:rsid w:val="00E227C3"/>
    <w:rsid w:val="00E22843"/>
    <w:rsid w:val="00E22B15"/>
    <w:rsid w:val="00E264B4"/>
    <w:rsid w:val="00E26881"/>
    <w:rsid w:val="00E2713B"/>
    <w:rsid w:val="00E275C0"/>
    <w:rsid w:val="00E32DDF"/>
    <w:rsid w:val="00E33108"/>
    <w:rsid w:val="00E34501"/>
    <w:rsid w:val="00E34706"/>
    <w:rsid w:val="00E34838"/>
    <w:rsid w:val="00E36F0F"/>
    <w:rsid w:val="00E43ABE"/>
    <w:rsid w:val="00E445BD"/>
    <w:rsid w:val="00E4665E"/>
    <w:rsid w:val="00E47A5F"/>
    <w:rsid w:val="00E507A5"/>
    <w:rsid w:val="00E528D2"/>
    <w:rsid w:val="00E56B1A"/>
    <w:rsid w:val="00E56D69"/>
    <w:rsid w:val="00E601CE"/>
    <w:rsid w:val="00E60B07"/>
    <w:rsid w:val="00E62303"/>
    <w:rsid w:val="00E62441"/>
    <w:rsid w:val="00E630A8"/>
    <w:rsid w:val="00E636B7"/>
    <w:rsid w:val="00E63879"/>
    <w:rsid w:val="00E65FEA"/>
    <w:rsid w:val="00E66073"/>
    <w:rsid w:val="00E67A06"/>
    <w:rsid w:val="00E72689"/>
    <w:rsid w:val="00E72FB1"/>
    <w:rsid w:val="00E730AA"/>
    <w:rsid w:val="00E731A1"/>
    <w:rsid w:val="00E748FD"/>
    <w:rsid w:val="00E75FE0"/>
    <w:rsid w:val="00E766E3"/>
    <w:rsid w:val="00E76F52"/>
    <w:rsid w:val="00E82B54"/>
    <w:rsid w:val="00E86C2A"/>
    <w:rsid w:val="00E90A76"/>
    <w:rsid w:val="00E91EBD"/>
    <w:rsid w:val="00E92290"/>
    <w:rsid w:val="00E92A90"/>
    <w:rsid w:val="00E937B5"/>
    <w:rsid w:val="00E9442F"/>
    <w:rsid w:val="00E969D2"/>
    <w:rsid w:val="00E96E28"/>
    <w:rsid w:val="00EA08EA"/>
    <w:rsid w:val="00EA0CA1"/>
    <w:rsid w:val="00EA206F"/>
    <w:rsid w:val="00EA28BC"/>
    <w:rsid w:val="00EA3249"/>
    <w:rsid w:val="00EA5118"/>
    <w:rsid w:val="00EA68B6"/>
    <w:rsid w:val="00EA694D"/>
    <w:rsid w:val="00EB045F"/>
    <w:rsid w:val="00EB0DF0"/>
    <w:rsid w:val="00EB1A2C"/>
    <w:rsid w:val="00EB1DFD"/>
    <w:rsid w:val="00EB40DC"/>
    <w:rsid w:val="00EB743F"/>
    <w:rsid w:val="00EC064C"/>
    <w:rsid w:val="00EC0AA7"/>
    <w:rsid w:val="00EC0B78"/>
    <w:rsid w:val="00EC0BFA"/>
    <w:rsid w:val="00EC115D"/>
    <w:rsid w:val="00EC3328"/>
    <w:rsid w:val="00EC3934"/>
    <w:rsid w:val="00EC5748"/>
    <w:rsid w:val="00EC7352"/>
    <w:rsid w:val="00EC78F0"/>
    <w:rsid w:val="00ED1D9B"/>
    <w:rsid w:val="00ED2270"/>
    <w:rsid w:val="00ED512E"/>
    <w:rsid w:val="00EE048D"/>
    <w:rsid w:val="00EE0ACB"/>
    <w:rsid w:val="00EE107C"/>
    <w:rsid w:val="00EE1D06"/>
    <w:rsid w:val="00EE25F8"/>
    <w:rsid w:val="00EE280E"/>
    <w:rsid w:val="00EE32CB"/>
    <w:rsid w:val="00EE3E9C"/>
    <w:rsid w:val="00EE4C4C"/>
    <w:rsid w:val="00EE4D4C"/>
    <w:rsid w:val="00EE4FBE"/>
    <w:rsid w:val="00EF03FA"/>
    <w:rsid w:val="00EF1066"/>
    <w:rsid w:val="00EF29EE"/>
    <w:rsid w:val="00EF2E2B"/>
    <w:rsid w:val="00EF34D2"/>
    <w:rsid w:val="00EF4C26"/>
    <w:rsid w:val="00EF4F1D"/>
    <w:rsid w:val="00EF5693"/>
    <w:rsid w:val="00EF758E"/>
    <w:rsid w:val="00F0032B"/>
    <w:rsid w:val="00F0274F"/>
    <w:rsid w:val="00F02AE6"/>
    <w:rsid w:val="00F02E9D"/>
    <w:rsid w:val="00F0373D"/>
    <w:rsid w:val="00F04044"/>
    <w:rsid w:val="00F046C8"/>
    <w:rsid w:val="00F047AB"/>
    <w:rsid w:val="00F0503B"/>
    <w:rsid w:val="00F05DE1"/>
    <w:rsid w:val="00F07353"/>
    <w:rsid w:val="00F12147"/>
    <w:rsid w:val="00F13E45"/>
    <w:rsid w:val="00F142E2"/>
    <w:rsid w:val="00F147C6"/>
    <w:rsid w:val="00F16BC5"/>
    <w:rsid w:val="00F20600"/>
    <w:rsid w:val="00F20FBA"/>
    <w:rsid w:val="00F211E9"/>
    <w:rsid w:val="00F21705"/>
    <w:rsid w:val="00F22527"/>
    <w:rsid w:val="00F25E84"/>
    <w:rsid w:val="00F2703D"/>
    <w:rsid w:val="00F2706D"/>
    <w:rsid w:val="00F31178"/>
    <w:rsid w:val="00F3400B"/>
    <w:rsid w:val="00F35C44"/>
    <w:rsid w:val="00F360B3"/>
    <w:rsid w:val="00F370B9"/>
    <w:rsid w:val="00F375DF"/>
    <w:rsid w:val="00F37E49"/>
    <w:rsid w:val="00F40C05"/>
    <w:rsid w:val="00F40E86"/>
    <w:rsid w:val="00F425B3"/>
    <w:rsid w:val="00F44C78"/>
    <w:rsid w:val="00F459E6"/>
    <w:rsid w:val="00F46002"/>
    <w:rsid w:val="00F460E9"/>
    <w:rsid w:val="00F5061D"/>
    <w:rsid w:val="00F53441"/>
    <w:rsid w:val="00F53C70"/>
    <w:rsid w:val="00F60C62"/>
    <w:rsid w:val="00F617A3"/>
    <w:rsid w:val="00F628D8"/>
    <w:rsid w:val="00F6398D"/>
    <w:rsid w:val="00F645AF"/>
    <w:rsid w:val="00F66BC9"/>
    <w:rsid w:val="00F67907"/>
    <w:rsid w:val="00F67946"/>
    <w:rsid w:val="00F7108A"/>
    <w:rsid w:val="00F72E9F"/>
    <w:rsid w:val="00F735C8"/>
    <w:rsid w:val="00F739E9"/>
    <w:rsid w:val="00F75AB0"/>
    <w:rsid w:val="00F762D0"/>
    <w:rsid w:val="00F77E59"/>
    <w:rsid w:val="00F805CC"/>
    <w:rsid w:val="00F809DA"/>
    <w:rsid w:val="00F81620"/>
    <w:rsid w:val="00F837AA"/>
    <w:rsid w:val="00F84240"/>
    <w:rsid w:val="00F85237"/>
    <w:rsid w:val="00F87CD2"/>
    <w:rsid w:val="00F87DAE"/>
    <w:rsid w:val="00F9000A"/>
    <w:rsid w:val="00F9002A"/>
    <w:rsid w:val="00F9089C"/>
    <w:rsid w:val="00F90CC8"/>
    <w:rsid w:val="00F93E20"/>
    <w:rsid w:val="00F946E7"/>
    <w:rsid w:val="00F94E43"/>
    <w:rsid w:val="00F95884"/>
    <w:rsid w:val="00F97AFE"/>
    <w:rsid w:val="00FA0128"/>
    <w:rsid w:val="00FA0CBC"/>
    <w:rsid w:val="00FA14DD"/>
    <w:rsid w:val="00FA1786"/>
    <w:rsid w:val="00FA215F"/>
    <w:rsid w:val="00FA3191"/>
    <w:rsid w:val="00FA536E"/>
    <w:rsid w:val="00FA5AE3"/>
    <w:rsid w:val="00FA73DD"/>
    <w:rsid w:val="00FA7ADC"/>
    <w:rsid w:val="00FB03E9"/>
    <w:rsid w:val="00FB0CF0"/>
    <w:rsid w:val="00FB1361"/>
    <w:rsid w:val="00FB13C2"/>
    <w:rsid w:val="00FB1ED1"/>
    <w:rsid w:val="00FB2976"/>
    <w:rsid w:val="00FB39E0"/>
    <w:rsid w:val="00FB63C6"/>
    <w:rsid w:val="00FB7164"/>
    <w:rsid w:val="00FB76C5"/>
    <w:rsid w:val="00FC2414"/>
    <w:rsid w:val="00FC2C4D"/>
    <w:rsid w:val="00FC2E8B"/>
    <w:rsid w:val="00FC327A"/>
    <w:rsid w:val="00FC3F81"/>
    <w:rsid w:val="00FC44A1"/>
    <w:rsid w:val="00FC48CA"/>
    <w:rsid w:val="00FC4DEB"/>
    <w:rsid w:val="00FC77FF"/>
    <w:rsid w:val="00FC7E40"/>
    <w:rsid w:val="00FD0836"/>
    <w:rsid w:val="00FD35C1"/>
    <w:rsid w:val="00FD4B65"/>
    <w:rsid w:val="00FD4CC7"/>
    <w:rsid w:val="00FD6729"/>
    <w:rsid w:val="00FD7FE3"/>
    <w:rsid w:val="00FE0533"/>
    <w:rsid w:val="00FE2025"/>
    <w:rsid w:val="00FE2D9D"/>
    <w:rsid w:val="00FE4790"/>
    <w:rsid w:val="00FE49E3"/>
    <w:rsid w:val="00FE687A"/>
    <w:rsid w:val="00FE79C6"/>
    <w:rsid w:val="00FF0ACE"/>
    <w:rsid w:val="00FF0AD1"/>
    <w:rsid w:val="00FF25E7"/>
    <w:rsid w:val="00FF2F56"/>
    <w:rsid w:val="00FF3373"/>
    <w:rsid w:val="00FF4CD3"/>
    <w:rsid w:val="00FF529A"/>
    <w:rsid w:val="00FF5C9E"/>
    <w:rsid w:val="00FF6B46"/>
    <w:rsid w:val="00FF73FC"/>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7A4418CD"/>
  <w15:docId w15:val="{EC390302-D49A-4BBA-8160-0A026CF570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809DA"/>
  </w:style>
  <w:style w:type="paragraph" w:styleId="Ttulo1">
    <w:name w:val="heading 1"/>
    <w:basedOn w:val="Normal"/>
    <w:next w:val="Normal"/>
    <w:link w:val="Ttulo1Car"/>
    <w:uiPriority w:val="9"/>
    <w:qFormat/>
    <w:rsid w:val="005E55F2"/>
    <w:pPr>
      <w:keepNext/>
      <w:keepLines/>
      <w:spacing w:before="240" w:line="259" w:lineRule="auto"/>
      <w:outlineLvl w:val="0"/>
    </w:pPr>
    <w:rPr>
      <w:rFonts w:ascii="Palatino Linotype" w:eastAsiaTheme="majorEastAsia" w:hAnsi="Palatino Linotype" w:cstheme="majorBidi"/>
      <w:szCs w:val="32"/>
      <w:lang w:val="es-MX" w:eastAsia="en-US"/>
    </w:rPr>
  </w:style>
  <w:style w:type="paragraph" w:styleId="Ttulo2">
    <w:name w:val="heading 2"/>
    <w:basedOn w:val="Normal"/>
    <w:next w:val="Normal"/>
    <w:link w:val="Ttulo2Car"/>
    <w:uiPriority w:val="9"/>
    <w:unhideWhenUsed/>
    <w:qFormat/>
    <w:rsid w:val="00A349D2"/>
    <w:pPr>
      <w:keepNext/>
      <w:keepLines/>
      <w:spacing w:before="40" w:line="259" w:lineRule="auto"/>
      <w:outlineLvl w:val="1"/>
    </w:pPr>
    <w:rPr>
      <w:rFonts w:asciiTheme="majorHAnsi" w:eastAsiaTheme="majorEastAsia" w:hAnsiTheme="majorHAnsi" w:cstheme="majorBidi"/>
      <w:color w:val="365F91" w:themeColor="accent1" w:themeShade="BF"/>
      <w:sz w:val="26"/>
      <w:szCs w:val="26"/>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1F1403"/>
    <w:pPr>
      <w:tabs>
        <w:tab w:val="right" w:leader="dot" w:pos="8828"/>
      </w:tabs>
      <w:spacing w:after="100" w:line="480" w:lineRule="auto"/>
      <w:ind w:left="566"/>
    </w:pPr>
  </w:style>
  <w:style w:type="paragraph" w:styleId="TDC2">
    <w:name w:val="toc 2"/>
    <w:basedOn w:val="Normal"/>
    <w:next w:val="Normal"/>
    <w:autoRedefine/>
    <w:uiPriority w:val="39"/>
    <w:unhideWhenUsed/>
    <w:rsid w:val="00D038BF"/>
    <w:pPr>
      <w:tabs>
        <w:tab w:val="right" w:leader="dot" w:pos="9676"/>
      </w:tabs>
      <w:spacing w:after="100" w:line="480" w:lineRule="auto"/>
      <w:ind w:left="567" w:hanging="1"/>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5E55F2"/>
    <w:rPr>
      <w:rFonts w:ascii="Palatino Linotype" w:eastAsiaTheme="majorEastAsia" w:hAnsi="Palatino Linotype" w:cstheme="majorBidi"/>
      <w:szCs w:val="32"/>
      <w:lang w:val="es-MX" w:eastAsia="en-US"/>
    </w:rPr>
  </w:style>
  <w:style w:type="character" w:customStyle="1" w:styleId="Ttulo2Car">
    <w:name w:val="Título 2 Car"/>
    <w:basedOn w:val="Fuentedeprrafopredeter"/>
    <w:link w:val="Ttulo2"/>
    <w:uiPriority w:val="9"/>
    <w:rsid w:val="00A349D2"/>
    <w:rPr>
      <w:rFonts w:asciiTheme="majorHAnsi" w:eastAsiaTheme="majorEastAsia" w:hAnsiTheme="majorHAnsi" w:cstheme="majorBidi"/>
      <w:color w:val="365F91" w:themeColor="accent1" w:themeShade="BF"/>
      <w:sz w:val="26"/>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
    <w:basedOn w:val="Normal"/>
    <w:link w:val="TextonotapieCar"/>
    <w:unhideWhenUsed/>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customStyle="1" w:styleId="normaltextrun">
    <w:name w:val="normaltextrun"/>
    <w:basedOn w:val="Fuentedeprrafopredeter"/>
    <w:rsid w:val="00E22843"/>
  </w:style>
  <w:style w:type="paragraph" w:styleId="NormalWeb">
    <w:name w:val="Normal (Web)"/>
    <w:basedOn w:val="Normal"/>
    <w:uiPriority w:val="99"/>
    <w:rsid w:val="00810F94"/>
    <w:pPr>
      <w:spacing w:before="100" w:beforeAutospacing="1" w:after="100" w:afterAutospacing="1"/>
    </w:pPr>
    <w:rPr>
      <w:rFonts w:ascii="Times New Roman" w:eastAsia="Times New Roman" w:hAnsi="Times New Roman" w:cs="Times New Roman"/>
      <w:lang w:val="es-ES"/>
    </w:rPr>
  </w:style>
  <w:style w:type="character" w:styleId="Textoennegrita">
    <w:name w:val="Strong"/>
    <w:uiPriority w:val="22"/>
    <w:qFormat/>
    <w:rsid w:val="00007E8A"/>
    <w:rPr>
      <w:b/>
      <w:bCs/>
    </w:rPr>
  </w:style>
  <w:style w:type="paragraph" w:customStyle="1" w:styleId="Default">
    <w:name w:val="Default"/>
    <w:rsid w:val="00007E8A"/>
    <w:pPr>
      <w:autoSpaceDE w:val="0"/>
      <w:autoSpaceDN w:val="0"/>
      <w:adjustRightInd w:val="0"/>
    </w:pPr>
    <w:rPr>
      <w:rFonts w:ascii="Arial" w:eastAsiaTheme="minorHAnsi" w:hAnsi="Arial" w:cs="Arial"/>
      <w:color w:val="000000"/>
      <w:lang w:val="es-MX" w:eastAsia="en-US"/>
    </w:rPr>
  </w:style>
  <w:style w:type="character" w:customStyle="1" w:styleId="SinespaciadoCar">
    <w:name w:val="Sin espaciado Car"/>
    <w:aliases w:val="Francesa Car"/>
    <w:link w:val="Sinespaciado"/>
    <w:uiPriority w:val="1"/>
    <w:locked/>
    <w:rsid w:val="009C0940"/>
  </w:style>
  <w:style w:type="table" w:styleId="Tablanormal1">
    <w:name w:val="Plain Table 1"/>
    <w:basedOn w:val="Tablanormal"/>
    <w:uiPriority w:val="41"/>
    <w:rsid w:val="00BD02D5"/>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j">
    <w:name w:val="j"/>
    <w:basedOn w:val="Normal"/>
    <w:rsid w:val="00BD02D5"/>
    <w:pPr>
      <w:spacing w:before="100" w:beforeAutospacing="1" w:after="100" w:afterAutospacing="1"/>
    </w:pPr>
    <w:rPr>
      <w:rFonts w:ascii="Times New Roman" w:eastAsiaTheme="minorHAnsi" w:hAnsi="Times New Roman" w:cs="Times New Roman"/>
      <w:lang w:eastAsia="es-ES_tradnl"/>
    </w:rPr>
  </w:style>
  <w:style w:type="character" w:customStyle="1" w:styleId="apple-style-span">
    <w:name w:val="apple-style-span"/>
    <w:rsid w:val="00847830"/>
  </w:style>
  <w:style w:type="paragraph" w:styleId="Revisin">
    <w:name w:val="Revision"/>
    <w:hidden/>
    <w:uiPriority w:val="99"/>
    <w:semiHidden/>
    <w:rsid w:val="008A0522"/>
  </w:style>
  <w:style w:type="paragraph" w:customStyle="1" w:styleId="Texto">
    <w:name w:val="Texto"/>
    <w:basedOn w:val="Normal"/>
    <w:link w:val="TextoCar"/>
    <w:rsid w:val="006F672F"/>
    <w:pPr>
      <w:spacing w:after="101" w:line="216" w:lineRule="exact"/>
      <w:ind w:firstLine="288"/>
      <w:jc w:val="both"/>
    </w:pPr>
    <w:rPr>
      <w:rFonts w:ascii="Arial" w:eastAsia="Times New Roman" w:hAnsi="Arial" w:cs="Arial"/>
      <w:sz w:val="18"/>
      <w:szCs w:val="20"/>
      <w:lang w:val="es-ES"/>
    </w:rPr>
  </w:style>
  <w:style w:type="paragraph" w:styleId="Textosinformato">
    <w:name w:val="Plain Text"/>
    <w:basedOn w:val="Normal"/>
    <w:link w:val="TextosinformatoCar"/>
    <w:rsid w:val="006F672F"/>
    <w:rPr>
      <w:rFonts w:ascii="Courier New" w:eastAsia="Times New Roman" w:hAnsi="Courier New" w:cs="Courier New"/>
      <w:sz w:val="20"/>
      <w:szCs w:val="20"/>
      <w:lang w:val="es-ES"/>
    </w:rPr>
  </w:style>
  <w:style w:type="character" w:customStyle="1" w:styleId="TextosinformatoCar">
    <w:name w:val="Texto sin formato Car"/>
    <w:basedOn w:val="Fuentedeprrafopredeter"/>
    <w:link w:val="Textosinformato"/>
    <w:rsid w:val="006F672F"/>
    <w:rPr>
      <w:rFonts w:ascii="Courier New" w:eastAsia="Times New Roman" w:hAnsi="Courier New" w:cs="Courier New"/>
      <w:sz w:val="20"/>
      <w:szCs w:val="20"/>
      <w:lang w:val="es-ES"/>
    </w:rPr>
  </w:style>
  <w:style w:type="character" w:customStyle="1" w:styleId="TextoCar">
    <w:name w:val="Texto Car"/>
    <w:link w:val="Texto"/>
    <w:locked/>
    <w:rsid w:val="006F672F"/>
    <w:rPr>
      <w:rFonts w:ascii="Arial" w:eastAsia="Times New Roman" w:hAnsi="Arial" w:cs="Arial"/>
      <w:sz w:val="18"/>
      <w:szCs w:val="20"/>
      <w:lang w:val="es-ES"/>
    </w:rPr>
  </w:style>
  <w:style w:type="table" w:customStyle="1" w:styleId="Tablaconcuadrcula11">
    <w:name w:val="Tabla con cuadrícula11"/>
    <w:basedOn w:val="Tablanormal"/>
    <w:next w:val="Tablaconcuadrcula"/>
    <w:uiPriority w:val="59"/>
    <w:rsid w:val="00CE2277"/>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0F0705"/>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39"/>
    <w:rsid w:val="007D74D6"/>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39"/>
    <w:rsid w:val="00967C35"/>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5">
    <w:name w:val="Tabla con cuadrícula5"/>
    <w:basedOn w:val="Tablanormal"/>
    <w:next w:val="Tablaconcuadrcula"/>
    <w:uiPriority w:val="39"/>
    <w:rsid w:val="00967C35"/>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6">
    <w:name w:val="Tabla con cuadrícula6"/>
    <w:basedOn w:val="Tablanormal"/>
    <w:next w:val="Tablaconcuadrcula"/>
    <w:uiPriority w:val="39"/>
    <w:rsid w:val="00967C35"/>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7">
    <w:name w:val="Tabla con cuadrícula7"/>
    <w:basedOn w:val="Tablanormal"/>
    <w:next w:val="Tablaconcuadrcula"/>
    <w:uiPriority w:val="39"/>
    <w:rsid w:val="00F0274F"/>
    <w:rPr>
      <w:rFonts w:eastAsia="MS Minch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next w:val="Tablaconcuadrcula"/>
    <w:uiPriority w:val="39"/>
    <w:rsid w:val="00F0274F"/>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21">
    <w:name w:val="Tabla con cuadrícula121"/>
    <w:basedOn w:val="Tablanormal"/>
    <w:next w:val="Tablaconcuadrcula"/>
    <w:uiPriority w:val="59"/>
    <w:rsid w:val="00C6671B"/>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next w:val="Tablaconcuadrcula"/>
    <w:uiPriority w:val="39"/>
    <w:rsid w:val="003F33D8"/>
    <w:rPr>
      <w:rFonts w:eastAsia="Calibri"/>
      <w:sz w:val="22"/>
      <w:szCs w:val="22"/>
      <w:lang w:val="es-MX"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583409">
      <w:bodyDiv w:val="1"/>
      <w:marLeft w:val="0"/>
      <w:marRight w:val="0"/>
      <w:marTop w:val="0"/>
      <w:marBottom w:val="0"/>
      <w:divBdr>
        <w:top w:val="none" w:sz="0" w:space="0" w:color="auto"/>
        <w:left w:val="none" w:sz="0" w:space="0" w:color="auto"/>
        <w:bottom w:val="none" w:sz="0" w:space="0" w:color="auto"/>
        <w:right w:val="none" w:sz="0" w:space="0" w:color="auto"/>
      </w:divBdr>
    </w:div>
    <w:div w:id="32922374">
      <w:bodyDiv w:val="1"/>
      <w:marLeft w:val="0"/>
      <w:marRight w:val="0"/>
      <w:marTop w:val="0"/>
      <w:marBottom w:val="0"/>
      <w:divBdr>
        <w:top w:val="none" w:sz="0" w:space="0" w:color="auto"/>
        <w:left w:val="none" w:sz="0" w:space="0" w:color="auto"/>
        <w:bottom w:val="none" w:sz="0" w:space="0" w:color="auto"/>
        <w:right w:val="none" w:sz="0" w:space="0" w:color="auto"/>
      </w:divBdr>
    </w:div>
    <w:div w:id="38287554">
      <w:bodyDiv w:val="1"/>
      <w:marLeft w:val="0"/>
      <w:marRight w:val="0"/>
      <w:marTop w:val="0"/>
      <w:marBottom w:val="0"/>
      <w:divBdr>
        <w:top w:val="none" w:sz="0" w:space="0" w:color="auto"/>
        <w:left w:val="none" w:sz="0" w:space="0" w:color="auto"/>
        <w:bottom w:val="none" w:sz="0" w:space="0" w:color="auto"/>
        <w:right w:val="none" w:sz="0" w:space="0" w:color="auto"/>
      </w:divBdr>
    </w:div>
    <w:div w:id="46615807">
      <w:bodyDiv w:val="1"/>
      <w:marLeft w:val="0"/>
      <w:marRight w:val="0"/>
      <w:marTop w:val="0"/>
      <w:marBottom w:val="0"/>
      <w:divBdr>
        <w:top w:val="none" w:sz="0" w:space="0" w:color="auto"/>
        <w:left w:val="none" w:sz="0" w:space="0" w:color="auto"/>
        <w:bottom w:val="none" w:sz="0" w:space="0" w:color="auto"/>
        <w:right w:val="none" w:sz="0" w:space="0" w:color="auto"/>
      </w:divBdr>
    </w:div>
    <w:div w:id="48504307">
      <w:bodyDiv w:val="1"/>
      <w:marLeft w:val="0"/>
      <w:marRight w:val="0"/>
      <w:marTop w:val="0"/>
      <w:marBottom w:val="0"/>
      <w:divBdr>
        <w:top w:val="none" w:sz="0" w:space="0" w:color="auto"/>
        <w:left w:val="none" w:sz="0" w:space="0" w:color="auto"/>
        <w:bottom w:val="none" w:sz="0" w:space="0" w:color="auto"/>
        <w:right w:val="none" w:sz="0" w:space="0" w:color="auto"/>
      </w:divBdr>
    </w:div>
    <w:div w:id="66154740">
      <w:bodyDiv w:val="1"/>
      <w:marLeft w:val="0"/>
      <w:marRight w:val="0"/>
      <w:marTop w:val="0"/>
      <w:marBottom w:val="0"/>
      <w:divBdr>
        <w:top w:val="none" w:sz="0" w:space="0" w:color="auto"/>
        <w:left w:val="none" w:sz="0" w:space="0" w:color="auto"/>
        <w:bottom w:val="none" w:sz="0" w:space="0" w:color="auto"/>
        <w:right w:val="none" w:sz="0" w:space="0" w:color="auto"/>
      </w:divBdr>
    </w:div>
    <w:div w:id="104932359">
      <w:bodyDiv w:val="1"/>
      <w:marLeft w:val="0"/>
      <w:marRight w:val="0"/>
      <w:marTop w:val="0"/>
      <w:marBottom w:val="0"/>
      <w:divBdr>
        <w:top w:val="none" w:sz="0" w:space="0" w:color="auto"/>
        <w:left w:val="none" w:sz="0" w:space="0" w:color="auto"/>
        <w:bottom w:val="none" w:sz="0" w:space="0" w:color="auto"/>
        <w:right w:val="none" w:sz="0" w:space="0" w:color="auto"/>
      </w:divBdr>
    </w:div>
    <w:div w:id="119886052">
      <w:bodyDiv w:val="1"/>
      <w:marLeft w:val="0"/>
      <w:marRight w:val="0"/>
      <w:marTop w:val="0"/>
      <w:marBottom w:val="0"/>
      <w:divBdr>
        <w:top w:val="none" w:sz="0" w:space="0" w:color="auto"/>
        <w:left w:val="none" w:sz="0" w:space="0" w:color="auto"/>
        <w:bottom w:val="none" w:sz="0" w:space="0" w:color="auto"/>
        <w:right w:val="none" w:sz="0" w:space="0" w:color="auto"/>
      </w:divBdr>
    </w:div>
    <w:div w:id="120853224">
      <w:bodyDiv w:val="1"/>
      <w:marLeft w:val="0"/>
      <w:marRight w:val="0"/>
      <w:marTop w:val="0"/>
      <w:marBottom w:val="0"/>
      <w:divBdr>
        <w:top w:val="none" w:sz="0" w:space="0" w:color="auto"/>
        <w:left w:val="none" w:sz="0" w:space="0" w:color="auto"/>
        <w:bottom w:val="none" w:sz="0" w:space="0" w:color="auto"/>
        <w:right w:val="none" w:sz="0" w:space="0" w:color="auto"/>
      </w:divBdr>
    </w:div>
    <w:div w:id="140119863">
      <w:bodyDiv w:val="1"/>
      <w:marLeft w:val="0"/>
      <w:marRight w:val="0"/>
      <w:marTop w:val="0"/>
      <w:marBottom w:val="0"/>
      <w:divBdr>
        <w:top w:val="none" w:sz="0" w:space="0" w:color="auto"/>
        <w:left w:val="none" w:sz="0" w:space="0" w:color="auto"/>
        <w:bottom w:val="none" w:sz="0" w:space="0" w:color="auto"/>
        <w:right w:val="none" w:sz="0" w:space="0" w:color="auto"/>
      </w:divBdr>
    </w:div>
    <w:div w:id="159007640">
      <w:bodyDiv w:val="1"/>
      <w:marLeft w:val="0"/>
      <w:marRight w:val="0"/>
      <w:marTop w:val="0"/>
      <w:marBottom w:val="0"/>
      <w:divBdr>
        <w:top w:val="none" w:sz="0" w:space="0" w:color="auto"/>
        <w:left w:val="none" w:sz="0" w:space="0" w:color="auto"/>
        <w:bottom w:val="none" w:sz="0" w:space="0" w:color="auto"/>
        <w:right w:val="none" w:sz="0" w:space="0" w:color="auto"/>
      </w:divBdr>
    </w:div>
    <w:div w:id="240408997">
      <w:bodyDiv w:val="1"/>
      <w:marLeft w:val="0"/>
      <w:marRight w:val="0"/>
      <w:marTop w:val="0"/>
      <w:marBottom w:val="0"/>
      <w:divBdr>
        <w:top w:val="none" w:sz="0" w:space="0" w:color="auto"/>
        <w:left w:val="none" w:sz="0" w:space="0" w:color="auto"/>
        <w:bottom w:val="none" w:sz="0" w:space="0" w:color="auto"/>
        <w:right w:val="none" w:sz="0" w:space="0" w:color="auto"/>
      </w:divBdr>
    </w:div>
    <w:div w:id="270941771">
      <w:bodyDiv w:val="1"/>
      <w:marLeft w:val="0"/>
      <w:marRight w:val="0"/>
      <w:marTop w:val="0"/>
      <w:marBottom w:val="0"/>
      <w:divBdr>
        <w:top w:val="none" w:sz="0" w:space="0" w:color="auto"/>
        <w:left w:val="none" w:sz="0" w:space="0" w:color="auto"/>
        <w:bottom w:val="none" w:sz="0" w:space="0" w:color="auto"/>
        <w:right w:val="none" w:sz="0" w:space="0" w:color="auto"/>
      </w:divBdr>
    </w:div>
    <w:div w:id="278730725">
      <w:bodyDiv w:val="1"/>
      <w:marLeft w:val="0"/>
      <w:marRight w:val="0"/>
      <w:marTop w:val="0"/>
      <w:marBottom w:val="0"/>
      <w:divBdr>
        <w:top w:val="none" w:sz="0" w:space="0" w:color="auto"/>
        <w:left w:val="none" w:sz="0" w:space="0" w:color="auto"/>
        <w:bottom w:val="none" w:sz="0" w:space="0" w:color="auto"/>
        <w:right w:val="none" w:sz="0" w:space="0" w:color="auto"/>
      </w:divBdr>
    </w:div>
    <w:div w:id="292566760">
      <w:bodyDiv w:val="1"/>
      <w:marLeft w:val="0"/>
      <w:marRight w:val="0"/>
      <w:marTop w:val="0"/>
      <w:marBottom w:val="0"/>
      <w:divBdr>
        <w:top w:val="none" w:sz="0" w:space="0" w:color="auto"/>
        <w:left w:val="none" w:sz="0" w:space="0" w:color="auto"/>
        <w:bottom w:val="none" w:sz="0" w:space="0" w:color="auto"/>
        <w:right w:val="none" w:sz="0" w:space="0" w:color="auto"/>
      </w:divBdr>
    </w:div>
    <w:div w:id="304890767">
      <w:bodyDiv w:val="1"/>
      <w:marLeft w:val="0"/>
      <w:marRight w:val="0"/>
      <w:marTop w:val="0"/>
      <w:marBottom w:val="0"/>
      <w:divBdr>
        <w:top w:val="none" w:sz="0" w:space="0" w:color="auto"/>
        <w:left w:val="none" w:sz="0" w:space="0" w:color="auto"/>
        <w:bottom w:val="none" w:sz="0" w:space="0" w:color="auto"/>
        <w:right w:val="none" w:sz="0" w:space="0" w:color="auto"/>
      </w:divBdr>
    </w:div>
    <w:div w:id="332268041">
      <w:bodyDiv w:val="1"/>
      <w:marLeft w:val="0"/>
      <w:marRight w:val="0"/>
      <w:marTop w:val="0"/>
      <w:marBottom w:val="0"/>
      <w:divBdr>
        <w:top w:val="none" w:sz="0" w:space="0" w:color="auto"/>
        <w:left w:val="none" w:sz="0" w:space="0" w:color="auto"/>
        <w:bottom w:val="none" w:sz="0" w:space="0" w:color="auto"/>
        <w:right w:val="none" w:sz="0" w:space="0" w:color="auto"/>
      </w:divBdr>
    </w:div>
    <w:div w:id="342900647">
      <w:bodyDiv w:val="1"/>
      <w:marLeft w:val="0"/>
      <w:marRight w:val="0"/>
      <w:marTop w:val="0"/>
      <w:marBottom w:val="0"/>
      <w:divBdr>
        <w:top w:val="none" w:sz="0" w:space="0" w:color="auto"/>
        <w:left w:val="none" w:sz="0" w:space="0" w:color="auto"/>
        <w:bottom w:val="none" w:sz="0" w:space="0" w:color="auto"/>
        <w:right w:val="none" w:sz="0" w:space="0" w:color="auto"/>
      </w:divBdr>
    </w:div>
    <w:div w:id="357436094">
      <w:bodyDiv w:val="1"/>
      <w:marLeft w:val="0"/>
      <w:marRight w:val="0"/>
      <w:marTop w:val="0"/>
      <w:marBottom w:val="0"/>
      <w:divBdr>
        <w:top w:val="none" w:sz="0" w:space="0" w:color="auto"/>
        <w:left w:val="none" w:sz="0" w:space="0" w:color="auto"/>
        <w:bottom w:val="none" w:sz="0" w:space="0" w:color="auto"/>
        <w:right w:val="none" w:sz="0" w:space="0" w:color="auto"/>
      </w:divBdr>
    </w:div>
    <w:div w:id="362485198">
      <w:bodyDiv w:val="1"/>
      <w:marLeft w:val="0"/>
      <w:marRight w:val="0"/>
      <w:marTop w:val="0"/>
      <w:marBottom w:val="0"/>
      <w:divBdr>
        <w:top w:val="none" w:sz="0" w:space="0" w:color="auto"/>
        <w:left w:val="none" w:sz="0" w:space="0" w:color="auto"/>
        <w:bottom w:val="none" w:sz="0" w:space="0" w:color="auto"/>
        <w:right w:val="none" w:sz="0" w:space="0" w:color="auto"/>
      </w:divBdr>
    </w:div>
    <w:div w:id="396048973">
      <w:bodyDiv w:val="1"/>
      <w:marLeft w:val="0"/>
      <w:marRight w:val="0"/>
      <w:marTop w:val="0"/>
      <w:marBottom w:val="0"/>
      <w:divBdr>
        <w:top w:val="none" w:sz="0" w:space="0" w:color="auto"/>
        <w:left w:val="none" w:sz="0" w:space="0" w:color="auto"/>
        <w:bottom w:val="none" w:sz="0" w:space="0" w:color="auto"/>
        <w:right w:val="none" w:sz="0" w:space="0" w:color="auto"/>
      </w:divBdr>
    </w:div>
    <w:div w:id="419721336">
      <w:bodyDiv w:val="1"/>
      <w:marLeft w:val="0"/>
      <w:marRight w:val="0"/>
      <w:marTop w:val="0"/>
      <w:marBottom w:val="0"/>
      <w:divBdr>
        <w:top w:val="none" w:sz="0" w:space="0" w:color="auto"/>
        <w:left w:val="none" w:sz="0" w:space="0" w:color="auto"/>
        <w:bottom w:val="none" w:sz="0" w:space="0" w:color="auto"/>
        <w:right w:val="none" w:sz="0" w:space="0" w:color="auto"/>
      </w:divBdr>
    </w:div>
    <w:div w:id="444815730">
      <w:bodyDiv w:val="1"/>
      <w:marLeft w:val="0"/>
      <w:marRight w:val="0"/>
      <w:marTop w:val="0"/>
      <w:marBottom w:val="0"/>
      <w:divBdr>
        <w:top w:val="none" w:sz="0" w:space="0" w:color="auto"/>
        <w:left w:val="none" w:sz="0" w:space="0" w:color="auto"/>
        <w:bottom w:val="none" w:sz="0" w:space="0" w:color="auto"/>
        <w:right w:val="none" w:sz="0" w:space="0" w:color="auto"/>
      </w:divBdr>
    </w:div>
    <w:div w:id="446895257">
      <w:bodyDiv w:val="1"/>
      <w:marLeft w:val="0"/>
      <w:marRight w:val="0"/>
      <w:marTop w:val="0"/>
      <w:marBottom w:val="0"/>
      <w:divBdr>
        <w:top w:val="none" w:sz="0" w:space="0" w:color="auto"/>
        <w:left w:val="none" w:sz="0" w:space="0" w:color="auto"/>
        <w:bottom w:val="none" w:sz="0" w:space="0" w:color="auto"/>
        <w:right w:val="none" w:sz="0" w:space="0" w:color="auto"/>
      </w:divBdr>
    </w:div>
    <w:div w:id="462161193">
      <w:bodyDiv w:val="1"/>
      <w:marLeft w:val="0"/>
      <w:marRight w:val="0"/>
      <w:marTop w:val="0"/>
      <w:marBottom w:val="0"/>
      <w:divBdr>
        <w:top w:val="none" w:sz="0" w:space="0" w:color="auto"/>
        <w:left w:val="none" w:sz="0" w:space="0" w:color="auto"/>
        <w:bottom w:val="none" w:sz="0" w:space="0" w:color="auto"/>
        <w:right w:val="none" w:sz="0" w:space="0" w:color="auto"/>
      </w:divBdr>
    </w:div>
    <w:div w:id="477845079">
      <w:bodyDiv w:val="1"/>
      <w:marLeft w:val="0"/>
      <w:marRight w:val="0"/>
      <w:marTop w:val="0"/>
      <w:marBottom w:val="0"/>
      <w:divBdr>
        <w:top w:val="none" w:sz="0" w:space="0" w:color="auto"/>
        <w:left w:val="none" w:sz="0" w:space="0" w:color="auto"/>
        <w:bottom w:val="none" w:sz="0" w:space="0" w:color="auto"/>
        <w:right w:val="none" w:sz="0" w:space="0" w:color="auto"/>
      </w:divBdr>
      <w:divsChild>
        <w:div w:id="333654423">
          <w:marLeft w:val="0"/>
          <w:marRight w:val="0"/>
          <w:marTop w:val="0"/>
          <w:marBottom w:val="0"/>
          <w:divBdr>
            <w:top w:val="none" w:sz="0" w:space="0" w:color="auto"/>
            <w:left w:val="none" w:sz="0" w:space="0" w:color="auto"/>
            <w:bottom w:val="none" w:sz="0" w:space="0" w:color="auto"/>
            <w:right w:val="none" w:sz="0" w:space="0" w:color="auto"/>
          </w:divBdr>
        </w:div>
      </w:divsChild>
    </w:div>
    <w:div w:id="504439549">
      <w:bodyDiv w:val="1"/>
      <w:marLeft w:val="0"/>
      <w:marRight w:val="0"/>
      <w:marTop w:val="0"/>
      <w:marBottom w:val="0"/>
      <w:divBdr>
        <w:top w:val="none" w:sz="0" w:space="0" w:color="auto"/>
        <w:left w:val="none" w:sz="0" w:space="0" w:color="auto"/>
        <w:bottom w:val="none" w:sz="0" w:space="0" w:color="auto"/>
        <w:right w:val="none" w:sz="0" w:space="0" w:color="auto"/>
      </w:divBdr>
    </w:div>
    <w:div w:id="515269536">
      <w:bodyDiv w:val="1"/>
      <w:marLeft w:val="0"/>
      <w:marRight w:val="0"/>
      <w:marTop w:val="0"/>
      <w:marBottom w:val="0"/>
      <w:divBdr>
        <w:top w:val="none" w:sz="0" w:space="0" w:color="auto"/>
        <w:left w:val="none" w:sz="0" w:space="0" w:color="auto"/>
        <w:bottom w:val="none" w:sz="0" w:space="0" w:color="auto"/>
        <w:right w:val="none" w:sz="0" w:space="0" w:color="auto"/>
      </w:divBdr>
    </w:div>
    <w:div w:id="516887906">
      <w:bodyDiv w:val="1"/>
      <w:marLeft w:val="0"/>
      <w:marRight w:val="0"/>
      <w:marTop w:val="0"/>
      <w:marBottom w:val="0"/>
      <w:divBdr>
        <w:top w:val="none" w:sz="0" w:space="0" w:color="auto"/>
        <w:left w:val="none" w:sz="0" w:space="0" w:color="auto"/>
        <w:bottom w:val="none" w:sz="0" w:space="0" w:color="auto"/>
        <w:right w:val="none" w:sz="0" w:space="0" w:color="auto"/>
      </w:divBdr>
    </w:div>
    <w:div w:id="527332751">
      <w:bodyDiv w:val="1"/>
      <w:marLeft w:val="0"/>
      <w:marRight w:val="0"/>
      <w:marTop w:val="0"/>
      <w:marBottom w:val="0"/>
      <w:divBdr>
        <w:top w:val="none" w:sz="0" w:space="0" w:color="auto"/>
        <w:left w:val="none" w:sz="0" w:space="0" w:color="auto"/>
        <w:bottom w:val="none" w:sz="0" w:space="0" w:color="auto"/>
        <w:right w:val="none" w:sz="0" w:space="0" w:color="auto"/>
      </w:divBdr>
    </w:div>
    <w:div w:id="535050367">
      <w:bodyDiv w:val="1"/>
      <w:marLeft w:val="0"/>
      <w:marRight w:val="0"/>
      <w:marTop w:val="0"/>
      <w:marBottom w:val="0"/>
      <w:divBdr>
        <w:top w:val="none" w:sz="0" w:space="0" w:color="auto"/>
        <w:left w:val="none" w:sz="0" w:space="0" w:color="auto"/>
        <w:bottom w:val="none" w:sz="0" w:space="0" w:color="auto"/>
        <w:right w:val="none" w:sz="0" w:space="0" w:color="auto"/>
      </w:divBdr>
    </w:div>
    <w:div w:id="573703655">
      <w:bodyDiv w:val="1"/>
      <w:marLeft w:val="0"/>
      <w:marRight w:val="0"/>
      <w:marTop w:val="0"/>
      <w:marBottom w:val="0"/>
      <w:divBdr>
        <w:top w:val="none" w:sz="0" w:space="0" w:color="auto"/>
        <w:left w:val="none" w:sz="0" w:space="0" w:color="auto"/>
        <w:bottom w:val="none" w:sz="0" w:space="0" w:color="auto"/>
        <w:right w:val="none" w:sz="0" w:space="0" w:color="auto"/>
      </w:divBdr>
    </w:div>
    <w:div w:id="642976400">
      <w:bodyDiv w:val="1"/>
      <w:marLeft w:val="0"/>
      <w:marRight w:val="0"/>
      <w:marTop w:val="0"/>
      <w:marBottom w:val="0"/>
      <w:divBdr>
        <w:top w:val="none" w:sz="0" w:space="0" w:color="auto"/>
        <w:left w:val="none" w:sz="0" w:space="0" w:color="auto"/>
        <w:bottom w:val="none" w:sz="0" w:space="0" w:color="auto"/>
        <w:right w:val="none" w:sz="0" w:space="0" w:color="auto"/>
      </w:divBdr>
    </w:div>
    <w:div w:id="650598379">
      <w:bodyDiv w:val="1"/>
      <w:marLeft w:val="0"/>
      <w:marRight w:val="0"/>
      <w:marTop w:val="0"/>
      <w:marBottom w:val="0"/>
      <w:divBdr>
        <w:top w:val="none" w:sz="0" w:space="0" w:color="auto"/>
        <w:left w:val="none" w:sz="0" w:space="0" w:color="auto"/>
        <w:bottom w:val="none" w:sz="0" w:space="0" w:color="auto"/>
        <w:right w:val="none" w:sz="0" w:space="0" w:color="auto"/>
      </w:divBdr>
    </w:div>
    <w:div w:id="693503042">
      <w:bodyDiv w:val="1"/>
      <w:marLeft w:val="0"/>
      <w:marRight w:val="0"/>
      <w:marTop w:val="0"/>
      <w:marBottom w:val="0"/>
      <w:divBdr>
        <w:top w:val="none" w:sz="0" w:space="0" w:color="auto"/>
        <w:left w:val="none" w:sz="0" w:space="0" w:color="auto"/>
        <w:bottom w:val="none" w:sz="0" w:space="0" w:color="auto"/>
        <w:right w:val="none" w:sz="0" w:space="0" w:color="auto"/>
      </w:divBdr>
    </w:div>
    <w:div w:id="700713403">
      <w:bodyDiv w:val="1"/>
      <w:marLeft w:val="0"/>
      <w:marRight w:val="0"/>
      <w:marTop w:val="0"/>
      <w:marBottom w:val="0"/>
      <w:divBdr>
        <w:top w:val="none" w:sz="0" w:space="0" w:color="auto"/>
        <w:left w:val="none" w:sz="0" w:space="0" w:color="auto"/>
        <w:bottom w:val="none" w:sz="0" w:space="0" w:color="auto"/>
        <w:right w:val="none" w:sz="0" w:space="0" w:color="auto"/>
      </w:divBdr>
    </w:div>
    <w:div w:id="714426373">
      <w:bodyDiv w:val="1"/>
      <w:marLeft w:val="0"/>
      <w:marRight w:val="0"/>
      <w:marTop w:val="0"/>
      <w:marBottom w:val="0"/>
      <w:divBdr>
        <w:top w:val="none" w:sz="0" w:space="0" w:color="auto"/>
        <w:left w:val="none" w:sz="0" w:space="0" w:color="auto"/>
        <w:bottom w:val="none" w:sz="0" w:space="0" w:color="auto"/>
        <w:right w:val="none" w:sz="0" w:space="0" w:color="auto"/>
      </w:divBdr>
    </w:div>
    <w:div w:id="729962205">
      <w:bodyDiv w:val="1"/>
      <w:marLeft w:val="0"/>
      <w:marRight w:val="0"/>
      <w:marTop w:val="0"/>
      <w:marBottom w:val="0"/>
      <w:divBdr>
        <w:top w:val="none" w:sz="0" w:space="0" w:color="auto"/>
        <w:left w:val="none" w:sz="0" w:space="0" w:color="auto"/>
        <w:bottom w:val="none" w:sz="0" w:space="0" w:color="auto"/>
        <w:right w:val="none" w:sz="0" w:space="0" w:color="auto"/>
      </w:divBdr>
    </w:div>
    <w:div w:id="767776966">
      <w:bodyDiv w:val="1"/>
      <w:marLeft w:val="0"/>
      <w:marRight w:val="0"/>
      <w:marTop w:val="0"/>
      <w:marBottom w:val="0"/>
      <w:divBdr>
        <w:top w:val="none" w:sz="0" w:space="0" w:color="auto"/>
        <w:left w:val="none" w:sz="0" w:space="0" w:color="auto"/>
        <w:bottom w:val="none" w:sz="0" w:space="0" w:color="auto"/>
        <w:right w:val="none" w:sz="0" w:space="0" w:color="auto"/>
      </w:divBdr>
    </w:div>
    <w:div w:id="803080162">
      <w:bodyDiv w:val="1"/>
      <w:marLeft w:val="0"/>
      <w:marRight w:val="0"/>
      <w:marTop w:val="0"/>
      <w:marBottom w:val="0"/>
      <w:divBdr>
        <w:top w:val="none" w:sz="0" w:space="0" w:color="auto"/>
        <w:left w:val="none" w:sz="0" w:space="0" w:color="auto"/>
        <w:bottom w:val="none" w:sz="0" w:space="0" w:color="auto"/>
        <w:right w:val="none" w:sz="0" w:space="0" w:color="auto"/>
      </w:divBdr>
    </w:div>
    <w:div w:id="825440502">
      <w:bodyDiv w:val="1"/>
      <w:marLeft w:val="0"/>
      <w:marRight w:val="0"/>
      <w:marTop w:val="0"/>
      <w:marBottom w:val="0"/>
      <w:divBdr>
        <w:top w:val="none" w:sz="0" w:space="0" w:color="auto"/>
        <w:left w:val="none" w:sz="0" w:space="0" w:color="auto"/>
        <w:bottom w:val="none" w:sz="0" w:space="0" w:color="auto"/>
        <w:right w:val="none" w:sz="0" w:space="0" w:color="auto"/>
      </w:divBdr>
      <w:divsChild>
        <w:div w:id="431822537">
          <w:marLeft w:val="0"/>
          <w:marRight w:val="0"/>
          <w:marTop w:val="0"/>
          <w:marBottom w:val="0"/>
          <w:divBdr>
            <w:top w:val="none" w:sz="0" w:space="0" w:color="auto"/>
            <w:left w:val="none" w:sz="0" w:space="0" w:color="auto"/>
            <w:bottom w:val="none" w:sz="0" w:space="0" w:color="auto"/>
            <w:right w:val="none" w:sz="0" w:space="0" w:color="auto"/>
          </w:divBdr>
          <w:divsChild>
            <w:div w:id="1490945959">
              <w:marLeft w:val="0"/>
              <w:marRight w:val="0"/>
              <w:marTop w:val="0"/>
              <w:marBottom w:val="0"/>
              <w:divBdr>
                <w:top w:val="none" w:sz="0" w:space="0" w:color="auto"/>
                <w:left w:val="none" w:sz="0" w:space="0" w:color="auto"/>
                <w:bottom w:val="none" w:sz="0" w:space="0" w:color="auto"/>
                <w:right w:val="none" w:sz="0" w:space="0" w:color="auto"/>
              </w:divBdr>
              <w:divsChild>
                <w:div w:id="1129862155">
                  <w:marLeft w:val="0"/>
                  <w:marRight w:val="0"/>
                  <w:marTop w:val="0"/>
                  <w:marBottom w:val="0"/>
                  <w:divBdr>
                    <w:top w:val="none" w:sz="0" w:space="0" w:color="auto"/>
                    <w:left w:val="none" w:sz="0" w:space="0" w:color="auto"/>
                    <w:bottom w:val="none" w:sz="0" w:space="0" w:color="auto"/>
                    <w:right w:val="none" w:sz="0" w:space="0" w:color="auto"/>
                  </w:divBdr>
                  <w:divsChild>
                    <w:div w:id="1361979587">
                      <w:marLeft w:val="0"/>
                      <w:marRight w:val="0"/>
                      <w:marTop w:val="0"/>
                      <w:marBottom w:val="0"/>
                      <w:divBdr>
                        <w:top w:val="none" w:sz="0" w:space="0" w:color="auto"/>
                        <w:left w:val="none" w:sz="0" w:space="0" w:color="auto"/>
                        <w:bottom w:val="none" w:sz="0" w:space="0" w:color="auto"/>
                        <w:right w:val="none" w:sz="0" w:space="0" w:color="auto"/>
                      </w:divBdr>
                      <w:divsChild>
                        <w:div w:id="820656658">
                          <w:marLeft w:val="0"/>
                          <w:marRight w:val="0"/>
                          <w:marTop w:val="0"/>
                          <w:marBottom w:val="0"/>
                          <w:divBdr>
                            <w:top w:val="none" w:sz="0" w:space="0" w:color="auto"/>
                            <w:left w:val="none" w:sz="0" w:space="0" w:color="auto"/>
                            <w:bottom w:val="none" w:sz="0" w:space="0" w:color="auto"/>
                            <w:right w:val="none" w:sz="0" w:space="0" w:color="auto"/>
                          </w:divBdr>
                          <w:divsChild>
                            <w:div w:id="1541090839">
                              <w:marLeft w:val="0"/>
                              <w:marRight w:val="0"/>
                              <w:marTop w:val="0"/>
                              <w:marBottom w:val="0"/>
                              <w:divBdr>
                                <w:top w:val="none" w:sz="0" w:space="0" w:color="auto"/>
                                <w:left w:val="none" w:sz="0" w:space="0" w:color="auto"/>
                                <w:bottom w:val="none" w:sz="0" w:space="0" w:color="auto"/>
                                <w:right w:val="none" w:sz="0" w:space="0" w:color="auto"/>
                              </w:divBdr>
                              <w:divsChild>
                                <w:div w:id="651564776">
                                  <w:marLeft w:val="0"/>
                                  <w:marRight w:val="0"/>
                                  <w:marTop w:val="0"/>
                                  <w:marBottom w:val="0"/>
                                  <w:divBdr>
                                    <w:top w:val="none" w:sz="0" w:space="0" w:color="auto"/>
                                    <w:left w:val="none" w:sz="0" w:space="0" w:color="auto"/>
                                    <w:bottom w:val="none" w:sz="0" w:space="0" w:color="auto"/>
                                    <w:right w:val="none" w:sz="0" w:space="0" w:color="auto"/>
                                  </w:divBdr>
                                  <w:divsChild>
                                    <w:div w:id="1808088803">
                                      <w:marLeft w:val="0"/>
                                      <w:marRight w:val="0"/>
                                      <w:marTop w:val="0"/>
                                      <w:marBottom w:val="0"/>
                                      <w:divBdr>
                                        <w:top w:val="none" w:sz="0" w:space="0" w:color="auto"/>
                                        <w:left w:val="none" w:sz="0" w:space="0" w:color="auto"/>
                                        <w:bottom w:val="none" w:sz="0" w:space="0" w:color="auto"/>
                                        <w:right w:val="none" w:sz="0" w:space="0" w:color="auto"/>
                                      </w:divBdr>
                                      <w:divsChild>
                                        <w:div w:id="1280141866">
                                          <w:marLeft w:val="0"/>
                                          <w:marRight w:val="0"/>
                                          <w:marTop w:val="0"/>
                                          <w:marBottom w:val="0"/>
                                          <w:divBdr>
                                            <w:top w:val="none" w:sz="0" w:space="0" w:color="auto"/>
                                            <w:left w:val="none" w:sz="0" w:space="0" w:color="auto"/>
                                            <w:bottom w:val="none" w:sz="0" w:space="0" w:color="auto"/>
                                            <w:right w:val="none" w:sz="0" w:space="0" w:color="auto"/>
                                          </w:divBdr>
                                          <w:divsChild>
                                            <w:div w:id="1943880410">
                                              <w:marLeft w:val="0"/>
                                              <w:marRight w:val="0"/>
                                              <w:marTop w:val="0"/>
                                              <w:marBottom w:val="0"/>
                                              <w:divBdr>
                                                <w:top w:val="single" w:sz="12" w:space="2" w:color="FFFFCC"/>
                                                <w:left w:val="single" w:sz="12" w:space="2" w:color="FFFFCC"/>
                                                <w:bottom w:val="single" w:sz="12" w:space="2" w:color="FFFFCC"/>
                                                <w:right w:val="single" w:sz="12" w:space="0" w:color="FFFFCC"/>
                                              </w:divBdr>
                                              <w:divsChild>
                                                <w:div w:id="1037853559">
                                                  <w:marLeft w:val="0"/>
                                                  <w:marRight w:val="0"/>
                                                  <w:marTop w:val="0"/>
                                                  <w:marBottom w:val="0"/>
                                                  <w:divBdr>
                                                    <w:top w:val="none" w:sz="0" w:space="0" w:color="auto"/>
                                                    <w:left w:val="none" w:sz="0" w:space="0" w:color="auto"/>
                                                    <w:bottom w:val="none" w:sz="0" w:space="0" w:color="auto"/>
                                                    <w:right w:val="none" w:sz="0" w:space="0" w:color="auto"/>
                                                  </w:divBdr>
                                                  <w:divsChild>
                                                    <w:div w:id="237793042">
                                                      <w:marLeft w:val="0"/>
                                                      <w:marRight w:val="0"/>
                                                      <w:marTop w:val="0"/>
                                                      <w:marBottom w:val="0"/>
                                                      <w:divBdr>
                                                        <w:top w:val="none" w:sz="0" w:space="0" w:color="auto"/>
                                                        <w:left w:val="none" w:sz="0" w:space="0" w:color="auto"/>
                                                        <w:bottom w:val="none" w:sz="0" w:space="0" w:color="auto"/>
                                                        <w:right w:val="none" w:sz="0" w:space="0" w:color="auto"/>
                                                      </w:divBdr>
                                                      <w:divsChild>
                                                        <w:div w:id="526220023">
                                                          <w:marLeft w:val="0"/>
                                                          <w:marRight w:val="0"/>
                                                          <w:marTop w:val="0"/>
                                                          <w:marBottom w:val="0"/>
                                                          <w:divBdr>
                                                            <w:top w:val="none" w:sz="0" w:space="0" w:color="auto"/>
                                                            <w:left w:val="none" w:sz="0" w:space="0" w:color="auto"/>
                                                            <w:bottom w:val="none" w:sz="0" w:space="0" w:color="auto"/>
                                                            <w:right w:val="none" w:sz="0" w:space="0" w:color="auto"/>
                                                          </w:divBdr>
                                                          <w:divsChild>
                                                            <w:div w:id="1194615489">
                                                              <w:marLeft w:val="0"/>
                                                              <w:marRight w:val="0"/>
                                                              <w:marTop w:val="0"/>
                                                              <w:marBottom w:val="0"/>
                                                              <w:divBdr>
                                                                <w:top w:val="none" w:sz="0" w:space="0" w:color="auto"/>
                                                                <w:left w:val="none" w:sz="0" w:space="0" w:color="auto"/>
                                                                <w:bottom w:val="none" w:sz="0" w:space="0" w:color="auto"/>
                                                                <w:right w:val="none" w:sz="0" w:space="0" w:color="auto"/>
                                                              </w:divBdr>
                                                              <w:divsChild>
                                                                <w:div w:id="887297614">
                                                                  <w:marLeft w:val="0"/>
                                                                  <w:marRight w:val="0"/>
                                                                  <w:marTop w:val="0"/>
                                                                  <w:marBottom w:val="0"/>
                                                                  <w:divBdr>
                                                                    <w:top w:val="none" w:sz="0" w:space="0" w:color="auto"/>
                                                                    <w:left w:val="none" w:sz="0" w:space="0" w:color="auto"/>
                                                                    <w:bottom w:val="none" w:sz="0" w:space="0" w:color="auto"/>
                                                                    <w:right w:val="none" w:sz="0" w:space="0" w:color="auto"/>
                                                                  </w:divBdr>
                                                                  <w:divsChild>
                                                                    <w:div w:id="199243316">
                                                                      <w:marLeft w:val="0"/>
                                                                      <w:marRight w:val="0"/>
                                                                      <w:marTop w:val="0"/>
                                                                      <w:marBottom w:val="0"/>
                                                                      <w:divBdr>
                                                                        <w:top w:val="none" w:sz="0" w:space="0" w:color="auto"/>
                                                                        <w:left w:val="none" w:sz="0" w:space="0" w:color="auto"/>
                                                                        <w:bottom w:val="none" w:sz="0" w:space="0" w:color="auto"/>
                                                                        <w:right w:val="none" w:sz="0" w:space="0" w:color="auto"/>
                                                                      </w:divBdr>
                                                                      <w:divsChild>
                                                                        <w:div w:id="996499089">
                                                                          <w:marLeft w:val="0"/>
                                                                          <w:marRight w:val="0"/>
                                                                          <w:marTop w:val="0"/>
                                                                          <w:marBottom w:val="0"/>
                                                                          <w:divBdr>
                                                                            <w:top w:val="none" w:sz="0" w:space="0" w:color="auto"/>
                                                                            <w:left w:val="none" w:sz="0" w:space="0" w:color="auto"/>
                                                                            <w:bottom w:val="none" w:sz="0" w:space="0" w:color="auto"/>
                                                                            <w:right w:val="none" w:sz="0" w:space="0" w:color="auto"/>
                                                                          </w:divBdr>
                                                                          <w:divsChild>
                                                                            <w:div w:id="192349002">
                                                                              <w:marLeft w:val="0"/>
                                                                              <w:marRight w:val="0"/>
                                                                              <w:marTop w:val="0"/>
                                                                              <w:marBottom w:val="0"/>
                                                                              <w:divBdr>
                                                                                <w:top w:val="none" w:sz="0" w:space="0" w:color="auto"/>
                                                                                <w:left w:val="none" w:sz="0" w:space="0" w:color="auto"/>
                                                                                <w:bottom w:val="none" w:sz="0" w:space="0" w:color="auto"/>
                                                                                <w:right w:val="none" w:sz="0" w:space="0" w:color="auto"/>
                                                                              </w:divBdr>
                                                                              <w:divsChild>
                                                                                <w:div w:id="268781470">
                                                                                  <w:marLeft w:val="0"/>
                                                                                  <w:marRight w:val="0"/>
                                                                                  <w:marTop w:val="0"/>
                                                                                  <w:marBottom w:val="0"/>
                                                                                  <w:divBdr>
                                                                                    <w:top w:val="none" w:sz="0" w:space="0" w:color="auto"/>
                                                                                    <w:left w:val="none" w:sz="0" w:space="0" w:color="auto"/>
                                                                                    <w:bottom w:val="none" w:sz="0" w:space="0" w:color="auto"/>
                                                                                    <w:right w:val="none" w:sz="0" w:space="0" w:color="auto"/>
                                                                                  </w:divBdr>
                                                                                  <w:divsChild>
                                                                                    <w:div w:id="1675376180">
                                                                                      <w:marLeft w:val="0"/>
                                                                                      <w:marRight w:val="0"/>
                                                                                      <w:marTop w:val="0"/>
                                                                                      <w:marBottom w:val="0"/>
                                                                                      <w:divBdr>
                                                                                        <w:top w:val="none" w:sz="0" w:space="0" w:color="auto"/>
                                                                                        <w:left w:val="none" w:sz="0" w:space="0" w:color="auto"/>
                                                                                        <w:bottom w:val="none" w:sz="0" w:space="0" w:color="auto"/>
                                                                                        <w:right w:val="none" w:sz="0" w:space="0" w:color="auto"/>
                                                                                      </w:divBdr>
                                                                                      <w:divsChild>
                                                                                        <w:div w:id="818958351">
                                                                                          <w:marLeft w:val="0"/>
                                                                                          <w:marRight w:val="120"/>
                                                                                          <w:marTop w:val="0"/>
                                                                                          <w:marBottom w:val="150"/>
                                                                                          <w:divBdr>
                                                                                            <w:top w:val="single" w:sz="2" w:space="0" w:color="EFEFEF"/>
                                                                                            <w:left w:val="single" w:sz="6" w:space="0" w:color="EFEFEF"/>
                                                                                            <w:bottom w:val="single" w:sz="6" w:space="0" w:color="E2E2E2"/>
                                                                                            <w:right w:val="single" w:sz="6" w:space="0" w:color="EFEFEF"/>
                                                                                          </w:divBdr>
                                                                                          <w:divsChild>
                                                                                            <w:div w:id="443884077">
                                                                                              <w:marLeft w:val="0"/>
                                                                                              <w:marRight w:val="0"/>
                                                                                              <w:marTop w:val="0"/>
                                                                                              <w:marBottom w:val="0"/>
                                                                                              <w:divBdr>
                                                                                                <w:top w:val="none" w:sz="0" w:space="0" w:color="auto"/>
                                                                                                <w:left w:val="none" w:sz="0" w:space="0" w:color="auto"/>
                                                                                                <w:bottom w:val="none" w:sz="0" w:space="0" w:color="auto"/>
                                                                                                <w:right w:val="none" w:sz="0" w:space="0" w:color="auto"/>
                                                                                              </w:divBdr>
                                                                                              <w:divsChild>
                                                                                                <w:div w:id="49883887">
                                                                                                  <w:marLeft w:val="0"/>
                                                                                                  <w:marRight w:val="0"/>
                                                                                                  <w:marTop w:val="0"/>
                                                                                                  <w:marBottom w:val="0"/>
                                                                                                  <w:divBdr>
                                                                                                    <w:top w:val="none" w:sz="0" w:space="0" w:color="auto"/>
                                                                                                    <w:left w:val="none" w:sz="0" w:space="0" w:color="auto"/>
                                                                                                    <w:bottom w:val="none" w:sz="0" w:space="0" w:color="auto"/>
                                                                                                    <w:right w:val="none" w:sz="0" w:space="0" w:color="auto"/>
                                                                                                  </w:divBdr>
                                                                                                  <w:divsChild>
                                                                                                    <w:div w:id="1645088632">
                                                                                                      <w:marLeft w:val="0"/>
                                                                                                      <w:marRight w:val="0"/>
                                                                                                      <w:marTop w:val="0"/>
                                                                                                      <w:marBottom w:val="0"/>
                                                                                                      <w:divBdr>
                                                                                                        <w:top w:val="none" w:sz="0" w:space="0" w:color="auto"/>
                                                                                                        <w:left w:val="none" w:sz="0" w:space="0" w:color="auto"/>
                                                                                                        <w:bottom w:val="none" w:sz="0" w:space="0" w:color="auto"/>
                                                                                                        <w:right w:val="none" w:sz="0" w:space="0" w:color="auto"/>
                                                                                                      </w:divBdr>
                                                                                                      <w:divsChild>
                                                                                                        <w:div w:id="888154538">
                                                                                                          <w:marLeft w:val="0"/>
                                                                                                          <w:marRight w:val="0"/>
                                                                                                          <w:marTop w:val="0"/>
                                                                                                          <w:marBottom w:val="0"/>
                                                                                                          <w:divBdr>
                                                                                                            <w:top w:val="none" w:sz="0" w:space="0" w:color="auto"/>
                                                                                                            <w:left w:val="none" w:sz="0" w:space="0" w:color="auto"/>
                                                                                                            <w:bottom w:val="none" w:sz="0" w:space="0" w:color="auto"/>
                                                                                                            <w:right w:val="none" w:sz="0" w:space="0" w:color="auto"/>
                                                                                                          </w:divBdr>
                                                                                                          <w:divsChild>
                                                                                                            <w:div w:id="438187754">
                                                                                                              <w:marLeft w:val="0"/>
                                                                                                              <w:marRight w:val="0"/>
                                                                                                              <w:marTop w:val="0"/>
                                                                                                              <w:marBottom w:val="0"/>
                                                                                                              <w:divBdr>
                                                                                                                <w:top w:val="single" w:sz="2" w:space="4" w:color="D8D8D8"/>
                                                                                                                <w:left w:val="single" w:sz="2" w:space="0" w:color="D8D8D8"/>
                                                                                                                <w:bottom w:val="single" w:sz="2" w:space="4" w:color="D8D8D8"/>
                                                                                                                <w:right w:val="single" w:sz="2" w:space="0" w:color="D8D8D8"/>
                                                                                                              </w:divBdr>
                                                                                                              <w:divsChild>
                                                                                                                <w:div w:id="964654766">
                                                                                                                  <w:marLeft w:val="225"/>
                                                                                                                  <w:marRight w:val="225"/>
                                                                                                                  <w:marTop w:val="75"/>
                                                                                                                  <w:marBottom w:val="75"/>
                                                                                                                  <w:divBdr>
                                                                                                                    <w:top w:val="none" w:sz="0" w:space="0" w:color="auto"/>
                                                                                                                    <w:left w:val="none" w:sz="0" w:space="0" w:color="auto"/>
                                                                                                                    <w:bottom w:val="none" w:sz="0" w:space="0" w:color="auto"/>
                                                                                                                    <w:right w:val="none" w:sz="0" w:space="0" w:color="auto"/>
                                                                                                                  </w:divBdr>
                                                                                                                  <w:divsChild>
                                                                                                                    <w:div w:id="531114085">
                                                                                                                      <w:marLeft w:val="0"/>
                                                                                                                      <w:marRight w:val="0"/>
                                                                                                                      <w:marTop w:val="0"/>
                                                                                                                      <w:marBottom w:val="0"/>
                                                                                                                      <w:divBdr>
                                                                                                                        <w:top w:val="single" w:sz="6" w:space="0" w:color="auto"/>
                                                                                                                        <w:left w:val="single" w:sz="6" w:space="0" w:color="auto"/>
                                                                                                                        <w:bottom w:val="single" w:sz="6" w:space="0" w:color="auto"/>
                                                                                                                        <w:right w:val="single" w:sz="6" w:space="0" w:color="auto"/>
                                                                                                                      </w:divBdr>
                                                                                                                      <w:divsChild>
                                                                                                                        <w:div w:id="1547793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53954755">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43607503">
      <w:bodyDiv w:val="1"/>
      <w:marLeft w:val="0"/>
      <w:marRight w:val="0"/>
      <w:marTop w:val="0"/>
      <w:marBottom w:val="0"/>
      <w:divBdr>
        <w:top w:val="none" w:sz="0" w:space="0" w:color="auto"/>
        <w:left w:val="none" w:sz="0" w:space="0" w:color="auto"/>
        <w:bottom w:val="none" w:sz="0" w:space="0" w:color="auto"/>
        <w:right w:val="none" w:sz="0" w:space="0" w:color="auto"/>
      </w:divBdr>
    </w:div>
    <w:div w:id="994456296">
      <w:bodyDiv w:val="1"/>
      <w:marLeft w:val="0"/>
      <w:marRight w:val="0"/>
      <w:marTop w:val="0"/>
      <w:marBottom w:val="0"/>
      <w:divBdr>
        <w:top w:val="none" w:sz="0" w:space="0" w:color="auto"/>
        <w:left w:val="none" w:sz="0" w:space="0" w:color="auto"/>
        <w:bottom w:val="none" w:sz="0" w:space="0" w:color="auto"/>
        <w:right w:val="none" w:sz="0" w:space="0" w:color="auto"/>
      </w:divBdr>
    </w:div>
    <w:div w:id="1031806263">
      <w:bodyDiv w:val="1"/>
      <w:marLeft w:val="0"/>
      <w:marRight w:val="0"/>
      <w:marTop w:val="0"/>
      <w:marBottom w:val="0"/>
      <w:divBdr>
        <w:top w:val="none" w:sz="0" w:space="0" w:color="auto"/>
        <w:left w:val="none" w:sz="0" w:space="0" w:color="auto"/>
        <w:bottom w:val="none" w:sz="0" w:space="0" w:color="auto"/>
        <w:right w:val="none" w:sz="0" w:space="0" w:color="auto"/>
      </w:divBdr>
    </w:div>
    <w:div w:id="1046102265">
      <w:bodyDiv w:val="1"/>
      <w:marLeft w:val="0"/>
      <w:marRight w:val="0"/>
      <w:marTop w:val="0"/>
      <w:marBottom w:val="0"/>
      <w:divBdr>
        <w:top w:val="none" w:sz="0" w:space="0" w:color="auto"/>
        <w:left w:val="none" w:sz="0" w:space="0" w:color="auto"/>
        <w:bottom w:val="none" w:sz="0" w:space="0" w:color="auto"/>
        <w:right w:val="none" w:sz="0" w:space="0" w:color="auto"/>
      </w:divBdr>
    </w:div>
    <w:div w:id="1047607740">
      <w:bodyDiv w:val="1"/>
      <w:marLeft w:val="0"/>
      <w:marRight w:val="0"/>
      <w:marTop w:val="0"/>
      <w:marBottom w:val="0"/>
      <w:divBdr>
        <w:top w:val="none" w:sz="0" w:space="0" w:color="auto"/>
        <w:left w:val="none" w:sz="0" w:space="0" w:color="auto"/>
        <w:bottom w:val="none" w:sz="0" w:space="0" w:color="auto"/>
        <w:right w:val="none" w:sz="0" w:space="0" w:color="auto"/>
      </w:divBdr>
    </w:div>
    <w:div w:id="1048215232">
      <w:bodyDiv w:val="1"/>
      <w:marLeft w:val="0"/>
      <w:marRight w:val="0"/>
      <w:marTop w:val="0"/>
      <w:marBottom w:val="0"/>
      <w:divBdr>
        <w:top w:val="none" w:sz="0" w:space="0" w:color="auto"/>
        <w:left w:val="none" w:sz="0" w:space="0" w:color="auto"/>
        <w:bottom w:val="none" w:sz="0" w:space="0" w:color="auto"/>
        <w:right w:val="none" w:sz="0" w:space="0" w:color="auto"/>
      </w:divBdr>
    </w:div>
    <w:div w:id="1116947007">
      <w:bodyDiv w:val="1"/>
      <w:marLeft w:val="0"/>
      <w:marRight w:val="0"/>
      <w:marTop w:val="0"/>
      <w:marBottom w:val="0"/>
      <w:divBdr>
        <w:top w:val="none" w:sz="0" w:space="0" w:color="auto"/>
        <w:left w:val="none" w:sz="0" w:space="0" w:color="auto"/>
        <w:bottom w:val="none" w:sz="0" w:space="0" w:color="auto"/>
        <w:right w:val="none" w:sz="0" w:space="0" w:color="auto"/>
      </w:divBdr>
    </w:div>
    <w:div w:id="1117791329">
      <w:bodyDiv w:val="1"/>
      <w:marLeft w:val="0"/>
      <w:marRight w:val="0"/>
      <w:marTop w:val="0"/>
      <w:marBottom w:val="0"/>
      <w:divBdr>
        <w:top w:val="none" w:sz="0" w:space="0" w:color="auto"/>
        <w:left w:val="none" w:sz="0" w:space="0" w:color="auto"/>
        <w:bottom w:val="none" w:sz="0" w:space="0" w:color="auto"/>
        <w:right w:val="none" w:sz="0" w:space="0" w:color="auto"/>
      </w:divBdr>
    </w:div>
    <w:div w:id="1134323906">
      <w:bodyDiv w:val="1"/>
      <w:marLeft w:val="0"/>
      <w:marRight w:val="0"/>
      <w:marTop w:val="0"/>
      <w:marBottom w:val="0"/>
      <w:divBdr>
        <w:top w:val="none" w:sz="0" w:space="0" w:color="auto"/>
        <w:left w:val="none" w:sz="0" w:space="0" w:color="auto"/>
        <w:bottom w:val="none" w:sz="0" w:space="0" w:color="auto"/>
        <w:right w:val="none" w:sz="0" w:space="0" w:color="auto"/>
      </w:divBdr>
    </w:div>
    <w:div w:id="1147433413">
      <w:bodyDiv w:val="1"/>
      <w:marLeft w:val="0"/>
      <w:marRight w:val="0"/>
      <w:marTop w:val="0"/>
      <w:marBottom w:val="0"/>
      <w:divBdr>
        <w:top w:val="none" w:sz="0" w:space="0" w:color="auto"/>
        <w:left w:val="none" w:sz="0" w:space="0" w:color="auto"/>
        <w:bottom w:val="none" w:sz="0" w:space="0" w:color="auto"/>
        <w:right w:val="none" w:sz="0" w:space="0" w:color="auto"/>
      </w:divBdr>
    </w:div>
    <w:div w:id="1163088179">
      <w:bodyDiv w:val="1"/>
      <w:marLeft w:val="0"/>
      <w:marRight w:val="0"/>
      <w:marTop w:val="0"/>
      <w:marBottom w:val="0"/>
      <w:divBdr>
        <w:top w:val="none" w:sz="0" w:space="0" w:color="auto"/>
        <w:left w:val="none" w:sz="0" w:space="0" w:color="auto"/>
        <w:bottom w:val="none" w:sz="0" w:space="0" w:color="auto"/>
        <w:right w:val="none" w:sz="0" w:space="0" w:color="auto"/>
      </w:divBdr>
    </w:div>
    <w:div w:id="1182743035">
      <w:bodyDiv w:val="1"/>
      <w:marLeft w:val="0"/>
      <w:marRight w:val="0"/>
      <w:marTop w:val="0"/>
      <w:marBottom w:val="0"/>
      <w:divBdr>
        <w:top w:val="none" w:sz="0" w:space="0" w:color="auto"/>
        <w:left w:val="none" w:sz="0" w:space="0" w:color="auto"/>
        <w:bottom w:val="none" w:sz="0" w:space="0" w:color="auto"/>
        <w:right w:val="none" w:sz="0" w:space="0" w:color="auto"/>
      </w:divBdr>
    </w:div>
    <w:div w:id="1196046419">
      <w:bodyDiv w:val="1"/>
      <w:marLeft w:val="0"/>
      <w:marRight w:val="0"/>
      <w:marTop w:val="0"/>
      <w:marBottom w:val="0"/>
      <w:divBdr>
        <w:top w:val="none" w:sz="0" w:space="0" w:color="auto"/>
        <w:left w:val="none" w:sz="0" w:space="0" w:color="auto"/>
        <w:bottom w:val="none" w:sz="0" w:space="0" w:color="auto"/>
        <w:right w:val="none" w:sz="0" w:space="0" w:color="auto"/>
      </w:divBdr>
    </w:div>
    <w:div w:id="1213152381">
      <w:bodyDiv w:val="1"/>
      <w:marLeft w:val="0"/>
      <w:marRight w:val="0"/>
      <w:marTop w:val="0"/>
      <w:marBottom w:val="0"/>
      <w:divBdr>
        <w:top w:val="none" w:sz="0" w:space="0" w:color="auto"/>
        <w:left w:val="none" w:sz="0" w:space="0" w:color="auto"/>
        <w:bottom w:val="none" w:sz="0" w:space="0" w:color="auto"/>
        <w:right w:val="none" w:sz="0" w:space="0" w:color="auto"/>
      </w:divBdr>
    </w:div>
    <w:div w:id="1238591832">
      <w:bodyDiv w:val="1"/>
      <w:marLeft w:val="0"/>
      <w:marRight w:val="0"/>
      <w:marTop w:val="0"/>
      <w:marBottom w:val="0"/>
      <w:divBdr>
        <w:top w:val="none" w:sz="0" w:space="0" w:color="auto"/>
        <w:left w:val="none" w:sz="0" w:space="0" w:color="auto"/>
        <w:bottom w:val="none" w:sz="0" w:space="0" w:color="auto"/>
        <w:right w:val="none" w:sz="0" w:space="0" w:color="auto"/>
      </w:divBdr>
    </w:div>
    <w:div w:id="1273518492">
      <w:bodyDiv w:val="1"/>
      <w:marLeft w:val="0"/>
      <w:marRight w:val="0"/>
      <w:marTop w:val="0"/>
      <w:marBottom w:val="0"/>
      <w:divBdr>
        <w:top w:val="none" w:sz="0" w:space="0" w:color="auto"/>
        <w:left w:val="none" w:sz="0" w:space="0" w:color="auto"/>
        <w:bottom w:val="none" w:sz="0" w:space="0" w:color="auto"/>
        <w:right w:val="none" w:sz="0" w:space="0" w:color="auto"/>
      </w:divBdr>
    </w:div>
    <w:div w:id="1325162399">
      <w:bodyDiv w:val="1"/>
      <w:marLeft w:val="0"/>
      <w:marRight w:val="0"/>
      <w:marTop w:val="0"/>
      <w:marBottom w:val="0"/>
      <w:divBdr>
        <w:top w:val="none" w:sz="0" w:space="0" w:color="auto"/>
        <w:left w:val="none" w:sz="0" w:space="0" w:color="auto"/>
        <w:bottom w:val="none" w:sz="0" w:space="0" w:color="auto"/>
        <w:right w:val="none" w:sz="0" w:space="0" w:color="auto"/>
      </w:divBdr>
    </w:div>
    <w:div w:id="1341854363">
      <w:bodyDiv w:val="1"/>
      <w:marLeft w:val="0"/>
      <w:marRight w:val="0"/>
      <w:marTop w:val="0"/>
      <w:marBottom w:val="0"/>
      <w:divBdr>
        <w:top w:val="none" w:sz="0" w:space="0" w:color="auto"/>
        <w:left w:val="none" w:sz="0" w:space="0" w:color="auto"/>
        <w:bottom w:val="none" w:sz="0" w:space="0" w:color="auto"/>
        <w:right w:val="none" w:sz="0" w:space="0" w:color="auto"/>
      </w:divBdr>
    </w:div>
    <w:div w:id="1381436887">
      <w:bodyDiv w:val="1"/>
      <w:marLeft w:val="0"/>
      <w:marRight w:val="0"/>
      <w:marTop w:val="0"/>
      <w:marBottom w:val="0"/>
      <w:divBdr>
        <w:top w:val="none" w:sz="0" w:space="0" w:color="auto"/>
        <w:left w:val="none" w:sz="0" w:space="0" w:color="auto"/>
        <w:bottom w:val="none" w:sz="0" w:space="0" w:color="auto"/>
        <w:right w:val="none" w:sz="0" w:space="0" w:color="auto"/>
      </w:divBdr>
    </w:div>
    <w:div w:id="1389766614">
      <w:bodyDiv w:val="1"/>
      <w:marLeft w:val="0"/>
      <w:marRight w:val="0"/>
      <w:marTop w:val="0"/>
      <w:marBottom w:val="0"/>
      <w:divBdr>
        <w:top w:val="none" w:sz="0" w:space="0" w:color="auto"/>
        <w:left w:val="none" w:sz="0" w:space="0" w:color="auto"/>
        <w:bottom w:val="none" w:sz="0" w:space="0" w:color="auto"/>
        <w:right w:val="none" w:sz="0" w:space="0" w:color="auto"/>
      </w:divBdr>
    </w:div>
    <w:div w:id="1405832401">
      <w:bodyDiv w:val="1"/>
      <w:marLeft w:val="0"/>
      <w:marRight w:val="0"/>
      <w:marTop w:val="0"/>
      <w:marBottom w:val="0"/>
      <w:divBdr>
        <w:top w:val="none" w:sz="0" w:space="0" w:color="auto"/>
        <w:left w:val="none" w:sz="0" w:space="0" w:color="auto"/>
        <w:bottom w:val="none" w:sz="0" w:space="0" w:color="auto"/>
        <w:right w:val="none" w:sz="0" w:space="0" w:color="auto"/>
      </w:divBdr>
    </w:div>
    <w:div w:id="1412848129">
      <w:bodyDiv w:val="1"/>
      <w:marLeft w:val="0"/>
      <w:marRight w:val="0"/>
      <w:marTop w:val="0"/>
      <w:marBottom w:val="0"/>
      <w:divBdr>
        <w:top w:val="none" w:sz="0" w:space="0" w:color="auto"/>
        <w:left w:val="none" w:sz="0" w:space="0" w:color="auto"/>
        <w:bottom w:val="none" w:sz="0" w:space="0" w:color="auto"/>
        <w:right w:val="none" w:sz="0" w:space="0" w:color="auto"/>
      </w:divBdr>
    </w:div>
    <w:div w:id="1456562138">
      <w:bodyDiv w:val="1"/>
      <w:marLeft w:val="0"/>
      <w:marRight w:val="0"/>
      <w:marTop w:val="0"/>
      <w:marBottom w:val="0"/>
      <w:divBdr>
        <w:top w:val="none" w:sz="0" w:space="0" w:color="auto"/>
        <w:left w:val="none" w:sz="0" w:space="0" w:color="auto"/>
        <w:bottom w:val="none" w:sz="0" w:space="0" w:color="auto"/>
        <w:right w:val="none" w:sz="0" w:space="0" w:color="auto"/>
      </w:divBdr>
    </w:div>
    <w:div w:id="1461344335">
      <w:bodyDiv w:val="1"/>
      <w:marLeft w:val="0"/>
      <w:marRight w:val="0"/>
      <w:marTop w:val="0"/>
      <w:marBottom w:val="0"/>
      <w:divBdr>
        <w:top w:val="none" w:sz="0" w:space="0" w:color="auto"/>
        <w:left w:val="none" w:sz="0" w:space="0" w:color="auto"/>
        <w:bottom w:val="none" w:sz="0" w:space="0" w:color="auto"/>
        <w:right w:val="none" w:sz="0" w:space="0" w:color="auto"/>
      </w:divBdr>
    </w:div>
    <w:div w:id="1583182156">
      <w:bodyDiv w:val="1"/>
      <w:marLeft w:val="0"/>
      <w:marRight w:val="0"/>
      <w:marTop w:val="0"/>
      <w:marBottom w:val="0"/>
      <w:divBdr>
        <w:top w:val="none" w:sz="0" w:space="0" w:color="auto"/>
        <w:left w:val="none" w:sz="0" w:space="0" w:color="auto"/>
        <w:bottom w:val="none" w:sz="0" w:space="0" w:color="auto"/>
        <w:right w:val="none" w:sz="0" w:space="0" w:color="auto"/>
      </w:divBdr>
    </w:div>
    <w:div w:id="1607344424">
      <w:bodyDiv w:val="1"/>
      <w:marLeft w:val="0"/>
      <w:marRight w:val="0"/>
      <w:marTop w:val="0"/>
      <w:marBottom w:val="0"/>
      <w:divBdr>
        <w:top w:val="none" w:sz="0" w:space="0" w:color="auto"/>
        <w:left w:val="none" w:sz="0" w:space="0" w:color="auto"/>
        <w:bottom w:val="none" w:sz="0" w:space="0" w:color="auto"/>
        <w:right w:val="none" w:sz="0" w:space="0" w:color="auto"/>
      </w:divBdr>
    </w:div>
    <w:div w:id="1643776418">
      <w:bodyDiv w:val="1"/>
      <w:marLeft w:val="0"/>
      <w:marRight w:val="0"/>
      <w:marTop w:val="0"/>
      <w:marBottom w:val="0"/>
      <w:divBdr>
        <w:top w:val="none" w:sz="0" w:space="0" w:color="auto"/>
        <w:left w:val="none" w:sz="0" w:space="0" w:color="auto"/>
        <w:bottom w:val="none" w:sz="0" w:space="0" w:color="auto"/>
        <w:right w:val="none" w:sz="0" w:space="0" w:color="auto"/>
      </w:divBdr>
    </w:div>
    <w:div w:id="1661688498">
      <w:bodyDiv w:val="1"/>
      <w:marLeft w:val="0"/>
      <w:marRight w:val="0"/>
      <w:marTop w:val="0"/>
      <w:marBottom w:val="0"/>
      <w:divBdr>
        <w:top w:val="none" w:sz="0" w:space="0" w:color="auto"/>
        <w:left w:val="none" w:sz="0" w:space="0" w:color="auto"/>
        <w:bottom w:val="none" w:sz="0" w:space="0" w:color="auto"/>
        <w:right w:val="none" w:sz="0" w:space="0" w:color="auto"/>
      </w:divBdr>
    </w:div>
    <w:div w:id="1666128568">
      <w:bodyDiv w:val="1"/>
      <w:marLeft w:val="0"/>
      <w:marRight w:val="0"/>
      <w:marTop w:val="0"/>
      <w:marBottom w:val="0"/>
      <w:divBdr>
        <w:top w:val="none" w:sz="0" w:space="0" w:color="auto"/>
        <w:left w:val="none" w:sz="0" w:space="0" w:color="auto"/>
        <w:bottom w:val="none" w:sz="0" w:space="0" w:color="auto"/>
        <w:right w:val="none" w:sz="0" w:space="0" w:color="auto"/>
      </w:divBdr>
    </w:div>
    <w:div w:id="1687973989">
      <w:bodyDiv w:val="1"/>
      <w:marLeft w:val="0"/>
      <w:marRight w:val="0"/>
      <w:marTop w:val="0"/>
      <w:marBottom w:val="0"/>
      <w:divBdr>
        <w:top w:val="none" w:sz="0" w:space="0" w:color="auto"/>
        <w:left w:val="none" w:sz="0" w:space="0" w:color="auto"/>
        <w:bottom w:val="none" w:sz="0" w:space="0" w:color="auto"/>
        <w:right w:val="none" w:sz="0" w:space="0" w:color="auto"/>
      </w:divBdr>
    </w:div>
    <w:div w:id="1708213957">
      <w:bodyDiv w:val="1"/>
      <w:marLeft w:val="0"/>
      <w:marRight w:val="0"/>
      <w:marTop w:val="0"/>
      <w:marBottom w:val="0"/>
      <w:divBdr>
        <w:top w:val="none" w:sz="0" w:space="0" w:color="auto"/>
        <w:left w:val="none" w:sz="0" w:space="0" w:color="auto"/>
        <w:bottom w:val="none" w:sz="0" w:space="0" w:color="auto"/>
        <w:right w:val="none" w:sz="0" w:space="0" w:color="auto"/>
      </w:divBdr>
    </w:div>
    <w:div w:id="1726677244">
      <w:bodyDiv w:val="1"/>
      <w:marLeft w:val="0"/>
      <w:marRight w:val="0"/>
      <w:marTop w:val="0"/>
      <w:marBottom w:val="0"/>
      <w:divBdr>
        <w:top w:val="none" w:sz="0" w:space="0" w:color="auto"/>
        <w:left w:val="none" w:sz="0" w:space="0" w:color="auto"/>
        <w:bottom w:val="none" w:sz="0" w:space="0" w:color="auto"/>
        <w:right w:val="none" w:sz="0" w:space="0" w:color="auto"/>
      </w:divBdr>
    </w:div>
    <w:div w:id="1729262678">
      <w:bodyDiv w:val="1"/>
      <w:marLeft w:val="0"/>
      <w:marRight w:val="0"/>
      <w:marTop w:val="0"/>
      <w:marBottom w:val="0"/>
      <w:divBdr>
        <w:top w:val="none" w:sz="0" w:space="0" w:color="auto"/>
        <w:left w:val="none" w:sz="0" w:space="0" w:color="auto"/>
        <w:bottom w:val="none" w:sz="0" w:space="0" w:color="auto"/>
        <w:right w:val="none" w:sz="0" w:space="0" w:color="auto"/>
      </w:divBdr>
    </w:div>
    <w:div w:id="1743913174">
      <w:bodyDiv w:val="1"/>
      <w:marLeft w:val="0"/>
      <w:marRight w:val="0"/>
      <w:marTop w:val="0"/>
      <w:marBottom w:val="0"/>
      <w:divBdr>
        <w:top w:val="none" w:sz="0" w:space="0" w:color="auto"/>
        <w:left w:val="none" w:sz="0" w:space="0" w:color="auto"/>
        <w:bottom w:val="none" w:sz="0" w:space="0" w:color="auto"/>
        <w:right w:val="none" w:sz="0" w:space="0" w:color="auto"/>
      </w:divBdr>
    </w:div>
    <w:div w:id="1745688274">
      <w:bodyDiv w:val="1"/>
      <w:marLeft w:val="0"/>
      <w:marRight w:val="0"/>
      <w:marTop w:val="0"/>
      <w:marBottom w:val="0"/>
      <w:divBdr>
        <w:top w:val="none" w:sz="0" w:space="0" w:color="auto"/>
        <w:left w:val="none" w:sz="0" w:space="0" w:color="auto"/>
        <w:bottom w:val="none" w:sz="0" w:space="0" w:color="auto"/>
        <w:right w:val="none" w:sz="0" w:space="0" w:color="auto"/>
      </w:divBdr>
    </w:div>
    <w:div w:id="1756588118">
      <w:bodyDiv w:val="1"/>
      <w:marLeft w:val="0"/>
      <w:marRight w:val="0"/>
      <w:marTop w:val="0"/>
      <w:marBottom w:val="0"/>
      <w:divBdr>
        <w:top w:val="none" w:sz="0" w:space="0" w:color="auto"/>
        <w:left w:val="none" w:sz="0" w:space="0" w:color="auto"/>
        <w:bottom w:val="none" w:sz="0" w:space="0" w:color="auto"/>
        <w:right w:val="none" w:sz="0" w:space="0" w:color="auto"/>
      </w:divBdr>
    </w:div>
    <w:div w:id="1765223907">
      <w:bodyDiv w:val="1"/>
      <w:marLeft w:val="0"/>
      <w:marRight w:val="0"/>
      <w:marTop w:val="0"/>
      <w:marBottom w:val="0"/>
      <w:divBdr>
        <w:top w:val="none" w:sz="0" w:space="0" w:color="auto"/>
        <w:left w:val="none" w:sz="0" w:space="0" w:color="auto"/>
        <w:bottom w:val="none" w:sz="0" w:space="0" w:color="auto"/>
        <w:right w:val="none" w:sz="0" w:space="0" w:color="auto"/>
      </w:divBdr>
    </w:div>
    <w:div w:id="1799911123">
      <w:bodyDiv w:val="1"/>
      <w:marLeft w:val="0"/>
      <w:marRight w:val="0"/>
      <w:marTop w:val="0"/>
      <w:marBottom w:val="0"/>
      <w:divBdr>
        <w:top w:val="none" w:sz="0" w:space="0" w:color="auto"/>
        <w:left w:val="none" w:sz="0" w:space="0" w:color="auto"/>
        <w:bottom w:val="none" w:sz="0" w:space="0" w:color="auto"/>
        <w:right w:val="none" w:sz="0" w:space="0" w:color="auto"/>
      </w:divBdr>
      <w:divsChild>
        <w:div w:id="692077819">
          <w:marLeft w:val="0"/>
          <w:marRight w:val="0"/>
          <w:marTop w:val="0"/>
          <w:marBottom w:val="0"/>
          <w:divBdr>
            <w:top w:val="none" w:sz="0" w:space="0" w:color="auto"/>
            <w:left w:val="none" w:sz="0" w:space="0" w:color="auto"/>
            <w:bottom w:val="none" w:sz="0" w:space="0" w:color="auto"/>
            <w:right w:val="none" w:sz="0" w:space="0" w:color="auto"/>
          </w:divBdr>
        </w:div>
      </w:divsChild>
    </w:div>
    <w:div w:id="1803841246">
      <w:bodyDiv w:val="1"/>
      <w:marLeft w:val="0"/>
      <w:marRight w:val="0"/>
      <w:marTop w:val="0"/>
      <w:marBottom w:val="0"/>
      <w:divBdr>
        <w:top w:val="none" w:sz="0" w:space="0" w:color="auto"/>
        <w:left w:val="none" w:sz="0" w:space="0" w:color="auto"/>
        <w:bottom w:val="none" w:sz="0" w:space="0" w:color="auto"/>
        <w:right w:val="none" w:sz="0" w:space="0" w:color="auto"/>
      </w:divBdr>
    </w:div>
    <w:div w:id="1850899786">
      <w:bodyDiv w:val="1"/>
      <w:marLeft w:val="0"/>
      <w:marRight w:val="0"/>
      <w:marTop w:val="0"/>
      <w:marBottom w:val="0"/>
      <w:divBdr>
        <w:top w:val="none" w:sz="0" w:space="0" w:color="auto"/>
        <w:left w:val="none" w:sz="0" w:space="0" w:color="auto"/>
        <w:bottom w:val="none" w:sz="0" w:space="0" w:color="auto"/>
        <w:right w:val="none" w:sz="0" w:space="0" w:color="auto"/>
      </w:divBdr>
    </w:div>
    <w:div w:id="1855537767">
      <w:bodyDiv w:val="1"/>
      <w:marLeft w:val="0"/>
      <w:marRight w:val="0"/>
      <w:marTop w:val="0"/>
      <w:marBottom w:val="0"/>
      <w:divBdr>
        <w:top w:val="none" w:sz="0" w:space="0" w:color="auto"/>
        <w:left w:val="none" w:sz="0" w:space="0" w:color="auto"/>
        <w:bottom w:val="none" w:sz="0" w:space="0" w:color="auto"/>
        <w:right w:val="none" w:sz="0" w:space="0" w:color="auto"/>
      </w:divBdr>
    </w:div>
    <w:div w:id="1906447995">
      <w:bodyDiv w:val="1"/>
      <w:marLeft w:val="0"/>
      <w:marRight w:val="0"/>
      <w:marTop w:val="0"/>
      <w:marBottom w:val="0"/>
      <w:divBdr>
        <w:top w:val="none" w:sz="0" w:space="0" w:color="auto"/>
        <w:left w:val="none" w:sz="0" w:space="0" w:color="auto"/>
        <w:bottom w:val="none" w:sz="0" w:space="0" w:color="auto"/>
        <w:right w:val="none" w:sz="0" w:space="0" w:color="auto"/>
      </w:divBdr>
    </w:div>
    <w:div w:id="1916355315">
      <w:bodyDiv w:val="1"/>
      <w:marLeft w:val="0"/>
      <w:marRight w:val="0"/>
      <w:marTop w:val="0"/>
      <w:marBottom w:val="0"/>
      <w:divBdr>
        <w:top w:val="none" w:sz="0" w:space="0" w:color="auto"/>
        <w:left w:val="none" w:sz="0" w:space="0" w:color="auto"/>
        <w:bottom w:val="none" w:sz="0" w:space="0" w:color="auto"/>
        <w:right w:val="none" w:sz="0" w:space="0" w:color="auto"/>
      </w:divBdr>
    </w:div>
    <w:div w:id="1923752672">
      <w:bodyDiv w:val="1"/>
      <w:marLeft w:val="0"/>
      <w:marRight w:val="0"/>
      <w:marTop w:val="0"/>
      <w:marBottom w:val="0"/>
      <w:divBdr>
        <w:top w:val="none" w:sz="0" w:space="0" w:color="auto"/>
        <w:left w:val="none" w:sz="0" w:space="0" w:color="auto"/>
        <w:bottom w:val="none" w:sz="0" w:space="0" w:color="auto"/>
        <w:right w:val="none" w:sz="0" w:space="0" w:color="auto"/>
      </w:divBdr>
    </w:div>
    <w:div w:id="1967850616">
      <w:bodyDiv w:val="1"/>
      <w:marLeft w:val="0"/>
      <w:marRight w:val="0"/>
      <w:marTop w:val="0"/>
      <w:marBottom w:val="0"/>
      <w:divBdr>
        <w:top w:val="none" w:sz="0" w:space="0" w:color="auto"/>
        <w:left w:val="none" w:sz="0" w:space="0" w:color="auto"/>
        <w:bottom w:val="none" w:sz="0" w:space="0" w:color="auto"/>
        <w:right w:val="none" w:sz="0" w:space="0" w:color="auto"/>
      </w:divBdr>
    </w:div>
    <w:div w:id="2012639508">
      <w:bodyDiv w:val="1"/>
      <w:marLeft w:val="0"/>
      <w:marRight w:val="0"/>
      <w:marTop w:val="0"/>
      <w:marBottom w:val="0"/>
      <w:divBdr>
        <w:top w:val="none" w:sz="0" w:space="0" w:color="auto"/>
        <w:left w:val="none" w:sz="0" w:space="0" w:color="auto"/>
        <w:bottom w:val="none" w:sz="0" w:space="0" w:color="auto"/>
        <w:right w:val="none" w:sz="0" w:space="0" w:color="auto"/>
      </w:divBdr>
    </w:div>
    <w:div w:id="2126460495">
      <w:bodyDiv w:val="1"/>
      <w:marLeft w:val="0"/>
      <w:marRight w:val="0"/>
      <w:marTop w:val="0"/>
      <w:marBottom w:val="0"/>
      <w:divBdr>
        <w:top w:val="none" w:sz="0" w:space="0" w:color="auto"/>
        <w:left w:val="none" w:sz="0" w:space="0" w:color="auto"/>
        <w:bottom w:val="none" w:sz="0" w:space="0" w:color="auto"/>
        <w:right w:val="none" w:sz="0" w:space="0" w:color="auto"/>
      </w:divBdr>
    </w:div>
    <w:div w:id="21468500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javascript:abrirAcuse(273884);" TargetMode="External"/><Relationship Id="rId18" Type="http://schemas.openxmlformats.org/officeDocument/2006/relationships/hyperlink" Target="javascript:abrirAcuse(273884);" TargetMode="External"/><Relationship Id="rId26" Type="http://schemas.openxmlformats.org/officeDocument/2006/relationships/hyperlink" Target="javascript:abrirAcuse(273884);" TargetMode="External"/><Relationship Id="rId39" Type="http://schemas.openxmlformats.org/officeDocument/2006/relationships/image" Target="media/image2.png"/><Relationship Id="rId21" Type="http://schemas.openxmlformats.org/officeDocument/2006/relationships/hyperlink" Target="https://www.saimex.org.mx/saimex/solicitud/downloadAttach/782357.page" TargetMode="External"/><Relationship Id="rId34" Type="http://schemas.openxmlformats.org/officeDocument/2006/relationships/hyperlink" Target="https://www.saimex.org.mx/saimex/solicitud/downloadAttach/702899.page" TargetMode="External"/><Relationship Id="rId42" Type="http://schemas.openxmlformats.org/officeDocument/2006/relationships/header" Target="header1.xm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javascript:abrirAcuse(273884);" TargetMode="External"/><Relationship Id="rId29" Type="http://schemas.openxmlformats.org/officeDocument/2006/relationships/hyperlink" Target="javascript:abrirAcuse(25804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javascript:abrirAcuse(273884);" TargetMode="External"/><Relationship Id="rId24" Type="http://schemas.openxmlformats.org/officeDocument/2006/relationships/hyperlink" Target="https://www.saimex.org.mx/saimex/solicitud/downloadAttach/782357.page" TargetMode="External"/><Relationship Id="rId32" Type="http://schemas.openxmlformats.org/officeDocument/2006/relationships/hyperlink" Target="javascript:abrirAcuse(258044);" TargetMode="External"/><Relationship Id="rId37" Type="http://schemas.openxmlformats.org/officeDocument/2006/relationships/hyperlink" Target="https://www.saimex.org.mx/saimex/solicitud/downloadAttach/702899.page" TargetMode="External"/><Relationship Id="rId40" Type="http://schemas.openxmlformats.org/officeDocument/2006/relationships/image" Target="media/image3.png"/><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javascript:abrirAcuse(273884);" TargetMode="External"/><Relationship Id="rId23" Type="http://schemas.openxmlformats.org/officeDocument/2006/relationships/hyperlink" Target="javascript:abrirAcuse(273884);" TargetMode="External"/><Relationship Id="rId28" Type="http://schemas.openxmlformats.org/officeDocument/2006/relationships/hyperlink" Target="https://www.saimex.org.mx/saimex/solicitud/downloadAttach/702899.page" TargetMode="External"/><Relationship Id="rId36" Type="http://schemas.openxmlformats.org/officeDocument/2006/relationships/hyperlink" Target="https://www.saimex.org.mx/saimex/solicitud/downloadAttach/782357.page" TargetMode="External"/><Relationship Id="rId10" Type="http://schemas.openxmlformats.org/officeDocument/2006/relationships/hyperlink" Target="javascript:abrirAcuse(273884);" TargetMode="External"/><Relationship Id="rId19" Type="http://schemas.openxmlformats.org/officeDocument/2006/relationships/hyperlink" Target="javascript:abrirAcuse(273884);" TargetMode="External"/><Relationship Id="rId31" Type="http://schemas.openxmlformats.org/officeDocument/2006/relationships/hyperlink" Target="https://www.saimex.org.mx/saimex/solicitud/downloadAttach/702899.page" TargetMode="External"/><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javascript:abrirAcuse(273884);" TargetMode="External"/><Relationship Id="rId14" Type="http://schemas.openxmlformats.org/officeDocument/2006/relationships/hyperlink" Target="javascript:abrirAcuse(273884);" TargetMode="External"/><Relationship Id="rId22" Type="http://schemas.openxmlformats.org/officeDocument/2006/relationships/hyperlink" Target="https://www.saimex.org.mx/saimex/solicitud/downloadAttach/702899.page" TargetMode="External"/><Relationship Id="rId27" Type="http://schemas.openxmlformats.org/officeDocument/2006/relationships/hyperlink" Target="https://www.saimex.org.mx/saimex/solicitud/downloadAttach/782357.page" TargetMode="External"/><Relationship Id="rId30" Type="http://schemas.openxmlformats.org/officeDocument/2006/relationships/hyperlink" Target="https://www.saimex.org.mx/saimex/solicitud/downloadAttach/782357.page" TargetMode="External"/><Relationship Id="rId35" Type="http://schemas.openxmlformats.org/officeDocument/2006/relationships/hyperlink" Target="javascript:abrirAcuse(258043);" TargetMode="External"/><Relationship Id="rId43" Type="http://schemas.openxmlformats.org/officeDocument/2006/relationships/footer" Target="footer1.xml"/><Relationship Id="rId8" Type="http://schemas.openxmlformats.org/officeDocument/2006/relationships/hyperlink" Target="javascript:abrirAcuse(273884);" TargetMode="External"/><Relationship Id="rId3" Type="http://schemas.openxmlformats.org/officeDocument/2006/relationships/styles" Target="styles.xml"/><Relationship Id="rId12" Type="http://schemas.openxmlformats.org/officeDocument/2006/relationships/hyperlink" Target="javascript:abrirAcuse(273884);" TargetMode="External"/><Relationship Id="rId17" Type="http://schemas.openxmlformats.org/officeDocument/2006/relationships/hyperlink" Target="javascript:abrirAcuse(273884);" TargetMode="External"/><Relationship Id="rId25" Type="http://schemas.openxmlformats.org/officeDocument/2006/relationships/hyperlink" Target="https://www.saimex.org.mx/saimex/solicitud/downloadAttach/702899.page" TargetMode="External"/><Relationship Id="rId33" Type="http://schemas.openxmlformats.org/officeDocument/2006/relationships/hyperlink" Target="https://www.saimex.org.mx/saimex/solicitud/downloadAttach/782357.page" TargetMode="External"/><Relationship Id="rId38" Type="http://schemas.openxmlformats.org/officeDocument/2006/relationships/image" Target="media/image1.png"/><Relationship Id="rId46" Type="http://schemas.openxmlformats.org/officeDocument/2006/relationships/fontTable" Target="fontTable.xml"/><Relationship Id="rId20" Type="http://schemas.openxmlformats.org/officeDocument/2006/relationships/hyperlink" Target="javascript:abrirAcuse(273884);" TargetMode="External"/><Relationship Id="rId4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B61F67-CCF8-4DE4-8FD3-2B16536A93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55</Pages>
  <Words>9980</Words>
  <Characters>54896</Characters>
  <Application>Microsoft Office Word</Application>
  <DocSecurity>0</DocSecurity>
  <Lines>457</Lines>
  <Paragraphs>129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64747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8</cp:revision>
  <cp:lastPrinted>2018-10-12T00:29:00Z</cp:lastPrinted>
  <dcterms:created xsi:type="dcterms:W3CDTF">2019-11-14T23:55:00Z</dcterms:created>
  <dcterms:modified xsi:type="dcterms:W3CDTF">2020-03-11T00:11:00Z</dcterms:modified>
</cp:coreProperties>
</file>