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page" w:tblpX="4495" w:tblpY="556"/>
        <w:tblW w:w="6408" w:type="dxa"/>
        <w:tblLayout w:type="fixed"/>
        <w:tblLook w:val="0420" w:firstRow="1" w:lastRow="0" w:firstColumn="0" w:lastColumn="0" w:noHBand="0" w:noVBand="1"/>
      </w:tblPr>
      <w:tblGrid>
        <w:gridCol w:w="2869"/>
        <w:gridCol w:w="3539"/>
      </w:tblGrid>
      <w:tr w:rsidR="00F140E3" w:rsidRPr="001E0D8F" w:rsidTr="00F140E3">
        <w:trPr>
          <w:trHeight w:val="144"/>
        </w:trPr>
        <w:tc>
          <w:tcPr>
            <w:tcW w:w="2869" w:type="dxa"/>
          </w:tcPr>
          <w:p w:rsidR="00F140E3" w:rsidRPr="001E0D8F" w:rsidRDefault="00F140E3" w:rsidP="00F140E3">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Recurso de Revisión:</w:t>
            </w:r>
          </w:p>
        </w:tc>
        <w:tc>
          <w:tcPr>
            <w:tcW w:w="3539" w:type="dxa"/>
          </w:tcPr>
          <w:p w:rsidR="00F140E3" w:rsidRPr="001E0D8F" w:rsidRDefault="00F140E3" w:rsidP="00F140E3">
            <w:pPr>
              <w:tabs>
                <w:tab w:val="right" w:pos="8838"/>
              </w:tabs>
              <w:spacing w:line="360" w:lineRule="auto"/>
              <w:ind w:left="-28" w:right="17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2971</w:t>
            </w:r>
            <w:r w:rsidRPr="001E0D8F">
              <w:rPr>
                <w:rFonts w:ascii="Palatino Linotype" w:eastAsia="Calibri" w:hAnsi="Palatino Linotype" w:cs="Tahoma"/>
                <w:bCs/>
                <w:sz w:val="22"/>
                <w:szCs w:val="22"/>
                <w:lang w:eastAsia="en-US"/>
              </w:rPr>
              <w:t>/INFOEM/IP/RR/2019</w:t>
            </w:r>
          </w:p>
        </w:tc>
      </w:tr>
      <w:tr w:rsidR="00F140E3" w:rsidRPr="001E0D8F" w:rsidTr="00F140E3">
        <w:trPr>
          <w:trHeight w:val="144"/>
        </w:trPr>
        <w:tc>
          <w:tcPr>
            <w:tcW w:w="2869" w:type="dxa"/>
          </w:tcPr>
          <w:p w:rsidR="00F140E3" w:rsidRPr="001E0D8F" w:rsidRDefault="00F140E3" w:rsidP="00F140E3">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Recurrente:</w:t>
            </w:r>
          </w:p>
        </w:tc>
        <w:tc>
          <w:tcPr>
            <w:tcW w:w="3539" w:type="dxa"/>
          </w:tcPr>
          <w:p w:rsidR="00F140E3" w:rsidRPr="001E0D8F" w:rsidRDefault="00F140E3" w:rsidP="00F140E3">
            <w:pPr>
              <w:tabs>
                <w:tab w:val="right" w:pos="8838"/>
              </w:tabs>
              <w:spacing w:line="360" w:lineRule="auto"/>
              <w:ind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XXXX XXXXXXX XXXXX</w:t>
            </w:r>
          </w:p>
        </w:tc>
      </w:tr>
      <w:tr w:rsidR="00F140E3" w:rsidRPr="001E0D8F" w:rsidTr="00F140E3">
        <w:trPr>
          <w:trHeight w:val="283"/>
        </w:trPr>
        <w:tc>
          <w:tcPr>
            <w:tcW w:w="2869" w:type="dxa"/>
          </w:tcPr>
          <w:p w:rsidR="00F140E3" w:rsidRPr="001E0D8F" w:rsidRDefault="00F140E3" w:rsidP="00F140E3">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Sujeto Obligado:</w:t>
            </w:r>
          </w:p>
        </w:tc>
        <w:tc>
          <w:tcPr>
            <w:tcW w:w="3539" w:type="dxa"/>
          </w:tcPr>
          <w:p w:rsidR="00F140E3" w:rsidRPr="001E0D8F" w:rsidRDefault="00F140E3" w:rsidP="00F140E3">
            <w:pPr>
              <w:tabs>
                <w:tab w:val="right" w:pos="8838"/>
              </w:tabs>
              <w:spacing w:line="360" w:lineRule="auto"/>
              <w:ind w:right="171"/>
              <w:jc w:val="both"/>
              <w:rPr>
                <w:rFonts w:ascii="Palatino Linotype" w:eastAsia="Calibri" w:hAnsi="Palatino Linotype" w:cs="Tahoma"/>
                <w:b/>
                <w:sz w:val="22"/>
                <w:szCs w:val="22"/>
                <w:lang w:eastAsia="en-US"/>
              </w:rPr>
            </w:pPr>
            <w:r w:rsidRPr="00B32180">
              <w:rPr>
                <w:rFonts w:ascii="Palatino Linotype" w:eastAsia="Calibri" w:hAnsi="Palatino Linotype" w:cs="Tahoma"/>
                <w:sz w:val="22"/>
                <w:szCs w:val="22"/>
                <w:lang w:eastAsia="en-US"/>
              </w:rPr>
              <w:t>Ayuntamiento de Tonatico</w:t>
            </w:r>
          </w:p>
        </w:tc>
      </w:tr>
      <w:tr w:rsidR="00F140E3" w:rsidRPr="001E0D8F" w:rsidTr="00F140E3">
        <w:trPr>
          <w:trHeight w:val="283"/>
        </w:trPr>
        <w:tc>
          <w:tcPr>
            <w:tcW w:w="2869" w:type="dxa"/>
          </w:tcPr>
          <w:p w:rsidR="00F140E3" w:rsidRPr="001E0D8F" w:rsidRDefault="00F140E3" w:rsidP="00F140E3">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Comisionado Ponente:</w:t>
            </w:r>
          </w:p>
        </w:tc>
        <w:tc>
          <w:tcPr>
            <w:tcW w:w="3539" w:type="dxa"/>
          </w:tcPr>
          <w:p w:rsidR="00F140E3" w:rsidRPr="001E0D8F" w:rsidRDefault="00F140E3" w:rsidP="00F140E3">
            <w:pPr>
              <w:tabs>
                <w:tab w:val="right" w:pos="8838"/>
              </w:tabs>
              <w:spacing w:line="360" w:lineRule="auto"/>
              <w:ind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Zulema Martínez Sánchez</w:t>
            </w:r>
          </w:p>
        </w:tc>
      </w:tr>
    </w:tbl>
    <w:p w:rsidR="00F140E3" w:rsidRPr="001E0D8F" w:rsidRDefault="00F140E3" w:rsidP="00F140E3">
      <w:pPr>
        <w:spacing w:line="360" w:lineRule="auto"/>
        <w:jc w:val="both"/>
        <w:rPr>
          <w:rFonts w:ascii="Palatino Linotype" w:hAnsi="Palatino Linotype" w:cs="Tahoma"/>
          <w:bCs/>
          <w:sz w:val="22"/>
          <w:szCs w:val="22"/>
        </w:rPr>
      </w:pPr>
    </w:p>
    <w:p w:rsidR="00F140E3" w:rsidRPr="001E0D8F" w:rsidRDefault="00F140E3" w:rsidP="00F140E3">
      <w:pPr>
        <w:spacing w:line="360" w:lineRule="auto"/>
        <w:jc w:val="both"/>
        <w:rPr>
          <w:rFonts w:ascii="Palatino Linotype" w:hAnsi="Palatino Linotype"/>
          <w:noProof/>
          <w:sz w:val="22"/>
          <w:szCs w:val="22"/>
          <w:lang w:val="es-ES"/>
        </w:rPr>
      </w:pPr>
      <w:r w:rsidRPr="001E0D8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cs="Tahoma"/>
          <w:bCs/>
          <w:sz w:val="22"/>
          <w:szCs w:val="22"/>
        </w:rPr>
        <w:t>veintiséis</w:t>
      </w:r>
      <w:r w:rsidRPr="001E0D8F">
        <w:rPr>
          <w:rFonts w:ascii="Palatino Linotype" w:hAnsi="Palatino Linotype" w:cs="Tahoma"/>
          <w:bCs/>
          <w:sz w:val="22"/>
          <w:szCs w:val="22"/>
        </w:rPr>
        <w:t xml:space="preserve"> de </w:t>
      </w:r>
      <w:r>
        <w:rPr>
          <w:rFonts w:ascii="Palatino Linotype" w:hAnsi="Palatino Linotype" w:cs="Tahoma"/>
          <w:bCs/>
          <w:sz w:val="22"/>
          <w:szCs w:val="22"/>
        </w:rPr>
        <w:t xml:space="preserve">junio </w:t>
      </w:r>
      <w:r w:rsidRPr="001E0D8F">
        <w:rPr>
          <w:rFonts w:ascii="Palatino Linotype" w:hAnsi="Palatino Linotype" w:cs="Tahoma"/>
          <w:bCs/>
          <w:sz w:val="22"/>
          <w:szCs w:val="22"/>
        </w:rPr>
        <w:t>de dos mil diecinueve.</w:t>
      </w:r>
    </w:p>
    <w:p w:rsidR="00F140E3" w:rsidRPr="001E0D8F" w:rsidRDefault="00F140E3" w:rsidP="00F140E3">
      <w:pPr>
        <w:spacing w:line="360" w:lineRule="auto"/>
        <w:jc w:val="both"/>
        <w:rPr>
          <w:rFonts w:ascii="Palatino Linotype" w:hAnsi="Palatino Linotype"/>
          <w:noProof/>
          <w:sz w:val="22"/>
          <w:szCs w:val="22"/>
          <w:lang w:val="es-ES"/>
        </w:rPr>
      </w:pPr>
    </w:p>
    <w:p w:rsidR="00F140E3" w:rsidRPr="001E0D8F" w:rsidRDefault="00F140E3" w:rsidP="00F140E3">
      <w:pPr>
        <w:spacing w:line="360" w:lineRule="auto"/>
        <w:jc w:val="both"/>
        <w:rPr>
          <w:rFonts w:ascii="Palatino Linotype" w:hAnsi="Palatino Linotype" w:cs="Tahoma"/>
          <w:bCs/>
          <w:sz w:val="22"/>
          <w:szCs w:val="22"/>
        </w:rPr>
      </w:pPr>
      <w:r w:rsidRPr="001E0D8F">
        <w:rPr>
          <w:rFonts w:ascii="Palatino Linotype" w:hAnsi="Palatino Linotype" w:cs="Tahoma"/>
          <w:b/>
          <w:bCs/>
          <w:color w:val="0D0D0D" w:themeColor="text1" w:themeTint="F2"/>
          <w:sz w:val="22"/>
          <w:szCs w:val="22"/>
        </w:rPr>
        <w:t>VISTO</w:t>
      </w:r>
      <w:r>
        <w:rPr>
          <w:rFonts w:ascii="Palatino Linotype" w:hAnsi="Palatino Linotype" w:cs="Tahoma"/>
          <w:bCs/>
          <w:color w:val="0D0D0D" w:themeColor="text1" w:themeTint="F2"/>
          <w:sz w:val="22"/>
          <w:szCs w:val="22"/>
        </w:rPr>
        <w:t xml:space="preserve"> el expediente </w:t>
      </w:r>
      <w:r w:rsidRPr="001E0D8F">
        <w:rPr>
          <w:rFonts w:ascii="Palatino Linotype" w:hAnsi="Palatino Linotype" w:cs="Tahoma"/>
          <w:bCs/>
          <w:color w:val="0D0D0D" w:themeColor="text1" w:themeTint="F2"/>
          <w:sz w:val="22"/>
          <w:szCs w:val="22"/>
        </w:rPr>
        <w:t xml:space="preserve">formado con motivo del Recurso de Revisión </w:t>
      </w:r>
      <w:r w:rsidRPr="001E0D8F">
        <w:rPr>
          <w:rFonts w:ascii="Palatino Linotype" w:hAnsi="Palatino Linotype" w:cs="Tahoma"/>
          <w:b/>
          <w:bCs/>
          <w:color w:val="0D0D0D" w:themeColor="text1" w:themeTint="F2"/>
          <w:sz w:val="22"/>
          <w:szCs w:val="22"/>
        </w:rPr>
        <w:t>0</w:t>
      </w:r>
      <w:r>
        <w:rPr>
          <w:rFonts w:ascii="Palatino Linotype" w:hAnsi="Palatino Linotype" w:cs="Tahoma"/>
          <w:b/>
          <w:bCs/>
          <w:color w:val="0D0D0D" w:themeColor="text1" w:themeTint="F2"/>
          <w:sz w:val="22"/>
          <w:szCs w:val="22"/>
        </w:rPr>
        <w:t>2971</w:t>
      </w:r>
      <w:r w:rsidRPr="001E0D8F">
        <w:rPr>
          <w:rFonts w:ascii="Palatino Linotype" w:hAnsi="Palatino Linotype" w:cs="Tahoma"/>
          <w:b/>
          <w:bCs/>
          <w:color w:val="0D0D0D" w:themeColor="text1" w:themeTint="F2"/>
          <w:sz w:val="22"/>
          <w:szCs w:val="22"/>
        </w:rPr>
        <w:t>/INFOEM/IP/</w:t>
      </w:r>
      <w:r>
        <w:rPr>
          <w:rFonts w:ascii="Palatino Linotype" w:hAnsi="Palatino Linotype" w:cs="Tahoma"/>
          <w:b/>
          <w:bCs/>
          <w:color w:val="0D0D0D" w:themeColor="text1" w:themeTint="F2"/>
          <w:sz w:val="22"/>
          <w:szCs w:val="22"/>
        </w:rPr>
        <w:t>2019</w:t>
      </w:r>
      <w:r w:rsidRPr="001E0D8F">
        <w:rPr>
          <w:rFonts w:ascii="Palatino Linotype" w:hAnsi="Palatino Linotype" w:cs="Tahoma"/>
          <w:bCs/>
          <w:color w:val="0D0D0D" w:themeColor="text1" w:themeTint="F2"/>
          <w:sz w:val="22"/>
          <w:szCs w:val="22"/>
        </w:rPr>
        <w:t xml:space="preserve">, interpuesto por </w:t>
      </w:r>
      <w:r>
        <w:rPr>
          <w:rFonts w:ascii="Palatino Linotype" w:hAnsi="Palatino Linotype" w:cs="Tahoma"/>
          <w:b/>
          <w:bCs/>
          <w:color w:val="0D0D0D" w:themeColor="text1" w:themeTint="F2"/>
          <w:sz w:val="22"/>
          <w:szCs w:val="22"/>
        </w:rPr>
        <w:t>XXXX XXXXXXX XXXXX</w:t>
      </w:r>
      <w:r w:rsidRPr="001E0D8F">
        <w:rPr>
          <w:rFonts w:ascii="Palatino Linotype" w:hAnsi="Palatino Linotype" w:cs="Tahoma"/>
          <w:bCs/>
          <w:color w:val="0D0D0D" w:themeColor="text1" w:themeTint="F2"/>
          <w:sz w:val="22"/>
          <w:szCs w:val="22"/>
        </w:rPr>
        <w:t xml:space="preserve">, en lo sucesivo </w:t>
      </w:r>
      <w:r w:rsidRPr="007B470F">
        <w:rPr>
          <w:rFonts w:ascii="Palatino Linotype" w:hAnsi="Palatino Linotype" w:cs="Tahoma"/>
          <w:b/>
          <w:bCs/>
          <w:color w:val="0D0D0D" w:themeColor="text1" w:themeTint="F2"/>
          <w:sz w:val="22"/>
          <w:szCs w:val="22"/>
        </w:rPr>
        <w:t>El Recurrente</w:t>
      </w:r>
      <w:r w:rsidRPr="001E0D8F">
        <w:rPr>
          <w:rFonts w:ascii="Palatino Linotype" w:hAnsi="Palatino Linotype" w:cs="Tahoma"/>
          <w:bCs/>
          <w:color w:val="0D0D0D" w:themeColor="text1" w:themeTint="F2"/>
          <w:sz w:val="22"/>
          <w:szCs w:val="22"/>
        </w:rPr>
        <w:t xml:space="preserve">, en contra de la </w:t>
      </w:r>
      <w:r>
        <w:rPr>
          <w:rFonts w:ascii="Palatino Linotype" w:hAnsi="Palatino Linotype" w:cs="Tahoma"/>
          <w:bCs/>
          <w:color w:val="0D0D0D" w:themeColor="text1" w:themeTint="F2"/>
          <w:sz w:val="22"/>
          <w:szCs w:val="22"/>
        </w:rPr>
        <w:t xml:space="preserve">falta de </w:t>
      </w:r>
      <w:r w:rsidRPr="001E0D8F">
        <w:rPr>
          <w:rFonts w:ascii="Palatino Linotype" w:hAnsi="Palatino Linotype" w:cs="Tahoma"/>
          <w:bCs/>
          <w:color w:val="0D0D0D" w:themeColor="text1" w:themeTint="F2"/>
          <w:sz w:val="22"/>
          <w:szCs w:val="22"/>
        </w:rPr>
        <w:t xml:space="preserve">respuesta del Sujeto Obligado, Ayuntamiento de </w:t>
      </w:r>
      <w:r>
        <w:rPr>
          <w:rFonts w:ascii="Palatino Linotype" w:hAnsi="Palatino Linotype" w:cs="Tahoma"/>
          <w:bCs/>
          <w:color w:val="0D0D0D" w:themeColor="text1" w:themeTint="F2"/>
          <w:sz w:val="22"/>
          <w:szCs w:val="22"/>
        </w:rPr>
        <w:t>Tonatico</w:t>
      </w:r>
      <w:r w:rsidRPr="001E0D8F">
        <w:rPr>
          <w:rFonts w:ascii="Palatino Linotype" w:hAnsi="Palatino Linotype" w:cs="Tahoma"/>
          <w:bCs/>
          <w:color w:val="0D0D0D" w:themeColor="text1" w:themeTint="F2"/>
          <w:sz w:val="22"/>
          <w:szCs w:val="22"/>
        </w:rPr>
        <w:t xml:space="preserve">, </w:t>
      </w:r>
      <w:r w:rsidRPr="007B470F">
        <w:rPr>
          <w:rFonts w:ascii="Palatino Linotype" w:hAnsi="Palatino Linotype" w:cs="Tahoma"/>
          <w:bCs/>
          <w:color w:val="0D0D0D" w:themeColor="text1" w:themeTint="F2"/>
          <w:sz w:val="22"/>
          <w:szCs w:val="22"/>
        </w:rPr>
        <w:t xml:space="preserve">en lo subsecuente El Sujeto Obligado, se procede </w:t>
      </w:r>
      <w:r>
        <w:rPr>
          <w:rFonts w:ascii="Palatino Linotype" w:hAnsi="Palatino Linotype" w:cs="Tahoma"/>
          <w:bCs/>
          <w:color w:val="0D0D0D" w:themeColor="text1" w:themeTint="F2"/>
          <w:sz w:val="22"/>
          <w:szCs w:val="22"/>
        </w:rPr>
        <w:t>a dictar la presente Resolución</w:t>
      </w:r>
      <w:r w:rsidRPr="001E0D8F">
        <w:rPr>
          <w:rFonts w:ascii="Palatino Linotype" w:hAnsi="Palatino Linotype" w:cs="Tahoma"/>
          <w:bCs/>
          <w:sz w:val="22"/>
          <w:szCs w:val="22"/>
        </w:rPr>
        <w:t>:</w:t>
      </w:r>
    </w:p>
    <w:p w:rsidR="00F140E3" w:rsidRPr="001E0D8F" w:rsidRDefault="00F140E3" w:rsidP="00F140E3">
      <w:pPr>
        <w:tabs>
          <w:tab w:val="center" w:pos="4522"/>
          <w:tab w:val="left" w:pos="7245"/>
          <w:tab w:val="right" w:pos="9044"/>
        </w:tabs>
        <w:spacing w:line="360" w:lineRule="auto"/>
        <w:rPr>
          <w:rFonts w:ascii="Palatino Linotype" w:hAnsi="Palatino Linotype" w:cs="Tahoma"/>
          <w:b/>
          <w:sz w:val="22"/>
          <w:szCs w:val="22"/>
        </w:rPr>
      </w:pPr>
    </w:p>
    <w:p w:rsidR="00F140E3" w:rsidRPr="00F479B8" w:rsidRDefault="00F140E3" w:rsidP="00F140E3">
      <w:pPr>
        <w:tabs>
          <w:tab w:val="center" w:pos="4522"/>
          <w:tab w:val="left" w:pos="7245"/>
        </w:tabs>
        <w:spacing w:line="360" w:lineRule="auto"/>
        <w:jc w:val="center"/>
        <w:rPr>
          <w:rFonts w:ascii="Palatino Linotype" w:hAnsi="Palatino Linotype" w:cs="Tahoma"/>
          <w:b/>
          <w:sz w:val="28"/>
          <w:szCs w:val="22"/>
        </w:rPr>
      </w:pPr>
      <w:r w:rsidRPr="00F479B8">
        <w:rPr>
          <w:rFonts w:ascii="Palatino Linotype" w:hAnsi="Palatino Linotype" w:cs="Tahoma"/>
          <w:b/>
          <w:sz w:val="28"/>
          <w:szCs w:val="22"/>
        </w:rPr>
        <w:t>ANTECEDENTES DEL ASUNTO</w:t>
      </w:r>
    </w:p>
    <w:p w:rsidR="00F140E3" w:rsidRPr="00523CF0" w:rsidRDefault="00F140E3" w:rsidP="00F140E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rsidR="00F140E3" w:rsidRPr="001E0D8F" w:rsidRDefault="00F140E3" w:rsidP="00F140E3">
      <w:pPr>
        <w:pStyle w:val="Prrafodelista"/>
        <w:tabs>
          <w:tab w:val="left" w:pos="567"/>
        </w:tabs>
        <w:spacing w:line="360" w:lineRule="auto"/>
        <w:ind w:left="0"/>
        <w:contextualSpacing w:val="0"/>
        <w:jc w:val="both"/>
        <w:rPr>
          <w:rFonts w:ascii="Palatino Linotype" w:hAnsi="Palatino Linotype" w:cs="Tahoma"/>
          <w:szCs w:val="22"/>
        </w:rPr>
      </w:pPr>
      <w:r w:rsidRPr="001E0D8F">
        <w:rPr>
          <w:rFonts w:ascii="Palatino Linotype" w:hAnsi="Palatino Linotype" w:cs="Tahoma"/>
          <w:szCs w:val="22"/>
        </w:rPr>
        <w:t xml:space="preserve">Con fecha </w:t>
      </w:r>
      <w:r>
        <w:rPr>
          <w:rFonts w:ascii="Palatino Linotype" w:hAnsi="Palatino Linotype" w:cs="Tahoma"/>
          <w:szCs w:val="22"/>
        </w:rPr>
        <w:t xml:space="preserve">trece de marzo </w:t>
      </w:r>
      <w:r w:rsidRPr="001E0D8F">
        <w:rPr>
          <w:rFonts w:ascii="Palatino Linotype" w:hAnsi="Palatino Linotype" w:cs="Tahoma"/>
          <w:szCs w:val="22"/>
        </w:rPr>
        <w:t xml:space="preserve">de dos mil diecinueve, </w:t>
      </w:r>
      <w:r w:rsidRPr="009850A2">
        <w:rPr>
          <w:rFonts w:ascii="Palatino Linotype" w:hAnsi="Palatino Linotype" w:cs="Tahoma"/>
          <w:b/>
          <w:szCs w:val="22"/>
        </w:rPr>
        <w:t>El Recurrente</w:t>
      </w:r>
      <w:r w:rsidRPr="009850A2">
        <w:rPr>
          <w:rFonts w:ascii="Palatino Linotype" w:hAnsi="Palatino Linotype" w:cs="Tahoma"/>
          <w:szCs w:val="22"/>
        </w:rPr>
        <w:t xml:space="preserve"> </w:t>
      </w:r>
      <w:r w:rsidRPr="001E0D8F">
        <w:rPr>
          <w:rFonts w:ascii="Palatino Linotype" w:hAnsi="Palatino Linotype" w:cs="Tahoma"/>
          <w:szCs w:val="22"/>
        </w:rPr>
        <w:t xml:space="preserve">presentó </w:t>
      </w:r>
      <w:r w:rsidRPr="0098675F">
        <w:rPr>
          <w:rFonts w:ascii="Palatino Linotype" w:hAnsi="Palatino Linotype" w:cs="Tahoma"/>
          <w:szCs w:val="22"/>
        </w:rPr>
        <w:t xml:space="preserve">a través del Sistema de Acceso a la Información Mexiquense </w:t>
      </w:r>
      <w:r w:rsidRPr="001E0D8F">
        <w:rPr>
          <w:rFonts w:ascii="Palatino Linotype" w:hAnsi="Palatino Linotype" w:cs="Tahoma"/>
          <w:szCs w:val="22"/>
          <w:lang w:val="es-ES"/>
        </w:rPr>
        <w:t>(SAIMEX)</w:t>
      </w:r>
      <w:r w:rsidRPr="001E0D8F">
        <w:rPr>
          <w:rFonts w:ascii="Palatino Linotype" w:hAnsi="Palatino Linotype" w:cs="Tahoma"/>
          <w:szCs w:val="22"/>
        </w:rPr>
        <w:t xml:space="preserve">, </w:t>
      </w:r>
      <w:r w:rsidRPr="009850A2">
        <w:rPr>
          <w:rFonts w:ascii="Palatino Linotype" w:hAnsi="Palatino Linotype" w:cs="Tahoma"/>
          <w:szCs w:val="22"/>
        </w:rPr>
        <w:t xml:space="preserve">ante </w:t>
      </w:r>
      <w:r w:rsidRPr="009850A2">
        <w:rPr>
          <w:rFonts w:ascii="Palatino Linotype" w:hAnsi="Palatino Linotype" w:cs="Tahoma"/>
          <w:b/>
          <w:szCs w:val="22"/>
        </w:rPr>
        <w:t>El Sujeto Obligado</w:t>
      </w:r>
      <w:r w:rsidRPr="009850A2">
        <w:rPr>
          <w:rFonts w:ascii="Palatino Linotype" w:hAnsi="Palatino Linotype" w:cs="Tahoma"/>
          <w:szCs w:val="22"/>
        </w:rPr>
        <w:t xml:space="preserve">, solicitud de acceso a la información pública, registrada bajo el número de expediente </w:t>
      </w:r>
      <w:r w:rsidRPr="009850A2">
        <w:rPr>
          <w:rFonts w:ascii="Palatino Linotype" w:hAnsi="Palatino Linotype" w:cs="Tahoma"/>
          <w:b/>
          <w:bCs/>
          <w:szCs w:val="22"/>
        </w:rPr>
        <w:t>000</w:t>
      </w:r>
      <w:r>
        <w:rPr>
          <w:rFonts w:ascii="Palatino Linotype" w:hAnsi="Palatino Linotype" w:cs="Tahoma"/>
          <w:b/>
          <w:bCs/>
          <w:szCs w:val="22"/>
        </w:rPr>
        <w:t>25</w:t>
      </w:r>
      <w:r w:rsidRPr="009850A2">
        <w:rPr>
          <w:rFonts w:ascii="Palatino Linotype" w:hAnsi="Palatino Linotype" w:cs="Tahoma"/>
          <w:b/>
          <w:bCs/>
          <w:szCs w:val="22"/>
        </w:rPr>
        <w:t>/</w:t>
      </w:r>
      <w:r>
        <w:rPr>
          <w:rFonts w:ascii="Palatino Linotype" w:hAnsi="Palatino Linotype" w:cs="Tahoma"/>
          <w:b/>
          <w:bCs/>
          <w:szCs w:val="22"/>
        </w:rPr>
        <w:t>TONATICO</w:t>
      </w:r>
      <w:r w:rsidRPr="009850A2">
        <w:rPr>
          <w:rFonts w:ascii="Palatino Linotype" w:hAnsi="Palatino Linotype" w:cs="Tahoma"/>
          <w:b/>
          <w:bCs/>
          <w:szCs w:val="22"/>
        </w:rPr>
        <w:t xml:space="preserve">/IP/2019, </w:t>
      </w:r>
      <w:r w:rsidRPr="009850A2">
        <w:rPr>
          <w:rFonts w:ascii="Palatino Linotype" w:hAnsi="Palatino Linotype" w:cs="Tahoma"/>
          <w:szCs w:val="22"/>
        </w:rPr>
        <w:t>mediante</w:t>
      </w:r>
      <w:r>
        <w:rPr>
          <w:rFonts w:ascii="Palatino Linotype" w:hAnsi="Palatino Linotype" w:cs="Tahoma"/>
          <w:szCs w:val="22"/>
        </w:rPr>
        <w:t xml:space="preserve"> la cual</w:t>
      </w:r>
      <w:r w:rsidRPr="009850A2">
        <w:rPr>
          <w:rFonts w:ascii="Palatino Linotype" w:hAnsi="Palatino Linotype" w:cs="Tahoma"/>
          <w:szCs w:val="22"/>
        </w:rPr>
        <w:t xml:space="preserve"> </w:t>
      </w:r>
      <w:r w:rsidRPr="009850A2">
        <w:rPr>
          <w:rFonts w:ascii="Palatino Linotype" w:hAnsi="Palatino Linotype" w:cs="Arial"/>
          <w:szCs w:val="22"/>
        </w:rPr>
        <w:t>solicitó in</w:t>
      </w:r>
      <w:r>
        <w:rPr>
          <w:rFonts w:ascii="Palatino Linotype" w:hAnsi="Palatino Linotype" w:cs="Arial"/>
          <w:szCs w:val="22"/>
        </w:rPr>
        <w:t>formación en el tenor siguiente</w:t>
      </w:r>
      <w:r w:rsidRPr="001E0D8F">
        <w:rPr>
          <w:rFonts w:ascii="Palatino Linotype" w:hAnsi="Palatino Linotype" w:cs="Tahoma"/>
          <w:szCs w:val="22"/>
        </w:rPr>
        <w:t>:</w:t>
      </w:r>
    </w:p>
    <w:p w:rsidR="00F140E3" w:rsidRPr="001E0D8F" w:rsidRDefault="00F140E3" w:rsidP="00F140E3">
      <w:pPr>
        <w:pStyle w:val="Prrafodelista"/>
        <w:tabs>
          <w:tab w:val="left" w:pos="567"/>
        </w:tabs>
        <w:spacing w:line="360" w:lineRule="auto"/>
        <w:ind w:left="0"/>
        <w:contextualSpacing w:val="0"/>
        <w:jc w:val="both"/>
        <w:rPr>
          <w:rFonts w:ascii="Palatino Linotype" w:hAnsi="Palatino Linotype" w:cs="Tahoma"/>
          <w:szCs w:val="22"/>
        </w:rPr>
      </w:pPr>
    </w:p>
    <w:p w:rsidR="00F140E3" w:rsidRPr="001E0D8F" w:rsidRDefault="00F140E3" w:rsidP="00F140E3">
      <w:pPr>
        <w:tabs>
          <w:tab w:val="left" w:pos="4667"/>
        </w:tabs>
        <w:spacing w:line="360" w:lineRule="auto"/>
        <w:ind w:left="567" w:right="567"/>
        <w:jc w:val="both"/>
        <w:rPr>
          <w:rFonts w:ascii="Palatino Linotype" w:hAnsi="Palatino Linotype" w:cs="Tahoma"/>
          <w:b/>
          <w:bCs/>
          <w:sz w:val="22"/>
          <w:szCs w:val="22"/>
        </w:rPr>
      </w:pPr>
      <w:r w:rsidRPr="001E0D8F">
        <w:rPr>
          <w:rFonts w:ascii="Palatino Linotype" w:hAnsi="Palatino Linotype" w:cs="Tahoma"/>
          <w:b/>
          <w:bCs/>
          <w:sz w:val="22"/>
          <w:szCs w:val="22"/>
        </w:rPr>
        <w:t>DESCRIPCIÓN CLARA Y PRECISA DE LA INFORMACIÓN SOLICITADA</w:t>
      </w:r>
    </w:p>
    <w:p w:rsidR="00F140E3" w:rsidRPr="001E0D8F" w:rsidRDefault="00F140E3" w:rsidP="00F140E3">
      <w:pPr>
        <w:tabs>
          <w:tab w:val="left" w:pos="4667"/>
        </w:tabs>
        <w:spacing w:line="360" w:lineRule="auto"/>
        <w:ind w:left="567" w:right="567"/>
        <w:jc w:val="both"/>
        <w:rPr>
          <w:rFonts w:ascii="Palatino Linotype" w:hAnsi="Palatino Linotype" w:cs="Tahoma"/>
          <w:bCs/>
          <w:i/>
          <w:sz w:val="22"/>
          <w:szCs w:val="22"/>
        </w:rPr>
      </w:pPr>
      <w:r w:rsidRPr="001E0D8F">
        <w:rPr>
          <w:rFonts w:ascii="Palatino Linotype" w:hAnsi="Palatino Linotype" w:cs="Tahoma"/>
          <w:bCs/>
          <w:i/>
          <w:sz w:val="22"/>
          <w:szCs w:val="22"/>
        </w:rPr>
        <w:t>“</w:t>
      </w:r>
      <w:r w:rsidRPr="00B32180">
        <w:rPr>
          <w:rFonts w:ascii="Palatino Linotype" w:hAnsi="Palatino Linotype" w:cs="Tahoma"/>
          <w:bCs/>
          <w:i/>
          <w:sz w:val="22"/>
          <w:szCs w:val="22"/>
        </w:rPr>
        <w:t xml:space="preserve">SOLICITUD DE INFORMACIÓN Titular del área de transparencia y acceso a la información pública en el H. AYTO. DE TONATICO P R E S E N T E </w:t>
      </w:r>
      <w:r>
        <w:rPr>
          <w:rFonts w:ascii="Palatino Linotype" w:hAnsi="Palatino Linotype" w:cs="Tahoma"/>
          <w:bCs/>
          <w:i/>
          <w:sz w:val="22"/>
          <w:szCs w:val="22"/>
        </w:rPr>
        <w:t>XXXX XXXXXXX XXXXX</w:t>
      </w:r>
      <w:r w:rsidRPr="00B32180">
        <w:rPr>
          <w:rFonts w:ascii="Palatino Linotype" w:hAnsi="Palatino Linotype" w:cs="Tahoma"/>
          <w:bCs/>
          <w:i/>
          <w:sz w:val="22"/>
          <w:szCs w:val="22"/>
        </w:rPr>
        <w:t xml:space="preserve">, suscribiendo en derecho propio, señalo como domicilio para oír y recibir todo tipo de notificaciones, documentos y superiores acuerdos, el ubicado Plaza Constitución Número 13, Barrio de San Gaspar dentro de esta Municipalidad; para los efectos de este escrito, ante Usted con el debido respeto comparezco para exponer: Que con fundamento en lo que establecen los artículos 8 Constitucional; 5 de la Constitución Política del Estado libre y Soberano de México; 1, 2, 3, 4, 3, </w:t>
      </w:r>
      <w:r w:rsidRPr="00B32180">
        <w:rPr>
          <w:rFonts w:ascii="Palatino Linotype" w:hAnsi="Palatino Linotype" w:cs="Tahoma"/>
          <w:bCs/>
          <w:i/>
          <w:sz w:val="22"/>
          <w:szCs w:val="22"/>
        </w:rPr>
        <w:lastRenderedPageBreak/>
        <w:t xml:space="preserve">6, 7 fracción IV, 12 fracciones II y III, 15, 32, 33, 33, 34, 41, 41 bis, 42, 46 y todos los relativos correspondientes de la Ley de Transparencia y Acceso a la Información Pública del Estado de México y Municipios; Solicito, para que en término legal, se me expidan en versión publica La nómina completa y listas de raya de la SEGUNDA quincena de febrero del año 2019. así como copia en versión publica de los cheques correspondiente a recursos propios con los cuales se realizó el pago inherente a la segunda quincena de febrero de 2019 tanto en nómina como en lista de raya, copia en versión publica de los cheques emitidos correspondientes a la cuenta del recurso FORTAMUN, con los cuales se realizó el pago de la segunda quincena de febrero 2019 tanto en nómina como lista de raya del personal de seguridad pública y protección civil así como copia en versión publica de las dispersiones interbancarias de las cuentas de recursos propios y FORTAMUN y con las cuales se realizó el pago de la segunda quincena de febrero 2019 del año en mención, todo lo anterior para estar en posibilidad de observar que los recursos sacados, dispersados y erogados de las cuentas municipales citadas, correspondan a todos y cada uno de los recursos pagados en la segunda quincena de febrero citada. Designándose ya al presente escrito, el número de petición, para que vía electrónica, atreves del SAIMEX, se ingrese en el portal del Instituto de Transparencia, acceso a la información Pública y Protección de Datos Personales del Gobierno del Estado de México, para el conocimiento y la debida atención que se le brinde a esta epístola en versión pública. Así las cosas, y en el entendido de que el acceso a la información pública será permanente y gratuito, como lo dispone el artículo 6 de Ley en cita. Tal y como lo denota el artículo 41 Bis de la Ley de Transparencia y Acceso a la Información Pública del Estado de México y Municipios; evitando en todo momento, una respuesta desfavorable a mis intereses, además de dolosa y ventajosa, con relación a pagos de dinero fuera de la hipótesis normativa expuesta; aún y cuando los sujetos obligados manera de retardo o negativa quieran fundar en lo previsto por el artículo 70 Bis del Código Financiero del Estado de México y Municipios. Sin más que agregar por el momento y en espera de contar con la información solicitada, en vías de evitarnos procedimientos administrativos y disciplinarios, quedo a sus </w:t>
      </w:r>
      <w:r w:rsidRPr="00B32180">
        <w:rPr>
          <w:rFonts w:ascii="Palatino Linotype" w:hAnsi="Palatino Linotype" w:cs="Tahoma"/>
          <w:bCs/>
          <w:i/>
          <w:sz w:val="22"/>
          <w:szCs w:val="22"/>
        </w:rPr>
        <w:lastRenderedPageBreak/>
        <w:t xml:space="preserve">órdenes. Tonatico, México; marzo 13 de 2019 Protesto lo necesario </w:t>
      </w:r>
      <w:r>
        <w:rPr>
          <w:rFonts w:ascii="Palatino Linotype" w:hAnsi="Palatino Linotype" w:cs="Tahoma"/>
          <w:bCs/>
          <w:i/>
          <w:sz w:val="22"/>
          <w:szCs w:val="22"/>
        </w:rPr>
        <w:t>XXXX XXXXXXX XXXXX</w:t>
      </w:r>
      <w:r w:rsidRPr="00B32180">
        <w:rPr>
          <w:rFonts w:ascii="Palatino Linotype" w:hAnsi="Palatino Linotype" w:cs="Tahoma"/>
          <w:bCs/>
          <w:i/>
          <w:sz w:val="22"/>
          <w:szCs w:val="22"/>
        </w:rPr>
        <w:t xml:space="preserve"> </w:t>
      </w:r>
      <w:r w:rsidRPr="001E0D8F">
        <w:rPr>
          <w:rFonts w:ascii="Palatino Linotype" w:hAnsi="Palatino Linotype" w:cs="Tahoma"/>
          <w:bCs/>
          <w:i/>
          <w:sz w:val="22"/>
          <w:szCs w:val="22"/>
        </w:rPr>
        <w:t>(Sic.)</w:t>
      </w:r>
    </w:p>
    <w:p w:rsidR="00F140E3" w:rsidRPr="001E0D8F" w:rsidRDefault="00F140E3" w:rsidP="00F140E3">
      <w:pPr>
        <w:tabs>
          <w:tab w:val="left" w:pos="4667"/>
        </w:tabs>
        <w:spacing w:line="360" w:lineRule="auto"/>
        <w:ind w:left="567" w:right="567"/>
        <w:jc w:val="both"/>
        <w:rPr>
          <w:rFonts w:ascii="Palatino Linotype" w:hAnsi="Palatino Linotype" w:cs="Tahoma"/>
          <w:bCs/>
          <w:sz w:val="22"/>
          <w:szCs w:val="22"/>
        </w:rPr>
      </w:pPr>
    </w:p>
    <w:p w:rsidR="00F140E3" w:rsidRDefault="00F140E3" w:rsidP="00F140E3">
      <w:pPr>
        <w:spacing w:before="240" w:line="360" w:lineRule="auto"/>
        <w:ind w:right="850"/>
        <w:jc w:val="both"/>
        <w:rPr>
          <w:rFonts w:ascii="Palatino Linotype" w:hAnsi="Palatino Linotype"/>
          <w:sz w:val="22"/>
          <w:szCs w:val="24"/>
          <w:lang w:val="es-ES_tradnl"/>
        </w:rPr>
      </w:pPr>
      <w:r w:rsidRPr="00416437">
        <w:rPr>
          <w:rFonts w:ascii="Palatino Linotype" w:hAnsi="Palatino Linotype"/>
          <w:b/>
          <w:sz w:val="22"/>
          <w:szCs w:val="24"/>
          <w:lang w:val="es-ES_tradnl"/>
        </w:rPr>
        <w:t>Modalidad de entrega:</w:t>
      </w:r>
      <w:r w:rsidRPr="00416437">
        <w:rPr>
          <w:rFonts w:ascii="Palatino Linotype" w:hAnsi="Palatino Linotype"/>
          <w:sz w:val="22"/>
          <w:szCs w:val="24"/>
          <w:lang w:val="es-ES_tradnl"/>
        </w:rPr>
        <w:t xml:space="preserve"> A través del SAIMEX. </w:t>
      </w:r>
    </w:p>
    <w:p w:rsidR="00F140E3" w:rsidRDefault="00F140E3" w:rsidP="00F140E3">
      <w:pPr>
        <w:pStyle w:val="Prrafodelista"/>
        <w:tabs>
          <w:tab w:val="left" w:pos="567"/>
        </w:tabs>
        <w:spacing w:line="360" w:lineRule="auto"/>
        <w:ind w:left="0"/>
        <w:contextualSpacing w:val="0"/>
        <w:jc w:val="both"/>
        <w:rPr>
          <w:rFonts w:ascii="Palatino Linotype" w:hAnsi="Palatino Linotype" w:cs="Tahoma"/>
          <w:b/>
          <w:szCs w:val="22"/>
        </w:rPr>
      </w:pPr>
    </w:p>
    <w:p w:rsidR="00F140E3" w:rsidRPr="00523CF0" w:rsidRDefault="00F140E3" w:rsidP="00F140E3">
      <w:pPr>
        <w:spacing w:before="240" w:line="360" w:lineRule="auto"/>
        <w:jc w:val="both"/>
        <w:rPr>
          <w:rFonts w:ascii="Palatino Linotype" w:hAnsi="Palatino Linotype" w:cs="Arial"/>
          <w:b/>
          <w:sz w:val="28"/>
        </w:rPr>
      </w:pPr>
      <w:r w:rsidRPr="00523CF0">
        <w:rPr>
          <w:rFonts w:ascii="Palatino Linotype" w:hAnsi="Palatino Linotype" w:cs="Arial"/>
          <w:b/>
          <w:sz w:val="28"/>
        </w:rPr>
        <w:t>SEGUNDO. De la respuesta del Sujeto Obligado.</w:t>
      </w:r>
    </w:p>
    <w:p w:rsidR="00F140E3" w:rsidRPr="00875058" w:rsidRDefault="00F140E3" w:rsidP="00F140E3">
      <w:pPr>
        <w:autoSpaceDE w:val="0"/>
        <w:autoSpaceDN w:val="0"/>
        <w:adjustRightInd w:val="0"/>
        <w:spacing w:line="360" w:lineRule="auto"/>
        <w:jc w:val="both"/>
        <w:rPr>
          <w:rFonts w:ascii="Palatino Linotype" w:hAnsi="Palatino Linotype" w:cs="Tahoma"/>
          <w:sz w:val="22"/>
          <w:szCs w:val="22"/>
        </w:rPr>
      </w:pPr>
    </w:p>
    <w:p w:rsidR="00F140E3" w:rsidRPr="00875058" w:rsidRDefault="00F140E3" w:rsidP="00F140E3">
      <w:pPr>
        <w:autoSpaceDE w:val="0"/>
        <w:autoSpaceDN w:val="0"/>
        <w:adjustRightInd w:val="0"/>
        <w:spacing w:line="360" w:lineRule="auto"/>
        <w:jc w:val="both"/>
        <w:rPr>
          <w:rFonts w:ascii="Palatino Linotype" w:hAnsi="Palatino Linotype" w:cs="Tahoma"/>
          <w:sz w:val="22"/>
          <w:szCs w:val="22"/>
        </w:rPr>
      </w:pPr>
      <w:r w:rsidRPr="00875058">
        <w:rPr>
          <w:rFonts w:ascii="Palatino Linotype" w:hAnsi="Palatino Linotype" w:cs="Tahoma"/>
          <w:sz w:val="22"/>
          <w:szCs w:val="22"/>
        </w:rPr>
        <w:t xml:space="preserve">De las constancias que obran en el SAIMEX, se advierte que en fecha </w:t>
      </w:r>
      <w:r>
        <w:rPr>
          <w:rFonts w:ascii="Palatino Linotype" w:hAnsi="Palatino Linotype" w:cs="Tahoma"/>
          <w:sz w:val="22"/>
          <w:szCs w:val="22"/>
        </w:rPr>
        <w:t xml:space="preserve">tres de abril </w:t>
      </w:r>
      <w:r w:rsidRPr="00875058">
        <w:rPr>
          <w:rFonts w:ascii="Palatino Linotype" w:hAnsi="Palatino Linotype" w:cs="Tahoma"/>
          <w:sz w:val="22"/>
          <w:szCs w:val="22"/>
        </w:rPr>
        <w:t>de dos mil diecinueve, el Sujeto Obligado notificó la prórroga de siete días para dar respuesta a la solicitud de información planteada por el Recurrente, tal como se muestra a continuación:</w:t>
      </w:r>
    </w:p>
    <w:p w:rsidR="00F140E3" w:rsidRPr="006172B0" w:rsidRDefault="00F140E3" w:rsidP="00F140E3">
      <w:pPr>
        <w:tabs>
          <w:tab w:val="left" w:pos="4667"/>
        </w:tabs>
        <w:spacing w:line="360" w:lineRule="auto"/>
        <w:ind w:left="567" w:right="567"/>
        <w:jc w:val="both"/>
        <w:rPr>
          <w:rFonts w:ascii="Palatino Linotype" w:hAnsi="Palatino Linotype" w:cs="Tahoma"/>
          <w:bCs/>
          <w:i/>
        </w:rPr>
      </w:pPr>
      <w:r w:rsidRPr="006172B0">
        <w:rPr>
          <w:rFonts w:ascii="Palatino Linotype" w:hAnsi="Palatino Linotype" w:cs="Tahoma"/>
          <w:bCs/>
          <w:i/>
        </w:rPr>
        <w:t>“…</w:t>
      </w:r>
    </w:p>
    <w:p w:rsidR="00F140E3" w:rsidRPr="006172B0" w:rsidRDefault="00F140E3" w:rsidP="00F140E3">
      <w:pPr>
        <w:tabs>
          <w:tab w:val="left" w:pos="4667"/>
        </w:tabs>
        <w:spacing w:line="360" w:lineRule="auto"/>
        <w:ind w:left="567" w:right="567"/>
        <w:jc w:val="both"/>
        <w:rPr>
          <w:rFonts w:ascii="Palatino Linotype" w:hAnsi="Palatino Linotype" w:cs="Tahoma"/>
          <w:bCs/>
          <w:i/>
        </w:rPr>
      </w:pPr>
      <w:r w:rsidRPr="00B32180">
        <w:rPr>
          <w:rFonts w:ascii="Palatino Linotype" w:hAnsi="Palatino Linotype" w:cs="Tahoma"/>
          <w:bCs/>
          <w:i/>
        </w:rPr>
        <w:t>se aprueba prorroga haciendo hincapié en que será el ultimo termino para dar contestación.</w:t>
      </w:r>
    </w:p>
    <w:p w:rsidR="00F140E3" w:rsidRPr="006172B0" w:rsidRDefault="00F140E3" w:rsidP="00F140E3">
      <w:pPr>
        <w:tabs>
          <w:tab w:val="left" w:pos="4667"/>
        </w:tabs>
        <w:spacing w:line="360" w:lineRule="auto"/>
        <w:ind w:left="567" w:right="567"/>
        <w:jc w:val="both"/>
        <w:rPr>
          <w:rFonts w:ascii="Palatino Linotype" w:hAnsi="Palatino Linotype" w:cs="Tahoma"/>
          <w:bCs/>
          <w:i/>
        </w:rPr>
      </w:pPr>
      <w:r w:rsidRPr="006172B0">
        <w:rPr>
          <w:rFonts w:ascii="Palatino Linotype" w:hAnsi="Palatino Linotype" w:cs="Tahoma"/>
          <w:bCs/>
          <w:i/>
        </w:rPr>
        <w:t>…”</w:t>
      </w:r>
    </w:p>
    <w:p w:rsidR="00F140E3" w:rsidRPr="00875058" w:rsidRDefault="00F140E3" w:rsidP="00F140E3">
      <w:pPr>
        <w:tabs>
          <w:tab w:val="left" w:pos="4667"/>
        </w:tabs>
        <w:spacing w:line="360" w:lineRule="auto"/>
        <w:ind w:left="567" w:right="567"/>
        <w:jc w:val="both"/>
        <w:rPr>
          <w:rFonts w:ascii="Palatino Linotype" w:hAnsi="Palatino Linotype" w:cs="Tahoma"/>
          <w:b/>
          <w:bCs/>
          <w:sz w:val="22"/>
          <w:szCs w:val="22"/>
        </w:rPr>
      </w:pPr>
    </w:p>
    <w:p w:rsidR="00F140E3" w:rsidRPr="00875058" w:rsidRDefault="00F140E3" w:rsidP="00F140E3">
      <w:pPr>
        <w:tabs>
          <w:tab w:val="left" w:pos="4667"/>
          <w:tab w:val="left" w:pos="8222"/>
        </w:tabs>
        <w:spacing w:line="360" w:lineRule="auto"/>
        <w:ind w:right="-28"/>
        <w:jc w:val="both"/>
        <w:rPr>
          <w:rFonts w:ascii="Palatino Linotype" w:hAnsi="Palatino Linotype" w:cs="Tahoma"/>
          <w:bCs/>
          <w:sz w:val="22"/>
          <w:szCs w:val="22"/>
        </w:rPr>
      </w:pPr>
      <w:r w:rsidRPr="00875058">
        <w:rPr>
          <w:rFonts w:ascii="Palatino Linotype" w:hAnsi="Palatino Linotype" w:cs="Tahoma"/>
          <w:sz w:val="22"/>
          <w:szCs w:val="22"/>
        </w:rPr>
        <w:t>Es de resaltar que el Sujeto Obligado no adjuntó el Acuerdo correspondiente por medio de la cual esta se autorizó, por lo que se le insta que en futuras ocasiones se abstenga de ampliar plazos de respuesta sin adjuntar el respectivo Acuerdo del Comité.</w:t>
      </w:r>
    </w:p>
    <w:p w:rsidR="00F140E3" w:rsidRPr="001E0D8F" w:rsidRDefault="00F140E3" w:rsidP="00F140E3">
      <w:pPr>
        <w:pStyle w:val="Prrafodelista"/>
        <w:tabs>
          <w:tab w:val="left" w:pos="567"/>
        </w:tabs>
        <w:spacing w:line="360" w:lineRule="auto"/>
        <w:ind w:left="0"/>
        <w:contextualSpacing w:val="0"/>
        <w:jc w:val="both"/>
        <w:rPr>
          <w:rFonts w:ascii="Palatino Linotype" w:hAnsi="Palatino Linotype" w:cs="Tahoma"/>
          <w:b/>
          <w:szCs w:val="22"/>
        </w:rPr>
      </w:pPr>
    </w:p>
    <w:p w:rsidR="00F140E3" w:rsidRDefault="00F140E3" w:rsidP="00F140E3">
      <w:pPr>
        <w:autoSpaceDE w:val="0"/>
        <w:autoSpaceDN w:val="0"/>
        <w:adjustRightInd w:val="0"/>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rPr>
        <w:t xml:space="preserve">De las constancias que obran en el expediente electrónico del </w:t>
      </w:r>
      <w:r w:rsidRPr="001E0D8F">
        <w:rPr>
          <w:rFonts w:ascii="Palatino Linotype" w:hAnsi="Palatino Linotype" w:cs="Tahoma"/>
          <w:sz w:val="22"/>
          <w:szCs w:val="22"/>
          <w:lang w:val="es-ES"/>
        </w:rPr>
        <w:t xml:space="preserve">Sistema de Acceso a la Información Mexiquense (SAIMEX), se advierte que </w:t>
      </w:r>
      <w:r w:rsidRPr="001E0D8F">
        <w:rPr>
          <w:rFonts w:ascii="Palatino Linotype" w:hAnsi="Palatino Linotype" w:cs="Tahoma"/>
          <w:b/>
          <w:sz w:val="22"/>
          <w:szCs w:val="22"/>
          <w:lang w:val="es-ES"/>
        </w:rPr>
        <w:t xml:space="preserve">el Ayuntamiento de </w:t>
      </w:r>
      <w:r>
        <w:rPr>
          <w:rFonts w:ascii="Palatino Linotype" w:hAnsi="Palatino Linotype" w:cs="Tahoma"/>
          <w:b/>
          <w:sz w:val="22"/>
          <w:szCs w:val="22"/>
          <w:lang w:val="es-ES"/>
        </w:rPr>
        <w:t xml:space="preserve">Tonatico </w:t>
      </w:r>
      <w:r w:rsidRPr="001E0D8F">
        <w:rPr>
          <w:rFonts w:ascii="Palatino Linotype" w:hAnsi="Palatino Linotype" w:cs="Tahoma"/>
          <w:b/>
          <w:sz w:val="22"/>
          <w:szCs w:val="22"/>
          <w:lang w:val="es-ES"/>
        </w:rPr>
        <w:t xml:space="preserve">no otorgó respuesta a la solicitud de acceso a la información pública con número de folio </w:t>
      </w:r>
      <w:r w:rsidRPr="00B32180">
        <w:rPr>
          <w:rFonts w:ascii="Palatino Linotype" w:hAnsi="Palatino Linotype" w:cs="Tahoma"/>
          <w:b/>
          <w:bCs/>
          <w:sz w:val="22"/>
          <w:szCs w:val="22"/>
        </w:rPr>
        <w:t>00025/TONATICO/IP/2019</w:t>
      </w:r>
      <w:r w:rsidRPr="001E0D8F">
        <w:rPr>
          <w:rFonts w:ascii="Palatino Linotype" w:hAnsi="Palatino Linotype" w:cs="Tahoma"/>
          <w:sz w:val="22"/>
          <w:szCs w:val="22"/>
          <w:lang w:val="es-ES"/>
        </w:rPr>
        <w:t>.</w:t>
      </w:r>
    </w:p>
    <w:p w:rsidR="00F140E3" w:rsidRDefault="00F140E3" w:rsidP="00F140E3">
      <w:pPr>
        <w:autoSpaceDE w:val="0"/>
        <w:autoSpaceDN w:val="0"/>
        <w:adjustRightInd w:val="0"/>
        <w:spacing w:line="360" w:lineRule="auto"/>
        <w:jc w:val="both"/>
        <w:rPr>
          <w:rFonts w:ascii="Palatino Linotype" w:hAnsi="Palatino Linotype" w:cs="Tahoma"/>
          <w:sz w:val="22"/>
          <w:szCs w:val="22"/>
          <w:lang w:val="es-ES"/>
        </w:rPr>
      </w:pPr>
    </w:p>
    <w:p w:rsidR="00F140E3" w:rsidRDefault="00F140E3" w:rsidP="00F140E3">
      <w:pPr>
        <w:spacing w:before="240" w:line="360" w:lineRule="auto"/>
        <w:jc w:val="both"/>
        <w:rPr>
          <w:rFonts w:ascii="Palatino Linotype" w:hAnsi="Palatino Linotype" w:cs="Arial"/>
          <w:b/>
          <w:sz w:val="28"/>
        </w:rPr>
      </w:pPr>
    </w:p>
    <w:p w:rsidR="00F140E3" w:rsidRDefault="00F140E3" w:rsidP="00F140E3">
      <w:pPr>
        <w:spacing w:before="240" w:line="360" w:lineRule="auto"/>
        <w:jc w:val="both"/>
        <w:rPr>
          <w:rFonts w:ascii="Palatino Linotype" w:hAnsi="Palatino Linotype" w:cs="Arial"/>
          <w:b/>
          <w:sz w:val="28"/>
        </w:rPr>
      </w:pPr>
    </w:p>
    <w:p w:rsidR="00F140E3" w:rsidRPr="00523CF0" w:rsidRDefault="00F140E3" w:rsidP="00F140E3">
      <w:pPr>
        <w:spacing w:before="240" w:line="360" w:lineRule="auto"/>
        <w:jc w:val="both"/>
        <w:rPr>
          <w:rFonts w:ascii="Palatino Linotype" w:hAnsi="Palatino Linotype" w:cs="Arial"/>
          <w:b/>
          <w:sz w:val="28"/>
        </w:rPr>
      </w:pPr>
      <w:r w:rsidRPr="00523CF0">
        <w:rPr>
          <w:rFonts w:ascii="Palatino Linotype" w:hAnsi="Palatino Linotype" w:cs="Arial"/>
          <w:b/>
          <w:sz w:val="28"/>
        </w:rPr>
        <w:lastRenderedPageBreak/>
        <w:t xml:space="preserve">TERCERO. </w:t>
      </w:r>
      <w:r w:rsidRPr="00523CF0">
        <w:rPr>
          <w:rFonts w:ascii="Palatino Linotype" w:hAnsi="Palatino Linotype"/>
          <w:b/>
          <w:sz w:val="28"/>
        </w:rPr>
        <w:t>Del recurso de revisión.</w:t>
      </w:r>
    </w:p>
    <w:p w:rsidR="00F140E3" w:rsidRPr="001E0D8F" w:rsidRDefault="00F140E3" w:rsidP="00F140E3">
      <w:pPr>
        <w:autoSpaceDE w:val="0"/>
        <w:autoSpaceDN w:val="0"/>
        <w:adjustRightInd w:val="0"/>
        <w:spacing w:line="360" w:lineRule="auto"/>
        <w:jc w:val="both"/>
        <w:rPr>
          <w:rFonts w:ascii="Palatino Linotype" w:hAnsi="Palatino Linotype" w:cs="Tahoma"/>
          <w:b/>
          <w:sz w:val="22"/>
          <w:szCs w:val="22"/>
        </w:rPr>
      </w:pPr>
    </w:p>
    <w:p w:rsidR="00F140E3" w:rsidRDefault="00F140E3" w:rsidP="00F140E3">
      <w:pPr>
        <w:autoSpaceDE w:val="0"/>
        <w:autoSpaceDN w:val="0"/>
        <w:adjustRightInd w:val="0"/>
        <w:spacing w:line="360" w:lineRule="auto"/>
        <w:jc w:val="both"/>
        <w:rPr>
          <w:rFonts w:ascii="Palatino Linotype" w:hAnsi="Palatino Linotype" w:cs="Tahoma"/>
          <w:sz w:val="22"/>
          <w:szCs w:val="22"/>
        </w:rPr>
      </w:pPr>
      <w:r w:rsidRPr="00F479B8">
        <w:rPr>
          <w:rFonts w:ascii="Palatino Linotype" w:hAnsi="Palatino Linotype" w:cs="Tahoma"/>
          <w:sz w:val="22"/>
          <w:szCs w:val="22"/>
        </w:rPr>
        <w:t>Inconforme con la falta de respuesta por El Sujeto Obligado, El Recurrente interpuso el recurso de revisión, en</w:t>
      </w:r>
      <w:r w:rsidRPr="001E0D8F">
        <w:rPr>
          <w:rFonts w:ascii="Palatino Linotype" w:hAnsi="Palatino Linotype" w:cs="Tahoma"/>
          <w:sz w:val="22"/>
          <w:szCs w:val="22"/>
        </w:rPr>
        <w:t xml:space="preserve"> fecha </w:t>
      </w:r>
      <w:r>
        <w:rPr>
          <w:rFonts w:ascii="Palatino Linotype" w:hAnsi="Palatino Linotype" w:cs="Tahoma"/>
          <w:sz w:val="22"/>
          <w:szCs w:val="22"/>
        </w:rPr>
        <w:t xml:space="preserve">veintitrés de abril </w:t>
      </w:r>
      <w:r w:rsidRPr="001E0D8F">
        <w:rPr>
          <w:rFonts w:ascii="Palatino Linotype" w:hAnsi="Palatino Linotype" w:cs="Tahoma"/>
          <w:sz w:val="22"/>
          <w:szCs w:val="22"/>
        </w:rPr>
        <w:t xml:space="preserve">de dos mil diecinueve, </w:t>
      </w:r>
      <w:r w:rsidRPr="00F479B8">
        <w:rPr>
          <w:rFonts w:ascii="Palatino Linotype" w:hAnsi="Palatino Linotype" w:cs="Tahoma"/>
          <w:sz w:val="22"/>
          <w:szCs w:val="22"/>
        </w:rPr>
        <w:t>el cual fue registrado con el expediente número 00025/TONATICO/IP/2019, en el cual arguye, las siguientes manifestaciones:</w:t>
      </w:r>
    </w:p>
    <w:p w:rsidR="00F140E3" w:rsidRPr="001E0D8F" w:rsidRDefault="00F140E3" w:rsidP="00F140E3">
      <w:pPr>
        <w:autoSpaceDE w:val="0"/>
        <w:autoSpaceDN w:val="0"/>
        <w:adjustRightInd w:val="0"/>
        <w:spacing w:line="360" w:lineRule="auto"/>
        <w:jc w:val="both"/>
        <w:rPr>
          <w:rFonts w:ascii="Palatino Linotype" w:hAnsi="Palatino Linotype" w:cs="Tahoma"/>
          <w:sz w:val="22"/>
          <w:szCs w:val="22"/>
        </w:rPr>
      </w:pPr>
    </w:p>
    <w:p w:rsidR="00F140E3" w:rsidRDefault="00F140E3" w:rsidP="00F140E3">
      <w:pPr>
        <w:autoSpaceDE w:val="0"/>
        <w:autoSpaceDN w:val="0"/>
        <w:adjustRightInd w:val="0"/>
        <w:spacing w:line="360" w:lineRule="auto"/>
        <w:ind w:left="567" w:right="567"/>
        <w:jc w:val="both"/>
        <w:rPr>
          <w:rFonts w:ascii="Palatino Linotype" w:hAnsi="Palatino Linotype" w:cs="Tahoma"/>
          <w:b/>
          <w:bCs/>
          <w:sz w:val="22"/>
        </w:rPr>
      </w:pPr>
      <w:r w:rsidRPr="005134D4">
        <w:rPr>
          <w:rFonts w:ascii="Palatino Linotype" w:hAnsi="Palatino Linotype" w:cs="Tahoma"/>
          <w:b/>
          <w:bCs/>
          <w:sz w:val="22"/>
        </w:rPr>
        <w:t>Acto Impugnado:</w:t>
      </w:r>
    </w:p>
    <w:p w:rsidR="00F140E3" w:rsidRPr="005134D4" w:rsidRDefault="00F140E3" w:rsidP="00F140E3">
      <w:pPr>
        <w:autoSpaceDE w:val="0"/>
        <w:autoSpaceDN w:val="0"/>
        <w:adjustRightInd w:val="0"/>
        <w:spacing w:line="360" w:lineRule="auto"/>
        <w:ind w:left="567" w:right="567"/>
        <w:jc w:val="both"/>
        <w:rPr>
          <w:rFonts w:ascii="Palatino Linotype" w:hAnsi="Palatino Linotype" w:cs="Tahoma"/>
          <w:b/>
          <w:bCs/>
          <w:sz w:val="22"/>
        </w:rPr>
      </w:pPr>
    </w:p>
    <w:p w:rsidR="00F140E3" w:rsidRPr="001E0D8F" w:rsidRDefault="00F140E3" w:rsidP="00F140E3">
      <w:pPr>
        <w:autoSpaceDE w:val="0"/>
        <w:autoSpaceDN w:val="0"/>
        <w:adjustRightInd w:val="0"/>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 “</w:t>
      </w:r>
      <w:r>
        <w:rPr>
          <w:rFonts w:ascii="Palatino Linotype" w:hAnsi="Palatino Linotype" w:cs="Tahoma"/>
          <w:i/>
          <w:sz w:val="22"/>
          <w:szCs w:val="22"/>
        </w:rPr>
        <w:t>XXXX XXXXXXX XXXXX</w:t>
      </w:r>
      <w:r w:rsidRPr="00B32180">
        <w:rPr>
          <w:rFonts w:ascii="Palatino Linotype" w:hAnsi="Palatino Linotype" w:cs="Tahoma"/>
          <w:i/>
          <w:sz w:val="22"/>
          <w:szCs w:val="22"/>
        </w:rPr>
        <w:t xml:space="preserve"> VS LUIS DANTE LOPEZ COLIN PRESIDENTE MUNICIPAL CONSTITUCIOINAL DEL H. AYUNTAMIENTO DE TONATICO 2019 – 2021 U/O TITULAR DEL AREA DE TRANSPARENCIA Y ACCESO A LA INFORMACION MUNICIPAL. ASUNTO: SE PROMUEVE RECURSO DE REVISIÓN. C. COMISIONADOS DEL INSTITUTO DE TRANSPARENCIA, ACCESO A LA INFORMACIÓN PÚBLICA Y PROTECCIÓN DE DATOS PERSONALES DEL ESTADO DE MÉXICO Y MUNICIPIOS CON RESIDENCIA EN LA CIUDAD DE TOLUCA DE LERDO, CAPITAL DE LA MISMA ENTIDAD FEDERATIVA. A S U H O N O R A B I L I D A D: </w:t>
      </w:r>
      <w:r>
        <w:rPr>
          <w:rFonts w:ascii="Palatino Linotype" w:hAnsi="Palatino Linotype" w:cs="Tahoma"/>
          <w:i/>
          <w:sz w:val="22"/>
          <w:szCs w:val="22"/>
        </w:rPr>
        <w:t>XXXX XXXXXXX XXXXX</w:t>
      </w:r>
      <w:r w:rsidRPr="00B32180">
        <w:rPr>
          <w:rFonts w:ascii="Palatino Linotype" w:hAnsi="Palatino Linotype" w:cs="Tahoma"/>
          <w:i/>
          <w:sz w:val="22"/>
          <w:szCs w:val="22"/>
        </w:rPr>
        <w:t xml:space="preserve">, por mi propio derecho, mayor de edad, con capacidad jurídica para contraer derechos y obligaciones, y promoviendo con fundamento en lo dispuesto por el artículo 72 de la Ley de Transparencia y acceso a la Información pública del Estado de México; señalo como domicilio para oír y recibir toda clase de notificaciones y superiores acuerdos aun los de carácter personal en el ubicado en los estrados de este Honorable Instituto, autorizando para oírlas en mi nombre y representación, a los Licenciados en Derecho </w:t>
      </w:r>
      <w:r>
        <w:rPr>
          <w:rFonts w:ascii="Palatino Linotype" w:hAnsi="Palatino Linotype" w:cs="Tahoma"/>
          <w:i/>
          <w:sz w:val="22"/>
          <w:szCs w:val="22"/>
        </w:rPr>
        <w:t>XXXXXXXXX</w:t>
      </w:r>
      <w:r w:rsidRPr="00B32180">
        <w:rPr>
          <w:rFonts w:ascii="Palatino Linotype" w:hAnsi="Palatino Linotype" w:cs="Tahoma"/>
          <w:i/>
          <w:sz w:val="22"/>
          <w:szCs w:val="22"/>
        </w:rPr>
        <w:t xml:space="preserve"> </w:t>
      </w:r>
      <w:r>
        <w:rPr>
          <w:rFonts w:ascii="Palatino Linotype" w:hAnsi="Palatino Linotype" w:cs="Tahoma"/>
          <w:i/>
          <w:sz w:val="22"/>
          <w:szCs w:val="22"/>
        </w:rPr>
        <w:t>XXXXXXXX</w:t>
      </w:r>
      <w:r w:rsidRPr="00B32180">
        <w:rPr>
          <w:rFonts w:ascii="Palatino Linotype" w:hAnsi="Palatino Linotype" w:cs="Tahoma"/>
          <w:i/>
          <w:sz w:val="22"/>
          <w:szCs w:val="22"/>
        </w:rPr>
        <w:t xml:space="preserve"> </w:t>
      </w:r>
      <w:r>
        <w:rPr>
          <w:rFonts w:ascii="Palatino Linotype" w:hAnsi="Palatino Linotype" w:cs="Tahoma"/>
          <w:i/>
          <w:sz w:val="22"/>
          <w:szCs w:val="22"/>
        </w:rPr>
        <w:t>XXXXX</w:t>
      </w:r>
      <w:r w:rsidRPr="00B32180">
        <w:rPr>
          <w:rFonts w:ascii="Palatino Linotype" w:hAnsi="Palatino Linotype" w:cs="Tahoma"/>
          <w:i/>
          <w:sz w:val="22"/>
          <w:szCs w:val="22"/>
        </w:rPr>
        <w:t xml:space="preserve">, </w:t>
      </w:r>
      <w:r>
        <w:rPr>
          <w:rFonts w:ascii="Palatino Linotype" w:hAnsi="Palatino Linotype" w:cs="Tahoma"/>
          <w:i/>
          <w:sz w:val="22"/>
          <w:szCs w:val="22"/>
        </w:rPr>
        <w:t>XXXXX XXXXXX XXXXXX XXXXXXX</w:t>
      </w:r>
      <w:r w:rsidRPr="00B32180">
        <w:rPr>
          <w:rFonts w:ascii="Palatino Linotype" w:hAnsi="Palatino Linotype" w:cs="Tahoma"/>
          <w:i/>
          <w:sz w:val="22"/>
          <w:szCs w:val="22"/>
        </w:rPr>
        <w:t xml:space="preserve">, </w:t>
      </w:r>
      <w:r>
        <w:rPr>
          <w:rFonts w:ascii="Palatino Linotype" w:hAnsi="Palatino Linotype" w:cs="Tahoma"/>
          <w:i/>
          <w:sz w:val="22"/>
          <w:szCs w:val="22"/>
        </w:rPr>
        <w:t>XXXXX XXXXXXX</w:t>
      </w:r>
      <w:r w:rsidRPr="00B32180">
        <w:rPr>
          <w:rFonts w:ascii="Palatino Linotype" w:hAnsi="Palatino Linotype" w:cs="Tahoma"/>
          <w:i/>
          <w:sz w:val="22"/>
          <w:szCs w:val="22"/>
        </w:rPr>
        <w:t xml:space="preserve"> </w:t>
      </w:r>
      <w:r>
        <w:rPr>
          <w:rFonts w:ascii="Palatino Linotype" w:hAnsi="Palatino Linotype" w:cs="Tahoma"/>
          <w:i/>
          <w:sz w:val="22"/>
          <w:szCs w:val="22"/>
        </w:rPr>
        <w:t>XXXXX XXXXX</w:t>
      </w:r>
      <w:r w:rsidRPr="00B32180">
        <w:rPr>
          <w:rFonts w:ascii="Palatino Linotype" w:hAnsi="Palatino Linotype" w:cs="Tahoma"/>
          <w:i/>
          <w:sz w:val="22"/>
          <w:szCs w:val="22"/>
        </w:rPr>
        <w:t xml:space="preserve"> </w:t>
      </w:r>
      <w:r>
        <w:rPr>
          <w:rFonts w:ascii="Palatino Linotype" w:hAnsi="Palatino Linotype" w:cs="Tahoma"/>
          <w:i/>
          <w:sz w:val="22"/>
          <w:szCs w:val="22"/>
        </w:rPr>
        <w:t>Y XXXX XXXXX XXXXXXXXX XXXX</w:t>
      </w:r>
      <w:r w:rsidRPr="00B32180">
        <w:rPr>
          <w:rFonts w:ascii="Palatino Linotype" w:hAnsi="Palatino Linotype" w:cs="Tahoma"/>
          <w:i/>
          <w:sz w:val="22"/>
          <w:szCs w:val="22"/>
        </w:rPr>
        <w:t xml:space="preserve">, conjunta o indistintamente, ante Ustedes señores Comisionados, con el debido respeto comparezco para exponer: Que por medio del presente escrito y con fundamento en lo dispuesto por los artículos 1, 3, 4, 6, 60 Fracciones I, II, VII y XIV, 71 Fracciones II y IV, 72, 73, 74, 75, y demás relativos de la Ley de Transparencia y </w:t>
      </w:r>
      <w:r w:rsidRPr="00B32180">
        <w:rPr>
          <w:rFonts w:ascii="Palatino Linotype" w:hAnsi="Palatino Linotype" w:cs="Tahoma"/>
          <w:i/>
          <w:sz w:val="22"/>
          <w:szCs w:val="22"/>
        </w:rPr>
        <w:lastRenderedPageBreak/>
        <w:t xml:space="preserve">acceso a la Información pública del Estado de México y Municipios; vengo a interponer Recurso de Revisión de la siguiente manera: Antes de dar cumplimiento a lo dispuesto por el artículo 73 de la Ley de Transparencia y acceso a la Información pública del Estado de México y Municipios, me permito en este acto, apoyar el Interés Legítimo con el que comparezco ante esta H. Autoridad, en lo establecido por el numeral 231 del Código de Procedimientos Administrativos del Estado de México, de aplicación supletoria analógica mente en la materia, conforme a los artículos 57 y 60 fracción I, de la Ley de Transparencia y acceso a la Información pública del Estado de México y Municipios; así como lo sustentado en los siguientes criterios jurisprudenciales, emitidos por el propio H. Tribunal de lo Contencioso Administrativo del Estado de México, en su segunda época, criterios que fueran debidamente publicados en la Gaceta del Gobierno del Estado de México y que son los siguientes: “JURISPRUDENCIA SE-35 INTERES JURIDICO E INTERES LEGÍTIMO EN EL PROCESO ADMINISTRATIVO. SU ALCANCE.- Al señalar el numeral 231 del Código de Procedimientos Administrativos del Estado a las personas que pueden intervenir en el proceso administrativo, exige la tenencia de un interés jurídico o de un interés legítimo que funde su pretensión. Para tal efecto, tienen interés jurídico los titulares de un derecho subjetivo público, es decir, los gobernados que cuentan con la facultad legal de exigir a la administración pública la satisfacción de una solicitud concreta. Por su parte, tienen interés legítimo quienes invocan situaciones de hecho protegidas por el orden jurídico, tanto de un sujeto determinado como de los integrantes de un grupo de individuos, diferenciados del conjunto general de la sociedad. Como se observa, para que exista el interés jurídico es necesario que los gobernados sufran, en forma directa y real, una privación o molestia en sus derechos, propiedades o posesiones; en cambio, para que exista el interés legítimo es suficiente que los particulares, principalmente los pertenecientes a un grupo diferenciado de la sociedad, resulten afectados por actos contrarios a la ley, por lo que la tutela jurisdiccional de éste es mayor que la de aquél. Recursos de Revisión acumulados números 54/998 y 56/998.- Resueltos en sesión de la Segunda Sección de la Sala Superior de 12 de febrero de 1998, por unanimidad de tres votos. Recursos de Revisión acumulados números 86/998 y 91/998.- Resueltos en sesión de la Segunda Sección de la </w:t>
      </w:r>
      <w:r w:rsidRPr="00B32180">
        <w:rPr>
          <w:rFonts w:ascii="Palatino Linotype" w:hAnsi="Palatino Linotype" w:cs="Tahoma"/>
          <w:i/>
          <w:sz w:val="22"/>
          <w:szCs w:val="22"/>
        </w:rPr>
        <w:lastRenderedPageBreak/>
        <w:t xml:space="preserve">Sala Superior de 24 de febrero de 1998, por unanimidad de tres votos. Recurso de Revisión número 491/998.- Resuelto en sesión de la Segunda Sección de la Sala Superior de 11 de agosto de 1998, por unanimidad de tres votos. La tesis jurisprudencial fue aprobada por el Pleno de la Sala Superior en sesión de 30 de septiembre de 1998, por unanimidad de siete votos.” “JURISPRUDENCIA SE-36 INTERES JURIDICO E INTERES LEGÍTIMO EN EL PROCESO ADMINISTRATIVO. LOS TIENEN LOS DESTINATARIOS DE UN ACTO ADMINISTRATIVO O FISCAL.- Conforme al artículo 231 del Código de Procedimientos Administrativos del Estado, sólo podrán intervenir en el juicio contencioso administrativo los particulares que tengan un interés jurídico o un interés legítimo que funde su pretensión, aclarando la propia norma, que tienen interés jurídico los titulares de un derecho subjetivo público, e interés legítimo quienes invoquen situaciones de hecho protegidas por el orden jurídico, tanto de un sujeto determinado como de los integrantes de un grupo de individuos, diferenciados del conjunto general de la sociedad. Tratándose de las personas a quienes se dirige un acto administrativo o fiscal, es evidente que tienen el interés jurídico o el interés legítimo para impugnar dicho acto, según el caso, precisamente por ser los destinatarios de una declaración unilateral de voluntad de la Administración Pública Estatal o Municipal, que pudiera infringir, en su perjuicio, las disposiciones legales aplicables. Recurso de Revisión número 472/998.- Resuelto en sesión de la Primera Sección de la Sala Superior de 25 de agosto de 1998, por unanimidad de tres votos. Recurso de Revisión número 540/998.- Resuelto en sesión de la Segunda Sección de la Sala Superior de 27 de agosto de 1998, por unanimidad de tres votos. Recurso de Revisión número 579/998.- Resuelto en sesión de la Segunda Sección de la Sala Superior de 10 de septiembre de 1998, por unanimidad de tres votos. La tesis jurisprudencial fue aprobada por el Pleno de la Sala Superior en sesión de 30 de septiembre de 1998, por unanimidad de siete votos.” De igual manera me permito apoyar el interés con el que comparezco ante este Honorable Pleno del Instituto de Transparencia, acceso a la Información Pública y Protección de Datos Personales del Estado de México y Municipios, el siguiente criterio jurisprudencial emitido por el Cuarto Tribunal Colegiado en Materia Administrativa del Primer Circuito, publicado en </w:t>
      </w:r>
      <w:r w:rsidRPr="00B32180">
        <w:rPr>
          <w:rFonts w:ascii="Palatino Linotype" w:hAnsi="Palatino Linotype" w:cs="Tahoma"/>
          <w:i/>
          <w:sz w:val="22"/>
          <w:szCs w:val="22"/>
        </w:rPr>
        <w:lastRenderedPageBreak/>
        <w:t xml:space="preserve">el mes de abril de 1999, Tomo IX, Página 555, en el Diario Oficial de la Federación y su Gaceta, que a la letra dice: "INTERÉS LEGÍTIMO" E "INTERÉS JURÍDICO". AMBOS TÉRMINOS TIENEN EN EL DERECHO LA MISMA CONNOTACIÓN. Los conceptos "jurídico" y "legítimo" tienen gramaticalmente el mismo contenido, según la Enciclopedia del Idioma de Martín Alonso; por legítimo se tiene "a lo que es conforme a las leyes" y jurídico tiene un significado de lo que se hace "con apego a lo dispuesto por la ley"; Escriche señala que legítimo es "lo que es conforme a las leyes, lo que está introducido, confirmado o comprobado por alguna ley" y de jurídico dice que es "lo que está o se hace según forma de juicio o de derecho". Se admite que no son las definiciones gramaticales la única base con la que cuenta el Juez para decir el derecho, las palabras que forman parte de una disposición legal deben interpretarse y aplicarse acordes al contexto de esa norma jurídica, y es en ese contexto que este tribunal no encuentra diferencia, aparte de la semántica entre una palabra y otra; cabe precisar que los artículos 33 y 71, fracción V, de la Ley Orgánica del Tribunal de lo Contencioso Administrativo del Distrito Federal ya derogada, aludían a la necesaria existencia de un interés jurídico para acudir al juicio ante dicho tribunal y que el juicio sería improcedente contra actos que no afectaran el "interés jurídico" del actor; en tanto que la ley vigente hace referencia a un "interés legítimo" lo que nos lleva a afirmar que basta que se consideren afectados quienes acuden al juicio para que éste sea procedente. CUARTO TRIBUNAL COLEGIADO EN MATERIA ADMINISTRATIVA DEL PRIMER CIRCUITO. Amparo directo 3784/97. Asociación Civil de Colonos del Fraccionamiento Colinas del Bosque, A.C. y otra. 10 de junio de 1998. Unanimidad de votos. Ponente: Hilario Bárcenas Chávez. Secretaria: Silvia Martínez Saavedra.” A continuación paso a expresar los requisitos formales del presente Recurso de Revisión de la siguiente forma: I.- NOMBRE Y DOMICILIO DEL RECURRENTE: </w:t>
      </w:r>
      <w:r>
        <w:rPr>
          <w:rFonts w:ascii="Palatino Linotype" w:hAnsi="Palatino Linotype" w:cs="Tahoma"/>
          <w:i/>
          <w:sz w:val="22"/>
          <w:szCs w:val="22"/>
        </w:rPr>
        <w:t xml:space="preserve">XXXXX XXXXXX </w:t>
      </w:r>
      <w:bookmarkStart w:id="0" w:name="_GoBack"/>
      <w:r>
        <w:rPr>
          <w:rFonts w:ascii="Palatino Linotype" w:hAnsi="Palatino Linotype" w:cs="Tahoma"/>
          <w:i/>
          <w:sz w:val="22"/>
          <w:szCs w:val="22"/>
        </w:rPr>
        <w:t>XXXXX</w:t>
      </w:r>
      <w:bookmarkEnd w:id="0"/>
      <w:r w:rsidRPr="00B32180">
        <w:rPr>
          <w:rFonts w:ascii="Palatino Linotype" w:hAnsi="Palatino Linotype" w:cs="Tahoma"/>
          <w:i/>
          <w:sz w:val="22"/>
          <w:szCs w:val="22"/>
        </w:rPr>
        <w:t xml:space="preserve">, con domicilio en la casa marcada con el número 13, de la calle denominada Plaza Constitución, Barrio de San Gaspar, en Tonatico, Estado de México, con código postal 51950. II.- ACTO IMPUGNADO: Lo hago consistir en: a).- Lo hago consistir en las violaciones de hecho y de derecho que se contienen en los actos de omisión materializados por la autoridad Municipal del Gobierno de Tonatico, Estado de México, periodo </w:t>
      </w:r>
      <w:r w:rsidRPr="00B32180">
        <w:rPr>
          <w:rFonts w:ascii="Palatino Linotype" w:hAnsi="Palatino Linotype" w:cs="Tahoma"/>
          <w:i/>
          <w:sz w:val="22"/>
          <w:szCs w:val="22"/>
        </w:rPr>
        <w:lastRenderedPageBreak/>
        <w:t xml:space="preserve">de mandato 2019 - 2021, específicamente, por LUIS DANTE LOPEZ COLIN, Presidente Municipal Constitucional de Tonatico México u/o titular del área de Transparencia y Acceso a la Información Municipal, AL NO DAR CONTESTACIÓN A ESTA SOLICITUD. Y PONER EN DICHO EL AYUNTAMIENTO AL INSTITUTO DE TRANSPARENCIA Y ACCESO A LA INFORMACIÓN PÚBLICA Y PROTECCIÓN DE DATOS PERSONALES DEL ESTADO DE MÉXICO Y MUNICIPIOS QUE HASTA EL DIA DE HOY NO SE TENGA EN EL PORTAL DE ESTE INSTITUTO NINGUN DATO E INFORMACION DE NINGUNA INDOLE PARA CONOCIMIENTO DEL INSTITUTO Y DE LA POBLACION EN GENERAL Y QUE ES DE CARÁCTER OBLIGATORIO. b).- Lo hago consistir en las violaciones de hecho y de derecho que se contienen en los actos de omisión materializados por la autoridad Municipal del Gobierno de Tonatico, Estado de México, periodo de mandato 2019 - 2021, específicamente, hacia LUIS DANTE LOPEZ COLIN, Presidente Municipal Constitucional de Tonatico México, o en su defecto al Titular de la Unidad de Trasparencia y acceso a la Información Pública del Ayuntamiento antes referido, en el entendido, claro sin concederle el uso de la razón, que el C. LUIS DANTE LOPEZ COLIN, Presidente Municipal Constitucional de Tonatico México, le haya girado las instrucciones correspondiente u órdenes “de dar contestación”; toda vez, que a la fecha no le han entregado al suscrito peticionario, la contestación a la solicitud de información pública solicitada, signada bajo el Folio 00025/TONATICO/IP/2019, de fecha trece de marzo de 2019. Soslayándose al más entero perjuicio del suscrito, las prerrogativas consagradas en el artículo 1, primer párrafo de la Constitución General de la Republica que nos habla de los Derechos Humanos fundamentales de la equidad de género y en los que se señala constitucionalmente hablando la igualdad que se tiene entre hombres y mujeres así como el art. 5 de la Constitución Política del Estado Libre y Soberano de México, especialmente en las que señala el derecho que tenemos los particulares mexicanos, en este caso mexiquenses, a la información pública. De igual forma se violan en perjuicio del suscrito las disposiciones de una ley de orden público e interés social, como son los artículos 6, 12 fracción II, 17, 18, 41 Bis fracciones I y II, 42, 46, 47 y 71 fracción IV de la Ley de Transparencia y acceso </w:t>
      </w:r>
      <w:r w:rsidRPr="00B32180">
        <w:rPr>
          <w:rFonts w:ascii="Palatino Linotype" w:hAnsi="Palatino Linotype" w:cs="Tahoma"/>
          <w:i/>
          <w:sz w:val="22"/>
          <w:szCs w:val="22"/>
        </w:rPr>
        <w:lastRenderedPageBreak/>
        <w:t>a la Información pública del Estado de México y Municipios, en virtud de que no fueron cubiertos los requisitos que se señalan en los artículos 6 y 41 Bis de la Ley en la materia, es decir, al no haber una respuesta llámese afirmativa o negatoria, se violan los principios de simplicidad y rapidez, así como el de gratuidad en el procedimiento, esto en la expedición de las copias de la información solicitada, amén de lo señalado en los principios constitucionales legalidad, consagrados en los artículos 14 y 16 de nuestra Ley Suprema, (todo acto de autoridad debe estar fundado y motivado), lo que a todas luces no sucede en el actuar del C. LUIS DANTE LOPEZ COLIN, Presidente Municipal Constitucional De Tonatico, México, máxime, que como sujetos obligados el Ayuntamiento de Tonatico, México, debería tener disponible en medio impreso o electrónico y que hasta la fecha no se tiene, de manera permanente y actualizada, de forma sencilla, precisa y entendible para los particulares, la información siguiente: El directorio de servidores públicos de mandos medios y superiores con referencia particular a su nombramiento oficial, puesto funcional, remuneración de acuerdo con lo previsto por el Código Financiero; datos que deberán señalarse de forma independiente por dependencia y entidad pública de cada Sujeto Obligado. Datos que en obvio de suposiciones absurdas, deben estar contenidos en las nóminas que se solicitan. Desde otro punto de vista, la información referente a las obligaciones de transparencia será puesta a disposición de los particulares por cualquier medio que facilite su acceso, dando preferencia al uso de sistemas computacionales y las nuevas tecnologías de información II.-AUTORIDAD QUE SE RECURRE: a).- C. LUIS DANTE LOPEZ COLIN, Presidente Municipal Constitucional De Tonatico, México, quien tiene su domicilio para ser debidamente notificado en el momento procesal oportuno de la resolución que recaiga a este recurso de revisión, el sito ubicado en el Interior de la Presidencia Municipal de Tonatico, México, que se encuentra en la calle plaza constitución, número 1, Barrio San Gaspar, en Tonatico, México, con C.P. 51950. b).- En su caso el Titular de la Unidad de transparencia y acceso a la información pública de dicho ayuntamiento.</w:t>
      </w:r>
      <w:r w:rsidRPr="001E0D8F">
        <w:rPr>
          <w:rFonts w:ascii="Palatino Linotype" w:hAnsi="Palatino Linotype" w:cs="Tahoma"/>
          <w:i/>
          <w:sz w:val="22"/>
          <w:szCs w:val="22"/>
        </w:rPr>
        <w:t>”</w:t>
      </w:r>
    </w:p>
    <w:p w:rsidR="00F140E3" w:rsidRDefault="00F140E3" w:rsidP="00F140E3">
      <w:pPr>
        <w:autoSpaceDE w:val="0"/>
        <w:autoSpaceDN w:val="0"/>
        <w:adjustRightInd w:val="0"/>
        <w:spacing w:line="360" w:lineRule="auto"/>
        <w:ind w:left="567" w:right="567"/>
        <w:jc w:val="both"/>
        <w:rPr>
          <w:rFonts w:ascii="Palatino Linotype" w:hAnsi="Palatino Linotype" w:cs="Tahoma"/>
          <w:sz w:val="22"/>
          <w:szCs w:val="22"/>
        </w:rPr>
      </w:pPr>
    </w:p>
    <w:p w:rsidR="00F140E3" w:rsidRPr="001E0D8F" w:rsidRDefault="00F140E3" w:rsidP="00F140E3">
      <w:pPr>
        <w:autoSpaceDE w:val="0"/>
        <w:autoSpaceDN w:val="0"/>
        <w:adjustRightInd w:val="0"/>
        <w:spacing w:line="360" w:lineRule="auto"/>
        <w:ind w:left="567" w:right="567"/>
        <w:jc w:val="both"/>
        <w:rPr>
          <w:rFonts w:ascii="Palatino Linotype" w:hAnsi="Palatino Linotype" w:cs="Tahoma"/>
          <w:sz w:val="22"/>
          <w:szCs w:val="22"/>
        </w:rPr>
      </w:pPr>
    </w:p>
    <w:p w:rsidR="00F140E3" w:rsidRDefault="00F140E3" w:rsidP="00F140E3">
      <w:pPr>
        <w:autoSpaceDE w:val="0"/>
        <w:autoSpaceDN w:val="0"/>
        <w:adjustRightInd w:val="0"/>
        <w:spacing w:line="360" w:lineRule="auto"/>
        <w:ind w:left="567" w:right="567"/>
        <w:jc w:val="both"/>
        <w:rPr>
          <w:rFonts w:ascii="Palatino Linotype" w:hAnsi="Palatino Linotype" w:cs="Tahoma"/>
          <w:b/>
          <w:sz w:val="22"/>
        </w:rPr>
      </w:pPr>
      <w:r w:rsidRPr="005134D4">
        <w:rPr>
          <w:rFonts w:ascii="Palatino Linotype" w:hAnsi="Palatino Linotype" w:cs="Tahoma"/>
          <w:b/>
          <w:sz w:val="22"/>
        </w:rPr>
        <w:lastRenderedPageBreak/>
        <w:t>Razones o Motivos de Inconformidad:</w:t>
      </w:r>
    </w:p>
    <w:p w:rsidR="00F140E3" w:rsidRPr="005134D4" w:rsidRDefault="00F140E3" w:rsidP="00F140E3">
      <w:pPr>
        <w:autoSpaceDE w:val="0"/>
        <w:autoSpaceDN w:val="0"/>
        <w:adjustRightInd w:val="0"/>
        <w:spacing w:line="360" w:lineRule="auto"/>
        <w:ind w:left="567" w:right="567"/>
        <w:jc w:val="both"/>
        <w:rPr>
          <w:rFonts w:ascii="Palatino Linotype" w:hAnsi="Palatino Linotype" w:cs="Tahoma"/>
          <w:b/>
          <w:sz w:val="22"/>
        </w:rPr>
      </w:pPr>
    </w:p>
    <w:p w:rsidR="00F140E3" w:rsidRPr="001E0D8F" w:rsidRDefault="00F140E3" w:rsidP="00F140E3">
      <w:pPr>
        <w:autoSpaceDE w:val="0"/>
        <w:autoSpaceDN w:val="0"/>
        <w:adjustRightInd w:val="0"/>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 “</w:t>
      </w:r>
      <w:r w:rsidRPr="00B32180">
        <w:rPr>
          <w:rFonts w:ascii="Palatino Linotype" w:hAnsi="Palatino Linotype" w:cs="Tahoma"/>
          <w:i/>
          <w:sz w:val="22"/>
          <w:szCs w:val="22"/>
        </w:rPr>
        <w:t>Como lo mencione en el rubro correspondiente al ACTO IMPUGNADO, se conculcan en perjuicio del suscrito, todas y cada una de las disposiciones legales citadas; empero, lo más grave, es que la Autoridad Municipal, en este caso el C. LUIS DANTE LOPEZ COLIN, Presidente Municipal y/o en su caso el Titular de la Unidad de Información, violan en mi agravio derechos humanos fundamentales de Orden Constitucional, tanto de índole Federal como Local, así como textos contenidos en una Ley Estatal, todas de orden público e interés social general, por lo que su omisión y según obra en saimex hasta la fecha no existe ninguna información del Ayuntamiento de Tonatico en el portal del instituto, ello debe ser reparado este acto por omisión, dicha conducta debe ser examinada, analizada y YA sancionada por las autoridades investidas con fuerza coactiva estatal competentes. Por lo expuesto y fundado a Ustedes CC. COMISIONADOS DEL INSTITUTO DE TRANSPARENCIA, ACCESO A LA INFORMACIÓN PÚBLICA Y PROTECCIÓN DE DATOS PERSONALES DEL ESTADO DE MÉXICO Y MUNICIPIOS Atentamente pido: ÚNICO.- Substanciar el presente recurso de revisión en todas sus etapas procesales, dándole vista a la autoridad responsable de las omisiones señalas y conteste lo que competa a sus intereses, una vez desahogada la vista o no, turnar el presente a el dictado de la Resolución que en derecho corresponda y que en su momento favorezca en todo al suscrito.</w:t>
      </w:r>
      <w:r w:rsidRPr="001E0D8F">
        <w:rPr>
          <w:rFonts w:ascii="Palatino Linotype" w:hAnsi="Palatino Linotype" w:cs="Tahoma"/>
          <w:i/>
          <w:sz w:val="22"/>
          <w:szCs w:val="22"/>
        </w:rPr>
        <w:t>” (Sic.)</w:t>
      </w:r>
    </w:p>
    <w:p w:rsidR="00F140E3" w:rsidRPr="001E0D8F" w:rsidRDefault="00F140E3" w:rsidP="00F140E3">
      <w:pPr>
        <w:autoSpaceDE w:val="0"/>
        <w:autoSpaceDN w:val="0"/>
        <w:adjustRightInd w:val="0"/>
        <w:spacing w:line="360" w:lineRule="auto"/>
        <w:ind w:left="567" w:right="567"/>
        <w:jc w:val="both"/>
        <w:rPr>
          <w:rFonts w:ascii="Palatino Linotype" w:hAnsi="Palatino Linotype" w:cs="Tahoma"/>
          <w:sz w:val="22"/>
          <w:szCs w:val="22"/>
        </w:rPr>
      </w:pPr>
    </w:p>
    <w:p w:rsidR="00F140E3" w:rsidRDefault="00F140E3" w:rsidP="00F140E3">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rsidR="00F140E3" w:rsidRPr="001E0D8F" w:rsidRDefault="00F140E3" w:rsidP="00F140E3">
      <w:pPr>
        <w:spacing w:line="360" w:lineRule="auto"/>
        <w:jc w:val="both"/>
        <w:rPr>
          <w:rFonts w:ascii="Palatino Linotype" w:eastAsia="Batang" w:hAnsi="Palatino Linotype" w:cs="Tahoma"/>
          <w:b/>
          <w:bCs/>
          <w:sz w:val="22"/>
          <w:szCs w:val="22"/>
        </w:rPr>
      </w:pPr>
    </w:p>
    <w:p w:rsidR="00F140E3" w:rsidRDefault="00F140E3" w:rsidP="00F140E3">
      <w:pPr>
        <w:spacing w:line="360" w:lineRule="auto"/>
        <w:jc w:val="both"/>
        <w:rPr>
          <w:rFonts w:ascii="Palatino Linotype" w:eastAsia="Batang" w:hAnsi="Palatino Linotype" w:cs="Tahoma"/>
          <w:bCs/>
          <w:sz w:val="22"/>
          <w:szCs w:val="22"/>
        </w:rPr>
      </w:pPr>
      <w:r w:rsidRPr="0046306A">
        <w:rPr>
          <w:rFonts w:ascii="Palatino Linotype" w:hAnsi="Palatino Linotype" w:cs="Arial"/>
          <w:sz w:val="22"/>
          <w:szCs w:val="24"/>
        </w:rPr>
        <w:t xml:space="preserve">Medio de impugnación que le fue turnado a la Comisionada </w:t>
      </w:r>
      <w:r w:rsidRPr="0046306A">
        <w:rPr>
          <w:rFonts w:ascii="Palatino Linotype" w:hAnsi="Palatino Linotype" w:cs="Arial"/>
          <w:b/>
          <w:sz w:val="22"/>
          <w:szCs w:val="24"/>
        </w:rPr>
        <w:t>Zulema Martínez Sánchez</w:t>
      </w:r>
      <w:r w:rsidRPr="0046306A">
        <w:rPr>
          <w:rFonts w:ascii="Palatino Linotype" w:hAnsi="Palatino Linotype" w:cs="Arial"/>
          <w:sz w:val="22"/>
          <w:szCs w:val="24"/>
        </w:rPr>
        <w:t xml:space="preserve">, por medio del sistema electrónico en términos del arábigo 185 fracción I de la Ley de Transparencia y Acceso a la información Pública del Estado de México y Municipios, del cual recayó acuerdo de admisión </w:t>
      </w:r>
      <w:r w:rsidRPr="00935DF8">
        <w:rPr>
          <w:rFonts w:ascii="Palatino Linotype" w:hAnsi="Palatino Linotype" w:cs="Arial"/>
          <w:sz w:val="22"/>
          <w:szCs w:val="24"/>
        </w:rPr>
        <w:t xml:space="preserve">en </w:t>
      </w:r>
      <w:r w:rsidRPr="00935DF8">
        <w:rPr>
          <w:rFonts w:ascii="Palatino Linotype" w:hAnsi="Palatino Linotype" w:cs="Arial"/>
          <w:sz w:val="22"/>
          <w:szCs w:val="24"/>
        </w:rPr>
        <w:lastRenderedPageBreak/>
        <w:t>fecha veinti</w:t>
      </w:r>
      <w:r>
        <w:rPr>
          <w:rFonts w:ascii="Palatino Linotype" w:hAnsi="Palatino Linotype" w:cs="Arial"/>
          <w:sz w:val="22"/>
          <w:szCs w:val="24"/>
        </w:rPr>
        <w:t>nueve</w:t>
      </w:r>
      <w:r>
        <w:rPr>
          <w:rFonts w:ascii="Palatino Linotype" w:hAnsi="Palatino Linotype" w:cs="Arial"/>
          <w:sz w:val="24"/>
          <w:szCs w:val="24"/>
        </w:rPr>
        <w:t xml:space="preserve"> de </w:t>
      </w:r>
      <w:r>
        <w:rPr>
          <w:rFonts w:ascii="Palatino Linotype" w:eastAsia="Batang" w:hAnsi="Palatino Linotype" w:cs="Tahoma"/>
          <w:bCs/>
          <w:sz w:val="22"/>
          <w:szCs w:val="22"/>
        </w:rPr>
        <w:t>abril</w:t>
      </w:r>
      <w:r w:rsidRPr="00AD50F9">
        <w:rPr>
          <w:rFonts w:ascii="Palatino Linotype" w:eastAsia="Batang" w:hAnsi="Palatino Linotype" w:cs="Tahoma"/>
          <w:bCs/>
          <w:sz w:val="22"/>
          <w:szCs w:val="22"/>
        </w:rPr>
        <w:t xml:space="preserve"> de </w:t>
      </w:r>
      <w:r>
        <w:rPr>
          <w:rFonts w:ascii="Palatino Linotype" w:eastAsia="Batang" w:hAnsi="Palatino Linotype" w:cs="Tahoma"/>
          <w:bCs/>
          <w:sz w:val="22"/>
          <w:szCs w:val="22"/>
        </w:rPr>
        <w:t>la presente anualidad</w:t>
      </w:r>
      <w:r w:rsidRPr="00AD50F9">
        <w:rPr>
          <w:rFonts w:ascii="Palatino Linotype" w:eastAsia="Batang" w:hAnsi="Palatino Linotype" w:cs="Tahoma"/>
          <w:bCs/>
          <w:sz w:val="22"/>
          <w:szCs w:val="22"/>
        </w:rPr>
        <w:t xml:space="preserve">, </w:t>
      </w:r>
      <w:r w:rsidRPr="0046306A">
        <w:rPr>
          <w:rFonts w:ascii="Palatino Linotype" w:eastAsia="Batang" w:hAnsi="Palatino Linotype" w:cs="Tahoma"/>
          <w:bCs/>
          <w:sz w:val="22"/>
          <w:szCs w:val="22"/>
        </w:rPr>
        <w:t>determinándose en él, un plazo de siete días para que las partes manifestaran lo que a su derecho corresponda en términos del numeral ya citado.</w:t>
      </w:r>
    </w:p>
    <w:p w:rsidR="00F140E3" w:rsidRPr="001E0D8F" w:rsidRDefault="00F140E3" w:rsidP="00F140E3">
      <w:pPr>
        <w:spacing w:line="360" w:lineRule="auto"/>
        <w:jc w:val="both"/>
        <w:rPr>
          <w:rFonts w:ascii="Palatino Linotype" w:eastAsia="Batang" w:hAnsi="Palatino Linotype" w:cs="Tahoma"/>
          <w:b/>
          <w:bCs/>
          <w:sz w:val="22"/>
          <w:szCs w:val="22"/>
        </w:rPr>
      </w:pPr>
    </w:p>
    <w:p w:rsidR="00F140E3" w:rsidRPr="001E0D8F" w:rsidRDefault="00F140E3" w:rsidP="00F140E3">
      <w:pPr>
        <w:spacing w:line="360" w:lineRule="auto"/>
        <w:jc w:val="both"/>
        <w:rPr>
          <w:rFonts w:ascii="Palatino Linotype" w:hAnsi="Palatino Linotype" w:cs="Tahoma"/>
          <w:sz w:val="22"/>
          <w:szCs w:val="22"/>
        </w:rPr>
      </w:pPr>
      <w:r w:rsidRPr="001E0D8F">
        <w:rPr>
          <w:rFonts w:ascii="Palatino Linotype" w:hAnsi="Palatino Linotype" w:cs="Tahoma"/>
          <w:b/>
          <w:sz w:val="22"/>
          <w:szCs w:val="22"/>
        </w:rPr>
        <w:t xml:space="preserve"> </w:t>
      </w:r>
      <w:r w:rsidRPr="001E0D8F">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Pr>
          <w:rFonts w:ascii="Palatino Linotype" w:hAnsi="Palatino Linotype" w:cs="Tahoma"/>
          <w:sz w:val="22"/>
          <w:szCs w:val="22"/>
        </w:rPr>
        <w:t xml:space="preserve">once de junio </w:t>
      </w:r>
      <w:r w:rsidRPr="001E0D8F">
        <w:rPr>
          <w:rFonts w:ascii="Palatino Linotype" w:hAnsi="Palatino Linotype" w:cs="Tahoma"/>
          <w:sz w:val="22"/>
          <w:szCs w:val="22"/>
        </w:rPr>
        <w:t>de dos mil diecinueve, se notificó a las partes a través del Sistema de Acceso a la Información Mexiquense (SAIMEX), el Acuerdo de Ampliación de plazo  para resolver el Recurso de Revisión materia de la presente resolución.</w:t>
      </w:r>
    </w:p>
    <w:p w:rsidR="00F140E3" w:rsidRDefault="00F140E3" w:rsidP="00F140E3">
      <w:pPr>
        <w:spacing w:line="360" w:lineRule="auto"/>
        <w:jc w:val="both"/>
        <w:rPr>
          <w:rFonts w:ascii="Palatino Linotype" w:hAnsi="Palatino Linotype" w:cs="Tahoma"/>
          <w:bCs/>
          <w:sz w:val="22"/>
          <w:szCs w:val="22"/>
        </w:rPr>
      </w:pPr>
    </w:p>
    <w:p w:rsidR="00F140E3" w:rsidRPr="00F92F8E" w:rsidRDefault="00F140E3" w:rsidP="00F140E3">
      <w:pPr>
        <w:spacing w:before="240" w:line="360" w:lineRule="auto"/>
        <w:jc w:val="both"/>
        <w:rPr>
          <w:rFonts w:ascii="Palatino Linotype" w:hAnsi="Palatino Linotype" w:cs="Arial"/>
          <w:b/>
          <w:sz w:val="24"/>
          <w:szCs w:val="24"/>
        </w:rPr>
      </w:pPr>
      <w:r>
        <w:rPr>
          <w:rFonts w:ascii="Palatino Linotype" w:hAnsi="Palatino Linotype" w:cs="Arial"/>
          <w:b/>
          <w:sz w:val="28"/>
        </w:rPr>
        <w:t>QUIN</w:t>
      </w:r>
      <w:r w:rsidRPr="00F92F8E">
        <w:rPr>
          <w:rFonts w:ascii="Palatino Linotype" w:hAnsi="Palatino Linotype" w:cs="Arial"/>
          <w:b/>
          <w:sz w:val="28"/>
        </w:rPr>
        <w:t>TO</w:t>
      </w:r>
      <w:r w:rsidRPr="00F92F8E">
        <w:rPr>
          <w:rFonts w:ascii="Palatino Linotype" w:hAnsi="Palatino Linotype" w:cs="Arial"/>
          <w:b/>
          <w:sz w:val="24"/>
          <w:szCs w:val="24"/>
        </w:rPr>
        <w:t xml:space="preserve">. </w:t>
      </w:r>
      <w:r w:rsidRPr="00F92F8E">
        <w:rPr>
          <w:rFonts w:ascii="Palatino Linotype" w:hAnsi="Palatino Linotype" w:cs="Arial"/>
          <w:b/>
          <w:sz w:val="28"/>
          <w:szCs w:val="28"/>
        </w:rPr>
        <w:t>De la etapa de instrucción.</w:t>
      </w:r>
    </w:p>
    <w:p w:rsidR="00F140E3" w:rsidRPr="00F76479" w:rsidRDefault="00F140E3" w:rsidP="00F140E3">
      <w:pPr>
        <w:spacing w:before="240" w:line="360" w:lineRule="auto"/>
        <w:jc w:val="both"/>
        <w:rPr>
          <w:rFonts w:ascii="Palatino Linotype" w:hAnsi="Palatino Linotype" w:cs="Arial"/>
          <w:sz w:val="24"/>
          <w:szCs w:val="24"/>
        </w:rPr>
      </w:pPr>
      <w:r w:rsidRPr="00F76479">
        <w:rPr>
          <w:rFonts w:ascii="Palatino Linotype" w:hAnsi="Palatino Linotype" w:cs="Arial"/>
          <w:sz w:val="24"/>
          <w:szCs w:val="24"/>
        </w:rPr>
        <w:t xml:space="preserve">Una vez abierta la etapa de instrucción, se observa que el sujeto obligado fue omiso en presentar el informe justificado correspondiente, asimismo se advierte que el recurrente </w:t>
      </w:r>
      <w:r>
        <w:rPr>
          <w:rFonts w:ascii="Palatino Linotype" w:hAnsi="Palatino Linotype" w:cs="Arial"/>
          <w:sz w:val="24"/>
          <w:szCs w:val="24"/>
        </w:rPr>
        <w:t xml:space="preserve">sí </w:t>
      </w:r>
      <w:r w:rsidRPr="00F76479">
        <w:rPr>
          <w:rFonts w:ascii="Palatino Linotype" w:hAnsi="Palatino Linotype" w:cs="Arial"/>
          <w:sz w:val="24"/>
          <w:szCs w:val="24"/>
        </w:rPr>
        <w:t>realizó manifestaci</w:t>
      </w:r>
      <w:r>
        <w:rPr>
          <w:rFonts w:ascii="Palatino Linotype" w:hAnsi="Palatino Linotype" w:cs="Arial"/>
          <w:sz w:val="24"/>
          <w:szCs w:val="24"/>
        </w:rPr>
        <w:t>ones</w:t>
      </w:r>
      <w:r w:rsidRPr="00F76479">
        <w:rPr>
          <w:rFonts w:ascii="Palatino Linotype" w:hAnsi="Palatino Linotype" w:cs="Arial"/>
          <w:sz w:val="24"/>
          <w:szCs w:val="24"/>
        </w:rPr>
        <w:t>, de igual modo se aprecia del expediente electrónico SAIMEX, que no se llevaron a acabo audiencias ni diligencia alguna.</w:t>
      </w:r>
    </w:p>
    <w:p w:rsidR="00F140E3" w:rsidRPr="001E0D8F" w:rsidRDefault="00F140E3" w:rsidP="00F140E3">
      <w:pPr>
        <w:spacing w:line="360" w:lineRule="auto"/>
        <w:jc w:val="both"/>
        <w:rPr>
          <w:rFonts w:ascii="Palatino Linotype" w:hAnsi="Palatino Linotype" w:cs="Tahoma"/>
          <w:bCs/>
          <w:sz w:val="22"/>
          <w:szCs w:val="22"/>
        </w:rPr>
      </w:pPr>
    </w:p>
    <w:p w:rsidR="00F140E3" w:rsidRDefault="00F140E3" w:rsidP="00F140E3">
      <w:pPr>
        <w:spacing w:line="360" w:lineRule="auto"/>
        <w:jc w:val="both"/>
        <w:rPr>
          <w:rFonts w:ascii="Palatino Linotype" w:hAnsi="Palatino Linotype" w:cs="Tahoma"/>
          <w:sz w:val="22"/>
          <w:szCs w:val="22"/>
        </w:rPr>
      </w:pPr>
      <w:r w:rsidRPr="001A7E50">
        <w:rPr>
          <w:rFonts w:ascii="Palatino Linotype" w:hAnsi="Palatino Linotype" w:cs="Tahoma"/>
          <w:sz w:val="22"/>
          <w:szCs w:val="22"/>
        </w:rPr>
        <w:t>Por lo que se decretó el cierre de instrucción mediante proveído de fecha dieci</w:t>
      </w:r>
      <w:r>
        <w:rPr>
          <w:rFonts w:ascii="Palatino Linotype" w:hAnsi="Palatino Linotype" w:cs="Tahoma"/>
          <w:sz w:val="22"/>
          <w:szCs w:val="22"/>
        </w:rPr>
        <w:t>ocho</w:t>
      </w:r>
      <w:r w:rsidRPr="001A7E50">
        <w:rPr>
          <w:rFonts w:ascii="Palatino Linotype" w:hAnsi="Palatino Linotype" w:cs="Tahoma"/>
          <w:sz w:val="22"/>
          <w:szCs w:val="22"/>
        </w:rPr>
        <w:t xml:space="preserve"> de junio de dos mil diecinueve, en términos del artículo 185 fracción VI de la Ley de Transparencia y Acceso a la Información Pública del Estado de México y Municipios, iniciando el término legal para dictar resolución definitiva del asunto.</w:t>
      </w:r>
    </w:p>
    <w:p w:rsidR="00F140E3" w:rsidRDefault="00F140E3" w:rsidP="00F140E3">
      <w:pPr>
        <w:spacing w:line="360" w:lineRule="auto"/>
        <w:jc w:val="both"/>
        <w:rPr>
          <w:rFonts w:ascii="Palatino Linotype" w:hAnsi="Palatino Linotype" w:cs="Tahoma"/>
          <w:sz w:val="22"/>
          <w:szCs w:val="22"/>
        </w:rPr>
      </w:pPr>
    </w:p>
    <w:p w:rsidR="00F140E3" w:rsidRDefault="00F140E3" w:rsidP="00F140E3">
      <w:pPr>
        <w:spacing w:line="360" w:lineRule="auto"/>
        <w:jc w:val="both"/>
        <w:rPr>
          <w:rFonts w:ascii="Palatino Linotype" w:eastAsia="Batang" w:hAnsi="Palatino Linotype" w:cs="Tahoma"/>
          <w:b/>
          <w:bCs/>
          <w:sz w:val="28"/>
          <w:szCs w:val="22"/>
        </w:rPr>
      </w:pPr>
      <w:r w:rsidRPr="00ED419C">
        <w:rPr>
          <w:rFonts w:ascii="Palatino Linotype" w:eastAsia="Batang" w:hAnsi="Palatino Linotype" w:cs="Tahoma"/>
          <w:b/>
          <w:bCs/>
          <w:sz w:val="28"/>
          <w:szCs w:val="22"/>
        </w:rPr>
        <w:t>SEXTO. Del returno del recurso de revisión.</w:t>
      </w:r>
    </w:p>
    <w:p w:rsidR="00F140E3" w:rsidRPr="00ED419C" w:rsidRDefault="00F140E3" w:rsidP="00F140E3">
      <w:pPr>
        <w:spacing w:line="360" w:lineRule="auto"/>
        <w:jc w:val="both"/>
        <w:rPr>
          <w:rFonts w:ascii="Palatino Linotype" w:eastAsia="Batang" w:hAnsi="Palatino Linotype" w:cs="Tahoma"/>
          <w:b/>
          <w:bCs/>
          <w:sz w:val="28"/>
          <w:szCs w:val="22"/>
        </w:rPr>
      </w:pPr>
    </w:p>
    <w:p w:rsidR="00F140E3" w:rsidRDefault="00F140E3" w:rsidP="00F140E3">
      <w:pPr>
        <w:spacing w:line="360" w:lineRule="auto"/>
        <w:jc w:val="both"/>
        <w:rPr>
          <w:rFonts w:ascii="Palatino Linotype" w:eastAsia="Batang" w:hAnsi="Palatino Linotype" w:cs="Tahoma"/>
          <w:bCs/>
          <w:sz w:val="22"/>
          <w:szCs w:val="22"/>
        </w:rPr>
      </w:pPr>
      <w:r w:rsidRPr="000C25C9">
        <w:rPr>
          <w:rFonts w:ascii="Palatino Linotype" w:eastAsia="Batang" w:hAnsi="Palatino Linotype" w:cs="Tahoma"/>
          <w:bCs/>
          <w:sz w:val="22"/>
          <w:szCs w:val="22"/>
        </w:rPr>
        <w:t xml:space="preserve">En la </w:t>
      </w:r>
      <w:r>
        <w:rPr>
          <w:rFonts w:ascii="Palatino Linotype" w:eastAsia="Batang" w:hAnsi="Palatino Linotype" w:cs="Tahoma"/>
          <w:bCs/>
          <w:sz w:val="22"/>
          <w:szCs w:val="22"/>
        </w:rPr>
        <w:t>Vigésima Cuarta</w:t>
      </w:r>
      <w:r w:rsidRPr="00263478">
        <w:rPr>
          <w:rFonts w:ascii="Palatino Linotype" w:eastAsia="Batang" w:hAnsi="Palatino Linotype" w:cs="Tahoma"/>
          <w:bCs/>
          <w:sz w:val="22"/>
          <w:szCs w:val="22"/>
        </w:rPr>
        <w:t xml:space="preserve"> </w:t>
      </w:r>
      <w:r w:rsidRPr="000C25C9">
        <w:rPr>
          <w:rFonts w:ascii="Palatino Linotype" w:eastAsia="Batang" w:hAnsi="Palatino Linotype" w:cs="Tahoma"/>
          <w:bCs/>
          <w:sz w:val="22"/>
          <w:szCs w:val="22"/>
        </w:rPr>
        <w:t>Sesión</w:t>
      </w:r>
      <w:r>
        <w:rPr>
          <w:rFonts w:ascii="Palatino Linotype" w:eastAsia="Batang" w:hAnsi="Palatino Linotype" w:cs="Tahoma"/>
          <w:bCs/>
          <w:sz w:val="22"/>
          <w:szCs w:val="22"/>
        </w:rPr>
        <w:t xml:space="preserve"> Ordinaria</w:t>
      </w:r>
      <w:r w:rsidRPr="000C25C9">
        <w:rPr>
          <w:rFonts w:ascii="Palatino Linotype" w:eastAsia="Batang" w:hAnsi="Palatino Linotype" w:cs="Tahoma"/>
          <w:bCs/>
          <w:sz w:val="22"/>
          <w:szCs w:val="22"/>
        </w:rPr>
        <w:t xml:space="preserve">, se returno el presente recurso de revisión a la Ponencia de la Comisionada Presidenta Zulema Martínez Sánchez, para su presentación, discusión y aprobación ante el Pleno del Instituto.  </w:t>
      </w:r>
    </w:p>
    <w:p w:rsidR="00F140E3" w:rsidRPr="00C07B09" w:rsidRDefault="00F140E3" w:rsidP="00F140E3">
      <w:pPr>
        <w:spacing w:before="240" w:line="360" w:lineRule="auto"/>
        <w:jc w:val="center"/>
        <w:rPr>
          <w:rFonts w:ascii="Palatino Linotype" w:hAnsi="Palatino Linotype" w:cs="Arial"/>
          <w:sz w:val="24"/>
          <w:szCs w:val="24"/>
        </w:rPr>
      </w:pPr>
      <w:r w:rsidRPr="001B1519">
        <w:rPr>
          <w:rFonts w:ascii="Palatino Linotype" w:hAnsi="Palatino Linotype" w:cs="Arial"/>
          <w:b/>
          <w:sz w:val="24"/>
        </w:rPr>
        <w:lastRenderedPageBreak/>
        <w:t>C O N S I D E R A N D O</w:t>
      </w:r>
    </w:p>
    <w:p w:rsidR="00F140E3" w:rsidRPr="001E0D8F" w:rsidRDefault="00F140E3" w:rsidP="00F140E3">
      <w:pPr>
        <w:spacing w:line="360" w:lineRule="auto"/>
        <w:jc w:val="center"/>
        <w:rPr>
          <w:rFonts w:ascii="Palatino Linotype" w:hAnsi="Palatino Linotype" w:cs="Tahoma"/>
          <w:b/>
          <w:sz w:val="22"/>
          <w:szCs w:val="22"/>
          <w:lang w:val="es-ES"/>
        </w:rPr>
      </w:pPr>
    </w:p>
    <w:p w:rsidR="00F140E3" w:rsidRDefault="00F140E3" w:rsidP="00F140E3">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F140E3" w:rsidRPr="001E0D8F" w:rsidRDefault="00F140E3" w:rsidP="00F140E3">
      <w:pPr>
        <w:autoSpaceDE w:val="0"/>
        <w:autoSpaceDN w:val="0"/>
        <w:adjustRightInd w:val="0"/>
        <w:spacing w:line="360" w:lineRule="auto"/>
        <w:jc w:val="both"/>
        <w:rPr>
          <w:rFonts w:ascii="Palatino Linotype" w:hAnsi="Palatino Linotype" w:cs="Tahoma"/>
          <w:sz w:val="22"/>
          <w:szCs w:val="22"/>
          <w:lang w:val="es-ES"/>
        </w:rPr>
      </w:pPr>
    </w:p>
    <w:p w:rsidR="00F140E3" w:rsidRDefault="00F140E3" w:rsidP="00F140E3">
      <w:pPr>
        <w:autoSpaceDE w:val="0"/>
        <w:autoSpaceDN w:val="0"/>
        <w:adjustRightInd w:val="0"/>
        <w:spacing w:line="360" w:lineRule="auto"/>
        <w:jc w:val="both"/>
        <w:rPr>
          <w:rFonts w:ascii="Palatino Linotype" w:hAnsi="Palatino Linotype" w:cs="Tahoma"/>
          <w:sz w:val="22"/>
          <w:szCs w:val="22"/>
          <w:shd w:val="clear" w:color="auto" w:fill="FFFFFF"/>
        </w:rPr>
      </w:pPr>
      <w:r w:rsidRPr="003B487A">
        <w:rPr>
          <w:rFonts w:ascii="Palatino Linotype" w:hAnsi="Palatino Linotype" w:cs="Tahoma"/>
          <w:sz w:val="22"/>
          <w:szCs w:val="22"/>
          <w:shd w:val="clear" w:color="auto" w:fill="FFFFFF"/>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r>
        <w:rPr>
          <w:rFonts w:ascii="Palatino Linotype" w:hAnsi="Palatino Linotype" w:cs="Tahoma"/>
          <w:sz w:val="22"/>
          <w:szCs w:val="22"/>
          <w:shd w:val="clear" w:color="auto" w:fill="FFFFFF"/>
        </w:rPr>
        <w:t xml:space="preserve"> </w:t>
      </w:r>
    </w:p>
    <w:p w:rsidR="00F140E3" w:rsidRPr="007B79DB" w:rsidRDefault="00F140E3" w:rsidP="00F140E3">
      <w:pPr>
        <w:spacing w:before="240" w:line="360" w:lineRule="auto"/>
        <w:jc w:val="both"/>
        <w:rPr>
          <w:rFonts w:ascii="Palatino Linotype" w:hAnsi="Palatino Linotype" w:cs="Arial"/>
          <w:sz w:val="22"/>
        </w:rPr>
      </w:pPr>
    </w:p>
    <w:p w:rsidR="00F140E3" w:rsidRDefault="00F140E3" w:rsidP="00F140E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F140E3" w:rsidRDefault="00F140E3" w:rsidP="00F140E3">
      <w:pPr>
        <w:pStyle w:val="Prrafodelista"/>
        <w:autoSpaceDE w:val="0"/>
        <w:autoSpaceDN w:val="0"/>
        <w:adjustRightInd w:val="0"/>
        <w:spacing w:before="240" w:after="160" w:line="360" w:lineRule="auto"/>
        <w:ind w:left="0"/>
        <w:jc w:val="both"/>
        <w:rPr>
          <w:rFonts w:ascii="Palatino Linotype" w:hAnsi="Palatino Linotype" w:cs="Arial"/>
          <w:b/>
        </w:rPr>
      </w:pPr>
    </w:p>
    <w:p w:rsidR="00F140E3" w:rsidRDefault="00F140E3" w:rsidP="00F140E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F140E3" w:rsidRDefault="00F140E3" w:rsidP="00F140E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rsidR="00F140E3" w:rsidRDefault="00F140E3" w:rsidP="00F140E3">
      <w:pPr>
        <w:pStyle w:val="Prrafodelista"/>
        <w:autoSpaceDE w:val="0"/>
        <w:autoSpaceDN w:val="0"/>
        <w:adjustRightInd w:val="0"/>
        <w:spacing w:before="240" w:after="160" w:line="360" w:lineRule="auto"/>
        <w:ind w:left="0" w:right="1323"/>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F140E3" w:rsidRDefault="00F140E3" w:rsidP="00F140E3">
      <w:pPr>
        <w:pStyle w:val="Prrafodelista"/>
        <w:autoSpaceDE w:val="0"/>
        <w:autoSpaceDN w:val="0"/>
        <w:adjustRightInd w:val="0"/>
        <w:spacing w:before="240" w:after="160" w:line="360" w:lineRule="auto"/>
        <w:ind w:left="0" w:right="1323"/>
        <w:jc w:val="both"/>
        <w:rPr>
          <w:rFonts w:ascii="Palatino Linotype" w:hAnsi="Palatino Linotype" w:cs="Arial"/>
          <w:b/>
        </w:rPr>
      </w:pPr>
    </w:p>
    <w:p w:rsidR="00F140E3" w:rsidRDefault="00F140E3" w:rsidP="00F140E3">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140E3" w:rsidRDefault="00F140E3" w:rsidP="00F140E3">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p>
    <w:p w:rsidR="00F140E3" w:rsidRPr="003B487A" w:rsidRDefault="00F140E3" w:rsidP="00F140E3">
      <w:pPr>
        <w:pStyle w:val="Prrafodelista"/>
        <w:autoSpaceDE w:val="0"/>
        <w:autoSpaceDN w:val="0"/>
        <w:adjustRightInd w:val="0"/>
        <w:spacing w:line="360" w:lineRule="auto"/>
        <w:ind w:left="0"/>
        <w:jc w:val="both"/>
        <w:rPr>
          <w:rFonts w:ascii="Palatino Linotype" w:hAnsi="Palatino Linotype" w:cs="Arial"/>
          <w:szCs w:val="22"/>
        </w:rPr>
      </w:pPr>
      <w:r w:rsidRPr="003B487A">
        <w:rPr>
          <w:rFonts w:ascii="Palatino Linotype" w:hAnsi="Palatino Linotype" w:cs="Arial"/>
          <w:szCs w:val="22"/>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B487A">
        <w:rPr>
          <w:rStyle w:val="Refdenotaalpie"/>
          <w:rFonts w:ascii="Palatino Linotype" w:hAnsi="Palatino Linotype" w:cs="Arial"/>
          <w:szCs w:val="22"/>
        </w:rPr>
        <w:footnoteReference w:id="1"/>
      </w:r>
      <w:r w:rsidRPr="003B487A">
        <w:rPr>
          <w:rFonts w:ascii="Palatino Linotype" w:hAnsi="Palatino Linotype" w:cs="Arial"/>
          <w:szCs w:val="22"/>
        </w:rPr>
        <w:t xml:space="preserve">. </w:t>
      </w:r>
    </w:p>
    <w:p w:rsidR="00F140E3" w:rsidRDefault="00F140E3" w:rsidP="00F140E3">
      <w:pPr>
        <w:pStyle w:val="Prrafodelista"/>
        <w:autoSpaceDE w:val="0"/>
        <w:autoSpaceDN w:val="0"/>
        <w:adjustRightInd w:val="0"/>
        <w:spacing w:line="360" w:lineRule="auto"/>
        <w:ind w:left="0"/>
        <w:jc w:val="both"/>
        <w:rPr>
          <w:rFonts w:ascii="Palatino Linotype" w:hAnsi="Palatino Linotype" w:cs="Arial"/>
        </w:rPr>
      </w:pPr>
    </w:p>
    <w:p w:rsidR="00F140E3" w:rsidRPr="003B487A" w:rsidRDefault="00F140E3" w:rsidP="00F140E3">
      <w:pPr>
        <w:pStyle w:val="Prrafodelista"/>
        <w:autoSpaceDE w:val="0"/>
        <w:autoSpaceDN w:val="0"/>
        <w:adjustRightInd w:val="0"/>
        <w:spacing w:line="360" w:lineRule="auto"/>
        <w:ind w:left="0"/>
        <w:jc w:val="both"/>
        <w:rPr>
          <w:rFonts w:ascii="Palatino Linotype" w:hAnsi="Palatino Linotype" w:cs="Arial"/>
          <w:szCs w:val="22"/>
        </w:rPr>
      </w:pPr>
      <w:r w:rsidRPr="003B487A">
        <w:rPr>
          <w:rFonts w:ascii="Palatino Linotype" w:hAnsi="Palatino Linotype" w:cs="Arial"/>
          <w:szCs w:val="22"/>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F140E3" w:rsidRDefault="00F140E3" w:rsidP="00F140E3">
      <w:pPr>
        <w:pStyle w:val="Prrafodelista"/>
        <w:autoSpaceDE w:val="0"/>
        <w:autoSpaceDN w:val="0"/>
        <w:adjustRightInd w:val="0"/>
        <w:spacing w:before="240" w:after="160" w:line="360" w:lineRule="auto"/>
        <w:ind w:left="0"/>
        <w:jc w:val="both"/>
        <w:rPr>
          <w:rFonts w:ascii="Palatino Linotype" w:hAnsi="Palatino Linotype" w:cs="Arial"/>
        </w:rPr>
      </w:pPr>
    </w:p>
    <w:p w:rsidR="00F140E3" w:rsidRPr="008C3CD8" w:rsidRDefault="00F140E3" w:rsidP="00F140E3">
      <w:pPr>
        <w:pStyle w:val="Prrafodelista"/>
        <w:autoSpaceDE w:val="0"/>
        <w:autoSpaceDN w:val="0"/>
        <w:adjustRightInd w:val="0"/>
        <w:spacing w:line="360" w:lineRule="auto"/>
        <w:ind w:left="0" w:right="1323"/>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F140E3" w:rsidRPr="00817E2C" w:rsidRDefault="00F140E3" w:rsidP="00F140E3">
      <w:pPr>
        <w:tabs>
          <w:tab w:val="left" w:pos="4962"/>
        </w:tabs>
        <w:spacing w:line="360" w:lineRule="auto"/>
        <w:jc w:val="both"/>
        <w:rPr>
          <w:rFonts w:eastAsia="Calibri"/>
        </w:rPr>
      </w:pPr>
    </w:p>
    <w:p w:rsidR="00F140E3" w:rsidRDefault="00F140E3" w:rsidP="00F140E3">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Una vez realizado el estudio de las constancias que integran el expediente en que se actúa, se desprende que el peticionario solicitó lo siguiente:</w:t>
      </w:r>
    </w:p>
    <w:p w:rsidR="00F140E3" w:rsidRPr="001E0D8F" w:rsidRDefault="00F140E3" w:rsidP="00F140E3">
      <w:pPr>
        <w:tabs>
          <w:tab w:val="left" w:pos="4962"/>
        </w:tabs>
        <w:spacing w:line="360" w:lineRule="auto"/>
        <w:jc w:val="both"/>
        <w:rPr>
          <w:rFonts w:ascii="Palatino Linotype" w:eastAsia="Calibri" w:hAnsi="Palatino Linotype" w:cs="Tahoma"/>
          <w:iCs/>
          <w:sz w:val="22"/>
          <w:szCs w:val="22"/>
          <w:lang w:val="es-ES" w:eastAsia="es-ES_tradnl"/>
        </w:rPr>
      </w:pPr>
    </w:p>
    <w:p w:rsidR="00F140E3" w:rsidRPr="00E94A99" w:rsidRDefault="00F140E3" w:rsidP="00F140E3">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E94A99">
        <w:rPr>
          <w:rFonts w:ascii="Palatino Linotype" w:eastAsia="Calibri" w:hAnsi="Palatino Linotype" w:cs="Tahoma"/>
          <w:iCs/>
          <w:szCs w:val="22"/>
          <w:lang w:val="es-ES" w:eastAsia="es-ES_tradnl"/>
        </w:rPr>
        <w:t>La nómina completa y lista de raya de la segunda quincena de febrero del año 2019</w:t>
      </w:r>
    </w:p>
    <w:p w:rsidR="00F140E3" w:rsidRDefault="00F140E3" w:rsidP="00F140E3">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w:t>
      </w:r>
      <w:r w:rsidRPr="00E94A99">
        <w:rPr>
          <w:rFonts w:ascii="Palatino Linotype" w:eastAsia="Calibri" w:hAnsi="Palatino Linotype" w:cs="Tahoma"/>
          <w:iCs/>
          <w:szCs w:val="22"/>
          <w:lang w:val="es-ES" w:eastAsia="es-ES_tradnl"/>
        </w:rPr>
        <w:t>heques correspondiente a recursos propios con los cuales se realizó el pago inherente a la segunda quincena de febrero de 2019 tanto en nómina como en lista de raya,</w:t>
      </w:r>
    </w:p>
    <w:p w:rsidR="00F140E3" w:rsidRDefault="00F140E3" w:rsidP="00F140E3">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E94A99">
        <w:rPr>
          <w:rFonts w:ascii="Palatino Linotype" w:eastAsia="Calibri" w:hAnsi="Palatino Linotype" w:cs="Tahoma"/>
          <w:iCs/>
          <w:szCs w:val="22"/>
          <w:lang w:val="es-ES" w:eastAsia="es-ES_tradnl"/>
        </w:rPr>
        <w:t>Cheques emitidos correspondientes a la cuenta del recurso FORTAMUN, con los cuales se realizó el pago de la segunda quincena de febrero 2019 tanto en nómina como lista de raya del personal de seguridad pública y protección civil</w:t>
      </w:r>
      <w:r>
        <w:rPr>
          <w:rFonts w:ascii="Palatino Linotype" w:eastAsia="Calibri" w:hAnsi="Palatino Linotype" w:cs="Tahoma"/>
          <w:iCs/>
          <w:szCs w:val="22"/>
          <w:lang w:val="es-ES" w:eastAsia="es-ES_tradnl"/>
        </w:rPr>
        <w:t>.</w:t>
      </w:r>
    </w:p>
    <w:p w:rsidR="00F140E3" w:rsidRDefault="00F140E3" w:rsidP="00F140E3">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E94A99">
        <w:rPr>
          <w:rFonts w:ascii="Palatino Linotype" w:eastAsia="Calibri" w:hAnsi="Palatino Linotype" w:cs="Tahoma"/>
          <w:iCs/>
          <w:szCs w:val="22"/>
          <w:lang w:val="es-ES" w:eastAsia="es-ES_tradnl"/>
        </w:rPr>
        <w:t>Copia en versión publica de las dispersiones interbancarias de las cuentas de recursos propios y FORTAMUN y con las cuales se realizó el pago de la segunda quincena de febrero 2019 del año en mención</w:t>
      </w:r>
      <w:r>
        <w:rPr>
          <w:rFonts w:ascii="Palatino Linotype" w:eastAsia="Calibri" w:hAnsi="Palatino Linotype" w:cs="Tahoma"/>
          <w:iCs/>
          <w:szCs w:val="22"/>
          <w:lang w:val="es-ES" w:eastAsia="es-ES_tradnl"/>
        </w:rPr>
        <w:t>.</w:t>
      </w:r>
    </w:p>
    <w:p w:rsidR="00F140E3" w:rsidRPr="00E94A99" w:rsidRDefault="00F140E3" w:rsidP="00F140E3">
      <w:pPr>
        <w:tabs>
          <w:tab w:val="left" w:pos="4962"/>
        </w:tabs>
        <w:spacing w:line="360" w:lineRule="auto"/>
        <w:ind w:left="360"/>
        <w:jc w:val="both"/>
        <w:rPr>
          <w:rFonts w:ascii="Palatino Linotype" w:eastAsia="Calibri" w:hAnsi="Palatino Linotype" w:cs="Tahoma"/>
          <w:iCs/>
          <w:szCs w:val="22"/>
          <w:lang w:val="es-ES" w:eastAsia="es-ES_tradnl"/>
        </w:rPr>
      </w:pPr>
    </w:p>
    <w:p w:rsidR="00F140E3" w:rsidRPr="001E0D8F" w:rsidRDefault="00F140E3" w:rsidP="00F140E3">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 xml:space="preserve">Concluido el plazo para otorgar respuesta, el Sujeto Obligado fue omiso en atender la solicitud de acceso a la información pública que nos ocupa; razón por la cual, el Particular presentó un Recurso de Revisión ante este Instituto, en el que manifestó como agravio la falta de respuesta del Sujeto Obligado a la solicitud de acceso a la información con número de folio </w:t>
      </w:r>
      <w:r w:rsidRPr="00EB3A31">
        <w:rPr>
          <w:rFonts w:ascii="Palatino Linotype" w:eastAsia="Calibri" w:hAnsi="Palatino Linotype" w:cs="Tahoma"/>
          <w:b/>
          <w:bCs/>
          <w:iCs/>
          <w:sz w:val="22"/>
          <w:szCs w:val="22"/>
          <w:lang w:eastAsia="es-ES_tradnl"/>
        </w:rPr>
        <w:t xml:space="preserve"> 00025/TONATICO/IP/2019</w:t>
      </w:r>
      <w:r w:rsidRPr="001E0D8F">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rsidR="00F140E3" w:rsidRPr="001E0D8F" w:rsidRDefault="00F140E3" w:rsidP="00F140E3">
      <w:pPr>
        <w:tabs>
          <w:tab w:val="left" w:pos="4962"/>
        </w:tabs>
        <w:spacing w:line="360" w:lineRule="auto"/>
        <w:jc w:val="both"/>
        <w:rPr>
          <w:rFonts w:ascii="Palatino Linotype" w:eastAsia="Calibri" w:hAnsi="Palatino Linotype" w:cs="Tahoma"/>
          <w:b/>
          <w:iCs/>
          <w:sz w:val="22"/>
          <w:szCs w:val="22"/>
          <w:lang w:val="es-ES" w:eastAsia="es-ES_tradnl"/>
        </w:rPr>
      </w:pPr>
    </w:p>
    <w:p w:rsidR="00F140E3" w:rsidRPr="001E0D8F" w:rsidRDefault="00F140E3" w:rsidP="00F140E3">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00F140E3" w:rsidRPr="001E0D8F" w:rsidRDefault="00F140E3" w:rsidP="00F140E3">
      <w:pPr>
        <w:tabs>
          <w:tab w:val="left" w:pos="4962"/>
        </w:tabs>
        <w:spacing w:line="360" w:lineRule="auto"/>
        <w:jc w:val="both"/>
        <w:rPr>
          <w:rFonts w:ascii="Palatino Linotype" w:eastAsia="Calibri" w:hAnsi="Palatino Linotype" w:cs="Tahoma"/>
          <w:b/>
          <w:iCs/>
          <w:sz w:val="22"/>
          <w:szCs w:val="22"/>
          <w:lang w:val="es-ES" w:eastAsia="es-ES_tradnl"/>
        </w:rPr>
      </w:pPr>
    </w:p>
    <w:p w:rsidR="00F140E3" w:rsidRPr="001E0D8F" w:rsidRDefault="00F140E3" w:rsidP="00F140E3">
      <w:pPr>
        <w:spacing w:line="360" w:lineRule="auto"/>
        <w:ind w:right="-93"/>
        <w:jc w:val="both"/>
        <w:rPr>
          <w:rFonts w:ascii="Palatino Linotype" w:hAnsi="Palatino Linotype" w:cs="Tahoma"/>
          <w:b/>
          <w:sz w:val="22"/>
          <w:szCs w:val="22"/>
          <w:lang w:val="es-E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Expuesta la controversia, se procede al análisis del agravio hecho valer por el ahora Recurrente, concerniente a la falta de respuesta del Ayuntamiento de </w:t>
      </w:r>
      <w:r>
        <w:rPr>
          <w:rFonts w:ascii="Palatino Linotype" w:eastAsia="Calibri" w:hAnsi="Palatino Linotype" w:cs="Tahoma"/>
          <w:bCs/>
          <w:sz w:val="22"/>
          <w:szCs w:val="22"/>
          <w:lang w:eastAsia="en-US"/>
        </w:rPr>
        <w:t xml:space="preserve">Tonatico </w:t>
      </w:r>
      <w:r w:rsidRPr="001E0D8F">
        <w:rPr>
          <w:rFonts w:ascii="Palatino Linotype" w:eastAsia="Calibri" w:hAnsi="Palatino Linotype" w:cs="Tahoma"/>
          <w:bCs/>
          <w:sz w:val="22"/>
          <w:szCs w:val="22"/>
          <w:lang w:eastAsia="en-US"/>
        </w:rPr>
        <w:t>al requerimiento informativo.</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F140E3" w:rsidRPr="001E0D8F" w:rsidRDefault="00F140E3" w:rsidP="00F140E3">
      <w:pPr>
        <w:spacing w:line="360" w:lineRule="auto"/>
        <w:ind w:left="360" w:right="-93"/>
        <w:jc w:val="both"/>
        <w:rPr>
          <w:rFonts w:ascii="Palatino Linotype" w:eastAsia="Calibri" w:hAnsi="Palatino Linotype" w:cs="Tahoma"/>
          <w:bCs/>
          <w:sz w:val="22"/>
          <w:szCs w:val="22"/>
          <w:lang w:eastAsia="en-US"/>
        </w:rPr>
      </w:pPr>
    </w:p>
    <w:p w:rsidR="00F140E3" w:rsidRPr="001E0D8F" w:rsidRDefault="00F140E3" w:rsidP="00F140E3">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rsidR="00F140E3" w:rsidRPr="001E0D8F" w:rsidRDefault="00F140E3" w:rsidP="00F140E3">
      <w:pPr>
        <w:pStyle w:val="Prrafodelista"/>
        <w:spacing w:line="360" w:lineRule="auto"/>
        <w:rPr>
          <w:rFonts w:ascii="Palatino Linotype" w:eastAsia="Calibri" w:hAnsi="Palatino Linotype" w:cs="Tahoma"/>
          <w:bCs/>
          <w:szCs w:val="22"/>
          <w:lang w:eastAsia="en-US"/>
        </w:rPr>
      </w:pPr>
    </w:p>
    <w:p w:rsidR="00F140E3" w:rsidRPr="001E0D8F" w:rsidRDefault="00F140E3" w:rsidP="00F140E3">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w:t>
      </w:r>
      <w:r w:rsidRPr="001E0D8F">
        <w:rPr>
          <w:rFonts w:ascii="Palatino Linotype" w:eastAsia="Calibri" w:hAnsi="Palatino Linotype" w:cs="Tahoma"/>
          <w:bCs/>
          <w:sz w:val="22"/>
          <w:szCs w:val="22"/>
          <w:lang w:eastAsia="en-US"/>
        </w:rPr>
        <w:lastRenderedPageBreak/>
        <w:t>rendición de cuentas, a través de establecimiento de políticas públicas y mecanismos que garanticen la publicidad de información oportuna, verificable, comprensible, actualizada y completa.</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pStyle w:val="Prrafodelista"/>
        <w:numPr>
          <w:ilvl w:val="0"/>
          <w:numId w:val="6"/>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F140E3" w:rsidRPr="001E0D8F" w:rsidRDefault="00F140E3" w:rsidP="00F140E3">
      <w:pPr>
        <w:pStyle w:val="Prrafodelista"/>
        <w:spacing w:line="360" w:lineRule="auto"/>
        <w:ind w:right="-93"/>
        <w:jc w:val="both"/>
        <w:rPr>
          <w:rFonts w:ascii="Palatino Linotype" w:eastAsia="Calibri" w:hAnsi="Palatino Linotype" w:cs="Tahoma"/>
          <w:bCs/>
          <w:szCs w:val="22"/>
          <w:lang w:eastAsia="en-US"/>
        </w:rPr>
      </w:pPr>
    </w:p>
    <w:p w:rsidR="00F140E3" w:rsidRPr="001E0D8F" w:rsidRDefault="00F140E3" w:rsidP="00F140E3">
      <w:pPr>
        <w:pStyle w:val="Prrafodelista"/>
        <w:numPr>
          <w:ilvl w:val="0"/>
          <w:numId w:val="6"/>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F140E3" w:rsidRPr="001E0D8F" w:rsidRDefault="00F140E3" w:rsidP="00F140E3">
      <w:pPr>
        <w:pStyle w:val="Prrafodelista"/>
        <w:spacing w:line="360" w:lineRule="auto"/>
        <w:rPr>
          <w:rFonts w:ascii="Palatino Linotype" w:eastAsia="Calibri" w:hAnsi="Palatino Linotype" w:cs="Tahoma"/>
          <w:bCs/>
          <w:szCs w:val="22"/>
          <w:lang w:eastAsia="en-US"/>
        </w:rPr>
      </w:pPr>
    </w:p>
    <w:p w:rsidR="00F140E3" w:rsidRPr="001E0D8F" w:rsidRDefault="00F140E3" w:rsidP="00F140E3">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w:t>
      </w:r>
      <w:r w:rsidRPr="001E0D8F">
        <w:rPr>
          <w:rFonts w:ascii="Palatino Linotype" w:eastAsia="Calibri" w:hAnsi="Palatino Linotype" w:cs="Tahoma"/>
          <w:bCs/>
          <w:szCs w:val="22"/>
          <w:lang w:eastAsia="en-US"/>
        </w:rPr>
        <w:lastRenderedPageBreak/>
        <w:t xml:space="preserve">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rsidR="00F140E3" w:rsidRPr="001E0D8F" w:rsidRDefault="00F140E3" w:rsidP="00F140E3">
      <w:pPr>
        <w:pStyle w:val="Prrafodelista"/>
        <w:spacing w:line="360" w:lineRule="auto"/>
        <w:rPr>
          <w:rFonts w:ascii="Palatino Linotype" w:eastAsia="Calibri" w:hAnsi="Palatino Linotype" w:cs="Tahoma"/>
          <w:b/>
          <w:bCs/>
          <w:szCs w:val="22"/>
          <w:lang w:eastAsia="en-US"/>
        </w:rPr>
      </w:pPr>
    </w:p>
    <w:p w:rsidR="00F140E3" w:rsidRPr="001E0D8F" w:rsidRDefault="00F140E3" w:rsidP="00F140E3">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rsidR="00F140E3" w:rsidRPr="001E0D8F" w:rsidRDefault="00F140E3" w:rsidP="00F140E3">
      <w:pPr>
        <w:pStyle w:val="Prrafodelista"/>
        <w:spacing w:line="360" w:lineRule="auto"/>
        <w:rPr>
          <w:rFonts w:ascii="Palatino Linotype" w:eastAsia="Calibri" w:hAnsi="Palatino Linotype" w:cs="Tahoma"/>
          <w:b/>
          <w:bCs/>
          <w:szCs w:val="22"/>
          <w:lang w:eastAsia="en-US"/>
        </w:rPr>
      </w:pPr>
    </w:p>
    <w:p w:rsidR="00F140E3" w:rsidRPr="001E0D8F" w:rsidRDefault="00F140E3" w:rsidP="00F140E3">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F140E3" w:rsidRPr="001E0D8F" w:rsidRDefault="00F140E3" w:rsidP="00F140E3">
      <w:pPr>
        <w:pStyle w:val="Prrafodelista"/>
        <w:spacing w:line="360" w:lineRule="auto"/>
        <w:rPr>
          <w:rFonts w:ascii="Palatino Linotype" w:eastAsia="Calibri" w:hAnsi="Palatino Linotype" w:cs="Tahoma"/>
          <w:b/>
          <w:bCs/>
          <w:szCs w:val="22"/>
          <w:lang w:eastAsia="en-US"/>
        </w:rPr>
      </w:pPr>
    </w:p>
    <w:p w:rsidR="00F140E3" w:rsidRPr="001E0D8F" w:rsidRDefault="00F140E3" w:rsidP="00F140E3">
      <w:pPr>
        <w:spacing w:line="360" w:lineRule="auto"/>
        <w:ind w:right="-93"/>
        <w:jc w:val="both"/>
        <w:rPr>
          <w:rFonts w:ascii="Palatino Linotype" w:hAnsi="Palatino Linotype" w:cs="Tahoma"/>
          <w:sz w:val="22"/>
          <w:szCs w:val="22"/>
          <w:lang w:val="es-ES"/>
        </w:rPr>
      </w:pPr>
      <w:r w:rsidRPr="001E0D8F">
        <w:rPr>
          <w:rFonts w:ascii="Palatino Linotype" w:eastAsia="Calibri" w:hAnsi="Palatino Linotype" w:cs="Tahoma"/>
          <w:bCs/>
          <w:sz w:val="22"/>
          <w:szCs w:val="22"/>
          <w:lang w:eastAsia="en-US"/>
        </w:rPr>
        <w:t xml:space="preserve">Una vez establecido lo anterior, es preciso indicar que el agravio del peticionario consistió en que a la fecha de la interposición del Recurso de Revisión, el Ayuntamiento de </w:t>
      </w:r>
      <w:r>
        <w:rPr>
          <w:rFonts w:ascii="Palatino Linotype" w:eastAsia="Calibri" w:hAnsi="Palatino Linotype" w:cs="Tahoma"/>
          <w:bCs/>
          <w:sz w:val="22"/>
          <w:szCs w:val="22"/>
          <w:lang w:eastAsia="en-US"/>
        </w:rPr>
        <w:t xml:space="preserve">Tonatico </w:t>
      </w:r>
      <w:r w:rsidRPr="001E0D8F">
        <w:rPr>
          <w:rFonts w:ascii="Palatino Linotype" w:eastAsia="Calibri" w:hAnsi="Palatino Linotype" w:cs="Tahoma"/>
          <w:bCs/>
          <w:sz w:val="22"/>
          <w:szCs w:val="22"/>
          <w:lang w:eastAsia="en-US"/>
        </w:rPr>
        <w:t>no registró respuesta a su requerimiento de acceso a la información</w:t>
      </w:r>
      <w:r w:rsidRPr="001E0D8F">
        <w:rPr>
          <w:rFonts w:ascii="Palatino Linotype" w:eastAsia="Calibri" w:hAnsi="Palatino Linotype" w:cs="Tahoma"/>
          <w:b/>
          <w:bCs/>
          <w:sz w:val="22"/>
          <w:szCs w:val="22"/>
          <w:lang w:eastAsia="en-US"/>
        </w:rPr>
        <w:t xml:space="preserve">, </w:t>
      </w:r>
      <w:r w:rsidRPr="001E0D8F">
        <w:rPr>
          <w:rFonts w:ascii="Palatino Linotype" w:eastAsia="Calibri" w:hAnsi="Palatino Linotype" w:cs="Tahoma"/>
          <w:bCs/>
          <w:sz w:val="22"/>
          <w:szCs w:val="22"/>
          <w:lang w:eastAsia="en-US"/>
        </w:rPr>
        <w:t xml:space="preserve">como se verificó en el  </w:t>
      </w:r>
      <w:r w:rsidRPr="001E0D8F">
        <w:rPr>
          <w:rFonts w:ascii="Palatino Linotype" w:hAnsi="Palatino Linotype" w:cs="Tahoma"/>
          <w:sz w:val="22"/>
          <w:szCs w:val="22"/>
          <w:lang w:val="es-ES"/>
        </w:rPr>
        <w:t>Sistema de Acceso a la Información Mexiquense (SAIMEX), plataforma utilizada para presentar el requerimiento de información.</w:t>
      </w:r>
    </w:p>
    <w:p w:rsidR="00F140E3" w:rsidRPr="001E0D8F" w:rsidRDefault="00F140E3" w:rsidP="00F140E3">
      <w:pPr>
        <w:spacing w:line="360" w:lineRule="auto"/>
        <w:ind w:right="-93"/>
        <w:jc w:val="both"/>
        <w:rPr>
          <w:rFonts w:ascii="Palatino Linotype" w:hAnsi="Palatino Linotype" w:cs="Tahoma"/>
          <w:sz w:val="22"/>
          <w:szCs w:val="22"/>
          <w:lang w:val="es-ES"/>
        </w:rPr>
      </w:pPr>
    </w:p>
    <w:p w:rsidR="00F140E3" w:rsidRPr="001E0D8F" w:rsidRDefault="00F140E3" w:rsidP="00F140E3">
      <w:pPr>
        <w:spacing w:line="360" w:lineRule="auto"/>
        <w:ind w:right="-93" w:firstLine="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Pr>
          <w:rFonts w:ascii="Palatino Linotype" w:eastAsia="Calibri" w:hAnsi="Palatino Linotype" w:cs="Tahoma"/>
          <w:b/>
          <w:bCs/>
          <w:sz w:val="22"/>
          <w:szCs w:val="22"/>
          <w:lang w:eastAsia="en-US"/>
        </w:rPr>
        <w:t xml:space="preserve">catorce de marzo </w:t>
      </w:r>
      <w:r w:rsidRPr="001E0D8F">
        <w:rPr>
          <w:rFonts w:ascii="Palatino Linotype" w:eastAsia="Calibri" w:hAnsi="Palatino Linotype" w:cs="Tahoma"/>
          <w:b/>
          <w:bCs/>
          <w:sz w:val="22"/>
          <w:szCs w:val="22"/>
          <w:lang w:eastAsia="en-US"/>
        </w:rPr>
        <w:t>de la presente anualidad</w:t>
      </w:r>
      <w:r w:rsidRPr="001E0D8F">
        <w:rPr>
          <w:rFonts w:ascii="Palatino Linotype" w:eastAsia="Calibri" w:hAnsi="Palatino Linotype" w:cs="Tahoma"/>
          <w:bCs/>
          <w:sz w:val="22"/>
          <w:szCs w:val="22"/>
          <w:lang w:eastAsia="en-US"/>
        </w:rPr>
        <w:t xml:space="preserve"> y feneció el </w:t>
      </w:r>
      <w:r>
        <w:rPr>
          <w:rFonts w:ascii="Palatino Linotype" w:eastAsia="Calibri" w:hAnsi="Palatino Linotype" w:cs="Tahoma"/>
          <w:b/>
          <w:bCs/>
          <w:sz w:val="22"/>
          <w:szCs w:val="22"/>
          <w:lang w:eastAsia="en-US"/>
        </w:rPr>
        <w:t xml:space="preserve">cuatro de abril del mismo </w:t>
      </w:r>
      <w:r w:rsidRPr="001E0D8F">
        <w:rPr>
          <w:rFonts w:ascii="Palatino Linotype" w:eastAsia="Calibri" w:hAnsi="Palatino Linotype" w:cs="Tahoma"/>
          <w:b/>
          <w:bCs/>
          <w:sz w:val="22"/>
          <w:szCs w:val="22"/>
          <w:lang w:eastAsia="en-US"/>
        </w:rPr>
        <w:t>año</w:t>
      </w:r>
      <w:r>
        <w:rPr>
          <w:rFonts w:ascii="Palatino Linotype" w:eastAsia="Calibri" w:hAnsi="Palatino Linotype" w:cs="Tahoma"/>
          <w:b/>
          <w:bCs/>
          <w:sz w:val="22"/>
          <w:szCs w:val="22"/>
          <w:lang w:eastAsia="en-US"/>
        </w:rPr>
        <w:t xml:space="preserve">, por lo que el tres de abril el Sujeto Obligado solicitó prórroga para atender la solicitud y esta venció el día veintidós de abril, </w:t>
      </w:r>
      <w:r w:rsidRPr="001E0D8F">
        <w:rPr>
          <w:rFonts w:ascii="Palatino Linotype" w:eastAsia="Calibri" w:hAnsi="Palatino Linotype" w:cs="Tahoma"/>
          <w:bCs/>
          <w:sz w:val="22"/>
          <w:szCs w:val="22"/>
          <w:lang w:eastAsia="en-US"/>
        </w:rPr>
        <w:t xml:space="preserve">lo anterior, sin contar los días </w:t>
      </w:r>
      <w:r>
        <w:rPr>
          <w:rFonts w:ascii="Palatino Linotype" w:eastAsia="Calibri" w:hAnsi="Palatino Linotype" w:cs="Tahoma"/>
          <w:bCs/>
          <w:sz w:val="22"/>
          <w:szCs w:val="22"/>
          <w:lang w:eastAsia="en-US"/>
        </w:rPr>
        <w:t>dieciséis, diecisiete, veintitrés, veinticuatro, treinta, treinta y uno de marzo, así como seis, siete y del trece al veintiuno de abril</w:t>
      </w:r>
      <w:r w:rsidRPr="001E0D8F">
        <w:rPr>
          <w:rFonts w:ascii="Palatino Linotype" w:eastAsia="Calibri" w:hAnsi="Palatino Linotype" w:cs="Tahoma"/>
          <w:bCs/>
          <w:sz w:val="22"/>
          <w:szCs w:val="22"/>
          <w:lang w:eastAsia="en-US"/>
        </w:rPr>
        <w:t xml:space="preserve">, al ser inhábiles de conformidad con el artículo 3°, fracción X, de la Ley de Transparencia y Acceso a la Información Pública del Estado de México y Municipios, así como, el </w:t>
      </w:r>
      <w:r w:rsidRPr="001E0D8F">
        <w:rPr>
          <w:rFonts w:ascii="Palatino Linotype" w:eastAsia="Calibri" w:hAnsi="Palatino Linotype" w:cs="Tahoma"/>
          <w:bCs/>
          <w:sz w:val="22"/>
          <w:szCs w:val="22"/>
          <w:lang w:eastAsia="en-US"/>
        </w:rPr>
        <w:lastRenderedPageBreak/>
        <w:t>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Ayuntamiento de </w:t>
      </w:r>
      <w:r>
        <w:rPr>
          <w:rFonts w:ascii="Palatino Linotype" w:eastAsia="Calibri" w:hAnsi="Palatino Linotype" w:cs="Tahoma"/>
          <w:bCs/>
          <w:sz w:val="22"/>
          <w:szCs w:val="22"/>
          <w:lang w:eastAsia="en-US"/>
        </w:rPr>
        <w:t xml:space="preserve">Tonatico </w:t>
      </w:r>
      <w:r w:rsidRPr="001E0D8F">
        <w:rPr>
          <w:rFonts w:ascii="Palatino Linotype" w:eastAsia="Calibri" w:hAnsi="Palatino Linotype" w:cs="Tahoma"/>
          <w:bCs/>
          <w:sz w:val="22"/>
          <w:szCs w:val="22"/>
          <w:lang w:eastAsia="en-US"/>
        </w:rPr>
        <w:t xml:space="preserve">no emitió respuesta, </w:t>
      </w:r>
      <w:r>
        <w:rPr>
          <w:rFonts w:ascii="Palatino Linotype" w:eastAsia="Calibri" w:hAnsi="Palatino Linotype" w:cs="Tahoma"/>
          <w:bCs/>
          <w:sz w:val="22"/>
          <w:szCs w:val="22"/>
          <w:lang w:eastAsia="en-US"/>
        </w:rPr>
        <w:t xml:space="preserve">únicamente </w:t>
      </w:r>
      <w:r w:rsidRPr="001E0D8F">
        <w:rPr>
          <w:rFonts w:ascii="Palatino Linotype" w:eastAsia="Calibri" w:hAnsi="Palatino Linotype" w:cs="Tahoma"/>
          <w:bCs/>
          <w:sz w:val="22"/>
          <w:szCs w:val="22"/>
          <w:lang w:eastAsia="en-US"/>
        </w:rPr>
        <w:t xml:space="preserve">solicitó una prórroga para dar contestación a la solicitud de información, dentro de los plazos establecidos en el artículo 163 de la Ley de la materia, </w:t>
      </w:r>
      <w:r>
        <w:rPr>
          <w:rFonts w:ascii="Palatino Linotype" w:eastAsia="Calibri" w:hAnsi="Palatino Linotype" w:cs="Tahoma"/>
          <w:bCs/>
          <w:sz w:val="22"/>
          <w:szCs w:val="22"/>
          <w:lang w:eastAsia="en-US"/>
        </w:rPr>
        <w:t xml:space="preserve">por lo que su plazo para dar atención a la solicitud de acceso a la información y </w:t>
      </w:r>
      <w:r w:rsidRPr="001E0D8F">
        <w:rPr>
          <w:rFonts w:ascii="Palatino Linotype" w:eastAsia="Calibri" w:hAnsi="Palatino Linotype" w:cs="Tahoma"/>
          <w:bCs/>
          <w:sz w:val="22"/>
          <w:szCs w:val="22"/>
          <w:lang w:eastAsia="en-US"/>
        </w:rPr>
        <w:t>notificar</w:t>
      </w:r>
      <w:r>
        <w:rPr>
          <w:rFonts w:ascii="Palatino Linotype" w:eastAsia="Calibri" w:hAnsi="Palatino Linotype" w:cs="Tahoma"/>
          <w:bCs/>
          <w:sz w:val="22"/>
          <w:szCs w:val="22"/>
          <w:lang w:eastAsia="en-US"/>
        </w:rPr>
        <w:t xml:space="preserve">la feneció el día veintidós de abril del presente año sin que </w:t>
      </w:r>
      <w:r w:rsidRPr="001E0D8F">
        <w:rPr>
          <w:rFonts w:ascii="Palatino Linotype" w:eastAsia="Calibri" w:hAnsi="Palatino Linotype" w:cs="Tahoma"/>
          <w:bCs/>
          <w:sz w:val="22"/>
          <w:szCs w:val="22"/>
          <w:lang w:eastAsia="en-US"/>
        </w:rPr>
        <w:t xml:space="preserve">a la fecha de la presente resolución </w:t>
      </w:r>
      <w:r>
        <w:rPr>
          <w:rFonts w:ascii="Palatino Linotype" w:eastAsia="Calibri" w:hAnsi="Palatino Linotype" w:cs="Tahoma"/>
          <w:bCs/>
          <w:sz w:val="22"/>
          <w:szCs w:val="22"/>
          <w:lang w:eastAsia="en-US"/>
        </w:rPr>
        <w:t xml:space="preserve">se haya </w:t>
      </w:r>
      <w:r w:rsidRPr="001E0D8F">
        <w:rPr>
          <w:rFonts w:ascii="Palatino Linotype" w:eastAsia="Calibri" w:hAnsi="Palatino Linotype" w:cs="Tahoma"/>
          <w:bCs/>
          <w:sz w:val="22"/>
          <w:szCs w:val="22"/>
          <w:lang w:eastAsia="en-US"/>
        </w:rPr>
        <w:t>otorg</w:t>
      </w:r>
      <w:r>
        <w:rPr>
          <w:rFonts w:ascii="Palatino Linotype" w:eastAsia="Calibri" w:hAnsi="Palatino Linotype" w:cs="Tahoma"/>
          <w:bCs/>
          <w:sz w:val="22"/>
          <w:szCs w:val="22"/>
          <w:lang w:eastAsia="en-US"/>
        </w:rPr>
        <w:t>ado</w:t>
      </w:r>
      <w:r w:rsidRPr="001E0D8F">
        <w:rPr>
          <w:rFonts w:ascii="Palatino Linotype" w:eastAsia="Calibri" w:hAnsi="Palatino Linotype" w:cs="Tahoma"/>
          <w:bCs/>
          <w:sz w:val="22"/>
          <w:szCs w:val="22"/>
          <w:lang w:eastAsia="en-US"/>
        </w:rPr>
        <w:t xml:space="preserve"> información o documentación alguna que atienda la solicitud de información; por lo que, resulta evidente que </w:t>
      </w:r>
      <w:r w:rsidRPr="001E0D8F">
        <w:rPr>
          <w:rFonts w:ascii="Palatino Linotype" w:eastAsia="Calibri" w:hAnsi="Palatino Linotype" w:cs="Tahoma"/>
          <w:b/>
          <w:bCs/>
          <w:sz w:val="22"/>
          <w:szCs w:val="22"/>
          <w:lang w:eastAsia="en-US"/>
        </w:rPr>
        <w:t>el agravio hecho valer por el Recurrente resulta fundado.</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Default="00F140E3" w:rsidP="00F140E3">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Conforme  lo precisando y con la finalidad de resolver adecuadamente el Recurso de Revisión que nos ocupa, se elaborará un análisis por cada uno de los puntos requeridos por el ahora Recurrente:</w:t>
      </w:r>
    </w:p>
    <w:p w:rsidR="00F140E3" w:rsidRPr="001E0D8F" w:rsidRDefault="00F140E3" w:rsidP="00F140E3">
      <w:pPr>
        <w:spacing w:line="360" w:lineRule="auto"/>
        <w:jc w:val="both"/>
        <w:rPr>
          <w:rFonts w:ascii="Palatino Linotype" w:hAnsi="Palatino Linotype" w:cs="Tahoma"/>
          <w:sz w:val="22"/>
          <w:szCs w:val="22"/>
          <w:lang w:val="es-ES"/>
        </w:rPr>
      </w:pPr>
    </w:p>
    <w:p w:rsidR="00F140E3" w:rsidRPr="009B322E" w:rsidRDefault="00F140E3" w:rsidP="00F140E3">
      <w:pPr>
        <w:spacing w:line="360" w:lineRule="auto"/>
        <w:jc w:val="both"/>
        <w:rPr>
          <w:rFonts w:ascii="Palatino Linotype" w:hAnsi="Palatino Linotype" w:cs="Tahoma"/>
          <w:b/>
          <w:sz w:val="22"/>
          <w:szCs w:val="22"/>
          <w:lang w:val="es-ES"/>
        </w:rPr>
      </w:pPr>
      <w:r w:rsidRPr="009B322E">
        <w:rPr>
          <w:rFonts w:ascii="Palatino Linotype" w:hAnsi="Palatino Linotype" w:cs="Tahoma"/>
          <w:b/>
          <w:sz w:val="22"/>
          <w:szCs w:val="22"/>
          <w:lang w:val="es-ES"/>
        </w:rPr>
        <w:t>Análisis de los puntos 1 y 2  del requerimiento informativo; esto es, nómina completa y lista de raya de la segunda quincena de febrero del año dos mil diecinueve, cheques correspondientes a recursos propios con los cuales se realizó el pago inherente a la segunda quincena de febrero tanto en nómina como en lista de raya.</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Sobre estos puntos resulta necesario contextualizar la solicitud de información, para lo cual, resulta necesario precisar lo que puede entenderse por nómina:</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Al respecto, el Glosario localizado en la página de Transparencia Presupuestaria de la Secretaría de Hacienda y Crédito Público (</w:t>
      </w:r>
      <w:hyperlink r:id="rId7" w:history="1">
        <w:r w:rsidRPr="003C37BF">
          <w:rPr>
            <w:rStyle w:val="Hipervnculo"/>
            <w:rFonts w:ascii="Palatino Linotype" w:hAnsi="Palatino Linotype" w:cs="Tahoma"/>
            <w:sz w:val="22"/>
            <w:szCs w:val="22"/>
            <w:lang w:val="es-ES"/>
          </w:rPr>
          <w:t>http://www.transparenciapresupuestaria.gob.mx/es/PTP/Glosario</w:t>
        </w:r>
      </w:hyperlink>
      <w:r w:rsidRPr="0023690B">
        <w:rPr>
          <w:rFonts w:ascii="Palatino Linotype" w:hAnsi="Palatino Linotype" w:cs="Tahoma"/>
          <w:sz w:val="22"/>
          <w:szCs w:val="22"/>
          <w:lang w:val="es-ES"/>
        </w:rPr>
        <w:t xml:space="preserve">, </w:t>
      </w:r>
      <w:r w:rsidRPr="0023690B">
        <w:rPr>
          <w:rFonts w:ascii="Palatino Linotype" w:hAnsi="Palatino Linotype" w:cs="Tahoma"/>
          <w:sz w:val="22"/>
          <w:szCs w:val="22"/>
          <w:lang w:val="es-ES"/>
        </w:rPr>
        <w:lastRenderedPageBreak/>
        <w:t>consultada el dieci</w:t>
      </w:r>
      <w:r>
        <w:rPr>
          <w:rFonts w:ascii="Palatino Linotype" w:hAnsi="Palatino Linotype" w:cs="Tahoma"/>
          <w:sz w:val="22"/>
          <w:szCs w:val="22"/>
          <w:lang w:val="es-ES"/>
        </w:rPr>
        <w:t>ocho</w:t>
      </w:r>
      <w:r w:rsidRPr="0023690B">
        <w:rPr>
          <w:rFonts w:ascii="Palatino Linotype" w:hAnsi="Palatino Linotype" w:cs="Tahoma"/>
          <w:sz w:val="22"/>
          <w:szCs w:val="22"/>
          <w:lang w:val="es-ES"/>
        </w:rPr>
        <w:t xml:space="preserve"> de junio de dos mil diecinueve, a las dieciséis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De la misma manera, el Glosario de términos más usuales en la Administración Pública Federal, emitido por la Secretaría de Hacienda y Crédito Público (</w:t>
      </w:r>
      <w:hyperlink r:id="rId8" w:history="1">
        <w:r w:rsidRPr="003C37BF">
          <w:rPr>
            <w:rStyle w:val="Hipervnculo"/>
            <w:rFonts w:ascii="Palatino Linotype" w:hAnsi="Palatino Linotype" w:cs="Tahoma"/>
            <w:sz w:val="22"/>
            <w:szCs w:val="22"/>
            <w:lang w:val="es-ES"/>
          </w:rPr>
          <w:t>http://www.apartados.hacienda.gob.mx/contabilidad/documentos/informe_cuenta/1998/cuenta_publica/Glosario/n.htm</w:t>
        </w:r>
      </w:hyperlink>
      <w:r w:rsidRPr="0023690B">
        <w:rPr>
          <w:rFonts w:ascii="Palatino Linotype" w:hAnsi="Palatino Linotype" w:cs="Tahoma"/>
          <w:sz w:val="22"/>
          <w:szCs w:val="22"/>
          <w:lang w:val="es-ES"/>
        </w:rPr>
        <w:t>, consultada el dieci</w:t>
      </w:r>
      <w:r>
        <w:rPr>
          <w:rFonts w:ascii="Palatino Linotype" w:hAnsi="Palatino Linotype" w:cs="Tahoma"/>
          <w:sz w:val="22"/>
          <w:szCs w:val="22"/>
          <w:lang w:val="es-ES"/>
        </w:rPr>
        <w:t>ocho</w:t>
      </w:r>
      <w:r w:rsidRPr="0023690B">
        <w:rPr>
          <w:rFonts w:ascii="Palatino Linotype" w:hAnsi="Palatino Linotype" w:cs="Tahoma"/>
          <w:sz w:val="22"/>
          <w:szCs w:val="22"/>
          <w:lang w:val="es-ES"/>
        </w:rPr>
        <w:t xml:space="preserve"> de junio de dos mil diecinueve, a las dieciséis horas con treinta minutos), establece que la Nómina es un listado general de los trabajadores de una institución, en el cual se asientan las percepciones brutas, deducciones y alcance neto de las mismas.</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Conforme a lo anterior, se puede advertir que la nómina se puede referir a lo siguiente:</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I.</w:t>
      </w:r>
      <w:r w:rsidRPr="0023690B">
        <w:rPr>
          <w:rFonts w:ascii="Palatino Linotype" w:hAnsi="Palatino Linotype" w:cs="Tahoma"/>
          <w:sz w:val="22"/>
          <w:szCs w:val="22"/>
          <w:lang w:val="es-ES"/>
        </w:rPr>
        <w:tab/>
        <w:t>Relación de trabajadores con las percepciones monetarias de cada uno.</w:t>
      </w: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II.</w:t>
      </w:r>
      <w:r w:rsidRPr="0023690B">
        <w:rPr>
          <w:rFonts w:ascii="Palatino Linotype" w:hAnsi="Palatino Linotype" w:cs="Tahoma"/>
          <w:sz w:val="22"/>
          <w:szCs w:val="22"/>
          <w:lang w:val="es-ES"/>
        </w:rPr>
        <w:tab/>
        <w:t>Recibo individual que contiene las prestaciones y deducciones de un trabajador.</w:t>
      </w:r>
    </w:p>
    <w:p w:rsidR="00F140E3" w:rsidRPr="0023690B" w:rsidRDefault="00F140E3" w:rsidP="00F140E3">
      <w:pPr>
        <w:spacing w:line="360" w:lineRule="auto"/>
        <w:ind w:left="709" w:hanging="709"/>
        <w:jc w:val="both"/>
        <w:rPr>
          <w:rFonts w:ascii="Palatino Linotype" w:hAnsi="Palatino Linotype" w:cs="Tahoma"/>
          <w:sz w:val="22"/>
          <w:szCs w:val="22"/>
          <w:lang w:val="es-ES"/>
        </w:rPr>
      </w:pPr>
      <w:r w:rsidRPr="0023690B">
        <w:rPr>
          <w:rFonts w:ascii="Palatino Linotype" w:hAnsi="Palatino Linotype" w:cs="Tahoma"/>
          <w:sz w:val="22"/>
          <w:szCs w:val="22"/>
          <w:lang w:val="es-ES"/>
        </w:rPr>
        <w:t>III.</w:t>
      </w:r>
      <w:r w:rsidRPr="0023690B">
        <w:rPr>
          <w:rFonts w:ascii="Palatino Linotype" w:hAnsi="Palatino Linotype" w:cs="Tahoma"/>
          <w:sz w:val="22"/>
          <w:szCs w:val="22"/>
          <w:lang w:val="es-ES"/>
        </w:rPr>
        <w:tab/>
        <w:t>Listado general de los servidores públicos de una institución o dependencia, en el cual se asientan las percepciones brutas, deducciones y alcance neto de las mismas.</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En ese contexto, cabe recordar que el particular solicitó la nómina completa es decir de todos los servidores públicos del Ayuntamiento de Tonatico correspondientes a la segunda quincena de febrero de 2019; por lo que, se advierte que su pretensión es obtener el documento, que contenga las percepciones que reciben los servidores públicos que ahí laboran; esto es, de los trabajadores de base, confianza, sindicalizados, policías, temporales (lista de raya) y similares.</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Ahora bien, respecto al tema, resulta necesario traer a colación que el artículo 147 de la Constitución Política del Estado Libre y Soberano de México, establece que los trabajadores al servicio del Estado </w:t>
      </w:r>
      <w:r w:rsidRPr="0023690B">
        <w:rPr>
          <w:rFonts w:ascii="Palatino Linotype" w:hAnsi="Palatino Linotype" w:cs="Tahoma"/>
          <w:sz w:val="22"/>
          <w:szCs w:val="22"/>
          <w:lang w:val="es-ES"/>
        </w:rPr>
        <w:lastRenderedPageBreak/>
        <w:t xml:space="preserve">y los miembros de los Ayuntamientos, recibirán una remuneración adecuada e irrenunciable por el desempeño de su empleo, cargo o comisión, que será determinada en el presupuesto de egresos que corresponda. </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9B322E" w:rsidRDefault="00F140E3" w:rsidP="00F140E3">
      <w:pPr>
        <w:spacing w:line="360" w:lineRule="auto"/>
        <w:ind w:left="567" w:right="539"/>
        <w:jc w:val="both"/>
        <w:rPr>
          <w:rFonts w:ascii="Palatino Linotype" w:hAnsi="Palatino Linotype" w:cs="Tahoma"/>
          <w:i/>
          <w:szCs w:val="22"/>
          <w:lang w:val="es-ES"/>
        </w:rPr>
      </w:pPr>
      <w:r w:rsidRPr="009B322E">
        <w:rPr>
          <w:rFonts w:ascii="Palatino Linotype" w:hAnsi="Palatino Linotype" w:cs="Tahoma"/>
          <w:b/>
          <w:i/>
          <w:szCs w:val="22"/>
          <w:lang w:val="es-ES"/>
        </w:rPr>
        <w:t>ARTÍCULO 220 K.-</w:t>
      </w:r>
      <w:r w:rsidRPr="009B322E">
        <w:rPr>
          <w:rFonts w:ascii="Palatino Linotype" w:hAnsi="Palatino Linotype" w:cs="Tahoma"/>
          <w:i/>
          <w:szCs w:val="22"/>
          <w:lang w:val="es-ES"/>
        </w:rPr>
        <w:t xml:space="preserve"> La institución o dependencia pública tiene la obligación de conservar y exhibir en el proceso los documentos que a continuación se precisan:</w:t>
      </w:r>
    </w:p>
    <w:p w:rsidR="00F140E3" w:rsidRPr="009B322E" w:rsidRDefault="00F140E3" w:rsidP="00F140E3">
      <w:pPr>
        <w:spacing w:line="360" w:lineRule="auto"/>
        <w:ind w:left="567" w:right="539"/>
        <w:jc w:val="both"/>
        <w:rPr>
          <w:rFonts w:ascii="Palatino Linotype" w:hAnsi="Palatino Linotype" w:cs="Tahoma"/>
          <w:i/>
          <w:szCs w:val="22"/>
          <w:lang w:val="es-ES"/>
        </w:rPr>
      </w:pPr>
      <w:r w:rsidRPr="009B322E">
        <w:rPr>
          <w:rFonts w:ascii="Palatino Linotype" w:hAnsi="Palatino Linotype" w:cs="Tahoma"/>
          <w:i/>
          <w:szCs w:val="22"/>
          <w:lang w:val="es-ES"/>
        </w:rPr>
        <w:t>I. Contratos, Nombramientos o Formato Único de Movimientos de Personal, cuando no exista Convenio de condiciones generales de trabajo aplicable;</w:t>
      </w:r>
    </w:p>
    <w:p w:rsidR="00F140E3" w:rsidRPr="009B322E" w:rsidRDefault="00F140E3" w:rsidP="00F140E3">
      <w:pPr>
        <w:spacing w:line="360" w:lineRule="auto"/>
        <w:ind w:left="567" w:right="539"/>
        <w:jc w:val="both"/>
        <w:rPr>
          <w:rFonts w:ascii="Palatino Linotype" w:hAnsi="Palatino Linotype" w:cs="Tahoma"/>
          <w:b/>
          <w:i/>
          <w:szCs w:val="22"/>
          <w:u w:val="single"/>
          <w:lang w:val="es-ES"/>
        </w:rPr>
      </w:pPr>
      <w:r w:rsidRPr="009B322E">
        <w:rPr>
          <w:rFonts w:ascii="Palatino Linotype" w:hAnsi="Palatino Linotype" w:cs="Tahoma"/>
          <w:b/>
          <w:i/>
          <w:szCs w:val="22"/>
          <w:u w:val="single"/>
          <w:lang w:val="es-ES"/>
        </w:rPr>
        <w:t>II. Recibos de pagos de salarios o las constancias documentales del pago de salario cuando sea por depósito o mediante información electrónica;</w:t>
      </w:r>
    </w:p>
    <w:p w:rsidR="00F140E3" w:rsidRPr="009B322E" w:rsidRDefault="00F140E3" w:rsidP="00F140E3">
      <w:pPr>
        <w:spacing w:line="360" w:lineRule="auto"/>
        <w:ind w:left="567" w:right="539"/>
        <w:jc w:val="both"/>
        <w:rPr>
          <w:rFonts w:ascii="Palatino Linotype" w:hAnsi="Palatino Linotype" w:cs="Tahoma"/>
          <w:i/>
          <w:szCs w:val="22"/>
          <w:lang w:val="es-ES"/>
        </w:rPr>
      </w:pPr>
      <w:r w:rsidRPr="009B322E">
        <w:rPr>
          <w:rFonts w:ascii="Palatino Linotype" w:hAnsi="Palatino Linotype" w:cs="Tahoma"/>
          <w:i/>
          <w:szCs w:val="22"/>
          <w:lang w:val="es-ES"/>
        </w:rPr>
        <w:t>III. Controles de asistencia o la información magnética o electrónica de asistencia de los servidores públicos;</w:t>
      </w:r>
    </w:p>
    <w:p w:rsidR="00F140E3" w:rsidRPr="009B322E" w:rsidRDefault="00F140E3" w:rsidP="00F140E3">
      <w:pPr>
        <w:spacing w:line="360" w:lineRule="auto"/>
        <w:ind w:left="567" w:right="539"/>
        <w:jc w:val="both"/>
        <w:rPr>
          <w:rFonts w:ascii="Palatino Linotype" w:hAnsi="Palatino Linotype" w:cs="Tahoma"/>
          <w:b/>
          <w:i/>
          <w:szCs w:val="22"/>
          <w:u w:val="single"/>
          <w:lang w:val="es-ES"/>
        </w:rPr>
      </w:pPr>
      <w:r w:rsidRPr="009B322E">
        <w:rPr>
          <w:rFonts w:ascii="Palatino Linotype" w:hAnsi="Palatino Linotype" w:cs="Tahoma"/>
          <w:b/>
          <w:i/>
          <w:szCs w:val="22"/>
          <w:u w:val="single"/>
          <w:lang w:val="es-ES"/>
        </w:rPr>
        <w:t>IV. Recibos o las constancias de depósito o del medio de información magnética o electrónica que sean utilizadas para el pago de salarios, prima vacacional, aguinaldo y demás prestaciones establecidas en la presente ley; y</w:t>
      </w:r>
    </w:p>
    <w:p w:rsidR="00F140E3" w:rsidRPr="009B322E" w:rsidRDefault="00F140E3" w:rsidP="00F140E3">
      <w:pPr>
        <w:spacing w:line="360" w:lineRule="auto"/>
        <w:ind w:left="567" w:right="539"/>
        <w:jc w:val="both"/>
        <w:rPr>
          <w:rFonts w:ascii="Palatino Linotype" w:hAnsi="Palatino Linotype" w:cs="Tahoma"/>
          <w:i/>
          <w:szCs w:val="22"/>
          <w:lang w:val="es-ES"/>
        </w:rPr>
      </w:pPr>
      <w:r w:rsidRPr="009B322E">
        <w:rPr>
          <w:rFonts w:ascii="Palatino Linotype" w:hAnsi="Palatino Linotype" w:cs="Tahoma"/>
          <w:i/>
          <w:szCs w:val="22"/>
          <w:lang w:val="es-ES"/>
        </w:rPr>
        <w:t>V. Los demás que señalen las leyes.</w:t>
      </w:r>
    </w:p>
    <w:p w:rsidR="00F140E3" w:rsidRPr="009B322E" w:rsidRDefault="00F140E3" w:rsidP="00F140E3">
      <w:pPr>
        <w:spacing w:line="360" w:lineRule="auto"/>
        <w:ind w:left="567" w:right="539"/>
        <w:jc w:val="both"/>
        <w:rPr>
          <w:rFonts w:ascii="Palatino Linotype" w:hAnsi="Palatino Linotype" w:cs="Tahoma"/>
          <w:i/>
          <w:szCs w:val="22"/>
          <w:lang w:val="es-ES"/>
        </w:rPr>
      </w:pPr>
      <w:r w:rsidRPr="009B322E">
        <w:rPr>
          <w:rFonts w:ascii="Palatino Linotype" w:hAnsi="Palatino Linotype" w:cs="Tahoma"/>
          <w:i/>
          <w:szCs w:val="22"/>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w:t>
      </w:r>
      <w:r w:rsidRPr="009B322E">
        <w:rPr>
          <w:rFonts w:ascii="Palatino Linotype" w:hAnsi="Palatino Linotype" w:cs="Tahoma"/>
          <w:i/>
          <w:szCs w:val="22"/>
          <w:lang w:val="es-ES"/>
        </w:rPr>
        <w:lastRenderedPageBreak/>
        <w:t xml:space="preserve">conservarlos por medio de los sistemas de digitalización o de información magnética o electrónica o cualquier medio descubierto por la ciencia y las constancias expedidas por el encargado del área de personal de éstas, harán prueba plena. </w:t>
      </w:r>
    </w:p>
    <w:p w:rsidR="00F140E3" w:rsidRPr="009B322E" w:rsidRDefault="00F140E3" w:rsidP="00F140E3">
      <w:pPr>
        <w:spacing w:line="360" w:lineRule="auto"/>
        <w:ind w:left="567" w:right="539"/>
        <w:jc w:val="both"/>
        <w:rPr>
          <w:rFonts w:ascii="Palatino Linotype" w:hAnsi="Palatino Linotype" w:cs="Tahoma"/>
          <w:i/>
          <w:szCs w:val="22"/>
          <w:lang w:val="es-ES"/>
        </w:rPr>
      </w:pPr>
      <w:r w:rsidRPr="009B322E">
        <w:rPr>
          <w:rFonts w:ascii="Palatino Linotype" w:hAnsi="Palatino Linotype" w:cs="Tahoma"/>
          <w:i/>
          <w:szCs w:val="22"/>
          <w:lang w:val="es-ES"/>
        </w:rPr>
        <w:t>…”</w:t>
      </w: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Del anterior precepto legal, se advierte que toda institución o dependencia pública del Estado de México debe conservar las constancias documentales del pago de salario cuando sea por depósito o mediante información electrónica, deb</w:t>
      </w:r>
      <w:r>
        <w:rPr>
          <w:rFonts w:ascii="Palatino Linotype" w:hAnsi="Palatino Linotype" w:cs="Tahoma"/>
          <w:sz w:val="22"/>
          <w:szCs w:val="22"/>
          <w:lang w:val="es-ES"/>
        </w:rPr>
        <w:t>e</w:t>
      </w:r>
      <w:r w:rsidRPr="0023690B">
        <w:rPr>
          <w:rFonts w:ascii="Palatino Linotype" w:hAnsi="Palatino Linotype" w:cs="Tahoma"/>
          <w:sz w:val="22"/>
          <w:szCs w:val="22"/>
          <w:lang w:val="es-ES"/>
        </w:rPr>
        <w:t xml:space="preserve"> conservar dicha documentación durante el último año y un año después de que se extinga la relación laboral, a través de los sistemas de digitalización o de información magnética o electrónica.</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Aunado a lo anterior, es necesario señalar que, el Órgano Superior de Fiscalización del Estado de México (OSFEM)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veinte días posteriores al término del mes correspondiente tal y como lo señala el artículo 32 de la Ley de Fiscalización Superior del Estado de México.</w:t>
      </w:r>
    </w:p>
    <w:p w:rsidR="00F140E3"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Ahora bien, en los Lineamientos en cita, se advierte el análisis que nos ocupa, específicamente el Disco 4, relativo a la información de nómina, el cual describe cómo debe llevarse a cabo la presentación de la Información a la Nómina por parte de los Ayuntamientos tal y como se muestra en las siguientes imágenes: </w:t>
      </w:r>
    </w:p>
    <w:p w:rsidR="00F140E3" w:rsidRPr="0023690B"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ind w:right="-93"/>
        <w:jc w:val="center"/>
        <w:rPr>
          <w:rFonts w:ascii="Palatino Linotype" w:eastAsia="Calibri" w:hAnsi="Palatino Linotype" w:cs="Tahoma"/>
          <w:bCs/>
          <w:sz w:val="22"/>
          <w:szCs w:val="22"/>
          <w:lang w:val="es-ES" w:eastAsia="en-US"/>
        </w:rPr>
      </w:pPr>
      <w:r>
        <w:rPr>
          <w:noProof/>
          <w:lang w:eastAsia="es-MX"/>
        </w:rPr>
        <w:drawing>
          <wp:inline distT="0" distB="0" distL="0" distR="0" wp14:anchorId="74B90DF3" wp14:editId="7A591C49">
            <wp:extent cx="5578273" cy="7366958"/>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55" t="8559" r="32974" b="11445"/>
                    <a:stretch/>
                  </pic:blipFill>
                  <pic:spPr bwMode="auto">
                    <a:xfrm>
                      <a:off x="0" y="0"/>
                      <a:ext cx="5597495" cy="7392344"/>
                    </a:xfrm>
                    <a:prstGeom prst="rect">
                      <a:avLst/>
                    </a:prstGeom>
                    <a:ln>
                      <a:noFill/>
                    </a:ln>
                    <a:extLst>
                      <a:ext uri="{53640926-AAD7-44D8-BBD7-CCE9431645EC}">
                        <a14:shadowObscured xmlns:a14="http://schemas.microsoft.com/office/drawing/2010/main"/>
                      </a:ext>
                    </a:extLst>
                  </pic:spPr>
                </pic:pic>
              </a:graphicData>
            </a:graphic>
          </wp:inline>
        </w:drawing>
      </w:r>
    </w:p>
    <w:p w:rsidR="00F140E3" w:rsidRPr="00A50EAF" w:rsidRDefault="00F140E3" w:rsidP="00F140E3">
      <w:pPr>
        <w:spacing w:line="360" w:lineRule="auto"/>
        <w:ind w:right="-93"/>
        <w:jc w:val="center"/>
        <w:rPr>
          <w:rFonts w:ascii="Palatino Linotype" w:eastAsia="Calibri" w:hAnsi="Palatino Linotype" w:cs="Tahoma"/>
          <w:bCs/>
          <w:sz w:val="22"/>
          <w:szCs w:val="22"/>
          <w:lang w:val="es-ES" w:eastAsia="en-US"/>
        </w:rPr>
      </w:pPr>
      <w:r>
        <w:rPr>
          <w:noProof/>
          <w:lang w:eastAsia="es-MX"/>
        </w:rPr>
        <w:lastRenderedPageBreak/>
        <w:drawing>
          <wp:inline distT="0" distB="0" distL="0" distR="0" wp14:anchorId="479F03D8" wp14:editId="3A6361E4">
            <wp:extent cx="4529263" cy="3595990"/>
            <wp:effectExtent l="0" t="0" r="508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56" t="9216" r="33531" b="43478"/>
                    <a:stretch/>
                  </pic:blipFill>
                  <pic:spPr bwMode="auto">
                    <a:xfrm>
                      <a:off x="0" y="0"/>
                      <a:ext cx="4585609" cy="36407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11AF3B4D" wp14:editId="0A82B9CA">
            <wp:extent cx="4955107" cy="3859618"/>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53" t="13010" r="22871" b="10583"/>
                    <a:stretch/>
                  </pic:blipFill>
                  <pic:spPr bwMode="auto">
                    <a:xfrm>
                      <a:off x="0" y="0"/>
                      <a:ext cx="5000736" cy="3895159"/>
                    </a:xfrm>
                    <a:prstGeom prst="rect">
                      <a:avLst/>
                    </a:prstGeom>
                    <a:ln>
                      <a:noFill/>
                    </a:ln>
                    <a:extLst>
                      <a:ext uri="{53640926-AAD7-44D8-BBD7-CCE9431645EC}">
                        <a14:shadowObscured xmlns:a14="http://schemas.microsoft.com/office/drawing/2010/main"/>
                      </a:ext>
                    </a:extLst>
                  </pic:spPr>
                </pic:pic>
              </a:graphicData>
            </a:graphic>
          </wp:inline>
        </w:drawing>
      </w: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lastRenderedPageBreak/>
        <w:t>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relativa al pago de las remuneraciones de cada uno de los servidores públicos correspondiente a un periodo determinado; en consecuencia, la información solicitada; por el Recurrente debe obrar en los archivos del Sujeto Obligado.</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Ahora bien, es de señalar por lo que respecta a </w:t>
      </w:r>
      <w:r w:rsidRPr="00CC3876">
        <w:rPr>
          <w:rFonts w:ascii="Palatino Linotype" w:hAnsi="Palatino Linotype" w:cs="Tahoma"/>
          <w:b/>
          <w:sz w:val="22"/>
          <w:szCs w:val="22"/>
          <w:lang w:val="es-ES"/>
        </w:rPr>
        <w:t>la lista de raya</w:t>
      </w:r>
      <w:r w:rsidRPr="0023690B">
        <w:rPr>
          <w:rFonts w:ascii="Palatino Linotype" w:hAnsi="Palatino Linotype" w:cs="Tahoma"/>
          <w:sz w:val="22"/>
          <w:szCs w:val="22"/>
          <w:lang w:val="es-ES"/>
        </w:rPr>
        <w:t xml:space="preserve"> que en nuestra legislación no existe como tal una definición de esta; sin embargo, se entiende como una modalidad para contratar a personas por parte del Sujeto Obligado por un tiempo determinado.</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Aunado a ello el artículo 804, fracción II, de la Ley Federal de Trabajo señala que el patrón tiene la obligación de conservar y en su caso exhibir en juicio los documentos consistentes en las Listas de raya o nómina de personal, cuando se lleven en el centro de trabajo o recibos de pagos de salarios.</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lastRenderedPageBreak/>
        <w:t>De lo establecido en el precepto legal anterior, se llega puede llegar la conclusión de que la lista de raya al igual que la nómina consisten en registros contables que contienen la relación de los trabajadores, en los que se asientan las percepciones brutas, deducciones y el neto a recibir de dichos trabajadores, con la diferencia de que la lista de raya se refiere al registro de los trabajadores contratados por plazos cortos o bien para cubrir cualquier eventualidad que no se puede determinar por tiempo o magnitud del trabajo.</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Al respecto, la Ley del Trabajo de los Servidores Públicos del Estado y Municipios, en su artículo 50 señala que el servidor público que se encuentre en la lista de raya se obliga a cumplir con los deberes inherentes al puesto especificado, al igual que los servidores públicos que tienen nombramiento, contrato o formato único de Movimientos de Personal.</w:t>
      </w: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 </w:t>
      </w: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Por lo anterior, si bien no existe obligación legal de generar o contar con una lista de raya, existe la posibilidad de que el Ayuntamiento cuente con personal temporal y en su caso, genere una lista de raya; por lo que ante tales circunstancias, es dable ordenar al Sujeto Obligado, realice una búsqueda exhaustiva en todas las áreas dentro de su estructura orgánica que pudieran contar con lo solicitado y entregue el soporte documental de ser el caso.</w:t>
      </w:r>
    </w:p>
    <w:p w:rsidR="00F140E3" w:rsidRPr="0023690B"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Ahora bien como ya quedó establecido en el cuerpo de la presente Resolución el Ayuntamiento debe conservar las constancias documentales del pago de salario a los servidores públicos que en el laboran; por lo que si realizó </w:t>
      </w:r>
      <w:r w:rsidRPr="000B51EE">
        <w:rPr>
          <w:rFonts w:ascii="Palatino Linotype" w:hAnsi="Palatino Linotype" w:cs="Tahoma"/>
          <w:b/>
          <w:sz w:val="22"/>
          <w:szCs w:val="22"/>
          <w:lang w:val="es-ES"/>
        </w:rPr>
        <w:t>a través de cheques</w:t>
      </w:r>
      <w:r w:rsidRPr="0023690B">
        <w:rPr>
          <w:rFonts w:ascii="Palatino Linotype" w:hAnsi="Palatino Linotype" w:cs="Tahoma"/>
          <w:sz w:val="22"/>
          <w:szCs w:val="22"/>
          <w:lang w:val="es-ES"/>
        </w:rPr>
        <w:t xml:space="preserve"> los pagos de la nómina</w:t>
      </w:r>
      <w:r>
        <w:rPr>
          <w:rFonts w:ascii="Palatino Linotype" w:hAnsi="Palatino Linotype" w:cs="Tahoma"/>
          <w:sz w:val="22"/>
          <w:szCs w:val="22"/>
          <w:lang w:val="es-ES"/>
        </w:rPr>
        <w:t>, los documentos donde conste la</w:t>
      </w:r>
      <w:r w:rsidRPr="0023690B">
        <w:rPr>
          <w:rFonts w:ascii="Palatino Linotype" w:hAnsi="Palatino Linotype" w:cs="Tahoma"/>
          <w:sz w:val="22"/>
          <w:szCs w:val="22"/>
          <w:lang w:val="es-ES"/>
        </w:rPr>
        <w:t xml:space="preserve"> entrega de estos, deben obrar en los archivos del Sujeto Obligado y estos dan cuenta de lo solicitado por el Particular, por lo que procede su entrega.</w:t>
      </w:r>
    </w:p>
    <w:p w:rsidR="00F140E3"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Aunado lo anterior, si bien no existe obligación legal de realizar el pago de la nómina a través de cheques, existe la posibilidad de que el Ayuntamiento lo haya realizado; por lo que ante tales circunstancias, es dable ordenar al Sujeto Obligado, realice una búsqueda exhaustiva en todas las </w:t>
      </w:r>
      <w:r w:rsidRPr="0023690B">
        <w:rPr>
          <w:rFonts w:ascii="Palatino Linotype" w:hAnsi="Palatino Linotype" w:cs="Tahoma"/>
          <w:sz w:val="22"/>
          <w:szCs w:val="22"/>
          <w:lang w:val="es-ES"/>
        </w:rPr>
        <w:lastRenderedPageBreak/>
        <w:t>áreas dentro de su estructura orgánica que pudieran contar con lo solicitado y entregue el soporte documental de ser el caso.</w:t>
      </w:r>
    </w:p>
    <w:p w:rsidR="00F140E3" w:rsidRPr="0023690B" w:rsidRDefault="00F140E3" w:rsidP="00F140E3">
      <w:pPr>
        <w:spacing w:line="360" w:lineRule="auto"/>
        <w:jc w:val="both"/>
        <w:rPr>
          <w:rFonts w:ascii="Palatino Linotype" w:hAnsi="Palatino Linotype" w:cs="Tahoma"/>
          <w:sz w:val="22"/>
          <w:szCs w:val="22"/>
          <w:lang w:val="es-ES"/>
        </w:rPr>
      </w:pPr>
    </w:p>
    <w:p w:rsidR="00F140E3" w:rsidRPr="009B322E" w:rsidRDefault="00F140E3" w:rsidP="00F140E3">
      <w:pPr>
        <w:spacing w:line="360" w:lineRule="auto"/>
        <w:jc w:val="both"/>
        <w:rPr>
          <w:rFonts w:ascii="Palatino Linotype" w:hAnsi="Palatino Linotype" w:cs="Tahoma"/>
          <w:b/>
          <w:sz w:val="22"/>
          <w:szCs w:val="22"/>
          <w:lang w:val="es-ES"/>
        </w:rPr>
      </w:pPr>
      <w:r w:rsidRPr="009B322E">
        <w:rPr>
          <w:rFonts w:ascii="Palatino Linotype" w:hAnsi="Palatino Linotype" w:cs="Tahoma"/>
          <w:b/>
          <w:sz w:val="22"/>
          <w:szCs w:val="22"/>
          <w:lang w:val="es-ES"/>
        </w:rPr>
        <w:t>Análisis del punto 3 del requerimiento informativo; esto es, cheques emitidos correspondientes a la cuenta del recurso FORTAMUN, con los cuales se realizó el pago de la segunda quincena de febrero 2019 tanto en nómina como lista de raya del personal de seguridad pública y protección civil.</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Sobre este punto resulta conveniente traer a colación el artículo lo señalado por la Ley de Coordinación Fiscal, específicamente los artículos 37 y 38 en los que se establece lo siguiente:</w:t>
      </w:r>
    </w:p>
    <w:p w:rsidR="00F140E3" w:rsidRDefault="00F140E3" w:rsidP="00F140E3">
      <w:pPr>
        <w:spacing w:line="360" w:lineRule="auto"/>
        <w:jc w:val="both"/>
        <w:rPr>
          <w:rFonts w:ascii="Palatino Linotype" w:hAnsi="Palatino Linotype" w:cs="Tahoma"/>
          <w:sz w:val="22"/>
          <w:szCs w:val="22"/>
          <w:lang w:val="es-ES"/>
        </w:rPr>
      </w:pPr>
    </w:p>
    <w:p w:rsidR="00F140E3" w:rsidRPr="00C81B29" w:rsidRDefault="00F140E3" w:rsidP="00F140E3">
      <w:pPr>
        <w:spacing w:line="360" w:lineRule="auto"/>
        <w:ind w:left="567" w:right="539"/>
        <w:jc w:val="both"/>
        <w:rPr>
          <w:rFonts w:ascii="Palatino Linotype" w:hAnsi="Palatino Linotype" w:cs="Tahoma"/>
          <w:i/>
          <w:szCs w:val="22"/>
          <w:lang w:val="es-ES"/>
        </w:rPr>
      </w:pPr>
      <w:r w:rsidRPr="00C81B29">
        <w:rPr>
          <w:rFonts w:ascii="Palatino Linotype" w:hAnsi="Palatino Linotype" w:cs="Tahoma"/>
          <w:b/>
          <w:i/>
          <w:szCs w:val="22"/>
          <w:lang w:val="es-ES"/>
        </w:rPr>
        <w:t>Artículo 37.-</w:t>
      </w:r>
      <w:r w:rsidRPr="00C81B29">
        <w:rPr>
          <w:rFonts w:ascii="Palatino Linotype" w:hAnsi="Palatino Linotype" w:cs="Tahoma"/>
          <w:i/>
          <w:szCs w:val="22"/>
          <w:lang w:val="es-ES"/>
        </w:rPr>
        <w:t xml:space="preserve"> Las aportaciones federales que, con cargo al Fondo de Aportaciones para elFortalecimiento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p>
    <w:p w:rsidR="00F140E3" w:rsidRPr="00C81B29" w:rsidRDefault="00F140E3" w:rsidP="00F140E3">
      <w:pPr>
        <w:spacing w:line="360" w:lineRule="auto"/>
        <w:ind w:left="567" w:right="539"/>
        <w:jc w:val="both"/>
        <w:rPr>
          <w:rFonts w:ascii="Palatino Linotype" w:hAnsi="Palatino Linotype" w:cs="Tahoma"/>
          <w:i/>
          <w:szCs w:val="22"/>
          <w:lang w:val="es-ES"/>
        </w:rPr>
      </w:pPr>
    </w:p>
    <w:p w:rsidR="00F140E3" w:rsidRPr="00C81B29" w:rsidRDefault="00F140E3" w:rsidP="00F140E3">
      <w:pPr>
        <w:spacing w:line="360" w:lineRule="auto"/>
        <w:ind w:left="567" w:right="539"/>
        <w:jc w:val="both"/>
        <w:rPr>
          <w:rFonts w:ascii="Palatino Linotype" w:hAnsi="Palatino Linotype" w:cs="Tahoma"/>
          <w:i/>
          <w:szCs w:val="22"/>
          <w:lang w:val="es-ES"/>
        </w:rPr>
      </w:pPr>
      <w:r w:rsidRPr="00C81B29">
        <w:rPr>
          <w:rFonts w:ascii="Palatino Linotype" w:hAnsi="Palatino Linotype" w:cs="Tahoma"/>
          <w:b/>
          <w:i/>
          <w:szCs w:val="22"/>
          <w:lang w:val="es-ES"/>
        </w:rPr>
        <w:t>Artículo 38.-</w:t>
      </w:r>
      <w:r w:rsidRPr="00C81B29">
        <w:rPr>
          <w:rFonts w:ascii="Palatino Linotype" w:hAnsi="Palatino Linotype" w:cs="Tahoma"/>
          <w:i/>
          <w:szCs w:val="22"/>
          <w:lang w:val="es-ES"/>
        </w:rPr>
        <w:t xml:space="preserve"> El Ejecutivo Federal, a través de la Secretaría de Hacienda y Crédito Público, distribuirá el Fondo de Aportaciones para el Fortalecimiento de los Municipios y de las Demarcaciones Territoriales del Distrito Federal a que se refiere el inciso a) del artículo 36 de esta Ley, en proporción directa al número de habitantes con que cuente cada Entidad Federativa, de acuerdo con la información estadística más reciente que al efecto emita el Instituto Nacional de Estadística, Geografía e Informática. </w:t>
      </w:r>
    </w:p>
    <w:p w:rsidR="00F140E3" w:rsidRPr="00C81B29" w:rsidRDefault="00F140E3" w:rsidP="00F140E3">
      <w:pPr>
        <w:spacing w:line="360" w:lineRule="auto"/>
        <w:ind w:left="567" w:right="539"/>
        <w:jc w:val="both"/>
        <w:rPr>
          <w:rFonts w:ascii="Palatino Linotype" w:hAnsi="Palatino Linotype" w:cs="Tahoma"/>
          <w:i/>
          <w:szCs w:val="22"/>
          <w:lang w:val="es-ES"/>
        </w:rPr>
      </w:pPr>
    </w:p>
    <w:p w:rsidR="00F140E3" w:rsidRPr="00C81B29" w:rsidRDefault="00F140E3" w:rsidP="00F140E3">
      <w:pPr>
        <w:spacing w:line="360" w:lineRule="auto"/>
        <w:ind w:left="567" w:right="539"/>
        <w:jc w:val="both"/>
        <w:rPr>
          <w:rFonts w:ascii="Palatino Linotype" w:hAnsi="Palatino Linotype" w:cs="Tahoma"/>
          <w:i/>
          <w:szCs w:val="22"/>
          <w:lang w:val="es-ES"/>
        </w:rPr>
      </w:pPr>
      <w:r w:rsidRPr="00C81B29">
        <w:rPr>
          <w:rFonts w:ascii="Palatino Linotype" w:hAnsi="Palatino Linotype" w:cs="Tahoma"/>
          <w:i/>
          <w:szCs w:val="22"/>
          <w:lang w:val="es-ES"/>
        </w:rPr>
        <w:lastRenderedPageBreak/>
        <w:t>Para el caso de las Demarcaciones Territoriales del Distrito Federal, su distribución se realizará conforme al inciso b) del artículo 36 antes señalado; el 75% correspondiente a cada Demarcación Territorial será asignado conforme al criterio del factor de población residente y el 25% restante al factor de población flotante de acuerdo con las cifras publicadas por el Instituto Nacional de Estadística, Geografía e Informática.</w:t>
      </w:r>
    </w:p>
    <w:p w:rsidR="00F140E3" w:rsidRPr="00C81B29" w:rsidRDefault="00F140E3" w:rsidP="00F140E3">
      <w:pPr>
        <w:spacing w:line="360" w:lineRule="auto"/>
        <w:ind w:left="567" w:right="539"/>
        <w:jc w:val="both"/>
        <w:rPr>
          <w:rFonts w:ascii="Palatino Linotype" w:hAnsi="Palatino Linotype" w:cs="Tahoma"/>
          <w:i/>
          <w:szCs w:val="22"/>
          <w:lang w:val="es-ES"/>
        </w:rPr>
      </w:pPr>
    </w:p>
    <w:p w:rsidR="00F140E3" w:rsidRPr="00C81B29" w:rsidRDefault="00F140E3" w:rsidP="00F140E3">
      <w:pPr>
        <w:spacing w:line="360" w:lineRule="auto"/>
        <w:ind w:left="567" w:right="539"/>
        <w:jc w:val="both"/>
        <w:rPr>
          <w:rFonts w:ascii="Palatino Linotype" w:hAnsi="Palatino Linotype" w:cs="Tahoma"/>
          <w:i/>
          <w:szCs w:val="22"/>
          <w:lang w:val="es-ES"/>
        </w:rPr>
      </w:pPr>
      <w:r w:rsidRPr="00C81B29">
        <w:rPr>
          <w:rFonts w:ascii="Palatino Linotype" w:hAnsi="Palatino Linotype" w:cs="Tahoma"/>
          <w:i/>
          <w:szCs w:val="22"/>
          <w:lang w:val="es-ES"/>
        </w:rPr>
        <w:t>Las Entidades a su vez distribuirán los recursos que correspondan a sus Municipios y las Demarcaciones Territoriales del Distrito Federal, en proporción directa al número de habitantes con que cuente cada uno de los Municipios y Demarcaciones Territoriales antes referidos.</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Aunado lo anterior y resp</w:t>
      </w:r>
      <w:r w:rsidRPr="00880481">
        <w:rPr>
          <w:rFonts w:ascii="Palatino Linotype" w:hAnsi="Palatino Linotype" w:cs="Tahoma"/>
          <w:sz w:val="22"/>
          <w:szCs w:val="22"/>
          <w:lang w:val="es-ES"/>
        </w:rPr>
        <w:t xml:space="preserve">ecto a la distribución del fondo, </w:t>
      </w:r>
      <w:r>
        <w:rPr>
          <w:rFonts w:ascii="Palatino Linotype" w:hAnsi="Palatino Linotype" w:cs="Tahoma"/>
          <w:sz w:val="22"/>
          <w:szCs w:val="22"/>
          <w:lang w:val="es-ES"/>
        </w:rPr>
        <w:t xml:space="preserve">se advierte que </w:t>
      </w:r>
      <w:r w:rsidRPr="00880481">
        <w:rPr>
          <w:rFonts w:ascii="Palatino Linotype" w:hAnsi="Palatino Linotype" w:cs="Tahoma"/>
          <w:sz w:val="22"/>
          <w:szCs w:val="22"/>
          <w:lang w:val="es-ES"/>
        </w:rPr>
        <w:t>esto será</w:t>
      </w:r>
      <w:r>
        <w:rPr>
          <w:rFonts w:ascii="Palatino Linotype" w:hAnsi="Palatino Linotype" w:cs="Tahoma"/>
          <w:sz w:val="22"/>
          <w:szCs w:val="22"/>
          <w:lang w:val="es-ES"/>
        </w:rPr>
        <w:t xml:space="preserve"> </w:t>
      </w:r>
      <w:r w:rsidRPr="00880481">
        <w:rPr>
          <w:rFonts w:ascii="Palatino Linotype" w:hAnsi="Palatino Linotype" w:cs="Tahoma"/>
          <w:sz w:val="22"/>
          <w:szCs w:val="22"/>
          <w:lang w:val="es-ES"/>
        </w:rPr>
        <w:t>asignado en el Presupuesto de Egresos de la Federación y se deberá entregar al Estado mensualmente conforme al calendario de ministración es</w:t>
      </w:r>
      <w:r>
        <w:rPr>
          <w:rFonts w:ascii="Palatino Linotype" w:hAnsi="Palatino Linotype" w:cs="Tahoma"/>
          <w:sz w:val="22"/>
          <w:szCs w:val="22"/>
          <w:lang w:val="es-ES"/>
        </w:rPr>
        <w:t xml:space="preserve">tablecido; en el caso del </w:t>
      </w:r>
      <w:r w:rsidRPr="00880481">
        <w:rPr>
          <w:rFonts w:ascii="Palatino Linotype" w:hAnsi="Palatino Linotype" w:cs="Tahoma"/>
          <w:sz w:val="22"/>
          <w:szCs w:val="22"/>
          <w:lang w:val="es-ES"/>
        </w:rPr>
        <w:t>FORTAMUMDF será en los doce meses del año fiscal; dicho monto será distribuido entre los Municipios por el Gobierno Estatal.</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Por su parte la Ley Orgánica del Estado de México, establece lo siguiente:</w:t>
      </w:r>
    </w:p>
    <w:p w:rsidR="00F140E3" w:rsidRDefault="00F140E3" w:rsidP="00F140E3">
      <w:pPr>
        <w:spacing w:line="360" w:lineRule="auto"/>
        <w:jc w:val="both"/>
        <w:rPr>
          <w:rFonts w:ascii="Palatino Linotype" w:hAnsi="Palatino Linotype" w:cs="Tahoma"/>
          <w:sz w:val="22"/>
          <w:szCs w:val="22"/>
          <w:lang w:val="es-ES"/>
        </w:rPr>
      </w:pPr>
    </w:p>
    <w:p w:rsidR="00F140E3" w:rsidRPr="00880481" w:rsidRDefault="00F140E3" w:rsidP="00F140E3">
      <w:pPr>
        <w:spacing w:line="360" w:lineRule="auto"/>
        <w:ind w:left="567" w:right="539"/>
        <w:jc w:val="both"/>
        <w:rPr>
          <w:rFonts w:ascii="Palatino Linotype" w:hAnsi="Palatino Linotype" w:cs="Tahoma"/>
          <w:i/>
          <w:szCs w:val="22"/>
          <w:lang w:val="es-ES"/>
        </w:rPr>
      </w:pPr>
      <w:r w:rsidRPr="00880481">
        <w:rPr>
          <w:rFonts w:ascii="Palatino Linotype" w:hAnsi="Palatino Linotype" w:cs="Tahoma"/>
          <w:b/>
          <w:i/>
          <w:szCs w:val="22"/>
          <w:lang w:val="es-ES"/>
        </w:rPr>
        <w:t>Artículo 1.-</w:t>
      </w:r>
      <w:r w:rsidRPr="00880481">
        <w:rPr>
          <w:rFonts w:ascii="Palatino Linotype" w:hAnsi="Palatino Linotype" w:cs="Tahoma"/>
          <w:i/>
          <w:szCs w:val="22"/>
          <w:lang w:val="es-ES"/>
        </w:rPr>
        <w:t xml:space="preserve"> Esta Ley es de interés público y tiene por objeto regular las bases para la integración y organización del territorio, la población, el gobierno y la administración pública municipales. </w:t>
      </w:r>
    </w:p>
    <w:p w:rsidR="00F140E3" w:rsidRPr="00880481" w:rsidRDefault="00F140E3" w:rsidP="00F140E3">
      <w:pPr>
        <w:spacing w:line="360" w:lineRule="auto"/>
        <w:ind w:left="567" w:right="539"/>
        <w:jc w:val="both"/>
        <w:rPr>
          <w:rFonts w:ascii="Palatino Linotype" w:hAnsi="Palatino Linotype" w:cs="Tahoma"/>
          <w:i/>
          <w:szCs w:val="22"/>
          <w:lang w:val="es-ES"/>
        </w:rPr>
      </w:pPr>
      <w:r w:rsidRPr="00880481">
        <w:rPr>
          <w:rFonts w:ascii="Palatino Linotype" w:hAnsi="Palatino Linotype" w:cs="Tahoma"/>
          <w:i/>
          <w:szCs w:val="22"/>
          <w:lang w:val="es-ES"/>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w:t>
      </w:r>
    </w:p>
    <w:p w:rsidR="00F140E3" w:rsidRPr="00880481" w:rsidRDefault="00F140E3" w:rsidP="00F140E3">
      <w:pPr>
        <w:spacing w:line="360" w:lineRule="auto"/>
        <w:ind w:left="567" w:right="539"/>
        <w:jc w:val="both"/>
        <w:rPr>
          <w:rFonts w:ascii="Palatino Linotype" w:hAnsi="Palatino Linotype" w:cs="Tahoma"/>
          <w:i/>
          <w:szCs w:val="22"/>
          <w:lang w:val="es-ES"/>
        </w:rPr>
      </w:pPr>
      <w:r w:rsidRPr="00880481">
        <w:rPr>
          <w:rFonts w:ascii="Palatino Linotype" w:hAnsi="Palatino Linotype" w:cs="Tahoma"/>
          <w:b/>
          <w:i/>
          <w:szCs w:val="22"/>
          <w:lang w:val="es-ES"/>
        </w:rPr>
        <w:t>Artículo 7.-</w:t>
      </w:r>
      <w:r w:rsidRPr="00880481">
        <w:rPr>
          <w:rFonts w:ascii="Palatino Linotype" w:hAnsi="Palatino Linotype" w:cs="Tahoma"/>
          <w:i/>
          <w:szCs w:val="22"/>
          <w:lang w:val="es-ES"/>
        </w:rPr>
        <w:t xml:space="preserve"> La extensión territorial de los municipios del Estado, comprenderá la superficie y límites reconocidos para cada uno de ellos. </w:t>
      </w:r>
    </w:p>
    <w:p w:rsidR="00F140E3" w:rsidRPr="00880481" w:rsidRDefault="00F140E3" w:rsidP="00F140E3">
      <w:pPr>
        <w:spacing w:line="360" w:lineRule="auto"/>
        <w:ind w:left="567" w:right="539"/>
        <w:jc w:val="both"/>
        <w:rPr>
          <w:rFonts w:ascii="Palatino Linotype" w:hAnsi="Palatino Linotype" w:cs="Tahoma"/>
          <w:i/>
          <w:szCs w:val="22"/>
          <w:lang w:val="es-ES"/>
        </w:rPr>
      </w:pPr>
    </w:p>
    <w:p w:rsidR="00F140E3" w:rsidRPr="00880481" w:rsidRDefault="00F140E3" w:rsidP="00F140E3">
      <w:pPr>
        <w:spacing w:line="360" w:lineRule="auto"/>
        <w:ind w:left="567" w:right="539"/>
        <w:jc w:val="both"/>
        <w:rPr>
          <w:rFonts w:ascii="Palatino Linotype" w:hAnsi="Palatino Linotype" w:cs="Tahoma"/>
          <w:i/>
          <w:szCs w:val="22"/>
          <w:lang w:val="es-ES"/>
        </w:rPr>
      </w:pPr>
      <w:r w:rsidRPr="00880481">
        <w:rPr>
          <w:rFonts w:ascii="Palatino Linotype" w:hAnsi="Palatino Linotype" w:cs="Tahoma"/>
          <w:b/>
          <w:i/>
          <w:szCs w:val="22"/>
          <w:lang w:val="es-ES"/>
        </w:rPr>
        <w:t>Artículo 8.</w:t>
      </w:r>
      <w:r w:rsidRPr="00880481">
        <w:rPr>
          <w:rFonts w:ascii="Palatino Linotype" w:hAnsi="Palatino Linotype" w:cs="Tahoma"/>
          <w:i/>
          <w:szCs w:val="22"/>
          <w:lang w:val="es-ES"/>
        </w:rPr>
        <w:t>- La división territorial de los municipios se integra por la cabecera municipal, y por las delegaciones, subdelegaciones, colonias, sectores y manzanas, con la denominación, extensión y límites que establezcan los ayuntamientos.</w:t>
      </w:r>
    </w:p>
    <w:p w:rsidR="00F140E3" w:rsidRPr="00880481" w:rsidRDefault="00F140E3" w:rsidP="00F140E3">
      <w:pPr>
        <w:spacing w:line="360" w:lineRule="auto"/>
        <w:ind w:left="567" w:right="539"/>
        <w:jc w:val="both"/>
        <w:rPr>
          <w:rFonts w:ascii="Palatino Linotype" w:hAnsi="Palatino Linotype" w:cs="Tahoma"/>
          <w:i/>
          <w:szCs w:val="22"/>
          <w:lang w:val="es-ES"/>
        </w:rPr>
      </w:pPr>
    </w:p>
    <w:p w:rsidR="00F140E3" w:rsidRPr="00880481" w:rsidRDefault="00F140E3" w:rsidP="00F140E3">
      <w:pPr>
        <w:spacing w:line="360" w:lineRule="auto"/>
        <w:ind w:left="567" w:right="539"/>
        <w:jc w:val="both"/>
        <w:rPr>
          <w:rFonts w:ascii="Palatino Linotype" w:hAnsi="Palatino Linotype" w:cs="Tahoma"/>
          <w:i/>
          <w:szCs w:val="22"/>
          <w:lang w:val="es-ES"/>
        </w:rPr>
      </w:pPr>
      <w:r w:rsidRPr="00880481">
        <w:rPr>
          <w:rFonts w:ascii="Palatino Linotype" w:hAnsi="Palatino Linotype" w:cs="Tahoma"/>
          <w:b/>
          <w:i/>
          <w:szCs w:val="22"/>
          <w:lang w:val="es-ES"/>
        </w:rPr>
        <w:t>Artículo 49.-</w:t>
      </w:r>
      <w:r w:rsidRPr="00880481">
        <w:rPr>
          <w:rFonts w:ascii="Palatino Linotype" w:hAnsi="Palatino Linotype" w:cs="Tahoma"/>
          <w:i/>
          <w:szCs w:val="22"/>
          <w:lang w:val="es-ES"/>
        </w:rPr>
        <w:t xml:space="preserve"> Para el cumplimiento de sus funciones, el presidente municipal se auxiliará de los demás integrantes del ayuntamiento, así como de los órganos administrativos y comisiones que esta Ley establezca.</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sidRPr="00880481">
        <w:rPr>
          <w:rFonts w:ascii="Palatino Linotype" w:hAnsi="Palatino Linotype" w:cs="Tahoma"/>
          <w:sz w:val="22"/>
          <w:szCs w:val="22"/>
          <w:lang w:val="es-ES"/>
        </w:rPr>
        <w:t xml:space="preserve">Por su parte, el Bando Municipal de </w:t>
      </w:r>
      <w:r>
        <w:rPr>
          <w:rFonts w:ascii="Palatino Linotype" w:hAnsi="Palatino Linotype" w:cs="Tahoma"/>
          <w:sz w:val="22"/>
          <w:szCs w:val="22"/>
          <w:lang w:val="es-ES"/>
        </w:rPr>
        <w:t>Tonatico</w:t>
      </w:r>
      <w:r w:rsidRPr="00880481">
        <w:rPr>
          <w:rFonts w:ascii="Palatino Linotype" w:hAnsi="Palatino Linotype" w:cs="Tahoma"/>
          <w:sz w:val="22"/>
          <w:szCs w:val="22"/>
          <w:lang w:val="es-ES"/>
        </w:rPr>
        <w:t>, establece:</w:t>
      </w:r>
    </w:p>
    <w:p w:rsidR="00F140E3" w:rsidRDefault="00F140E3" w:rsidP="00F140E3">
      <w:pPr>
        <w:spacing w:line="360" w:lineRule="auto"/>
        <w:jc w:val="both"/>
        <w:rPr>
          <w:rFonts w:ascii="Palatino Linotype" w:hAnsi="Palatino Linotype" w:cs="Tahoma"/>
          <w:sz w:val="22"/>
          <w:szCs w:val="22"/>
          <w:lang w:val="es-ES"/>
        </w:rPr>
      </w:pP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b/>
          <w:i/>
          <w:szCs w:val="22"/>
          <w:lang w:val="es-ES"/>
        </w:rPr>
        <w:t>ARTÍCULO 33.-</w:t>
      </w:r>
      <w:r w:rsidRPr="00E42105">
        <w:rPr>
          <w:rFonts w:ascii="Palatino Linotype" w:hAnsi="Palatino Linotype" w:cs="Tahoma"/>
          <w:i/>
          <w:szCs w:val="22"/>
          <w:lang w:val="es-ES"/>
        </w:rPr>
        <w:t xml:space="preserve"> Para el despacho de los asuntos Municipales, el Ayuntamiento se auxiliará de las Dependencias Administrativas, Organismos Públicos Descentralizados, De los Organismos Autónomos, de los Organismos y Autoridades auxiliares estipulados en la Ley Orgánica Municipal del Estrado de México y Municipios en su Artículo 31 Fracciones I, IX, IX BIS., XVII, XL, y XLII; Así como, las autorizadas por el Cabildo Municipal con estricto apego a sus atribuciones conferidas en las Leyes respectivas y estarán subordinadas al Presidente Municipal:</w:t>
      </w:r>
    </w:p>
    <w:p w:rsidR="00F140E3" w:rsidRPr="00E42105" w:rsidRDefault="00F140E3" w:rsidP="00F140E3">
      <w:pPr>
        <w:spacing w:line="360" w:lineRule="auto"/>
        <w:ind w:left="567" w:right="539"/>
        <w:jc w:val="both"/>
        <w:rPr>
          <w:rFonts w:ascii="Palatino Linotype" w:hAnsi="Palatino Linotype" w:cs="Tahoma"/>
          <w:i/>
          <w:szCs w:val="22"/>
          <w:lang w:val="es-ES"/>
        </w:rPr>
      </w:pPr>
    </w:p>
    <w:p w:rsidR="00F140E3" w:rsidRPr="00E42105" w:rsidRDefault="00F140E3" w:rsidP="00F140E3">
      <w:pPr>
        <w:spacing w:line="360" w:lineRule="auto"/>
        <w:ind w:left="567" w:right="539"/>
        <w:jc w:val="both"/>
        <w:rPr>
          <w:rFonts w:ascii="Palatino Linotype" w:hAnsi="Palatino Linotype" w:cs="Tahoma"/>
          <w:b/>
          <w:i/>
          <w:szCs w:val="22"/>
          <w:lang w:val="es-ES"/>
        </w:rPr>
      </w:pPr>
      <w:r w:rsidRPr="00E42105">
        <w:rPr>
          <w:rFonts w:ascii="Palatino Linotype" w:hAnsi="Palatino Linotype" w:cs="Tahoma"/>
          <w:b/>
          <w:i/>
          <w:szCs w:val="22"/>
          <w:lang w:val="es-ES"/>
        </w:rPr>
        <w:t>DEPENDENCIAS ADMINISTRATIVAS:</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 Secretaría del Ayuntamiento;</w:t>
      </w:r>
    </w:p>
    <w:p w:rsidR="00F140E3" w:rsidRPr="00E42105" w:rsidRDefault="00F140E3" w:rsidP="00F140E3">
      <w:pPr>
        <w:spacing w:line="360" w:lineRule="auto"/>
        <w:ind w:left="567" w:right="539"/>
        <w:jc w:val="both"/>
        <w:rPr>
          <w:rFonts w:ascii="Palatino Linotype" w:hAnsi="Palatino Linotype" w:cs="Tahoma"/>
          <w:b/>
          <w:i/>
          <w:szCs w:val="22"/>
          <w:lang w:val="es-ES"/>
        </w:rPr>
      </w:pPr>
      <w:r w:rsidRPr="00E42105">
        <w:rPr>
          <w:rFonts w:ascii="Palatino Linotype" w:hAnsi="Palatino Linotype" w:cs="Tahoma"/>
          <w:b/>
          <w:i/>
          <w:szCs w:val="22"/>
          <w:lang w:val="es-ES"/>
        </w:rPr>
        <w:t>2. Tesorería Municipal;</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A.- Catastro e Impuesto Predial;</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3. Contraloría Municipal;</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4. Unidad de Información, Planeación, Programación y Evaluación;</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5. Secretaría Técnica Municipal</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A.- Unidad de transparencia Administrativa;</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6. Dirección de Desarrollo Urbano y Dirección de Obras Públicas;</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7. Dirección de Desarrollo Social;</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8. Dirección de Turismo y Desarrollo Económico;</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A.- Administrador del Hotel Balneario;</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B.- Administrador del Balneario Municipal;</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C.- Administrador del parque Municipal Zumpantitlán;</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9. Dirección de Desarrollo Agropecuario;</w:t>
      </w:r>
    </w:p>
    <w:p w:rsidR="00F140E3" w:rsidRPr="00E42105" w:rsidRDefault="00F140E3" w:rsidP="00F140E3">
      <w:pPr>
        <w:spacing w:line="360" w:lineRule="auto"/>
        <w:ind w:left="567" w:right="539"/>
        <w:jc w:val="both"/>
        <w:rPr>
          <w:rFonts w:ascii="Palatino Linotype" w:hAnsi="Palatino Linotype" w:cs="Tahoma"/>
          <w:b/>
          <w:i/>
          <w:szCs w:val="22"/>
          <w:lang w:val="es-ES"/>
        </w:rPr>
      </w:pPr>
      <w:r w:rsidRPr="00E42105">
        <w:rPr>
          <w:rFonts w:ascii="Palatino Linotype" w:hAnsi="Palatino Linotype" w:cs="Tahoma"/>
          <w:b/>
          <w:i/>
          <w:szCs w:val="22"/>
          <w:lang w:val="es-ES"/>
        </w:rPr>
        <w:t>10. Dirección de Seguridad Pública;</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lastRenderedPageBreak/>
        <w:t>11. Dirección de Gobernación;</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12. Dirección Jurídica;</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13. Dirección de Servicios Públicos;</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14. Dirección del Deporte y Atención a la Juventud;</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A.- Administrador de la Unidad Deportiva Municipal</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15. Dirección de Administración;</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A. Recursos Humanos;</w:t>
      </w:r>
    </w:p>
    <w:p w:rsidR="00F140E3" w:rsidRPr="00E42105" w:rsidRDefault="00F140E3" w:rsidP="00F140E3">
      <w:pPr>
        <w:spacing w:line="360" w:lineRule="auto"/>
        <w:ind w:left="567" w:right="539" w:firstLine="708"/>
        <w:jc w:val="both"/>
        <w:rPr>
          <w:rFonts w:ascii="Palatino Linotype" w:hAnsi="Palatino Linotype" w:cs="Tahoma"/>
          <w:i/>
          <w:szCs w:val="22"/>
          <w:lang w:val="es-ES"/>
        </w:rPr>
      </w:pPr>
      <w:r w:rsidRPr="00E42105">
        <w:rPr>
          <w:rFonts w:ascii="Palatino Linotype" w:hAnsi="Palatino Linotype" w:cs="Tahoma"/>
          <w:i/>
          <w:szCs w:val="22"/>
          <w:lang w:val="es-ES"/>
        </w:rPr>
        <w:t>B. Parque Vehicular;</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16. Dirección de Casa de Cultura;</w:t>
      </w:r>
    </w:p>
    <w:p w:rsidR="00F140E3" w:rsidRPr="00E42105" w:rsidRDefault="00F140E3" w:rsidP="00F140E3">
      <w:pPr>
        <w:spacing w:line="360" w:lineRule="auto"/>
        <w:ind w:left="567" w:right="539"/>
        <w:jc w:val="both"/>
        <w:rPr>
          <w:rFonts w:ascii="Palatino Linotype" w:hAnsi="Palatino Linotype" w:cs="Tahoma"/>
          <w:b/>
          <w:i/>
          <w:szCs w:val="22"/>
          <w:lang w:val="es-ES"/>
        </w:rPr>
      </w:pPr>
      <w:r w:rsidRPr="00E42105">
        <w:rPr>
          <w:rFonts w:ascii="Palatino Linotype" w:hAnsi="Palatino Linotype" w:cs="Tahoma"/>
          <w:b/>
          <w:i/>
          <w:szCs w:val="22"/>
          <w:lang w:val="es-ES"/>
        </w:rPr>
        <w:t>17. Unidad de Protección Civil; y</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18. Oficialía Calificadora;</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19. Dirección de Educación y Eventos Especiales;</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20. Dirección de Transparencia;</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21. Dirección de Mejora Regulatoria</w:t>
      </w:r>
    </w:p>
    <w:p w:rsidR="00F140E3" w:rsidRPr="00E42105" w:rsidRDefault="00F140E3" w:rsidP="00F140E3">
      <w:pPr>
        <w:spacing w:line="360" w:lineRule="auto"/>
        <w:ind w:left="567" w:right="539"/>
        <w:jc w:val="both"/>
        <w:rPr>
          <w:rFonts w:ascii="Palatino Linotype" w:hAnsi="Palatino Linotype" w:cs="Tahoma"/>
          <w:i/>
          <w:szCs w:val="22"/>
          <w:lang w:val="es-ES"/>
        </w:rPr>
      </w:pPr>
      <w:r w:rsidRPr="00E42105">
        <w:rPr>
          <w:rFonts w:ascii="Palatino Linotype" w:hAnsi="Palatino Linotype" w:cs="Tahoma"/>
          <w:i/>
          <w:szCs w:val="22"/>
          <w:lang w:val="es-ES"/>
        </w:rPr>
        <w:t>22. Dirección de ecología.</w:t>
      </w:r>
    </w:p>
    <w:p w:rsidR="00F140E3" w:rsidRDefault="00F140E3" w:rsidP="00F140E3">
      <w:pPr>
        <w:spacing w:line="360" w:lineRule="auto"/>
        <w:jc w:val="both"/>
        <w:rPr>
          <w:rFonts w:ascii="Palatino Linotype" w:hAnsi="Palatino Linotype" w:cs="Tahoma"/>
          <w:sz w:val="22"/>
          <w:szCs w:val="22"/>
          <w:lang w:val="es-ES"/>
        </w:rPr>
      </w:pPr>
    </w:p>
    <w:p w:rsidR="00F140E3" w:rsidRPr="00E42105" w:rsidRDefault="00F140E3" w:rsidP="00F140E3">
      <w:pPr>
        <w:spacing w:line="360" w:lineRule="auto"/>
        <w:jc w:val="both"/>
        <w:rPr>
          <w:rFonts w:ascii="Palatino Linotype" w:hAnsi="Palatino Linotype" w:cs="Tahoma"/>
          <w:sz w:val="22"/>
          <w:szCs w:val="22"/>
          <w:lang w:val="es-ES"/>
        </w:rPr>
      </w:pPr>
      <w:r w:rsidRPr="00E42105">
        <w:rPr>
          <w:rFonts w:ascii="Palatino Linotype" w:hAnsi="Palatino Linotype" w:cs="Tahoma"/>
          <w:sz w:val="22"/>
          <w:szCs w:val="22"/>
          <w:lang w:val="es-ES"/>
        </w:rPr>
        <w:t xml:space="preserve">En razón de </w:t>
      </w:r>
      <w:r>
        <w:rPr>
          <w:rFonts w:ascii="Palatino Linotype" w:hAnsi="Palatino Linotype" w:cs="Tahoma"/>
          <w:sz w:val="22"/>
          <w:szCs w:val="22"/>
          <w:lang w:val="es-ES"/>
        </w:rPr>
        <w:t xml:space="preserve">la normatividad </w:t>
      </w:r>
      <w:r w:rsidRPr="00E42105">
        <w:rPr>
          <w:rFonts w:ascii="Palatino Linotype" w:hAnsi="Palatino Linotype" w:cs="Tahoma"/>
          <w:sz w:val="22"/>
          <w:szCs w:val="22"/>
          <w:lang w:val="es-ES"/>
        </w:rPr>
        <w:t>transcrit</w:t>
      </w:r>
      <w:r>
        <w:rPr>
          <w:rFonts w:ascii="Palatino Linotype" w:hAnsi="Palatino Linotype" w:cs="Tahoma"/>
          <w:sz w:val="22"/>
          <w:szCs w:val="22"/>
          <w:lang w:val="es-ES"/>
        </w:rPr>
        <w:t>a</w:t>
      </w:r>
      <w:r w:rsidRPr="00E42105">
        <w:rPr>
          <w:rFonts w:ascii="Palatino Linotype" w:hAnsi="Palatino Linotype" w:cs="Tahoma"/>
          <w:sz w:val="22"/>
          <w:szCs w:val="22"/>
          <w:lang w:val="es-ES"/>
        </w:rPr>
        <w:t xml:space="preserve">, se establece que el Municipio de </w:t>
      </w:r>
      <w:r>
        <w:rPr>
          <w:rFonts w:ascii="Palatino Linotype" w:hAnsi="Palatino Linotype" w:cs="Tahoma"/>
          <w:sz w:val="22"/>
          <w:szCs w:val="22"/>
          <w:lang w:val="es-ES"/>
        </w:rPr>
        <w:t>Tonatico</w:t>
      </w:r>
      <w:r w:rsidRPr="00E42105">
        <w:rPr>
          <w:rFonts w:ascii="Palatino Linotype" w:hAnsi="Palatino Linotype" w:cs="Tahoma"/>
          <w:sz w:val="22"/>
          <w:szCs w:val="22"/>
          <w:lang w:val="es-ES"/>
        </w:rPr>
        <w:t xml:space="preserve">, es autónomo y administra libremente su hacienda pública, la cual contará con las unidades administrativas necesarias para llevar a cabo el ejercicio de sus atribuciones; </w:t>
      </w:r>
      <w:r>
        <w:rPr>
          <w:rFonts w:ascii="Palatino Linotype" w:hAnsi="Palatino Linotype" w:cs="Tahoma"/>
          <w:sz w:val="22"/>
          <w:szCs w:val="22"/>
          <w:lang w:val="es-ES"/>
        </w:rPr>
        <w:t xml:space="preserve">dentro de las que se encuentran la Dirección de Seguridad Pública y la Unidad de Protección Civil, solicitadas por el Particular, así como la </w:t>
      </w:r>
      <w:r w:rsidRPr="00E42105">
        <w:rPr>
          <w:rFonts w:ascii="Palatino Linotype" w:hAnsi="Palatino Linotype" w:cs="Tahoma"/>
          <w:sz w:val="22"/>
          <w:szCs w:val="22"/>
          <w:lang w:val="es-ES"/>
        </w:rPr>
        <w:t>Tesorería, la cual tiene facultad de administrar la hacienda pública municipal.</w:t>
      </w:r>
    </w:p>
    <w:p w:rsidR="00F140E3" w:rsidRPr="00E42105"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sidRPr="00E42105">
        <w:rPr>
          <w:rFonts w:ascii="Palatino Linotype" w:hAnsi="Palatino Linotype" w:cs="Tahoma"/>
          <w:sz w:val="22"/>
          <w:szCs w:val="22"/>
          <w:lang w:val="es-ES"/>
        </w:rPr>
        <w:t xml:space="preserve">En consecuencia, es evidente que el Sujeto Obligado cuenta con la información concerniente a la aplicación de recursos al Municipio de </w:t>
      </w:r>
      <w:r>
        <w:rPr>
          <w:rFonts w:ascii="Palatino Linotype" w:hAnsi="Palatino Linotype" w:cs="Tahoma"/>
          <w:sz w:val="22"/>
          <w:szCs w:val="22"/>
          <w:lang w:val="es-ES"/>
        </w:rPr>
        <w:t xml:space="preserve">Tonatico </w:t>
      </w:r>
      <w:r w:rsidRPr="00E42105">
        <w:rPr>
          <w:rFonts w:ascii="Palatino Linotype" w:hAnsi="Palatino Linotype" w:cs="Tahoma"/>
          <w:sz w:val="22"/>
          <w:szCs w:val="22"/>
          <w:lang w:val="es-ES"/>
        </w:rPr>
        <w:t>del</w:t>
      </w:r>
      <w:r w:rsidRPr="00E42105">
        <w:t xml:space="preserve"> </w:t>
      </w:r>
      <w:r w:rsidRPr="00E42105">
        <w:rPr>
          <w:rFonts w:ascii="Palatino Linotype" w:hAnsi="Palatino Linotype" w:cs="Tahoma"/>
          <w:sz w:val="22"/>
          <w:szCs w:val="22"/>
          <w:lang w:val="es-ES"/>
        </w:rPr>
        <w:t xml:space="preserve">Fondo de Aportaciones para el Fortalecimiento de los Municipios y de las Demarcaciones Territoriales del Distrito Federal; </w:t>
      </w:r>
      <w:r>
        <w:rPr>
          <w:rFonts w:ascii="Palatino Linotype" w:hAnsi="Palatino Linotype" w:cs="Tahoma"/>
          <w:sz w:val="22"/>
          <w:szCs w:val="22"/>
          <w:lang w:val="es-ES"/>
        </w:rPr>
        <w:t xml:space="preserve">y </w:t>
      </w:r>
      <w:r w:rsidRPr="0023690B">
        <w:rPr>
          <w:rFonts w:ascii="Palatino Linotype" w:hAnsi="Palatino Linotype" w:cs="Tahoma"/>
          <w:sz w:val="22"/>
          <w:szCs w:val="22"/>
          <w:lang w:val="es-ES"/>
        </w:rPr>
        <w:t xml:space="preserve">como ya </w:t>
      </w:r>
      <w:r>
        <w:rPr>
          <w:rFonts w:ascii="Palatino Linotype" w:hAnsi="Palatino Linotype" w:cs="Tahoma"/>
          <w:sz w:val="22"/>
          <w:szCs w:val="22"/>
          <w:lang w:val="es-ES"/>
        </w:rPr>
        <w:t xml:space="preserve">se señaló dentro </w:t>
      </w:r>
      <w:r w:rsidRPr="0023690B">
        <w:rPr>
          <w:rFonts w:ascii="Palatino Linotype" w:hAnsi="Palatino Linotype" w:cs="Tahoma"/>
          <w:sz w:val="22"/>
          <w:szCs w:val="22"/>
          <w:lang w:val="es-ES"/>
        </w:rPr>
        <w:t>de la presente Resolución el Ayuntamiento debe conservar las constancias documentales del pago de salario</w:t>
      </w:r>
      <w:r>
        <w:rPr>
          <w:rFonts w:ascii="Palatino Linotype" w:hAnsi="Palatino Linotype" w:cs="Tahoma"/>
          <w:sz w:val="22"/>
          <w:szCs w:val="22"/>
          <w:lang w:val="es-ES"/>
        </w:rPr>
        <w:t xml:space="preserve"> y si el pago de nómina de los servidores públicos adscritos a la Unidad de Protección </w:t>
      </w:r>
      <w:r>
        <w:rPr>
          <w:rFonts w:ascii="Palatino Linotype" w:hAnsi="Palatino Linotype" w:cs="Tahoma"/>
          <w:sz w:val="22"/>
          <w:szCs w:val="22"/>
          <w:lang w:val="es-ES"/>
        </w:rPr>
        <w:lastRenderedPageBreak/>
        <w:t xml:space="preserve">Civil la realizó con dicho fondo </w:t>
      </w:r>
      <w:r w:rsidRPr="0023690B">
        <w:rPr>
          <w:rFonts w:ascii="Palatino Linotype" w:hAnsi="Palatino Linotype" w:cs="Tahoma"/>
          <w:sz w:val="22"/>
          <w:szCs w:val="22"/>
          <w:lang w:val="es-ES"/>
        </w:rPr>
        <w:t xml:space="preserve">a través de cheques </w:t>
      </w:r>
      <w:r>
        <w:rPr>
          <w:rFonts w:ascii="Palatino Linotype" w:hAnsi="Palatino Linotype" w:cs="Tahoma"/>
          <w:sz w:val="22"/>
          <w:szCs w:val="22"/>
          <w:lang w:val="es-ES"/>
        </w:rPr>
        <w:t>proporcione, los documentos donde conste la entrega de estos.</w:t>
      </w:r>
    </w:p>
    <w:p w:rsidR="00F140E3" w:rsidRDefault="00F140E3" w:rsidP="00F140E3">
      <w:pPr>
        <w:spacing w:line="360" w:lineRule="auto"/>
        <w:jc w:val="both"/>
        <w:rPr>
          <w:rFonts w:ascii="Palatino Linotype" w:hAnsi="Palatino Linotype" w:cs="Tahoma"/>
          <w:sz w:val="22"/>
          <w:szCs w:val="22"/>
          <w:lang w:val="es-ES"/>
        </w:rPr>
      </w:pPr>
    </w:p>
    <w:p w:rsidR="00F140E3" w:rsidRPr="0023690B" w:rsidRDefault="00F140E3" w:rsidP="00F140E3">
      <w:pPr>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Aunado lo anterior, si bien no existe obligación legal de realizar el pago de</w:t>
      </w:r>
      <w:r>
        <w:rPr>
          <w:rFonts w:ascii="Palatino Linotype" w:hAnsi="Palatino Linotype" w:cs="Tahoma"/>
          <w:sz w:val="22"/>
          <w:szCs w:val="22"/>
          <w:lang w:val="es-ES"/>
        </w:rPr>
        <w:t xml:space="preserve"> la nómina a través de cheques ni a través del Fondo </w:t>
      </w:r>
      <w:r w:rsidRPr="00E42105">
        <w:rPr>
          <w:rFonts w:ascii="Palatino Linotype" w:hAnsi="Palatino Linotype" w:cs="Tahoma"/>
          <w:sz w:val="22"/>
          <w:szCs w:val="22"/>
          <w:lang w:val="es-ES"/>
        </w:rPr>
        <w:t>de Aportaciones para el Fortalecimiento de los Municipios y de las Demarcaciones Territoriales del Distrito Federal</w:t>
      </w:r>
      <w:r>
        <w:rPr>
          <w:rFonts w:ascii="Palatino Linotype" w:hAnsi="Palatino Linotype" w:cs="Tahoma"/>
          <w:sz w:val="22"/>
          <w:szCs w:val="22"/>
          <w:lang w:val="es-ES"/>
        </w:rPr>
        <w:t xml:space="preserve"> </w:t>
      </w:r>
      <w:r w:rsidRPr="0023690B">
        <w:rPr>
          <w:rFonts w:ascii="Palatino Linotype" w:hAnsi="Palatino Linotype" w:cs="Tahoma"/>
          <w:sz w:val="22"/>
          <w:szCs w:val="22"/>
          <w:lang w:val="es-ES"/>
        </w:rPr>
        <w:t>existe la posibilidad de que el Ayuntamiento</w:t>
      </w:r>
      <w:r>
        <w:rPr>
          <w:rFonts w:ascii="Palatino Linotype" w:hAnsi="Palatino Linotype" w:cs="Tahoma"/>
          <w:sz w:val="22"/>
          <w:szCs w:val="22"/>
          <w:lang w:val="es-ES"/>
        </w:rPr>
        <w:t xml:space="preserve"> </w:t>
      </w:r>
      <w:r w:rsidRPr="0023690B">
        <w:rPr>
          <w:rFonts w:ascii="Palatino Linotype" w:hAnsi="Palatino Linotype" w:cs="Tahoma"/>
          <w:sz w:val="22"/>
          <w:szCs w:val="22"/>
          <w:lang w:val="es-ES"/>
        </w:rPr>
        <w:t>lo haya realizado; por lo que ante tales circunstancias, es dable ordenar al Sujeto Obligado, realice una búsqueda exhaustiva en todas las áreas dentro de su estructura orgánica que pudieran contar con lo solicitado y entregue el soporte documental de ser el caso.</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efecto, se llevó a cabo la búsqueda de la información en el </w:t>
      </w:r>
      <w:r w:rsidRPr="00413460">
        <w:rPr>
          <w:rFonts w:ascii="Palatino Linotype" w:hAnsi="Palatino Linotype" w:cs="Tahoma"/>
          <w:sz w:val="22"/>
          <w:szCs w:val="22"/>
          <w:lang w:val="es-ES"/>
        </w:rPr>
        <w:t>Acuerdo por el que se da a conocer a los Gobiernos de las Entidades Federativas la Distribución y</w:t>
      </w:r>
      <w:r>
        <w:rPr>
          <w:rFonts w:ascii="Palatino Linotype" w:hAnsi="Palatino Linotype" w:cs="Tahoma"/>
          <w:sz w:val="22"/>
          <w:szCs w:val="22"/>
          <w:lang w:val="es-ES"/>
        </w:rPr>
        <w:t xml:space="preserve"> </w:t>
      </w:r>
      <w:r w:rsidRPr="00413460">
        <w:rPr>
          <w:rFonts w:ascii="Palatino Linotype" w:hAnsi="Palatino Linotype" w:cs="Tahoma"/>
          <w:sz w:val="22"/>
          <w:szCs w:val="22"/>
          <w:lang w:val="es-ES"/>
        </w:rPr>
        <w:t>Calendarización para la Ministración durante el Ejercicio Fiscal 2019, de los Recursos</w:t>
      </w:r>
      <w:r>
        <w:rPr>
          <w:rFonts w:ascii="Palatino Linotype" w:hAnsi="Palatino Linotype" w:cs="Tahoma"/>
          <w:sz w:val="22"/>
          <w:szCs w:val="22"/>
          <w:lang w:val="es-ES"/>
        </w:rPr>
        <w:t xml:space="preserve"> </w:t>
      </w:r>
      <w:r w:rsidRPr="00413460">
        <w:rPr>
          <w:rFonts w:ascii="Palatino Linotype" w:hAnsi="Palatino Linotype" w:cs="Tahoma"/>
          <w:sz w:val="22"/>
          <w:szCs w:val="22"/>
          <w:lang w:val="es-ES"/>
        </w:rPr>
        <w:t>Correspondientes a los Ramos Generales 28 Participaciones a Entidades Federativas y Municipios, y</w:t>
      </w:r>
      <w:r>
        <w:rPr>
          <w:rFonts w:ascii="Palatino Linotype" w:hAnsi="Palatino Linotype" w:cs="Tahoma"/>
          <w:sz w:val="22"/>
          <w:szCs w:val="22"/>
          <w:lang w:val="es-ES"/>
        </w:rPr>
        <w:t xml:space="preserve"> </w:t>
      </w:r>
      <w:r w:rsidRPr="00413460">
        <w:rPr>
          <w:rFonts w:ascii="Palatino Linotype" w:hAnsi="Palatino Linotype" w:cs="Tahoma"/>
          <w:sz w:val="22"/>
          <w:szCs w:val="22"/>
          <w:lang w:val="es-ES"/>
        </w:rPr>
        <w:t>33 Aportaciones Federales para Entidades Federativas y Municipios</w:t>
      </w:r>
      <w:r>
        <w:rPr>
          <w:rFonts w:ascii="Palatino Linotype" w:hAnsi="Palatino Linotype" w:cs="Tahoma"/>
          <w:sz w:val="22"/>
          <w:szCs w:val="22"/>
          <w:lang w:val="es-ES"/>
        </w:rPr>
        <w:t>, publicado en el Diario Oficial de la Federación el veintiuno de enero de dos mil diecinueve y no fue posible desprender que dentro de dichos recursos se tenga que destinar un monto al pago de salario de policías municipales, como se muestra a continuación:</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center"/>
        <w:rPr>
          <w:rFonts w:ascii="Palatino Linotype" w:hAnsi="Palatino Linotype" w:cs="Tahoma"/>
          <w:sz w:val="22"/>
          <w:szCs w:val="22"/>
          <w:lang w:val="es-ES"/>
        </w:rPr>
      </w:pPr>
      <w:r>
        <w:rPr>
          <w:noProof/>
          <w:lang w:eastAsia="es-MX"/>
        </w:rPr>
        <w:lastRenderedPageBreak/>
        <w:drawing>
          <wp:inline distT="0" distB="0" distL="0" distR="0" wp14:anchorId="541E326E" wp14:editId="25817AB5">
            <wp:extent cx="5631700" cy="5502303"/>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5" t="36430" r="36311" b="2756"/>
                    <a:stretch/>
                  </pic:blipFill>
                  <pic:spPr bwMode="auto">
                    <a:xfrm>
                      <a:off x="0" y="0"/>
                      <a:ext cx="5668009" cy="5537778"/>
                    </a:xfrm>
                    <a:prstGeom prst="rect">
                      <a:avLst/>
                    </a:prstGeom>
                    <a:ln>
                      <a:noFill/>
                    </a:ln>
                    <a:extLst>
                      <a:ext uri="{53640926-AAD7-44D8-BBD7-CCE9431645EC}">
                        <a14:shadowObscured xmlns:a14="http://schemas.microsoft.com/office/drawing/2010/main"/>
                      </a:ext>
                    </a:extLst>
                  </pic:spPr>
                </pic:pic>
              </a:graphicData>
            </a:graphic>
          </wp:inline>
        </w:drawing>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sidRPr="007D1CEB">
        <w:rPr>
          <w:rFonts w:ascii="Palatino Linotype" w:hAnsi="Palatino Linotype" w:cs="Tahoma"/>
          <w:sz w:val="22"/>
          <w:szCs w:val="22"/>
          <w:lang w:val="es-ES"/>
        </w:rPr>
        <w:t xml:space="preserve">En caso de que el Sujeto Obligado no cuente con la información sobre </w:t>
      </w:r>
      <w:r>
        <w:rPr>
          <w:rFonts w:ascii="Palatino Linotype" w:hAnsi="Palatino Linotype" w:cs="Tahoma"/>
          <w:sz w:val="22"/>
          <w:szCs w:val="22"/>
          <w:lang w:val="es-ES"/>
        </w:rPr>
        <w:t xml:space="preserve">pago de nómina con el Fondo </w:t>
      </w:r>
      <w:r w:rsidRPr="00E42105">
        <w:rPr>
          <w:rFonts w:ascii="Palatino Linotype" w:hAnsi="Palatino Linotype" w:cs="Tahoma"/>
          <w:sz w:val="22"/>
          <w:szCs w:val="22"/>
          <w:lang w:val="es-ES"/>
        </w:rPr>
        <w:t>de Aportaciones para el Fortalecimiento de los Municipios y de las Demarcaciones Territoriales del Distrito Federal</w:t>
      </w:r>
      <w:r>
        <w:rPr>
          <w:rFonts w:ascii="Palatino Linotype" w:hAnsi="Palatino Linotype" w:cs="Tahoma"/>
          <w:sz w:val="22"/>
          <w:szCs w:val="22"/>
          <w:lang w:val="es-ES"/>
        </w:rPr>
        <w:t xml:space="preserve"> a través de cheques por lo que respecta a los servidores públicos adscritos a la Unidad de Protección Civil</w:t>
      </w:r>
      <w:r w:rsidRPr="007D1CEB">
        <w:rPr>
          <w:rFonts w:ascii="Palatino Linotype" w:hAnsi="Palatino Linotype" w:cs="Tahoma"/>
          <w:sz w:val="22"/>
          <w:szCs w:val="22"/>
          <w:lang w:val="es-ES"/>
        </w:rPr>
        <w:t>, bastará con que así lo indique al Recurrente, en términos del artículo 19, párrafo segundo de la Ley de Transparencia y Acceso a la Información Pública del Estado de México y Municipios.</w:t>
      </w:r>
    </w:p>
    <w:p w:rsidR="00F140E3" w:rsidRDefault="00F140E3" w:rsidP="00F140E3">
      <w:pPr>
        <w:spacing w:line="360" w:lineRule="auto"/>
        <w:jc w:val="both"/>
        <w:rPr>
          <w:rFonts w:ascii="Palatino Linotype" w:hAnsi="Palatino Linotype" w:cs="Tahoma"/>
          <w:sz w:val="22"/>
          <w:szCs w:val="22"/>
          <w:lang w:val="es-ES"/>
        </w:rPr>
      </w:pPr>
    </w:p>
    <w:p w:rsidR="00F140E3" w:rsidRPr="00954F1B" w:rsidRDefault="00F140E3" w:rsidP="00F140E3">
      <w:pPr>
        <w:pStyle w:val="Prrafodelista"/>
        <w:numPr>
          <w:ilvl w:val="0"/>
          <w:numId w:val="32"/>
        </w:numPr>
        <w:spacing w:line="360" w:lineRule="auto"/>
        <w:ind w:right="-93"/>
        <w:jc w:val="both"/>
        <w:rPr>
          <w:rFonts w:ascii="Palatino Linotype" w:eastAsia="Calibri" w:hAnsi="Palatino Linotype" w:cs="Tahoma"/>
          <w:b/>
          <w:bCs/>
          <w:szCs w:val="22"/>
          <w:lang w:val="es-ES_tradnl" w:eastAsia="en-US"/>
        </w:rPr>
      </w:pPr>
      <w:r w:rsidRPr="00954F1B">
        <w:rPr>
          <w:rFonts w:ascii="Palatino Linotype" w:eastAsia="Calibri" w:hAnsi="Palatino Linotype" w:cs="Tahoma"/>
          <w:b/>
          <w:bCs/>
          <w:szCs w:val="22"/>
          <w:lang w:val="es-ES_tradnl" w:eastAsia="en-US"/>
        </w:rPr>
        <w:t>Información sobre el personal de seguridad pública.</w:t>
      </w:r>
    </w:p>
    <w:p w:rsidR="00F140E3" w:rsidRPr="00BC1085" w:rsidRDefault="00F140E3" w:rsidP="00F140E3">
      <w:pPr>
        <w:spacing w:line="360" w:lineRule="auto"/>
        <w:ind w:right="-93"/>
        <w:jc w:val="both"/>
        <w:rPr>
          <w:rFonts w:ascii="Palatino Linotype" w:eastAsia="Calibri" w:hAnsi="Palatino Linotype" w:cs="Tahoma"/>
          <w:b/>
          <w:bCs/>
          <w:sz w:val="22"/>
          <w:szCs w:val="22"/>
          <w:lang w:val="es-ES_tradnl" w:eastAsia="en-US"/>
        </w:rPr>
      </w:pPr>
    </w:p>
    <w:p w:rsidR="00F140E3" w:rsidRPr="00A50EAF" w:rsidRDefault="00F140E3" w:rsidP="00F140E3">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Finalmente, no pasa desapercibido que el Particular </w:t>
      </w:r>
      <w:r>
        <w:rPr>
          <w:rFonts w:ascii="Palatino Linotype" w:eastAsia="Calibri" w:hAnsi="Palatino Linotype" w:cs="Tahoma"/>
          <w:bCs/>
          <w:sz w:val="22"/>
          <w:szCs w:val="22"/>
          <w:lang w:eastAsia="en-US"/>
        </w:rPr>
        <w:t xml:space="preserve">dentro de los puntos 1, 2 y 3 </w:t>
      </w:r>
      <w:r w:rsidRPr="00A50EAF">
        <w:rPr>
          <w:rFonts w:ascii="Palatino Linotype" w:eastAsia="Calibri" w:hAnsi="Palatino Linotype" w:cs="Tahoma"/>
          <w:bCs/>
          <w:sz w:val="22"/>
          <w:szCs w:val="22"/>
          <w:lang w:eastAsia="en-US"/>
        </w:rPr>
        <w:t>solicit</w:t>
      </w:r>
      <w:r>
        <w:rPr>
          <w:rFonts w:ascii="Palatino Linotype" w:eastAsia="Calibri" w:hAnsi="Palatino Linotype" w:cs="Tahoma"/>
          <w:bCs/>
          <w:sz w:val="22"/>
          <w:szCs w:val="22"/>
          <w:lang w:eastAsia="en-US"/>
        </w:rPr>
        <w:t>ó la nómina</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todos los servidores públicos, así como los cheques pagados con recursos del Municipio y los pagados con recursos del</w:t>
      </w:r>
      <w:r w:rsidRPr="00CA1859">
        <w:t xml:space="preserve"> </w:t>
      </w:r>
      <w:r w:rsidRPr="00CA1859">
        <w:rPr>
          <w:rFonts w:ascii="Palatino Linotype" w:eastAsia="Calibri" w:hAnsi="Palatino Linotype" w:cs="Tahoma"/>
          <w:bCs/>
          <w:sz w:val="22"/>
          <w:szCs w:val="22"/>
          <w:lang w:eastAsia="en-US"/>
        </w:rPr>
        <w:t>Fondo de Aportaciones para el Fortalecimiento de los Municipios y de las Demarcaciones Territoriales del Distrito Federal</w:t>
      </w:r>
      <w:r>
        <w:rPr>
          <w:rFonts w:ascii="Palatino Linotype" w:eastAsia="Calibri" w:hAnsi="Palatino Linotype" w:cs="Tahoma"/>
          <w:bCs/>
          <w:sz w:val="22"/>
          <w:szCs w:val="22"/>
          <w:lang w:eastAsia="en-US"/>
        </w:rPr>
        <w:t xml:space="preserve"> del personal de seguridad pública</w:t>
      </w:r>
      <w:r w:rsidRPr="00A50EAF">
        <w:rPr>
          <w:rFonts w:ascii="Palatino Linotype" w:eastAsia="Calibri" w:hAnsi="Palatino Linotype" w:cs="Tahoma"/>
          <w:bCs/>
          <w:sz w:val="22"/>
          <w:szCs w:val="22"/>
          <w:lang w:eastAsia="en-US"/>
        </w:rPr>
        <w:t>, de tal suerte que para atender la solicitud de acceso a la información que nos ocupa, es necesario ordenar la entrega de la información del personal de seguridad pública</w:t>
      </w:r>
      <w:r>
        <w:rPr>
          <w:rFonts w:ascii="Palatino Linotype" w:eastAsia="Calibri" w:hAnsi="Palatino Linotype" w:cs="Tahoma"/>
          <w:bCs/>
          <w:sz w:val="22"/>
          <w:szCs w:val="22"/>
          <w:lang w:eastAsia="en-US"/>
        </w:rPr>
        <w:t xml:space="preserve"> de acuerdo a las consideraciones que a continuación se exponen.</w:t>
      </w:r>
    </w:p>
    <w:p w:rsidR="00F140E3" w:rsidRPr="00A50EAF" w:rsidRDefault="00F140E3" w:rsidP="00F140E3">
      <w:pPr>
        <w:spacing w:line="360" w:lineRule="auto"/>
        <w:ind w:right="-93"/>
        <w:jc w:val="both"/>
        <w:rPr>
          <w:rFonts w:ascii="Palatino Linotype" w:eastAsia="Calibri" w:hAnsi="Palatino Linotype" w:cs="Tahoma"/>
          <w:bCs/>
          <w:sz w:val="22"/>
          <w:szCs w:val="22"/>
          <w:lang w:eastAsia="en-US"/>
        </w:rPr>
      </w:pPr>
    </w:p>
    <w:p w:rsidR="00F140E3" w:rsidRDefault="00F140E3" w:rsidP="00F140E3">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Al respecto, </w:t>
      </w:r>
      <w:r>
        <w:rPr>
          <w:rFonts w:ascii="Palatino Linotype" w:eastAsia="Calibri" w:hAnsi="Palatino Linotype" w:cs="Tahoma"/>
          <w:bCs/>
          <w:sz w:val="22"/>
          <w:szCs w:val="22"/>
          <w:lang w:eastAsia="en-US"/>
        </w:rPr>
        <w:t xml:space="preserve">es de recordar como ya se estableció que en </w:t>
      </w:r>
      <w:r w:rsidRPr="00A50EAF">
        <w:rPr>
          <w:rFonts w:ascii="Palatino Linotype" w:eastAsia="Calibri" w:hAnsi="Palatino Linotype" w:cs="Tahoma"/>
          <w:bCs/>
          <w:sz w:val="22"/>
          <w:szCs w:val="22"/>
          <w:lang w:eastAsia="en-US"/>
        </w:rPr>
        <w:t xml:space="preserve">el Bando Municipal </w:t>
      </w:r>
      <w:r>
        <w:rPr>
          <w:rFonts w:ascii="Palatino Linotype" w:eastAsia="Calibri" w:hAnsi="Palatino Linotype" w:cs="Tahoma"/>
          <w:bCs/>
          <w:sz w:val="22"/>
          <w:szCs w:val="22"/>
          <w:lang w:eastAsia="en-US"/>
        </w:rPr>
        <w:t>dos mil diecinueve del Ayuntamiento de Tonatico, en el artículo 33 referente a la Administración Pública Municipal se encuentra la Dirección de Seguridad Pública.</w:t>
      </w:r>
    </w:p>
    <w:p w:rsidR="00F140E3" w:rsidRDefault="00F140E3" w:rsidP="00F140E3">
      <w:pPr>
        <w:spacing w:line="360" w:lineRule="auto"/>
        <w:ind w:right="-93"/>
        <w:jc w:val="both"/>
        <w:rPr>
          <w:rFonts w:ascii="Palatino Linotype" w:eastAsia="Calibri" w:hAnsi="Palatino Linotype" w:cs="Tahoma"/>
          <w:bCs/>
          <w:sz w:val="22"/>
          <w:szCs w:val="22"/>
          <w:lang w:eastAsia="en-US"/>
        </w:rPr>
      </w:pPr>
    </w:p>
    <w:p w:rsidR="00F140E3" w:rsidRDefault="00F140E3" w:rsidP="00F140E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 el artículo 55 fracción III del mismo Bando, señala que el Ayuntamiento está facultado a través de l</w:t>
      </w:r>
      <w:r w:rsidRPr="00AA7AAE">
        <w:rPr>
          <w:rFonts w:ascii="Palatino Linotype" w:eastAsia="Calibri" w:hAnsi="Palatino Linotype" w:cs="Tahoma"/>
          <w:bCs/>
          <w:sz w:val="22"/>
          <w:szCs w:val="22"/>
          <w:lang w:eastAsia="en-US"/>
        </w:rPr>
        <w:t xml:space="preserve">a </w:t>
      </w:r>
      <w:r>
        <w:rPr>
          <w:rFonts w:ascii="Palatino Linotype" w:eastAsia="Calibri" w:hAnsi="Palatino Linotype" w:cs="Tahoma"/>
          <w:bCs/>
          <w:sz w:val="22"/>
          <w:szCs w:val="22"/>
          <w:lang w:eastAsia="en-US"/>
        </w:rPr>
        <w:t xml:space="preserve">Dirección </w:t>
      </w:r>
      <w:r w:rsidRPr="00AA7AAE">
        <w:rPr>
          <w:rFonts w:ascii="Palatino Linotype" w:eastAsia="Calibri" w:hAnsi="Palatino Linotype" w:cs="Tahoma"/>
          <w:bCs/>
          <w:sz w:val="22"/>
          <w:szCs w:val="22"/>
          <w:lang w:eastAsia="en-US"/>
        </w:rPr>
        <w:t>de Seguridad</w:t>
      </w:r>
      <w:r>
        <w:rPr>
          <w:rFonts w:ascii="Palatino Linotype" w:eastAsia="Calibri" w:hAnsi="Palatino Linotype" w:cs="Tahoma"/>
          <w:bCs/>
          <w:sz w:val="22"/>
          <w:szCs w:val="22"/>
          <w:lang w:eastAsia="en-US"/>
        </w:rPr>
        <w:t xml:space="preserve"> Pública</w:t>
      </w:r>
      <w:r w:rsidRPr="00AA7AAE">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para cumplir con sus atribuciones en materia de seguridad pública; cuando se trate de ña comisión de algún delito y se encuentre al presunto responsable en flagrancia, al detenido inmediatamente se podrá a disposición del Ministerio Público investigador.</w:t>
      </w:r>
    </w:p>
    <w:p w:rsidR="00F140E3"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4D7342" w:rsidRDefault="00F140E3" w:rsidP="00F140E3">
      <w:pPr>
        <w:pStyle w:val="Sinespaciado"/>
        <w:spacing w:line="360" w:lineRule="auto"/>
        <w:ind w:left="0" w:right="113"/>
        <w:rPr>
          <w:rFonts w:ascii="Palatino Linotype" w:hAnsi="Palatino Linotype"/>
          <w:sz w:val="22"/>
        </w:rPr>
      </w:pPr>
      <w:r w:rsidRPr="004D7342">
        <w:rPr>
          <w:rFonts w:ascii="Palatino Linotype" w:hAnsi="Palatino Linotype"/>
          <w:sz w:val="22"/>
        </w:rPr>
        <w:t xml:space="preserve">Asimismo, a </w:t>
      </w:r>
      <w:r w:rsidRPr="004D7342">
        <w:rPr>
          <w:rFonts w:ascii="Palatino Linotype" w:hAnsi="Palatino Linotype"/>
          <w:b/>
          <w:sz w:val="22"/>
          <w:u w:val="single"/>
        </w:rPr>
        <w:t xml:space="preserve">fin de salvaguardar la información de los servidores públicos que prestan sus servicios </w:t>
      </w:r>
      <w:r w:rsidRPr="004D7342">
        <w:rPr>
          <w:rFonts w:ascii="Palatino Linotype" w:hAnsi="Palatino Linotype" w:cs="Arial"/>
          <w:b/>
          <w:color w:val="000000" w:themeColor="text1"/>
          <w:sz w:val="22"/>
          <w:u w:val="single"/>
        </w:rPr>
        <w:t>de Seguridad Pública</w:t>
      </w:r>
      <w:r w:rsidRPr="004D7342">
        <w:rPr>
          <w:rFonts w:ascii="Palatino Linotype" w:hAnsi="Palatino Linotype"/>
          <w:b/>
          <w:sz w:val="22"/>
          <w:u w:val="single"/>
        </w:rPr>
        <w:t>, los datos correspondientes al personal adscrito a esta área deberán ser entregados de forma disociada y testando el nombre de los policías, con el objeto de no identificar al servidor público con su cargo y sueldo</w:t>
      </w:r>
      <w:r w:rsidRPr="004D7342">
        <w:rPr>
          <w:rFonts w:ascii="Palatino Linotype" w:hAnsi="Palatino Linotype"/>
          <w:sz w:val="22"/>
        </w:rPr>
        <w:t>, tal y como se establece en el artículo 52, de la Ley de Transparencia y Acceso a la Información Pública del Estado de México y Municipios, que a la letra dispone lo siguiente:</w:t>
      </w:r>
    </w:p>
    <w:p w:rsidR="00F140E3" w:rsidRPr="002931AC" w:rsidRDefault="00F140E3" w:rsidP="00F140E3">
      <w:pPr>
        <w:pStyle w:val="Sinespaciado"/>
      </w:pPr>
    </w:p>
    <w:p w:rsidR="00F140E3" w:rsidRDefault="00F140E3" w:rsidP="00F140E3">
      <w:pPr>
        <w:pStyle w:val="Sinespaciado"/>
        <w:rPr>
          <w:rFonts w:ascii="Palatino Linotype" w:hAnsi="Palatino Linotype"/>
          <w:i/>
        </w:rPr>
      </w:pPr>
      <w:r w:rsidRPr="002931AC">
        <w:rPr>
          <w:rFonts w:ascii="Palatino Linotype" w:hAnsi="Palatino Linotype"/>
          <w:b/>
          <w:bCs/>
          <w:i/>
        </w:rPr>
        <w:t xml:space="preserve">Artículo 52. </w:t>
      </w:r>
      <w:r w:rsidRPr="002931AC">
        <w:rPr>
          <w:rFonts w:ascii="Palatino Linotype" w:hAnsi="Palatino Linotype"/>
          <w:i/>
        </w:rPr>
        <w:t xml:space="preserve">Las solicitudes de acceso a la información y las respuestas que se les dé, incluyendo, en su caso, la información entregada, así como las resoluciones a los recursos que en su caso se promuevan serán públicas, y </w:t>
      </w:r>
      <w:r w:rsidRPr="002931AC">
        <w:rPr>
          <w:rFonts w:ascii="Palatino Linotype" w:hAnsi="Palatino Linotype"/>
          <w:i/>
          <w:u w:val="single"/>
        </w:rPr>
        <w:t xml:space="preserve">de ser el caso que contenga datos personales que deban ser protegidos se podrá dar su acceso en su versión pública, siempre y cuando la resolución de referencia </w:t>
      </w:r>
      <w:r w:rsidRPr="002931AC">
        <w:rPr>
          <w:rFonts w:ascii="Palatino Linotype" w:hAnsi="Palatino Linotype"/>
          <w:b/>
          <w:i/>
          <w:u w:val="single"/>
        </w:rPr>
        <w:t>se someta a un proceso de disociación</w:t>
      </w:r>
      <w:r w:rsidRPr="002931AC">
        <w:rPr>
          <w:rFonts w:ascii="Palatino Linotype" w:hAnsi="Palatino Linotype"/>
          <w:i/>
          <w:u w:val="single"/>
        </w:rPr>
        <w:t>, es decir, no haga identificable al titular de tales datos personales</w:t>
      </w:r>
      <w:r w:rsidRPr="002931AC">
        <w:rPr>
          <w:rFonts w:ascii="Palatino Linotype" w:hAnsi="Palatino Linotype"/>
          <w:i/>
        </w:rPr>
        <w:t>.</w:t>
      </w:r>
    </w:p>
    <w:p w:rsidR="00F140E3" w:rsidRDefault="00F140E3" w:rsidP="00F140E3">
      <w:pPr>
        <w:pStyle w:val="Sinespaciado"/>
        <w:spacing w:line="360" w:lineRule="auto"/>
        <w:rPr>
          <w:rFonts w:ascii="Palatino Linotype" w:hAnsi="Palatino Linotype"/>
        </w:rPr>
      </w:pPr>
    </w:p>
    <w:p w:rsidR="00F140E3" w:rsidRPr="004D7342" w:rsidRDefault="00F140E3" w:rsidP="00F140E3">
      <w:pPr>
        <w:pStyle w:val="Sinespaciado"/>
        <w:spacing w:line="360" w:lineRule="auto"/>
        <w:ind w:left="0" w:right="-28"/>
        <w:rPr>
          <w:rFonts w:ascii="Palatino Linotype" w:hAnsi="Palatino Linotype"/>
          <w:sz w:val="22"/>
        </w:rPr>
      </w:pPr>
      <w:r w:rsidRPr="004D7342">
        <w:rPr>
          <w:rFonts w:ascii="Palatino Linotype" w:hAnsi="Palatino Linotype"/>
          <w:sz w:val="22"/>
        </w:rPr>
        <w:t xml:space="preserve">Lo anterior, considerando que el número de Habitantes del Municipio de </w:t>
      </w:r>
      <w:r>
        <w:rPr>
          <w:rFonts w:ascii="Palatino Linotype" w:hAnsi="Palatino Linotype"/>
          <w:sz w:val="22"/>
        </w:rPr>
        <w:t>Tonatico</w:t>
      </w:r>
      <w:r w:rsidRPr="004D7342">
        <w:rPr>
          <w:rFonts w:ascii="Palatino Linotype" w:hAnsi="Palatino Linotype"/>
          <w:sz w:val="22"/>
        </w:rPr>
        <w:t xml:space="preserve">, asciende a </w:t>
      </w:r>
      <w:r>
        <w:rPr>
          <w:rFonts w:ascii="Palatino Linotype" w:hAnsi="Palatino Linotype"/>
          <w:sz w:val="22"/>
        </w:rPr>
        <w:t>12,324</w:t>
      </w:r>
      <w:r w:rsidRPr="004D7342">
        <w:rPr>
          <w:rFonts w:ascii="Palatino Linotype" w:hAnsi="Palatino Linotype"/>
          <w:sz w:val="22"/>
        </w:rPr>
        <w:t xml:space="preserve"> (doce mil </w:t>
      </w:r>
      <w:r>
        <w:rPr>
          <w:rFonts w:ascii="Palatino Linotype" w:hAnsi="Palatino Linotype"/>
          <w:sz w:val="22"/>
        </w:rPr>
        <w:t>tre</w:t>
      </w:r>
      <w:r w:rsidRPr="004D7342">
        <w:rPr>
          <w:rFonts w:ascii="Palatino Linotype" w:hAnsi="Palatino Linotype"/>
          <w:sz w:val="22"/>
        </w:rPr>
        <w:t xml:space="preserve">cientos </w:t>
      </w:r>
      <w:r>
        <w:rPr>
          <w:rFonts w:ascii="Palatino Linotype" w:hAnsi="Palatino Linotype"/>
          <w:sz w:val="22"/>
        </w:rPr>
        <w:t>veinticuatro</w:t>
      </w:r>
      <w:r w:rsidRPr="004D7342">
        <w:rPr>
          <w:rFonts w:ascii="Palatino Linotype" w:hAnsi="Palatino Linotype"/>
          <w:sz w:val="22"/>
        </w:rPr>
        <w:t>), de conformidad con el último censo elaborado por el Instituto Nacional de Estadística y Geografía (INEGI), en al año 2015, como se muestra en la página oficial de dicho Instituto</w:t>
      </w:r>
      <w:r w:rsidRPr="004D7342">
        <w:rPr>
          <w:rStyle w:val="Refdenotaalpie"/>
          <w:rFonts w:ascii="Palatino Linotype" w:hAnsi="Palatino Linotype"/>
          <w:sz w:val="22"/>
        </w:rPr>
        <w:footnoteReference w:id="2"/>
      </w:r>
      <w:r w:rsidRPr="004D7342">
        <w:rPr>
          <w:rFonts w:ascii="Palatino Linotype" w:hAnsi="Palatino Linotype"/>
          <w:sz w:val="22"/>
        </w:rPr>
        <w:t>.</w:t>
      </w:r>
    </w:p>
    <w:p w:rsidR="00F140E3" w:rsidRDefault="00F140E3" w:rsidP="00F140E3">
      <w:pPr>
        <w:pStyle w:val="Sinespaciado"/>
        <w:rPr>
          <w:lang w:eastAsia="es-ES_tradnl"/>
        </w:rPr>
      </w:pPr>
    </w:p>
    <w:p w:rsidR="00F140E3" w:rsidRPr="004D7342" w:rsidRDefault="00F140E3" w:rsidP="00F140E3">
      <w:pPr>
        <w:tabs>
          <w:tab w:val="left" w:pos="4962"/>
        </w:tabs>
        <w:spacing w:line="360" w:lineRule="auto"/>
        <w:contextualSpacing/>
        <w:jc w:val="both"/>
        <w:rPr>
          <w:rFonts w:ascii="Palatino Linotype" w:hAnsi="Palatino Linotype" w:cs="Tahoma"/>
          <w:sz w:val="22"/>
          <w:lang w:val="es-ES"/>
        </w:rPr>
      </w:pPr>
      <w:r w:rsidRPr="004D7342">
        <w:rPr>
          <w:rFonts w:ascii="Palatino Linotype" w:eastAsia="Calibri" w:hAnsi="Palatino Linotype" w:cs="Tahoma"/>
          <w:bCs/>
          <w:sz w:val="22"/>
        </w:rPr>
        <w:t>En este contexto</w:t>
      </w:r>
      <w:r w:rsidRPr="004D7342">
        <w:rPr>
          <w:rFonts w:ascii="Palatino Linotype" w:hAnsi="Palatino Linotype" w:cs="Tahoma"/>
          <w:sz w:val="22"/>
          <w:lang w:val="es-ES"/>
        </w:rPr>
        <w:t>, el artículo 140, fracción I y IV, de la Ley de Transparencia y Acceso a la Información Pública del Estado de México y Municipios, dispone que el acceso a la información pública será restringido excepcionalmente, cuando ponga en riesgo la vida, la seguridad o la salud de una persona física.</w:t>
      </w:r>
    </w:p>
    <w:p w:rsidR="00F140E3" w:rsidRPr="004D7342" w:rsidRDefault="00F140E3" w:rsidP="00F140E3">
      <w:pPr>
        <w:pStyle w:val="Sinespaciado"/>
        <w:rPr>
          <w:sz w:val="18"/>
          <w:lang w:val="es-ES"/>
        </w:rPr>
      </w:pPr>
    </w:p>
    <w:p w:rsidR="00F140E3" w:rsidRPr="004D7342" w:rsidRDefault="00F140E3" w:rsidP="00F140E3">
      <w:pPr>
        <w:tabs>
          <w:tab w:val="left" w:pos="4962"/>
        </w:tabs>
        <w:spacing w:line="360" w:lineRule="auto"/>
        <w:contextualSpacing/>
        <w:jc w:val="both"/>
        <w:rPr>
          <w:rFonts w:ascii="Palatino Linotype" w:hAnsi="Palatino Linotype" w:cs="Tahoma"/>
          <w:sz w:val="22"/>
          <w:lang w:val="es-ES"/>
        </w:rPr>
      </w:pPr>
      <w:r w:rsidRPr="004D7342">
        <w:rPr>
          <w:rFonts w:ascii="Palatino Linotype" w:hAnsi="Palatino Linotype" w:cs="Tahoma"/>
          <w:sz w:val="22"/>
          <w:lang w:val="es-E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 y IV, de la Ley de Transparencia y Acceso a la Información Pública del Estado de México y Municipios</w:t>
      </w:r>
    </w:p>
    <w:p w:rsidR="00F140E3" w:rsidRPr="004D7342" w:rsidRDefault="00F140E3" w:rsidP="00F140E3">
      <w:pPr>
        <w:tabs>
          <w:tab w:val="left" w:pos="4962"/>
        </w:tabs>
        <w:spacing w:line="360" w:lineRule="auto"/>
        <w:contextualSpacing/>
        <w:jc w:val="both"/>
        <w:rPr>
          <w:rFonts w:ascii="Palatino Linotype" w:hAnsi="Palatino Linotype" w:cs="Tahoma"/>
          <w:sz w:val="22"/>
          <w:lang w:val="es-ES"/>
        </w:rPr>
      </w:pPr>
    </w:p>
    <w:p w:rsidR="00F140E3" w:rsidRPr="004D7342" w:rsidRDefault="00F140E3" w:rsidP="00F140E3">
      <w:pPr>
        <w:tabs>
          <w:tab w:val="left" w:pos="4962"/>
        </w:tabs>
        <w:spacing w:line="360" w:lineRule="auto"/>
        <w:contextualSpacing/>
        <w:jc w:val="both"/>
        <w:rPr>
          <w:rFonts w:ascii="Palatino Linotype" w:hAnsi="Palatino Linotype" w:cs="Tahoma"/>
          <w:sz w:val="22"/>
          <w:lang w:val="es-ES"/>
        </w:rPr>
      </w:pPr>
      <w:r w:rsidRPr="004D7342">
        <w:rPr>
          <w:rFonts w:ascii="Palatino Linotype" w:hAnsi="Palatino Linotype" w:cs="Tahoma"/>
          <w:sz w:val="22"/>
          <w:lang w:val="es-ES"/>
        </w:rPr>
        <w:t>Por tanto, si bien el nombre de los policías del Ayuntamiento actualiza el supuesto de reserva establecido en el artículo 140, fracción I y IV, de la Ley de Transparencia y Acceso a la Información Pública del Estado de México y Municipios, lo cierto es que el cargo y las percepciones de los servidores públicos son de carácter público, tal como lo señala el artículo 92, fracción VIII, de la Ley en cita.</w:t>
      </w:r>
    </w:p>
    <w:p w:rsidR="00F140E3" w:rsidRDefault="00F140E3" w:rsidP="00F140E3">
      <w:pPr>
        <w:tabs>
          <w:tab w:val="left" w:pos="4962"/>
        </w:tabs>
        <w:spacing w:line="360" w:lineRule="auto"/>
        <w:contextualSpacing/>
        <w:jc w:val="both"/>
        <w:rPr>
          <w:rFonts w:ascii="Palatino Linotype" w:hAnsi="Palatino Linotype" w:cs="Tahoma"/>
          <w:sz w:val="22"/>
          <w:szCs w:val="22"/>
          <w:lang w:val="es-ES"/>
        </w:rPr>
      </w:pPr>
      <w:r w:rsidRPr="00EC395C">
        <w:rPr>
          <w:rFonts w:ascii="Palatino Linotype" w:hAnsi="Palatino Linotype" w:cs="Tahoma"/>
          <w:sz w:val="24"/>
          <w:lang w:val="es-ES"/>
        </w:rPr>
        <w:lastRenderedPageBreak/>
        <w:t xml:space="preserve"> </w:t>
      </w:r>
      <w:r w:rsidRPr="0023690B">
        <w:rPr>
          <w:rFonts w:ascii="Palatino Linotype" w:hAnsi="Palatino Linotype" w:cs="Tahoma"/>
          <w:sz w:val="22"/>
          <w:szCs w:val="22"/>
          <w:lang w:val="es-ES"/>
        </w:rPr>
        <w:t xml:space="preserve">Aunado lo anterior, </w:t>
      </w:r>
      <w:r>
        <w:rPr>
          <w:rFonts w:ascii="Palatino Linotype" w:hAnsi="Palatino Linotype" w:cs="Tahoma"/>
          <w:sz w:val="22"/>
          <w:szCs w:val="22"/>
          <w:lang w:val="es-ES"/>
        </w:rPr>
        <w:t xml:space="preserve">por lo que respecta a la nómina pagada a través de cheques con el Fondo </w:t>
      </w:r>
      <w:r w:rsidRPr="00E42105">
        <w:rPr>
          <w:rFonts w:ascii="Palatino Linotype" w:hAnsi="Palatino Linotype" w:cs="Tahoma"/>
          <w:sz w:val="22"/>
          <w:szCs w:val="22"/>
          <w:lang w:val="es-ES"/>
        </w:rPr>
        <w:t>de Aportaciones para el Fortalecimiento de los Municipios y de las Demarcaciones Territoriales del Distrito Federal</w:t>
      </w:r>
      <w:r>
        <w:rPr>
          <w:rFonts w:ascii="Palatino Linotype" w:hAnsi="Palatino Linotype" w:cs="Tahoma"/>
          <w:sz w:val="22"/>
          <w:szCs w:val="22"/>
          <w:lang w:val="es-ES"/>
        </w:rPr>
        <w:t xml:space="preserve"> y de ser el caso</w:t>
      </w:r>
      <w:r w:rsidRPr="0023690B">
        <w:rPr>
          <w:rFonts w:ascii="Palatino Linotype" w:hAnsi="Palatino Linotype" w:cs="Tahoma"/>
          <w:sz w:val="22"/>
          <w:szCs w:val="22"/>
          <w:lang w:val="es-ES"/>
        </w:rPr>
        <w:t xml:space="preserve"> que el Ayuntamiento</w:t>
      </w:r>
      <w:r>
        <w:rPr>
          <w:rFonts w:ascii="Palatino Linotype" w:hAnsi="Palatino Linotype" w:cs="Tahoma"/>
          <w:sz w:val="22"/>
          <w:szCs w:val="22"/>
          <w:lang w:val="es-ES"/>
        </w:rPr>
        <w:t xml:space="preserve"> </w:t>
      </w:r>
      <w:r w:rsidRPr="0023690B">
        <w:rPr>
          <w:rFonts w:ascii="Palatino Linotype" w:hAnsi="Palatino Linotype" w:cs="Tahoma"/>
          <w:sz w:val="22"/>
          <w:szCs w:val="22"/>
          <w:lang w:val="es-ES"/>
        </w:rPr>
        <w:t>lo</w:t>
      </w:r>
      <w:r>
        <w:rPr>
          <w:rFonts w:ascii="Palatino Linotype" w:hAnsi="Palatino Linotype" w:cs="Tahoma"/>
          <w:sz w:val="22"/>
          <w:szCs w:val="22"/>
          <w:lang w:val="es-ES"/>
        </w:rPr>
        <w:t>s</w:t>
      </w:r>
      <w:r w:rsidRPr="0023690B">
        <w:rPr>
          <w:rFonts w:ascii="Palatino Linotype" w:hAnsi="Palatino Linotype" w:cs="Tahoma"/>
          <w:sz w:val="22"/>
          <w:szCs w:val="22"/>
          <w:lang w:val="es-ES"/>
        </w:rPr>
        <w:t xml:space="preserve"> haya realizado</w:t>
      </w:r>
      <w:r>
        <w:rPr>
          <w:rFonts w:ascii="Palatino Linotype" w:hAnsi="Palatino Linotype" w:cs="Tahoma"/>
          <w:sz w:val="22"/>
          <w:szCs w:val="22"/>
          <w:lang w:val="es-ES"/>
        </w:rPr>
        <w:t xml:space="preserve"> de igual manera deberá entregarlos en versión pública en el que clasifique el nombre de policías</w:t>
      </w:r>
      <w:r w:rsidRPr="0023690B">
        <w:rPr>
          <w:rFonts w:ascii="Palatino Linotype" w:hAnsi="Palatino Linotype" w:cs="Tahoma"/>
          <w:sz w:val="22"/>
          <w:szCs w:val="22"/>
          <w:lang w:val="es-ES"/>
        </w:rPr>
        <w:t xml:space="preserve">; </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sz w:val="22"/>
          <w:szCs w:val="22"/>
          <w:lang w:val="es-ES"/>
        </w:rPr>
      </w:pPr>
      <w:r w:rsidRPr="007D1CEB">
        <w:rPr>
          <w:rFonts w:ascii="Palatino Linotype" w:hAnsi="Palatino Linotype" w:cs="Tahoma"/>
          <w:sz w:val="22"/>
          <w:szCs w:val="22"/>
          <w:lang w:val="es-ES"/>
        </w:rPr>
        <w:t xml:space="preserve">En caso de que el Sujeto Obligado no cuente con la información sobre </w:t>
      </w:r>
      <w:r>
        <w:rPr>
          <w:rFonts w:ascii="Palatino Linotype" w:hAnsi="Palatino Linotype" w:cs="Tahoma"/>
          <w:sz w:val="22"/>
          <w:szCs w:val="22"/>
          <w:lang w:val="es-ES"/>
        </w:rPr>
        <w:t xml:space="preserve">pago de nómina con el Fondo </w:t>
      </w:r>
      <w:r w:rsidRPr="00E42105">
        <w:rPr>
          <w:rFonts w:ascii="Palatino Linotype" w:hAnsi="Palatino Linotype" w:cs="Tahoma"/>
          <w:sz w:val="22"/>
          <w:szCs w:val="22"/>
          <w:lang w:val="es-ES"/>
        </w:rPr>
        <w:t>de Aportaciones para el Fortalecimiento de los Municipios y de las Demarcaciones Territoriales del Distrito Federal</w:t>
      </w:r>
      <w:r>
        <w:rPr>
          <w:rFonts w:ascii="Palatino Linotype" w:hAnsi="Palatino Linotype" w:cs="Tahoma"/>
          <w:sz w:val="22"/>
          <w:szCs w:val="22"/>
          <w:lang w:val="es-ES"/>
        </w:rPr>
        <w:t xml:space="preserve"> a través de cheques por lo que respecta a los servidores públicos adscritos a la Dirección de Seguridad</w:t>
      </w:r>
      <w:r w:rsidRPr="007D1CEB">
        <w:rPr>
          <w:rFonts w:ascii="Palatino Linotype" w:hAnsi="Palatino Linotype" w:cs="Tahoma"/>
          <w:sz w:val="22"/>
          <w:szCs w:val="22"/>
          <w:lang w:val="es-ES"/>
        </w:rPr>
        <w:t>, bastará con que así lo indique al Recurrente, en términos del artículo 19, párrafo segundo de la Ley de Transparencia y Acceso a la Información Pública del Estado de México y Municipios.</w:t>
      </w:r>
    </w:p>
    <w:p w:rsidR="00F140E3" w:rsidRDefault="00F140E3" w:rsidP="00F140E3">
      <w:pPr>
        <w:spacing w:line="360" w:lineRule="auto"/>
        <w:jc w:val="both"/>
        <w:rPr>
          <w:rFonts w:ascii="Palatino Linotype" w:hAnsi="Palatino Linotype" w:cs="Tahoma"/>
          <w:sz w:val="22"/>
          <w:szCs w:val="22"/>
          <w:lang w:val="es-ES"/>
        </w:rPr>
      </w:pPr>
    </w:p>
    <w:p w:rsidR="00F140E3" w:rsidRDefault="00F140E3" w:rsidP="00F140E3">
      <w:pPr>
        <w:spacing w:line="360" w:lineRule="auto"/>
        <w:jc w:val="both"/>
        <w:rPr>
          <w:rFonts w:ascii="Palatino Linotype" w:hAnsi="Palatino Linotype" w:cs="Tahoma"/>
          <w:b/>
          <w:sz w:val="22"/>
          <w:szCs w:val="22"/>
          <w:lang w:val="es-ES"/>
        </w:rPr>
      </w:pPr>
      <w:r w:rsidRPr="001E0D8F">
        <w:rPr>
          <w:rFonts w:ascii="Palatino Linotype" w:hAnsi="Palatino Linotype" w:cs="Tahoma"/>
          <w:b/>
          <w:sz w:val="22"/>
          <w:szCs w:val="22"/>
          <w:lang w:val="es-ES"/>
        </w:rPr>
        <w:t xml:space="preserve">Análisis del punto </w:t>
      </w:r>
      <w:r>
        <w:rPr>
          <w:rFonts w:ascii="Palatino Linotype" w:hAnsi="Palatino Linotype" w:cs="Tahoma"/>
          <w:b/>
          <w:sz w:val="22"/>
          <w:szCs w:val="22"/>
          <w:lang w:val="es-ES"/>
        </w:rPr>
        <w:t>4</w:t>
      </w:r>
      <w:r w:rsidRPr="001E0D8F">
        <w:rPr>
          <w:rFonts w:ascii="Palatino Linotype" w:hAnsi="Palatino Linotype" w:cs="Tahoma"/>
          <w:b/>
          <w:sz w:val="22"/>
          <w:szCs w:val="22"/>
          <w:lang w:val="es-ES"/>
        </w:rPr>
        <w:t xml:space="preserve"> del requerimiento informativo; esto es, </w:t>
      </w:r>
      <w:r w:rsidRPr="00CE3152">
        <w:rPr>
          <w:rFonts w:ascii="Palatino Linotype" w:hAnsi="Palatino Linotype" w:cs="Tahoma"/>
          <w:b/>
          <w:sz w:val="22"/>
          <w:szCs w:val="22"/>
          <w:lang w:val="es-ES"/>
        </w:rPr>
        <w:t>dispersiones interbancarias de las cuentas de recursos propios y FORTAMUN y con las cuales se realizó el pago de la segunda quincena de febrero 2019 del año en mención.</w:t>
      </w:r>
    </w:p>
    <w:p w:rsidR="00F140E3" w:rsidRPr="001E0D8F" w:rsidRDefault="00F140E3" w:rsidP="00F140E3">
      <w:pPr>
        <w:spacing w:line="360" w:lineRule="auto"/>
        <w:jc w:val="both"/>
        <w:rPr>
          <w:rFonts w:ascii="Palatino Linotype" w:hAnsi="Palatino Linotype" w:cs="Tahoma"/>
          <w:b/>
          <w:sz w:val="22"/>
          <w:szCs w:val="22"/>
          <w:lang w:val="es-ES"/>
        </w:rPr>
      </w:pPr>
    </w:p>
    <w:p w:rsidR="00F140E3" w:rsidRPr="00B1715A" w:rsidRDefault="00F140E3" w:rsidP="00F140E3">
      <w:pPr>
        <w:spacing w:line="360" w:lineRule="auto"/>
        <w:jc w:val="both"/>
        <w:rPr>
          <w:rFonts w:ascii="Palatino Linotype" w:hAnsi="Palatino Linotype"/>
          <w:lang w:eastAsia="es-MX"/>
        </w:rPr>
      </w:pPr>
      <w:r w:rsidRPr="00C572F5">
        <w:rPr>
          <w:rFonts w:ascii="Palatino Linotype" w:eastAsia="MS Mincho" w:hAnsi="Palatino Linotype" w:cs="Arial"/>
          <w:noProof/>
          <w:sz w:val="22"/>
          <w:lang w:eastAsia="es-MX"/>
        </w:rPr>
        <mc:AlternateContent>
          <mc:Choice Requires="wps">
            <w:drawing>
              <wp:anchor distT="0" distB="0" distL="114300" distR="114300" simplePos="0" relativeHeight="251659264" behindDoc="0" locked="0" layoutInCell="1" allowOverlap="1" wp14:anchorId="734D35F0" wp14:editId="741B1D43">
                <wp:simplePos x="0" y="0"/>
                <wp:positionH relativeFrom="column">
                  <wp:posOffset>230505</wp:posOffset>
                </wp:positionH>
                <wp:positionV relativeFrom="paragraph">
                  <wp:posOffset>1270635</wp:posOffset>
                </wp:positionV>
                <wp:extent cx="5343276" cy="1486894"/>
                <wp:effectExtent l="19050" t="19050" r="29210" b="37465"/>
                <wp:wrapNone/>
                <wp:docPr id="12" name="Conector recto 12"/>
                <wp:cNvGraphicFramePr/>
                <a:graphic xmlns:a="http://schemas.openxmlformats.org/drawingml/2006/main">
                  <a:graphicData uri="http://schemas.microsoft.com/office/word/2010/wordprocessingShape">
                    <wps:wsp>
                      <wps:cNvCnPr/>
                      <wps:spPr>
                        <a:xfrm>
                          <a:off x="0" y="0"/>
                          <a:ext cx="5343276" cy="148689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20C7C" id="Conector recto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00.05pt" to="438.9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" strokecolor="black [3213]" strokeweight="2.25pt">
                <v:stroke joinstyle="miter"/>
              </v:line>
            </w:pict>
          </mc:Fallback>
        </mc:AlternateContent>
      </w:r>
      <w:r w:rsidRPr="00C572F5">
        <w:rPr>
          <w:rFonts w:ascii="Palatino Linotype" w:eastAsia="MS Mincho" w:hAnsi="Palatino Linotype" w:cs="Arial"/>
          <w:sz w:val="22"/>
        </w:rPr>
        <w:t xml:space="preserve">Por lo que se refiere a la dispersión de nómina es de mencionar que dicho documento tiene por objetivo mostrar la dispersión del pago de las remuneraciones de cada servidor público de la entidad, correspondientes a un período determinado, cuyos formatos </w:t>
      </w:r>
      <w:r w:rsidRPr="00C572F5">
        <w:rPr>
          <w:rFonts w:ascii="Palatino Linotype" w:hAnsi="Palatino Linotype"/>
          <w:sz w:val="22"/>
          <w:lang w:eastAsia="es-MX"/>
        </w:rPr>
        <w:t xml:space="preserve">respectivos contienen la información que se ilustra a continuación: </w:t>
      </w:r>
    </w:p>
    <w:p w:rsidR="00F140E3" w:rsidRPr="00B1715A" w:rsidRDefault="00F140E3" w:rsidP="00F140E3">
      <w:pPr>
        <w:spacing w:before="240" w:after="240" w:line="360" w:lineRule="auto"/>
        <w:ind w:right="49"/>
        <w:jc w:val="both"/>
        <w:rPr>
          <w:rFonts w:ascii="Palatino Linotype" w:eastAsia="MS Mincho" w:hAnsi="Palatino Linotype" w:cs="Arial"/>
        </w:rPr>
      </w:pPr>
      <w:r w:rsidRPr="00B1715A">
        <w:rPr>
          <w:noProof/>
          <w:lang w:eastAsia="es-MX"/>
        </w:rPr>
        <w:lastRenderedPageBreak/>
        <w:drawing>
          <wp:inline distT="0" distB="0" distL="0" distR="0" wp14:anchorId="4F3E94E4" wp14:editId="2EE2CAEB">
            <wp:extent cx="5564859" cy="67109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70" t="10835" r="33121" b="5014"/>
                    <a:stretch/>
                  </pic:blipFill>
                  <pic:spPr bwMode="auto">
                    <a:xfrm>
                      <a:off x="0" y="0"/>
                      <a:ext cx="5608757" cy="6763839"/>
                    </a:xfrm>
                    <a:prstGeom prst="rect">
                      <a:avLst/>
                    </a:prstGeom>
                    <a:ln>
                      <a:noFill/>
                    </a:ln>
                    <a:extLst>
                      <a:ext uri="{53640926-AAD7-44D8-BBD7-CCE9431645EC}">
                        <a14:shadowObscured xmlns:a14="http://schemas.microsoft.com/office/drawing/2010/main"/>
                      </a:ext>
                    </a:extLst>
                  </pic:spPr>
                </pic:pic>
              </a:graphicData>
            </a:graphic>
          </wp:inline>
        </w:drawing>
      </w:r>
    </w:p>
    <w:p w:rsidR="00F140E3" w:rsidRPr="00B1715A" w:rsidRDefault="00F140E3" w:rsidP="00F140E3">
      <w:pPr>
        <w:spacing w:before="240" w:after="240" w:line="360" w:lineRule="auto"/>
        <w:ind w:right="49"/>
        <w:jc w:val="both"/>
        <w:rPr>
          <w:noProof/>
          <w:lang w:eastAsia="es-MX"/>
        </w:rPr>
      </w:pPr>
    </w:p>
    <w:p w:rsidR="00F140E3" w:rsidRPr="00B1715A" w:rsidRDefault="00F140E3" w:rsidP="00F140E3">
      <w:pPr>
        <w:spacing w:before="240" w:after="240" w:line="360" w:lineRule="auto"/>
        <w:ind w:right="49"/>
        <w:jc w:val="center"/>
        <w:rPr>
          <w:rFonts w:ascii="Palatino Linotype" w:eastAsia="MS Mincho" w:hAnsi="Palatino Linotype" w:cs="Arial"/>
        </w:rPr>
      </w:pPr>
      <w:r w:rsidRPr="00B1715A">
        <w:rPr>
          <w:noProof/>
          <w:lang w:eastAsia="es-MX"/>
        </w:rPr>
        <w:lastRenderedPageBreak/>
        <w:drawing>
          <wp:inline distT="0" distB="0" distL="0" distR="0" wp14:anchorId="4D8F55EA" wp14:editId="0EDFC2DC">
            <wp:extent cx="5174990" cy="3459192"/>
            <wp:effectExtent l="0" t="0" r="698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27" t="8569" r="28591" b="32478"/>
                    <a:stretch/>
                  </pic:blipFill>
                  <pic:spPr bwMode="auto">
                    <a:xfrm>
                      <a:off x="0" y="0"/>
                      <a:ext cx="5253889" cy="3511931"/>
                    </a:xfrm>
                    <a:prstGeom prst="rect">
                      <a:avLst/>
                    </a:prstGeom>
                    <a:ln>
                      <a:noFill/>
                    </a:ln>
                    <a:extLst>
                      <a:ext uri="{53640926-AAD7-44D8-BBD7-CCE9431645EC}">
                        <a14:shadowObscured xmlns:a14="http://schemas.microsoft.com/office/drawing/2010/main"/>
                      </a:ext>
                    </a:extLst>
                  </pic:spPr>
                </pic:pic>
              </a:graphicData>
            </a:graphic>
          </wp:inline>
        </w:drawing>
      </w:r>
    </w:p>
    <w:p w:rsidR="00F140E3" w:rsidRDefault="00F140E3" w:rsidP="00F140E3">
      <w:pPr>
        <w:tabs>
          <w:tab w:val="left" w:pos="4962"/>
        </w:tabs>
        <w:spacing w:line="360" w:lineRule="auto"/>
        <w:jc w:val="both"/>
        <w:rPr>
          <w:rFonts w:ascii="Palatino Linotype" w:hAnsi="Palatino Linotype" w:cs="Arial"/>
        </w:rPr>
      </w:pPr>
    </w:p>
    <w:p w:rsidR="00F140E3" w:rsidRPr="002C78B5" w:rsidRDefault="00F140E3" w:rsidP="00F140E3">
      <w:pPr>
        <w:tabs>
          <w:tab w:val="left" w:pos="4962"/>
        </w:tabs>
        <w:spacing w:line="360" w:lineRule="auto"/>
        <w:jc w:val="both"/>
        <w:rPr>
          <w:rFonts w:ascii="Palatino Linotype" w:hAnsi="Palatino Linotype" w:cs="Tahoma"/>
          <w:sz w:val="22"/>
          <w:szCs w:val="22"/>
          <w:lang w:val="es-ES"/>
        </w:rPr>
      </w:pPr>
      <w:r w:rsidRPr="00B1715A">
        <w:rPr>
          <w:rFonts w:ascii="Palatino Linotype" w:hAnsi="Palatino Linotype" w:cs="Arial"/>
        </w:rPr>
        <w:t xml:space="preserve">En consecuencia, resulta evidente que el </w:t>
      </w:r>
      <w:r w:rsidRPr="00B1715A">
        <w:rPr>
          <w:rFonts w:ascii="Palatino Linotype" w:hAnsi="Palatino Linotype" w:cs="Arial"/>
          <w:b/>
        </w:rPr>
        <w:t>Sujeto Obligado</w:t>
      </w:r>
      <w:r w:rsidRPr="00B1715A">
        <w:rPr>
          <w:rFonts w:ascii="Palatino Linotype" w:hAnsi="Palatino Linotype" w:cs="Arial"/>
        </w:rPr>
        <w:t xml:space="preserve"> en el presente asunto, cuenta con las facultades para generar los documentos a través de los cuales se puede atender los requerimientos en análisis, motivo por el cual </w:t>
      </w:r>
      <w:r w:rsidRPr="00B1715A">
        <w:rPr>
          <w:rFonts w:ascii="Palatino Linotype" w:eastAsia="MS Mincho" w:hAnsi="Palatino Linotype" w:cs="Arial"/>
        </w:rPr>
        <w:t xml:space="preserve">con la finalidad de garantizar el pleno ejercicio del derecho de acceso a la información pública, este Instituto considera pertinente ordenar la entrega de la misma en versión </w:t>
      </w:r>
      <w:r w:rsidRPr="002C78B5">
        <w:rPr>
          <w:rFonts w:ascii="Palatino Linotype" w:hAnsi="Palatino Linotype" w:cs="Tahoma"/>
          <w:sz w:val="22"/>
          <w:szCs w:val="22"/>
          <w:lang w:val="es-ES"/>
        </w:rPr>
        <w:t xml:space="preserve">pública conforme a los términos establecidos en el considerando sexto de la presente resolución. </w:t>
      </w:r>
    </w:p>
    <w:p w:rsidR="00F140E3" w:rsidRPr="002C78B5" w:rsidRDefault="00F140E3" w:rsidP="00F140E3">
      <w:pPr>
        <w:tabs>
          <w:tab w:val="left" w:pos="4962"/>
        </w:tabs>
        <w:spacing w:line="360" w:lineRule="auto"/>
        <w:jc w:val="both"/>
        <w:rPr>
          <w:rFonts w:ascii="Palatino Linotype" w:hAnsi="Palatino Linotype" w:cs="Tahoma"/>
          <w:sz w:val="22"/>
          <w:szCs w:val="22"/>
          <w:lang w:val="es-ES"/>
        </w:rPr>
      </w:pPr>
    </w:p>
    <w:p w:rsidR="00F140E3" w:rsidRDefault="00F140E3" w:rsidP="00F140E3">
      <w:pPr>
        <w:tabs>
          <w:tab w:val="left" w:pos="4962"/>
        </w:tabs>
        <w:spacing w:line="360" w:lineRule="auto"/>
        <w:jc w:val="both"/>
        <w:rPr>
          <w:rFonts w:ascii="Palatino Linotype" w:hAnsi="Palatino Linotype" w:cs="Tahoma"/>
          <w:sz w:val="22"/>
          <w:szCs w:val="22"/>
          <w:lang w:val="es-ES"/>
        </w:rPr>
      </w:pPr>
      <w:r w:rsidRPr="0023690B">
        <w:rPr>
          <w:rFonts w:ascii="Palatino Linotype" w:hAnsi="Palatino Linotype" w:cs="Tahoma"/>
          <w:sz w:val="22"/>
          <w:szCs w:val="22"/>
          <w:lang w:val="es-ES"/>
        </w:rPr>
        <w:t xml:space="preserve">Aunado lo anterior, </w:t>
      </w:r>
      <w:r>
        <w:rPr>
          <w:rFonts w:ascii="Palatino Linotype" w:hAnsi="Palatino Linotype" w:cs="Tahoma"/>
          <w:sz w:val="22"/>
          <w:szCs w:val="22"/>
          <w:lang w:val="es-ES"/>
        </w:rPr>
        <w:t xml:space="preserve">por lo que respecta a la dispersión de nómina con el Fondo </w:t>
      </w:r>
      <w:r w:rsidRPr="00E42105">
        <w:rPr>
          <w:rFonts w:ascii="Palatino Linotype" w:hAnsi="Palatino Linotype" w:cs="Tahoma"/>
          <w:sz w:val="22"/>
          <w:szCs w:val="22"/>
          <w:lang w:val="es-ES"/>
        </w:rPr>
        <w:t>de Aportaciones para el Fortalecimiento de los Municipios y de las Demarcaciones Territoriales del Distrito Federal</w:t>
      </w:r>
      <w:r>
        <w:rPr>
          <w:rFonts w:ascii="Palatino Linotype" w:hAnsi="Palatino Linotype" w:cs="Tahoma"/>
          <w:sz w:val="22"/>
          <w:szCs w:val="22"/>
          <w:lang w:val="es-ES"/>
        </w:rPr>
        <w:t xml:space="preserve"> y de ser el caso</w:t>
      </w:r>
      <w:r w:rsidRPr="0023690B">
        <w:rPr>
          <w:rFonts w:ascii="Palatino Linotype" w:hAnsi="Palatino Linotype" w:cs="Tahoma"/>
          <w:sz w:val="22"/>
          <w:szCs w:val="22"/>
          <w:lang w:val="es-ES"/>
        </w:rPr>
        <w:t xml:space="preserve"> que el Ayuntamiento</w:t>
      </w:r>
      <w:r>
        <w:rPr>
          <w:rFonts w:ascii="Palatino Linotype" w:hAnsi="Palatino Linotype" w:cs="Tahoma"/>
          <w:sz w:val="22"/>
          <w:szCs w:val="22"/>
          <w:lang w:val="es-ES"/>
        </w:rPr>
        <w:t xml:space="preserve"> la</w:t>
      </w:r>
      <w:r w:rsidRPr="0023690B">
        <w:rPr>
          <w:rFonts w:ascii="Palatino Linotype" w:hAnsi="Palatino Linotype" w:cs="Tahoma"/>
          <w:sz w:val="22"/>
          <w:szCs w:val="22"/>
          <w:lang w:val="es-ES"/>
        </w:rPr>
        <w:t xml:space="preserve"> haya realizado</w:t>
      </w:r>
      <w:r>
        <w:rPr>
          <w:rFonts w:ascii="Palatino Linotype" w:hAnsi="Palatino Linotype" w:cs="Tahoma"/>
          <w:sz w:val="22"/>
          <w:szCs w:val="22"/>
          <w:lang w:val="es-ES"/>
        </w:rPr>
        <w:t xml:space="preserve"> de igual manera deberá entregarla en versión pública.</w:t>
      </w:r>
      <w:r w:rsidRPr="0023690B">
        <w:rPr>
          <w:rFonts w:ascii="Palatino Linotype" w:hAnsi="Palatino Linotype" w:cs="Tahoma"/>
          <w:sz w:val="22"/>
          <w:szCs w:val="22"/>
          <w:lang w:val="es-ES"/>
        </w:rPr>
        <w:t xml:space="preserve"> </w:t>
      </w:r>
    </w:p>
    <w:p w:rsidR="00F140E3" w:rsidRDefault="00F140E3" w:rsidP="00F140E3">
      <w:pPr>
        <w:tabs>
          <w:tab w:val="left" w:pos="4962"/>
        </w:tabs>
        <w:spacing w:line="360" w:lineRule="auto"/>
        <w:jc w:val="both"/>
        <w:rPr>
          <w:rFonts w:ascii="Palatino Linotype" w:hAnsi="Palatino Linotype" w:cs="Tahoma"/>
          <w:sz w:val="22"/>
          <w:szCs w:val="22"/>
          <w:lang w:val="es-ES"/>
        </w:rPr>
      </w:pPr>
    </w:p>
    <w:p w:rsidR="00F140E3" w:rsidRDefault="00F140E3" w:rsidP="00F140E3">
      <w:pPr>
        <w:tabs>
          <w:tab w:val="left" w:pos="4962"/>
        </w:tabs>
        <w:spacing w:line="360" w:lineRule="auto"/>
        <w:jc w:val="both"/>
        <w:rPr>
          <w:rFonts w:ascii="Palatino Linotype" w:hAnsi="Palatino Linotype" w:cs="Tahoma"/>
          <w:sz w:val="22"/>
          <w:szCs w:val="22"/>
          <w:lang w:val="es-ES"/>
        </w:rPr>
      </w:pPr>
      <w:r w:rsidRPr="007D1CEB">
        <w:rPr>
          <w:rFonts w:ascii="Palatino Linotype" w:hAnsi="Palatino Linotype" w:cs="Tahoma"/>
          <w:sz w:val="22"/>
          <w:szCs w:val="22"/>
          <w:lang w:val="es-ES"/>
        </w:rPr>
        <w:t xml:space="preserve">En caso de que el Sujeto Obligado no cuente con la información sobre </w:t>
      </w:r>
      <w:r>
        <w:rPr>
          <w:rFonts w:ascii="Palatino Linotype" w:hAnsi="Palatino Linotype" w:cs="Tahoma"/>
          <w:sz w:val="22"/>
          <w:szCs w:val="22"/>
          <w:lang w:val="es-ES"/>
        </w:rPr>
        <w:t xml:space="preserve">dispersión de nómina con el Fondo </w:t>
      </w:r>
      <w:r w:rsidRPr="00E42105">
        <w:rPr>
          <w:rFonts w:ascii="Palatino Linotype" w:hAnsi="Palatino Linotype" w:cs="Tahoma"/>
          <w:sz w:val="22"/>
          <w:szCs w:val="22"/>
          <w:lang w:val="es-ES"/>
        </w:rPr>
        <w:t xml:space="preserve">de Aportaciones para el Fortalecimiento de los Municipios y de las Demarcaciones </w:t>
      </w:r>
      <w:r w:rsidRPr="00E42105">
        <w:rPr>
          <w:rFonts w:ascii="Palatino Linotype" w:hAnsi="Palatino Linotype" w:cs="Tahoma"/>
          <w:sz w:val="22"/>
          <w:szCs w:val="22"/>
          <w:lang w:val="es-ES"/>
        </w:rPr>
        <w:lastRenderedPageBreak/>
        <w:t>Territoriales del Distrito Federal</w:t>
      </w:r>
      <w:r w:rsidRPr="007D1CEB">
        <w:rPr>
          <w:rFonts w:ascii="Palatino Linotype" w:hAnsi="Palatino Linotype" w:cs="Tahoma"/>
          <w:sz w:val="22"/>
          <w:szCs w:val="22"/>
          <w:lang w:val="es-ES"/>
        </w:rPr>
        <w:t>, bastará con que así lo indique al Recurrente, en términos del artículo 19, párrafo segundo de la Ley de Transparencia y Acceso a la Información Pública del Estado de México y Municipios.</w:t>
      </w:r>
    </w:p>
    <w:p w:rsidR="00F140E3" w:rsidRDefault="00F140E3" w:rsidP="00F140E3">
      <w:pPr>
        <w:spacing w:line="360" w:lineRule="auto"/>
        <w:jc w:val="both"/>
        <w:rPr>
          <w:rFonts w:ascii="Palatino Linotype" w:hAnsi="Palatino Linotype" w:cs="Tahoma"/>
          <w:b/>
          <w:sz w:val="22"/>
          <w:szCs w:val="22"/>
          <w:lang w:val="es-ES"/>
        </w:rPr>
      </w:pPr>
    </w:p>
    <w:p w:rsidR="00F140E3" w:rsidRPr="00C572F5" w:rsidRDefault="00F140E3" w:rsidP="00F140E3">
      <w:pPr>
        <w:tabs>
          <w:tab w:val="left" w:pos="4962"/>
        </w:tabs>
        <w:spacing w:line="360" w:lineRule="auto"/>
        <w:jc w:val="both"/>
        <w:rPr>
          <w:rFonts w:ascii="Palatino Linotype" w:hAnsi="Palatino Linotype" w:cs="Tahoma"/>
          <w:b/>
          <w:sz w:val="24"/>
          <w:szCs w:val="22"/>
        </w:rPr>
      </w:pPr>
      <w:r w:rsidRPr="00C572F5">
        <w:rPr>
          <w:rFonts w:ascii="Palatino Linotype" w:hAnsi="Palatino Linotype" w:cs="Tahoma"/>
          <w:b/>
          <w:sz w:val="24"/>
          <w:szCs w:val="22"/>
        </w:rPr>
        <w:t>De la versión pública.</w:t>
      </w:r>
    </w:p>
    <w:p w:rsidR="00F140E3" w:rsidRDefault="00F140E3" w:rsidP="00F140E3">
      <w:pPr>
        <w:tabs>
          <w:tab w:val="left" w:pos="4962"/>
        </w:tabs>
        <w:spacing w:line="360" w:lineRule="auto"/>
        <w:jc w:val="both"/>
        <w:rPr>
          <w:rFonts w:ascii="Palatino Linotype" w:hAnsi="Palatino Linotype" w:cs="Tahoma"/>
          <w:b/>
          <w:caps/>
          <w:sz w:val="22"/>
          <w:szCs w:val="22"/>
        </w:rPr>
      </w:pPr>
    </w:p>
    <w:p w:rsidR="00F140E3" w:rsidRDefault="00F140E3" w:rsidP="00F140E3">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la  nómina y cheques que se entreguen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rsidR="00F140E3" w:rsidRDefault="00F140E3" w:rsidP="00F140E3">
      <w:pPr>
        <w:tabs>
          <w:tab w:val="left" w:pos="4962"/>
        </w:tabs>
        <w:spacing w:line="360" w:lineRule="auto"/>
        <w:jc w:val="both"/>
        <w:rPr>
          <w:rFonts w:ascii="Palatino Linotype" w:hAnsi="Palatino Linotype" w:cs="Tahoma"/>
          <w:sz w:val="22"/>
          <w:szCs w:val="22"/>
          <w:lang w:val="es-ES"/>
        </w:rPr>
      </w:pPr>
    </w:p>
    <w:p w:rsidR="00F140E3" w:rsidRPr="00A50EAF" w:rsidRDefault="00F140E3" w:rsidP="00F140E3">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Adicional a lo anterior, </w:t>
      </w:r>
      <w:r>
        <w:rPr>
          <w:rFonts w:ascii="Palatino Linotype" w:hAnsi="Palatino Linotype" w:cs="Tahoma"/>
          <w:bCs/>
          <w:iCs/>
          <w:sz w:val="22"/>
          <w:szCs w:val="22"/>
        </w:rPr>
        <w:t>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rsidR="00F140E3" w:rsidRPr="00A50EAF" w:rsidRDefault="00F140E3" w:rsidP="00F140E3">
      <w:pPr>
        <w:spacing w:line="360" w:lineRule="auto"/>
        <w:ind w:right="-93"/>
        <w:jc w:val="both"/>
        <w:rPr>
          <w:rFonts w:ascii="Palatino Linotype" w:hAnsi="Palatino Linotype" w:cs="Tahoma"/>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w:t>
      </w:r>
      <w:r w:rsidRPr="00A50EAF">
        <w:rPr>
          <w:rFonts w:ascii="Palatino Linotype" w:hAnsi="Palatino Linotype" w:cs="Tahoma"/>
          <w:bCs/>
          <w:iCs/>
          <w:sz w:val="22"/>
          <w:szCs w:val="22"/>
        </w:rPr>
        <w:lastRenderedPageBreak/>
        <w:t>a los principios que rijan el tratamiento de datos, por razones de seguridad nacional, disposiciones de orden público, seguridad y salud públicas o para proteger los derechos de terceros.</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00F140E3" w:rsidRPr="00A50EAF" w:rsidRDefault="00F140E3" w:rsidP="00F140E3">
      <w:pPr>
        <w:spacing w:line="360" w:lineRule="auto"/>
        <w:ind w:right="-93"/>
        <w:jc w:val="both"/>
        <w:rPr>
          <w:rFonts w:ascii="Palatino Linotype" w:hAnsi="Palatino Linotype" w:cs="Tahoma"/>
          <w:bCs/>
          <w:iCs/>
          <w:sz w:val="22"/>
          <w:szCs w:val="22"/>
          <w:lang w:val="es-ES"/>
        </w:rPr>
      </w:pPr>
    </w:p>
    <w:p w:rsidR="00F140E3" w:rsidRPr="00A50EAF" w:rsidRDefault="00F140E3" w:rsidP="00F140E3">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rsidR="00F140E3" w:rsidRPr="00A50EAF" w:rsidRDefault="00F140E3" w:rsidP="00F140E3">
      <w:pPr>
        <w:spacing w:line="360" w:lineRule="auto"/>
        <w:ind w:right="-93"/>
        <w:jc w:val="both"/>
        <w:rPr>
          <w:rFonts w:ascii="Palatino Linotype" w:hAnsi="Palatino Linotype" w:cs="Tahoma"/>
          <w:bCs/>
          <w:iCs/>
          <w:sz w:val="22"/>
          <w:szCs w:val="22"/>
          <w:lang w:val="es-ES"/>
        </w:rPr>
      </w:pPr>
    </w:p>
    <w:p w:rsidR="00F140E3" w:rsidRPr="00A50EAF" w:rsidRDefault="00F140E3" w:rsidP="00F140E3">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rsidR="00F140E3" w:rsidRPr="00A50EAF" w:rsidRDefault="00F140E3" w:rsidP="00F140E3">
      <w:pPr>
        <w:spacing w:line="360" w:lineRule="auto"/>
        <w:ind w:left="360" w:right="-93"/>
        <w:jc w:val="both"/>
        <w:rPr>
          <w:rFonts w:ascii="Palatino Linotype" w:hAnsi="Palatino Linotype" w:cs="Tahoma"/>
          <w:bCs/>
          <w:iCs/>
          <w:szCs w:val="22"/>
        </w:rPr>
      </w:pPr>
    </w:p>
    <w:p w:rsidR="00F140E3" w:rsidRDefault="00F140E3" w:rsidP="00F140E3">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w:t>
      </w:r>
      <w:r w:rsidRPr="00A50EAF">
        <w:rPr>
          <w:rFonts w:ascii="Palatino Linotype" w:hAnsi="Palatino Linotype" w:cs="Tahoma"/>
          <w:bCs/>
          <w:iCs/>
          <w:sz w:val="22"/>
          <w:szCs w:val="22"/>
        </w:rPr>
        <w:lastRenderedPageBreak/>
        <w:t>de identificación fiscal en donde consta la clave que asigna este órgano desconcentrado de la Secretaría de Hacienda y Crédito Público, de acuerdo con el artículo 27 del Código Fiscal de la Federación.</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A50EAF"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Pr="00B738DE" w:rsidRDefault="00F140E3" w:rsidP="00F140E3">
      <w:pPr>
        <w:spacing w:line="360" w:lineRule="auto"/>
        <w:ind w:left="567" w:right="539"/>
        <w:jc w:val="both"/>
        <w:rPr>
          <w:rFonts w:ascii="Palatino Linotype" w:hAnsi="Palatino Linotype" w:cs="Tahoma"/>
          <w:bCs/>
          <w:i/>
          <w:iCs/>
          <w:sz w:val="22"/>
          <w:szCs w:val="22"/>
        </w:rPr>
      </w:pPr>
      <w:r w:rsidRPr="00B738DE">
        <w:rPr>
          <w:rFonts w:ascii="Palatino Linotype" w:hAnsi="Palatino Linotype" w:cs="Tahoma"/>
          <w:bCs/>
          <w:i/>
          <w:iCs/>
          <w:sz w:val="22"/>
          <w:szCs w:val="22"/>
        </w:rPr>
        <w:t>“</w:t>
      </w:r>
      <w:r w:rsidRPr="00B738DE">
        <w:rPr>
          <w:rFonts w:ascii="Palatino Linotype" w:hAnsi="Palatino Linotype" w:cs="Tahoma"/>
          <w:b/>
          <w:bCs/>
          <w:i/>
          <w:iCs/>
          <w:sz w:val="22"/>
          <w:szCs w:val="22"/>
        </w:rPr>
        <w:t>Registro Federal de Contribuyentes (RFC) de personas físicas</w:t>
      </w:r>
      <w:r w:rsidRPr="00B738DE">
        <w:rPr>
          <w:rFonts w:ascii="Palatino Linotype" w:hAnsi="Palatino Linotype" w:cs="Tahoma"/>
          <w:bCs/>
          <w:i/>
          <w:iCs/>
          <w:sz w:val="22"/>
          <w:szCs w:val="22"/>
        </w:rPr>
        <w:t>. El RFC es una clave de carácter fiscal, única e irrepetible, que permite identificar al titular, su edad y fecha de nacimiento, por lo que es un dato personal de carácter confidencial.”</w:t>
      </w:r>
    </w:p>
    <w:p w:rsidR="00F140E3" w:rsidRPr="00A50EAF" w:rsidRDefault="00F140E3" w:rsidP="00F140E3">
      <w:pPr>
        <w:spacing w:line="360" w:lineRule="auto"/>
        <w:ind w:right="-93"/>
        <w:jc w:val="both"/>
        <w:rPr>
          <w:rFonts w:ascii="Palatino Linotype" w:hAnsi="Palatino Linotype" w:cs="Tahoma"/>
          <w:bCs/>
          <w:iCs/>
          <w:sz w:val="22"/>
          <w:szCs w:val="22"/>
        </w:rPr>
      </w:pPr>
    </w:p>
    <w:p w:rsidR="00F140E3" w:rsidRDefault="00F140E3" w:rsidP="00F140E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F140E3" w:rsidRPr="00A50EAF" w:rsidRDefault="00F140E3" w:rsidP="00F140E3">
      <w:pPr>
        <w:pStyle w:val="Prrafodelista"/>
        <w:numPr>
          <w:ilvl w:val="0"/>
          <w:numId w:val="28"/>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F140E3" w:rsidRPr="00A50EAF" w:rsidRDefault="00F140E3" w:rsidP="00F140E3">
      <w:pPr>
        <w:spacing w:line="360" w:lineRule="auto"/>
        <w:contextualSpacing/>
        <w:jc w:val="both"/>
        <w:rPr>
          <w:rFonts w:ascii="Palatino Linotype" w:hAnsi="Palatino Linotype" w:cs="Tahoma"/>
          <w:sz w:val="22"/>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F140E3" w:rsidRPr="00A50EAF" w:rsidRDefault="00F140E3" w:rsidP="00F140E3">
      <w:pPr>
        <w:spacing w:line="360" w:lineRule="auto"/>
        <w:contextualSpacing/>
        <w:jc w:val="both"/>
        <w:rPr>
          <w:rFonts w:ascii="Palatino Linotype" w:hAnsi="Palatino Linotype" w:cs="Tahoma"/>
          <w:sz w:val="22"/>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F140E3" w:rsidRPr="00A50EAF" w:rsidRDefault="00F140E3" w:rsidP="00F140E3">
      <w:pPr>
        <w:spacing w:line="360" w:lineRule="auto"/>
        <w:contextualSpacing/>
        <w:jc w:val="both"/>
        <w:rPr>
          <w:rFonts w:ascii="Palatino Linotype" w:hAnsi="Palatino Linotype" w:cs="Tahoma"/>
          <w:b/>
          <w:sz w:val="22"/>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w:t>
      </w:r>
      <w:r w:rsidRPr="00A50EAF">
        <w:rPr>
          <w:rFonts w:ascii="Palatino Linotype" w:hAnsi="Palatino Linotype" w:cs="Tahoma"/>
          <w:b/>
          <w:sz w:val="22"/>
          <w:szCs w:val="22"/>
          <w:lang w:eastAsia="es-MX"/>
        </w:rPr>
        <w:lastRenderedPageBreak/>
        <w:t xml:space="preserve">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rsidR="00F140E3" w:rsidRPr="00A50EAF" w:rsidRDefault="00F140E3" w:rsidP="00F140E3">
      <w:pPr>
        <w:spacing w:line="360" w:lineRule="auto"/>
        <w:contextualSpacing/>
        <w:jc w:val="both"/>
        <w:rPr>
          <w:rFonts w:ascii="Palatino Linotype" w:hAnsi="Palatino Linotype" w:cs="Tahoma"/>
          <w:sz w:val="22"/>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rsidR="00F140E3" w:rsidRPr="00A50EAF" w:rsidRDefault="00F140E3" w:rsidP="00F140E3">
      <w:pPr>
        <w:spacing w:line="360" w:lineRule="auto"/>
        <w:contextualSpacing/>
        <w:jc w:val="both"/>
        <w:rPr>
          <w:rFonts w:ascii="Palatino Linotype" w:hAnsi="Palatino Linotype" w:cs="Tahoma"/>
          <w:sz w:val="22"/>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rsidR="00F140E3" w:rsidRPr="00A50EAF" w:rsidRDefault="00F140E3" w:rsidP="00F140E3">
      <w:pPr>
        <w:spacing w:line="360" w:lineRule="auto"/>
        <w:contextualSpacing/>
        <w:jc w:val="both"/>
        <w:rPr>
          <w:rFonts w:ascii="Palatino Linotype" w:hAnsi="Palatino Linotype" w:cs="Tahoma"/>
          <w:sz w:val="22"/>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F140E3" w:rsidRPr="00A50EAF" w:rsidRDefault="00F140E3" w:rsidP="00F140E3">
      <w:pPr>
        <w:spacing w:line="360" w:lineRule="auto"/>
        <w:contextualSpacing/>
        <w:jc w:val="both"/>
        <w:rPr>
          <w:rFonts w:ascii="Palatino Linotype" w:hAnsi="Palatino Linotype" w:cs="Tahoma"/>
          <w:sz w:val="22"/>
          <w:szCs w:val="22"/>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rsidR="00F140E3" w:rsidRPr="00A50EAF" w:rsidRDefault="00F140E3" w:rsidP="00F140E3">
      <w:pPr>
        <w:spacing w:line="360" w:lineRule="auto"/>
        <w:contextualSpacing/>
        <w:jc w:val="both"/>
        <w:rPr>
          <w:rFonts w:ascii="Palatino Linotype" w:hAnsi="Palatino Linotype" w:cs="Tahoma"/>
          <w:sz w:val="22"/>
          <w:szCs w:val="22"/>
        </w:rPr>
      </w:pPr>
    </w:p>
    <w:p w:rsidR="00F140E3" w:rsidRPr="00B738DE" w:rsidRDefault="00F140E3" w:rsidP="00F140E3">
      <w:pPr>
        <w:autoSpaceDE w:val="0"/>
        <w:autoSpaceDN w:val="0"/>
        <w:adjustRightInd w:val="0"/>
        <w:spacing w:line="360" w:lineRule="auto"/>
        <w:ind w:left="567" w:right="567"/>
        <w:jc w:val="both"/>
        <w:rPr>
          <w:rFonts w:ascii="Palatino Linotype" w:eastAsia="Calibri" w:hAnsi="Palatino Linotype" w:cs="Tahoma"/>
          <w:i/>
          <w:color w:val="000000"/>
          <w:sz w:val="22"/>
          <w:szCs w:val="22"/>
        </w:rPr>
      </w:pPr>
      <w:r w:rsidRPr="00B738DE">
        <w:rPr>
          <w:rFonts w:ascii="Palatino Linotype" w:eastAsia="Calibri" w:hAnsi="Palatino Linotype" w:cs="Tahoma"/>
          <w:b/>
          <w:bCs/>
          <w:i/>
          <w:color w:val="000000"/>
          <w:sz w:val="22"/>
          <w:szCs w:val="22"/>
        </w:rPr>
        <w:t xml:space="preserve">Clave Única de Registro de Población (CURP) es un dato personal confidencial. </w:t>
      </w:r>
      <w:r w:rsidRPr="00B738DE">
        <w:rPr>
          <w:rFonts w:ascii="Palatino Linotype" w:eastAsia="Calibri" w:hAnsi="Palatino Linotype" w:cs="Tahoma"/>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w:t>
      </w:r>
      <w:r w:rsidRPr="00B738DE">
        <w:rPr>
          <w:rFonts w:ascii="Palatino Linotype" w:eastAsia="Calibri" w:hAnsi="Palatino Linotype" w:cs="Tahoma"/>
          <w:i/>
          <w:color w:val="000000"/>
          <w:sz w:val="22"/>
          <w:szCs w:val="22"/>
        </w:rPr>
        <w:lastRenderedPageBreak/>
        <w:t xml:space="preserve">de nacimiento, y esta es información que lo distingue plenamente del resto de los habitantes, por lo que es de carácter confidencial, en términos de lo dispuesto en el artículos anteriormente señalados. </w:t>
      </w:r>
    </w:p>
    <w:p w:rsidR="00F140E3" w:rsidRPr="00A50EAF" w:rsidRDefault="00F140E3" w:rsidP="00F140E3">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F140E3" w:rsidRPr="00A50EAF" w:rsidRDefault="00F140E3" w:rsidP="00F140E3">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rsidR="00F140E3" w:rsidRPr="00B738DE" w:rsidRDefault="00F140E3" w:rsidP="00F140E3">
      <w:pPr>
        <w:pStyle w:val="Prrafodelista"/>
        <w:spacing w:line="360" w:lineRule="auto"/>
        <w:jc w:val="both"/>
        <w:rPr>
          <w:rFonts w:ascii="Palatino Linotype" w:hAnsi="Palatino Linotype" w:cs="Tahoma"/>
          <w:sz w:val="12"/>
          <w:szCs w:val="22"/>
          <w:lang w:eastAsia="es-MX"/>
        </w:rPr>
      </w:pPr>
    </w:p>
    <w:p w:rsidR="00F140E3" w:rsidRPr="00A50EAF" w:rsidRDefault="00F140E3" w:rsidP="00F140E3">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F140E3" w:rsidRPr="00B738DE" w:rsidRDefault="00F140E3" w:rsidP="00F140E3">
      <w:pPr>
        <w:spacing w:line="360" w:lineRule="auto"/>
        <w:jc w:val="both"/>
        <w:rPr>
          <w:rFonts w:ascii="Palatino Linotype" w:hAnsi="Palatino Linotype" w:cs="Tahoma"/>
          <w:sz w:val="14"/>
          <w:szCs w:val="22"/>
          <w:lang w:eastAsia="es-MX"/>
        </w:rPr>
      </w:pPr>
    </w:p>
    <w:p w:rsidR="00F140E3" w:rsidRPr="00A50EAF" w:rsidRDefault="00F140E3" w:rsidP="00F140E3">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F140E3" w:rsidRPr="00B738DE" w:rsidRDefault="00F140E3" w:rsidP="00F140E3">
      <w:pPr>
        <w:pStyle w:val="Prrafodelista"/>
        <w:spacing w:line="360" w:lineRule="auto"/>
        <w:jc w:val="both"/>
        <w:rPr>
          <w:rFonts w:ascii="Palatino Linotype" w:hAnsi="Palatino Linotype" w:cs="Tahoma"/>
          <w:sz w:val="14"/>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00F140E3" w:rsidRPr="00B738DE" w:rsidRDefault="00F140E3" w:rsidP="00F140E3">
      <w:pPr>
        <w:pStyle w:val="Prrafodelista"/>
        <w:spacing w:line="360" w:lineRule="auto"/>
        <w:jc w:val="both"/>
        <w:rPr>
          <w:rFonts w:ascii="Palatino Linotype" w:hAnsi="Palatino Linotype" w:cs="Tahoma"/>
          <w:sz w:val="14"/>
          <w:szCs w:val="22"/>
          <w:lang w:eastAsia="es-MX"/>
        </w:rPr>
      </w:pPr>
    </w:p>
    <w:p w:rsidR="00F140E3" w:rsidRPr="00A50EAF" w:rsidRDefault="00F140E3" w:rsidP="00F140E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F140E3" w:rsidRPr="00B738DE" w:rsidRDefault="00F140E3" w:rsidP="00F140E3">
      <w:pPr>
        <w:spacing w:line="360" w:lineRule="auto"/>
        <w:contextualSpacing/>
        <w:jc w:val="both"/>
        <w:rPr>
          <w:rFonts w:ascii="Palatino Linotype" w:hAnsi="Palatino Linotype" w:cs="Tahoma"/>
          <w:b/>
          <w:sz w:val="16"/>
          <w:szCs w:val="22"/>
        </w:rPr>
      </w:pPr>
    </w:p>
    <w:p w:rsidR="00F140E3" w:rsidRPr="00BC1085" w:rsidRDefault="00F140E3" w:rsidP="00F140E3">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rsidR="00F140E3" w:rsidRPr="00B738DE" w:rsidRDefault="00F140E3" w:rsidP="00F140E3">
      <w:pPr>
        <w:spacing w:line="360" w:lineRule="auto"/>
        <w:ind w:right="-93"/>
        <w:jc w:val="both"/>
        <w:rPr>
          <w:rFonts w:ascii="Palatino Linotype" w:hAnsi="Palatino Linotype" w:cs="Tahoma"/>
          <w:b/>
          <w:bCs/>
          <w:iCs/>
          <w:sz w:val="12"/>
          <w:szCs w:val="22"/>
        </w:rPr>
      </w:pPr>
    </w:p>
    <w:p w:rsidR="00F140E3" w:rsidRPr="00784DBB" w:rsidRDefault="00F140E3" w:rsidP="00F140E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rsidR="00F140E3" w:rsidRPr="00784DBB" w:rsidRDefault="00F140E3" w:rsidP="00F140E3">
      <w:pPr>
        <w:spacing w:line="360" w:lineRule="auto"/>
        <w:ind w:right="-93"/>
        <w:jc w:val="both"/>
        <w:rPr>
          <w:rFonts w:ascii="Palatino Linotype" w:hAnsi="Palatino Linotype" w:cs="Tahoma"/>
          <w:sz w:val="22"/>
          <w:szCs w:val="22"/>
        </w:rPr>
      </w:pPr>
    </w:p>
    <w:p w:rsidR="00F140E3" w:rsidRPr="00784DBB" w:rsidRDefault="00F140E3" w:rsidP="00F140E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rsidR="00F140E3" w:rsidRPr="00B738DE" w:rsidRDefault="00F140E3" w:rsidP="00F140E3">
      <w:pPr>
        <w:spacing w:line="360" w:lineRule="auto"/>
        <w:ind w:right="-93"/>
        <w:jc w:val="both"/>
        <w:rPr>
          <w:rFonts w:ascii="Palatino Linotype" w:hAnsi="Palatino Linotype" w:cs="Tahoma"/>
          <w:sz w:val="16"/>
          <w:szCs w:val="22"/>
        </w:rPr>
      </w:pPr>
    </w:p>
    <w:p w:rsidR="00F140E3" w:rsidRDefault="00F140E3" w:rsidP="00F140E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rsidR="00F140E3" w:rsidRPr="00B738DE" w:rsidRDefault="00F140E3" w:rsidP="00F140E3">
      <w:pPr>
        <w:spacing w:line="360" w:lineRule="auto"/>
        <w:ind w:right="-93"/>
        <w:jc w:val="both"/>
        <w:rPr>
          <w:rFonts w:ascii="Palatino Linotype" w:hAnsi="Palatino Linotype" w:cs="Tahoma"/>
          <w:sz w:val="14"/>
          <w:szCs w:val="22"/>
        </w:rPr>
      </w:pPr>
    </w:p>
    <w:p w:rsidR="00F140E3" w:rsidRPr="00784DBB" w:rsidRDefault="00F140E3" w:rsidP="00F140E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rsidR="00F140E3" w:rsidRDefault="00F140E3" w:rsidP="00F140E3">
      <w:pPr>
        <w:pStyle w:val="Prrafodelista"/>
        <w:spacing w:line="360" w:lineRule="auto"/>
        <w:ind w:right="-93"/>
        <w:rPr>
          <w:rFonts w:ascii="Palatino Linotype" w:hAnsi="Palatino Linotype" w:cs="Tahoma"/>
          <w:b/>
          <w:sz w:val="14"/>
          <w:szCs w:val="22"/>
        </w:rPr>
      </w:pPr>
    </w:p>
    <w:p w:rsidR="00F140E3" w:rsidRDefault="00F140E3" w:rsidP="00F140E3">
      <w:pPr>
        <w:pStyle w:val="Prrafodelista"/>
        <w:spacing w:line="360" w:lineRule="auto"/>
        <w:ind w:right="-93"/>
        <w:rPr>
          <w:rFonts w:ascii="Palatino Linotype" w:hAnsi="Palatino Linotype" w:cs="Tahoma"/>
          <w:b/>
          <w:sz w:val="14"/>
          <w:szCs w:val="22"/>
        </w:rPr>
      </w:pPr>
    </w:p>
    <w:p w:rsidR="00F140E3" w:rsidRPr="00B738DE" w:rsidRDefault="00F140E3" w:rsidP="00F140E3">
      <w:pPr>
        <w:pStyle w:val="Prrafodelista"/>
        <w:spacing w:line="360" w:lineRule="auto"/>
        <w:ind w:right="-93"/>
        <w:rPr>
          <w:rFonts w:ascii="Palatino Linotype" w:hAnsi="Palatino Linotype" w:cs="Tahoma"/>
          <w:b/>
          <w:sz w:val="14"/>
          <w:szCs w:val="22"/>
        </w:rPr>
      </w:pPr>
    </w:p>
    <w:p w:rsidR="00F140E3" w:rsidRPr="00A50EAF" w:rsidRDefault="00F140E3" w:rsidP="00F140E3">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lastRenderedPageBreak/>
        <w:t>Número de cuenta bancario.</w:t>
      </w:r>
    </w:p>
    <w:p w:rsidR="00F140E3" w:rsidRPr="00B738DE" w:rsidRDefault="00F140E3" w:rsidP="00F140E3">
      <w:pPr>
        <w:spacing w:line="360" w:lineRule="auto"/>
        <w:ind w:right="-93"/>
        <w:jc w:val="both"/>
        <w:rPr>
          <w:rFonts w:ascii="Palatino Linotype" w:hAnsi="Palatino Linotype" w:cs="Tahoma"/>
          <w:sz w:val="16"/>
          <w:szCs w:val="22"/>
        </w:rPr>
      </w:pPr>
    </w:p>
    <w:p w:rsidR="00F140E3" w:rsidRDefault="00F140E3" w:rsidP="00F140E3">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rsidR="00F140E3" w:rsidRDefault="00F140E3" w:rsidP="00F140E3">
      <w:pPr>
        <w:spacing w:line="360" w:lineRule="auto"/>
        <w:contextualSpacing/>
        <w:jc w:val="both"/>
        <w:rPr>
          <w:rFonts w:ascii="Palatino Linotype" w:hAnsi="Palatino Linotype" w:cs="Tahoma"/>
          <w:sz w:val="22"/>
          <w:szCs w:val="22"/>
          <w:lang w:eastAsia="es-MX"/>
        </w:rPr>
      </w:pPr>
    </w:p>
    <w:p w:rsidR="00F140E3" w:rsidRDefault="00F140E3" w:rsidP="00F140E3">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rsidR="00F140E3" w:rsidRPr="005141C6" w:rsidRDefault="00F140E3" w:rsidP="00F140E3">
      <w:pPr>
        <w:shd w:val="clear" w:color="auto" w:fill="FFFFFF" w:themeFill="background1"/>
        <w:spacing w:line="360" w:lineRule="auto"/>
        <w:ind w:left="567" w:right="567"/>
        <w:jc w:val="both"/>
        <w:rPr>
          <w:rFonts w:ascii="Palatino Linotype" w:hAnsi="Palatino Linotype" w:cs="Tahoma"/>
          <w:sz w:val="22"/>
        </w:rPr>
      </w:pPr>
    </w:p>
    <w:p w:rsidR="00F140E3" w:rsidRPr="00B738DE" w:rsidRDefault="00F140E3" w:rsidP="00F140E3">
      <w:pPr>
        <w:shd w:val="clear" w:color="auto" w:fill="FFFFFF" w:themeFill="background1"/>
        <w:spacing w:line="360" w:lineRule="auto"/>
        <w:ind w:left="567" w:right="567"/>
        <w:jc w:val="both"/>
        <w:rPr>
          <w:rFonts w:ascii="Palatino Linotype" w:hAnsi="Palatino Linotype" w:cs="Tahoma"/>
          <w:i/>
          <w:sz w:val="22"/>
          <w:szCs w:val="22"/>
        </w:rPr>
      </w:pPr>
      <w:r w:rsidRPr="00B738DE">
        <w:rPr>
          <w:rFonts w:ascii="Palatino Linotype" w:hAnsi="Palatino Linotype" w:cs="Tahoma"/>
          <w:i/>
          <w:sz w:val="22"/>
          <w:szCs w:val="22"/>
        </w:rPr>
        <w:t>“</w:t>
      </w:r>
      <w:r w:rsidRPr="00B738DE">
        <w:rPr>
          <w:rFonts w:ascii="Palatino Linotype" w:hAnsi="Palatino Linotype" w:cs="Tahoma"/>
          <w:b/>
          <w:i/>
          <w:sz w:val="22"/>
          <w:szCs w:val="22"/>
        </w:rPr>
        <w:t>Cuentas bancarias y/o CLABE interbancaria de personas físicas y morales privadas.</w:t>
      </w:r>
      <w:r w:rsidRPr="00B738DE">
        <w:rPr>
          <w:rFonts w:ascii="Palatino Linotype" w:hAnsi="Palatino Linotype" w:cs="Tahoma"/>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F140E3" w:rsidRDefault="00F140E3" w:rsidP="00F140E3">
      <w:pPr>
        <w:spacing w:line="360" w:lineRule="auto"/>
        <w:contextualSpacing/>
        <w:jc w:val="both"/>
        <w:rPr>
          <w:rFonts w:ascii="Palatino Linotype" w:hAnsi="Palatino Linotype" w:cs="Tahoma"/>
          <w:sz w:val="22"/>
          <w:szCs w:val="22"/>
          <w:lang w:eastAsia="es-MX"/>
        </w:rPr>
      </w:pPr>
    </w:p>
    <w:p w:rsidR="00F140E3" w:rsidRPr="00784DBB" w:rsidRDefault="00F140E3" w:rsidP="00F140E3">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w:t>
      </w:r>
      <w:r>
        <w:rPr>
          <w:rFonts w:ascii="Palatino Linotype" w:hAnsi="Palatino Linotype" w:cs="Tahoma"/>
          <w:sz w:val="22"/>
          <w:szCs w:val="22"/>
          <w:lang w:eastAsia="es-MX"/>
        </w:rPr>
        <w:lastRenderedPageBreak/>
        <w:t xml:space="preserve">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rsidR="00F140E3" w:rsidRDefault="00F140E3" w:rsidP="00F140E3">
      <w:pPr>
        <w:spacing w:line="360" w:lineRule="auto"/>
        <w:contextualSpacing/>
        <w:jc w:val="both"/>
        <w:rPr>
          <w:rFonts w:ascii="Palatino Linotype" w:hAnsi="Palatino Linotype" w:cs="Tahoma"/>
          <w:sz w:val="22"/>
          <w:szCs w:val="22"/>
          <w:lang w:eastAsia="es-MX"/>
        </w:rPr>
      </w:pPr>
    </w:p>
    <w:p w:rsidR="00F140E3" w:rsidRPr="00160AAF" w:rsidRDefault="00F140E3" w:rsidP="00F140E3">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rsidR="00F140E3" w:rsidRDefault="00F140E3" w:rsidP="00F140E3">
      <w:pPr>
        <w:tabs>
          <w:tab w:val="left" w:pos="4962"/>
        </w:tabs>
        <w:spacing w:line="360" w:lineRule="auto"/>
        <w:jc w:val="both"/>
        <w:rPr>
          <w:rFonts w:ascii="Palatino Linotype" w:eastAsia="Calibri" w:hAnsi="Palatino Linotype" w:cs="Tahoma"/>
          <w:bCs/>
          <w:sz w:val="22"/>
          <w:szCs w:val="22"/>
          <w:lang w:eastAsia="en-US"/>
        </w:rPr>
      </w:pPr>
    </w:p>
    <w:p w:rsidR="00F140E3" w:rsidRDefault="00F140E3" w:rsidP="00F140E3">
      <w:pPr>
        <w:spacing w:line="360" w:lineRule="auto"/>
        <w:ind w:right="-93"/>
        <w:jc w:val="both"/>
        <w:rPr>
          <w:rFonts w:ascii="Palatino Linotype" w:hAnsi="Palatino Linotype" w:cs="Tahoma"/>
          <w:bCs/>
          <w:sz w:val="22"/>
          <w:szCs w:val="22"/>
        </w:rPr>
      </w:pPr>
      <w:r w:rsidRPr="001E0D8F">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1E0D8F">
        <w:rPr>
          <w:rFonts w:ascii="Palatino Linotype" w:hAnsi="Palatino Linotype" w:cs="Tahoma"/>
          <w:b/>
          <w:sz w:val="22"/>
          <w:szCs w:val="22"/>
        </w:rPr>
        <w:t xml:space="preserve">ORDENAR </w:t>
      </w:r>
      <w:r w:rsidRPr="001E0D8F">
        <w:rPr>
          <w:rFonts w:ascii="Palatino Linotype" w:hAnsi="Palatino Linotype" w:cs="Tahoma"/>
          <w:sz w:val="22"/>
          <w:szCs w:val="22"/>
        </w:rPr>
        <w:t xml:space="preserve">al Ayuntamiento </w:t>
      </w:r>
      <w:r>
        <w:rPr>
          <w:rFonts w:ascii="Palatino Linotype" w:hAnsi="Palatino Linotype" w:cs="Tahoma"/>
          <w:sz w:val="22"/>
          <w:szCs w:val="22"/>
        </w:rPr>
        <w:t>Tonatico</w:t>
      </w:r>
      <w:r w:rsidRPr="001E0D8F">
        <w:rPr>
          <w:rFonts w:ascii="Palatino Linotype" w:hAnsi="Palatino Linotype" w:cs="Tahoma"/>
          <w:sz w:val="22"/>
          <w:szCs w:val="22"/>
        </w:rPr>
        <w:t xml:space="preserve">, previa búsqueda exhaustiva </w:t>
      </w:r>
      <w:r>
        <w:rPr>
          <w:rFonts w:ascii="Palatino Linotype" w:hAnsi="Palatino Linotype" w:cs="Tahoma"/>
          <w:sz w:val="22"/>
          <w:szCs w:val="22"/>
        </w:rPr>
        <w:t xml:space="preserve">y razonable </w:t>
      </w:r>
      <w:r w:rsidRPr="001E0D8F">
        <w:rPr>
          <w:rFonts w:ascii="Palatino Linotype" w:hAnsi="Palatino Linotype" w:cs="Tahoma"/>
          <w:sz w:val="22"/>
          <w:szCs w:val="22"/>
        </w:rPr>
        <w:t>en todas las áreas competentes</w:t>
      </w:r>
      <w:r>
        <w:rPr>
          <w:rFonts w:ascii="Palatino Linotype" w:hAnsi="Palatino Linotype" w:cs="Tahoma"/>
          <w:bCs/>
          <w:sz w:val="22"/>
          <w:szCs w:val="22"/>
        </w:rPr>
        <w:t xml:space="preserve"> y haga entrega vía Sistema de Acceso a la Información Mexiquense de ser procedente en versión pública, correspondiente a la segunda quincena del mes de febrero de dos mil diecinueve lo siguiente:</w:t>
      </w:r>
    </w:p>
    <w:p w:rsidR="00F140E3" w:rsidRDefault="00F140E3" w:rsidP="00F140E3">
      <w:pPr>
        <w:spacing w:line="360" w:lineRule="auto"/>
        <w:ind w:right="-93"/>
        <w:jc w:val="both"/>
        <w:rPr>
          <w:rFonts w:ascii="Palatino Linotype" w:hAnsi="Palatino Linotype" w:cs="Tahoma"/>
          <w:bCs/>
          <w:sz w:val="22"/>
          <w:szCs w:val="22"/>
        </w:rPr>
      </w:pPr>
    </w:p>
    <w:p w:rsidR="00F140E3" w:rsidRPr="00BC1085" w:rsidRDefault="00F140E3" w:rsidP="00F140E3">
      <w:pPr>
        <w:pStyle w:val="Prrafodelista"/>
        <w:numPr>
          <w:ilvl w:val="0"/>
          <w:numId w:val="35"/>
        </w:numPr>
        <w:spacing w:line="360" w:lineRule="auto"/>
        <w:ind w:right="-93"/>
        <w:jc w:val="both"/>
        <w:rPr>
          <w:rFonts w:ascii="Palatino Linotype" w:hAnsi="Palatino Linotype" w:cs="Tahoma"/>
          <w:bCs/>
          <w:szCs w:val="22"/>
        </w:rPr>
      </w:pPr>
      <w:r w:rsidRPr="00BC1085">
        <w:rPr>
          <w:rFonts w:ascii="Palatino Linotype" w:hAnsi="Palatino Linotype" w:cs="Tahoma"/>
          <w:bCs/>
          <w:szCs w:val="22"/>
        </w:rPr>
        <w:t>La nómina</w:t>
      </w:r>
      <w:r>
        <w:rPr>
          <w:rFonts w:ascii="Palatino Linotype" w:hAnsi="Palatino Linotype" w:cs="Tahoma"/>
          <w:bCs/>
          <w:szCs w:val="22"/>
        </w:rPr>
        <w:t xml:space="preserve"> general</w:t>
      </w:r>
      <w:r w:rsidRPr="00BC1085">
        <w:rPr>
          <w:rFonts w:ascii="Palatino Linotype" w:hAnsi="Palatino Linotype" w:cs="Tahoma"/>
          <w:bCs/>
          <w:szCs w:val="22"/>
        </w:rPr>
        <w:t>.</w:t>
      </w:r>
    </w:p>
    <w:p w:rsidR="00F140E3" w:rsidRDefault="00F140E3" w:rsidP="00F140E3">
      <w:pPr>
        <w:pStyle w:val="Prrafodelista"/>
        <w:numPr>
          <w:ilvl w:val="0"/>
          <w:numId w:val="35"/>
        </w:numPr>
        <w:spacing w:line="360" w:lineRule="auto"/>
        <w:ind w:right="-93"/>
        <w:jc w:val="both"/>
        <w:rPr>
          <w:rFonts w:ascii="Palatino Linotype" w:hAnsi="Palatino Linotype" w:cs="Tahoma"/>
          <w:bCs/>
          <w:szCs w:val="22"/>
        </w:rPr>
      </w:pPr>
      <w:r w:rsidRPr="00C5640E">
        <w:rPr>
          <w:rFonts w:ascii="Palatino Linotype" w:hAnsi="Palatino Linotype" w:cs="Tahoma"/>
          <w:bCs/>
          <w:szCs w:val="22"/>
        </w:rPr>
        <w:t>Asimismo, deberá entregar en caso de que se generen el documento o documentos en donde conste cualquier tipo de sobre sueldo y</w:t>
      </w:r>
      <w:r>
        <w:rPr>
          <w:rFonts w:ascii="Palatino Linotype" w:hAnsi="Palatino Linotype" w:cs="Tahoma"/>
          <w:bCs/>
          <w:szCs w:val="22"/>
        </w:rPr>
        <w:t>/o Lista de Raya</w:t>
      </w:r>
      <w:r w:rsidRPr="00C5640E">
        <w:rPr>
          <w:rFonts w:ascii="Palatino Linotype" w:hAnsi="Palatino Linotype" w:cs="Tahoma"/>
          <w:bCs/>
          <w:szCs w:val="22"/>
        </w:rPr>
        <w:t xml:space="preserve">. </w:t>
      </w:r>
    </w:p>
    <w:p w:rsidR="00F140E3" w:rsidRDefault="00F140E3" w:rsidP="00F140E3">
      <w:pPr>
        <w:pStyle w:val="Prrafodelista"/>
        <w:numPr>
          <w:ilvl w:val="0"/>
          <w:numId w:val="35"/>
        </w:numPr>
        <w:spacing w:line="360" w:lineRule="auto"/>
        <w:ind w:right="-93"/>
        <w:jc w:val="both"/>
        <w:rPr>
          <w:rFonts w:ascii="Palatino Linotype" w:hAnsi="Palatino Linotype" w:cs="Tahoma"/>
          <w:bCs/>
          <w:szCs w:val="22"/>
        </w:rPr>
      </w:pPr>
      <w:r>
        <w:rPr>
          <w:rFonts w:ascii="Palatino Linotype" w:hAnsi="Palatino Linotype" w:cs="Tahoma"/>
          <w:bCs/>
          <w:szCs w:val="22"/>
        </w:rPr>
        <w:t>El o los documentos donde conste el pago de nómina y/o lista de raya, realizado con cheque.</w:t>
      </w:r>
    </w:p>
    <w:p w:rsidR="00F140E3" w:rsidRDefault="00F140E3" w:rsidP="00F140E3">
      <w:pPr>
        <w:pStyle w:val="Prrafodelista"/>
        <w:numPr>
          <w:ilvl w:val="0"/>
          <w:numId w:val="35"/>
        </w:numPr>
        <w:spacing w:line="360" w:lineRule="auto"/>
        <w:ind w:right="-93"/>
        <w:jc w:val="both"/>
        <w:rPr>
          <w:rFonts w:ascii="Palatino Linotype" w:hAnsi="Palatino Linotype" w:cs="Tahoma"/>
          <w:bCs/>
          <w:szCs w:val="22"/>
        </w:rPr>
      </w:pPr>
      <w:r>
        <w:rPr>
          <w:rFonts w:ascii="Palatino Linotype" w:hAnsi="Palatino Linotype" w:cs="Tahoma"/>
          <w:bCs/>
          <w:szCs w:val="22"/>
        </w:rPr>
        <w:t>El o los documentos donde conste el pago de nómina y/o lista de raya realizado con cheque a los servidores públicos de la Dirección de Seguridad Pública y de la Unidad de Protección Civil a través del</w:t>
      </w:r>
      <w:r>
        <w:rPr>
          <w:rFonts w:ascii="Palatino Linotype" w:hAnsi="Palatino Linotype" w:cs="Tahoma"/>
          <w:szCs w:val="22"/>
          <w:lang w:val="es-ES"/>
        </w:rPr>
        <w:t xml:space="preserve"> Fondo </w:t>
      </w:r>
      <w:r w:rsidRPr="00E42105">
        <w:rPr>
          <w:rFonts w:ascii="Palatino Linotype" w:hAnsi="Palatino Linotype" w:cs="Tahoma"/>
          <w:szCs w:val="22"/>
          <w:lang w:val="es-ES"/>
        </w:rPr>
        <w:t>de Aportaciones para el Fortalecimiento de los Municipios y de las Demarcaciones Territoriales del Distrito Federal</w:t>
      </w:r>
      <w:r>
        <w:rPr>
          <w:rFonts w:ascii="Palatino Linotype" w:hAnsi="Palatino Linotype" w:cs="Tahoma"/>
          <w:bCs/>
          <w:szCs w:val="22"/>
        </w:rPr>
        <w:t>.</w:t>
      </w:r>
    </w:p>
    <w:p w:rsidR="00F140E3" w:rsidRPr="005768F0" w:rsidRDefault="00F140E3" w:rsidP="00F140E3">
      <w:pPr>
        <w:pStyle w:val="Prrafodelista"/>
        <w:numPr>
          <w:ilvl w:val="0"/>
          <w:numId w:val="35"/>
        </w:numPr>
        <w:spacing w:line="360" w:lineRule="auto"/>
        <w:ind w:right="-93"/>
        <w:jc w:val="both"/>
        <w:rPr>
          <w:rFonts w:ascii="Palatino Linotype" w:hAnsi="Palatino Linotype" w:cs="Tahoma"/>
          <w:bCs/>
          <w:szCs w:val="22"/>
        </w:rPr>
      </w:pPr>
      <w:r>
        <w:rPr>
          <w:rFonts w:ascii="Palatino Linotype" w:hAnsi="Palatino Linotype" w:cs="Tahoma"/>
          <w:szCs w:val="22"/>
          <w:lang w:val="es-ES"/>
        </w:rPr>
        <w:t xml:space="preserve">Formato de Dispersión de nómina con recursos del Fondo </w:t>
      </w:r>
      <w:r w:rsidRPr="00E42105">
        <w:rPr>
          <w:rFonts w:ascii="Palatino Linotype" w:hAnsi="Palatino Linotype" w:cs="Tahoma"/>
          <w:szCs w:val="22"/>
          <w:lang w:val="es-ES"/>
        </w:rPr>
        <w:t>de Aportaciones para el Fortalecimiento de los Municipios y de las Demarcaciones Territoriales del Distrito Federal</w:t>
      </w:r>
    </w:p>
    <w:p w:rsidR="00F140E3" w:rsidRPr="00992B6C" w:rsidRDefault="00F140E3" w:rsidP="00F140E3">
      <w:pPr>
        <w:pStyle w:val="Prrafodelista"/>
        <w:numPr>
          <w:ilvl w:val="0"/>
          <w:numId w:val="35"/>
        </w:numPr>
        <w:spacing w:line="360" w:lineRule="auto"/>
        <w:ind w:right="-93"/>
        <w:jc w:val="both"/>
        <w:rPr>
          <w:rFonts w:ascii="Palatino Linotype" w:hAnsi="Palatino Linotype" w:cs="Tahoma"/>
          <w:bCs/>
          <w:szCs w:val="22"/>
        </w:rPr>
      </w:pPr>
      <w:r>
        <w:rPr>
          <w:rFonts w:ascii="Palatino Linotype" w:hAnsi="Palatino Linotype" w:cs="Tahoma"/>
          <w:szCs w:val="22"/>
          <w:lang w:val="es-ES"/>
        </w:rPr>
        <w:t>Formatos de Dispersión de nómina con recursos del Ayuntamiento</w:t>
      </w:r>
    </w:p>
    <w:p w:rsidR="00F140E3" w:rsidRDefault="00F140E3" w:rsidP="00F140E3">
      <w:pPr>
        <w:tabs>
          <w:tab w:val="left" w:pos="1357"/>
        </w:tabs>
        <w:spacing w:line="360" w:lineRule="auto"/>
        <w:ind w:right="-93"/>
        <w:jc w:val="both"/>
        <w:rPr>
          <w:rFonts w:ascii="Palatino Linotype" w:hAnsi="Palatino Linotype" w:cs="Tahoma"/>
          <w:bCs/>
          <w:sz w:val="22"/>
          <w:szCs w:val="22"/>
        </w:rPr>
      </w:pPr>
    </w:p>
    <w:p w:rsidR="00F140E3" w:rsidRDefault="00F140E3" w:rsidP="00F140E3">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lastRenderedPageBreak/>
        <w:t>Para el caso de que el Sujeto Obligado no haya generado la información relativa a</w:t>
      </w:r>
      <w:r>
        <w:rPr>
          <w:rFonts w:ascii="Palatino Linotype" w:hAnsi="Palatino Linotype" w:cs="Tahoma"/>
          <w:sz w:val="22"/>
          <w:szCs w:val="22"/>
          <w:lang w:val="es-ES"/>
        </w:rPr>
        <w:t xml:space="preserve"> </w:t>
      </w:r>
      <w:r w:rsidRPr="004C0D3A">
        <w:rPr>
          <w:rFonts w:ascii="Palatino Linotype" w:hAnsi="Palatino Linotype" w:cs="Tahoma"/>
          <w:sz w:val="22"/>
          <w:szCs w:val="22"/>
          <w:lang w:val="es-ES"/>
        </w:rPr>
        <w:t>l</w:t>
      </w:r>
      <w:r>
        <w:rPr>
          <w:rFonts w:ascii="Palatino Linotype" w:hAnsi="Palatino Linotype" w:cs="Tahoma"/>
          <w:sz w:val="22"/>
          <w:szCs w:val="22"/>
          <w:lang w:val="es-ES"/>
        </w:rPr>
        <w:t>os</w:t>
      </w:r>
      <w:r w:rsidRPr="004C0D3A">
        <w:rPr>
          <w:rFonts w:ascii="Palatino Linotype" w:hAnsi="Palatino Linotype" w:cs="Tahoma"/>
          <w:sz w:val="22"/>
          <w:szCs w:val="22"/>
          <w:lang w:val="es-ES"/>
        </w:rPr>
        <w:t xml:space="preserve"> punto</w:t>
      </w:r>
      <w:r>
        <w:rPr>
          <w:rFonts w:ascii="Palatino Linotype" w:hAnsi="Palatino Linotype" w:cs="Tahoma"/>
          <w:sz w:val="22"/>
          <w:szCs w:val="22"/>
          <w:lang w:val="es-ES"/>
        </w:rPr>
        <w:t>s</w:t>
      </w:r>
      <w:r w:rsidRPr="004C0D3A">
        <w:rPr>
          <w:rFonts w:ascii="Palatino Linotype" w:hAnsi="Palatino Linotype" w:cs="Tahoma"/>
          <w:sz w:val="22"/>
          <w:szCs w:val="22"/>
          <w:lang w:val="es-ES"/>
        </w:rPr>
        <w:t xml:space="preserve"> </w:t>
      </w:r>
      <w:r>
        <w:rPr>
          <w:rFonts w:ascii="Palatino Linotype" w:hAnsi="Palatino Linotype" w:cs="Tahoma"/>
          <w:sz w:val="22"/>
          <w:szCs w:val="22"/>
          <w:lang w:val="es-ES"/>
        </w:rPr>
        <w:t>2, 3, 4 y 5 bastará</w:t>
      </w:r>
      <w:r w:rsidRPr="006D58CC">
        <w:rPr>
          <w:rFonts w:ascii="Palatino Linotype" w:hAnsi="Palatino Linotype" w:cs="Tahoma"/>
          <w:sz w:val="22"/>
          <w:szCs w:val="22"/>
          <w:lang w:val="es-ES"/>
        </w:rPr>
        <w:t xml:space="preserve"> con que así lo indique al Recurrente, en términos del artículo 19, párrafo segundo de la Ley de Transparencia y Acceso a la Información Pública del Estado de México y Municipios.</w:t>
      </w:r>
    </w:p>
    <w:p w:rsidR="00F140E3" w:rsidRPr="004C0D3A" w:rsidRDefault="00F140E3" w:rsidP="00F140E3">
      <w:pPr>
        <w:spacing w:line="360" w:lineRule="auto"/>
        <w:ind w:right="-93"/>
        <w:jc w:val="both"/>
        <w:rPr>
          <w:rFonts w:ascii="Palatino Linotype" w:hAnsi="Palatino Linotype" w:cs="Tahoma"/>
          <w:sz w:val="22"/>
          <w:szCs w:val="22"/>
          <w:lang w:val="es-ES"/>
        </w:rPr>
      </w:pPr>
    </w:p>
    <w:p w:rsidR="00F140E3" w:rsidRDefault="00F140E3" w:rsidP="00F140E3">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Junto con la documentación </w:t>
      </w:r>
      <w:r>
        <w:rPr>
          <w:rFonts w:ascii="Palatino Linotype" w:hAnsi="Palatino Linotype" w:cs="Tahoma"/>
          <w:sz w:val="22"/>
          <w:szCs w:val="22"/>
          <w:lang w:val="es-ES"/>
        </w:rPr>
        <w:t xml:space="preserve">que se entregue en versión pública, </w:t>
      </w:r>
      <w:r w:rsidRPr="004C0D3A">
        <w:rPr>
          <w:rFonts w:ascii="Palatino Linotype" w:hAnsi="Palatino Linotype" w:cs="Tahoma"/>
          <w:sz w:val="22"/>
          <w:szCs w:val="22"/>
          <w:lang w:val="es-ES"/>
        </w:rPr>
        <w:t>se deberá entregar el Acuerdo del Comité de Transparencia mediante el cual se funde y motive la eliminación de la información reservada y confidencial, en términos de</w:t>
      </w:r>
      <w:r>
        <w:rPr>
          <w:rFonts w:ascii="Palatino Linotype" w:hAnsi="Palatino Linotype" w:cs="Tahoma"/>
          <w:sz w:val="22"/>
          <w:szCs w:val="22"/>
          <w:lang w:val="es-ES"/>
        </w:rPr>
        <w:t xml:space="preserve"> </w:t>
      </w:r>
      <w:r w:rsidRPr="004C0D3A">
        <w:rPr>
          <w:rFonts w:ascii="Palatino Linotype" w:hAnsi="Palatino Linotype" w:cs="Tahoma"/>
          <w:sz w:val="22"/>
          <w:szCs w:val="22"/>
          <w:lang w:val="es-ES"/>
        </w:rPr>
        <w:t>l</w:t>
      </w:r>
      <w:r>
        <w:rPr>
          <w:rFonts w:ascii="Palatino Linotype" w:hAnsi="Palatino Linotype" w:cs="Tahoma"/>
          <w:sz w:val="22"/>
          <w:szCs w:val="22"/>
          <w:lang w:val="es-ES"/>
        </w:rPr>
        <w:t>os</w:t>
      </w:r>
      <w:r w:rsidRPr="004C0D3A">
        <w:rPr>
          <w:rFonts w:ascii="Palatino Linotype" w:hAnsi="Palatino Linotype" w:cs="Tahoma"/>
          <w:sz w:val="22"/>
          <w:szCs w:val="22"/>
          <w:lang w:val="es-ES"/>
        </w:rPr>
        <w:t xml:space="preserve"> artículo</w:t>
      </w:r>
      <w:r>
        <w:rPr>
          <w:rFonts w:ascii="Palatino Linotype" w:hAnsi="Palatino Linotype" w:cs="Tahoma"/>
          <w:sz w:val="22"/>
          <w:szCs w:val="22"/>
          <w:lang w:val="es-ES"/>
        </w:rPr>
        <w:t>s</w:t>
      </w:r>
      <w:r w:rsidRPr="004C0D3A">
        <w:rPr>
          <w:rFonts w:ascii="Palatino Linotype" w:hAnsi="Palatino Linotype" w:cs="Tahoma"/>
          <w:sz w:val="22"/>
          <w:szCs w:val="22"/>
          <w:lang w:val="es-ES"/>
        </w:rPr>
        <w:t xml:space="preserve"> 140, fracción IV y 143, fracción I de la Ley de Transparencia y Acceso a la Información Pública del Estado de México y Municipios.</w:t>
      </w:r>
    </w:p>
    <w:p w:rsidR="00F140E3" w:rsidRDefault="00F140E3" w:rsidP="00F140E3">
      <w:pPr>
        <w:spacing w:line="360" w:lineRule="auto"/>
        <w:ind w:right="-93"/>
        <w:jc w:val="both"/>
        <w:rPr>
          <w:rFonts w:ascii="Palatino Linotype" w:hAnsi="Palatino Linotype" w:cs="Tahoma"/>
          <w:sz w:val="22"/>
          <w:szCs w:val="22"/>
          <w:lang w:val="es-ES"/>
        </w:rPr>
      </w:pPr>
    </w:p>
    <w:p w:rsidR="00F140E3" w:rsidRDefault="00F140E3" w:rsidP="00F140E3">
      <w:pPr>
        <w:spacing w:line="360" w:lineRule="auto"/>
        <w:ind w:right="-93"/>
        <w:jc w:val="both"/>
        <w:rPr>
          <w:rFonts w:ascii="Palatino Linotype" w:hAnsi="Palatino Linotype" w:cs="Tahoma"/>
          <w:b/>
          <w:sz w:val="22"/>
          <w:szCs w:val="22"/>
        </w:rPr>
      </w:pPr>
    </w:p>
    <w:p w:rsidR="00F140E3" w:rsidRPr="001E0D8F" w:rsidRDefault="00F140E3" w:rsidP="00F140E3">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 xml:space="preserve">Vista a la Contraloría Interna y </w:t>
      </w:r>
      <w:r w:rsidRPr="001E0D8F">
        <w:rPr>
          <w:rFonts w:ascii="Palatino Linotype" w:eastAsia="Calibri" w:hAnsi="Palatino Linotype" w:cs="Tahoma"/>
          <w:b/>
          <w:bCs/>
          <w:sz w:val="22"/>
          <w:szCs w:val="22"/>
          <w:lang w:val="es-ES_tradnl" w:eastAsia="en-US"/>
        </w:rPr>
        <w:t>Órgano de Control y Vigilancia</w:t>
      </w:r>
      <w:r w:rsidRPr="001E0D8F">
        <w:rPr>
          <w:rFonts w:ascii="Palatino Linotype" w:hAnsi="Palatino Linotype" w:cs="Tahoma"/>
          <w:b/>
          <w:sz w:val="22"/>
          <w:szCs w:val="22"/>
        </w:rPr>
        <w:t xml:space="preserve">. </w:t>
      </w:r>
    </w:p>
    <w:p w:rsidR="00F140E3" w:rsidRPr="001E0D8F" w:rsidRDefault="00F140E3" w:rsidP="00F140E3">
      <w:pPr>
        <w:spacing w:line="360" w:lineRule="auto"/>
        <w:ind w:right="-93"/>
        <w:jc w:val="both"/>
        <w:rPr>
          <w:rFonts w:ascii="Palatino Linotype" w:hAnsi="Palatino Linotype" w:cs="Tahoma"/>
          <w:b/>
          <w:sz w:val="22"/>
          <w:szCs w:val="22"/>
        </w:rPr>
      </w:pPr>
    </w:p>
    <w:p w:rsidR="00F140E3" w:rsidRPr="001E0D8F" w:rsidRDefault="00F140E3" w:rsidP="00F140E3">
      <w:pPr>
        <w:spacing w:line="360" w:lineRule="auto"/>
        <w:ind w:right="-93"/>
        <w:jc w:val="both"/>
        <w:rPr>
          <w:rFonts w:ascii="Palatino Linotype" w:hAnsi="Palatino Linotype" w:cs="Tahoma"/>
          <w:sz w:val="22"/>
          <w:szCs w:val="22"/>
        </w:rPr>
      </w:pPr>
      <w:r w:rsidRPr="001E0D8F">
        <w:rPr>
          <w:rFonts w:ascii="Palatino Linotype" w:hAnsi="Palatino Linotype" w:cs="Tahoma"/>
          <w:sz w:val="22"/>
          <w:szCs w:val="22"/>
        </w:rPr>
        <w:t xml:space="preserve">En el caso en estudio, ha quedado acreditado que el Ayuntamiento de </w:t>
      </w:r>
      <w:r>
        <w:rPr>
          <w:rFonts w:ascii="Palatino Linotype" w:hAnsi="Palatino Linotype" w:cs="Tahoma"/>
          <w:sz w:val="22"/>
          <w:szCs w:val="22"/>
        </w:rPr>
        <w:t>Tonatico</w:t>
      </w:r>
      <w:r w:rsidRPr="001E0D8F">
        <w:rPr>
          <w:rFonts w:ascii="Palatino Linotype" w:hAnsi="Palatino Linotype" w:cs="Tahoma"/>
          <w:sz w:val="22"/>
          <w:szCs w:val="22"/>
        </w:rPr>
        <w:t xml:space="preserve"> no emitió respuesta en el plazo señalado en el artículo 163 de la Ley de Transparencia y Acceso a la Información Pública del Estado de México y Municipios.</w:t>
      </w:r>
    </w:p>
    <w:p w:rsidR="00F140E3" w:rsidRPr="001E0D8F" w:rsidRDefault="00F140E3" w:rsidP="00F140E3">
      <w:pPr>
        <w:spacing w:line="360" w:lineRule="auto"/>
        <w:ind w:right="-93"/>
        <w:jc w:val="both"/>
        <w:rPr>
          <w:rFonts w:ascii="Palatino Linotype" w:hAnsi="Palatino Linotype" w:cs="Tahoma"/>
          <w:sz w:val="22"/>
          <w:szCs w:val="22"/>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 en la Ley de la materia, entre otras conductas, la falta de respuesta a las solicitudes de información en los plazos señalados, a saber, dentro de los quince días siguientes a la presentación del requerimiento.</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 la Contraloría Interna, con el fin </w:t>
      </w:r>
      <w:r w:rsidRPr="001E0D8F">
        <w:rPr>
          <w:rFonts w:ascii="Palatino Linotype" w:eastAsia="Calibri" w:hAnsi="Palatino Linotype" w:cs="Tahoma"/>
          <w:bCs/>
          <w:sz w:val="22"/>
          <w:szCs w:val="22"/>
          <w:lang w:eastAsia="en-US"/>
        </w:rPr>
        <w:lastRenderedPageBreak/>
        <w:t>de que determine el grado de responsabilidad de los servidores públicos que incumplan con las obligaciones establecidas en la Ley.</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lo expuesto y fundado, este Pleno:</w:t>
      </w:r>
    </w:p>
    <w:p w:rsidR="00F140E3" w:rsidRPr="001E0D8F" w:rsidRDefault="00F140E3" w:rsidP="00F140E3">
      <w:pPr>
        <w:spacing w:line="360" w:lineRule="auto"/>
        <w:ind w:right="-93"/>
        <w:jc w:val="both"/>
        <w:rPr>
          <w:rFonts w:ascii="Palatino Linotype" w:eastAsia="Calibri" w:hAnsi="Palatino Linotype" w:cs="Tahoma"/>
          <w:bCs/>
          <w:sz w:val="22"/>
          <w:szCs w:val="22"/>
          <w:lang w:eastAsia="en-US"/>
        </w:rPr>
      </w:pPr>
    </w:p>
    <w:p w:rsidR="00F140E3" w:rsidRPr="00F92F8E" w:rsidRDefault="00F140E3" w:rsidP="00F140E3">
      <w:pPr>
        <w:spacing w:before="240" w:line="360" w:lineRule="auto"/>
        <w:jc w:val="center"/>
        <w:rPr>
          <w:rFonts w:ascii="Palatino Linotype" w:hAnsi="Palatino Linotype"/>
          <w:b/>
          <w:bCs/>
          <w:spacing w:val="60"/>
          <w:sz w:val="28"/>
          <w:lang w:val="es-ES_tradnl"/>
        </w:rPr>
      </w:pPr>
      <w:r w:rsidRPr="00F92F8E">
        <w:rPr>
          <w:rFonts w:ascii="Palatino Linotype" w:hAnsi="Palatino Linotype"/>
          <w:b/>
          <w:bCs/>
          <w:spacing w:val="60"/>
          <w:sz w:val="28"/>
          <w:lang w:val="es-ES_tradnl"/>
        </w:rPr>
        <w:t>SE    RESUELVE</w:t>
      </w:r>
    </w:p>
    <w:p w:rsidR="00F140E3" w:rsidRPr="001E0D8F" w:rsidRDefault="00F140E3" w:rsidP="00F140E3">
      <w:pPr>
        <w:spacing w:line="360" w:lineRule="auto"/>
        <w:ind w:right="-93"/>
        <w:rPr>
          <w:rFonts w:ascii="Palatino Linotype" w:eastAsia="Calibri" w:hAnsi="Palatino Linotype" w:cs="Tahoma"/>
          <w:b/>
          <w:bCs/>
          <w:sz w:val="22"/>
          <w:szCs w:val="22"/>
          <w:lang w:eastAsia="en-US"/>
        </w:rPr>
      </w:pPr>
    </w:p>
    <w:p w:rsidR="00F140E3" w:rsidRPr="001E0D8F" w:rsidRDefault="00F140E3" w:rsidP="00F140E3">
      <w:pPr>
        <w:shd w:val="clear" w:color="auto" w:fill="FFFFFF" w:themeFill="background1"/>
        <w:spacing w:line="360" w:lineRule="auto"/>
        <w:jc w:val="both"/>
        <w:rPr>
          <w:rFonts w:ascii="Palatino Linotype" w:eastAsia="Calibri" w:hAnsi="Palatino Linotype" w:cs="Tahoma"/>
          <w:bCs/>
          <w:sz w:val="22"/>
          <w:szCs w:val="22"/>
          <w:lang w:eastAsia="en-US"/>
        </w:rPr>
      </w:pPr>
      <w:r w:rsidRPr="001E0D8F">
        <w:rPr>
          <w:rFonts w:ascii="Palatino Linotype" w:eastAsia="Calibri" w:hAnsi="Palatino Linotype" w:cs="Tahoma"/>
          <w:b/>
          <w:bCs/>
          <w:sz w:val="22"/>
          <w:szCs w:val="22"/>
          <w:lang w:eastAsia="en-US"/>
        </w:rPr>
        <w:t xml:space="preserve">PRIMERO. </w:t>
      </w:r>
      <w:r w:rsidRPr="001E0D8F">
        <w:rPr>
          <w:rFonts w:ascii="Palatino Linotype" w:eastAsia="Calibri" w:hAnsi="Palatino Linotype" w:cs="Tahoma"/>
          <w:bCs/>
          <w:sz w:val="22"/>
          <w:szCs w:val="22"/>
          <w:lang w:eastAsia="en-US"/>
        </w:rPr>
        <w:t xml:space="preserve">Resultan </w:t>
      </w:r>
      <w:r w:rsidRPr="001E0D8F">
        <w:rPr>
          <w:rFonts w:ascii="Palatino Linotype" w:eastAsia="Calibri" w:hAnsi="Palatino Linotype" w:cs="Tahoma"/>
          <w:b/>
          <w:bCs/>
          <w:sz w:val="22"/>
          <w:szCs w:val="22"/>
          <w:lang w:eastAsia="en-US"/>
        </w:rPr>
        <w:t>FUNDADAS</w:t>
      </w:r>
      <w:r w:rsidRPr="001E0D8F">
        <w:rPr>
          <w:rFonts w:ascii="Palatino Linotype" w:eastAsia="Calibri" w:hAnsi="Palatino Linotype" w:cs="Tahoma"/>
          <w:bCs/>
          <w:sz w:val="22"/>
          <w:szCs w:val="22"/>
          <w:lang w:eastAsia="en-US"/>
        </w:rPr>
        <w:t xml:space="preserve"> las razones o motivos de inconformidad hechos valer por el  Recurrente, en términos del considerando </w:t>
      </w:r>
      <w:r w:rsidRPr="00814055">
        <w:rPr>
          <w:rFonts w:ascii="Palatino Linotype" w:eastAsia="Calibri" w:hAnsi="Palatino Linotype" w:cs="Tahoma"/>
          <w:b/>
          <w:bCs/>
          <w:sz w:val="22"/>
          <w:szCs w:val="22"/>
          <w:lang w:eastAsia="en-US"/>
        </w:rPr>
        <w:t xml:space="preserve">QUINTO </w:t>
      </w:r>
      <w:r w:rsidRPr="001E0D8F">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1E0D8F">
        <w:rPr>
          <w:rFonts w:ascii="Palatino Linotype" w:eastAsia="Calibri" w:hAnsi="Palatino Linotype" w:cs="Tahoma"/>
          <w:bCs/>
          <w:sz w:val="22"/>
          <w:szCs w:val="22"/>
          <w:lang w:eastAsia="en-US"/>
        </w:rPr>
        <w:t>esolución.</w:t>
      </w:r>
    </w:p>
    <w:p w:rsidR="00F140E3" w:rsidRPr="001E0D8F" w:rsidRDefault="00F140E3" w:rsidP="00F140E3">
      <w:pPr>
        <w:shd w:val="clear" w:color="auto" w:fill="FFFFFF" w:themeFill="background1"/>
        <w:spacing w:line="360" w:lineRule="auto"/>
        <w:jc w:val="both"/>
        <w:rPr>
          <w:rFonts w:ascii="Palatino Linotype" w:eastAsia="Calibri" w:hAnsi="Palatino Linotype" w:cs="Tahoma"/>
          <w:bCs/>
          <w:sz w:val="22"/>
          <w:szCs w:val="22"/>
          <w:lang w:eastAsia="en-US"/>
        </w:rPr>
      </w:pPr>
    </w:p>
    <w:p w:rsidR="00F140E3" w:rsidRDefault="00F140E3" w:rsidP="00F140E3">
      <w:pPr>
        <w:spacing w:line="360" w:lineRule="auto"/>
        <w:ind w:right="-93"/>
        <w:jc w:val="both"/>
        <w:rPr>
          <w:rFonts w:ascii="Palatino Linotype" w:hAnsi="Palatino Linotype" w:cs="Tahoma"/>
          <w:bCs/>
          <w:sz w:val="22"/>
          <w:szCs w:val="22"/>
        </w:rPr>
      </w:pPr>
      <w:r w:rsidRPr="001E0D8F">
        <w:rPr>
          <w:rFonts w:ascii="Palatino Linotype" w:eastAsia="Calibri" w:hAnsi="Palatino Linotype" w:cs="Tahoma"/>
          <w:b/>
          <w:bCs/>
          <w:sz w:val="22"/>
          <w:szCs w:val="22"/>
          <w:lang w:eastAsia="en-US"/>
        </w:rPr>
        <w:t xml:space="preserve">SEGUNDO. </w:t>
      </w:r>
      <w:r w:rsidRPr="001E0D8F">
        <w:rPr>
          <w:rFonts w:ascii="Palatino Linotype" w:eastAsia="Calibri" w:hAnsi="Palatino Linotype" w:cs="Tahoma"/>
          <w:sz w:val="22"/>
          <w:szCs w:val="22"/>
          <w:lang w:eastAsia="es-MX"/>
        </w:rPr>
        <w:t xml:space="preserve">Se </w:t>
      </w:r>
      <w:r w:rsidRPr="001E0D8F">
        <w:rPr>
          <w:rFonts w:ascii="Palatino Linotype" w:eastAsia="Calibri" w:hAnsi="Palatino Linotype" w:cs="Tahoma"/>
          <w:b/>
          <w:sz w:val="22"/>
          <w:szCs w:val="22"/>
          <w:lang w:eastAsia="es-MX"/>
        </w:rPr>
        <w:t xml:space="preserve">ORDENA </w:t>
      </w:r>
      <w:r w:rsidRPr="001E0D8F">
        <w:rPr>
          <w:rFonts w:ascii="Palatino Linotype" w:eastAsia="Calibri" w:hAnsi="Palatino Linotype" w:cs="Tahoma"/>
          <w:sz w:val="22"/>
          <w:szCs w:val="22"/>
          <w:lang w:eastAsia="es-MX"/>
        </w:rPr>
        <w:t xml:space="preserve">al Ayuntamiento de </w:t>
      </w:r>
      <w:r>
        <w:rPr>
          <w:rFonts w:ascii="Palatino Linotype" w:eastAsia="Calibri" w:hAnsi="Palatino Linotype" w:cs="Tahoma"/>
          <w:sz w:val="22"/>
          <w:szCs w:val="22"/>
          <w:lang w:eastAsia="es-MX"/>
        </w:rPr>
        <w:t>Tonatico</w:t>
      </w:r>
      <w:r w:rsidRPr="001E0D8F">
        <w:rPr>
          <w:rFonts w:ascii="Palatino Linotype" w:eastAsia="Calibri" w:hAnsi="Palatino Linotype" w:cs="Tahoma"/>
          <w:sz w:val="22"/>
          <w:szCs w:val="22"/>
          <w:lang w:eastAsia="es-MX"/>
        </w:rPr>
        <w:t xml:space="preserve">, previa búsqueda exhaustiva y razonable en todas las áreas competentes, </w:t>
      </w:r>
      <w:r>
        <w:rPr>
          <w:rFonts w:ascii="Palatino Linotype" w:eastAsia="Calibri" w:hAnsi="Palatino Linotype" w:cs="Tahoma"/>
          <w:bCs/>
          <w:sz w:val="22"/>
          <w:szCs w:val="22"/>
          <w:lang w:eastAsia="es-MX"/>
        </w:rPr>
        <w:t>haga entrega vía Sistema de Acceso a la Información Mexiquense (</w:t>
      </w:r>
      <w:r w:rsidRPr="001E0D8F">
        <w:rPr>
          <w:rFonts w:ascii="Palatino Linotype" w:eastAsia="Calibri" w:hAnsi="Palatino Linotype" w:cs="Tahoma"/>
          <w:bCs/>
          <w:sz w:val="22"/>
          <w:szCs w:val="22"/>
          <w:lang w:eastAsia="es-MX"/>
        </w:rPr>
        <w:t>SAIMEX</w:t>
      </w:r>
      <w:r>
        <w:rPr>
          <w:rFonts w:ascii="Palatino Linotype" w:eastAsia="Calibri" w:hAnsi="Palatino Linotype" w:cs="Tahoma"/>
          <w:bCs/>
          <w:sz w:val="22"/>
          <w:szCs w:val="22"/>
          <w:lang w:eastAsia="es-MX"/>
        </w:rPr>
        <w:t>)</w:t>
      </w:r>
      <w:r w:rsidRPr="001E0D8F">
        <w:rPr>
          <w:rFonts w:ascii="Palatino Linotype" w:eastAsia="Calibri" w:hAnsi="Palatino Linotype" w:cs="Tahoma"/>
          <w:bCs/>
          <w:sz w:val="22"/>
          <w:szCs w:val="22"/>
          <w:lang w:eastAsia="es-MX"/>
        </w:rPr>
        <w:t xml:space="preserve">, de </w:t>
      </w:r>
      <w:r>
        <w:rPr>
          <w:rFonts w:ascii="Palatino Linotype" w:eastAsia="Calibri" w:hAnsi="Palatino Linotype" w:cs="Tahoma"/>
          <w:bCs/>
          <w:sz w:val="22"/>
          <w:szCs w:val="22"/>
          <w:lang w:eastAsia="es-MX"/>
        </w:rPr>
        <w:t xml:space="preserve">ser procedente en versión pública, </w:t>
      </w:r>
      <w:r>
        <w:rPr>
          <w:rFonts w:ascii="Palatino Linotype" w:hAnsi="Palatino Linotype" w:cs="Tahoma"/>
          <w:bCs/>
          <w:sz w:val="22"/>
          <w:szCs w:val="22"/>
        </w:rPr>
        <w:t>correspondiente a la segunda quincena del mes de febrero de dos mil diecinueve lo siguiente:</w:t>
      </w:r>
    </w:p>
    <w:p w:rsidR="00F140E3" w:rsidRDefault="00F140E3" w:rsidP="00F140E3">
      <w:pPr>
        <w:spacing w:line="360" w:lineRule="auto"/>
        <w:ind w:right="-93"/>
        <w:jc w:val="both"/>
        <w:rPr>
          <w:rFonts w:ascii="Palatino Linotype" w:hAnsi="Palatino Linotype" w:cs="Tahoma"/>
          <w:bCs/>
          <w:sz w:val="22"/>
          <w:szCs w:val="22"/>
        </w:rPr>
      </w:pPr>
    </w:p>
    <w:p w:rsidR="00F140E3" w:rsidRPr="00BC1085" w:rsidRDefault="00F140E3" w:rsidP="00F140E3">
      <w:pPr>
        <w:pStyle w:val="Prrafodelista"/>
        <w:numPr>
          <w:ilvl w:val="0"/>
          <w:numId w:val="36"/>
        </w:numPr>
        <w:spacing w:line="360" w:lineRule="auto"/>
        <w:ind w:right="-93"/>
        <w:jc w:val="both"/>
        <w:rPr>
          <w:rFonts w:ascii="Palatino Linotype" w:hAnsi="Palatino Linotype" w:cs="Tahoma"/>
          <w:bCs/>
          <w:szCs w:val="22"/>
        </w:rPr>
      </w:pPr>
      <w:r w:rsidRPr="00BC1085">
        <w:rPr>
          <w:rFonts w:ascii="Palatino Linotype" w:hAnsi="Palatino Linotype" w:cs="Tahoma"/>
          <w:bCs/>
          <w:szCs w:val="22"/>
        </w:rPr>
        <w:t>La nómina</w:t>
      </w:r>
      <w:r>
        <w:rPr>
          <w:rFonts w:ascii="Palatino Linotype" w:hAnsi="Palatino Linotype" w:cs="Tahoma"/>
          <w:bCs/>
          <w:szCs w:val="22"/>
        </w:rPr>
        <w:t xml:space="preserve"> general</w:t>
      </w:r>
      <w:r w:rsidRPr="00BC1085">
        <w:rPr>
          <w:rFonts w:ascii="Palatino Linotype" w:hAnsi="Palatino Linotype" w:cs="Tahoma"/>
          <w:bCs/>
          <w:szCs w:val="22"/>
        </w:rPr>
        <w:t>.</w:t>
      </w:r>
    </w:p>
    <w:p w:rsidR="00F140E3" w:rsidRDefault="00F140E3" w:rsidP="00F140E3">
      <w:pPr>
        <w:pStyle w:val="Prrafodelista"/>
        <w:numPr>
          <w:ilvl w:val="0"/>
          <w:numId w:val="36"/>
        </w:numPr>
        <w:spacing w:line="360" w:lineRule="auto"/>
        <w:ind w:right="-93"/>
        <w:jc w:val="both"/>
        <w:rPr>
          <w:rFonts w:ascii="Palatino Linotype" w:hAnsi="Palatino Linotype" w:cs="Tahoma"/>
          <w:bCs/>
          <w:szCs w:val="22"/>
        </w:rPr>
      </w:pPr>
      <w:r>
        <w:rPr>
          <w:rFonts w:ascii="Palatino Linotype" w:hAnsi="Palatino Linotype" w:cs="Tahoma"/>
          <w:bCs/>
          <w:szCs w:val="22"/>
        </w:rPr>
        <w:t>Lista de Raya</w:t>
      </w:r>
      <w:r w:rsidRPr="00C5640E">
        <w:rPr>
          <w:rFonts w:ascii="Palatino Linotype" w:hAnsi="Palatino Linotype" w:cs="Tahoma"/>
          <w:bCs/>
          <w:szCs w:val="22"/>
        </w:rPr>
        <w:t xml:space="preserve">. </w:t>
      </w:r>
    </w:p>
    <w:p w:rsidR="00F140E3" w:rsidRDefault="00F140E3" w:rsidP="00F140E3">
      <w:pPr>
        <w:pStyle w:val="Prrafodelista"/>
        <w:numPr>
          <w:ilvl w:val="0"/>
          <w:numId w:val="36"/>
        </w:numPr>
        <w:spacing w:line="360" w:lineRule="auto"/>
        <w:ind w:right="-93"/>
        <w:jc w:val="both"/>
        <w:rPr>
          <w:rFonts w:ascii="Palatino Linotype" w:hAnsi="Palatino Linotype" w:cs="Tahoma"/>
          <w:bCs/>
          <w:szCs w:val="22"/>
        </w:rPr>
      </w:pPr>
      <w:r>
        <w:rPr>
          <w:rFonts w:ascii="Palatino Linotype" w:hAnsi="Palatino Linotype" w:cs="Tahoma"/>
          <w:bCs/>
          <w:szCs w:val="22"/>
        </w:rPr>
        <w:t>El o los documentos (póliza de cheque) donde conste el pago de nómina y/o lista de raya realizado con cheque proveniente de recursos propios.</w:t>
      </w:r>
    </w:p>
    <w:p w:rsidR="00F140E3" w:rsidRDefault="00F140E3" w:rsidP="00F140E3">
      <w:pPr>
        <w:pStyle w:val="Prrafodelista"/>
        <w:numPr>
          <w:ilvl w:val="0"/>
          <w:numId w:val="36"/>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El o los documentos donde conste el pago de nómina y/o lista de raya realizado con cheque a los servidores públicos de la Dirección de Seguridad Pública y de la Unidad de Protección </w:t>
      </w:r>
      <w:r>
        <w:rPr>
          <w:rFonts w:ascii="Palatino Linotype" w:hAnsi="Palatino Linotype" w:cs="Tahoma"/>
          <w:bCs/>
          <w:szCs w:val="22"/>
        </w:rPr>
        <w:lastRenderedPageBreak/>
        <w:t>Civil a través del</w:t>
      </w:r>
      <w:r>
        <w:rPr>
          <w:rFonts w:ascii="Palatino Linotype" w:hAnsi="Palatino Linotype" w:cs="Tahoma"/>
          <w:szCs w:val="22"/>
          <w:lang w:val="es-ES"/>
        </w:rPr>
        <w:t xml:space="preserve"> Fondo </w:t>
      </w:r>
      <w:r w:rsidRPr="00E42105">
        <w:rPr>
          <w:rFonts w:ascii="Palatino Linotype" w:hAnsi="Palatino Linotype" w:cs="Tahoma"/>
          <w:szCs w:val="22"/>
          <w:lang w:val="es-ES"/>
        </w:rPr>
        <w:t>de Aportaciones para el Fortalecimiento de los Municipios y de las Demarcaciones Territoriales del Distrito Federal</w:t>
      </w:r>
      <w:r>
        <w:rPr>
          <w:rFonts w:ascii="Palatino Linotype" w:hAnsi="Palatino Linotype" w:cs="Tahoma"/>
          <w:bCs/>
          <w:szCs w:val="22"/>
        </w:rPr>
        <w:t>.</w:t>
      </w:r>
    </w:p>
    <w:p w:rsidR="00F140E3" w:rsidRPr="005768F0" w:rsidRDefault="00F140E3" w:rsidP="00F140E3">
      <w:pPr>
        <w:pStyle w:val="Prrafodelista"/>
        <w:numPr>
          <w:ilvl w:val="0"/>
          <w:numId w:val="36"/>
        </w:numPr>
        <w:spacing w:line="360" w:lineRule="auto"/>
        <w:ind w:right="-93"/>
        <w:jc w:val="both"/>
        <w:rPr>
          <w:rFonts w:ascii="Palatino Linotype" w:hAnsi="Palatino Linotype" w:cs="Tahoma"/>
          <w:bCs/>
          <w:szCs w:val="22"/>
        </w:rPr>
      </w:pPr>
      <w:r>
        <w:rPr>
          <w:rFonts w:ascii="Palatino Linotype" w:hAnsi="Palatino Linotype" w:cs="Tahoma"/>
          <w:szCs w:val="22"/>
          <w:lang w:val="es-ES"/>
        </w:rPr>
        <w:t xml:space="preserve">Formato de Dispersión de nómina con recursos del Fondo </w:t>
      </w:r>
      <w:r w:rsidRPr="00E42105">
        <w:rPr>
          <w:rFonts w:ascii="Palatino Linotype" w:hAnsi="Palatino Linotype" w:cs="Tahoma"/>
          <w:szCs w:val="22"/>
          <w:lang w:val="es-ES"/>
        </w:rPr>
        <w:t>de Aportaciones para el Fortalecimiento de los Municipios y de las Demarcaciones Territoriales del Distrito Federal</w:t>
      </w:r>
    </w:p>
    <w:p w:rsidR="00F140E3" w:rsidRPr="00992B6C" w:rsidRDefault="00F140E3" w:rsidP="00F140E3">
      <w:pPr>
        <w:pStyle w:val="Prrafodelista"/>
        <w:numPr>
          <w:ilvl w:val="0"/>
          <w:numId w:val="36"/>
        </w:numPr>
        <w:spacing w:line="360" w:lineRule="auto"/>
        <w:ind w:right="-93"/>
        <w:jc w:val="both"/>
        <w:rPr>
          <w:rFonts w:ascii="Palatino Linotype" w:hAnsi="Palatino Linotype" w:cs="Tahoma"/>
          <w:bCs/>
          <w:szCs w:val="22"/>
        </w:rPr>
      </w:pPr>
      <w:r>
        <w:rPr>
          <w:rFonts w:ascii="Palatino Linotype" w:hAnsi="Palatino Linotype" w:cs="Tahoma"/>
          <w:szCs w:val="22"/>
          <w:lang w:val="es-ES"/>
        </w:rPr>
        <w:t>Formatos de Dispersión de nómina con recursos del Ayuntamiento.</w:t>
      </w:r>
    </w:p>
    <w:p w:rsidR="00F140E3" w:rsidRDefault="00F140E3" w:rsidP="00F140E3">
      <w:pPr>
        <w:tabs>
          <w:tab w:val="left" w:pos="1357"/>
        </w:tabs>
        <w:spacing w:line="360" w:lineRule="auto"/>
        <w:ind w:right="-93"/>
        <w:jc w:val="both"/>
        <w:rPr>
          <w:rFonts w:ascii="Palatino Linotype" w:hAnsi="Palatino Linotype" w:cs="Tahoma"/>
          <w:bCs/>
          <w:sz w:val="22"/>
          <w:szCs w:val="22"/>
        </w:rPr>
      </w:pPr>
    </w:p>
    <w:p w:rsidR="00F140E3" w:rsidRDefault="00F140E3" w:rsidP="00F140E3">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Para el caso de que el Sujeto Obligado no haya generado la información relativa a</w:t>
      </w:r>
      <w:r>
        <w:rPr>
          <w:rFonts w:ascii="Palatino Linotype" w:hAnsi="Palatino Linotype" w:cs="Tahoma"/>
          <w:sz w:val="22"/>
          <w:szCs w:val="22"/>
          <w:lang w:val="es-ES"/>
        </w:rPr>
        <w:t xml:space="preserve"> </w:t>
      </w:r>
      <w:r w:rsidRPr="004C0D3A">
        <w:rPr>
          <w:rFonts w:ascii="Palatino Linotype" w:hAnsi="Palatino Linotype" w:cs="Tahoma"/>
          <w:sz w:val="22"/>
          <w:szCs w:val="22"/>
          <w:lang w:val="es-ES"/>
        </w:rPr>
        <w:t>l</w:t>
      </w:r>
      <w:r>
        <w:rPr>
          <w:rFonts w:ascii="Palatino Linotype" w:hAnsi="Palatino Linotype" w:cs="Tahoma"/>
          <w:sz w:val="22"/>
          <w:szCs w:val="22"/>
          <w:lang w:val="es-ES"/>
        </w:rPr>
        <w:t>os</w:t>
      </w:r>
      <w:r w:rsidRPr="004C0D3A">
        <w:rPr>
          <w:rFonts w:ascii="Palatino Linotype" w:hAnsi="Palatino Linotype" w:cs="Tahoma"/>
          <w:sz w:val="22"/>
          <w:szCs w:val="22"/>
          <w:lang w:val="es-ES"/>
        </w:rPr>
        <w:t xml:space="preserve"> punto</w:t>
      </w:r>
      <w:r>
        <w:rPr>
          <w:rFonts w:ascii="Palatino Linotype" w:hAnsi="Palatino Linotype" w:cs="Tahoma"/>
          <w:sz w:val="22"/>
          <w:szCs w:val="22"/>
          <w:lang w:val="es-ES"/>
        </w:rPr>
        <w:t>s</w:t>
      </w:r>
      <w:r w:rsidRPr="004C0D3A">
        <w:rPr>
          <w:rFonts w:ascii="Palatino Linotype" w:hAnsi="Palatino Linotype" w:cs="Tahoma"/>
          <w:sz w:val="22"/>
          <w:szCs w:val="22"/>
          <w:lang w:val="es-ES"/>
        </w:rPr>
        <w:t xml:space="preserve"> </w:t>
      </w:r>
      <w:r>
        <w:rPr>
          <w:rFonts w:ascii="Palatino Linotype" w:hAnsi="Palatino Linotype" w:cs="Tahoma"/>
          <w:sz w:val="22"/>
          <w:szCs w:val="22"/>
          <w:lang w:val="es-ES"/>
        </w:rPr>
        <w:t>2, 3, 4 y 5 bastará</w:t>
      </w:r>
      <w:r w:rsidRPr="006D58CC">
        <w:rPr>
          <w:rFonts w:ascii="Palatino Linotype" w:hAnsi="Palatino Linotype" w:cs="Tahoma"/>
          <w:sz w:val="22"/>
          <w:szCs w:val="22"/>
          <w:lang w:val="es-ES"/>
        </w:rPr>
        <w:t xml:space="preserve"> con que así lo indique al Recurrente, en términos del artículo 19, párrafo segundo de la Ley de Transparencia y Acceso a la Información Pública del Estado de México y Municipios.</w:t>
      </w:r>
    </w:p>
    <w:p w:rsidR="00F140E3" w:rsidRPr="00CB5946" w:rsidRDefault="00F140E3" w:rsidP="00F140E3">
      <w:pPr>
        <w:spacing w:line="360" w:lineRule="auto"/>
        <w:ind w:right="-93"/>
        <w:jc w:val="both"/>
        <w:rPr>
          <w:rFonts w:ascii="Palatino Linotype" w:hAnsi="Palatino Linotype" w:cs="Tahoma"/>
          <w:i/>
          <w:sz w:val="24"/>
          <w:szCs w:val="24"/>
        </w:rPr>
      </w:pPr>
      <w:r w:rsidRPr="00CB5946">
        <w:rPr>
          <w:rFonts w:ascii="Palatino Linotype" w:hAnsi="Palatino Linotype" w:cs="Tahoma"/>
          <w:i/>
          <w:sz w:val="24"/>
          <w:szCs w:val="24"/>
        </w:rPr>
        <w:t>Junto con la versión pública, se deberá proporcionar el Acuerdo de Clasificación donde el Comité de Transparencia, confirme la eliminación de los datos conforme a lo concluido en el Considerado Quinto, de conformidad con los artículos 49, fracciones II y VIII y 132, fracción II, de la Ley de Transparencia y Acceso a la Información Pública del Estado de México y Municipios.</w:t>
      </w:r>
    </w:p>
    <w:p w:rsidR="00F140E3" w:rsidRDefault="00F140E3" w:rsidP="00F140E3">
      <w:pPr>
        <w:spacing w:line="360" w:lineRule="auto"/>
        <w:ind w:right="-93"/>
        <w:jc w:val="both"/>
        <w:rPr>
          <w:rFonts w:ascii="Palatino Linotype" w:hAnsi="Palatino Linotype" w:cs="Tahoma"/>
          <w:sz w:val="22"/>
          <w:szCs w:val="22"/>
          <w:lang w:val="es-ES"/>
        </w:rPr>
      </w:pPr>
    </w:p>
    <w:p w:rsidR="00F140E3" w:rsidRPr="001E0D8F" w:rsidRDefault="00F140E3" w:rsidP="00F140E3">
      <w:pPr>
        <w:spacing w:line="360" w:lineRule="auto"/>
        <w:jc w:val="both"/>
        <w:rPr>
          <w:rFonts w:ascii="Palatino Linotype" w:hAnsi="Palatino Linotype" w:cs="Tahoma"/>
          <w:i/>
          <w:sz w:val="22"/>
          <w:szCs w:val="22"/>
        </w:rPr>
      </w:pPr>
      <w:r w:rsidRPr="001E0D8F">
        <w:rPr>
          <w:rFonts w:ascii="Palatino Linotype" w:eastAsia="Calibri" w:hAnsi="Palatino Linotype" w:cs="Tahoma"/>
          <w:b/>
          <w:bCs/>
          <w:sz w:val="22"/>
          <w:szCs w:val="22"/>
          <w:lang w:eastAsia="en-US"/>
        </w:rPr>
        <w:t xml:space="preserve">TERCERO. </w:t>
      </w:r>
      <w:r w:rsidRPr="001E0D8F">
        <w:rPr>
          <w:rFonts w:ascii="Palatino Linotype" w:hAnsi="Palatino Linotype" w:cs="Tahoma"/>
          <w:b/>
          <w:sz w:val="22"/>
          <w:szCs w:val="22"/>
        </w:rPr>
        <w:t xml:space="preserve">NOTIFÍQUESE </w:t>
      </w:r>
      <w:r w:rsidRPr="001E0D8F">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F140E3" w:rsidRPr="001E0D8F" w:rsidRDefault="00F140E3" w:rsidP="00F140E3">
      <w:pPr>
        <w:shd w:val="clear" w:color="auto" w:fill="FFFFFF" w:themeFill="background1"/>
        <w:spacing w:line="360" w:lineRule="auto"/>
        <w:jc w:val="both"/>
        <w:rPr>
          <w:rFonts w:ascii="Palatino Linotype" w:eastAsia="Calibri" w:hAnsi="Palatino Linotype" w:cs="Tahoma"/>
          <w:sz w:val="22"/>
          <w:szCs w:val="22"/>
          <w:lang w:eastAsia="es-MX"/>
        </w:rPr>
      </w:pPr>
    </w:p>
    <w:p w:rsidR="00F140E3" w:rsidRPr="001E0D8F" w:rsidRDefault="00F140E3" w:rsidP="00F140E3">
      <w:pPr>
        <w:shd w:val="clear" w:color="auto" w:fill="FFFFFF" w:themeFill="background1"/>
        <w:spacing w:line="360" w:lineRule="auto"/>
        <w:jc w:val="both"/>
        <w:rPr>
          <w:rFonts w:ascii="Palatino Linotype" w:hAnsi="Palatino Linotype" w:cs="Tahoma"/>
          <w:sz w:val="22"/>
          <w:szCs w:val="22"/>
        </w:rPr>
      </w:pPr>
      <w:r w:rsidRPr="001E0D8F">
        <w:rPr>
          <w:rFonts w:ascii="Palatino Linotype" w:eastAsia="Calibri" w:hAnsi="Palatino Linotype" w:cs="Tahoma"/>
          <w:b/>
          <w:sz w:val="22"/>
          <w:szCs w:val="22"/>
          <w:lang w:eastAsia="es-MX"/>
        </w:rPr>
        <w:t>CUARTO</w:t>
      </w:r>
      <w:r w:rsidRPr="001E0D8F">
        <w:rPr>
          <w:rFonts w:ascii="Palatino Linotype" w:eastAsia="Calibri" w:hAnsi="Palatino Linotype" w:cs="Tahoma"/>
          <w:b/>
          <w:bCs/>
          <w:sz w:val="22"/>
          <w:szCs w:val="22"/>
          <w:lang w:eastAsia="en-US"/>
        </w:rPr>
        <w:t xml:space="preserve">. </w:t>
      </w:r>
      <w:r w:rsidRPr="001E0D8F">
        <w:rPr>
          <w:rFonts w:ascii="Palatino Linotype" w:hAnsi="Palatino Linotype" w:cs="Tahoma"/>
          <w:b/>
          <w:sz w:val="22"/>
          <w:szCs w:val="22"/>
        </w:rPr>
        <w:t>NOTIFÍQUESE</w:t>
      </w:r>
      <w:r w:rsidRPr="001E0D8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F140E3" w:rsidRPr="001E0D8F" w:rsidRDefault="00F140E3" w:rsidP="00F140E3">
      <w:pPr>
        <w:spacing w:line="360" w:lineRule="auto"/>
        <w:ind w:right="-93"/>
        <w:jc w:val="both"/>
        <w:rPr>
          <w:rFonts w:ascii="Palatino Linotype" w:eastAsia="Calibri" w:hAnsi="Palatino Linotype" w:cs="Tahoma"/>
          <w:b/>
          <w:bCs/>
          <w:sz w:val="22"/>
          <w:szCs w:val="22"/>
          <w:lang w:eastAsia="en-US"/>
        </w:rPr>
      </w:pPr>
    </w:p>
    <w:p w:rsidR="00F140E3" w:rsidRDefault="00F140E3" w:rsidP="00F140E3">
      <w:pPr>
        <w:spacing w:line="360" w:lineRule="auto"/>
        <w:ind w:right="-93"/>
        <w:jc w:val="both"/>
        <w:rPr>
          <w:rFonts w:ascii="Palatino Linotype" w:eastAsia="Calibri" w:hAnsi="Palatino Linotype" w:cs="Tahoma"/>
          <w:bCs/>
          <w:sz w:val="22"/>
          <w:szCs w:val="22"/>
          <w:lang w:val="es-ES_tradnl" w:eastAsia="en-US"/>
        </w:rPr>
      </w:pPr>
      <w:r w:rsidRPr="001E0D8F">
        <w:rPr>
          <w:rFonts w:ascii="Palatino Linotype" w:eastAsia="Calibri" w:hAnsi="Palatino Linotype" w:cs="Tahoma"/>
          <w:b/>
          <w:bCs/>
          <w:sz w:val="22"/>
          <w:szCs w:val="22"/>
          <w:lang w:eastAsia="en-US"/>
        </w:rPr>
        <w:t>QUINTO.</w:t>
      </w:r>
      <w:r w:rsidRPr="001E0D8F">
        <w:rPr>
          <w:rFonts w:ascii="Palatino Linotype" w:eastAsia="Calibri" w:hAnsi="Palatino Linotype" w:cs="Tahoma"/>
          <w:bCs/>
          <w:sz w:val="22"/>
          <w:szCs w:val="22"/>
          <w:lang w:val="es-ES_tradnl" w:eastAsia="en-US"/>
        </w:rPr>
        <w:t xml:space="preserve">Con fundamento en lo dispuesto en los artículos 190 de la </w:t>
      </w:r>
      <w:r w:rsidRPr="001E0D8F">
        <w:rPr>
          <w:rFonts w:ascii="Palatino Linotype" w:hAnsi="Palatino Linotype" w:cs="Tahoma"/>
          <w:sz w:val="22"/>
          <w:szCs w:val="22"/>
        </w:rPr>
        <w:t xml:space="preserve">Ley de Transparencia y Acceso a la Información Pública del Estado de México y Municipios, gírese </w:t>
      </w:r>
      <w:r w:rsidRPr="001E0D8F">
        <w:rPr>
          <w:rFonts w:ascii="Palatino Linotype" w:eastAsia="Calibri" w:hAnsi="Palatino Linotype" w:cs="Tahoma"/>
          <w:bCs/>
          <w:sz w:val="22"/>
          <w:szCs w:val="22"/>
          <w:lang w:val="es-ES_tradnl" w:eastAsia="en-US"/>
        </w:rPr>
        <w:t xml:space="preserve">oficio al Contralor Interno y </w:t>
      </w:r>
      <w:r w:rsidRPr="001E0D8F">
        <w:rPr>
          <w:rFonts w:ascii="Palatino Linotype" w:eastAsia="Calibri" w:hAnsi="Palatino Linotype" w:cs="Tahoma"/>
          <w:bCs/>
          <w:sz w:val="22"/>
          <w:szCs w:val="22"/>
          <w:lang w:val="es-ES_tradnl" w:eastAsia="en-US"/>
        </w:rPr>
        <w:lastRenderedPageBreak/>
        <w:t xml:space="preserve">Titular del Órgano de Control y Vigilancia de este Instituto con la finalidad de que actúe en razón de su competencia, en términos de lo dispuesto en el Considerando </w:t>
      </w:r>
      <w:r w:rsidRPr="006D58CC">
        <w:rPr>
          <w:rFonts w:ascii="Palatino Linotype" w:eastAsia="Calibri" w:hAnsi="Palatino Linotype" w:cs="Tahoma"/>
          <w:b/>
          <w:bCs/>
          <w:sz w:val="22"/>
          <w:szCs w:val="22"/>
          <w:lang w:val="es-ES_tradnl" w:eastAsia="en-US"/>
        </w:rPr>
        <w:t>OCTAVO</w:t>
      </w:r>
      <w:r w:rsidRPr="001E0D8F">
        <w:rPr>
          <w:rFonts w:ascii="Palatino Linotype" w:eastAsia="Calibri" w:hAnsi="Palatino Linotype" w:cs="Tahoma"/>
          <w:bCs/>
          <w:sz w:val="22"/>
          <w:szCs w:val="22"/>
          <w:lang w:val="es-ES_tradnl" w:eastAsia="en-US"/>
        </w:rPr>
        <w:t xml:space="preserve"> de la presente resolución.</w:t>
      </w:r>
    </w:p>
    <w:p w:rsidR="00F140E3" w:rsidRPr="001E0D8F" w:rsidRDefault="00F140E3" w:rsidP="00F140E3">
      <w:pPr>
        <w:spacing w:line="360" w:lineRule="auto"/>
        <w:ind w:right="-93"/>
        <w:jc w:val="both"/>
        <w:rPr>
          <w:rFonts w:ascii="Palatino Linotype" w:eastAsia="Calibri" w:hAnsi="Palatino Linotype" w:cs="Tahoma"/>
          <w:bCs/>
          <w:sz w:val="22"/>
          <w:szCs w:val="22"/>
          <w:lang w:val="es-ES_tradnl" w:eastAsia="en-US"/>
        </w:rPr>
      </w:pPr>
    </w:p>
    <w:p w:rsidR="00F140E3" w:rsidRDefault="00F140E3" w:rsidP="00F140E3">
      <w:pPr>
        <w:spacing w:line="360" w:lineRule="auto"/>
        <w:ind w:right="-93"/>
        <w:jc w:val="both"/>
        <w:rPr>
          <w:rFonts w:ascii="Palatino Linotype" w:eastAsia="Calibri" w:hAnsi="Palatino Linotype" w:cs="Tahoma"/>
          <w:b/>
          <w:bCs/>
          <w:sz w:val="22"/>
          <w:szCs w:val="22"/>
          <w:lang w:eastAsia="en-US"/>
        </w:rPr>
      </w:pPr>
    </w:p>
    <w:p w:rsidR="00F140E3" w:rsidRPr="001E0D8F" w:rsidRDefault="00F140E3" w:rsidP="00F140E3">
      <w:pPr>
        <w:spacing w:line="360" w:lineRule="auto"/>
        <w:ind w:right="-93"/>
        <w:jc w:val="both"/>
        <w:rPr>
          <w:rFonts w:ascii="Palatino Linotype" w:eastAsia="Calibri" w:hAnsi="Palatino Linotype" w:cs="Tahoma"/>
          <w:b/>
          <w:bCs/>
          <w:sz w:val="22"/>
          <w:szCs w:val="22"/>
          <w:lang w:eastAsia="en-US"/>
        </w:rPr>
      </w:pPr>
    </w:p>
    <w:p w:rsidR="00F140E3" w:rsidRPr="001E0D8F" w:rsidRDefault="00F140E3" w:rsidP="00F140E3">
      <w:pPr>
        <w:spacing w:line="360" w:lineRule="auto"/>
        <w:jc w:val="both"/>
        <w:rPr>
          <w:rFonts w:ascii="Palatino Linotype" w:hAnsi="Palatino Linotype" w:cs="Tahoma"/>
          <w:sz w:val="22"/>
          <w:szCs w:val="22"/>
          <w:lang w:eastAsia="es-MX"/>
        </w:rPr>
      </w:pPr>
      <w:r w:rsidRPr="001E0D8F">
        <w:rPr>
          <w:rFonts w:ascii="Palatino Linotype" w:hAnsi="Palatino Linotype" w:cs="Tahoma"/>
          <w:sz w:val="22"/>
          <w:szCs w:val="22"/>
          <w:lang w:eastAsia="es-MX"/>
        </w:rPr>
        <w:t xml:space="preserve">ASÍ, POR </w:t>
      </w:r>
      <w:r w:rsidRPr="007F0B28">
        <w:rPr>
          <w:rFonts w:ascii="Palatino Linotype" w:hAnsi="Palatino Linotype" w:cs="Tahoma"/>
          <w:sz w:val="22"/>
          <w:szCs w:val="22"/>
          <w:lang w:eastAsia="es-MX"/>
        </w:rPr>
        <w:t>UNANIMIDAD</w:t>
      </w:r>
      <w:r w:rsidRPr="001E0D8F">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1E0D8F">
        <w:rPr>
          <w:rFonts w:ascii="Palatino Linotype" w:hAnsi="Palatino Linotype" w:cs="Tahoma"/>
          <w:bCs/>
          <w:sz w:val="22"/>
          <w:szCs w:val="22"/>
          <w:lang w:eastAsia="es-MX"/>
        </w:rPr>
        <w:t>EVA ABAID YAPUR</w:t>
      </w:r>
      <w:r w:rsidRPr="001E0D8F">
        <w:rPr>
          <w:rFonts w:ascii="Palatino Linotype" w:hAnsi="Palatino Linotype" w:cs="Tahoma"/>
          <w:sz w:val="22"/>
          <w:szCs w:val="22"/>
          <w:lang w:eastAsia="es-MX"/>
        </w:rPr>
        <w:t xml:space="preserve">; JOSÉ GUADALUPE LUNA HERNÁNDEZ; </w:t>
      </w:r>
      <w:r w:rsidRPr="001E0D8F">
        <w:rPr>
          <w:rFonts w:ascii="Palatino Linotype" w:hAnsi="Palatino Linotype" w:cs="Tahoma"/>
          <w:sz w:val="22"/>
          <w:szCs w:val="22"/>
          <w:lang w:val="es-ES_tradnl" w:eastAsia="es-MX"/>
        </w:rPr>
        <w:t>JAVIER MARTÍNEZ CRUZ Y LUIS GUSTAVO PARRA NORIEGA</w:t>
      </w:r>
      <w:r>
        <w:rPr>
          <w:rFonts w:ascii="Palatino Linotype" w:hAnsi="Palatino Linotype" w:cs="Tahoma"/>
          <w:sz w:val="22"/>
          <w:szCs w:val="22"/>
          <w:lang w:val="es-ES_tradnl" w:eastAsia="es-MX"/>
        </w:rPr>
        <w:t xml:space="preserve"> CON VOTO PARTICULAR</w:t>
      </w:r>
      <w:r w:rsidRPr="001E0D8F">
        <w:rPr>
          <w:rFonts w:ascii="Palatino Linotype" w:hAnsi="Palatino Linotype" w:cs="Tahoma"/>
          <w:sz w:val="22"/>
          <w:szCs w:val="22"/>
          <w:lang w:eastAsia="es-MX"/>
        </w:rPr>
        <w:t xml:space="preserve">, EN LA </w:t>
      </w:r>
      <w:r>
        <w:rPr>
          <w:rFonts w:ascii="Palatino Linotype" w:hAnsi="Palatino Linotype" w:cs="Tahoma"/>
          <w:sz w:val="22"/>
          <w:szCs w:val="22"/>
          <w:lang w:eastAsia="es-MX"/>
        </w:rPr>
        <w:t xml:space="preserve">VIGÉSIMA CUARTA </w:t>
      </w:r>
      <w:r w:rsidRPr="001E0D8F">
        <w:rPr>
          <w:rFonts w:ascii="Palatino Linotype" w:hAnsi="Palatino Linotype" w:cs="Tahoma"/>
          <w:sz w:val="22"/>
          <w:szCs w:val="22"/>
          <w:lang w:eastAsia="es-MX"/>
        </w:rPr>
        <w:t xml:space="preserve">SESIÓN ORDINARIA, CELEBRADA EL </w:t>
      </w:r>
      <w:r>
        <w:rPr>
          <w:rFonts w:ascii="Palatino Linotype" w:hAnsi="Palatino Linotype" w:cs="Tahoma"/>
          <w:sz w:val="22"/>
          <w:szCs w:val="22"/>
          <w:lang w:eastAsia="es-MX"/>
        </w:rPr>
        <w:t>VEINTISÉIS DE JUNIO DE DOS MIL DIECINUEVE</w:t>
      </w:r>
      <w:r w:rsidRPr="001E0D8F">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F140E3" w:rsidRPr="001E0D8F" w:rsidTr="00F140E3">
        <w:trPr>
          <w:trHeight w:val="1737"/>
        </w:trPr>
        <w:tc>
          <w:tcPr>
            <w:tcW w:w="9072" w:type="dxa"/>
            <w:gridSpan w:val="3"/>
          </w:tcPr>
          <w:p w:rsidR="00F140E3" w:rsidRDefault="00F140E3" w:rsidP="00F140E3">
            <w:pPr>
              <w:spacing w:line="360" w:lineRule="auto"/>
              <w:rPr>
                <w:rFonts w:ascii="Palatino Linotype" w:eastAsia="Calibri" w:hAnsi="Palatino Linotype" w:cs="Tahoma"/>
                <w:b/>
                <w:sz w:val="22"/>
                <w:szCs w:val="22"/>
                <w:lang w:eastAsia="es-MX"/>
              </w:rPr>
            </w:pPr>
            <w:r>
              <w:rPr>
                <w:rFonts w:ascii="Palatino Linotype" w:eastAsia="Calibri" w:hAnsi="Palatino Linotype" w:cs="Tahoma"/>
                <w:b/>
                <w:noProof/>
                <w:sz w:val="22"/>
                <w:szCs w:val="22"/>
                <w:lang w:eastAsia="es-MX"/>
              </w:rPr>
              <mc:AlternateContent>
                <mc:Choice Requires="wps">
                  <w:drawing>
                    <wp:anchor distT="0" distB="0" distL="114300" distR="114300" simplePos="0" relativeHeight="251660288" behindDoc="0" locked="0" layoutInCell="1" allowOverlap="1" wp14:anchorId="39432506" wp14:editId="5FF02C5F">
                      <wp:simplePos x="0" y="0"/>
                      <wp:positionH relativeFrom="column">
                        <wp:posOffset>-30171</wp:posOffset>
                      </wp:positionH>
                      <wp:positionV relativeFrom="paragraph">
                        <wp:posOffset>45129</wp:posOffset>
                      </wp:positionV>
                      <wp:extent cx="5507665" cy="3934047"/>
                      <wp:effectExtent l="0" t="0" r="36195" b="28575"/>
                      <wp:wrapNone/>
                      <wp:docPr id="2" name="Conector recto 2"/>
                      <wp:cNvGraphicFramePr/>
                      <a:graphic xmlns:a="http://schemas.openxmlformats.org/drawingml/2006/main">
                        <a:graphicData uri="http://schemas.microsoft.com/office/word/2010/wordprocessingShape">
                          <wps:wsp>
                            <wps:cNvCnPr/>
                            <wps:spPr>
                              <a:xfrm>
                                <a:off x="0" y="0"/>
                                <a:ext cx="5507665" cy="3934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441EE"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3.55pt" to="431.25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" strokecolor="black [3213]" strokeweight=".5pt">
                      <v:stroke joinstyle="miter"/>
                    </v:line>
                  </w:pict>
                </mc:Fallback>
              </mc:AlternateContent>
            </w: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Default="00F140E3" w:rsidP="00F140E3">
            <w:pPr>
              <w:spacing w:line="360" w:lineRule="auto"/>
              <w:rPr>
                <w:rFonts w:ascii="Palatino Linotype" w:eastAsia="Calibri" w:hAnsi="Palatino Linotype" w:cs="Tahoma"/>
                <w:b/>
                <w:sz w:val="22"/>
                <w:szCs w:val="22"/>
                <w:lang w:eastAsia="es-MX"/>
              </w:rPr>
            </w:pPr>
          </w:p>
          <w:p w:rsidR="00F140E3" w:rsidRPr="001E0D8F" w:rsidRDefault="00F140E3" w:rsidP="00F140E3">
            <w:pPr>
              <w:tabs>
                <w:tab w:val="left" w:pos="2445"/>
                <w:tab w:val="center" w:pos="4428"/>
              </w:tabs>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Zulema Martínez Sánchez</w:t>
            </w:r>
          </w:p>
          <w:p w:rsidR="00F140E3" w:rsidRPr="001E0D8F" w:rsidRDefault="00F140E3" w:rsidP="00F140E3">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lang w:eastAsia="es-MX"/>
              </w:rPr>
              <w:t>Comisionada Presidenta</w:t>
            </w:r>
          </w:p>
        </w:tc>
      </w:tr>
      <w:tr w:rsidR="00F140E3" w:rsidRPr="001E0D8F" w:rsidTr="00F140E3">
        <w:tc>
          <w:tcPr>
            <w:tcW w:w="3402" w:type="dxa"/>
          </w:tcPr>
          <w:p w:rsidR="00F140E3" w:rsidRPr="001E0D8F" w:rsidRDefault="00F140E3" w:rsidP="00F140E3">
            <w:pPr>
              <w:spacing w:line="360" w:lineRule="auto"/>
              <w:jc w:val="center"/>
              <w:rPr>
                <w:rFonts w:ascii="Palatino Linotype" w:eastAsia="Calibri" w:hAnsi="Palatino Linotype" w:cs="Tahoma"/>
                <w:b/>
                <w:sz w:val="22"/>
                <w:szCs w:val="22"/>
              </w:rPr>
            </w:pPr>
          </w:p>
          <w:p w:rsidR="00F140E3" w:rsidRDefault="00F140E3" w:rsidP="00F140E3">
            <w:pPr>
              <w:spacing w:line="360" w:lineRule="auto"/>
              <w:ind w:right="-108"/>
              <w:rPr>
                <w:rFonts w:ascii="Palatino Linotype" w:eastAsia="Calibri" w:hAnsi="Palatino Linotype" w:cs="Tahoma"/>
                <w:b/>
                <w:sz w:val="22"/>
                <w:szCs w:val="22"/>
              </w:rPr>
            </w:pPr>
          </w:p>
          <w:p w:rsidR="00F140E3" w:rsidRDefault="00F140E3" w:rsidP="00F140E3">
            <w:pPr>
              <w:spacing w:line="360" w:lineRule="auto"/>
              <w:ind w:right="-108"/>
              <w:rPr>
                <w:rFonts w:ascii="Palatino Linotype" w:eastAsia="Calibri" w:hAnsi="Palatino Linotype" w:cs="Tahoma"/>
                <w:b/>
                <w:sz w:val="22"/>
                <w:szCs w:val="22"/>
              </w:rPr>
            </w:pPr>
          </w:p>
          <w:p w:rsidR="00F140E3" w:rsidRPr="001E0D8F" w:rsidRDefault="00F140E3" w:rsidP="00F140E3">
            <w:pPr>
              <w:spacing w:line="360" w:lineRule="auto"/>
              <w:ind w:right="-108"/>
              <w:rPr>
                <w:rFonts w:ascii="Palatino Linotype" w:eastAsia="Calibri" w:hAnsi="Palatino Linotype" w:cs="Tahoma"/>
                <w:b/>
                <w:sz w:val="22"/>
                <w:szCs w:val="22"/>
              </w:rPr>
            </w:pPr>
          </w:p>
          <w:p w:rsidR="00F140E3" w:rsidRPr="001E0D8F" w:rsidRDefault="00F140E3" w:rsidP="00F140E3">
            <w:pPr>
              <w:spacing w:line="360" w:lineRule="auto"/>
              <w:ind w:right="-108"/>
              <w:jc w:val="center"/>
              <w:rPr>
                <w:rFonts w:ascii="Palatino Linotype" w:eastAsia="Calibri" w:hAnsi="Palatino Linotype" w:cs="Tahoma"/>
                <w:b/>
                <w:sz w:val="22"/>
                <w:szCs w:val="22"/>
              </w:rPr>
            </w:pPr>
            <w:r w:rsidRPr="001E0D8F">
              <w:rPr>
                <w:rFonts w:ascii="Palatino Linotype" w:eastAsia="Calibri" w:hAnsi="Palatino Linotype" w:cs="Tahoma"/>
                <w:b/>
                <w:sz w:val="22"/>
                <w:szCs w:val="22"/>
              </w:rPr>
              <w:t xml:space="preserve">Eva Abaid Yapur </w:t>
            </w:r>
          </w:p>
          <w:p w:rsidR="00F140E3" w:rsidRPr="001E0D8F" w:rsidRDefault="00F140E3" w:rsidP="00F140E3">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rPr>
              <w:t>Comisionada</w:t>
            </w:r>
          </w:p>
          <w:p w:rsidR="00F140E3" w:rsidRPr="001E0D8F" w:rsidRDefault="00965F82" w:rsidP="00F140E3">
            <w:pPr>
              <w:spacing w:line="360" w:lineRule="auto"/>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(Rúbrica)</w:t>
            </w:r>
          </w:p>
        </w:tc>
        <w:tc>
          <w:tcPr>
            <w:tcW w:w="1985" w:type="dxa"/>
          </w:tcPr>
          <w:p w:rsidR="00F140E3" w:rsidRPr="001E0D8F" w:rsidRDefault="00965F82" w:rsidP="00F140E3">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(Rúbrica)</w:t>
            </w:r>
          </w:p>
        </w:tc>
        <w:tc>
          <w:tcPr>
            <w:tcW w:w="3685" w:type="dxa"/>
          </w:tcPr>
          <w:p w:rsidR="00F140E3" w:rsidRPr="001E0D8F" w:rsidRDefault="00F140E3" w:rsidP="00F140E3">
            <w:pPr>
              <w:spacing w:line="360" w:lineRule="auto"/>
              <w:ind w:right="-108"/>
              <w:jc w:val="center"/>
              <w:rPr>
                <w:rFonts w:ascii="Palatino Linotype" w:eastAsia="Calibri" w:hAnsi="Palatino Linotype" w:cs="Tahoma"/>
                <w:b/>
                <w:sz w:val="22"/>
                <w:szCs w:val="22"/>
              </w:rPr>
            </w:pPr>
          </w:p>
          <w:p w:rsidR="00F140E3" w:rsidRDefault="00F140E3" w:rsidP="00F140E3">
            <w:pPr>
              <w:spacing w:line="360" w:lineRule="auto"/>
              <w:ind w:right="-108"/>
              <w:jc w:val="center"/>
              <w:rPr>
                <w:rFonts w:ascii="Palatino Linotype" w:eastAsia="Calibri" w:hAnsi="Palatino Linotype" w:cs="Tahoma"/>
                <w:b/>
                <w:sz w:val="22"/>
                <w:szCs w:val="22"/>
              </w:rPr>
            </w:pPr>
          </w:p>
          <w:p w:rsidR="00F140E3" w:rsidRDefault="00F140E3" w:rsidP="00F140E3">
            <w:pPr>
              <w:spacing w:line="360" w:lineRule="auto"/>
              <w:ind w:right="-108"/>
              <w:jc w:val="center"/>
              <w:rPr>
                <w:rFonts w:ascii="Palatino Linotype" w:eastAsia="Calibri" w:hAnsi="Palatino Linotype" w:cs="Tahoma"/>
                <w:b/>
                <w:sz w:val="22"/>
                <w:szCs w:val="22"/>
              </w:rPr>
            </w:pPr>
          </w:p>
          <w:p w:rsidR="00F140E3" w:rsidRPr="001E0D8F" w:rsidRDefault="00F140E3" w:rsidP="00F140E3">
            <w:pPr>
              <w:spacing w:line="360" w:lineRule="auto"/>
              <w:ind w:right="-108"/>
              <w:jc w:val="center"/>
              <w:rPr>
                <w:rFonts w:ascii="Palatino Linotype" w:eastAsia="Calibri" w:hAnsi="Palatino Linotype" w:cs="Tahoma"/>
                <w:b/>
                <w:sz w:val="22"/>
                <w:szCs w:val="22"/>
              </w:rPr>
            </w:pPr>
          </w:p>
          <w:p w:rsidR="00F140E3" w:rsidRPr="001E0D8F" w:rsidRDefault="00F140E3" w:rsidP="00F140E3">
            <w:pPr>
              <w:spacing w:line="360" w:lineRule="auto"/>
              <w:ind w:right="-108"/>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José Guadalupe Luna Hernández</w:t>
            </w:r>
          </w:p>
          <w:p w:rsidR="00F140E3" w:rsidRPr="001E0D8F" w:rsidRDefault="00F140E3" w:rsidP="00F140E3">
            <w:pPr>
              <w:spacing w:line="360" w:lineRule="auto"/>
              <w:ind w:right="-108"/>
              <w:jc w:val="center"/>
              <w:rPr>
                <w:rFonts w:ascii="Palatino Linotype" w:eastAsia="Calibri" w:hAnsi="Palatino Linotype" w:cs="Tahoma"/>
                <w:sz w:val="22"/>
                <w:szCs w:val="22"/>
                <w:lang w:eastAsia="es-MX"/>
              </w:rPr>
            </w:pPr>
            <w:r w:rsidRPr="001E0D8F">
              <w:rPr>
                <w:rFonts w:ascii="Palatino Linotype" w:eastAsia="Calibri" w:hAnsi="Palatino Linotype" w:cs="Tahoma"/>
                <w:sz w:val="22"/>
                <w:szCs w:val="22"/>
                <w:lang w:eastAsia="es-MX"/>
              </w:rPr>
              <w:t>Comisionado</w:t>
            </w:r>
          </w:p>
          <w:p w:rsidR="00F140E3" w:rsidRDefault="00965F82" w:rsidP="00F140E3">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(Rúbrica)</w:t>
            </w:r>
          </w:p>
          <w:p w:rsidR="00C25E33" w:rsidRPr="001E0D8F" w:rsidRDefault="00C25E33" w:rsidP="00F140E3">
            <w:pPr>
              <w:spacing w:line="360" w:lineRule="auto"/>
              <w:jc w:val="center"/>
              <w:rPr>
                <w:rFonts w:ascii="Palatino Linotype" w:eastAsia="Batang" w:hAnsi="Palatino Linotype" w:cs="Tahoma"/>
                <w:b/>
                <w:sz w:val="22"/>
                <w:szCs w:val="22"/>
              </w:rPr>
            </w:pPr>
          </w:p>
        </w:tc>
      </w:tr>
      <w:tr w:rsidR="00F140E3" w:rsidRPr="001E0D8F" w:rsidTr="00F140E3">
        <w:tc>
          <w:tcPr>
            <w:tcW w:w="3402" w:type="dxa"/>
          </w:tcPr>
          <w:p w:rsidR="00F140E3" w:rsidRDefault="00F140E3" w:rsidP="00F140E3">
            <w:pPr>
              <w:spacing w:line="360" w:lineRule="auto"/>
              <w:rPr>
                <w:rFonts w:ascii="Palatino Linotype" w:eastAsia="Calibri" w:hAnsi="Palatino Linotype" w:cs="Tahoma"/>
                <w:b/>
                <w:sz w:val="22"/>
                <w:szCs w:val="22"/>
              </w:rPr>
            </w:pPr>
          </w:p>
          <w:p w:rsidR="00F140E3" w:rsidRDefault="00F140E3" w:rsidP="00F140E3">
            <w:pPr>
              <w:spacing w:line="360" w:lineRule="auto"/>
              <w:rPr>
                <w:rFonts w:ascii="Palatino Linotype" w:eastAsia="Calibri" w:hAnsi="Palatino Linotype" w:cs="Tahoma"/>
                <w:b/>
                <w:sz w:val="22"/>
                <w:szCs w:val="22"/>
              </w:rPr>
            </w:pPr>
          </w:p>
          <w:p w:rsidR="00F140E3" w:rsidRPr="001E0D8F" w:rsidRDefault="00F140E3" w:rsidP="00F140E3">
            <w:pPr>
              <w:spacing w:line="360" w:lineRule="auto"/>
              <w:rPr>
                <w:rFonts w:ascii="Palatino Linotype" w:eastAsia="Calibri" w:hAnsi="Palatino Linotype" w:cs="Tahoma"/>
                <w:b/>
                <w:sz w:val="22"/>
                <w:szCs w:val="22"/>
              </w:rPr>
            </w:pPr>
          </w:p>
          <w:p w:rsidR="00F140E3" w:rsidRPr="001E0D8F" w:rsidRDefault="00F140E3" w:rsidP="00F140E3">
            <w:pPr>
              <w:spacing w:line="360" w:lineRule="auto"/>
              <w:jc w:val="center"/>
              <w:rPr>
                <w:rFonts w:ascii="Palatino Linotype" w:eastAsia="Calibri" w:hAnsi="Palatino Linotype" w:cs="Tahoma"/>
                <w:sz w:val="22"/>
                <w:szCs w:val="22"/>
              </w:rPr>
            </w:pPr>
            <w:r w:rsidRPr="001E0D8F">
              <w:rPr>
                <w:rFonts w:ascii="Palatino Linotype" w:eastAsia="Calibri" w:hAnsi="Palatino Linotype" w:cs="Tahoma"/>
                <w:b/>
                <w:sz w:val="22"/>
                <w:szCs w:val="22"/>
                <w:lang w:val="es-ES_tradnl"/>
              </w:rPr>
              <w:t xml:space="preserve">Javier Martínez Cruz </w:t>
            </w:r>
            <w:r w:rsidRPr="001E0D8F">
              <w:rPr>
                <w:rFonts w:ascii="Palatino Linotype" w:eastAsia="Calibri" w:hAnsi="Palatino Linotype" w:cs="Tahoma"/>
                <w:sz w:val="22"/>
                <w:szCs w:val="22"/>
              </w:rPr>
              <w:t>Comisionado</w:t>
            </w:r>
          </w:p>
          <w:p w:rsidR="00F140E3" w:rsidRPr="001E0D8F" w:rsidRDefault="00945FFE" w:rsidP="00F140E3">
            <w:pPr>
              <w:spacing w:line="360" w:lineRule="auto"/>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(Rúbrica)</w:t>
            </w:r>
          </w:p>
        </w:tc>
        <w:tc>
          <w:tcPr>
            <w:tcW w:w="1985" w:type="dxa"/>
          </w:tcPr>
          <w:p w:rsidR="00F140E3" w:rsidRDefault="00F140E3" w:rsidP="00F140E3">
            <w:pPr>
              <w:spacing w:line="360" w:lineRule="auto"/>
              <w:jc w:val="center"/>
              <w:rPr>
                <w:rFonts w:ascii="Palatino Linotype" w:eastAsia="Batang" w:hAnsi="Palatino Linotype" w:cs="Tahoma"/>
                <w:b/>
                <w:sz w:val="22"/>
                <w:szCs w:val="22"/>
              </w:rPr>
            </w:pPr>
          </w:p>
          <w:p w:rsidR="00F140E3" w:rsidRDefault="00F140E3" w:rsidP="00F140E3">
            <w:pPr>
              <w:spacing w:line="360" w:lineRule="auto"/>
              <w:jc w:val="center"/>
              <w:rPr>
                <w:rFonts w:ascii="Palatino Linotype" w:eastAsia="Batang" w:hAnsi="Palatino Linotype" w:cs="Tahoma"/>
                <w:b/>
                <w:sz w:val="22"/>
                <w:szCs w:val="22"/>
              </w:rPr>
            </w:pPr>
          </w:p>
          <w:p w:rsidR="00F140E3" w:rsidRDefault="00F140E3" w:rsidP="00F140E3">
            <w:pPr>
              <w:spacing w:line="360" w:lineRule="auto"/>
              <w:jc w:val="center"/>
              <w:rPr>
                <w:rFonts w:ascii="Palatino Linotype" w:eastAsia="Batang" w:hAnsi="Palatino Linotype" w:cs="Tahoma"/>
                <w:b/>
                <w:sz w:val="22"/>
                <w:szCs w:val="22"/>
              </w:rPr>
            </w:pPr>
          </w:p>
          <w:p w:rsidR="00F140E3" w:rsidRDefault="00F140E3" w:rsidP="00F140E3">
            <w:pPr>
              <w:spacing w:line="360" w:lineRule="auto"/>
              <w:jc w:val="center"/>
              <w:rPr>
                <w:rFonts w:ascii="Palatino Linotype" w:eastAsia="Batang" w:hAnsi="Palatino Linotype" w:cs="Tahoma"/>
                <w:b/>
                <w:sz w:val="22"/>
                <w:szCs w:val="22"/>
              </w:rPr>
            </w:pPr>
          </w:p>
          <w:p w:rsidR="00F140E3" w:rsidRDefault="00F140E3" w:rsidP="00F140E3">
            <w:pPr>
              <w:spacing w:line="360" w:lineRule="auto"/>
              <w:jc w:val="center"/>
              <w:rPr>
                <w:rFonts w:ascii="Palatino Linotype" w:eastAsia="Batang" w:hAnsi="Palatino Linotype" w:cs="Tahoma"/>
                <w:b/>
                <w:sz w:val="22"/>
                <w:szCs w:val="22"/>
              </w:rPr>
            </w:pPr>
          </w:p>
          <w:p w:rsidR="00F140E3" w:rsidRDefault="00F140E3" w:rsidP="00F140E3">
            <w:pPr>
              <w:spacing w:line="360" w:lineRule="auto"/>
              <w:jc w:val="center"/>
              <w:rPr>
                <w:rFonts w:ascii="Palatino Linotype" w:eastAsia="Batang" w:hAnsi="Palatino Linotype" w:cs="Tahoma"/>
                <w:b/>
                <w:sz w:val="22"/>
                <w:szCs w:val="22"/>
              </w:rPr>
            </w:pPr>
          </w:p>
          <w:p w:rsidR="00F140E3" w:rsidRDefault="00F140E3" w:rsidP="00F140E3">
            <w:pPr>
              <w:spacing w:line="360" w:lineRule="auto"/>
              <w:jc w:val="center"/>
              <w:rPr>
                <w:rFonts w:ascii="Palatino Linotype" w:eastAsia="Batang" w:hAnsi="Palatino Linotype" w:cs="Tahoma"/>
                <w:b/>
                <w:sz w:val="22"/>
                <w:szCs w:val="22"/>
              </w:rPr>
            </w:pPr>
          </w:p>
          <w:p w:rsidR="00F140E3" w:rsidRPr="001E0D8F" w:rsidRDefault="00F140E3" w:rsidP="00F140E3">
            <w:pPr>
              <w:spacing w:line="360" w:lineRule="auto"/>
              <w:rPr>
                <w:rFonts w:ascii="Palatino Linotype" w:eastAsia="Batang" w:hAnsi="Palatino Linotype" w:cs="Tahoma"/>
                <w:b/>
                <w:sz w:val="22"/>
                <w:szCs w:val="22"/>
              </w:rPr>
            </w:pPr>
          </w:p>
        </w:tc>
        <w:tc>
          <w:tcPr>
            <w:tcW w:w="3685" w:type="dxa"/>
          </w:tcPr>
          <w:p w:rsidR="00F140E3" w:rsidRDefault="00F140E3" w:rsidP="00F140E3">
            <w:pPr>
              <w:spacing w:line="360" w:lineRule="auto"/>
              <w:ind w:right="-108"/>
              <w:rPr>
                <w:rFonts w:ascii="Palatino Linotype" w:eastAsia="Calibri" w:hAnsi="Palatino Linotype" w:cs="Tahoma"/>
                <w:sz w:val="22"/>
                <w:szCs w:val="22"/>
                <w:lang w:eastAsia="es-MX"/>
              </w:rPr>
            </w:pPr>
          </w:p>
          <w:p w:rsidR="00F140E3" w:rsidRDefault="00F140E3" w:rsidP="00F140E3">
            <w:pPr>
              <w:spacing w:line="360" w:lineRule="auto"/>
              <w:ind w:right="-108"/>
              <w:rPr>
                <w:rFonts w:ascii="Palatino Linotype" w:eastAsia="Calibri" w:hAnsi="Palatino Linotype" w:cs="Tahoma"/>
                <w:sz w:val="22"/>
                <w:szCs w:val="22"/>
                <w:lang w:eastAsia="es-MX"/>
              </w:rPr>
            </w:pPr>
          </w:p>
          <w:p w:rsidR="00F140E3" w:rsidRPr="001E0D8F" w:rsidRDefault="00F140E3" w:rsidP="00F140E3">
            <w:pPr>
              <w:spacing w:line="360" w:lineRule="auto"/>
              <w:ind w:right="-108"/>
              <w:rPr>
                <w:rFonts w:ascii="Palatino Linotype" w:eastAsia="Calibri" w:hAnsi="Palatino Linotype" w:cs="Tahoma"/>
                <w:sz w:val="22"/>
                <w:szCs w:val="22"/>
                <w:lang w:eastAsia="es-MX"/>
              </w:rPr>
            </w:pPr>
          </w:p>
          <w:p w:rsidR="00F140E3" w:rsidRPr="001E0D8F" w:rsidRDefault="00F140E3" w:rsidP="00F140E3">
            <w:pPr>
              <w:spacing w:line="360" w:lineRule="auto"/>
              <w:ind w:right="-108"/>
              <w:jc w:val="center"/>
              <w:rPr>
                <w:rFonts w:ascii="Palatino Linotype" w:eastAsia="Calibri" w:hAnsi="Palatino Linotype" w:cs="Tahoma"/>
                <w:b/>
                <w:sz w:val="22"/>
                <w:szCs w:val="22"/>
              </w:rPr>
            </w:pPr>
            <w:r w:rsidRPr="001E0D8F">
              <w:rPr>
                <w:rFonts w:ascii="Palatino Linotype" w:eastAsia="Calibri" w:hAnsi="Palatino Linotype" w:cs="Tahoma"/>
                <w:b/>
                <w:sz w:val="22"/>
                <w:szCs w:val="22"/>
                <w:lang w:val="es-ES_tradnl"/>
              </w:rPr>
              <w:t>Luis Gustavo Parra Noriega</w:t>
            </w:r>
          </w:p>
          <w:p w:rsidR="00F140E3" w:rsidRPr="001E0D8F" w:rsidRDefault="00F140E3" w:rsidP="00F140E3">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rPr>
              <w:t>Comisionado</w:t>
            </w:r>
          </w:p>
          <w:p w:rsidR="00F140E3" w:rsidRPr="001E0D8F" w:rsidRDefault="00945FFE" w:rsidP="00F140E3">
            <w:pPr>
              <w:spacing w:line="360" w:lineRule="auto"/>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(Rúbrica)</w:t>
            </w:r>
          </w:p>
        </w:tc>
      </w:tr>
      <w:tr w:rsidR="00F140E3" w:rsidRPr="001E0D8F" w:rsidTr="00F140E3">
        <w:tc>
          <w:tcPr>
            <w:tcW w:w="9072" w:type="dxa"/>
            <w:gridSpan w:val="3"/>
          </w:tcPr>
          <w:p w:rsidR="00F140E3" w:rsidRPr="001E0D8F" w:rsidRDefault="00F140E3" w:rsidP="00F140E3">
            <w:pPr>
              <w:spacing w:line="360" w:lineRule="auto"/>
              <w:jc w:val="center"/>
              <w:rPr>
                <w:rFonts w:ascii="Palatino Linotype" w:eastAsia="Calibri" w:hAnsi="Palatino Linotype" w:cs="Tahoma"/>
                <w:b/>
                <w:sz w:val="22"/>
                <w:szCs w:val="22"/>
              </w:rPr>
            </w:pPr>
            <w:r w:rsidRPr="001E0D8F">
              <w:rPr>
                <w:rFonts w:ascii="Palatino Linotype" w:eastAsia="Calibri" w:hAnsi="Palatino Linotype" w:cs="Tahoma"/>
                <w:b/>
                <w:sz w:val="22"/>
                <w:szCs w:val="22"/>
              </w:rPr>
              <w:t>Alexis Tapia Ramírez</w:t>
            </w:r>
          </w:p>
          <w:p w:rsidR="00F140E3" w:rsidRPr="001E0D8F" w:rsidRDefault="00F140E3" w:rsidP="00F140E3">
            <w:pPr>
              <w:spacing w:line="360" w:lineRule="auto"/>
              <w:jc w:val="center"/>
              <w:rPr>
                <w:rFonts w:ascii="Palatino Linotype" w:eastAsia="Calibri" w:hAnsi="Palatino Linotype" w:cs="Tahoma"/>
                <w:sz w:val="22"/>
                <w:szCs w:val="22"/>
              </w:rPr>
            </w:pPr>
            <w:r w:rsidRPr="001E0D8F">
              <w:rPr>
                <w:rFonts w:ascii="Palatino Linotype" w:eastAsia="Calibri" w:hAnsi="Palatino Linotype" w:cs="Tahoma"/>
                <w:sz w:val="22"/>
                <w:szCs w:val="22"/>
              </w:rPr>
              <w:t>Secretario Técnico del Pleno</w:t>
            </w:r>
          </w:p>
          <w:p w:rsidR="00F140E3" w:rsidRPr="001E0D8F" w:rsidRDefault="00945FFE" w:rsidP="00F140E3">
            <w:pPr>
              <w:spacing w:line="360" w:lineRule="auto"/>
              <w:jc w:val="center"/>
              <w:rPr>
                <w:rFonts w:ascii="Palatino Linotype" w:eastAsia="Calibri" w:hAnsi="Palatino Linotype" w:cs="Tahoma"/>
                <w:color w:val="000000"/>
                <w:sz w:val="22"/>
                <w:szCs w:val="22"/>
              </w:rPr>
            </w:pPr>
            <w:r>
              <w:rPr>
                <w:rFonts w:ascii="Palatino Linotype" w:eastAsia="Calibri" w:hAnsi="Palatino Linotype" w:cs="Tahoma"/>
                <w:b/>
                <w:sz w:val="22"/>
                <w:szCs w:val="22"/>
                <w:lang w:eastAsia="es-MX"/>
              </w:rPr>
              <w:t>(Rúbrica)</w:t>
            </w:r>
          </w:p>
        </w:tc>
      </w:tr>
    </w:tbl>
    <w:p w:rsidR="00F140E3" w:rsidRPr="00240477" w:rsidRDefault="00F140E3" w:rsidP="00F140E3">
      <w:pPr>
        <w:tabs>
          <w:tab w:val="left" w:pos="8931"/>
        </w:tabs>
        <w:spacing w:line="360" w:lineRule="auto"/>
        <w:ind w:right="-93"/>
        <w:jc w:val="both"/>
        <w:rPr>
          <w:rFonts w:ascii="Palatino Linotype" w:eastAsia="Calibri" w:hAnsi="Palatino Linotype" w:cs="Arial"/>
          <w:sz w:val="16"/>
          <w:szCs w:val="22"/>
          <w:lang w:eastAsia="en-US"/>
        </w:rPr>
      </w:pPr>
      <w:r w:rsidRPr="00240477">
        <w:rPr>
          <w:rFonts w:ascii="Palatino Linotype" w:eastAsia="Calibri" w:hAnsi="Palatino Linotype" w:cs="Arial"/>
          <w:sz w:val="16"/>
          <w:szCs w:val="22"/>
          <w:lang w:eastAsia="en-US"/>
        </w:rPr>
        <w:t xml:space="preserve">Esta foja corresponde a la resolución de fecha veintiséis de junio de dos mil diecinueve, emitida en el recurso de revisión número </w:t>
      </w:r>
      <w:r w:rsidRPr="00240477">
        <w:rPr>
          <w:rFonts w:ascii="Palatino Linotype" w:eastAsia="Calibri" w:hAnsi="Palatino Linotype" w:cs="Arial"/>
          <w:bCs/>
          <w:sz w:val="16"/>
          <w:szCs w:val="22"/>
          <w:lang w:eastAsia="en-US"/>
        </w:rPr>
        <w:t>02971/INFOEM/IP/RR/2019</w:t>
      </w:r>
      <w:r w:rsidRPr="00240477">
        <w:rPr>
          <w:rFonts w:ascii="Palatino Linotype" w:eastAsia="Calibri" w:hAnsi="Palatino Linotype" w:cs="Arial"/>
          <w:sz w:val="16"/>
          <w:szCs w:val="22"/>
          <w:lang w:eastAsia="en-US"/>
        </w:rPr>
        <w:t>.</w:t>
      </w:r>
    </w:p>
    <w:p w:rsidR="00F140E3" w:rsidRPr="00240477" w:rsidRDefault="00F140E3" w:rsidP="00F140E3">
      <w:pPr>
        <w:tabs>
          <w:tab w:val="left" w:pos="8931"/>
        </w:tabs>
        <w:spacing w:line="360" w:lineRule="auto"/>
        <w:ind w:right="-93"/>
        <w:jc w:val="both"/>
        <w:rPr>
          <w:rFonts w:ascii="Palatino Linotype" w:eastAsia="Calibri" w:hAnsi="Palatino Linotype" w:cs="Arial"/>
          <w:sz w:val="16"/>
          <w:szCs w:val="22"/>
          <w:lang w:eastAsia="en-US"/>
        </w:rPr>
      </w:pPr>
    </w:p>
    <w:p w:rsidR="00F140E3" w:rsidRPr="00240477" w:rsidRDefault="00F140E3" w:rsidP="00F140E3">
      <w:pPr>
        <w:tabs>
          <w:tab w:val="left" w:pos="8931"/>
        </w:tabs>
        <w:spacing w:line="360" w:lineRule="auto"/>
        <w:ind w:right="-93"/>
        <w:jc w:val="both"/>
        <w:rPr>
          <w:rFonts w:ascii="Palatino Linotype" w:eastAsia="Calibri" w:hAnsi="Palatino Linotype" w:cs="Arial"/>
          <w:sz w:val="16"/>
          <w:szCs w:val="22"/>
          <w:lang w:eastAsia="en-US"/>
        </w:rPr>
      </w:pPr>
      <w:r w:rsidRPr="00240477">
        <w:rPr>
          <w:rFonts w:ascii="Palatino Linotype" w:eastAsia="Calibri" w:hAnsi="Palatino Linotype" w:cs="Arial"/>
          <w:sz w:val="16"/>
          <w:szCs w:val="22"/>
          <w:lang w:eastAsia="en-US"/>
        </w:rPr>
        <w:t>OSAM/BPAC</w:t>
      </w:r>
    </w:p>
    <w:sectPr w:rsidR="00F140E3" w:rsidRPr="00240477" w:rsidSect="00F140E3">
      <w:headerReference w:type="default" r:id="rId16"/>
      <w:footerReference w:type="default" r:id="rId17"/>
      <w:headerReference w:type="first" r:id="rId18"/>
      <w:footerReference w:type="first" r:id="rId19"/>
      <w:pgSz w:w="12240" w:h="15840"/>
      <w:pgMar w:top="80" w:right="1325" w:bottom="1418" w:left="1276"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0E3" w:rsidRDefault="00F140E3" w:rsidP="00F140E3">
      <w:r>
        <w:separator/>
      </w:r>
    </w:p>
  </w:endnote>
  <w:endnote w:type="continuationSeparator" w:id="0">
    <w:p w:rsidR="00F140E3" w:rsidRDefault="00F140E3" w:rsidP="00F14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846611"/>
      <w:docPartObj>
        <w:docPartGallery w:val="Page Numbers (Bottom of Page)"/>
        <w:docPartUnique/>
      </w:docPartObj>
    </w:sdtPr>
    <w:sdtEndPr/>
    <w:sdtContent>
      <w:sdt>
        <w:sdtPr>
          <w:id w:val="-40206778"/>
          <w:docPartObj>
            <w:docPartGallery w:val="Page Numbers (Top of Page)"/>
            <w:docPartUnique/>
          </w:docPartObj>
        </w:sdtPr>
        <w:sdtEndPr/>
        <w:sdtContent>
          <w:p w:rsidR="00F140E3" w:rsidRDefault="00F140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08F8">
              <w:rPr>
                <w:b/>
                <w:bCs/>
                <w:noProof/>
              </w:rPr>
              <w:t>53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08F8">
              <w:rPr>
                <w:b/>
                <w:bCs/>
                <w:noProof/>
              </w:rPr>
              <w:t>53</w:t>
            </w:r>
            <w:r>
              <w:rPr>
                <w:b/>
                <w:bCs/>
                <w:sz w:val="24"/>
                <w:szCs w:val="24"/>
              </w:rPr>
              <w:fldChar w:fldCharType="end"/>
            </w:r>
          </w:p>
        </w:sdtContent>
      </w:sdt>
    </w:sdtContent>
  </w:sdt>
  <w:p w:rsidR="00F140E3" w:rsidRDefault="00F140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829628"/>
      <w:docPartObj>
        <w:docPartGallery w:val="Page Numbers (Bottom of Page)"/>
        <w:docPartUnique/>
      </w:docPartObj>
    </w:sdtPr>
    <w:sdtEndPr/>
    <w:sdtContent>
      <w:sdt>
        <w:sdtPr>
          <w:id w:val="1701592460"/>
          <w:docPartObj>
            <w:docPartGallery w:val="Page Numbers (Top of Page)"/>
            <w:docPartUnique/>
          </w:docPartObj>
        </w:sdtPr>
        <w:sdtEndPr/>
        <w:sdtContent>
          <w:p w:rsidR="00F140E3" w:rsidRDefault="00F140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08F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08F8">
              <w:rPr>
                <w:b/>
                <w:bCs/>
                <w:noProof/>
              </w:rPr>
              <w:t>53</w:t>
            </w:r>
            <w:r>
              <w:rPr>
                <w:b/>
                <w:bCs/>
                <w:sz w:val="24"/>
                <w:szCs w:val="24"/>
              </w:rPr>
              <w:fldChar w:fldCharType="end"/>
            </w:r>
          </w:p>
        </w:sdtContent>
      </w:sdt>
    </w:sdtContent>
  </w:sdt>
  <w:p w:rsidR="00F140E3" w:rsidRDefault="00F140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0E3" w:rsidRDefault="00F140E3" w:rsidP="00F140E3">
      <w:r>
        <w:separator/>
      </w:r>
    </w:p>
  </w:footnote>
  <w:footnote w:type="continuationSeparator" w:id="0">
    <w:p w:rsidR="00F140E3" w:rsidRDefault="00F140E3" w:rsidP="00F140E3">
      <w:r>
        <w:continuationSeparator/>
      </w:r>
    </w:p>
  </w:footnote>
  <w:footnote w:id="1">
    <w:p w:rsidR="00F140E3" w:rsidRPr="005552A8" w:rsidRDefault="00F140E3" w:rsidP="00F140E3">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F140E3" w:rsidRPr="005552A8" w:rsidRDefault="00F140E3" w:rsidP="00F140E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140E3" w:rsidRDefault="00F140E3" w:rsidP="00F140E3">
      <w:pPr>
        <w:pStyle w:val="Textonotapie"/>
      </w:pPr>
      <w:r>
        <w:rPr>
          <w:rStyle w:val="Refdenotaalpie"/>
        </w:rPr>
        <w:footnoteRef/>
      </w:r>
      <w:r>
        <w:t xml:space="preserve"> </w:t>
      </w:r>
      <w:r w:rsidRPr="00F33A87">
        <w:rPr>
          <w:b/>
          <w:i/>
          <w:color w:val="3333FF"/>
          <w:sz w:val="22"/>
        </w:rPr>
        <w:t>http://cuentame.inegi.org.mx/monografias/informacion/mex/poblacion/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140E3" w:rsidRPr="005C106F" w:rsidTr="00F140E3">
      <w:trPr>
        <w:trHeight w:val="1435"/>
      </w:trPr>
      <w:tc>
        <w:tcPr>
          <w:tcW w:w="2835" w:type="dxa"/>
          <w:shd w:val="clear" w:color="auto" w:fill="auto"/>
        </w:tcPr>
        <w:p w:rsidR="00F140E3" w:rsidRPr="005C106F" w:rsidRDefault="00F140E3" w:rsidP="00F140E3">
          <w:pPr>
            <w:tabs>
              <w:tab w:val="right" w:pos="4273"/>
            </w:tabs>
            <w:rPr>
              <w:rFonts w:ascii="Garamond" w:eastAsia="Calibri" w:hAnsi="Garamond"/>
              <w:sz w:val="16"/>
              <w:szCs w:val="16"/>
              <w:lang w:eastAsia="en-US"/>
            </w:rPr>
          </w:pPr>
        </w:p>
      </w:tc>
      <w:tc>
        <w:tcPr>
          <w:tcW w:w="6733" w:type="dxa"/>
          <w:shd w:val="clear" w:color="auto" w:fill="auto"/>
        </w:tcPr>
        <w:p w:rsidR="00F140E3" w:rsidRDefault="00F140E3" w:rsidP="00F140E3"/>
        <w:tbl>
          <w:tblPr>
            <w:tblW w:w="6238" w:type="dxa"/>
            <w:tblInd w:w="29" w:type="dxa"/>
            <w:tblLayout w:type="fixed"/>
            <w:tblLook w:val="0420" w:firstRow="1" w:lastRow="0" w:firstColumn="0" w:lastColumn="0" w:noHBand="0" w:noVBand="1"/>
          </w:tblPr>
          <w:tblGrid>
            <w:gridCol w:w="572"/>
            <w:gridCol w:w="2552"/>
            <w:gridCol w:w="2972"/>
            <w:gridCol w:w="142"/>
          </w:tblGrid>
          <w:tr w:rsidR="00F140E3" w:rsidTr="00F140E3">
            <w:trPr>
              <w:gridBefore w:val="1"/>
              <w:gridAfter w:val="1"/>
              <w:wBefore w:w="572" w:type="dxa"/>
              <w:wAfter w:w="142" w:type="dxa"/>
              <w:trHeight w:val="144"/>
            </w:trPr>
            <w:tc>
              <w:tcPr>
                <w:tcW w:w="2552" w:type="dxa"/>
              </w:tcPr>
              <w:p w:rsidR="00F140E3" w:rsidRPr="00026EBB" w:rsidRDefault="00F140E3" w:rsidP="00F140E3">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2972" w:type="dxa"/>
              </w:tcPr>
              <w:p w:rsidR="00F140E3" w:rsidRPr="00026EBB" w:rsidRDefault="00F140E3" w:rsidP="00F140E3">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02971/INFOEM/IP/RR/2019</w:t>
                </w:r>
              </w:p>
            </w:tc>
          </w:tr>
          <w:tr w:rsidR="00F140E3" w:rsidTr="00F140E3">
            <w:trPr>
              <w:gridBefore w:val="1"/>
              <w:gridAfter w:val="1"/>
              <w:wBefore w:w="572" w:type="dxa"/>
              <w:wAfter w:w="142" w:type="dxa"/>
              <w:trHeight w:val="138"/>
            </w:trPr>
            <w:tc>
              <w:tcPr>
                <w:tcW w:w="2552" w:type="dxa"/>
              </w:tcPr>
              <w:p w:rsidR="00F140E3" w:rsidRPr="00026EBB" w:rsidRDefault="00F140E3" w:rsidP="00F140E3">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2972" w:type="dxa"/>
              </w:tcPr>
              <w:p w:rsidR="00F140E3" w:rsidRPr="00026EBB" w:rsidRDefault="00F140E3" w:rsidP="00F140E3">
                <w:pPr>
                  <w:tabs>
                    <w:tab w:val="right" w:pos="8838"/>
                  </w:tabs>
                  <w:ind w:right="29"/>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Ayuntamiento</w:t>
                </w:r>
                <w:r>
                  <w:rPr>
                    <w:rFonts w:ascii="Palatino Linotype" w:eastAsia="Calibri" w:hAnsi="Palatino Linotype" w:cs="Tahoma"/>
                    <w:sz w:val="22"/>
                    <w:szCs w:val="22"/>
                    <w:lang w:eastAsia="en-US"/>
                  </w:rPr>
                  <w:t xml:space="preserve"> de Tonatico</w:t>
                </w:r>
              </w:p>
            </w:tc>
          </w:tr>
          <w:tr w:rsidR="00F140E3" w:rsidTr="00F140E3">
            <w:trPr>
              <w:trHeight w:val="283"/>
            </w:trPr>
            <w:tc>
              <w:tcPr>
                <w:tcW w:w="3124" w:type="dxa"/>
                <w:gridSpan w:val="2"/>
              </w:tcPr>
              <w:p w:rsidR="00F140E3" w:rsidRPr="00026EBB" w:rsidRDefault="00F140E3" w:rsidP="00F140E3">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026EBB">
                  <w:rPr>
                    <w:rFonts w:ascii="Palatino Linotype" w:eastAsia="Calibri" w:hAnsi="Palatino Linotype" w:cs="Tahoma"/>
                    <w:b/>
                    <w:sz w:val="22"/>
                    <w:szCs w:val="22"/>
                    <w:lang w:eastAsia="en-US"/>
                  </w:rPr>
                  <w:t>Comisionado Ponente:</w:t>
                </w:r>
              </w:p>
            </w:tc>
            <w:tc>
              <w:tcPr>
                <w:tcW w:w="3114" w:type="dxa"/>
                <w:gridSpan w:val="2"/>
              </w:tcPr>
              <w:p w:rsidR="00F140E3" w:rsidRPr="00026EBB" w:rsidRDefault="00F140E3" w:rsidP="00F140E3">
                <w:pPr>
                  <w:tabs>
                    <w:tab w:val="right" w:pos="8838"/>
                  </w:tabs>
                  <w:ind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Zulema Martínez Sánchez</w:t>
                </w:r>
              </w:p>
            </w:tc>
          </w:tr>
        </w:tbl>
        <w:p w:rsidR="00F140E3" w:rsidRPr="005C106F" w:rsidRDefault="00F140E3" w:rsidP="00F140E3">
          <w:pPr>
            <w:tabs>
              <w:tab w:val="right" w:pos="8838"/>
            </w:tabs>
            <w:ind w:left="-28"/>
            <w:jc w:val="both"/>
            <w:rPr>
              <w:rFonts w:ascii="Arial" w:eastAsia="Calibri" w:hAnsi="Arial" w:cs="Arial"/>
              <w:b/>
              <w:sz w:val="22"/>
              <w:szCs w:val="22"/>
              <w:lang w:eastAsia="en-US"/>
            </w:rPr>
          </w:pPr>
        </w:p>
      </w:tc>
    </w:tr>
  </w:tbl>
  <w:p w:rsidR="00F140E3" w:rsidRPr="00443C6B" w:rsidRDefault="00F140E3" w:rsidP="00F140E3">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140E3" w:rsidRPr="005C106F" w:rsidTr="00F140E3">
      <w:trPr>
        <w:trHeight w:val="1435"/>
      </w:trPr>
      <w:tc>
        <w:tcPr>
          <w:tcW w:w="2835" w:type="dxa"/>
          <w:shd w:val="clear" w:color="auto" w:fill="auto"/>
        </w:tcPr>
        <w:p w:rsidR="00F140E3" w:rsidRPr="005C106F" w:rsidRDefault="00F140E3" w:rsidP="00F140E3">
          <w:pPr>
            <w:tabs>
              <w:tab w:val="right" w:pos="4273"/>
            </w:tabs>
            <w:rPr>
              <w:rFonts w:ascii="Garamond" w:eastAsia="Calibri" w:hAnsi="Garamond"/>
              <w:sz w:val="16"/>
              <w:szCs w:val="16"/>
              <w:lang w:eastAsia="en-US"/>
            </w:rPr>
          </w:pPr>
        </w:p>
      </w:tc>
      <w:tc>
        <w:tcPr>
          <w:tcW w:w="6733" w:type="dxa"/>
          <w:shd w:val="clear" w:color="auto" w:fill="auto"/>
        </w:tcPr>
        <w:p w:rsidR="00F140E3" w:rsidRPr="005C106F" w:rsidRDefault="00F140E3" w:rsidP="00F140E3">
          <w:pPr>
            <w:tabs>
              <w:tab w:val="right" w:pos="8838"/>
            </w:tabs>
            <w:ind w:left="-28"/>
            <w:jc w:val="both"/>
            <w:rPr>
              <w:rFonts w:ascii="Arial" w:eastAsia="Calibri" w:hAnsi="Arial" w:cs="Arial"/>
              <w:b/>
              <w:sz w:val="22"/>
              <w:szCs w:val="22"/>
              <w:lang w:eastAsia="en-US"/>
            </w:rPr>
          </w:pPr>
        </w:p>
      </w:tc>
    </w:tr>
  </w:tbl>
  <w:p w:rsidR="00F140E3" w:rsidRDefault="00F140E3" w:rsidP="00F140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322769"/>
    <w:multiLevelType w:val="hybridMultilevel"/>
    <w:tmpl w:val="9CEC82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947ADE"/>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A27D9C"/>
    <w:multiLevelType w:val="hybridMultilevel"/>
    <w:tmpl w:val="338E4D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964AA1"/>
    <w:multiLevelType w:val="hybridMultilevel"/>
    <w:tmpl w:val="9CEC82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8A5B08"/>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5"/>
  </w:num>
  <w:num w:numId="2">
    <w:abstractNumId w:val="0"/>
  </w:num>
  <w:num w:numId="3">
    <w:abstractNumId w:val="7"/>
  </w:num>
  <w:num w:numId="4">
    <w:abstractNumId w:val="33"/>
  </w:num>
  <w:num w:numId="5">
    <w:abstractNumId w:val="12"/>
  </w:num>
  <w:num w:numId="6">
    <w:abstractNumId w:val="31"/>
  </w:num>
  <w:num w:numId="7">
    <w:abstractNumId w:val="10"/>
  </w:num>
  <w:num w:numId="8">
    <w:abstractNumId w:val="29"/>
  </w:num>
  <w:num w:numId="9">
    <w:abstractNumId w:val="17"/>
  </w:num>
  <w:num w:numId="10">
    <w:abstractNumId w:val="1"/>
  </w:num>
  <w:num w:numId="11">
    <w:abstractNumId w:val="16"/>
  </w:num>
  <w:num w:numId="12">
    <w:abstractNumId w:val="20"/>
  </w:num>
  <w:num w:numId="13">
    <w:abstractNumId w:val="13"/>
  </w:num>
  <w:num w:numId="14">
    <w:abstractNumId w:val="14"/>
  </w:num>
  <w:num w:numId="15">
    <w:abstractNumId w:val="15"/>
  </w:num>
  <w:num w:numId="16">
    <w:abstractNumId w:val="23"/>
  </w:num>
  <w:num w:numId="17">
    <w:abstractNumId w:val="18"/>
  </w:num>
  <w:num w:numId="18">
    <w:abstractNumId w:val="19"/>
  </w:num>
  <w:num w:numId="19">
    <w:abstractNumId w:val="26"/>
  </w:num>
  <w:num w:numId="20">
    <w:abstractNumId w:val="25"/>
  </w:num>
  <w:num w:numId="21">
    <w:abstractNumId w:val="22"/>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21"/>
  </w:num>
  <w:num w:numId="25">
    <w:abstractNumId w:val="8"/>
  </w:num>
  <w:num w:numId="26">
    <w:abstractNumId w:val="27"/>
  </w:num>
  <w:num w:numId="27">
    <w:abstractNumId w:val="6"/>
  </w:num>
  <w:num w:numId="28">
    <w:abstractNumId w:val="11"/>
  </w:num>
  <w:num w:numId="29">
    <w:abstractNumId w:val="24"/>
  </w:num>
  <w:num w:numId="30">
    <w:abstractNumId w:val="5"/>
  </w:num>
  <w:num w:numId="31">
    <w:abstractNumId w:val="3"/>
  </w:num>
  <w:num w:numId="32">
    <w:abstractNumId w:val="32"/>
  </w:num>
  <w:num w:numId="33">
    <w:abstractNumId w:val="9"/>
  </w:num>
  <w:num w:numId="34">
    <w:abstractNumId w:val="2"/>
  </w:num>
  <w:num w:numId="35">
    <w:abstractNumId w:val="34"/>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0E3"/>
    <w:rsid w:val="00687CB6"/>
    <w:rsid w:val="00945FFE"/>
    <w:rsid w:val="00965F82"/>
    <w:rsid w:val="00C25E33"/>
    <w:rsid w:val="00F140E3"/>
    <w:rsid w:val="00FA08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032DCD-CAE9-4A08-BEDE-8E10C8314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E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F140E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0E3"/>
    <w:rPr>
      <w:rFonts w:asciiTheme="majorHAnsi" w:eastAsiaTheme="majorEastAsia" w:hAnsiTheme="majorHAnsi" w:cstheme="majorBidi"/>
      <w:color w:val="2E74B5" w:themeColor="accent1" w:themeShade="BF"/>
      <w:sz w:val="32"/>
      <w:szCs w:val="32"/>
      <w:lang w:eastAsia="es-ES"/>
    </w:rPr>
  </w:style>
  <w:style w:type="paragraph" w:styleId="Encabezado">
    <w:name w:val="header"/>
    <w:basedOn w:val="Normal"/>
    <w:link w:val="EncabezadoCar"/>
    <w:uiPriority w:val="99"/>
    <w:unhideWhenUsed/>
    <w:rsid w:val="00F140E3"/>
    <w:pPr>
      <w:tabs>
        <w:tab w:val="center" w:pos="4419"/>
        <w:tab w:val="right" w:pos="8838"/>
      </w:tabs>
    </w:pPr>
  </w:style>
  <w:style w:type="character" w:customStyle="1" w:styleId="EncabezadoCar">
    <w:name w:val="Encabezado Car"/>
    <w:basedOn w:val="Fuentedeprrafopredeter"/>
    <w:link w:val="Encabezado"/>
    <w:uiPriority w:val="99"/>
    <w:rsid w:val="00F140E3"/>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F140E3"/>
    <w:pPr>
      <w:tabs>
        <w:tab w:val="center" w:pos="4419"/>
        <w:tab w:val="right" w:pos="8838"/>
      </w:tabs>
    </w:pPr>
  </w:style>
  <w:style w:type="character" w:customStyle="1" w:styleId="PiedepginaCar">
    <w:name w:val="Pie de página Car"/>
    <w:basedOn w:val="Fuentedeprrafopredeter"/>
    <w:link w:val="Piedepgina"/>
    <w:uiPriority w:val="99"/>
    <w:rsid w:val="00F140E3"/>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140E3"/>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40E3"/>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F140E3"/>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F140E3"/>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F140E3"/>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F140E3"/>
    <w:rPr>
      <w:rFonts w:ascii="Calibri" w:eastAsia="Calibri" w:hAnsi="Calibri" w:cs="Times New Roman"/>
      <w:sz w:val="20"/>
      <w:szCs w:val="20"/>
    </w:rPr>
  </w:style>
  <w:style w:type="table" w:styleId="Tablaconcuadrcula">
    <w:name w:val="Table Grid"/>
    <w:basedOn w:val="Tablanormal"/>
    <w:uiPriority w:val="59"/>
    <w:rsid w:val="00F140E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F140E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140E3"/>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F140E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140E3"/>
  </w:style>
  <w:style w:type="character" w:customStyle="1" w:styleId="AsuntodelcomentarioCar">
    <w:name w:val="Asunto del comentario Car"/>
    <w:basedOn w:val="TextocomentarioCar"/>
    <w:link w:val="Asuntodelcomentario"/>
    <w:uiPriority w:val="99"/>
    <w:semiHidden/>
    <w:rsid w:val="00F140E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140E3"/>
    <w:rPr>
      <w:b/>
      <w:bCs/>
    </w:rPr>
  </w:style>
  <w:style w:type="character" w:customStyle="1" w:styleId="maestrofonttexto">
    <w:name w:val="maestro_fonttexto"/>
    <w:basedOn w:val="Fuentedeprrafopredeter"/>
    <w:rsid w:val="00F140E3"/>
  </w:style>
  <w:style w:type="character" w:styleId="Textoennegrita">
    <w:name w:val="Strong"/>
    <w:qFormat/>
    <w:rsid w:val="00F140E3"/>
    <w:rPr>
      <w:b/>
      <w:bCs/>
    </w:rPr>
  </w:style>
  <w:style w:type="character" w:customStyle="1" w:styleId="HTMLconformatoprevioCar">
    <w:name w:val="HTML con formato previo Car"/>
    <w:basedOn w:val="Fuentedeprrafopredeter"/>
    <w:link w:val="HTMLconformatoprevio"/>
    <w:uiPriority w:val="99"/>
    <w:semiHidden/>
    <w:rsid w:val="00F140E3"/>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F14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customStyle="1" w:styleId="Default">
    <w:name w:val="Default"/>
    <w:rsid w:val="00F140E3"/>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F140E3"/>
    <w:rPr>
      <w:sz w:val="20"/>
      <w:szCs w:val="20"/>
    </w:rPr>
  </w:style>
  <w:style w:type="paragraph" w:customStyle="1" w:styleId="Estilo1">
    <w:name w:val="Estilo1"/>
    <w:basedOn w:val="Textoindependiente"/>
    <w:rsid w:val="00F140E3"/>
  </w:style>
  <w:style w:type="paragraph" w:styleId="Textoindependiente">
    <w:name w:val="Body Text"/>
    <w:basedOn w:val="Normal"/>
    <w:link w:val="TextoindependienteCar"/>
    <w:uiPriority w:val="99"/>
    <w:unhideWhenUsed/>
    <w:rsid w:val="00F140E3"/>
    <w:pPr>
      <w:spacing w:after="120"/>
    </w:pPr>
  </w:style>
  <w:style w:type="character" w:customStyle="1" w:styleId="TextoindependienteCar">
    <w:name w:val="Texto independiente Car"/>
    <w:basedOn w:val="Fuentedeprrafopredeter"/>
    <w:link w:val="Textoindependiente"/>
    <w:uiPriority w:val="99"/>
    <w:rsid w:val="00F140E3"/>
    <w:rPr>
      <w:rFonts w:ascii="Times New Roman" w:eastAsia="Times New Roman" w:hAnsi="Times New Roman" w:cs="Times New Roman"/>
      <w:sz w:val="20"/>
      <w:szCs w:val="20"/>
      <w:lang w:eastAsia="es-ES"/>
    </w:rPr>
  </w:style>
  <w:style w:type="paragraph" w:styleId="Sinespaciado">
    <w:name w:val="No Spacing"/>
    <w:aliases w:val="INAI,Francesa"/>
    <w:link w:val="SinespaciadoCar"/>
    <w:uiPriority w:val="1"/>
    <w:qFormat/>
    <w:rsid w:val="00F140E3"/>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F140E3"/>
    <w:rPr>
      <w:rFonts w:ascii="Arial" w:eastAsia="Batang" w:hAnsi="Arial" w:cs="Times New Roman"/>
      <w:sz w:val="20"/>
      <w:szCs w:val="24"/>
      <w:lang w:eastAsia="es-ES"/>
    </w:rPr>
  </w:style>
  <w:style w:type="paragraph" w:styleId="Lista">
    <w:name w:val="List"/>
    <w:basedOn w:val="Normal"/>
    <w:uiPriority w:val="99"/>
    <w:unhideWhenUsed/>
    <w:rsid w:val="00F140E3"/>
    <w:pPr>
      <w:ind w:left="283" w:hanging="283"/>
      <w:contextualSpacing/>
    </w:pPr>
  </w:style>
  <w:style w:type="paragraph" w:styleId="Lista2">
    <w:name w:val="List 2"/>
    <w:basedOn w:val="Normal"/>
    <w:uiPriority w:val="99"/>
    <w:unhideWhenUsed/>
    <w:rsid w:val="00F140E3"/>
    <w:pPr>
      <w:ind w:left="566" w:hanging="283"/>
      <w:contextualSpacing/>
    </w:pPr>
  </w:style>
  <w:style w:type="paragraph" w:styleId="Lista3">
    <w:name w:val="List 3"/>
    <w:basedOn w:val="Normal"/>
    <w:uiPriority w:val="99"/>
    <w:unhideWhenUsed/>
    <w:rsid w:val="00F140E3"/>
    <w:pPr>
      <w:ind w:left="849" w:hanging="283"/>
      <w:contextualSpacing/>
    </w:pPr>
  </w:style>
  <w:style w:type="paragraph" w:styleId="Lista4">
    <w:name w:val="List 4"/>
    <w:basedOn w:val="Normal"/>
    <w:uiPriority w:val="99"/>
    <w:unhideWhenUsed/>
    <w:rsid w:val="00F140E3"/>
    <w:pPr>
      <w:ind w:left="1132" w:hanging="283"/>
      <w:contextualSpacing/>
    </w:pPr>
  </w:style>
  <w:style w:type="paragraph" w:styleId="Saludo">
    <w:name w:val="Salutation"/>
    <w:basedOn w:val="Normal"/>
    <w:next w:val="Normal"/>
    <w:link w:val="SaludoCar"/>
    <w:uiPriority w:val="99"/>
    <w:unhideWhenUsed/>
    <w:rsid w:val="00F140E3"/>
  </w:style>
  <w:style w:type="character" w:customStyle="1" w:styleId="SaludoCar">
    <w:name w:val="Saludo Car"/>
    <w:basedOn w:val="Fuentedeprrafopredeter"/>
    <w:link w:val="Saludo"/>
    <w:uiPriority w:val="99"/>
    <w:rsid w:val="00F140E3"/>
    <w:rPr>
      <w:rFonts w:ascii="Times New Roman" w:eastAsia="Times New Roman" w:hAnsi="Times New Roman" w:cs="Times New Roman"/>
      <w:sz w:val="20"/>
      <w:szCs w:val="20"/>
      <w:lang w:eastAsia="es-ES"/>
    </w:rPr>
  </w:style>
  <w:style w:type="paragraph" w:styleId="Listaconvietas2">
    <w:name w:val="List Bullet 2"/>
    <w:basedOn w:val="Normal"/>
    <w:uiPriority w:val="99"/>
    <w:unhideWhenUsed/>
    <w:rsid w:val="00F140E3"/>
    <w:pPr>
      <w:numPr>
        <w:numId w:val="2"/>
      </w:numPr>
      <w:contextualSpacing/>
    </w:pPr>
  </w:style>
  <w:style w:type="paragraph" w:styleId="Puesto">
    <w:name w:val="Title"/>
    <w:basedOn w:val="Normal"/>
    <w:next w:val="Normal"/>
    <w:link w:val="PuestoCar"/>
    <w:uiPriority w:val="10"/>
    <w:qFormat/>
    <w:rsid w:val="00F140E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140E3"/>
    <w:rPr>
      <w:rFonts w:asciiTheme="majorHAnsi" w:eastAsiaTheme="majorEastAsia" w:hAnsiTheme="majorHAnsi" w:cstheme="majorBidi"/>
      <w:spacing w:val="-10"/>
      <w:kern w:val="28"/>
      <w:sz w:val="56"/>
      <w:szCs w:val="56"/>
      <w:lang w:eastAsia="es-ES"/>
    </w:rPr>
  </w:style>
  <w:style w:type="paragraph" w:styleId="Sangradetextonormal">
    <w:name w:val="Body Text Indent"/>
    <w:basedOn w:val="Normal"/>
    <w:link w:val="SangradetextonormalCar"/>
    <w:uiPriority w:val="99"/>
    <w:unhideWhenUsed/>
    <w:rsid w:val="00F140E3"/>
    <w:pPr>
      <w:spacing w:after="120"/>
      <w:ind w:left="283"/>
    </w:pPr>
  </w:style>
  <w:style w:type="character" w:customStyle="1" w:styleId="SangradetextonormalCar">
    <w:name w:val="Sangría de texto normal Car"/>
    <w:basedOn w:val="Fuentedeprrafopredeter"/>
    <w:link w:val="Sangradetextonormal"/>
    <w:uiPriority w:val="99"/>
    <w:rsid w:val="00F140E3"/>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F140E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140E3"/>
    <w:rPr>
      <w:rFonts w:ascii="Times New Roman" w:eastAsia="Times New Roman" w:hAnsi="Times New Roman" w:cs="Times New Roman"/>
      <w:sz w:val="20"/>
      <w:szCs w:val="20"/>
      <w:lang w:eastAsia="es-ES"/>
    </w:rPr>
  </w:style>
  <w:style w:type="character" w:customStyle="1" w:styleId="maestrofonttexto1">
    <w:name w:val="maestro_fonttexto1"/>
    <w:basedOn w:val="Fuentedeprrafopredeter"/>
    <w:rsid w:val="00F140E3"/>
    <w:rPr>
      <w:rFonts w:ascii="Arial" w:hAnsi="Arial" w:cs="Arial" w:hint="default"/>
      <w:sz w:val="15"/>
      <w:szCs w:val="15"/>
    </w:rPr>
  </w:style>
  <w:style w:type="character" w:customStyle="1" w:styleId="apple-converted-space">
    <w:name w:val="apple-converted-space"/>
    <w:basedOn w:val="Fuentedeprrafopredeter"/>
    <w:rsid w:val="00F14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artados.hacienda.gob.mx/contabilidad/documentos/informe_cuenta/1998/cuenta_publica/Glosario/n.htm"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ransparenciapresupuestaria.gob.mx/es/PTP/Glosario"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13777</Words>
  <Characters>75778</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2019-08-23T01:43:00Z</dcterms:created>
  <dcterms:modified xsi:type="dcterms:W3CDTF">2019-08-23T01:43:00Z</dcterms:modified>
</cp:coreProperties>
</file>