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D0" w:rsidRPr="0024200F" w:rsidRDefault="006F6BD0" w:rsidP="006F6BD0">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veintisiete de noviembre de dos mil diecinueve</w:t>
      </w:r>
      <w:r w:rsidRPr="0024200F">
        <w:rPr>
          <w:rFonts w:ascii="Palatino Linotype" w:hAnsi="Palatino Linotype"/>
        </w:rPr>
        <w:t>.</w:t>
      </w:r>
    </w:p>
    <w:p w:rsidR="006F6BD0" w:rsidRPr="0024200F" w:rsidRDefault="006F6BD0" w:rsidP="006F6BD0">
      <w:pPr>
        <w:spacing w:line="360" w:lineRule="auto"/>
        <w:jc w:val="both"/>
        <w:rPr>
          <w:rFonts w:ascii="Palatino Linotype" w:hAnsi="Palatino Linotype"/>
        </w:rPr>
      </w:pPr>
    </w:p>
    <w:p w:rsidR="006F6BD0" w:rsidRPr="0024200F" w:rsidRDefault="006F6BD0" w:rsidP="006F6BD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7545/INFOEM/IP/RR/2019, </w:t>
      </w:r>
      <w:r w:rsidRPr="0024200F">
        <w:rPr>
          <w:rFonts w:ascii="Palatino Linotype" w:hAnsi="Palatino Linotype"/>
        </w:rPr>
        <w:t xml:space="preserve">promovido por </w:t>
      </w:r>
      <w:r w:rsidRPr="006F6BD0">
        <w:rPr>
          <w:rFonts w:ascii="Palatino Linotype" w:hAnsi="Palatino Linotype"/>
          <w:b/>
        </w:rPr>
        <w:t>XXXXXXXXXXXXXXXXXXXXXXX</w:t>
      </w:r>
      <w:r w:rsidRPr="0024200F">
        <w:rPr>
          <w:rFonts w:ascii="Palatino Linotype" w:hAnsi="Palatino Linotype"/>
        </w:rPr>
        <w:t xml:space="preserve">, en lo sucesivo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8A133F">
        <w:rPr>
          <w:rFonts w:ascii="Palatino Linotype" w:hAnsi="Palatino Linotype"/>
          <w:b/>
        </w:rPr>
        <w:t xml:space="preserve">Ayuntamiento de </w:t>
      </w:r>
      <w:r>
        <w:rPr>
          <w:rFonts w:ascii="Palatino Linotype" w:hAnsi="Palatino Linotype"/>
          <w:b/>
        </w:rPr>
        <w:t>San José del Rincón,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6F6BD0" w:rsidRPr="002478BC" w:rsidRDefault="006F6BD0" w:rsidP="006F6BD0">
      <w:pPr>
        <w:spacing w:line="360" w:lineRule="auto"/>
        <w:jc w:val="center"/>
        <w:rPr>
          <w:rFonts w:ascii="Palatino Linotype" w:hAnsi="Palatino Linotype"/>
          <w:b/>
          <w:bCs/>
          <w:spacing w:val="60"/>
          <w:lang w:val="es-ES_tradnl"/>
        </w:rPr>
      </w:pPr>
    </w:p>
    <w:p w:rsidR="006F6BD0" w:rsidRPr="0024200F" w:rsidRDefault="006F6BD0" w:rsidP="006F6BD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F6BD0" w:rsidRPr="0024200F" w:rsidRDefault="006F6BD0" w:rsidP="006F6BD0">
      <w:pPr>
        <w:spacing w:line="360" w:lineRule="auto"/>
        <w:jc w:val="center"/>
        <w:rPr>
          <w:rFonts w:ascii="Palatino Linotype" w:hAnsi="Palatino Linotype"/>
          <w:b/>
          <w:bCs/>
          <w:spacing w:val="60"/>
          <w:lang w:val="es-ES_tradnl"/>
        </w:rPr>
      </w:pPr>
    </w:p>
    <w:p w:rsidR="006F6BD0" w:rsidRPr="0024200F" w:rsidRDefault="006F6BD0" w:rsidP="006F6BD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nueve de agosto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4972FF">
        <w:rPr>
          <w:rFonts w:ascii="Palatino Linotype" w:hAnsi="Palatino Linotype"/>
          <w:b/>
          <w:bCs/>
        </w:rPr>
        <w:t>00070/JOSERIN/IP/2019</w:t>
      </w:r>
      <w:r w:rsidRPr="00EB633E">
        <w:rPr>
          <w:rFonts w:ascii="Palatino Linotype" w:hAnsi="Palatino Linotype"/>
          <w:bCs/>
        </w:rPr>
        <w:t xml:space="preserve"> </w:t>
      </w:r>
      <w:r w:rsidRPr="0024200F">
        <w:rPr>
          <w:rFonts w:ascii="Palatino Linotype" w:hAnsi="Palatino Linotype"/>
        </w:rPr>
        <w:t>mediante la cual solicitó lo siguiente:</w:t>
      </w:r>
    </w:p>
    <w:p w:rsidR="006F6BD0" w:rsidRDefault="006F6BD0" w:rsidP="006F6BD0">
      <w:pPr>
        <w:spacing w:line="360" w:lineRule="auto"/>
        <w:jc w:val="both"/>
        <w:rPr>
          <w:rFonts w:ascii="Palatino Linotype" w:hAnsi="Palatino Linotype" w:cs="Arial"/>
        </w:rPr>
      </w:pPr>
    </w:p>
    <w:p w:rsidR="006F6BD0" w:rsidRPr="00157DDD" w:rsidRDefault="006F6BD0" w:rsidP="006F6BD0">
      <w:pPr>
        <w:ind w:left="567" w:right="616"/>
        <w:jc w:val="both"/>
        <w:rPr>
          <w:rFonts w:ascii="Palatino Linotype" w:hAnsi="Palatino Linotype"/>
          <w:bCs/>
          <w:i/>
          <w:sz w:val="22"/>
        </w:rPr>
      </w:pPr>
      <w:r w:rsidRPr="00157DDD">
        <w:rPr>
          <w:rFonts w:ascii="Palatino Linotype" w:hAnsi="Palatino Linotype"/>
          <w:bCs/>
          <w:i/>
          <w:sz w:val="22"/>
        </w:rPr>
        <w:t>“</w:t>
      </w:r>
      <w:r w:rsidRPr="004972FF">
        <w:rPr>
          <w:rFonts w:ascii="Palatino Linotype" w:hAnsi="Palatino Linotype"/>
          <w:bCs/>
          <w:i/>
          <w:sz w:val="22"/>
        </w:rPr>
        <w:t xml:space="preserve">Solicito la copia fiel de la Carpeta Roja que entrego la Comisión Federal de Electricidad al ayuntamiento de San José del Rincón, relativos a las obras de Electrificación Rural ejecutadas en 2018 a Continuación señaladas 1. ELECTRIFICACIÓN RURAL en COLONIA LAS TINAJAS con número de contrato MSJR/DDUyOP/FISMDF/OB/IR-118/2018. 2. ELECTRIFICACIÓN RURAL en FUNDEREJE BARRIO EL REMBLAZO con número de contrato MSJR/DDUyOP/FISMDF/OB/IR-148/2018. Dicha Carpeta Roja contiene lo siguiente a. NOTIFICACIÓN DE CONTRATACIÓN b. CARTA PODER c. SOLICITUD DE SERVICIO DE ENERGÍA ELÉCTRICA d. SOLICITUD DE FACTIBILIDAD e. PRESUPUESTO DE CARGOS POR OBRA ESPECÍFICA Y DE </w:t>
      </w:r>
      <w:r w:rsidRPr="004972FF">
        <w:rPr>
          <w:rFonts w:ascii="Palatino Linotype" w:hAnsi="Palatino Linotype"/>
          <w:bCs/>
          <w:i/>
          <w:sz w:val="22"/>
        </w:rPr>
        <w:lastRenderedPageBreak/>
        <w:t>AMPLIACIÓN f. FICHA DE DEPÓSITO POR EL PAGO DE SERVICIO g. ACTA DE ENTREGA-RECEPCIÓN h. PRUEBAS DE TIERRA i. BITÁCORA DE SUPERVISIÓN DE OBRA CONSTRUIDA POR TERRENO POR COMISIÓN FEDERAL DE ELECTRICIDAD MANIFESTANDO QUE LA OBRA SE ENCUENTRA EN TOTAL FUNCIONAMIENTO j. ACTA DE ENTREGA RECEPCIÓN DE LA OBRA HACIA LA COMUNIDAD</w:t>
      </w:r>
      <w:r>
        <w:rPr>
          <w:rFonts w:ascii="Palatino Linotype" w:hAnsi="Palatino Linotype"/>
          <w:bCs/>
          <w:i/>
          <w:sz w:val="22"/>
        </w:rPr>
        <w:t>”</w:t>
      </w:r>
    </w:p>
    <w:p w:rsidR="006F6BD0" w:rsidRPr="00B02F4C" w:rsidRDefault="006F6BD0" w:rsidP="006F6BD0">
      <w:pPr>
        <w:spacing w:line="360" w:lineRule="auto"/>
        <w:ind w:left="567" w:right="616"/>
        <w:jc w:val="both"/>
        <w:rPr>
          <w:rFonts w:ascii="Palatino Linotype" w:hAnsi="Palatino Linotype"/>
          <w:bCs/>
        </w:rPr>
      </w:pPr>
    </w:p>
    <w:p w:rsidR="006F6BD0" w:rsidRDefault="006F6BD0" w:rsidP="006F6BD0">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F6BD0" w:rsidRDefault="006F6BD0" w:rsidP="006F6BD0">
      <w:pPr>
        <w:spacing w:line="360" w:lineRule="auto"/>
        <w:jc w:val="both"/>
        <w:rPr>
          <w:rFonts w:ascii="Palatino Linotype" w:hAnsi="Palatino Linotype"/>
          <w:szCs w:val="28"/>
          <w:lang w:val="es-MX"/>
        </w:rPr>
      </w:pPr>
    </w:p>
    <w:p w:rsidR="006F6BD0" w:rsidRPr="0024200F" w:rsidRDefault="006F6BD0" w:rsidP="006F6BD0">
      <w:pPr>
        <w:spacing w:line="360" w:lineRule="auto"/>
        <w:jc w:val="both"/>
        <w:rPr>
          <w:rFonts w:ascii="Palatino Linotype" w:hAnsi="Palatino Linotype"/>
          <w:szCs w:val="28"/>
          <w:lang w:val="es-MX"/>
        </w:rPr>
      </w:pPr>
    </w:p>
    <w:p w:rsidR="006F6BD0" w:rsidRDefault="006F6BD0" w:rsidP="006F6BD0">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w:t>
      </w:r>
      <w:r>
        <w:rPr>
          <w:rFonts w:ascii="Palatino Linotype" w:hAnsi="Palatino Linotype"/>
        </w:rPr>
        <w:t xml:space="preserve"> aperturado para la atención de la solicitud de información</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el día quince de agosto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términos siguientes:</w:t>
      </w:r>
    </w:p>
    <w:p w:rsidR="006F6BD0" w:rsidRDefault="006F6BD0" w:rsidP="006F6BD0">
      <w:pPr>
        <w:spacing w:line="360" w:lineRule="auto"/>
        <w:jc w:val="both"/>
        <w:rPr>
          <w:rFonts w:ascii="Palatino Linotype" w:hAnsi="Palatino Linotype"/>
        </w:rPr>
      </w:pPr>
    </w:p>
    <w:p w:rsidR="006F6BD0" w:rsidRDefault="006F6BD0" w:rsidP="006F6BD0">
      <w:pPr>
        <w:ind w:left="567" w:right="616"/>
        <w:jc w:val="both"/>
        <w:rPr>
          <w:rFonts w:ascii="Palatino Linotype" w:hAnsi="Palatino Linotype"/>
          <w:bCs/>
          <w:i/>
          <w:sz w:val="22"/>
        </w:rPr>
      </w:pPr>
      <w:r>
        <w:rPr>
          <w:rFonts w:ascii="Palatino Linotype" w:hAnsi="Palatino Linotype"/>
          <w:bCs/>
          <w:i/>
          <w:sz w:val="22"/>
        </w:rPr>
        <w:t>“</w:t>
      </w:r>
      <w:r w:rsidRPr="004972FF">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F6BD0" w:rsidRPr="004972FF" w:rsidRDefault="006F6BD0" w:rsidP="006F6BD0">
      <w:pPr>
        <w:ind w:left="567" w:right="616"/>
        <w:jc w:val="both"/>
        <w:rPr>
          <w:rFonts w:ascii="Palatino Linotype" w:hAnsi="Palatino Linotype"/>
          <w:bCs/>
          <w:i/>
          <w:sz w:val="22"/>
        </w:rPr>
      </w:pPr>
    </w:p>
    <w:p w:rsidR="006F6BD0" w:rsidRPr="009B13E3" w:rsidRDefault="006F6BD0" w:rsidP="006F6BD0">
      <w:pPr>
        <w:ind w:left="567" w:right="616"/>
        <w:jc w:val="both"/>
        <w:rPr>
          <w:rFonts w:ascii="Palatino Linotype" w:hAnsi="Palatino Linotype"/>
          <w:bCs/>
          <w:i/>
          <w:sz w:val="22"/>
        </w:rPr>
      </w:pPr>
      <w:r w:rsidRPr="004972FF">
        <w:rPr>
          <w:rFonts w:ascii="Palatino Linotype" w:hAnsi="Palatino Linotype"/>
          <w:bCs/>
          <w:i/>
          <w:sz w:val="22"/>
        </w:rPr>
        <w:t>Por medio del presente y en atención a la solicitud de información número 00070/JOSERIN/IP/2019, turnada a esta Unidad Administrativa a través del sistema, envió a usted en medio digital la respuesta referente a los requerimientos de la información que aparece adjunta a dicha solicitud, dando así cumplimiento en tiempo y forma con lo requerido de acuerdo a lo dispuesto por la Ley de Transparencia y Acceso a la Información Pública del Estado de México y Municipios.</w:t>
      </w:r>
      <w:r>
        <w:rPr>
          <w:rFonts w:ascii="Palatino Linotype" w:hAnsi="Palatino Linotype"/>
          <w:bCs/>
          <w:i/>
          <w:sz w:val="22"/>
        </w:rPr>
        <w:t>” (Sic)</w:t>
      </w:r>
    </w:p>
    <w:p w:rsidR="006F6BD0" w:rsidRDefault="006F6BD0" w:rsidP="006F6BD0">
      <w:pPr>
        <w:spacing w:line="360" w:lineRule="auto"/>
        <w:ind w:right="616"/>
        <w:jc w:val="both"/>
        <w:rPr>
          <w:rFonts w:ascii="Palatino Linotype" w:hAnsi="Palatino Linotype"/>
          <w:bCs/>
        </w:rPr>
      </w:pPr>
    </w:p>
    <w:p w:rsidR="006F6BD0" w:rsidRPr="00F71FCE" w:rsidRDefault="006F6BD0" w:rsidP="006F6BD0">
      <w:pPr>
        <w:spacing w:line="360" w:lineRule="auto"/>
        <w:ind w:right="49"/>
        <w:jc w:val="both"/>
        <w:rPr>
          <w:rFonts w:ascii="Palatino Linotype" w:hAnsi="Palatino Linotype"/>
          <w:bCs/>
        </w:rPr>
      </w:pPr>
      <w:r>
        <w:rPr>
          <w:rFonts w:ascii="Palatino Linotype" w:hAnsi="Palatino Linotype"/>
          <w:bCs/>
        </w:rPr>
        <w:t xml:space="preserve">Se hace constar que el </w:t>
      </w:r>
      <w:r>
        <w:rPr>
          <w:rFonts w:ascii="Palatino Linotype" w:hAnsi="Palatino Linotype"/>
          <w:b/>
          <w:bCs/>
        </w:rPr>
        <w:t>sujeto obligado</w:t>
      </w:r>
      <w:r>
        <w:rPr>
          <w:rFonts w:ascii="Palatino Linotype" w:hAnsi="Palatino Linotype"/>
          <w:bCs/>
        </w:rPr>
        <w:t xml:space="preserve"> adjunto a su respuesta los archivos electrónicos “</w:t>
      </w:r>
      <w:r w:rsidRPr="004972FF">
        <w:rPr>
          <w:rFonts w:ascii="Palatino Linotype" w:hAnsi="Palatino Linotype"/>
          <w:bCs/>
        </w:rPr>
        <w:t>sol. 70 EL REEMBLAZO.pdf</w:t>
      </w:r>
      <w:r>
        <w:rPr>
          <w:rFonts w:ascii="Palatino Linotype" w:hAnsi="Palatino Linotype"/>
          <w:bCs/>
        </w:rPr>
        <w:t>”, “</w:t>
      </w:r>
      <w:r w:rsidRPr="004972FF">
        <w:rPr>
          <w:rFonts w:ascii="Palatino Linotype" w:hAnsi="Palatino Linotype"/>
          <w:bCs/>
        </w:rPr>
        <w:t>sol. 70 BARRIO LAS TINAJAS.pdf</w:t>
      </w:r>
      <w:r>
        <w:rPr>
          <w:rFonts w:ascii="Palatino Linotype" w:hAnsi="Palatino Linotype"/>
          <w:bCs/>
        </w:rPr>
        <w:t>” y “</w:t>
      </w:r>
      <w:r w:rsidRPr="004972FF">
        <w:rPr>
          <w:rFonts w:ascii="Palatino Linotype" w:hAnsi="Palatino Linotype"/>
          <w:bCs/>
        </w:rPr>
        <w:t>sol. 70.pdf</w:t>
      </w:r>
      <w:r>
        <w:rPr>
          <w:rFonts w:ascii="Palatino Linotype" w:hAnsi="Palatino Linotype"/>
          <w:bCs/>
        </w:rPr>
        <w:t>”, de los que se omite su inserción en este apartado al ser del conocimiento de las partes, en obvio de repeticiones innecesarias, máxime que serán objeto de estudio en párrafos posteriores.</w:t>
      </w:r>
    </w:p>
    <w:p w:rsidR="006F6BD0" w:rsidRDefault="006F6BD0" w:rsidP="006F6BD0">
      <w:pPr>
        <w:spacing w:line="360" w:lineRule="auto"/>
        <w:ind w:right="51"/>
        <w:jc w:val="both"/>
        <w:rPr>
          <w:rFonts w:ascii="Palatino Linotype" w:hAnsi="Palatino Linotype" w:cs="Arial"/>
        </w:rPr>
      </w:pPr>
      <w:r>
        <w:rPr>
          <w:rFonts w:ascii="Palatino Linotype" w:hAnsi="Palatino Linotype" w:cs="Arial"/>
          <w:b/>
          <w:sz w:val="28"/>
          <w:szCs w:val="28"/>
        </w:rPr>
        <w:lastRenderedPageBreak/>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w:t>
      </w:r>
      <w:r>
        <w:rPr>
          <w:rFonts w:ascii="Palatino Linotype" w:hAnsi="Palatino Linotype" w:cs="Arial"/>
        </w:rPr>
        <w:t>el día veintitrés de septiembre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el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7545</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los siguientes:</w:t>
      </w:r>
    </w:p>
    <w:p w:rsidR="006F6BD0" w:rsidRDefault="006F6BD0" w:rsidP="006F6BD0">
      <w:pPr>
        <w:spacing w:line="360" w:lineRule="auto"/>
        <w:ind w:right="51"/>
        <w:jc w:val="both"/>
        <w:rPr>
          <w:rFonts w:ascii="Palatino Linotype" w:hAnsi="Palatino Linotype" w:cs="Arial"/>
        </w:rPr>
      </w:pPr>
    </w:p>
    <w:p w:rsidR="006F6BD0" w:rsidRPr="00BF2971" w:rsidRDefault="006F6BD0" w:rsidP="006F6BD0">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Pr="004972FF">
        <w:rPr>
          <w:rFonts w:ascii="Palatino Linotype" w:hAnsi="Palatino Linotype"/>
          <w:i/>
        </w:rPr>
        <w:t>NO SE ENTREGA INFORMACION</w:t>
      </w:r>
      <w:r w:rsidRPr="00BF2971">
        <w:rPr>
          <w:rFonts w:ascii="Palatino Linotype" w:hAnsi="Palatino Linotype"/>
          <w:i/>
        </w:rPr>
        <w:t>” (sic)</w:t>
      </w:r>
    </w:p>
    <w:p w:rsidR="006F6BD0" w:rsidRPr="00BF2971" w:rsidRDefault="006F6BD0" w:rsidP="006F6BD0">
      <w:pPr>
        <w:spacing w:line="360" w:lineRule="auto"/>
        <w:ind w:right="51"/>
        <w:jc w:val="both"/>
        <w:rPr>
          <w:rFonts w:ascii="Palatino Linotype" w:hAnsi="Palatino Linotype"/>
          <w:b/>
        </w:rPr>
      </w:pPr>
    </w:p>
    <w:p w:rsidR="006F6BD0" w:rsidRPr="00BF2971" w:rsidRDefault="006F6BD0" w:rsidP="006F6BD0">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Pr="004972FF">
        <w:rPr>
          <w:rFonts w:ascii="Palatino Linotype" w:hAnsi="Palatino Linotype"/>
          <w:i/>
        </w:rPr>
        <w:t>NO SE DA RESPUESTA A LA SOLICITUD</w:t>
      </w:r>
      <w:r w:rsidRPr="00BF2971">
        <w:rPr>
          <w:rFonts w:ascii="Palatino Linotype" w:hAnsi="Palatino Linotype"/>
          <w:i/>
        </w:rPr>
        <w:t>” (sic)</w:t>
      </w:r>
    </w:p>
    <w:p w:rsidR="006F6BD0" w:rsidRDefault="006F6BD0" w:rsidP="006F6BD0">
      <w:pPr>
        <w:spacing w:line="360" w:lineRule="auto"/>
        <w:ind w:right="51"/>
        <w:jc w:val="both"/>
        <w:rPr>
          <w:rFonts w:ascii="Palatino Linotype" w:hAnsi="Palatino Linotype"/>
        </w:rPr>
      </w:pPr>
    </w:p>
    <w:p w:rsidR="006F6BD0" w:rsidRDefault="006F6BD0" w:rsidP="006F6BD0">
      <w:pPr>
        <w:spacing w:line="360" w:lineRule="auto"/>
        <w:ind w:right="51"/>
        <w:jc w:val="both"/>
        <w:rPr>
          <w:rFonts w:ascii="Palatino Linotype" w:hAnsi="Palatino Linotype"/>
        </w:rPr>
      </w:pPr>
    </w:p>
    <w:p w:rsidR="006F6BD0" w:rsidRDefault="006F6BD0" w:rsidP="006F6BD0">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veintitres de septiembre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6F6BD0" w:rsidRDefault="006F6BD0" w:rsidP="006F6BD0">
      <w:pPr>
        <w:spacing w:line="360" w:lineRule="auto"/>
        <w:ind w:right="49"/>
        <w:jc w:val="both"/>
        <w:rPr>
          <w:rFonts w:ascii="Palatino Linotype" w:hAnsi="Palatino Linotype" w:cs="Arial"/>
          <w:lang w:val="es-ES_tradnl"/>
        </w:rPr>
      </w:pPr>
    </w:p>
    <w:p w:rsidR="006F6BD0" w:rsidRDefault="006F6BD0" w:rsidP="006F6BD0">
      <w:pPr>
        <w:spacing w:line="360" w:lineRule="auto"/>
        <w:ind w:right="49"/>
        <w:jc w:val="both"/>
        <w:rPr>
          <w:rFonts w:ascii="Palatino Linotype" w:hAnsi="Palatino Linotype" w:cs="Arial"/>
          <w:lang w:val="es-ES_tradnl"/>
        </w:rPr>
      </w:pPr>
    </w:p>
    <w:p w:rsidR="006F6BD0" w:rsidRDefault="006F6BD0" w:rsidP="006F6BD0">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veintisiete de septiembre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w:t>
      </w:r>
      <w:r>
        <w:rPr>
          <w:rFonts w:ascii="Palatino Linotype" w:hAnsi="Palatino Linotype" w:cs="Arial"/>
        </w:rPr>
        <w:t>s</w:t>
      </w:r>
      <w:r w:rsidRPr="0024200F">
        <w:rPr>
          <w:rFonts w:ascii="Palatino Linotype" w:hAnsi="Palatino Linotype" w:cs="Arial"/>
        </w:rPr>
        <w:t>, mismo que se pus</w:t>
      </w:r>
      <w:r>
        <w:rPr>
          <w:rFonts w:ascii="Palatino Linotype" w:hAnsi="Palatino Linotype" w:cs="Arial"/>
        </w:rPr>
        <w:t xml:space="preserve">o </w:t>
      </w:r>
      <w:r w:rsidRPr="0024200F">
        <w:rPr>
          <w:rFonts w:ascii="Palatino Linotype" w:hAnsi="Palatino Linotype" w:cs="Arial"/>
        </w:rPr>
        <w:t xml:space="preserve">a disposición de las partes, para que en un plazo </w:t>
      </w:r>
      <w:r w:rsidRPr="0024200F">
        <w:rPr>
          <w:rFonts w:ascii="Palatino Linotype" w:hAnsi="Palatino Linotype" w:cs="Arial"/>
        </w:rPr>
        <w:lastRenderedPageBreak/>
        <w:t>máximo de siete días hábiles, realizarán manifestaciones y ofrecieran las pruebas y alegatos que a su derecho conviniera o exhibieran el informe justificado, según fuera el caso.</w:t>
      </w:r>
    </w:p>
    <w:p w:rsidR="006F6BD0" w:rsidRDefault="006F6BD0" w:rsidP="006F6BD0">
      <w:pPr>
        <w:spacing w:line="360" w:lineRule="auto"/>
        <w:ind w:right="49"/>
        <w:jc w:val="both"/>
        <w:rPr>
          <w:rFonts w:ascii="Palatino Linotype" w:hAnsi="Palatino Linotype" w:cs="Arial"/>
          <w:lang w:val="es-ES_tradnl"/>
        </w:rPr>
      </w:pPr>
    </w:p>
    <w:p w:rsidR="006F6BD0" w:rsidRPr="0024200F" w:rsidRDefault="006F6BD0" w:rsidP="006F6BD0">
      <w:pPr>
        <w:spacing w:line="360" w:lineRule="auto"/>
        <w:ind w:right="49"/>
        <w:jc w:val="both"/>
        <w:rPr>
          <w:rFonts w:ascii="Palatino Linotype" w:hAnsi="Palatino Linotype" w:cs="Arial"/>
          <w:lang w:val="es-ES_tradnl"/>
        </w:rPr>
      </w:pPr>
    </w:p>
    <w:p w:rsidR="006F6BD0" w:rsidRDefault="006F6BD0" w:rsidP="006F6BD0">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Pr>
          <w:rFonts w:ascii="Palatino Linotype" w:hAnsi="Palatino Linotype" w:cs="Arial"/>
          <w:lang w:val="es-ES_tradnl"/>
        </w:rPr>
        <w:t>el expediente electrónico d</w:t>
      </w:r>
      <w:r w:rsidRPr="0024200F">
        <w:rPr>
          <w:rFonts w:ascii="Palatino Linotype" w:hAnsi="Palatino Linotype" w:cs="Arial"/>
          <w:lang w:val="es-ES_tradnl"/>
        </w:rPr>
        <w:t>el</w:t>
      </w:r>
      <w:r>
        <w:rPr>
          <w:rFonts w:ascii="Palatino Linotype" w:hAnsi="Palatino Linotype" w:cs="Arial"/>
          <w:lang w:val="es-ES_tradnl"/>
        </w:rPr>
        <w:t xml:space="preserve"> recurso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 informe justificado dentro del término de ley que le fue otorgado, de igual manera, el </w:t>
      </w:r>
      <w:r>
        <w:rPr>
          <w:rFonts w:ascii="Palatino Linotype" w:hAnsi="Palatino Linotype" w:cs="Arial"/>
          <w:b/>
          <w:lang w:val="es-ES_tradnl"/>
        </w:rPr>
        <w:t>recurrente</w:t>
      </w:r>
      <w:r>
        <w:rPr>
          <w:rFonts w:ascii="Palatino Linotype" w:hAnsi="Palatino Linotype" w:cs="Arial"/>
          <w:lang w:val="es-ES_tradnl"/>
        </w:rPr>
        <w:t xml:space="preserve"> no hizo valer manifestación alguna que a sus intereses convinieran.</w:t>
      </w:r>
    </w:p>
    <w:p w:rsidR="006F6BD0" w:rsidRDefault="006F6BD0" w:rsidP="006F6BD0">
      <w:pPr>
        <w:spacing w:line="360" w:lineRule="auto"/>
        <w:jc w:val="both"/>
        <w:rPr>
          <w:rFonts w:ascii="Palatino Linotype" w:hAnsi="Palatino Linotype" w:cs="Arial"/>
          <w:lang w:val="es-ES_tradnl"/>
        </w:rPr>
      </w:pPr>
    </w:p>
    <w:p w:rsidR="006F6BD0" w:rsidRPr="00A569F5" w:rsidRDefault="006F6BD0" w:rsidP="006F6BD0">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Al no existir prueba pendiente de desahogo, en fecha nueve de octubre de dos mil diecinueve,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6F6BD0" w:rsidRDefault="006F6BD0" w:rsidP="006F6BD0">
      <w:pPr>
        <w:spacing w:line="360" w:lineRule="auto"/>
        <w:jc w:val="both"/>
        <w:rPr>
          <w:rFonts w:ascii="Palatino Linotype" w:hAnsi="Palatino Linotype" w:cs="Arial"/>
          <w:lang w:val="es-ES_tradnl"/>
        </w:rPr>
      </w:pPr>
    </w:p>
    <w:p w:rsidR="006F6BD0" w:rsidRDefault="006F6BD0" w:rsidP="006F6BD0">
      <w:pPr>
        <w:spacing w:line="360" w:lineRule="auto"/>
        <w:jc w:val="both"/>
        <w:rPr>
          <w:rFonts w:ascii="Palatino Linotype" w:hAnsi="Palatino Linotype" w:cs="Arial"/>
          <w:lang w:val="es-ES_tradnl"/>
        </w:rPr>
      </w:pPr>
    </w:p>
    <w:p w:rsidR="006F6BD0" w:rsidRPr="009C4F08" w:rsidRDefault="006F6BD0" w:rsidP="006F6BD0">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Pr>
          <w:rFonts w:ascii="Palatino Linotype" w:hAnsi="Palatino Linotype" w:cs="Arial"/>
          <w:lang w:val="es-ES_tradnl"/>
        </w:rPr>
        <w:t xml:space="preserve"> once de noviembre de </w:t>
      </w:r>
      <w:r w:rsidRPr="00553F78">
        <w:rPr>
          <w:rFonts w:ascii="Palatino Linotype" w:hAnsi="Palatino Linotype" w:cs="Arial"/>
          <w:lang w:val="es-ES_tradnl"/>
        </w:rPr>
        <w:t>dos mil diecinueve</w:t>
      </w:r>
      <w:r w:rsidRPr="009C4F08">
        <w:rPr>
          <w:rFonts w:ascii="Palatino Linotype" w:hAnsi="Palatino Linotype" w:cs="Arial"/>
          <w:lang w:val="es-ES_tradnl"/>
        </w:rPr>
        <w:t xml:space="preserve">, se acordó ampliar por el plazo de quince días hábiles más, </w:t>
      </w:r>
      <w:r>
        <w:rPr>
          <w:rFonts w:ascii="Palatino Linotype" w:hAnsi="Palatino Linotype" w:cs="Arial"/>
          <w:lang w:val="es-ES_tradnl"/>
        </w:rPr>
        <w:t>e</w:t>
      </w:r>
      <w:r w:rsidRPr="009C4F08">
        <w:rPr>
          <w:rFonts w:ascii="Palatino Linotype" w:hAnsi="Palatino Linotype" w:cs="Arial"/>
          <w:lang w:val="es-ES_tradnl"/>
        </w:rPr>
        <w:t>l término de ley para emitir la resolución respectiva</w:t>
      </w:r>
      <w:r>
        <w:rPr>
          <w:rFonts w:ascii="Palatino Linotype" w:hAnsi="Palatino Linotype" w:cs="Arial"/>
          <w:lang w:val="es-ES_tradnl"/>
        </w:rPr>
        <w:t>.</w:t>
      </w:r>
    </w:p>
    <w:p w:rsidR="006F6BD0" w:rsidRDefault="006F6BD0" w:rsidP="006F6BD0">
      <w:pPr>
        <w:pStyle w:val="Prrafodelista"/>
        <w:spacing w:line="360" w:lineRule="auto"/>
        <w:ind w:left="0"/>
        <w:jc w:val="both"/>
        <w:rPr>
          <w:rFonts w:ascii="Palatino Linotype" w:hAnsi="Palatino Linotype" w:cs="Arial"/>
          <w:lang w:val="es-ES_tradnl"/>
        </w:rPr>
      </w:pPr>
    </w:p>
    <w:p w:rsidR="006F6BD0" w:rsidRPr="0024200F" w:rsidRDefault="006F6BD0" w:rsidP="006F6BD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6F6BD0" w:rsidRPr="0024200F" w:rsidRDefault="006F6BD0" w:rsidP="006F6BD0">
      <w:pPr>
        <w:spacing w:line="360" w:lineRule="auto"/>
        <w:ind w:right="49"/>
        <w:jc w:val="both"/>
        <w:rPr>
          <w:rFonts w:ascii="Palatino Linotype" w:hAnsi="Palatino Linotype"/>
          <w:b/>
        </w:rPr>
      </w:pPr>
    </w:p>
    <w:p w:rsidR="006F6BD0" w:rsidRPr="00FB3150" w:rsidRDefault="006F6BD0" w:rsidP="006F6BD0">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F6BD0" w:rsidRPr="0024200F" w:rsidRDefault="006F6BD0" w:rsidP="006F6BD0">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el</w:t>
      </w:r>
      <w:r w:rsidRPr="0024200F">
        <w:rPr>
          <w:rFonts w:ascii="Palatino Linotype" w:hAnsi="Palatino Linotype"/>
        </w:rPr>
        <w:t xml:space="preserve"> presente recurso de revisión interpuesto por </w:t>
      </w:r>
      <w:r w:rsidRPr="0024200F">
        <w:rPr>
          <w:rFonts w:ascii="Palatino Linotype" w:hAnsi="Palatino Linotype"/>
          <w:b/>
        </w:rPr>
        <w:t>l</w:t>
      </w:r>
      <w:r>
        <w:rPr>
          <w:rFonts w:ascii="Palatino Linotype" w:hAnsi="Palatino Linotype"/>
          <w:b/>
        </w:rPr>
        <w:t>a</w:t>
      </w:r>
      <w:r w:rsidRPr="0024200F">
        <w:rPr>
          <w:rFonts w:ascii="Palatino Linotype" w:hAnsi="Palatino Linotype"/>
          <w:b/>
        </w:rPr>
        <w:t xml:space="preserve">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6F6BD0" w:rsidRDefault="006F6BD0" w:rsidP="006F6BD0">
      <w:pPr>
        <w:spacing w:line="360" w:lineRule="auto"/>
        <w:ind w:right="49"/>
        <w:jc w:val="both"/>
        <w:rPr>
          <w:rFonts w:ascii="Palatino Linotype" w:hAnsi="Palatino Linotype" w:cs="Arial"/>
        </w:rPr>
      </w:pPr>
    </w:p>
    <w:p w:rsidR="006F6BD0" w:rsidRDefault="006F6BD0" w:rsidP="006F6BD0">
      <w:pPr>
        <w:spacing w:line="360" w:lineRule="auto"/>
        <w:ind w:right="49"/>
        <w:jc w:val="both"/>
        <w:rPr>
          <w:rFonts w:ascii="Palatino Linotype" w:hAnsi="Palatino Linotype" w:cs="Arial"/>
        </w:rPr>
      </w:pPr>
    </w:p>
    <w:p w:rsidR="006F6BD0" w:rsidRPr="00FB3150" w:rsidRDefault="006F6BD0" w:rsidP="006F6BD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F6BD0" w:rsidRPr="009805A9" w:rsidRDefault="006F6BD0" w:rsidP="006F6BD0">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6BD0" w:rsidRDefault="006F6BD0" w:rsidP="006F6BD0">
      <w:pPr>
        <w:autoSpaceDE w:val="0"/>
        <w:autoSpaceDN w:val="0"/>
        <w:adjustRightInd w:val="0"/>
        <w:spacing w:line="360" w:lineRule="auto"/>
        <w:jc w:val="both"/>
        <w:rPr>
          <w:rFonts w:ascii="Palatino Linotype" w:hAnsi="Palatino Linotype" w:cs="Arial"/>
        </w:rPr>
      </w:pPr>
    </w:p>
    <w:p w:rsidR="006F6BD0" w:rsidRDefault="006F6BD0" w:rsidP="006F6BD0">
      <w:pPr>
        <w:autoSpaceDE w:val="0"/>
        <w:autoSpaceDN w:val="0"/>
        <w:adjustRightInd w:val="0"/>
        <w:spacing w:line="360" w:lineRule="auto"/>
        <w:jc w:val="both"/>
        <w:rPr>
          <w:rFonts w:ascii="Palatino Linotype" w:hAnsi="Palatino Linotype" w:cs="Arial"/>
        </w:rPr>
      </w:pPr>
    </w:p>
    <w:p w:rsidR="006F6BD0" w:rsidRDefault="006F6BD0" w:rsidP="006F6BD0">
      <w:pPr>
        <w:autoSpaceDE w:val="0"/>
        <w:autoSpaceDN w:val="0"/>
        <w:adjustRightInd w:val="0"/>
        <w:spacing w:line="360" w:lineRule="auto"/>
        <w:jc w:val="both"/>
        <w:rPr>
          <w:rFonts w:ascii="Palatino Linotype" w:hAnsi="Palatino Linotype" w:cs="Arial"/>
        </w:rPr>
      </w:pPr>
    </w:p>
    <w:p w:rsidR="006F6BD0" w:rsidRPr="00FB3150" w:rsidRDefault="006F6BD0" w:rsidP="006F6BD0">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F6BD0" w:rsidRDefault="006F6BD0" w:rsidP="006F6BD0">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6F6BD0" w:rsidRDefault="006F6BD0" w:rsidP="006F6BD0">
      <w:pPr>
        <w:spacing w:line="360" w:lineRule="auto"/>
        <w:ind w:right="49"/>
        <w:jc w:val="both"/>
        <w:rPr>
          <w:rFonts w:ascii="Palatino Linotype" w:hAnsi="Palatino Linotype" w:cs="Arial"/>
        </w:rPr>
      </w:pPr>
    </w:p>
    <w:p w:rsidR="006F6BD0" w:rsidRDefault="006F6BD0" w:rsidP="006F6BD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24200F">
        <w:rPr>
          <w:rFonts w:ascii="Palatino Linotype" w:hAnsi="Palatino Linotype" w:cs="Arial"/>
        </w:rPr>
        <w:lastRenderedPageBreak/>
        <w:t xml:space="preserve">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F6BD0" w:rsidRDefault="006F6BD0" w:rsidP="006F6BD0">
      <w:pPr>
        <w:pStyle w:val="Prrafodelista"/>
        <w:autoSpaceDE w:val="0"/>
        <w:autoSpaceDN w:val="0"/>
        <w:adjustRightInd w:val="0"/>
        <w:spacing w:line="360" w:lineRule="auto"/>
        <w:ind w:left="0"/>
        <w:jc w:val="both"/>
        <w:rPr>
          <w:rFonts w:ascii="Palatino Linotype" w:hAnsi="Palatino Linotype" w:cs="Arial"/>
        </w:rPr>
      </w:pPr>
    </w:p>
    <w:p w:rsidR="006F6BD0" w:rsidRDefault="006F6BD0" w:rsidP="006F6BD0">
      <w:pPr>
        <w:pStyle w:val="Prrafodelista"/>
        <w:autoSpaceDE w:val="0"/>
        <w:autoSpaceDN w:val="0"/>
        <w:adjustRightInd w:val="0"/>
        <w:spacing w:line="360" w:lineRule="auto"/>
        <w:ind w:left="0"/>
        <w:jc w:val="both"/>
        <w:rPr>
          <w:rFonts w:ascii="Palatino Linotype" w:hAnsi="Palatino Linotype" w:cs="Arial"/>
        </w:rPr>
      </w:pPr>
    </w:p>
    <w:p w:rsidR="006F6BD0" w:rsidRPr="00FB3150" w:rsidRDefault="006F6BD0" w:rsidP="006F6BD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F6BD0" w:rsidRPr="0024200F" w:rsidRDefault="006F6BD0" w:rsidP="006F6BD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F6BD0" w:rsidRPr="0024200F" w:rsidRDefault="006F6BD0" w:rsidP="006F6BD0">
      <w:pPr>
        <w:pStyle w:val="Prrafodelista"/>
        <w:autoSpaceDE w:val="0"/>
        <w:autoSpaceDN w:val="0"/>
        <w:adjustRightInd w:val="0"/>
        <w:spacing w:line="360" w:lineRule="auto"/>
        <w:ind w:left="0"/>
        <w:jc w:val="both"/>
        <w:rPr>
          <w:rFonts w:ascii="Palatino Linotype" w:hAnsi="Palatino Linotype" w:cs="Arial"/>
        </w:rPr>
      </w:pP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cs="Arial"/>
        </w:rPr>
      </w:pP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 xml:space="preserve">y hacer la comparativa de lo entregado con lo solicitado, una en frente de la otra a efecto de elaborar las inferencias </w:t>
      </w:r>
      <w:r w:rsidRPr="00744648">
        <w:rPr>
          <w:rFonts w:ascii="Palatino Linotype" w:hAnsi="Palatino Linotype" w:cs="Arial"/>
        </w:rPr>
        <w:lastRenderedPageBreak/>
        <w:t>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cs="Arial"/>
        </w:rPr>
      </w:pP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rPr>
        <w:t>Por lo que resulta necesario recordar que el</w:t>
      </w:r>
      <w:r>
        <w:rPr>
          <w:rFonts w:ascii="Palatino Linotype" w:hAnsi="Palatino Linotype"/>
        </w:rPr>
        <w:t xml:space="preserve"> </w:t>
      </w:r>
      <w:r>
        <w:rPr>
          <w:rFonts w:ascii="Palatino Linotype" w:hAnsi="Palatino Linotype"/>
          <w:b/>
        </w:rPr>
        <w:t xml:space="preserve">recurrente </w:t>
      </w:r>
      <w:r>
        <w:rPr>
          <w:rFonts w:ascii="Palatino Linotype" w:hAnsi="Palatino Linotype"/>
        </w:rPr>
        <w:t>objetivamente peticiona le sea entregado lo siguiente:</w:t>
      </w:r>
    </w:p>
    <w:p w:rsidR="006F6BD0" w:rsidRDefault="006F6BD0" w:rsidP="006F6BD0">
      <w:pPr>
        <w:pStyle w:val="Prrafodelista"/>
        <w:widowControl w:val="0"/>
        <w:autoSpaceDE w:val="0"/>
        <w:autoSpaceDN w:val="0"/>
        <w:adjustRightInd w:val="0"/>
        <w:spacing w:line="360" w:lineRule="auto"/>
        <w:ind w:left="0"/>
        <w:jc w:val="both"/>
        <w:rPr>
          <w:rFonts w:ascii="Palatino Linotype" w:hAnsi="Palatino Linotype"/>
        </w:rPr>
      </w:pPr>
    </w:p>
    <w:p w:rsidR="006F6BD0" w:rsidRPr="00AC2188" w:rsidRDefault="006F6BD0" w:rsidP="006F6BD0">
      <w:pPr>
        <w:pStyle w:val="Prrafodelista"/>
        <w:widowControl w:val="0"/>
        <w:numPr>
          <w:ilvl w:val="0"/>
          <w:numId w:val="3"/>
        </w:numPr>
        <w:autoSpaceDE w:val="0"/>
        <w:autoSpaceDN w:val="0"/>
        <w:adjustRightInd w:val="0"/>
        <w:spacing w:line="360" w:lineRule="auto"/>
        <w:jc w:val="both"/>
        <w:rPr>
          <w:rFonts w:ascii="Palatino Linotype" w:hAnsi="Palatino Linotype"/>
        </w:rPr>
      </w:pPr>
      <w:r w:rsidRPr="00AC2188">
        <w:rPr>
          <w:rFonts w:ascii="Palatino Linotype" w:hAnsi="Palatino Linotype"/>
        </w:rPr>
        <w:t>Las carpetas rojas que entregó la Comisión Federal de Electricidad de las obras de electrificación Rural ejecutadas en el año 2018 (dos mil dieciocho), las cuales deben contener Notificación de contratación, carta poder, solicitud de servicio de energía eléctrica, solicitud de factibilidad, presupuesto de cargos por obra específica y de ampliación, ficha de depósito por el pago de servicio, acta de entrega recepción, pruebas de tierra, bitácoras de supervisión de obra, de las obras siguientes:</w:t>
      </w:r>
    </w:p>
    <w:p w:rsidR="006F6BD0" w:rsidRPr="0024200F" w:rsidRDefault="006F6BD0" w:rsidP="006F6BD0">
      <w:pPr>
        <w:pStyle w:val="Prrafodelista"/>
        <w:widowControl w:val="0"/>
        <w:autoSpaceDE w:val="0"/>
        <w:autoSpaceDN w:val="0"/>
        <w:adjustRightInd w:val="0"/>
        <w:spacing w:line="360" w:lineRule="auto"/>
        <w:ind w:left="0"/>
        <w:jc w:val="both"/>
        <w:rPr>
          <w:rFonts w:ascii="Palatino Linotype" w:hAnsi="Palatino Linotype"/>
        </w:rPr>
      </w:pPr>
    </w:p>
    <w:p w:rsidR="006F6BD0" w:rsidRDefault="006F6BD0" w:rsidP="006F6BD0">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Electrificación rural en la colonia Las Tinajas con número de contrato </w:t>
      </w:r>
      <w:r w:rsidRPr="001C4070">
        <w:rPr>
          <w:rFonts w:ascii="Palatino Linotype" w:hAnsi="Palatino Linotype" w:cs="Arial"/>
          <w:color w:val="000000" w:themeColor="text1"/>
        </w:rPr>
        <w:t>MSJR/DDUyOP/FISMDF/OB/IR-118/2018</w:t>
      </w:r>
      <w:r>
        <w:rPr>
          <w:rFonts w:ascii="Palatino Linotype" w:hAnsi="Palatino Linotype" w:cs="Arial"/>
          <w:color w:val="000000" w:themeColor="text1"/>
        </w:rPr>
        <w:t>;</w:t>
      </w:r>
    </w:p>
    <w:p w:rsidR="006F6BD0" w:rsidRDefault="006F6BD0" w:rsidP="006F6BD0">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Electrificación rural en Fundereje Barrio El Reemblazo con número de contrato </w:t>
      </w:r>
      <w:r w:rsidRPr="001C4070">
        <w:rPr>
          <w:rFonts w:ascii="Palatino Linotype" w:hAnsi="Palatino Linotype" w:cs="Arial"/>
          <w:color w:val="000000" w:themeColor="text1"/>
        </w:rPr>
        <w:t>MSJR/DDUyOP/FISMDF/OB/IR-148/2018</w:t>
      </w:r>
      <w:r>
        <w:rPr>
          <w:rFonts w:ascii="Palatino Linotype" w:hAnsi="Palatino Linotype" w:cs="Arial"/>
          <w:color w:val="000000" w:themeColor="text1"/>
        </w:rPr>
        <w:t>;</w:t>
      </w:r>
    </w:p>
    <w:p w:rsidR="006F6BD0" w:rsidRDefault="006F6BD0" w:rsidP="006F6BD0">
      <w:pPr>
        <w:spacing w:line="360" w:lineRule="auto"/>
        <w:ind w:right="49"/>
        <w:jc w:val="both"/>
        <w:rPr>
          <w:rFonts w:ascii="Palatino Linotype" w:hAnsi="Palatino Linotype" w:cs="Arial"/>
          <w:color w:val="000000" w:themeColor="text1"/>
        </w:rPr>
      </w:pPr>
    </w:p>
    <w:p w:rsidR="006F6BD0" w:rsidRDefault="006F6BD0" w:rsidP="006F6BD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emitió respuesta mediante los archivos electrónicos </w:t>
      </w:r>
      <w:r>
        <w:rPr>
          <w:rFonts w:ascii="Palatino Linotype" w:hAnsi="Palatino Linotype"/>
          <w:bCs/>
        </w:rPr>
        <w:t>“</w:t>
      </w:r>
      <w:r w:rsidRPr="004972FF">
        <w:rPr>
          <w:rFonts w:ascii="Palatino Linotype" w:hAnsi="Palatino Linotype"/>
          <w:bCs/>
        </w:rPr>
        <w:t>sol. 70 EL REEMBLAZO.pdf</w:t>
      </w:r>
      <w:r>
        <w:rPr>
          <w:rFonts w:ascii="Palatino Linotype" w:hAnsi="Palatino Linotype"/>
          <w:bCs/>
        </w:rPr>
        <w:t>”, “</w:t>
      </w:r>
      <w:r w:rsidRPr="004972FF">
        <w:rPr>
          <w:rFonts w:ascii="Palatino Linotype" w:hAnsi="Palatino Linotype"/>
          <w:bCs/>
        </w:rPr>
        <w:t>sol. 70 BARRIO LAS TINAJAS.pdf</w:t>
      </w:r>
      <w:r>
        <w:rPr>
          <w:rFonts w:ascii="Palatino Linotype" w:hAnsi="Palatino Linotype"/>
          <w:bCs/>
        </w:rPr>
        <w:t>” y “</w:t>
      </w:r>
      <w:r w:rsidRPr="004972FF">
        <w:rPr>
          <w:rFonts w:ascii="Palatino Linotype" w:hAnsi="Palatino Linotype"/>
          <w:bCs/>
        </w:rPr>
        <w:t>sol. 70.pdf</w:t>
      </w:r>
      <w:r>
        <w:rPr>
          <w:rFonts w:ascii="Palatino Linotype" w:hAnsi="Palatino Linotype"/>
          <w:bCs/>
        </w:rPr>
        <w:t>”</w:t>
      </w:r>
      <w:r>
        <w:rPr>
          <w:rFonts w:ascii="Palatino Linotype" w:hAnsi="Palatino Linotype" w:cs="Arial"/>
          <w:color w:val="000000" w:themeColor="text1"/>
        </w:rPr>
        <w:t>, de los que se procede al estudio y análisis de su contenido, advirtiéndose lo siguiente:</w:t>
      </w:r>
    </w:p>
    <w:p w:rsidR="006F6BD0" w:rsidRDefault="006F6BD0" w:rsidP="006F6BD0">
      <w:pPr>
        <w:spacing w:line="360" w:lineRule="auto"/>
        <w:ind w:right="49"/>
        <w:jc w:val="both"/>
        <w:rPr>
          <w:rFonts w:ascii="Palatino Linotype" w:hAnsi="Palatino Linotype" w:cs="Arial"/>
          <w:color w:val="000000" w:themeColor="text1"/>
        </w:rPr>
      </w:pPr>
    </w:p>
    <w:p w:rsidR="006F6BD0" w:rsidRDefault="006F6BD0" w:rsidP="006F6BD0">
      <w:pPr>
        <w:pStyle w:val="Prrafodelista"/>
        <w:numPr>
          <w:ilvl w:val="0"/>
          <w:numId w:val="3"/>
        </w:numPr>
        <w:spacing w:line="360" w:lineRule="auto"/>
        <w:ind w:right="49"/>
        <w:jc w:val="both"/>
        <w:rPr>
          <w:rFonts w:ascii="Palatino Linotype" w:hAnsi="Palatino Linotype" w:cs="Arial"/>
          <w:color w:val="000000" w:themeColor="text1"/>
        </w:rPr>
      </w:pPr>
      <w:r w:rsidRPr="00B02FF6">
        <w:rPr>
          <w:rFonts w:ascii="Palatino Linotype" w:hAnsi="Palatino Linotype" w:cs="Arial"/>
          <w:b/>
          <w:color w:val="000000" w:themeColor="text1"/>
        </w:rPr>
        <w:lastRenderedPageBreak/>
        <w:t>sol. 70 EL REEMBLAZO.pdf:</w:t>
      </w:r>
      <w:r>
        <w:rPr>
          <w:rFonts w:ascii="Palatino Linotype" w:hAnsi="Palatino Linotype" w:cs="Arial"/>
          <w:color w:val="000000" w:themeColor="text1"/>
        </w:rPr>
        <w:t xml:space="preserve"> contiene el expediente de la obra “Ampliación R. D. de Electrificación en la comunidad de Fundereje el Reembazo Municipio de San José del Rincón.</w:t>
      </w:r>
    </w:p>
    <w:p w:rsidR="006F6BD0" w:rsidRDefault="006F6BD0" w:rsidP="006F6BD0">
      <w:pPr>
        <w:pStyle w:val="Prrafodelista"/>
        <w:spacing w:line="360" w:lineRule="auto"/>
        <w:ind w:left="720" w:right="49"/>
        <w:jc w:val="both"/>
        <w:rPr>
          <w:rFonts w:ascii="Palatino Linotype" w:hAnsi="Palatino Linotype" w:cs="Arial"/>
          <w:color w:val="000000" w:themeColor="text1"/>
        </w:rPr>
      </w:pPr>
    </w:p>
    <w:p w:rsidR="006F6BD0" w:rsidRDefault="006F6BD0" w:rsidP="006F6BD0">
      <w:pPr>
        <w:pStyle w:val="Prrafodelista"/>
        <w:numPr>
          <w:ilvl w:val="0"/>
          <w:numId w:val="3"/>
        </w:numPr>
        <w:spacing w:line="360" w:lineRule="auto"/>
        <w:ind w:right="49"/>
        <w:jc w:val="both"/>
        <w:rPr>
          <w:rFonts w:ascii="Palatino Linotype" w:hAnsi="Palatino Linotype" w:cs="Arial"/>
          <w:color w:val="000000" w:themeColor="text1"/>
        </w:rPr>
      </w:pPr>
      <w:r w:rsidRPr="00B02FF6">
        <w:rPr>
          <w:rFonts w:ascii="Palatino Linotype" w:hAnsi="Palatino Linotype" w:cs="Arial"/>
          <w:b/>
          <w:color w:val="000000" w:themeColor="text1"/>
        </w:rPr>
        <w:t xml:space="preserve">sol. 70 BARRIO LAS TINAJAS.pdf: </w:t>
      </w:r>
      <w:r>
        <w:rPr>
          <w:rFonts w:ascii="Palatino Linotype" w:hAnsi="Palatino Linotype" w:cs="Arial"/>
          <w:color w:val="000000" w:themeColor="text1"/>
        </w:rPr>
        <w:t>contiene el expediente de la obra “Ampliación R. D. de Electrificación en la comunidad de Las Tinajas, Municipio de San José del Rincón.</w:t>
      </w:r>
    </w:p>
    <w:p w:rsidR="006F6BD0" w:rsidRDefault="006F6BD0" w:rsidP="006F6BD0">
      <w:pPr>
        <w:pStyle w:val="Prrafodelista"/>
        <w:spacing w:line="360" w:lineRule="auto"/>
        <w:ind w:left="720" w:right="49"/>
        <w:jc w:val="both"/>
        <w:rPr>
          <w:rFonts w:ascii="Palatino Linotype" w:hAnsi="Palatino Linotype" w:cs="Arial"/>
          <w:color w:val="000000" w:themeColor="text1"/>
        </w:rPr>
      </w:pPr>
    </w:p>
    <w:p w:rsidR="006F6BD0" w:rsidRPr="00BA2036" w:rsidRDefault="006F6BD0" w:rsidP="006F6BD0">
      <w:pPr>
        <w:pStyle w:val="Prrafodelista"/>
        <w:numPr>
          <w:ilvl w:val="0"/>
          <w:numId w:val="3"/>
        </w:numPr>
        <w:spacing w:line="360" w:lineRule="auto"/>
        <w:ind w:right="49"/>
        <w:jc w:val="both"/>
        <w:rPr>
          <w:rFonts w:ascii="Palatino Linotype" w:hAnsi="Palatino Linotype" w:cs="Arial"/>
          <w:color w:val="000000" w:themeColor="text1"/>
        </w:rPr>
      </w:pPr>
      <w:r w:rsidRPr="00D5078E">
        <w:rPr>
          <w:rFonts w:ascii="Palatino Linotype" w:hAnsi="Palatino Linotype" w:cs="Arial"/>
          <w:b/>
          <w:color w:val="000000" w:themeColor="text1"/>
        </w:rPr>
        <w:t>sol. 70.pdf:</w:t>
      </w:r>
      <w:r>
        <w:rPr>
          <w:rFonts w:ascii="Palatino Linotype" w:hAnsi="Palatino Linotype" w:cs="Arial"/>
          <w:color w:val="000000" w:themeColor="text1"/>
        </w:rPr>
        <w:t xml:space="preserve"> consistente en el oficio de fecha treinta de agosto de dos mil diecinueve, mediante el cual el Director de Obras Públicas y Desarrollo Urbano remite al titular de la Unidad de Transparencia, ambos del sujeto obligado, las carpetas rojas de las obras mencionadas en la solicitud de información, precisando mencionar que es la información que se recibió en el acto de entrega-recepción del área a cargo por la administración 2016 – 2018.</w:t>
      </w:r>
    </w:p>
    <w:p w:rsidR="006F6BD0" w:rsidRDefault="006F6BD0" w:rsidP="006F6BD0">
      <w:pPr>
        <w:spacing w:line="360" w:lineRule="auto"/>
        <w:ind w:right="49"/>
        <w:jc w:val="both"/>
        <w:rPr>
          <w:rFonts w:ascii="Palatino Linotype" w:hAnsi="Palatino Linotype" w:cs="Arial"/>
          <w:color w:val="000000" w:themeColor="text1"/>
        </w:rPr>
      </w:pPr>
    </w:p>
    <w:p w:rsidR="006F6BD0" w:rsidRPr="00F87A76" w:rsidRDefault="006F6BD0" w:rsidP="006F6BD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en los que preciso como acto impugnado y razones o motivos de inconformidad, </w:t>
      </w:r>
      <w:r>
        <w:rPr>
          <w:rFonts w:ascii="Palatino Linotype" w:hAnsi="Palatino Linotype" w:cs="Arial"/>
          <w:i/>
          <w:color w:val="000000" w:themeColor="text1"/>
        </w:rPr>
        <w:t>“no se entrega información”</w:t>
      </w:r>
      <w:r>
        <w:rPr>
          <w:rFonts w:ascii="Palatino Linotype" w:hAnsi="Palatino Linotype" w:cs="Arial"/>
          <w:color w:val="000000" w:themeColor="text1"/>
        </w:rPr>
        <w:t>.</w:t>
      </w:r>
    </w:p>
    <w:p w:rsidR="006F6BD0" w:rsidRDefault="006F6BD0" w:rsidP="006F6BD0">
      <w:pPr>
        <w:spacing w:line="360" w:lineRule="auto"/>
        <w:ind w:right="49"/>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Atentos a lo anterior, resulta procedente el estudio de la información entregada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 efecto de poder estar en posibilidades de determinar si colma la solicitud de información, por lo que para una mayor referencia se realiza un cuadro comparativo en los términos siguientes:</w:t>
      </w:r>
    </w:p>
    <w:p w:rsidR="006F6BD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277"/>
        <w:gridCol w:w="2278"/>
        <w:gridCol w:w="2278"/>
        <w:gridCol w:w="2278"/>
      </w:tblGrid>
      <w:tr w:rsidR="006F6BD0" w:rsidRPr="00BA5692" w:rsidTr="001A3483">
        <w:trPr>
          <w:jc w:val="center"/>
        </w:trPr>
        <w:tc>
          <w:tcPr>
            <w:tcW w:w="2277" w:type="dxa"/>
          </w:tcPr>
          <w:p w:rsidR="006F6BD0" w:rsidRPr="00BA5692" w:rsidRDefault="006F6BD0" w:rsidP="001A3483">
            <w:pPr>
              <w:jc w:val="center"/>
              <w:rPr>
                <w:rFonts w:ascii="Palatino Linotype" w:hAnsi="Palatino Linotype" w:cs="Arial"/>
                <w:b/>
                <w:color w:val="000000" w:themeColor="text1"/>
                <w:sz w:val="21"/>
                <w:szCs w:val="21"/>
              </w:rPr>
            </w:pPr>
            <w:r w:rsidRPr="00BA5692">
              <w:rPr>
                <w:rFonts w:ascii="Palatino Linotype" w:hAnsi="Palatino Linotype" w:cs="Arial"/>
                <w:b/>
                <w:color w:val="000000" w:themeColor="text1"/>
                <w:sz w:val="21"/>
                <w:szCs w:val="21"/>
              </w:rPr>
              <w:lastRenderedPageBreak/>
              <w:t>Carpeta Roja</w:t>
            </w:r>
          </w:p>
        </w:tc>
        <w:tc>
          <w:tcPr>
            <w:tcW w:w="2278" w:type="dxa"/>
          </w:tcPr>
          <w:p w:rsidR="006F6BD0" w:rsidRPr="00BA5692" w:rsidRDefault="006F6BD0" w:rsidP="001A3483">
            <w:pPr>
              <w:jc w:val="center"/>
              <w:rPr>
                <w:rFonts w:ascii="Palatino Linotype" w:hAnsi="Palatino Linotype" w:cs="Arial"/>
                <w:b/>
                <w:color w:val="000000" w:themeColor="text1"/>
                <w:sz w:val="21"/>
                <w:szCs w:val="21"/>
              </w:rPr>
            </w:pPr>
            <w:r w:rsidRPr="00BA5692">
              <w:rPr>
                <w:rFonts w:ascii="Palatino Linotype" w:hAnsi="Palatino Linotype" w:cs="Arial"/>
                <w:b/>
                <w:color w:val="000000" w:themeColor="text1"/>
                <w:sz w:val="21"/>
                <w:szCs w:val="21"/>
              </w:rPr>
              <w:t>Obra colonia las Tinajas</w:t>
            </w:r>
          </w:p>
        </w:tc>
        <w:tc>
          <w:tcPr>
            <w:tcW w:w="2278" w:type="dxa"/>
          </w:tcPr>
          <w:p w:rsidR="006F6BD0" w:rsidRPr="00ED3D88" w:rsidRDefault="006F6BD0" w:rsidP="001A3483">
            <w:pPr>
              <w:jc w:val="center"/>
              <w:rPr>
                <w:rFonts w:ascii="Palatino Linotype" w:hAnsi="Palatino Linotype" w:cs="Arial"/>
                <w:b/>
                <w:color w:val="000000" w:themeColor="text1"/>
                <w:sz w:val="21"/>
                <w:szCs w:val="21"/>
              </w:rPr>
            </w:pPr>
            <w:r w:rsidRPr="00ED3D88">
              <w:rPr>
                <w:rFonts w:ascii="Palatino Linotype" w:hAnsi="Palatino Linotype" w:cs="Arial"/>
                <w:b/>
                <w:color w:val="000000" w:themeColor="text1"/>
                <w:sz w:val="21"/>
                <w:szCs w:val="21"/>
              </w:rPr>
              <w:t>Obra Fundereje Barrio El Reemblazo</w:t>
            </w:r>
          </w:p>
        </w:tc>
        <w:tc>
          <w:tcPr>
            <w:tcW w:w="2278" w:type="dxa"/>
          </w:tcPr>
          <w:p w:rsidR="006F6BD0" w:rsidRPr="00BA5692" w:rsidRDefault="006F6BD0" w:rsidP="001A3483">
            <w:pPr>
              <w:jc w:val="center"/>
              <w:rPr>
                <w:rFonts w:ascii="Palatino Linotype" w:hAnsi="Palatino Linotype" w:cs="Arial"/>
                <w:b/>
                <w:color w:val="000000" w:themeColor="text1"/>
                <w:sz w:val="21"/>
                <w:szCs w:val="21"/>
              </w:rPr>
            </w:pPr>
          </w:p>
          <w:p w:rsidR="006F6BD0" w:rsidRPr="00BA5692" w:rsidRDefault="006F6BD0" w:rsidP="001A3483">
            <w:pPr>
              <w:jc w:val="center"/>
              <w:rPr>
                <w:rFonts w:ascii="Palatino Linotype" w:hAnsi="Palatino Linotype" w:cs="Arial"/>
                <w:b/>
                <w:color w:val="000000" w:themeColor="text1"/>
                <w:sz w:val="21"/>
                <w:szCs w:val="21"/>
              </w:rPr>
            </w:pPr>
            <w:r w:rsidRPr="00BA5692">
              <w:rPr>
                <w:rFonts w:ascii="Palatino Linotype" w:hAnsi="Palatino Linotype" w:cs="Arial"/>
                <w:b/>
                <w:color w:val="000000" w:themeColor="text1"/>
                <w:sz w:val="21"/>
                <w:szCs w:val="21"/>
              </w:rPr>
              <w:t>Colmado</w:t>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Notificación de contratación</w:t>
            </w:r>
          </w:p>
        </w:tc>
        <w:tc>
          <w:tcPr>
            <w:tcW w:w="2278" w:type="dxa"/>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Visible a foja 37</w:t>
            </w:r>
          </w:p>
        </w:tc>
        <w:tc>
          <w:tcPr>
            <w:tcW w:w="2278" w:type="dxa"/>
          </w:tcPr>
          <w:p w:rsidR="006F6BD0" w:rsidRPr="00ED3D88" w:rsidRDefault="006F6BD0" w:rsidP="001A3483">
            <w:pPr>
              <w:jc w:val="center"/>
              <w:rPr>
                <w:rFonts w:ascii="Palatino Linotype" w:hAnsi="Palatino Linotype" w:cs="Arial"/>
                <w:color w:val="000000" w:themeColor="text1"/>
                <w:sz w:val="21"/>
                <w:szCs w:val="21"/>
              </w:rPr>
            </w:pPr>
          </w:p>
          <w:p w:rsidR="006F6BD0" w:rsidRPr="00ED3D88" w:rsidRDefault="006F6BD0" w:rsidP="001A3483">
            <w:pPr>
              <w:jc w:val="center"/>
              <w:rPr>
                <w:rFonts w:ascii="Palatino Linotype" w:hAnsi="Palatino Linotype" w:cs="Arial"/>
                <w:color w:val="000000" w:themeColor="text1"/>
                <w:sz w:val="21"/>
                <w:szCs w:val="21"/>
              </w:rPr>
            </w:pPr>
            <w:r w:rsidRPr="00ED3D88">
              <w:rPr>
                <w:rFonts w:ascii="Palatino Linotype" w:hAnsi="Palatino Linotype" w:cs="Arial"/>
                <w:color w:val="000000" w:themeColor="text1"/>
                <w:sz w:val="21"/>
                <w:szCs w:val="21"/>
              </w:rPr>
              <w:t>Visible a foja 35</w:t>
            </w:r>
          </w:p>
        </w:tc>
        <w:tc>
          <w:tcPr>
            <w:tcW w:w="2278" w:type="dxa"/>
          </w:tcPr>
          <w:p w:rsidR="006F6BD0" w:rsidRDefault="006F6BD0" w:rsidP="001A3483">
            <w:pPr>
              <w:jc w:val="both"/>
              <w:rPr>
                <w:rFonts w:ascii="Palatino Linotype" w:hAnsi="Palatino Linotype" w:cs="Arial"/>
                <w:b/>
                <w:color w:val="000000" w:themeColor="text1"/>
                <w:sz w:val="21"/>
                <w:szCs w:val="21"/>
              </w:rPr>
            </w:pPr>
          </w:p>
          <w:p w:rsidR="006F6BD0" w:rsidRPr="00332B3E" w:rsidRDefault="006F6BD0" w:rsidP="001A3483">
            <w:pPr>
              <w:jc w:val="center"/>
              <w:rPr>
                <w:rFonts w:ascii="Palatino Linotype" w:hAnsi="Palatino Linotype" w:cs="Arial"/>
                <w:color w:val="000000" w:themeColor="text1"/>
                <w:sz w:val="21"/>
                <w:szCs w:val="21"/>
              </w:rPr>
            </w:pPr>
            <w:r w:rsidRPr="006E5B2E">
              <w:rPr>
                <w:rFonts w:ascii="Palatino Linotype" w:hAnsi="Palatino Linotype" w:cs="Arial"/>
                <w:b/>
                <w:color w:val="000000" w:themeColor="text1"/>
              </w:rPr>
              <w:sym w:font="Wingdings" w:char="F0FC"/>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carta poder</w:t>
            </w:r>
          </w:p>
        </w:tc>
        <w:tc>
          <w:tcPr>
            <w:tcW w:w="2278" w:type="dxa"/>
          </w:tcPr>
          <w:p w:rsidR="006F6BD0" w:rsidRPr="00FF5273"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Visible a foja 16</w:t>
            </w:r>
          </w:p>
        </w:tc>
        <w:tc>
          <w:tcPr>
            <w:tcW w:w="2278" w:type="dxa"/>
          </w:tcPr>
          <w:p w:rsidR="006F6BD0" w:rsidRPr="00FF5273"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b/>
                <w:color w:val="000000" w:themeColor="text1"/>
                <w:sz w:val="21"/>
                <w:szCs w:val="21"/>
              </w:rPr>
            </w:pPr>
            <w:r>
              <w:rPr>
                <w:rFonts w:ascii="Palatino Linotype" w:hAnsi="Palatino Linotype" w:cs="Arial"/>
                <w:color w:val="000000" w:themeColor="text1"/>
                <w:sz w:val="21"/>
                <w:szCs w:val="21"/>
              </w:rPr>
              <w:t>Visible a foja 14</w:t>
            </w:r>
          </w:p>
        </w:tc>
        <w:tc>
          <w:tcPr>
            <w:tcW w:w="2278" w:type="dxa"/>
          </w:tcPr>
          <w:p w:rsidR="006F6BD0" w:rsidRDefault="006F6BD0" w:rsidP="001A3483">
            <w:pPr>
              <w:jc w:val="both"/>
              <w:rPr>
                <w:rFonts w:ascii="Palatino Linotype" w:hAnsi="Palatino Linotype" w:cs="Arial"/>
                <w:color w:val="000000" w:themeColor="text1"/>
                <w:sz w:val="21"/>
                <w:szCs w:val="21"/>
              </w:rPr>
            </w:pPr>
          </w:p>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sym w:font="Wingdings" w:char="F0FC"/>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solicitud de servicio de energía eléctrica</w:t>
            </w:r>
          </w:p>
        </w:tc>
        <w:tc>
          <w:tcPr>
            <w:tcW w:w="2278" w:type="dxa"/>
          </w:tcPr>
          <w:p w:rsidR="006F6BD0" w:rsidRPr="00FF5273"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Visible a foja 21</w:t>
            </w:r>
          </w:p>
        </w:tc>
        <w:tc>
          <w:tcPr>
            <w:tcW w:w="2278" w:type="dxa"/>
          </w:tcPr>
          <w:p w:rsidR="006F6BD0" w:rsidRPr="00BA5692"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a foja 19</w:t>
            </w:r>
          </w:p>
        </w:tc>
        <w:tc>
          <w:tcPr>
            <w:tcW w:w="2278" w:type="dxa"/>
          </w:tcPr>
          <w:p w:rsidR="006F6BD0" w:rsidRDefault="006F6BD0" w:rsidP="001A3483">
            <w:pPr>
              <w:jc w:val="center"/>
              <w:rPr>
                <w:rFonts w:ascii="Palatino Linotype" w:hAnsi="Palatino Linotype" w:cs="Arial"/>
                <w:color w:val="000000" w:themeColor="text1"/>
              </w:rPr>
            </w:pPr>
          </w:p>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sym w:font="Wingdings" w:char="F0FC"/>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sz w:val="21"/>
                <w:szCs w:val="21"/>
              </w:rPr>
              <w:t>solicitud de factibilidad</w:t>
            </w:r>
          </w:p>
        </w:tc>
        <w:tc>
          <w:tcPr>
            <w:tcW w:w="2278" w:type="dxa"/>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Visible de fojas 5 a 12</w:t>
            </w:r>
          </w:p>
        </w:tc>
        <w:tc>
          <w:tcPr>
            <w:tcW w:w="2278" w:type="dxa"/>
          </w:tcPr>
          <w:p w:rsidR="006F6BD0" w:rsidRPr="00BA5692"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en fojas 4 a 11</w:t>
            </w:r>
          </w:p>
        </w:tc>
        <w:tc>
          <w:tcPr>
            <w:tcW w:w="2278" w:type="dxa"/>
          </w:tcPr>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sym w:font="Wingdings" w:char="F0FC"/>
            </w:r>
          </w:p>
          <w:p w:rsidR="006F6BD0" w:rsidRPr="00BA5692" w:rsidRDefault="006F6BD0" w:rsidP="001A3483">
            <w:pPr>
              <w:jc w:val="both"/>
              <w:rPr>
                <w:rFonts w:ascii="Palatino Linotype" w:hAnsi="Palatino Linotype" w:cs="Arial"/>
                <w:color w:val="000000" w:themeColor="text1"/>
                <w:sz w:val="21"/>
                <w:szCs w:val="21"/>
              </w:rPr>
            </w:pP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sz w:val="21"/>
                <w:szCs w:val="21"/>
              </w:rPr>
              <w:t>presupuesto de cargos por obra específica y de ampliación</w:t>
            </w:r>
          </w:p>
        </w:tc>
        <w:tc>
          <w:tcPr>
            <w:tcW w:w="2278" w:type="dxa"/>
          </w:tcPr>
          <w:p w:rsidR="006F6BD0" w:rsidRDefault="006F6BD0" w:rsidP="001A3483">
            <w:pPr>
              <w:jc w:val="center"/>
              <w:rPr>
                <w:rFonts w:ascii="Palatino Linotype" w:hAnsi="Palatino Linotype" w:cs="Arial"/>
                <w:color w:val="000000" w:themeColor="text1"/>
                <w:sz w:val="22"/>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2"/>
              </w:rPr>
              <w:t>Visible a fojas 7 y 8</w:t>
            </w:r>
          </w:p>
        </w:tc>
        <w:tc>
          <w:tcPr>
            <w:tcW w:w="2278" w:type="dxa"/>
          </w:tcPr>
          <w:p w:rsidR="006F6BD0" w:rsidRDefault="006F6BD0" w:rsidP="001A3483">
            <w:pPr>
              <w:jc w:val="center"/>
              <w:rPr>
                <w:rFonts w:ascii="Palatino Linotype" w:hAnsi="Palatino Linotype" w:cs="Arial"/>
                <w:color w:val="000000" w:themeColor="text1"/>
                <w:sz w:val="22"/>
              </w:rPr>
            </w:pPr>
          </w:p>
          <w:p w:rsidR="006F6BD0" w:rsidRPr="006D2575" w:rsidRDefault="006F6BD0" w:rsidP="001A3483">
            <w:pPr>
              <w:jc w:val="center"/>
              <w:rPr>
                <w:rFonts w:ascii="Palatino Linotype" w:hAnsi="Palatino Linotype" w:cs="Arial"/>
                <w:color w:val="000000" w:themeColor="text1"/>
                <w:sz w:val="22"/>
                <w:szCs w:val="21"/>
              </w:rPr>
            </w:pPr>
            <w:r>
              <w:rPr>
                <w:rFonts w:ascii="Palatino Linotype" w:hAnsi="Palatino Linotype" w:cs="Arial"/>
                <w:color w:val="000000" w:themeColor="text1"/>
                <w:sz w:val="22"/>
              </w:rPr>
              <w:t>Visible a fojas 7 y 8</w:t>
            </w:r>
          </w:p>
        </w:tc>
        <w:tc>
          <w:tcPr>
            <w:tcW w:w="2278" w:type="dxa"/>
          </w:tcPr>
          <w:p w:rsidR="006F6BD0" w:rsidRDefault="006F6BD0" w:rsidP="001A3483">
            <w:pPr>
              <w:jc w:val="both"/>
              <w:rPr>
                <w:rFonts w:ascii="Palatino Linotype" w:hAnsi="Palatino Linotype" w:cs="Arial"/>
                <w:color w:val="000000" w:themeColor="text1"/>
                <w:sz w:val="21"/>
                <w:szCs w:val="21"/>
              </w:rPr>
            </w:pPr>
          </w:p>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sym w:font="Wingdings" w:char="F0FC"/>
            </w:r>
          </w:p>
          <w:p w:rsidR="006F6BD0" w:rsidRPr="00BA5692" w:rsidRDefault="006F6BD0" w:rsidP="001A3483">
            <w:pPr>
              <w:jc w:val="center"/>
              <w:rPr>
                <w:rFonts w:ascii="Palatino Linotype" w:hAnsi="Palatino Linotype" w:cs="Arial"/>
                <w:color w:val="000000" w:themeColor="text1"/>
                <w:sz w:val="21"/>
                <w:szCs w:val="21"/>
              </w:rPr>
            </w:pP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sz w:val="21"/>
                <w:szCs w:val="21"/>
              </w:rPr>
              <w:t>ficha de depósito por el pago de servicio</w:t>
            </w:r>
          </w:p>
        </w:tc>
        <w:tc>
          <w:tcPr>
            <w:tcW w:w="2278" w:type="dxa"/>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w:t>
            </w:r>
            <w:r>
              <w:rPr>
                <w:rFonts w:ascii="Palatino Linotype" w:hAnsi="Palatino Linotype" w:cs="Arial"/>
                <w:color w:val="000000" w:themeColor="text1"/>
                <w:sz w:val="21"/>
                <w:szCs w:val="21"/>
              </w:rPr>
              <w:t>isible en foja 12</w:t>
            </w:r>
          </w:p>
        </w:tc>
        <w:tc>
          <w:tcPr>
            <w:tcW w:w="2278" w:type="dxa"/>
          </w:tcPr>
          <w:p w:rsidR="006F6BD0" w:rsidRPr="00BA5692"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en foja 11</w:t>
            </w:r>
          </w:p>
        </w:tc>
        <w:tc>
          <w:tcPr>
            <w:tcW w:w="2278" w:type="dxa"/>
          </w:tcPr>
          <w:p w:rsidR="006F6BD0" w:rsidRDefault="006F6BD0" w:rsidP="001A3483">
            <w:pPr>
              <w:jc w:val="both"/>
              <w:rPr>
                <w:rFonts w:ascii="Palatino Linotype" w:hAnsi="Palatino Linotype" w:cs="Arial"/>
                <w:color w:val="000000" w:themeColor="text1"/>
                <w:sz w:val="21"/>
                <w:szCs w:val="21"/>
              </w:rPr>
            </w:pPr>
          </w:p>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sym w:font="Wingdings" w:char="F0FC"/>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cs="Arial"/>
                <w:color w:val="000000" w:themeColor="text1"/>
                <w:sz w:val="21"/>
                <w:szCs w:val="21"/>
              </w:rPr>
            </w:pPr>
            <w:r w:rsidRPr="00BA5692">
              <w:rPr>
                <w:rFonts w:ascii="Palatino Linotype" w:hAnsi="Palatino Linotype"/>
                <w:sz w:val="21"/>
                <w:szCs w:val="21"/>
              </w:rPr>
              <w:t>acta de entrega recepción</w:t>
            </w:r>
          </w:p>
        </w:tc>
        <w:tc>
          <w:tcPr>
            <w:tcW w:w="2278" w:type="dxa"/>
          </w:tcPr>
          <w:p w:rsidR="006F6BD0" w:rsidRPr="00BA5692"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a foja 56</w:t>
            </w:r>
          </w:p>
        </w:tc>
        <w:tc>
          <w:tcPr>
            <w:tcW w:w="2278" w:type="dxa"/>
          </w:tcPr>
          <w:p w:rsidR="006F6BD0" w:rsidRPr="00BA5692"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a foja 56</w:t>
            </w:r>
          </w:p>
        </w:tc>
        <w:tc>
          <w:tcPr>
            <w:tcW w:w="2278" w:type="dxa"/>
          </w:tcPr>
          <w:p w:rsidR="006F6BD0" w:rsidRDefault="006F6BD0" w:rsidP="001A3483">
            <w:pPr>
              <w:jc w:val="both"/>
              <w:rPr>
                <w:rFonts w:ascii="Palatino Linotype" w:hAnsi="Palatino Linotype" w:cs="Arial"/>
                <w:color w:val="000000" w:themeColor="text1"/>
                <w:sz w:val="21"/>
                <w:szCs w:val="21"/>
              </w:rPr>
            </w:pPr>
          </w:p>
          <w:p w:rsidR="006F6BD0" w:rsidRPr="006E5B2E" w:rsidRDefault="006F6BD0" w:rsidP="001A3483">
            <w:pPr>
              <w:jc w:val="center"/>
              <w:rPr>
                <w:rFonts w:ascii="Palatino Linotype" w:hAnsi="Palatino Linotype" w:cs="Arial"/>
                <w:b/>
                <w:color w:val="000000" w:themeColor="text1"/>
              </w:rPr>
            </w:pPr>
            <w:r w:rsidRPr="006E5B2E">
              <w:rPr>
                <w:rFonts w:ascii="Palatino Linotype" w:hAnsi="Palatino Linotype" w:cs="Arial"/>
                <w:b/>
                <w:color w:val="000000" w:themeColor="text1"/>
              </w:rPr>
              <w:t>X</w:t>
            </w:r>
          </w:p>
          <w:p w:rsidR="006F6BD0" w:rsidRDefault="006F6BD0" w:rsidP="001A3483">
            <w:pPr>
              <w:jc w:val="both"/>
              <w:rPr>
                <w:rFonts w:ascii="Palatino Linotype" w:hAnsi="Palatino Linotype" w:cs="Arial"/>
                <w:color w:val="000000" w:themeColor="text1"/>
                <w:sz w:val="21"/>
                <w:szCs w:val="21"/>
              </w:rPr>
            </w:pPr>
          </w:p>
          <w:p w:rsidR="006F6BD0" w:rsidRPr="00BA5692" w:rsidRDefault="006F6BD0" w:rsidP="001A3483">
            <w:pPr>
              <w:jc w:val="both"/>
              <w:rPr>
                <w:rFonts w:ascii="Palatino Linotype" w:hAnsi="Palatino Linotype" w:cs="Arial"/>
                <w:color w:val="000000" w:themeColor="text1"/>
                <w:sz w:val="21"/>
                <w:szCs w:val="21"/>
              </w:rPr>
            </w:pPr>
            <w:r>
              <w:rPr>
                <w:rFonts w:ascii="Palatino Linotype" w:hAnsi="Palatino Linotype" w:cs="Arial"/>
                <w:color w:val="000000" w:themeColor="text1"/>
                <w:sz w:val="21"/>
                <w:szCs w:val="21"/>
              </w:rPr>
              <w:t>A pesar de que constan en los expedientes, en las mismas únicamente consta la firma de un Testigo, no así de las demás partes.</w:t>
            </w: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sz w:val="21"/>
                <w:szCs w:val="21"/>
              </w:rPr>
            </w:pPr>
            <w:r w:rsidRPr="00BA5692">
              <w:rPr>
                <w:rFonts w:ascii="Palatino Linotype" w:hAnsi="Palatino Linotype"/>
                <w:sz w:val="21"/>
                <w:szCs w:val="21"/>
              </w:rPr>
              <w:t>pruebas de tierra</w:t>
            </w:r>
          </w:p>
        </w:tc>
        <w:tc>
          <w:tcPr>
            <w:tcW w:w="6834" w:type="dxa"/>
            <w:gridSpan w:val="3"/>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El sujeto obligado refiere hacer entrega de la totalidad de los expedientes, sin que existe constancia de dicho documento.</w:t>
            </w:r>
          </w:p>
          <w:p w:rsidR="006F6BD0" w:rsidRPr="00BA5692" w:rsidRDefault="006F6BD0" w:rsidP="001A3483">
            <w:pPr>
              <w:jc w:val="center"/>
              <w:rPr>
                <w:rFonts w:ascii="Palatino Linotype" w:hAnsi="Palatino Linotype" w:cs="Arial"/>
                <w:color w:val="000000" w:themeColor="text1"/>
                <w:sz w:val="21"/>
                <w:szCs w:val="21"/>
              </w:rPr>
            </w:pPr>
          </w:p>
        </w:tc>
      </w:tr>
      <w:tr w:rsidR="006F6BD0" w:rsidRPr="00BA5692" w:rsidTr="001A3483">
        <w:trPr>
          <w:jc w:val="center"/>
        </w:trPr>
        <w:tc>
          <w:tcPr>
            <w:tcW w:w="2277" w:type="dxa"/>
          </w:tcPr>
          <w:p w:rsidR="006F6BD0" w:rsidRPr="00BA5692" w:rsidRDefault="006F6BD0" w:rsidP="001A3483">
            <w:pPr>
              <w:pStyle w:val="Prrafodelista"/>
              <w:numPr>
                <w:ilvl w:val="0"/>
                <w:numId w:val="4"/>
              </w:numPr>
              <w:ind w:left="313"/>
              <w:jc w:val="both"/>
              <w:rPr>
                <w:rFonts w:ascii="Palatino Linotype" w:hAnsi="Palatino Linotype"/>
                <w:sz w:val="21"/>
                <w:szCs w:val="21"/>
              </w:rPr>
            </w:pPr>
            <w:r w:rsidRPr="00BA5692">
              <w:rPr>
                <w:rFonts w:ascii="Palatino Linotype" w:hAnsi="Palatino Linotype"/>
                <w:sz w:val="21"/>
                <w:szCs w:val="21"/>
              </w:rPr>
              <w:t>bitácoras de supervisión de obra</w:t>
            </w:r>
          </w:p>
        </w:tc>
        <w:tc>
          <w:tcPr>
            <w:tcW w:w="2278" w:type="dxa"/>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Pr>
                <w:rFonts w:ascii="Palatino Linotype" w:hAnsi="Palatino Linotype" w:cs="Arial"/>
                <w:color w:val="000000" w:themeColor="text1"/>
                <w:sz w:val="21"/>
                <w:szCs w:val="21"/>
              </w:rPr>
              <w:t xml:space="preserve">A pesar de referir en el propio </w:t>
            </w:r>
            <w:r w:rsidRPr="00AB3F62">
              <w:rPr>
                <w:rFonts w:ascii="Palatino Linotype" w:hAnsi="Palatino Linotype" w:cs="Arial"/>
                <w:color w:val="000000" w:themeColor="text1"/>
                <w:sz w:val="21"/>
                <w:szCs w:val="21"/>
              </w:rPr>
              <w:t>expediente que obra la Bitácora, la misma no consta</w:t>
            </w:r>
          </w:p>
        </w:tc>
        <w:tc>
          <w:tcPr>
            <w:tcW w:w="2278" w:type="dxa"/>
          </w:tcPr>
          <w:p w:rsidR="006F6BD0" w:rsidRDefault="006F6BD0" w:rsidP="001A3483">
            <w:pPr>
              <w:jc w:val="center"/>
              <w:rPr>
                <w:rFonts w:ascii="Palatino Linotype" w:hAnsi="Palatino Linotype" w:cs="Arial"/>
                <w:color w:val="000000" w:themeColor="text1"/>
                <w:sz w:val="21"/>
                <w:szCs w:val="21"/>
              </w:rPr>
            </w:pPr>
          </w:p>
          <w:p w:rsidR="006F6BD0" w:rsidRPr="00BA5692" w:rsidRDefault="006F6BD0" w:rsidP="001A3483">
            <w:pPr>
              <w:jc w:val="center"/>
              <w:rPr>
                <w:rFonts w:ascii="Palatino Linotype" w:hAnsi="Palatino Linotype" w:cs="Arial"/>
                <w:color w:val="000000" w:themeColor="text1"/>
                <w:sz w:val="21"/>
                <w:szCs w:val="21"/>
              </w:rPr>
            </w:pPr>
            <w:r w:rsidRPr="00BA5692">
              <w:rPr>
                <w:rFonts w:ascii="Palatino Linotype" w:hAnsi="Palatino Linotype" w:cs="Arial"/>
                <w:color w:val="000000" w:themeColor="text1"/>
                <w:sz w:val="21"/>
                <w:szCs w:val="21"/>
              </w:rPr>
              <w:t>Visible a foja 43</w:t>
            </w:r>
          </w:p>
        </w:tc>
        <w:tc>
          <w:tcPr>
            <w:tcW w:w="2278" w:type="dxa"/>
          </w:tcPr>
          <w:p w:rsidR="006F6BD0" w:rsidRDefault="006F6BD0" w:rsidP="001A3483">
            <w:pPr>
              <w:jc w:val="both"/>
              <w:rPr>
                <w:rFonts w:ascii="Palatino Linotype" w:hAnsi="Palatino Linotype" w:cs="Arial"/>
                <w:color w:val="000000" w:themeColor="text1"/>
                <w:sz w:val="21"/>
                <w:szCs w:val="21"/>
              </w:rPr>
            </w:pPr>
          </w:p>
          <w:p w:rsidR="006F6BD0" w:rsidRDefault="006F6BD0" w:rsidP="001A3483">
            <w:pPr>
              <w:jc w:val="center"/>
              <w:rPr>
                <w:rFonts w:ascii="Palatino Linotype" w:hAnsi="Palatino Linotype" w:cs="Arial"/>
                <w:color w:val="000000" w:themeColor="text1"/>
                <w:sz w:val="21"/>
                <w:szCs w:val="21"/>
              </w:rPr>
            </w:pPr>
            <w:r>
              <w:rPr>
                <w:rFonts w:ascii="Palatino Linotype" w:hAnsi="Palatino Linotype" w:cs="Arial"/>
                <w:b/>
                <w:color w:val="000000" w:themeColor="text1"/>
                <w:sz w:val="21"/>
                <w:szCs w:val="21"/>
              </w:rPr>
              <w:t>Parcialmente</w:t>
            </w:r>
          </w:p>
          <w:p w:rsidR="006F6BD0" w:rsidRDefault="006F6BD0" w:rsidP="001A3483">
            <w:pPr>
              <w:jc w:val="both"/>
              <w:rPr>
                <w:rFonts w:ascii="Palatino Linotype" w:hAnsi="Palatino Linotype" w:cs="Arial"/>
                <w:color w:val="000000" w:themeColor="text1"/>
                <w:sz w:val="21"/>
                <w:szCs w:val="21"/>
              </w:rPr>
            </w:pPr>
          </w:p>
          <w:p w:rsidR="006F6BD0" w:rsidRPr="00306BC2" w:rsidRDefault="006F6BD0" w:rsidP="001A3483">
            <w:pPr>
              <w:jc w:val="both"/>
              <w:rPr>
                <w:rFonts w:ascii="Palatino Linotype" w:hAnsi="Palatino Linotype" w:cs="Arial"/>
                <w:color w:val="000000" w:themeColor="text1"/>
                <w:sz w:val="21"/>
                <w:szCs w:val="21"/>
              </w:rPr>
            </w:pPr>
          </w:p>
        </w:tc>
      </w:tr>
    </w:tbl>
    <w:p w:rsidR="006F6BD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ese sentido, como se observa de los expedientes remitidos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contienen la totalidad de la información peticionada por el </w:t>
      </w:r>
      <w:r>
        <w:rPr>
          <w:rFonts w:ascii="Palatino Linotype" w:hAnsi="Palatino Linotype" w:cs="Arial"/>
          <w:b/>
          <w:color w:val="000000" w:themeColor="text1"/>
        </w:rPr>
        <w:t>recurrente,</w:t>
      </w:r>
      <w:r>
        <w:rPr>
          <w:rFonts w:ascii="Palatino Linotype" w:hAnsi="Palatino Linotype" w:cs="Arial"/>
          <w:color w:val="000000" w:themeColor="text1"/>
        </w:rPr>
        <w:t xml:space="preserve"> o en su caso la información no cumple con los elementos de validez, al carecer de las firmas de la </w:t>
      </w:r>
      <w:r>
        <w:rPr>
          <w:rFonts w:ascii="Palatino Linotype" w:hAnsi="Palatino Linotype" w:cs="Arial"/>
          <w:color w:val="000000" w:themeColor="text1"/>
        </w:rPr>
        <w:lastRenderedPageBreak/>
        <w:t>autoridad, como lo establece el artículo 3 fracción IV de la Ley Federal de Procedimiento Administrativo</w:t>
      </w:r>
      <w:r>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w:t>
      </w:r>
    </w:p>
    <w:p w:rsidR="006F6BD0" w:rsidRPr="00EA526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r w:rsidRPr="00493C57">
        <w:rPr>
          <w:rFonts w:ascii="Palatino Linotype" w:hAnsi="Palatino Linotype" w:cs="Arial"/>
          <w:color w:val="000000" w:themeColor="text1"/>
        </w:rPr>
        <w:t>Ante tales circunstancias</w:t>
      </w:r>
      <w:r>
        <w:rPr>
          <w:rFonts w:ascii="Palatino Linotype" w:hAnsi="Palatino Linotype" w:cs="Arial"/>
          <w:color w:val="000000" w:themeColor="text1"/>
        </w:rPr>
        <w:t xml:space="preserve">, este Órgano Garante procedió al estudio del marco normativo que rige al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con la finalidad de determinar si existe Ley, Norma; Reglamento, Manual o Circular que lo circunscriba a tener todos y cada uno de los elementos referidos por el </w:t>
      </w:r>
      <w:r>
        <w:rPr>
          <w:rFonts w:ascii="Palatino Linotype" w:hAnsi="Palatino Linotype" w:cs="Arial"/>
          <w:b/>
          <w:color w:val="000000" w:themeColor="text1"/>
        </w:rPr>
        <w:t>recurrente.</w:t>
      </w:r>
    </w:p>
    <w:p w:rsidR="006F6BD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eastAsia="MS Mincho" w:hAnsi="Palatino Linotype"/>
          <w:lang w:val="es-ES_tradnl"/>
        </w:rPr>
      </w:pPr>
      <w:r>
        <w:rPr>
          <w:rFonts w:ascii="Palatino Linotype" w:hAnsi="Palatino Linotype" w:cs="Arial"/>
          <w:color w:val="000000" w:themeColor="text1"/>
        </w:rPr>
        <w:t xml:space="preserve">En primer lugar </w:t>
      </w:r>
      <w:r w:rsidRPr="00634923">
        <w:rPr>
          <w:rFonts w:ascii="Palatino Linotype" w:eastAsia="MS Mincho" w:hAnsi="Palatino Linotype"/>
          <w:lang w:val="es-ES_tradnl"/>
        </w:rPr>
        <w:t>se tiene que la Ley de Transparencia y Acceso a la Información Pública del Estado de México y Municipios, prevé en su artículo 23, lo siguiente:</w:t>
      </w:r>
    </w:p>
    <w:p w:rsidR="006F6BD0" w:rsidRPr="00634923" w:rsidRDefault="006F6BD0" w:rsidP="006F6BD0">
      <w:pPr>
        <w:spacing w:line="360" w:lineRule="auto"/>
        <w:jc w:val="both"/>
        <w:rPr>
          <w:rFonts w:ascii="Palatino Linotype" w:eastAsia="MS Mincho" w:hAnsi="Palatino Linotype"/>
          <w:sz w:val="20"/>
          <w:szCs w:val="20"/>
          <w:lang w:val="es-ES_tradnl"/>
        </w:rPr>
      </w:pP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w:t>
      </w:r>
      <w:r w:rsidRPr="00634923">
        <w:rPr>
          <w:rFonts w:ascii="Palatino Linotype" w:eastAsia="MS Mincho" w:hAnsi="Palatino Linotype" w:cs="Arial"/>
          <w:b/>
          <w:i/>
          <w:sz w:val="22"/>
          <w:szCs w:val="20"/>
          <w:lang w:val="es-ES_tradnl"/>
        </w:rPr>
        <w:t>Artículo 23.</w:t>
      </w:r>
      <w:r w:rsidRPr="00634923">
        <w:rPr>
          <w:rFonts w:ascii="Palatino Linotype" w:eastAsia="MS Mincho" w:hAnsi="Palatino Linotype" w:cs="Arial"/>
          <w:i/>
          <w:sz w:val="22"/>
          <w:szCs w:val="20"/>
          <w:lang w:val="es-ES_tradnl"/>
        </w:rPr>
        <w:t xml:space="preserve"> Son sujetos obligados a transparentar y permitir el acceso a su información y proteger los datos personales que obren en su poder:</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 El Poder Ejecutivo del Estado de México, las dependencias, organismos auxiliares, órganos, entidades, fideicomisos y fondos públicos, así como la Procuraduría General de Justicia;</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 El Poder Legislativo del Estado, los organismos, órganos y entidades de la Legislatura y sus dependencias;</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III. El Poder Judicial, sus organismos, órganos y entidades, así como el Consejo de la Judicatura del Estado;</w:t>
      </w:r>
    </w:p>
    <w:p w:rsidR="006F6BD0" w:rsidRPr="00634923" w:rsidRDefault="006F6BD0" w:rsidP="006F6BD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IV. Los ayuntamientos y las dependencias, organismos, órganos y entidades de la administración municipal;</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 Los órganos autónomos;</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 Los tribunales administrativos y autoridades jurisdiccionales en materia laboral;</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 Los partidos políticos y agrupaciones políticas, en los términos de las disposiciones aplicables;</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VIII. Los fideicomisos y fondos públicos que cuenten con financiamiento público, parcial o total, o con participación de entidades de gobierno;</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lastRenderedPageBreak/>
        <w:t>IX. Los sindicatos que reciban y/o ejerzan recursos públicos en el ámbito estatal y municipal;</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 Cualquier persona física o jurídico colectiva que reciba y ejerza recursos públicos en el ámbito estatal o municipal; y</w:t>
      </w:r>
    </w:p>
    <w:p w:rsidR="006F6BD0" w:rsidRPr="00634923" w:rsidRDefault="006F6BD0" w:rsidP="006F6BD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XI. Cualquier otra autoridad, entidad, órgano u organismo de los poderes estatal o municipal, que reciba recursos públicos.</w:t>
      </w:r>
    </w:p>
    <w:p w:rsidR="006F6BD0" w:rsidRPr="00634923" w:rsidRDefault="006F6BD0" w:rsidP="006F6BD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F6BD0" w:rsidRDefault="006F6BD0" w:rsidP="006F6BD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servidores públicos deberán transparentar sus acciones así como garantizar y respetar el derecho de acceso a la información pública.</w:t>
      </w:r>
    </w:p>
    <w:p w:rsidR="006F6BD0" w:rsidRPr="00634923" w:rsidRDefault="006F6BD0" w:rsidP="006F6BD0">
      <w:pPr>
        <w:ind w:left="567" w:right="616"/>
        <w:jc w:val="both"/>
        <w:rPr>
          <w:rFonts w:ascii="Palatino Linotype" w:eastAsia="MS Mincho" w:hAnsi="Palatino Linotype" w:cs="Arial"/>
          <w:b/>
          <w:i/>
          <w:sz w:val="22"/>
          <w:szCs w:val="20"/>
          <w:lang w:val="es-ES_tradnl"/>
        </w:rPr>
      </w:pPr>
    </w:p>
    <w:p w:rsidR="006F6BD0" w:rsidRPr="00634923" w:rsidRDefault="006F6BD0" w:rsidP="006F6BD0">
      <w:pPr>
        <w:ind w:left="567" w:right="616"/>
        <w:jc w:val="right"/>
        <w:rPr>
          <w:rFonts w:ascii="Palatino Linotype" w:eastAsia="MS Mincho" w:hAnsi="Palatino Linotype" w:cs="Arial"/>
          <w:sz w:val="22"/>
          <w:szCs w:val="20"/>
          <w:lang w:val="es-ES_tradnl"/>
        </w:rPr>
      </w:pPr>
      <w:r w:rsidRPr="00634923">
        <w:rPr>
          <w:rFonts w:ascii="Palatino Linotype" w:eastAsia="MS Mincho" w:hAnsi="Palatino Linotype" w:cs="Arial"/>
          <w:sz w:val="22"/>
          <w:szCs w:val="20"/>
          <w:lang w:val="es-ES_tradnl"/>
        </w:rPr>
        <w:t>(Énfasis añadido)</w:t>
      </w:r>
    </w:p>
    <w:p w:rsidR="006F6BD0" w:rsidRDefault="006F6BD0" w:rsidP="006F6BD0">
      <w:pPr>
        <w:autoSpaceDE w:val="0"/>
        <w:autoSpaceDN w:val="0"/>
        <w:adjustRightInd w:val="0"/>
        <w:spacing w:line="360" w:lineRule="auto"/>
        <w:ind w:right="51"/>
        <w:jc w:val="both"/>
        <w:rPr>
          <w:rFonts w:ascii="Palatino Linotype" w:hAnsi="Palatino Linotype" w:cs="Arial"/>
        </w:rPr>
      </w:pPr>
    </w:p>
    <w:p w:rsidR="006F6BD0" w:rsidRDefault="006F6BD0" w:rsidP="006F6BD0">
      <w:pPr>
        <w:autoSpaceDE w:val="0"/>
        <w:autoSpaceDN w:val="0"/>
        <w:adjustRightInd w:val="0"/>
        <w:spacing w:line="360" w:lineRule="auto"/>
        <w:ind w:right="51"/>
        <w:jc w:val="both"/>
        <w:rPr>
          <w:rFonts w:ascii="Palatino Linotype" w:eastAsia="Arial Unicode MS" w:hAnsi="Palatino Linotype" w:cs="Arial"/>
          <w:color w:val="000000"/>
        </w:rPr>
      </w:pPr>
      <w:r>
        <w:rPr>
          <w:rFonts w:ascii="Palatino Linotype" w:hAnsi="Palatino Linotype" w:cs="Arial"/>
        </w:rPr>
        <w:t>P</w:t>
      </w:r>
      <w:r w:rsidRPr="00634923">
        <w:rPr>
          <w:rFonts w:ascii="Palatino Linotype" w:hAnsi="Palatino Linotype" w:cs="Arial"/>
        </w:rPr>
        <w:t>recepto</w:t>
      </w:r>
      <w:r>
        <w:rPr>
          <w:rFonts w:ascii="Palatino Linotype" w:hAnsi="Palatino Linotype" w:cs="Arial"/>
        </w:rPr>
        <w:t xml:space="preserve"> legal que </w:t>
      </w:r>
      <w:r w:rsidRPr="00634923">
        <w:rPr>
          <w:rFonts w:ascii="Palatino Linotype" w:hAnsi="Palatino Linotype" w:cs="Arial"/>
        </w:rPr>
        <w:t xml:space="preserve">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34923">
        <w:rPr>
          <w:rFonts w:ascii="Palatino Linotype" w:eastAsia="Arial Unicode MS" w:hAnsi="Palatino Linotype" w:cs="Arial"/>
          <w:color w:val="000000"/>
        </w:rPr>
        <w:t xml:space="preserve">es necesario referir el contenido del artículo </w:t>
      </w:r>
      <w:r w:rsidRPr="00634923">
        <w:rPr>
          <w:rFonts w:ascii="Palatino Linotype" w:hAnsi="Palatino Linotype"/>
        </w:rPr>
        <w:t>115,</w:t>
      </w:r>
      <w:r w:rsidRPr="00634923">
        <w:rPr>
          <w:rFonts w:ascii="Palatino Linotype" w:eastAsia="Arial Unicode MS" w:hAnsi="Palatino Linotype" w:cs="Arial"/>
          <w:color w:val="000000"/>
        </w:rPr>
        <w:t xml:space="preserve"> fracciones I, II y IV de la Constitución Política de los Estados Unidos Mexicanos, que en lo que interesa menciona:</w:t>
      </w:r>
    </w:p>
    <w:p w:rsidR="006F6BD0" w:rsidRDefault="006F6BD0" w:rsidP="006F6BD0">
      <w:pPr>
        <w:autoSpaceDE w:val="0"/>
        <w:autoSpaceDN w:val="0"/>
        <w:adjustRightInd w:val="0"/>
        <w:spacing w:line="360" w:lineRule="auto"/>
        <w:ind w:right="51"/>
        <w:jc w:val="both"/>
        <w:rPr>
          <w:rFonts w:ascii="Palatino Linotype" w:eastAsia="Arial Unicode MS" w:hAnsi="Palatino Linotype" w:cs="Arial"/>
          <w:color w:val="000000"/>
        </w:rPr>
      </w:pP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r w:rsidRPr="00634923">
        <w:rPr>
          <w:rFonts w:ascii="Palatino Linotype" w:eastAsia="MS Mincho" w:hAnsi="Palatino Linotype" w:cs="Arial"/>
          <w:b/>
          <w:bCs/>
          <w:i/>
          <w:color w:val="000000"/>
          <w:sz w:val="22"/>
          <w:szCs w:val="22"/>
          <w:lang w:val="es-ES_tradnl"/>
        </w:rPr>
        <w:t>Artículo 115</w:t>
      </w:r>
      <w:r w:rsidRPr="00634923">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w:t>
      </w:r>
      <w:r w:rsidRPr="00634923">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II.</w:t>
      </w:r>
      <w:r w:rsidRPr="00634923">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F6BD0" w:rsidRPr="00634923" w:rsidRDefault="006F6BD0" w:rsidP="006F6BD0">
      <w:pPr>
        <w:ind w:left="567" w:right="616"/>
        <w:jc w:val="both"/>
        <w:rPr>
          <w:rFonts w:ascii="Palatino Linotype" w:eastAsia="MS Mincho" w:hAnsi="Palatino Linotype" w:cs="Arial"/>
          <w:b/>
          <w:bCs/>
          <w:i/>
          <w:color w:val="000000"/>
          <w:sz w:val="22"/>
          <w:szCs w:val="22"/>
          <w:lang w:val="es-ES_tradnl"/>
        </w:rPr>
      </w:pPr>
      <w:r w:rsidRPr="00634923">
        <w:rPr>
          <w:rFonts w:ascii="Palatino Linotype" w:eastAsia="MS Mincho" w:hAnsi="Palatino Linotype" w:cs="Arial"/>
          <w:b/>
          <w:bCs/>
          <w:i/>
          <w:color w:val="000000"/>
          <w:sz w:val="22"/>
          <w:szCs w:val="22"/>
          <w:lang w:val="es-ES_tradnl"/>
        </w:rPr>
        <w:lastRenderedPageBreak/>
        <w:t>IV. Los municipios administrarán libremente su hacienda, la cual se formará de los rendimientos de los bienes que les pertenezcan, así como de las contribuciones y otros ingresos que las legislaturas establezcan a su favor…</w:t>
      </w:r>
    </w:p>
    <w:p w:rsidR="006F6BD0" w:rsidRPr="00634923" w:rsidRDefault="006F6BD0" w:rsidP="006F6BD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F6BD0" w:rsidRPr="00634923" w:rsidRDefault="006F6BD0" w:rsidP="006F6BD0">
      <w:pPr>
        <w:ind w:left="567" w:right="616"/>
        <w:jc w:val="right"/>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(Énfasis añadido)</w:t>
      </w:r>
    </w:p>
    <w:p w:rsidR="006F6BD0" w:rsidRDefault="006F6BD0" w:rsidP="006F6BD0">
      <w:pPr>
        <w:spacing w:line="360" w:lineRule="auto"/>
        <w:jc w:val="both"/>
        <w:rPr>
          <w:rFonts w:ascii="Palatino Linotype" w:eastAsia="Arial Unicode MS" w:hAnsi="Palatino Linotype" w:cs="Arial"/>
          <w:color w:val="000000"/>
          <w:lang w:val="es-ES_tradnl"/>
        </w:rPr>
      </w:pPr>
    </w:p>
    <w:p w:rsidR="006F6BD0" w:rsidRPr="00634923" w:rsidRDefault="006F6BD0" w:rsidP="006F6BD0">
      <w:pPr>
        <w:spacing w:line="360" w:lineRule="auto"/>
        <w:jc w:val="both"/>
        <w:rPr>
          <w:rFonts w:ascii="Palatino Linotype" w:eastAsia="Arial Unicode MS" w:hAnsi="Palatino Linotype" w:cs="Arial"/>
          <w:color w:val="000000"/>
          <w:lang w:val="es-ES_tradnl"/>
        </w:rPr>
      </w:pPr>
      <w:r w:rsidRPr="00634923">
        <w:rPr>
          <w:rFonts w:ascii="Palatino Linotype" w:eastAsia="Arial Unicode MS" w:hAnsi="Palatino Linotype" w:cs="Arial"/>
          <w:color w:val="000000"/>
          <w:lang w:val="es-ES_tradn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6F6BD0" w:rsidRPr="00634923" w:rsidRDefault="006F6BD0" w:rsidP="006F6BD0">
      <w:pPr>
        <w:spacing w:line="360" w:lineRule="auto"/>
        <w:jc w:val="both"/>
        <w:rPr>
          <w:rFonts w:ascii="Palatino Linotype" w:eastAsia="Arial Unicode MS" w:hAnsi="Palatino Linotype" w:cs="Arial"/>
          <w:color w:val="000000"/>
          <w:lang w:val="es-ES_tradnl"/>
        </w:rPr>
      </w:pPr>
    </w:p>
    <w:p w:rsidR="006F6BD0" w:rsidRPr="00634923" w:rsidRDefault="006F6BD0" w:rsidP="006F6BD0">
      <w:pPr>
        <w:tabs>
          <w:tab w:val="left" w:pos="709"/>
        </w:tabs>
        <w:spacing w:line="360" w:lineRule="auto"/>
        <w:jc w:val="both"/>
        <w:rPr>
          <w:rFonts w:ascii="Palatino Linotype" w:eastAsia="MS Mincho" w:hAnsi="Palatino Linotype" w:cs="Arial"/>
          <w:lang w:val="es-ES_tradnl"/>
        </w:rPr>
      </w:pPr>
      <w:r>
        <w:rPr>
          <w:rFonts w:ascii="Palatino Linotype" w:eastAsia="MS Mincho" w:hAnsi="Palatino Linotype" w:cs="Arial"/>
          <w:color w:val="000000"/>
          <w:lang w:val="es-ES_tradnl"/>
        </w:rPr>
        <w:t>R</w:t>
      </w:r>
      <w:r w:rsidRPr="00634923">
        <w:rPr>
          <w:rFonts w:ascii="Palatino Linotype" w:eastAsia="MS Mincho" w:hAnsi="Palatino Linotype" w:cs="Arial"/>
          <w:color w:val="000000"/>
          <w:lang w:val="es-ES_tradnl"/>
        </w:rPr>
        <w:t xml:space="preserve">esulta importante traer a colación el contenido de los artículos 4 y 12 de la </w:t>
      </w:r>
      <w:r w:rsidRPr="00634923">
        <w:rPr>
          <w:rFonts w:ascii="Palatino Linotype" w:eastAsia="MS Mincho" w:hAnsi="Palatino Linotype" w:cs="Arial"/>
          <w:lang w:val="es-ES_tradnl"/>
        </w:rPr>
        <w:t>Ley de Transparencia y Acceso a la Información Pública del Estado de México y Municipios, mismos que son del tenor siguiente:</w:t>
      </w:r>
    </w:p>
    <w:p w:rsidR="006F6BD0" w:rsidRPr="00634923" w:rsidRDefault="006F6BD0" w:rsidP="006F6BD0">
      <w:pPr>
        <w:tabs>
          <w:tab w:val="left" w:pos="709"/>
        </w:tabs>
        <w:jc w:val="both"/>
        <w:rPr>
          <w:rFonts w:ascii="Palatino Linotype" w:eastAsia="MS Mincho" w:hAnsi="Palatino Linotype" w:cs="Arial"/>
          <w:szCs w:val="20"/>
          <w:lang w:val="es-ES_tradnl"/>
        </w:rPr>
      </w:pPr>
    </w:p>
    <w:p w:rsidR="006F6BD0" w:rsidRPr="00634923"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w:t>
      </w:r>
      <w:r w:rsidRPr="00634923">
        <w:rPr>
          <w:rFonts w:ascii="Palatino Linotype" w:eastAsia="MS Mincho" w:hAnsi="Palatino Linotype" w:cs="Arial"/>
          <w:b/>
          <w:i/>
          <w:sz w:val="22"/>
          <w:szCs w:val="22"/>
          <w:lang w:val="es-ES_tradnl"/>
        </w:rPr>
        <w:t>Artículo 4.</w:t>
      </w:r>
      <w:r w:rsidRPr="00634923">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F6BD0" w:rsidRPr="00634923"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634923">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F6BD0" w:rsidRPr="00634923"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Los sujetos obligados deben poner en práctica, políticas y programas de acceso a la información que se apeguen a criterios de publicidad, veracidad, oportunidad, precisión y suficiencia en beneficio de los solicitantes.</w:t>
      </w:r>
    </w:p>
    <w:p w:rsidR="006F6BD0" w:rsidRPr="00634923" w:rsidRDefault="006F6BD0" w:rsidP="006F6BD0">
      <w:pPr>
        <w:ind w:left="567" w:right="616"/>
        <w:jc w:val="both"/>
        <w:rPr>
          <w:rFonts w:ascii="Palatino Linotype" w:eastAsia="MS Mincho" w:hAnsi="Palatino Linotype" w:cs="Arial"/>
          <w:i/>
          <w:sz w:val="20"/>
          <w:szCs w:val="22"/>
          <w:lang w:val="es-ES_tradnl"/>
        </w:rPr>
      </w:pPr>
    </w:p>
    <w:p w:rsidR="006F6BD0" w:rsidRPr="00634923"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lang w:val="es-ES_tradnl"/>
        </w:rPr>
        <w:lastRenderedPageBreak/>
        <w:t>Artículo 12.</w:t>
      </w:r>
      <w:r w:rsidRPr="00634923">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6F6BD0"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Los sujetos obligados sólo proporcionarán la información pública que se les requiera y que obre en sus archivos y en el estado en que ésta se encuentre.</w:t>
      </w:r>
      <w:r w:rsidRPr="00634923">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rsidR="006F6BD0" w:rsidRPr="00634923" w:rsidRDefault="006F6BD0" w:rsidP="006F6BD0">
      <w:pPr>
        <w:ind w:left="567" w:right="616"/>
        <w:jc w:val="both"/>
        <w:rPr>
          <w:rFonts w:ascii="Palatino Linotype" w:eastAsia="MS Mincho" w:hAnsi="Palatino Linotype" w:cs="Arial"/>
          <w:i/>
          <w:sz w:val="22"/>
          <w:szCs w:val="22"/>
          <w:lang w:val="es-ES_tradnl"/>
        </w:rPr>
      </w:pPr>
    </w:p>
    <w:p w:rsidR="006F6BD0" w:rsidRPr="00A505D2" w:rsidRDefault="006F6BD0" w:rsidP="006F6BD0">
      <w:pPr>
        <w:ind w:left="567" w:right="616"/>
        <w:jc w:val="right"/>
        <w:rPr>
          <w:rFonts w:ascii="Palatino Linotype" w:eastAsia="MS Mincho" w:hAnsi="Palatino Linotype" w:cs="Arial"/>
          <w:sz w:val="22"/>
          <w:szCs w:val="22"/>
          <w:lang w:val="es-ES_tradnl"/>
        </w:rPr>
      </w:pPr>
      <w:r w:rsidRPr="00A505D2">
        <w:rPr>
          <w:rFonts w:ascii="Palatino Linotype" w:eastAsia="MS Mincho" w:hAnsi="Palatino Linotype" w:cs="Arial"/>
          <w:sz w:val="22"/>
          <w:szCs w:val="22"/>
          <w:lang w:val="es-ES_tradnl"/>
        </w:rPr>
        <w:t>(Énfasis añadido)</w:t>
      </w:r>
    </w:p>
    <w:p w:rsidR="006F6BD0" w:rsidRDefault="006F6BD0" w:rsidP="006F6BD0">
      <w:pPr>
        <w:spacing w:line="360" w:lineRule="auto"/>
        <w:jc w:val="both"/>
        <w:rPr>
          <w:rFonts w:ascii="Palatino Linotype" w:eastAsia="MS Mincho" w:hAnsi="Palatino Linotype" w:cs="Arial"/>
          <w:lang w:val="es-ES_tradnl"/>
        </w:rPr>
      </w:pPr>
    </w:p>
    <w:p w:rsidR="006F6BD0" w:rsidRPr="00634923" w:rsidRDefault="006F6BD0" w:rsidP="006F6BD0">
      <w:pPr>
        <w:spacing w:line="360" w:lineRule="auto"/>
        <w:jc w:val="both"/>
        <w:rPr>
          <w:rFonts w:ascii="Palatino Linotype" w:eastAsia="MS Mincho" w:hAnsi="Palatino Linotype" w:cs="Arial"/>
          <w:lang w:val="es-ES_tradnl"/>
        </w:rPr>
      </w:pPr>
      <w:r>
        <w:rPr>
          <w:rFonts w:ascii="Palatino Linotype" w:eastAsia="MS Mincho" w:hAnsi="Palatino Linotype" w:cs="Arial"/>
          <w:lang w:val="es-ES_tradnl"/>
        </w:rPr>
        <w:t>L</w:t>
      </w:r>
      <w:r w:rsidRPr="00634923">
        <w:rPr>
          <w:rFonts w:ascii="Palatino Linotype" w:eastAsia="MS Mincho" w:hAnsi="Palatino Linotype" w:cs="Arial"/>
          <w:lang w:val="es-ES_tradnl"/>
        </w:rPr>
        <w:t xml:space="preserve">os preceptos legales transcritos establecen que los </w:t>
      </w:r>
      <w:r w:rsidRPr="00634923">
        <w:rPr>
          <w:rFonts w:ascii="Palatino Linotype" w:eastAsia="MS Mincho" w:hAnsi="Palatino Linotype" w:cs="Arial"/>
          <w:b/>
          <w:lang w:val="es-ES_tradnl"/>
        </w:rPr>
        <w:t>sujetos obligados</w:t>
      </w:r>
      <w:r w:rsidRPr="00634923">
        <w:rPr>
          <w:rFonts w:ascii="Palatino Linotype" w:eastAsia="MS Mincho" w:hAnsi="Palatino Linotype" w:cs="Arial"/>
          <w:lang w:val="es-ES_tradn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6F6BD0" w:rsidRPr="00634923" w:rsidRDefault="006F6BD0" w:rsidP="006F6BD0">
      <w:pPr>
        <w:spacing w:line="360" w:lineRule="auto"/>
        <w:jc w:val="both"/>
        <w:rPr>
          <w:rFonts w:ascii="Palatino Linotype" w:eastAsia="MS Mincho" w:hAnsi="Palatino Linotype" w:cs="Arial"/>
          <w:lang w:val="es-ES_tradnl"/>
        </w:rPr>
      </w:pPr>
    </w:p>
    <w:p w:rsidR="006F6BD0" w:rsidRPr="00634923" w:rsidRDefault="006F6BD0" w:rsidP="006F6BD0">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6F6BD0" w:rsidRPr="00634923" w:rsidRDefault="006F6BD0" w:rsidP="006F6BD0">
      <w:pPr>
        <w:spacing w:line="360" w:lineRule="auto"/>
        <w:jc w:val="both"/>
        <w:rPr>
          <w:rFonts w:ascii="Palatino Linotype" w:eastAsia="MS Mincho" w:hAnsi="Palatino Linotype" w:cs="Arial"/>
          <w:szCs w:val="20"/>
          <w:lang w:val="es-ES_tradnl"/>
        </w:rPr>
      </w:pPr>
    </w:p>
    <w:p w:rsidR="006F6BD0" w:rsidRPr="00634923" w:rsidRDefault="006F6BD0" w:rsidP="006F6BD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Cs/>
          <w:i/>
          <w:sz w:val="22"/>
          <w:szCs w:val="22"/>
          <w:lang w:val="es-ES_tradnl"/>
        </w:rPr>
        <w:t>“</w:t>
      </w:r>
      <w:r w:rsidRPr="00634923">
        <w:rPr>
          <w:rFonts w:ascii="Palatino Linotype" w:eastAsia="MS Mincho" w:hAnsi="Palatino Linotype" w:cs="Arial"/>
          <w:b/>
          <w:bCs/>
          <w:i/>
          <w:sz w:val="22"/>
          <w:szCs w:val="22"/>
          <w:lang w:val="es-ES_tradnl"/>
        </w:rPr>
        <w:t>INFORMACIÓN PÚBLICA. ES AQUELLA QUE SE ENCUENTRA EN POSESIÓN DE CUALQUIER AUTORIDAD, ENTIDAD, ÓRGANO Y ORGANISMO FEDERAL, ESTATAL Y MUNICIPAL, SIEMPRE QUE SE HAYA OBTENIDO POR CAUSA DEL EJERCICIO DE FUNCIONES DE DERECHO PÚBLICO.</w:t>
      </w:r>
      <w:r w:rsidRPr="00634923">
        <w:rPr>
          <w:rFonts w:ascii="Palatino Linotype" w:eastAsia="MS Mincho" w:hAnsi="Palatino Linotype" w:cs="Arial"/>
          <w:i/>
          <w:sz w:val="22"/>
          <w:szCs w:val="22"/>
          <w:lang w:val="es-ES_tradnl"/>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w:t>
      </w:r>
      <w:r w:rsidRPr="00634923">
        <w:rPr>
          <w:rFonts w:ascii="Palatino Linotype" w:eastAsia="MS Mincho" w:hAnsi="Palatino Linotype" w:cs="Arial"/>
          <w:i/>
          <w:sz w:val="22"/>
          <w:szCs w:val="22"/>
          <w:lang w:val="es-ES_tradnl"/>
        </w:rPr>
        <w:lastRenderedPageBreak/>
        <w:t>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6F6BD0" w:rsidRDefault="006F6BD0" w:rsidP="006F6BD0">
      <w:pPr>
        <w:spacing w:line="360" w:lineRule="auto"/>
        <w:jc w:val="both"/>
        <w:rPr>
          <w:rFonts w:ascii="Palatino Linotype" w:eastAsia="MS Mincho" w:hAnsi="Palatino Linotype" w:cs="Arial"/>
          <w:color w:val="000000"/>
          <w:lang w:val="es-ES_tradnl"/>
        </w:rPr>
      </w:pPr>
    </w:p>
    <w:p w:rsidR="006F6BD0" w:rsidRPr="00634923" w:rsidRDefault="006F6BD0" w:rsidP="006F6BD0">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Asimismo, el artículo 24 de la Ley de la materia, señala que los </w:t>
      </w:r>
      <w:r w:rsidRPr="00A505D2">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xml:space="preserve"> sólo proporcionarán la información pública que </w:t>
      </w:r>
      <w:r w:rsidRPr="00634923">
        <w:rPr>
          <w:rFonts w:ascii="Palatino Linotype" w:eastAsia="MS Mincho" w:hAnsi="Palatino Linotype" w:cs="Arial"/>
          <w:lang w:val="es-ES_tradnl"/>
        </w:rPr>
        <w:t>generen</w:t>
      </w:r>
      <w:r w:rsidRPr="00634923">
        <w:rPr>
          <w:rFonts w:ascii="Palatino Linotype" w:eastAsia="MS Mincho" w:hAnsi="Palatino Linotype" w:cs="Arial"/>
          <w:color w:val="000000"/>
          <w:lang w:val="es-ES_tradnl"/>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6F6BD0" w:rsidRPr="00634923" w:rsidRDefault="006F6BD0" w:rsidP="006F6BD0">
      <w:pPr>
        <w:spacing w:line="360" w:lineRule="auto"/>
        <w:jc w:val="both"/>
        <w:rPr>
          <w:rFonts w:ascii="Palatino Linotype" w:eastAsia="MS Mincho" w:hAnsi="Palatino Linotype" w:cs="Arial"/>
          <w:color w:val="000000"/>
          <w:lang w:val="es-ES_tradnl"/>
        </w:rPr>
      </w:pPr>
    </w:p>
    <w:p w:rsidR="006F6BD0" w:rsidRPr="00634923" w:rsidRDefault="006F6BD0" w:rsidP="006F6BD0">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En esta misma tesitura, es de subrayar que el derecho de acceso a la información pública, consiste en que la información solicitada conste en un soporte documental en cualquiera de sus formas, a saber: </w:t>
      </w:r>
      <w:r w:rsidRPr="00634923">
        <w:rPr>
          <w:rFonts w:ascii="Palatino Linotype" w:eastAsia="MS Mincho"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34923">
        <w:rPr>
          <w:rFonts w:ascii="Palatino Linotype" w:eastAsia="MS Mincho" w:hAnsi="Palatino Linotype" w:cs="Arial"/>
          <w:color w:val="000000"/>
          <w:lang w:val="es-ES_tradnl"/>
        </w:rPr>
        <w:t xml:space="preserve">; los que </w:t>
      </w:r>
      <w:r w:rsidRPr="00634923">
        <w:rPr>
          <w:rFonts w:ascii="Palatino Linotype" w:eastAsia="MS Mincho" w:hAnsi="Palatino Linotype" w:cs="Arial"/>
          <w:lang w:val="es-ES_tradnl"/>
        </w:rPr>
        <w:t>podrán estar en cualquier medio, sea escrito, impreso, sonoro, visual, electrónico, informático u holográfico</w:t>
      </w:r>
      <w:r w:rsidRPr="00634923">
        <w:rPr>
          <w:rFonts w:ascii="Palatino Linotype" w:eastAsia="MS Mincho" w:hAnsi="Palatino Linotype" w:cs="Arial"/>
          <w:color w:val="000000"/>
          <w:lang w:val="es-ES_tradnl"/>
        </w:rPr>
        <w:t xml:space="preserve">, de conformidad con el artículo 3, fracción XI de la Ley de la materia, el cual dispone lo siguiente: </w:t>
      </w:r>
    </w:p>
    <w:p w:rsidR="006F6BD0" w:rsidRPr="00634923" w:rsidRDefault="006F6BD0" w:rsidP="006F6BD0">
      <w:pPr>
        <w:spacing w:line="360" w:lineRule="auto"/>
        <w:jc w:val="both"/>
        <w:rPr>
          <w:rFonts w:ascii="Palatino Linotype" w:eastAsia="MS Mincho" w:hAnsi="Palatino Linotype" w:cs="Arial"/>
          <w:color w:val="000000"/>
          <w:szCs w:val="20"/>
          <w:lang w:val="es-ES_tradnl"/>
        </w:rPr>
      </w:pPr>
    </w:p>
    <w:p w:rsidR="006F6BD0" w:rsidRDefault="006F6BD0" w:rsidP="006F6BD0">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i/>
          <w:color w:val="000000"/>
          <w:sz w:val="22"/>
          <w:szCs w:val="22"/>
          <w:lang w:val="es-ES_tradnl"/>
        </w:rPr>
        <w:t>“</w:t>
      </w:r>
      <w:r w:rsidRPr="00634923">
        <w:rPr>
          <w:rFonts w:ascii="Palatino Linotype" w:eastAsia="MS Mincho" w:hAnsi="Palatino Linotype" w:cs="Arial"/>
          <w:b/>
          <w:i/>
          <w:color w:val="000000"/>
          <w:sz w:val="22"/>
          <w:szCs w:val="22"/>
          <w:lang w:val="es-ES_tradnl"/>
        </w:rPr>
        <w:t xml:space="preserve">Artículo 3. </w:t>
      </w:r>
      <w:r w:rsidRPr="00634923">
        <w:rPr>
          <w:rFonts w:ascii="Palatino Linotype" w:eastAsia="MS Mincho" w:hAnsi="Palatino Linotype" w:cs="Arial"/>
          <w:i/>
          <w:color w:val="000000"/>
          <w:sz w:val="22"/>
          <w:szCs w:val="22"/>
          <w:lang w:val="es-ES_tradnl"/>
        </w:rPr>
        <w:t>Para los efectos de la presente Ley se entenderá por:</w:t>
      </w:r>
    </w:p>
    <w:p w:rsidR="006F6BD0" w:rsidRPr="00634923" w:rsidRDefault="006F6BD0" w:rsidP="006F6BD0">
      <w:pPr>
        <w:ind w:left="567" w:right="616"/>
        <w:jc w:val="both"/>
        <w:rPr>
          <w:rFonts w:ascii="Palatino Linotype" w:eastAsia="MS Mincho" w:hAnsi="Palatino Linotype" w:cs="Arial"/>
          <w:i/>
          <w:color w:val="000000"/>
          <w:sz w:val="22"/>
          <w:szCs w:val="22"/>
          <w:lang w:val="es-ES_tradnl"/>
        </w:rPr>
      </w:pPr>
      <w:r>
        <w:rPr>
          <w:rFonts w:ascii="Palatino Linotype" w:eastAsia="MS Mincho" w:hAnsi="Palatino Linotype" w:cs="Arial"/>
          <w:i/>
          <w:color w:val="000000"/>
          <w:sz w:val="22"/>
          <w:szCs w:val="22"/>
          <w:lang w:val="es-ES_tradnl"/>
        </w:rPr>
        <w:t>(…)</w:t>
      </w:r>
    </w:p>
    <w:p w:rsidR="006F6BD0" w:rsidRPr="00634923" w:rsidRDefault="006F6BD0" w:rsidP="006F6BD0">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b/>
          <w:i/>
          <w:color w:val="000000"/>
          <w:sz w:val="22"/>
          <w:szCs w:val="22"/>
          <w:lang w:val="es-ES_tradnl"/>
        </w:rPr>
        <w:t>XI. Documento:</w:t>
      </w:r>
      <w:r w:rsidRPr="00634923">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w:t>
      </w:r>
      <w:r w:rsidRPr="00634923">
        <w:rPr>
          <w:rFonts w:ascii="Palatino Linotype" w:eastAsia="MS Mincho" w:hAnsi="Palatino Linotype" w:cs="Arial"/>
          <w:i/>
          <w:color w:val="000000"/>
          <w:sz w:val="22"/>
          <w:szCs w:val="22"/>
          <w:lang w:val="es-ES_tradnl"/>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F6BD0" w:rsidRDefault="006F6BD0" w:rsidP="006F6BD0">
      <w:pPr>
        <w:autoSpaceDE w:val="0"/>
        <w:autoSpaceDN w:val="0"/>
        <w:adjustRightInd w:val="0"/>
        <w:spacing w:line="360" w:lineRule="auto"/>
        <w:jc w:val="both"/>
        <w:rPr>
          <w:rFonts w:ascii="Palatino Linotype" w:eastAsia="MS Mincho" w:hAnsi="Palatino Linotype" w:cs="Arial"/>
          <w:lang w:val="es-ES_tradnl"/>
        </w:rPr>
      </w:pPr>
    </w:p>
    <w:p w:rsidR="006F6BD0" w:rsidRDefault="006F6BD0" w:rsidP="006F6BD0">
      <w:pPr>
        <w:autoSpaceDE w:val="0"/>
        <w:autoSpaceDN w:val="0"/>
        <w:adjustRightInd w:val="0"/>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Siendo aplicable el criterio </w:t>
      </w:r>
      <w:r w:rsidRPr="00634923">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4923">
        <w:rPr>
          <w:rFonts w:ascii="Palatino Linotype" w:eastAsia="MS Mincho" w:hAnsi="Palatino Linotype" w:cs="Arial"/>
          <w:lang w:val="es-ES_tradnl"/>
        </w:rPr>
        <w:t>cuyo rubro y texto dispone:</w:t>
      </w:r>
    </w:p>
    <w:p w:rsidR="006F6BD0" w:rsidRPr="00634923" w:rsidRDefault="006F6BD0" w:rsidP="006F6BD0">
      <w:pPr>
        <w:autoSpaceDE w:val="0"/>
        <w:autoSpaceDN w:val="0"/>
        <w:adjustRightInd w:val="0"/>
        <w:spacing w:line="360" w:lineRule="auto"/>
        <w:jc w:val="both"/>
        <w:rPr>
          <w:rFonts w:ascii="Palatino Linotype" w:eastAsia="MS Mincho" w:hAnsi="Palatino Linotype" w:cs="Arial"/>
          <w:sz w:val="20"/>
          <w:szCs w:val="22"/>
          <w:lang w:val="es-ES_tradnl" w:eastAsia="es-MX"/>
        </w:rPr>
      </w:pPr>
    </w:p>
    <w:p w:rsidR="006F6BD0" w:rsidRPr="00634923" w:rsidRDefault="006F6BD0" w:rsidP="006F6BD0">
      <w:pPr>
        <w:ind w:left="567" w:right="616"/>
        <w:jc w:val="center"/>
        <w:rPr>
          <w:rFonts w:ascii="Palatino Linotype" w:eastAsia="MS Mincho" w:hAnsi="Palatino Linotype" w:cs="Arial"/>
          <w:b/>
          <w:i/>
          <w:sz w:val="22"/>
          <w:szCs w:val="22"/>
          <w:lang w:val="es-ES_tradnl" w:eastAsia="es-MX"/>
        </w:rPr>
      </w:pPr>
      <w:r w:rsidRPr="00634923">
        <w:rPr>
          <w:rFonts w:ascii="Palatino Linotype" w:eastAsia="MS Mincho" w:hAnsi="Palatino Linotype" w:cs="Arial"/>
          <w:sz w:val="22"/>
          <w:szCs w:val="22"/>
          <w:lang w:val="es-ES_tradnl" w:eastAsia="es-MX"/>
        </w:rPr>
        <w:t>“</w:t>
      </w:r>
      <w:r w:rsidRPr="00634923">
        <w:rPr>
          <w:rFonts w:ascii="Palatino Linotype" w:eastAsia="MS Mincho" w:hAnsi="Palatino Linotype" w:cs="Arial"/>
          <w:b/>
          <w:i/>
          <w:sz w:val="22"/>
          <w:szCs w:val="22"/>
          <w:lang w:val="es-ES_tradnl" w:eastAsia="es-MX"/>
        </w:rPr>
        <w:t>CRITERIO 0002-11</w:t>
      </w:r>
    </w:p>
    <w:p w:rsidR="006F6BD0" w:rsidRPr="00634923" w:rsidRDefault="006F6BD0" w:rsidP="006F6BD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634923">
        <w:rPr>
          <w:rFonts w:ascii="Palatino Linotype" w:eastAsia="MS Mincho" w:hAnsi="Palatino Linotype" w:cs="Arial"/>
          <w:b/>
          <w:bCs/>
          <w:i/>
          <w:sz w:val="22"/>
          <w:szCs w:val="22"/>
          <w:u w:val="single"/>
          <w:lang w:val="es-ES_tradnl" w:eastAsia="es-MX"/>
        </w:rPr>
        <w:t xml:space="preserve">V, XV, Y XVI, </w:t>
      </w:r>
      <w:r w:rsidRPr="00634923">
        <w:rPr>
          <w:rFonts w:ascii="Palatino Linotype" w:eastAsia="MS Mincho" w:hAnsi="Palatino Linotype" w:cs="Arial"/>
          <w:b/>
          <w:i/>
          <w:sz w:val="22"/>
          <w:szCs w:val="22"/>
          <w:u w:val="single"/>
          <w:lang w:val="es-ES_tradnl" w:eastAsia="es-MX"/>
        </w:rPr>
        <w:t>3°, 4°, 11 Y 41.</w:t>
      </w:r>
      <w:r w:rsidRPr="00634923">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F6BD0" w:rsidRPr="00634923" w:rsidRDefault="006F6BD0" w:rsidP="006F6BD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6F6BD0" w:rsidRPr="00634923" w:rsidRDefault="006F6BD0" w:rsidP="006F6BD0">
      <w:pPr>
        <w:ind w:left="567" w:right="616"/>
        <w:jc w:val="both"/>
        <w:rPr>
          <w:rFonts w:ascii="Palatino Linotype" w:eastAsia="MS Mincho" w:hAnsi="Palatino Linotype" w:cs="Arial"/>
          <w:b/>
          <w:i/>
          <w:sz w:val="22"/>
          <w:szCs w:val="22"/>
          <w:u w:val="single"/>
          <w:lang w:val="es-ES_tradnl" w:eastAsia="es-MX"/>
        </w:rPr>
      </w:pPr>
      <w:r w:rsidRPr="00634923">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6F6BD0" w:rsidRPr="00634923" w:rsidRDefault="006F6BD0" w:rsidP="006F6BD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 xml:space="preserve">2) Que se trate de </w:t>
      </w:r>
      <w:r w:rsidRPr="00634923">
        <w:rPr>
          <w:rFonts w:ascii="Palatino Linotype" w:eastAsia="MS Mincho" w:hAnsi="Palatino Linotype" w:cs="Arial"/>
          <w:b/>
          <w:i/>
          <w:sz w:val="22"/>
          <w:szCs w:val="22"/>
          <w:u w:val="single"/>
          <w:lang w:val="es-ES_tradnl" w:eastAsia="es-MX"/>
        </w:rPr>
        <w:t>información</w:t>
      </w:r>
      <w:r w:rsidRPr="00634923">
        <w:rPr>
          <w:rFonts w:ascii="Palatino Linotype" w:eastAsia="MS Mincho" w:hAnsi="Palatino Linotype" w:cs="Arial"/>
          <w:i/>
          <w:sz w:val="22"/>
          <w:szCs w:val="22"/>
          <w:lang w:val="es-ES_tradnl" w:eastAsia="es-MX"/>
        </w:rPr>
        <w:t xml:space="preserve"> registrada en cualquier soporte documental, que en ejercicio de las atribuciones conferidas, sea administrada por los Sujetos Obligados, y</w:t>
      </w:r>
    </w:p>
    <w:p w:rsidR="006F6BD0" w:rsidRDefault="006F6BD0" w:rsidP="006F6BD0">
      <w:pPr>
        <w:ind w:left="567" w:right="616"/>
        <w:jc w:val="both"/>
        <w:rPr>
          <w:rFonts w:ascii="Palatino Linotype" w:eastAsia="MS Mincho" w:hAnsi="Palatino Linotype" w:cs="Arial"/>
          <w:i/>
          <w:sz w:val="22"/>
          <w:szCs w:val="22"/>
          <w:lang w:val="es-ES_tradnl" w:eastAsia="es-MX"/>
        </w:rPr>
      </w:pPr>
      <w:bookmarkStart w:id="0" w:name="_GoBack"/>
      <w:r w:rsidRPr="00634923">
        <w:rPr>
          <w:rFonts w:ascii="Palatino Linotype" w:eastAsia="MS Mincho"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6F6BD0" w:rsidRPr="00634923" w:rsidRDefault="006F6BD0" w:rsidP="006F6BD0">
      <w:pPr>
        <w:ind w:left="567" w:right="616"/>
        <w:jc w:val="both"/>
        <w:rPr>
          <w:rFonts w:ascii="Palatino Linotype" w:eastAsia="MS Mincho" w:hAnsi="Palatino Linotype" w:cs="Arial"/>
          <w:i/>
          <w:sz w:val="22"/>
          <w:szCs w:val="22"/>
          <w:lang w:val="es-ES_tradnl" w:eastAsia="es-MX"/>
        </w:rPr>
      </w:pPr>
    </w:p>
    <w:p w:rsidR="006F6BD0" w:rsidRPr="00634923" w:rsidRDefault="006F6BD0" w:rsidP="006F6BD0">
      <w:pPr>
        <w:ind w:left="567" w:right="616"/>
        <w:jc w:val="right"/>
        <w:rPr>
          <w:rFonts w:ascii="Palatino Linotype" w:eastAsia="MS Mincho" w:hAnsi="Palatino Linotype" w:cs="Arial"/>
          <w:sz w:val="22"/>
          <w:szCs w:val="22"/>
          <w:lang w:val="es-ES_tradnl" w:eastAsia="es-MX"/>
        </w:rPr>
      </w:pPr>
      <w:r w:rsidRPr="00634923">
        <w:rPr>
          <w:rFonts w:ascii="Palatino Linotype" w:eastAsia="MS Mincho" w:hAnsi="Palatino Linotype" w:cs="Arial"/>
          <w:sz w:val="22"/>
          <w:szCs w:val="22"/>
          <w:lang w:val="es-ES_tradnl" w:eastAsia="es-MX"/>
        </w:rPr>
        <w:t>(Énfasis Añadido)</w:t>
      </w:r>
    </w:p>
    <w:bookmarkEnd w:id="0"/>
    <w:p w:rsidR="006F6BD0" w:rsidRPr="00634923" w:rsidRDefault="006F6BD0" w:rsidP="006F6BD0">
      <w:pPr>
        <w:autoSpaceDE w:val="0"/>
        <w:autoSpaceDN w:val="0"/>
        <w:adjustRightInd w:val="0"/>
        <w:spacing w:line="360" w:lineRule="auto"/>
        <w:ind w:right="51"/>
        <w:jc w:val="both"/>
        <w:rPr>
          <w:rFonts w:ascii="Palatino Linotype" w:eastAsia="MS Mincho" w:hAnsi="Palatino Linotype"/>
          <w:szCs w:val="20"/>
          <w:lang w:val="es-ES_tradnl"/>
        </w:rPr>
      </w:pPr>
    </w:p>
    <w:p w:rsidR="006F6BD0" w:rsidRDefault="006F6BD0" w:rsidP="006F6BD0">
      <w:pPr>
        <w:spacing w:line="360" w:lineRule="auto"/>
        <w:jc w:val="both"/>
        <w:rPr>
          <w:rFonts w:ascii="Palatino Linotype" w:hAnsi="Palatino Linotype" w:cs="Arial"/>
          <w:color w:val="000000" w:themeColor="text1"/>
        </w:rPr>
      </w:pPr>
      <w:r>
        <w:rPr>
          <w:rFonts w:ascii="Palatino Linotype" w:eastAsia="MS Mincho" w:hAnsi="Palatino Linotype"/>
          <w:lang w:val="es-MX" w:eastAsia="es-MX"/>
        </w:rPr>
        <w:t xml:space="preserve">Acotado </w:t>
      </w:r>
      <w:r w:rsidRPr="00634923">
        <w:rPr>
          <w:rFonts w:ascii="Palatino Linotype" w:eastAsia="MS Mincho" w:hAnsi="Palatino Linotype"/>
          <w:lang w:val="es-MX" w:eastAsia="es-MX"/>
        </w:rPr>
        <w:t>lo anterior</w:t>
      </w:r>
      <w:r>
        <w:rPr>
          <w:rFonts w:ascii="Palatino Linotype" w:eastAsia="MS Mincho" w:hAnsi="Palatino Linotype"/>
          <w:lang w:val="es-MX" w:eastAsia="es-MX"/>
        </w:rPr>
        <w:t>, es necesario señalar que</w:t>
      </w:r>
      <w:r>
        <w:rPr>
          <w:rFonts w:ascii="Palatino Linotype" w:hAnsi="Palatino Linotype" w:cs="Arial"/>
          <w:color w:val="000000" w:themeColor="text1"/>
        </w:rPr>
        <w:t xml:space="preserve"> se hizo estudio y análisis de la normatividad siguiente: Ley de Obras Públicas y Servicios relacionados con las Mismas, Libro Décimo Segundo del </w:t>
      </w:r>
      <w:r w:rsidRPr="00493C57">
        <w:rPr>
          <w:rFonts w:ascii="Palatino Linotype" w:hAnsi="Palatino Linotype" w:cs="Arial"/>
          <w:color w:val="000000" w:themeColor="text1"/>
        </w:rPr>
        <w:t>Código Administrativo del Estado de México</w:t>
      </w:r>
      <w:r>
        <w:rPr>
          <w:rFonts w:ascii="Palatino Linotype" w:hAnsi="Palatino Linotype" w:cs="Arial"/>
          <w:color w:val="000000" w:themeColor="text1"/>
        </w:rPr>
        <w:t xml:space="preserve">, </w:t>
      </w:r>
      <w:r w:rsidRPr="00493C57">
        <w:rPr>
          <w:rFonts w:ascii="Palatino Linotype" w:hAnsi="Palatino Linotype" w:cs="Arial"/>
          <w:color w:val="000000" w:themeColor="text1"/>
        </w:rPr>
        <w:t>Reglamento del Libro Décimo Segundo del Código</w:t>
      </w:r>
      <w:r>
        <w:rPr>
          <w:rFonts w:ascii="Palatino Linotype" w:hAnsi="Palatino Linotype" w:cs="Arial"/>
          <w:color w:val="000000" w:themeColor="text1"/>
        </w:rPr>
        <w:t xml:space="preserve"> </w:t>
      </w:r>
      <w:r w:rsidRPr="00493C57">
        <w:rPr>
          <w:rFonts w:ascii="Palatino Linotype" w:hAnsi="Palatino Linotype" w:cs="Arial"/>
          <w:color w:val="000000" w:themeColor="text1"/>
        </w:rPr>
        <w:t xml:space="preserve">Administrativo del Estado de </w:t>
      </w:r>
      <w:r>
        <w:rPr>
          <w:rFonts w:ascii="Palatino Linotype" w:hAnsi="Palatino Linotype" w:cs="Arial"/>
          <w:color w:val="000000" w:themeColor="text1"/>
        </w:rPr>
        <w:lastRenderedPageBreak/>
        <w:t xml:space="preserve">México, </w:t>
      </w:r>
      <w:r w:rsidRPr="00493C57">
        <w:rPr>
          <w:rFonts w:ascii="Palatino Linotype" w:hAnsi="Palatino Linotype" w:cs="Arial"/>
          <w:color w:val="000000" w:themeColor="text1"/>
        </w:rPr>
        <w:t>Ley Orgánica Municipal del Estado de México</w:t>
      </w:r>
      <w:r>
        <w:rPr>
          <w:rFonts w:ascii="Palatino Linotype" w:hAnsi="Palatino Linotype" w:cs="Arial"/>
          <w:color w:val="000000" w:themeColor="text1"/>
        </w:rPr>
        <w:t xml:space="preserve">, Bando Municipal 2019 del Municipio de San José del Rincón, así como el Disco 3 de los Lineamientos para la entrega del Informe Mensual Municipal 2019; sin advertir facultad, función o atribución alguna que constriña al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 la integración del expediente de obra de cierta manera.</w:t>
      </w:r>
    </w:p>
    <w:p w:rsidR="006F6BD0" w:rsidRDefault="006F6BD0" w:rsidP="006F6BD0">
      <w:pPr>
        <w:spacing w:line="360" w:lineRule="auto"/>
        <w:jc w:val="both"/>
        <w:rPr>
          <w:rFonts w:ascii="Palatino Linotype" w:hAnsi="Palatino Linotype" w:cs="Arial"/>
          <w:color w:val="000000" w:themeColor="text1"/>
        </w:rPr>
      </w:pPr>
    </w:p>
    <w:p w:rsidR="006F6BD0" w:rsidRPr="000255F6" w:rsidRDefault="006F6BD0" w:rsidP="006F6B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Amén de lo anterior, si bien en lo que corresponde al inciso </w:t>
      </w:r>
      <w:r w:rsidRPr="000255F6">
        <w:rPr>
          <w:rFonts w:ascii="Palatino Linotype" w:hAnsi="Palatino Linotype" w:cs="Arial"/>
          <w:b/>
          <w:color w:val="000000" w:themeColor="text1"/>
        </w:rPr>
        <w:t>g)</w:t>
      </w:r>
      <w:r>
        <w:rPr>
          <w:rFonts w:ascii="Palatino Linotype" w:hAnsi="Palatino Linotype" w:cs="Arial"/>
          <w:b/>
          <w:color w:val="000000" w:themeColor="text1"/>
        </w:rPr>
        <w:t xml:space="preserve"> relativo a las actas de entrega recepción de las obras,</w:t>
      </w:r>
      <w:r>
        <w:rPr>
          <w:rFonts w:ascii="Palatino Linotype" w:hAnsi="Palatino Linotype" w:cs="Arial"/>
          <w:color w:val="000000" w:themeColor="text1"/>
        </w:rPr>
        <w:t xml:space="preserve"> las mismas fueron entregadas, como quedó precisado las mismas carecen de las firmas que les otorguen su validez, consecuentemente es necesario ordenar de nueva cuenta su entrega, debidamente firmadas.</w:t>
      </w:r>
    </w:p>
    <w:p w:rsidR="006F6BD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Vistas las consideraciones de hecho y de derecho precisadas en párrafos anteriores, el Municipio de San José del Rincón, al no encontrarse obligado a integrar con ciertos documentos o requisitos el expediente de obra, así mismo de la manifestación hecha en respuesta primigenia en el sentido que fueron remitidos con la totalidad de las constancias que lo integran, se tienen por satisfechos los incisos </w:t>
      </w:r>
      <w:r w:rsidRPr="00B20FFC">
        <w:rPr>
          <w:rFonts w:ascii="Palatino Linotype" w:hAnsi="Palatino Linotype" w:cs="Arial"/>
          <w:b/>
          <w:color w:val="000000" w:themeColor="text1"/>
        </w:rPr>
        <w:t>a</w:t>
      </w:r>
      <w:r>
        <w:rPr>
          <w:rFonts w:ascii="Palatino Linotype" w:hAnsi="Palatino Linotype" w:cs="Arial"/>
          <w:b/>
          <w:color w:val="000000" w:themeColor="text1"/>
        </w:rPr>
        <w:t xml:space="preserve">), b), c), d), e), f) </w:t>
      </w:r>
      <w:r w:rsidRPr="000255F6">
        <w:rPr>
          <w:rFonts w:ascii="Palatino Linotype" w:hAnsi="Palatino Linotype" w:cs="Arial"/>
          <w:color w:val="000000" w:themeColor="text1"/>
        </w:rPr>
        <w:t>y</w:t>
      </w:r>
      <w:r w:rsidRPr="00B20FFC">
        <w:rPr>
          <w:rFonts w:ascii="Palatino Linotype" w:hAnsi="Palatino Linotype" w:cs="Arial"/>
          <w:b/>
          <w:color w:val="000000" w:themeColor="text1"/>
        </w:rPr>
        <w:t xml:space="preserve"> h)</w:t>
      </w:r>
      <w:r>
        <w:rPr>
          <w:rFonts w:ascii="Palatino Linotype" w:hAnsi="Palatino Linotype" w:cs="Arial"/>
          <w:b/>
          <w:color w:val="000000" w:themeColor="text1"/>
        </w:rPr>
        <w:t>.</w:t>
      </w:r>
    </w:p>
    <w:p w:rsidR="006F6BD0" w:rsidRDefault="006F6BD0" w:rsidP="006F6BD0">
      <w:pPr>
        <w:spacing w:line="360" w:lineRule="auto"/>
        <w:jc w:val="both"/>
        <w:rPr>
          <w:rFonts w:ascii="Palatino Linotype" w:hAnsi="Palatino Linotype" w:cs="Arial"/>
          <w:color w:val="000000" w:themeColor="text1"/>
        </w:rPr>
      </w:pPr>
    </w:p>
    <w:p w:rsidR="006F6BD0" w:rsidRPr="00B20FFC" w:rsidRDefault="006F6BD0" w:rsidP="006F6B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lo que corresponde al inciso </w:t>
      </w:r>
      <w:r w:rsidRPr="00B20FFC">
        <w:rPr>
          <w:rFonts w:ascii="Palatino Linotype" w:hAnsi="Palatino Linotype" w:cs="Arial"/>
          <w:b/>
          <w:color w:val="000000" w:themeColor="text1"/>
        </w:rPr>
        <w:t>i)</w:t>
      </w:r>
      <w:r>
        <w:rPr>
          <w:rFonts w:ascii="Palatino Linotype" w:hAnsi="Palatino Linotype" w:cs="Arial"/>
          <w:b/>
          <w:color w:val="000000" w:themeColor="text1"/>
        </w:rPr>
        <w:t xml:space="preserve">, referente a la Bitácora de la obra pública, </w:t>
      </w:r>
      <w:r>
        <w:rPr>
          <w:rFonts w:ascii="Palatino Linotype" w:hAnsi="Palatino Linotype" w:cs="Arial"/>
          <w:color w:val="000000" w:themeColor="text1"/>
        </w:rPr>
        <w:t xml:space="preserve">únicamente </w:t>
      </w:r>
      <w:r w:rsidRPr="008832D1">
        <w:rPr>
          <w:rFonts w:ascii="Palatino Linotype" w:hAnsi="Palatino Linotype" w:cs="Arial"/>
          <w:color w:val="000000" w:themeColor="text1"/>
        </w:rPr>
        <w:t>por lo que corresponde a la obra pública Obra Fundereje Barrio El Reemblazo</w:t>
      </w:r>
      <w:r>
        <w:rPr>
          <w:rFonts w:ascii="Palatino Linotype" w:hAnsi="Palatino Linotype" w:cs="Arial"/>
          <w:color w:val="000000" w:themeColor="text1"/>
        </w:rPr>
        <w:t>, no así de la obra</w:t>
      </w:r>
      <w:r w:rsidRPr="008832D1">
        <w:rPr>
          <w:rFonts w:ascii="Palatino Linotype" w:hAnsi="Palatino Linotype" w:cs="Arial"/>
          <w:color w:val="000000" w:themeColor="text1"/>
        </w:rPr>
        <w:t xml:space="preserve"> </w:t>
      </w:r>
      <w:r>
        <w:rPr>
          <w:rFonts w:ascii="Palatino Linotype" w:hAnsi="Palatino Linotype" w:cs="Arial"/>
          <w:color w:val="000000" w:themeColor="text1"/>
        </w:rPr>
        <w:t>C</w:t>
      </w:r>
      <w:r w:rsidRPr="008832D1">
        <w:rPr>
          <w:rFonts w:ascii="Palatino Linotype" w:hAnsi="Palatino Linotype" w:cs="Arial"/>
          <w:color w:val="000000" w:themeColor="text1"/>
        </w:rPr>
        <w:t>olonia las Tinajas</w:t>
      </w:r>
      <w:r>
        <w:rPr>
          <w:rFonts w:ascii="Palatino Linotype" w:hAnsi="Palatino Linotype" w:cs="Arial"/>
          <w:color w:val="000000" w:themeColor="text1"/>
        </w:rPr>
        <w:t xml:space="preserve">, al precisarse en el propio expediente la existencia de la misma, sin que obre en el mismo, consecuentemente resulta dable ordenar el acuerdo de inexistencia de la </w:t>
      </w:r>
      <w:r w:rsidRPr="008832D1">
        <w:rPr>
          <w:rFonts w:ascii="Palatino Linotype" w:hAnsi="Palatino Linotype" w:cs="Arial"/>
          <w:color w:val="000000" w:themeColor="text1"/>
        </w:rPr>
        <w:t>bitácora de supervisión de</w:t>
      </w:r>
      <w:r>
        <w:rPr>
          <w:rFonts w:ascii="Palatino Linotype" w:hAnsi="Palatino Linotype" w:cs="Arial"/>
          <w:color w:val="000000" w:themeColor="text1"/>
        </w:rPr>
        <w:t xml:space="preserve"> la</w:t>
      </w:r>
      <w:r w:rsidRPr="008832D1">
        <w:rPr>
          <w:rFonts w:ascii="Palatino Linotype" w:hAnsi="Palatino Linotype" w:cs="Arial"/>
          <w:color w:val="000000" w:themeColor="text1"/>
        </w:rPr>
        <w:t xml:space="preserve"> obra</w:t>
      </w:r>
      <w:r>
        <w:rPr>
          <w:rFonts w:ascii="Palatino Linotype" w:hAnsi="Palatino Linotype" w:cs="Arial"/>
          <w:color w:val="000000" w:themeColor="text1"/>
        </w:rPr>
        <w:t xml:space="preserve"> C</w:t>
      </w:r>
      <w:r w:rsidRPr="008832D1">
        <w:rPr>
          <w:rFonts w:ascii="Palatino Linotype" w:hAnsi="Palatino Linotype" w:cs="Arial"/>
          <w:color w:val="000000" w:themeColor="text1"/>
        </w:rPr>
        <w:t>olonia las Tinajas</w:t>
      </w:r>
      <w:r>
        <w:rPr>
          <w:rFonts w:ascii="Palatino Linotype" w:hAnsi="Palatino Linotype" w:cs="Arial"/>
          <w:color w:val="000000" w:themeColor="text1"/>
        </w:rPr>
        <w:t>.</w:t>
      </w:r>
    </w:p>
    <w:p w:rsidR="006F6BD0" w:rsidRDefault="006F6BD0" w:rsidP="006F6BD0">
      <w:pPr>
        <w:spacing w:line="360" w:lineRule="auto"/>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color w:val="000000" w:themeColor="text1"/>
        </w:rPr>
      </w:pPr>
    </w:p>
    <w:p w:rsidR="006F6BD0" w:rsidRPr="00764CDC" w:rsidRDefault="006F6BD0" w:rsidP="006F6BD0">
      <w:pPr>
        <w:numPr>
          <w:ilvl w:val="0"/>
          <w:numId w:val="5"/>
        </w:numPr>
        <w:spacing w:line="360" w:lineRule="auto"/>
        <w:jc w:val="both"/>
        <w:rPr>
          <w:rFonts w:ascii="Palatino Linotype" w:hAnsi="Palatino Linotype" w:cs="Arial"/>
          <w:i/>
          <w:sz w:val="28"/>
        </w:rPr>
      </w:pPr>
      <w:r w:rsidRPr="00764CDC">
        <w:rPr>
          <w:rFonts w:ascii="Palatino Linotype" w:hAnsi="Palatino Linotype" w:cs="Arial"/>
          <w:b/>
          <w:i/>
          <w:sz w:val="28"/>
        </w:rPr>
        <w:lastRenderedPageBreak/>
        <w:t>Del acuerdo de Inexistencia</w:t>
      </w:r>
    </w:p>
    <w:p w:rsidR="006F6BD0" w:rsidRDefault="006F6BD0" w:rsidP="006F6BD0">
      <w:pPr>
        <w:spacing w:line="360" w:lineRule="auto"/>
        <w:jc w:val="both"/>
        <w:rPr>
          <w:rFonts w:ascii="Palatino Linotype" w:eastAsiaTheme="minorHAnsi" w:hAnsi="Palatino Linotype" w:cs="Arial"/>
          <w:lang w:val="es-MX" w:eastAsia="en-US"/>
        </w:rPr>
      </w:pPr>
    </w:p>
    <w:p w:rsidR="006F6BD0" w:rsidRPr="00764CDC" w:rsidRDefault="006F6BD0" w:rsidP="006F6BD0">
      <w:pPr>
        <w:spacing w:line="360" w:lineRule="auto"/>
        <w:jc w:val="both"/>
        <w:rPr>
          <w:rFonts w:ascii="Palatino Linotype" w:eastAsiaTheme="minorHAnsi" w:hAnsi="Palatino Linotype" w:cstheme="minorBidi"/>
          <w:lang w:val="es-MX" w:eastAsia="en-US"/>
        </w:rPr>
      </w:pPr>
      <w:r w:rsidRPr="00764CDC">
        <w:rPr>
          <w:rFonts w:ascii="Palatino Linotype" w:eastAsiaTheme="minorHAnsi" w:hAnsi="Palatino Linotype" w:cs="Arial"/>
          <w:lang w:val="es-MX" w:eastAsia="en-US"/>
        </w:rPr>
        <w:t xml:space="preserve">El </w:t>
      </w:r>
      <w:r w:rsidRPr="00764CDC">
        <w:rPr>
          <w:rFonts w:ascii="Palatino Linotype" w:eastAsiaTheme="minorHAnsi" w:hAnsi="Palatino Linotype" w:cs="Arial"/>
          <w:b/>
          <w:lang w:val="es-MX" w:eastAsia="en-US"/>
        </w:rPr>
        <w:t>sujeto obligado</w:t>
      </w:r>
      <w:r w:rsidRPr="00764CDC">
        <w:rPr>
          <w:rFonts w:ascii="Palatino Linotype" w:eastAsiaTheme="minorHAnsi" w:hAnsi="Palatino Linotype" w:cs="Arial"/>
          <w:lang w:val="es-MX" w:eastAsia="en-US"/>
        </w:rPr>
        <w:t xml:space="preserve"> al no tener en sus archivos la información peticionada, ello a pesar de haber sido generada en su momento, por lo que </w:t>
      </w:r>
      <w:r w:rsidRPr="00764CDC">
        <w:rPr>
          <w:rFonts w:ascii="Palatino Linotype" w:eastAsiaTheme="minorHAnsi" w:hAnsi="Palatino Linotype" w:cstheme="minorBidi"/>
          <w:lang w:val="es-MX" w:eastAsia="en-US"/>
        </w:rPr>
        <w:t xml:space="preserve">deberá emitir su acuerdo de inexistencia en términos de los artículos 19, 169 y 170 de la Ley de la materia como se enuncia a continuación: </w:t>
      </w:r>
    </w:p>
    <w:p w:rsidR="006F6BD0" w:rsidRPr="00764CDC" w:rsidRDefault="006F6BD0" w:rsidP="006F6BD0">
      <w:pPr>
        <w:spacing w:line="360" w:lineRule="auto"/>
        <w:jc w:val="both"/>
        <w:rPr>
          <w:rFonts w:ascii="Palatino Linotype" w:eastAsiaTheme="minorHAnsi" w:hAnsi="Palatino Linotype" w:cstheme="minorBidi"/>
          <w:sz w:val="22"/>
          <w:szCs w:val="22"/>
          <w:lang w:val="es-MX" w:eastAsia="en-US"/>
        </w:rPr>
      </w:pP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i/>
          <w:sz w:val="22"/>
          <w:szCs w:val="22"/>
          <w:lang w:val="es-MX" w:eastAsia="en-US"/>
        </w:rPr>
        <w:t>“</w:t>
      </w:r>
      <w:r w:rsidRPr="00764CDC">
        <w:rPr>
          <w:rFonts w:ascii="Palatino Linotype" w:eastAsiaTheme="minorHAnsi" w:hAnsi="Palatino Linotype" w:cstheme="minorBidi"/>
          <w:b/>
          <w:i/>
          <w:sz w:val="22"/>
          <w:szCs w:val="22"/>
          <w:lang w:val="es-MX" w:eastAsia="en-US"/>
        </w:rPr>
        <w:t>Artículo 19</w:t>
      </w:r>
      <w:r w:rsidRPr="00764CDC">
        <w:rPr>
          <w:rFonts w:ascii="Palatino Linotype" w:eastAsiaTheme="minorHAnsi" w:hAnsi="Palatino Linotype" w:cstheme="minorBidi"/>
          <w:i/>
          <w:sz w:val="22"/>
          <w:szCs w:val="22"/>
          <w:lang w:val="es-MX" w:eastAsia="en-US"/>
        </w:rPr>
        <w:t>. Se presume que la información debe existir si se refiere a las facultades, competencias y funciones que los ordenamientos jurídicos aplicables otorgan a los sujetos obligados.</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i/>
          <w:sz w:val="22"/>
          <w:szCs w:val="22"/>
          <w:lang w:val="es-MX" w:eastAsia="en-U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Artículo 169.</w:t>
      </w:r>
      <w:r w:rsidRPr="00764CDC">
        <w:rPr>
          <w:rFonts w:ascii="Palatino Linotype" w:eastAsiaTheme="minorHAnsi" w:hAnsi="Palatino Linotype" w:cstheme="minorBidi"/>
          <w:i/>
          <w:sz w:val="22"/>
          <w:szCs w:val="22"/>
          <w:lang w:val="es-MX" w:eastAsia="en-US"/>
        </w:rPr>
        <w:t xml:space="preserve"> Cuando la información no se encuentre en los archivos del sujeto obligado, el Comité de Transparencia:</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I</w:t>
      </w:r>
      <w:r w:rsidRPr="00764CDC">
        <w:rPr>
          <w:rFonts w:ascii="Palatino Linotype" w:eastAsiaTheme="minorHAnsi" w:hAnsi="Palatino Linotype" w:cstheme="minorBidi"/>
          <w:i/>
          <w:sz w:val="22"/>
          <w:szCs w:val="22"/>
          <w:lang w:val="es-MX" w:eastAsia="en-US"/>
        </w:rPr>
        <w:t>. Analizará el caso y tomará las medidas necesarias para localizar la información;</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II.</w:t>
      </w:r>
      <w:r w:rsidRPr="00764CDC">
        <w:rPr>
          <w:rFonts w:ascii="Palatino Linotype" w:eastAsiaTheme="minorHAnsi" w:hAnsi="Palatino Linotype" w:cstheme="minorBidi"/>
          <w:i/>
          <w:sz w:val="22"/>
          <w:szCs w:val="22"/>
          <w:lang w:val="es-MX" w:eastAsia="en-US"/>
        </w:rPr>
        <w:t xml:space="preserve"> Expedirá una resolución que confirme la inexistencia del documento;</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III.</w:t>
      </w:r>
      <w:r w:rsidRPr="00764CDC">
        <w:rPr>
          <w:rFonts w:ascii="Palatino Linotype" w:eastAsiaTheme="minorHAnsi" w:hAnsi="Palatino Linotype" w:cstheme="minorBidi"/>
          <w:i/>
          <w:sz w:val="22"/>
          <w:szCs w:val="22"/>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IV.</w:t>
      </w:r>
      <w:r w:rsidRPr="00764CDC">
        <w:rPr>
          <w:rFonts w:ascii="Palatino Linotype" w:eastAsiaTheme="minorHAnsi" w:hAnsi="Palatino Linotype" w:cstheme="minorBidi"/>
          <w:i/>
          <w:sz w:val="22"/>
          <w:szCs w:val="22"/>
          <w:lang w:val="es-MX" w:eastAsia="en-US"/>
        </w:rPr>
        <w:t xml:space="preserve"> Notificará al órgano interno de control o equivalente del sujeto obligado quien, en su caso, deberá iniciar el procedimiento de responsabilidad administrativa que corresponda.</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i/>
          <w:sz w:val="22"/>
          <w:szCs w:val="22"/>
          <w:lang w:val="es-MX" w:eastAsia="en-US"/>
        </w:rPr>
        <w:t>La Unidad de Transparencia deberá notificarlo al solicitante por escrito, en un plazo que no exceda de quince días hábiles contados a partir del día siguiente a la presentación de la solicitud.</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i/>
          <w:sz w:val="22"/>
          <w:szCs w:val="22"/>
          <w:lang w:val="es-MX" w:eastAsia="en-US"/>
        </w:rPr>
        <w:t>Este plazo podrá ampliarse hasta por otros siete días hábiles, siempre que existan razones para ello, debiendo notificarse por escrito al solicitante.</w:t>
      </w: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p>
    <w:p w:rsidR="006F6BD0" w:rsidRPr="00764CDC" w:rsidRDefault="006F6BD0" w:rsidP="006F6BD0">
      <w:pPr>
        <w:ind w:left="567" w:right="567"/>
        <w:jc w:val="both"/>
        <w:rPr>
          <w:rFonts w:ascii="Palatino Linotype" w:eastAsiaTheme="minorHAnsi" w:hAnsi="Palatino Linotype" w:cstheme="minorBidi"/>
          <w:i/>
          <w:sz w:val="22"/>
          <w:szCs w:val="22"/>
          <w:lang w:val="es-MX" w:eastAsia="en-US"/>
        </w:rPr>
      </w:pPr>
      <w:r w:rsidRPr="00764CDC">
        <w:rPr>
          <w:rFonts w:ascii="Palatino Linotype" w:eastAsiaTheme="minorHAnsi" w:hAnsi="Palatino Linotype" w:cstheme="minorBidi"/>
          <w:b/>
          <w:i/>
          <w:sz w:val="22"/>
          <w:szCs w:val="22"/>
          <w:lang w:val="es-MX" w:eastAsia="en-US"/>
        </w:rPr>
        <w:t>Artículo 170</w:t>
      </w:r>
      <w:r w:rsidRPr="00764CDC">
        <w:rPr>
          <w:rFonts w:ascii="Palatino Linotype" w:eastAsiaTheme="minorHAnsi" w:hAnsi="Palatino Linotype" w:cstheme="minorBidi"/>
          <w:i/>
          <w:sz w:val="22"/>
          <w:szCs w:val="22"/>
          <w:lang w:val="es-MX" w:eastAsia="en-US"/>
        </w:rPr>
        <w:t xml:space="preserve">. La resolución del Comité de Transparencia que confirme la inexistencia de la información solicitada contendrá los elementos mínimos que permitan al solicitante tener </w:t>
      </w:r>
      <w:r w:rsidRPr="00764CDC">
        <w:rPr>
          <w:rFonts w:ascii="Palatino Linotype" w:eastAsiaTheme="minorHAnsi" w:hAnsi="Palatino Linotype" w:cstheme="minorBidi"/>
          <w:i/>
          <w:sz w:val="22"/>
          <w:szCs w:val="22"/>
          <w:lang w:val="es-MX" w:eastAsia="en-US"/>
        </w:rPr>
        <w:lastRenderedPageBreak/>
        <w:t>la certeza de que se utilizó un criterio de búsqueda exhaustivo, además de señalar las circunstancias de tiempo, modo y lugar que generaron la existencia en cuestión y señalará al servidor público responsable de contar con la misma.”</w:t>
      </w:r>
    </w:p>
    <w:p w:rsidR="006F6BD0" w:rsidRPr="00764CDC" w:rsidRDefault="006F6BD0" w:rsidP="006F6BD0">
      <w:pPr>
        <w:spacing w:line="360" w:lineRule="auto"/>
        <w:jc w:val="both"/>
        <w:rPr>
          <w:rFonts w:ascii="Palatino Linotype" w:eastAsiaTheme="minorHAnsi" w:hAnsi="Palatino Linotype" w:cstheme="minorBidi"/>
          <w:lang w:val="es-MX" w:eastAsia="en-US"/>
        </w:rPr>
      </w:pPr>
    </w:p>
    <w:p w:rsidR="006F6BD0" w:rsidRPr="00764CDC" w:rsidRDefault="006F6BD0" w:rsidP="006F6BD0">
      <w:pPr>
        <w:spacing w:line="360" w:lineRule="auto"/>
        <w:jc w:val="both"/>
        <w:rPr>
          <w:rFonts w:ascii="Palatino Linotype" w:eastAsiaTheme="minorHAnsi" w:hAnsi="Palatino Linotype" w:cstheme="minorBidi"/>
          <w:lang w:val="es-MX" w:eastAsia="en-US"/>
        </w:rPr>
      </w:pPr>
      <w:r w:rsidRPr="00764CDC">
        <w:rPr>
          <w:rFonts w:ascii="Palatino Linotype" w:eastAsiaTheme="minorHAnsi" w:hAnsi="Palatino Linotype" w:cstheme="minorBidi"/>
          <w:lang w:val="es-MX" w:eastAsia="en-US"/>
        </w:rPr>
        <w:t xml:space="preserve">Bajo éste tenor es preciso advertir que es necesaria la emisión del acuerdo de inexistencia en aquellos casos en que el </w:t>
      </w:r>
      <w:r w:rsidRPr="00764CDC">
        <w:rPr>
          <w:rFonts w:ascii="Palatino Linotype" w:eastAsiaTheme="minorHAnsi" w:hAnsi="Palatino Linotype" w:cstheme="minorBidi"/>
          <w:b/>
          <w:lang w:val="es-MX" w:eastAsia="en-US"/>
        </w:rPr>
        <w:t>sujeto obligado</w:t>
      </w:r>
      <w:r w:rsidRPr="00764CDC">
        <w:rPr>
          <w:rFonts w:ascii="Palatino Linotype" w:eastAsiaTheme="minorHAnsi" w:hAnsi="Palatino Linotype" w:cstheme="minorBidi"/>
          <w:lang w:val="es-MX" w:eastAsia="en-US"/>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764CDC">
        <w:rPr>
          <w:rFonts w:ascii="Palatino Linotype" w:eastAsiaTheme="minorHAnsi" w:hAnsi="Palatino Linotype" w:cstheme="minorBidi"/>
          <w:b/>
          <w:lang w:val="es-MX" w:eastAsia="en-US"/>
        </w:rPr>
        <w:t>sujeto obligado</w:t>
      </w:r>
      <w:r w:rsidRPr="00764CDC">
        <w:rPr>
          <w:rFonts w:ascii="Palatino Linotype" w:eastAsiaTheme="minorHAnsi" w:hAnsi="Palatino Linotype" w:cstheme="minorBidi"/>
          <w:lang w:val="es-MX" w:eastAsia="en-US"/>
        </w:rPr>
        <w:t xml:space="preserve"> en el marco de las funciones de derecho público; sin embargo, éste no lo posee por la razones que deberá expresar a través de un acuerdo debidamente fundado y motivado.</w:t>
      </w:r>
    </w:p>
    <w:p w:rsidR="006F6BD0" w:rsidRPr="00764CDC" w:rsidRDefault="006F6BD0" w:rsidP="006F6BD0">
      <w:pPr>
        <w:spacing w:line="360" w:lineRule="auto"/>
        <w:jc w:val="both"/>
        <w:rPr>
          <w:rFonts w:ascii="Palatino Linotype" w:eastAsiaTheme="minorHAnsi" w:hAnsi="Palatino Linotype" w:cstheme="minorBidi"/>
          <w:lang w:val="es-MX" w:eastAsia="en-US"/>
        </w:rPr>
      </w:pPr>
    </w:p>
    <w:p w:rsidR="006F6BD0" w:rsidRPr="00764CDC" w:rsidRDefault="006F6BD0" w:rsidP="006F6BD0">
      <w:pPr>
        <w:spacing w:line="360" w:lineRule="auto"/>
        <w:jc w:val="both"/>
        <w:rPr>
          <w:rFonts w:ascii="Palatino Linotype" w:eastAsiaTheme="minorHAnsi" w:hAnsi="Palatino Linotype" w:cstheme="minorBidi"/>
          <w:lang w:val="es-MX" w:eastAsia="en-US"/>
        </w:rPr>
      </w:pPr>
      <w:r w:rsidRPr="00764CDC">
        <w:rPr>
          <w:rFonts w:ascii="Palatino Linotype" w:eastAsiaTheme="minorHAnsi" w:hAnsi="Palatino Linotype" w:cstheme="minorBidi"/>
          <w:lang w:val="es-MX" w:eastAsia="en-US"/>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6F6BD0" w:rsidRPr="00764CDC" w:rsidRDefault="006F6BD0" w:rsidP="006F6BD0">
      <w:pPr>
        <w:spacing w:line="360" w:lineRule="auto"/>
        <w:jc w:val="both"/>
        <w:rPr>
          <w:rFonts w:ascii="Palatino Linotype" w:eastAsiaTheme="minorHAnsi" w:hAnsi="Palatino Linotype" w:cstheme="minorBidi"/>
          <w:lang w:val="es-MX" w:eastAsia="en-US"/>
        </w:rPr>
      </w:pPr>
    </w:p>
    <w:p w:rsidR="006F6BD0" w:rsidRPr="00764CDC" w:rsidRDefault="006F6BD0" w:rsidP="006F6BD0">
      <w:pPr>
        <w:spacing w:line="360" w:lineRule="auto"/>
        <w:jc w:val="both"/>
        <w:rPr>
          <w:rFonts w:ascii="Palatino Linotype" w:eastAsiaTheme="minorHAnsi" w:hAnsi="Palatino Linotype" w:cs="Arial"/>
          <w:lang w:val="es-MX" w:eastAsia="en-US"/>
        </w:rPr>
      </w:pPr>
      <w:r w:rsidRPr="00764CDC">
        <w:rPr>
          <w:rFonts w:ascii="Palatino Linotype" w:eastAsiaTheme="minorHAnsi" w:hAnsi="Palatino Linotype" w:cstheme="minorBidi"/>
          <w:lang w:val="es-MX" w:eastAsia="en-US"/>
        </w:rPr>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6F6BD0" w:rsidRPr="00764CDC" w:rsidRDefault="006F6BD0" w:rsidP="006F6BD0">
      <w:pPr>
        <w:spacing w:line="360" w:lineRule="auto"/>
        <w:ind w:right="49"/>
        <w:jc w:val="both"/>
        <w:rPr>
          <w:rFonts w:ascii="Palatino Linotype" w:hAnsi="Palatino Linotype" w:cs="Arial"/>
          <w:color w:val="000000" w:themeColor="text1"/>
        </w:rPr>
      </w:pPr>
    </w:p>
    <w:p w:rsidR="006F6BD0" w:rsidRDefault="006F6BD0" w:rsidP="006F6BD0">
      <w:pPr>
        <w:spacing w:line="360" w:lineRule="auto"/>
        <w:jc w:val="both"/>
        <w:rPr>
          <w:rFonts w:ascii="Palatino Linotype" w:hAnsi="Palatino Linotype" w:cs="Arial"/>
          <w:bCs/>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segunda hipótesis de la fracción III del artículo 186 de la Ley de Transparencia local, se </w:t>
      </w:r>
      <w:r>
        <w:rPr>
          <w:rFonts w:ascii="Palatino Linotype" w:hAnsi="Palatino Linotype"/>
          <w:b/>
        </w:rPr>
        <w:lastRenderedPageBreak/>
        <w:t xml:space="preserve">MODIFICA </w:t>
      </w:r>
      <w:r>
        <w:rPr>
          <w:rFonts w:ascii="Palatino Linotype" w:hAnsi="Palatino Linotype"/>
        </w:rPr>
        <w:t xml:space="preserve">la respuesta de la solicitud de información </w:t>
      </w:r>
      <w:r w:rsidRPr="00470AD1">
        <w:rPr>
          <w:rFonts w:ascii="Palatino Linotype" w:hAnsi="Palatino Linotype"/>
        </w:rPr>
        <w:t>00070/JOSERIN/IP/2019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6F6BD0" w:rsidRPr="00A6385C" w:rsidRDefault="006F6BD0" w:rsidP="006F6BD0">
      <w:pPr>
        <w:spacing w:line="360" w:lineRule="auto"/>
        <w:jc w:val="both"/>
        <w:rPr>
          <w:rFonts w:ascii="Palatino Linotype" w:hAnsi="Palatino Linotype" w:cs="Arial"/>
        </w:rPr>
      </w:pPr>
    </w:p>
    <w:p w:rsidR="006F6BD0" w:rsidRPr="00FF722D" w:rsidRDefault="006F6BD0" w:rsidP="006F6BD0">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6F6BD0" w:rsidRPr="00BF1DDF" w:rsidRDefault="006F6BD0" w:rsidP="006F6BD0">
      <w:pPr>
        <w:pStyle w:val="Sinespaciado"/>
        <w:spacing w:line="360" w:lineRule="auto"/>
        <w:jc w:val="center"/>
        <w:rPr>
          <w:rFonts w:ascii="Palatino Linotype" w:hAnsi="Palatino Linotype"/>
        </w:rPr>
      </w:pPr>
    </w:p>
    <w:p w:rsidR="006F6BD0" w:rsidRPr="00B170D3" w:rsidRDefault="006F6BD0" w:rsidP="006F6BD0">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6F6BD0" w:rsidRPr="00BF1DDF" w:rsidRDefault="006F6BD0" w:rsidP="006F6BD0">
      <w:pPr>
        <w:spacing w:line="360" w:lineRule="auto"/>
        <w:jc w:val="center"/>
        <w:rPr>
          <w:rFonts w:ascii="Palatino Linotype" w:hAnsi="Palatino Linotype"/>
          <w:b/>
          <w:lang w:val="pt-BR"/>
        </w:rPr>
      </w:pPr>
    </w:p>
    <w:p w:rsidR="006F6BD0" w:rsidRDefault="006F6BD0" w:rsidP="006F6BD0">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por resultar parcialmente fundadas las razones o motivos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6F6BD0" w:rsidRDefault="006F6BD0" w:rsidP="006F6BD0">
      <w:pPr>
        <w:tabs>
          <w:tab w:val="left" w:pos="8647"/>
        </w:tabs>
        <w:spacing w:line="360" w:lineRule="auto"/>
        <w:jc w:val="both"/>
        <w:rPr>
          <w:rFonts w:ascii="Palatino Linotype" w:hAnsi="Palatino Linotype" w:cs="Arial"/>
        </w:rPr>
      </w:pPr>
    </w:p>
    <w:p w:rsidR="006F6BD0" w:rsidRDefault="006F6BD0" w:rsidP="006F6BD0">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 de ser procedente en versión pública de lo siguiente:</w:t>
      </w:r>
    </w:p>
    <w:p w:rsidR="006F6BD0" w:rsidRDefault="006F6BD0" w:rsidP="006F6BD0">
      <w:pPr>
        <w:tabs>
          <w:tab w:val="left" w:pos="8647"/>
        </w:tabs>
        <w:spacing w:line="360" w:lineRule="auto"/>
        <w:jc w:val="both"/>
        <w:rPr>
          <w:rFonts w:ascii="Palatino Linotype" w:hAnsi="Palatino Linotype" w:cs="Arial"/>
        </w:rPr>
      </w:pPr>
    </w:p>
    <w:p w:rsidR="006F6BD0" w:rsidRDefault="006F6BD0" w:rsidP="006F6BD0">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Debidamente firmadas las Actas entrega recepción de las obras de Electrificación rural </w:t>
      </w:r>
      <w:r w:rsidRPr="001655A4">
        <w:rPr>
          <w:rFonts w:ascii="Palatino Linotype" w:hAnsi="Palatino Linotype" w:cs="Arial"/>
          <w:color w:val="000000" w:themeColor="text1"/>
        </w:rPr>
        <w:t>Las Tinajas con número de contrato MSJR/DDUyOP/FISMDF/OB/IR-118/2018</w:t>
      </w:r>
      <w:r>
        <w:rPr>
          <w:rFonts w:ascii="Palatino Linotype" w:hAnsi="Palatino Linotype" w:cs="Arial"/>
          <w:color w:val="000000" w:themeColor="text1"/>
        </w:rPr>
        <w:t xml:space="preserve"> y </w:t>
      </w:r>
      <w:r w:rsidRPr="001655A4">
        <w:rPr>
          <w:rFonts w:ascii="Palatino Linotype" w:hAnsi="Palatino Linotype" w:cs="Arial"/>
          <w:color w:val="000000" w:themeColor="text1"/>
        </w:rPr>
        <w:t>Fundereje Barrio El Re</w:t>
      </w:r>
      <w:r>
        <w:rPr>
          <w:rFonts w:ascii="Palatino Linotype" w:hAnsi="Palatino Linotype" w:cs="Arial"/>
          <w:color w:val="000000" w:themeColor="text1"/>
        </w:rPr>
        <w:t>e</w:t>
      </w:r>
      <w:r w:rsidRPr="001655A4">
        <w:rPr>
          <w:rFonts w:ascii="Palatino Linotype" w:hAnsi="Palatino Linotype" w:cs="Arial"/>
          <w:color w:val="000000" w:themeColor="text1"/>
        </w:rPr>
        <w:t>mblazo con número de contrato MSJR/DDUyOP/FISMDF/OB/IR-148/2018</w:t>
      </w:r>
      <w:r>
        <w:rPr>
          <w:rFonts w:ascii="Palatino Linotype" w:hAnsi="Palatino Linotype" w:cs="Arial"/>
          <w:color w:val="000000" w:themeColor="text1"/>
        </w:rPr>
        <w:t>; y</w:t>
      </w:r>
    </w:p>
    <w:p w:rsidR="006F6BD0" w:rsidRPr="001951D7" w:rsidRDefault="006F6BD0" w:rsidP="006F6BD0">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Bitácora de supervisión de la obra </w:t>
      </w:r>
      <w:r w:rsidRPr="001655A4">
        <w:rPr>
          <w:rFonts w:ascii="Palatino Linotype" w:hAnsi="Palatino Linotype" w:cs="Arial"/>
          <w:color w:val="000000" w:themeColor="text1"/>
        </w:rPr>
        <w:t>Las Tinajas con número de contrato MSJR/DDUyOP/FISMDF/OB/IR-118/2018</w:t>
      </w:r>
      <w:r>
        <w:rPr>
          <w:rFonts w:ascii="Palatino Linotype" w:hAnsi="Palatino Linotype" w:cs="Arial"/>
          <w:color w:val="000000" w:themeColor="text1"/>
        </w:rPr>
        <w:t>.</w:t>
      </w:r>
    </w:p>
    <w:p w:rsidR="006F6BD0" w:rsidRDefault="006F6BD0" w:rsidP="006F6BD0">
      <w:pPr>
        <w:spacing w:line="360" w:lineRule="auto"/>
        <w:jc w:val="both"/>
        <w:rPr>
          <w:rFonts w:ascii="Palatino Linotype" w:hAnsi="Palatino Linotype" w:cs="Arial"/>
        </w:rPr>
      </w:pPr>
    </w:p>
    <w:p w:rsidR="006F6BD0" w:rsidRPr="00B96A81" w:rsidRDefault="006F6BD0" w:rsidP="006F6BD0">
      <w:pPr>
        <w:spacing w:line="360" w:lineRule="auto"/>
        <w:jc w:val="both"/>
        <w:rPr>
          <w:rFonts w:ascii="Palatino Linotype" w:hAnsi="Palatino Linotype" w:cs="Arial"/>
        </w:rPr>
      </w:pPr>
      <w:r w:rsidRPr="00B96A81">
        <w:rPr>
          <w:rFonts w:ascii="Palatino Linotype" w:hAnsi="Palatino Linotype" w:cs="Arial"/>
        </w:rPr>
        <w:lastRenderedPageBreak/>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6F6BD0" w:rsidRDefault="006F6BD0" w:rsidP="006F6BD0">
      <w:pPr>
        <w:spacing w:line="360" w:lineRule="auto"/>
        <w:jc w:val="both"/>
        <w:rPr>
          <w:rFonts w:ascii="Palatino Linotype" w:hAnsi="Palatino Linotype" w:cs="Arial"/>
        </w:rPr>
      </w:pPr>
    </w:p>
    <w:p w:rsidR="006F6BD0" w:rsidRDefault="006F6BD0" w:rsidP="006F6BD0">
      <w:pPr>
        <w:pStyle w:val="Prrafodelista"/>
        <w:spacing w:line="360" w:lineRule="auto"/>
        <w:ind w:left="0"/>
        <w:jc w:val="both"/>
        <w:rPr>
          <w:rFonts w:ascii="Palatino Linotype" w:hAnsi="Palatino Linotype" w:cs="Arial"/>
        </w:rPr>
      </w:pPr>
      <w:r>
        <w:rPr>
          <w:rFonts w:ascii="Palatino Linotype" w:hAnsi="Palatino Linotype" w:cs="Arial"/>
        </w:rPr>
        <w:t xml:space="preserve">En el supuesto que no se cuente con la información, </w:t>
      </w:r>
      <w:r w:rsidRPr="00004AAF">
        <w:rPr>
          <w:rFonts w:ascii="Palatino Linotype" w:hAnsi="Palatino Linotype" w:cs="Arial"/>
        </w:rPr>
        <w:t>deberá emitir</w:t>
      </w:r>
      <w:r>
        <w:rPr>
          <w:rFonts w:ascii="Palatino Linotype" w:hAnsi="Palatino Linotype" w:cs="Arial"/>
        </w:rPr>
        <w:t xml:space="preserve"> y hacer entrega d</w:t>
      </w:r>
      <w:r w:rsidRPr="00004AAF">
        <w:rPr>
          <w:rFonts w:ascii="Palatino Linotype" w:hAnsi="Palatino Linotype" w:cs="Arial"/>
        </w:rPr>
        <w:t>el acuerdo de inexistencia, en términos del considerando cuarto, de la presente resolución</w:t>
      </w:r>
      <w:r>
        <w:rPr>
          <w:rFonts w:ascii="Palatino Linotype" w:hAnsi="Palatino Linotype" w:cs="Arial"/>
        </w:rPr>
        <w:t>.</w:t>
      </w:r>
    </w:p>
    <w:p w:rsidR="006F6BD0" w:rsidRDefault="006F6BD0" w:rsidP="006F6BD0">
      <w:pPr>
        <w:spacing w:line="360" w:lineRule="auto"/>
        <w:jc w:val="both"/>
        <w:rPr>
          <w:rFonts w:ascii="Palatino Linotype" w:hAnsi="Palatino Linotype" w:cs="Arial"/>
        </w:rPr>
      </w:pPr>
    </w:p>
    <w:p w:rsidR="006F6BD0" w:rsidRDefault="006F6BD0" w:rsidP="006F6BD0">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6F6BD0" w:rsidRDefault="006F6BD0" w:rsidP="006F6BD0">
      <w:pPr>
        <w:spacing w:line="360" w:lineRule="auto"/>
        <w:ind w:right="333"/>
        <w:jc w:val="both"/>
        <w:rPr>
          <w:rFonts w:ascii="Palatino Linotype" w:hAnsi="Palatino Linotype" w:cs="Arial"/>
        </w:rPr>
      </w:pPr>
    </w:p>
    <w:p w:rsidR="006F6BD0" w:rsidRDefault="006F6BD0" w:rsidP="006F6BD0">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6F6BD0" w:rsidRDefault="006F6BD0" w:rsidP="006F6BD0">
      <w:pPr>
        <w:spacing w:line="360" w:lineRule="auto"/>
        <w:jc w:val="both"/>
        <w:rPr>
          <w:rFonts w:ascii="Palatino Linotype" w:hAnsi="Palatino Linotype" w:cs="Arial"/>
        </w:rPr>
      </w:pPr>
    </w:p>
    <w:p w:rsidR="006F6BD0" w:rsidRDefault="006F6BD0" w:rsidP="006F6BD0">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 (AUSENCIA JUSTIFICADA)</w:t>
      </w:r>
      <w:r w:rsidRPr="00431F28">
        <w:rPr>
          <w:rFonts w:ascii="Palatino Linotype" w:hAnsi="Palatino Linotype" w:cs="Arial"/>
        </w:rPr>
        <w:t>, EN LA</w:t>
      </w:r>
      <w:r>
        <w:rPr>
          <w:rFonts w:ascii="Palatino Linotype" w:hAnsi="Palatino Linotype" w:cs="Arial"/>
        </w:rPr>
        <w:t xml:space="preserve"> CUADRAGÉSIMO CUARTA </w:t>
      </w:r>
      <w:r w:rsidRPr="00431F28">
        <w:rPr>
          <w:rFonts w:ascii="Palatino Linotype" w:hAnsi="Palatino Linotype" w:cs="Arial"/>
        </w:rPr>
        <w:t xml:space="preserve">SESIÓN ORDINARIA CELEBRADA EL </w:t>
      </w:r>
      <w:r>
        <w:rPr>
          <w:rFonts w:ascii="Palatino Linotype" w:hAnsi="Palatino Linotype" w:cs="Arial"/>
        </w:rPr>
        <w:t>VEINTISIETE DE NOVIEMBRE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p w:rsidR="006F6BD0" w:rsidRDefault="006F6BD0" w:rsidP="006F6BD0">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6BD0" w:rsidRPr="007E1FC4" w:rsidTr="001A3483">
        <w:trPr>
          <w:jc w:val="center"/>
        </w:trPr>
        <w:tc>
          <w:tcPr>
            <w:tcW w:w="9062" w:type="dxa"/>
            <w:gridSpan w:val="2"/>
          </w:tcPr>
          <w:p w:rsidR="006F6BD0"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r w:rsidRPr="007E1FC4">
              <w:rPr>
                <w:rFonts w:ascii="Palatino Linotype" w:hAnsi="Palatino Linotype"/>
                <w:b/>
              </w:rPr>
              <w:t>Zulema Martínez Sánchez</w:t>
            </w:r>
          </w:p>
          <w:p w:rsidR="006F6BD0" w:rsidRDefault="006F6BD0" w:rsidP="001A3483">
            <w:pPr>
              <w:pStyle w:val="Sinespaciado"/>
              <w:jc w:val="center"/>
              <w:rPr>
                <w:rFonts w:ascii="Palatino Linotype" w:hAnsi="Palatino Linotype"/>
              </w:rPr>
            </w:pPr>
            <w:r w:rsidRPr="007E1FC4">
              <w:rPr>
                <w:rFonts w:ascii="Palatino Linotype" w:hAnsi="Palatino Linotype"/>
              </w:rPr>
              <w:t>Comisionada Presidenta</w:t>
            </w:r>
          </w:p>
          <w:p w:rsidR="006F6BD0" w:rsidRPr="009F15EF" w:rsidRDefault="006F6BD0" w:rsidP="001A3483">
            <w:pPr>
              <w:pStyle w:val="Sinespaciado"/>
              <w:jc w:val="center"/>
              <w:rPr>
                <w:rFonts w:ascii="Palatino Linotype" w:hAnsi="Palatino Linotype"/>
              </w:rPr>
            </w:pPr>
            <w:r>
              <w:rPr>
                <w:rFonts w:ascii="Palatino Linotype" w:hAnsi="Palatino Linotype"/>
              </w:rPr>
              <w:t>(Rúbrica)</w:t>
            </w:r>
          </w:p>
          <w:p w:rsidR="006F6BD0" w:rsidRPr="007E1FC4" w:rsidRDefault="006F6BD0" w:rsidP="001A3483">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F6BD0" w:rsidRPr="007E1FC4" w:rsidTr="001A3483">
        <w:trPr>
          <w:jc w:val="center"/>
        </w:trPr>
        <w:tc>
          <w:tcPr>
            <w:tcW w:w="4531" w:type="dxa"/>
          </w:tcPr>
          <w:p w:rsidR="006F6BD0" w:rsidRPr="007E1FC4" w:rsidRDefault="006F6BD0" w:rsidP="001A3483">
            <w:pPr>
              <w:pStyle w:val="Sinespaciado"/>
              <w:jc w:val="center"/>
              <w:rPr>
                <w:rFonts w:ascii="Palatino Linotype" w:hAnsi="Palatino Linotype"/>
                <w:b/>
              </w:rPr>
            </w:pPr>
          </w:p>
          <w:p w:rsidR="006F6BD0"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r w:rsidRPr="007E1FC4">
              <w:rPr>
                <w:rFonts w:ascii="Palatino Linotype" w:hAnsi="Palatino Linotype"/>
                <w:b/>
              </w:rPr>
              <w:t>Eva Abaid Yapur</w:t>
            </w:r>
          </w:p>
          <w:p w:rsidR="006F6BD0" w:rsidRDefault="006F6BD0" w:rsidP="001A3483">
            <w:pPr>
              <w:pStyle w:val="Sinespaciado"/>
              <w:jc w:val="center"/>
              <w:rPr>
                <w:rFonts w:ascii="Palatino Linotype" w:hAnsi="Palatino Linotype"/>
              </w:rPr>
            </w:pPr>
            <w:r w:rsidRPr="007E1FC4">
              <w:rPr>
                <w:rFonts w:ascii="Palatino Linotype" w:hAnsi="Palatino Linotype"/>
              </w:rPr>
              <w:t>Comisionada</w:t>
            </w:r>
          </w:p>
          <w:p w:rsidR="006F6BD0" w:rsidRPr="009F15EF" w:rsidRDefault="006F6BD0" w:rsidP="001A3483">
            <w:pPr>
              <w:pStyle w:val="Sinespaciado"/>
              <w:jc w:val="center"/>
              <w:rPr>
                <w:rFonts w:ascii="Palatino Linotype" w:hAnsi="Palatino Linotype"/>
              </w:rPr>
            </w:pPr>
            <w:r>
              <w:rPr>
                <w:rFonts w:ascii="Palatino Linotype" w:hAnsi="Palatino Linotype"/>
              </w:rPr>
              <w:t>(Rúbrica)</w:t>
            </w:r>
          </w:p>
          <w:p w:rsidR="006F6BD0" w:rsidRDefault="006F6BD0" w:rsidP="001A3483">
            <w:pPr>
              <w:pStyle w:val="Sinespaciado"/>
              <w:spacing w:line="276" w:lineRule="auto"/>
              <w:jc w:val="center"/>
              <w:rPr>
                <w:rFonts w:ascii="Palatino Linotype" w:hAnsi="Palatino Linotype"/>
              </w:rPr>
            </w:pPr>
          </w:p>
          <w:p w:rsidR="006F6BD0" w:rsidRDefault="006F6BD0" w:rsidP="001A3483">
            <w:pPr>
              <w:pStyle w:val="Sinespaciado"/>
              <w:spacing w:line="276" w:lineRule="auto"/>
              <w:jc w:val="center"/>
              <w:rPr>
                <w:rFonts w:ascii="Palatino Linotype" w:hAnsi="Palatino Linotype"/>
              </w:rPr>
            </w:pPr>
          </w:p>
          <w:p w:rsidR="006F6BD0" w:rsidRDefault="006F6BD0" w:rsidP="001A3483">
            <w:pPr>
              <w:pStyle w:val="Sinespaciado"/>
              <w:spacing w:line="276" w:lineRule="auto"/>
              <w:jc w:val="center"/>
              <w:rPr>
                <w:rFonts w:ascii="Palatino Linotype" w:hAnsi="Palatino Linotype"/>
              </w:rPr>
            </w:pPr>
          </w:p>
          <w:p w:rsidR="006F6BD0" w:rsidRDefault="006F6BD0" w:rsidP="001A3483">
            <w:pPr>
              <w:pStyle w:val="Sinespaciado"/>
              <w:spacing w:line="276" w:lineRule="auto"/>
              <w:jc w:val="center"/>
              <w:rPr>
                <w:rFonts w:ascii="Palatino Linotype" w:hAnsi="Palatino Linotype"/>
              </w:rPr>
            </w:pPr>
          </w:p>
          <w:p w:rsidR="006F6BD0" w:rsidRDefault="006F6BD0" w:rsidP="001A3483">
            <w:pPr>
              <w:pStyle w:val="Sinespaciado"/>
              <w:spacing w:line="276" w:lineRule="auto"/>
              <w:jc w:val="center"/>
              <w:rPr>
                <w:rFonts w:ascii="Palatino Linotype" w:hAnsi="Palatino Linotype"/>
              </w:rPr>
            </w:pPr>
          </w:p>
          <w:p w:rsidR="006F6BD0" w:rsidRPr="007E1FC4" w:rsidRDefault="006F6BD0" w:rsidP="001A3483">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6F6BD0" w:rsidRDefault="006F6BD0" w:rsidP="001A3483">
            <w:pPr>
              <w:pStyle w:val="Sinespaciado"/>
              <w:spacing w:line="276" w:lineRule="auto"/>
              <w:jc w:val="center"/>
              <w:rPr>
                <w:rFonts w:ascii="Palatino Linotype" w:hAnsi="Palatino Linotype"/>
              </w:rPr>
            </w:pPr>
            <w:r w:rsidRPr="007E1FC4">
              <w:rPr>
                <w:rFonts w:ascii="Palatino Linotype" w:hAnsi="Palatino Linotype"/>
              </w:rPr>
              <w:t>Comisionado</w:t>
            </w:r>
          </w:p>
          <w:p w:rsidR="006F6BD0" w:rsidRPr="009F15EF" w:rsidRDefault="006F6BD0" w:rsidP="001A3483">
            <w:pPr>
              <w:pStyle w:val="Sinespaciado"/>
              <w:spacing w:line="276" w:lineRule="auto"/>
              <w:jc w:val="center"/>
              <w:rPr>
                <w:rFonts w:ascii="Palatino Linotype" w:hAnsi="Palatino Linotype"/>
              </w:rPr>
            </w:pPr>
            <w:r>
              <w:rPr>
                <w:rFonts w:ascii="Palatino Linotype" w:hAnsi="Palatino Linotype"/>
              </w:rPr>
              <w:t>(Rúbrica)</w:t>
            </w:r>
          </w:p>
          <w:p w:rsidR="006F6BD0" w:rsidRPr="007E1FC4" w:rsidRDefault="006F6BD0" w:rsidP="001A3483">
            <w:pPr>
              <w:pStyle w:val="Sinespaciado"/>
              <w:spacing w:line="276" w:lineRule="auto"/>
              <w:rPr>
                <w:rFonts w:ascii="Palatino Linotype" w:hAnsi="Palatino Linotype"/>
              </w:rPr>
            </w:pPr>
          </w:p>
        </w:tc>
        <w:tc>
          <w:tcPr>
            <w:tcW w:w="4531" w:type="dxa"/>
          </w:tcPr>
          <w:p w:rsidR="006F6BD0" w:rsidRPr="007E1FC4" w:rsidRDefault="006F6BD0" w:rsidP="001A3483">
            <w:pPr>
              <w:pStyle w:val="Sinespaciado"/>
              <w:jc w:val="center"/>
              <w:rPr>
                <w:rFonts w:ascii="Palatino Linotype" w:hAnsi="Palatino Linotype"/>
                <w:b/>
              </w:rPr>
            </w:pPr>
          </w:p>
          <w:p w:rsidR="006F6BD0"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r w:rsidRPr="007E1FC4">
              <w:rPr>
                <w:rFonts w:ascii="Palatino Linotype" w:hAnsi="Palatino Linotype"/>
                <w:b/>
              </w:rPr>
              <w:t>José Guadalupe Luna Hernández</w:t>
            </w:r>
          </w:p>
          <w:p w:rsidR="006F6BD0" w:rsidRDefault="006F6BD0" w:rsidP="001A3483">
            <w:pPr>
              <w:pStyle w:val="Sinespaciado"/>
              <w:jc w:val="center"/>
              <w:rPr>
                <w:rFonts w:ascii="Palatino Linotype" w:hAnsi="Palatino Linotype"/>
              </w:rPr>
            </w:pPr>
            <w:r w:rsidRPr="007E1FC4">
              <w:rPr>
                <w:rFonts w:ascii="Palatino Linotype" w:hAnsi="Palatino Linotype"/>
              </w:rPr>
              <w:t>Comisionado</w:t>
            </w:r>
          </w:p>
          <w:p w:rsidR="006F6BD0" w:rsidRPr="009F15EF" w:rsidRDefault="006F6BD0" w:rsidP="001A3483">
            <w:pPr>
              <w:pStyle w:val="Sinespaciado"/>
              <w:jc w:val="center"/>
              <w:rPr>
                <w:rFonts w:ascii="Palatino Linotype" w:hAnsi="Palatino Linotype"/>
              </w:rPr>
            </w:pPr>
            <w:r>
              <w:rPr>
                <w:rFonts w:ascii="Palatino Linotype" w:hAnsi="Palatino Linotype"/>
              </w:rPr>
              <w:t>(Rúbrica)</w:t>
            </w:r>
          </w:p>
          <w:p w:rsidR="006F6BD0" w:rsidRDefault="006F6BD0" w:rsidP="001A3483">
            <w:pPr>
              <w:pStyle w:val="Sinespaciado"/>
              <w:jc w:val="center"/>
              <w:rPr>
                <w:rFonts w:ascii="Palatino Linotype" w:hAnsi="Palatino Linotype"/>
              </w:rPr>
            </w:pPr>
          </w:p>
          <w:p w:rsidR="006F6BD0" w:rsidRDefault="006F6BD0" w:rsidP="001A3483">
            <w:pPr>
              <w:pStyle w:val="Sinespaciado"/>
              <w:jc w:val="center"/>
              <w:rPr>
                <w:rFonts w:ascii="Palatino Linotype" w:hAnsi="Palatino Linotype"/>
              </w:rPr>
            </w:pPr>
          </w:p>
          <w:p w:rsidR="006F6BD0" w:rsidRDefault="006F6BD0" w:rsidP="001A3483">
            <w:pPr>
              <w:pStyle w:val="Sinespaciado"/>
              <w:jc w:val="center"/>
              <w:rPr>
                <w:rFonts w:ascii="Palatino Linotype" w:hAnsi="Palatino Linotype"/>
              </w:rPr>
            </w:pPr>
          </w:p>
          <w:p w:rsidR="006F6BD0" w:rsidRDefault="006F6BD0" w:rsidP="001A3483">
            <w:pPr>
              <w:pStyle w:val="Sinespaciado"/>
              <w:jc w:val="center"/>
              <w:rPr>
                <w:rFonts w:ascii="Palatino Linotype" w:hAnsi="Palatino Linotype"/>
              </w:rPr>
            </w:pPr>
          </w:p>
          <w:p w:rsidR="006F6BD0" w:rsidRDefault="006F6BD0" w:rsidP="001A3483">
            <w:pPr>
              <w:pStyle w:val="Sinespaciado"/>
              <w:jc w:val="center"/>
              <w:rPr>
                <w:rFonts w:ascii="Palatino Linotype" w:hAnsi="Palatino Linotype"/>
              </w:rPr>
            </w:pPr>
          </w:p>
          <w:p w:rsidR="006F6BD0" w:rsidRDefault="006F6BD0" w:rsidP="001A3483">
            <w:pPr>
              <w:pStyle w:val="Sinespaciado"/>
              <w:jc w:val="center"/>
              <w:rPr>
                <w:rFonts w:ascii="Palatino Linotype" w:hAnsi="Palatino Linotype"/>
              </w:rPr>
            </w:pPr>
          </w:p>
          <w:p w:rsidR="006F6BD0" w:rsidRPr="009F15EF" w:rsidRDefault="006F6BD0" w:rsidP="001A3483">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6F6BD0" w:rsidRDefault="006F6BD0" w:rsidP="001A3483">
            <w:pPr>
              <w:pStyle w:val="Sinespaciado"/>
              <w:spacing w:line="276" w:lineRule="auto"/>
              <w:jc w:val="center"/>
              <w:rPr>
                <w:rFonts w:ascii="Palatino Linotype" w:hAnsi="Palatino Linotype"/>
              </w:rPr>
            </w:pPr>
            <w:r>
              <w:rPr>
                <w:rFonts w:ascii="Palatino Linotype" w:hAnsi="Palatino Linotype"/>
              </w:rPr>
              <w:t xml:space="preserve">Comisionado </w:t>
            </w:r>
          </w:p>
          <w:p w:rsidR="006F6BD0" w:rsidRPr="009F15EF" w:rsidRDefault="006F6BD0" w:rsidP="001A3483">
            <w:pPr>
              <w:pStyle w:val="Sinespaciado"/>
              <w:spacing w:line="276" w:lineRule="auto"/>
              <w:jc w:val="center"/>
              <w:rPr>
                <w:rFonts w:ascii="Palatino Linotype" w:hAnsi="Palatino Linotype"/>
              </w:rPr>
            </w:pPr>
            <w:r>
              <w:rPr>
                <w:rFonts w:ascii="Palatino Linotype" w:hAnsi="Palatino Linotype"/>
              </w:rPr>
              <w:t>(Ausencia justificada)</w:t>
            </w:r>
          </w:p>
          <w:p w:rsidR="006F6BD0" w:rsidRPr="007E1FC4" w:rsidRDefault="006F6BD0" w:rsidP="001A3483">
            <w:pPr>
              <w:pStyle w:val="Sinespaciado"/>
              <w:rPr>
                <w:rFonts w:ascii="Palatino Linotype" w:hAnsi="Palatino Linotype"/>
              </w:rPr>
            </w:pPr>
          </w:p>
        </w:tc>
      </w:tr>
      <w:tr w:rsidR="006F6BD0" w:rsidRPr="007E1FC4" w:rsidTr="001A3483">
        <w:trPr>
          <w:jc w:val="center"/>
        </w:trPr>
        <w:tc>
          <w:tcPr>
            <w:tcW w:w="9062" w:type="dxa"/>
            <w:gridSpan w:val="2"/>
          </w:tcPr>
          <w:p w:rsidR="006F6BD0" w:rsidRPr="007E1FC4" w:rsidRDefault="006F6BD0" w:rsidP="001A3483">
            <w:pPr>
              <w:pStyle w:val="Sinespaciado"/>
              <w:rPr>
                <w:rFonts w:ascii="Palatino Linotype" w:hAnsi="Palatino Linotype"/>
              </w:rPr>
            </w:pPr>
          </w:p>
        </w:tc>
      </w:tr>
      <w:tr w:rsidR="006F6BD0" w:rsidRPr="007E1FC4" w:rsidTr="001A3483">
        <w:trPr>
          <w:trHeight w:val="2048"/>
          <w:jc w:val="center"/>
        </w:trPr>
        <w:tc>
          <w:tcPr>
            <w:tcW w:w="9062" w:type="dxa"/>
            <w:gridSpan w:val="2"/>
          </w:tcPr>
          <w:p w:rsidR="006F6BD0" w:rsidRPr="007E1FC4" w:rsidRDefault="006F6BD0" w:rsidP="001A3483">
            <w:pPr>
              <w:pStyle w:val="Sinespaciado"/>
              <w:jc w:val="center"/>
              <w:rPr>
                <w:rFonts w:ascii="Palatino Linotype" w:hAnsi="Palatino Linotype"/>
                <w:b/>
              </w:rPr>
            </w:pPr>
          </w:p>
          <w:p w:rsidR="006F6BD0" w:rsidRDefault="006F6BD0" w:rsidP="001A3483">
            <w:pPr>
              <w:pStyle w:val="Sinespaciado"/>
              <w:jc w:val="center"/>
              <w:rPr>
                <w:rFonts w:ascii="Palatino Linotype" w:hAnsi="Palatino Linotype"/>
                <w:b/>
              </w:rPr>
            </w:pPr>
          </w:p>
          <w:p w:rsidR="006F6BD0"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p>
          <w:p w:rsidR="006F6BD0" w:rsidRPr="007E1FC4" w:rsidRDefault="006F6BD0" w:rsidP="001A3483">
            <w:pPr>
              <w:pStyle w:val="Sinespaciado"/>
              <w:jc w:val="center"/>
              <w:rPr>
                <w:rFonts w:ascii="Palatino Linotype" w:hAnsi="Palatino Linotype"/>
                <w:b/>
              </w:rPr>
            </w:pPr>
            <w:r>
              <w:rPr>
                <w:rFonts w:ascii="Palatino Linotype" w:hAnsi="Palatino Linotype"/>
                <w:b/>
              </w:rPr>
              <w:t>Alexis Tapia Ramírez</w:t>
            </w:r>
          </w:p>
          <w:p w:rsidR="006F6BD0" w:rsidRDefault="006F6BD0" w:rsidP="001A3483">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6F6BD0" w:rsidRPr="008621C3" w:rsidRDefault="006F6BD0" w:rsidP="001A3483">
            <w:pPr>
              <w:pStyle w:val="Sinespaciado"/>
              <w:jc w:val="center"/>
              <w:rPr>
                <w:rFonts w:ascii="Palatino Linotype" w:hAnsi="Palatino Linotype"/>
              </w:rPr>
            </w:pPr>
            <w:r>
              <w:rPr>
                <w:rFonts w:ascii="Palatino Linotype" w:hAnsi="Palatino Linotype"/>
              </w:rPr>
              <w:t>(Rúbrica)</w:t>
            </w:r>
          </w:p>
        </w:tc>
      </w:tr>
    </w:tbl>
    <w:p w:rsidR="006F6BD0" w:rsidRPr="00D33D7A" w:rsidRDefault="006F6BD0" w:rsidP="006F6BD0">
      <w:pPr>
        <w:spacing w:line="276" w:lineRule="auto"/>
        <w:jc w:val="both"/>
        <w:rPr>
          <w:rFonts w:ascii="Palatino Linotype" w:hAnsi="Palatino Linotype" w:cs="Arial"/>
          <w:sz w:val="10"/>
        </w:rPr>
      </w:pPr>
    </w:p>
    <w:p w:rsidR="006F6BD0" w:rsidRPr="005C55A3" w:rsidRDefault="006F6BD0" w:rsidP="006F6BD0">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veintisiete de noviembre 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Pr>
          <w:rFonts w:ascii="Palatino Linotype" w:hAnsi="Palatino Linotype" w:cs="Arial"/>
          <w:sz w:val="16"/>
          <w:szCs w:val="16"/>
        </w:rPr>
        <w:t>7545/INFOEM/IP/RR/2019</w:t>
      </w:r>
    </w:p>
    <w:p w:rsidR="006F6BD0" w:rsidRDefault="006F6BD0" w:rsidP="006F6BD0">
      <w:pPr>
        <w:spacing w:line="276" w:lineRule="auto"/>
        <w:jc w:val="both"/>
      </w:pPr>
      <w:r>
        <w:rPr>
          <w:rFonts w:ascii="Palatino Linotype" w:hAnsi="Palatino Linotype" w:cs="Arial"/>
          <w:sz w:val="16"/>
          <w:szCs w:val="16"/>
        </w:rPr>
        <w:t>ZMS/OSAM/HAP</w:t>
      </w:r>
    </w:p>
    <w:sectPr w:rsidR="006F6BD0" w:rsidSect="00306BC2">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C2" w:rsidRDefault="00BB62C2" w:rsidP="006F6BD0">
      <w:r>
        <w:separator/>
      </w:r>
    </w:p>
  </w:endnote>
  <w:endnote w:type="continuationSeparator" w:id="0">
    <w:p w:rsidR="00BB62C2" w:rsidRDefault="00BB62C2" w:rsidP="006F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28" w:rsidRPr="00A2780F" w:rsidRDefault="00BB62C2" w:rsidP="00306B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F6BD0">
      <w:rPr>
        <w:rFonts w:ascii="Arial" w:hAnsi="Arial" w:cs="Arial"/>
        <w:b/>
        <w:bCs/>
        <w:noProof/>
        <w:sz w:val="20"/>
        <w:szCs w:val="20"/>
      </w:rPr>
      <w:t>23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F6BD0">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28" w:rsidRPr="00070856" w:rsidRDefault="00BB62C2" w:rsidP="00306B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F6BD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F6BD0">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C2" w:rsidRDefault="00BB62C2" w:rsidP="006F6BD0">
      <w:r>
        <w:separator/>
      </w:r>
    </w:p>
  </w:footnote>
  <w:footnote w:type="continuationSeparator" w:id="0">
    <w:p w:rsidR="00BB62C2" w:rsidRDefault="00BB62C2" w:rsidP="006F6BD0">
      <w:r>
        <w:continuationSeparator/>
      </w:r>
    </w:p>
  </w:footnote>
  <w:footnote w:id="1">
    <w:p w:rsidR="006F6BD0" w:rsidRPr="00946E1F" w:rsidRDefault="006F6BD0" w:rsidP="006F6BD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F6BD0" w:rsidRPr="00EC7A02" w:rsidRDefault="006F6BD0" w:rsidP="006F6BD0">
      <w:pPr>
        <w:pStyle w:val="Textonotapie"/>
        <w:jc w:val="both"/>
        <w:rPr>
          <w:rFonts w:ascii="Palatino Linotype" w:hAnsi="Palatino Linotype"/>
          <w:i/>
        </w:rPr>
      </w:pPr>
      <w:r>
        <w:rPr>
          <w:rStyle w:val="Refdenotaalpie"/>
        </w:rPr>
        <w:footnoteRef/>
      </w:r>
      <w:r>
        <w:t xml:space="preserve"> </w:t>
      </w:r>
      <w:r w:rsidRPr="00EC7A02">
        <w:rPr>
          <w:rFonts w:ascii="Palatino Linotype" w:hAnsi="Palatino Linotype"/>
          <w:b/>
          <w:i/>
        </w:rPr>
        <w:t>Artículo 3.-</w:t>
      </w:r>
      <w:r w:rsidRPr="00EC7A02">
        <w:rPr>
          <w:rFonts w:ascii="Palatino Linotype" w:hAnsi="Palatino Linotype"/>
          <w:i/>
        </w:rPr>
        <w:t xml:space="preserve"> Son elementos y requisitos del acto administrativo:</w:t>
      </w:r>
    </w:p>
    <w:p w:rsidR="006F6BD0" w:rsidRPr="00EC7A02" w:rsidRDefault="006F6BD0" w:rsidP="006F6BD0">
      <w:pPr>
        <w:pStyle w:val="Textonotapie"/>
        <w:jc w:val="both"/>
        <w:rPr>
          <w:rFonts w:ascii="Palatino Linotype" w:hAnsi="Palatino Linotype"/>
          <w:i/>
        </w:rPr>
      </w:pPr>
      <w:r w:rsidRPr="00EC7A02">
        <w:rPr>
          <w:rFonts w:ascii="Palatino Linotype" w:hAnsi="Palatino Linotype"/>
          <w:i/>
        </w:rPr>
        <w:t>(…)</w:t>
      </w:r>
    </w:p>
    <w:p w:rsidR="006F6BD0" w:rsidRPr="00EC7A02" w:rsidRDefault="006F6BD0" w:rsidP="006F6BD0">
      <w:pPr>
        <w:pStyle w:val="Textonotapie"/>
        <w:jc w:val="both"/>
        <w:rPr>
          <w:lang w:val="es-MX"/>
        </w:rPr>
      </w:pPr>
      <w:r w:rsidRPr="00EC7A02">
        <w:rPr>
          <w:rFonts w:ascii="Palatino Linotype" w:hAnsi="Palatino Linotype"/>
          <w:b/>
          <w:i/>
          <w:lang w:val="es-MX"/>
        </w:rPr>
        <w:t>IV</w:t>
      </w:r>
      <w:r w:rsidRPr="00EC7A02">
        <w:rPr>
          <w:rFonts w:ascii="Palatino Linotype" w:hAnsi="Palatino Linotype"/>
          <w:i/>
          <w:lang w:val="es-MX"/>
        </w:rPr>
        <w:t>. Hacer constar por escrito y con la firma autógrafa de la autoridad que lo expida, salvo en aquellos casos en que la ley autorice otra forma de expedición;</w:t>
      </w:r>
      <w:r w:rsidRPr="00EC7A02">
        <w:rPr>
          <w:rFonts w:ascii="Palatino Linotype" w:hAnsi="Palatino Linotype"/>
          <w:i/>
          <w:lang w:val="es-MX"/>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601D28" w:rsidRPr="008F2CCC" w:rsidTr="00306BC2">
      <w:tc>
        <w:tcPr>
          <w:tcW w:w="1418" w:type="dxa"/>
        </w:tcPr>
        <w:p w:rsidR="00601D28" w:rsidRPr="008F2CCC" w:rsidRDefault="00BB62C2" w:rsidP="00306BC2">
          <w:pPr>
            <w:rPr>
              <w:rFonts w:ascii="Palatino Linotype" w:hAnsi="Palatino Linotype"/>
              <w:b/>
              <w:sz w:val="22"/>
              <w:szCs w:val="22"/>
              <w:lang w:val="es-ES_tradnl"/>
            </w:rPr>
          </w:pPr>
        </w:p>
      </w:tc>
      <w:tc>
        <w:tcPr>
          <w:tcW w:w="2977" w:type="dxa"/>
          <w:shd w:val="clear" w:color="auto" w:fill="auto"/>
        </w:tcPr>
        <w:p w:rsidR="00601D28" w:rsidRPr="00664658" w:rsidRDefault="00BB62C2" w:rsidP="00306BC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601D28" w:rsidRPr="00664658" w:rsidRDefault="00BB62C2" w:rsidP="004972FF">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7545/INFOEM/IP/RR/2019</w:t>
          </w:r>
        </w:p>
      </w:tc>
    </w:tr>
    <w:tr w:rsidR="00601D28" w:rsidRPr="008F2CCC" w:rsidTr="00306BC2">
      <w:tc>
        <w:tcPr>
          <w:tcW w:w="1418" w:type="dxa"/>
        </w:tcPr>
        <w:p w:rsidR="00601D28" w:rsidRPr="008F2CCC" w:rsidRDefault="00BB62C2" w:rsidP="00306BC2">
          <w:pPr>
            <w:rPr>
              <w:rFonts w:ascii="Palatino Linotype" w:hAnsi="Palatino Linotype"/>
              <w:b/>
              <w:sz w:val="22"/>
              <w:szCs w:val="22"/>
              <w:lang w:val="es-ES_tradnl"/>
            </w:rPr>
          </w:pPr>
        </w:p>
      </w:tc>
      <w:tc>
        <w:tcPr>
          <w:tcW w:w="2977" w:type="dxa"/>
          <w:shd w:val="clear" w:color="auto" w:fill="auto"/>
        </w:tcPr>
        <w:p w:rsidR="00601D28" w:rsidRPr="00664658" w:rsidRDefault="00BB62C2" w:rsidP="00306BC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601D28" w:rsidRPr="00664658" w:rsidRDefault="00BB62C2" w:rsidP="004972FF">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 xml:space="preserve">Ayuntamiento de </w:t>
          </w:r>
          <w:r>
            <w:rPr>
              <w:rFonts w:ascii="Palatino Linotype" w:hAnsi="Palatino Linotype"/>
              <w:b/>
              <w:sz w:val="22"/>
              <w:szCs w:val="22"/>
            </w:rPr>
            <w:t>San José del Rincón</w:t>
          </w:r>
        </w:p>
      </w:tc>
    </w:tr>
    <w:tr w:rsidR="00601D28" w:rsidRPr="008F2CCC" w:rsidTr="00306BC2">
      <w:trPr>
        <w:trHeight w:val="228"/>
      </w:trPr>
      <w:tc>
        <w:tcPr>
          <w:tcW w:w="1418" w:type="dxa"/>
        </w:tcPr>
        <w:p w:rsidR="00601D28" w:rsidRPr="008F2CCC" w:rsidRDefault="00BB62C2" w:rsidP="00306BC2">
          <w:pPr>
            <w:rPr>
              <w:rFonts w:ascii="Palatino Linotype" w:hAnsi="Palatino Linotype"/>
              <w:b/>
              <w:sz w:val="22"/>
              <w:szCs w:val="22"/>
              <w:lang w:val="es-ES_tradnl"/>
            </w:rPr>
          </w:pPr>
        </w:p>
      </w:tc>
      <w:tc>
        <w:tcPr>
          <w:tcW w:w="2977" w:type="dxa"/>
          <w:shd w:val="clear" w:color="auto" w:fill="auto"/>
        </w:tcPr>
        <w:p w:rsidR="00601D28" w:rsidRPr="00664658" w:rsidRDefault="00BB62C2" w:rsidP="00306BC2">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601D28" w:rsidRPr="00664658" w:rsidRDefault="00BB62C2" w:rsidP="00306B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01D28" w:rsidRPr="001779E0" w:rsidRDefault="00BB62C2" w:rsidP="00306BC2">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601D28" w:rsidRPr="008F2CCC" w:rsidTr="00306BC2">
      <w:tc>
        <w:tcPr>
          <w:tcW w:w="1843" w:type="dxa"/>
          <w:vMerge w:val="restart"/>
        </w:tcPr>
        <w:p w:rsidR="00601D28" w:rsidRPr="008F2CCC" w:rsidRDefault="00BB62C2" w:rsidP="00306BC2">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601D28" w:rsidRPr="008F2CCC" w:rsidRDefault="00BB62C2" w:rsidP="00306BC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601D28" w:rsidRPr="008F2CCC" w:rsidRDefault="00BB62C2" w:rsidP="004972F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07545/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01D28" w:rsidRPr="008F2CCC" w:rsidTr="00306BC2">
      <w:tc>
        <w:tcPr>
          <w:tcW w:w="1843" w:type="dxa"/>
          <w:vMerge/>
        </w:tcPr>
        <w:p w:rsidR="00601D28" w:rsidRPr="008F2CCC" w:rsidRDefault="00BB62C2" w:rsidP="00306BC2">
          <w:pPr>
            <w:rPr>
              <w:rFonts w:ascii="Palatino Linotype" w:hAnsi="Palatino Linotype"/>
              <w:b/>
              <w:sz w:val="22"/>
              <w:szCs w:val="22"/>
              <w:lang w:val="es-ES_tradnl"/>
            </w:rPr>
          </w:pPr>
        </w:p>
      </w:tc>
      <w:tc>
        <w:tcPr>
          <w:tcW w:w="2552" w:type="dxa"/>
          <w:shd w:val="clear" w:color="auto" w:fill="auto"/>
          <w:vAlign w:val="center"/>
        </w:tcPr>
        <w:p w:rsidR="00601D28" w:rsidRPr="008F2CCC" w:rsidRDefault="00BB62C2" w:rsidP="00306BC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601D28" w:rsidRPr="008F2CCC" w:rsidRDefault="006F6BD0" w:rsidP="00306B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601D28" w:rsidRPr="008F2CCC" w:rsidTr="00306BC2">
      <w:trPr>
        <w:trHeight w:val="228"/>
      </w:trPr>
      <w:tc>
        <w:tcPr>
          <w:tcW w:w="1843" w:type="dxa"/>
          <w:vMerge/>
        </w:tcPr>
        <w:p w:rsidR="00601D28" w:rsidRPr="008F2CCC" w:rsidRDefault="00BB62C2" w:rsidP="00306BC2">
          <w:pPr>
            <w:rPr>
              <w:rFonts w:ascii="Palatino Linotype" w:hAnsi="Palatino Linotype"/>
              <w:b/>
              <w:sz w:val="22"/>
              <w:szCs w:val="22"/>
              <w:lang w:val="es-ES_tradnl"/>
            </w:rPr>
          </w:pPr>
        </w:p>
      </w:tc>
      <w:tc>
        <w:tcPr>
          <w:tcW w:w="2552" w:type="dxa"/>
          <w:shd w:val="clear" w:color="auto" w:fill="auto"/>
        </w:tcPr>
        <w:p w:rsidR="00601D28" w:rsidRPr="008F2CCC" w:rsidRDefault="00BB62C2" w:rsidP="00306BC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601D28" w:rsidRPr="00DC41C8" w:rsidRDefault="00BB62C2" w:rsidP="004972FF">
          <w:pPr>
            <w:spacing w:line="360" w:lineRule="auto"/>
            <w:jc w:val="right"/>
            <w:rPr>
              <w:rFonts w:ascii="Palatino Linotype" w:hAnsi="Palatino Linotype"/>
              <w:b/>
              <w:sz w:val="22"/>
              <w:szCs w:val="22"/>
            </w:rPr>
          </w:pPr>
          <w:r w:rsidRPr="00805AF7">
            <w:rPr>
              <w:rFonts w:ascii="Palatino Linotype" w:hAnsi="Palatino Linotype"/>
              <w:b/>
              <w:sz w:val="22"/>
              <w:szCs w:val="22"/>
            </w:rPr>
            <w:t xml:space="preserve">Ayuntamiento de </w:t>
          </w:r>
          <w:r>
            <w:rPr>
              <w:rFonts w:ascii="Palatino Linotype" w:hAnsi="Palatino Linotype"/>
              <w:b/>
              <w:sz w:val="22"/>
              <w:szCs w:val="22"/>
            </w:rPr>
            <w:t>San José del Rincón</w:t>
          </w:r>
        </w:p>
      </w:tc>
    </w:tr>
    <w:tr w:rsidR="00601D28" w:rsidRPr="008F2CCC" w:rsidTr="00306BC2">
      <w:tc>
        <w:tcPr>
          <w:tcW w:w="1843" w:type="dxa"/>
          <w:vMerge/>
        </w:tcPr>
        <w:p w:rsidR="00601D28" w:rsidRPr="008F2CCC" w:rsidRDefault="00BB62C2" w:rsidP="00306BC2">
          <w:pPr>
            <w:rPr>
              <w:rFonts w:ascii="Palatino Linotype" w:hAnsi="Palatino Linotype"/>
              <w:b/>
              <w:sz w:val="22"/>
              <w:szCs w:val="22"/>
              <w:lang w:val="es-ES_tradnl"/>
            </w:rPr>
          </w:pPr>
        </w:p>
      </w:tc>
      <w:tc>
        <w:tcPr>
          <w:tcW w:w="2552" w:type="dxa"/>
          <w:shd w:val="clear" w:color="auto" w:fill="auto"/>
        </w:tcPr>
        <w:p w:rsidR="00601D28" w:rsidRPr="008F2CCC" w:rsidRDefault="00BB62C2" w:rsidP="00306BC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601D28" w:rsidRPr="008F2CCC" w:rsidRDefault="00BB62C2" w:rsidP="00306B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01D28" w:rsidRPr="009F1AB6" w:rsidRDefault="00BB62C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84929"/>
    <w:multiLevelType w:val="hybridMultilevel"/>
    <w:tmpl w:val="1024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272198"/>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FD1DBF"/>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E76493"/>
    <w:multiLevelType w:val="hybridMultilevel"/>
    <w:tmpl w:val="706691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D0"/>
    <w:rsid w:val="00036F8B"/>
    <w:rsid w:val="00123996"/>
    <w:rsid w:val="006F6BD0"/>
    <w:rsid w:val="00BB6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DCEFA-0F26-4896-A6FD-95CB46F9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B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6BD0"/>
    <w:rPr>
      <w:rFonts w:eastAsiaTheme="minorEastAsia"/>
      <w:sz w:val="24"/>
      <w:szCs w:val="24"/>
      <w:lang w:val="es-ES_tradnl" w:eastAsia="es-ES"/>
    </w:rPr>
  </w:style>
  <w:style w:type="paragraph" w:styleId="Piedepgina">
    <w:name w:val="footer"/>
    <w:basedOn w:val="Normal"/>
    <w:link w:val="PiedepginaCar"/>
    <w:uiPriority w:val="99"/>
    <w:unhideWhenUsed/>
    <w:rsid w:val="006F6B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6B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F6BD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6BD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F6BD0"/>
    <w:rPr>
      <w:vertAlign w:val="superscript"/>
    </w:rPr>
  </w:style>
  <w:style w:type="character" w:customStyle="1" w:styleId="apple-converted-space">
    <w:name w:val="apple-converted-space"/>
    <w:basedOn w:val="Fuentedeprrafopredeter"/>
    <w:rsid w:val="006F6BD0"/>
  </w:style>
  <w:style w:type="character" w:styleId="Hipervnculo">
    <w:name w:val="Hyperlink"/>
    <w:basedOn w:val="Fuentedeprrafopredeter"/>
    <w:uiPriority w:val="99"/>
    <w:unhideWhenUsed/>
    <w:rsid w:val="006F6BD0"/>
    <w:rPr>
      <w:color w:val="0563C1" w:themeColor="hyperlink"/>
      <w:u w:val="single"/>
    </w:rPr>
  </w:style>
  <w:style w:type="paragraph" w:styleId="Sinespaciado">
    <w:name w:val="No Spacing"/>
    <w:aliases w:val="Francesa"/>
    <w:link w:val="SinespaciadoCar"/>
    <w:uiPriority w:val="1"/>
    <w:qFormat/>
    <w:rsid w:val="006F6BD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F6BD0"/>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F6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F6BD0"/>
    <w:rPr>
      <w:sz w:val="20"/>
      <w:szCs w:val="20"/>
    </w:rPr>
  </w:style>
  <w:style w:type="character" w:customStyle="1" w:styleId="TextonotapieCar">
    <w:name w:val="Texto nota pie Car"/>
    <w:basedOn w:val="Fuentedeprrafopredeter"/>
    <w:link w:val="Textonotapie"/>
    <w:uiPriority w:val="99"/>
    <w:semiHidden/>
    <w:rsid w:val="006F6BD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5777</Words>
  <Characters>31779</Characters>
  <Application>Microsoft Office Word</Application>
  <DocSecurity>0</DocSecurity>
  <Lines>264</Lines>
  <Paragraphs>74</Paragraphs>
  <ScaleCrop>false</ScaleCrop>
  <Company/>
  <LinksUpToDate>false</LinksUpToDate>
  <CharactersWithSpaces>37482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2020-04-13T16:18:00Z</dcterms:created>
  <dcterms:modified xsi:type="dcterms:W3CDTF">2020-04-13T16:25:00Z</dcterms:modified>
</cp:coreProperties>
</file>