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14:paraId="5ACA1AF8" w14:textId="30E346B2"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5C0BEA">
        <w:rPr>
          <w:rFonts w:ascii="Palatino Linotype" w:eastAsia="Times New Roman" w:hAnsi="Palatino Linotype" w:cs="Arial"/>
          <w:color w:val="000000"/>
          <w:sz w:val="24"/>
          <w:szCs w:val="24"/>
          <w:lang w:eastAsia="es-MX"/>
        </w:rPr>
        <w:t>cinco de marzo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7AE93E16"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66428">
        <w:rPr>
          <w:rFonts w:ascii="Palatino Linotype" w:hAnsi="Palatino Linotype" w:cs="Arial"/>
          <w:b/>
          <w:bCs/>
          <w:sz w:val="24"/>
          <w:lang w:eastAsia="es-MX"/>
        </w:rPr>
        <w:t>11</w:t>
      </w:r>
      <w:r w:rsidR="00955CD0">
        <w:rPr>
          <w:rFonts w:ascii="Palatino Linotype" w:hAnsi="Palatino Linotype" w:cs="Arial"/>
          <w:b/>
          <w:bCs/>
          <w:sz w:val="24"/>
          <w:lang w:eastAsia="es-MX"/>
        </w:rPr>
        <w:t>4</w:t>
      </w:r>
      <w:r w:rsidR="00281E22">
        <w:rPr>
          <w:rFonts w:ascii="Palatino Linotype" w:hAnsi="Palatino Linotype" w:cs="Arial"/>
          <w:b/>
          <w:bCs/>
          <w:sz w:val="24"/>
          <w:lang w:eastAsia="es-MX"/>
        </w:rPr>
        <w:t>30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955CD0" w:rsidRPr="00955CD0">
        <w:rPr>
          <w:rFonts w:ascii="Palatino Linotype" w:hAnsi="Palatino Linotype" w:cs="Arial"/>
          <w:b/>
          <w:sz w:val="24"/>
          <w:szCs w:val="24"/>
        </w:rPr>
        <w:t>Ayuntamiento de Amecameca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277BFD55"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55CD0">
        <w:rPr>
          <w:rFonts w:ascii="Palatino Linotype" w:hAnsi="Palatino Linotype" w:cs="Arial"/>
          <w:sz w:val="24"/>
        </w:rPr>
        <w:t>veintiséis</w:t>
      </w:r>
      <w:r w:rsidR="00A66428">
        <w:rPr>
          <w:rFonts w:ascii="Palatino Linotype" w:hAnsi="Palatino Linotype" w:cs="Arial"/>
          <w:sz w:val="24"/>
        </w:rPr>
        <w:t xml:space="preserve"> de noviembre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955CD0" w:rsidRPr="00955CD0">
        <w:rPr>
          <w:rFonts w:ascii="Palatino Linotype" w:hAnsi="Palatino Linotype" w:cs="Arial"/>
          <w:b/>
          <w:sz w:val="24"/>
        </w:rPr>
        <w:t>00594/AMECAMEC/IP/2019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6F64B8C1"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955CD0" w:rsidRPr="00955CD0">
        <w:rPr>
          <w:rFonts w:ascii="Palatino Linotype" w:hAnsi="Palatino Linotype"/>
          <w:i/>
          <w:color w:val="000000"/>
        </w:rPr>
        <w:t>Solicito la lista del personal que ingreso a las oficinas en el mes de septiembre de 2019</w:t>
      </w:r>
      <w:r w:rsidR="007F56D8" w:rsidRPr="007F56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648E929"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237AEFC3" w14:textId="7A5934ED" w:rsidR="00A66428" w:rsidRDefault="00E15E85" w:rsidP="00A66428">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A66428" w:rsidRPr="00165D6E">
        <w:rPr>
          <w:rFonts w:ascii="Palatino Linotype" w:hAnsi="Palatino Linotype" w:cs="Arial"/>
          <w:b/>
          <w:sz w:val="28"/>
          <w:szCs w:val="20"/>
        </w:rPr>
        <w:t>De la</w:t>
      </w:r>
      <w:r w:rsidR="00955CD0">
        <w:rPr>
          <w:rFonts w:ascii="Palatino Linotype" w:hAnsi="Palatino Linotype" w:cs="Arial"/>
          <w:b/>
          <w:sz w:val="28"/>
          <w:szCs w:val="20"/>
        </w:rPr>
        <w:t xml:space="preserve"> solicitud de aclaración y su desahogo</w:t>
      </w:r>
      <w:r w:rsidR="00A66428" w:rsidRPr="00165D6E">
        <w:rPr>
          <w:rFonts w:ascii="Palatino Linotype" w:hAnsi="Palatino Linotype" w:cs="Arial"/>
          <w:b/>
          <w:sz w:val="28"/>
          <w:szCs w:val="20"/>
        </w:rPr>
        <w:t>.</w:t>
      </w:r>
    </w:p>
    <w:p w14:paraId="6B57BE75" w14:textId="5E3BDB0A" w:rsidR="00955CD0" w:rsidRDefault="00955CD0" w:rsidP="00A66428">
      <w:pPr>
        <w:spacing w:before="240" w:line="360" w:lineRule="auto"/>
        <w:jc w:val="both"/>
        <w:rPr>
          <w:rFonts w:ascii="Palatino Linotype" w:hAnsi="Palatino Linotype" w:cs="Arial"/>
          <w:sz w:val="24"/>
        </w:rPr>
      </w:pPr>
      <w:r>
        <w:rPr>
          <w:rFonts w:ascii="Palatino Linotype" w:hAnsi="Palatino Linotype" w:cs="Arial"/>
          <w:sz w:val="24"/>
        </w:rPr>
        <w:t>En el expediente electrónico Saimex, se aprecia que en fecha treinta de noviembre de dos mil diecinueve el sujeto obligado requirió al particular una aclaración en virtud de que proporcionara mas detalles para la entrega de la información solicitada.</w:t>
      </w:r>
    </w:p>
    <w:p w14:paraId="394EF37D" w14:textId="38284CEB" w:rsidR="00955CD0" w:rsidRDefault="00955CD0" w:rsidP="00955CD0">
      <w:pPr>
        <w:spacing w:before="240" w:line="360" w:lineRule="auto"/>
        <w:ind w:left="708"/>
        <w:jc w:val="both"/>
        <w:rPr>
          <w:rFonts w:ascii="Palatino Linotype" w:hAnsi="Palatino Linotype" w:cs="Arial"/>
          <w:i/>
          <w:iCs/>
          <w:sz w:val="24"/>
        </w:rPr>
      </w:pPr>
      <w:r w:rsidRPr="00955CD0">
        <w:rPr>
          <w:rFonts w:ascii="Palatino Linotype" w:hAnsi="Palatino Linotype" w:cs="Arial"/>
          <w:i/>
          <w:iCs/>
          <w:sz w:val="24"/>
        </w:rPr>
        <w:t>“Se le solicita al ciudadano mencione a que oficina hace referencia.</w:t>
      </w:r>
      <w:r>
        <w:rPr>
          <w:rFonts w:ascii="Palatino Linotype" w:hAnsi="Palatino Linotype" w:cs="Arial"/>
          <w:i/>
          <w:iCs/>
          <w:sz w:val="24"/>
        </w:rPr>
        <w:t>”</w:t>
      </w:r>
    </w:p>
    <w:p w14:paraId="7D1BB41A" w14:textId="41689020" w:rsidR="00955CD0" w:rsidRDefault="00955CD0" w:rsidP="00955CD0">
      <w:pPr>
        <w:spacing w:before="240" w:line="360" w:lineRule="auto"/>
        <w:jc w:val="both"/>
        <w:rPr>
          <w:rFonts w:ascii="Palatino Linotype" w:hAnsi="Palatino Linotype" w:cs="Arial"/>
          <w:i/>
          <w:iCs/>
          <w:sz w:val="24"/>
        </w:rPr>
      </w:pPr>
      <w:r>
        <w:rPr>
          <w:rFonts w:ascii="Palatino Linotype" w:hAnsi="Palatino Linotype" w:cs="Arial"/>
          <w:sz w:val="24"/>
        </w:rPr>
        <w:t xml:space="preserve">Por su parte, el recurrente desahogo el requerimiento del sujeto obligado, aludiendo que se refería a la </w:t>
      </w:r>
      <w:r w:rsidRPr="00955CD0">
        <w:rPr>
          <w:rFonts w:ascii="Palatino Linotype" w:hAnsi="Palatino Linotype" w:cs="Arial"/>
          <w:i/>
          <w:iCs/>
          <w:sz w:val="24"/>
        </w:rPr>
        <w:t>“OFICINA PERTENECIENTE AL AYUNTAMIENTO</w:t>
      </w:r>
      <w:r>
        <w:rPr>
          <w:rFonts w:ascii="Palatino Linotype" w:hAnsi="Palatino Linotype" w:cs="Arial"/>
          <w:i/>
          <w:iCs/>
          <w:sz w:val="24"/>
        </w:rPr>
        <w:t>”.</w:t>
      </w:r>
    </w:p>
    <w:p w14:paraId="03843540" w14:textId="1DC6E757" w:rsidR="00955CD0" w:rsidRDefault="00955CD0" w:rsidP="00955CD0">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TERCERO. </w:t>
      </w:r>
      <w:r w:rsidRPr="00165D6E">
        <w:rPr>
          <w:rFonts w:ascii="Palatino Linotype" w:hAnsi="Palatino Linotype" w:cs="Arial"/>
          <w:b/>
          <w:sz w:val="28"/>
          <w:szCs w:val="20"/>
        </w:rPr>
        <w:t>De la</w:t>
      </w:r>
      <w:r>
        <w:rPr>
          <w:rFonts w:ascii="Palatino Linotype" w:hAnsi="Palatino Linotype" w:cs="Arial"/>
          <w:b/>
          <w:sz w:val="28"/>
          <w:szCs w:val="20"/>
        </w:rPr>
        <w:t xml:space="preserve"> respuesta del sujeto obligado</w:t>
      </w:r>
      <w:r w:rsidRPr="00165D6E">
        <w:rPr>
          <w:rFonts w:ascii="Palatino Linotype" w:hAnsi="Palatino Linotype" w:cs="Arial"/>
          <w:b/>
          <w:sz w:val="28"/>
          <w:szCs w:val="20"/>
        </w:rPr>
        <w:t>.</w:t>
      </w:r>
    </w:p>
    <w:p w14:paraId="3E4CC413" w14:textId="40F0A004" w:rsidR="00A66428" w:rsidRPr="00D02974" w:rsidRDefault="00A66428" w:rsidP="00A6642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955CD0">
        <w:rPr>
          <w:rFonts w:ascii="Palatino Linotype" w:hAnsi="Palatino Linotype" w:cs="Arial"/>
          <w:sz w:val="24"/>
        </w:rPr>
        <w:t>dieciséis</w:t>
      </w:r>
      <w:r w:rsidR="00DA696D">
        <w:rPr>
          <w:rFonts w:ascii="Palatino Linotype" w:hAnsi="Palatino Linotype" w:cs="Arial"/>
          <w:sz w:val="24"/>
        </w:rPr>
        <w:t xml:space="preserve"> de diciembre de dos mil diecinueve aludiendo lo siguiente:</w:t>
      </w:r>
    </w:p>
    <w:p w14:paraId="50EFA004" w14:textId="77777777" w:rsidR="00955CD0" w:rsidRPr="00955CD0" w:rsidRDefault="00955CD0" w:rsidP="00955CD0">
      <w:pPr>
        <w:spacing w:before="240" w:line="360" w:lineRule="auto"/>
        <w:ind w:left="708"/>
        <w:jc w:val="both"/>
        <w:rPr>
          <w:rFonts w:ascii="Palatino Linotype" w:hAnsi="Palatino Linotype" w:cs="Arial"/>
          <w:i/>
          <w:iCs/>
          <w:sz w:val="24"/>
        </w:rPr>
      </w:pPr>
      <w:r w:rsidRPr="00955CD0">
        <w:rPr>
          <w:rFonts w:ascii="Palatino Linotype" w:hAnsi="Palatino Linotype" w:cs="Arial"/>
          <w:i/>
          <w:iCs/>
          <w:sz w:val="24"/>
        </w:rPr>
        <w:t>Con fundamento en el artículo 163 de la Ley de Transparencia y Acceso a la Información Pública del Estado de México y Municipios, le contestamos que:</w:t>
      </w:r>
    </w:p>
    <w:p w14:paraId="13DAAA86" w14:textId="77777777" w:rsidR="00955CD0" w:rsidRPr="00955CD0" w:rsidRDefault="00955CD0" w:rsidP="00955CD0">
      <w:pPr>
        <w:spacing w:before="240" w:line="360" w:lineRule="auto"/>
        <w:ind w:left="708"/>
        <w:jc w:val="both"/>
        <w:rPr>
          <w:rFonts w:ascii="Palatino Linotype" w:hAnsi="Palatino Linotype" w:cs="Arial"/>
          <w:i/>
          <w:iCs/>
          <w:sz w:val="24"/>
        </w:rPr>
      </w:pPr>
      <w:r w:rsidRPr="00955CD0">
        <w:rPr>
          <w:rFonts w:ascii="Palatino Linotype" w:hAnsi="Palatino Linotype" w:cs="Arial"/>
          <w:i/>
          <w:iCs/>
          <w:sz w:val="24"/>
        </w:rPr>
        <w:t>La aclaración del peticionario no es clara y precisa, ya que en las oficinas que ocupa el ayuntamiento se encuentran diversas areas.</w:t>
      </w:r>
    </w:p>
    <w:p w14:paraId="46CC8DD4" w14:textId="77777777" w:rsidR="00955CD0" w:rsidRPr="00955CD0" w:rsidRDefault="00955CD0" w:rsidP="00955CD0">
      <w:pPr>
        <w:spacing w:before="240" w:line="360" w:lineRule="auto"/>
        <w:ind w:left="708"/>
        <w:jc w:val="both"/>
        <w:rPr>
          <w:rFonts w:ascii="Palatino Linotype" w:hAnsi="Palatino Linotype" w:cs="Arial"/>
          <w:i/>
          <w:iCs/>
          <w:sz w:val="24"/>
        </w:rPr>
      </w:pPr>
      <w:r w:rsidRPr="00955CD0">
        <w:rPr>
          <w:rFonts w:ascii="Palatino Linotype" w:hAnsi="Palatino Linotype" w:cs="Arial"/>
          <w:i/>
          <w:iCs/>
          <w:sz w:val="24"/>
        </w:rPr>
        <w:t>ATENTAMENTE</w:t>
      </w:r>
    </w:p>
    <w:p w14:paraId="64AE8851" w14:textId="16B06A70" w:rsidR="00955CD0" w:rsidRDefault="00955CD0" w:rsidP="00955CD0">
      <w:pPr>
        <w:spacing w:before="240" w:line="360" w:lineRule="auto"/>
        <w:ind w:left="708"/>
        <w:jc w:val="both"/>
        <w:rPr>
          <w:rFonts w:ascii="Palatino Linotype" w:hAnsi="Palatino Linotype" w:cs="Arial"/>
          <w:i/>
          <w:iCs/>
          <w:sz w:val="24"/>
        </w:rPr>
      </w:pPr>
      <w:r w:rsidRPr="00955CD0">
        <w:rPr>
          <w:rFonts w:ascii="Palatino Linotype" w:hAnsi="Palatino Linotype" w:cs="Arial"/>
          <w:i/>
          <w:iCs/>
          <w:sz w:val="24"/>
        </w:rPr>
        <w:t>Lic. Magdalena del Refugio Campos Garnica</w:t>
      </w:r>
    </w:p>
    <w:p w14:paraId="08F00A75" w14:textId="77777777" w:rsidR="00955CD0" w:rsidRDefault="00955CD0" w:rsidP="00955CD0">
      <w:pPr>
        <w:spacing w:before="240" w:line="360" w:lineRule="auto"/>
        <w:ind w:left="708"/>
        <w:jc w:val="both"/>
        <w:rPr>
          <w:rFonts w:ascii="Palatino Linotype" w:hAnsi="Palatino Linotype" w:cs="Arial"/>
          <w:i/>
          <w:iCs/>
          <w:sz w:val="24"/>
        </w:rPr>
      </w:pPr>
    </w:p>
    <w:p w14:paraId="05B653FD" w14:textId="65BED2EC" w:rsidR="00A66428" w:rsidRPr="00441A94" w:rsidRDefault="00D81A75" w:rsidP="00955CD0">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TERCERO</w:t>
      </w:r>
      <w:r w:rsidR="00A66428">
        <w:rPr>
          <w:rFonts w:ascii="Palatino Linotype" w:hAnsi="Palatino Linotype" w:cs="Arial"/>
          <w:b/>
          <w:sz w:val="28"/>
        </w:rPr>
        <w:t>.</w:t>
      </w:r>
      <w:r w:rsidRPr="00165D6E">
        <w:rPr>
          <w:rFonts w:ascii="Palatino Linotype" w:hAnsi="Palatino Linotype" w:cs="Arial"/>
          <w:b/>
          <w:sz w:val="28"/>
          <w:szCs w:val="20"/>
        </w:rPr>
        <w:t xml:space="preserve"> </w:t>
      </w:r>
      <w:r w:rsidR="00A66428" w:rsidRPr="00441A94">
        <w:rPr>
          <w:rFonts w:ascii="Palatino Linotype" w:hAnsi="Palatino Linotype"/>
          <w:b/>
          <w:sz w:val="28"/>
        </w:rPr>
        <w:t>Del recurso de revisión.</w:t>
      </w:r>
    </w:p>
    <w:p w14:paraId="3EC0B327" w14:textId="5FE5885F"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22C38">
        <w:rPr>
          <w:rFonts w:ascii="Palatino Linotype" w:hAnsi="Palatino Linotype" w:cs="Arial"/>
          <w:sz w:val="24"/>
          <w:szCs w:val="24"/>
        </w:rPr>
        <w:t xml:space="preserve">dieciocho de diciembre </w:t>
      </w:r>
      <w:r>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22C38">
        <w:rPr>
          <w:rFonts w:ascii="Palatino Linotype" w:hAnsi="Palatino Linotype" w:cs="Arial"/>
          <w:b/>
          <w:bCs/>
          <w:sz w:val="24"/>
          <w:szCs w:val="24"/>
          <w:lang w:eastAsia="es-MX"/>
        </w:rPr>
        <w:t>11</w:t>
      </w:r>
      <w:r w:rsidR="00955CD0">
        <w:rPr>
          <w:rFonts w:ascii="Palatino Linotype" w:hAnsi="Palatino Linotype" w:cs="Arial"/>
          <w:b/>
          <w:bCs/>
          <w:sz w:val="24"/>
          <w:szCs w:val="24"/>
          <w:lang w:eastAsia="es-MX"/>
        </w:rPr>
        <w:t>4</w:t>
      </w:r>
      <w:r w:rsidR="00DA696D">
        <w:rPr>
          <w:rFonts w:ascii="Palatino Linotype" w:hAnsi="Palatino Linotype" w:cs="Arial"/>
          <w:b/>
          <w:bCs/>
          <w:sz w:val="24"/>
          <w:szCs w:val="24"/>
          <w:lang w:eastAsia="es-MX"/>
        </w:rPr>
        <w:t>30</w:t>
      </w:r>
      <w:r>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73B7E4EC"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955CD0" w:rsidRPr="00955CD0">
        <w:rPr>
          <w:rFonts w:ascii="Palatino Linotype" w:hAnsi="Palatino Linotype"/>
          <w:i/>
          <w:color w:val="000000"/>
        </w:rPr>
        <w:t>NO ATENDIERON COMO INDICA LA LEY DE TRANSPARENCIA</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2F2CE7EE" w:rsidR="00A66428" w:rsidRPr="004469D5" w:rsidRDefault="00A66428" w:rsidP="00A66428">
      <w:pPr>
        <w:spacing w:before="240"/>
        <w:ind w:left="851" w:right="850"/>
        <w:jc w:val="both"/>
        <w:rPr>
          <w:rFonts w:ascii="Palatino Linotype" w:hAnsi="Palatino Linotype" w:cs="Arial"/>
          <w:i/>
        </w:rPr>
      </w:pPr>
      <w:r w:rsidRPr="004469D5">
        <w:rPr>
          <w:rFonts w:ascii="Palatino Linotype" w:hAnsi="Palatino Linotype" w:cs="Arial"/>
          <w:i/>
        </w:rPr>
        <w:t>“</w:t>
      </w:r>
      <w:r w:rsidR="00955CD0" w:rsidRPr="00955CD0">
        <w:rPr>
          <w:rFonts w:ascii="Palatino Linotype" w:hAnsi="Palatino Linotype" w:cs="Arial"/>
          <w:i/>
        </w:rPr>
        <w:t>NO ENTREGARON LA INFORMACIÓN</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2BDFEA35"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22C38">
        <w:rPr>
          <w:rFonts w:ascii="Palatino Linotype" w:hAnsi="Palatino Linotype" w:cs="Arial"/>
          <w:sz w:val="24"/>
          <w:szCs w:val="24"/>
        </w:rPr>
        <w:t>nueve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252ACEC1"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122C38">
        <w:rPr>
          <w:rFonts w:ascii="Palatino Linotype" w:hAnsi="Palatino Linotype" w:cs="Arial"/>
          <w:sz w:val="24"/>
          <w:szCs w:val="24"/>
        </w:rPr>
        <w:t>veintiocho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w:t>
      </w:r>
      <w:r w:rsidR="00E15E85" w:rsidRPr="003E076B">
        <w:rPr>
          <w:rFonts w:ascii="Palatino Linotype" w:hAnsi="Palatino Linotype" w:cs="Arial"/>
          <w:sz w:val="24"/>
          <w:szCs w:val="24"/>
        </w:rPr>
        <w:lastRenderedPageBreak/>
        <w:t xml:space="preserve">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5CB6A941"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122C38">
        <w:rPr>
          <w:rFonts w:ascii="Palatino Linotype" w:hAnsi="Palatino Linotype" w:cs="Arial"/>
          <w:sz w:val="24"/>
          <w:szCs w:val="24"/>
        </w:rPr>
        <w:t>veinticuatro de febrero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70ADC8" w14:textId="77777777" w:rsidR="00611F2D" w:rsidRPr="009E5FF7" w:rsidRDefault="00611F2D" w:rsidP="00611F2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4AC7916B" w14:textId="77777777" w:rsidR="00611F2D" w:rsidRDefault="00611F2D" w:rsidP="00611F2D">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6522A5D0"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7D4004A2"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1BFEC685"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1812A5F9"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1E760A24"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316FC1E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276E5E9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502F65A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VII. La copia de la respuesta que se impugna y, en su caso, de la notificación correspondiente, en el caso de respuesta de la solicitud; y</w:t>
      </w:r>
    </w:p>
    <w:p w14:paraId="455B843F"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62ED30CA"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0758F4C"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79072F3F" w14:textId="77777777" w:rsidR="00611F2D" w:rsidRPr="00890DBD" w:rsidRDefault="00611F2D" w:rsidP="00611F2D">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23AC7F85" w14:textId="77777777" w:rsidR="00611F2D" w:rsidRPr="00311EE6" w:rsidRDefault="00611F2D" w:rsidP="00611F2D">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2BA4E011" w14:textId="77777777" w:rsidR="00611F2D" w:rsidRDefault="00611F2D" w:rsidP="00611F2D">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w:t>
      </w:r>
      <w:r w:rsidRPr="00890DBD">
        <w:rPr>
          <w:rFonts w:ascii="Palatino Linotype" w:hAnsi="Palatino Linotype"/>
        </w:rPr>
        <w:lastRenderedPageBreak/>
        <w:t>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6F34C257" w14:textId="77777777" w:rsidR="00611F2D" w:rsidRPr="009E5FF7" w:rsidRDefault="00611F2D" w:rsidP="00611F2D">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77777777" w:rsidR="00611F2D" w:rsidRPr="008C3CD8" w:rsidRDefault="00611F2D"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Pr="00AE4E9C">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3DA34426"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t>“</w:t>
      </w:r>
      <w:r w:rsidR="00EC5AD5">
        <w:rPr>
          <w:rFonts w:ascii="Palatino Linotype" w:hAnsi="Palatino Linotype"/>
          <w:i/>
          <w:iCs/>
          <w:sz w:val="24"/>
          <w:szCs w:val="24"/>
        </w:rPr>
        <w:t>L</w:t>
      </w:r>
      <w:r w:rsidR="00EC5AD5" w:rsidRPr="00EC5AD5">
        <w:rPr>
          <w:rFonts w:ascii="Palatino Linotype" w:hAnsi="Palatino Linotype"/>
          <w:i/>
          <w:iCs/>
          <w:sz w:val="24"/>
          <w:szCs w:val="24"/>
        </w:rPr>
        <w:t>ista del personal que ingreso a las oficinas en el mes de septiembre de 2019.</w:t>
      </w:r>
      <w:r w:rsidRPr="00DA696D">
        <w:rPr>
          <w:rFonts w:ascii="Palatino Linotype" w:hAnsi="Palatino Linotype"/>
          <w:i/>
          <w:iCs/>
          <w:sz w:val="24"/>
          <w:szCs w:val="24"/>
        </w:rPr>
        <w:t>”</w:t>
      </w:r>
    </w:p>
    <w:p w14:paraId="3F45B7E3" w14:textId="77777777" w:rsidR="00EC5AD5" w:rsidRDefault="00EC5AD5" w:rsidP="00EC5AD5">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Así, el sujeto obligado realizo una solicitud de aclaración a manera que se precisara a que oficina hacia referencia, por su parte el particular señalo que solicitaba la oficina perteneciente al ayuntamiento, de lo que se concluye que se esta solicitando la lista de personal que ingreso a las oficinas del ayuntamiento en el mes de septiembre de 2019.</w:t>
      </w:r>
    </w:p>
    <w:p w14:paraId="16022F91" w14:textId="77514257" w:rsidR="00EC5AD5" w:rsidRDefault="00EC5AD5" w:rsidP="00EC5AD5">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Ahora bien, de la </w:t>
      </w:r>
      <w:r w:rsidR="00F72930">
        <w:rPr>
          <w:rFonts w:ascii="Palatino Linotype" w:hAnsi="Palatino Linotype" w:cs="Arial"/>
          <w:bCs/>
          <w:sz w:val="24"/>
          <w:szCs w:val="24"/>
        </w:rPr>
        <w:t>respuesta</w:t>
      </w:r>
      <w:r>
        <w:rPr>
          <w:rFonts w:ascii="Palatino Linotype" w:hAnsi="Palatino Linotype" w:cs="Arial"/>
          <w:bCs/>
          <w:sz w:val="24"/>
          <w:szCs w:val="24"/>
        </w:rPr>
        <w:t xml:space="preserve"> otorgada por el </w:t>
      </w:r>
      <w:r w:rsidR="00F72930">
        <w:rPr>
          <w:rFonts w:ascii="Palatino Linotype" w:hAnsi="Palatino Linotype" w:cs="Arial"/>
          <w:bCs/>
          <w:sz w:val="24"/>
          <w:szCs w:val="24"/>
        </w:rPr>
        <w:t>sujeto</w:t>
      </w:r>
      <w:r>
        <w:rPr>
          <w:rFonts w:ascii="Palatino Linotype" w:hAnsi="Palatino Linotype" w:cs="Arial"/>
          <w:bCs/>
          <w:sz w:val="24"/>
          <w:szCs w:val="24"/>
        </w:rPr>
        <w:t xml:space="preserve"> obligado se denota lo siguiente </w:t>
      </w:r>
      <w:r w:rsidRPr="00EC5AD5">
        <w:rPr>
          <w:rFonts w:ascii="Palatino Linotype" w:hAnsi="Palatino Linotype" w:cs="Arial"/>
          <w:bCs/>
          <w:i/>
          <w:iCs/>
          <w:sz w:val="24"/>
          <w:szCs w:val="24"/>
        </w:rPr>
        <w:t>“La aclaración del peticionario no es clara y precisa, ya que en las oficinas que ocupa el ayuntamiento se encuentran diversas areas.</w:t>
      </w:r>
      <w:r>
        <w:rPr>
          <w:rFonts w:ascii="Palatino Linotype" w:hAnsi="Palatino Linotype" w:cs="Arial"/>
          <w:bCs/>
          <w:i/>
          <w:iCs/>
          <w:sz w:val="24"/>
          <w:szCs w:val="24"/>
        </w:rPr>
        <w:t>”,</w:t>
      </w:r>
      <w:r>
        <w:rPr>
          <w:rFonts w:ascii="Palatino Linotype" w:hAnsi="Palatino Linotype" w:cs="Arial"/>
          <w:bCs/>
          <w:sz w:val="24"/>
          <w:szCs w:val="24"/>
        </w:rPr>
        <w:t xml:space="preserve"> sin </w:t>
      </w:r>
      <w:r w:rsidR="00F72930">
        <w:rPr>
          <w:rFonts w:ascii="Palatino Linotype" w:hAnsi="Palatino Linotype" w:cs="Arial"/>
          <w:bCs/>
          <w:sz w:val="24"/>
          <w:szCs w:val="24"/>
        </w:rPr>
        <w:t>embargo,</w:t>
      </w:r>
      <w:r>
        <w:rPr>
          <w:rFonts w:ascii="Palatino Linotype" w:hAnsi="Palatino Linotype" w:cs="Arial"/>
          <w:bCs/>
          <w:sz w:val="24"/>
          <w:szCs w:val="24"/>
        </w:rPr>
        <w:t xml:space="preserve"> dicha respuesta no puede tomarse como idónea ya que debió haber hecho entrega </w:t>
      </w:r>
      <w:r w:rsidR="00F72930">
        <w:rPr>
          <w:rFonts w:ascii="Palatino Linotype" w:hAnsi="Palatino Linotype" w:cs="Arial"/>
          <w:bCs/>
          <w:sz w:val="24"/>
          <w:szCs w:val="24"/>
        </w:rPr>
        <w:t>de la lista de ingreso de todo el personal adscrito al Ayuntamiento de Amecameca situación que no aconteció</w:t>
      </w:r>
      <w:r w:rsidR="00834724">
        <w:rPr>
          <w:rFonts w:ascii="Palatino Linotype" w:hAnsi="Palatino Linotype" w:cs="Arial"/>
          <w:bCs/>
          <w:sz w:val="24"/>
          <w:szCs w:val="24"/>
        </w:rPr>
        <w:t xml:space="preserve"> y que fue motivo para que el particular accionara su medio de impugnación.</w:t>
      </w:r>
    </w:p>
    <w:p w14:paraId="40098D3D" w14:textId="2142AD61" w:rsidR="00EE28A5" w:rsidRPr="006451E4" w:rsidRDefault="00EE28A5" w:rsidP="00EC5AD5">
      <w:pPr>
        <w:spacing w:before="240" w:line="360" w:lineRule="auto"/>
        <w:jc w:val="both"/>
        <w:rPr>
          <w:rFonts w:ascii="Palatino Linotype" w:hAnsi="Palatino Linotype" w:cs="Arial"/>
          <w:color w:val="000000" w:themeColor="text1"/>
          <w:sz w:val="24"/>
          <w:szCs w:val="24"/>
        </w:rPr>
      </w:pPr>
      <w:r w:rsidRPr="006451E4">
        <w:rPr>
          <w:rFonts w:ascii="Palatino Linotype" w:hAnsi="Palatino Linotype" w:cs="Arial"/>
          <w:bCs/>
          <w:sz w:val="24"/>
          <w:szCs w:val="24"/>
        </w:rPr>
        <w:t xml:space="preserve">Así pues, </w:t>
      </w:r>
      <w:r w:rsidR="00533106">
        <w:rPr>
          <w:rFonts w:ascii="Palatino Linotype" w:hAnsi="Palatino Linotype" w:cs="Arial"/>
          <w:bCs/>
          <w:sz w:val="24"/>
          <w:szCs w:val="24"/>
        </w:rPr>
        <w:t>ante tales hechos</w:t>
      </w:r>
      <w:r w:rsidRPr="006451E4">
        <w:rPr>
          <w:rFonts w:ascii="Palatino Linotype" w:hAnsi="Palatino Linotype" w:cs="Arial"/>
          <w:bCs/>
          <w:sz w:val="24"/>
          <w:szCs w:val="24"/>
        </w:rPr>
        <w:t xml:space="preserve">, es oportuno resaltar que el ciudadano tiene la oportunidad de inconformarse  </w:t>
      </w:r>
      <w:r w:rsidRPr="006451E4">
        <w:rPr>
          <w:rFonts w:ascii="Palatino Linotype" w:hAnsi="Palatino Linotype" w:cs="Arial"/>
          <w:sz w:val="24"/>
          <w:szCs w:val="24"/>
        </w:rPr>
        <w:t xml:space="preserve">en los casos en que estime violentado su derecho; en consecuencia, </w:t>
      </w:r>
      <w:r w:rsidRPr="006451E4">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E0904A7" w14:textId="2FC84FA7"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 xml:space="preserve">El derecho humano de acceso a la información pública es la prerrogativa de las personas para buscar, difundir, investigar, recabar, </w:t>
      </w:r>
      <w:r w:rsidRPr="007B167F">
        <w:rPr>
          <w:rFonts w:ascii="Palatino Linotype" w:hAnsi="Palatino Linotype" w:cs="Arial"/>
          <w:b/>
          <w:bCs/>
          <w:i/>
          <w:color w:val="000000" w:themeColor="text1"/>
          <w:u w:val="single"/>
        </w:rPr>
        <w:lastRenderedPageBreak/>
        <w:t>recibir y solicitar información pública</w:t>
      </w:r>
      <w:r w:rsidRPr="00A27566">
        <w:rPr>
          <w:rFonts w:ascii="Palatino Linotype" w:hAnsi="Palatino Linotype" w:cs="Arial"/>
          <w:bCs/>
          <w:i/>
          <w:color w:val="000000" w:themeColor="text1"/>
        </w:rPr>
        <w:t>, sin necesidad de acreditar personalidad ni interés jurídico.</w:t>
      </w:r>
    </w:p>
    <w:p w14:paraId="7B046117"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20DBB2B"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3D25EBA"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888D40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3AA47A"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8C49BEF" w14:textId="77777777"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099F01D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3416125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14:paraId="4DCA2B6F"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FF11205"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33F86C31" w14:textId="32A49382" w:rsidR="00EE28A5" w:rsidRPr="00A27566" w:rsidRDefault="00EE28A5" w:rsidP="00DA696D">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14:paraId="5C5B5AAE" w14:textId="77777777" w:rsidR="00EE28A5" w:rsidRDefault="00EE28A5" w:rsidP="00F07B17">
      <w:pPr>
        <w:spacing w:before="24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37B2BEF8" w14:textId="77777777"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F55104D" w14:textId="77777777"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5D5F3C80" w14:textId="77777777"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lastRenderedPageBreak/>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9A0F53C" w14:textId="77777777"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1EECC681" w14:textId="77777777"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6EDD1F67" w14:textId="77777777" w:rsidR="00834724" w:rsidRPr="00045CB3" w:rsidRDefault="00834724" w:rsidP="00834724">
      <w:pPr>
        <w:pStyle w:val="Sinespaciado"/>
        <w:spacing w:before="240" w:after="240" w:line="360" w:lineRule="auto"/>
        <w:jc w:val="both"/>
        <w:rPr>
          <w:rFonts w:ascii="Palatino Linotype" w:hAnsi="Palatino Linotype"/>
        </w:rPr>
      </w:pPr>
      <w:r w:rsidRPr="00045CB3">
        <w:rPr>
          <w:rFonts w:ascii="Palatino Linotype" w:hAnsi="Palatino Linotype"/>
        </w:rPr>
        <w:t xml:space="preserve">Derivado de esto, y con fundamento en lo dispuesto por los artículos 13 y 181, de la Ley de la Materia, este Instituto </w:t>
      </w:r>
      <w:r w:rsidRPr="00045CB3">
        <w:rPr>
          <w:rFonts w:ascii="Palatino Linotype" w:hAnsi="Palatino Linotype"/>
          <w:b/>
          <w:i/>
        </w:rPr>
        <w:t>suple de deficiencia de la queja en favor</w:t>
      </w:r>
      <w:r w:rsidRPr="00045CB3">
        <w:rPr>
          <w:rFonts w:ascii="Palatino Linotype" w:hAnsi="Palatino Linotype"/>
        </w:rPr>
        <w:t xml:space="preserve"> del </w:t>
      </w:r>
      <w:r w:rsidRPr="00045CB3">
        <w:rPr>
          <w:rFonts w:ascii="Palatino Linotype" w:hAnsi="Palatino Linotype"/>
          <w:b/>
        </w:rPr>
        <w:t>Recurrente</w:t>
      </w:r>
      <w:r w:rsidRPr="00045CB3">
        <w:rPr>
          <w:rFonts w:ascii="Palatino Linotype" w:hAnsi="Palatino Linotype"/>
        </w:rPr>
        <w:t>, de conformidad con lo siguiente:</w:t>
      </w:r>
    </w:p>
    <w:p w14:paraId="19FD494E" w14:textId="77777777" w:rsidR="00834724" w:rsidRPr="00045CB3" w:rsidRDefault="00834724" w:rsidP="00834724">
      <w:pPr>
        <w:pStyle w:val="Sinespaciado"/>
        <w:spacing w:before="240" w:after="240" w:line="360" w:lineRule="auto"/>
        <w:ind w:left="426" w:right="425"/>
        <w:jc w:val="both"/>
        <w:rPr>
          <w:rFonts w:ascii="Palatino Linotype" w:hAnsi="Palatino Linotype"/>
          <w:i/>
          <w:sz w:val="22"/>
          <w:szCs w:val="22"/>
        </w:rPr>
      </w:pPr>
      <w:r w:rsidRPr="00045CB3">
        <w:rPr>
          <w:rFonts w:ascii="Palatino Linotype" w:hAnsi="Palatino Linotype"/>
          <w:b/>
          <w:i/>
          <w:sz w:val="22"/>
          <w:szCs w:val="22"/>
        </w:rPr>
        <w:t>Artículo 13.</w:t>
      </w:r>
      <w:r w:rsidRPr="00045CB3">
        <w:rPr>
          <w:rFonts w:ascii="Palatino Linotype" w:hAnsi="Palatino Linotype"/>
          <w:i/>
          <w:sz w:val="22"/>
          <w:szCs w:val="22"/>
        </w:rPr>
        <w:t xml:space="preserve"> </w:t>
      </w:r>
      <w:r w:rsidRPr="00045CB3">
        <w:rPr>
          <w:rFonts w:ascii="Palatino Linotype" w:hAnsi="Palatino Linotype"/>
          <w:b/>
          <w:i/>
          <w:sz w:val="22"/>
          <w:szCs w:val="22"/>
          <w:u w:val="single"/>
        </w:rPr>
        <w:t>El Instituto, en el ámbito de sus atribuciones, deberá suplir cualquier deficiencia para garantizar el ejercicio del derecho de acceso a la información</w:t>
      </w:r>
      <w:r w:rsidRPr="00045CB3">
        <w:rPr>
          <w:rFonts w:ascii="Palatino Linotype" w:hAnsi="Palatino Linotype"/>
          <w:i/>
          <w:sz w:val="22"/>
          <w:szCs w:val="22"/>
        </w:rPr>
        <w:t>.</w:t>
      </w:r>
    </w:p>
    <w:p w14:paraId="6F916454" w14:textId="77777777" w:rsidR="00834724" w:rsidRPr="00045CB3" w:rsidRDefault="00834724" w:rsidP="00834724">
      <w:pPr>
        <w:autoSpaceDE w:val="0"/>
        <w:autoSpaceDN w:val="0"/>
        <w:adjustRightInd w:val="0"/>
        <w:spacing w:before="240" w:after="240" w:line="360" w:lineRule="auto"/>
        <w:ind w:left="426" w:right="425"/>
        <w:jc w:val="both"/>
        <w:rPr>
          <w:rFonts w:ascii="Palatino Linotype" w:hAnsi="Palatino Linotype" w:cs="Bookman Old Style"/>
          <w:i/>
          <w:color w:val="000000"/>
        </w:rPr>
      </w:pPr>
      <w:r w:rsidRPr="00045CB3">
        <w:rPr>
          <w:rFonts w:ascii="Palatino Linotype" w:hAnsi="Palatino Linotype" w:cs="Bookman Old Style"/>
          <w:b/>
          <w:bCs/>
          <w:i/>
          <w:color w:val="000000"/>
        </w:rPr>
        <w:t xml:space="preserve">Artículo 181. </w:t>
      </w:r>
      <w:r w:rsidRPr="00045CB3">
        <w:rPr>
          <w:rFonts w:ascii="Palatino Linotype" w:hAnsi="Palatino Linotype" w:cs="Bookman Old Style"/>
          <w:i/>
          <w:color w:val="000000"/>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474F7915" w14:textId="77777777" w:rsidR="00834724" w:rsidRPr="00045CB3" w:rsidRDefault="00834724" w:rsidP="00834724">
      <w:pPr>
        <w:autoSpaceDE w:val="0"/>
        <w:autoSpaceDN w:val="0"/>
        <w:adjustRightInd w:val="0"/>
        <w:spacing w:before="240" w:after="240" w:line="360" w:lineRule="auto"/>
        <w:ind w:left="426" w:right="425"/>
        <w:jc w:val="both"/>
        <w:rPr>
          <w:rFonts w:ascii="Palatino Linotype" w:hAnsi="Palatino Linotype" w:cs="Bookman Old Style"/>
          <w:i/>
          <w:color w:val="000000"/>
        </w:rPr>
      </w:pPr>
      <w:r w:rsidRPr="00045CB3">
        <w:rPr>
          <w:rFonts w:ascii="Palatino Linotype" w:hAnsi="Palatino Linotype" w:cs="Bookman Old Style"/>
          <w:i/>
          <w:color w:val="00000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407511EA" w14:textId="77777777" w:rsidR="00834724" w:rsidRPr="00045CB3" w:rsidRDefault="00834724" w:rsidP="00834724">
      <w:pPr>
        <w:autoSpaceDE w:val="0"/>
        <w:autoSpaceDN w:val="0"/>
        <w:adjustRightInd w:val="0"/>
        <w:spacing w:before="240" w:after="240" w:line="360" w:lineRule="auto"/>
        <w:ind w:left="426" w:right="425"/>
        <w:jc w:val="both"/>
        <w:rPr>
          <w:rFonts w:ascii="Palatino Linotype" w:hAnsi="Palatino Linotype" w:cs="Bookman Old Style"/>
          <w:i/>
          <w:color w:val="000000"/>
        </w:rPr>
      </w:pPr>
      <w:r w:rsidRPr="00045CB3">
        <w:rPr>
          <w:rFonts w:ascii="Palatino Linotype" w:hAnsi="Palatino Linotype" w:cs="Bookman Old Style"/>
          <w:i/>
          <w:color w:val="00000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4E0E30EE" w14:textId="77777777" w:rsidR="00834724" w:rsidRPr="00045CB3" w:rsidRDefault="00834724" w:rsidP="00834724">
      <w:pPr>
        <w:autoSpaceDE w:val="0"/>
        <w:autoSpaceDN w:val="0"/>
        <w:adjustRightInd w:val="0"/>
        <w:spacing w:before="240" w:after="240" w:line="360" w:lineRule="auto"/>
        <w:ind w:left="426" w:right="425"/>
        <w:jc w:val="both"/>
        <w:rPr>
          <w:rFonts w:ascii="Palatino Linotype" w:hAnsi="Palatino Linotype" w:cs="Bookman Old Style"/>
          <w:b/>
          <w:i/>
          <w:color w:val="000000"/>
          <w:u w:val="single"/>
        </w:rPr>
      </w:pPr>
      <w:r w:rsidRPr="00045CB3">
        <w:rPr>
          <w:rFonts w:ascii="Palatino Linotype" w:hAnsi="Palatino Linotype" w:cs="Bookman Old Style"/>
          <w:b/>
          <w:i/>
          <w:color w:val="000000"/>
          <w:u w:val="single"/>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26B1991" w14:textId="77777777" w:rsidR="00834724" w:rsidRPr="00045CB3" w:rsidRDefault="00834724" w:rsidP="00834724">
      <w:pPr>
        <w:pStyle w:val="Sinespaciado"/>
        <w:spacing w:before="240" w:after="240" w:line="360" w:lineRule="auto"/>
        <w:ind w:left="426" w:right="425"/>
        <w:jc w:val="both"/>
        <w:rPr>
          <w:rFonts w:ascii="Palatino Linotype" w:hAnsi="Palatino Linotype"/>
          <w:i/>
          <w:sz w:val="22"/>
          <w:szCs w:val="22"/>
        </w:rPr>
      </w:pPr>
      <w:r w:rsidRPr="00045CB3">
        <w:rPr>
          <w:rFonts w:ascii="Palatino Linotype" w:hAnsi="Palatino Linotype" w:cs="Bookman Old Style"/>
          <w:i/>
          <w:color w:val="000000"/>
          <w:sz w:val="22"/>
          <w:szCs w:val="22"/>
        </w:rPr>
        <w:t>Para el caso de interposición del recurso de revisión a través de la Plataforma Nacional o la plataforma que para tales efectos habilite el Instituto, éste podrá solicitar al particular subsane las deficiencias por ese medio.</w:t>
      </w:r>
    </w:p>
    <w:p w14:paraId="76DAE2A2" w14:textId="67470636" w:rsidR="00834724" w:rsidRDefault="00834724" w:rsidP="00834724">
      <w:pPr>
        <w:pStyle w:val="Sinespaciado"/>
        <w:spacing w:before="240" w:after="240" w:line="360" w:lineRule="auto"/>
        <w:jc w:val="both"/>
        <w:rPr>
          <w:rFonts w:ascii="Palatino Linotype" w:hAnsi="Palatino Linotype"/>
        </w:rPr>
      </w:pPr>
      <w:r w:rsidRPr="00834724">
        <w:rPr>
          <w:rFonts w:ascii="Palatino Linotype" w:hAnsi="Palatino Linotype"/>
        </w:rPr>
        <w:t xml:space="preserve">Por lo anterior, se determina que objetivamente lo requerido por el hoy </w:t>
      </w:r>
      <w:r>
        <w:rPr>
          <w:rFonts w:ascii="Palatino Linotype" w:hAnsi="Palatino Linotype"/>
        </w:rPr>
        <w:t>r</w:t>
      </w:r>
      <w:r w:rsidRPr="00834724">
        <w:rPr>
          <w:rFonts w:ascii="Palatino Linotype" w:hAnsi="Palatino Linotype"/>
        </w:rPr>
        <w:t xml:space="preserve">ecurrente, es el </w:t>
      </w:r>
      <w:r>
        <w:rPr>
          <w:rFonts w:ascii="Palatino Linotype" w:hAnsi="Palatino Linotype"/>
        </w:rPr>
        <w:t>listado de ingreso de todo el personal adscrito al Ayuntamiento de Amecameca, correspondiente al mes de septiembre de 2019.</w:t>
      </w:r>
    </w:p>
    <w:p w14:paraId="1E8C59C6" w14:textId="50518DA7" w:rsidR="00834724" w:rsidRPr="00834724" w:rsidRDefault="00834724" w:rsidP="00834724">
      <w:pPr>
        <w:spacing w:before="240" w:line="360" w:lineRule="auto"/>
        <w:jc w:val="both"/>
        <w:rPr>
          <w:rFonts w:ascii="Palatino Linotype" w:hAnsi="Palatino Linotype"/>
          <w:color w:val="222222"/>
          <w:sz w:val="24"/>
          <w:szCs w:val="24"/>
          <w:lang w:eastAsia="es-MX"/>
        </w:rPr>
      </w:pPr>
      <w:r>
        <w:rPr>
          <w:rFonts w:ascii="Palatino Linotype" w:hAnsi="Palatino Linotype"/>
          <w:color w:val="222222"/>
          <w:sz w:val="24"/>
          <w:szCs w:val="24"/>
          <w:lang w:eastAsia="es-MX"/>
        </w:rPr>
        <w:t xml:space="preserve">Ahora bien, en primer término </w:t>
      </w:r>
      <w:r w:rsidRPr="00834724">
        <w:rPr>
          <w:rFonts w:ascii="Palatino Linotype" w:hAnsi="Palatino Linotype"/>
          <w:color w:val="222222"/>
          <w:sz w:val="24"/>
          <w:szCs w:val="24"/>
          <w:lang w:eastAsia="es-MX"/>
        </w:rPr>
        <w:t xml:space="preserve">abordaremos el tema del registro de acceso por parte de los Servidores Públicos del Municipio de </w:t>
      </w:r>
      <w:r>
        <w:rPr>
          <w:rFonts w:ascii="Palatino Linotype" w:hAnsi="Palatino Linotype"/>
          <w:color w:val="222222"/>
          <w:sz w:val="24"/>
          <w:szCs w:val="24"/>
          <w:lang w:eastAsia="es-MX"/>
        </w:rPr>
        <w:t>Amecameca</w:t>
      </w:r>
      <w:r w:rsidRPr="00834724">
        <w:rPr>
          <w:rFonts w:ascii="Palatino Linotype" w:hAnsi="Palatino Linotype"/>
          <w:color w:val="222222"/>
          <w:sz w:val="24"/>
          <w:szCs w:val="24"/>
          <w:lang w:eastAsia="es-MX"/>
        </w:rPr>
        <w:t xml:space="preserve">, así que </w:t>
      </w:r>
      <w:r w:rsidRPr="00834724">
        <w:rPr>
          <w:rFonts w:ascii="Palatino Linotype" w:hAnsi="Palatino Linotype"/>
          <w:sz w:val="24"/>
          <w:szCs w:val="24"/>
        </w:rPr>
        <w:t>es conveniente remitirse a lo dispuesto en el artículo 220 K, de la Ley del Trabajo de los Servidores Públicos del Estado y Municipios, que a la letra establece lo siguiente:</w:t>
      </w:r>
    </w:p>
    <w:p w14:paraId="4816C233"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ARTÍCULO 220 K.- La institución o dependencia pública tiene la obligación de conservar y exhibir en el proceso los documentos que a continuación se precisan:</w:t>
      </w:r>
    </w:p>
    <w:p w14:paraId="1FBDF251"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I. Contratos, Nombramientos o Formato Único de Movimientos de Personal, cuando no exista Convenio de condiciones generales de trabajo aplicable;</w:t>
      </w:r>
    </w:p>
    <w:p w14:paraId="5505CE50"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II. Recibos de pagos de salarios o las constancias documentales del pago de salario cuando sea por depósito o mediante información electrónica;</w:t>
      </w:r>
    </w:p>
    <w:p w14:paraId="5AC8B870"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III. Controles de asistencia o la información magnética o electrónica de asistencia de los servidores públicos;</w:t>
      </w:r>
    </w:p>
    <w:p w14:paraId="615897AC"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lastRenderedPageBreak/>
        <w:t>IV. Recibos o las constancias de depósito o del medio de información magnética o electrónica que sean utilizadas para el pago de salarios, prima vacacional, aguinaldo y demás prestaciones establecidas en la presente ley; y</w:t>
      </w:r>
    </w:p>
    <w:p w14:paraId="1EBF8C69"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V. Los demás que señalen las leyes.</w:t>
      </w:r>
    </w:p>
    <w:p w14:paraId="30DBF71D"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8663298" w14:textId="77777777" w:rsidR="00834724" w:rsidRPr="00834724" w:rsidRDefault="00834724" w:rsidP="00834724">
      <w:pPr>
        <w:pStyle w:val="Sinespaciado"/>
        <w:spacing w:before="240" w:after="160" w:line="360" w:lineRule="auto"/>
        <w:ind w:left="567" w:right="567"/>
        <w:jc w:val="both"/>
        <w:rPr>
          <w:rFonts w:ascii="Palatino Linotype" w:hAnsi="Palatino Linotype"/>
          <w:i/>
          <w:sz w:val="22"/>
          <w:szCs w:val="22"/>
        </w:rPr>
      </w:pPr>
      <w:r w:rsidRPr="00834724">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14:paraId="1553B212" w14:textId="77777777" w:rsidR="00834724" w:rsidRPr="00834724" w:rsidRDefault="00834724" w:rsidP="00834724">
      <w:pPr>
        <w:pStyle w:val="Sinespaciado"/>
        <w:spacing w:before="240" w:after="160" w:line="360" w:lineRule="auto"/>
        <w:jc w:val="both"/>
        <w:rPr>
          <w:rFonts w:ascii="Palatino Linotype" w:hAnsi="Palatino Linotype"/>
        </w:rPr>
      </w:pPr>
      <w:r w:rsidRPr="00834724">
        <w:rPr>
          <w:rFonts w:ascii="Palatino Linotype" w:hAnsi="Palatino Linotype"/>
        </w:rPr>
        <w:t xml:space="preserve">Por lo expuesto, resulta evidente que existe la fuente obligacional que constriñe al Sujeto Obligado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 </w:t>
      </w:r>
    </w:p>
    <w:p w14:paraId="1356F3AF" w14:textId="77777777" w:rsidR="00834724" w:rsidRPr="00834724" w:rsidRDefault="00834724" w:rsidP="00834724">
      <w:pPr>
        <w:pStyle w:val="Sinespaciado"/>
        <w:spacing w:before="240" w:after="160" w:line="360" w:lineRule="auto"/>
        <w:jc w:val="both"/>
        <w:rPr>
          <w:rFonts w:ascii="Palatino Linotype" w:hAnsi="Palatino Linotype"/>
        </w:rPr>
      </w:pPr>
      <w:r w:rsidRPr="00834724">
        <w:rPr>
          <w:rFonts w:ascii="Palatino Linotype" w:hAnsi="Palatino Linotype"/>
        </w:rPr>
        <w:t xml:space="preserve">De tal forma, se concluye que el Sujeto Obligado puede contar con la información relativa al registro de entrada y salida de sus servidores públicos, sin embargo, la misma Ley establece que únicamente está obligado a conservar la información </w:t>
      </w:r>
      <w:r w:rsidRPr="00834724">
        <w:rPr>
          <w:rFonts w:ascii="Palatino Linotype" w:hAnsi="Palatino Linotype"/>
        </w:rPr>
        <w:lastRenderedPageBreak/>
        <w:t xml:space="preserve">correspondiente al último año, así como de un año después de los servidores públicos que hayan terminado su relación laboral con el Sujeto Obligado. </w:t>
      </w:r>
    </w:p>
    <w:p w14:paraId="6E573985" w14:textId="43DAFE37" w:rsidR="00834724" w:rsidRPr="00834724" w:rsidRDefault="00834724" w:rsidP="00834724">
      <w:pPr>
        <w:pStyle w:val="Sinespaciado"/>
        <w:spacing w:before="240" w:after="160" w:line="360" w:lineRule="auto"/>
        <w:jc w:val="both"/>
        <w:rPr>
          <w:rFonts w:ascii="Palatino Linotype" w:hAnsi="Palatino Linotype"/>
        </w:rPr>
      </w:pPr>
      <w:r w:rsidRPr="00834724">
        <w:rPr>
          <w:rFonts w:ascii="Palatino Linotype" w:hAnsi="Palatino Linotype"/>
        </w:rPr>
        <w:t xml:space="preserve">Es por esta situación que este Instituto considera procedente ordenar la entrega de la información relativa </w:t>
      </w:r>
      <w:r w:rsidR="006B3069">
        <w:rPr>
          <w:rFonts w:ascii="Palatino Linotype" w:hAnsi="Palatino Linotype"/>
        </w:rPr>
        <w:t>a la lista de ingreso</w:t>
      </w:r>
      <w:r w:rsidRPr="00834724">
        <w:rPr>
          <w:rFonts w:ascii="Palatino Linotype" w:hAnsi="Palatino Linotype"/>
        </w:rPr>
        <w:t xml:space="preserve"> de los servidores públicos únicamente del periodo comprendido del </w:t>
      </w:r>
      <w:r w:rsidR="006B3069">
        <w:rPr>
          <w:rFonts w:ascii="Palatino Linotype" w:hAnsi="Palatino Linotype"/>
          <w:i/>
        </w:rPr>
        <w:t xml:space="preserve">mes de septiembre </w:t>
      </w:r>
      <w:r w:rsidRPr="00834724">
        <w:rPr>
          <w:rFonts w:ascii="Palatino Linotype" w:hAnsi="Palatino Linotype"/>
          <w:i/>
        </w:rPr>
        <w:t>de dos mil diecinueve</w:t>
      </w:r>
      <w:r w:rsidRPr="00834724">
        <w:rPr>
          <w:rFonts w:ascii="Palatino Linotype" w:hAnsi="Palatino Linotype"/>
        </w:rPr>
        <w:t>, en virtud de que ese lapso es el establecido por el artículo 220 K, de la Ley del Trabajo de los Servidores Públicos del Estado y Municipios, y corresponde a la fecha de ingreso de la solicitud del particular. Lo anterior en versión pública de ser procedente.</w:t>
      </w:r>
    </w:p>
    <w:p w14:paraId="763CF967" w14:textId="26F6A07A" w:rsidR="006B3069" w:rsidRPr="006B3069" w:rsidRDefault="006B3069" w:rsidP="006B3069">
      <w:pPr>
        <w:pStyle w:val="Prrafodelista"/>
        <w:numPr>
          <w:ilvl w:val="0"/>
          <w:numId w:val="27"/>
        </w:numPr>
        <w:spacing w:before="240" w:line="360" w:lineRule="auto"/>
        <w:jc w:val="both"/>
        <w:rPr>
          <w:rFonts w:ascii="Palatino Linotype" w:hAnsi="Palatino Linotype" w:cs="Arial"/>
          <w:b/>
          <w:bCs/>
          <w:i/>
          <w:iCs/>
          <w:sz w:val="28"/>
          <w:szCs w:val="28"/>
        </w:rPr>
      </w:pPr>
      <w:r w:rsidRPr="006B3069">
        <w:rPr>
          <w:rFonts w:ascii="Palatino Linotype" w:hAnsi="Palatino Linotype" w:cs="Arial"/>
          <w:b/>
          <w:bCs/>
          <w:i/>
          <w:iCs/>
          <w:sz w:val="28"/>
          <w:szCs w:val="28"/>
        </w:rPr>
        <w:t>De la versión Pública</w:t>
      </w:r>
    </w:p>
    <w:p w14:paraId="76D32C5E" w14:textId="1E672682" w:rsidR="006B3069" w:rsidRDefault="006B3069" w:rsidP="006B3069">
      <w:pPr>
        <w:spacing w:before="240" w:line="360" w:lineRule="auto"/>
        <w:jc w:val="both"/>
        <w:rPr>
          <w:rFonts w:ascii="Palatino Linotype" w:hAnsi="Palatino Linotype"/>
          <w:sz w:val="24"/>
          <w:szCs w:val="24"/>
          <w:lang w:eastAsia="es-MX"/>
        </w:rPr>
      </w:pPr>
      <w:r w:rsidRPr="000A3ECA">
        <w:rPr>
          <w:rFonts w:ascii="Palatino Linotype" w:hAnsi="Palatino Linotype" w:cs="Arial"/>
          <w:sz w:val="24"/>
          <w:szCs w:val="24"/>
        </w:rPr>
        <w:t xml:space="preserve">Lo anterior, es así en virtud de que no se debe perder vista que </w:t>
      </w:r>
      <w:r w:rsidRPr="000A3ECA">
        <w:rPr>
          <w:rFonts w:ascii="Palatino Linotype" w:hAnsi="Palatino Linotype"/>
          <w:sz w:val="24"/>
          <w:szCs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7E3472D2"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sidRPr="000A3ECA">
        <w:rPr>
          <w:rFonts w:ascii="Palatino Linotype" w:hAnsi="Palatino Linotype"/>
          <w:b/>
          <w:bCs/>
          <w:i/>
          <w:iCs/>
          <w:szCs w:val="24"/>
          <w:lang w:eastAsia="es-MX"/>
        </w:rPr>
        <w:t>“Artículo 3. Para los efectos de la presente Ley se entenderá por:</w:t>
      </w:r>
    </w:p>
    <w:p w14:paraId="3D25E5B7"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Pr>
          <w:rFonts w:ascii="Palatino Linotype" w:hAnsi="Palatino Linotype"/>
          <w:bCs/>
          <w:i/>
          <w:iCs/>
          <w:szCs w:val="24"/>
          <w:lang w:eastAsia="es-MX"/>
        </w:rPr>
        <w:t>(</w:t>
      </w:r>
      <w:r w:rsidRPr="000A3ECA">
        <w:rPr>
          <w:rFonts w:ascii="Palatino Linotype" w:hAnsi="Palatino Linotype"/>
          <w:bCs/>
          <w:i/>
          <w:iCs/>
          <w:szCs w:val="24"/>
          <w:lang w:eastAsia="es-MX"/>
        </w:rPr>
        <w:t>…</w:t>
      </w:r>
      <w:r>
        <w:rPr>
          <w:rFonts w:ascii="Palatino Linotype" w:hAnsi="Palatino Linotype"/>
          <w:bCs/>
          <w:i/>
          <w:iCs/>
          <w:szCs w:val="24"/>
          <w:lang w:eastAsia="es-MX"/>
        </w:rPr>
        <w:t>)</w:t>
      </w:r>
    </w:p>
    <w:p w14:paraId="71EA6808"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sidRPr="000A3ECA">
        <w:rPr>
          <w:rFonts w:ascii="Palatino Linotype" w:hAnsi="Palatino Linotype"/>
          <w:b/>
          <w:bCs/>
          <w:i/>
          <w:iCs/>
          <w:szCs w:val="24"/>
          <w:lang w:eastAsia="es-MX"/>
        </w:rPr>
        <w:lastRenderedPageBreak/>
        <w:t>IX. Datos personales:</w:t>
      </w:r>
      <w:r w:rsidRPr="000A3ECA">
        <w:rPr>
          <w:rFonts w:ascii="Palatino Linotype" w:hAnsi="Palatino Linotype"/>
          <w:i/>
          <w:iCs/>
          <w:szCs w:val="24"/>
          <w:lang w:eastAsia="es-MX"/>
        </w:rPr>
        <w:t xml:space="preserve"> La información concerniente a una persona, identificada o identificable según lo dispuesto por la Ley de Protección de Datos Personales del Estado de México;</w:t>
      </w:r>
    </w:p>
    <w:p w14:paraId="48A5F0D8" w14:textId="77777777" w:rsidR="006B3069" w:rsidRPr="000A3ECA" w:rsidRDefault="006B3069" w:rsidP="006B3069">
      <w:pPr>
        <w:shd w:val="clear" w:color="auto" w:fill="FFFFFF"/>
        <w:spacing w:before="240" w:line="360" w:lineRule="auto"/>
        <w:ind w:left="851" w:right="851"/>
        <w:jc w:val="both"/>
        <w:rPr>
          <w:rFonts w:ascii="Palatino Linotype" w:hAnsi="Palatino Linotype"/>
          <w:bCs/>
          <w:i/>
          <w:iCs/>
          <w:szCs w:val="24"/>
          <w:lang w:eastAsia="es-MX"/>
        </w:rPr>
      </w:pPr>
      <w:r>
        <w:rPr>
          <w:rFonts w:ascii="Palatino Linotype" w:hAnsi="Palatino Linotype"/>
          <w:bCs/>
          <w:i/>
          <w:iCs/>
          <w:szCs w:val="24"/>
          <w:lang w:eastAsia="es-MX"/>
        </w:rPr>
        <w:t>(</w:t>
      </w:r>
      <w:r w:rsidRPr="000A3ECA">
        <w:rPr>
          <w:rFonts w:ascii="Palatino Linotype" w:hAnsi="Palatino Linotype"/>
          <w:bCs/>
          <w:i/>
          <w:iCs/>
          <w:szCs w:val="24"/>
          <w:lang w:eastAsia="es-MX"/>
        </w:rPr>
        <w:t>…</w:t>
      </w:r>
      <w:r>
        <w:rPr>
          <w:rFonts w:ascii="Palatino Linotype" w:hAnsi="Palatino Linotype"/>
          <w:bCs/>
          <w:i/>
          <w:iCs/>
          <w:szCs w:val="24"/>
          <w:lang w:eastAsia="es-MX"/>
        </w:rPr>
        <w:t>)</w:t>
      </w:r>
    </w:p>
    <w:p w14:paraId="211564B7" w14:textId="77777777" w:rsidR="006B3069" w:rsidRPr="007336AF" w:rsidRDefault="006B3069" w:rsidP="006B3069">
      <w:pPr>
        <w:shd w:val="clear" w:color="auto" w:fill="FFFFFF"/>
        <w:spacing w:before="240" w:line="360" w:lineRule="auto"/>
        <w:ind w:left="851" w:right="851"/>
        <w:jc w:val="both"/>
        <w:rPr>
          <w:rFonts w:ascii="Palatino Linotype" w:hAnsi="Palatino Linotype"/>
          <w:i/>
          <w:iCs/>
          <w:szCs w:val="24"/>
          <w:lang w:eastAsia="es-MX"/>
        </w:rPr>
      </w:pPr>
      <w:r w:rsidRPr="000A3ECA">
        <w:rPr>
          <w:rFonts w:ascii="Palatino Linotype" w:hAnsi="Palatino Linotype"/>
          <w:b/>
          <w:bCs/>
          <w:i/>
          <w:iCs/>
          <w:szCs w:val="24"/>
          <w:lang w:eastAsia="es-MX"/>
        </w:rPr>
        <w:t>XX. Información clasificada:</w:t>
      </w:r>
      <w:r w:rsidRPr="000A3ECA">
        <w:rPr>
          <w:rFonts w:ascii="Palatino Linotype" w:hAnsi="Palatino Linotype"/>
          <w:i/>
          <w:iCs/>
          <w:szCs w:val="24"/>
          <w:lang w:eastAsia="es-MX"/>
        </w:rPr>
        <w:t xml:space="preserve"> Aquella considerada por la presente Ley como reservada o confidencial;</w:t>
      </w:r>
    </w:p>
    <w:p w14:paraId="4CC57694"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sidRPr="000A3ECA">
        <w:rPr>
          <w:rFonts w:ascii="Palatino Linotype" w:hAnsi="Palatino Linotype"/>
          <w:b/>
          <w:bCs/>
          <w:i/>
          <w:iCs/>
          <w:szCs w:val="24"/>
          <w:lang w:eastAsia="es-MX"/>
        </w:rPr>
        <w:t>XXI. Información confidencial:</w:t>
      </w:r>
      <w:r w:rsidRPr="000A3ECA">
        <w:rPr>
          <w:rFonts w:ascii="Palatino Linotype" w:hAnsi="Palatino Linotype"/>
          <w:i/>
          <w:iCs/>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62EB26" w14:textId="77777777" w:rsidR="006B3069" w:rsidRPr="000A3ECA" w:rsidRDefault="006B3069" w:rsidP="006B3069">
      <w:pPr>
        <w:shd w:val="clear" w:color="auto" w:fill="FFFFFF"/>
        <w:spacing w:before="240" w:line="360" w:lineRule="auto"/>
        <w:ind w:left="851" w:right="851"/>
        <w:jc w:val="both"/>
        <w:rPr>
          <w:rFonts w:ascii="Palatino Linotype" w:hAnsi="Palatino Linotype"/>
          <w:bCs/>
          <w:i/>
          <w:iCs/>
          <w:szCs w:val="24"/>
          <w:lang w:eastAsia="es-MX"/>
        </w:rPr>
      </w:pPr>
      <w:r>
        <w:rPr>
          <w:rFonts w:ascii="Palatino Linotype" w:hAnsi="Palatino Linotype"/>
          <w:bCs/>
          <w:i/>
          <w:iCs/>
          <w:szCs w:val="24"/>
          <w:lang w:eastAsia="es-MX"/>
        </w:rPr>
        <w:t>(</w:t>
      </w:r>
      <w:r w:rsidRPr="000A3ECA">
        <w:rPr>
          <w:rFonts w:ascii="Palatino Linotype" w:hAnsi="Palatino Linotype"/>
          <w:bCs/>
          <w:i/>
          <w:iCs/>
          <w:szCs w:val="24"/>
          <w:lang w:eastAsia="es-MX"/>
        </w:rPr>
        <w:t>…</w:t>
      </w:r>
      <w:r>
        <w:rPr>
          <w:rFonts w:ascii="Palatino Linotype" w:hAnsi="Palatino Linotype"/>
          <w:bCs/>
          <w:i/>
          <w:iCs/>
          <w:szCs w:val="24"/>
          <w:lang w:eastAsia="es-MX"/>
        </w:rPr>
        <w:t>)</w:t>
      </w:r>
    </w:p>
    <w:p w14:paraId="1AFDDE7C"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sidRPr="000A3ECA">
        <w:rPr>
          <w:rFonts w:ascii="Palatino Linotype" w:hAnsi="Palatino Linotype"/>
          <w:b/>
          <w:bCs/>
          <w:i/>
          <w:iCs/>
          <w:szCs w:val="24"/>
          <w:lang w:eastAsia="es-MX"/>
        </w:rPr>
        <w:t>XXXII. Protección de Datos Personales:</w:t>
      </w:r>
      <w:r w:rsidRPr="000A3ECA">
        <w:rPr>
          <w:rFonts w:ascii="Palatino Linotype" w:hAnsi="Palatino Linotype"/>
          <w:i/>
          <w:iCs/>
          <w:szCs w:val="24"/>
          <w:lang w:eastAsia="es-MX"/>
        </w:rPr>
        <w:t xml:space="preserve"> Derecho humano que tutela la privacidad de datos personales en poder de los sujetos obligados y sujetos particulares;</w:t>
      </w:r>
    </w:p>
    <w:p w14:paraId="184CFEA3"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Pr>
          <w:rFonts w:ascii="Palatino Linotype" w:hAnsi="Palatino Linotype"/>
          <w:i/>
          <w:iCs/>
          <w:szCs w:val="24"/>
          <w:lang w:eastAsia="es-MX"/>
        </w:rPr>
        <w:t>(</w:t>
      </w:r>
      <w:r w:rsidRPr="000A3ECA">
        <w:rPr>
          <w:rFonts w:ascii="Palatino Linotype" w:hAnsi="Palatino Linotype"/>
          <w:i/>
          <w:iCs/>
          <w:szCs w:val="24"/>
          <w:lang w:eastAsia="es-MX"/>
        </w:rPr>
        <w:t>…</w:t>
      </w:r>
      <w:r>
        <w:rPr>
          <w:rFonts w:ascii="Palatino Linotype" w:hAnsi="Palatino Linotype"/>
          <w:i/>
          <w:iCs/>
          <w:szCs w:val="24"/>
          <w:lang w:eastAsia="es-MX"/>
        </w:rPr>
        <w:t>)</w:t>
      </w:r>
    </w:p>
    <w:p w14:paraId="6771B093"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sidRPr="000A3ECA">
        <w:rPr>
          <w:rFonts w:ascii="Palatino Linotype" w:hAnsi="Palatino Linotype"/>
          <w:b/>
          <w:bCs/>
          <w:i/>
          <w:iCs/>
          <w:szCs w:val="24"/>
          <w:lang w:eastAsia="es-MX"/>
        </w:rPr>
        <w:t>XLV. Versión pública</w:t>
      </w:r>
      <w:r w:rsidRPr="000A3ECA">
        <w:rPr>
          <w:rFonts w:ascii="Palatino Linotype" w:hAnsi="Palatino Linotype"/>
          <w:i/>
          <w:iCs/>
          <w:szCs w:val="24"/>
          <w:lang w:eastAsia="es-MX"/>
        </w:rPr>
        <w:t>: Documento en el que se elimine, suprime o borra la información clasificada como reservada o confidencial para permitir su acceso.</w:t>
      </w:r>
    </w:p>
    <w:p w14:paraId="1FEFD46F"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sidRPr="000A3ECA">
        <w:rPr>
          <w:rFonts w:ascii="Palatino Linotype" w:hAnsi="Palatino Linotype"/>
          <w:b/>
          <w:bCs/>
          <w:i/>
          <w:iCs/>
          <w:szCs w:val="24"/>
          <w:lang w:eastAsia="es-MX"/>
        </w:rPr>
        <w:t>Artículo 6.</w:t>
      </w:r>
      <w:r w:rsidRPr="000A3ECA">
        <w:rPr>
          <w:rFonts w:ascii="Palatino Linotype" w:hAnsi="Palatino Linotype"/>
          <w:i/>
          <w:iCs/>
          <w:szCs w:val="24"/>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0A3ECA">
        <w:rPr>
          <w:rFonts w:ascii="Palatino Linotype" w:hAnsi="Palatino Linotype"/>
          <w:i/>
          <w:iCs/>
          <w:szCs w:val="24"/>
          <w:lang w:eastAsia="es-MX"/>
        </w:rPr>
        <w:lastRenderedPageBreak/>
        <w:t>seguridad en el tratamiento y demás disposiciones en materia de datos personales, se deberá estar a lo dispuesto en las leyes de la materia.</w:t>
      </w:r>
    </w:p>
    <w:p w14:paraId="1F2E948B"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sidRPr="000A3ECA">
        <w:rPr>
          <w:rFonts w:ascii="Palatino Linotype" w:hAnsi="Palatino Linotype"/>
          <w:b/>
          <w:bCs/>
          <w:i/>
          <w:iCs/>
          <w:szCs w:val="24"/>
          <w:lang w:eastAsia="es-MX"/>
        </w:rPr>
        <w:t>Artículo 49.</w:t>
      </w:r>
      <w:r w:rsidRPr="000A3ECA">
        <w:rPr>
          <w:rFonts w:ascii="Palatino Linotype" w:hAnsi="Palatino Linotype"/>
          <w:i/>
          <w:iCs/>
          <w:szCs w:val="24"/>
          <w:lang w:eastAsia="es-MX"/>
        </w:rPr>
        <w:t xml:space="preserve"> Los Comités de Transparencia tendrán las siguientes atribuciones:</w:t>
      </w:r>
    </w:p>
    <w:p w14:paraId="590552DD"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Pr>
          <w:rFonts w:ascii="Palatino Linotype" w:hAnsi="Palatino Linotype"/>
          <w:i/>
          <w:iCs/>
          <w:szCs w:val="24"/>
          <w:lang w:eastAsia="es-MX"/>
        </w:rPr>
        <w:t>(</w:t>
      </w:r>
      <w:r w:rsidRPr="000A3ECA">
        <w:rPr>
          <w:rFonts w:ascii="Palatino Linotype" w:hAnsi="Palatino Linotype"/>
          <w:i/>
          <w:iCs/>
          <w:szCs w:val="24"/>
          <w:lang w:eastAsia="es-MX"/>
        </w:rPr>
        <w:t>…</w:t>
      </w:r>
      <w:r>
        <w:rPr>
          <w:rFonts w:ascii="Palatino Linotype" w:hAnsi="Palatino Linotype"/>
          <w:i/>
          <w:iCs/>
          <w:szCs w:val="24"/>
          <w:lang w:eastAsia="es-MX"/>
        </w:rPr>
        <w:t>)</w:t>
      </w:r>
    </w:p>
    <w:p w14:paraId="3C48D53B"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sidRPr="000A3ECA">
        <w:rPr>
          <w:rFonts w:ascii="Palatino Linotype" w:hAnsi="Palatino Linotype"/>
          <w:b/>
          <w:bCs/>
          <w:i/>
          <w:iCs/>
          <w:szCs w:val="24"/>
          <w:lang w:eastAsia="es-MX"/>
        </w:rPr>
        <w:t>VIII</w:t>
      </w:r>
      <w:r w:rsidRPr="000A3ECA">
        <w:rPr>
          <w:rFonts w:ascii="Palatino Linotype" w:hAnsi="Palatino Linotype"/>
          <w:i/>
          <w:iCs/>
          <w:szCs w:val="24"/>
          <w:lang w:eastAsia="es-MX"/>
        </w:rPr>
        <w:t>. Aprobar, modificar o revocar la clasificación de la información;</w:t>
      </w:r>
    </w:p>
    <w:p w14:paraId="51291651" w14:textId="77777777" w:rsidR="006B3069" w:rsidRPr="000A3ECA" w:rsidRDefault="006B3069" w:rsidP="006B3069">
      <w:pPr>
        <w:shd w:val="clear" w:color="auto" w:fill="FFFFFF"/>
        <w:spacing w:before="240" w:line="360" w:lineRule="auto"/>
        <w:ind w:left="851" w:right="851"/>
        <w:jc w:val="both"/>
        <w:rPr>
          <w:rFonts w:ascii="Palatino Linotype" w:hAnsi="Palatino Linotype"/>
          <w:i/>
          <w:iCs/>
          <w:szCs w:val="24"/>
          <w:lang w:eastAsia="es-MX"/>
        </w:rPr>
      </w:pPr>
      <w:r>
        <w:rPr>
          <w:rFonts w:ascii="Palatino Linotype" w:hAnsi="Palatino Linotype"/>
          <w:i/>
          <w:iCs/>
          <w:szCs w:val="24"/>
          <w:lang w:eastAsia="es-MX"/>
        </w:rPr>
        <w:t>(</w:t>
      </w:r>
      <w:r w:rsidRPr="000A3ECA">
        <w:rPr>
          <w:rFonts w:ascii="Palatino Linotype" w:hAnsi="Palatino Linotype"/>
          <w:i/>
          <w:iCs/>
          <w:szCs w:val="24"/>
          <w:lang w:eastAsia="es-MX"/>
        </w:rPr>
        <w:t>…</w:t>
      </w:r>
      <w:r>
        <w:rPr>
          <w:rFonts w:ascii="Palatino Linotype" w:hAnsi="Palatino Linotype"/>
          <w:i/>
          <w:iCs/>
          <w:szCs w:val="24"/>
          <w:lang w:eastAsia="es-MX"/>
        </w:rPr>
        <w:t>)</w:t>
      </w:r>
    </w:p>
    <w:p w14:paraId="304A121F" w14:textId="77777777" w:rsidR="006B3069" w:rsidRPr="000A3ECA" w:rsidRDefault="006B3069" w:rsidP="006B3069">
      <w:pPr>
        <w:shd w:val="clear" w:color="auto" w:fill="FFFFFF"/>
        <w:spacing w:before="240" w:line="360" w:lineRule="auto"/>
        <w:ind w:left="851" w:right="851"/>
        <w:jc w:val="both"/>
        <w:rPr>
          <w:rFonts w:ascii="Palatino Linotype" w:hAnsi="Palatino Linotype" w:cs="Arial"/>
          <w:b/>
          <w:bCs/>
          <w:i/>
          <w:noProof/>
          <w:szCs w:val="24"/>
        </w:rPr>
      </w:pPr>
    </w:p>
    <w:p w14:paraId="24A5E9EF" w14:textId="77777777" w:rsidR="006B3069" w:rsidRPr="000A3ECA" w:rsidRDefault="006B3069" w:rsidP="006B3069">
      <w:pPr>
        <w:shd w:val="clear" w:color="auto" w:fill="FFFFFF"/>
        <w:spacing w:before="240" w:line="360" w:lineRule="auto"/>
        <w:ind w:left="851" w:right="851"/>
        <w:jc w:val="both"/>
        <w:rPr>
          <w:rFonts w:ascii="Palatino Linotype" w:hAnsi="Palatino Linotype" w:cs="Arial"/>
          <w:bCs/>
          <w:i/>
          <w:noProof/>
          <w:szCs w:val="24"/>
        </w:rPr>
      </w:pPr>
      <w:r w:rsidRPr="000A3ECA">
        <w:rPr>
          <w:rFonts w:ascii="Palatino Linotype" w:hAnsi="Palatino Linotype" w:cs="Arial"/>
          <w:b/>
          <w:bCs/>
          <w:i/>
          <w:noProof/>
          <w:szCs w:val="24"/>
        </w:rPr>
        <w:t xml:space="preserve">Artículo 91. </w:t>
      </w:r>
      <w:r w:rsidRPr="000A3ECA">
        <w:rPr>
          <w:rFonts w:ascii="Palatino Linotype" w:hAnsi="Palatino Linotype" w:cs="Arial"/>
          <w:bCs/>
          <w:i/>
          <w:noProof/>
          <w:szCs w:val="24"/>
        </w:rPr>
        <w:t>El acceso a la información pública será restringido excepcionalmente, cuando ésta sea clasificada como reservada o confidencial.</w:t>
      </w:r>
    </w:p>
    <w:p w14:paraId="0C0C31EC" w14:textId="77777777" w:rsidR="006B3069" w:rsidRPr="000A3ECA" w:rsidRDefault="006B3069" w:rsidP="006B3069">
      <w:pPr>
        <w:shd w:val="clear" w:color="auto" w:fill="FFFFFF"/>
        <w:spacing w:before="240" w:line="360" w:lineRule="auto"/>
        <w:ind w:left="851" w:right="851"/>
        <w:jc w:val="both"/>
        <w:rPr>
          <w:rFonts w:ascii="Palatino Linotype" w:hAnsi="Palatino Linotype" w:cs="Arial"/>
          <w:bCs/>
          <w:i/>
          <w:noProof/>
          <w:szCs w:val="24"/>
        </w:rPr>
      </w:pPr>
      <w:r>
        <w:rPr>
          <w:rFonts w:ascii="Palatino Linotype" w:hAnsi="Palatino Linotype" w:cs="Arial"/>
          <w:bCs/>
          <w:i/>
          <w:noProof/>
          <w:szCs w:val="24"/>
        </w:rPr>
        <w:t>(</w:t>
      </w:r>
      <w:r w:rsidRPr="000A3ECA">
        <w:rPr>
          <w:rFonts w:ascii="Palatino Linotype" w:hAnsi="Palatino Linotype" w:cs="Arial"/>
          <w:bCs/>
          <w:i/>
          <w:noProof/>
          <w:szCs w:val="24"/>
        </w:rPr>
        <w:t>…</w:t>
      </w:r>
      <w:r>
        <w:rPr>
          <w:rFonts w:ascii="Palatino Linotype" w:hAnsi="Palatino Linotype" w:cs="Arial"/>
          <w:bCs/>
          <w:i/>
          <w:noProof/>
          <w:szCs w:val="24"/>
        </w:rPr>
        <w:t>)</w:t>
      </w:r>
    </w:p>
    <w:p w14:paraId="4AE3D1C6"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sidRPr="000A3ECA">
        <w:rPr>
          <w:rFonts w:ascii="Palatino Linotype" w:hAnsi="Palatino Linotype"/>
          <w:b/>
          <w:bCs/>
          <w:i/>
          <w:iCs/>
          <w:szCs w:val="24"/>
          <w:lang w:eastAsia="es-MX"/>
        </w:rPr>
        <w:t>Artículo 137</w:t>
      </w:r>
      <w:r w:rsidRPr="000A3ECA">
        <w:rPr>
          <w:rFonts w:ascii="Palatino Linotype" w:hAnsi="Palatino Linotype"/>
          <w:i/>
          <w:iCs/>
          <w:szCs w:val="24"/>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46D396C" w14:textId="77777777" w:rsidR="006B3069" w:rsidRPr="000A3ECA" w:rsidRDefault="006B3069" w:rsidP="006B3069">
      <w:pPr>
        <w:shd w:val="clear" w:color="auto" w:fill="FFFFFF"/>
        <w:spacing w:before="240" w:line="360" w:lineRule="auto"/>
        <w:ind w:left="851" w:right="851"/>
        <w:jc w:val="both"/>
        <w:rPr>
          <w:rFonts w:ascii="Palatino Linotype" w:hAnsi="Palatino Linotype"/>
          <w:szCs w:val="24"/>
          <w:lang w:eastAsia="es-MX"/>
        </w:rPr>
      </w:pPr>
      <w:r w:rsidRPr="000A3ECA">
        <w:rPr>
          <w:rFonts w:ascii="Palatino Linotype" w:hAnsi="Palatino Linotype"/>
          <w:b/>
          <w:bCs/>
          <w:i/>
          <w:iCs/>
          <w:szCs w:val="24"/>
          <w:lang w:eastAsia="es-MX"/>
        </w:rPr>
        <w:t>Artículo 143</w:t>
      </w:r>
      <w:r w:rsidRPr="000A3ECA">
        <w:rPr>
          <w:rFonts w:ascii="Palatino Linotype" w:hAnsi="Palatino Linotype"/>
          <w:i/>
          <w:iCs/>
          <w:szCs w:val="24"/>
          <w:lang w:eastAsia="es-MX"/>
        </w:rPr>
        <w:t>. Para los efectos de esta Ley se considera información confidencial, la clasificada como tal, de manera permanente, por su naturaleza, cuando:</w:t>
      </w:r>
    </w:p>
    <w:p w14:paraId="1838CB89" w14:textId="77777777" w:rsidR="006B3069" w:rsidRPr="000A3ECA" w:rsidRDefault="006B3069" w:rsidP="006B3069">
      <w:pPr>
        <w:shd w:val="clear" w:color="auto" w:fill="FFFFFF"/>
        <w:spacing w:before="240" w:line="360" w:lineRule="auto"/>
        <w:ind w:left="851" w:right="851"/>
        <w:jc w:val="both"/>
        <w:rPr>
          <w:rFonts w:ascii="Palatino Linotype" w:eastAsia="Calibri" w:hAnsi="Palatino Linotype" w:cs="Arial"/>
          <w:bCs/>
          <w:i/>
          <w:noProof/>
          <w:szCs w:val="24"/>
        </w:rPr>
      </w:pPr>
      <w:r w:rsidRPr="000A3ECA">
        <w:rPr>
          <w:rFonts w:ascii="Palatino Linotype" w:hAnsi="Palatino Linotype"/>
          <w:b/>
          <w:i/>
          <w:iCs/>
          <w:szCs w:val="24"/>
          <w:lang w:eastAsia="es-MX"/>
        </w:rPr>
        <w:t>I.</w:t>
      </w:r>
      <w:r w:rsidRPr="000A3ECA">
        <w:rPr>
          <w:rFonts w:ascii="Palatino Linotype" w:hAnsi="Palatino Linotype"/>
          <w:i/>
          <w:iCs/>
          <w:szCs w:val="24"/>
          <w:lang w:eastAsia="es-MX"/>
        </w:rPr>
        <w:t xml:space="preserve"> Se refiera a la información privada y los datos personales concernientes a una persona física o jurídico colectiva identificada o identificable..</w:t>
      </w:r>
      <w:r w:rsidRPr="000A3ECA">
        <w:rPr>
          <w:rFonts w:ascii="Palatino Linotype" w:eastAsia="Calibri" w:hAnsi="Palatino Linotype" w:cs="Arial"/>
          <w:bCs/>
          <w:i/>
          <w:noProof/>
          <w:szCs w:val="24"/>
        </w:rPr>
        <w:t>.”(Sic)</w:t>
      </w:r>
    </w:p>
    <w:p w14:paraId="4B3901E1" w14:textId="77777777" w:rsidR="006B3069" w:rsidRDefault="006B3069" w:rsidP="006B3069">
      <w:pPr>
        <w:autoSpaceDE w:val="0"/>
        <w:autoSpaceDN w:val="0"/>
        <w:adjustRightInd w:val="0"/>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lastRenderedPageBreak/>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w:t>
      </w:r>
      <w:r>
        <w:rPr>
          <w:rFonts w:ascii="Palatino Linotype" w:hAnsi="Palatino Linotype" w:cs="Arial"/>
          <w:sz w:val="24"/>
          <w:szCs w:val="24"/>
        </w:rPr>
        <w:t>,</w:t>
      </w:r>
      <w:r w:rsidRPr="000A3ECA">
        <w:rPr>
          <w:rFonts w:ascii="Palatino Linotype" w:hAnsi="Palatino Linotype" w:cs="Arial"/>
          <w:sz w:val="24"/>
          <w:szCs w:val="24"/>
        </w:rPr>
        <w:t xml:space="preserve"> del artículo 4</w:t>
      </w:r>
      <w:r>
        <w:rPr>
          <w:rFonts w:ascii="Palatino Linotype" w:hAnsi="Palatino Linotype" w:cs="Arial"/>
          <w:sz w:val="24"/>
          <w:szCs w:val="24"/>
        </w:rPr>
        <w:t>,</w:t>
      </w:r>
      <w:r w:rsidRPr="000A3ECA">
        <w:rPr>
          <w:rFonts w:ascii="Palatino Linotype" w:hAnsi="Palatino Linotype" w:cs="Arial"/>
          <w:sz w:val="24"/>
          <w:szCs w:val="24"/>
        </w:rPr>
        <w:t xml:space="preserve"> de la Ley de Protección de Datos Personales en posesión de Sujeto Obligados del Estado de México.</w:t>
      </w:r>
    </w:p>
    <w:p w14:paraId="6509F099" w14:textId="77777777" w:rsidR="006B3069" w:rsidRPr="000A3ECA" w:rsidRDefault="006B3069" w:rsidP="006B3069">
      <w:pPr>
        <w:autoSpaceDE w:val="0"/>
        <w:autoSpaceDN w:val="0"/>
        <w:adjustRightInd w:val="0"/>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59D4E21" w14:textId="77777777" w:rsidR="006B3069" w:rsidRDefault="006B3069" w:rsidP="006B3069">
      <w:pPr>
        <w:autoSpaceDE w:val="0"/>
        <w:autoSpaceDN w:val="0"/>
        <w:adjustRightInd w:val="0"/>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BE4587D" w14:textId="77777777" w:rsidR="006B3069" w:rsidRPr="000A3ECA" w:rsidRDefault="006B3069" w:rsidP="006B3069">
      <w:pPr>
        <w:spacing w:before="240" w:line="360" w:lineRule="auto"/>
        <w:ind w:left="851" w:right="851"/>
        <w:jc w:val="both"/>
        <w:rPr>
          <w:rFonts w:ascii="Palatino Linotype" w:hAnsi="Palatino Linotype"/>
          <w:i/>
          <w:szCs w:val="24"/>
        </w:rPr>
      </w:pPr>
      <w:r w:rsidRPr="000A3ECA">
        <w:rPr>
          <w:rFonts w:ascii="Palatino Linotype" w:hAnsi="Palatino Linotype"/>
          <w:b/>
          <w:i/>
          <w:szCs w:val="24"/>
        </w:rPr>
        <w:t>“Artículo 49.</w:t>
      </w:r>
      <w:r w:rsidRPr="000A3ECA">
        <w:rPr>
          <w:rFonts w:ascii="Palatino Linotype" w:hAnsi="Palatino Linotype"/>
          <w:i/>
          <w:szCs w:val="24"/>
        </w:rPr>
        <w:t xml:space="preserve"> </w:t>
      </w:r>
      <w:r w:rsidRPr="000A3ECA">
        <w:rPr>
          <w:rFonts w:ascii="Palatino Linotype" w:hAnsi="Palatino Linotype"/>
          <w:b/>
          <w:i/>
          <w:szCs w:val="24"/>
        </w:rPr>
        <w:t>Los Comités de Transparencia</w:t>
      </w:r>
      <w:r w:rsidRPr="000A3ECA">
        <w:rPr>
          <w:rFonts w:ascii="Palatino Linotype" w:hAnsi="Palatino Linotype"/>
          <w:i/>
          <w:szCs w:val="24"/>
        </w:rPr>
        <w:t xml:space="preserve"> tendrán las siguientes atribuciones:</w:t>
      </w:r>
    </w:p>
    <w:p w14:paraId="122392A6" w14:textId="77777777" w:rsidR="006B3069" w:rsidRPr="000A3ECA" w:rsidRDefault="006B3069" w:rsidP="006B3069">
      <w:pPr>
        <w:spacing w:before="240" w:line="360" w:lineRule="auto"/>
        <w:ind w:left="851" w:right="851"/>
        <w:jc w:val="both"/>
        <w:rPr>
          <w:rFonts w:ascii="Palatino Linotype" w:hAnsi="Palatino Linotype"/>
          <w:b/>
          <w:i/>
          <w:szCs w:val="24"/>
        </w:rPr>
      </w:pPr>
      <w:r>
        <w:rPr>
          <w:rFonts w:ascii="Palatino Linotype" w:hAnsi="Palatino Linotype"/>
          <w:b/>
          <w:i/>
          <w:szCs w:val="24"/>
        </w:rPr>
        <w:lastRenderedPageBreak/>
        <w:t>(</w:t>
      </w:r>
      <w:r w:rsidRPr="000A3ECA">
        <w:rPr>
          <w:rFonts w:ascii="Palatino Linotype" w:hAnsi="Palatino Linotype"/>
          <w:b/>
          <w:i/>
          <w:szCs w:val="24"/>
        </w:rPr>
        <w:t>…</w:t>
      </w:r>
      <w:r>
        <w:rPr>
          <w:rFonts w:ascii="Palatino Linotype" w:hAnsi="Palatino Linotype"/>
          <w:b/>
          <w:i/>
          <w:szCs w:val="24"/>
        </w:rPr>
        <w:t>)</w:t>
      </w:r>
    </w:p>
    <w:p w14:paraId="79BD989B" w14:textId="77777777" w:rsidR="006B3069" w:rsidRPr="000A3ECA" w:rsidRDefault="006B3069" w:rsidP="006B3069">
      <w:pPr>
        <w:spacing w:before="240" w:line="360" w:lineRule="auto"/>
        <w:ind w:left="851" w:right="851"/>
        <w:jc w:val="both"/>
        <w:rPr>
          <w:rFonts w:ascii="Palatino Linotype" w:hAnsi="Palatino Linotype"/>
          <w:i/>
          <w:szCs w:val="24"/>
        </w:rPr>
      </w:pPr>
      <w:r w:rsidRPr="000A3ECA">
        <w:rPr>
          <w:rFonts w:ascii="Palatino Linotype" w:hAnsi="Palatino Linotype"/>
          <w:b/>
          <w:i/>
          <w:szCs w:val="24"/>
        </w:rPr>
        <w:t>VIII. Aprobar, modificar o revocar la clasificación de la información</w:t>
      </w:r>
      <w:r w:rsidRPr="000A3ECA">
        <w:rPr>
          <w:rFonts w:ascii="Palatino Linotype" w:hAnsi="Palatino Linotype"/>
          <w:i/>
          <w:szCs w:val="24"/>
        </w:rPr>
        <w:t>…”</w:t>
      </w:r>
    </w:p>
    <w:p w14:paraId="79947C40" w14:textId="77777777" w:rsidR="006B3069" w:rsidRPr="000A3ECA" w:rsidRDefault="006B3069" w:rsidP="006B3069">
      <w:pPr>
        <w:spacing w:before="240" w:line="360" w:lineRule="auto"/>
        <w:ind w:left="851" w:right="851"/>
        <w:jc w:val="both"/>
        <w:rPr>
          <w:rFonts w:ascii="Palatino Linotype" w:hAnsi="Palatino Linotype"/>
          <w:i/>
          <w:szCs w:val="24"/>
        </w:rPr>
      </w:pPr>
      <w:r>
        <w:rPr>
          <w:rFonts w:ascii="Palatino Linotype" w:hAnsi="Palatino Linotype"/>
          <w:i/>
          <w:szCs w:val="24"/>
        </w:rPr>
        <w:t>(</w:t>
      </w:r>
      <w:r w:rsidRPr="000A3ECA">
        <w:rPr>
          <w:rFonts w:ascii="Palatino Linotype" w:hAnsi="Palatino Linotype"/>
          <w:i/>
          <w:szCs w:val="24"/>
        </w:rPr>
        <w:t>…</w:t>
      </w:r>
      <w:r>
        <w:rPr>
          <w:rFonts w:ascii="Palatino Linotype" w:hAnsi="Palatino Linotype"/>
          <w:i/>
          <w:szCs w:val="24"/>
        </w:rPr>
        <w:t>)</w:t>
      </w:r>
    </w:p>
    <w:p w14:paraId="506F8C86" w14:textId="77777777" w:rsidR="006B3069" w:rsidRPr="000A3ECA" w:rsidRDefault="006B3069" w:rsidP="006B3069">
      <w:pPr>
        <w:spacing w:before="240" w:line="360" w:lineRule="auto"/>
        <w:ind w:left="851" w:right="851"/>
        <w:jc w:val="both"/>
        <w:rPr>
          <w:rFonts w:ascii="Palatino Linotype" w:hAnsi="Palatino Linotype"/>
          <w:i/>
          <w:szCs w:val="24"/>
        </w:rPr>
      </w:pPr>
      <w:r w:rsidRPr="000A3ECA">
        <w:rPr>
          <w:rFonts w:ascii="Palatino Linotype" w:hAnsi="Palatino Linotype"/>
          <w:i/>
          <w:szCs w:val="24"/>
        </w:rPr>
        <w:t>“</w:t>
      </w:r>
      <w:r w:rsidRPr="000A3ECA">
        <w:rPr>
          <w:rFonts w:ascii="Palatino Linotype" w:hAnsi="Palatino Linotype"/>
          <w:b/>
          <w:i/>
          <w:szCs w:val="24"/>
        </w:rPr>
        <w:t>Artículo 53.</w:t>
      </w:r>
      <w:r w:rsidRPr="000A3ECA">
        <w:rPr>
          <w:rFonts w:ascii="Palatino Linotype" w:hAnsi="Palatino Linotype"/>
          <w:i/>
          <w:szCs w:val="24"/>
        </w:rPr>
        <w:t xml:space="preserve"> Las </w:t>
      </w:r>
      <w:r w:rsidRPr="000A3ECA">
        <w:rPr>
          <w:rFonts w:ascii="Palatino Linotype" w:hAnsi="Palatino Linotype"/>
          <w:b/>
          <w:i/>
          <w:szCs w:val="24"/>
        </w:rPr>
        <w:t>Unidades de Transparencia</w:t>
      </w:r>
      <w:r w:rsidRPr="000A3ECA">
        <w:rPr>
          <w:rFonts w:ascii="Palatino Linotype" w:hAnsi="Palatino Linotype"/>
          <w:i/>
          <w:szCs w:val="24"/>
        </w:rPr>
        <w:t xml:space="preserve"> tendrán las siguientes </w:t>
      </w:r>
      <w:r w:rsidRPr="000A3ECA">
        <w:rPr>
          <w:rFonts w:ascii="Palatino Linotype" w:hAnsi="Palatino Linotype"/>
          <w:b/>
          <w:i/>
          <w:szCs w:val="24"/>
        </w:rPr>
        <w:t>funciones</w:t>
      </w:r>
      <w:r w:rsidRPr="000A3ECA">
        <w:rPr>
          <w:rFonts w:ascii="Palatino Linotype" w:hAnsi="Palatino Linotype"/>
          <w:i/>
          <w:szCs w:val="24"/>
        </w:rPr>
        <w:t>:</w:t>
      </w:r>
    </w:p>
    <w:p w14:paraId="626ED276" w14:textId="77777777" w:rsidR="006B3069" w:rsidRPr="000A3ECA" w:rsidRDefault="006B3069" w:rsidP="006B3069">
      <w:pPr>
        <w:tabs>
          <w:tab w:val="left" w:pos="3280"/>
        </w:tabs>
        <w:spacing w:before="240" w:line="360" w:lineRule="auto"/>
        <w:ind w:left="851" w:right="851"/>
        <w:jc w:val="both"/>
        <w:rPr>
          <w:rFonts w:ascii="Palatino Linotype" w:hAnsi="Palatino Linotype"/>
          <w:i/>
          <w:szCs w:val="24"/>
        </w:rPr>
      </w:pPr>
      <w:r>
        <w:rPr>
          <w:rFonts w:ascii="Palatino Linotype" w:hAnsi="Palatino Linotype"/>
          <w:i/>
          <w:szCs w:val="24"/>
        </w:rPr>
        <w:t>(</w:t>
      </w:r>
      <w:r w:rsidRPr="000A3ECA">
        <w:rPr>
          <w:rFonts w:ascii="Palatino Linotype" w:hAnsi="Palatino Linotype"/>
          <w:i/>
          <w:szCs w:val="24"/>
        </w:rPr>
        <w:t>…</w:t>
      </w:r>
      <w:r>
        <w:rPr>
          <w:rFonts w:ascii="Palatino Linotype" w:hAnsi="Palatino Linotype"/>
          <w:i/>
          <w:szCs w:val="24"/>
        </w:rPr>
        <w:t>)</w:t>
      </w:r>
      <w:r w:rsidRPr="000A3ECA">
        <w:rPr>
          <w:rFonts w:ascii="Palatino Linotype" w:hAnsi="Palatino Linotype"/>
          <w:i/>
          <w:szCs w:val="24"/>
        </w:rPr>
        <w:tab/>
      </w:r>
    </w:p>
    <w:p w14:paraId="508CD447" w14:textId="77777777" w:rsidR="006B3069" w:rsidRPr="000A3ECA" w:rsidRDefault="006B3069" w:rsidP="006B3069">
      <w:pPr>
        <w:spacing w:before="240" w:line="360" w:lineRule="auto"/>
        <w:ind w:left="851" w:right="851"/>
        <w:jc w:val="both"/>
        <w:rPr>
          <w:rFonts w:ascii="Palatino Linotype" w:hAnsi="Palatino Linotype"/>
          <w:b/>
          <w:i/>
          <w:szCs w:val="24"/>
        </w:rPr>
      </w:pPr>
      <w:r w:rsidRPr="000A3ECA">
        <w:rPr>
          <w:rFonts w:ascii="Palatino Linotype" w:hAnsi="Palatino Linotype"/>
          <w:b/>
          <w:i/>
          <w:szCs w:val="24"/>
        </w:rPr>
        <w:t>X. Presentar ante el Comité, el proyecto de clasificación de información;</w:t>
      </w:r>
    </w:p>
    <w:p w14:paraId="45B898B6" w14:textId="77777777" w:rsidR="006B3069" w:rsidRPr="000A3ECA" w:rsidRDefault="006B3069" w:rsidP="006B3069">
      <w:pPr>
        <w:spacing w:before="240" w:line="360" w:lineRule="auto"/>
        <w:ind w:left="851" w:right="851"/>
        <w:jc w:val="both"/>
        <w:rPr>
          <w:rFonts w:ascii="Palatino Linotype" w:hAnsi="Palatino Linotype"/>
          <w:i/>
          <w:szCs w:val="24"/>
        </w:rPr>
      </w:pPr>
      <w:r>
        <w:rPr>
          <w:rFonts w:ascii="Palatino Linotype" w:hAnsi="Palatino Linotype"/>
          <w:i/>
          <w:szCs w:val="24"/>
        </w:rPr>
        <w:t>(</w:t>
      </w:r>
      <w:r w:rsidRPr="000A3ECA">
        <w:rPr>
          <w:rFonts w:ascii="Palatino Linotype" w:hAnsi="Palatino Linotype"/>
          <w:i/>
          <w:szCs w:val="24"/>
        </w:rPr>
        <w:t>…</w:t>
      </w:r>
      <w:r>
        <w:rPr>
          <w:rFonts w:ascii="Palatino Linotype" w:hAnsi="Palatino Linotype"/>
          <w:i/>
          <w:szCs w:val="24"/>
        </w:rPr>
        <w:t>)</w:t>
      </w:r>
      <w:r w:rsidRPr="000A3ECA">
        <w:rPr>
          <w:rFonts w:ascii="Palatino Linotype" w:hAnsi="Palatino Linotype"/>
          <w:i/>
          <w:szCs w:val="24"/>
        </w:rPr>
        <w:t xml:space="preserve">” </w:t>
      </w:r>
    </w:p>
    <w:p w14:paraId="55C74DB1" w14:textId="77777777" w:rsidR="006B3069" w:rsidRPr="000A3ECA" w:rsidRDefault="006B3069" w:rsidP="006B3069">
      <w:pPr>
        <w:spacing w:before="240" w:line="360" w:lineRule="auto"/>
        <w:ind w:left="851" w:right="851"/>
        <w:jc w:val="both"/>
        <w:rPr>
          <w:rFonts w:ascii="Palatino Linotype" w:hAnsi="Palatino Linotype"/>
          <w:b/>
          <w:i/>
          <w:szCs w:val="24"/>
        </w:rPr>
      </w:pPr>
    </w:p>
    <w:p w14:paraId="59FC5564" w14:textId="77777777" w:rsidR="006B3069" w:rsidRPr="000A3ECA" w:rsidRDefault="006B3069" w:rsidP="006B3069">
      <w:pPr>
        <w:spacing w:before="240" w:line="360" w:lineRule="auto"/>
        <w:ind w:left="851" w:right="851"/>
        <w:jc w:val="both"/>
        <w:rPr>
          <w:rFonts w:ascii="Palatino Linotype" w:hAnsi="Palatino Linotype"/>
          <w:i/>
          <w:szCs w:val="24"/>
        </w:rPr>
      </w:pPr>
      <w:r w:rsidRPr="000A3ECA">
        <w:rPr>
          <w:rFonts w:ascii="Palatino Linotype" w:hAnsi="Palatino Linotype"/>
          <w:b/>
          <w:i/>
          <w:szCs w:val="24"/>
        </w:rPr>
        <w:t>“Artículo 59.</w:t>
      </w:r>
      <w:r w:rsidRPr="000A3ECA">
        <w:rPr>
          <w:rFonts w:ascii="Palatino Linotype" w:hAnsi="Palatino Linotype"/>
          <w:i/>
          <w:szCs w:val="24"/>
        </w:rPr>
        <w:t xml:space="preserve"> Los </w:t>
      </w:r>
      <w:r w:rsidRPr="000A3ECA">
        <w:rPr>
          <w:rFonts w:ascii="Palatino Linotype" w:hAnsi="Palatino Linotype"/>
          <w:b/>
          <w:i/>
          <w:szCs w:val="24"/>
        </w:rPr>
        <w:t>servidores públicos habilitados</w:t>
      </w:r>
      <w:r w:rsidRPr="000A3ECA">
        <w:rPr>
          <w:rFonts w:ascii="Palatino Linotype" w:hAnsi="Palatino Linotype"/>
          <w:i/>
          <w:szCs w:val="24"/>
        </w:rPr>
        <w:t xml:space="preserve"> tendrán las </w:t>
      </w:r>
      <w:r w:rsidRPr="000A3ECA">
        <w:rPr>
          <w:rFonts w:ascii="Palatino Linotype" w:hAnsi="Palatino Linotype"/>
          <w:b/>
          <w:i/>
          <w:szCs w:val="24"/>
        </w:rPr>
        <w:t>funciones</w:t>
      </w:r>
      <w:r w:rsidRPr="000A3ECA">
        <w:rPr>
          <w:rFonts w:ascii="Palatino Linotype" w:hAnsi="Palatino Linotype"/>
          <w:i/>
          <w:szCs w:val="24"/>
        </w:rPr>
        <w:t xml:space="preserve"> siguientes:</w:t>
      </w:r>
    </w:p>
    <w:p w14:paraId="4064D237" w14:textId="77777777" w:rsidR="006B3069" w:rsidRPr="000A3ECA" w:rsidRDefault="006B3069" w:rsidP="006B3069">
      <w:pPr>
        <w:spacing w:before="240" w:line="360" w:lineRule="auto"/>
        <w:ind w:left="851" w:right="851"/>
        <w:jc w:val="both"/>
        <w:rPr>
          <w:rFonts w:ascii="Palatino Linotype" w:hAnsi="Palatino Linotype"/>
          <w:b/>
          <w:i/>
          <w:szCs w:val="24"/>
        </w:rPr>
      </w:pPr>
      <w:r>
        <w:rPr>
          <w:rFonts w:ascii="Palatino Linotype" w:hAnsi="Palatino Linotype"/>
          <w:b/>
          <w:i/>
          <w:szCs w:val="24"/>
        </w:rPr>
        <w:t>(</w:t>
      </w:r>
      <w:r w:rsidRPr="000A3ECA">
        <w:rPr>
          <w:rFonts w:ascii="Palatino Linotype" w:hAnsi="Palatino Linotype"/>
          <w:b/>
          <w:i/>
          <w:szCs w:val="24"/>
        </w:rPr>
        <w:t>…</w:t>
      </w:r>
      <w:r>
        <w:rPr>
          <w:rFonts w:ascii="Palatino Linotype" w:hAnsi="Palatino Linotype"/>
          <w:b/>
          <w:i/>
          <w:szCs w:val="24"/>
        </w:rPr>
        <w:t>)</w:t>
      </w:r>
    </w:p>
    <w:p w14:paraId="76E16F9A" w14:textId="77777777" w:rsidR="006B3069" w:rsidRPr="000A3ECA" w:rsidRDefault="006B3069" w:rsidP="006B3069">
      <w:pPr>
        <w:spacing w:before="240" w:line="360" w:lineRule="auto"/>
        <w:ind w:left="851" w:right="851"/>
        <w:jc w:val="both"/>
        <w:rPr>
          <w:rFonts w:ascii="Palatino Linotype" w:hAnsi="Palatino Linotype"/>
          <w:i/>
          <w:szCs w:val="24"/>
        </w:rPr>
      </w:pPr>
      <w:r w:rsidRPr="000A3ECA">
        <w:rPr>
          <w:rFonts w:ascii="Palatino Linotype" w:hAnsi="Palatino Linotype"/>
          <w:b/>
          <w:i/>
          <w:szCs w:val="24"/>
        </w:rPr>
        <w:t>V. Integrar y presentar al responsable de la Unidad de Transparencia la propuesta de clasificación de información</w:t>
      </w:r>
      <w:r w:rsidRPr="000A3ECA">
        <w:rPr>
          <w:rFonts w:ascii="Palatino Linotype" w:hAnsi="Palatino Linotype"/>
          <w:i/>
          <w:szCs w:val="24"/>
        </w:rPr>
        <w:t>, la cual tendrá los fundamentos y argumentos en que se basa dicha propuesta;</w:t>
      </w:r>
    </w:p>
    <w:p w14:paraId="41836F2A" w14:textId="77777777" w:rsidR="006B3069" w:rsidRPr="000A3ECA" w:rsidRDefault="006B3069" w:rsidP="006B3069">
      <w:pPr>
        <w:spacing w:before="240" w:line="360" w:lineRule="auto"/>
        <w:ind w:left="851" w:right="851"/>
        <w:jc w:val="both"/>
        <w:rPr>
          <w:rFonts w:ascii="Palatino Linotype" w:hAnsi="Palatino Linotype"/>
          <w:i/>
          <w:szCs w:val="24"/>
        </w:rPr>
      </w:pPr>
      <w:r>
        <w:rPr>
          <w:rFonts w:ascii="Palatino Linotype" w:hAnsi="Palatino Linotype"/>
          <w:i/>
          <w:szCs w:val="24"/>
        </w:rPr>
        <w:t>(</w:t>
      </w:r>
      <w:r w:rsidRPr="000A3ECA">
        <w:rPr>
          <w:rFonts w:ascii="Palatino Linotype" w:hAnsi="Palatino Linotype"/>
          <w:i/>
          <w:szCs w:val="24"/>
        </w:rPr>
        <w:t>…</w:t>
      </w:r>
      <w:r>
        <w:rPr>
          <w:rFonts w:ascii="Palatino Linotype" w:hAnsi="Palatino Linotype"/>
          <w:i/>
          <w:szCs w:val="24"/>
        </w:rPr>
        <w:t>)”</w:t>
      </w:r>
    </w:p>
    <w:p w14:paraId="6A4C80C9" w14:textId="77777777" w:rsidR="006B3069" w:rsidRPr="000A3ECA" w:rsidRDefault="006B3069" w:rsidP="006B3069">
      <w:pPr>
        <w:spacing w:before="240" w:line="360" w:lineRule="auto"/>
        <w:ind w:left="851" w:right="851"/>
        <w:jc w:val="right"/>
        <w:rPr>
          <w:rFonts w:ascii="Palatino Linotype" w:hAnsi="Palatino Linotype"/>
          <w:i/>
          <w:sz w:val="18"/>
          <w:szCs w:val="24"/>
        </w:rPr>
      </w:pPr>
      <w:r w:rsidRPr="000A3ECA">
        <w:rPr>
          <w:rFonts w:ascii="Palatino Linotype" w:hAnsi="Palatino Linotype"/>
          <w:i/>
          <w:sz w:val="18"/>
          <w:szCs w:val="24"/>
        </w:rPr>
        <w:t>Énfasis añadido.</w:t>
      </w:r>
    </w:p>
    <w:p w14:paraId="501848D2" w14:textId="77777777" w:rsidR="006B3069" w:rsidRDefault="006B3069" w:rsidP="006B3069">
      <w:pPr>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w:t>
      </w:r>
      <w:r w:rsidRPr="000A3ECA">
        <w:rPr>
          <w:rFonts w:ascii="Palatino Linotype" w:hAnsi="Palatino Linotype" w:cs="Arial"/>
          <w:sz w:val="24"/>
          <w:szCs w:val="24"/>
        </w:rPr>
        <w:lastRenderedPageBreak/>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59600EA" w14:textId="77777777" w:rsidR="006B3069" w:rsidRDefault="006B3069" w:rsidP="006B3069">
      <w:pPr>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t>Para lo cual a su vez en el caso de información de carácter confidencial se debe atender a lo que señala el artículo 149</w:t>
      </w:r>
      <w:r>
        <w:rPr>
          <w:rFonts w:ascii="Palatino Linotype" w:hAnsi="Palatino Linotype" w:cs="Arial"/>
          <w:sz w:val="24"/>
          <w:szCs w:val="24"/>
        </w:rPr>
        <w:t>,</w:t>
      </w:r>
      <w:r w:rsidRPr="000A3ECA">
        <w:rPr>
          <w:rFonts w:ascii="Palatino Linotype" w:hAnsi="Palatino Linotype" w:cs="Arial"/>
          <w:sz w:val="24"/>
          <w:szCs w:val="24"/>
        </w:rPr>
        <w:t xml:space="preserve"> de la Ley de Transparencia Local vigente, cuyo contenido es de la literalidad siguiente:</w:t>
      </w:r>
    </w:p>
    <w:p w14:paraId="4543249B" w14:textId="77777777" w:rsidR="006B3069" w:rsidRPr="000A3ECA" w:rsidRDefault="006B3069" w:rsidP="006B3069">
      <w:pPr>
        <w:spacing w:before="240" w:line="360" w:lineRule="auto"/>
        <w:ind w:left="851" w:right="851"/>
        <w:jc w:val="both"/>
        <w:rPr>
          <w:rFonts w:ascii="Palatino Linotype" w:hAnsi="Palatino Linotype"/>
          <w:i/>
          <w:szCs w:val="24"/>
        </w:rPr>
      </w:pPr>
      <w:r w:rsidRPr="000A3ECA">
        <w:rPr>
          <w:rFonts w:ascii="Palatino Linotype" w:hAnsi="Palatino Linotype"/>
          <w:i/>
          <w:szCs w:val="24"/>
        </w:rPr>
        <w:t>“</w:t>
      </w:r>
      <w:r w:rsidRPr="000A3ECA">
        <w:rPr>
          <w:rFonts w:ascii="Palatino Linotype" w:hAnsi="Palatino Linotype"/>
          <w:b/>
          <w:i/>
          <w:szCs w:val="24"/>
        </w:rPr>
        <w:t>Artículo 149.</w:t>
      </w:r>
      <w:r w:rsidRPr="000A3ECA">
        <w:rPr>
          <w:rFonts w:ascii="Palatino Linotype" w:hAnsi="Palatino Linotype"/>
          <w:i/>
          <w:szCs w:val="24"/>
        </w:rPr>
        <w:t xml:space="preserve"> El </w:t>
      </w:r>
      <w:r w:rsidRPr="000A3ECA">
        <w:rPr>
          <w:rFonts w:ascii="Palatino Linotype" w:hAnsi="Palatino Linotype"/>
          <w:b/>
          <w:i/>
          <w:szCs w:val="24"/>
        </w:rPr>
        <w:t>acuerdo que clasifique la información como confidencial</w:t>
      </w:r>
      <w:r w:rsidRPr="000A3ECA">
        <w:rPr>
          <w:rFonts w:ascii="Palatino Linotype" w:hAnsi="Palatino Linotype"/>
          <w:i/>
          <w:szCs w:val="24"/>
        </w:rPr>
        <w:t xml:space="preserve"> deberá contener un razonamiento lógico en el que demuestre que la información se encuentra en alguna o algunas de las hipótesis previstas en la presente Ley.”</w:t>
      </w:r>
    </w:p>
    <w:p w14:paraId="092F7809" w14:textId="77777777" w:rsidR="006B3069" w:rsidRPr="000A3ECA" w:rsidRDefault="006B3069" w:rsidP="006B3069">
      <w:pPr>
        <w:spacing w:before="240" w:line="360" w:lineRule="auto"/>
        <w:jc w:val="both"/>
        <w:rPr>
          <w:rFonts w:ascii="Palatino Linotype" w:hAnsi="Palatino Linotype" w:cs="Arial"/>
          <w:sz w:val="24"/>
          <w:szCs w:val="24"/>
          <w:lang w:eastAsia="es-CO"/>
        </w:rPr>
      </w:pPr>
      <w:r w:rsidRPr="000A3ECA">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DB852C4" w14:textId="77777777" w:rsidR="006B3069" w:rsidRDefault="006B3069" w:rsidP="006B3069">
      <w:pPr>
        <w:autoSpaceDE w:val="0"/>
        <w:autoSpaceDN w:val="0"/>
        <w:adjustRightInd w:val="0"/>
        <w:spacing w:before="240" w:line="360" w:lineRule="auto"/>
        <w:jc w:val="both"/>
        <w:rPr>
          <w:rFonts w:ascii="Palatino Linotype" w:hAnsi="Palatino Linotype" w:cs="Arial"/>
          <w:sz w:val="24"/>
          <w:szCs w:val="24"/>
          <w:lang w:val="es-ES_tradnl"/>
        </w:rPr>
      </w:pPr>
      <w:r w:rsidRPr="000A3ECA">
        <w:rPr>
          <w:rFonts w:ascii="Palatino Linotype" w:hAnsi="Palatino Linotype" w:cs="Arial"/>
          <w:sz w:val="24"/>
          <w:szCs w:val="24"/>
        </w:rPr>
        <w:t xml:space="preserve">Asimismo, se destaca que el acuerdo de clasificación que elabore el Sujeto Obligado debe cumplir con las formalidades exigidas en la Ley; </w:t>
      </w:r>
      <w:r w:rsidRPr="000A3ECA">
        <w:rPr>
          <w:rFonts w:ascii="Palatino Linotype" w:hAnsi="Palatino Linotype"/>
          <w:sz w:val="24"/>
          <w:szCs w:val="24"/>
          <w:lang w:val="es-ES_tradnl"/>
        </w:rPr>
        <w:t xml:space="preserve">es decir, </w:t>
      </w:r>
      <w:r w:rsidRPr="000A3ECA">
        <w:rPr>
          <w:rFonts w:ascii="Palatino Linotype" w:hAnsi="Palatino Linotype"/>
          <w:sz w:val="24"/>
          <w:szCs w:val="24"/>
        </w:rPr>
        <w:t>resulta necesario que el Comité de Transparencia d</w:t>
      </w:r>
      <w:r w:rsidRPr="000A3ECA">
        <w:rPr>
          <w:rFonts w:ascii="Palatino Linotype" w:hAnsi="Palatino Linotype"/>
          <w:sz w:val="24"/>
          <w:szCs w:val="24"/>
          <w:lang w:val="es-ES_tradnl"/>
        </w:rPr>
        <w:t xml:space="preserve">el Sujeto Obligado </w:t>
      </w:r>
      <w:r w:rsidRPr="000A3ECA">
        <w:rPr>
          <w:rFonts w:ascii="Palatino Linotype" w:hAnsi="Palatino Linotype"/>
          <w:sz w:val="24"/>
          <w:szCs w:val="24"/>
        </w:rPr>
        <w:t>emita el Acuerdo de Clasificación correspondiente</w:t>
      </w:r>
      <w:r w:rsidRPr="000A3ECA">
        <w:rPr>
          <w:rFonts w:ascii="Palatino Linotype" w:hAnsi="Palatino Linotype"/>
          <w:sz w:val="24"/>
          <w:szCs w:val="24"/>
          <w:lang w:val="es-ES_tradnl"/>
        </w:rPr>
        <w:t xml:space="preserve"> debidamente fundado y motivado</w:t>
      </w:r>
      <w:r w:rsidRPr="000A3ECA">
        <w:rPr>
          <w:rFonts w:ascii="Palatino Linotype" w:hAnsi="Palatino Linotype"/>
          <w:sz w:val="24"/>
          <w:szCs w:val="24"/>
        </w:rPr>
        <w:t>, el cual deberá cumplir cabalmente con las formalidades previstas en el artículo 137</w:t>
      </w:r>
      <w:r>
        <w:rPr>
          <w:rFonts w:ascii="Palatino Linotype" w:hAnsi="Palatino Linotype"/>
          <w:sz w:val="24"/>
          <w:szCs w:val="24"/>
        </w:rPr>
        <w:t>,</w:t>
      </w:r>
      <w:r w:rsidRPr="000A3ECA">
        <w:rPr>
          <w:rFonts w:ascii="Palatino Linotype" w:hAnsi="Palatino Linotype"/>
          <w:sz w:val="24"/>
          <w:szCs w:val="24"/>
        </w:rPr>
        <w:t xml:space="preserve"> de la Ley de Transparencia y Acceso a la Información Pública del Estado de México y Municipios, ya expuesto; así como </w:t>
      </w:r>
      <w:r w:rsidRPr="000A3ECA">
        <w:rPr>
          <w:rFonts w:ascii="Palatino Linotype" w:hAnsi="Palatino Linotype"/>
          <w:sz w:val="24"/>
          <w:szCs w:val="24"/>
        </w:rPr>
        <w:lastRenderedPageBreak/>
        <w:t xml:space="preserve">con los numerales aplicables de los </w:t>
      </w:r>
      <w:r w:rsidRPr="000A3ECA">
        <w:rPr>
          <w:rFonts w:ascii="Palatino Linotype" w:hAnsi="Palatino Linotype"/>
          <w:b/>
          <w:sz w:val="24"/>
          <w:szCs w:val="24"/>
        </w:rPr>
        <w:t>LINEAMIENTOS GENERALES EN MATERIA DE CLASIFICACIÓN Y DESCLASIFICACIÓN DE LA INFORMACIÓN, ASÍ COMO PARA LA ELABORACIÓN DE VERSIONES PÚBLICAS</w:t>
      </w:r>
      <w:r w:rsidRPr="000A3ECA">
        <w:rPr>
          <w:rFonts w:ascii="Palatino Linotype" w:hAnsi="Palatino Linotype"/>
          <w:sz w:val="24"/>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0A3ECA">
        <w:rPr>
          <w:rFonts w:ascii="Palatino Linotype" w:hAnsi="Palatino Linotype" w:cs="Arial"/>
          <w:sz w:val="24"/>
          <w:szCs w:val="24"/>
          <w:lang w:val="es-ES_tradnl"/>
        </w:rPr>
        <w:t>que literalmente expresan:</w:t>
      </w:r>
    </w:p>
    <w:p w14:paraId="084575D7" w14:textId="77777777" w:rsidR="006B3069" w:rsidRPr="000A3ECA" w:rsidRDefault="006B3069" w:rsidP="006B3069">
      <w:pPr>
        <w:spacing w:before="240" w:line="360" w:lineRule="auto"/>
        <w:ind w:left="851" w:right="851"/>
        <w:jc w:val="both"/>
        <w:rPr>
          <w:rFonts w:ascii="Palatino Linotype" w:hAnsi="Palatino Linotype" w:cs="Arial"/>
          <w:b/>
          <w:i/>
        </w:rPr>
      </w:pPr>
      <w:r w:rsidRPr="000A3ECA">
        <w:rPr>
          <w:rFonts w:ascii="Palatino Linotype" w:hAnsi="Palatino Linotype" w:cs="Arial"/>
          <w:b/>
          <w:i/>
          <w:lang w:eastAsia="es-MX"/>
        </w:rPr>
        <w:t xml:space="preserve">Lineamientos Generales en materia de Clasificación y Desclasificación de la </w:t>
      </w:r>
      <w:r w:rsidRPr="000A3ECA">
        <w:rPr>
          <w:rFonts w:ascii="Palatino Linotype" w:hAnsi="Palatino Linotype" w:cs="Arial"/>
          <w:b/>
          <w:i/>
        </w:rPr>
        <w:t>Información, así como para la elaboración de Versiones Públicas</w:t>
      </w:r>
    </w:p>
    <w:p w14:paraId="6BC67A84" w14:textId="77777777" w:rsidR="006B3069" w:rsidRPr="000A3ECA" w:rsidRDefault="006B3069" w:rsidP="006B3069">
      <w:pPr>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t>“</w:t>
      </w:r>
      <w:r w:rsidRPr="000A3ECA">
        <w:rPr>
          <w:rFonts w:ascii="Palatino Linotype" w:hAnsi="Palatino Linotype" w:cs="Arial"/>
          <w:b/>
          <w:i/>
          <w:lang w:eastAsia="es-MX"/>
        </w:rPr>
        <w:t>Segundo.-</w:t>
      </w:r>
      <w:r w:rsidRPr="000A3ECA">
        <w:rPr>
          <w:rFonts w:ascii="Palatino Linotype" w:hAnsi="Palatino Linotype" w:cs="Arial"/>
          <w:i/>
          <w:lang w:eastAsia="es-MX"/>
        </w:rPr>
        <w:t xml:space="preserve"> Para efectos de los </w:t>
      </w:r>
      <w:r w:rsidRPr="000A3ECA">
        <w:rPr>
          <w:rFonts w:ascii="Palatino Linotype" w:hAnsi="Palatino Linotype" w:cs="Arial"/>
          <w:i/>
        </w:rPr>
        <w:t>presentes</w:t>
      </w:r>
      <w:r w:rsidRPr="000A3ECA">
        <w:rPr>
          <w:rFonts w:ascii="Palatino Linotype" w:hAnsi="Palatino Linotype" w:cs="Arial"/>
          <w:i/>
          <w:lang w:eastAsia="es-MX"/>
        </w:rPr>
        <w:t xml:space="preserve"> Lineamientos Generales, se entenderá por:</w:t>
      </w:r>
    </w:p>
    <w:p w14:paraId="385709BF"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XVIII.</w:t>
      </w:r>
      <w:r w:rsidRPr="000A3ECA">
        <w:rPr>
          <w:rFonts w:ascii="Palatino Linotype" w:hAnsi="Palatino Linotype" w:cs="Arial"/>
          <w:i/>
          <w:lang w:eastAsia="es-MX"/>
        </w:rPr>
        <w:t xml:space="preserve"> </w:t>
      </w:r>
      <w:r w:rsidRPr="000A3ECA">
        <w:rPr>
          <w:rFonts w:ascii="Palatino Linotype" w:hAnsi="Palatino Linotype" w:cs="Arial"/>
          <w:b/>
          <w:i/>
          <w:lang w:eastAsia="es-MX"/>
        </w:rPr>
        <w:t>Versión pública:</w:t>
      </w:r>
      <w:r w:rsidRPr="000A3ECA">
        <w:rPr>
          <w:rFonts w:ascii="Palatino Linotype" w:hAnsi="Palatino Linotype" w:cs="Arial"/>
          <w:i/>
          <w:lang w:eastAsia="es-MX"/>
        </w:rPr>
        <w:t xml:space="preserve"> El </w:t>
      </w:r>
      <w:r w:rsidRPr="000A3ECA">
        <w:rPr>
          <w:rFonts w:ascii="Palatino Linotype" w:hAnsi="Palatino Linotype" w:cs="Arial"/>
          <w:bCs/>
          <w:i/>
          <w:noProof/>
        </w:rPr>
        <w:t>documento</w:t>
      </w:r>
      <w:r w:rsidRPr="000A3ECA">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0A3ECA">
        <w:rPr>
          <w:rFonts w:ascii="Palatino Linotype" w:hAnsi="Palatino Linotype" w:cs="Arial"/>
          <w:b/>
          <w:i/>
          <w:u w:val="single"/>
          <w:lang w:eastAsia="es-MX"/>
        </w:rPr>
        <w:t>fundando y motivando la</w:t>
      </w:r>
      <w:r w:rsidRPr="000A3ECA">
        <w:rPr>
          <w:rFonts w:ascii="Palatino Linotype" w:hAnsi="Palatino Linotype" w:cs="Arial"/>
          <w:i/>
          <w:lang w:eastAsia="es-MX"/>
        </w:rPr>
        <w:t xml:space="preserve"> reserva o </w:t>
      </w:r>
      <w:r w:rsidRPr="000A3ECA">
        <w:rPr>
          <w:rFonts w:ascii="Palatino Linotype" w:hAnsi="Palatino Linotype" w:cs="Arial"/>
          <w:b/>
          <w:i/>
          <w:u w:val="single"/>
          <w:lang w:eastAsia="es-MX"/>
        </w:rPr>
        <w:t>confidencialidad</w:t>
      </w:r>
      <w:r w:rsidRPr="000A3ECA">
        <w:rPr>
          <w:rFonts w:ascii="Palatino Linotype" w:hAnsi="Palatino Linotype" w:cs="Arial"/>
          <w:i/>
          <w:lang w:eastAsia="es-MX"/>
        </w:rPr>
        <w:t xml:space="preserve">, a través de la resolución que para tal efecto emita el </w:t>
      </w:r>
      <w:r w:rsidRPr="000A3ECA">
        <w:rPr>
          <w:rFonts w:ascii="Palatino Linotype" w:hAnsi="Palatino Linotype" w:cs="Arial"/>
          <w:bCs/>
          <w:i/>
          <w:noProof/>
        </w:rPr>
        <w:t>Comité</w:t>
      </w:r>
      <w:r w:rsidRPr="000A3ECA">
        <w:rPr>
          <w:rFonts w:ascii="Palatino Linotype" w:hAnsi="Palatino Linotype" w:cs="Arial"/>
          <w:i/>
          <w:lang w:eastAsia="es-MX"/>
        </w:rPr>
        <w:t xml:space="preserve"> de Transparencia.</w:t>
      </w:r>
    </w:p>
    <w:p w14:paraId="7E1DBE86"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b/>
          <w:i/>
          <w:lang w:eastAsia="es-MX"/>
        </w:rPr>
      </w:pPr>
      <w:r w:rsidRPr="000A3ECA">
        <w:rPr>
          <w:rFonts w:ascii="Palatino Linotype" w:hAnsi="Palatino Linotype" w:cs="Arial"/>
          <w:b/>
          <w:i/>
          <w:lang w:eastAsia="es-MX"/>
        </w:rPr>
        <w:t>Cuarto. Para clasificar la información como reservada o confidencial, de manera total</w:t>
      </w:r>
      <w:r w:rsidRPr="000A3ECA">
        <w:rPr>
          <w:rFonts w:ascii="Palatino Linotype" w:hAnsi="Palatino Linotype" w:cs="Arial"/>
          <w:i/>
          <w:lang w:eastAsia="es-MX"/>
        </w:rPr>
        <w:t xml:space="preserve"> o parcial, </w:t>
      </w:r>
      <w:r w:rsidRPr="000A3ECA">
        <w:rPr>
          <w:rFonts w:ascii="Palatino Linotype" w:hAnsi="Palatino Linotype" w:cs="Arial"/>
          <w:b/>
          <w:i/>
          <w:lang w:eastAsia="es-MX"/>
        </w:rPr>
        <w:t xml:space="preserve">el titular del </w:t>
      </w:r>
      <w:r w:rsidRPr="000A3ECA">
        <w:rPr>
          <w:rFonts w:ascii="Palatino Linotype" w:hAnsi="Palatino Linotype" w:cs="Arial"/>
          <w:b/>
          <w:bCs/>
          <w:i/>
          <w:noProof/>
        </w:rPr>
        <w:t>área</w:t>
      </w:r>
      <w:r w:rsidRPr="000A3ECA">
        <w:rPr>
          <w:rFonts w:ascii="Palatino Linotype" w:hAnsi="Palatino Linotype" w:cs="Arial"/>
          <w:b/>
          <w:i/>
          <w:lang w:eastAsia="es-MX"/>
        </w:rPr>
        <w:t xml:space="preserve"> del sujeto </w:t>
      </w:r>
      <w:r w:rsidRPr="000A3ECA">
        <w:rPr>
          <w:rFonts w:ascii="Palatino Linotype" w:hAnsi="Palatino Linotype" w:cs="Arial"/>
          <w:b/>
          <w:i/>
        </w:rPr>
        <w:t>obligado</w:t>
      </w:r>
      <w:r w:rsidRPr="000A3ECA">
        <w:rPr>
          <w:rFonts w:ascii="Palatino Linotype" w:hAnsi="Palatino Linotype" w:cs="Arial"/>
          <w:b/>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230839"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lastRenderedPageBreak/>
        <w:t xml:space="preserve">Los sujetos obligados deberán aplicar, de manera estricta, las excepciones al derecho de acceso a la </w:t>
      </w:r>
      <w:r w:rsidRPr="000A3ECA">
        <w:rPr>
          <w:rFonts w:ascii="Palatino Linotype" w:hAnsi="Palatino Linotype" w:cs="Arial"/>
          <w:bCs/>
          <w:i/>
          <w:noProof/>
        </w:rPr>
        <w:t>información</w:t>
      </w:r>
      <w:r w:rsidRPr="000A3ECA">
        <w:rPr>
          <w:rFonts w:ascii="Palatino Linotype" w:hAnsi="Palatino Linotype" w:cs="Arial"/>
          <w:i/>
          <w:lang w:eastAsia="es-MX"/>
        </w:rPr>
        <w:t xml:space="preserve"> y sólo </w:t>
      </w:r>
      <w:r w:rsidRPr="000A3ECA">
        <w:rPr>
          <w:rFonts w:ascii="Palatino Linotype" w:hAnsi="Palatino Linotype" w:cs="Arial"/>
          <w:i/>
        </w:rPr>
        <w:t>podrán</w:t>
      </w:r>
      <w:r w:rsidRPr="000A3ECA">
        <w:rPr>
          <w:rFonts w:ascii="Palatino Linotype" w:hAnsi="Palatino Linotype" w:cs="Arial"/>
          <w:i/>
          <w:lang w:eastAsia="es-MX"/>
        </w:rPr>
        <w:t xml:space="preserve"> invocarlas cuando acrediten su procedencia.</w:t>
      </w:r>
    </w:p>
    <w:p w14:paraId="18FF6221"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Quinto.</w:t>
      </w:r>
      <w:r w:rsidRPr="000A3ECA">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0A3ECA">
        <w:rPr>
          <w:rFonts w:ascii="Palatino Linotype" w:hAnsi="Palatino Linotype" w:cs="Arial"/>
          <w:i/>
        </w:rPr>
        <w:t>corresponderá</w:t>
      </w:r>
      <w:r w:rsidRPr="000A3ECA">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64434A"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Sexto.</w:t>
      </w:r>
      <w:r w:rsidRPr="000A3ECA">
        <w:rPr>
          <w:rFonts w:ascii="Palatino Linotype" w:hAnsi="Palatino Linotype" w:cs="Arial"/>
          <w:i/>
          <w:lang w:eastAsia="es-MX"/>
        </w:rPr>
        <w:t xml:space="preserve"> Los sujetos obligados no podrán emitir acuerdos de carácter general ni particular que clasifiquen </w:t>
      </w:r>
      <w:r w:rsidRPr="000A3ECA">
        <w:rPr>
          <w:rFonts w:ascii="Palatino Linotype" w:hAnsi="Palatino Linotype" w:cs="Arial"/>
          <w:bCs/>
          <w:i/>
          <w:noProof/>
        </w:rPr>
        <w:t>documentos</w:t>
      </w:r>
      <w:r w:rsidRPr="000A3ECA">
        <w:rPr>
          <w:rFonts w:ascii="Palatino Linotype" w:hAnsi="Palatino Linotype" w:cs="Arial"/>
          <w:i/>
          <w:lang w:eastAsia="es-MX"/>
        </w:rPr>
        <w:t xml:space="preserve"> o expedientes como reservados, ni clasificar documentos antes de que se genere la información o cuando éstos no obren en sus archivos.</w:t>
      </w:r>
    </w:p>
    <w:p w14:paraId="5976234E" w14:textId="77777777" w:rsidR="006B3069" w:rsidRPr="000A3ECA" w:rsidRDefault="006B3069" w:rsidP="006B3069">
      <w:pPr>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t xml:space="preserve">La clasificación de </w:t>
      </w:r>
      <w:r w:rsidRPr="000A3ECA">
        <w:rPr>
          <w:rFonts w:ascii="Palatino Linotype" w:hAnsi="Palatino Linotype" w:cs="Arial"/>
          <w:i/>
        </w:rPr>
        <w:t>información</w:t>
      </w:r>
      <w:r w:rsidRPr="000A3ECA">
        <w:rPr>
          <w:rFonts w:ascii="Palatino Linotype" w:hAnsi="Palatino Linotype" w:cs="Arial"/>
          <w:i/>
          <w:lang w:eastAsia="es-MX"/>
        </w:rPr>
        <w:t xml:space="preserve"> se realizará conforme a un análisis caso por caso, mediante la aplicación </w:t>
      </w:r>
      <w:r w:rsidRPr="000A3ECA">
        <w:rPr>
          <w:rFonts w:ascii="Palatino Linotype" w:hAnsi="Palatino Linotype" w:cs="Arial"/>
          <w:bCs/>
          <w:i/>
          <w:noProof/>
        </w:rPr>
        <w:t>de</w:t>
      </w:r>
      <w:r w:rsidRPr="000A3ECA">
        <w:rPr>
          <w:rFonts w:ascii="Palatino Linotype" w:hAnsi="Palatino Linotype" w:cs="Arial"/>
          <w:i/>
          <w:lang w:eastAsia="es-MX"/>
        </w:rPr>
        <w:t xml:space="preserve"> la prueba de daño y de interés público.</w:t>
      </w:r>
    </w:p>
    <w:p w14:paraId="243554BC"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Séptimo.</w:t>
      </w:r>
      <w:r w:rsidRPr="000A3ECA">
        <w:rPr>
          <w:rFonts w:ascii="Palatino Linotype" w:hAnsi="Palatino Linotype" w:cs="Arial"/>
          <w:i/>
          <w:lang w:eastAsia="es-MX"/>
        </w:rPr>
        <w:t xml:space="preserve"> La clasificación </w:t>
      </w:r>
      <w:r w:rsidRPr="000A3ECA">
        <w:rPr>
          <w:rFonts w:ascii="Palatino Linotype" w:hAnsi="Palatino Linotype" w:cs="Arial"/>
          <w:bCs/>
          <w:i/>
          <w:noProof/>
        </w:rPr>
        <w:t>de</w:t>
      </w:r>
      <w:r w:rsidRPr="000A3ECA">
        <w:rPr>
          <w:rFonts w:ascii="Palatino Linotype" w:hAnsi="Palatino Linotype" w:cs="Arial"/>
          <w:i/>
          <w:lang w:eastAsia="es-MX"/>
        </w:rPr>
        <w:t xml:space="preserve"> la </w:t>
      </w:r>
      <w:r w:rsidRPr="000A3ECA">
        <w:rPr>
          <w:rFonts w:ascii="Palatino Linotype" w:hAnsi="Palatino Linotype" w:cs="Arial"/>
          <w:i/>
        </w:rPr>
        <w:t>información</w:t>
      </w:r>
      <w:r w:rsidRPr="000A3ECA">
        <w:rPr>
          <w:rFonts w:ascii="Palatino Linotype" w:hAnsi="Palatino Linotype" w:cs="Arial"/>
          <w:i/>
          <w:lang w:eastAsia="es-MX"/>
        </w:rPr>
        <w:t xml:space="preserve"> se llevará a cabo en el momento en que:</w:t>
      </w:r>
    </w:p>
    <w:p w14:paraId="2D006B44"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I.</w:t>
      </w:r>
      <w:r w:rsidRPr="000A3ECA">
        <w:rPr>
          <w:rFonts w:ascii="Palatino Linotype" w:hAnsi="Palatino Linotype" w:cs="Arial"/>
          <w:i/>
          <w:lang w:eastAsia="es-MX"/>
        </w:rPr>
        <w:t xml:space="preserve"> Se reciba una solicitud de acceso a la información;</w:t>
      </w:r>
    </w:p>
    <w:p w14:paraId="041FE7AC"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II.</w:t>
      </w:r>
      <w:r w:rsidRPr="000A3ECA">
        <w:rPr>
          <w:rFonts w:ascii="Palatino Linotype" w:hAnsi="Palatino Linotype" w:cs="Arial"/>
          <w:i/>
          <w:lang w:eastAsia="es-MX"/>
        </w:rPr>
        <w:t xml:space="preserve"> Se determine </w:t>
      </w:r>
      <w:r w:rsidRPr="000A3ECA">
        <w:rPr>
          <w:rFonts w:ascii="Palatino Linotype" w:hAnsi="Palatino Linotype" w:cs="Arial"/>
          <w:bCs/>
          <w:i/>
          <w:noProof/>
        </w:rPr>
        <w:t>mediante</w:t>
      </w:r>
      <w:r w:rsidRPr="000A3ECA">
        <w:rPr>
          <w:rFonts w:ascii="Palatino Linotype" w:hAnsi="Palatino Linotype" w:cs="Arial"/>
          <w:i/>
          <w:lang w:eastAsia="es-MX"/>
        </w:rPr>
        <w:t xml:space="preserve"> resolución de autoridad competente, o</w:t>
      </w:r>
    </w:p>
    <w:p w14:paraId="57076E66"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III.</w:t>
      </w:r>
      <w:r w:rsidRPr="000A3ECA">
        <w:rPr>
          <w:rFonts w:ascii="Palatino Linotype" w:hAnsi="Palatino Linotype" w:cs="Arial"/>
          <w:i/>
          <w:lang w:eastAsia="es-MX"/>
        </w:rPr>
        <w:t xml:space="preserve"> Se generen </w:t>
      </w:r>
      <w:r w:rsidRPr="000A3ECA">
        <w:rPr>
          <w:rFonts w:ascii="Palatino Linotype" w:hAnsi="Palatino Linotype" w:cs="Arial"/>
          <w:bCs/>
          <w:i/>
          <w:noProof/>
        </w:rPr>
        <w:t>versiones</w:t>
      </w:r>
      <w:r w:rsidRPr="000A3ECA">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532332BE"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lastRenderedPageBreak/>
        <w:t xml:space="preserve">Los titulares de las áreas deberán revisar la clasificación al momento de la recepción de una solicitud de </w:t>
      </w:r>
      <w:r w:rsidRPr="000A3ECA">
        <w:rPr>
          <w:rFonts w:ascii="Palatino Linotype" w:hAnsi="Palatino Linotype" w:cs="Arial"/>
          <w:bCs/>
          <w:i/>
          <w:noProof/>
        </w:rPr>
        <w:t>acceso</w:t>
      </w:r>
      <w:r w:rsidRPr="000A3ECA">
        <w:rPr>
          <w:rFonts w:ascii="Palatino Linotype" w:hAnsi="Palatino Linotype" w:cs="Arial"/>
          <w:i/>
          <w:lang w:eastAsia="es-MX"/>
        </w:rPr>
        <w:t xml:space="preserve"> a la información, para verificar si encuadra en una causal de reserva o de confidencialidad.</w:t>
      </w:r>
    </w:p>
    <w:p w14:paraId="2E83DDF4"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Octavo.</w:t>
      </w:r>
      <w:r w:rsidRPr="000A3ECA">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0A3ECA">
        <w:rPr>
          <w:rFonts w:ascii="Palatino Linotype" w:hAnsi="Palatino Linotype" w:cs="Arial"/>
          <w:bCs/>
          <w:i/>
          <w:noProof/>
        </w:rPr>
        <w:t>expresamente</w:t>
      </w:r>
      <w:r w:rsidRPr="000A3ECA">
        <w:rPr>
          <w:rFonts w:ascii="Palatino Linotype" w:hAnsi="Palatino Linotype" w:cs="Arial"/>
          <w:i/>
          <w:lang w:eastAsia="es-MX"/>
        </w:rPr>
        <w:t xml:space="preserve"> le otorga el carácter de reservada o confidencial.</w:t>
      </w:r>
    </w:p>
    <w:p w14:paraId="13E6B608"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bCs/>
          <w:i/>
          <w:noProof/>
        </w:rPr>
      </w:pPr>
      <w:r w:rsidRPr="000A3ECA">
        <w:rPr>
          <w:rFonts w:ascii="Palatino Linotype" w:hAnsi="Palatino Linotype" w:cs="Arial"/>
          <w:i/>
          <w:lang w:eastAsia="es-MX"/>
        </w:rPr>
        <w:t xml:space="preserve">Para </w:t>
      </w:r>
      <w:r w:rsidRPr="000A3ECA">
        <w:rPr>
          <w:rFonts w:ascii="Palatino Linotype" w:hAnsi="Palatino Linotype" w:cs="Arial"/>
          <w:bCs/>
          <w:i/>
          <w:noProof/>
        </w:rPr>
        <w:t xml:space="preserve">motivar la clasificación se deberán señalar las razones o circunstancias especiales que lo </w:t>
      </w:r>
      <w:r w:rsidRPr="000A3ECA">
        <w:rPr>
          <w:rFonts w:ascii="Palatino Linotype" w:hAnsi="Palatino Linotype" w:cs="Arial"/>
          <w:i/>
          <w:lang w:eastAsia="es-MX"/>
        </w:rPr>
        <w:t>llevaron</w:t>
      </w:r>
      <w:r w:rsidRPr="000A3ECA">
        <w:rPr>
          <w:rFonts w:ascii="Palatino Linotype" w:hAnsi="Palatino Linotype" w:cs="Arial"/>
          <w:bCs/>
          <w:i/>
          <w:noProof/>
        </w:rPr>
        <w:t xml:space="preserve"> a concluir que el caso particular se ajusta al supuesto previsto por la norma legal invocada como fundamento.</w:t>
      </w:r>
    </w:p>
    <w:p w14:paraId="14E202F6"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bCs/>
          <w:i/>
          <w:noProof/>
        </w:rPr>
      </w:pPr>
      <w:r w:rsidRPr="000A3ECA">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0A3ECA">
        <w:rPr>
          <w:rFonts w:ascii="Palatino Linotype" w:hAnsi="Palatino Linotype" w:cs="Arial"/>
          <w:i/>
          <w:lang w:eastAsia="es-MX"/>
        </w:rPr>
        <w:t>de</w:t>
      </w:r>
      <w:r w:rsidRPr="000A3ECA">
        <w:rPr>
          <w:rFonts w:ascii="Palatino Linotype" w:hAnsi="Palatino Linotype" w:cs="Arial"/>
          <w:bCs/>
          <w:i/>
          <w:noProof/>
        </w:rPr>
        <w:t xml:space="preserve"> </w:t>
      </w:r>
      <w:r w:rsidRPr="000A3ECA">
        <w:rPr>
          <w:rFonts w:ascii="Palatino Linotype" w:hAnsi="Palatino Linotype" w:cs="Arial"/>
          <w:i/>
          <w:lang w:eastAsia="es-MX"/>
        </w:rPr>
        <w:t>reserva</w:t>
      </w:r>
      <w:r w:rsidRPr="000A3ECA">
        <w:rPr>
          <w:rFonts w:ascii="Palatino Linotype" w:hAnsi="Palatino Linotype" w:cs="Arial"/>
          <w:bCs/>
          <w:i/>
          <w:noProof/>
        </w:rPr>
        <w:t>.</w:t>
      </w:r>
    </w:p>
    <w:p w14:paraId="3D9857BB"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bCs/>
          <w:i/>
          <w:noProof/>
        </w:rPr>
      </w:pPr>
      <w:r w:rsidRPr="000A3ECA">
        <w:rPr>
          <w:rFonts w:ascii="Palatino Linotype" w:hAnsi="Palatino Linotype" w:cs="Arial"/>
          <w:i/>
          <w:lang w:eastAsia="es-MX"/>
        </w:rPr>
        <w:t>Tratándose</w:t>
      </w:r>
      <w:r w:rsidRPr="000A3ECA">
        <w:rPr>
          <w:rFonts w:ascii="Palatino Linotype" w:hAnsi="Palatino Linotype" w:cs="Arial"/>
          <w:bCs/>
          <w:i/>
          <w:noProof/>
        </w:rPr>
        <w:t xml:space="preserve"> de información clasificada como confidencial respecto de la cual se haya </w:t>
      </w:r>
      <w:r w:rsidRPr="000A3ECA">
        <w:rPr>
          <w:rFonts w:ascii="Palatino Linotype" w:hAnsi="Palatino Linotype" w:cs="Arial"/>
          <w:i/>
          <w:lang w:eastAsia="es-MX"/>
        </w:rPr>
        <w:t>determinado</w:t>
      </w:r>
      <w:r w:rsidRPr="000A3ECA">
        <w:rPr>
          <w:rFonts w:ascii="Palatino Linotype" w:hAnsi="Palatino Linotype" w:cs="Arial"/>
          <w:bCs/>
          <w:i/>
          <w:noProof/>
        </w:rPr>
        <w:t xml:space="preserve"> </w:t>
      </w:r>
      <w:r w:rsidRPr="000A3ECA">
        <w:rPr>
          <w:rFonts w:ascii="Palatino Linotype" w:hAnsi="Palatino Linotype" w:cs="Arial"/>
          <w:i/>
          <w:lang w:eastAsia="es-MX"/>
        </w:rPr>
        <w:t>su</w:t>
      </w:r>
      <w:r w:rsidRPr="000A3ECA">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186A7BE6"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Cs/>
          <w:i/>
          <w:noProof/>
        </w:rPr>
        <w:t>Los documentos contenidos</w:t>
      </w:r>
      <w:r w:rsidRPr="000A3ECA">
        <w:rPr>
          <w:rFonts w:ascii="Palatino Linotype" w:hAnsi="Palatino Linotype" w:cs="Arial"/>
          <w:i/>
          <w:lang w:eastAsia="es-MX"/>
        </w:rPr>
        <w:t xml:space="preserve"> en los archivos históricos y los identificados como históricos confidenciales no serán susceptibles de clasificación como reservados.</w:t>
      </w:r>
    </w:p>
    <w:p w14:paraId="0BED54B3"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Noveno.</w:t>
      </w:r>
      <w:r w:rsidRPr="000A3ECA">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D4D2E2"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lastRenderedPageBreak/>
        <w:t>Décimo.</w:t>
      </w:r>
      <w:r w:rsidRPr="000A3ECA">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0A3ECA">
        <w:rPr>
          <w:rFonts w:ascii="Palatino Linotype" w:hAnsi="Palatino Linotype" w:cs="Arial"/>
          <w:i/>
        </w:rPr>
        <w:t>documentos</w:t>
      </w:r>
      <w:r w:rsidRPr="000A3ECA">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AAF1E8"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0A3ECA">
        <w:rPr>
          <w:rFonts w:ascii="Palatino Linotype" w:hAnsi="Palatino Linotype" w:cs="Arial"/>
          <w:i/>
        </w:rPr>
        <w:t>que</w:t>
      </w:r>
      <w:r w:rsidRPr="000A3ECA">
        <w:rPr>
          <w:rFonts w:ascii="Palatino Linotype" w:hAnsi="Palatino Linotype" w:cs="Arial"/>
          <w:i/>
          <w:lang w:eastAsia="es-MX"/>
        </w:rPr>
        <w:t xml:space="preserve"> rija la actuación del sujeto obligado.</w:t>
      </w:r>
    </w:p>
    <w:p w14:paraId="590F27E6" w14:textId="77777777" w:rsidR="006B3069" w:rsidRDefault="006B3069" w:rsidP="006B3069">
      <w:pPr>
        <w:autoSpaceDE w:val="0"/>
        <w:autoSpaceDN w:val="0"/>
        <w:adjustRightInd w:val="0"/>
        <w:spacing w:before="240" w:line="360" w:lineRule="auto"/>
        <w:ind w:left="851" w:right="851"/>
        <w:jc w:val="both"/>
        <w:rPr>
          <w:rFonts w:ascii="Palatino Linotype" w:hAnsi="Palatino Linotype" w:cs="Arial"/>
          <w:b/>
          <w:i/>
          <w:lang w:eastAsia="es-MX"/>
        </w:rPr>
      </w:pPr>
    </w:p>
    <w:p w14:paraId="357A7B7F"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Décimo primero.</w:t>
      </w:r>
      <w:r w:rsidRPr="000A3ECA">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6E081EB" w14:textId="77777777" w:rsidR="006B3069" w:rsidRPr="000A3ECA" w:rsidRDefault="006B3069" w:rsidP="006B3069">
      <w:pPr>
        <w:autoSpaceDE w:val="0"/>
        <w:autoSpaceDN w:val="0"/>
        <w:adjustRightInd w:val="0"/>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t>[…]</w:t>
      </w:r>
    </w:p>
    <w:p w14:paraId="5DE4D27C" w14:textId="77777777" w:rsidR="006B3069" w:rsidRPr="000A3ECA" w:rsidRDefault="006B3069" w:rsidP="006B3069">
      <w:pPr>
        <w:spacing w:before="240" w:line="360" w:lineRule="auto"/>
        <w:ind w:left="851" w:right="851"/>
        <w:jc w:val="center"/>
        <w:rPr>
          <w:rFonts w:ascii="Palatino Linotype" w:hAnsi="Palatino Linotype" w:cs="Arial"/>
          <w:b/>
          <w:i/>
          <w:lang w:eastAsia="es-MX"/>
        </w:rPr>
      </w:pPr>
      <w:r w:rsidRPr="000A3ECA">
        <w:rPr>
          <w:rFonts w:ascii="Palatino Linotype" w:hAnsi="Palatino Linotype" w:cs="Arial"/>
          <w:b/>
          <w:i/>
          <w:lang w:eastAsia="es-MX"/>
        </w:rPr>
        <w:t>CAPÍTULO VIII</w:t>
      </w:r>
    </w:p>
    <w:p w14:paraId="2E6BCF24" w14:textId="77777777" w:rsidR="006B3069" w:rsidRPr="000A3ECA" w:rsidRDefault="006B3069" w:rsidP="006B3069">
      <w:pPr>
        <w:spacing w:before="240" w:line="360" w:lineRule="auto"/>
        <w:ind w:left="851" w:right="851"/>
        <w:jc w:val="center"/>
        <w:rPr>
          <w:rFonts w:ascii="Palatino Linotype" w:hAnsi="Palatino Linotype" w:cs="Arial"/>
          <w:b/>
          <w:i/>
          <w:lang w:eastAsia="es-MX"/>
        </w:rPr>
      </w:pPr>
      <w:r w:rsidRPr="000A3ECA">
        <w:rPr>
          <w:rFonts w:ascii="Palatino Linotype" w:hAnsi="Palatino Linotype" w:cs="Arial"/>
          <w:b/>
          <w:i/>
          <w:lang w:eastAsia="es-MX"/>
        </w:rPr>
        <w:t>DE LA LEYENDA DE CLASIFICACIÓN</w:t>
      </w:r>
    </w:p>
    <w:p w14:paraId="78F667B9" w14:textId="77777777" w:rsidR="006B3069" w:rsidRPr="000A3ECA" w:rsidRDefault="006B3069" w:rsidP="006B3069">
      <w:pPr>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t xml:space="preserve">Quincuagésimo. </w:t>
      </w:r>
      <w:r w:rsidRPr="000A3ECA">
        <w:rPr>
          <w:rFonts w:ascii="Palatino Linotype" w:hAnsi="Palatino Linotype" w:cs="Arial"/>
          <w:b/>
          <w:i/>
          <w:u w:val="single"/>
          <w:lang w:eastAsia="es-MX"/>
        </w:rPr>
        <w:t>Los titulares de las áreas de los sujetos obligados podrán utilizar los formatos contenidos en el presente Capítulo como modelo</w:t>
      </w:r>
      <w:r w:rsidRPr="000A3ECA">
        <w:rPr>
          <w:rFonts w:ascii="Palatino Linotype" w:hAnsi="Palatino Linotype" w:cs="Arial"/>
          <w:i/>
          <w:lang w:eastAsia="es-MX"/>
        </w:rPr>
        <w:t xml:space="preserve"> para señalar la clasificación de documentos o expedientes, sin perjuicio de que establezcan los propios.</w:t>
      </w:r>
    </w:p>
    <w:p w14:paraId="1FF627A2" w14:textId="77777777" w:rsidR="006B3069" w:rsidRPr="000A3ECA" w:rsidRDefault="006B3069" w:rsidP="006B3069">
      <w:pPr>
        <w:spacing w:before="240" w:line="360" w:lineRule="auto"/>
        <w:ind w:left="851" w:right="851"/>
        <w:jc w:val="both"/>
        <w:rPr>
          <w:rFonts w:ascii="Palatino Linotype" w:hAnsi="Palatino Linotype" w:cs="Arial"/>
          <w:i/>
          <w:lang w:eastAsia="es-MX"/>
        </w:rPr>
      </w:pPr>
      <w:r w:rsidRPr="000A3ECA">
        <w:rPr>
          <w:rFonts w:ascii="Palatino Linotype" w:hAnsi="Palatino Linotype" w:cs="Arial"/>
          <w:i/>
          <w:lang w:eastAsia="es-MX"/>
        </w:rPr>
        <w:t>[…]</w:t>
      </w:r>
    </w:p>
    <w:p w14:paraId="415B3C68" w14:textId="77777777" w:rsidR="006B3069" w:rsidRPr="000A3ECA" w:rsidRDefault="006B3069" w:rsidP="006B3069">
      <w:pPr>
        <w:spacing w:before="240" w:line="360" w:lineRule="auto"/>
        <w:ind w:left="851" w:right="851"/>
        <w:jc w:val="both"/>
        <w:rPr>
          <w:rFonts w:ascii="Palatino Linotype" w:hAnsi="Palatino Linotype" w:cs="Arial"/>
          <w:i/>
          <w:lang w:eastAsia="es-MX"/>
        </w:rPr>
      </w:pPr>
      <w:r w:rsidRPr="000A3ECA">
        <w:rPr>
          <w:rFonts w:ascii="Palatino Linotype" w:hAnsi="Palatino Linotype" w:cs="Arial"/>
          <w:b/>
          <w:i/>
          <w:lang w:eastAsia="es-MX"/>
        </w:rPr>
        <w:lastRenderedPageBreak/>
        <w:t xml:space="preserve">Quincuagésimo tercero. </w:t>
      </w:r>
      <w:r w:rsidRPr="000A3ECA">
        <w:rPr>
          <w:rFonts w:ascii="Palatino Linotype" w:hAnsi="Palatino Linotype" w:cs="Arial"/>
          <w:b/>
          <w:i/>
          <w:u w:val="single"/>
          <w:lang w:eastAsia="es-MX"/>
        </w:rPr>
        <w:t>El formato para señalar la clasificación parcial de un documento</w:t>
      </w:r>
      <w:r w:rsidRPr="000A3ECA">
        <w:rPr>
          <w:rFonts w:ascii="Palatino Linotype" w:hAnsi="Palatino Linotype" w:cs="Arial"/>
          <w:i/>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6B3069" w:rsidRPr="000A3ECA" w14:paraId="1C47B308" w14:textId="77777777" w:rsidTr="00CF28B9">
        <w:trPr>
          <w:jc w:val="center"/>
        </w:trPr>
        <w:tc>
          <w:tcPr>
            <w:tcW w:w="1129" w:type="dxa"/>
            <w:tcBorders>
              <w:top w:val="nil"/>
              <w:left w:val="nil"/>
              <w:bottom w:val="single" w:sz="4" w:space="0" w:color="auto"/>
              <w:right w:val="single" w:sz="4" w:space="0" w:color="auto"/>
            </w:tcBorders>
            <w:vAlign w:val="center"/>
          </w:tcPr>
          <w:p w14:paraId="1B574627"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B14B0" w14:textId="77777777" w:rsidR="006B3069" w:rsidRPr="000A3ECA" w:rsidRDefault="006B3069" w:rsidP="006B3069">
            <w:pPr>
              <w:spacing w:before="240" w:line="360" w:lineRule="auto"/>
              <w:jc w:val="center"/>
              <w:rPr>
                <w:rFonts w:ascii="Palatino Linotype" w:hAnsi="Palatino Linotype"/>
                <w:b/>
                <w:i/>
              </w:rPr>
            </w:pPr>
            <w:r w:rsidRPr="000A3ECA">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5B1ED" w14:textId="77777777" w:rsidR="006B3069" w:rsidRPr="000A3ECA" w:rsidRDefault="006B3069" w:rsidP="006B3069">
            <w:pPr>
              <w:spacing w:before="240" w:line="360" w:lineRule="auto"/>
              <w:jc w:val="center"/>
              <w:rPr>
                <w:rFonts w:ascii="Palatino Linotype" w:hAnsi="Palatino Linotype"/>
                <w:b/>
                <w:i/>
              </w:rPr>
            </w:pPr>
            <w:r w:rsidRPr="000A3ECA">
              <w:rPr>
                <w:rFonts w:ascii="Palatino Linotype" w:hAnsi="Palatino Linotype"/>
                <w:b/>
                <w:i/>
              </w:rPr>
              <w:t>Dónde:</w:t>
            </w:r>
          </w:p>
        </w:tc>
      </w:tr>
      <w:tr w:rsidR="006B3069" w:rsidRPr="000A3ECA" w14:paraId="2E78487D" w14:textId="77777777" w:rsidTr="00CF28B9">
        <w:trPr>
          <w:jc w:val="center"/>
        </w:trPr>
        <w:tc>
          <w:tcPr>
            <w:tcW w:w="1129" w:type="dxa"/>
            <w:vMerge w:val="restart"/>
            <w:tcBorders>
              <w:top w:val="single" w:sz="4" w:space="0" w:color="auto"/>
            </w:tcBorders>
            <w:vAlign w:val="center"/>
          </w:tcPr>
          <w:p w14:paraId="05ABFCE5" w14:textId="77777777" w:rsidR="006B3069" w:rsidRPr="000A3ECA" w:rsidRDefault="006B3069" w:rsidP="006B3069">
            <w:pPr>
              <w:spacing w:before="240" w:line="360" w:lineRule="auto"/>
              <w:jc w:val="center"/>
              <w:rPr>
                <w:rFonts w:ascii="Palatino Linotype" w:hAnsi="Palatino Linotype" w:cs="Arial"/>
                <w:b/>
                <w:i/>
                <w:lang w:eastAsia="es-MX"/>
              </w:rPr>
            </w:pPr>
            <w:r w:rsidRPr="000A3ECA">
              <w:rPr>
                <w:rFonts w:ascii="Palatino Linotype" w:hAnsi="Palatino Linotype" w:cs="Arial"/>
                <w:b/>
                <w:i/>
                <w:lang w:eastAsia="es-MX"/>
              </w:rPr>
              <w:t>Sello oficial o logotipo del sujeto obligado</w:t>
            </w:r>
          </w:p>
        </w:tc>
        <w:tc>
          <w:tcPr>
            <w:tcW w:w="1990" w:type="dxa"/>
            <w:tcBorders>
              <w:top w:val="single" w:sz="4" w:space="0" w:color="auto"/>
            </w:tcBorders>
            <w:vAlign w:val="center"/>
          </w:tcPr>
          <w:p w14:paraId="32119F81"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Fecha de clasificación</w:t>
            </w:r>
          </w:p>
        </w:tc>
        <w:tc>
          <w:tcPr>
            <w:tcW w:w="4531" w:type="dxa"/>
            <w:tcBorders>
              <w:top w:val="single" w:sz="4" w:space="0" w:color="auto"/>
            </w:tcBorders>
            <w:vAlign w:val="center"/>
          </w:tcPr>
          <w:p w14:paraId="6920E82F"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anotará la fecha en la que el Comité de Transparencia confirmó la clasificación del documento, en su caso.</w:t>
            </w:r>
          </w:p>
        </w:tc>
      </w:tr>
      <w:tr w:rsidR="006B3069" w:rsidRPr="000A3ECA" w14:paraId="73F8B786" w14:textId="77777777" w:rsidTr="00CF28B9">
        <w:trPr>
          <w:jc w:val="center"/>
        </w:trPr>
        <w:tc>
          <w:tcPr>
            <w:tcW w:w="1129" w:type="dxa"/>
            <w:vMerge/>
            <w:vAlign w:val="center"/>
          </w:tcPr>
          <w:p w14:paraId="5781AF16"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2526CA5E"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Área</w:t>
            </w:r>
          </w:p>
        </w:tc>
        <w:tc>
          <w:tcPr>
            <w:tcW w:w="4531" w:type="dxa"/>
            <w:vAlign w:val="center"/>
          </w:tcPr>
          <w:p w14:paraId="5C2E36C9"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señalará el nombre del área del cual es titular quien clasifica.</w:t>
            </w:r>
          </w:p>
        </w:tc>
      </w:tr>
      <w:tr w:rsidR="006B3069" w:rsidRPr="000A3ECA" w14:paraId="62F59CF8" w14:textId="77777777" w:rsidTr="00CF28B9">
        <w:trPr>
          <w:jc w:val="center"/>
        </w:trPr>
        <w:tc>
          <w:tcPr>
            <w:tcW w:w="1129" w:type="dxa"/>
            <w:vMerge/>
            <w:vAlign w:val="center"/>
          </w:tcPr>
          <w:p w14:paraId="27A58F36"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1573C417"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Información reservada</w:t>
            </w:r>
          </w:p>
        </w:tc>
        <w:tc>
          <w:tcPr>
            <w:tcW w:w="4531" w:type="dxa"/>
            <w:vAlign w:val="center"/>
          </w:tcPr>
          <w:p w14:paraId="1536660C"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B3069" w:rsidRPr="000A3ECA" w14:paraId="278824F3" w14:textId="77777777" w:rsidTr="00CF28B9">
        <w:trPr>
          <w:jc w:val="center"/>
        </w:trPr>
        <w:tc>
          <w:tcPr>
            <w:tcW w:w="1129" w:type="dxa"/>
            <w:vMerge/>
            <w:vAlign w:val="center"/>
          </w:tcPr>
          <w:p w14:paraId="0393C24B"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569175CF"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Periodo de reserva</w:t>
            </w:r>
          </w:p>
        </w:tc>
        <w:tc>
          <w:tcPr>
            <w:tcW w:w="4531" w:type="dxa"/>
            <w:vAlign w:val="center"/>
          </w:tcPr>
          <w:p w14:paraId="256179BE"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anotará el número de años o meses por los que se mantendrá el documento o las partes del mismo como reservado.</w:t>
            </w:r>
          </w:p>
        </w:tc>
      </w:tr>
      <w:tr w:rsidR="006B3069" w:rsidRPr="000A3ECA" w14:paraId="4CD8DB2C" w14:textId="77777777" w:rsidTr="00CF28B9">
        <w:trPr>
          <w:jc w:val="center"/>
        </w:trPr>
        <w:tc>
          <w:tcPr>
            <w:tcW w:w="1129" w:type="dxa"/>
            <w:vMerge/>
            <w:vAlign w:val="center"/>
          </w:tcPr>
          <w:p w14:paraId="2CFE3739"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2F996158"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Fundamento legal</w:t>
            </w:r>
          </w:p>
        </w:tc>
        <w:tc>
          <w:tcPr>
            <w:tcW w:w="4531" w:type="dxa"/>
            <w:vAlign w:val="center"/>
          </w:tcPr>
          <w:p w14:paraId="2A384C6E"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señalará el nombre del ordenamiento, el o los artículos, fracción(es), párrafo(s) con base en los cuales se sustente la reserva.</w:t>
            </w:r>
          </w:p>
        </w:tc>
      </w:tr>
      <w:tr w:rsidR="006B3069" w:rsidRPr="000A3ECA" w14:paraId="2D1D20A0" w14:textId="77777777" w:rsidTr="00CF28B9">
        <w:trPr>
          <w:jc w:val="center"/>
        </w:trPr>
        <w:tc>
          <w:tcPr>
            <w:tcW w:w="1129" w:type="dxa"/>
            <w:vMerge/>
            <w:vAlign w:val="center"/>
          </w:tcPr>
          <w:p w14:paraId="365CFE34"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2890D4DA"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Ampliación del periodo de reserva</w:t>
            </w:r>
          </w:p>
        </w:tc>
        <w:tc>
          <w:tcPr>
            <w:tcW w:w="4531" w:type="dxa"/>
            <w:vAlign w:val="center"/>
          </w:tcPr>
          <w:p w14:paraId="57427F5E"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 xml:space="preserve">En caso de haber solicitado la ampliación del periodo de reserva originalmente establecido, se </w:t>
            </w:r>
            <w:r w:rsidRPr="000A3ECA">
              <w:rPr>
                <w:rFonts w:ascii="Palatino Linotype" w:hAnsi="Palatino Linotype" w:cs="Arial"/>
                <w:i/>
                <w:lang w:eastAsia="es-MX"/>
              </w:rPr>
              <w:lastRenderedPageBreak/>
              <w:t>deberá anotar el número de años o meses por los que se amplía la reserva.</w:t>
            </w:r>
          </w:p>
        </w:tc>
      </w:tr>
      <w:tr w:rsidR="006B3069" w:rsidRPr="000A3ECA" w14:paraId="742DB767" w14:textId="77777777" w:rsidTr="00CF28B9">
        <w:trPr>
          <w:jc w:val="center"/>
        </w:trPr>
        <w:tc>
          <w:tcPr>
            <w:tcW w:w="1129" w:type="dxa"/>
            <w:vMerge/>
            <w:vAlign w:val="center"/>
          </w:tcPr>
          <w:p w14:paraId="51796E0B"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3A7F869F"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Confidencial</w:t>
            </w:r>
          </w:p>
        </w:tc>
        <w:tc>
          <w:tcPr>
            <w:tcW w:w="4531" w:type="dxa"/>
            <w:vAlign w:val="center"/>
          </w:tcPr>
          <w:p w14:paraId="495C4772"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 xml:space="preserve">Se indicarán, en su caso, las partes o páginas del documento que se clasifica como confidencial. </w:t>
            </w:r>
            <w:r w:rsidRPr="000A3ECA">
              <w:rPr>
                <w:rFonts w:ascii="Palatino Linotype" w:hAnsi="Palatino Linotype" w:cs="Arial"/>
                <w:b/>
                <w:i/>
                <w:lang w:eastAsia="es-MX"/>
              </w:rPr>
              <w:t>Si el documento fuera confidencial en su totalidad, se anotarán todas las páginas que lo conforman</w:t>
            </w:r>
            <w:r w:rsidRPr="000A3ECA">
              <w:rPr>
                <w:rFonts w:ascii="Palatino Linotype" w:hAnsi="Palatino Linotype" w:cs="Arial"/>
                <w:i/>
                <w:lang w:eastAsia="es-MX"/>
              </w:rPr>
              <w:t>. Si el documento no contiene información confidencial, se tachará este apartado.</w:t>
            </w:r>
          </w:p>
        </w:tc>
      </w:tr>
      <w:tr w:rsidR="006B3069" w:rsidRPr="000A3ECA" w14:paraId="64598CBE" w14:textId="77777777" w:rsidTr="00CF28B9">
        <w:trPr>
          <w:jc w:val="center"/>
        </w:trPr>
        <w:tc>
          <w:tcPr>
            <w:tcW w:w="1129" w:type="dxa"/>
            <w:vMerge/>
            <w:vAlign w:val="center"/>
          </w:tcPr>
          <w:p w14:paraId="18E1E634"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2D490F11"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Fundamento legal</w:t>
            </w:r>
          </w:p>
        </w:tc>
        <w:tc>
          <w:tcPr>
            <w:tcW w:w="4531" w:type="dxa"/>
            <w:vAlign w:val="center"/>
          </w:tcPr>
          <w:p w14:paraId="66D3BF2A"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señalará el nombre del ordenamiento, el o los artículos, fracción(es), párrafo(s) con base en los cuales se sustente la confidencialidad.</w:t>
            </w:r>
          </w:p>
        </w:tc>
      </w:tr>
      <w:tr w:rsidR="006B3069" w:rsidRPr="000A3ECA" w14:paraId="15C2A323" w14:textId="77777777" w:rsidTr="00CF28B9">
        <w:trPr>
          <w:jc w:val="center"/>
        </w:trPr>
        <w:tc>
          <w:tcPr>
            <w:tcW w:w="1129" w:type="dxa"/>
            <w:vMerge/>
            <w:vAlign w:val="center"/>
          </w:tcPr>
          <w:p w14:paraId="5A7930BC"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764F82B9"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Rúbrica del titular del área</w:t>
            </w:r>
          </w:p>
        </w:tc>
        <w:tc>
          <w:tcPr>
            <w:tcW w:w="4531" w:type="dxa"/>
            <w:vAlign w:val="center"/>
          </w:tcPr>
          <w:p w14:paraId="6356D8A8"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Rúbrica autógrafa de quien clasifica.</w:t>
            </w:r>
          </w:p>
        </w:tc>
      </w:tr>
      <w:tr w:rsidR="006B3069" w:rsidRPr="000A3ECA" w14:paraId="60A0CA59" w14:textId="77777777" w:rsidTr="00CF28B9">
        <w:trPr>
          <w:jc w:val="center"/>
        </w:trPr>
        <w:tc>
          <w:tcPr>
            <w:tcW w:w="1129" w:type="dxa"/>
            <w:vMerge/>
            <w:vAlign w:val="center"/>
          </w:tcPr>
          <w:p w14:paraId="66F94416"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03B6000C"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Fecha de desclasificación</w:t>
            </w:r>
          </w:p>
        </w:tc>
        <w:tc>
          <w:tcPr>
            <w:tcW w:w="4531" w:type="dxa"/>
            <w:vAlign w:val="center"/>
          </w:tcPr>
          <w:p w14:paraId="782C9017"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Se anotará la fecha en que se desclasifica el documento.</w:t>
            </w:r>
          </w:p>
        </w:tc>
      </w:tr>
      <w:tr w:rsidR="006B3069" w:rsidRPr="000A3ECA" w14:paraId="67DE7D05" w14:textId="77777777" w:rsidTr="00CF28B9">
        <w:trPr>
          <w:jc w:val="center"/>
        </w:trPr>
        <w:tc>
          <w:tcPr>
            <w:tcW w:w="1129" w:type="dxa"/>
            <w:vMerge/>
            <w:vAlign w:val="center"/>
          </w:tcPr>
          <w:p w14:paraId="137FAC40" w14:textId="77777777" w:rsidR="006B3069" w:rsidRPr="000A3ECA" w:rsidRDefault="006B3069" w:rsidP="006B3069">
            <w:pPr>
              <w:spacing w:before="240" w:line="360" w:lineRule="auto"/>
              <w:jc w:val="center"/>
              <w:rPr>
                <w:rFonts w:ascii="Palatino Linotype" w:hAnsi="Palatino Linotype" w:cs="Arial"/>
                <w:i/>
                <w:lang w:eastAsia="es-MX"/>
              </w:rPr>
            </w:pPr>
          </w:p>
        </w:tc>
        <w:tc>
          <w:tcPr>
            <w:tcW w:w="1990" w:type="dxa"/>
            <w:vAlign w:val="center"/>
          </w:tcPr>
          <w:p w14:paraId="23FFC6A7" w14:textId="77777777" w:rsidR="006B3069" w:rsidRPr="000A3ECA" w:rsidRDefault="006B3069" w:rsidP="006B3069">
            <w:pPr>
              <w:spacing w:before="240" w:line="360" w:lineRule="auto"/>
              <w:jc w:val="center"/>
              <w:rPr>
                <w:rFonts w:ascii="Palatino Linotype" w:hAnsi="Palatino Linotype" w:cs="Arial"/>
                <w:i/>
                <w:lang w:eastAsia="es-MX"/>
              </w:rPr>
            </w:pPr>
            <w:r w:rsidRPr="000A3ECA">
              <w:rPr>
                <w:rFonts w:ascii="Palatino Linotype" w:hAnsi="Palatino Linotype" w:cs="Arial"/>
                <w:i/>
                <w:lang w:eastAsia="es-MX"/>
              </w:rPr>
              <w:t>Rúbrica y cargo del servidor público</w:t>
            </w:r>
          </w:p>
        </w:tc>
        <w:tc>
          <w:tcPr>
            <w:tcW w:w="4531" w:type="dxa"/>
            <w:vAlign w:val="center"/>
          </w:tcPr>
          <w:p w14:paraId="2674BF60" w14:textId="77777777" w:rsidR="006B3069" w:rsidRPr="000A3ECA" w:rsidRDefault="006B3069" w:rsidP="006B3069">
            <w:pPr>
              <w:spacing w:before="240" w:line="360" w:lineRule="auto"/>
              <w:jc w:val="both"/>
              <w:rPr>
                <w:rFonts w:ascii="Palatino Linotype" w:hAnsi="Palatino Linotype" w:cs="Arial"/>
                <w:i/>
                <w:lang w:eastAsia="es-MX"/>
              </w:rPr>
            </w:pPr>
            <w:r w:rsidRPr="000A3ECA">
              <w:rPr>
                <w:rFonts w:ascii="Palatino Linotype" w:hAnsi="Palatino Linotype" w:cs="Arial"/>
                <w:i/>
                <w:lang w:eastAsia="es-MX"/>
              </w:rPr>
              <w:t>Rúbrica autógrafa de quien desclasifica.</w:t>
            </w:r>
          </w:p>
        </w:tc>
      </w:tr>
    </w:tbl>
    <w:p w14:paraId="0AB98B2F" w14:textId="77777777" w:rsidR="006B3069" w:rsidRPr="000A3ECA" w:rsidRDefault="006B3069" w:rsidP="006B3069">
      <w:pPr>
        <w:autoSpaceDE w:val="0"/>
        <w:autoSpaceDN w:val="0"/>
        <w:adjustRightInd w:val="0"/>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t xml:space="preserve">Efectivamente, cuando se clasifica información como </w:t>
      </w:r>
      <w:r w:rsidRPr="009F3DF8">
        <w:rPr>
          <w:rFonts w:ascii="Palatino Linotype" w:hAnsi="Palatino Linotype" w:cs="Arial"/>
          <w:b/>
          <w:sz w:val="24"/>
          <w:szCs w:val="24"/>
        </w:rPr>
        <w:t>CONFIDENCIAL</w:t>
      </w:r>
      <w:r w:rsidRPr="000A3ECA">
        <w:rPr>
          <w:rFonts w:ascii="Palatino Linotype" w:hAnsi="Palatino Linotype" w:cs="Arial"/>
          <w:sz w:val="24"/>
          <w:szCs w:val="24"/>
        </w:rPr>
        <w:t xml:space="preserve"> es importante someterlo al Comité de Transparencia, quien debe confirmar, modificar o revocar la clasificación</w:t>
      </w:r>
      <w:r w:rsidRPr="000A3ECA">
        <w:rPr>
          <w:rFonts w:ascii="Palatino Linotype" w:hAnsi="Palatino Linotype"/>
          <w:sz w:val="24"/>
          <w:szCs w:val="24"/>
          <w:lang w:eastAsia="es-MX"/>
        </w:rPr>
        <w:t xml:space="preserve">, por lo que el acuerdo respectivo, deberá hacerse del conocimiento del </w:t>
      </w:r>
      <w:r w:rsidRPr="009F3DF8">
        <w:rPr>
          <w:rFonts w:ascii="Palatino Linotype" w:hAnsi="Palatino Linotype"/>
          <w:b/>
          <w:bCs/>
          <w:sz w:val="24"/>
          <w:szCs w:val="24"/>
          <w:lang w:eastAsia="es-MX"/>
        </w:rPr>
        <w:t>Recurrente</w:t>
      </w:r>
      <w:r w:rsidRPr="000A3ECA">
        <w:rPr>
          <w:rFonts w:ascii="Palatino Linotype" w:hAnsi="Palatino Linotype"/>
          <w:sz w:val="24"/>
          <w:szCs w:val="24"/>
          <w:lang w:eastAsia="es-MX"/>
        </w:rPr>
        <w:t>.</w:t>
      </w:r>
    </w:p>
    <w:p w14:paraId="7CD1D040" w14:textId="77777777" w:rsidR="006B3069" w:rsidRPr="000A3ECA" w:rsidRDefault="006B3069" w:rsidP="006B3069">
      <w:pPr>
        <w:spacing w:before="240" w:line="360" w:lineRule="auto"/>
        <w:jc w:val="both"/>
        <w:rPr>
          <w:rFonts w:ascii="Palatino Linotype" w:hAnsi="Palatino Linotype" w:cs="Arial"/>
          <w:sz w:val="24"/>
          <w:szCs w:val="24"/>
          <w:lang w:eastAsia="es-CO"/>
        </w:rPr>
      </w:pPr>
      <w:r w:rsidRPr="000A3ECA">
        <w:rPr>
          <w:rFonts w:ascii="Palatino Linotype" w:hAnsi="Palatino Linotype" w:cs="Arial"/>
          <w:sz w:val="24"/>
          <w:szCs w:val="24"/>
          <w:lang w:eastAsia="es-CO"/>
        </w:rPr>
        <w:lastRenderedPageBreak/>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65E0C9AD" w14:textId="77777777" w:rsidR="006B3069" w:rsidRDefault="006B3069" w:rsidP="006B3069">
      <w:pPr>
        <w:autoSpaceDE w:val="0"/>
        <w:autoSpaceDN w:val="0"/>
        <w:adjustRightInd w:val="0"/>
        <w:spacing w:before="240" w:line="360" w:lineRule="auto"/>
        <w:jc w:val="both"/>
        <w:rPr>
          <w:rFonts w:ascii="Palatino Linotype" w:hAnsi="Palatino Linotype" w:cs="Arial"/>
          <w:sz w:val="24"/>
          <w:szCs w:val="24"/>
        </w:rPr>
      </w:pPr>
      <w:r w:rsidRPr="000A3ECA">
        <w:rPr>
          <w:rFonts w:ascii="Palatino Linotype" w:hAnsi="Palatino Linotype" w:cs="Arial"/>
          <w:sz w:val="24"/>
          <w:szCs w:val="24"/>
        </w:rPr>
        <w:t xml:space="preserve">Sirven de sustento a lo anterior, las tesis jurisprudenciales </w:t>
      </w:r>
      <w:r w:rsidRPr="000A3ECA">
        <w:rPr>
          <w:rFonts w:ascii="Palatino Linotype" w:hAnsi="Palatino Linotype" w:cs="Arial"/>
          <w:i/>
          <w:sz w:val="24"/>
          <w:szCs w:val="24"/>
        </w:rPr>
        <w:t xml:space="preserve">P. LX/2000 </w:t>
      </w:r>
      <w:r w:rsidRPr="000A3ECA">
        <w:rPr>
          <w:rFonts w:ascii="Palatino Linotype" w:hAnsi="Palatino Linotype" w:cs="Arial"/>
          <w:sz w:val="24"/>
          <w:szCs w:val="24"/>
        </w:rPr>
        <w:t xml:space="preserve">y </w:t>
      </w:r>
      <w:r w:rsidRPr="000A3ECA">
        <w:rPr>
          <w:rFonts w:ascii="Palatino Linotype" w:hAnsi="Palatino Linotype" w:cs="Tahoma"/>
          <w:bCs/>
          <w:i/>
          <w:color w:val="444444"/>
          <w:sz w:val="24"/>
          <w:szCs w:val="24"/>
        </w:rPr>
        <w:t>2a. XLIII/2008</w:t>
      </w:r>
      <w:r w:rsidRPr="000A3ECA">
        <w:rPr>
          <w:rFonts w:ascii="Tahoma" w:hAnsi="Tahoma" w:cs="Tahoma"/>
          <w:b/>
          <w:bCs/>
          <w:color w:val="444444"/>
          <w:sz w:val="24"/>
          <w:szCs w:val="24"/>
        </w:rPr>
        <w:t xml:space="preserve"> </w:t>
      </w:r>
      <w:r w:rsidRPr="000A3ECA">
        <w:rPr>
          <w:rFonts w:ascii="Palatino Linotype" w:hAnsi="Palatino Linotype" w:cs="Arial"/>
          <w:sz w:val="24"/>
          <w:szCs w:val="24"/>
        </w:rPr>
        <w:t>emitidas por el Peno y la Segunda Sala de la Suprema Corte de Justicia de la Nación, respectivamente, que son del tenor literal siguiente:</w:t>
      </w:r>
    </w:p>
    <w:p w14:paraId="25B16C03" w14:textId="77777777" w:rsidR="006B3069" w:rsidRPr="000A3ECA" w:rsidRDefault="006B3069" w:rsidP="006B3069">
      <w:pPr>
        <w:spacing w:before="240" w:line="360" w:lineRule="auto"/>
        <w:ind w:left="851" w:right="851"/>
        <w:jc w:val="both"/>
        <w:rPr>
          <w:rFonts w:ascii="Palatino Linotype" w:hAnsi="Palatino Linotype" w:cs="Calibri"/>
          <w:i/>
          <w:color w:val="000000"/>
          <w:szCs w:val="24"/>
        </w:rPr>
      </w:pPr>
      <w:r w:rsidRPr="000A3ECA">
        <w:rPr>
          <w:rFonts w:ascii="Palatino Linotype" w:hAnsi="Palatino Linotype" w:cs="Calibri"/>
          <w:b/>
          <w:bCs/>
          <w:i/>
          <w:color w:val="000000"/>
          <w:szCs w:val="24"/>
        </w:rPr>
        <w:t xml:space="preserve">“DERECHO A LA INFORMACIÓN. SU EJERCICIO SE ENCUENTRA LIMITADO TANTO POR LOS INTERESES NACIONALES Y DE LA SOCIEDAD, COMO POR LOS DERECHOS DE TERCEROS. </w:t>
      </w:r>
      <w:r w:rsidRPr="000A3ECA">
        <w:rPr>
          <w:rFonts w:ascii="Palatino Linotype" w:hAnsi="Palatino Linotype" w:cs="Calibri"/>
          <w:i/>
          <w:color w:val="000000"/>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A3ECA">
        <w:rPr>
          <w:rFonts w:ascii="Palatino Linotype" w:hAnsi="Palatino Linotype" w:cs="Calibri"/>
          <w:b/>
          <w:i/>
          <w:color w:val="000000"/>
          <w:szCs w:val="24"/>
        </w:rPr>
        <w:t xml:space="preserve">restringen el acceso a la información en esta materia, en razón de que su conocimiento público puede generar daños a los intereses nacionales y, por el otro, </w:t>
      </w:r>
      <w:r w:rsidRPr="000A3ECA">
        <w:rPr>
          <w:rFonts w:ascii="Palatino Linotype" w:hAnsi="Palatino Linotype" w:cs="Calibri"/>
          <w:b/>
          <w:i/>
          <w:color w:val="000000"/>
          <w:szCs w:val="24"/>
        </w:rPr>
        <w:lastRenderedPageBreak/>
        <w:t>sancionan la inobservancia de esa reserva</w:t>
      </w:r>
      <w:r w:rsidRPr="000A3ECA">
        <w:rPr>
          <w:rFonts w:ascii="Palatino Linotype" w:hAnsi="Palatino Linotype" w:cs="Calibri"/>
          <w:i/>
          <w:color w:val="000000"/>
          <w:szCs w:val="24"/>
        </w:rPr>
        <w:t xml:space="preserve">; por lo que hace al interés social, se cuenta con normas que tienden a proteger la averiguación de los delitos, la salud y la moral públicas, </w:t>
      </w:r>
      <w:r w:rsidRPr="000A3ECA">
        <w:rPr>
          <w:rFonts w:ascii="Palatino Linotype" w:hAnsi="Palatino Linotype" w:cs="Calibri"/>
          <w:b/>
          <w:i/>
          <w:color w:val="000000"/>
          <w:szCs w:val="24"/>
        </w:rPr>
        <w:t>mientras que por lo que respecta a la protección de la persona existen normas que protegen el derecho a la vida o a la privacidad de los gobernados</w:t>
      </w:r>
      <w:r w:rsidRPr="000A3ECA">
        <w:rPr>
          <w:rFonts w:ascii="Palatino Linotype" w:hAnsi="Palatino Linotype" w:cs="Calibri"/>
          <w:i/>
          <w:color w:val="000000"/>
          <w:szCs w:val="24"/>
        </w:rPr>
        <w:t>.”</w:t>
      </w:r>
    </w:p>
    <w:p w14:paraId="0EFB3F4B" w14:textId="77777777" w:rsidR="006B3069" w:rsidRPr="000A3ECA" w:rsidRDefault="006B3069" w:rsidP="006B3069">
      <w:pPr>
        <w:spacing w:before="240" w:line="360" w:lineRule="auto"/>
        <w:ind w:left="851" w:right="851"/>
        <w:jc w:val="both"/>
        <w:rPr>
          <w:rFonts w:ascii="Palatino Linotype" w:hAnsi="Palatino Linotype" w:cs="Arial"/>
          <w:i/>
          <w:szCs w:val="24"/>
        </w:rPr>
      </w:pPr>
      <w:r w:rsidRPr="000A3ECA">
        <w:rPr>
          <w:rFonts w:ascii="Palatino Linotype" w:hAnsi="Palatino Linotype" w:cs="Arial"/>
          <w:b/>
          <w:i/>
          <w:szCs w:val="24"/>
        </w:rPr>
        <w:t xml:space="preserve">“TRANSPARENCIA Y ACCESO A LA INFORMACIÓN PÚBLICA GUBERNAMENTAL. EL ARTÍCULO 14, FRACCIÓN I, DE LA LEY FEDERAL RELATIVA, NO VIOLA LA GARANTÍA DE ACCESO A LA INFORMACIÓN. </w:t>
      </w:r>
      <w:r w:rsidRPr="000A3ECA">
        <w:rPr>
          <w:rFonts w:ascii="Palatino Linotype" w:hAnsi="Palatino Linotype" w:cs="Arial"/>
          <w:i/>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A3ECA">
        <w:rPr>
          <w:rFonts w:ascii="Palatino Linotype" w:hAnsi="Palatino Linotype" w:cs="Arial"/>
          <w:b/>
          <w:i/>
          <w:szCs w:val="24"/>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w:t>
      </w:r>
      <w:r w:rsidRPr="000A3ECA">
        <w:rPr>
          <w:rFonts w:ascii="Palatino Linotype" w:hAnsi="Palatino Linotype" w:cs="Arial"/>
          <w:b/>
          <w:i/>
          <w:szCs w:val="24"/>
        </w:rPr>
        <w:lastRenderedPageBreak/>
        <w:t>congruencia entre el derecho fundamental de que se trata y la razón que motive la restricción legislativa correspondiente,</w:t>
      </w:r>
      <w:r w:rsidRPr="000A3ECA">
        <w:rPr>
          <w:rFonts w:ascii="Palatino Linotype" w:hAnsi="Palatino Linotype" w:cs="Arial"/>
          <w:i/>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45670DAB" w14:textId="77777777" w:rsidR="006B3069" w:rsidRPr="004C6A35" w:rsidRDefault="006B3069" w:rsidP="006B3069">
      <w:pPr>
        <w:spacing w:before="240" w:line="360" w:lineRule="auto"/>
        <w:jc w:val="both"/>
        <w:rPr>
          <w:rFonts w:ascii="Palatino Linotype" w:hAnsi="Palatino Linotype" w:cs="Arial"/>
          <w:sz w:val="24"/>
          <w:szCs w:val="24"/>
        </w:rPr>
      </w:pPr>
      <w:r w:rsidRPr="004C6A35">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6C3F13D7" w14:textId="1F23270E" w:rsidR="00834724" w:rsidRPr="006B3069" w:rsidRDefault="006B3069" w:rsidP="006B3069">
      <w:pPr>
        <w:pStyle w:val="Sinespaciado"/>
        <w:spacing w:before="240" w:after="160" w:line="360" w:lineRule="auto"/>
        <w:jc w:val="both"/>
        <w:rPr>
          <w:rFonts w:ascii="Palatino Linotype" w:hAnsi="Palatino Linotype" w:cs="Arial"/>
          <w:bCs/>
        </w:rPr>
      </w:pPr>
      <w:r w:rsidRPr="004C6A35">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4C6A35">
        <w:rPr>
          <w:rFonts w:ascii="Palatino Linotype" w:hAnsi="Palatino Linotype" w:cs="Arial"/>
        </w:rPr>
        <w:t xml:space="preserve">de la Ley de Transparencia y Acceso a la Información Pública del Estado de México y Municipios, </w:t>
      </w:r>
      <w:r w:rsidRPr="004C6A35">
        <w:rPr>
          <w:rFonts w:ascii="Palatino Linotype" w:hAnsi="Palatino Linotype" w:cs="Arial"/>
          <w:bCs/>
        </w:rPr>
        <w:t xml:space="preserve">a efecto de salvaguardar el derecho de acceso a la información pública consignado a favor del </w:t>
      </w:r>
      <w:r w:rsidRPr="007336AF">
        <w:rPr>
          <w:rFonts w:ascii="Palatino Linotype" w:hAnsi="Palatino Linotype" w:cs="Arial"/>
          <w:b/>
          <w:bCs/>
        </w:rPr>
        <w:t>Recurrente</w:t>
      </w:r>
      <w:r w:rsidRPr="004C6A35">
        <w:rPr>
          <w:rFonts w:ascii="Palatino Linotype" w:hAnsi="Palatino Linotype" w:cs="Arial"/>
          <w:bCs/>
        </w:rPr>
        <w:t>.</w:t>
      </w:r>
    </w:p>
    <w:p w14:paraId="6045BF96" w14:textId="014DBDD2" w:rsidR="00736C75" w:rsidRPr="00DA696D" w:rsidRDefault="00736C75" w:rsidP="00DA696D">
      <w:pPr>
        <w:spacing w:before="240" w:after="240" w:line="360" w:lineRule="auto"/>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474FA0" w:rsidRPr="00955CD0">
        <w:rPr>
          <w:rFonts w:ascii="Palatino Linotype" w:hAnsi="Palatino Linotype" w:cs="Arial"/>
          <w:b/>
          <w:sz w:val="24"/>
        </w:rPr>
        <w:t>00594/AMECAMEC/IP/2019</w:t>
      </w:r>
      <w:r>
        <w:rPr>
          <w:rFonts w:ascii="Palatino Linotype" w:hAnsi="Palatino Linotype"/>
          <w:sz w:val="24"/>
          <w:szCs w:val="24"/>
        </w:rPr>
        <w:t>, que ha sido materia del presente fallo.</w:t>
      </w:r>
    </w:p>
    <w:p w14:paraId="6ED3CC02" w14:textId="1E77C542"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73D72FA5" w14:textId="214BBAE7" w:rsidR="00474FA0" w:rsidRDefault="00474FA0" w:rsidP="00736C75">
      <w:pPr>
        <w:tabs>
          <w:tab w:val="left" w:pos="8931"/>
        </w:tabs>
        <w:spacing w:before="240" w:line="360" w:lineRule="auto"/>
        <w:ind w:right="51"/>
        <w:jc w:val="both"/>
        <w:rPr>
          <w:rFonts w:ascii="Palatino Linotype" w:hAnsi="Palatino Linotype"/>
          <w:sz w:val="24"/>
          <w:szCs w:val="24"/>
        </w:rPr>
      </w:pPr>
    </w:p>
    <w:p w14:paraId="714DE5A4" w14:textId="77777777" w:rsidR="00474FA0" w:rsidRDefault="00474FA0"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14:paraId="7DBE6995" w14:textId="5A7910E5"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474FA0" w:rsidRPr="00955CD0">
        <w:rPr>
          <w:rFonts w:ascii="Palatino Linotype" w:hAnsi="Palatino Linotype" w:cs="Arial"/>
          <w:b/>
          <w:sz w:val="24"/>
        </w:rPr>
        <w:t>00594/AMECAMEC/IP/2019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F371CA">
        <w:rPr>
          <w:rFonts w:ascii="Palatino Linotype" w:hAnsi="Palatino Linotype" w:cs="Arial"/>
          <w:b/>
          <w:sz w:val="24"/>
          <w:lang w:val="es-ES_tradnl"/>
        </w:rPr>
        <w:t xml:space="preserve">Quinto </w:t>
      </w:r>
      <w:r w:rsidRPr="001D420F">
        <w:rPr>
          <w:rFonts w:ascii="Palatino Linotype" w:hAnsi="Palatino Linotype" w:cs="Arial"/>
          <w:sz w:val="24"/>
          <w:lang w:val="es-ES_tradnl"/>
        </w:rPr>
        <w:t>de la presente resolución.</w:t>
      </w:r>
    </w:p>
    <w:p w14:paraId="0CE56FF8" w14:textId="0B3A7B20"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previa búsqueda exhaustiva y razonable</w:t>
      </w:r>
      <w:r>
        <w:rPr>
          <w:rFonts w:ascii="Palatino Linotype" w:hAnsi="Palatino Linotype" w:cs="Arial"/>
          <w:sz w:val="24"/>
          <w:szCs w:val="24"/>
        </w:rPr>
        <w:t xml:space="preserve"> a través del SAIMEX</w:t>
      </w:r>
      <w:r w:rsidR="00533106">
        <w:rPr>
          <w:rFonts w:ascii="Palatino Linotype" w:hAnsi="Palatino Linotype" w:cs="Arial"/>
          <w:sz w:val="24"/>
          <w:szCs w:val="24"/>
        </w:rPr>
        <w:t xml:space="preserve"> y en versión pública</w:t>
      </w:r>
      <w:r w:rsidR="00407989">
        <w:rPr>
          <w:rFonts w:ascii="Palatino Linotype" w:hAnsi="Palatino Linotype" w:cs="Arial"/>
          <w:sz w:val="24"/>
          <w:szCs w:val="24"/>
        </w:rPr>
        <w:t xml:space="preserve"> en caso de ser procedente</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w:t>
      </w:r>
      <w:r w:rsidR="00F371CA">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590533DD" w14:textId="2B00E934" w:rsidR="00A27459" w:rsidRPr="00A65C79" w:rsidRDefault="00474FA0" w:rsidP="007928E0">
      <w:pPr>
        <w:numPr>
          <w:ilvl w:val="0"/>
          <w:numId w:val="20"/>
        </w:numPr>
        <w:autoSpaceDE w:val="0"/>
        <w:autoSpaceDN w:val="0"/>
        <w:adjustRightInd w:val="0"/>
        <w:spacing w:before="240" w:after="0" w:line="360" w:lineRule="auto"/>
        <w:ind w:left="1416" w:right="49" w:hanging="1056"/>
        <w:jc w:val="both"/>
        <w:rPr>
          <w:rFonts w:ascii="Palatino Linotype" w:eastAsia="Times New Roman" w:hAnsi="Palatino Linotype" w:cs="Arial"/>
          <w:i/>
          <w:sz w:val="24"/>
          <w:szCs w:val="24"/>
          <w:lang w:val="es-ES" w:eastAsia="es-ES"/>
        </w:rPr>
      </w:pPr>
      <w:r>
        <w:rPr>
          <w:rFonts w:ascii="Palatino Linotype" w:eastAsia="MS Mincho" w:hAnsi="Palatino Linotype" w:cs="Times New Roman"/>
          <w:i/>
          <w:sz w:val="24"/>
          <w:szCs w:val="24"/>
          <w:lang w:val="es-ES" w:eastAsia="es-ES"/>
        </w:rPr>
        <w:t>Lista de ingreso del personal adscrito al Ayuntamiento de Amecameca correspondiente al mes de septiembre de 2019</w:t>
      </w:r>
      <w:r w:rsidR="00F07B17">
        <w:rPr>
          <w:rFonts w:ascii="Palatino Linotype" w:eastAsia="MS Mincho" w:hAnsi="Palatino Linotype" w:cs="Times New Roman"/>
          <w:i/>
          <w:sz w:val="24"/>
          <w:szCs w:val="24"/>
          <w:lang w:val="es-ES" w:eastAsia="es-ES"/>
        </w:rPr>
        <w:t>.</w:t>
      </w:r>
    </w:p>
    <w:p w14:paraId="37A39D05" w14:textId="6CE1AF12" w:rsidR="00A27459" w:rsidRDefault="00A27459" w:rsidP="00E33AD5">
      <w:pPr>
        <w:spacing w:before="24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2AD0760" w14:textId="7EB82B89"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A6B17AF" w14:textId="77777777" w:rsidR="00E14E9F" w:rsidRDefault="00E14E9F" w:rsidP="00A27459">
      <w:pPr>
        <w:autoSpaceDE w:val="0"/>
        <w:autoSpaceDN w:val="0"/>
        <w:adjustRightInd w:val="0"/>
        <w:spacing w:before="240" w:line="360" w:lineRule="auto"/>
        <w:jc w:val="both"/>
        <w:rPr>
          <w:rFonts w:ascii="Palatino Linotype" w:hAnsi="Palatino Linotype" w:cs="Arial"/>
          <w:sz w:val="24"/>
          <w:szCs w:val="24"/>
        </w:rPr>
      </w:pPr>
    </w:p>
    <w:p w14:paraId="3D3C360E" w14:textId="579237F6" w:rsidR="005C0BEA" w:rsidRDefault="005C0BEA" w:rsidP="005C0BEA">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r w:rsidRPr="005C0BEA">
        <w:rPr>
          <w:rFonts w:ascii="Palatino Linotype" w:hAnsi="Palatino Linotype" w:cs="Arial"/>
          <w:sz w:val="24"/>
          <w:szCs w:val="24"/>
        </w:rPr>
        <w:t xml:space="preserve"> </w:t>
      </w:r>
      <w:r>
        <w:rPr>
          <w:rFonts w:ascii="Palatino Linotype" w:hAnsi="Palatino Linotype" w:cs="Arial"/>
          <w:sz w:val="24"/>
          <w:szCs w:val="24"/>
        </w:rPr>
        <w:t>-------------------------------------------------------------------------------------------------------------------------------------------------------------------------------------------------------------------------------------------------------------------------------------------------------------------------------------------------------------------------------------------------------------------------------------------------------------------------------------------------------------------------------------------------------------------------------------</w:t>
      </w:r>
    </w:p>
    <w:p w14:paraId="7AEDB769" w14:textId="77777777" w:rsidR="005C0BEA" w:rsidRDefault="005C0BEA" w:rsidP="005C0BEA">
      <w:pPr>
        <w:spacing w:before="240"/>
        <w:jc w:val="both"/>
        <w:rPr>
          <w:rFonts w:ascii="Palatino Linotype" w:hAnsi="Palatino Linotype"/>
        </w:rPr>
      </w:pPr>
    </w:p>
    <w:p w14:paraId="0CA239D3" w14:textId="77777777" w:rsidR="005C0BEA" w:rsidRDefault="005C0BEA" w:rsidP="005C0BE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B990F22" wp14:editId="69E68EB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3D6774D4" w14:textId="77777777" w:rsidR="005C0BEA" w:rsidRPr="00EF2FC0" w:rsidRDefault="005C0BEA" w:rsidP="005C0BE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4F9AF86"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9CF7E99"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990F22"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3D6774D4" w14:textId="77777777" w:rsidR="005C0BEA" w:rsidRPr="00EF2FC0" w:rsidRDefault="005C0BEA" w:rsidP="005C0BE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4F9AF86"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9CF7E99"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690FEBC" w14:textId="77777777" w:rsidR="005C0BEA" w:rsidRPr="00D54B7D" w:rsidRDefault="005C0BEA" w:rsidP="005C0BEA">
      <w:pPr>
        <w:spacing w:before="240"/>
        <w:jc w:val="both"/>
        <w:rPr>
          <w:rFonts w:ascii="Palatino Linotype" w:hAnsi="Palatino Linotype"/>
        </w:rPr>
      </w:pPr>
    </w:p>
    <w:p w14:paraId="43895D25" w14:textId="77777777" w:rsidR="005C0BEA" w:rsidRPr="00D54B7D" w:rsidRDefault="005C0BEA" w:rsidP="005C0BEA">
      <w:pPr>
        <w:spacing w:before="240"/>
        <w:jc w:val="center"/>
        <w:rPr>
          <w:rFonts w:ascii="Palatino Linotype" w:hAnsi="Palatino Linotype"/>
        </w:rPr>
      </w:pPr>
    </w:p>
    <w:p w14:paraId="07C72F09" w14:textId="77777777" w:rsidR="005C0BEA" w:rsidRDefault="005C0BEA" w:rsidP="005C0BEA">
      <w:pPr>
        <w:spacing w:before="240"/>
        <w:rPr>
          <w:rFonts w:ascii="Palatino Linotype" w:hAnsi="Palatino Linotype"/>
          <w:b/>
        </w:rPr>
      </w:pPr>
    </w:p>
    <w:p w14:paraId="7F641088" w14:textId="77777777" w:rsidR="005C0BEA" w:rsidRDefault="005C0BEA" w:rsidP="005C0BEA">
      <w:pPr>
        <w:spacing w:before="240"/>
        <w:rPr>
          <w:rFonts w:ascii="Palatino Linotype" w:hAnsi="Palatino Linotype"/>
          <w:b/>
        </w:rPr>
      </w:pPr>
    </w:p>
    <w:p w14:paraId="3CDB2E50" w14:textId="77777777" w:rsidR="005C0BEA" w:rsidRDefault="005C0BEA" w:rsidP="005C0BE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CFD52E7" wp14:editId="2D6234A5">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388208" w14:textId="77777777" w:rsidR="005C0BEA" w:rsidRPr="00EF2FC0" w:rsidRDefault="005C0BEA" w:rsidP="005C0BE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AE14D90"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069734B"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3878BFE4" w14:textId="77777777" w:rsidR="005C0BEA" w:rsidRDefault="005C0BEA" w:rsidP="005C0BEA">
                            <w:pPr>
                              <w:spacing w:line="240" w:lineRule="auto"/>
                              <w:jc w:val="center"/>
                              <w:rPr>
                                <w:rFonts w:ascii="Palatino Linotype" w:hAnsi="Palatino Linotype"/>
                                <w:sz w:val="24"/>
                                <w:szCs w:val="24"/>
                              </w:rPr>
                            </w:pPr>
                          </w:p>
                          <w:p w14:paraId="0B6657C9" w14:textId="77777777" w:rsidR="005C0BEA" w:rsidRPr="00797B31" w:rsidRDefault="005C0BEA" w:rsidP="005C0BE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52E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68388208" w14:textId="77777777" w:rsidR="005C0BEA" w:rsidRPr="00EF2FC0" w:rsidRDefault="005C0BEA" w:rsidP="005C0BE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AE14D90"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069734B"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3878BFE4" w14:textId="77777777" w:rsidR="005C0BEA" w:rsidRDefault="005C0BEA" w:rsidP="005C0BEA">
                      <w:pPr>
                        <w:spacing w:line="240" w:lineRule="auto"/>
                        <w:jc w:val="center"/>
                        <w:rPr>
                          <w:rFonts w:ascii="Palatino Linotype" w:hAnsi="Palatino Linotype"/>
                          <w:sz w:val="24"/>
                          <w:szCs w:val="24"/>
                        </w:rPr>
                      </w:pPr>
                    </w:p>
                    <w:p w14:paraId="0B6657C9" w14:textId="77777777" w:rsidR="005C0BEA" w:rsidRPr="00797B31" w:rsidRDefault="005C0BEA" w:rsidP="005C0BE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B8A77C8" wp14:editId="7A22055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27835" w14:textId="77777777" w:rsidR="005C0BEA" w:rsidRPr="00EF2FC0" w:rsidRDefault="005C0BEA" w:rsidP="005C0BEA">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410A8051" w14:textId="77777777" w:rsidR="005C0BEA" w:rsidRDefault="005C0BEA" w:rsidP="005C0BEA">
                            <w:pPr>
                              <w:jc w:val="center"/>
                              <w:rPr>
                                <w:rFonts w:ascii="Palatino Linotype" w:hAnsi="Palatino Linotype"/>
                                <w:sz w:val="24"/>
                                <w:szCs w:val="24"/>
                              </w:rPr>
                            </w:pPr>
                            <w:r w:rsidRPr="00EF2FC0">
                              <w:rPr>
                                <w:rFonts w:ascii="Palatino Linotype" w:hAnsi="Palatino Linotype"/>
                                <w:sz w:val="24"/>
                                <w:szCs w:val="24"/>
                              </w:rPr>
                              <w:t>Comisionada</w:t>
                            </w:r>
                          </w:p>
                          <w:p w14:paraId="4AE96F07"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785543F2" w14:textId="77777777" w:rsidR="005C0BEA" w:rsidRPr="00EF2FC0" w:rsidRDefault="005C0BEA" w:rsidP="005C0BEA">
                            <w:pPr>
                              <w:jc w:val="center"/>
                              <w:rPr>
                                <w:rFonts w:ascii="Palatino Linotype" w:hAnsi="Palatino Linotype"/>
                                <w:sz w:val="24"/>
                                <w:szCs w:val="24"/>
                              </w:rPr>
                            </w:pPr>
                          </w:p>
                          <w:p w14:paraId="7A1C8409" w14:textId="77777777" w:rsidR="005C0BEA" w:rsidRDefault="005C0BEA" w:rsidP="005C0BE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A77C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70427835" w14:textId="77777777" w:rsidR="005C0BEA" w:rsidRPr="00EF2FC0" w:rsidRDefault="005C0BEA" w:rsidP="005C0BEA">
                      <w:pPr>
                        <w:jc w:val="center"/>
                        <w:rPr>
                          <w:rFonts w:ascii="Palatino Linotype" w:hAnsi="Palatino Linotype"/>
                          <w:b/>
                          <w:sz w:val="24"/>
                          <w:szCs w:val="24"/>
                        </w:rPr>
                      </w:pPr>
                      <w:r w:rsidRPr="00EF2FC0">
                        <w:rPr>
                          <w:rFonts w:ascii="Palatino Linotype" w:hAnsi="Palatino Linotype"/>
                          <w:b/>
                          <w:sz w:val="24"/>
                          <w:szCs w:val="24"/>
                        </w:rPr>
                        <w:t>Eva Abaid Yapur</w:t>
                      </w:r>
                    </w:p>
                    <w:p w14:paraId="410A8051" w14:textId="77777777" w:rsidR="005C0BEA" w:rsidRDefault="005C0BEA" w:rsidP="005C0BEA">
                      <w:pPr>
                        <w:jc w:val="center"/>
                        <w:rPr>
                          <w:rFonts w:ascii="Palatino Linotype" w:hAnsi="Palatino Linotype"/>
                          <w:sz w:val="24"/>
                          <w:szCs w:val="24"/>
                        </w:rPr>
                      </w:pPr>
                      <w:r w:rsidRPr="00EF2FC0">
                        <w:rPr>
                          <w:rFonts w:ascii="Palatino Linotype" w:hAnsi="Palatino Linotype"/>
                          <w:sz w:val="24"/>
                          <w:szCs w:val="24"/>
                        </w:rPr>
                        <w:t>Comisionada</w:t>
                      </w:r>
                    </w:p>
                    <w:p w14:paraId="4AE96F07"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785543F2" w14:textId="77777777" w:rsidR="005C0BEA" w:rsidRPr="00EF2FC0" w:rsidRDefault="005C0BEA" w:rsidP="005C0BEA">
                      <w:pPr>
                        <w:jc w:val="center"/>
                        <w:rPr>
                          <w:rFonts w:ascii="Palatino Linotype" w:hAnsi="Palatino Linotype"/>
                          <w:sz w:val="24"/>
                          <w:szCs w:val="24"/>
                        </w:rPr>
                      </w:pPr>
                    </w:p>
                    <w:p w14:paraId="7A1C8409" w14:textId="77777777" w:rsidR="005C0BEA" w:rsidRDefault="005C0BEA" w:rsidP="005C0BEA">
                      <w:pPr>
                        <w:jc w:val="center"/>
                      </w:pPr>
                    </w:p>
                  </w:txbxContent>
                </v:textbox>
                <w10:wrap anchorx="margin"/>
              </v:shape>
            </w:pict>
          </mc:Fallback>
        </mc:AlternateContent>
      </w:r>
    </w:p>
    <w:p w14:paraId="3F8C851C" w14:textId="77777777" w:rsidR="005C0BEA" w:rsidRPr="00D54B7D" w:rsidRDefault="005C0BEA" w:rsidP="005C0BEA">
      <w:pPr>
        <w:spacing w:before="240"/>
        <w:rPr>
          <w:rFonts w:ascii="Palatino Linotype" w:hAnsi="Palatino Linotype"/>
          <w:b/>
        </w:rPr>
      </w:pPr>
    </w:p>
    <w:p w14:paraId="0CDB590B" w14:textId="77777777" w:rsidR="005C0BEA" w:rsidRPr="00D54B7D" w:rsidRDefault="005C0BEA" w:rsidP="005C0BEA">
      <w:pPr>
        <w:spacing w:before="240"/>
        <w:rPr>
          <w:rFonts w:ascii="Palatino Linotype" w:hAnsi="Palatino Linotype"/>
          <w:b/>
        </w:rPr>
      </w:pPr>
    </w:p>
    <w:p w14:paraId="55F3B49D" w14:textId="77777777" w:rsidR="005C0BEA" w:rsidRDefault="005C0BEA" w:rsidP="005C0BEA">
      <w:pPr>
        <w:spacing w:before="240"/>
        <w:rPr>
          <w:rFonts w:ascii="Palatino Linotype" w:hAnsi="Palatino Linotype"/>
          <w:b/>
        </w:rPr>
      </w:pPr>
    </w:p>
    <w:p w14:paraId="0164DF07" w14:textId="77777777" w:rsidR="005C0BEA" w:rsidRDefault="005C0BEA" w:rsidP="005C0BEA">
      <w:pPr>
        <w:spacing w:before="240"/>
        <w:rPr>
          <w:rFonts w:ascii="Palatino Linotype" w:hAnsi="Palatino Linotype"/>
          <w:b/>
          <w:sz w:val="18"/>
          <w:szCs w:val="18"/>
        </w:rPr>
      </w:pPr>
    </w:p>
    <w:p w14:paraId="15CCC9EA" w14:textId="77777777" w:rsidR="005C0BEA" w:rsidRPr="00B93570" w:rsidRDefault="005C0BEA" w:rsidP="005C0BE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63340E9" wp14:editId="774DD294">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02477B" w14:textId="77777777" w:rsidR="005C0BEA" w:rsidRPr="00EF2FC0" w:rsidRDefault="005C0BEA" w:rsidP="005C0BE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97CF70C"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A1E7E7F"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0EE7A0C9" w14:textId="77777777" w:rsidR="005C0BEA" w:rsidRPr="00EF2FC0" w:rsidRDefault="005C0BEA" w:rsidP="005C0BEA">
                            <w:pPr>
                              <w:spacing w:line="240" w:lineRule="auto"/>
                              <w:jc w:val="center"/>
                              <w:rPr>
                                <w:rFonts w:ascii="Palatino Linotype" w:hAnsi="Palatino Linotype"/>
                                <w:sz w:val="24"/>
                                <w:szCs w:val="24"/>
                              </w:rPr>
                            </w:pPr>
                          </w:p>
                          <w:p w14:paraId="670FFFE8" w14:textId="77777777" w:rsidR="005C0BEA" w:rsidRDefault="005C0BEA" w:rsidP="005C0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340E9"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3302477B" w14:textId="77777777" w:rsidR="005C0BEA" w:rsidRPr="00EF2FC0" w:rsidRDefault="005C0BEA" w:rsidP="005C0BE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97CF70C"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A1E7E7F"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0EE7A0C9" w14:textId="77777777" w:rsidR="005C0BEA" w:rsidRPr="00EF2FC0" w:rsidRDefault="005C0BEA" w:rsidP="005C0BEA">
                      <w:pPr>
                        <w:spacing w:line="240" w:lineRule="auto"/>
                        <w:jc w:val="center"/>
                        <w:rPr>
                          <w:rFonts w:ascii="Palatino Linotype" w:hAnsi="Palatino Linotype"/>
                          <w:sz w:val="24"/>
                          <w:szCs w:val="24"/>
                        </w:rPr>
                      </w:pPr>
                    </w:p>
                    <w:p w14:paraId="670FFFE8" w14:textId="77777777" w:rsidR="005C0BEA" w:rsidRDefault="005C0BEA" w:rsidP="005C0BE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F9470D9" wp14:editId="7CBA230C">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D94CA8" w14:textId="77777777" w:rsidR="005C0BEA" w:rsidRPr="00EF2FC0" w:rsidRDefault="005C0BEA" w:rsidP="005C0BE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A5EC005"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F94460"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48C0F86E" w14:textId="77777777" w:rsidR="005C0BEA" w:rsidRPr="00EF2FC0" w:rsidRDefault="005C0BEA" w:rsidP="005C0BEA">
                            <w:pPr>
                              <w:spacing w:line="240" w:lineRule="auto"/>
                              <w:jc w:val="center"/>
                              <w:rPr>
                                <w:rFonts w:ascii="Palatino Linotype" w:hAnsi="Palatino Linotype"/>
                                <w:sz w:val="24"/>
                                <w:szCs w:val="24"/>
                              </w:rPr>
                            </w:pPr>
                          </w:p>
                          <w:p w14:paraId="2E0780FC" w14:textId="77777777" w:rsidR="005C0BEA" w:rsidRDefault="005C0BEA" w:rsidP="005C0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470D9"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6BD94CA8" w14:textId="77777777" w:rsidR="005C0BEA" w:rsidRPr="00EF2FC0" w:rsidRDefault="005C0BEA" w:rsidP="005C0BE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A5EC005" w14:textId="77777777" w:rsidR="005C0BEA" w:rsidRDefault="005C0BEA" w:rsidP="005C0B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F94460"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48C0F86E" w14:textId="77777777" w:rsidR="005C0BEA" w:rsidRPr="00EF2FC0" w:rsidRDefault="005C0BEA" w:rsidP="005C0BEA">
                      <w:pPr>
                        <w:spacing w:line="240" w:lineRule="auto"/>
                        <w:jc w:val="center"/>
                        <w:rPr>
                          <w:rFonts w:ascii="Palatino Linotype" w:hAnsi="Palatino Linotype"/>
                          <w:sz w:val="24"/>
                          <w:szCs w:val="24"/>
                        </w:rPr>
                      </w:pPr>
                    </w:p>
                    <w:p w14:paraId="2E0780FC" w14:textId="77777777" w:rsidR="005C0BEA" w:rsidRDefault="005C0BEA" w:rsidP="005C0BEA"/>
                  </w:txbxContent>
                </v:textbox>
                <w10:wrap anchorx="page"/>
              </v:shape>
            </w:pict>
          </mc:Fallback>
        </mc:AlternateContent>
      </w:r>
    </w:p>
    <w:p w14:paraId="6C6ADC97" w14:textId="77777777" w:rsidR="005C0BEA" w:rsidRDefault="005C0BEA" w:rsidP="005C0BEA">
      <w:pPr>
        <w:spacing w:before="240"/>
        <w:rPr>
          <w:rFonts w:ascii="Palatino Linotype" w:hAnsi="Palatino Linotype"/>
          <w:b/>
        </w:rPr>
      </w:pPr>
    </w:p>
    <w:p w14:paraId="5A9D763E" w14:textId="77777777" w:rsidR="005C0BEA" w:rsidRDefault="005C0BEA" w:rsidP="005C0BEA">
      <w:pPr>
        <w:spacing w:before="240"/>
        <w:rPr>
          <w:rFonts w:ascii="Palatino Linotype" w:hAnsi="Palatino Linotype"/>
          <w:b/>
        </w:rPr>
      </w:pPr>
    </w:p>
    <w:p w14:paraId="65CE019C" w14:textId="78B0EE67" w:rsidR="005C0BEA" w:rsidRDefault="005C0BEA" w:rsidP="005C0BEA">
      <w:pPr>
        <w:spacing w:before="240"/>
        <w:rPr>
          <w:rFonts w:ascii="Palatino Linotype" w:hAnsi="Palatino Linotype" w:cs="Arial"/>
          <w:szCs w:val="20"/>
        </w:rPr>
      </w:pPr>
    </w:p>
    <w:p w14:paraId="594B9745" w14:textId="77777777" w:rsidR="005C0BEA" w:rsidRDefault="005C0BEA" w:rsidP="005C0BEA">
      <w:pPr>
        <w:spacing w:before="240"/>
        <w:rPr>
          <w:rFonts w:ascii="Palatino Linotype" w:hAnsi="Palatino Linotype" w:cs="Arial"/>
          <w:szCs w:val="20"/>
        </w:rPr>
      </w:pPr>
    </w:p>
    <w:p w14:paraId="2B20BCC0" w14:textId="77777777" w:rsidR="005C0BEA" w:rsidRDefault="005C0BEA" w:rsidP="005C0BE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BDF8B0F" wp14:editId="19E67021">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EC0209" w14:textId="77777777" w:rsidR="005C0BEA" w:rsidRPr="007F6133" w:rsidRDefault="005C0BEA" w:rsidP="005C0BEA">
                            <w:pPr>
                              <w:jc w:val="center"/>
                              <w:rPr>
                                <w:rFonts w:ascii="Palatino Linotype" w:hAnsi="Palatino Linotype"/>
                                <w:b/>
                                <w:sz w:val="24"/>
                                <w:szCs w:val="24"/>
                              </w:rPr>
                            </w:pPr>
                            <w:r w:rsidRPr="00B86F1F">
                              <w:rPr>
                                <w:rFonts w:ascii="Palatino Linotype" w:hAnsi="Palatino Linotype"/>
                                <w:b/>
                                <w:sz w:val="24"/>
                                <w:szCs w:val="24"/>
                              </w:rPr>
                              <w:t>Alexis Tapia Ramírez</w:t>
                            </w:r>
                          </w:p>
                          <w:p w14:paraId="2916FFD8" w14:textId="77777777" w:rsidR="005C0BEA" w:rsidRDefault="005C0BEA" w:rsidP="005C0BE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1BC96"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2A8CAC65" w14:textId="77777777" w:rsidR="005C0BEA" w:rsidRDefault="005C0BEA" w:rsidP="005C0BEA">
                            <w:pPr>
                              <w:spacing w:after="0" w:line="240" w:lineRule="auto"/>
                              <w:jc w:val="center"/>
                              <w:rPr>
                                <w:rFonts w:ascii="Palatino Linotype" w:hAnsi="Palatino Linotype"/>
                                <w:sz w:val="24"/>
                                <w:szCs w:val="24"/>
                              </w:rPr>
                            </w:pPr>
                          </w:p>
                          <w:p w14:paraId="71BE79BA" w14:textId="77777777" w:rsidR="005C0BEA" w:rsidRPr="00EF2FC0" w:rsidRDefault="005C0BEA" w:rsidP="005C0BEA">
                            <w:pPr>
                              <w:jc w:val="center"/>
                              <w:rPr>
                                <w:rFonts w:ascii="Palatino Linotype" w:hAnsi="Palatino Linotype"/>
                                <w:sz w:val="24"/>
                                <w:szCs w:val="24"/>
                              </w:rPr>
                            </w:pPr>
                          </w:p>
                          <w:p w14:paraId="3350C903" w14:textId="77777777" w:rsidR="005C0BEA" w:rsidRDefault="005C0BEA" w:rsidP="005C0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F8B0F"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70EC0209" w14:textId="77777777" w:rsidR="005C0BEA" w:rsidRPr="007F6133" w:rsidRDefault="005C0BEA" w:rsidP="005C0BEA">
                      <w:pPr>
                        <w:jc w:val="center"/>
                        <w:rPr>
                          <w:rFonts w:ascii="Palatino Linotype" w:hAnsi="Palatino Linotype"/>
                          <w:b/>
                          <w:sz w:val="24"/>
                          <w:szCs w:val="24"/>
                        </w:rPr>
                      </w:pPr>
                      <w:r w:rsidRPr="00B86F1F">
                        <w:rPr>
                          <w:rFonts w:ascii="Palatino Linotype" w:hAnsi="Palatino Linotype"/>
                          <w:b/>
                          <w:sz w:val="24"/>
                          <w:szCs w:val="24"/>
                        </w:rPr>
                        <w:t>Alexis Tapia Ramírez</w:t>
                      </w:r>
                    </w:p>
                    <w:p w14:paraId="2916FFD8" w14:textId="77777777" w:rsidR="005C0BEA" w:rsidRDefault="005C0BEA" w:rsidP="005C0BE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1BC96" w14:textId="77777777" w:rsidR="005C0BEA" w:rsidRDefault="005C0BEA" w:rsidP="005C0BEA">
                      <w:pPr>
                        <w:spacing w:line="240" w:lineRule="auto"/>
                        <w:jc w:val="center"/>
                        <w:rPr>
                          <w:rFonts w:ascii="Palatino Linotype" w:hAnsi="Palatino Linotype"/>
                          <w:sz w:val="24"/>
                          <w:szCs w:val="24"/>
                        </w:rPr>
                      </w:pPr>
                      <w:r>
                        <w:rPr>
                          <w:rFonts w:ascii="Palatino Linotype" w:hAnsi="Palatino Linotype"/>
                          <w:sz w:val="24"/>
                          <w:szCs w:val="24"/>
                        </w:rPr>
                        <w:t>(Rúbrica)</w:t>
                      </w:r>
                    </w:p>
                    <w:p w14:paraId="2A8CAC65" w14:textId="77777777" w:rsidR="005C0BEA" w:rsidRDefault="005C0BEA" w:rsidP="005C0BEA">
                      <w:pPr>
                        <w:spacing w:after="0" w:line="240" w:lineRule="auto"/>
                        <w:jc w:val="center"/>
                        <w:rPr>
                          <w:rFonts w:ascii="Palatino Linotype" w:hAnsi="Palatino Linotype"/>
                          <w:sz w:val="24"/>
                          <w:szCs w:val="24"/>
                        </w:rPr>
                      </w:pPr>
                    </w:p>
                    <w:p w14:paraId="71BE79BA" w14:textId="77777777" w:rsidR="005C0BEA" w:rsidRPr="00EF2FC0" w:rsidRDefault="005C0BEA" w:rsidP="005C0BEA">
                      <w:pPr>
                        <w:jc w:val="center"/>
                        <w:rPr>
                          <w:rFonts w:ascii="Palatino Linotype" w:hAnsi="Palatino Linotype"/>
                          <w:sz w:val="24"/>
                          <w:szCs w:val="24"/>
                        </w:rPr>
                      </w:pPr>
                    </w:p>
                    <w:p w14:paraId="3350C903" w14:textId="77777777" w:rsidR="005C0BEA" w:rsidRDefault="005C0BEA" w:rsidP="005C0BEA"/>
                  </w:txbxContent>
                </v:textbox>
                <w10:wrap anchorx="page"/>
              </v:shape>
            </w:pict>
          </mc:Fallback>
        </mc:AlternateContent>
      </w:r>
    </w:p>
    <w:p w14:paraId="21F5EDFD" w14:textId="77777777" w:rsidR="005C0BEA" w:rsidRDefault="005C0BEA" w:rsidP="005C0BEA">
      <w:pPr>
        <w:spacing w:before="240"/>
        <w:rPr>
          <w:rFonts w:ascii="Palatino Linotype" w:hAnsi="Palatino Linotype" w:cs="Arial"/>
          <w:sz w:val="18"/>
          <w:szCs w:val="18"/>
        </w:rPr>
      </w:pPr>
    </w:p>
    <w:p w14:paraId="72B7CD63" w14:textId="77777777" w:rsidR="005C0BEA" w:rsidRDefault="005C0BEA" w:rsidP="005C0BEA">
      <w:pPr>
        <w:spacing w:before="240"/>
        <w:jc w:val="both"/>
        <w:rPr>
          <w:rFonts w:ascii="Palatino Linotype" w:hAnsi="Palatino Linotype" w:cs="Arial"/>
          <w:sz w:val="18"/>
          <w:szCs w:val="18"/>
        </w:rPr>
      </w:pPr>
    </w:p>
    <w:p w14:paraId="104F3DF0" w14:textId="77777777" w:rsidR="005C0BEA" w:rsidRDefault="005C0BEA" w:rsidP="005C0BEA">
      <w:pPr>
        <w:spacing w:before="240"/>
        <w:jc w:val="both"/>
        <w:rPr>
          <w:rFonts w:ascii="Palatino Linotype" w:hAnsi="Palatino Linotype" w:cs="Arial"/>
          <w:sz w:val="18"/>
          <w:szCs w:val="18"/>
        </w:rPr>
      </w:pPr>
    </w:p>
    <w:p w14:paraId="4B07D41D" w14:textId="77777777" w:rsidR="005C0BEA" w:rsidRDefault="005C0BEA" w:rsidP="005C0BEA">
      <w:pPr>
        <w:spacing w:after="0" w:line="240" w:lineRule="auto"/>
        <w:jc w:val="both"/>
        <w:rPr>
          <w:rFonts w:ascii="Palatino Linotype" w:hAnsi="Palatino Linotype" w:cs="Arial"/>
          <w:sz w:val="16"/>
          <w:szCs w:val="16"/>
        </w:rPr>
      </w:pPr>
    </w:p>
    <w:p w14:paraId="066131A8" w14:textId="1D13F594" w:rsidR="005C0BEA" w:rsidRPr="002052F6" w:rsidRDefault="005C0BEA" w:rsidP="005C0BE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11430/INFOEM/IP/RR/2019</w:t>
      </w:r>
      <w:r w:rsidRPr="002052F6">
        <w:rPr>
          <w:rFonts w:ascii="Palatino Linotype" w:hAnsi="Palatino Linotype" w:cs="Arial"/>
          <w:sz w:val="16"/>
          <w:szCs w:val="16"/>
        </w:rPr>
        <w:t>.</w:t>
      </w:r>
    </w:p>
    <w:p w14:paraId="241F6787" w14:textId="14EEBD84" w:rsidR="0032321A" w:rsidRDefault="005C0BEA" w:rsidP="00FF0C85">
      <w:pPr>
        <w:spacing w:after="0"/>
      </w:pPr>
      <w:r w:rsidRPr="002052F6">
        <w:t>ZMS/OSAM/MAEM</w:t>
      </w:r>
    </w:p>
    <w:sectPr w:rsidR="0032321A"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C0BF1" w14:textId="77777777" w:rsidR="00474EDC" w:rsidRDefault="00474EDC" w:rsidP="00E15E85">
      <w:pPr>
        <w:spacing w:after="0" w:line="240" w:lineRule="auto"/>
      </w:pPr>
      <w:r>
        <w:separator/>
      </w:r>
    </w:p>
  </w:endnote>
  <w:endnote w:type="continuationSeparator" w:id="0">
    <w:p w14:paraId="69593294" w14:textId="77777777" w:rsidR="00474EDC" w:rsidRDefault="00474ED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177AC" w14:textId="77777777" w:rsidR="00474EDC" w:rsidRDefault="00474EDC" w:rsidP="00E15E85">
      <w:pPr>
        <w:spacing w:after="0" w:line="240" w:lineRule="auto"/>
      </w:pPr>
      <w:r>
        <w:separator/>
      </w:r>
    </w:p>
  </w:footnote>
  <w:footnote w:type="continuationSeparator" w:id="0">
    <w:p w14:paraId="1C3399D3" w14:textId="77777777" w:rsidR="00474EDC" w:rsidRDefault="00474EDC"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485018D" w:rsidR="00E15E85" w:rsidRPr="00D56BC3" w:rsidRDefault="00A66428"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11</w:t>
          </w:r>
          <w:r w:rsidR="00955CD0">
            <w:rPr>
              <w:rFonts w:ascii="Palatino Linotype" w:hAnsi="Palatino Linotype" w:cs="Arial"/>
              <w:bCs/>
              <w:sz w:val="24"/>
              <w:lang w:eastAsia="es-MX"/>
            </w:rPr>
            <w:t>4</w:t>
          </w:r>
          <w:r w:rsidR="00281E22">
            <w:rPr>
              <w:rFonts w:ascii="Palatino Linotype" w:hAnsi="Palatino Linotype" w:cs="Arial"/>
              <w:bCs/>
              <w:sz w:val="24"/>
              <w:lang w:eastAsia="es-MX"/>
            </w:rPr>
            <w:t>30</w:t>
          </w:r>
          <w:r w:rsidR="0037311B" w:rsidRPr="0037311B">
            <w:rPr>
              <w:rFonts w:ascii="Palatino Linotype" w:hAnsi="Palatino Linotype" w:cs="Arial"/>
              <w:bCs/>
              <w:sz w:val="24"/>
              <w:lang w:eastAsia="es-MX"/>
            </w:rPr>
            <w:t>/INFOEM/IP/RR/2019</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66EABDB1" w:rsidR="00E15E85" w:rsidRDefault="00955CD0" w:rsidP="00BA65E0">
          <w:pPr>
            <w:spacing w:after="120" w:line="256" w:lineRule="auto"/>
            <w:ind w:left="-486" w:right="214" w:firstLine="284"/>
            <w:jc w:val="right"/>
            <w:rPr>
              <w:rFonts w:ascii="Palatino Linotype" w:hAnsi="Palatino Linotype" w:cs="Arial"/>
              <w:szCs w:val="20"/>
            </w:rPr>
          </w:pPr>
          <w:r w:rsidRPr="00955CD0">
            <w:rPr>
              <w:rFonts w:ascii="Palatino Linotype" w:hAnsi="Palatino Linotype" w:cs="Arial"/>
              <w:szCs w:val="20"/>
            </w:rPr>
            <w:t>Ayuntamiento de Amecameca</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4866C63D" w:rsidR="00E15E85" w:rsidRPr="00B4142F" w:rsidRDefault="00A66428"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11</w:t>
          </w:r>
          <w:r w:rsidR="00955CD0">
            <w:rPr>
              <w:rFonts w:ascii="Palatino Linotype" w:hAnsi="Palatino Linotype" w:cs="Arial"/>
              <w:bCs/>
              <w:sz w:val="24"/>
              <w:lang w:eastAsia="es-MX"/>
            </w:rPr>
            <w:t>4</w:t>
          </w:r>
          <w:r w:rsidR="00281E22">
            <w:rPr>
              <w:rFonts w:ascii="Palatino Linotype" w:hAnsi="Palatino Linotype" w:cs="Arial"/>
              <w:bCs/>
              <w:sz w:val="24"/>
              <w:lang w:eastAsia="es-MX"/>
            </w:rPr>
            <w:t>30</w:t>
          </w:r>
          <w:r w:rsidR="0037311B" w:rsidRPr="0037311B">
            <w:rPr>
              <w:rFonts w:ascii="Palatino Linotype" w:hAnsi="Palatino Linotype" w:cs="Arial"/>
              <w:bCs/>
              <w:sz w:val="24"/>
              <w:lang w:eastAsia="es-MX"/>
            </w:rPr>
            <w:t>/INFOEM/IP/RR/2019</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7777777"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7ABC0CD6" w:rsidR="00E15E85" w:rsidRDefault="00955CD0" w:rsidP="0015550A">
          <w:pPr>
            <w:spacing w:after="120" w:line="256" w:lineRule="auto"/>
            <w:ind w:left="-495" w:right="214" w:firstLine="567"/>
            <w:jc w:val="right"/>
            <w:rPr>
              <w:rFonts w:ascii="Palatino Linotype" w:hAnsi="Palatino Linotype" w:cs="Arial"/>
              <w:szCs w:val="20"/>
            </w:rPr>
          </w:pPr>
          <w:r w:rsidRPr="00955CD0">
            <w:rPr>
              <w:rFonts w:ascii="Palatino Linotype" w:hAnsi="Palatino Linotype" w:cs="Arial"/>
              <w:szCs w:val="20"/>
            </w:rPr>
            <w:t>Ayuntamiento de Amecameca</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57DB9"/>
    <w:multiLevelType w:val="hybridMultilevel"/>
    <w:tmpl w:val="18640776"/>
    <w:numStyleLink w:val="Estiloimportado2"/>
  </w:abstractNum>
  <w:abstractNum w:abstractNumId="17"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1"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4"/>
  </w:num>
  <w:num w:numId="3">
    <w:abstractNumId w:val="15"/>
  </w:num>
  <w:num w:numId="4">
    <w:abstractNumId w:val="10"/>
  </w:num>
  <w:num w:numId="5">
    <w:abstractNumId w:val="16"/>
  </w:num>
  <w:num w:numId="6">
    <w:abstractNumId w:val="5"/>
  </w:num>
  <w:num w:numId="7">
    <w:abstractNumId w:val="22"/>
  </w:num>
  <w:num w:numId="8">
    <w:abstractNumId w:val="13"/>
  </w:num>
  <w:num w:numId="9">
    <w:abstractNumId w:val="6"/>
  </w:num>
  <w:num w:numId="10">
    <w:abstractNumId w:val="21"/>
  </w:num>
  <w:num w:numId="11">
    <w:abstractNumId w:val="9"/>
  </w:num>
  <w:num w:numId="12">
    <w:abstractNumId w:val="12"/>
  </w:num>
  <w:num w:numId="13">
    <w:abstractNumId w:val="1"/>
  </w:num>
  <w:num w:numId="14">
    <w:abstractNumId w:val="7"/>
  </w:num>
  <w:num w:numId="15">
    <w:abstractNumId w:val="14"/>
  </w:num>
  <w:num w:numId="16">
    <w:abstractNumId w:val="18"/>
  </w:num>
  <w:num w:numId="17">
    <w:abstractNumId w:val="19"/>
  </w:num>
  <w:num w:numId="18">
    <w:abstractNumId w:val="0"/>
  </w:num>
  <w:num w:numId="19">
    <w:abstractNumId w:val="2"/>
  </w:num>
  <w:num w:numId="20">
    <w:abstractNumId w:val="23"/>
  </w:num>
  <w:num w:numId="21">
    <w:abstractNumId w:val="8"/>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100095"/>
    <w:rsid w:val="0011750A"/>
    <w:rsid w:val="0012266D"/>
    <w:rsid w:val="00122C38"/>
    <w:rsid w:val="001278BC"/>
    <w:rsid w:val="00130D58"/>
    <w:rsid w:val="00142F61"/>
    <w:rsid w:val="00152B26"/>
    <w:rsid w:val="0015550A"/>
    <w:rsid w:val="00171BD5"/>
    <w:rsid w:val="00183623"/>
    <w:rsid w:val="00183D90"/>
    <w:rsid w:val="001B066D"/>
    <w:rsid w:val="001B3E5E"/>
    <w:rsid w:val="001C28D0"/>
    <w:rsid w:val="001C3E01"/>
    <w:rsid w:val="001C3F41"/>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1E22"/>
    <w:rsid w:val="00287512"/>
    <w:rsid w:val="002902D7"/>
    <w:rsid w:val="00294D34"/>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52C5"/>
    <w:rsid w:val="003B465B"/>
    <w:rsid w:val="003C5897"/>
    <w:rsid w:val="003D29D2"/>
    <w:rsid w:val="003D2E06"/>
    <w:rsid w:val="003D6DA3"/>
    <w:rsid w:val="003E3297"/>
    <w:rsid w:val="0040048F"/>
    <w:rsid w:val="00407989"/>
    <w:rsid w:val="004254FE"/>
    <w:rsid w:val="00437C82"/>
    <w:rsid w:val="00455E36"/>
    <w:rsid w:val="00466DEC"/>
    <w:rsid w:val="00470C7E"/>
    <w:rsid w:val="00474EDC"/>
    <w:rsid w:val="00474FA0"/>
    <w:rsid w:val="00492244"/>
    <w:rsid w:val="004A2BFB"/>
    <w:rsid w:val="004B14C2"/>
    <w:rsid w:val="004C3693"/>
    <w:rsid w:val="004E6DB3"/>
    <w:rsid w:val="004F05B2"/>
    <w:rsid w:val="00523067"/>
    <w:rsid w:val="00526CB4"/>
    <w:rsid w:val="00527856"/>
    <w:rsid w:val="00527C6A"/>
    <w:rsid w:val="005329E8"/>
    <w:rsid w:val="00533106"/>
    <w:rsid w:val="00552FD3"/>
    <w:rsid w:val="005733EB"/>
    <w:rsid w:val="0057576D"/>
    <w:rsid w:val="00576C26"/>
    <w:rsid w:val="005820BF"/>
    <w:rsid w:val="005C0BEA"/>
    <w:rsid w:val="005C7580"/>
    <w:rsid w:val="00611799"/>
    <w:rsid w:val="00611F2D"/>
    <w:rsid w:val="00614FDD"/>
    <w:rsid w:val="00616784"/>
    <w:rsid w:val="006203A2"/>
    <w:rsid w:val="00623A85"/>
    <w:rsid w:val="00631B59"/>
    <w:rsid w:val="00631FC5"/>
    <w:rsid w:val="006402A6"/>
    <w:rsid w:val="006451E4"/>
    <w:rsid w:val="00653B08"/>
    <w:rsid w:val="00654B56"/>
    <w:rsid w:val="00657473"/>
    <w:rsid w:val="00673CFD"/>
    <w:rsid w:val="006A08BA"/>
    <w:rsid w:val="006B2E10"/>
    <w:rsid w:val="006B3069"/>
    <w:rsid w:val="006B7C59"/>
    <w:rsid w:val="006C1A4F"/>
    <w:rsid w:val="006C5B3F"/>
    <w:rsid w:val="006F001B"/>
    <w:rsid w:val="006F2EA8"/>
    <w:rsid w:val="00707CD8"/>
    <w:rsid w:val="00713A19"/>
    <w:rsid w:val="0071620F"/>
    <w:rsid w:val="00716F59"/>
    <w:rsid w:val="00736C75"/>
    <w:rsid w:val="00740AC8"/>
    <w:rsid w:val="00755099"/>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34724"/>
    <w:rsid w:val="0084093D"/>
    <w:rsid w:val="00845C1C"/>
    <w:rsid w:val="00856325"/>
    <w:rsid w:val="00872278"/>
    <w:rsid w:val="00875499"/>
    <w:rsid w:val="0087560D"/>
    <w:rsid w:val="00881D0D"/>
    <w:rsid w:val="008A12F6"/>
    <w:rsid w:val="008A5E77"/>
    <w:rsid w:val="008B34EC"/>
    <w:rsid w:val="008D6D31"/>
    <w:rsid w:val="008E0E21"/>
    <w:rsid w:val="008E1581"/>
    <w:rsid w:val="008E5141"/>
    <w:rsid w:val="008E7408"/>
    <w:rsid w:val="008F7A52"/>
    <w:rsid w:val="009306B4"/>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B76BF"/>
    <w:rsid w:val="009C75A5"/>
    <w:rsid w:val="009E3B36"/>
    <w:rsid w:val="009F7948"/>
    <w:rsid w:val="00A27459"/>
    <w:rsid w:val="00A459D0"/>
    <w:rsid w:val="00A45C8D"/>
    <w:rsid w:val="00A65C79"/>
    <w:rsid w:val="00A66428"/>
    <w:rsid w:val="00A70873"/>
    <w:rsid w:val="00A92C85"/>
    <w:rsid w:val="00A948EF"/>
    <w:rsid w:val="00A94BCE"/>
    <w:rsid w:val="00AA2CB1"/>
    <w:rsid w:val="00AA36D6"/>
    <w:rsid w:val="00AC1D50"/>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E4A4B"/>
    <w:rsid w:val="00D01B70"/>
    <w:rsid w:val="00D02974"/>
    <w:rsid w:val="00D0297D"/>
    <w:rsid w:val="00D120B9"/>
    <w:rsid w:val="00D24D6B"/>
    <w:rsid w:val="00D30286"/>
    <w:rsid w:val="00D5302E"/>
    <w:rsid w:val="00D56BC3"/>
    <w:rsid w:val="00D67629"/>
    <w:rsid w:val="00D70FE3"/>
    <w:rsid w:val="00D81A75"/>
    <w:rsid w:val="00D8485C"/>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4754D"/>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AE9"/>
    <w:rsid w:val="00EF2F87"/>
    <w:rsid w:val="00F07B17"/>
    <w:rsid w:val="00F21A2E"/>
    <w:rsid w:val="00F3212D"/>
    <w:rsid w:val="00F371CA"/>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2984"/>
    <w:rsid w:val="00FE0916"/>
    <w:rsid w:val="00FE180B"/>
    <w:rsid w:val="00FE2CEA"/>
    <w:rsid w:val="00FF0C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3709</TotalTime>
  <Pages>32</Pages>
  <Words>7013</Words>
  <Characters>38574</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50</cp:revision>
  <cp:lastPrinted>2020-03-11T00:17:00Z</cp:lastPrinted>
  <dcterms:created xsi:type="dcterms:W3CDTF">2019-01-22T19:49:00Z</dcterms:created>
  <dcterms:modified xsi:type="dcterms:W3CDTF">2020-04-14T18:47:00Z</dcterms:modified>
</cp:coreProperties>
</file>