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D22304" w:rsidRDefault="00D06012" w:rsidP="00EC3A5E">
      <w:pPr>
        <w:spacing w:line="360" w:lineRule="auto"/>
        <w:jc w:val="both"/>
        <w:rPr>
          <w:rFonts w:ascii="Palatino Linotype" w:hAnsi="Palatino Linotype" w:cs="Arial"/>
        </w:rPr>
      </w:pPr>
      <w:r w:rsidRPr="00D22304">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D22304">
        <w:rPr>
          <w:rFonts w:ascii="Palatino Linotype" w:hAnsi="Palatino Linotype" w:cs="Arial"/>
        </w:rPr>
        <w:t xml:space="preserve"> de México, de </w:t>
      </w:r>
      <w:r w:rsidR="00643CCD" w:rsidRPr="00EE0A5A">
        <w:rPr>
          <w:rFonts w:ascii="Palatino Linotype" w:hAnsi="Palatino Linotype" w:cs="Arial"/>
        </w:rPr>
        <w:t xml:space="preserve">fecha </w:t>
      </w:r>
      <w:r w:rsidR="00A34D92">
        <w:rPr>
          <w:rFonts w:ascii="Palatino Linotype" w:hAnsi="Palatino Linotype" w:cs="Arial"/>
        </w:rPr>
        <w:t>seis</w:t>
      </w:r>
      <w:r w:rsidR="00E12DE7" w:rsidRPr="00EE0A5A">
        <w:rPr>
          <w:rFonts w:ascii="Palatino Linotype" w:hAnsi="Palatino Linotype" w:cs="Arial"/>
        </w:rPr>
        <w:t xml:space="preserve"> </w:t>
      </w:r>
      <w:r w:rsidR="009E6F25" w:rsidRPr="00EE0A5A">
        <w:rPr>
          <w:rFonts w:ascii="Palatino Linotype" w:hAnsi="Palatino Linotype" w:cs="Arial"/>
        </w:rPr>
        <w:t xml:space="preserve">de </w:t>
      </w:r>
      <w:r w:rsidR="00A34D92">
        <w:rPr>
          <w:rFonts w:ascii="Palatino Linotype" w:hAnsi="Palatino Linotype" w:cs="Arial"/>
        </w:rPr>
        <w:t>noviembre</w:t>
      </w:r>
      <w:r w:rsidR="00BF2A94" w:rsidRPr="00EE0A5A">
        <w:rPr>
          <w:rFonts w:ascii="Palatino Linotype" w:hAnsi="Palatino Linotype" w:cs="Arial"/>
        </w:rPr>
        <w:t xml:space="preserve"> </w:t>
      </w:r>
      <w:r w:rsidR="00A558F2" w:rsidRPr="00EE0A5A">
        <w:rPr>
          <w:rFonts w:ascii="Palatino Linotype" w:hAnsi="Palatino Linotype" w:cs="Arial"/>
        </w:rPr>
        <w:t>d</w:t>
      </w:r>
      <w:r w:rsidRPr="00EE0A5A">
        <w:rPr>
          <w:rFonts w:ascii="Palatino Linotype" w:hAnsi="Palatino Linotype" w:cs="Arial"/>
        </w:rPr>
        <w:t xml:space="preserve">e dos mil </w:t>
      </w:r>
      <w:r w:rsidR="00AA2766" w:rsidRPr="00EE0A5A">
        <w:rPr>
          <w:rFonts w:ascii="Palatino Linotype" w:hAnsi="Palatino Linotype" w:cs="Arial"/>
        </w:rPr>
        <w:t>dieci</w:t>
      </w:r>
      <w:r w:rsidR="00D42038">
        <w:rPr>
          <w:rFonts w:ascii="Palatino Linotype" w:hAnsi="Palatino Linotype" w:cs="Arial"/>
        </w:rPr>
        <w:t>nueve</w:t>
      </w:r>
      <w:r w:rsidRPr="00EE0A5A">
        <w:rPr>
          <w:rFonts w:ascii="Palatino Linotype" w:hAnsi="Palatino Linotype" w:cs="Arial"/>
        </w:rPr>
        <w:t>.</w:t>
      </w:r>
    </w:p>
    <w:p w:rsidR="00D06012" w:rsidRDefault="00D06012" w:rsidP="00EC3A5E">
      <w:pPr>
        <w:spacing w:line="360" w:lineRule="auto"/>
        <w:jc w:val="both"/>
        <w:rPr>
          <w:noProof/>
          <w:lang w:val="es-MX" w:eastAsia="es-MX"/>
        </w:rPr>
      </w:pPr>
    </w:p>
    <w:p w:rsidR="00535903" w:rsidRPr="00E12DE7" w:rsidRDefault="00535903" w:rsidP="00535903">
      <w:pPr>
        <w:spacing w:line="360" w:lineRule="auto"/>
        <w:jc w:val="both"/>
        <w:rPr>
          <w:rFonts w:ascii="Palatino Linotype" w:hAnsi="Palatino Linotype"/>
          <w:b/>
        </w:rPr>
      </w:pPr>
      <w:r w:rsidRPr="00D22304">
        <w:rPr>
          <w:rFonts w:ascii="Palatino Linotype" w:hAnsi="Palatino Linotype"/>
        </w:rPr>
        <w:t>VISTO</w:t>
      </w:r>
      <w:r w:rsidR="00EB4633">
        <w:rPr>
          <w:rFonts w:ascii="Palatino Linotype" w:hAnsi="Palatino Linotype"/>
        </w:rPr>
        <w:t>S</w:t>
      </w:r>
      <w:r w:rsidRPr="00D22304">
        <w:rPr>
          <w:rFonts w:ascii="Palatino Linotype" w:hAnsi="Palatino Linotype"/>
        </w:rPr>
        <w:t xml:space="preserve"> </w:t>
      </w:r>
      <w:r w:rsidR="00DD609B">
        <w:rPr>
          <w:rFonts w:ascii="Palatino Linotype" w:hAnsi="Palatino Linotype"/>
        </w:rPr>
        <w:t>el</w:t>
      </w:r>
      <w:r w:rsidRPr="00D22304">
        <w:rPr>
          <w:rFonts w:ascii="Palatino Linotype" w:hAnsi="Palatino Linotype"/>
        </w:rPr>
        <w:t xml:space="preserve"> expediente formado con motivo del recurso de revisión </w:t>
      </w:r>
      <w:r w:rsidRPr="00D22304">
        <w:rPr>
          <w:rFonts w:ascii="Palatino Linotype" w:hAnsi="Palatino Linotype"/>
          <w:b/>
        </w:rPr>
        <w:t>0</w:t>
      </w:r>
      <w:r w:rsidR="0053114C">
        <w:rPr>
          <w:rFonts w:ascii="Palatino Linotype" w:hAnsi="Palatino Linotype"/>
          <w:b/>
        </w:rPr>
        <w:t>6</w:t>
      </w:r>
      <w:r w:rsidR="000B4193">
        <w:rPr>
          <w:rFonts w:ascii="Palatino Linotype" w:hAnsi="Palatino Linotype"/>
          <w:b/>
        </w:rPr>
        <w:t>947</w:t>
      </w:r>
      <w:r w:rsidRPr="00D22304">
        <w:rPr>
          <w:rFonts w:ascii="Palatino Linotype" w:hAnsi="Palatino Linotype"/>
          <w:b/>
        </w:rPr>
        <w:t>/INFOEM/IP/RR/201</w:t>
      </w:r>
      <w:r w:rsidR="002A6315">
        <w:rPr>
          <w:rFonts w:ascii="Palatino Linotype" w:hAnsi="Palatino Linotype"/>
          <w:b/>
        </w:rPr>
        <w:t>9</w:t>
      </w:r>
      <w:r w:rsidRPr="00D22304">
        <w:rPr>
          <w:rFonts w:ascii="Palatino Linotype" w:hAnsi="Palatino Linotype"/>
        </w:rPr>
        <w:t xml:space="preserve">, promovido por </w:t>
      </w:r>
      <w:r w:rsidR="0053114C">
        <w:rPr>
          <w:rFonts w:ascii="Palatino Linotype" w:hAnsi="Palatino Linotype"/>
        </w:rPr>
        <w:t>la</w:t>
      </w:r>
      <w:r w:rsidR="00EE32AC">
        <w:rPr>
          <w:rFonts w:ascii="Palatino Linotype" w:hAnsi="Palatino Linotype"/>
        </w:rPr>
        <w:t xml:space="preserve"> </w:t>
      </w:r>
      <w:r w:rsidR="00EE32AC" w:rsidRPr="00EE32AC">
        <w:rPr>
          <w:rFonts w:ascii="Palatino Linotype" w:hAnsi="Palatino Linotype"/>
          <w:b/>
        </w:rPr>
        <w:t>C.</w:t>
      </w:r>
      <w:r w:rsidR="00EE32AC">
        <w:rPr>
          <w:rFonts w:ascii="Palatino Linotype" w:hAnsi="Palatino Linotype"/>
        </w:rPr>
        <w:t xml:space="preserve"> </w:t>
      </w:r>
      <w:r w:rsidR="00246388">
        <w:rPr>
          <w:rFonts w:ascii="Palatino Linotype" w:hAnsi="Palatino Linotype"/>
          <w:b/>
          <w:sz w:val="22"/>
          <w:szCs w:val="22"/>
          <w:lang w:val="es-ES_tradnl"/>
        </w:rPr>
        <w:t>Xxxxx Xxxxxxx Xxxxxxx</w:t>
      </w:r>
      <w:bookmarkStart w:id="0" w:name="_GoBack"/>
      <w:bookmarkEnd w:id="0"/>
      <w:r w:rsidR="00343C75">
        <w:rPr>
          <w:rFonts w:ascii="Palatino Linotype" w:hAnsi="Palatino Linotype"/>
        </w:rPr>
        <w:t>,</w:t>
      </w:r>
      <w:r w:rsidRPr="00D22304">
        <w:rPr>
          <w:rFonts w:ascii="Palatino Linotype" w:hAnsi="Palatino Linotype"/>
        </w:rPr>
        <w:t xml:space="preserve"> en lo sucesivo </w:t>
      </w:r>
      <w:r w:rsidR="0053114C">
        <w:rPr>
          <w:rFonts w:ascii="Palatino Linotype" w:hAnsi="Palatino Linotype"/>
          <w:b/>
        </w:rPr>
        <w:t>LA</w:t>
      </w:r>
      <w:r w:rsidRPr="00D22304">
        <w:rPr>
          <w:rFonts w:ascii="Palatino Linotype" w:hAnsi="Palatino Linotype"/>
          <w:b/>
        </w:rPr>
        <w:t xml:space="preserve"> RECURRENTE,</w:t>
      </w:r>
      <w:r w:rsidRPr="00D22304">
        <w:rPr>
          <w:rFonts w:ascii="Palatino Linotype" w:hAnsi="Palatino Linotype"/>
        </w:rPr>
        <w:t xml:space="preserve"> </w:t>
      </w:r>
      <w:r w:rsidR="00DE7A3D" w:rsidRPr="003726AB">
        <w:rPr>
          <w:rFonts w:ascii="Palatino Linotype" w:hAnsi="Palatino Linotype"/>
        </w:rPr>
        <w:t>en contra de la</w:t>
      </w:r>
      <w:r w:rsidR="00100436">
        <w:rPr>
          <w:rFonts w:ascii="Palatino Linotype" w:hAnsi="Palatino Linotype"/>
        </w:rPr>
        <w:t xml:space="preserve"> </w:t>
      </w:r>
      <w:r w:rsidR="00DE7A3D" w:rsidRPr="003726AB">
        <w:rPr>
          <w:rFonts w:ascii="Palatino Linotype" w:hAnsi="Palatino Linotype"/>
        </w:rPr>
        <w:t xml:space="preserve">respuesta del </w:t>
      </w:r>
      <w:r w:rsidR="000B4193" w:rsidRPr="000B4193">
        <w:rPr>
          <w:rFonts w:ascii="Palatino Linotype" w:hAnsi="Palatino Linotype"/>
          <w:b/>
          <w:lang w:val="es-ES_tradnl"/>
        </w:rPr>
        <w:t>Centro de Control de Confianza del Estado de México</w:t>
      </w:r>
      <w:r w:rsidRPr="00D22304">
        <w:rPr>
          <w:rFonts w:ascii="Palatino Linotype" w:hAnsi="Palatino Linotype"/>
        </w:rPr>
        <w:t xml:space="preserve">, en lo sucesivo </w:t>
      </w:r>
      <w:r w:rsidRPr="00D22304">
        <w:rPr>
          <w:rFonts w:ascii="Palatino Linotype" w:hAnsi="Palatino Linotype"/>
          <w:b/>
        </w:rPr>
        <w:t>EL SUJETO OBLIGADO</w:t>
      </w:r>
      <w:r w:rsidRPr="00D22304">
        <w:rPr>
          <w:rFonts w:ascii="Palatino Linotype" w:hAnsi="Palatino Linotype"/>
        </w:rPr>
        <w:t xml:space="preserve">, se procede a dictar la presente resolución con base en lo siguiente: </w:t>
      </w:r>
    </w:p>
    <w:p w:rsidR="00934DF1" w:rsidRPr="00D22304" w:rsidRDefault="00934DF1" w:rsidP="00F13D4E">
      <w:pPr>
        <w:jc w:val="both"/>
        <w:rPr>
          <w:rFonts w:ascii="Palatino Linotype" w:hAnsi="Palatino Linotype" w:cs="Arial"/>
        </w:rPr>
      </w:pPr>
    </w:p>
    <w:p w:rsidR="00D06012" w:rsidRPr="00D22304" w:rsidRDefault="00D06012" w:rsidP="00F13D4E">
      <w:pPr>
        <w:jc w:val="center"/>
        <w:rPr>
          <w:rFonts w:ascii="Palatino Linotype" w:hAnsi="Palatino Linotype" w:cs="Arial"/>
          <w:b/>
          <w:bCs/>
          <w:spacing w:val="60"/>
          <w:sz w:val="28"/>
          <w:lang w:val="es-ES_tradnl"/>
        </w:rPr>
      </w:pPr>
      <w:r w:rsidRPr="00D22304">
        <w:rPr>
          <w:rFonts w:ascii="Palatino Linotype" w:hAnsi="Palatino Linotype" w:cs="Arial"/>
          <w:b/>
          <w:bCs/>
          <w:spacing w:val="60"/>
          <w:sz w:val="28"/>
          <w:lang w:val="es-ES_tradnl"/>
        </w:rPr>
        <w:t>RESULTANDO</w:t>
      </w:r>
    </w:p>
    <w:p w:rsidR="00D06012" w:rsidRPr="00D22304" w:rsidRDefault="00D06012" w:rsidP="00F13D4E">
      <w:pPr>
        <w:jc w:val="center"/>
        <w:rPr>
          <w:rFonts w:ascii="Palatino Linotype" w:hAnsi="Palatino Linotype" w:cs="Arial"/>
          <w:b/>
          <w:bCs/>
          <w:spacing w:val="60"/>
          <w:lang w:val="es-ES_tradnl"/>
        </w:rPr>
      </w:pPr>
    </w:p>
    <w:p w:rsidR="00535903" w:rsidRPr="00D22304" w:rsidRDefault="00535903" w:rsidP="00535903">
      <w:pPr>
        <w:pStyle w:val="Prrafodelista"/>
        <w:spacing w:line="360" w:lineRule="auto"/>
        <w:ind w:left="0"/>
        <w:contextualSpacing w:val="0"/>
        <w:jc w:val="both"/>
        <w:rPr>
          <w:rFonts w:ascii="Palatino Linotype" w:hAnsi="Palatino Linotype" w:cs="Arial"/>
        </w:rPr>
      </w:pPr>
      <w:r w:rsidRPr="00D22304">
        <w:rPr>
          <w:rFonts w:ascii="Palatino Linotype" w:hAnsi="Palatino Linotype" w:cs="Arial"/>
          <w:b/>
          <w:sz w:val="28"/>
          <w:szCs w:val="28"/>
        </w:rPr>
        <w:t xml:space="preserve">I. </w:t>
      </w:r>
      <w:r w:rsidRPr="00D22304">
        <w:rPr>
          <w:rFonts w:ascii="Palatino Linotype" w:hAnsi="Palatino Linotype"/>
        </w:rPr>
        <w:t xml:space="preserve">En fecha </w:t>
      </w:r>
      <w:r w:rsidR="000B4193">
        <w:rPr>
          <w:rFonts w:ascii="Palatino Linotype" w:hAnsi="Palatino Linotype"/>
        </w:rPr>
        <w:t>seis</w:t>
      </w:r>
      <w:r w:rsidR="00F46F88">
        <w:rPr>
          <w:rFonts w:ascii="Palatino Linotype" w:hAnsi="Palatino Linotype"/>
        </w:rPr>
        <w:t xml:space="preserve"> </w:t>
      </w:r>
      <w:r w:rsidR="00E12DE7">
        <w:rPr>
          <w:rFonts w:ascii="Palatino Linotype" w:hAnsi="Palatino Linotype"/>
        </w:rPr>
        <w:t xml:space="preserve">de </w:t>
      </w:r>
      <w:r w:rsidR="000B4193">
        <w:rPr>
          <w:rFonts w:ascii="Palatino Linotype" w:hAnsi="Palatino Linotype"/>
        </w:rPr>
        <w:t>agosto</w:t>
      </w:r>
      <w:r w:rsidR="00E12DE7">
        <w:rPr>
          <w:rFonts w:ascii="Palatino Linotype" w:hAnsi="Palatino Linotype"/>
        </w:rPr>
        <w:t xml:space="preserve"> </w:t>
      </w:r>
      <w:r w:rsidR="00BF2A94">
        <w:rPr>
          <w:rFonts w:ascii="Palatino Linotype" w:hAnsi="Palatino Linotype"/>
        </w:rPr>
        <w:t>de dos mil dieci</w:t>
      </w:r>
      <w:r w:rsidR="00EE32AC">
        <w:rPr>
          <w:rFonts w:ascii="Palatino Linotype" w:hAnsi="Palatino Linotype"/>
        </w:rPr>
        <w:t>nueve</w:t>
      </w:r>
      <w:r w:rsidRPr="00D22304">
        <w:rPr>
          <w:rFonts w:ascii="Palatino Linotype" w:hAnsi="Palatino Linotype"/>
        </w:rPr>
        <w:t xml:space="preserve">, </w:t>
      </w:r>
      <w:r w:rsidR="0053114C">
        <w:rPr>
          <w:rFonts w:ascii="Palatino Linotype" w:hAnsi="Palatino Linotype"/>
          <w:b/>
        </w:rPr>
        <w:t>LA</w:t>
      </w:r>
      <w:r w:rsidR="00D5120E" w:rsidRPr="00D5120E">
        <w:rPr>
          <w:rFonts w:ascii="Palatino Linotype" w:hAnsi="Palatino Linotype"/>
          <w:b/>
        </w:rPr>
        <w:t xml:space="preserve"> RECURRENTE</w:t>
      </w:r>
      <w:r w:rsidRPr="00D22304">
        <w:rPr>
          <w:rFonts w:ascii="Palatino Linotype" w:hAnsi="Palatino Linotype"/>
        </w:rPr>
        <w:t xml:space="preserve"> presentó a través del Sistema de </w:t>
      </w:r>
      <w:r w:rsidRPr="00D22304">
        <w:rPr>
          <w:rFonts w:ascii="Palatino Linotype" w:hAnsi="Palatino Linotype" w:cs="Arial"/>
        </w:rPr>
        <w:t>Acceso</w:t>
      </w:r>
      <w:r w:rsidRPr="00D22304">
        <w:rPr>
          <w:rFonts w:ascii="Palatino Linotype" w:hAnsi="Palatino Linotype"/>
        </w:rPr>
        <w:t xml:space="preserve"> a la Información Mexiquense, en lo subsecuente </w:t>
      </w:r>
      <w:r w:rsidRPr="00D22304">
        <w:rPr>
          <w:rFonts w:ascii="Palatino Linotype" w:hAnsi="Palatino Linotype"/>
          <w:b/>
        </w:rPr>
        <w:t>EL SAIMEX</w:t>
      </w:r>
      <w:r w:rsidRPr="00D22304">
        <w:rPr>
          <w:rFonts w:ascii="Palatino Linotype" w:hAnsi="Palatino Linotype"/>
        </w:rPr>
        <w:t xml:space="preserve">, ante </w:t>
      </w:r>
      <w:r w:rsidRPr="00D22304">
        <w:rPr>
          <w:rFonts w:ascii="Palatino Linotype" w:hAnsi="Palatino Linotype"/>
          <w:b/>
        </w:rPr>
        <w:t>EL SUJETO OBLIGADO</w:t>
      </w:r>
      <w:r w:rsidRPr="00D22304">
        <w:rPr>
          <w:rFonts w:ascii="Palatino Linotype" w:hAnsi="Palatino Linotype"/>
        </w:rPr>
        <w:t xml:space="preserve">, la solicitud de acceso a </w:t>
      </w:r>
      <w:r w:rsidR="00821649">
        <w:rPr>
          <w:rFonts w:ascii="Palatino Linotype" w:hAnsi="Palatino Linotype"/>
        </w:rPr>
        <w:t xml:space="preserve">la </w:t>
      </w:r>
      <w:r w:rsidRPr="00D22304">
        <w:rPr>
          <w:rFonts w:ascii="Palatino Linotype" w:hAnsi="Palatino Linotype"/>
        </w:rPr>
        <w:t xml:space="preserve">información pública, a la que se le asignó </w:t>
      </w:r>
      <w:r w:rsidR="00ED039D">
        <w:rPr>
          <w:rFonts w:ascii="Palatino Linotype" w:hAnsi="Palatino Linotype"/>
        </w:rPr>
        <w:t>el</w:t>
      </w:r>
      <w:r w:rsidRPr="00D22304">
        <w:rPr>
          <w:rFonts w:ascii="Palatino Linotype" w:hAnsi="Palatino Linotype"/>
        </w:rPr>
        <w:t xml:space="preserve"> número de expediente </w:t>
      </w:r>
      <w:r w:rsidR="000B4193" w:rsidRPr="000B4193">
        <w:rPr>
          <w:rFonts w:ascii="Palatino Linotype" w:hAnsi="Palatino Linotype"/>
          <w:b/>
          <w:bCs/>
        </w:rPr>
        <w:t>00047/CCCEM/IP/2019</w:t>
      </w:r>
      <w:r w:rsidR="001E6358">
        <w:rPr>
          <w:rFonts w:ascii="Palatino Linotype" w:hAnsi="Palatino Linotype"/>
        </w:rPr>
        <w:t>, mediante la cual solicitó</w:t>
      </w:r>
      <w:r w:rsidRPr="00D22304">
        <w:rPr>
          <w:rFonts w:ascii="Palatino Linotype" w:hAnsi="Palatino Linotype"/>
        </w:rPr>
        <w:t>:</w:t>
      </w:r>
    </w:p>
    <w:p w:rsidR="00802D71" w:rsidRPr="00ED039D" w:rsidRDefault="00802D71" w:rsidP="00802D71">
      <w:pPr>
        <w:ind w:right="901"/>
        <w:jc w:val="both"/>
        <w:rPr>
          <w:rFonts w:ascii="Palatino Linotype" w:hAnsi="Palatino Linotype" w:cs="Arial"/>
          <w:i/>
          <w:sz w:val="12"/>
          <w:szCs w:val="22"/>
          <w:lang w:val="es-MX" w:eastAsia="es-MX"/>
        </w:rPr>
      </w:pPr>
    </w:p>
    <w:p w:rsidR="00535903" w:rsidRDefault="00ED039D" w:rsidP="00F62DF3">
      <w:pPr>
        <w:ind w:left="851" w:right="901"/>
        <w:jc w:val="both"/>
        <w:rPr>
          <w:rFonts w:ascii="Palatino Linotype" w:hAnsi="Palatino Linotype" w:cs="Arial"/>
          <w:i/>
          <w:sz w:val="22"/>
          <w:szCs w:val="22"/>
          <w:lang w:val="es-MX" w:eastAsia="es-MX"/>
        </w:rPr>
      </w:pPr>
      <w:r w:rsidRPr="00A75128">
        <w:rPr>
          <w:rFonts w:ascii="Palatino Linotype" w:hAnsi="Palatino Linotype" w:cs="Arial"/>
          <w:i/>
          <w:sz w:val="22"/>
          <w:szCs w:val="22"/>
          <w:lang w:val="es-MX" w:eastAsia="es-MX"/>
        </w:rPr>
        <w:t xml:space="preserve"> </w:t>
      </w:r>
      <w:r w:rsidR="00535903" w:rsidRPr="00A75128">
        <w:rPr>
          <w:rFonts w:ascii="Palatino Linotype" w:hAnsi="Palatino Linotype" w:cs="Arial"/>
          <w:i/>
          <w:sz w:val="22"/>
          <w:szCs w:val="22"/>
          <w:lang w:val="es-MX" w:eastAsia="es-MX"/>
        </w:rPr>
        <w:t>“</w:t>
      </w:r>
      <w:r w:rsidR="000B4193" w:rsidRPr="000B4193">
        <w:rPr>
          <w:rStyle w:val="Ninguno"/>
          <w:rFonts w:ascii="Palatino Linotype" w:hAnsi="Palatino Linotype"/>
          <w:bCs/>
          <w:i/>
          <w:sz w:val="22"/>
          <w:szCs w:val="22"/>
          <w:lang w:val="es-MX"/>
        </w:rPr>
        <w:t>Solicito los nombres de todo el personal que labora en esta institución, secretaría o similar, así como los sueldos que perciben y tipo de plaza con la que cuentan.</w:t>
      </w:r>
      <w:r w:rsidR="00535903" w:rsidRPr="00A75128">
        <w:rPr>
          <w:rFonts w:ascii="Palatino Linotype" w:hAnsi="Palatino Linotype" w:cs="Arial"/>
          <w:i/>
          <w:sz w:val="22"/>
          <w:szCs w:val="22"/>
          <w:lang w:val="es-MX" w:eastAsia="es-MX"/>
        </w:rPr>
        <w:t>” (Sic)</w:t>
      </w:r>
    </w:p>
    <w:p w:rsidR="00D06012" w:rsidRPr="00D22304" w:rsidRDefault="00D06012" w:rsidP="00403273">
      <w:pPr>
        <w:ind w:right="901"/>
        <w:jc w:val="both"/>
        <w:rPr>
          <w:rFonts w:ascii="Palatino Linotype" w:hAnsi="Palatino Linotype" w:cs="Arial"/>
        </w:rPr>
      </w:pPr>
    </w:p>
    <w:p w:rsidR="00D34982" w:rsidRDefault="00D06012" w:rsidP="00AE62F5">
      <w:pPr>
        <w:spacing w:line="360" w:lineRule="auto"/>
        <w:jc w:val="both"/>
        <w:rPr>
          <w:rFonts w:ascii="Palatino Linotype" w:hAnsi="Palatino Linotype" w:cs="Arial"/>
          <w:lang w:val="es-MX"/>
        </w:rPr>
      </w:pPr>
      <w:r w:rsidRPr="00D22304">
        <w:rPr>
          <w:rFonts w:ascii="Palatino Linotype" w:hAnsi="Palatino Linotype" w:cs="Arial"/>
          <w:b/>
        </w:rPr>
        <w:t>MODALIDAD DE ENTREGA:</w:t>
      </w:r>
      <w:r w:rsidRPr="00D22304">
        <w:rPr>
          <w:rFonts w:ascii="Palatino Linotype" w:hAnsi="Palatino Linotype" w:cs="Arial"/>
        </w:rPr>
        <w:t xml:space="preserve"> </w:t>
      </w:r>
      <w:r w:rsidR="000F3671" w:rsidRPr="00D22304">
        <w:rPr>
          <w:rFonts w:ascii="Palatino Linotype" w:hAnsi="Palatino Linotype" w:cs="Arial"/>
          <w:lang w:val="es-MX"/>
        </w:rPr>
        <w:t xml:space="preserve">Vía </w:t>
      </w:r>
      <w:r w:rsidR="000F3671" w:rsidRPr="00D22304">
        <w:rPr>
          <w:rFonts w:ascii="Palatino Linotype" w:hAnsi="Palatino Linotype" w:cs="Arial"/>
          <w:b/>
          <w:lang w:val="es-MX"/>
        </w:rPr>
        <w:t>SAIMEX</w:t>
      </w:r>
      <w:r w:rsidR="00D92515" w:rsidRPr="00D22304">
        <w:rPr>
          <w:rFonts w:ascii="Palatino Linotype" w:hAnsi="Palatino Linotype" w:cs="Arial"/>
          <w:lang w:val="es-MX"/>
        </w:rPr>
        <w:t>.</w:t>
      </w:r>
    </w:p>
    <w:p w:rsidR="000B4193" w:rsidRPr="000B4193" w:rsidRDefault="000B4193" w:rsidP="00AE62F5">
      <w:pPr>
        <w:spacing w:line="360" w:lineRule="auto"/>
        <w:jc w:val="both"/>
        <w:rPr>
          <w:rFonts w:ascii="Palatino Linotype" w:hAnsi="Palatino Linotype" w:cs="Arial"/>
          <w:sz w:val="18"/>
          <w:lang w:val="es-MX"/>
        </w:rPr>
      </w:pPr>
    </w:p>
    <w:p w:rsidR="00DE7A3D" w:rsidRDefault="00AE62F5" w:rsidP="002264D6">
      <w:pPr>
        <w:spacing w:line="360" w:lineRule="auto"/>
        <w:jc w:val="both"/>
        <w:rPr>
          <w:rFonts w:ascii="Palatino Linotype" w:hAnsi="Palatino Linotype" w:cs="Arial"/>
          <w:lang w:val="es-ES_tradnl"/>
        </w:rPr>
      </w:pPr>
      <w:r>
        <w:rPr>
          <w:rFonts w:ascii="Palatino Linotype" w:hAnsi="Palatino Linotype" w:cs="Arial"/>
          <w:b/>
          <w:sz w:val="28"/>
          <w:szCs w:val="28"/>
        </w:rPr>
        <w:t>II</w:t>
      </w:r>
      <w:r w:rsidR="000A3006" w:rsidRPr="000A3006">
        <w:rPr>
          <w:rFonts w:ascii="Palatino Linotype" w:hAnsi="Palatino Linotype" w:cs="Arial"/>
          <w:b/>
          <w:sz w:val="28"/>
          <w:szCs w:val="28"/>
        </w:rPr>
        <w:t>.</w:t>
      </w:r>
      <w:r w:rsidR="000A3006">
        <w:rPr>
          <w:rFonts w:ascii="Palatino Linotype" w:hAnsi="Palatino Linotype" w:cs="Arial"/>
        </w:rPr>
        <w:t xml:space="preserve"> </w:t>
      </w:r>
      <w:r w:rsidR="00DE7A3D" w:rsidRPr="003726AB">
        <w:rPr>
          <w:rFonts w:ascii="Palatino Linotype" w:hAnsi="Palatino Linotype" w:cs="Arial"/>
        </w:rPr>
        <w:t xml:space="preserve">De las </w:t>
      </w:r>
      <w:r w:rsidR="00DE7A3D" w:rsidRPr="003726AB">
        <w:rPr>
          <w:rFonts w:ascii="Palatino Linotype" w:hAnsi="Palatino Linotype" w:cs="Arial"/>
          <w:lang w:val="es-ES_tradnl"/>
        </w:rPr>
        <w:t xml:space="preserve">constancias que obran en </w:t>
      </w:r>
      <w:r w:rsidR="00DE7A3D" w:rsidRPr="003726AB">
        <w:rPr>
          <w:rFonts w:ascii="Palatino Linotype" w:hAnsi="Palatino Linotype" w:cs="Arial"/>
          <w:b/>
          <w:lang w:val="es-ES_tradnl"/>
        </w:rPr>
        <w:t>EL</w:t>
      </w:r>
      <w:r w:rsidR="00DE7A3D" w:rsidRPr="003726AB">
        <w:rPr>
          <w:rFonts w:ascii="Palatino Linotype" w:hAnsi="Palatino Linotype" w:cs="Arial"/>
          <w:lang w:val="es-ES_tradnl"/>
        </w:rPr>
        <w:t xml:space="preserve"> </w:t>
      </w:r>
      <w:r w:rsidR="00DE7A3D" w:rsidRPr="003726AB">
        <w:rPr>
          <w:rFonts w:ascii="Palatino Linotype" w:hAnsi="Palatino Linotype" w:cs="Arial"/>
          <w:b/>
          <w:lang w:val="es-ES_tradnl"/>
        </w:rPr>
        <w:t>SAIMEX</w:t>
      </w:r>
      <w:r w:rsidR="00DE7A3D" w:rsidRPr="003726AB">
        <w:rPr>
          <w:rFonts w:ascii="Palatino Linotype" w:hAnsi="Palatino Linotype" w:cs="Arial"/>
          <w:lang w:val="es-ES_tradnl"/>
        </w:rPr>
        <w:t>, se desprende que</w:t>
      </w:r>
      <w:r w:rsidR="0044554B">
        <w:rPr>
          <w:rFonts w:ascii="Palatino Linotype" w:hAnsi="Palatino Linotype" w:cs="Arial"/>
          <w:lang w:val="es-ES_tradnl"/>
        </w:rPr>
        <w:t xml:space="preserve"> el </w:t>
      </w:r>
      <w:r w:rsidR="00AC736B">
        <w:rPr>
          <w:rFonts w:ascii="Palatino Linotype" w:hAnsi="Palatino Linotype" w:cs="Arial"/>
          <w:lang w:val="es-ES_tradnl"/>
        </w:rPr>
        <w:t>veinticinco</w:t>
      </w:r>
      <w:r w:rsidR="00ED28B3">
        <w:rPr>
          <w:rFonts w:ascii="Palatino Linotype" w:hAnsi="Palatino Linotype" w:cs="Arial"/>
          <w:lang w:val="es-ES_tradnl"/>
        </w:rPr>
        <w:t xml:space="preserve"> de </w:t>
      </w:r>
      <w:r w:rsidR="00EB4E3E">
        <w:rPr>
          <w:rFonts w:ascii="Palatino Linotype" w:hAnsi="Palatino Linotype" w:cs="Arial"/>
          <w:lang w:val="es-ES_tradnl"/>
        </w:rPr>
        <w:t>febrero</w:t>
      </w:r>
      <w:r w:rsidR="0044554B">
        <w:rPr>
          <w:rFonts w:ascii="Palatino Linotype" w:hAnsi="Palatino Linotype" w:cs="Arial"/>
          <w:lang w:val="es-ES_tradnl"/>
        </w:rPr>
        <w:t xml:space="preserve"> de dos mil dieci</w:t>
      </w:r>
      <w:r w:rsidR="00F90FC3">
        <w:rPr>
          <w:rFonts w:ascii="Palatino Linotype" w:hAnsi="Palatino Linotype" w:cs="Arial"/>
          <w:lang w:val="es-ES_tradnl"/>
        </w:rPr>
        <w:t>nueve</w:t>
      </w:r>
      <w:r w:rsidR="00343C75">
        <w:rPr>
          <w:rFonts w:ascii="Palatino Linotype" w:hAnsi="Palatino Linotype" w:cs="Arial"/>
          <w:lang w:val="es-ES_tradnl"/>
        </w:rPr>
        <w:t>,</w:t>
      </w:r>
      <w:r w:rsidR="00DE7A3D" w:rsidRPr="003726AB">
        <w:rPr>
          <w:rFonts w:ascii="Palatino Linotype" w:hAnsi="Palatino Linotype" w:cs="Arial"/>
          <w:b/>
          <w:lang w:val="es-ES_tradnl"/>
        </w:rPr>
        <w:t xml:space="preserve"> EL SUJETO OBLIGADO</w:t>
      </w:r>
      <w:r w:rsidR="00DE7A3D" w:rsidRPr="003726AB">
        <w:rPr>
          <w:rFonts w:ascii="Palatino Linotype" w:hAnsi="Palatino Linotype" w:cs="Arial"/>
          <w:lang w:val="es-ES_tradnl"/>
        </w:rPr>
        <w:t xml:space="preserve"> </w:t>
      </w:r>
      <w:r w:rsidR="00653048">
        <w:rPr>
          <w:rFonts w:ascii="Palatino Linotype" w:hAnsi="Palatino Linotype" w:cs="Arial"/>
          <w:lang w:val="es-ES_tradnl"/>
        </w:rPr>
        <w:t>dio</w:t>
      </w:r>
      <w:r w:rsidR="00DE7A3D" w:rsidRPr="003726AB">
        <w:rPr>
          <w:rFonts w:ascii="Palatino Linotype" w:hAnsi="Palatino Linotype" w:cs="Arial"/>
          <w:lang w:val="es-ES_tradnl"/>
        </w:rPr>
        <w:t xml:space="preserve"> respuesta a la solicitud de acceso a la</w:t>
      </w:r>
      <w:r w:rsidR="00653048">
        <w:rPr>
          <w:rFonts w:ascii="Palatino Linotype" w:hAnsi="Palatino Linotype" w:cs="Arial"/>
          <w:lang w:val="es-ES_tradnl"/>
        </w:rPr>
        <w:t xml:space="preserve"> información</w:t>
      </w:r>
      <w:r w:rsidR="00AC0F56">
        <w:rPr>
          <w:rFonts w:ascii="Palatino Linotype" w:hAnsi="Palatino Linotype" w:cs="Arial"/>
          <w:lang w:val="es-ES_tradnl"/>
        </w:rPr>
        <w:t xml:space="preserve"> de la siguiente forma</w:t>
      </w:r>
      <w:r w:rsidR="00EB4E3E">
        <w:rPr>
          <w:rFonts w:ascii="Palatino Linotype" w:hAnsi="Palatino Linotype" w:cs="Arial"/>
          <w:lang w:val="es-ES_tradnl"/>
        </w:rPr>
        <w:t xml:space="preserve">, </w:t>
      </w:r>
      <w:r w:rsidR="00653048">
        <w:rPr>
          <w:rFonts w:ascii="Palatino Linotype" w:hAnsi="Palatino Linotype" w:cs="Arial"/>
          <w:lang w:val="es-ES_tradnl"/>
        </w:rPr>
        <w:t>c</w:t>
      </w:r>
      <w:r w:rsidR="00AC0F56">
        <w:rPr>
          <w:rFonts w:ascii="Palatino Linotype" w:hAnsi="Palatino Linotype" w:cs="Arial"/>
          <w:lang w:val="es-ES_tradnl"/>
        </w:rPr>
        <w:t xml:space="preserve">omo se muestra </w:t>
      </w:r>
      <w:r w:rsidR="000D3F62">
        <w:rPr>
          <w:rFonts w:ascii="Palatino Linotype" w:hAnsi="Palatino Linotype" w:cs="Arial"/>
          <w:lang w:val="es-ES_tradnl"/>
        </w:rPr>
        <w:t>a continuación</w:t>
      </w:r>
      <w:r w:rsidR="00653048">
        <w:rPr>
          <w:rFonts w:ascii="Palatino Linotype" w:hAnsi="Palatino Linotype" w:cs="Arial"/>
          <w:lang w:val="es-ES_tradnl"/>
        </w:rPr>
        <w:t>:</w:t>
      </w:r>
    </w:p>
    <w:p w:rsidR="000B4193" w:rsidRPr="000B4193" w:rsidRDefault="007E762E" w:rsidP="000B4193">
      <w:pPr>
        <w:spacing w:line="276" w:lineRule="auto"/>
        <w:ind w:left="851" w:right="899"/>
        <w:jc w:val="right"/>
        <w:rPr>
          <w:rFonts w:ascii="Palatino Linotype" w:hAnsi="Palatino Linotype"/>
          <w:i/>
          <w:sz w:val="22"/>
          <w:szCs w:val="22"/>
        </w:rPr>
      </w:pPr>
      <w:r>
        <w:rPr>
          <w:rFonts w:ascii="Palatino Linotype" w:hAnsi="Palatino Linotype"/>
          <w:i/>
          <w:sz w:val="22"/>
          <w:szCs w:val="22"/>
        </w:rPr>
        <w:t>“</w:t>
      </w:r>
      <w:r w:rsidR="000B4193" w:rsidRPr="000B4193">
        <w:rPr>
          <w:rFonts w:ascii="Palatino Linotype" w:hAnsi="Palatino Linotype"/>
          <w:i/>
          <w:sz w:val="22"/>
          <w:szCs w:val="22"/>
        </w:rPr>
        <w:t>Folio de la solicitud: 00047/CCCEM/IP/2019</w:t>
      </w:r>
    </w:p>
    <w:p w:rsidR="000B4193" w:rsidRPr="000B4193" w:rsidRDefault="000B4193" w:rsidP="000B4193">
      <w:pPr>
        <w:spacing w:line="276" w:lineRule="auto"/>
        <w:ind w:left="851" w:right="899"/>
        <w:jc w:val="both"/>
        <w:rPr>
          <w:rFonts w:ascii="Palatino Linotype" w:hAnsi="Palatino Linotype"/>
          <w:i/>
          <w:sz w:val="22"/>
          <w:szCs w:val="22"/>
        </w:rPr>
      </w:pPr>
      <w:r w:rsidRPr="000B4193">
        <w:rPr>
          <w:rFonts w:ascii="Palatino Linotype" w:hAnsi="Palatino Linotype"/>
          <w:i/>
          <w:sz w:val="22"/>
          <w:szCs w:val="22"/>
        </w:rPr>
        <w:t xml:space="preserve">En respuesta a la solicitud recibida, nos permitimos hacer de su conocimiento que con fundamento en el artículo 53, Fracciones: II, V y VI de la Ley de Transparencia </w:t>
      </w:r>
      <w:r w:rsidRPr="000B4193">
        <w:rPr>
          <w:rFonts w:ascii="Palatino Linotype" w:hAnsi="Palatino Linotype"/>
          <w:i/>
          <w:sz w:val="22"/>
          <w:szCs w:val="22"/>
        </w:rPr>
        <w:lastRenderedPageBreak/>
        <w:t>y Acceso a la Información Pública del Estado de México y Municipios, le contestamos que:</w:t>
      </w:r>
    </w:p>
    <w:p w:rsidR="000B4193" w:rsidRPr="000B4193" w:rsidRDefault="000B4193" w:rsidP="000B4193">
      <w:pPr>
        <w:spacing w:line="276" w:lineRule="auto"/>
        <w:ind w:left="851" w:right="899"/>
        <w:jc w:val="both"/>
        <w:rPr>
          <w:rFonts w:ascii="Palatino Linotype" w:hAnsi="Palatino Linotype"/>
          <w:i/>
          <w:sz w:val="22"/>
          <w:szCs w:val="22"/>
        </w:rPr>
      </w:pPr>
      <w:r w:rsidRPr="000B4193">
        <w:rPr>
          <w:rFonts w:ascii="Palatino Linotype" w:hAnsi="Palatino Linotype"/>
          <w:i/>
          <w:sz w:val="22"/>
          <w:szCs w:val="22"/>
        </w:rPr>
        <w:t>C. SOLICITANTE: Con un respetuoso saludo y en atención a su solicitud de información con número de folio 00047/CCCEM/IP/2019, se adjunta oficio de respuesta:</w:t>
      </w:r>
    </w:p>
    <w:p w:rsidR="000B4193" w:rsidRPr="000B4193" w:rsidRDefault="000B4193" w:rsidP="000B4193">
      <w:pPr>
        <w:spacing w:line="276" w:lineRule="auto"/>
        <w:ind w:left="851" w:right="899"/>
        <w:jc w:val="both"/>
        <w:rPr>
          <w:rFonts w:ascii="Palatino Linotype" w:hAnsi="Palatino Linotype"/>
          <w:i/>
          <w:sz w:val="22"/>
          <w:szCs w:val="22"/>
        </w:rPr>
      </w:pPr>
      <w:r w:rsidRPr="000B4193">
        <w:rPr>
          <w:rFonts w:ascii="Palatino Linotype" w:hAnsi="Palatino Linotype"/>
          <w:i/>
          <w:sz w:val="22"/>
          <w:szCs w:val="22"/>
        </w:rPr>
        <w:t>ATENTAMENTE</w:t>
      </w:r>
    </w:p>
    <w:p w:rsidR="00CF5762" w:rsidRPr="007E762E" w:rsidRDefault="000B4193" w:rsidP="000B4193">
      <w:pPr>
        <w:spacing w:line="276" w:lineRule="auto"/>
        <w:ind w:left="851" w:right="899"/>
        <w:jc w:val="both"/>
        <w:rPr>
          <w:rFonts w:ascii="Palatino Linotype" w:hAnsi="Palatino Linotype" w:cs="Arial"/>
          <w:i/>
          <w:sz w:val="22"/>
          <w:szCs w:val="22"/>
          <w:lang w:val="es-ES_tradnl"/>
        </w:rPr>
      </w:pPr>
      <w:r w:rsidRPr="000B4193">
        <w:rPr>
          <w:rFonts w:ascii="Palatino Linotype" w:hAnsi="Palatino Linotype"/>
          <w:i/>
          <w:sz w:val="22"/>
          <w:szCs w:val="22"/>
        </w:rPr>
        <w:t>LA JUAN BENJAMÍN MIRA LIÉVANOS</w:t>
      </w:r>
      <w:r w:rsidR="008A66AB">
        <w:rPr>
          <w:rFonts w:ascii="Palatino Linotype" w:hAnsi="Palatino Linotype"/>
          <w:i/>
          <w:sz w:val="22"/>
          <w:szCs w:val="22"/>
        </w:rPr>
        <w:t>”</w:t>
      </w:r>
    </w:p>
    <w:p w:rsidR="007E762E" w:rsidRDefault="007E762E" w:rsidP="00816858">
      <w:pPr>
        <w:pStyle w:val="Prrafodelista"/>
        <w:spacing w:line="360" w:lineRule="auto"/>
        <w:ind w:left="0"/>
        <w:contextualSpacing w:val="0"/>
        <w:jc w:val="both"/>
        <w:rPr>
          <w:rFonts w:ascii="Palatino Linotype" w:hAnsi="Palatino Linotype" w:cs="Arial"/>
          <w:b/>
          <w:sz w:val="28"/>
        </w:rPr>
      </w:pPr>
    </w:p>
    <w:p w:rsidR="008A66AB" w:rsidRDefault="008A66AB" w:rsidP="000B4193">
      <w:pPr>
        <w:pStyle w:val="Prrafodelista"/>
        <w:spacing w:line="360" w:lineRule="auto"/>
        <w:ind w:left="0"/>
        <w:jc w:val="both"/>
        <w:rPr>
          <w:rFonts w:ascii="Palatino Linotype" w:hAnsi="Palatino Linotype" w:cs="Arial"/>
        </w:rPr>
      </w:pPr>
      <w:r w:rsidRPr="008A66AB">
        <w:rPr>
          <w:rFonts w:ascii="Palatino Linotype" w:hAnsi="Palatino Linotype" w:cs="Arial"/>
        </w:rPr>
        <w:t xml:space="preserve">Cabe </w:t>
      </w:r>
      <w:r>
        <w:rPr>
          <w:rFonts w:ascii="Palatino Linotype" w:hAnsi="Palatino Linotype" w:cs="Arial"/>
        </w:rPr>
        <w:t xml:space="preserve">precisar que </w:t>
      </w:r>
      <w:r w:rsidRPr="008A66AB">
        <w:rPr>
          <w:rFonts w:ascii="Palatino Linotype" w:hAnsi="Palatino Linotype" w:cs="Arial"/>
          <w:b/>
        </w:rPr>
        <w:t>EL SUJETO OBLIGADO</w:t>
      </w:r>
      <w:r>
        <w:rPr>
          <w:rFonts w:ascii="Palatino Linotype" w:hAnsi="Palatino Linotype" w:cs="Arial"/>
        </w:rPr>
        <w:t xml:space="preserve"> anexó a su respuesta </w:t>
      </w:r>
      <w:r w:rsidR="000B4193">
        <w:rPr>
          <w:rFonts w:ascii="Palatino Linotype" w:hAnsi="Palatino Linotype" w:cs="Arial"/>
        </w:rPr>
        <w:t>dos</w:t>
      </w:r>
      <w:r>
        <w:rPr>
          <w:rFonts w:ascii="Palatino Linotype" w:hAnsi="Palatino Linotype" w:cs="Arial"/>
        </w:rPr>
        <w:t xml:space="preserve"> archivo</w:t>
      </w:r>
      <w:r w:rsidR="000B4193">
        <w:rPr>
          <w:rFonts w:ascii="Palatino Linotype" w:hAnsi="Palatino Linotype" w:cs="Arial"/>
        </w:rPr>
        <w:t>s</w:t>
      </w:r>
      <w:r>
        <w:rPr>
          <w:rFonts w:ascii="Palatino Linotype" w:hAnsi="Palatino Linotype" w:cs="Arial"/>
        </w:rPr>
        <w:t xml:space="preserve"> electrónico</w:t>
      </w:r>
      <w:r w:rsidR="000B4193">
        <w:rPr>
          <w:rFonts w:ascii="Palatino Linotype" w:hAnsi="Palatino Linotype" w:cs="Arial"/>
        </w:rPr>
        <w:t>s</w:t>
      </w:r>
      <w:r>
        <w:rPr>
          <w:rFonts w:ascii="Palatino Linotype" w:hAnsi="Palatino Linotype" w:cs="Arial"/>
        </w:rPr>
        <w:t xml:space="preserve"> </w:t>
      </w:r>
      <w:r w:rsidR="000D3F62">
        <w:rPr>
          <w:rFonts w:ascii="Palatino Linotype" w:hAnsi="Palatino Linotype" w:cs="Arial"/>
        </w:rPr>
        <w:t>denominado</w:t>
      </w:r>
      <w:r w:rsidR="000B4193">
        <w:rPr>
          <w:rFonts w:ascii="Palatino Linotype" w:hAnsi="Palatino Linotype" w:cs="Arial"/>
        </w:rPr>
        <w:t>s</w:t>
      </w:r>
      <w:r w:rsidR="000D3F62">
        <w:rPr>
          <w:rFonts w:ascii="Palatino Linotype" w:hAnsi="Palatino Linotype" w:cs="Arial"/>
        </w:rPr>
        <w:t xml:space="preserve"> </w:t>
      </w:r>
      <w:r w:rsidR="000B4193" w:rsidRPr="000B4193">
        <w:rPr>
          <w:rFonts w:ascii="Palatino Linotype" w:hAnsi="Palatino Linotype" w:cs="Arial"/>
          <w:b/>
        </w:rPr>
        <w:t>RESPUESTA SOL 047.pdf</w:t>
      </w:r>
      <w:r w:rsidR="000B4193">
        <w:rPr>
          <w:rFonts w:ascii="Palatino Linotype" w:hAnsi="Palatino Linotype" w:cs="Arial"/>
          <w:b/>
        </w:rPr>
        <w:t xml:space="preserve"> y </w:t>
      </w:r>
      <w:r w:rsidR="000B4193" w:rsidRPr="000B4193">
        <w:rPr>
          <w:rFonts w:ascii="Palatino Linotype" w:hAnsi="Palatino Linotype" w:cs="Arial"/>
          <w:b/>
        </w:rPr>
        <w:t>ACTA 7MA SESION EXTRAORDINARIA DEL COMITE DE TRANSPARENCIA DEL CCCEM.pdf</w:t>
      </w:r>
      <w:r>
        <w:rPr>
          <w:rFonts w:ascii="Palatino Linotype" w:hAnsi="Palatino Linotype" w:cs="Arial"/>
        </w:rPr>
        <w:t xml:space="preserve">, </w:t>
      </w:r>
      <w:r w:rsidR="000B4193">
        <w:rPr>
          <w:rFonts w:ascii="Palatino Linotype" w:hAnsi="Palatino Linotype" w:cs="Arial"/>
        </w:rPr>
        <w:t>los</w:t>
      </w:r>
      <w:r>
        <w:rPr>
          <w:rFonts w:ascii="Palatino Linotype" w:hAnsi="Palatino Linotype" w:cs="Arial"/>
        </w:rPr>
        <w:t xml:space="preserve"> cual</w:t>
      </w:r>
      <w:r w:rsidR="000B4193">
        <w:rPr>
          <w:rFonts w:ascii="Palatino Linotype" w:hAnsi="Palatino Linotype" w:cs="Arial"/>
        </w:rPr>
        <w:t>es</w:t>
      </w:r>
      <w:r>
        <w:rPr>
          <w:rFonts w:ascii="Palatino Linotype" w:hAnsi="Palatino Linotype" w:cs="Arial"/>
        </w:rPr>
        <w:t xml:space="preserve"> por ser del conocimiento de las partes no se inserta</w:t>
      </w:r>
      <w:r w:rsidR="000B4193">
        <w:rPr>
          <w:rFonts w:ascii="Palatino Linotype" w:hAnsi="Palatino Linotype" w:cs="Arial"/>
        </w:rPr>
        <w:t>n</w:t>
      </w:r>
      <w:r>
        <w:rPr>
          <w:rFonts w:ascii="Palatino Linotype" w:hAnsi="Palatino Linotype" w:cs="Arial"/>
        </w:rPr>
        <w:t xml:space="preserve"> en el presente apartado; sin embargo, será</w:t>
      </w:r>
      <w:r w:rsidR="000B4193">
        <w:rPr>
          <w:rFonts w:ascii="Palatino Linotype" w:hAnsi="Palatino Linotype" w:cs="Arial"/>
        </w:rPr>
        <w:t>n</w:t>
      </w:r>
      <w:r>
        <w:rPr>
          <w:rFonts w:ascii="Palatino Linotype" w:hAnsi="Palatino Linotype" w:cs="Arial"/>
        </w:rPr>
        <w:t xml:space="preserve"> materia de estudio en el apartado correspondiente.</w:t>
      </w:r>
    </w:p>
    <w:p w:rsidR="008A66AB" w:rsidRPr="008A66AB" w:rsidRDefault="008A66AB" w:rsidP="00816858">
      <w:pPr>
        <w:pStyle w:val="Prrafodelista"/>
        <w:spacing w:line="360" w:lineRule="auto"/>
        <w:ind w:left="0"/>
        <w:contextualSpacing w:val="0"/>
        <w:jc w:val="both"/>
        <w:rPr>
          <w:rFonts w:ascii="Palatino Linotype" w:hAnsi="Palatino Linotype" w:cs="Arial"/>
        </w:rPr>
      </w:pPr>
    </w:p>
    <w:p w:rsidR="00816858" w:rsidRPr="00F85968" w:rsidRDefault="00343C75" w:rsidP="00816858">
      <w:pPr>
        <w:pStyle w:val="Prrafodelista"/>
        <w:spacing w:line="360" w:lineRule="auto"/>
        <w:ind w:left="0"/>
        <w:contextualSpacing w:val="0"/>
        <w:jc w:val="both"/>
        <w:rPr>
          <w:rFonts w:ascii="Palatino Linotype" w:hAnsi="Palatino Linotype"/>
          <w:b/>
        </w:rPr>
      </w:pPr>
      <w:r>
        <w:rPr>
          <w:rFonts w:ascii="Palatino Linotype" w:hAnsi="Palatino Linotype" w:cs="Arial"/>
          <w:b/>
          <w:sz w:val="28"/>
        </w:rPr>
        <w:t>I</w:t>
      </w:r>
      <w:r w:rsidR="002264D6">
        <w:rPr>
          <w:rFonts w:ascii="Palatino Linotype" w:hAnsi="Palatino Linotype" w:cs="Arial"/>
          <w:b/>
          <w:sz w:val="28"/>
        </w:rPr>
        <w:t>II</w:t>
      </w:r>
      <w:r w:rsidR="00816858" w:rsidRPr="00D22304">
        <w:rPr>
          <w:rFonts w:ascii="Palatino Linotype" w:hAnsi="Palatino Linotype" w:cs="Arial"/>
          <w:b/>
          <w:sz w:val="28"/>
        </w:rPr>
        <w:t xml:space="preserve">. </w:t>
      </w:r>
      <w:r w:rsidR="00816858" w:rsidRPr="00D22304">
        <w:rPr>
          <w:rFonts w:ascii="Palatino Linotype" w:hAnsi="Palatino Linotype"/>
        </w:rPr>
        <w:t xml:space="preserve">Inconforme con la </w:t>
      </w:r>
      <w:r w:rsidR="00816858" w:rsidRPr="00D22304">
        <w:rPr>
          <w:rFonts w:ascii="Palatino Linotype" w:hAnsi="Palatino Linotype" w:cs="Arial"/>
        </w:rPr>
        <w:t>respuesta,</w:t>
      </w:r>
      <w:r w:rsidR="00026229">
        <w:rPr>
          <w:rFonts w:ascii="Palatino Linotype" w:hAnsi="Palatino Linotype" w:cs="Arial"/>
        </w:rPr>
        <w:t xml:space="preserve"> el </w:t>
      </w:r>
      <w:r w:rsidR="00785294">
        <w:rPr>
          <w:rFonts w:ascii="Palatino Linotype" w:hAnsi="Palatino Linotype" w:cs="Arial"/>
        </w:rPr>
        <w:t>veinti</w:t>
      </w:r>
      <w:r w:rsidR="00AC5D9B">
        <w:rPr>
          <w:rFonts w:ascii="Palatino Linotype" w:hAnsi="Palatino Linotype" w:cs="Arial"/>
        </w:rPr>
        <w:t>nueve</w:t>
      </w:r>
      <w:r w:rsidR="00570B27">
        <w:rPr>
          <w:rFonts w:ascii="Palatino Linotype" w:hAnsi="Palatino Linotype" w:cs="Arial"/>
        </w:rPr>
        <w:t xml:space="preserve"> </w:t>
      </w:r>
      <w:r w:rsidR="00026229">
        <w:rPr>
          <w:rFonts w:ascii="Palatino Linotype" w:hAnsi="Palatino Linotype" w:cs="Arial"/>
        </w:rPr>
        <w:t xml:space="preserve">de </w:t>
      </w:r>
      <w:r w:rsidR="002264D6">
        <w:rPr>
          <w:rFonts w:ascii="Palatino Linotype" w:hAnsi="Palatino Linotype" w:cs="Arial"/>
        </w:rPr>
        <w:t>agosto</w:t>
      </w:r>
      <w:r w:rsidR="00570B27">
        <w:rPr>
          <w:rFonts w:ascii="Palatino Linotype" w:hAnsi="Palatino Linotype" w:cs="Arial"/>
        </w:rPr>
        <w:t xml:space="preserve"> </w:t>
      </w:r>
      <w:r w:rsidR="00026229">
        <w:rPr>
          <w:rFonts w:ascii="Palatino Linotype" w:hAnsi="Palatino Linotype" w:cs="Arial"/>
        </w:rPr>
        <w:t xml:space="preserve">del año </w:t>
      </w:r>
      <w:r w:rsidR="00D42038">
        <w:rPr>
          <w:rFonts w:ascii="Palatino Linotype" w:hAnsi="Palatino Linotype" w:cs="Arial"/>
        </w:rPr>
        <w:t>dos mil dieci</w:t>
      </w:r>
      <w:r w:rsidR="002A6315">
        <w:rPr>
          <w:rFonts w:ascii="Palatino Linotype" w:hAnsi="Palatino Linotype" w:cs="Arial"/>
        </w:rPr>
        <w:t>nueve</w:t>
      </w:r>
      <w:r w:rsidR="00816858" w:rsidRPr="00D22304">
        <w:rPr>
          <w:rFonts w:ascii="Palatino Linotype" w:hAnsi="Palatino Linotype" w:cs="Arial"/>
        </w:rPr>
        <w:t>,</w:t>
      </w:r>
      <w:r w:rsidR="00026229">
        <w:rPr>
          <w:rFonts w:ascii="Palatino Linotype" w:hAnsi="Palatino Linotype" w:cs="Arial"/>
        </w:rPr>
        <w:t xml:space="preserve"> </w:t>
      </w:r>
      <w:r w:rsidR="002264D6">
        <w:rPr>
          <w:rFonts w:ascii="Palatino Linotype" w:hAnsi="Palatino Linotype"/>
          <w:b/>
        </w:rPr>
        <w:t>LA</w:t>
      </w:r>
      <w:r w:rsidR="004759A3" w:rsidRPr="004759A3">
        <w:rPr>
          <w:rFonts w:ascii="Palatino Linotype" w:hAnsi="Palatino Linotype"/>
          <w:b/>
        </w:rPr>
        <w:t xml:space="preserve"> RECURRENTE</w:t>
      </w:r>
      <w:r w:rsidR="00816858" w:rsidRPr="00D22304">
        <w:rPr>
          <w:rFonts w:ascii="Palatino Linotype" w:hAnsi="Palatino Linotype"/>
        </w:rPr>
        <w:t xml:space="preserve"> interpuso </w:t>
      </w:r>
      <w:r w:rsidR="00CF5762">
        <w:rPr>
          <w:rFonts w:ascii="Palatino Linotype" w:hAnsi="Palatino Linotype"/>
        </w:rPr>
        <w:t>el</w:t>
      </w:r>
      <w:r w:rsidR="00816858" w:rsidRPr="00D22304">
        <w:rPr>
          <w:rFonts w:ascii="Palatino Linotype" w:hAnsi="Palatino Linotype"/>
        </w:rPr>
        <w:t xml:space="preserve"> recurso de revisión objeto del presente estudio, </w:t>
      </w:r>
      <w:r w:rsidR="00026229">
        <w:rPr>
          <w:rFonts w:ascii="Palatino Linotype" w:hAnsi="Palatino Linotype" w:cs="Arial"/>
        </w:rPr>
        <w:t>al que se</w:t>
      </w:r>
      <w:r w:rsidR="00816858" w:rsidRPr="00D22304">
        <w:rPr>
          <w:rFonts w:ascii="Palatino Linotype" w:hAnsi="Palatino Linotype"/>
        </w:rPr>
        <w:t xml:space="preserve"> le asignó </w:t>
      </w:r>
      <w:r w:rsidR="00CF5762">
        <w:rPr>
          <w:rFonts w:ascii="Palatino Linotype" w:hAnsi="Palatino Linotype"/>
        </w:rPr>
        <w:t>el</w:t>
      </w:r>
      <w:r w:rsidR="00816858" w:rsidRPr="00D22304">
        <w:rPr>
          <w:rFonts w:ascii="Palatino Linotype" w:hAnsi="Palatino Linotype"/>
        </w:rPr>
        <w:t xml:space="preserve"> número de expediente </w:t>
      </w:r>
      <w:r w:rsidR="00816858" w:rsidRPr="00D22304">
        <w:rPr>
          <w:rFonts w:ascii="Palatino Linotype" w:hAnsi="Palatino Linotype" w:cs="Arial"/>
          <w:b/>
          <w:bCs/>
        </w:rPr>
        <w:t>0</w:t>
      </w:r>
      <w:r w:rsidR="002264D6">
        <w:rPr>
          <w:rFonts w:ascii="Palatino Linotype" w:hAnsi="Palatino Linotype" w:cs="Arial"/>
          <w:b/>
          <w:bCs/>
        </w:rPr>
        <w:t>6</w:t>
      </w:r>
      <w:r w:rsidR="00AC5D9B">
        <w:rPr>
          <w:rFonts w:ascii="Palatino Linotype" w:hAnsi="Palatino Linotype" w:cs="Arial"/>
          <w:b/>
          <w:bCs/>
        </w:rPr>
        <w:t>947</w:t>
      </w:r>
      <w:r w:rsidR="007D2747">
        <w:rPr>
          <w:rFonts w:ascii="Palatino Linotype" w:hAnsi="Palatino Linotype" w:cs="Arial"/>
          <w:b/>
          <w:bCs/>
        </w:rPr>
        <w:t>/INFOEM/IP/RR/201</w:t>
      </w:r>
      <w:r w:rsidR="002A6315">
        <w:rPr>
          <w:rFonts w:ascii="Palatino Linotype" w:hAnsi="Palatino Linotype" w:cs="Arial"/>
          <w:b/>
          <w:bCs/>
        </w:rPr>
        <w:t>9</w:t>
      </w:r>
      <w:r w:rsidR="00816858" w:rsidRPr="00D22304">
        <w:rPr>
          <w:rFonts w:ascii="Palatino Linotype" w:hAnsi="Palatino Linotype" w:cs="Arial"/>
        </w:rPr>
        <w:t xml:space="preserve">, en </w:t>
      </w:r>
      <w:r w:rsidR="00CF5762">
        <w:rPr>
          <w:rFonts w:ascii="Palatino Linotype" w:hAnsi="Palatino Linotype" w:cs="Arial"/>
        </w:rPr>
        <w:t>el</w:t>
      </w:r>
      <w:r w:rsidR="00816858" w:rsidRPr="00D22304">
        <w:rPr>
          <w:rFonts w:ascii="Palatino Linotype" w:hAnsi="Palatino Linotype" w:cs="Arial"/>
        </w:rPr>
        <w:t xml:space="preserve"> que señaló como acto impugnado lo siguiente:</w:t>
      </w:r>
    </w:p>
    <w:p w:rsidR="00816858" w:rsidRDefault="00816858" w:rsidP="00816858">
      <w:pPr>
        <w:pStyle w:val="Prrafodelista"/>
        <w:spacing w:line="360" w:lineRule="auto"/>
        <w:ind w:left="0"/>
        <w:jc w:val="both"/>
        <w:rPr>
          <w:rFonts w:ascii="Palatino Linotype" w:hAnsi="Palatino Linotype" w:cs="Arial"/>
          <w:sz w:val="16"/>
        </w:rPr>
      </w:pPr>
    </w:p>
    <w:p w:rsidR="00816858" w:rsidRDefault="00CF5762" w:rsidP="00F85968">
      <w:pPr>
        <w:ind w:left="851" w:right="901"/>
        <w:jc w:val="both"/>
        <w:rPr>
          <w:rFonts w:ascii="Palatino Linotype" w:hAnsi="Palatino Linotype" w:cs="Arial"/>
          <w:i/>
          <w:sz w:val="22"/>
          <w:szCs w:val="22"/>
          <w:lang w:val="es-ES_tradnl"/>
        </w:rPr>
      </w:pPr>
      <w:r w:rsidRPr="00CE7125">
        <w:rPr>
          <w:rFonts w:ascii="Palatino Linotype" w:hAnsi="Palatino Linotype" w:cs="Arial"/>
          <w:i/>
          <w:sz w:val="22"/>
          <w:szCs w:val="22"/>
          <w:lang w:val="es-ES_tradnl"/>
        </w:rPr>
        <w:t xml:space="preserve"> </w:t>
      </w:r>
      <w:r w:rsidR="00816858" w:rsidRPr="00CE7125">
        <w:rPr>
          <w:rFonts w:ascii="Palatino Linotype" w:hAnsi="Palatino Linotype" w:cs="Arial"/>
          <w:i/>
          <w:sz w:val="22"/>
          <w:szCs w:val="22"/>
          <w:lang w:val="es-ES_tradnl"/>
        </w:rPr>
        <w:t>“</w:t>
      </w:r>
      <w:r w:rsidR="00AC5D9B" w:rsidRPr="00AC5D9B">
        <w:rPr>
          <w:rFonts w:ascii="Palatino Linotype" w:hAnsi="Palatino Linotype" w:cs="Arial"/>
          <w:i/>
          <w:sz w:val="22"/>
          <w:szCs w:val="22"/>
          <w:lang w:val="es-ES_tradnl"/>
        </w:rPr>
        <w:t>La negativa del Sujeto Obligado, para dar a conocer la información, y a su vez clasificándola como confidencial, acto que es improcedente.</w:t>
      </w:r>
      <w:r w:rsidR="00816858" w:rsidRPr="00CE7125">
        <w:rPr>
          <w:rFonts w:ascii="Palatino Linotype" w:hAnsi="Palatino Linotype" w:cs="Arial"/>
          <w:i/>
          <w:sz w:val="22"/>
          <w:szCs w:val="22"/>
          <w:lang w:val="es-ES_tradnl"/>
        </w:rPr>
        <w:t>” (Sic)</w:t>
      </w:r>
    </w:p>
    <w:p w:rsidR="00CF5762" w:rsidRDefault="00CF5762" w:rsidP="00F85968">
      <w:pPr>
        <w:ind w:left="851" w:right="901"/>
        <w:jc w:val="both"/>
        <w:rPr>
          <w:rFonts w:ascii="Palatino Linotype" w:hAnsi="Palatino Linotype" w:cs="Arial"/>
          <w:i/>
          <w:sz w:val="22"/>
          <w:szCs w:val="22"/>
          <w:lang w:val="es-ES_tradnl"/>
        </w:rPr>
      </w:pPr>
    </w:p>
    <w:p w:rsidR="00E877F8" w:rsidRPr="00D22304" w:rsidRDefault="00E877F8" w:rsidP="00EC3A5E">
      <w:pPr>
        <w:spacing w:line="360" w:lineRule="auto"/>
        <w:jc w:val="both"/>
        <w:rPr>
          <w:rFonts w:ascii="Palatino Linotype" w:hAnsi="Palatino Linotype" w:cs="Arial"/>
        </w:rPr>
      </w:pPr>
      <w:r w:rsidRPr="00D22304">
        <w:rPr>
          <w:rFonts w:ascii="Palatino Linotype" w:hAnsi="Palatino Linotype" w:cs="Arial"/>
        </w:rPr>
        <w:t xml:space="preserve">Asimismo, como razones o motivos de inconformidad: </w:t>
      </w:r>
    </w:p>
    <w:p w:rsidR="00E877F8" w:rsidRDefault="00E877F8" w:rsidP="00EC3A5E">
      <w:pPr>
        <w:jc w:val="both"/>
        <w:rPr>
          <w:rFonts w:ascii="Palatino Linotype" w:hAnsi="Palatino Linotype" w:cs="Arial"/>
          <w:sz w:val="16"/>
        </w:rPr>
      </w:pPr>
    </w:p>
    <w:p w:rsidR="00816858" w:rsidRDefault="00CF5762" w:rsidP="00CE7125">
      <w:pPr>
        <w:ind w:left="851" w:right="901"/>
        <w:jc w:val="both"/>
        <w:rPr>
          <w:rFonts w:ascii="Palatino Linotype" w:hAnsi="Palatino Linotype" w:cs="Arial"/>
          <w:i/>
          <w:sz w:val="22"/>
          <w:szCs w:val="22"/>
          <w:lang w:val="es-ES_tradnl"/>
        </w:rPr>
      </w:pPr>
      <w:r w:rsidRPr="00EF56C1">
        <w:rPr>
          <w:rFonts w:ascii="Palatino Linotype" w:hAnsi="Palatino Linotype" w:cs="Arial"/>
          <w:i/>
          <w:sz w:val="22"/>
          <w:szCs w:val="22"/>
          <w:lang w:val="es-ES_tradnl"/>
        </w:rPr>
        <w:t xml:space="preserve"> </w:t>
      </w:r>
      <w:r w:rsidR="00816858" w:rsidRPr="00EF56C1">
        <w:rPr>
          <w:rFonts w:ascii="Palatino Linotype" w:hAnsi="Palatino Linotype" w:cs="Arial"/>
          <w:i/>
          <w:sz w:val="22"/>
          <w:szCs w:val="22"/>
          <w:lang w:val="es-ES_tradnl"/>
        </w:rPr>
        <w:t>“</w:t>
      </w:r>
      <w:r w:rsidR="00AC5D9B" w:rsidRPr="00AC5D9B">
        <w:rPr>
          <w:rFonts w:ascii="Palatino Linotype" w:hAnsi="Palatino Linotype" w:cs="Arial"/>
          <w:i/>
          <w:sz w:val="22"/>
          <w:szCs w:val="22"/>
          <w:lang w:val="es-ES_tradnl"/>
        </w:rPr>
        <w:t xml:space="preserve">En la solicitud simple y sencillamente se solicita “nombres de todo el personal que labora en la institución, sueldos y tipo de plaza con la que cuentan”, sin embargo el sujeto obligado niega la información diciendo que es confidencial y reservada. 1.- Los sueldos de los servidores públicos, son información pública aun cuando constituyan datos personales que se refieren al patrimonio. Ya que al ser pagados de recurso público se encuentran en el supuesto de dar a conocer a través del acceso a la información, tomando en consideración el artículo 23 de la Ley de Transparencia. </w:t>
      </w:r>
      <w:r w:rsidR="00AC5D9B" w:rsidRPr="00AC5D9B">
        <w:rPr>
          <w:rFonts w:ascii="Palatino Linotype" w:hAnsi="Palatino Linotype" w:cs="Arial"/>
          <w:i/>
          <w:sz w:val="22"/>
          <w:szCs w:val="22"/>
          <w:lang w:val="es-ES_tradnl"/>
        </w:rPr>
        <w:lastRenderedPageBreak/>
        <w:t>Artículo 23. Son sujetos obligados a transparentar y permitir el acceso a su información y proteger los datos personales que obren en su poder: ... Los sujetos obligados deberán hacer pública toda aquella información relativa a los montos y las personas a quienes entreguen, por cualquier motivo, recursos públicos, así como los informes que dichas personas les entreguen sobre el uso y destino de dichos recursos. Los servidores públicos deberán transparentar sus acciones así como garantizar y respetar el derecho de acceso a la información pública. Pido atentamente al Órgano regulados, ordene la entrega de dicha información, ya que el sujeto obligado al no entregar la Información que consta de ser de Acceso Público, da a expresar que existen anomalías y por eso niega dar a conocer lo solicitado.</w:t>
      </w:r>
      <w:r w:rsidR="00816858" w:rsidRPr="00F85968">
        <w:rPr>
          <w:rFonts w:ascii="Palatino Linotype" w:hAnsi="Palatino Linotype" w:cs="Arial"/>
          <w:i/>
          <w:sz w:val="22"/>
          <w:szCs w:val="22"/>
          <w:lang w:val="es-ES_tradnl"/>
        </w:rPr>
        <w:t>” (Sic)</w:t>
      </w:r>
    </w:p>
    <w:p w:rsidR="00E877F8" w:rsidRDefault="00E877F8" w:rsidP="00EC3A5E">
      <w:pPr>
        <w:jc w:val="both"/>
        <w:rPr>
          <w:rFonts w:ascii="Palatino Linotype" w:hAnsi="Palatino Linotype"/>
        </w:rPr>
      </w:pPr>
    </w:p>
    <w:p w:rsidR="00D519BE" w:rsidRPr="00D22304" w:rsidRDefault="002264D6" w:rsidP="00EC3A5E">
      <w:pPr>
        <w:pStyle w:val="Prrafodelista"/>
        <w:spacing w:line="360" w:lineRule="auto"/>
        <w:ind w:left="0"/>
        <w:contextualSpacing w:val="0"/>
        <w:jc w:val="both"/>
        <w:rPr>
          <w:rFonts w:ascii="Palatino Linotype" w:hAnsi="Palatino Linotype" w:cs="Arial"/>
          <w:lang w:val="es-ES_tradnl"/>
        </w:rPr>
      </w:pPr>
      <w:r>
        <w:rPr>
          <w:rFonts w:ascii="Palatino Linotype" w:hAnsi="Palatino Linotype" w:cs="Arial"/>
          <w:b/>
          <w:sz w:val="28"/>
          <w:szCs w:val="28"/>
        </w:rPr>
        <w:t>I</w:t>
      </w:r>
      <w:r w:rsidR="00D519BE" w:rsidRPr="00D22304">
        <w:rPr>
          <w:rFonts w:ascii="Palatino Linotype" w:hAnsi="Palatino Linotype" w:cs="Arial"/>
          <w:b/>
          <w:sz w:val="28"/>
          <w:szCs w:val="28"/>
        </w:rPr>
        <w:t xml:space="preserve">V. </w:t>
      </w:r>
      <w:r w:rsidR="00D519BE" w:rsidRPr="00D22304">
        <w:rPr>
          <w:rFonts w:ascii="Palatino Linotype" w:hAnsi="Palatino Linotype" w:cs="Arial"/>
        </w:rPr>
        <w:t>El</w:t>
      </w:r>
      <w:r w:rsidR="008A2334" w:rsidRPr="00D22304">
        <w:rPr>
          <w:rFonts w:ascii="Palatino Linotype" w:hAnsi="Palatino Linotype" w:cs="Arial"/>
        </w:rPr>
        <w:t xml:space="preserve"> </w:t>
      </w:r>
      <w:r w:rsidR="00785294">
        <w:rPr>
          <w:rFonts w:ascii="Palatino Linotype" w:hAnsi="Palatino Linotype" w:cs="Arial"/>
        </w:rPr>
        <w:t>veinti</w:t>
      </w:r>
      <w:r w:rsidR="00AC5D9B">
        <w:rPr>
          <w:rFonts w:ascii="Palatino Linotype" w:hAnsi="Palatino Linotype" w:cs="Arial"/>
        </w:rPr>
        <w:t>nueve</w:t>
      </w:r>
      <w:r w:rsidR="002A6315">
        <w:rPr>
          <w:rFonts w:ascii="Palatino Linotype" w:hAnsi="Palatino Linotype" w:cs="Arial"/>
        </w:rPr>
        <w:t xml:space="preserve"> </w:t>
      </w:r>
      <w:r w:rsidR="008978FC">
        <w:rPr>
          <w:rFonts w:ascii="Palatino Linotype" w:hAnsi="Palatino Linotype" w:cs="Arial"/>
        </w:rPr>
        <w:t xml:space="preserve">de </w:t>
      </w:r>
      <w:r>
        <w:rPr>
          <w:rFonts w:ascii="Palatino Linotype" w:hAnsi="Palatino Linotype" w:cs="Arial"/>
        </w:rPr>
        <w:t>agosto</w:t>
      </w:r>
      <w:r w:rsidR="00CF5762">
        <w:rPr>
          <w:rFonts w:ascii="Palatino Linotype" w:hAnsi="Palatino Linotype" w:cs="Arial"/>
        </w:rPr>
        <w:t xml:space="preserve"> </w:t>
      </w:r>
      <w:r w:rsidR="00E96B80" w:rsidRPr="00D22304">
        <w:rPr>
          <w:rFonts w:ascii="Palatino Linotype" w:hAnsi="Palatino Linotype" w:cs="Arial"/>
        </w:rPr>
        <w:t>de dos mil dieci</w:t>
      </w:r>
      <w:r w:rsidR="002A6315">
        <w:rPr>
          <w:rFonts w:ascii="Palatino Linotype" w:hAnsi="Palatino Linotype" w:cs="Arial"/>
        </w:rPr>
        <w:t>nueve</w:t>
      </w:r>
      <w:r w:rsidR="00D519BE" w:rsidRPr="00D22304">
        <w:rPr>
          <w:rFonts w:ascii="Palatino Linotype" w:hAnsi="Palatino Linotype" w:cs="Arial"/>
        </w:rPr>
        <w:t xml:space="preserve">, </w:t>
      </w:r>
      <w:r w:rsidR="00CF5762">
        <w:rPr>
          <w:rFonts w:ascii="Palatino Linotype" w:hAnsi="Palatino Linotype" w:cs="Arial"/>
        </w:rPr>
        <w:t>el</w:t>
      </w:r>
      <w:r w:rsidR="00CF5762" w:rsidRPr="00A70646">
        <w:rPr>
          <w:rFonts w:ascii="Palatino Linotype" w:hAnsi="Palatino Linotype" w:cs="Arial"/>
        </w:rPr>
        <w:t xml:space="preserve"> </w:t>
      </w:r>
      <w:r w:rsidR="00CF5762" w:rsidRPr="00A70646">
        <w:rPr>
          <w:rFonts w:ascii="Palatino Linotype" w:hAnsi="Palatino Linotype" w:cs="Arial"/>
          <w:lang w:val="es-ES_tradnl"/>
        </w:rPr>
        <w:t>recurso de que</w:t>
      </w:r>
      <w:r w:rsidR="00CF5762" w:rsidRPr="00A70646">
        <w:rPr>
          <w:rFonts w:ascii="Palatino Linotype" w:hAnsi="Palatino Linotype" w:cs="Arial"/>
        </w:rPr>
        <w:t xml:space="preserve"> se trata</w:t>
      </w:r>
      <w:r w:rsidR="00CF5762" w:rsidRPr="00A70646">
        <w:rPr>
          <w:rFonts w:ascii="Palatino Linotype" w:hAnsi="Palatino Linotype" w:cs="Arial"/>
          <w:lang w:val="es-ES_tradnl"/>
        </w:rPr>
        <w:t xml:space="preserve"> se envi</w:t>
      </w:r>
      <w:r w:rsidR="00CF5762">
        <w:rPr>
          <w:rFonts w:ascii="Palatino Linotype" w:hAnsi="Palatino Linotype" w:cs="Arial"/>
          <w:lang w:val="es-ES_tradnl"/>
        </w:rPr>
        <w:t>ó</w:t>
      </w:r>
      <w:r w:rsidR="00CF5762" w:rsidRPr="00A70646">
        <w:rPr>
          <w:rFonts w:ascii="Palatino Linotype" w:hAnsi="Palatino Linotype" w:cs="Arial"/>
          <w:lang w:val="es-ES_tradnl"/>
        </w:rPr>
        <w:t xml:space="preserve"> electrónicamente al Instituto de </w:t>
      </w:r>
      <w:r w:rsidR="00CF5762" w:rsidRPr="00A70646">
        <w:rPr>
          <w:rFonts w:ascii="Palatino Linotype" w:eastAsia="Arial Unicode MS" w:hAnsi="Palatino Linotype" w:cs="Arial"/>
        </w:rPr>
        <w:t>Transparencia</w:t>
      </w:r>
      <w:r w:rsidR="00CF5762" w:rsidRPr="00A70646">
        <w:rPr>
          <w:rFonts w:ascii="Palatino Linotype" w:hAnsi="Palatino Linotype" w:cs="Arial"/>
          <w:lang w:val="es-ES_tradnl"/>
        </w:rPr>
        <w:t>, Acceso a la Información Pública y Protección de Datos Personales del Estado de México y Municipios y con fundamento en el artículo 185</w:t>
      </w:r>
      <w:r w:rsidR="00343C75">
        <w:rPr>
          <w:rFonts w:ascii="Palatino Linotype" w:hAnsi="Palatino Linotype" w:cs="Arial"/>
          <w:lang w:val="es-ES_tradnl"/>
        </w:rPr>
        <w:t>,</w:t>
      </w:r>
      <w:r w:rsidR="00CF5762" w:rsidRPr="00A70646">
        <w:rPr>
          <w:rFonts w:ascii="Palatino Linotype" w:hAnsi="Palatino Linotype" w:cs="Arial"/>
          <w:lang w:val="es-ES_tradnl"/>
        </w:rPr>
        <w:t xml:space="preserve"> fracción I de la </w:t>
      </w:r>
      <w:r w:rsidR="00CF5762" w:rsidRPr="00A70646">
        <w:rPr>
          <w:rFonts w:ascii="Palatino Linotype" w:hAnsi="Palatino Linotype"/>
        </w:rPr>
        <w:t>Ley de Transparencia y Acceso a la Información Pública del Estado de México y Municipios</w:t>
      </w:r>
      <w:r w:rsidR="00CF5762" w:rsidRPr="00A70646">
        <w:rPr>
          <w:rFonts w:ascii="Palatino Linotype" w:hAnsi="Palatino Linotype" w:cs="Arial"/>
          <w:lang w:val="es-ES_tradnl"/>
        </w:rPr>
        <w:t>, se turn</w:t>
      </w:r>
      <w:r w:rsidR="00417C85">
        <w:rPr>
          <w:rFonts w:ascii="Palatino Linotype" w:hAnsi="Palatino Linotype" w:cs="Arial"/>
          <w:lang w:val="es-ES_tradnl"/>
        </w:rPr>
        <w:t>ó</w:t>
      </w:r>
      <w:r w:rsidR="00CF5762" w:rsidRPr="00A70646">
        <w:rPr>
          <w:rFonts w:ascii="Palatino Linotype" w:hAnsi="Palatino Linotype" w:cs="Arial"/>
          <w:lang w:val="es-ES_tradnl"/>
        </w:rPr>
        <w:t xml:space="preserve"> </w:t>
      </w:r>
      <w:r w:rsidR="00CF5762" w:rsidRPr="00A70646">
        <w:rPr>
          <w:rFonts w:ascii="Palatino Linotype" w:hAnsi="Palatino Linotype" w:cs="Arial"/>
          <w:bCs/>
        </w:rPr>
        <w:t>a la</w:t>
      </w:r>
      <w:r w:rsidR="00CF5762" w:rsidRPr="00A70646">
        <w:rPr>
          <w:rFonts w:ascii="Palatino Linotype" w:hAnsi="Palatino Linotype"/>
        </w:rPr>
        <w:t xml:space="preserve"> </w:t>
      </w:r>
      <w:r w:rsidR="00CF5762" w:rsidRPr="00A70646">
        <w:rPr>
          <w:rFonts w:ascii="Palatino Linotype" w:hAnsi="Palatino Linotype" w:cs="Arial"/>
          <w:lang w:val="es-ES_tradnl"/>
        </w:rPr>
        <w:t xml:space="preserve">Comisionada </w:t>
      </w:r>
      <w:r w:rsidR="00CF5762" w:rsidRPr="00A70646">
        <w:rPr>
          <w:rFonts w:ascii="Palatino Linotype" w:hAnsi="Palatino Linotype" w:cs="Arial"/>
          <w:b/>
          <w:lang w:val="es-ES_tradnl"/>
        </w:rPr>
        <w:t>EVA ABAID YAPUR;</w:t>
      </w:r>
      <w:r w:rsidR="00DD609B">
        <w:rPr>
          <w:rFonts w:ascii="Palatino Linotype" w:hAnsi="Palatino Linotype" w:cs="Arial"/>
          <w:lang w:val="es-ES_tradnl"/>
        </w:rPr>
        <w:t xml:space="preserve"> a efecto de que decretara</w:t>
      </w:r>
      <w:r w:rsidR="00CF5762" w:rsidRPr="00A70646">
        <w:rPr>
          <w:rFonts w:ascii="Palatino Linotype" w:hAnsi="Palatino Linotype" w:cs="Arial"/>
          <w:lang w:val="es-ES_tradnl"/>
        </w:rPr>
        <w:t xml:space="preserve"> su admisión o desechamiento.</w:t>
      </w:r>
    </w:p>
    <w:p w:rsidR="008A24CB" w:rsidRPr="00D22304"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Default="00ED28B3" w:rsidP="00EC3A5E">
      <w:pPr>
        <w:pStyle w:val="Piedepgina"/>
        <w:spacing w:line="360" w:lineRule="auto"/>
        <w:jc w:val="both"/>
        <w:rPr>
          <w:rFonts w:ascii="Palatino Linotype" w:hAnsi="Palatino Linotype" w:cs="Arial"/>
        </w:rPr>
      </w:pPr>
      <w:r>
        <w:rPr>
          <w:rFonts w:ascii="Palatino Linotype" w:hAnsi="Palatino Linotype" w:cs="Arial"/>
          <w:b/>
          <w:noProof/>
          <w:sz w:val="28"/>
          <w:lang w:val="es-MX" w:eastAsia="es-MX"/>
        </w:rPr>
        <mc:AlternateContent>
          <mc:Choice Requires="wps">
            <w:drawing>
              <wp:anchor distT="0" distB="0" distL="114300" distR="114300" simplePos="0" relativeHeight="251663360" behindDoc="0" locked="0" layoutInCell="1" allowOverlap="1">
                <wp:simplePos x="0" y="0"/>
                <wp:positionH relativeFrom="column">
                  <wp:posOffset>5715</wp:posOffset>
                </wp:positionH>
                <wp:positionV relativeFrom="paragraph">
                  <wp:posOffset>2419349</wp:posOffset>
                </wp:positionV>
                <wp:extent cx="5753100" cy="923925"/>
                <wp:effectExtent l="38100" t="38100" r="76200" b="85725"/>
                <wp:wrapNone/>
                <wp:docPr id="7" name="Conector recto 7"/>
                <wp:cNvGraphicFramePr/>
                <a:graphic xmlns:a="http://schemas.openxmlformats.org/drawingml/2006/main">
                  <a:graphicData uri="http://schemas.microsoft.com/office/word/2010/wordprocessingShape">
                    <wps:wsp>
                      <wps:cNvCnPr/>
                      <wps:spPr>
                        <a:xfrm>
                          <a:off x="0" y="0"/>
                          <a:ext cx="5753100" cy="923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B7ECD4" id="Conector recto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pt,190.5pt" to="453.45pt,2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" strokecolor="#4f81bd [3204]" strokeweight="2pt">
                <v:shadow on="t" color="black" opacity="24903f" origin=",.5" offset="0,.55556mm"/>
              </v:line>
            </w:pict>
          </mc:Fallback>
        </mc:AlternateContent>
      </w:r>
      <w:r w:rsidR="004D3F2D" w:rsidRPr="00D22304">
        <w:rPr>
          <w:rFonts w:ascii="Palatino Linotype" w:hAnsi="Palatino Linotype" w:cs="Arial"/>
          <w:b/>
          <w:sz w:val="28"/>
        </w:rPr>
        <w:t xml:space="preserve">V. </w:t>
      </w:r>
      <w:r w:rsidR="00DE3280" w:rsidRPr="00BA3ECA">
        <w:rPr>
          <w:rFonts w:ascii="Palatino Linotype" w:hAnsi="Palatino Linotype" w:cs="Arial"/>
        </w:rPr>
        <w:t xml:space="preserve">El </w:t>
      </w:r>
      <w:r w:rsidR="00AC5D9B">
        <w:rPr>
          <w:rFonts w:ascii="Palatino Linotype" w:hAnsi="Palatino Linotype" w:cs="Arial"/>
        </w:rPr>
        <w:t>cuatro</w:t>
      </w:r>
      <w:r w:rsidR="00DE3280" w:rsidRPr="00BA3ECA">
        <w:rPr>
          <w:rFonts w:ascii="Palatino Linotype" w:hAnsi="Palatino Linotype" w:cs="Arial"/>
        </w:rPr>
        <w:t xml:space="preserve"> de </w:t>
      </w:r>
      <w:r w:rsidR="00AC5D9B">
        <w:rPr>
          <w:rFonts w:ascii="Palatino Linotype" w:hAnsi="Palatino Linotype" w:cs="Arial"/>
        </w:rPr>
        <w:t>septeimbre</w:t>
      </w:r>
      <w:r w:rsidR="00DE3280" w:rsidRPr="00BA3ECA">
        <w:rPr>
          <w:rFonts w:ascii="Palatino Linotype" w:hAnsi="Palatino Linotype" w:cs="Arial"/>
        </w:rPr>
        <w:t xml:space="preserve"> de dos mil dieci</w:t>
      </w:r>
      <w:r w:rsidR="007E762E">
        <w:rPr>
          <w:rFonts w:ascii="Palatino Linotype" w:hAnsi="Palatino Linotype" w:cs="Arial"/>
        </w:rPr>
        <w:t>nueve</w:t>
      </w:r>
      <w:r w:rsidR="00DE3280" w:rsidRPr="00BA3ECA">
        <w:rPr>
          <w:rFonts w:ascii="Palatino Linotype" w:hAnsi="Palatino Linotype" w:cs="Arial"/>
        </w:rPr>
        <w:t>, atento a lo dispuesto en el artículo 185</w:t>
      </w:r>
      <w:r w:rsidR="00DE3280">
        <w:rPr>
          <w:rFonts w:ascii="Palatino Linotype" w:hAnsi="Palatino Linotype" w:cs="Arial"/>
        </w:rPr>
        <w:t>,</w:t>
      </w:r>
      <w:r w:rsidR="00DE3280" w:rsidRPr="00BA3ECA">
        <w:rPr>
          <w:rFonts w:ascii="Palatino Linotype" w:hAnsi="Palatino Linotype" w:cs="Arial"/>
        </w:rPr>
        <w:t xml:space="preserve"> fracciones I, II y IV de la </w:t>
      </w:r>
      <w:r w:rsidR="00DE3280" w:rsidRPr="00BA3ECA">
        <w:rPr>
          <w:rFonts w:ascii="Palatino Linotype" w:hAnsi="Palatino Linotype"/>
        </w:rPr>
        <w:t>Ley de Transparencia y Acceso a la Información Pública del Estado de México y Municipios, se a</w:t>
      </w:r>
      <w:r w:rsidR="00DE3280" w:rsidRPr="00BA3ECA">
        <w:rPr>
          <w:rFonts w:ascii="Palatino Linotype" w:hAnsi="Palatino Linotype" w:cs="Arial"/>
        </w:rPr>
        <w:t>cordó la admisión a trámite del</w:t>
      </w:r>
      <w:r w:rsidR="00C5123A">
        <w:rPr>
          <w:rFonts w:ascii="Palatino Linotype" w:hAnsi="Palatino Linotype" w:cs="Arial"/>
        </w:rPr>
        <w:t xml:space="preserve"> referido</w:t>
      </w:r>
      <w:r w:rsidR="00DE3280" w:rsidRPr="00BA3ECA">
        <w:rPr>
          <w:rFonts w:ascii="Palatino Linotype" w:hAnsi="Palatino Linotype" w:cs="Arial"/>
        </w:rPr>
        <w:t xml:space="preserve"> recurso de revisión, así como la integración del expediente respectivo</w:t>
      </w:r>
      <w:r w:rsidR="00C5123A">
        <w:rPr>
          <w:rFonts w:ascii="Palatino Linotype" w:hAnsi="Palatino Linotype" w:cs="Arial"/>
        </w:rPr>
        <w:t>, mismo que se puso</w:t>
      </w:r>
      <w:r w:rsidR="00DE3280" w:rsidRPr="00BA3ECA">
        <w:rPr>
          <w:rFonts w:ascii="Palatino Linotype" w:hAnsi="Palatino Linotype" w:cs="Arial"/>
        </w:rPr>
        <w:t xml:space="preserve"> a disposición de las partes, para que, de considerarlo conveniente, en el plazo máximo de siete días hábiles, </w:t>
      </w:r>
      <w:r w:rsidR="002264D6">
        <w:rPr>
          <w:rFonts w:ascii="Palatino Linotype" w:hAnsi="Palatino Linotype" w:cs="Arial"/>
          <w:b/>
        </w:rPr>
        <w:t>LA</w:t>
      </w:r>
      <w:r w:rsidR="00DE3280" w:rsidRPr="00BA3ECA">
        <w:rPr>
          <w:rFonts w:ascii="Palatino Linotype" w:hAnsi="Palatino Linotype" w:cs="Arial"/>
          <w:b/>
        </w:rPr>
        <w:t xml:space="preserve"> RECURRENTE</w:t>
      </w:r>
      <w:r w:rsidR="00DE3280" w:rsidRPr="00BA3ECA">
        <w:rPr>
          <w:rFonts w:ascii="Palatino Linotype" w:hAnsi="Palatino Linotype" w:cs="Arial"/>
        </w:rPr>
        <w:t xml:space="preserve"> realizara manifestaciones y alegatos, así como ofreciera las pruebas que a su derecho conviniera y, en el caso del</w:t>
      </w:r>
      <w:r w:rsidR="00DE3280" w:rsidRPr="00BA3ECA">
        <w:rPr>
          <w:rFonts w:ascii="Palatino Linotype" w:hAnsi="Palatino Linotype" w:cs="Arial"/>
          <w:b/>
        </w:rPr>
        <w:t xml:space="preserve"> SUJETO OBLIGADO</w:t>
      </w:r>
      <w:r w:rsidR="00DE3280" w:rsidRPr="00BA3ECA">
        <w:rPr>
          <w:rFonts w:ascii="Palatino Linotype" w:hAnsi="Palatino Linotype" w:cs="Arial"/>
        </w:rPr>
        <w:t xml:space="preserve"> exhibiera </w:t>
      </w:r>
      <w:r w:rsidR="00C5123A">
        <w:rPr>
          <w:rFonts w:ascii="Palatino Linotype" w:hAnsi="Palatino Linotype" w:cs="Arial"/>
        </w:rPr>
        <w:t>el Informe Justificado</w:t>
      </w:r>
      <w:r w:rsidR="00DE3280" w:rsidRPr="00BA3ECA">
        <w:rPr>
          <w:rFonts w:ascii="Palatino Linotype" w:hAnsi="Palatino Linotype" w:cs="Arial"/>
        </w:rPr>
        <w:t xml:space="preserve"> correspondiente.</w:t>
      </w:r>
    </w:p>
    <w:p w:rsidR="00DE3280" w:rsidRPr="00D22304" w:rsidRDefault="00DE3280" w:rsidP="00EC3A5E">
      <w:pPr>
        <w:pStyle w:val="Piedepgina"/>
        <w:spacing w:line="360" w:lineRule="auto"/>
        <w:jc w:val="both"/>
        <w:rPr>
          <w:rFonts w:ascii="Palatino Linotype" w:hAnsi="Palatino Linotype" w:cs="Arial"/>
        </w:rPr>
      </w:pPr>
    </w:p>
    <w:p w:rsidR="00AC5D9B" w:rsidRDefault="008978FC" w:rsidP="005A40DE">
      <w:pPr>
        <w:spacing w:line="360" w:lineRule="auto"/>
        <w:jc w:val="both"/>
        <w:rPr>
          <w:rFonts w:ascii="Palatino Linotype" w:hAnsi="Palatino Linotype" w:cs="Arial"/>
        </w:rPr>
      </w:pPr>
      <w:r w:rsidRPr="000B6DA3">
        <w:rPr>
          <w:rFonts w:ascii="Palatino Linotype" w:eastAsia="Arial Unicode MS" w:hAnsi="Palatino Linotype" w:cs="Arial"/>
          <w:b/>
          <w:sz w:val="28"/>
          <w:szCs w:val="28"/>
        </w:rPr>
        <w:lastRenderedPageBreak/>
        <w:t xml:space="preserve">VI. </w:t>
      </w:r>
      <w:r w:rsidR="00DE3280" w:rsidRPr="00BA3ECA">
        <w:rPr>
          <w:rFonts w:ascii="Palatino Linotype" w:hAnsi="Palatino Linotype" w:cs="Arial"/>
        </w:rPr>
        <w:t xml:space="preserve">De las constancias que obran en el </w:t>
      </w:r>
      <w:r w:rsidR="00DE3280" w:rsidRPr="00BA3ECA">
        <w:rPr>
          <w:rFonts w:ascii="Palatino Linotype" w:hAnsi="Palatino Linotype" w:cs="Arial"/>
          <w:b/>
        </w:rPr>
        <w:t>SAIMEX</w:t>
      </w:r>
      <w:r w:rsidR="00DE3280" w:rsidRPr="00BA3ECA">
        <w:rPr>
          <w:rFonts w:ascii="Palatino Linotype" w:hAnsi="Palatino Linotype" w:cs="Arial"/>
        </w:rPr>
        <w:t>, se advierte que</w:t>
      </w:r>
      <w:r w:rsidR="00DE3280" w:rsidRPr="00BA3ECA">
        <w:rPr>
          <w:rFonts w:ascii="Palatino Linotype" w:hAnsi="Palatino Linotype" w:cs="Arial"/>
          <w:b/>
        </w:rPr>
        <w:t xml:space="preserve"> </w:t>
      </w:r>
      <w:r w:rsidR="002264D6">
        <w:rPr>
          <w:rFonts w:ascii="Palatino Linotype" w:hAnsi="Palatino Linotype" w:cs="Arial"/>
          <w:b/>
        </w:rPr>
        <w:t>LA</w:t>
      </w:r>
      <w:r w:rsidR="00DE3280" w:rsidRPr="00BA3ECA">
        <w:rPr>
          <w:rFonts w:ascii="Palatino Linotype" w:hAnsi="Palatino Linotype" w:cs="Arial"/>
          <w:b/>
        </w:rPr>
        <w:t xml:space="preserve"> RECURRENTE </w:t>
      </w:r>
      <w:r w:rsidR="00DE3280" w:rsidRPr="00BA3ECA">
        <w:rPr>
          <w:rFonts w:ascii="Palatino Linotype" w:hAnsi="Palatino Linotype" w:cs="Arial"/>
        </w:rPr>
        <w:t xml:space="preserve">no presentó manifestaciones </w:t>
      </w:r>
      <w:r w:rsidR="00DD609B">
        <w:rPr>
          <w:rFonts w:ascii="Palatino Linotype" w:hAnsi="Palatino Linotype" w:cs="Arial"/>
        </w:rPr>
        <w:t>y</w:t>
      </w:r>
      <w:r w:rsidR="00DE3280" w:rsidRPr="00BA3ECA">
        <w:rPr>
          <w:rFonts w:ascii="Palatino Linotype" w:hAnsi="Palatino Linotype" w:cs="Arial"/>
        </w:rPr>
        <w:t xml:space="preserve"> alegatos, ni ofreció los medios de pru</w:t>
      </w:r>
      <w:r w:rsidR="00DD609B">
        <w:rPr>
          <w:rFonts w:ascii="Palatino Linotype" w:hAnsi="Palatino Linotype" w:cs="Arial"/>
        </w:rPr>
        <w:t>eba que a su derecho conviniera</w:t>
      </w:r>
      <w:r w:rsidR="00DE3280" w:rsidRPr="00BA3ECA">
        <w:rPr>
          <w:rFonts w:ascii="Palatino Linotype" w:hAnsi="Palatino Linotype" w:cs="Arial"/>
        </w:rPr>
        <w:t xml:space="preserve">. </w:t>
      </w:r>
    </w:p>
    <w:p w:rsidR="00AC5D9B" w:rsidRDefault="00AC5D9B" w:rsidP="005A40DE">
      <w:pPr>
        <w:spacing w:line="360" w:lineRule="auto"/>
        <w:jc w:val="both"/>
        <w:rPr>
          <w:rFonts w:ascii="Palatino Linotype" w:hAnsi="Palatino Linotype" w:cs="Arial"/>
        </w:rPr>
      </w:pPr>
    </w:p>
    <w:p w:rsidR="00785294" w:rsidRDefault="00DE3280" w:rsidP="005A40DE">
      <w:pPr>
        <w:spacing w:line="360" w:lineRule="auto"/>
        <w:jc w:val="both"/>
        <w:rPr>
          <w:noProof/>
          <w:lang w:val="es-MX" w:eastAsia="es-MX"/>
        </w:rPr>
      </w:pPr>
      <w:r w:rsidRPr="00BA3ECA">
        <w:rPr>
          <w:rFonts w:ascii="Palatino Linotype" w:hAnsi="Palatino Linotype" w:cs="Arial"/>
        </w:rPr>
        <w:t xml:space="preserve">Por su parte, </w:t>
      </w:r>
      <w:r w:rsidRPr="00BA3ECA">
        <w:rPr>
          <w:rFonts w:ascii="Palatino Linotype" w:hAnsi="Palatino Linotype" w:cs="Arial"/>
          <w:b/>
        </w:rPr>
        <w:t>EL SUJETO OBLIGADO</w:t>
      </w:r>
      <w:r w:rsidRPr="00BA3ECA">
        <w:rPr>
          <w:rFonts w:ascii="Palatino Linotype" w:hAnsi="Palatino Linotype" w:cs="Arial"/>
        </w:rPr>
        <w:t xml:space="preserve"> </w:t>
      </w:r>
      <w:r w:rsidR="00AC5D9B">
        <w:rPr>
          <w:rFonts w:ascii="Palatino Linotype" w:hAnsi="Palatino Linotype" w:cs="Arial"/>
        </w:rPr>
        <w:t>rindió</w:t>
      </w:r>
      <w:r w:rsidR="00785294">
        <w:rPr>
          <w:rFonts w:ascii="Palatino Linotype" w:hAnsi="Palatino Linotype" w:cs="Arial"/>
        </w:rPr>
        <w:t xml:space="preserve"> </w:t>
      </w:r>
      <w:r w:rsidR="00AC5D9B">
        <w:rPr>
          <w:rFonts w:ascii="Palatino Linotype" w:hAnsi="Palatino Linotype" w:cs="Arial"/>
        </w:rPr>
        <w:t xml:space="preserve">en fecha veintisiete de septiembre de dos mil diecinueve </w:t>
      </w:r>
      <w:r w:rsidR="00C5123A">
        <w:rPr>
          <w:rFonts w:ascii="Palatino Linotype" w:hAnsi="Palatino Linotype" w:cs="Arial"/>
        </w:rPr>
        <w:t>el</w:t>
      </w:r>
      <w:r w:rsidRPr="00BA3ECA">
        <w:rPr>
          <w:rFonts w:ascii="Palatino Linotype" w:hAnsi="Palatino Linotype" w:cs="Arial"/>
        </w:rPr>
        <w:t xml:space="preserve"> Informe Justificado</w:t>
      </w:r>
      <w:r w:rsidR="00AC5D9B">
        <w:rPr>
          <w:rFonts w:ascii="Palatino Linotype" w:hAnsi="Palatino Linotype" w:cs="Arial"/>
        </w:rPr>
        <w:t>, por medio del cual adjuntó cinco archivos electrónicos mediante los cuales adiciono información, por lo que, al encuadrar en el supuesto de la fracción III, del artículo 185, se puso a la vista de la particular, a efecto de que manifestara lo que su derecho conviniera</w:t>
      </w:r>
      <w:r w:rsidR="00785294">
        <w:rPr>
          <w:noProof/>
          <w:lang w:val="es-MX" w:eastAsia="es-MX"/>
        </w:rPr>
        <w:t>.</w:t>
      </w:r>
    </w:p>
    <w:p w:rsidR="00AC5D9B" w:rsidRDefault="00AC5D9B" w:rsidP="005A40DE">
      <w:pPr>
        <w:spacing w:line="360" w:lineRule="auto"/>
        <w:jc w:val="both"/>
        <w:rPr>
          <w:noProof/>
          <w:lang w:val="es-MX" w:eastAsia="es-MX"/>
        </w:rPr>
      </w:pPr>
    </w:p>
    <w:p w:rsidR="00AC5D9B" w:rsidRPr="00AC5D9B" w:rsidRDefault="00AC5D9B" w:rsidP="005A40DE">
      <w:pPr>
        <w:spacing w:line="360" w:lineRule="auto"/>
        <w:jc w:val="both"/>
        <w:rPr>
          <w:rFonts w:ascii="Palatino Linotype" w:hAnsi="Palatino Linotype"/>
          <w:noProof/>
          <w:lang w:val="es-MX" w:eastAsia="es-MX"/>
        </w:rPr>
      </w:pPr>
      <w:r w:rsidRPr="00AC5D9B">
        <w:rPr>
          <w:rFonts w:ascii="Palatino Linotype" w:hAnsi="Palatino Linotype"/>
          <w:noProof/>
          <w:lang w:val="es-MX" w:eastAsia="es-MX"/>
        </w:rPr>
        <w:t xml:space="preserve">Cabe hacer mención, que </w:t>
      </w:r>
      <w:r w:rsidRPr="00AC5D9B">
        <w:rPr>
          <w:rFonts w:ascii="Palatino Linotype" w:hAnsi="Palatino Linotype"/>
          <w:b/>
          <w:noProof/>
          <w:lang w:val="es-MX" w:eastAsia="es-MX"/>
        </w:rPr>
        <w:t>LA RECURRENTE</w:t>
      </w:r>
      <w:r w:rsidRPr="00AC5D9B">
        <w:rPr>
          <w:rFonts w:ascii="Palatino Linotype" w:hAnsi="Palatino Linotype"/>
          <w:noProof/>
          <w:lang w:val="es-MX" w:eastAsia="es-MX"/>
        </w:rPr>
        <w:t xml:space="preserve"> no se pronunció respecto del Informe Justificado.</w:t>
      </w:r>
    </w:p>
    <w:p w:rsidR="002414AB" w:rsidRPr="009C56F6" w:rsidRDefault="002414AB" w:rsidP="005A40DE">
      <w:pPr>
        <w:spacing w:line="360" w:lineRule="auto"/>
        <w:jc w:val="both"/>
        <w:rPr>
          <w:rFonts w:ascii="Palatino Linotype" w:hAnsi="Palatino Linotype"/>
        </w:rPr>
      </w:pPr>
    </w:p>
    <w:p w:rsidR="00CF13CC" w:rsidRDefault="002264D6" w:rsidP="00CF13CC">
      <w:pPr>
        <w:pStyle w:val="Prrafodelista"/>
        <w:spacing w:line="360" w:lineRule="auto"/>
        <w:ind w:left="0"/>
        <w:jc w:val="both"/>
        <w:rPr>
          <w:rFonts w:ascii="Palatino Linotype" w:hAnsi="Palatino Linotype" w:cs="Arial"/>
        </w:rPr>
      </w:pPr>
      <w:r>
        <w:rPr>
          <w:rFonts w:ascii="Palatino Linotype" w:hAnsi="Palatino Linotype" w:cs="Arial"/>
          <w:b/>
          <w:sz w:val="28"/>
          <w:szCs w:val="28"/>
        </w:rPr>
        <w:t>VII</w:t>
      </w:r>
      <w:r w:rsidR="009C56F6" w:rsidRPr="009C56F6">
        <w:rPr>
          <w:rFonts w:ascii="Palatino Linotype" w:hAnsi="Palatino Linotype" w:cs="Arial"/>
          <w:b/>
          <w:sz w:val="28"/>
          <w:szCs w:val="28"/>
        </w:rPr>
        <w:t>.</w:t>
      </w:r>
      <w:r w:rsidR="009C56F6">
        <w:rPr>
          <w:rFonts w:ascii="Palatino Linotype" w:hAnsi="Palatino Linotype" w:cs="Arial"/>
        </w:rPr>
        <w:t xml:space="preserve"> </w:t>
      </w:r>
      <w:r w:rsidR="00CF13CC" w:rsidRPr="00BA3ECA">
        <w:rPr>
          <w:rFonts w:ascii="Palatino Linotype" w:hAnsi="Palatino Linotype" w:cs="Arial"/>
        </w:rPr>
        <w:t xml:space="preserve">Transcurrido el plazo señalado en el párrafo anterior y, una vez analizado el estado procesal que guarda </w:t>
      </w:r>
      <w:r w:rsidR="00C5123A">
        <w:rPr>
          <w:rFonts w:ascii="Palatino Linotype" w:hAnsi="Palatino Linotype" w:cs="Arial"/>
        </w:rPr>
        <w:t>el</w:t>
      </w:r>
      <w:r w:rsidR="00CF13CC" w:rsidRPr="00BA3ECA">
        <w:rPr>
          <w:rFonts w:ascii="Palatino Linotype" w:hAnsi="Palatino Linotype" w:cs="Arial"/>
        </w:rPr>
        <w:t xml:space="preserve"> expediente, el</w:t>
      </w:r>
      <w:r w:rsidR="00CF13CC">
        <w:rPr>
          <w:rFonts w:ascii="Palatino Linotype" w:hAnsi="Palatino Linotype" w:cs="Arial"/>
        </w:rPr>
        <w:t xml:space="preserve"> </w:t>
      </w:r>
      <w:r w:rsidR="00AC5D9B">
        <w:rPr>
          <w:rFonts w:ascii="Palatino Linotype" w:hAnsi="Palatino Linotype" w:cs="Arial"/>
        </w:rPr>
        <w:t>treinta</w:t>
      </w:r>
      <w:r w:rsidR="00CF13CC" w:rsidRPr="00BA3ECA">
        <w:rPr>
          <w:rFonts w:ascii="Palatino Linotype" w:hAnsi="Palatino Linotype" w:cs="Arial"/>
        </w:rPr>
        <w:t xml:space="preserve"> de </w:t>
      </w:r>
      <w:r>
        <w:rPr>
          <w:rFonts w:ascii="Palatino Linotype" w:hAnsi="Palatino Linotype" w:cs="Arial"/>
        </w:rPr>
        <w:t>octubre</w:t>
      </w:r>
      <w:r w:rsidR="00CF13CC" w:rsidRPr="00BA3ECA">
        <w:rPr>
          <w:rFonts w:ascii="Palatino Linotype" w:hAnsi="Palatino Linotype" w:cs="Arial"/>
        </w:rPr>
        <w:t xml:space="preserve"> de dos mil dieci</w:t>
      </w:r>
      <w:r w:rsidR="00C5123A">
        <w:rPr>
          <w:rFonts w:ascii="Palatino Linotype" w:hAnsi="Palatino Linotype" w:cs="Arial"/>
        </w:rPr>
        <w:t>nueve</w:t>
      </w:r>
      <w:r w:rsidR="00CF13CC">
        <w:rPr>
          <w:rFonts w:ascii="Palatino Linotype" w:hAnsi="Palatino Linotype" w:cs="Arial"/>
        </w:rPr>
        <w:t xml:space="preserve">, </w:t>
      </w:r>
      <w:r w:rsidR="00CF13CC" w:rsidRPr="00BA3ECA">
        <w:rPr>
          <w:rFonts w:ascii="Palatino Linotype" w:hAnsi="Palatino Linotype" w:cs="Arial"/>
        </w:rPr>
        <w:t>la Comisionada Ponente acordó el cierre de instrucción, así como la remisión del mismo a efecto de ser resuelto, de conformidad con lo establecido en el artículo 185</w:t>
      </w:r>
      <w:r w:rsidR="00CF13CC">
        <w:rPr>
          <w:rFonts w:ascii="Palatino Linotype" w:hAnsi="Palatino Linotype" w:cs="Arial"/>
        </w:rPr>
        <w:t>,</w:t>
      </w:r>
      <w:r w:rsidR="00CF13CC" w:rsidRPr="00BA3ECA">
        <w:rPr>
          <w:rFonts w:ascii="Palatino Linotype" w:hAnsi="Palatino Linotype" w:cs="Arial"/>
        </w:rPr>
        <w:t xml:space="preserve"> fracciones VI y VIII de la Ley de Transparencia y Acceso a la Información Pública de</w:t>
      </w:r>
      <w:r w:rsidR="002A6315">
        <w:rPr>
          <w:rFonts w:ascii="Palatino Linotype" w:hAnsi="Palatino Linotype" w:cs="Arial"/>
        </w:rPr>
        <w:t xml:space="preserve">l Estado de México y Municipios; </w:t>
      </w:r>
    </w:p>
    <w:p w:rsidR="00BD41AA" w:rsidRDefault="00BD41AA" w:rsidP="00CF13CC">
      <w:pPr>
        <w:pStyle w:val="Prrafodelista"/>
        <w:spacing w:line="360" w:lineRule="auto"/>
        <w:ind w:left="0"/>
        <w:jc w:val="both"/>
        <w:rPr>
          <w:rFonts w:ascii="Palatino Linotype" w:hAnsi="Palatino Linotype" w:cs="Arial"/>
        </w:rPr>
      </w:pPr>
    </w:p>
    <w:p w:rsidR="00BD41AA" w:rsidRDefault="002264D6" w:rsidP="00BD41AA">
      <w:pPr>
        <w:pStyle w:val="Prrafodelista"/>
        <w:spacing w:line="360" w:lineRule="auto"/>
        <w:ind w:left="0"/>
        <w:jc w:val="both"/>
        <w:rPr>
          <w:rFonts w:ascii="Palatino Linotype" w:hAnsi="Palatino Linotype" w:cs="Arial"/>
        </w:rPr>
      </w:pPr>
      <w:r>
        <w:rPr>
          <w:rFonts w:ascii="Palatino Linotype" w:hAnsi="Palatino Linotype" w:cs="Arial"/>
          <w:b/>
          <w:sz w:val="28"/>
          <w:szCs w:val="28"/>
        </w:rPr>
        <w:t>V</w:t>
      </w:r>
      <w:r w:rsidR="00BD41AA" w:rsidRPr="00E87227">
        <w:rPr>
          <w:rFonts w:ascii="Palatino Linotype" w:hAnsi="Palatino Linotype" w:cs="Arial"/>
          <w:b/>
          <w:sz w:val="28"/>
          <w:szCs w:val="28"/>
        </w:rPr>
        <w:t>I</w:t>
      </w:r>
      <w:r>
        <w:rPr>
          <w:rFonts w:ascii="Palatino Linotype" w:hAnsi="Palatino Linotype" w:cs="Arial"/>
          <w:b/>
          <w:sz w:val="28"/>
          <w:szCs w:val="28"/>
        </w:rPr>
        <w:t>II</w:t>
      </w:r>
      <w:r w:rsidR="00BD41AA" w:rsidRPr="00E87227">
        <w:rPr>
          <w:rFonts w:ascii="Palatino Linotype" w:hAnsi="Palatino Linotype" w:cs="Arial"/>
          <w:b/>
          <w:sz w:val="28"/>
          <w:szCs w:val="28"/>
        </w:rPr>
        <w:t>.</w:t>
      </w:r>
      <w:r w:rsidR="00BD41AA" w:rsidRPr="00E87227">
        <w:rPr>
          <w:rFonts w:ascii="Palatino Linotype" w:hAnsi="Palatino Linotype" w:cs="Arial"/>
        </w:rPr>
        <w:t xml:space="preserve"> En fecha </w:t>
      </w:r>
      <w:r w:rsidR="00AC5D9B">
        <w:rPr>
          <w:rFonts w:ascii="Palatino Linotype" w:hAnsi="Palatino Linotype" w:cs="Arial"/>
        </w:rPr>
        <w:t>treinta</w:t>
      </w:r>
      <w:r w:rsidR="00BD41AA" w:rsidRPr="00E87227">
        <w:rPr>
          <w:rFonts w:ascii="Palatino Linotype" w:hAnsi="Palatino Linotype" w:cs="Arial"/>
        </w:rPr>
        <w:t xml:space="preserve"> de </w:t>
      </w:r>
      <w:r>
        <w:rPr>
          <w:rFonts w:ascii="Palatino Linotype" w:hAnsi="Palatino Linotype" w:cs="Arial"/>
        </w:rPr>
        <w:t>octubre</w:t>
      </w:r>
      <w:r w:rsidR="00BD41AA" w:rsidRPr="00E87227">
        <w:rPr>
          <w:rFonts w:ascii="Palatino Linotype" w:hAnsi="Palatino Linotype" w:cs="Arial"/>
        </w:rPr>
        <w:t xml:space="preserve"> de dos mil diecinueve, </w:t>
      </w:r>
      <w:r w:rsidR="00BD41AA" w:rsidRPr="00E87227">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BD41AA" w:rsidRPr="00E87227">
        <w:rPr>
          <w:rFonts w:ascii="Palatino Linotype" w:hAnsi="Palatino Linotype" w:cs="Arial"/>
        </w:rPr>
        <w:t>; y</w:t>
      </w:r>
    </w:p>
    <w:p w:rsidR="00A34D92" w:rsidRPr="00A34D92" w:rsidRDefault="00A34D92" w:rsidP="00BD41AA">
      <w:pPr>
        <w:pStyle w:val="Prrafodelista"/>
        <w:spacing w:line="360" w:lineRule="auto"/>
        <w:ind w:left="0"/>
        <w:jc w:val="both"/>
        <w:rPr>
          <w:rFonts w:ascii="Palatino Linotype" w:hAnsi="Palatino Linotype" w:cs="Arial"/>
          <w:sz w:val="14"/>
        </w:rPr>
      </w:pPr>
    </w:p>
    <w:p w:rsidR="00D06012" w:rsidRPr="00D22304" w:rsidRDefault="00D06012" w:rsidP="007A19AA">
      <w:pPr>
        <w:jc w:val="center"/>
        <w:rPr>
          <w:rFonts w:ascii="Palatino Linotype" w:hAnsi="Palatino Linotype" w:cs="Arial"/>
          <w:b/>
          <w:bCs/>
          <w:spacing w:val="60"/>
          <w:sz w:val="28"/>
          <w:lang w:val="es-ES_tradnl"/>
        </w:rPr>
      </w:pPr>
      <w:r w:rsidRPr="00D22304">
        <w:rPr>
          <w:rFonts w:ascii="Palatino Linotype" w:hAnsi="Palatino Linotype" w:cs="Arial"/>
          <w:b/>
          <w:bCs/>
          <w:spacing w:val="60"/>
          <w:sz w:val="28"/>
          <w:lang w:val="es-ES_tradnl"/>
        </w:rPr>
        <w:t>CONSIDERANDO</w:t>
      </w:r>
    </w:p>
    <w:p w:rsidR="00D06012" w:rsidRPr="00D22304" w:rsidRDefault="00D06012" w:rsidP="007A19AA">
      <w:pPr>
        <w:jc w:val="center"/>
        <w:rPr>
          <w:rFonts w:ascii="Palatino Linotype" w:hAnsi="Palatino Linotype" w:cs="Arial"/>
          <w:b/>
          <w:bCs/>
          <w:spacing w:val="60"/>
          <w:lang w:val="es-ES_tradnl"/>
        </w:rPr>
      </w:pPr>
    </w:p>
    <w:p w:rsidR="00CA39D3" w:rsidRPr="00D22304" w:rsidRDefault="00CA39D3" w:rsidP="00EC3A5E">
      <w:pPr>
        <w:spacing w:line="360" w:lineRule="auto"/>
        <w:ind w:right="50"/>
        <w:jc w:val="both"/>
        <w:rPr>
          <w:rFonts w:ascii="Palatino Linotype" w:hAnsi="Palatino Linotype" w:cs="Arial"/>
          <w:b/>
        </w:rPr>
      </w:pPr>
      <w:r w:rsidRPr="00D22304">
        <w:rPr>
          <w:rFonts w:ascii="Palatino Linotype" w:hAnsi="Palatino Linotype"/>
          <w:b/>
          <w:sz w:val="28"/>
          <w:szCs w:val="28"/>
        </w:rPr>
        <w:t>PRIMERO</w:t>
      </w:r>
      <w:r w:rsidRPr="00D22304">
        <w:rPr>
          <w:rFonts w:ascii="Palatino Linotype" w:hAnsi="Palatino Linotype"/>
          <w:b/>
        </w:rPr>
        <w:t>.</w:t>
      </w:r>
      <w:r w:rsidRPr="00D22304">
        <w:rPr>
          <w:rFonts w:ascii="Palatino Linotype" w:hAnsi="Palatino Linotype"/>
        </w:rPr>
        <w:t xml:space="preserve"> </w:t>
      </w:r>
      <w:r w:rsidRPr="00D22304">
        <w:rPr>
          <w:rFonts w:ascii="Palatino Linotype" w:hAnsi="Palatino Linotype"/>
          <w:b/>
        </w:rPr>
        <w:t>Competencia</w:t>
      </w:r>
      <w:r w:rsidRPr="00D22304">
        <w:rPr>
          <w:rFonts w:ascii="Palatino Linotype" w:hAnsi="Palatino Linotype"/>
        </w:rPr>
        <w:t>.</w:t>
      </w:r>
      <w:r w:rsidRPr="00D22304">
        <w:rPr>
          <w:rFonts w:ascii="Palatino Linotype" w:hAnsi="Palatino Linotype"/>
          <w:b/>
        </w:rPr>
        <w:t xml:space="preserve"> </w:t>
      </w:r>
      <w:r w:rsidRPr="00D22304">
        <w:rPr>
          <w:rFonts w:ascii="Palatino Linotype" w:hAnsi="Palatino Linotype"/>
        </w:rPr>
        <w:t xml:space="preserve">Este Instituto de </w:t>
      </w:r>
      <w:r w:rsidRPr="00D22304">
        <w:rPr>
          <w:rFonts w:ascii="Palatino Linotype" w:hAnsi="Palatino Linotype" w:cs="Arial"/>
        </w:rPr>
        <w:t>Transparencia</w:t>
      </w:r>
      <w:r w:rsidRPr="00D22304">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Pr>
          <w:rFonts w:ascii="Palatino Linotype" w:hAnsi="Palatino Linotype"/>
        </w:rPr>
        <w:t>Apartado</w:t>
      </w:r>
      <w:r w:rsidRPr="00D22304">
        <w:rPr>
          <w:rFonts w:ascii="Palatino Linotype" w:hAnsi="Palatino Linotype"/>
        </w:rPr>
        <w:t xml:space="preserve"> A de la Constitución Política de los Estados Unidos Mexicanos; 5, párrafos vigésimo</w:t>
      </w:r>
      <w:r w:rsidR="00ED28B3">
        <w:rPr>
          <w:rFonts w:ascii="Palatino Linotype" w:hAnsi="Palatino Linotype"/>
        </w:rPr>
        <w:t xml:space="preserve"> segundo</w:t>
      </w:r>
      <w:r w:rsidRPr="00D22304">
        <w:rPr>
          <w:rFonts w:ascii="Palatino Linotype" w:hAnsi="Palatino Linotype"/>
        </w:rPr>
        <w:t xml:space="preserve">, vigésimo </w:t>
      </w:r>
      <w:r w:rsidR="00ED28B3">
        <w:rPr>
          <w:rFonts w:ascii="Palatino Linotype" w:hAnsi="Palatino Linotype"/>
        </w:rPr>
        <w:t xml:space="preserve">tercero </w:t>
      </w:r>
      <w:r w:rsidRPr="00D22304">
        <w:rPr>
          <w:rFonts w:ascii="Palatino Linotype" w:hAnsi="Palatino Linotype"/>
        </w:rPr>
        <w:t>y vigésimo</w:t>
      </w:r>
      <w:r w:rsidR="00ED28B3">
        <w:rPr>
          <w:rFonts w:ascii="Palatino Linotype" w:hAnsi="Palatino Linotype"/>
        </w:rPr>
        <w:t xml:space="preserve"> cuarto</w:t>
      </w:r>
      <w:r w:rsidRPr="00D22304">
        <w:rPr>
          <w:rFonts w:ascii="Palatino Linotype" w:hAnsi="Palatino Linotype"/>
        </w:rPr>
        <w:t>, fracciones IV y V de la Constitución Política del Estado Libre y Soberano de México; 1, 2</w:t>
      </w:r>
      <w:r w:rsidR="001E6358">
        <w:rPr>
          <w:rFonts w:ascii="Palatino Linotype" w:hAnsi="Palatino Linotype"/>
        </w:rPr>
        <w:t>,</w:t>
      </w:r>
      <w:r w:rsidRPr="00D22304">
        <w:rPr>
          <w:rFonts w:ascii="Palatino Linotype" w:hAnsi="Palatino Linotype"/>
        </w:rPr>
        <w:t xml:space="preserve"> fracción II, 13, 29, 36</w:t>
      </w:r>
      <w:r w:rsidR="001E6358">
        <w:rPr>
          <w:rFonts w:ascii="Palatino Linotype" w:hAnsi="Palatino Linotype"/>
        </w:rPr>
        <w:t>,</w:t>
      </w:r>
      <w:r w:rsidRPr="00D22304">
        <w:rPr>
          <w:rFonts w:ascii="Palatino Linotype" w:hAnsi="Palatino Linotype"/>
        </w:rPr>
        <w:t xml:space="preserve"> fracciones I y II, 176, 178, 179, 181</w:t>
      </w:r>
      <w:r w:rsidR="001E6358">
        <w:rPr>
          <w:rFonts w:ascii="Palatino Linotype" w:hAnsi="Palatino Linotype"/>
        </w:rPr>
        <w:t>,</w:t>
      </w:r>
      <w:r w:rsidRPr="00D22304">
        <w:rPr>
          <w:rFonts w:ascii="Palatino Linotype" w:hAnsi="Palatino Linotype"/>
        </w:rPr>
        <w:t xml:space="preserve"> párrafo tercero y 185 de la Ley de Transparencia y Acceso a la Información Pública del Estado de México y Municipios</w:t>
      </w:r>
      <w:r w:rsidR="00BF2462">
        <w:rPr>
          <w:rFonts w:ascii="Palatino Linotype" w:hAnsi="Palatino Linotype" w:cs="Arial"/>
        </w:rPr>
        <w:t>;</w:t>
      </w:r>
      <w:r w:rsidRPr="00D22304">
        <w:rPr>
          <w:rFonts w:ascii="Palatino Linotype" w:hAnsi="Palatino Linotype" w:cs="Arial"/>
        </w:rPr>
        <w:t xml:space="preserve"> </w:t>
      </w:r>
      <w:r w:rsidR="00BF2462">
        <w:rPr>
          <w:rFonts w:ascii="Palatino Linotype" w:hAnsi="Palatino Linotype" w:cs="Arial"/>
        </w:rPr>
        <w:t xml:space="preserve">y </w:t>
      </w:r>
      <w:r w:rsidRPr="00D22304">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 de revisión interpuesto por un</w:t>
      </w:r>
      <w:r w:rsidR="00E47363">
        <w:rPr>
          <w:rFonts w:ascii="Palatino Linotype" w:hAnsi="Palatino Linotype" w:cs="Arial"/>
        </w:rPr>
        <w:t>a</w:t>
      </w:r>
      <w:r w:rsidR="00C5123A">
        <w:rPr>
          <w:rFonts w:ascii="Palatino Linotype" w:hAnsi="Palatino Linotype" w:cs="Arial"/>
        </w:rPr>
        <w:t xml:space="preserve"> </w:t>
      </w:r>
      <w:r w:rsidR="00E47363">
        <w:rPr>
          <w:rFonts w:ascii="Palatino Linotype" w:hAnsi="Palatino Linotype" w:cs="Arial"/>
        </w:rPr>
        <w:t>Ciudadana</w:t>
      </w:r>
      <w:r w:rsidRPr="00D22304">
        <w:rPr>
          <w:rFonts w:ascii="Palatino Linotype" w:hAnsi="Palatino Linotype" w:cs="Arial"/>
        </w:rPr>
        <w:t xml:space="preserve"> en términos de la Ley de la materia.</w:t>
      </w:r>
    </w:p>
    <w:p w:rsidR="00D06012" w:rsidRPr="00D22304" w:rsidRDefault="00D06012" w:rsidP="00EC3A5E">
      <w:pPr>
        <w:spacing w:line="360" w:lineRule="auto"/>
        <w:jc w:val="both"/>
        <w:rPr>
          <w:rFonts w:ascii="Palatino Linotype" w:hAnsi="Palatino Linotype" w:cs="Arial"/>
          <w:b/>
          <w:sz w:val="28"/>
        </w:rPr>
      </w:pPr>
    </w:p>
    <w:p w:rsidR="00D06012" w:rsidRDefault="00D06012" w:rsidP="00EC3A5E">
      <w:pPr>
        <w:spacing w:line="360" w:lineRule="auto"/>
        <w:jc w:val="both"/>
        <w:rPr>
          <w:rFonts w:ascii="Palatino Linotype" w:hAnsi="Palatino Linotype" w:cs="Arial"/>
          <w:b/>
          <w:bCs/>
        </w:rPr>
      </w:pPr>
      <w:r w:rsidRPr="00D22304">
        <w:rPr>
          <w:rFonts w:ascii="Palatino Linotype" w:hAnsi="Palatino Linotype" w:cs="Arial"/>
          <w:b/>
          <w:sz w:val="28"/>
        </w:rPr>
        <w:t>SEGUNDO</w:t>
      </w:r>
      <w:r w:rsidRPr="00D22304">
        <w:rPr>
          <w:rFonts w:ascii="Palatino Linotype" w:hAnsi="Palatino Linotype" w:cs="Arial"/>
          <w:b/>
          <w:lang w:val="es-MX"/>
        </w:rPr>
        <w:t xml:space="preserve">. </w:t>
      </w:r>
      <w:r w:rsidRPr="00D22304">
        <w:rPr>
          <w:rFonts w:ascii="Palatino Linotype" w:hAnsi="Palatino Linotype" w:cs="Arial"/>
          <w:b/>
        </w:rPr>
        <w:t xml:space="preserve">Interés. </w:t>
      </w:r>
      <w:r w:rsidR="00AB7CE7">
        <w:rPr>
          <w:rFonts w:ascii="Palatino Linotype" w:hAnsi="Palatino Linotype" w:cs="Arial"/>
          <w:bCs/>
        </w:rPr>
        <w:t>El</w:t>
      </w:r>
      <w:r w:rsidR="00C40566" w:rsidRPr="00D22304">
        <w:rPr>
          <w:rFonts w:ascii="Palatino Linotype" w:hAnsi="Palatino Linotype" w:cs="Arial"/>
          <w:bCs/>
        </w:rPr>
        <w:t xml:space="preserve"> </w:t>
      </w:r>
      <w:r w:rsidR="007B5710">
        <w:rPr>
          <w:rFonts w:ascii="Palatino Linotype" w:hAnsi="Palatino Linotype" w:cs="Arial"/>
          <w:bCs/>
        </w:rPr>
        <w:t>r</w:t>
      </w:r>
      <w:r w:rsidR="00C40566" w:rsidRPr="00D22304">
        <w:rPr>
          <w:rFonts w:ascii="Palatino Linotype" w:hAnsi="Palatino Linotype" w:cs="Arial"/>
          <w:bCs/>
        </w:rPr>
        <w:t xml:space="preserve">ecurso de </w:t>
      </w:r>
      <w:r w:rsidR="007B5710">
        <w:rPr>
          <w:rFonts w:ascii="Palatino Linotype" w:hAnsi="Palatino Linotype" w:cs="Arial"/>
          <w:bCs/>
        </w:rPr>
        <w:t>r</w:t>
      </w:r>
      <w:r w:rsidR="00C40566" w:rsidRPr="00D22304">
        <w:rPr>
          <w:rFonts w:ascii="Palatino Linotype" w:hAnsi="Palatino Linotype" w:cs="Arial"/>
          <w:bCs/>
        </w:rPr>
        <w:t xml:space="preserve">evisión fue interpuesto por parte legítima, en atención a que </w:t>
      </w:r>
      <w:r w:rsidR="00653182" w:rsidRPr="00D22304">
        <w:rPr>
          <w:rFonts w:ascii="Palatino Linotype" w:hAnsi="Palatino Linotype" w:cs="Arial"/>
          <w:bCs/>
        </w:rPr>
        <w:t>se</w:t>
      </w:r>
      <w:r w:rsidR="00C40566" w:rsidRPr="00D22304">
        <w:rPr>
          <w:rFonts w:ascii="Palatino Linotype" w:hAnsi="Palatino Linotype" w:cs="Arial"/>
          <w:bCs/>
        </w:rPr>
        <w:t xml:space="preserve"> </w:t>
      </w:r>
      <w:r w:rsidR="00AB7CE7" w:rsidRPr="00D22304">
        <w:rPr>
          <w:rFonts w:ascii="Palatino Linotype" w:hAnsi="Palatino Linotype" w:cs="Arial"/>
          <w:bCs/>
        </w:rPr>
        <w:t>present</w:t>
      </w:r>
      <w:r w:rsidR="00AB7CE7">
        <w:rPr>
          <w:rFonts w:ascii="Palatino Linotype" w:hAnsi="Palatino Linotype" w:cs="Arial"/>
          <w:bCs/>
        </w:rPr>
        <w:t>ó</w:t>
      </w:r>
      <w:r w:rsidR="00C40566" w:rsidRPr="00D22304">
        <w:rPr>
          <w:rFonts w:ascii="Palatino Linotype" w:hAnsi="Palatino Linotype" w:cs="Arial"/>
          <w:bCs/>
        </w:rPr>
        <w:t xml:space="preserve"> por </w:t>
      </w:r>
      <w:r w:rsidR="002264D6">
        <w:rPr>
          <w:rFonts w:ascii="Palatino Linotype" w:hAnsi="Palatino Linotype" w:cs="Arial"/>
          <w:b/>
          <w:bCs/>
        </w:rPr>
        <w:t>LA</w:t>
      </w:r>
      <w:r w:rsidR="00CC5DA2" w:rsidRPr="00CC5DA2">
        <w:rPr>
          <w:rFonts w:ascii="Palatino Linotype" w:hAnsi="Palatino Linotype" w:cs="Arial"/>
          <w:b/>
          <w:bCs/>
        </w:rPr>
        <w:t xml:space="preserve"> RECURRENTE</w:t>
      </w:r>
      <w:r w:rsidR="00C40566" w:rsidRPr="00D22304">
        <w:rPr>
          <w:rFonts w:ascii="Palatino Linotype" w:hAnsi="Palatino Linotype" w:cs="Arial"/>
          <w:b/>
          <w:bCs/>
        </w:rPr>
        <w:t>,</w:t>
      </w:r>
      <w:r w:rsidR="00C40566" w:rsidRPr="00D22304">
        <w:rPr>
          <w:rFonts w:ascii="Palatino Linotype" w:hAnsi="Palatino Linotype" w:cs="Arial"/>
          <w:bCs/>
        </w:rPr>
        <w:t xml:space="preserve"> quien </w:t>
      </w:r>
      <w:r w:rsidR="00653182" w:rsidRPr="00D22304">
        <w:rPr>
          <w:rFonts w:ascii="Palatino Linotype" w:hAnsi="Palatino Linotype" w:cs="Arial"/>
          <w:bCs/>
        </w:rPr>
        <w:t>es</w:t>
      </w:r>
      <w:r w:rsidR="00C40566" w:rsidRPr="00D22304">
        <w:rPr>
          <w:rFonts w:ascii="Palatino Linotype" w:hAnsi="Palatino Linotype" w:cs="Arial"/>
          <w:bCs/>
        </w:rPr>
        <w:t xml:space="preserve"> la misma </w:t>
      </w:r>
      <w:r w:rsidR="00081FC7" w:rsidRPr="00D22304">
        <w:rPr>
          <w:rFonts w:ascii="Palatino Linotype" w:hAnsi="Palatino Linotype" w:cs="Arial"/>
          <w:bCs/>
        </w:rPr>
        <w:t xml:space="preserve">persona </w:t>
      </w:r>
      <w:r w:rsidR="00C40566" w:rsidRPr="00D22304">
        <w:rPr>
          <w:rFonts w:ascii="Palatino Linotype" w:hAnsi="Palatino Linotype" w:cs="Arial"/>
          <w:bCs/>
        </w:rPr>
        <w:t xml:space="preserve">que formuló la solicitud de acceso a la información pública al </w:t>
      </w:r>
      <w:r w:rsidR="00C40566" w:rsidRPr="00D22304">
        <w:rPr>
          <w:rFonts w:ascii="Palatino Linotype" w:hAnsi="Palatino Linotype" w:cs="Arial"/>
          <w:b/>
          <w:bCs/>
        </w:rPr>
        <w:t>SUJETO OBLIGADO.</w:t>
      </w:r>
    </w:p>
    <w:p w:rsidR="00634C95" w:rsidRPr="00634C95" w:rsidRDefault="00634C95" w:rsidP="00EC3A5E">
      <w:pPr>
        <w:spacing w:line="360" w:lineRule="auto"/>
        <w:jc w:val="both"/>
        <w:rPr>
          <w:rFonts w:ascii="Palatino Linotype" w:hAnsi="Palatino Linotype" w:cs="Arial"/>
          <w:b/>
          <w:snapToGrid w:val="0"/>
          <w:sz w:val="2"/>
        </w:rPr>
      </w:pPr>
    </w:p>
    <w:p w:rsidR="006A0624" w:rsidRPr="00CA7D42"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A76F3">
        <w:rPr>
          <w:rFonts w:ascii="Palatino Linotype" w:hAnsi="Palatino Linotype" w:cs="Arial"/>
          <w:b/>
          <w:sz w:val="28"/>
          <w:szCs w:val="28"/>
        </w:rPr>
        <w:t xml:space="preserve">TERCERO. </w:t>
      </w:r>
      <w:r w:rsidR="006A0624" w:rsidRPr="00CA7D42">
        <w:rPr>
          <w:rFonts w:ascii="Palatino Linotype" w:hAnsi="Palatino Linotype"/>
          <w:b/>
        </w:rPr>
        <w:t>Oportunidad</w:t>
      </w:r>
      <w:r w:rsidR="006A0624" w:rsidRPr="00CA7D42">
        <w:rPr>
          <w:rFonts w:ascii="Palatino Linotype" w:hAnsi="Palatino Linotype"/>
        </w:rPr>
        <w:t xml:space="preserve">. </w:t>
      </w:r>
      <w:r w:rsidR="00AB7CE7">
        <w:rPr>
          <w:rFonts w:ascii="Palatino Linotype" w:hAnsi="Palatino Linotype" w:cs="Arial"/>
        </w:rPr>
        <w:t>El</w:t>
      </w:r>
      <w:r w:rsidR="006A0624" w:rsidRPr="00CA7D42">
        <w:rPr>
          <w:rFonts w:ascii="Palatino Linotype" w:hAnsi="Palatino Linotype" w:cs="Arial"/>
        </w:rPr>
        <w:t xml:space="preserve"> </w:t>
      </w:r>
      <w:r w:rsidR="006A0624" w:rsidRPr="00CA7D42">
        <w:rPr>
          <w:rFonts w:ascii="Palatino Linotype" w:hAnsi="Palatino Linotype"/>
        </w:rPr>
        <w:t>recurso</w:t>
      </w:r>
      <w:r w:rsidR="006A0624" w:rsidRPr="00CA7D42">
        <w:rPr>
          <w:rFonts w:ascii="Palatino Linotype" w:hAnsi="Palatino Linotype" w:cs="Arial"/>
        </w:rPr>
        <w:t xml:space="preserve"> de revisión fue interpuesto dentro del plazo de quince días hábiles contados a partir del día siguiente a aquel en que </w:t>
      </w:r>
      <w:r w:rsidR="002A6315">
        <w:rPr>
          <w:rFonts w:ascii="Palatino Linotype" w:hAnsi="Palatino Linotype" w:cs="Arial"/>
          <w:b/>
        </w:rPr>
        <w:t>EL</w:t>
      </w:r>
      <w:r w:rsidR="006A0624" w:rsidRPr="00CA7D42">
        <w:rPr>
          <w:rFonts w:ascii="Palatino Linotype" w:hAnsi="Palatino Linotype" w:cs="Arial"/>
          <w:b/>
        </w:rPr>
        <w:t xml:space="preserve"> RECURRENTE </w:t>
      </w:r>
      <w:r w:rsidR="006A0624" w:rsidRPr="00CA7D42">
        <w:rPr>
          <w:rFonts w:ascii="Palatino Linotype" w:hAnsi="Palatino Linotype" w:cs="Arial"/>
        </w:rPr>
        <w:t xml:space="preserve">tuvo conocimiento de la respuesta impugnada, </w:t>
      </w:r>
      <w:r w:rsidR="006A0624" w:rsidRPr="00CA7D42">
        <w:rPr>
          <w:rFonts w:ascii="Palatino Linotype" w:hAnsi="Palatino Linotype" w:cs="Arial"/>
          <w:snapToGrid w:val="0"/>
        </w:rPr>
        <w:t>tal</w:t>
      </w:r>
      <w:r w:rsidR="006A0624" w:rsidRPr="00CA7D42">
        <w:rPr>
          <w:rFonts w:ascii="Palatino Linotype" w:hAnsi="Palatino Linotype" w:cs="Arial"/>
        </w:rPr>
        <w:t xml:space="preserve"> y como lo prevé el artículo 178 de la Ley de Transparencia y Acceso a la Información Pública del Estado de México y Municipios, que establece: </w:t>
      </w:r>
    </w:p>
    <w:p w:rsidR="006A0624" w:rsidRPr="00CA7D42" w:rsidRDefault="006A0624" w:rsidP="006A0624">
      <w:pPr>
        <w:spacing w:before="120" w:after="120"/>
        <w:ind w:left="851" w:right="902"/>
        <w:jc w:val="both"/>
        <w:rPr>
          <w:rFonts w:ascii="Palatino Linotype" w:hAnsi="Palatino Linotype" w:cs="Arial"/>
          <w:i/>
          <w:sz w:val="22"/>
          <w:szCs w:val="22"/>
        </w:rPr>
      </w:pPr>
      <w:r w:rsidRPr="00CA7D42">
        <w:rPr>
          <w:rFonts w:ascii="Palatino Linotype" w:hAnsi="Palatino Linotype" w:cs="Arial"/>
          <w:i/>
          <w:sz w:val="22"/>
          <w:szCs w:val="22"/>
        </w:rPr>
        <w:lastRenderedPageBreak/>
        <w:t>“</w:t>
      </w:r>
      <w:r w:rsidRPr="00CA7D42">
        <w:rPr>
          <w:rFonts w:ascii="Palatino Linotype" w:hAnsi="Palatino Linotype" w:cs="Arial"/>
          <w:b/>
          <w:i/>
          <w:sz w:val="22"/>
          <w:szCs w:val="22"/>
        </w:rPr>
        <w:t>Artículo 178.</w:t>
      </w:r>
      <w:r w:rsidRPr="00CA7D4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CA7D42" w:rsidRDefault="006A0624" w:rsidP="006A0624">
      <w:pPr>
        <w:spacing w:before="120" w:after="120"/>
        <w:ind w:left="851" w:right="899"/>
        <w:jc w:val="both"/>
        <w:rPr>
          <w:rFonts w:ascii="Palatino Linotype" w:hAnsi="Palatino Linotype" w:cs="Arial"/>
          <w:i/>
          <w:sz w:val="22"/>
          <w:szCs w:val="22"/>
        </w:rPr>
      </w:pPr>
      <w:r w:rsidRPr="00CA7D4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CA7D42" w:rsidRDefault="006A0624" w:rsidP="006A0624">
      <w:pPr>
        <w:spacing w:before="120" w:after="120"/>
        <w:ind w:left="851" w:right="899"/>
        <w:jc w:val="both"/>
        <w:rPr>
          <w:rFonts w:ascii="Palatino Linotype" w:hAnsi="Palatino Linotype" w:cs="Arial"/>
          <w:b/>
          <w:i/>
          <w:sz w:val="22"/>
          <w:szCs w:val="22"/>
        </w:rPr>
      </w:pPr>
      <w:r w:rsidRPr="00CA7D4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6A0624" w:rsidRDefault="006A0624" w:rsidP="006A0624">
      <w:pPr>
        <w:spacing w:before="240" w:after="240" w:line="360" w:lineRule="auto"/>
        <w:jc w:val="both"/>
        <w:rPr>
          <w:rFonts w:ascii="Palatino Linotype" w:hAnsi="Palatino Linotype"/>
        </w:rPr>
      </w:pPr>
      <w:r w:rsidRPr="00CA7D42">
        <w:rPr>
          <w:rFonts w:ascii="Palatino Linotype" w:hAnsi="Palatino Linotype" w:cs="Arial"/>
        </w:rPr>
        <w:t xml:space="preserve">En efecto, atendiendo a que </w:t>
      </w:r>
      <w:r w:rsidRPr="00CA7D42">
        <w:rPr>
          <w:rFonts w:ascii="Palatino Linotype" w:hAnsi="Palatino Linotype" w:cs="Arial"/>
          <w:b/>
        </w:rPr>
        <w:t>EL SUJETO OBLIGADO</w:t>
      </w:r>
      <w:r w:rsidRPr="00CA7D42">
        <w:rPr>
          <w:rFonts w:ascii="Palatino Linotype" w:hAnsi="Palatino Linotype" w:cs="Arial"/>
        </w:rPr>
        <w:t xml:space="preserve"> notificó la respuesta a la solicitud </w:t>
      </w:r>
      <w:r w:rsidR="002264D6">
        <w:rPr>
          <w:rFonts w:ascii="Palatino Linotype" w:hAnsi="Palatino Linotype" w:cs="Arial"/>
        </w:rPr>
        <w:t xml:space="preserve">de información pública el día </w:t>
      </w:r>
      <w:r w:rsidR="00E47363">
        <w:rPr>
          <w:rFonts w:ascii="Palatino Linotype" w:hAnsi="Palatino Linotype" w:cs="Arial"/>
          <w:b/>
        </w:rPr>
        <w:t>veintisiete</w:t>
      </w:r>
      <w:r w:rsidR="00AB7CE7" w:rsidRPr="00CA7D42">
        <w:rPr>
          <w:rFonts w:ascii="Palatino Linotype" w:hAnsi="Palatino Linotype" w:cs="Arial"/>
          <w:b/>
        </w:rPr>
        <w:t xml:space="preserve"> </w:t>
      </w:r>
      <w:r w:rsidRPr="00CA7D42">
        <w:rPr>
          <w:rFonts w:ascii="Palatino Linotype" w:hAnsi="Palatino Linotype" w:cs="Arial"/>
          <w:b/>
        </w:rPr>
        <w:t xml:space="preserve">de </w:t>
      </w:r>
      <w:r w:rsidR="002264D6">
        <w:rPr>
          <w:rFonts w:ascii="Palatino Linotype" w:hAnsi="Palatino Linotype" w:cs="Arial"/>
          <w:b/>
        </w:rPr>
        <w:t>agosto</w:t>
      </w:r>
      <w:r w:rsidRPr="00CA7D42">
        <w:rPr>
          <w:rFonts w:ascii="Palatino Linotype" w:hAnsi="Palatino Linotype" w:cs="Arial"/>
          <w:b/>
        </w:rPr>
        <w:t xml:space="preserve"> de dos mil dieci</w:t>
      </w:r>
      <w:r w:rsidR="00EE23B6">
        <w:rPr>
          <w:rFonts w:ascii="Palatino Linotype" w:hAnsi="Palatino Linotype" w:cs="Arial"/>
          <w:b/>
        </w:rPr>
        <w:t>nueve</w:t>
      </w:r>
      <w:r w:rsidRPr="00CA7D42">
        <w:rPr>
          <w:rFonts w:ascii="Palatino Linotype" w:hAnsi="Palatino Linotype" w:cs="Arial"/>
        </w:rPr>
        <w:t>, el plazo de quince días hábiles que el artículo 178 de la ley de la materia otorga a</w:t>
      </w:r>
      <w:r w:rsidR="0012305F">
        <w:rPr>
          <w:rFonts w:ascii="Palatino Linotype" w:hAnsi="Palatino Linotype" w:cs="Arial"/>
        </w:rPr>
        <w:t xml:space="preserve"> </w:t>
      </w:r>
      <w:r w:rsidR="0012305F" w:rsidRPr="0012305F">
        <w:rPr>
          <w:rFonts w:ascii="Palatino Linotype" w:hAnsi="Palatino Linotype" w:cs="Arial"/>
          <w:b/>
        </w:rPr>
        <w:t>LA</w:t>
      </w:r>
      <w:r w:rsidRPr="00CA7D42">
        <w:rPr>
          <w:rFonts w:ascii="Palatino Linotype" w:hAnsi="Palatino Linotype" w:cs="Arial"/>
          <w:b/>
        </w:rPr>
        <w:t xml:space="preserve"> RECURRENTE</w:t>
      </w:r>
      <w:r w:rsidRPr="00CA7D42">
        <w:rPr>
          <w:rFonts w:ascii="Palatino Linotype" w:hAnsi="Palatino Linotype" w:cs="Arial"/>
        </w:rPr>
        <w:t xml:space="preserve"> para presentar </w:t>
      </w:r>
      <w:r>
        <w:rPr>
          <w:rFonts w:ascii="Palatino Linotype" w:hAnsi="Palatino Linotype" w:cs="Arial"/>
        </w:rPr>
        <w:t>los</w:t>
      </w:r>
      <w:r w:rsidRPr="00CA7D42">
        <w:rPr>
          <w:rFonts w:ascii="Palatino Linotype" w:hAnsi="Palatino Linotype" w:cs="Arial"/>
        </w:rPr>
        <w:t xml:space="preserve"> recurso</w:t>
      </w:r>
      <w:r>
        <w:rPr>
          <w:rFonts w:ascii="Palatino Linotype" w:hAnsi="Palatino Linotype" w:cs="Arial"/>
        </w:rPr>
        <w:t>s</w:t>
      </w:r>
      <w:r w:rsidRPr="00CA7D42">
        <w:rPr>
          <w:rFonts w:ascii="Palatino Linotype" w:hAnsi="Palatino Linotype" w:cs="Arial"/>
        </w:rPr>
        <w:t xml:space="preserve"> de revisión, transcurrió del </w:t>
      </w:r>
      <w:r w:rsidR="0012305F">
        <w:rPr>
          <w:rFonts w:ascii="Palatino Linotype" w:hAnsi="Palatino Linotype" w:cs="Arial"/>
          <w:b/>
        </w:rPr>
        <w:t>veinti</w:t>
      </w:r>
      <w:r w:rsidR="00E47363">
        <w:rPr>
          <w:rFonts w:ascii="Palatino Linotype" w:hAnsi="Palatino Linotype" w:cs="Arial"/>
          <w:b/>
        </w:rPr>
        <w:t>ocho</w:t>
      </w:r>
      <w:r w:rsidRPr="00CA7D42">
        <w:rPr>
          <w:rFonts w:ascii="Palatino Linotype" w:hAnsi="Palatino Linotype" w:cs="Arial"/>
          <w:b/>
        </w:rPr>
        <w:t xml:space="preserve"> de </w:t>
      </w:r>
      <w:r w:rsidR="0012305F">
        <w:rPr>
          <w:rFonts w:ascii="Palatino Linotype" w:hAnsi="Palatino Linotype" w:cs="Arial"/>
          <w:b/>
        </w:rPr>
        <w:t>agosto</w:t>
      </w:r>
      <w:r w:rsidR="00AB7CE7">
        <w:rPr>
          <w:rFonts w:ascii="Palatino Linotype" w:hAnsi="Palatino Linotype" w:cs="Arial"/>
          <w:b/>
        </w:rPr>
        <w:t xml:space="preserve"> </w:t>
      </w:r>
      <w:r w:rsidR="00E47363">
        <w:rPr>
          <w:rFonts w:ascii="Palatino Linotype" w:hAnsi="Palatino Linotype" w:cs="Arial"/>
          <w:b/>
        </w:rPr>
        <w:t xml:space="preserve">al dieciocho de septiembre </w:t>
      </w:r>
      <w:r w:rsidR="00AB7CE7" w:rsidRPr="00CA7D42">
        <w:rPr>
          <w:rFonts w:ascii="Palatino Linotype" w:hAnsi="Palatino Linotype" w:cs="Arial"/>
          <w:b/>
        </w:rPr>
        <w:t>dos mil dieci</w:t>
      </w:r>
      <w:r w:rsidR="00AB7CE7">
        <w:rPr>
          <w:rFonts w:ascii="Palatino Linotype" w:hAnsi="Palatino Linotype" w:cs="Arial"/>
          <w:b/>
        </w:rPr>
        <w:t>nueve</w:t>
      </w:r>
      <w:r w:rsidRPr="00CA7D42">
        <w:rPr>
          <w:rFonts w:ascii="Palatino Linotype" w:hAnsi="Palatino Linotype" w:cs="Arial"/>
        </w:rPr>
        <w:t>, sin contemplar en el cómputo los días</w:t>
      </w:r>
      <w:r w:rsidR="00EE23B6">
        <w:rPr>
          <w:rFonts w:ascii="Palatino Linotype" w:hAnsi="Palatino Linotype" w:cs="Arial"/>
        </w:rPr>
        <w:t xml:space="preserve"> </w:t>
      </w:r>
      <w:r w:rsidR="00E47363">
        <w:rPr>
          <w:rFonts w:ascii="Palatino Linotype" w:hAnsi="Palatino Linotype" w:cs="Arial"/>
        </w:rPr>
        <w:t>treinta y uno de agosto</w:t>
      </w:r>
      <w:r w:rsidR="00785294">
        <w:rPr>
          <w:rFonts w:ascii="Palatino Linotype" w:hAnsi="Palatino Linotype" w:cs="Arial"/>
        </w:rPr>
        <w:t>,</w:t>
      </w:r>
      <w:r w:rsidR="00E47363">
        <w:rPr>
          <w:rFonts w:ascii="Palatino Linotype" w:hAnsi="Palatino Linotype" w:cs="Arial"/>
        </w:rPr>
        <w:t xml:space="preserve"> uno, siete, ocho</w:t>
      </w:r>
      <w:r w:rsidR="0012305F">
        <w:rPr>
          <w:rFonts w:ascii="Palatino Linotype" w:hAnsi="Palatino Linotype" w:cs="Arial"/>
        </w:rPr>
        <w:t xml:space="preserve">, </w:t>
      </w:r>
      <w:r w:rsidR="00E47363">
        <w:rPr>
          <w:rFonts w:ascii="Palatino Linotype" w:hAnsi="Palatino Linotype" w:cs="Arial"/>
        </w:rPr>
        <w:t>catorce</w:t>
      </w:r>
      <w:r w:rsidR="00EE23B6">
        <w:rPr>
          <w:rFonts w:ascii="Palatino Linotype" w:hAnsi="Palatino Linotype" w:cs="Arial"/>
        </w:rPr>
        <w:t xml:space="preserve"> </w:t>
      </w:r>
      <w:r w:rsidR="0012305F">
        <w:rPr>
          <w:rFonts w:ascii="Palatino Linotype" w:hAnsi="Palatino Linotype" w:cs="Arial"/>
        </w:rPr>
        <w:t xml:space="preserve">y </w:t>
      </w:r>
      <w:r w:rsidR="00E47363">
        <w:rPr>
          <w:rFonts w:ascii="Palatino Linotype" w:hAnsi="Palatino Linotype" w:cs="Arial"/>
        </w:rPr>
        <w:t>quince</w:t>
      </w:r>
      <w:r w:rsidR="0012305F">
        <w:rPr>
          <w:rFonts w:ascii="Palatino Linotype" w:hAnsi="Palatino Linotype" w:cs="Arial"/>
        </w:rPr>
        <w:t xml:space="preserve"> </w:t>
      </w:r>
      <w:r w:rsidR="00EE23B6">
        <w:rPr>
          <w:rFonts w:ascii="Palatino Linotype" w:hAnsi="Palatino Linotype" w:cs="Arial"/>
        </w:rPr>
        <w:t xml:space="preserve">de </w:t>
      </w:r>
      <w:r w:rsidR="0012305F">
        <w:rPr>
          <w:rFonts w:ascii="Palatino Linotype" w:hAnsi="Palatino Linotype" w:cs="Arial"/>
        </w:rPr>
        <w:t>agosto</w:t>
      </w:r>
      <w:r w:rsidR="00EE23B6">
        <w:rPr>
          <w:rFonts w:ascii="Palatino Linotype" w:hAnsi="Palatino Linotype" w:cs="Arial"/>
        </w:rPr>
        <w:t xml:space="preserve"> </w:t>
      </w:r>
      <w:r w:rsidRPr="00CA7D42">
        <w:rPr>
          <w:rFonts w:ascii="Palatino Linotype" w:hAnsi="Palatino Linotype" w:cs="Arial"/>
        </w:rPr>
        <w:t xml:space="preserve">del año en curso por corresponder a sábados y domingos, de conformidad con el artículo 3, fracción X de la </w:t>
      </w:r>
      <w:r w:rsidRPr="00CA7D42">
        <w:rPr>
          <w:rFonts w:ascii="Palatino Linotype" w:hAnsi="Palatino Linotype"/>
        </w:rPr>
        <w:t>Ley de Transparencia y Acceso a la Información Pública del Estado de México y Municipios</w:t>
      </w:r>
      <w:r w:rsidR="00EB4E3E">
        <w:rPr>
          <w:rFonts w:ascii="Palatino Linotype" w:hAnsi="Palatino Linotype"/>
        </w:rPr>
        <w:t xml:space="preserve"> </w:t>
      </w:r>
      <w:r w:rsidR="00EB4E3E" w:rsidRPr="00CA7D42">
        <w:rPr>
          <w:rFonts w:ascii="Palatino Linotype" w:hAnsi="Palatino Linotype" w:cs="Arial"/>
        </w:rPr>
        <w:t xml:space="preserve">, y </w:t>
      </w:r>
      <w:r w:rsidR="00E47363">
        <w:rPr>
          <w:rFonts w:ascii="Palatino Linotype" w:hAnsi="Palatino Linotype" w:cs="Arial"/>
        </w:rPr>
        <w:t>el</w:t>
      </w:r>
      <w:r w:rsidR="00EB4E3E" w:rsidRPr="00CA7D42">
        <w:rPr>
          <w:rFonts w:ascii="Palatino Linotype" w:hAnsi="Palatino Linotype" w:cs="Arial"/>
        </w:rPr>
        <w:t xml:space="preserve"> día </w:t>
      </w:r>
      <w:r w:rsidR="00E47363">
        <w:rPr>
          <w:rFonts w:ascii="Palatino Linotype" w:hAnsi="Palatino Linotype" w:cs="Arial"/>
        </w:rPr>
        <w:t>dieciséis</w:t>
      </w:r>
      <w:r w:rsidR="00EB4E3E">
        <w:rPr>
          <w:rFonts w:ascii="Palatino Linotype" w:hAnsi="Palatino Linotype" w:cs="Arial"/>
        </w:rPr>
        <w:t xml:space="preserve"> de </w:t>
      </w:r>
      <w:r w:rsidR="00E47363">
        <w:rPr>
          <w:rFonts w:ascii="Palatino Linotype" w:hAnsi="Palatino Linotype" w:cs="Arial"/>
        </w:rPr>
        <w:t>septiembre</w:t>
      </w:r>
      <w:r w:rsidR="00EB4E3E">
        <w:rPr>
          <w:rFonts w:ascii="Palatino Linotype" w:hAnsi="Palatino Linotype" w:cs="Arial"/>
        </w:rPr>
        <w:t xml:space="preserve"> de dos mil diecinueve</w:t>
      </w:r>
      <w:r w:rsidR="00EB4E3E" w:rsidRPr="00CA7D42">
        <w:rPr>
          <w:rFonts w:ascii="Palatino Linotype" w:hAnsi="Palatino Linotype" w:cs="Arial"/>
        </w:rPr>
        <w:t xml:space="preserve">, por </w:t>
      </w:r>
      <w:r w:rsidR="00EB4E3E">
        <w:rPr>
          <w:rFonts w:ascii="Palatino Linotype" w:hAnsi="Palatino Linotype" w:cs="Arial"/>
        </w:rPr>
        <w:t>suspensión de labores</w:t>
      </w:r>
      <w:r w:rsidRPr="00CA7D42">
        <w:rPr>
          <w:rFonts w:ascii="Palatino Linotype" w:hAnsi="Palatino Linotype"/>
        </w:rPr>
        <w:t>.</w:t>
      </w:r>
    </w:p>
    <w:p w:rsidR="006C15AD" w:rsidRDefault="00ED28B3" w:rsidP="006C15AD">
      <w:pPr>
        <w:pStyle w:val="Prrafodelista"/>
        <w:widowControl w:val="0"/>
        <w:autoSpaceDE w:val="0"/>
        <w:autoSpaceDN w:val="0"/>
        <w:adjustRightInd w:val="0"/>
        <w:spacing w:before="120" w:after="120"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831215</wp:posOffset>
                </wp:positionV>
                <wp:extent cx="5867400" cy="990600"/>
                <wp:effectExtent l="38100" t="38100" r="76200" b="95250"/>
                <wp:wrapNone/>
                <wp:docPr id="10" name="Conector recto 10"/>
                <wp:cNvGraphicFramePr/>
                <a:graphic xmlns:a="http://schemas.openxmlformats.org/drawingml/2006/main">
                  <a:graphicData uri="http://schemas.microsoft.com/office/word/2010/wordprocessingShape">
                    <wps:wsp>
                      <wps:cNvCnPr/>
                      <wps:spPr>
                        <a:xfrm>
                          <a:off x="0" y="0"/>
                          <a:ext cx="5867400" cy="990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D3310E" id="Conector recto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pt,65.45pt" to="463.2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" strokecolor="#4f81bd [3204]" strokeweight="2pt">
                <v:shadow on="t" color="black" opacity="24903f" origin=",.5" offset="0,.55556mm"/>
              </v:line>
            </w:pict>
          </mc:Fallback>
        </mc:AlternateContent>
      </w:r>
      <w:r w:rsidR="006C15AD" w:rsidRPr="009919DB">
        <w:rPr>
          <w:rFonts w:ascii="Palatino Linotype" w:hAnsi="Palatino Linotype"/>
        </w:rPr>
        <w:t xml:space="preserve">En ese tenor, si el recurso de revisión que nos ocupa, se interpuso el </w:t>
      </w:r>
      <w:r w:rsidR="00785294">
        <w:rPr>
          <w:rFonts w:ascii="Palatino Linotype" w:hAnsi="Palatino Linotype"/>
          <w:b/>
          <w:u w:val="single"/>
        </w:rPr>
        <w:t>veinti</w:t>
      </w:r>
      <w:r w:rsidR="00E47363">
        <w:rPr>
          <w:rFonts w:ascii="Palatino Linotype" w:hAnsi="Palatino Linotype"/>
          <w:b/>
          <w:u w:val="single"/>
        </w:rPr>
        <w:t>nueve</w:t>
      </w:r>
      <w:r w:rsidR="006C15AD" w:rsidRPr="00EF39AD">
        <w:rPr>
          <w:rFonts w:ascii="Palatino Linotype" w:hAnsi="Palatino Linotype"/>
          <w:b/>
          <w:u w:val="single"/>
        </w:rPr>
        <w:t xml:space="preserve"> de </w:t>
      </w:r>
      <w:r w:rsidR="0012305F">
        <w:rPr>
          <w:rFonts w:ascii="Palatino Linotype" w:hAnsi="Palatino Linotype"/>
          <w:b/>
          <w:u w:val="single"/>
        </w:rPr>
        <w:t>agosto</w:t>
      </w:r>
      <w:r w:rsidR="006C15AD" w:rsidRPr="00EF39AD">
        <w:rPr>
          <w:rFonts w:ascii="Palatino Linotype" w:hAnsi="Palatino Linotype"/>
          <w:b/>
          <w:u w:val="single"/>
        </w:rPr>
        <w:t xml:space="preserve"> de dos mil dieci</w:t>
      </w:r>
      <w:r w:rsidR="006C15AD">
        <w:rPr>
          <w:rFonts w:ascii="Palatino Linotype" w:hAnsi="Palatino Linotype"/>
          <w:b/>
          <w:u w:val="single"/>
        </w:rPr>
        <w:t>nueve</w:t>
      </w:r>
      <w:r w:rsidR="006C15AD" w:rsidRPr="009919DB">
        <w:rPr>
          <w:rFonts w:ascii="Palatino Linotype" w:hAnsi="Palatino Linotype"/>
        </w:rPr>
        <w:t>, éste se encuentra dentro de los márgenes temporales previstos en el citado precepto legal y, por tanto, su interposición considera oportuna.</w:t>
      </w:r>
    </w:p>
    <w:p w:rsidR="00E47363" w:rsidRPr="00E47363" w:rsidRDefault="00E47363" w:rsidP="006C15AD">
      <w:pPr>
        <w:pStyle w:val="Prrafodelista"/>
        <w:widowControl w:val="0"/>
        <w:autoSpaceDE w:val="0"/>
        <w:autoSpaceDN w:val="0"/>
        <w:adjustRightInd w:val="0"/>
        <w:spacing w:before="120" w:after="120" w:line="360" w:lineRule="auto"/>
        <w:ind w:left="0"/>
        <w:jc w:val="both"/>
        <w:rPr>
          <w:rFonts w:ascii="Palatino Linotype" w:hAnsi="Palatino Linotype"/>
          <w:sz w:val="18"/>
        </w:rPr>
      </w:pPr>
    </w:p>
    <w:p w:rsidR="002414AB" w:rsidRPr="00C65097" w:rsidRDefault="00AA5944" w:rsidP="002414AB">
      <w:pPr>
        <w:spacing w:line="360" w:lineRule="auto"/>
        <w:jc w:val="both"/>
        <w:rPr>
          <w:rFonts w:ascii="Palatino Linotype" w:hAnsi="Palatino Linotype"/>
          <w:b/>
        </w:rPr>
      </w:pPr>
      <w:r w:rsidRPr="00623266">
        <w:rPr>
          <w:rFonts w:ascii="Palatino Linotype" w:hAnsi="Palatino Linotype"/>
          <w:b/>
          <w:sz w:val="28"/>
        </w:rPr>
        <w:lastRenderedPageBreak/>
        <w:t xml:space="preserve">CUARTO. </w:t>
      </w:r>
      <w:r w:rsidR="00397250" w:rsidRPr="00C02847">
        <w:rPr>
          <w:rFonts w:ascii="Palatino Linotype" w:hAnsi="Palatino Linotype" w:cs="Arial"/>
          <w:b/>
        </w:rPr>
        <w:t xml:space="preserve">Procedibilidad. </w:t>
      </w:r>
      <w:r w:rsidR="002414AB" w:rsidRPr="00C6509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2414AB" w:rsidRPr="00C65097">
        <w:rPr>
          <w:rFonts w:ascii="Palatino Linotype" w:hAnsi="Palatino Linotype" w:cs="Arial"/>
          <w:lang w:val="es-ES_tradnl"/>
        </w:rPr>
        <w:t xml:space="preserve">de la </w:t>
      </w:r>
      <w:r w:rsidR="002414AB" w:rsidRPr="00C65097">
        <w:rPr>
          <w:rFonts w:ascii="Palatino Linotype" w:hAnsi="Palatino Linotype"/>
        </w:rPr>
        <w:t>Ley de Transparencia y Acceso a la Información Pública del Estado de México y Municipios, en atención a que fue presentado mediante el formato visible en el</w:t>
      </w:r>
      <w:r w:rsidR="002414AB" w:rsidRPr="00C65097">
        <w:rPr>
          <w:rFonts w:ascii="Palatino Linotype" w:hAnsi="Palatino Linotype"/>
          <w:b/>
        </w:rPr>
        <w:t xml:space="preserve"> SAIMEX.</w:t>
      </w:r>
    </w:p>
    <w:p w:rsidR="002414AB" w:rsidRPr="00785294" w:rsidRDefault="002414AB" w:rsidP="00E5233B">
      <w:pPr>
        <w:pStyle w:val="Prrafodelista"/>
        <w:widowControl w:val="0"/>
        <w:autoSpaceDE w:val="0"/>
        <w:autoSpaceDN w:val="0"/>
        <w:adjustRightInd w:val="0"/>
        <w:spacing w:after="120" w:line="360" w:lineRule="auto"/>
        <w:ind w:left="0"/>
        <w:jc w:val="both"/>
        <w:rPr>
          <w:rFonts w:ascii="Palatino Linotype" w:hAnsi="Palatino Linotype" w:cs="Arial"/>
          <w:b/>
          <w:sz w:val="20"/>
          <w:szCs w:val="28"/>
        </w:rPr>
      </w:pPr>
    </w:p>
    <w:p w:rsidR="00E5233B"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DE67C2">
        <w:rPr>
          <w:rFonts w:ascii="Palatino Linotype" w:hAnsi="Palatino Linotype" w:cs="Arial"/>
          <w:b/>
          <w:sz w:val="28"/>
          <w:szCs w:val="28"/>
        </w:rPr>
        <w:t>QUINTO</w:t>
      </w:r>
      <w:r w:rsidR="00E5233B">
        <w:rPr>
          <w:rFonts w:ascii="Palatino Linotype" w:hAnsi="Palatino Linotype" w:cs="Arial"/>
          <w:b/>
        </w:rPr>
        <w:t xml:space="preserve">. </w:t>
      </w:r>
      <w:r w:rsidR="00E5233B" w:rsidRPr="00C02847">
        <w:rPr>
          <w:rFonts w:ascii="Palatino Linotype" w:hAnsi="Palatino Linotype" w:cs="Arial"/>
          <w:b/>
        </w:rPr>
        <w:t>Estudio y resolución del recurso</w:t>
      </w:r>
      <w:r w:rsidR="00E5233B" w:rsidRPr="00C02847">
        <w:rPr>
          <w:rFonts w:ascii="Palatino Linotype" w:hAnsi="Palatino Linotype" w:cs="Arial"/>
          <w:b/>
          <w:color w:val="000000" w:themeColor="text1"/>
        </w:rPr>
        <w:t>.</w:t>
      </w:r>
      <w:r w:rsidR="00E5233B" w:rsidRPr="004A0F21">
        <w:rPr>
          <w:rFonts w:ascii="Palatino Linotype" w:hAnsi="Palatino Linotype" w:cs="Arial"/>
          <w:b/>
        </w:rPr>
        <w:t xml:space="preserve"> </w:t>
      </w:r>
      <w:r w:rsidR="00E5233B" w:rsidRPr="004A0F21">
        <w:rPr>
          <w:rFonts w:ascii="Palatino Linotype" w:hAnsi="Palatino Linotype" w:cs="Arial"/>
        </w:rPr>
        <w:t xml:space="preserve">Una vez determinada la vía sobre la que versará </w:t>
      </w:r>
      <w:r w:rsidR="00E5233B">
        <w:rPr>
          <w:rFonts w:ascii="Palatino Linotype" w:hAnsi="Palatino Linotype" w:cs="Arial"/>
        </w:rPr>
        <w:t>el</w:t>
      </w:r>
      <w:r w:rsidR="00343C75">
        <w:rPr>
          <w:rFonts w:ascii="Palatino Linotype" w:hAnsi="Palatino Linotype" w:cs="Arial"/>
        </w:rPr>
        <w:t xml:space="preserve"> presente recurso</w:t>
      </w:r>
      <w:r w:rsidR="00E5233B" w:rsidRPr="004A0F21">
        <w:rPr>
          <w:rFonts w:ascii="Palatino Linotype" w:hAnsi="Palatino Linotype" w:cs="Arial"/>
        </w:rPr>
        <w:t xml:space="preserve"> y previa revisión del expediente electrónico formado en </w:t>
      </w:r>
      <w:r w:rsidR="00E5233B" w:rsidRPr="004A0F21">
        <w:rPr>
          <w:rFonts w:ascii="Palatino Linotype" w:hAnsi="Palatino Linotype" w:cs="Arial"/>
          <w:b/>
        </w:rPr>
        <w:t>EL SAIMEX</w:t>
      </w:r>
      <w:r w:rsidR="00E5233B" w:rsidRPr="004A0F21">
        <w:rPr>
          <w:rFonts w:ascii="Palatino Linotype" w:hAnsi="Palatino Linotype" w:cs="Arial"/>
        </w:rPr>
        <w:t xml:space="preserve"> con motivo de la solicitud de información y del recurso a que da origen, es conveniente analizar si la respuesta del </w:t>
      </w:r>
      <w:r w:rsidR="00E5233B" w:rsidRPr="004A0F21">
        <w:rPr>
          <w:rFonts w:ascii="Palatino Linotype" w:hAnsi="Palatino Linotype" w:cs="Arial"/>
          <w:b/>
          <w:lang w:val="es-MX" w:eastAsia="es-MX"/>
        </w:rPr>
        <w:t>SUJETO OBLIGADO</w:t>
      </w:r>
      <w:r w:rsidR="00E5233B">
        <w:rPr>
          <w:rFonts w:ascii="Palatino Linotype" w:hAnsi="Palatino Linotype" w:cs="Arial"/>
        </w:rPr>
        <w:t xml:space="preserve">, </w:t>
      </w:r>
      <w:r w:rsidR="00E5233B" w:rsidRPr="004A0F21">
        <w:rPr>
          <w:rFonts w:ascii="Palatino Linotype" w:hAnsi="Palatino Linotype" w:cs="Arial"/>
        </w:rPr>
        <w:t>cumple con los requisitos y procedimientos del derecho de acceso a la información pública</w:t>
      </w:r>
      <w:r w:rsidR="006A1AD8">
        <w:rPr>
          <w:rFonts w:ascii="Palatino Linotype" w:hAnsi="Palatino Linotype" w:cs="Arial"/>
        </w:rPr>
        <w:t>;</w:t>
      </w:r>
      <w:r w:rsidR="00E5233B" w:rsidRPr="004A0F21">
        <w:rPr>
          <w:rFonts w:ascii="Palatino Linotype" w:hAnsi="Palatino Linotype" w:cs="Arial"/>
        </w:rPr>
        <w:t xml:space="preserve"> por lo que, en primer término debemos recordar que la solicitud de información planteada por </w:t>
      </w:r>
      <w:r w:rsidR="0012305F">
        <w:rPr>
          <w:rFonts w:ascii="Palatino Linotype" w:hAnsi="Palatino Linotype" w:cs="Arial"/>
          <w:b/>
        </w:rPr>
        <w:t>LA</w:t>
      </w:r>
      <w:r w:rsidR="00E5233B" w:rsidRPr="004A0F21">
        <w:rPr>
          <w:rFonts w:ascii="Palatino Linotype" w:hAnsi="Palatino Linotype" w:cs="Arial"/>
          <w:b/>
        </w:rPr>
        <w:t xml:space="preserve"> RECURRENTE</w:t>
      </w:r>
      <w:r w:rsidR="00E5233B" w:rsidRPr="004A0F21">
        <w:rPr>
          <w:rFonts w:ascii="Palatino Linotype" w:hAnsi="Palatino Linotype" w:cs="Arial"/>
        </w:rPr>
        <w:t xml:space="preserve">, </w:t>
      </w:r>
      <w:r w:rsidR="00017419" w:rsidRPr="004A0F21">
        <w:rPr>
          <w:rFonts w:ascii="Palatino Linotype" w:hAnsi="Palatino Linotype" w:cs="Arial"/>
        </w:rPr>
        <w:t>consisti</w:t>
      </w:r>
      <w:r w:rsidR="00017419">
        <w:rPr>
          <w:rFonts w:ascii="Palatino Linotype" w:hAnsi="Palatino Linotype" w:cs="Arial"/>
        </w:rPr>
        <w:t>ó</w:t>
      </w:r>
      <w:r w:rsidR="00E5233B" w:rsidRPr="004A0F21">
        <w:rPr>
          <w:rFonts w:ascii="Palatino Linotype" w:hAnsi="Palatino Linotype" w:cs="Arial"/>
        </w:rPr>
        <w:t xml:space="preserve"> en</w:t>
      </w:r>
      <w:r w:rsidR="00C62CD4">
        <w:rPr>
          <w:rFonts w:ascii="Palatino Linotype" w:hAnsi="Palatino Linotype" w:cs="Arial"/>
        </w:rPr>
        <w:t xml:space="preserve"> </w:t>
      </w:r>
      <w:r w:rsidR="0012305F" w:rsidRPr="0012305F">
        <w:rPr>
          <w:rFonts w:ascii="Palatino Linotype" w:hAnsi="Palatino Linotype" w:cs="Arial"/>
        </w:rPr>
        <w:t>solicita</w:t>
      </w:r>
      <w:r w:rsidR="0012305F">
        <w:rPr>
          <w:rFonts w:ascii="Palatino Linotype" w:hAnsi="Palatino Linotype" w:cs="Arial"/>
        </w:rPr>
        <w:t>r</w:t>
      </w:r>
      <w:r w:rsidR="0012305F" w:rsidRPr="0012305F">
        <w:rPr>
          <w:rFonts w:ascii="Palatino Linotype" w:hAnsi="Palatino Linotype" w:cs="Arial"/>
        </w:rPr>
        <w:t xml:space="preserve"> </w:t>
      </w:r>
      <w:r w:rsidR="00E47363">
        <w:rPr>
          <w:rFonts w:ascii="Palatino Linotype" w:hAnsi="Palatino Linotype" w:cs="Arial"/>
        </w:rPr>
        <w:t xml:space="preserve">los nombres del personal que labora en el Centro de Control de Confianza del Estado de México; </w:t>
      </w:r>
      <w:r w:rsidR="00E47363" w:rsidRPr="00E47363">
        <w:rPr>
          <w:rFonts w:ascii="Palatino Linotype" w:hAnsi="Palatino Linotype" w:cs="Arial"/>
        </w:rPr>
        <w:t>así como</w:t>
      </w:r>
      <w:r w:rsidR="00E47363">
        <w:rPr>
          <w:rFonts w:ascii="Palatino Linotype" w:hAnsi="Palatino Linotype" w:cs="Arial"/>
        </w:rPr>
        <w:t>,</w:t>
      </w:r>
      <w:r w:rsidR="00E47363" w:rsidRPr="00E47363">
        <w:rPr>
          <w:rFonts w:ascii="Palatino Linotype" w:hAnsi="Palatino Linotype" w:cs="Arial"/>
        </w:rPr>
        <w:t xml:space="preserve"> los sueldos que perciben y tipo de plaza con la que cuentan</w:t>
      </w:r>
      <w:r w:rsidR="00C62CD4" w:rsidRPr="00C62CD4">
        <w:rPr>
          <w:rFonts w:ascii="Palatino Linotype" w:hAnsi="Palatino Linotype" w:cs="Arial"/>
        </w:rPr>
        <w:t>.</w:t>
      </w:r>
    </w:p>
    <w:p w:rsidR="005A354D" w:rsidRDefault="00D42DF6" w:rsidP="00463390">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29829</wp:posOffset>
                </wp:positionH>
                <wp:positionV relativeFrom="paragraph">
                  <wp:posOffset>1153405</wp:posOffset>
                </wp:positionV>
                <wp:extent cx="5755963" cy="1744231"/>
                <wp:effectExtent l="38100" t="38100" r="73660" b="85090"/>
                <wp:wrapNone/>
                <wp:docPr id="12" name="Conector recto 12"/>
                <wp:cNvGraphicFramePr/>
                <a:graphic xmlns:a="http://schemas.openxmlformats.org/drawingml/2006/main">
                  <a:graphicData uri="http://schemas.microsoft.com/office/word/2010/wordprocessingShape">
                    <wps:wsp>
                      <wps:cNvCnPr/>
                      <wps:spPr>
                        <a:xfrm>
                          <a:off x="0" y="0"/>
                          <a:ext cx="5755963" cy="1744231"/>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E5D6C9" id="Conector recto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5pt,90.8pt" to="455.6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" strokecolor="red" strokeweight="2pt">
                <v:shadow on="t" color="black" opacity="24903f" origin=",.5" offset="0,.55556mm"/>
              </v:line>
            </w:pict>
          </mc:Fallback>
        </mc:AlternateContent>
      </w:r>
      <w:r w:rsidR="00ED28B3">
        <w:rPr>
          <w:rFonts w:ascii="Palatino Linotype" w:hAnsi="Palatino Linotype" w:cs="Arial"/>
        </w:rPr>
        <w:t>P</w:t>
      </w:r>
      <w:r w:rsidR="00F17BAF">
        <w:rPr>
          <w:rFonts w:ascii="Palatino Linotype" w:hAnsi="Palatino Linotype" w:cs="Arial"/>
        </w:rPr>
        <w:t>or su parte</w:t>
      </w:r>
      <w:r w:rsidR="00EC0712">
        <w:rPr>
          <w:rFonts w:ascii="Palatino Linotype" w:hAnsi="Palatino Linotype" w:cs="Arial"/>
        </w:rPr>
        <w:t>,</w:t>
      </w:r>
      <w:r w:rsidR="00F17BAF">
        <w:rPr>
          <w:rFonts w:ascii="Palatino Linotype" w:hAnsi="Palatino Linotype" w:cs="Arial"/>
        </w:rPr>
        <w:t xml:space="preserve"> </w:t>
      </w:r>
      <w:r w:rsidR="00F17BAF" w:rsidRPr="008B51CB">
        <w:rPr>
          <w:rFonts w:ascii="Palatino Linotype" w:hAnsi="Palatino Linotype" w:cs="Arial"/>
          <w:b/>
        </w:rPr>
        <w:t>EL SUJETO OBLIGADO</w:t>
      </w:r>
      <w:r w:rsidR="00F17BAF">
        <w:rPr>
          <w:rFonts w:ascii="Palatino Linotype" w:hAnsi="Palatino Linotype" w:cs="Arial"/>
        </w:rPr>
        <w:t xml:space="preserve"> </w:t>
      </w:r>
      <w:r w:rsidR="008B51CB">
        <w:rPr>
          <w:rFonts w:ascii="Palatino Linotype" w:hAnsi="Palatino Linotype" w:cs="Arial"/>
        </w:rPr>
        <w:t xml:space="preserve">mediante respuesta </w:t>
      </w:r>
      <w:r w:rsidR="0012305F">
        <w:rPr>
          <w:rFonts w:ascii="Palatino Linotype" w:hAnsi="Palatino Linotype" w:cs="Arial"/>
        </w:rPr>
        <w:t xml:space="preserve">le anexó el documento </w:t>
      </w:r>
      <w:r w:rsidR="006747A3">
        <w:rPr>
          <w:rFonts w:ascii="Palatino Linotype" w:hAnsi="Palatino Linotype" w:cs="Arial"/>
        </w:rPr>
        <w:t>donde señaló que la información se encuentra c</w:t>
      </w:r>
      <w:r w:rsidR="00205F40">
        <w:rPr>
          <w:rFonts w:ascii="Palatino Linotype" w:hAnsi="Palatino Linotype" w:cs="Arial"/>
        </w:rPr>
        <w:t>l</w:t>
      </w:r>
      <w:r w:rsidR="006747A3">
        <w:rPr>
          <w:rFonts w:ascii="Palatino Linotype" w:hAnsi="Palatino Linotype" w:cs="Arial"/>
        </w:rPr>
        <w:t>a</w:t>
      </w:r>
      <w:r w:rsidR="00205F40">
        <w:rPr>
          <w:rFonts w:ascii="Palatino Linotype" w:hAnsi="Palatino Linotype" w:cs="Arial"/>
        </w:rPr>
        <w:t>s</w:t>
      </w:r>
      <w:r w:rsidR="006747A3">
        <w:rPr>
          <w:rFonts w:ascii="Palatino Linotype" w:hAnsi="Palatino Linotype" w:cs="Arial"/>
        </w:rPr>
        <w:t>ificada, como a continuación se expone y que por economía procesa y al ser del conocimiento de las partes sólo se inserta lo siguiente:</w:t>
      </w:r>
    </w:p>
    <w:p w:rsidR="006747A3" w:rsidRDefault="006747A3" w:rsidP="00463390">
      <w:pPr>
        <w:spacing w:line="360" w:lineRule="auto"/>
        <w:jc w:val="both"/>
        <w:rPr>
          <w:rFonts w:ascii="Palatino Linotype" w:hAnsi="Palatino Linotype" w:cs="Arial"/>
        </w:rPr>
      </w:pPr>
      <w:r>
        <w:rPr>
          <w:noProof/>
          <w:lang w:val="es-MX" w:eastAsia="es-MX"/>
        </w:rPr>
        <w:lastRenderedPageBreak/>
        <w:drawing>
          <wp:inline distT="0" distB="0" distL="0" distR="0" wp14:anchorId="454BC60F" wp14:editId="4FFE0715">
            <wp:extent cx="5802630" cy="745791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500" t="27740" r="36205" b="9144"/>
                    <a:stretch/>
                  </pic:blipFill>
                  <pic:spPr bwMode="auto">
                    <a:xfrm>
                      <a:off x="0" y="0"/>
                      <a:ext cx="5829685" cy="7492682"/>
                    </a:xfrm>
                    <a:prstGeom prst="rect">
                      <a:avLst/>
                    </a:prstGeom>
                    <a:ln>
                      <a:noFill/>
                    </a:ln>
                    <a:extLst>
                      <a:ext uri="{53640926-AAD7-44D8-BBD7-CCE9431645EC}">
                        <a14:shadowObscured xmlns:a14="http://schemas.microsoft.com/office/drawing/2010/main"/>
                      </a:ext>
                    </a:extLst>
                  </pic:spPr>
                </pic:pic>
              </a:graphicData>
            </a:graphic>
          </wp:inline>
        </w:drawing>
      </w:r>
    </w:p>
    <w:p w:rsidR="006747A3" w:rsidRDefault="006747A3" w:rsidP="00463390">
      <w:pPr>
        <w:spacing w:line="360" w:lineRule="auto"/>
        <w:jc w:val="both"/>
        <w:rPr>
          <w:rFonts w:ascii="Palatino Linotype" w:hAnsi="Palatino Linotype" w:cs="Arial"/>
        </w:rPr>
      </w:pPr>
      <w:r>
        <w:rPr>
          <w:noProof/>
          <w:lang w:val="es-MX" w:eastAsia="es-MX"/>
        </w:rPr>
        <w:lastRenderedPageBreak/>
        <w:drawing>
          <wp:inline distT="0" distB="0" distL="0" distR="0" wp14:anchorId="315A836E" wp14:editId="407B6912">
            <wp:extent cx="5728335" cy="7389198"/>
            <wp:effectExtent l="0" t="0" r="571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773" t="13952" r="36483" b="19048"/>
                    <a:stretch/>
                  </pic:blipFill>
                  <pic:spPr bwMode="auto">
                    <a:xfrm>
                      <a:off x="0" y="0"/>
                      <a:ext cx="5778448" cy="7453841"/>
                    </a:xfrm>
                    <a:prstGeom prst="rect">
                      <a:avLst/>
                    </a:prstGeom>
                    <a:ln>
                      <a:noFill/>
                    </a:ln>
                    <a:extLst>
                      <a:ext uri="{53640926-AAD7-44D8-BBD7-CCE9431645EC}">
                        <a14:shadowObscured xmlns:a14="http://schemas.microsoft.com/office/drawing/2010/main"/>
                      </a:ext>
                    </a:extLst>
                  </pic:spPr>
                </pic:pic>
              </a:graphicData>
            </a:graphic>
          </wp:inline>
        </w:drawing>
      </w:r>
    </w:p>
    <w:p w:rsidR="00696EA0" w:rsidRDefault="00696EA0" w:rsidP="00463390">
      <w:pPr>
        <w:spacing w:line="360" w:lineRule="auto"/>
        <w:jc w:val="both"/>
        <w:rPr>
          <w:rFonts w:ascii="Palatino Linotype" w:hAnsi="Palatino Linotype" w:cs="Arial"/>
        </w:rPr>
      </w:pPr>
      <w:r>
        <w:rPr>
          <w:noProof/>
          <w:lang w:val="es-MX" w:eastAsia="es-MX"/>
        </w:rPr>
        <w:lastRenderedPageBreak/>
        <w:drawing>
          <wp:inline distT="0" distB="0" distL="0" distR="0" wp14:anchorId="3F43BB38" wp14:editId="3C92AAAA">
            <wp:extent cx="5711825" cy="7500194"/>
            <wp:effectExtent l="0" t="0" r="317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948" t="15573" r="33648" b="8813"/>
                    <a:stretch/>
                  </pic:blipFill>
                  <pic:spPr bwMode="auto">
                    <a:xfrm>
                      <a:off x="0" y="0"/>
                      <a:ext cx="5776825" cy="7585545"/>
                    </a:xfrm>
                    <a:prstGeom prst="rect">
                      <a:avLst/>
                    </a:prstGeom>
                    <a:ln>
                      <a:noFill/>
                    </a:ln>
                    <a:extLst>
                      <a:ext uri="{53640926-AAD7-44D8-BBD7-CCE9431645EC}">
                        <a14:shadowObscured xmlns:a14="http://schemas.microsoft.com/office/drawing/2010/main"/>
                      </a:ext>
                    </a:extLst>
                  </pic:spPr>
                </pic:pic>
              </a:graphicData>
            </a:graphic>
          </wp:inline>
        </w:drawing>
      </w:r>
    </w:p>
    <w:p w:rsidR="0012305F" w:rsidRDefault="00696EA0" w:rsidP="00463390">
      <w:pPr>
        <w:spacing w:line="360" w:lineRule="auto"/>
        <w:jc w:val="both"/>
        <w:rPr>
          <w:rFonts w:ascii="Palatino Linotype" w:hAnsi="Palatino Linotype" w:cs="Arial"/>
        </w:rPr>
      </w:pPr>
      <w:r>
        <w:rPr>
          <w:noProof/>
          <w:lang w:val="es-MX" w:eastAsia="es-MX"/>
        </w:rPr>
        <w:lastRenderedPageBreak/>
        <w:drawing>
          <wp:inline distT="0" distB="0" distL="0" distR="0" wp14:anchorId="7E2DDBB7" wp14:editId="0860C7C7">
            <wp:extent cx="5738495" cy="74314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92" t="14438" r="33654" b="9476"/>
                    <a:stretch/>
                  </pic:blipFill>
                  <pic:spPr bwMode="auto">
                    <a:xfrm>
                      <a:off x="0" y="0"/>
                      <a:ext cx="5774946" cy="7478686"/>
                    </a:xfrm>
                    <a:prstGeom prst="rect">
                      <a:avLst/>
                    </a:prstGeom>
                    <a:ln>
                      <a:noFill/>
                    </a:ln>
                    <a:extLst>
                      <a:ext uri="{53640926-AAD7-44D8-BBD7-CCE9431645EC}">
                        <a14:shadowObscured xmlns:a14="http://schemas.microsoft.com/office/drawing/2010/main"/>
                      </a:ext>
                    </a:extLst>
                  </pic:spPr>
                </pic:pic>
              </a:graphicData>
            </a:graphic>
          </wp:inline>
        </w:drawing>
      </w:r>
    </w:p>
    <w:p w:rsidR="00696EA0" w:rsidRDefault="00696EA0" w:rsidP="00463390">
      <w:pPr>
        <w:spacing w:line="360" w:lineRule="auto"/>
        <w:jc w:val="both"/>
        <w:rPr>
          <w:rFonts w:ascii="Palatino Linotype" w:hAnsi="Palatino Linotype" w:cs="Arial"/>
        </w:rPr>
      </w:pPr>
      <w:r>
        <w:rPr>
          <w:noProof/>
          <w:lang w:val="es-MX" w:eastAsia="es-MX"/>
        </w:rPr>
        <w:lastRenderedPageBreak/>
        <w:drawing>
          <wp:inline distT="0" distB="0" distL="0" distR="0" wp14:anchorId="19FB156C" wp14:editId="198CF9F1">
            <wp:extent cx="5738495" cy="7442053"/>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944" t="10868" r="33562" b="10934"/>
                    <a:stretch/>
                  </pic:blipFill>
                  <pic:spPr bwMode="auto">
                    <a:xfrm>
                      <a:off x="0" y="0"/>
                      <a:ext cx="5800093" cy="7521937"/>
                    </a:xfrm>
                    <a:prstGeom prst="rect">
                      <a:avLst/>
                    </a:prstGeom>
                    <a:ln>
                      <a:noFill/>
                    </a:ln>
                    <a:extLst>
                      <a:ext uri="{53640926-AAD7-44D8-BBD7-CCE9431645EC}">
                        <a14:shadowObscured xmlns:a14="http://schemas.microsoft.com/office/drawing/2010/main"/>
                      </a:ext>
                    </a:extLst>
                  </pic:spPr>
                </pic:pic>
              </a:graphicData>
            </a:graphic>
          </wp:inline>
        </w:drawing>
      </w:r>
    </w:p>
    <w:p w:rsidR="00ED28B3" w:rsidRPr="00ED28B3" w:rsidRDefault="00ED28B3" w:rsidP="006819A8">
      <w:pPr>
        <w:spacing w:line="360" w:lineRule="auto"/>
        <w:jc w:val="both"/>
        <w:rPr>
          <w:rFonts w:ascii="Palatino Linotype" w:hAnsi="Palatino Linotype" w:cs="Arial"/>
          <w:sz w:val="18"/>
          <w:szCs w:val="18"/>
        </w:rPr>
      </w:pPr>
    </w:p>
    <w:p w:rsidR="00112882" w:rsidRDefault="009C3D1B" w:rsidP="006819A8">
      <w:pPr>
        <w:spacing w:line="360" w:lineRule="auto"/>
        <w:jc w:val="both"/>
        <w:rPr>
          <w:rFonts w:ascii="Palatino Linotype" w:hAnsi="Palatino Linotype" w:cs="Arial"/>
          <w:b/>
        </w:rPr>
      </w:pPr>
      <w:r>
        <w:rPr>
          <w:rFonts w:ascii="Palatino Linotype" w:hAnsi="Palatino Linotype" w:cs="Arial"/>
        </w:rPr>
        <w:t>De lo anterior</w:t>
      </w:r>
      <w:r w:rsidR="005A354D">
        <w:rPr>
          <w:rFonts w:ascii="Palatino Linotype" w:hAnsi="Palatino Linotype" w:cs="Arial"/>
        </w:rPr>
        <w:t xml:space="preserve">, </w:t>
      </w:r>
      <w:r w:rsidR="0012305F">
        <w:rPr>
          <w:rFonts w:ascii="Palatino Linotype" w:hAnsi="Palatino Linotype" w:cs="Arial"/>
          <w:b/>
        </w:rPr>
        <w:t>LA</w:t>
      </w:r>
      <w:r w:rsidR="00CC5DA2" w:rsidRPr="00CC5DA2">
        <w:rPr>
          <w:rFonts w:ascii="Palatino Linotype" w:hAnsi="Palatino Linotype" w:cs="Arial"/>
          <w:b/>
        </w:rPr>
        <w:t xml:space="preserve"> RECURRENTE</w:t>
      </w:r>
      <w:r w:rsidR="006854D9">
        <w:rPr>
          <w:rFonts w:ascii="Palatino Linotype" w:hAnsi="Palatino Linotype" w:cs="Arial"/>
        </w:rPr>
        <w:t xml:space="preserve"> </w:t>
      </w:r>
      <w:r w:rsidR="00DF32E7">
        <w:rPr>
          <w:rFonts w:ascii="Palatino Linotype" w:hAnsi="Palatino Linotype" w:cs="Arial"/>
        </w:rPr>
        <w:t xml:space="preserve">interpuso </w:t>
      </w:r>
      <w:r w:rsidR="00170556">
        <w:rPr>
          <w:rFonts w:ascii="Palatino Linotype" w:hAnsi="Palatino Linotype" w:cs="Arial"/>
        </w:rPr>
        <w:t>el</w:t>
      </w:r>
      <w:r w:rsidR="006854D9">
        <w:rPr>
          <w:rFonts w:ascii="Palatino Linotype" w:hAnsi="Palatino Linotype" w:cs="Arial"/>
        </w:rPr>
        <w:t xml:space="preserve"> </w:t>
      </w:r>
      <w:r w:rsidR="00DF6505">
        <w:rPr>
          <w:rFonts w:ascii="Palatino Linotype" w:hAnsi="Palatino Linotype" w:cs="Arial"/>
        </w:rPr>
        <w:t>r</w:t>
      </w:r>
      <w:r w:rsidR="006854D9">
        <w:rPr>
          <w:rFonts w:ascii="Palatino Linotype" w:hAnsi="Palatino Linotype" w:cs="Arial"/>
        </w:rPr>
        <w:t>ecurso d</w:t>
      </w:r>
      <w:r w:rsidR="00F41505">
        <w:rPr>
          <w:rFonts w:ascii="Palatino Linotype" w:hAnsi="Palatino Linotype" w:cs="Arial"/>
        </w:rPr>
        <w:t>e</w:t>
      </w:r>
      <w:r w:rsidR="00361698">
        <w:rPr>
          <w:rFonts w:ascii="Palatino Linotype" w:hAnsi="Palatino Linotype" w:cs="Arial"/>
        </w:rPr>
        <w:t xml:space="preserve"> </w:t>
      </w:r>
      <w:r w:rsidR="00DF6505">
        <w:rPr>
          <w:rFonts w:ascii="Palatino Linotype" w:hAnsi="Palatino Linotype" w:cs="Arial"/>
        </w:rPr>
        <w:t>r</w:t>
      </w:r>
      <w:r w:rsidR="00361698">
        <w:rPr>
          <w:rFonts w:ascii="Palatino Linotype" w:hAnsi="Palatino Linotype" w:cs="Arial"/>
        </w:rPr>
        <w:t>evisión que nos ocupa</w:t>
      </w:r>
      <w:r w:rsidR="001E6358">
        <w:rPr>
          <w:rFonts w:ascii="Palatino Linotype" w:hAnsi="Palatino Linotype" w:cs="Arial"/>
        </w:rPr>
        <w:t>,</w:t>
      </w:r>
      <w:r w:rsidR="00DF32E7">
        <w:rPr>
          <w:rFonts w:ascii="Palatino Linotype" w:hAnsi="Palatino Linotype" w:cs="Arial"/>
        </w:rPr>
        <w:t xml:space="preserve"> en </w:t>
      </w:r>
      <w:r w:rsidR="00EC0712">
        <w:rPr>
          <w:rFonts w:ascii="Palatino Linotype" w:hAnsi="Palatino Linotype" w:cs="Arial"/>
        </w:rPr>
        <w:t>el</w:t>
      </w:r>
      <w:r w:rsidR="00DF32E7">
        <w:rPr>
          <w:rFonts w:ascii="Palatino Linotype" w:hAnsi="Palatino Linotype" w:cs="Arial"/>
        </w:rPr>
        <w:t xml:space="preserve"> que </w:t>
      </w:r>
      <w:r w:rsidR="00361698">
        <w:rPr>
          <w:rFonts w:ascii="Palatino Linotype" w:hAnsi="Palatino Linotype" w:cs="Arial"/>
        </w:rPr>
        <w:t>se in</w:t>
      </w:r>
      <w:r w:rsidR="00DF6505">
        <w:rPr>
          <w:rFonts w:ascii="Palatino Linotype" w:hAnsi="Palatino Linotype" w:cs="Arial"/>
        </w:rPr>
        <w:t>con</w:t>
      </w:r>
      <w:r w:rsidR="00BF3F7B">
        <w:rPr>
          <w:rFonts w:ascii="Palatino Linotype" w:hAnsi="Palatino Linotype" w:cs="Arial"/>
        </w:rPr>
        <w:t xml:space="preserve">formó de </w:t>
      </w:r>
      <w:r w:rsidR="00BA6D81">
        <w:rPr>
          <w:rFonts w:ascii="Palatino Linotype" w:hAnsi="Palatino Linotype" w:cs="Arial"/>
        </w:rPr>
        <w:t>la respuesta</w:t>
      </w:r>
      <w:r w:rsidR="00953338">
        <w:rPr>
          <w:rFonts w:ascii="Palatino Linotype" w:hAnsi="Palatino Linotype" w:cs="Arial"/>
        </w:rPr>
        <w:t xml:space="preserve"> </w:t>
      </w:r>
      <w:r w:rsidR="00B6069B">
        <w:rPr>
          <w:rFonts w:ascii="Palatino Linotype" w:hAnsi="Palatino Linotype" w:cs="Arial"/>
        </w:rPr>
        <w:t>y expresó</w:t>
      </w:r>
      <w:r w:rsidR="007D1195">
        <w:rPr>
          <w:rFonts w:ascii="Palatino Linotype" w:hAnsi="Palatino Linotype" w:cs="Arial"/>
        </w:rPr>
        <w:t xml:space="preserve"> como razones y motivos de inconformidad </w:t>
      </w:r>
      <w:r w:rsidR="00696EA0">
        <w:rPr>
          <w:rFonts w:ascii="Palatino Linotype" w:hAnsi="Palatino Linotype" w:cs="Arial"/>
        </w:rPr>
        <w:t xml:space="preserve">la clasificación de la información </w:t>
      </w:r>
      <w:r w:rsidR="00854C55">
        <w:rPr>
          <w:rFonts w:ascii="Palatino Linotype" w:hAnsi="Palatino Linotype" w:cs="Arial"/>
        </w:rPr>
        <w:t>ya que señala que los nombre</w:t>
      </w:r>
      <w:r w:rsidR="00696EA0">
        <w:rPr>
          <w:rFonts w:ascii="Palatino Linotype" w:hAnsi="Palatino Linotype" w:cs="Arial"/>
        </w:rPr>
        <w:t>s</w:t>
      </w:r>
      <w:r w:rsidR="00854C55">
        <w:rPr>
          <w:rFonts w:ascii="Palatino Linotype" w:hAnsi="Palatino Linotype" w:cs="Arial"/>
        </w:rPr>
        <w:t xml:space="preserve"> </w:t>
      </w:r>
      <w:r w:rsidR="00696EA0">
        <w:rPr>
          <w:rFonts w:ascii="Palatino Linotype" w:hAnsi="Palatino Linotype" w:cs="Arial"/>
        </w:rPr>
        <w:t xml:space="preserve">y los sueldos de los servidores públicos adscritos al </w:t>
      </w:r>
      <w:r w:rsidR="00696EA0" w:rsidRPr="00696EA0">
        <w:rPr>
          <w:rFonts w:ascii="Palatino Linotype" w:hAnsi="Palatino Linotype" w:cs="Arial"/>
          <w:b/>
        </w:rPr>
        <w:t>SUJETO OBLIGADO</w:t>
      </w:r>
      <w:r w:rsidR="00696EA0">
        <w:rPr>
          <w:rFonts w:ascii="Palatino Linotype" w:hAnsi="Palatino Linotype" w:cs="Arial"/>
        </w:rPr>
        <w:t xml:space="preserve"> es información pública de conformidad con lo que dispone la Ley de la materia</w:t>
      </w:r>
      <w:r w:rsidR="0012305F">
        <w:rPr>
          <w:rFonts w:ascii="Palatino Linotype" w:hAnsi="Palatino Linotype" w:cs="Arial"/>
        </w:rPr>
        <w:t>.</w:t>
      </w:r>
    </w:p>
    <w:p w:rsidR="00E87227" w:rsidRDefault="00091A6D" w:rsidP="007D1195">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rPr>
        <w:t>En atención a lo expuesto</w:t>
      </w:r>
      <w:r w:rsidR="007D1195" w:rsidRPr="00CA7D42">
        <w:rPr>
          <w:rFonts w:ascii="Palatino Linotype" w:hAnsi="Palatino Linotype" w:cs="Arial"/>
        </w:rPr>
        <w:t xml:space="preserve"> y de las constancias que obran en </w:t>
      </w:r>
      <w:r w:rsidR="00170556">
        <w:rPr>
          <w:rFonts w:ascii="Palatino Linotype" w:hAnsi="Palatino Linotype" w:cs="Arial"/>
        </w:rPr>
        <w:t>el</w:t>
      </w:r>
      <w:r w:rsidR="007D1195" w:rsidRPr="00CA7D42">
        <w:rPr>
          <w:rFonts w:ascii="Palatino Linotype" w:hAnsi="Palatino Linotype" w:cs="Arial"/>
        </w:rPr>
        <w:t xml:space="preserve"> expediente electrónico del </w:t>
      </w:r>
      <w:r w:rsidR="007D1195" w:rsidRPr="00CA7D42">
        <w:rPr>
          <w:rFonts w:ascii="Palatino Linotype" w:hAnsi="Palatino Linotype" w:cs="Arial"/>
          <w:b/>
        </w:rPr>
        <w:t>SAIMEX</w:t>
      </w:r>
      <w:r w:rsidR="007D1195" w:rsidRPr="00CA7D42">
        <w:rPr>
          <w:rFonts w:ascii="Palatino Linotype" w:hAnsi="Palatino Linotype" w:cs="Arial"/>
        </w:rPr>
        <w:t xml:space="preserve">, se advierte que </w:t>
      </w:r>
      <w:r w:rsidR="0012305F">
        <w:rPr>
          <w:rFonts w:ascii="Palatino Linotype" w:hAnsi="Palatino Linotype" w:cs="Arial"/>
          <w:b/>
          <w:lang w:val="es-ES_tradnl"/>
        </w:rPr>
        <w:t>LA</w:t>
      </w:r>
      <w:r w:rsidR="007D1195" w:rsidRPr="00CA7D42">
        <w:rPr>
          <w:rFonts w:ascii="Palatino Linotype" w:hAnsi="Palatino Linotype" w:cs="Arial"/>
          <w:b/>
          <w:lang w:val="es-ES_tradnl"/>
        </w:rPr>
        <w:t xml:space="preserve"> RECURRENTE </w:t>
      </w:r>
      <w:r w:rsidR="007D1195" w:rsidRPr="00CA7D42">
        <w:rPr>
          <w:rFonts w:ascii="Palatino Linotype" w:hAnsi="Palatino Linotype" w:cs="Arial"/>
          <w:lang w:val="es-ES_tradnl"/>
        </w:rPr>
        <w:t>fue omis</w:t>
      </w:r>
      <w:r w:rsidR="00000C58">
        <w:rPr>
          <w:rFonts w:ascii="Palatino Linotype" w:hAnsi="Palatino Linotype" w:cs="Arial"/>
          <w:lang w:val="es-ES_tradnl"/>
        </w:rPr>
        <w:t>a</w:t>
      </w:r>
      <w:r w:rsidR="007D1195" w:rsidRPr="00CA7D42">
        <w:rPr>
          <w:rFonts w:ascii="Palatino Linotype" w:hAnsi="Palatino Linotype" w:cs="Arial"/>
          <w:lang w:val="es-ES_tradnl"/>
        </w:rPr>
        <w:t xml:space="preserve"> en realizar manifestaciones o presentar pruebas que a su derecho conviniera</w:t>
      </w:r>
      <w:r w:rsidR="007D1195">
        <w:rPr>
          <w:rFonts w:ascii="Palatino Linotype" w:hAnsi="Palatino Linotype" w:cs="Arial"/>
          <w:lang w:val="es-ES_tradnl"/>
        </w:rPr>
        <w:t>n</w:t>
      </w:r>
      <w:r w:rsidR="007D1195" w:rsidRPr="00CA7D42">
        <w:rPr>
          <w:rFonts w:ascii="Palatino Linotype" w:hAnsi="Palatino Linotype" w:cs="Arial"/>
          <w:lang w:val="es-ES_tradnl"/>
        </w:rPr>
        <w:t xml:space="preserve">, </w:t>
      </w:r>
      <w:r w:rsidR="00170556">
        <w:rPr>
          <w:rFonts w:ascii="Palatino Linotype" w:hAnsi="Palatino Linotype" w:cs="Arial"/>
          <w:lang w:val="es-ES_tradnl"/>
        </w:rPr>
        <w:t>por su parte</w:t>
      </w:r>
      <w:r w:rsidR="007D1195" w:rsidRPr="00CA7D42">
        <w:rPr>
          <w:rFonts w:ascii="Palatino Linotype" w:hAnsi="Palatino Linotype" w:cs="Arial"/>
          <w:lang w:val="es-ES_tradnl"/>
        </w:rPr>
        <w:t xml:space="preserve"> </w:t>
      </w:r>
      <w:r w:rsidR="007D1195" w:rsidRPr="00CA7D42">
        <w:rPr>
          <w:rFonts w:ascii="Palatino Linotype" w:hAnsi="Palatino Linotype" w:cs="Arial"/>
          <w:b/>
          <w:lang w:val="es-ES_tradnl"/>
        </w:rPr>
        <w:t>EL SUJETO OBLIGADO</w:t>
      </w:r>
      <w:r w:rsidR="007D1195" w:rsidRPr="00CA7D42">
        <w:rPr>
          <w:rFonts w:ascii="Palatino Linotype" w:hAnsi="Palatino Linotype" w:cs="Arial"/>
          <w:lang w:val="es-ES_tradnl"/>
        </w:rPr>
        <w:t xml:space="preserve"> </w:t>
      </w:r>
      <w:r w:rsidR="00417C85">
        <w:rPr>
          <w:rFonts w:ascii="Palatino Linotype" w:hAnsi="Palatino Linotype" w:cs="Arial"/>
          <w:lang w:val="es-ES_tradnl"/>
        </w:rPr>
        <w:t>presentó</w:t>
      </w:r>
      <w:r w:rsidR="001362F2">
        <w:rPr>
          <w:rFonts w:ascii="Palatino Linotype" w:hAnsi="Palatino Linotype" w:cs="Arial"/>
          <w:lang w:val="es-ES_tradnl"/>
        </w:rPr>
        <w:t xml:space="preserve"> el</w:t>
      </w:r>
      <w:r w:rsidR="001362F2" w:rsidRPr="00CA7D42">
        <w:rPr>
          <w:rFonts w:ascii="Palatino Linotype" w:hAnsi="Palatino Linotype" w:cs="Arial"/>
          <w:lang w:val="es-ES_tradnl"/>
        </w:rPr>
        <w:t xml:space="preserve"> Info</w:t>
      </w:r>
      <w:r w:rsidR="001362F2">
        <w:rPr>
          <w:rFonts w:ascii="Palatino Linotype" w:hAnsi="Palatino Linotype" w:cs="Arial"/>
          <w:lang w:val="es-ES_tradnl"/>
        </w:rPr>
        <w:t xml:space="preserve">rme Justificado </w:t>
      </w:r>
      <w:r w:rsidR="00DD609B">
        <w:rPr>
          <w:rFonts w:ascii="Palatino Linotype" w:hAnsi="Palatino Linotype" w:cs="Arial"/>
          <w:lang w:val="es-ES_tradnl"/>
        </w:rPr>
        <w:t>en el plazo que le confiere la L</w:t>
      </w:r>
      <w:r w:rsidR="007D1195" w:rsidRPr="00CA7D42">
        <w:rPr>
          <w:rFonts w:ascii="Palatino Linotype" w:hAnsi="Palatino Linotype" w:cs="Arial"/>
          <w:lang w:val="es-ES_tradnl"/>
        </w:rPr>
        <w:t>ey</w:t>
      </w:r>
      <w:r w:rsidR="00DD609B">
        <w:rPr>
          <w:rFonts w:ascii="Palatino Linotype" w:hAnsi="Palatino Linotype" w:cs="Arial"/>
          <w:lang w:val="es-ES_tradnl"/>
        </w:rPr>
        <w:t xml:space="preserve"> de la materia</w:t>
      </w:r>
      <w:r w:rsidR="00854C55">
        <w:rPr>
          <w:rFonts w:ascii="Palatino Linotype" w:hAnsi="Palatino Linotype" w:cs="Arial"/>
          <w:lang w:val="es-ES_tradnl"/>
        </w:rPr>
        <w:t>, en el que adjuntó documentación que a su decir refuerza su razonamiento de que la información que le solicitan encuadra en los supuestos de la Ley y por lo tanto debe de protegerse mediante la clasificación de la misma</w:t>
      </w:r>
      <w:r w:rsidR="001362F2">
        <w:rPr>
          <w:rFonts w:ascii="Palatino Linotype" w:hAnsi="Palatino Linotype" w:cs="Arial"/>
          <w:lang w:val="es-ES_tradnl"/>
        </w:rPr>
        <w:t>.</w:t>
      </w:r>
    </w:p>
    <w:p w:rsidR="006060AA" w:rsidRPr="00957E8F" w:rsidRDefault="006060AA" w:rsidP="006060AA">
      <w:pPr>
        <w:spacing w:before="100" w:beforeAutospacing="1" w:after="100" w:afterAutospacing="1" w:line="360" w:lineRule="auto"/>
        <w:jc w:val="both"/>
        <w:rPr>
          <w:rFonts w:ascii="Palatino Linotype" w:hAnsi="Palatino Linotype" w:cs="Arial"/>
          <w:lang w:val="es-ES_tradnl"/>
        </w:rPr>
      </w:pPr>
      <w:r w:rsidRPr="00957E8F">
        <w:rPr>
          <w:rFonts w:ascii="Palatino Linotype" w:hAnsi="Palatino Linotype"/>
        </w:rPr>
        <w:t xml:space="preserve">Primeramente, se precisa que se obvia el análisis de la competencia por parte del </w:t>
      </w:r>
      <w:r w:rsidRPr="00957E8F">
        <w:rPr>
          <w:rFonts w:ascii="Palatino Linotype" w:hAnsi="Palatino Linotype"/>
          <w:b/>
        </w:rPr>
        <w:t>SUJETO OBLIGADO</w:t>
      </w:r>
      <w:r w:rsidRPr="00957E8F">
        <w:rPr>
          <w:rFonts w:ascii="Palatino Linotype" w:hAnsi="Palatino Linotype"/>
        </w:rPr>
        <w:t>, para generar, administrar o poseer la información solicitada, dado que éste ha asumido la misma, en razón de que en su respuesta admitió contar con dicha información</w:t>
      </w:r>
      <w:r>
        <w:rPr>
          <w:rFonts w:ascii="Palatino Linotype" w:hAnsi="Palatino Linotype"/>
        </w:rPr>
        <w:t xml:space="preserve"> al enviar </w:t>
      </w:r>
      <w:r w:rsidR="00854C55">
        <w:rPr>
          <w:rFonts w:ascii="Palatino Linotype" w:hAnsi="Palatino Linotype"/>
        </w:rPr>
        <w:t>el Acta del Comité de Transparencia mediante la cual aprobó la clasificación de la misma</w:t>
      </w:r>
      <w:r w:rsidRPr="00957E8F">
        <w:rPr>
          <w:rFonts w:ascii="Palatino Linotype" w:hAnsi="Palatino Linotype"/>
        </w:rPr>
        <w:t>.</w:t>
      </w:r>
    </w:p>
    <w:p w:rsidR="006060AA" w:rsidRPr="00957E8F" w:rsidRDefault="006060AA" w:rsidP="006060AA">
      <w:pPr>
        <w:spacing w:before="240" w:after="240" w:line="360" w:lineRule="auto"/>
        <w:jc w:val="both"/>
        <w:rPr>
          <w:rFonts w:ascii="Palatino Linotype" w:hAnsi="Palatino Linotype"/>
        </w:rPr>
      </w:pPr>
      <w:r w:rsidRPr="00957E8F">
        <w:rPr>
          <w:rFonts w:ascii="Palatino Linotype" w:hAnsi="Palatino Linotype"/>
        </w:rPr>
        <w:t xml:space="preserve">En efecto, el hecho de que </w:t>
      </w:r>
      <w:r w:rsidRPr="00957E8F">
        <w:rPr>
          <w:rFonts w:ascii="Palatino Linotype" w:hAnsi="Palatino Linotype"/>
          <w:b/>
        </w:rPr>
        <w:t>EL SUJETO OBLIGADO</w:t>
      </w:r>
      <w:r w:rsidRPr="00957E8F">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6060AA" w:rsidRPr="006060AA" w:rsidRDefault="006060AA" w:rsidP="006060AA">
      <w:pPr>
        <w:tabs>
          <w:tab w:val="left" w:pos="851"/>
          <w:tab w:val="left" w:pos="8505"/>
        </w:tabs>
        <w:ind w:left="851" w:right="902"/>
        <w:jc w:val="both"/>
        <w:rPr>
          <w:rFonts w:ascii="Palatino Linotype" w:hAnsi="Palatino Linotype" w:cs="Arial"/>
          <w:i/>
          <w:sz w:val="22"/>
          <w:szCs w:val="22"/>
        </w:rPr>
      </w:pPr>
      <w:r w:rsidRPr="006060AA">
        <w:rPr>
          <w:rFonts w:ascii="Palatino Linotype" w:hAnsi="Palatino Linotype" w:cs="Arial"/>
          <w:i/>
          <w:sz w:val="22"/>
          <w:szCs w:val="22"/>
        </w:rPr>
        <w:lastRenderedPageBreak/>
        <w:t>“</w:t>
      </w:r>
      <w:r w:rsidRPr="006060AA">
        <w:rPr>
          <w:rFonts w:ascii="Palatino Linotype" w:hAnsi="Palatino Linotype" w:cs="Arial"/>
          <w:b/>
          <w:i/>
          <w:sz w:val="22"/>
          <w:szCs w:val="22"/>
        </w:rPr>
        <w:t>Artículo 12.</w:t>
      </w:r>
      <w:r w:rsidRPr="006060A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6060AA" w:rsidRPr="006060AA" w:rsidRDefault="006060AA" w:rsidP="006060AA">
      <w:pPr>
        <w:ind w:left="851" w:right="902"/>
        <w:jc w:val="both"/>
        <w:rPr>
          <w:rFonts w:ascii="Palatino Linotype" w:hAnsi="Palatino Linotype" w:cs="Arial"/>
          <w:i/>
          <w:sz w:val="22"/>
          <w:szCs w:val="22"/>
        </w:rPr>
      </w:pPr>
      <w:r w:rsidRPr="006060AA">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6060AA" w:rsidRPr="004A3CC8" w:rsidRDefault="006060AA" w:rsidP="006060AA">
      <w:pPr>
        <w:spacing w:before="240" w:after="240" w:line="360" w:lineRule="auto"/>
        <w:jc w:val="both"/>
      </w:pPr>
      <w:r w:rsidRPr="004A3CC8">
        <w:rPr>
          <w:rFonts w:ascii="Palatino Linotype" w:hAnsi="Palatino Linotype"/>
        </w:rPr>
        <w:t xml:space="preserve">Así, el estudio de la naturaleza jurídica de la información pública solicitada, tiene por objeto determinar si ésta la genera, posee o administra </w:t>
      </w:r>
      <w:r w:rsidRPr="004A3CC8">
        <w:rPr>
          <w:rFonts w:ascii="Palatino Linotype" w:hAnsi="Palatino Linotype"/>
          <w:b/>
        </w:rPr>
        <w:t>EL SUJETO OBLIGADO</w:t>
      </w:r>
      <w:r w:rsidRPr="004A3CC8">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4A3CC8">
        <w:t xml:space="preserve"> </w:t>
      </w:r>
    </w:p>
    <w:p w:rsidR="006C6807" w:rsidRDefault="003017D7" w:rsidP="007D1195">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Ahora bien, </w:t>
      </w:r>
      <w:r w:rsidR="00DA7B93">
        <w:rPr>
          <w:rFonts w:ascii="Palatino Linotype" w:hAnsi="Palatino Linotype" w:cs="Arial"/>
        </w:rPr>
        <w:t xml:space="preserve">es preciso señalar lo que dispone </w:t>
      </w:r>
      <w:r w:rsidR="006C6807">
        <w:rPr>
          <w:rFonts w:ascii="Palatino Linotype" w:hAnsi="Palatino Linotype" w:cs="Arial"/>
        </w:rPr>
        <w:t xml:space="preserve">el </w:t>
      </w:r>
      <w:r w:rsidR="009A449D">
        <w:rPr>
          <w:rFonts w:ascii="Palatino Linotype" w:hAnsi="Palatino Linotype" w:cs="Arial"/>
        </w:rPr>
        <w:t>Decreto</w:t>
      </w:r>
      <w:r w:rsidR="006C6807">
        <w:rPr>
          <w:rFonts w:ascii="Palatino Linotype" w:hAnsi="Palatino Linotype" w:cs="Arial"/>
        </w:rPr>
        <w:t xml:space="preserve"> de Creación del Centro Estatal de Control de Confianza dispone en su artículo 2:</w:t>
      </w:r>
    </w:p>
    <w:p w:rsidR="006C6807" w:rsidRPr="006C6807" w:rsidRDefault="006C6807" w:rsidP="006C6807">
      <w:pPr>
        <w:spacing w:line="276" w:lineRule="auto"/>
        <w:ind w:left="851" w:right="902"/>
        <w:jc w:val="both"/>
        <w:rPr>
          <w:rFonts w:ascii="Palatino Linotype" w:hAnsi="Palatino Linotype" w:cs="Arial"/>
          <w:i/>
          <w:sz w:val="22"/>
          <w:szCs w:val="22"/>
        </w:rPr>
      </w:pPr>
      <w:r w:rsidRPr="006C6807">
        <w:rPr>
          <w:rFonts w:ascii="Palatino Linotype" w:hAnsi="Palatino Linotype" w:cs="Arial"/>
          <w:b/>
          <w:i/>
          <w:sz w:val="22"/>
          <w:szCs w:val="22"/>
        </w:rPr>
        <w:t>Artículo 2.-</w:t>
      </w:r>
      <w:r w:rsidRPr="006C6807">
        <w:rPr>
          <w:rFonts w:ascii="Palatino Linotype" w:hAnsi="Palatino Linotype" w:cs="Arial"/>
          <w:i/>
          <w:sz w:val="22"/>
          <w:szCs w:val="22"/>
        </w:rPr>
        <w:t xml:space="preserve"> El centro de Control de Confianza del Estado de México tiene por objeto realizar las evaluaciones permanentes, de control de confianza, de desempeño, poligrafía, entorno social y psicológico, así como exámenes toxicológicos al personal de las instituciones policiales de seguridad pública estatal y municipal, de procuración de justicia, así como de los centros de readaptación social dl Estado de México.</w:t>
      </w:r>
    </w:p>
    <w:p w:rsidR="006060AA" w:rsidRDefault="006C6807" w:rsidP="007D1195">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Por su parte, </w:t>
      </w:r>
      <w:r w:rsidR="00DA7B93">
        <w:rPr>
          <w:rFonts w:ascii="Palatino Linotype" w:hAnsi="Palatino Linotype" w:cs="Arial"/>
        </w:rPr>
        <w:t xml:space="preserve">el Reglamento Interior del </w:t>
      </w:r>
      <w:r>
        <w:rPr>
          <w:rFonts w:ascii="Palatino Linotype" w:hAnsi="Palatino Linotype" w:cs="Arial"/>
        </w:rPr>
        <w:t>Centro</w:t>
      </w:r>
      <w:r w:rsidR="00DA7B93">
        <w:rPr>
          <w:rFonts w:ascii="Palatino Linotype" w:hAnsi="Palatino Linotype" w:cs="Arial"/>
        </w:rPr>
        <w:t xml:space="preserve"> Estatal de Control de Confianza del Estado de México que dispone: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b/>
          <w:i/>
          <w:sz w:val="22"/>
          <w:szCs w:val="22"/>
        </w:rPr>
        <w:t>Artículo 12.-</w:t>
      </w:r>
      <w:r w:rsidRPr="00DA7B93">
        <w:rPr>
          <w:rFonts w:ascii="Palatino Linotype" w:hAnsi="Palatino Linotype"/>
          <w:i/>
          <w:sz w:val="22"/>
          <w:szCs w:val="22"/>
        </w:rPr>
        <w:t xml:space="preserve"> Para el estudio, planeación y despacho de los asuntos de su competencia, así como para atender las funciones de control y evaluación que le </w:t>
      </w:r>
      <w:r w:rsidRPr="00DA7B93">
        <w:rPr>
          <w:rFonts w:ascii="Palatino Linotype" w:hAnsi="Palatino Linotype"/>
          <w:i/>
          <w:sz w:val="22"/>
          <w:szCs w:val="22"/>
        </w:rPr>
        <w:lastRenderedPageBreak/>
        <w:t xml:space="preserve">corresponden, el Director General se auxiliará de las unidades administrativas básicas siguientes: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 Dirección de Psicología.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II. Dirección de Poligrafía.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III. Dirección de Análisis Socioeconómico.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IV. Dirección Médica y Toxicológica.</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b/>
          <w:i/>
          <w:sz w:val="22"/>
          <w:szCs w:val="22"/>
        </w:rPr>
        <w:t>Artículo 16.-</w:t>
      </w:r>
      <w:r w:rsidRPr="00DA7B93">
        <w:rPr>
          <w:rFonts w:ascii="Palatino Linotype" w:hAnsi="Palatino Linotype"/>
          <w:i/>
          <w:sz w:val="22"/>
          <w:szCs w:val="22"/>
        </w:rPr>
        <w:t xml:space="preserve"> Corresponden a la </w:t>
      </w:r>
      <w:r w:rsidRPr="00DA7B93">
        <w:rPr>
          <w:rFonts w:ascii="Palatino Linotype" w:hAnsi="Palatino Linotype"/>
          <w:b/>
          <w:i/>
          <w:sz w:val="22"/>
          <w:szCs w:val="22"/>
        </w:rPr>
        <w:t>Dirección de Psicología</w:t>
      </w:r>
      <w:r w:rsidRPr="00DA7B93">
        <w:rPr>
          <w:rFonts w:ascii="Palatino Linotype" w:hAnsi="Palatino Linotype"/>
          <w:i/>
          <w:sz w:val="22"/>
          <w:szCs w:val="22"/>
        </w:rPr>
        <w:t xml:space="preserve"> las atribuciones siguientes: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 Programar, coordinar y aplicar exámenes psicológicos al personal activo y de nuevo ingreso de las Instituciones de Seguridad Pública, en términos de los procedimientos certificados y de la normatividad aplicable.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II. Establecer las condiciones físicas adecuadas de las instalaciones y equipos para la aplicación de los exámenes psicológicos.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III. Informar al Director General acerca de los resultados obtenidos en las evaluaciones psicológicas que lleve a cabo.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IV. Promover la ética, imparcialidad, calidad y profesionalismo de los servidores públicos responsables de aplicar los exámenes psicológicos.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V. Identificar y proponer al Director General el perfil psicológico de las personas que desean ingresar o presten sus servicios en las Intuiciones de Seguridad Pública.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VI. Proponer al Director General normas, políticas, lineamientos e instrumentos que permitan eficientar las evaluaciones psicológicas a su cargo.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VII. Identificar factores de riesgo en la conducta del personal que sea evaluado y, en su caso, proponer acciones preventivas y de atención para solucionar la problemática detectada.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VIII. Integrar, resguardar y sistematizar la información y documentos que se generen con motivo de las evaluaciones psicológicas que realice.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IX. Las demás que le confieren otras disposiciones legales y aquellas que le encomiende el Director General.</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b/>
          <w:i/>
          <w:sz w:val="22"/>
          <w:szCs w:val="22"/>
        </w:rPr>
        <w:t>Artículo 17.-</w:t>
      </w:r>
      <w:r w:rsidRPr="00DA7B93">
        <w:rPr>
          <w:rFonts w:ascii="Palatino Linotype" w:hAnsi="Palatino Linotype"/>
          <w:i/>
          <w:sz w:val="22"/>
          <w:szCs w:val="22"/>
        </w:rPr>
        <w:t xml:space="preserve"> Corresponden a la </w:t>
      </w:r>
      <w:r w:rsidRPr="00DA7B93">
        <w:rPr>
          <w:rFonts w:ascii="Palatino Linotype" w:hAnsi="Palatino Linotype"/>
          <w:b/>
          <w:i/>
          <w:sz w:val="22"/>
          <w:szCs w:val="22"/>
        </w:rPr>
        <w:t>Dirección de Poligrafía</w:t>
      </w:r>
      <w:r w:rsidRPr="00DA7B93">
        <w:rPr>
          <w:rFonts w:ascii="Palatino Linotype" w:hAnsi="Palatino Linotype"/>
          <w:i/>
          <w:sz w:val="22"/>
          <w:szCs w:val="22"/>
        </w:rPr>
        <w:t xml:space="preserve"> las atribuciones siguientes: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I. Programar, coordinar y aplicar pruebas poligráficas al personal activo y de nuevo ingreso de las Instituciones de Seguridad Pública, en términos de los procedimientos certificados y de la normatividad aplicable.</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II. Establecer las condiciones físicas adecuadas de las instalaciones y equipos para la aplicación de la evaluación poligráfica.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lastRenderedPageBreak/>
        <w:t xml:space="preserve">III. Informar al Director General acerca de los resultados obtenidos en las evaluaciones poligráficas que lleve a cabo.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IV. Brindar la atención necesaria a las personas durante las evaluaciones poligráficas.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V. Promover la ética, imparcialidad, calidad y profesionalismo de los servidores públicos responsables de realizar las evaluaciones poligráficas.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VI. Proponer al Director General normas, políticas, lineamientos e instrumentos que permitan eficientar las evaluaciones poligráficas a su cargo.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VII. Identificar en las pruebas poligráficas que lleve a cabo, factores de riesgo en la conducta de las personas que pudieran interferir en el cumplimiento de sus funciones y del objeto de la institución y del Centro y, en su caso, proponer acciones para su prevención y atención.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VIII. Integrar, resguardar y sistematizar la información y documentos que se generen con motivo de las evaluaciones poligráficas que realice.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IX. Las demás que le confieren otras disposiciones legales y aquellas que le encomiende el Director General.</w:t>
      </w:r>
    </w:p>
    <w:p w:rsidR="006C6807" w:rsidRDefault="00DA7B93" w:rsidP="00DA7B93">
      <w:pPr>
        <w:spacing w:line="276" w:lineRule="auto"/>
        <w:ind w:left="851" w:right="902"/>
        <w:jc w:val="both"/>
        <w:rPr>
          <w:rFonts w:ascii="Palatino Linotype" w:hAnsi="Palatino Linotype"/>
          <w:i/>
          <w:sz w:val="22"/>
          <w:szCs w:val="22"/>
        </w:rPr>
      </w:pPr>
      <w:r w:rsidRPr="006C6807">
        <w:rPr>
          <w:rFonts w:ascii="Palatino Linotype" w:hAnsi="Palatino Linotype"/>
          <w:b/>
          <w:i/>
          <w:sz w:val="22"/>
          <w:szCs w:val="22"/>
        </w:rPr>
        <w:t>Artículo 18.-</w:t>
      </w:r>
      <w:r w:rsidRPr="00DA7B93">
        <w:rPr>
          <w:rFonts w:ascii="Palatino Linotype" w:hAnsi="Palatino Linotype"/>
          <w:i/>
          <w:sz w:val="22"/>
          <w:szCs w:val="22"/>
        </w:rPr>
        <w:t xml:space="preserve"> Corresponden a la </w:t>
      </w:r>
      <w:r w:rsidRPr="006C6807">
        <w:rPr>
          <w:rFonts w:ascii="Palatino Linotype" w:hAnsi="Palatino Linotype"/>
          <w:b/>
          <w:i/>
          <w:sz w:val="22"/>
          <w:szCs w:val="22"/>
        </w:rPr>
        <w:t>Dirección de Análisis Socioeconómico</w:t>
      </w:r>
      <w:r w:rsidRPr="00DA7B93">
        <w:rPr>
          <w:rFonts w:ascii="Palatino Linotype" w:hAnsi="Palatino Linotype"/>
          <w:i/>
          <w:sz w:val="22"/>
          <w:szCs w:val="22"/>
        </w:rPr>
        <w:t xml:space="preserve"> las atribuciones siguientes: </w:t>
      </w:r>
    </w:p>
    <w:p w:rsidR="006C6807"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 Programar, coordinar y realizar evaluaciones del entorno socioeconómico al personal activo y de nuevo ingreso de las Instituciones de Seguridad Pública, en términos de los procedimientos certificados y de la normatividad aplicable. </w:t>
      </w:r>
    </w:p>
    <w:p w:rsidR="006C6807"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II. Informar al Director General acerca de los resultados obtenidos en las evaluaciones realizadas del entorno socioeconómico del personal activo y de nuevo ingreso de las Instituciones de Seguridad Pública. </w:t>
      </w:r>
    </w:p>
    <w:p w:rsidR="006C6807"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III. Verificar, previa realización de las evaluaciones del entorno socioeconómico, que el personal sujeto a evaluación no cuente con antecedentes penales. </w:t>
      </w:r>
    </w:p>
    <w:p w:rsidR="006C6807"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IV. Promover la ética, imparcialidad, calidad y profesionalismo de los servidores públicos responsables de realizar las evaluaciones del entorno socioeconómico. </w:t>
      </w:r>
    </w:p>
    <w:p w:rsidR="006C6807"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V. Proponer al Director General normas, políticas, lineamientos e instrumentos que permitan eficientar las evaluaciones del entorno socioeconómico a su cargo. </w:t>
      </w:r>
    </w:p>
    <w:p w:rsidR="006C6807"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VI. Identificar en las evaluaciones que lleve a cabo, factores de riesgo de carácter socioeconómico que pudieran interferir en la ejecución de las funciones del personal evaluado y del Centro. </w:t>
      </w:r>
    </w:p>
    <w:p w:rsidR="006C6807"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VII. Integrar, resguardar y sistematizar la información y documentos que se generen con motivo de las evaluaciones del entorno socioeconómico que realice. </w:t>
      </w:r>
    </w:p>
    <w:p w:rsidR="006C6807"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lastRenderedPageBreak/>
        <w:t xml:space="preserve">VIII. Realizar visitas a los domicilios del personal a evaluar, a fin de constatar la veracidad de la información registrada en las evaluaciones de su entorno socioeconómico. </w:t>
      </w:r>
    </w:p>
    <w:p w:rsidR="006C6807"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IX. Las demás que le confieren otras disposiciones legales y aquellas que le encomiende el Director General. </w:t>
      </w:r>
    </w:p>
    <w:p w:rsidR="006C6807" w:rsidRDefault="00DA7B93" w:rsidP="00DA7B93">
      <w:pPr>
        <w:spacing w:line="276" w:lineRule="auto"/>
        <w:ind w:left="851" w:right="902"/>
        <w:jc w:val="both"/>
        <w:rPr>
          <w:rFonts w:ascii="Palatino Linotype" w:hAnsi="Palatino Linotype"/>
          <w:i/>
          <w:sz w:val="22"/>
          <w:szCs w:val="22"/>
        </w:rPr>
      </w:pPr>
      <w:r w:rsidRPr="006C6807">
        <w:rPr>
          <w:rFonts w:ascii="Palatino Linotype" w:hAnsi="Palatino Linotype"/>
          <w:b/>
          <w:i/>
          <w:sz w:val="22"/>
          <w:szCs w:val="22"/>
        </w:rPr>
        <w:t>Artículo 19.-</w:t>
      </w:r>
      <w:r w:rsidRPr="00DA7B93">
        <w:rPr>
          <w:rFonts w:ascii="Palatino Linotype" w:hAnsi="Palatino Linotype"/>
          <w:i/>
          <w:sz w:val="22"/>
          <w:szCs w:val="22"/>
        </w:rPr>
        <w:t xml:space="preserve"> Corresponden a la </w:t>
      </w:r>
      <w:r w:rsidRPr="006C6807">
        <w:rPr>
          <w:rFonts w:ascii="Palatino Linotype" w:hAnsi="Palatino Linotype"/>
          <w:b/>
          <w:i/>
          <w:sz w:val="22"/>
          <w:szCs w:val="22"/>
        </w:rPr>
        <w:t>Dirección Médica y Toxicológica</w:t>
      </w:r>
      <w:r w:rsidRPr="00DA7B93">
        <w:rPr>
          <w:rFonts w:ascii="Palatino Linotype" w:hAnsi="Palatino Linotype"/>
          <w:i/>
          <w:sz w:val="22"/>
          <w:szCs w:val="22"/>
        </w:rPr>
        <w:t xml:space="preserve"> las atribuciones siguientes: </w:t>
      </w:r>
    </w:p>
    <w:p w:rsidR="006C6807"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 Programar y coordinar la realización de evaluaciones médicas y toxicológicas al personal activo y de nuevo ingreso de las Instituciones de Seguridad Pública, en términos de los procedimientos certificados y de la normatividad aplicable. </w:t>
      </w:r>
    </w:p>
    <w:p w:rsidR="006C6807"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II. Realizar directamente o, a través de la contratación de terceros que cumplan con las normas establecidas, evaluaciones médicas y toxicológicas, que permitan detectar el consumo de sustancias prohibidas por parte del personal sujeto a estas evaluaciones. </w:t>
      </w:r>
    </w:p>
    <w:p w:rsidR="006C6807"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III. Verificar que las instituciones privadas que participen en los procesos de evaluación médica y toxicológica, se encuentren certificadas por la instancia correspondiente. </w:t>
      </w:r>
    </w:p>
    <w:p w:rsidR="006C6807"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IV. Establecer las condiciones físicas adecuadas para la aplicación de los exámenes médicos y toxicológicos que realice directamente. </w:t>
      </w:r>
    </w:p>
    <w:p w:rsidR="006C6807"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 xml:space="preserve">V. Identificar y proponer al Director General los perfiles médicos y toxicológicos del personal que desea ingresar en las Instituciones de Seguridad Pública. </w:t>
      </w:r>
    </w:p>
    <w:p w:rsidR="00DA7B93" w:rsidRDefault="00DA7B93" w:rsidP="00DA7B93">
      <w:pPr>
        <w:spacing w:line="276" w:lineRule="auto"/>
        <w:ind w:left="851" w:right="902"/>
        <w:jc w:val="both"/>
        <w:rPr>
          <w:rFonts w:ascii="Palatino Linotype" w:hAnsi="Palatino Linotype"/>
          <w:i/>
          <w:sz w:val="22"/>
          <w:szCs w:val="22"/>
        </w:rPr>
      </w:pPr>
      <w:r w:rsidRPr="00DA7B93">
        <w:rPr>
          <w:rFonts w:ascii="Palatino Linotype" w:hAnsi="Palatino Linotype"/>
          <w:i/>
          <w:sz w:val="22"/>
          <w:szCs w:val="22"/>
        </w:rPr>
        <w:t>VI. Informar al Director General acerca de los resultados obtenidos en las evaluaciones médicas y toxicológicas que lleve a cabo.</w:t>
      </w:r>
    </w:p>
    <w:p w:rsidR="006C6807" w:rsidRDefault="006C6807" w:rsidP="00DA7B93">
      <w:pPr>
        <w:spacing w:line="276" w:lineRule="auto"/>
        <w:ind w:left="851" w:right="902"/>
        <w:jc w:val="both"/>
        <w:rPr>
          <w:rFonts w:ascii="Palatino Linotype" w:hAnsi="Palatino Linotype"/>
          <w:i/>
          <w:sz w:val="22"/>
          <w:szCs w:val="22"/>
        </w:rPr>
      </w:pPr>
      <w:r w:rsidRPr="006C6807">
        <w:rPr>
          <w:rFonts w:ascii="Palatino Linotype" w:hAnsi="Palatino Linotype"/>
          <w:i/>
          <w:sz w:val="22"/>
          <w:szCs w:val="22"/>
        </w:rPr>
        <w:t xml:space="preserve">VII. Promover la ética, imparcialidad, calidad y profesionalismo del personal responsable de aplicar los exámenes médicos y toxicológicos. </w:t>
      </w:r>
    </w:p>
    <w:p w:rsidR="006C6807" w:rsidRDefault="006C6807" w:rsidP="00DA7B93">
      <w:pPr>
        <w:spacing w:line="276" w:lineRule="auto"/>
        <w:ind w:left="851" w:right="902"/>
        <w:jc w:val="both"/>
        <w:rPr>
          <w:rFonts w:ascii="Palatino Linotype" w:hAnsi="Palatino Linotype"/>
          <w:i/>
          <w:sz w:val="22"/>
          <w:szCs w:val="22"/>
        </w:rPr>
      </w:pPr>
      <w:r w:rsidRPr="006C6807">
        <w:rPr>
          <w:rFonts w:ascii="Palatino Linotype" w:hAnsi="Palatino Linotype"/>
          <w:i/>
          <w:sz w:val="22"/>
          <w:szCs w:val="22"/>
        </w:rPr>
        <w:t xml:space="preserve">VIII. Proponer al Director General normas, políticas, lineamientos e instrumentos que permitan eficientar las evaluaciones médicas y toxicológicas a su cargo. </w:t>
      </w:r>
    </w:p>
    <w:p w:rsidR="006C6807" w:rsidRDefault="006C6807" w:rsidP="00DA7B93">
      <w:pPr>
        <w:spacing w:line="276" w:lineRule="auto"/>
        <w:ind w:left="851" w:right="902"/>
        <w:jc w:val="both"/>
        <w:rPr>
          <w:rFonts w:ascii="Palatino Linotype" w:hAnsi="Palatino Linotype"/>
          <w:i/>
          <w:sz w:val="22"/>
          <w:szCs w:val="22"/>
        </w:rPr>
      </w:pPr>
      <w:r w:rsidRPr="006C6807">
        <w:rPr>
          <w:rFonts w:ascii="Palatino Linotype" w:hAnsi="Palatino Linotype"/>
          <w:i/>
          <w:sz w:val="22"/>
          <w:szCs w:val="22"/>
        </w:rPr>
        <w:t xml:space="preserve">IX. Identificar en las evaluaciones que lleve a cabo, factores de riesgo de carácter médico y toxicológico que pudieran interferir en la ejecución de las funciones del personal evaluado y del objeto del Centro. </w:t>
      </w:r>
    </w:p>
    <w:p w:rsidR="006C6807" w:rsidRDefault="006C6807" w:rsidP="00DA7B93">
      <w:pPr>
        <w:spacing w:line="276" w:lineRule="auto"/>
        <w:ind w:left="851" w:right="902"/>
        <w:jc w:val="both"/>
        <w:rPr>
          <w:rFonts w:ascii="Palatino Linotype" w:hAnsi="Palatino Linotype"/>
          <w:i/>
          <w:sz w:val="22"/>
          <w:szCs w:val="22"/>
        </w:rPr>
      </w:pPr>
      <w:r w:rsidRPr="006C6807">
        <w:rPr>
          <w:rFonts w:ascii="Palatino Linotype" w:hAnsi="Palatino Linotype"/>
          <w:i/>
          <w:sz w:val="22"/>
          <w:szCs w:val="22"/>
        </w:rPr>
        <w:t xml:space="preserve">X. Integrar, resguardar y sistematizar la información y documentos que se generen con motivo de las evaluaciones médicas y toxicológicas que realice. </w:t>
      </w:r>
    </w:p>
    <w:p w:rsidR="006C6807" w:rsidRPr="006C6807" w:rsidRDefault="006C6807" w:rsidP="00DA7B93">
      <w:pPr>
        <w:spacing w:line="276" w:lineRule="auto"/>
        <w:ind w:left="851" w:right="902"/>
        <w:jc w:val="both"/>
        <w:rPr>
          <w:rFonts w:ascii="Palatino Linotype" w:hAnsi="Palatino Linotype" w:cs="Arial"/>
          <w:sz w:val="22"/>
          <w:szCs w:val="22"/>
        </w:rPr>
      </w:pPr>
      <w:r w:rsidRPr="006C6807">
        <w:rPr>
          <w:rFonts w:ascii="Palatino Linotype" w:hAnsi="Palatino Linotype"/>
          <w:sz w:val="22"/>
          <w:szCs w:val="22"/>
        </w:rPr>
        <w:t>XI. Las demás que le confieren otras disposiciones legales y aquellas que le encomiende el Director General.</w:t>
      </w:r>
    </w:p>
    <w:p w:rsidR="006060AA" w:rsidRDefault="006060AA" w:rsidP="006060AA">
      <w:pPr>
        <w:spacing w:before="240" w:after="240" w:line="360" w:lineRule="auto"/>
        <w:jc w:val="both"/>
        <w:rPr>
          <w:rFonts w:ascii="Palatino Linotype" w:hAnsi="Palatino Linotype" w:cs="Arial"/>
          <w:lang w:val="es-ES_tradnl"/>
        </w:rPr>
      </w:pPr>
      <w:r w:rsidRPr="00977575">
        <w:rPr>
          <w:rFonts w:ascii="Palatino Linotype" w:eastAsia="Arial Unicode MS" w:hAnsi="Palatino Linotype" w:cs="Arial"/>
        </w:rPr>
        <w:lastRenderedPageBreak/>
        <w:t xml:space="preserve">En ese sentido, </w:t>
      </w:r>
      <w:r w:rsidR="006C6807">
        <w:rPr>
          <w:rFonts w:ascii="Palatino Linotype" w:hAnsi="Palatino Linotype" w:cs="Arial"/>
          <w:lang w:val="es-ES_tradnl"/>
        </w:rPr>
        <w:t xml:space="preserve">las facultades que realiza </w:t>
      </w:r>
      <w:r w:rsidR="006C6807" w:rsidRPr="00D401B0">
        <w:rPr>
          <w:rFonts w:ascii="Palatino Linotype" w:hAnsi="Palatino Linotype" w:cs="Arial"/>
          <w:b/>
          <w:lang w:val="es-ES_tradnl"/>
        </w:rPr>
        <w:t>EL SUJETO OBLIGADO</w:t>
      </w:r>
      <w:r w:rsidR="006C6807">
        <w:rPr>
          <w:rFonts w:ascii="Palatino Linotype" w:hAnsi="Palatino Linotype" w:cs="Arial"/>
          <w:lang w:val="es-ES_tradnl"/>
        </w:rPr>
        <w:t xml:space="preserve"> atienden a la naturaleza de su creación, en la que llevan a cabos procedimientos sistematizados, evaluando a las fuerzas de seguridad, con el objeto de determinar las capacidades del perso</w:t>
      </w:r>
      <w:r w:rsidR="00D401B0">
        <w:rPr>
          <w:rFonts w:ascii="Palatino Linotype" w:hAnsi="Palatino Linotype" w:cs="Arial"/>
          <w:lang w:val="es-ES_tradnl"/>
        </w:rPr>
        <w:t>nal en ejercicio de las atribuciones que le son conferidas y que con tal determinación, su determinación repercute en la permanencia en el servicio público de los mismos.</w:t>
      </w:r>
    </w:p>
    <w:p w:rsidR="00D401B0" w:rsidRDefault="00D401B0" w:rsidP="00D401B0">
      <w:pPr>
        <w:spacing w:before="240" w:after="240" w:line="360" w:lineRule="auto"/>
        <w:jc w:val="both"/>
        <w:rPr>
          <w:rFonts w:ascii="Palatino Linotype" w:hAnsi="Palatino Linotype" w:cs="Arial"/>
          <w:lang w:val="es-ES_tradnl"/>
        </w:rPr>
      </w:pPr>
      <w:r>
        <w:rPr>
          <w:rFonts w:ascii="Palatino Linotype" w:hAnsi="Palatino Linotype" w:cs="Arial"/>
          <w:lang w:val="es-ES_tradnl"/>
        </w:rPr>
        <w:t xml:space="preserve">De igual forma, esta evaluación se lleva a cabo mediante exámenes en diferentes aspectos como lo es el de </w:t>
      </w:r>
      <w:r w:rsidRPr="00D401B0">
        <w:rPr>
          <w:rFonts w:ascii="Palatino Linotype" w:hAnsi="Palatino Linotype" w:cs="Arial"/>
          <w:lang w:val="es-ES_tradnl"/>
        </w:rPr>
        <w:t>aplicar exámenes psicológicos al personal activo y de nuevo ingreso de las Instituciones de Seguridad Pública, en términos de los procedimientos certificados y de la normatividad aplicable</w:t>
      </w:r>
      <w:r>
        <w:rPr>
          <w:rFonts w:ascii="Palatino Linotype" w:hAnsi="Palatino Linotype" w:cs="Arial"/>
          <w:lang w:val="es-ES_tradnl"/>
        </w:rPr>
        <w:t>.</w:t>
      </w:r>
    </w:p>
    <w:p w:rsidR="00D401B0" w:rsidRDefault="00D401B0" w:rsidP="00D401B0">
      <w:pPr>
        <w:spacing w:before="240" w:after="240" w:line="360" w:lineRule="auto"/>
        <w:jc w:val="both"/>
        <w:rPr>
          <w:rFonts w:ascii="Palatino Linotype" w:hAnsi="Palatino Linotype" w:cs="Arial"/>
          <w:lang w:val="es-ES_tradnl"/>
        </w:rPr>
      </w:pPr>
      <w:r>
        <w:rPr>
          <w:rFonts w:ascii="Palatino Linotype" w:hAnsi="Palatino Linotype" w:cs="Arial"/>
          <w:lang w:val="es-ES_tradnl"/>
        </w:rPr>
        <w:t xml:space="preserve">Así también, llevan </w:t>
      </w:r>
      <w:r w:rsidRPr="00D401B0">
        <w:rPr>
          <w:rFonts w:ascii="Palatino Linotype" w:hAnsi="Palatino Linotype" w:cs="Arial"/>
          <w:lang w:val="es-ES_tradnl"/>
        </w:rPr>
        <w:t>evaluaciones poligráficas</w:t>
      </w:r>
      <w:r>
        <w:rPr>
          <w:rFonts w:ascii="Palatino Linotype" w:hAnsi="Palatino Linotype" w:cs="Arial"/>
          <w:lang w:val="es-ES_tradnl"/>
        </w:rPr>
        <w:t xml:space="preserve">, con el objeto de determinar los </w:t>
      </w:r>
      <w:r w:rsidRPr="00D401B0">
        <w:rPr>
          <w:rFonts w:ascii="Palatino Linotype" w:hAnsi="Palatino Linotype" w:cs="Arial"/>
          <w:lang w:val="es-ES_tradnl"/>
        </w:rPr>
        <w:t>factores de riesgo en la conducta de las personas que pudieran interferir en el cumplimiento de sus funciones</w:t>
      </w:r>
      <w:r>
        <w:rPr>
          <w:rFonts w:ascii="Palatino Linotype" w:hAnsi="Palatino Linotype" w:cs="Arial"/>
          <w:lang w:val="es-ES_tradnl"/>
        </w:rPr>
        <w:t>.</w:t>
      </w:r>
    </w:p>
    <w:p w:rsidR="00D401B0" w:rsidRDefault="00D401B0" w:rsidP="00D401B0">
      <w:pPr>
        <w:spacing w:before="240" w:after="240" w:line="360" w:lineRule="auto"/>
        <w:jc w:val="both"/>
        <w:rPr>
          <w:rFonts w:ascii="Palatino Linotype" w:hAnsi="Palatino Linotype" w:cs="Arial"/>
          <w:lang w:val="es-ES_tradnl"/>
        </w:rPr>
      </w:pPr>
      <w:r>
        <w:rPr>
          <w:rFonts w:ascii="Palatino Linotype" w:hAnsi="Palatino Linotype" w:cs="Arial"/>
          <w:lang w:val="es-ES_tradnl"/>
        </w:rPr>
        <w:t xml:space="preserve">De igual forma, promueven </w:t>
      </w:r>
      <w:r w:rsidRPr="00D401B0">
        <w:rPr>
          <w:rFonts w:ascii="Palatino Linotype" w:hAnsi="Palatino Linotype" w:cs="Arial"/>
          <w:lang w:val="es-ES_tradnl"/>
        </w:rPr>
        <w:t xml:space="preserve">la ética, imparcialidad, calidad y profesionalismo de los servidores públicos </w:t>
      </w:r>
      <w:r>
        <w:rPr>
          <w:rFonts w:ascii="Palatino Linotype" w:hAnsi="Palatino Linotype" w:cs="Arial"/>
          <w:lang w:val="es-ES_tradnl"/>
        </w:rPr>
        <w:t>dentro</w:t>
      </w:r>
      <w:r w:rsidRPr="00D401B0">
        <w:rPr>
          <w:rFonts w:ascii="Palatino Linotype" w:hAnsi="Palatino Linotype" w:cs="Arial"/>
          <w:lang w:val="es-ES_tradnl"/>
        </w:rPr>
        <w:t xml:space="preserve"> del entorno socioeconómico</w:t>
      </w:r>
      <w:r>
        <w:rPr>
          <w:rFonts w:ascii="Palatino Linotype" w:hAnsi="Palatino Linotype" w:cs="Arial"/>
          <w:lang w:val="es-ES_tradnl"/>
        </w:rPr>
        <w:t>, a efecto de detectar factores que impidan el mejor desempeño.</w:t>
      </w:r>
    </w:p>
    <w:p w:rsidR="00D401B0" w:rsidRDefault="00D401B0" w:rsidP="00D401B0">
      <w:pPr>
        <w:spacing w:before="240" w:after="240" w:line="360" w:lineRule="auto"/>
        <w:jc w:val="both"/>
        <w:rPr>
          <w:rFonts w:ascii="Palatino Linotype" w:hAnsi="Palatino Linotype" w:cs="Arial"/>
          <w:lang w:val="es-ES_tradnl"/>
        </w:rPr>
      </w:pPr>
      <w:r>
        <w:rPr>
          <w:rFonts w:ascii="Palatino Linotype" w:hAnsi="Palatino Linotype" w:cs="Arial"/>
          <w:lang w:val="es-ES_tradnl"/>
        </w:rPr>
        <w:t xml:space="preserve">Del mismo modo, realizan </w:t>
      </w:r>
      <w:r w:rsidRPr="00D401B0">
        <w:rPr>
          <w:rFonts w:ascii="Palatino Linotype" w:hAnsi="Palatino Linotype" w:cs="Arial"/>
          <w:lang w:val="es-ES_tradnl"/>
        </w:rPr>
        <w:t xml:space="preserve">evaluaciones médicas y toxicológicas, que permitan detectar el consumo de sustancias prohibidas por parte del personal sujeto a </w:t>
      </w:r>
      <w:r>
        <w:rPr>
          <w:rFonts w:ascii="Palatino Linotype" w:hAnsi="Palatino Linotype" w:cs="Arial"/>
          <w:lang w:val="es-ES_tradnl"/>
        </w:rPr>
        <w:t>las mismas</w:t>
      </w:r>
      <w:r w:rsidRPr="00D401B0">
        <w:rPr>
          <w:rFonts w:ascii="Palatino Linotype" w:hAnsi="Palatino Linotype" w:cs="Arial"/>
          <w:lang w:val="es-ES_tradnl"/>
        </w:rPr>
        <w:t>.</w:t>
      </w:r>
    </w:p>
    <w:p w:rsidR="00D401B0" w:rsidRDefault="00D401B0" w:rsidP="00D401B0">
      <w:pPr>
        <w:spacing w:before="240" w:after="240" w:line="360" w:lineRule="auto"/>
        <w:jc w:val="both"/>
        <w:rPr>
          <w:rFonts w:ascii="Palatino Linotype" w:hAnsi="Palatino Linotype" w:cs="Arial"/>
          <w:lang w:val="es-ES_tradnl"/>
        </w:rPr>
      </w:pPr>
      <w:r>
        <w:rPr>
          <w:rFonts w:ascii="Palatino Linotype" w:hAnsi="Palatino Linotype" w:cs="Arial"/>
          <w:lang w:val="es-ES_tradnl"/>
        </w:rPr>
        <w:t xml:space="preserve">Es en razón de lo anterior, </w:t>
      </w:r>
      <w:r w:rsidR="00205F40">
        <w:rPr>
          <w:rFonts w:ascii="Palatino Linotype" w:hAnsi="Palatino Linotype" w:cs="Arial"/>
          <w:lang w:val="es-ES_tradnl"/>
        </w:rPr>
        <w:t xml:space="preserve">se estima </w:t>
      </w:r>
      <w:r>
        <w:rPr>
          <w:rFonts w:ascii="Palatino Linotype" w:hAnsi="Palatino Linotype" w:cs="Arial"/>
          <w:lang w:val="es-ES_tradnl"/>
        </w:rPr>
        <w:t xml:space="preserve">que el personal que realiza las actividades descritas, encuadran en el supuesto de la Ley de Transparencia y Acceso a la Información Pública del Estado de México y Municipios </w:t>
      </w:r>
      <w:r w:rsidR="00EC3D70">
        <w:rPr>
          <w:rFonts w:ascii="Palatino Linotype" w:hAnsi="Palatino Linotype" w:cs="Arial"/>
          <w:lang w:val="es-ES_tradnl"/>
        </w:rPr>
        <w:t>en su artículo 140, fracción IV, que señala:</w:t>
      </w:r>
    </w:p>
    <w:p w:rsidR="00EC3D70" w:rsidRDefault="00EC3D70" w:rsidP="00EC3D70">
      <w:pPr>
        <w:spacing w:line="276" w:lineRule="auto"/>
        <w:ind w:left="851" w:right="899"/>
        <w:jc w:val="both"/>
        <w:rPr>
          <w:rFonts w:ascii="Palatino Linotype" w:hAnsi="Palatino Linotype"/>
          <w:i/>
          <w:sz w:val="22"/>
          <w:szCs w:val="22"/>
        </w:rPr>
      </w:pPr>
      <w:r w:rsidRPr="00EC3D70">
        <w:rPr>
          <w:rFonts w:ascii="Palatino Linotype" w:hAnsi="Palatino Linotype"/>
          <w:b/>
          <w:i/>
          <w:sz w:val="22"/>
          <w:szCs w:val="22"/>
        </w:rPr>
        <w:lastRenderedPageBreak/>
        <w:t>Artículo 140.</w:t>
      </w:r>
      <w:r w:rsidRPr="00EC3D70">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w:t>
      </w:r>
    </w:p>
    <w:p w:rsidR="00EC3D70" w:rsidRPr="00EC3D70" w:rsidRDefault="00EC3D70" w:rsidP="00EC3D70">
      <w:pPr>
        <w:spacing w:line="276" w:lineRule="auto"/>
        <w:ind w:left="851" w:right="899"/>
        <w:jc w:val="both"/>
        <w:rPr>
          <w:rFonts w:ascii="Palatino Linotype" w:hAnsi="Palatino Linotype"/>
          <w:i/>
          <w:sz w:val="22"/>
          <w:szCs w:val="22"/>
        </w:rPr>
      </w:pPr>
      <w:r>
        <w:rPr>
          <w:rFonts w:ascii="Palatino Linotype" w:hAnsi="Palatino Linotype"/>
          <w:i/>
          <w:sz w:val="22"/>
          <w:szCs w:val="22"/>
        </w:rPr>
        <w:t>. . .</w:t>
      </w:r>
    </w:p>
    <w:p w:rsidR="00EC3D70" w:rsidRPr="00EC3D70" w:rsidRDefault="00EC3D70" w:rsidP="00EC3D70">
      <w:pPr>
        <w:spacing w:line="276" w:lineRule="auto"/>
        <w:ind w:left="851" w:right="899"/>
        <w:jc w:val="both"/>
        <w:rPr>
          <w:rFonts w:ascii="Palatino Linotype" w:hAnsi="Palatino Linotype" w:cs="Arial"/>
          <w:i/>
          <w:sz w:val="22"/>
          <w:szCs w:val="22"/>
          <w:lang w:val="es-ES_tradnl"/>
        </w:rPr>
      </w:pPr>
      <w:r w:rsidRPr="00EC3D70">
        <w:rPr>
          <w:rFonts w:ascii="Palatino Linotype" w:hAnsi="Palatino Linotype"/>
          <w:b/>
          <w:i/>
          <w:sz w:val="22"/>
          <w:szCs w:val="22"/>
        </w:rPr>
        <w:t>IV.</w:t>
      </w:r>
      <w:r w:rsidRPr="00EC3D70">
        <w:rPr>
          <w:rFonts w:ascii="Palatino Linotype" w:hAnsi="Palatino Linotype"/>
          <w:i/>
          <w:sz w:val="22"/>
          <w:szCs w:val="22"/>
        </w:rPr>
        <w:t xml:space="preserve"> Ponga en riesgo la vida, la seguridad o la salud de una persona física;</w:t>
      </w:r>
    </w:p>
    <w:p w:rsidR="00D401B0" w:rsidRDefault="00EC3D70" w:rsidP="00D401B0">
      <w:pPr>
        <w:spacing w:before="240" w:after="240" w:line="360" w:lineRule="auto"/>
        <w:jc w:val="both"/>
        <w:rPr>
          <w:rFonts w:ascii="Palatino Linotype" w:hAnsi="Palatino Linotype" w:cs="Arial"/>
          <w:lang w:val="es-ES_tradnl"/>
        </w:rPr>
      </w:pPr>
      <w:r>
        <w:rPr>
          <w:rFonts w:ascii="Palatino Linotype" w:hAnsi="Palatino Linotype" w:cs="Arial"/>
          <w:lang w:val="es-ES_tradnl"/>
        </w:rPr>
        <w:t>Esto es, porque al realizar funciones sustantivas que repercuten en la permanencia de los servidores públicos que integran los cuerpos de seguridad pública, resulta condicionante para ejercer presión o amenazas por parte de las personas evaluadas</w:t>
      </w:r>
      <w:r w:rsidR="00205F40">
        <w:rPr>
          <w:rFonts w:ascii="Palatino Linotype" w:hAnsi="Palatino Linotype" w:cs="Arial"/>
          <w:lang w:val="es-ES_tradnl"/>
        </w:rPr>
        <w:t xml:space="preserve"> por dichos servidores públicos; por lo que resulta, procedente clasificar los nombres del personal evaluador, al encuadre con la hipótesis referida con antelación.</w:t>
      </w:r>
    </w:p>
    <w:p w:rsidR="00EC3D70" w:rsidRDefault="00EC3D70" w:rsidP="00D401B0">
      <w:pPr>
        <w:spacing w:before="240" w:after="240" w:line="360" w:lineRule="auto"/>
        <w:jc w:val="both"/>
        <w:rPr>
          <w:rFonts w:ascii="Palatino Linotype" w:hAnsi="Palatino Linotype" w:cs="Arial"/>
          <w:lang w:val="es-ES_tradnl"/>
        </w:rPr>
      </w:pPr>
      <w:r>
        <w:rPr>
          <w:rFonts w:ascii="Palatino Linotype" w:hAnsi="Palatino Linotype" w:cs="Arial"/>
          <w:lang w:val="es-ES_tradnl"/>
        </w:rPr>
        <w:t xml:space="preserve">En razón de lo anterior, EL SUJETO OBLIGADO debe ajustarse a lo dispuesto en los artículos 128, 129, 130, 131 de la Ley de </w:t>
      </w:r>
      <w:r w:rsidR="00205F40">
        <w:rPr>
          <w:rFonts w:ascii="Palatino Linotype" w:hAnsi="Palatino Linotype" w:cs="Arial"/>
          <w:lang w:val="es-ES_tradnl"/>
        </w:rPr>
        <w:t>Transparencia</w:t>
      </w:r>
      <w:r>
        <w:rPr>
          <w:rFonts w:ascii="Palatino Linotype" w:hAnsi="Palatino Linotype" w:cs="Arial"/>
          <w:lang w:val="es-ES_tradnl"/>
        </w:rPr>
        <w:t xml:space="preserve"> y Acceso a la Información Pública del Estado de México y Municipios que establece</w:t>
      </w:r>
      <w:r w:rsidR="00205F40">
        <w:rPr>
          <w:rFonts w:ascii="Palatino Linotype" w:hAnsi="Palatino Linotype" w:cs="Arial"/>
          <w:lang w:val="es-ES_tradnl"/>
        </w:rPr>
        <w:t>:</w:t>
      </w:r>
    </w:p>
    <w:p w:rsidR="00EC3D70" w:rsidRPr="00205F40" w:rsidRDefault="00205F40" w:rsidP="00205F40">
      <w:pPr>
        <w:spacing w:line="276" w:lineRule="auto"/>
        <w:ind w:left="851" w:right="899"/>
        <w:jc w:val="both"/>
        <w:rPr>
          <w:rFonts w:ascii="Palatino Linotype" w:hAnsi="Palatino Linotype"/>
          <w:i/>
          <w:sz w:val="22"/>
          <w:szCs w:val="22"/>
        </w:rPr>
      </w:pPr>
      <w:r>
        <w:rPr>
          <w:rFonts w:ascii="Palatino Linotype" w:hAnsi="Palatino Linotype"/>
          <w:b/>
          <w:i/>
          <w:sz w:val="22"/>
          <w:szCs w:val="22"/>
        </w:rPr>
        <w:t>“</w:t>
      </w:r>
      <w:r w:rsidR="00EC3D70" w:rsidRPr="00205F40">
        <w:rPr>
          <w:rFonts w:ascii="Palatino Linotype" w:hAnsi="Palatino Linotype"/>
          <w:b/>
          <w:i/>
          <w:sz w:val="22"/>
          <w:szCs w:val="22"/>
        </w:rPr>
        <w:t>Artículo 128.</w:t>
      </w:r>
      <w:r w:rsidR="00EC3D70" w:rsidRPr="00205F40">
        <w:rPr>
          <w:rFonts w:ascii="Palatino Linotype" w:hAnsi="Palatino Linotype"/>
          <w:i/>
          <w:sz w:val="22"/>
          <w:szCs w:val="22"/>
        </w:rPr>
        <w:t xml:space="preserve"> En los casos en que se niegue el acceso a la información, por actualizarse alguno de los supuestos de clasificación, el Comité de Transparencia deberá confirmar, modificar o revocar la decisión. </w:t>
      </w:r>
    </w:p>
    <w:p w:rsidR="00EC3D70" w:rsidRPr="00205F40" w:rsidRDefault="00EC3D70" w:rsidP="00205F40">
      <w:pPr>
        <w:spacing w:line="276" w:lineRule="auto"/>
        <w:ind w:left="851" w:right="899"/>
        <w:jc w:val="both"/>
        <w:rPr>
          <w:rFonts w:ascii="Palatino Linotype" w:hAnsi="Palatino Linotype"/>
          <w:i/>
          <w:sz w:val="22"/>
          <w:szCs w:val="22"/>
        </w:rPr>
      </w:pPr>
      <w:r w:rsidRPr="00205F40">
        <w:rPr>
          <w:rFonts w:ascii="Palatino Linotype" w:hAnsi="Palatino Linotype"/>
          <w:i/>
          <w:sz w:val="22"/>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Tratándose de aquélla información que actualice los supuestos de clasificación, deberá señalarse el plazo al que estará sujeto la reserva. </w:t>
      </w:r>
    </w:p>
    <w:p w:rsidR="00EC3D70" w:rsidRPr="00205F40" w:rsidRDefault="00EC3D70" w:rsidP="00205F40">
      <w:pPr>
        <w:spacing w:line="276" w:lineRule="auto"/>
        <w:ind w:left="851" w:right="899"/>
        <w:jc w:val="both"/>
        <w:rPr>
          <w:rFonts w:ascii="Palatino Linotype" w:hAnsi="Palatino Linotype"/>
          <w:i/>
          <w:sz w:val="22"/>
          <w:szCs w:val="22"/>
        </w:rPr>
      </w:pPr>
      <w:r w:rsidRPr="00205F40">
        <w:rPr>
          <w:rFonts w:ascii="Palatino Linotype" w:hAnsi="Palatino Linotype"/>
          <w:b/>
          <w:i/>
          <w:sz w:val="22"/>
          <w:szCs w:val="22"/>
        </w:rPr>
        <w:t>Artículo 129.</w:t>
      </w:r>
      <w:r w:rsidRPr="00205F40">
        <w:rPr>
          <w:rFonts w:ascii="Palatino Linotype" w:hAnsi="Palatino Linotype"/>
          <w:i/>
          <w:sz w:val="22"/>
          <w:szCs w:val="22"/>
        </w:rPr>
        <w:t xml:space="preserve"> En la aplicación de la prueba de daño, el sujeto obligado deberá precisar las razones objetivas por las que la apertura de la información generaría una afectación, justificando que: </w:t>
      </w:r>
    </w:p>
    <w:p w:rsidR="00EC3D70" w:rsidRPr="00205F40" w:rsidRDefault="00EC3D70" w:rsidP="00205F40">
      <w:pPr>
        <w:spacing w:line="276" w:lineRule="auto"/>
        <w:ind w:left="851" w:right="899"/>
        <w:jc w:val="both"/>
        <w:rPr>
          <w:rFonts w:ascii="Palatino Linotype" w:hAnsi="Palatino Linotype"/>
          <w:i/>
          <w:sz w:val="22"/>
          <w:szCs w:val="22"/>
        </w:rPr>
      </w:pPr>
      <w:r w:rsidRPr="00205F40">
        <w:rPr>
          <w:rFonts w:ascii="Palatino Linotype" w:hAnsi="Palatino Linotype"/>
          <w:b/>
          <w:i/>
          <w:sz w:val="22"/>
          <w:szCs w:val="22"/>
        </w:rPr>
        <w:t>I.</w:t>
      </w:r>
      <w:r w:rsidRPr="00205F40">
        <w:rPr>
          <w:rFonts w:ascii="Palatino Linotype" w:hAnsi="Palatino Linotype"/>
          <w:i/>
          <w:sz w:val="22"/>
          <w:szCs w:val="22"/>
        </w:rPr>
        <w:t xml:space="preserve"> La divulgación de la información representa un riesgo real, demostrable e identificable del perjuicio significativo al interés público o a la seguridad pública; </w:t>
      </w:r>
    </w:p>
    <w:p w:rsidR="00EC3D70" w:rsidRPr="00205F40" w:rsidRDefault="00EC3D70" w:rsidP="00205F40">
      <w:pPr>
        <w:spacing w:line="276" w:lineRule="auto"/>
        <w:ind w:left="851" w:right="899"/>
        <w:jc w:val="both"/>
        <w:rPr>
          <w:rFonts w:ascii="Palatino Linotype" w:hAnsi="Palatino Linotype"/>
          <w:i/>
          <w:sz w:val="22"/>
          <w:szCs w:val="22"/>
        </w:rPr>
      </w:pPr>
      <w:r w:rsidRPr="00205F40">
        <w:rPr>
          <w:rFonts w:ascii="Palatino Linotype" w:hAnsi="Palatino Linotype"/>
          <w:b/>
          <w:i/>
          <w:sz w:val="22"/>
          <w:szCs w:val="22"/>
        </w:rPr>
        <w:lastRenderedPageBreak/>
        <w:t>II.</w:t>
      </w:r>
      <w:r w:rsidRPr="00205F40">
        <w:rPr>
          <w:rFonts w:ascii="Palatino Linotype" w:hAnsi="Palatino Linotype"/>
          <w:i/>
          <w:sz w:val="22"/>
          <w:szCs w:val="22"/>
        </w:rPr>
        <w:t xml:space="preserve"> El riesgo de perjuicio que supondría la divulgación supera el interés público general de que se difunda; y </w:t>
      </w:r>
    </w:p>
    <w:p w:rsidR="00EC3D70" w:rsidRPr="00205F40" w:rsidRDefault="00EC3D70" w:rsidP="00205F40">
      <w:pPr>
        <w:spacing w:line="276" w:lineRule="auto"/>
        <w:ind w:left="851" w:right="899"/>
        <w:jc w:val="both"/>
        <w:rPr>
          <w:rFonts w:ascii="Palatino Linotype" w:hAnsi="Palatino Linotype"/>
          <w:i/>
          <w:sz w:val="22"/>
          <w:szCs w:val="22"/>
        </w:rPr>
      </w:pPr>
      <w:r w:rsidRPr="00205F40">
        <w:rPr>
          <w:rFonts w:ascii="Palatino Linotype" w:hAnsi="Palatino Linotype"/>
          <w:b/>
          <w:i/>
          <w:sz w:val="22"/>
          <w:szCs w:val="22"/>
        </w:rPr>
        <w:t xml:space="preserve">III. </w:t>
      </w:r>
      <w:r w:rsidRPr="00205F40">
        <w:rPr>
          <w:rFonts w:ascii="Palatino Linotype" w:hAnsi="Palatino Linotype"/>
          <w:i/>
          <w:sz w:val="22"/>
          <w:szCs w:val="22"/>
        </w:rPr>
        <w:t xml:space="preserve">La limitación se adecua al principio de proporcionalidad y representa el medio menos restrictivo disponible representa el medio menos restrictivo disponible para evitar el perjuicio. </w:t>
      </w:r>
    </w:p>
    <w:p w:rsidR="00EC3D70" w:rsidRPr="00205F40" w:rsidRDefault="00EC3D70" w:rsidP="00205F40">
      <w:pPr>
        <w:spacing w:line="276" w:lineRule="auto"/>
        <w:ind w:left="851" w:right="899"/>
        <w:jc w:val="both"/>
        <w:rPr>
          <w:rFonts w:ascii="Palatino Linotype" w:hAnsi="Palatino Linotype"/>
          <w:i/>
          <w:sz w:val="22"/>
          <w:szCs w:val="22"/>
        </w:rPr>
      </w:pPr>
      <w:r w:rsidRPr="00205F40">
        <w:rPr>
          <w:rFonts w:ascii="Palatino Linotype" w:hAnsi="Palatino Linotype"/>
          <w:b/>
          <w:i/>
          <w:sz w:val="22"/>
          <w:szCs w:val="22"/>
        </w:rPr>
        <w:t>Artículo 130.</w:t>
      </w:r>
      <w:r w:rsidRPr="00205F40">
        <w:rPr>
          <w:rFonts w:ascii="Palatino Linotype" w:hAnsi="Palatino Linotype"/>
          <w:i/>
          <w:sz w:val="22"/>
          <w:szCs w:val="22"/>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w:t>
      </w:r>
    </w:p>
    <w:p w:rsidR="00EC3D70" w:rsidRPr="00205F40" w:rsidRDefault="00EC3D70" w:rsidP="00205F40">
      <w:pPr>
        <w:spacing w:line="276" w:lineRule="auto"/>
        <w:ind w:left="851" w:right="899"/>
        <w:jc w:val="both"/>
        <w:rPr>
          <w:rFonts w:ascii="Palatino Linotype" w:hAnsi="Palatino Linotype" w:cs="Arial"/>
          <w:i/>
          <w:sz w:val="22"/>
          <w:szCs w:val="22"/>
          <w:lang w:val="es-ES_tradnl"/>
        </w:rPr>
      </w:pPr>
      <w:r w:rsidRPr="00205F40">
        <w:rPr>
          <w:rFonts w:ascii="Palatino Linotype" w:hAnsi="Palatino Linotype"/>
          <w:b/>
          <w:i/>
          <w:sz w:val="22"/>
          <w:szCs w:val="22"/>
        </w:rPr>
        <w:t>Artículo 131.</w:t>
      </w:r>
      <w:r w:rsidRPr="00205F40">
        <w:rPr>
          <w:rFonts w:ascii="Palatino Linotype" w:hAnsi="Palatino Linotype"/>
          <w:i/>
          <w:sz w:val="22"/>
          <w:szCs w:val="22"/>
        </w:rPr>
        <w:t xml:space="preserve">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r w:rsidR="00205F40">
        <w:rPr>
          <w:rFonts w:ascii="Palatino Linotype" w:hAnsi="Palatino Linotype"/>
          <w:i/>
          <w:sz w:val="22"/>
          <w:szCs w:val="22"/>
        </w:rPr>
        <w:t>”</w:t>
      </w:r>
    </w:p>
    <w:p w:rsidR="00EC3D70" w:rsidRDefault="00EC3D70" w:rsidP="00D401B0">
      <w:pPr>
        <w:spacing w:before="240" w:after="240" w:line="360" w:lineRule="auto"/>
        <w:jc w:val="both"/>
        <w:rPr>
          <w:rFonts w:ascii="Palatino Linotype" w:hAnsi="Palatino Linotype" w:cs="Arial"/>
        </w:rPr>
      </w:pPr>
      <w:r>
        <w:rPr>
          <w:rFonts w:ascii="Palatino Linotype" w:hAnsi="Palatino Linotype" w:cs="Arial"/>
        </w:rPr>
        <w:t>En efecto, la negativa de la información por encuadrar en los supuesto de la Ley, debe fundarse y motivarse, con el objeto de que el particular tenga la certeza jurídica del porque la información no puede entregarse, cumpliendo con los requisitos que la norma en estudio, esto es debidamente fundado y motivado.</w:t>
      </w:r>
    </w:p>
    <w:p w:rsidR="000F3CC8" w:rsidRDefault="000F3CC8" w:rsidP="000F3CC8">
      <w:pPr>
        <w:spacing w:line="360" w:lineRule="auto"/>
        <w:jc w:val="both"/>
        <w:rPr>
          <w:rFonts w:ascii="Palatino Linotype" w:hAnsi="Palatino Linotype"/>
          <w:color w:val="222222"/>
        </w:rPr>
      </w:pPr>
      <w:r>
        <w:rPr>
          <w:rFonts w:ascii="Palatino Linotype" w:hAnsi="Palatino Linotype"/>
          <w:color w:val="222222"/>
        </w:rPr>
        <w:t>Esto es que, debe observar lo que dispone el artículo 128 de la Ley de Transparencia y Acceso a la Información Pública del Estado de México y Municipios que dispone:</w:t>
      </w:r>
    </w:p>
    <w:p w:rsidR="000F3CC8" w:rsidRPr="00205F40" w:rsidRDefault="000F3CC8" w:rsidP="000F3CC8">
      <w:pPr>
        <w:spacing w:line="276" w:lineRule="auto"/>
        <w:ind w:left="851" w:right="616"/>
        <w:jc w:val="both"/>
        <w:rPr>
          <w:rFonts w:ascii="Palatino Linotype" w:hAnsi="Palatino Linotype"/>
          <w:i/>
          <w:sz w:val="22"/>
          <w:szCs w:val="22"/>
        </w:rPr>
      </w:pPr>
      <w:r w:rsidRPr="00205F40">
        <w:rPr>
          <w:rFonts w:ascii="Palatino Linotype" w:hAnsi="Palatino Linotype"/>
          <w:b/>
          <w:i/>
          <w:sz w:val="22"/>
          <w:szCs w:val="22"/>
        </w:rPr>
        <w:t>“Artículo 128.</w:t>
      </w:r>
      <w:r w:rsidRPr="00205F40">
        <w:rPr>
          <w:rFonts w:ascii="Palatino Linotype" w:hAnsi="Palatino Linotype"/>
          <w:i/>
          <w:sz w:val="22"/>
          <w:szCs w:val="22"/>
        </w:rPr>
        <w:t xml:space="preserve"> En los casos en que se niegue el acceso a la información, por actualizarse alguno de los supuestos de clasificación, el Comité de Transparencia deberá </w:t>
      </w:r>
      <w:r w:rsidRPr="00205F40">
        <w:rPr>
          <w:rFonts w:ascii="Palatino Linotype" w:hAnsi="Palatino Linotype"/>
          <w:b/>
          <w:i/>
          <w:sz w:val="22"/>
          <w:szCs w:val="22"/>
          <w:u w:val="single"/>
        </w:rPr>
        <w:t>confirmar</w:t>
      </w:r>
      <w:r w:rsidRPr="00205F40">
        <w:rPr>
          <w:rFonts w:ascii="Palatino Linotype" w:hAnsi="Palatino Linotype"/>
          <w:i/>
          <w:sz w:val="22"/>
          <w:szCs w:val="22"/>
        </w:rPr>
        <w:t xml:space="preserve">, modificar o revocar la decisión. </w:t>
      </w:r>
    </w:p>
    <w:p w:rsidR="000F3CC8" w:rsidRPr="00205F40" w:rsidRDefault="000F3CC8" w:rsidP="000F3CC8">
      <w:pPr>
        <w:spacing w:line="276" w:lineRule="auto"/>
        <w:ind w:left="851" w:right="616"/>
        <w:jc w:val="both"/>
        <w:rPr>
          <w:rFonts w:ascii="Palatino Linotype" w:hAnsi="Palatino Linotype"/>
          <w:i/>
          <w:sz w:val="22"/>
          <w:szCs w:val="22"/>
        </w:rPr>
      </w:pPr>
      <w:r w:rsidRPr="00205F40">
        <w:rPr>
          <w:rFonts w:ascii="Palatino Linotype" w:hAnsi="Palatino Linotype"/>
          <w:i/>
          <w:sz w:val="22"/>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w:t>
      </w:r>
    </w:p>
    <w:p w:rsidR="000F3CC8" w:rsidRPr="00205F40" w:rsidRDefault="000F3CC8" w:rsidP="000F3CC8">
      <w:pPr>
        <w:spacing w:line="276" w:lineRule="auto"/>
        <w:ind w:left="851" w:right="616"/>
        <w:jc w:val="both"/>
        <w:rPr>
          <w:rFonts w:ascii="Palatino Linotype" w:hAnsi="Palatino Linotype"/>
          <w:b/>
          <w:i/>
          <w:sz w:val="22"/>
          <w:szCs w:val="22"/>
          <w:u w:val="single"/>
        </w:rPr>
      </w:pPr>
      <w:r w:rsidRPr="00205F40">
        <w:rPr>
          <w:rFonts w:ascii="Palatino Linotype" w:hAnsi="Palatino Linotype"/>
          <w:b/>
          <w:i/>
          <w:sz w:val="22"/>
          <w:szCs w:val="22"/>
          <w:u w:val="single"/>
        </w:rPr>
        <w:t xml:space="preserve">Además, el sujeto obligado deberá, en todo momento, aplicar una prueba de daño. </w:t>
      </w:r>
    </w:p>
    <w:p w:rsidR="000F3CC8" w:rsidRPr="00205F40" w:rsidRDefault="000F3CC8" w:rsidP="000F3CC8">
      <w:pPr>
        <w:spacing w:line="276" w:lineRule="auto"/>
        <w:ind w:left="851" w:right="616"/>
        <w:jc w:val="both"/>
        <w:rPr>
          <w:rFonts w:ascii="Palatino Linotype" w:hAnsi="Palatino Linotype"/>
          <w:i/>
          <w:sz w:val="22"/>
          <w:szCs w:val="22"/>
        </w:rPr>
      </w:pPr>
      <w:r w:rsidRPr="00205F40">
        <w:rPr>
          <w:rFonts w:ascii="Palatino Linotype" w:hAnsi="Palatino Linotype"/>
          <w:i/>
          <w:sz w:val="22"/>
          <w:szCs w:val="22"/>
        </w:rPr>
        <w:lastRenderedPageBreak/>
        <w:t xml:space="preserve">Tratándose de aquélla información que actualice los supuestos de clasificación, deberá </w:t>
      </w:r>
      <w:r w:rsidRPr="00205F40">
        <w:rPr>
          <w:rFonts w:ascii="Palatino Linotype" w:hAnsi="Palatino Linotype"/>
          <w:i/>
          <w:sz w:val="22"/>
          <w:szCs w:val="22"/>
          <w:u w:val="single"/>
        </w:rPr>
        <w:t>señalarse el plazo al que estará sujeto la reserva</w:t>
      </w:r>
      <w:r w:rsidRPr="00205F40">
        <w:rPr>
          <w:rFonts w:ascii="Palatino Linotype" w:hAnsi="Palatino Linotype"/>
          <w:i/>
          <w:sz w:val="22"/>
          <w:szCs w:val="22"/>
        </w:rPr>
        <w:t>.”</w:t>
      </w:r>
    </w:p>
    <w:p w:rsidR="000F3CC8" w:rsidRPr="00875272" w:rsidRDefault="000F3CC8" w:rsidP="000F3CC8">
      <w:pPr>
        <w:spacing w:line="276" w:lineRule="auto"/>
        <w:ind w:left="851" w:right="616"/>
        <w:jc w:val="both"/>
        <w:rPr>
          <w:rFonts w:ascii="Palatino Linotype" w:hAnsi="Palatino Linotype"/>
          <w:i/>
        </w:rPr>
      </w:pPr>
    </w:p>
    <w:p w:rsidR="000F3CC8" w:rsidRDefault="000F3CC8" w:rsidP="000F3CC8">
      <w:pPr>
        <w:spacing w:line="360" w:lineRule="auto"/>
        <w:jc w:val="both"/>
        <w:rPr>
          <w:rFonts w:ascii="Palatino Linotype" w:hAnsi="Palatino Linotype"/>
          <w:color w:val="222222"/>
        </w:rPr>
      </w:pPr>
      <w:r>
        <w:rPr>
          <w:rFonts w:ascii="Palatino Linotype" w:hAnsi="Palatino Linotype"/>
          <w:color w:val="222222"/>
        </w:rPr>
        <w:t xml:space="preserve">Bajo la normativa en estudio, se desprende que </w:t>
      </w:r>
      <w:r w:rsidRPr="00100E8A">
        <w:rPr>
          <w:rFonts w:ascii="Palatino Linotype" w:hAnsi="Palatino Linotype"/>
          <w:b/>
          <w:color w:val="222222"/>
        </w:rPr>
        <w:t>EL SUJETO OBLIGADO</w:t>
      </w:r>
      <w:r>
        <w:rPr>
          <w:rFonts w:ascii="Palatino Linotype" w:hAnsi="Palatino Linotype"/>
          <w:color w:val="222222"/>
        </w:rPr>
        <w:t xml:space="preserve"> debió aplicar lo que dispone el artículo 129 de la Ley de la materia que dispone:</w:t>
      </w:r>
    </w:p>
    <w:p w:rsidR="000F3CC8" w:rsidRPr="00205F40" w:rsidRDefault="000F3CC8" w:rsidP="000F3CC8">
      <w:pPr>
        <w:spacing w:line="276" w:lineRule="auto"/>
        <w:ind w:left="851" w:right="902"/>
        <w:jc w:val="both"/>
        <w:rPr>
          <w:rFonts w:ascii="Palatino Linotype" w:hAnsi="Palatino Linotype"/>
          <w:i/>
          <w:sz w:val="22"/>
          <w:szCs w:val="22"/>
        </w:rPr>
      </w:pPr>
      <w:r w:rsidRPr="00205F40">
        <w:rPr>
          <w:rFonts w:ascii="Palatino Linotype" w:hAnsi="Palatino Linotype"/>
          <w:b/>
          <w:i/>
          <w:sz w:val="22"/>
          <w:szCs w:val="22"/>
        </w:rPr>
        <w:t>Artículo 129.</w:t>
      </w:r>
      <w:r w:rsidRPr="00205F40">
        <w:rPr>
          <w:rFonts w:ascii="Palatino Linotype" w:hAnsi="Palatino Linotype"/>
          <w:i/>
          <w:sz w:val="22"/>
          <w:szCs w:val="22"/>
        </w:rPr>
        <w:t xml:space="preserve"> </w:t>
      </w:r>
      <w:r w:rsidRPr="00205F40">
        <w:rPr>
          <w:rFonts w:ascii="Palatino Linotype" w:hAnsi="Palatino Linotype"/>
          <w:i/>
          <w:sz w:val="22"/>
          <w:szCs w:val="22"/>
          <w:u w:val="single"/>
        </w:rPr>
        <w:t>En la aplicación de la prueba de daño</w:t>
      </w:r>
      <w:r w:rsidRPr="00205F40">
        <w:rPr>
          <w:rFonts w:ascii="Palatino Linotype" w:hAnsi="Palatino Linotype"/>
          <w:i/>
          <w:sz w:val="22"/>
          <w:szCs w:val="22"/>
        </w:rPr>
        <w:t xml:space="preserve">, el sujeto obligado </w:t>
      </w:r>
      <w:r w:rsidRPr="00205F40">
        <w:rPr>
          <w:rFonts w:ascii="Palatino Linotype" w:hAnsi="Palatino Linotype"/>
          <w:b/>
          <w:i/>
          <w:sz w:val="22"/>
          <w:szCs w:val="22"/>
          <w:u w:val="single"/>
        </w:rPr>
        <w:t>deberá</w:t>
      </w:r>
      <w:r w:rsidRPr="00205F40">
        <w:rPr>
          <w:rFonts w:ascii="Palatino Linotype" w:hAnsi="Palatino Linotype"/>
          <w:i/>
          <w:sz w:val="22"/>
          <w:szCs w:val="22"/>
        </w:rPr>
        <w:t xml:space="preserve"> </w:t>
      </w:r>
      <w:r w:rsidRPr="00205F40">
        <w:rPr>
          <w:rFonts w:ascii="Palatino Linotype" w:hAnsi="Palatino Linotype"/>
          <w:b/>
          <w:i/>
          <w:sz w:val="22"/>
          <w:szCs w:val="22"/>
          <w:u w:val="single"/>
        </w:rPr>
        <w:t>precisar las razones objetivas</w:t>
      </w:r>
      <w:r w:rsidRPr="00205F40">
        <w:rPr>
          <w:rFonts w:ascii="Palatino Linotype" w:hAnsi="Palatino Linotype"/>
          <w:i/>
          <w:sz w:val="22"/>
          <w:szCs w:val="22"/>
        </w:rPr>
        <w:t xml:space="preserve"> por las que la apertura de la información generaría una afectación, justificando que: </w:t>
      </w:r>
    </w:p>
    <w:p w:rsidR="000F3CC8" w:rsidRPr="00205F40" w:rsidRDefault="000F3CC8" w:rsidP="000F3CC8">
      <w:pPr>
        <w:spacing w:line="276" w:lineRule="auto"/>
        <w:ind w:left="851" w:right="902"/>
        <w:jc w:val="both"/>
        <w:rPr>
          <w:rFonts w:ascii="Palatino Linotype" w:hAnsi="Palatino Linotype"/>
          <w:i/>
          <w:sz w:val="22"/>
          <w:szCs w:val="22"/>
        </w:rPr>
      </w:pPr>
      <w:r w:rsidRPr="00205F40">
        <w:rPr>
          <w:rFonts w:ascii="Palatino Linotype" w:hAnsi="Palatino Linotype"/>
          <w:b/>
          <w:i/>
          <w:sz w:val="22"/>
          <w:szCs w:val="22"/>
        </w:rPr>
        <w:t>I.</w:t>
      </w:r>
      <w:r w:rsidRPr="00205F40">
        <w:rPr>
          <w:rFonts w:ascii="Palatino Linotype" w:hAnsi="Palatino Linotype"/>
          <w:i/>
          <w:sz w:val="22"/>
          <w:szCs w:val="22"/>
        </w:rPr>
        <w:t xml:space="preserve"> La divulgación de la información representa un riesgo real, demostrable e identificable del perjuicio significativo al interés público o a la seguridad pública; </w:t>
      </w:r>
    </w:p>
    <w:p w:rsidR="000F3CC8" w:rsidRPr="00205F40" w:rsidRDefault="000F3CC8" w:rsidP="000F3CC8">
      <w:pPr>
        <w:spacing w:line="276" w:lineRule="auto"/>
        <w:ind w:left="851" w:right="902"/>
        <w:jc w:val="both"/>
        <w:rPr>
          <w:rFonts w:ascii="Palatino Linotype" w:hAnsi="Palatino Linotype"/>
          <w:i/>
          <w:sz w:val="22"/>
          <w:szCs w:val="22"/>
        </w:rPr>
      </w:pPr>
      <w:r w:rsidRPr="00205F40">
        <w:rPr>
          <w:rFonts w:ascii="Palatino Linotype" w:hAnsi="Palatino Linotype"/>
          <w:b/>
          <w:i/>
          <w:sz w:val="22"/>
          <w:szCs w:val="22"/>
        </w:rPr>
        <w:t>II.</w:t>
      </w:r>
      <w:r w:rsidRPr="00205F40">
        <w:rPr>
          <w:rFonts w:ascii="Palatino Linotype" w:hAnsi="Palatino Linotype"/>
          <w:i/>
          <w:sz w:val="22"/>
          <w:szCs w:val="22"/>
        </w:rPr>
        <w:t xml:space="preserve"> El riesgo de perjuicio que supondría la divulgación supera el interés público general de que se difunda; y </w:t>
      </w:r>
    </w:p>
    <w:p w:rsidR="000F3CC8" w:rsidRPr="00205F40" w:rsidRDefault="000F3CC8" w:rsidP="000F3CC8">
      <w:pPr>
        <w:spacing w:line="276" w:lineRule="auto"/>
        <w:ind w:left="851" w:right="902"/>
        <w:jc w:val="both"/>
        <w:rPr>
          <w:rFonts w:ascii="Palatino Linotype" w:hAnsi="Palatino Linotype"/>
          <w:i/>
          <w:sz w:val="22"/>
          <w:szCs w:val="22"/>
        </w:rPr>
      </w:pPr>
      <w:r w:rsidRPr="00205F40">
        <w:rPr>
          <w:rFonts w:ascii="Palatino Linotype" w:hAnsi="Palatino Linotype"/>
          <w:b/>
          <w:i/>
          <w:sz w:val="22"/>
          <w:szCs w:val="22"/>
        </w:rPr>
        <w:t>III.</w:t>
      </w:r>
      <w:r w:rsidRPr="00205F40">
        <w:rPr>
          <w:rFonts w:ascii="Palatino Linotype" w:hAnsi="Palatino Linotype"/>
          <w:i/>
          <w:sz w:val="22"/>
          <w:szCs w:val="22"/>
        </w:rPr>
        <w:t xml:space="preserve"> La limitación se adecua al principio de proporcionalidad y representa el medio menos restrictivo disponible representa el medio menos restrictivo disponible para evitar el perjuicio.</w:t>
      </w:r>
    </w:p>
    <w:p w:rsidR="000F3CC8" w:rsidRDefault="000F3CC8" w:rsidP="000F3CC8">
      <w:pPr>
        <w:spacing w:line="276" w:lineRule="auto"/>
        <w:ind w:left="851" w:right="902"/>
        <w:jc w:val="both"/>
        <w:rPr>
          <w:rFonts w:ascii="Palatino Linotype" w:hAnsi="Palatino Linotype"/>
          <w:i/>
        </w:rPr>
      </w:pPr>
    </w:p>
    <w:p w:rsidR="000F3CC8" w:rsidRDefault="000F3CC8" w:rsidP="000F3CC8">
      <w:pPr>
        <w:spacing w:line="360" w:lineRule="auto"/>
        <w:jc w:val="both"/>
        <w:rPr>
          <w:rFonts w:ascii="Palatino Linotype" w:hAnsi="Palatino Linotype"/>
          <w:color w:val="222222"/>
        </w:rPr>
      </w:pPr>
      <w:r>
        <w:rPr>
          <w:rFonts w:ascii="Palatino Linotype" w:hAnsi="Palatino Linotype"/>
          <w:color w:val="222222"/>
        </w:rPr>
        <w:t>Esto es, el Comité de Transparencia analizará de forma fundada y motivada desglosando los puntos del dispositivo jurídico anteriormente citado ya que debe seguir el procedimiento establecido para ello, esto es, deberá ir desglosando las fracciones con los argumentos que considere pertinentes.</w:t>
      </w:r>
    </w:p>
    <w:p w:rsidR="000F3CC8" w:rsidRDefault="000F3CC8" w:rsidP="000F3CC8">
      <w:pPr>
        <w:spacing w:line="360" w:lineRule="auto"/>
        <w:jc w:val="both"/>
        <w:rPr>
          <w:rFonts w:ascii="Palatino Linotype" w:hAnsi="Palatino Linotype"/>
          <w:color w:val="222222"/>
        </w:rPr>
      </w:pPr>
    </w:p>
    <w:p w:rsidR="000F3CC8" w:rsidRDefault="000F3CC8" w:rsidP="000F3CC8">
      <w:pPr>
        <w:spacing w:line="360" w:lineRule="auto"/>
        <w:jc w:val="both"/>
        <w:rPr>
          <w:rFonts w:ascii="Palatino Linotype" w:hAnsi="Palatino Linotype"/>
          <w:color w:val="222222"/>
        </w:rPr>
      </w:pPr>
      <w:r>
        <w:rPr>
          <w:rFonts w:ascii="Palatino Linotype" w:hAnsi="Palatino Linotype"/>
          <w:color w:val="222222"/>
        </w:rPr>
        <w:t xml:space="preserve">Refuerza lo anterior, la </w:t>
      </w:r>
      <w:r w:rsidR="00205F40">
        <w:rPr>
          <w:rFonts w:ascii="Palatino Linotype" w:hAnsi="Palatino Linotype"/>
          <w:color w:val="222222"/>
        </w:rPr>
        <w:t xml:space="preserve">Tesis Aislada </w:t>
      </w:r>
      <w:r>
        <w:rPr>
          <w:rFonts w:ascii="Palatino Linotype" w:hAnsi="Palatino Linotype"/>
          <w:color w:val="222222"/>
        </w:rPr>
        <w:t>emitida por el Salto Tribunal del país que señala:</w:t>
      </w:r>
    </w:p>
    <w:p w:rsidR="000F3CC8" w:rsidRPr="000F3CC8" w:rsidRDefault="000F3CC8" w:rsidP="000F3CC8">
      <w:pPr>
        <w:spacing w:line="276" w:lineRule="auto"/>
        <w:ind w:left="851" w:right="618"/>
        <w:jc w:val="both"/>
        <w:rPr>
          <w:rFonts w:ascii="Palatino Linotype" w:hAnsi="Palatino Linotype"/>
          <w:i/>
          <w:sz w:val="22"/>
          <w:szCs w:val="22"/>
        </w:rPr>
      </w:pPr>
      <w:r w:rsidRPr="000F3CC8">
        <w:rPr>
          <w:rFonts w:ascii="Palatino Linotype" w:hAnsi="Palatino Linotype"/>
          <w:i/>
          <w:sz w:val="22"/>
          <w:szCs w:val="22"/>
        </w:rPr>
        <w:t xml:space="preserve">“Época: Décima Época Registro: 2018460 Instancia: Tribunales Colegiados de Circuito Tipo de Tesis: Aislada Fuente: Semanario Judicial de la Federación Publicación: viernes 23 de noviembre de 2018 10:34 h Materia(s): (Administrativa) Tesis: I.10o.A.79 A (10a.) </w:t>
      </w:r>
    </w:p>
    <w:p w:rsidR="000F3CC8" w:rsidRPr="000F3CC8" w:rsidRDefault="000F3CC8" w:rsidP="000F3CC8">
      <w:pPr>
        <w:spacing w:line="276" w:lineRule="auto"/>
        <w:ind w:left="851" w:right="618"/>
        <w:jc w:val="both"/>
        <w:rPr>
          <w:rFonts w:ascii="Palatino Linotype" w:hAnsi="Palatino Linotype"/>
          <w:i/>
          <w:sz w:val="22"/>
          <w:szCs w:val="22"/>
        </w:rPr>
      </w:pPr>
      <w:r w:rsidRPr="000F3CC8">
        <w:rPr>
          <w:rFonts w:ascii="Palatino Linotype" w:hAnsi="Palatino Linotype"/>
          <w:b/>
          <w:i/>
          <w:sz w:val="22"/>
          <w:szCs w:val="22"/>
        </w:rPr>
        <w:t>PRUEBA DE DAÑO EN LA CLASIFICACIÓN DE LA</w:t>
      </w:r>
      <w:r w:rsidRPr="000F3CC8">
        <w:rPr>
          <w:rFonts w:ascii="Palatino Linotype" w:hAnsi="Palatino Linotype"/>
          <w:i/>
          <w:sz w:val="22"/>
          <w:szCs w:val="22"/>
        </w:rPr>
        <w:t xml:space="preserve"> </w:t>
      </w:r>
      <w:r w:rsidRPr="000F3CC8">
        <w:rPr>
          <w:rFonts w:ascii="Palatino Linotype" w:hAnsi="Palatino Linotype"/>
          <w:b/>
          <w:i/>
          <w:sz w:val="22"/>
          <w:szCs w:val="22"/>
        </w:rPr>
        <w:t>INFORMACIÓN PÚBLICA. SU VALIDEZ NO DEPENDE DE LOS MEDIOS DE PRUEBA QUE EL SUJETO OBLIGADO APORTE</w:t>
      </w:r>
      <w:r w:rsidRPr="000F3CC8">
        <w:rPr>
          <w:rFonts w:ascii="Palatino Linotype" w:hAnsi="Palatino Linotype"/>
          <w:i/>
          <w:sz w:val="22"/>
          <w:szCs w:val="22"/>
        </w:rPr>
        <w:t xml:space="preserve">. De acuerdo con el artículo 104 de la Ley General de Transparencia y Acceso a la Información Pública, y con los lineamientos segundo, fracción XIII y trigésimo tercero, de los Lineamientos generales en materia de </w:t>
      </w:r>
      <w:r w:rsidRPr="000F3CC8">
        <w:rPr>
          <w:rFonts w:ascii="Palatino Linotype" w:hAnsi="Palatino Linotype"/>
          <w:i/>
          <w:sz w:val="22"/>
          <w:szCs w:val="22"/>
        </w:rPr>
        <w:lastRenderedPageBreak/>
        <w:t xml:space="preserve">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 la validez de la prueba de daño no depende de los medios de prueba que el sujeto obligado aporte, sino de la solidez del juicio de ponderación que se efectúe en los términos señalados. </w:t>
      </w:r>
    </w:p>
    <w:p w:rsidR="000F3CC8" w:rsidRPr="000F3CC8" w:rsidRDefault="000F3CC8" w:rsidP="000F3CC8">
      <w:pPr>
        <w:spacing w:line="276" w:lineRule="auto"/>
        <w:ind w:left="851" w:right="618"/>
        <w:jc w:val="both"/>
        <w:rPr>
          <w:rFonts w:ascii="Palatino Linotype" w:hAnsi="Palatino Linotype"/>
          <w:i/>
          <w:color w:val="222222"/>
          <w:sz w:val="22"/>
          <w:szCs w:val="22"/>
        </w:rPr>
      </w:pPr>
      <w:r w:rsidRPr="000F3CC8">
        <w:rPr>
          <w:rFonts w:ascii="Palatino Linotype" w:hAnsi="Palatino Linotype"/>
          <w:i/>
          <w:sz w:val="22"/>
          <w:szCs w:val="22"/>
        </w:rPr>
        <w:t>DÉCIMO TRIBUNAL COLEGIADO EN MATERIA ADMINISTRATIVA DEL PRIMER CIRCUITO. Amparo en revisión 149/2018. Amanda Ibáñez Molina. 6 de septiembre de 2018. Unanimidad de votos. Ponente: Alfredo Enrique Báez López. Secretario: Roberto César Morales Corona. Esta tesis se publicó el viernes 23 de noviembre de 2018 a las 10:34 horas en el Semanario Judicial de la Federación.”</w:t>
      </w:r>
    </w:p>
    <w:p w:rsidR="000F3CC8" w:rsidRPr="00B45337" w:rsidRDefault="000F3CC8" w:rsidP="000F3CC8">
      <w:pPr>
        <w:spacing w:line="360" w:lineRule="auto"/>
        <w:jc w:val="both"/>
        <w:rPr>
          <w:rFonts w:ascii="Palatino Linotype" w:hAnsi="Palatino Linotype"/>
          <w:color w:val="222222"/>
          <w:sz w:val="14"/>
        </w:rPr>
      </w:pPr>
    </w:p>
    <w:p w:rsidR="000F3CC8" w:rsidRDefault="00ED28B3" w:rsidP="000F3CC8">
      <w:pPr>
        <w:spacing w:line="360" w:lineRule="auto"/>
        <w:jc w:val="both"/>
        <w:rPr>
          <w:rFonts w:ascii="Palatino Linotype" w:hAnsi="Palatino Linotype"/>
          <w:color w:val="222222"/>
        </w:rPr>
      </w:pPr>
      <w:r>
        <w:rPr>
          <w:rFonts w:ascii="Palatino Linotype" w:hAnsi="Palatino Linotype"/>
          <w:noProof/>
          <w:color w:val="222222"/>
          <w:lang w:val="es-MX" w:eastAsia="es-MX"/>
        </w:rPr>
        <mc:AlternateContent>
          <mc:Choice Requires="wps">
            <w:drawing>
              <wp:anchor distT="0" distB="0" distL="114300" distR="114300" simplePos="0" relativeHeight="251665408" behindDoc="0" locked="0" layoutInCell="1" allowOverlap="1">
                <wp:simplePos x="0" y="0"/>
                <wp:positionH relativeFrom="column">
                  <wp:posOffset>15239</wp:posOffset>
                </wp:positionH>
                <wp:positionV relativeFrom="paragraph">
                  <wp:posOffset>1109345</wp:posOffset>
                </wp:positionV>
                <wp:extent cx="5743575" cy="1085850"/>
                <wp:effectExtent l="38100" t="38100" r="47625" b="95250"/>
                <wp:wrapNone/>
                <wp:docPr id="11" name="Conector recto 11"/>
                <wp:cNvGraphicFramePr/>
                <a:graphic xmlns:a="http://schemas.openxmlformats.org/drawingml/2006/main">
                  <a:graphicData uri="http://schemas.microsoft.com/office/word/2010/wordprocessingShape">
                    <wps:wsp>
                      <wps:cNvCnPr/>
                      <wps:spPr>
                        <a:xfrm>
                          <a:off x="0" y="0"/>
                          <a:ext cx="5743575" cy="1085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E8047B" id="Conector recto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pt,87.35pt" to="453.4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" strokecolor="#4f81bd [3204]" strokeweight="2pt">
                <v:shadow on="t" color="black" opacity="24903f" origin=",.5" offset="0,.55556mm"/>
              </v:line>
            </w:pict>
          </mc:Fallback>
        </mc:AlternateContent>
      </w:r>
      <w:r w:rsidR="000F3CC8">
        <w:rPr>
          <w:rFonts w:ascii="Palatino Linotype" w:hAnsi="Palatino Linotype"/>
          <w:color w:val="222222"/>
        </w:rPr>
        <w:t>En este sentido, es importante que la Autoridad se ajuste a lo que dispone la norma a efecto de otorgar certeza jurídica de que la información que apruebe su clasificación se ajuste a los preceptos normativos de que la Ley de la materia impone, esto es debidamente fundado y motivado.</w:t>
      </w:r>
    </w:p>
    <w:p w:rsidR="000F3CC8" w:rsidRDefault="000F3CC8" w:rsidP="00D401B0">
      <w:pPr>
        <w:spacing w:before="240" w:after="240" w:line="360" w:lineRule="auto"/>
        <w:jc w:val="both"/>
        <w:rPr>
          <w:rFonts w:ascii="Palatino Linotype" w:hAnsi="Palatino Linotype" w:cs="Arial"/>
        </w:rPr>
      </w:pPr>
    </w:p>
    <w:p w:rsidR="006060AA" w:rsidRPr="00977575" w:rsidRDefault="006060AA" w:rsidP="00D401B0">
      <w:pPr>
        <w:spacing w:before="240" w:after="240" w:line="360" w:lineRule="auto"/>
        <w:jc w:val="both"/>
        <w:rPr>
          <w:rFonts w:ascii="Palatino Linotype" w:hAnsi="Palatino Linotype" w:cs="Arial"/>
        </w:rPr>
      </w:pPr>
      <w:r w:rsidRPr="00977575">
        <w:rPr>
          <w:rFonts w:ascii="Palatino Linotype" w:hAnsi="Palatino Linotype" w:cs="Arial"/>
        </w:rPr>
        <w:lastRenderedPageBreak/>
        <w:t>Refuerza lo argumentado, lo que la Suprema Corte de Justicia de la Nación ha establecido en la siguiente jurisprudencia respecto a qué debe entenderse por fundamentación y motivación, como se observa:</w:t>
      </w:r>
    </w:p>
    <w:p w:rsidR="006060AA" w:rsidRPr="00977575" w:rsidRDefault="006060AA" w:rsidP="006060AA">
      <w:pPr>
        <w:shd w:val="clear" w:color="auto" w:fill="FFFFFF"/>
        <w:spacing w:line="276" w:lineRule="auto"/>
        <w:ind w:left="851" w:right="902"/>
        <w:jc w:val="both"/>
        <w:rPr>
          <w:rFonts w:ascii="Palatino Linotype" w:hAnsi="Palatino Linotype" w:cs="Arial"/>
          <w:i/>
          <w:sz w:val="22"/>
          <w:szCs w:val="22"/>
        </w:rPr>
      </w:pPr>
      <w:r w:rsidRPr="009A449D">
        <w:rPr>
          <w:rFonts w:ascii="Palatino Linotype" w:hAnsi="Palatino Linotype" w:cs="Arial"/>
          <w:i/>
          <w:sz w:val="22"/>
          <w:szCs w:val="22"/>
        </w:rPr>
        <w:t>“</w:t>
      </w:r>
      <w:r w:rsidRPr="009A449D">
        <w:rPr>
          <w:rFonts w:ascii="Palatino Linotype" w:hAnsi="Palatino Linotype" w:cs="Arial"/>
          <w:b/>
          <w:i/>
          <w:sz w:val="22"/>
          <w:szCs w:val="22"/>
        </w:rPr>
        <w:t>FUNDAMENTACIÓN Y MOTIVACIÓN</w:t>
      </w:r>
      <w:r w:rsidRPr="009A449D">
        <w:rPr>
          <w:rFonts w:ascii="Palatino Linotype" w:hAnsi="Palatino Linotype" w:cs="Arial"/>
          <w:i/>
          <w:sz w:val="22"/>
          <w:szCs w:val="22"/>
        </w:rPr>
        <w:t>. La debida fundamentación y motivación legal, deben entenderse, por lo primero, la cita del precepto legal aplicable al caso, y por lo segundo, las razones, motivos o circunstancias</w:t>
      </w:r>
      <w:r w:rsidRPr="00977575">
        <w:rPr>
          <w:rFonts w:ascii="Palatino Linotype" w:hAnsi="Palatino Linotype" w:cs="Arial"/>
          <w:i/>
          <w:sz w:val="22"/>
          <w:szCs w:val="22"/>
        </w:rPr>
        <w:t xml:space="preserve"> especiales que llevaron a la autoridad a concluir que el caso particular encuadra en el supuesto previsto por la norma legal invocada como fundamento.</w:t>
      </w:r>
    </w:p>
    <w:p w:rsidR="006060AA" w:rsidRPr="00977575" w:rsidRDefault="006060AA" w:rsidP="006060AA">
      <w:pPr>
        <w:shd w:val="clear" w:color="auto" w:fill="FFFFFF"/>
        <w:spacing w:line="276" w:lineRule="auto"/>
        <w:ind w:left="851" w:right="902"/>
        <w:jc w:val="both"/>
        <w:rPr>
          <w:rFonts w:ascii="Palatino Linotype" w:hAnsi="Palatino Linotype" w:cs="Arial"/>
          <w:i/>
          <w:sz w:val="22"/>
          <w:szCs w:val="22"/>
        </w:rPr>
      </w:pPr>
      <w:r w:rsidRPr="00977575">
        <w:rPr>
          <w:rFonts w:ascii="Palatino Linotype" w:hAnsi="Palatino Linotype" w:cs="Arial"/>
          <w:i/>
          <w:sz w:val="22"/>
          <w:szCs w:val="22"/>
        </w:rPr>
        <w:t>SEGUNDO TRIBUNAL COLEGIADO DEL SEXTO CIRCUITO.</w:t>
      </w:r>
    </w:p>
    <w:p w:rsidR="006060AA" w:rsidRPr="00977575" w:rsidRDefault="006060AA" w:rsidP="006060AA">
      <w:pPr>
        <w:shd w:val="clear" w:color="auto" w:fill="FFFFFF"/>
        <w:spacing w:line="276" w:lineRule="auto"/>
        <w:ind w:left="851" w:right="902"/>
        <w:jc w:val="both"/>
        <w:rPr>
          <w:rFonts w:ascii="Palatino Linotype" w:hAnsi="Palatino Linotype" w:cs="Arial"/>
          <w:i/>
          <w:sz w:val="22"/>
          <w:szCs w:val="22"/>
        </w:rPr>
      </w:pPr>
      <w:r w:rsidRPr="00977575">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6060AA" w:rsidRPr="00977575" w:rsidRDefault="006060AA" w:rsidP="006060AA">
      <w:pPr>
        <w:shd w:val="clear" w:color="auto" w:fill="FFFFFF"/>
        <w:spacing w:line="276" w:lineRule="auto"/>
        <w:ind w:left="851" w:right="902"/>
        <w:jc w:val="both"/>
        <w:rPr>
          <w:rFonts w:ascii="Palatino Linotype" w:hAnsi="Palatino Linotype" w:cs="Arial"/>
          <w:i/>
          <w:sz w:val="22"/>
          <w:szCs w:val="22"/>
        </w:rPr>
      </w:pPr>
      <w:r w:rsidRPr="00977575">
        <w:rPr>
          <w:rFonts w:ascii="Palatino Linotype" w:hAnsi="Palatino Linotype" w:cs="Arial"/>
          <w:i/>
          <w:sz w:val="22"/>
          <w:szCs w:val="22"/>
        </w:rPr>
        <w:t>Revisión fiscal 103/88. Instituto Mexicano del Seguro Social. 18 de octubre de 1988. Unanimidad de votos. Ponente: Arnoldo Nájera Virgen. Secretario: Alejandro Esponda Rincón.</w:t>
      </w:r>
    </w:p>
    <w:p w:rsidR="006060AA" w:rsidRPr="00977575" w:rsidRDefault="006060AA" w:rsidP="006060AA">
      <w:pPr>
        <w:shd w:val="clear" w:color="auto" w:fill="FFFFFF"/>
        <w:spacing w:line="276" w:lineRule="auto"/>
        <w:ind w:left="851" w:right="902"/>
        <w:jc w:val="both"/>
        <w:rPr>
          <w:rFonts w:ascii="Palatino Linotype" w:hAnsi="Palatino Linotype" w:cs="Arial"/>
          <w:i/>
          <w:sz w:val="22"/>
          <w:szCs w:val="22"/>
        </w:rPr>
      </w:pPr>
      <w:r w:rsidRPr="00977575">
        <w:rPr>
          <w:rFonts w:ascii="Palatino Linotype" w:hAnsi="Palatino Linotype" w:cs="Arial"/>
          <w:i/>
          <w:sz w:val="22"/>
          <w:szCs w:val="22"/>
        </w:rPr>
        <w:t>Amparo en revisión 333/88. Adilia Romero. 26 de octubre de 1988. Unanimidad de votos. Ponente: Arnoldo Nájera Virgen. Secretario: Enrique Crispín Campos Ramírez.</w:t>
      </w:r>
    </w:p>
    <w:p w:rsidR="006060AA" w:rsidRPr="00977575" w:rsidRDefault="006060AA" w:rsidP="006060AA">
      <w:pPr>
        <w:shd w:val="clear" w:color="auto" w:fill="FFFFFF"/>
        <w:spacing w:line="276" w:lineRule="auto"/>
        <w:ind w:left="851" w:right="902"/>
        <w:jc w:val="both"/>
        <w:rPr>
          <w:rFonts w:ascii="Palatino Linotype" w:hAnsi="Palatino Linotype" w:cs="Arial"/>
          <w:i/>
          <w:sz w:val="22"/>
          <w:szCs w:val="22"/>
        </w:rPr>
      </w:pPr>
      <w:r w:rsidRPr="00977575">
        <w:rPr>
          <w:rFonts w:ascii="Palatino Linotype" w:hAnsi="Palatino Linotype" w:cs="Arial"/>
          <w:i/>
          <w:sz w:val="22"/>
          <w:szCs w:val="22"/>
        </w:rPr>
        <w:t>Amparo en revisión 597/95. Emilio Maurer Bretón. 15 de noviembre de 1995. Unanimidad de votos. Ponente: Clementina Ramírez Moguel Goyzueta. Secretario: Gonzalo Carrera Molina.</w:t>
      </w:r>
    </w:p>
    <w:p w:rsidR="006060AA" w:rsidRPr="00977575" w:rsidRDefault="006060AA" w:rsidP="006060AA">
      <w:pPr>
        <w:shd w:val="clear" w:color="auto" w:fill="FFFFFF"/>
        <w:spacing w:line="276" w:lineRule="auto"/>
        <w:ind w:left="851" w:right="902"/>
        <w:jc w:val="both"/>
        <w:rPr>
          <w:rFonts w:ascii="Palatino Linotype" w:hAnsi="Palatino Linotype" w:cs="Arial"/>
          <w:i/>
          <w:sz w:val="22"/>
          <w:szCs w:val="22"/>
        </w:rPr>
      </w:pPr>
      <w:r w:rsidRPr="00977575">
        <w:rPr>
          <w:rFonts w:ascii="Palatino Linotype" w:hAnsi="Palatino Linotype" w:cs="Arial"/>
          <w:i/>
          <w:sz w:val="22"/>
          <w:szCs w:val="22"/>
        </w:rPr>
        <w:t>Amparo directo 7/96. Pedro Vicente López Miro. 21 de febrero de 1996. Unanimidad de votos. Ponente: María Eugenia Estela Martínez Cardiel. Secretario: Enrique Baigts Muñoz.”</w:t>
      </w:r>
    </w:p>
    <w:p w:rsidR="006060AA" w:rsidRPr="00977575" w:rsidRDefault="006060AA" w:rsidP="006060AA">
      <w:pPr>
        <w:shd w:val="clear" w:color="auto" w:fill="FFFFFF"/>
        <w:spacing w:line="276" w:lineRule="auto"/>
        <w:ind w:right="902"/>
        <w:jc w:val="both"/>
        <w:rPr>
          <w:rFonts w:ascii="Palatino Linotype" w:hAnsi="Palatino Linotype" w:cs="Arial"/>
          <w:i/>
          <w:sz w:val="22"/>
          <w:szCs w:val="22"/>
        </w:rPr>
      </w:pPr>
    </w:p>
    <w:p w:rsidR="006060AA" w:rsidRPr="00977575" w:rsidRDefault="006060AA" w:rsidP="006060AA">
      <w:pPr>
        <w:shd w:val="clear" w:color="auto" w:fill="FFFFFF"/>
        <w:spacing w:line="360" w:lineRule="auto"/>
        <w:ind w:right="49"/>
        <w:jc w:val="both"/>
        <w:rPr>
          <w:rFonts w:ascii="Palatino Linotype" w:hAnsi="Palatino Linotype" w:cs="Arial"/>
        </w:rPr>
      </w:pPr>
      <w:r w:rsidRPr="00977575">
        <w:rPr>
          <w:rFonts w:ascii="Palatino Linotype" w:hAnsi="Palatino Linotype" w:cs="Arial"/>
        </w:rPr>
        <w:t>De igual forma, el Cuarto Tribunal Colegiado en Materia Administrativa del Primer Circuito señala:</w:t>
      </w:r>
    </w:p>
    <w:p w:rsidR="006060AA" w:rsidRPr="00977575" w:rsidRDefault="006060AA" w:rsidP="006060AA">
      <w:pPr>
        <w:shd w:val="clear" w:color="auto" w:fill="FFFFFF"/>
        <w:spacing w:line="276" w:lineRule="auto"/>
        <w:ind w:left="851" w:right="902"/>
        <w:jc w:val="both"/>
        <w:rPr>
          <w:rFonts w:ascii="Palatino Linotype" w:hAnsi="Palatino Linotype" w:cs="Arial"/>
          <w:i/>
          <w:sz w:val="22"/>
          <w:szCs w:val="22"/>
        </w:rPr>
      </w:pPr>
    </w:p>
    <w:p w:rsidR="006060AA" w:rsidRPr="00977575" w:rsidRDefault="006060AA" w:rsidP="006060A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w:t>
      </w:r>
      <w:r w:rsidRPr="00977575">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977575">
        <w:rPr>
          <w:rFonts w:ascii="Palatino Linotype" w:hAnsi="Palatino Linotype" w:cs="Arial"/>
          <w:i/>
          <w:color w:val="000000"/>
          <w:sz w:val="22"/>
        </w:rPr>
        <w:t xml:space="preserve">. El contenido formal de la garantía de legalidad prevista en el artículo </w:t>
      </w:r>
      <w:r w:rsidRPr="00977575">
        <w:rPr>
          <w:rFonts w:ascii="Palatino Linotype" w:hAnsi="Palatino Linotype" w:cs="Arial"/>
          <w:i/>
          <w:color w:val="000000"/>
          <w:sz w:val="22"/>
        </w:rPr>
        <w:lastRenderedPageBreak/>
        <w:t>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6060AA" w:rsidRPr="00977575" w:rsidRDefault="006060AA" w:rsidP="006060A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CUARTO TRIBUNAL COLEGIADO EN MATERIA ADMINISTRATIVA DEL PRIMER CIRCUITO.</w:t>
      </w:r>
    </w:p>
    <w:p w:rsidR="006060AA" w:rsidRPr="00977575" w:rsidRDefault="006060AA" w:rsidP="006060A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rsidR="006060AA" w:rsidRPr="00977575" w:rsidRDefault="006060AA" w:rsidP="006060A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Amparo en revisión 631/2005. Jesús Guillermo Mosqueda Martínez. 1o. de febrero de 2006. Unanimidad de votos. Ponente: Jean Claude Tron Petit. Secretaria: Alma Margarita Flores Rodríguez.</w:t>
      </w:r>
    </w:p>
    <w:p w:rsidR="006060AA" w:rsidRPr="00977575" w:rsidRDefault="006060AA" w:rsidP="006060A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Amparo directo 400/2005. Pemex Exploración y Producción. 9 de febrero de 2006. Unanimidad de votos. Ponente: Jesús Antonio Nazar Sevilla. Secretaria: Ángela Alvarado Morales.</w:t>
      </w:r>
    </w:p>
    <w:p w:rsidR="006060AA" w:rsidRPr="00977575" w:rsidRDefault="006060AA" w:rsidP="006060A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6060AA" w:rsidRDefault="006060AA" w:rsidP="006060A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A84D08" w:rsidRDefault="00ED28B3" w:rsidP="00A84D08">
      <w:pPr>
        <w:pStyle w:val="Textoindependiente2"/>
        <w:tabs>
          <w:tab w:val="left" w:pos="8172"/>
        </w:tabs>
        <w:spacing w:after="0" w:line="276" w:lineRule="auto"/>
        <w:ind w:right="902"/>
        <w:contextualSpacing/>
        <w:jc w:val="both"/>
        <w:rPr>
          <w:rFonts w:ascii="Palatino Linotype" w:hAnsi="Palatino Linotype" w:cs="Arial"/>
          <w:i/>
          <w:color w:val="000000"/>
          <w:sz w:val="22"/>
        </w:rPr>
      </w:pPr>
      <w:r>
        <w:rPr>
          <w:rFonts w:ascii="Palatino Linotype" w:hAnsi="Palatino Linotype" w:cs="Arial"/>
          <w:i/>
          <w:noProof/>
          <w:color w:val="000000"/>
          <w:sz w:val="22"/>
          <w:lang w:val="es-MX" w:eastAsia="es-MX"/>
        </w:rPr>
        <mc:AlternateContent>
          <mc:Choice Requires="wps">
            <w:drawing>
              <wp:anchor distT="0" distB="0" distL="114300" distR="114300" simplePos="0" relativeHeight="251666432" behindDoc="0" locked="0" layoutInCell="1" allowOverlap="1">
                <wp:simplePos x="0" y="0"/>
                <wp:positionH relativeFrom="column">
                  <wp:posOffset>43815</wp:posOffset>
                </wp:positionH>
                <wp:positionV relativeFrom="paragraph">
                  <wp:posOffset>60325</wp:posOffset>
                </wp:positionV>
                <wp:extent cx="5715000" cy="666750"/>
                <wp:effectExtent l="38100" t="38100" r="76200" b="95250"/>
                <wp:wrapNone/>
                <wp:docPr id="13" name="Conector recto 13"/>
                <wp:cNvGraphicFramePr/>
                <a:graphic xmlns:a="http://schemas.openxmlformats.org/drawingml/2006/main">
                  <a:graphicData uri="http://schemas.microsoft.com/office/word/2010/wordprocessingShape">
                    <wps:wsp>
                      <wps:cNvCnPr/>
                      <wps:spPr>
                        <a:xfrm>
                          <a:off x="0" y="0"/>
                          <a:ext cx="5715000" cy="666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EE7B5E" id="Conector recto 1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45pt,4.75pt" to="453.4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" strokecolor="#4f81bd [3204]" strokeweight="2pt">
                <v:shadow on="t" color="black" opacity="24903f" origin=",.5" offset="0,.55556mm"/>
              </v:line>
            </w:pict>
          </mc:Fallback>
        </mc:AlternateContent>
      </w:r>
    </w:p>
    <w:p w:rsidR="00ED28B3" w:rsidRDefault="00ED28B3" w:rsidP="000F3CC8">
      <w:pPr>
        <w:autoSpaceDE w:val="0"/>
        <w:autoSpaceDN w:val="0"/>
        <w:adjustRightInd w:val="0"/>
        <w:spacing w:line="360" w:lineRule="auto"/>
        <w:ind w:right="-93"/>
        <w:jc w:val="both"/>
        <w:rPr>
          <w:rFonts w:ascii="Palatino Linotype" w:hAnsi="Palatino Linotype" w:cs="Arial"/>
          <w:bCs/>
        </w:rPr>
      </w:pPr>
    </w:p>
    <w:p w:rsidR="00ED28B3" w:rsidRPr="00ED28B3" w:rsidRDefault="00ED28B3" w:rsidP="000F3CC8">
      <w:pPr>
        <w:autoSpaceDE w:val="0"/>
        <w:autoSpaceDN w:val="0"/>
        <w:adjustRightInd w:val="0"/>
        <w:spacing w:line="360" w:lineRule="auto"/>
        <w:ind w:right="-93"/>
        <w:jc w:val="both"/>
        <w:rPr>
          <w:rFonts w:ascii="Palatino Linotype" w:hAnsi="Palatino Linotype" w:cs="Arial"/>
          <w:bCs/>
          <w:sz w:val="18"/>
          <w:szCs w:val="18"/>
        </w:rPr>
      </w:pPr>
    </w:p>
    <w:p w:rsidR="000F3CC8" w:rsidRPr="000F3CC8" w:rsidRDefault="000F3CC8" w:rsidP="000F3CC8">
      <w:pPr>
        <w:autoSpaceDE w:val="0"/>
        <w:autoSpaceDN w:val="0"/>
        <w:adjustRightInd w:val="0"/>
        <w:spacing w:line="360" w:lineRule="auto"/>
        <w:ind w:right="-93"/>
        <w:jc w:val="both"/>
        <w:rPr>
          <w:rFonts w:ascii="Palatino Linotype" w:hAnsi="Palatino Linotype" w:cs="Arial"/>
          <w:bCs/>
        </w:rPr>
      </w:pPr>
      <w:r w:rsidRPr="000F3CC8">
        <w:rPr>
          <w:rFonts w:ascii="Palatino Linotype" w:hAnsi="Palatino Linotype" w:cs="Arial"/>
          <w:bCs/>
        </w:rPr>
        <w:t>Debiendo cumplir las formalidades expuestas en el presente medio de impugnación, en concordancia con los artículos 3, que dispone:</w:t>
      </w:r>
    </w:p>
    <w:p w:rsidR="000F3CC8" w:rsidRPr="00205F40" w:rsidRDefault="000F3CC8" w:rsidP="000F3CC8">
      <w:pPr>
        <w:autoSpaceDE w:val="0"/>
        <w:autoSpaceDN w:val="0"/>
        <w:adjustRightInd w:val="0"/>
        <w:spacing w:line="360" w:lineRule="auto"/>
        <w:ind w:left="851" w:right="899"/>
        <w:jc w:val="both"/>
        <w:rPr>
          <w:rFonts w:ascii="Palatino Linotype" w:hAnsi="Palatino Linotype" w:cs="Arial"/>
          <w:i/>
          <w:sz w:val="22"/>
          <w:szCs w:val="22"/>
        </w:rPr>
      </w:pPr>
      <w:r w:rsidRPr="00205F40">
        <w:rPr>
          <w:rFonts w:ascii="Palatino Linotype" w:hAnsi="Palatino Linotype" w:cs="Arial"/>
          <w:b/>
          <w:bCs/>
          <w:i/>
          <w:sz w:val="22"/>
          <w:szCs w:val="22"/>
        </w:rPr>
        <w:t xml:space="preserve">“Artículo 3. </w:t>
      </w:r>
      <w:r w:rsidRPr="00205F40">
        <w:rPr>
          <w:rFonts w:ascii="Palatino Linotype" w:hAnsi="Palatino Linotype" w:cs="Arial"/>
          <w:i/>
          <w:sz w:val="22"/>
          <w:szCs w:val="22"/>
        </w:rPr>
        <w:t>Para los efectos de la presente Ley se entenderá por:</w:t>
      </w:r>
    </w:p>
    <w:p w:rsidR="000F3CC8" w:rsidRPr="00205F40" w:rsidRDefault="000F3CC8" w:rsidP="000F3CC8">
      <w:pPr>
        <w:autoSpaceDE w:val="0"/>
        <w:autoSpaceDN w:val="0"/>
        <w:adjustRightInd w:val="0"/>
        <w:ind w:left="851" w:right="899"/>
        <w:jc w:val="both"/>
        <w:rPr>
          <w:rFonts w:ascii="Palatino Linotype" w:hAnsi="Palatino Linotype" w:cs="Arial"/>
          <w:i/>
          <w:sz w:val="22"/>
          <w:szCs w:val="22"/>
        </w:rPr>
      </w:pPr>
      <w:r w:rsidRPr="00205F40">
        <w:rPr>
          <w:rFonts w:ascii="Palatino Linotype" w:hAnsi="Palatino Linotype" w:cs="Arial"/>
          <w:b/>
          <w:bCs/>
          <w:i/>
          <w:sz w:val="22"/>
          <w:szCs w:val="22"/>
        </w:rPr>
        <w:t xml:space="preserve">XXXIII. Prueba de Daño: </w:t>
      </w:r>
      <w:r w:rsidRPr="00205F40">
        <w:rPr>
          <w:rFonts w:ascii="Palatino Linotype" w:hAnsi="Palatino Linotype" w:cs="Arial"/>
          <w:i/>
          <w:sz w:val="22"/>
          <w:szCs w:val="22"/>
        </w:rPr>
        <w:t>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rsidR="000F3CC8" w:rsidRPr="000F3CC8" w:rsidRDefault="000F3CC8" w:rsidP="000F3CC8">
      <w:pPr>
        <w:spacing w:line="360" w:lineRule="auto"/>
        <w:jc w:val="both"/>
        <w:rPr>
          <w:rFonts w:ascii="Palatino Linotype" w:hAnsi="Palatino Linotype"/>
          <w:color w:val="222222"/>
          <w:sz w:val="10"/>
        </w:rPr>
      </w:pPr>
    </w:p>
    <w:p w:rsidR="000F3CC8" w:rsidRDefault="000F3CC8" w:rsidP="000F3CC8">
      <w:pPr>
        <w:spacing w:line="360" w:lineRule="auto"/>
        <w:jc w:val="both"/>
        <w:rPr>
          <w:rFonts w:ascii="Palatino Linotype" w:hAnsi="Palatino Linotype"/>
          <w:color w:val="222222"/>
        </w:rPr>
      </w:pPr>
      <w:r w:rsidRPr="000F3CC8">
        <w:rPr>
          <w:rFonts w:ascii="Palatino Linotype" w:hAnsi="Palatino Linotype"/>
          <w:color w:val="222222"/>
        </w:rPr>
        <w:t xml:space="preserve">De igual forma, deberá señalar lo que disponen los </w:t>
      </w:r>
      <w:r w:rsidRPr="000F3CC8">
        <w:rPr>
          <w:rFonts w:ascii="Palatino Linotype" w:hAnsi="Palatino Linotype" w:cs="Arial"/>
        </w:rPr>
        <w:t>Lineamientos Generales en Materia de Clasificación y Desclasificación de la Información, así como para la Elaboración de Versiones Públicas</w:t>
      </w:r>
      <w:r w:rsidRPr="000F3CC8">
        <w:rPr>
          <w:rFonts w:ascii="Palatino Linotype" w:hAnsi="Palatino Linotype"/>
          <w:color w:val="222222"/>
        </w:rPr>
        <w:t>, cumpliendo lo siguiente:</w:t>
      </w:r>
    </w:p>
    <w:p w:rsidR="00205F40" w:rsidRPr="000F3CC8" w:rsidRDefault="00205F40" w:rsidP="000F3CC8">
      <w:pPr>
        <w:spacing w:line="360" w:lineRule="auto"/>
        <w:jc w:val="both"/>
        <w:rPr>
          <w:rFonts w:ascii="Palatino Linotype" w:hAnsi="Palatino Linotype"/>
          <w:color w:val="222222"/>
        </w:rPr>
      </w:pPr>
    </w:p>
    <w:p w:rsidR="00205F40" w:rsidRDefault="000F3CC8" w:rsidP="00205F40">
      <w:pPr>
        <w:spacing w:line="276" w:lineRule="auto"/>
        <w:ind w:left="851" w:right="618"/>
        <w:jc w:val="both"/>
        <w:rPr>
          <w:rFonts w:ascii="Palatino Linotype" w:hAnsi="Palatino Linotype"/>
          <w:i/>
          <w:color w:val="2F2F2F"/>
          <w:sz w:val="22"/>
          <w:szCs w:val="22"/>
          <w:shd w:val="clear" w:color="auto" w:fill="FFFFFF"/>
        </w:rPr>
      </w:pPr>
      <w:r w:rsidRPr="000F3CC8">
        <w:rPr>
          <w:rFonts w:ascii="Palatino Linotype" w:hAnsi="Palatino Linotype"/>
          <w:b/>
          <w:i/>
          <w:color w:val="222222"/>
        </w:rPr>
        <w:t>“</w:t>
      </w:r>
      <w:r w:rsidR="00205F40" w:rsidRPr="00205F40">
        <w:rPr>
          <w:rFonts w:ascii="Palatino Linotype" w:hAnsi="Palatino Linotype"/>
          <w:b/>
          <w:bCs/>
          <w:i/>
          <w:color w:val="2F2F2F"/>
          <w:sz w:val="22"/>
          <w:szCs w:val="22"/>
          <w:shd w:val="clear" w:color="auto" w:fill="FFFFFF"/>
        </w:rPr>
        <w:t>Vigésimo tercero.</w:t>
      </w:r>
      <w:r w:rsidR="00205F40" w:rsidRPr="00205F40">
        <w:rPr>
          <w:rFonts w:ascii="Palatino Linotype" w:hAnsi="Palatino Linotype"/>
          <w:i/>
          <w:color w:val="2F2F2F"/>
          <w:sz w:val="22"/>
          <w:szCs w:val="22"/>
          <w:shd w:val="clear" w:color="auto" w:fill="FFFFFF"/>
        </w:rPr>
        <w:t> Para clasificar la información como reservada, de conformidad con el artículo 113, fracción V de la Ley General, será necesario acreditar un vínculo, entre la persona física y la información que pueda poner en riesgo su vida, seguridad o salud.</w:t>
      </w:r>
    </w:p>
    <w:p w:rsidR="00205F40" w:rsidRPr="00205F40" w:rsidRDefault="00205F40" w:rsidP="00205F40">
      <w:pPr>
        <w:spacing w:line="276" w:lineRule="auto"/>
        <w:ind w:left="851" w:right="618"/>
        <w:jc w:val="both"/>
        <w:rPr>
          <w:rFonts w:ascii="Palatino Linotype" w:hAnsi="Palatino Linotype"/>
          <w:b/>
          <w:i/>
          <w:color w:val="222222"/>
          <w:sz w:val="22"/>
          <w:szCs w:val="22"/>
        </w:rPr>
      </w:pPr>
    </w:p>
    <w:p w:rsidR="000F3CC8" w:rsidRPr="000F3CC8" w:rsidRDefault="000F3CC8" w:rsidP="000F3CC8">
      <w:pPr>
        <w:spacing w:line="276" w:lineRule="auto"/>
        <w:ind w:left="851" w:right="618"/>
        <w:jc w:val="both"/>
        <w:rPr>
          <w:rFonts w:ascii="Palatino Linotype" w:hAnsi="Palatino Linotype"/>
          <w:i/>
          <w:color w:val="222222"/>
        </w:rPr>
      </w:pPr>
      <w:r w:rsidRPr="000F3CC8">
        <w:rPr>
          <w:rFonts w:ascii="Palatino Linotype" w:hAnsi="Palatino Linotype"/>
          <w:b/>
          <w:i/>
          <w:color w:val="222222"/>
        </w:rPr>
        <w:t xml:space="preserve">Trigésimo tercero. </w:t>
      </w:r>
      <w:r w:rsidRPr="000F3CC8">
        <w:rPr>
          <w:rFonts w:ascii="Palatino Linotype" w:hAnsi="Palatino Linotype"/>
          <w:i/>
          <w:color w:val="222222"/>
        </w:rPr>
        <w:t>Para la aplicación de la prueba de daño a la que hace referencia el artículo 104 de la Ley General, los sujetos obligados atenderán lo siguiente:</w:t>
      </w:r>
    </w:p>
    <w:p w:rsidR="000F3CC8" w:rsidRPr="000F3CC8" w:rsidRDefault="000F3CC8" w:rsidP="000F3CC8">
      <w:pPr>
        <w:spacing w:line="276" w:lineRule="auto"/>
        <w:ind w:left="851" w:right="618"/>
        <w:jc w:val="both"/>
        <w:rPr>
          <w:rFonts w:ascii="Palatino Linotype" w:hAnsi="Palatino Linotype"/>
          <w:i/>
          <w:color w:val="222222"/>
        </w:rPr>
      </w:pPr>
      <w:r w:rsidRPr="000F3CC8">
        <w:rPr>
          <w:rFonts w:ascii="Palatino Linotype" w:hAnsi="Palatino Linotype"/>
          <w:i/>
          <w:color w:val="222222"/>
        </w:rPr>
        <w:t>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rsidR="000F3CC8" w:rsidRPr="000F3CC8" w:rsidRDefault="000F3CC8" w:rsidP="000F3CC8">
      <w:pPr>
        <w:spacing w:line="276" w:lineRule="auto"/>
        <w:ind w:left="851" w:right="618"/>
        <w:jc w:val="both"/>
        <w:rPr>
          <w:rFonts w:ascii="Palatino Linotype" w:hAnsi="Palatino Linotype"/>
          <w:i/>
          <w:color w:val="222222"/>
        </w:rPr>
      </w:pPr>
      <w:r w:rsidRPr="000F3CC8">
        <w:rPr>
          <w:rFonts w:ascii="Palatino Linotype" w:hAnsi="Palatino Linotype"/>
          <w:i/>
          <w:color w:val="222222"/>
        </w:rPr>
        <w:t>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rsidR="000F3CC8" w:rsidRPr="000F3CC8" w:rsidRDefault="000F3CC8" w:rsidP="000F3CC8">
      <w:pPr>
        <w:spacing w:line="276" w:lineRule="auto"/>
        <w:ind w:left="851" w:right="618"/>
        <w:jc w:val="both"/>
        <w:rPr>
          <w:rFonts w:ascii="Palatino Linotype" w:hAnsi="Palatino Linotype"/>
          <w:i/>
          <w:color w:val="222222"/>
        </w:rPr>
      </w:pPr>
      <w:r w:rsidRPr="000F3CC8">
        <w:rPr>
          <w:rFonts w:ascii="Palatino Linotype" w:hAnsi="Palatino Linotype"/>
          <w:i/>
          <w:color w:val="222222"/>
        </w:rPr>
        <w:t>III.      Se debe de acreditar el vínculo entre la difusión de la información y la afectación del interés jurídico tutelado de que se trate;</w:t>
      </w:r>
    </w:p>
    <w:p w:rsidR="000F3CC8" w:rsidRPr="000F3CC8" w:rsidRDefault="000F3CC8" w:rsidP="000F3CC8">
      <w:pPr>
        <w:spacing w:line="276" w:lineRule="auto"/>
        <w:ind w:left="851" w:right="618"/>
        <w:jc w:val="both"/>
        <w:rPr>
          <w:rFonts w:ascii="Palatino Linotype" w:hAnsi="Palatino Linotype"/>
          <w:i/>
          <w:color w:val="222222"/>
        </w:rPr>
      </w:pPr>
      <w:r w:rsidRPr="000F3CC8">
        <w:rPr>
          <w:rFonts w:ascii="Palatino Linotype" w:hAnsi="Palatino Linotype"/>
          <w:i/>
          <w:color w:val="222222"/>
        </w:rPr>
        <w:lastRenderedPageBreak/>
        <w:t>IV.      Precisar las razones objetivas por las que la apertura de la información generaría una afectación, a través de los elementos de un riesgo real, demostrable e identificable;</w:t>
      </w:r>
    </w:p>
    <w:p w:rsidR="000F3CC8" w:rsidRPr="000F3CC8" w:rsidRDefault="000F3CC8" w:rsidP="000F3CC8">
      <w:pPr>
        <w:spacing w:line="276" w:lineRule="auto"/>
        <w:ind w:left="851" w:right="618"/>
        <w:jc w:val="both"/>
        <w:rPr>
          <w:rFonts w:ascii="Palatino Linotype" w:hAnsi="Palatino Linotype"/>
          <w:i/>
          <w:color w:val="222222"/>
        </w:rPr>
      </w:pPr>
      <w:r w:rsidRPr="000F3CC8">
        <w:rPr>
          <w:rFonts w:ascii="Palatino Linotype" w:hAnsi="Palatino Linotype"/>
          <w:i/>
          <w:color w:val="222222"/>
        </w:rPr>
        <w:t>V.       En la motivación de la clasificación, el sujeto obligado deberá acreditar las circunstancias de modo, tiempo y lugar del daño, y</w:t>
      </w:r>
    </w:p>
    <w:p w:rsidR="000F3CC8" w:rsidRPr="000F3CC8" w:rsidRDefault="000F3CC8" w:rsidP="000F3CC8">
      <w:pPr>
        <w:spacing w:line="276" w:lineRule="auto"/>
        <w:ind w:left="851" w:right="618"/>
        <w:jc w:val="both"/>
        <w:rPr>
          <w:rFonts w:ascii="Palatino Linotype" w:hAnsi="Palatino Linotype"/>
          <w:i/>
          <w:color w:val="222222"/>
        </w:rPr>
      </w:pPr>
      <w:r w:rsidRPr="000F3CC8">
        <w:rPr>
          <w:rFonts w:ascii="Palatino Linotype" w:hAnsi="Palatino Linotype"/>
          <w:i/>
          <w:color w:val="222222"/>
        </w:rPr>
        <w:t>VI.      Deberán elegir la opción de excepción al acceso a la información que menos lo restrinja, la cual será adecuada y proporcional para la protección del interés público, y deberá interferir lo menos</w:t>
      </w:r>
      <w:r>
        <w:rPr>
          <w:rFonts w:ascii="Palatino Linotype" w:hAnsi="Palatino Linotype"/>
          <w:i/>
          <w:color w:val="222222"/>
        </w:rPr>
        <w:t xml:space="preserve"> </w:t>
      </w:r>
      <w:r w:rsidRPr="000F3CC8">
        <w:rPr>
          <w:rFonts w:ascii="Palatino Linotype" w:hAnsi="Palatino Linotype"/>
          <w:i/>
          <w:color w:val="222222"/>
        </w:rPr>
        <w:t>posible en el ejercicio efectivo del derecho de acceso a la información.”</w:t>
      </w:r>
    </w:p>
    <w:p w:rsidR="00EC3D70" w:rsidRDefault="00EC3D70" w:rsidP="00A84D08">
      <w:pPr>
        <w:widowControl w:val="0"/>
        <w:autoSpaceDE w:val="0"/>
        <w:autoSpaceDN w:val="0"/>
        <w:adjustRightInd w:val="0"/>
        <w:spacing w:line="360" w:lineRule="auto"/>
        <w:jc w:val="both"/>
        <w:rPr>
          <w:rFonts w:ascii="Palatino Linotype" w:eastAsia="Calibri" w:hAnsi="Palatino Linotype" w:cs="Arial"/>
        </w:rPr>
      </w:pPr>
    </w:p>
    <w:p w:rsidR="00205F40" w:rsidRDefault="00205F40" w:rsidP="00A84D0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Esto es, se debe acreditar el vínculo con la persona, ya que el trasparentar el nombre puede poner en riesgo y la integridad de los servidores públicos que desempeñan esta función</w:t>
      </w:r>
      <w:r w:rsidR="006F27DA">
        <w:rPr>
          <w:rFonts w:ascii="Palatino Linotype" w:eastAsia="Calibri" w:hAnsi="Palatino Linotype" w:cs="Arial"/>
        </w:rPr>
        <w:t>;</w:t>
      </w:r>
      <w:r>
        <w:rPr>
          <w:rFonts w:ascii="Palatino Linotype" w:eastAsia="Calibri" w:hAnsi="Palatino Linotype" w:cs="Arial"/>
        </w:rPr>
        <w:t xml:space="preserve"> aunado en que</w:t>
      </w:r>
      <w:r w:rsidR="006F27DA">
        <w:rPr>
          <w:rFonts w:ascii="Palatino Linotype" w:eastAsia="Calibri" w:hAnsi="Palatino Linotype" w:cs="Arial"/>
        </w:rPr>
        <w:t>,</w:t>
      </w:r>
      <w:r>
        <w:rPr>
          <w:rFonts w:ascii="Palatino Linotype" w:eastAsia="Calibri" w:hAnsi="Palatino Linotype" w:cs="Arial"/>
        </w:rPr>
        <w:t xml:space="preserve"> de acuerdo con </w:t>
      </w:r>
      <w:r w:rsidRPr="00ED28B3">
        <w:rPr>
          <w:rFonts w:ascii="Palatino Linotype" w:eastAsia="Calibri" w:hAnsi="Palatino Linotype" w:cs="Arial"/>
        </w:rPr>
        <w:t>el Informe Justificado</w:t>
      </w:r>
      <w:r>
        <w:rPr>
          <w:rFonts w:ascii="Palatino Linotype" w:eastAsia="Calibri" w:hAnsi="Palatino Linotype" w:cs="Arial"/>
        </w:rPr>
        <w:t xml:space="preserve"> en el que refiere resoluciones del Instituto Nacional de Transparencia, Acceso a la </w:t>
      </w:r>
      <w:r w:rsidR="006F27DA">
        <w:rPr>
          <w:rFonts w:ascii="Palatino Linotype" w:eastAsia="Calibri" w:hAnsi="Palatino Linotype" w:cs="Arial"/>
        </w:rPr>
        <w:t>Información</w:t>
      </w:r>
      <w:r>
        <w:rPr>
          <w:rFonts w:ascii="Palatino Linotype" w:eastAsia="Calibri" w:hAnsi="Palatino Linotype" w:cs="Arial"/>
        </w:rPr>
        <w:t xml:space="preserve"> y Protección de Datos P</w:t>
      </w:r>
      <w:r w:rsidR="006F27DA">
        <w:rPr>
          <w:rFonts w:ascii="Palatino Linotype" w:eastAsia="Calibri" w:hAnsi="Palatino Linotype" w:cs="Arial"/>
        </w:rPr>
        <w:t>ersonales, que clasifican la información de los nombre contribuye a salvaguardar los datos personales y evitar con ello posibles daños que puedan repercutir en el actuar de las funciones que desempeñan en beneficio de las actividades que se encuentran realizando, como lo es el evaluar el actuar de los servidores que realizan actividades de seguridad pública.</w:t>
      </w:r>
    </w:p>
    <w:p w:rsidR="006F27DA" w:rsidRDefault="006F27DA" w:rsidP="00A84D08">
      <w:pPr>
        <w:widowControl w:val="0"/>
        <w:autoSpaceDE w:val="0"/>
        <w:autoSpaceDN w:val="0"/>
        <w:adjustRightInd w:val="0"/>
        <w:spacing w:line="360" w:lineRule="auto"/>
        <w:jc w:val="both"/>
        <w:rPr>
          <w:rFonts w:ascii="Palatino Linotype" w:eastAsia="Calibri" w:hAnsi="Palatino Linotype" w:cs="Arial"/>
        </w:rPr>
      </w:pPr>
    </w:p>
    <w:p w:rsidR="00EC3D70" w:rsidRDefault="000F3CC8" w:rsidP="00A84D0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Por lo anterior, es dable ordenar el Acuerdo de Clasificación como reservada de la información de los nombres que realizan las actividades evaluadora</w:t>
      </w:r>
      <w:r w:rsidR="00205F40">
        <w:rPr>
          <w:rFonts w:ascii="Palatino Linotype" w:eastAsia="Calibri" w:hAnsi="Palatino Linotype" w:cs="Arial"/>
        </w:rPr>
        <w:t>s que no desempeñen un mando medio o superior</w:t>
      </w:r>
      <w:r>
        <w:rPr>
          <w:rFonts w:ascii="Palatino Linotype" w:eastAsia="Calibri" w:hAnsi="Palatino Linotype" w:cs="Arial"/>
        </w:rPr>
        <w:t>, de acuerdo con su</w:t>
      </w:r>
      <w:r w:rsidR="00205F40">
        <w:rPr>
          <w:rFonts w:ascii="Palatino Linotype" w:eastAsia="Calibri" w:hAnsi="Palatino Linotype" w:cs="Arial"/>
        </w:rPr>
        <w:t>s</w:t>
      </w:r>
      <w:r>
        <w:rPr>
          <w:rFonts w:ascii="Palatino Linotype" w:eastAsia="Calibri" w:hAnsi="Palatino Linotype" w:cs="Arial"/>
        </w:rPr>
        <w:t xml:space="preserve"> </w:t>
      </w:r>
      <w:r w:rsidR="00E13560">
        <w:rPr>
          <w:rFonts w:ascii="Palatino Linotype" w:eastAsia="Calibri" w:hAnsi="Palatino Linotype" w:cs="Arial"/>
        </w:rPr>
        <w:t>atribuciones</w:t>
      </w:r>
      <w:r>
        <w:rPr>
          <w:rFonts w:ascii="Palatino Linotype" w:eastAsia="Calibri" w:hAnsi="Palatino Linotype" w:cs="Arial"/>
        </w:rPr>
        <w:t xml:space="preserve"> y funciones ya insertan en el cuerpo de la presente.</w:t>
      </w:r>
    </w:p>
    <w:p w:rsidR="000F3CC8" w:rsidRDefault="000F3CC8" w:rsidP="00A84D08">
      <w:pPr>
        <w:widowControl w:val="0"/>
        <w:autoSpaceDE w:val="0"/>
        <w:autoSpaceDN w:val="0"/>
        <w:adjustRightInd w:val="0"/>
        <w:spacing w:line="360" w:lineRule="auto"/>
        <w:jc w:val="both"/>
        <w:rPr>
          <w:rFonts w:ascii="Palatino Linotype" w:eastAsia="Calibri" w:hAnsi="Palatino Linotype" w:cs="Arial"/>
        </w:rPr>
      </w:pPr>
    </w:p>
    <w:p w:rsidR="000F3CC8" w:rsidRDefault="000F3CC8" w:rsidP="00A84D0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 xml:space="preserve">Asimismo, se ordena entregar el nombre de aquellos servidores públicos que no realizan las actividades y que se encuentran adscritas al Centro de Control de </w:t>
      </w:r>
      <w:r>
        <w:rPr>
          <w:rFonts w:ascii="Palatino Linotype" w:eastAsia="Calibri" w:hAnsi="Palatino Linotype" w:cs="Arial"/>
        </w:rPr>
        <w:lastRenderedPageBreak/>
        <w:t>Confianza</w:t>
      </w:r>
      <w:r w:rsidR="006F27DA">
        <w:rPr>
          <w:rFonts w:ascii="Palatino Linotype" w:eastAsia="Calibri" w:hAnsi="Palatino Linotype" w:cs="Arial"/>
        </w:rPr>
        <w:t xml:space="preserve"> al seis de agosto de dos mil diecinueve, ya que esto contribuye a transparentar la rendición de cuentas en el desempeño de las funciones que actúan dentro del Centro de Control de Confianza del Estado de México, ya que si bien son acciones que realizan, también lo es, que son servidores sujetos al escrutinio de la sociedad que demanda que se encuentren apegadas a derecho y conlleva a mejorar la calidad de las personas que dedican su actuación a mejorar las actividades policiales en beneficio de la población.</w:t>
      </w:r>
    </w:p>
    <w:p w:rsidR="000F3CC8" w:rsidRDefault="000F3CC8" w:rsidP="00A84D08">
      <w:pPr>
        <w:widowControl w:val="0"/>
        <w:autoSpaceDE w:val="0"/>
        <w:autoSpaceDN w:val="0"/>
        <w:adjustRightInd w:val="0"/>
        <w:spacing w:line="360" w:lineRule="auto"/>
        <w:jc w:val="both"/>
        <w:rPr>
          <w:rFonts w:ascii="Palatino Linotype" w:eastAsia="Calibri" w:hAnsi="Palatino Linotype" w:cs="Arial"/>
        </w:rPr>
      </w:pPr>
    </w:p>
    <w:p w:rsidR="006F27DA" w:rsidRDefault="006F27DA" w:rsidP="00A84D0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 xml:space="preserve">No se omite referir, que no se puede confirmar su clasificación total de los nombres, toda vez que </w:t>
      </w:r>
      <w:r w:rsidRPr="009A449D">
        <w:rPr>
          <w:rFonts w:ascii="Palatino Linotype" w:eastAsia="Calibri" w:hAnsi="Palatino Linotype" w:cs="Arial"/>
          <w:b/>
        </w:rPr>
        <w:t>EL SUJETO OBLIGADO</w:t>
      </w:r>
      <w:r>
        <w:rPr>
          <w:rFonts w:ascii="Palatino Linotype" w:eastAsia="Calibri" w:hAnsi="Palatino Linotype" w:cs="Arial"/>
        </w:rPr>
        <w:t xml:space="preserve"> realizó una protección de los nombres en su totalidad; sin embargo, de la revisión a la página de Información Pública Mexiquense</w:t>
      </w:r>
      <w:r w:rsidR="00E14FBB">
        <w:rPr>
          <w:rFonts w:ascii="Palatino Linotype" w:eastAsia="Calibri" w:hAnsi="Palatino Linotype" w:cs="Arial"/>
        </w:rPr>
        <w:t xml:space="preserve"> </w:t>
      </w:r>
      <w:r w:rsidR="00ED28B3">
        <w:rPr>
          <w:rFonts w:ascii="Palatino Linotype" w:eastAsia="Calibri" w:hAnsi="Palatino Linotype" w:cs="Arial"/>
        </w:rPr>
        <w:t>IPOMEX</w:t>
      </w:r>
      <w:r>
        <w:rPr>
          <w:rFonts w:ascii="Palatino Linotype" w:eastAsia="Calibri" w:hAnsi="Palatino Linotype" w:cs="Arial"/>
        </w:rPr>
        <w:t xml:space="preserve"> y de la respuesta se desprende el nombre de los servidores públicos que ostentan mandos medios y superiores por lo que resulta contradictorio por una parte clasificar la totalidad de los nombres y por la otra </w:t>
      </w:r>
      <w:r w:rsidR="00E14FBB">
        <w:rPr>
          <w:rFonts w:ascii="Palatino Linotype" w:eastAsia="Calibri" w:hAnsi="Palatino Linotype" w:cs="Arial"/>
        </w:rPr>
        <w:t>remitir a la página del IPOMEX para consulta de mandos medios y superiores.</w:t>
      </w:r>
    </w:p>
    <w:p w:rsidR="00E14FBB" w:rsidRDefault="00E14FBB" w:rsidP="00A84D08">
      <w:pPr>
        <w:widowControl w:val="0"/>
        <w:autoSpaceDE w:val="0"/>
        <w:autoSpaceDN w:val="0"/>
        <w:adjustRightInd w:val="0"/>
        <w:spacing w:line="360" w:lineRule="auto"/>
        <w:jc w:val="both"/>
        <w:rPr>
          <w:rFonts w:ascii="Palatino Linotype" w:eastAsia="Calibri" w:hAnsi="Palatino Linotype" w:cs="Arial"/>
        </w:rPr>
      </w:pPr>
    </w:p>
    <w:p w:rsidR="000F3CC8" w:rsidRDefault="00E14FBB" w:rsidP="00A84D0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69876</wp:posOffset>
                </wp:positionH>
                <wp:positionV relativeFrom="paragraph">
                  <wp:posOffset>880857</wp:posOffset>
                </wp:positionV>
                <wp:extent cx="5772501" cy="1851239"/>
                <wp:effectExtent l="38100" t="38100" r="57150" b="92075"/>
                <wp:wrapNone/>
                <wp:docPr id="1" name="Conector recto 1"/>
                <wp:cNvGraphicFramePr/>
                <a:graphic xmlns:a="http://schemas.openxmlformats.org/drawingml/2006/main">
                  <a:graphicData uri="http://schemas.microsoft.com/office/word/2010/wordprocessingShape">
                    <wps:wsp>
                      <wps:cNvCnPr/>
                      <wps:spPr>
                        <a:xfrm>
                          <a:off x="0" y="0"/>
                          <a:ext cx="5772501" cy="1851239"/>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1569BDC"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5pt,69.35pt" to="460.05pt,2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" strokecolor="red" strokeweight="2pt">
                <v:shadow on="t" color="black" opacity="24903f" origin=",.5" offset="0,.55556mm"/>
              </v:line>
            </w:pict>
          </mc:Fallback>
        </mc:AlternateContent>
      </w:r>
      <w:r w:rsidR="000F3CC8">
        <w:rPr>
          <w:rFonts w:ascii="Palatino Linotype" w:eastAsia="Calibri" w:hAnsi="Palatino Linotype" w:cs="Arial"/>
        </w:rPr>
        <w:t>En relación al sueldo</w:t>
      </w:r>
      <w:r w:rsidR="005732DE">
        <w:rPr>
          <w:rFonts w:ascii="Palatino Linotype" w:eastAsia="Calibri" w:hAnsi="Palatino Linotype" w:cs="Arial"/>
        </w:rPr>
        <w:t xml:space="preserve"> y tipo de plaza</w:t>
      </w:r>
      <w:r w:rsidR="000F3CC8">
        <w:rPr>
          <w:rFonts w:ascii="Palatino Linotype" w:eastAsia="Calibri" w:hAnsi="Palatino Linotype" w:cs="Arial"/>
        </w:rPr>
        <w:t xml:space="preserve"> de los servidores públicos adscritos al </w:t>
      </w:r>
      <w:r w:rsidR="000F3CC8" w:rsidRPr="005732DE">
        <w:rPr>
          <w:rFonts w:ascii="Palatino Linotype" w:eastAsia="Calibri" w:hAnsi="Palatino Linotype" w:cs="Arial"/>
          <w:b/>
        </w:rPr>
        <w:t>SUJETO OBLIGADO</w:t>
      </w:r>
      <w:r w:rsidR="000F3CC8">
        <w:rPr>
          <w:rFonts w:ascii="Palatino Linotype" w:eastAsia="Calibri" w:hAnsi="Palatino Linotype" w:cs="Arial"/>
        </w:rPr>
        <w:t xml:space="preserve"> en respuesta le adjunto el tabulador de sueldos como se muestra a continuación:</w:t>
      </w:r>
    </w:p>
    <w:p w:rsidR="000F3CC8" w:rsidRDefault="000F3CC8" w:rsidP="00A84D08">
      <w:pPr>
        <w:widowControl w:val="0"/>
        <w:autoSpaceDE w:val="0"/>
        <w:autoSpaceDN w:val="0"/>
        <w:adjustRightInd w:val="0"/>
        <w:spacing w:line="360" w:lineRule="auto"/>
        <w:jc w:val="both"/>
        <w:rPr>
          <w:rFonts w:ascii="Palatino Linotype" w:eastAsia="Calibri" w:hAnsi="Palatino Linotype" w:cs="Arial"/>
        </w:rPr>
      </w:pPr>
      <w:r>
        <w:rPr>
          <w:noProof/>
          <w:lang w:val="es-MX" w:eastAsia="es-MX"/>
        </w:rPr>
        <w:lastRenderedPageBreak/>
        <w:drawing>
          <wp:inline distT="0" distB="0" distL="0" distR="0" wp14:anchorId="0A075509" wp14:editId="33CFADFD">
            <wp:extent cx="5744210" cy="7537193"/>
            <wp:effectExtent l="0" t="0" r="889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948" t="20602" r="34743" b="8166"/>
                    <a:stretch/>
                  </pic:blipFill>
                  <pic:spPr bwMode="auto">
                    <a:xfrm>
                      <a:off x="0" y="0"/>
                      <a:ext cx="5771754" cy="7573335"/>
                    </a:xfrm>
                    <a:prstGeom prst="rect">
                      <a:avLst/>
                    </a:prstGeom>
                    <a:ln>
                      <a:noFill/>
                    </a:ln>
                    <a:extLst>
                      <a:ext uri="{53640926-AAD7-44D8-BBD7-CCE9431645EC}">
                        <a14:shadowObscured xmlns:a14="http://schemas.microsoft.com/office/drawing/2010/main"/>
                      </a:ext>
                    </a:extLst>
                  </pic:spPr>
                </pic:pic>
              </a:graphicData>
            </a:graphic>
          </wp:inline>
        </w:drawing>
      </w:r>
    </w:p>
    <w:p w:rsidR="00E13560" w:rsidRDefault="00E13560" w:rsidP="00A84D08">
      <w:pPr>
        <w:widowControl w:val="0"/>
        <w:autoSpaceDE w:val="0"/>
        <w:autoSpaceDN w:val="0"/>
        <w:adjustRightInd w:val="0"/>
        <w:spacing w:line="360" w:lineRule="auto"/>
        <w:jc w:val="both"/>
        <w:rPr>
          <w:rFonts w:ascii="Palatino Linotype" w:eastAsia="Calibri" w:hAnsi="Palatino Linotype" w:cs="Arial"/>
        </w:rPr>
      </w:pPr>
      <w:r>
        <w:rPr>
          <w:noProof/>
          <w:lang w:val="es-MX" w:eastAsia="es-MX"/>
        </w:rPr>
        <w:lastRenderedPageBreak/>
        <w:drawing>
          <wp:inline distT="0" distB="0" distL="0" distR="0" wp14:anchorId="0BE81DFA" wp14:editId="179F07F2">
            <wp:extent cx="5731510" cy="5267325"/>
            <wp:effectExtent l="0" t="0" r="254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587" t="20764" r="34929" b="8009"/>
                    <a:stretch/>
                  </pic:blipFill>
                  <pic:spPr bwMode="auto">
                    <a:xfrm>
                      <a:off x="0" y="0"/>
                      <a:ext cx="5792335" cy="5323224"/>
                    </a:xfrm>
                    <a:prstGeom prst="rect">
                      <a:avLst/>
                    </a:prstGeom>
                    <a:ln>
                      <a:noFill/>
                    </a:ln>
                    <a:extLst>
                      <a:ext uri="{53640926-AAD7-44D8-BBD7-CCE9431645EC}">
                        <a14:shadowObscured xmlns:a14="http://schemas.microsoft.com/office/drawing/2010/main"/>
                      </a:ext>
                    </a:extLst>
                  </pic:spPr>
                </pic:pic>
              </a:graphicData>
            </a:graphic>
          </wp:inline>
        </w:drawing>
      </w:r>
    </w:p>
    <w:p w:rsidR="00ED28B3" w:rsidRPr="00ED28B3" w:rsidRDefault="00ED28B3" w:rsidP="00A84D08">
      <w:pPr>
        <w:widowControl w:val="0"/>
        <w:autoSpaceDE w:val="0"/>
        <w:autoSpaceDN w:val="0"/>
        <w:adjustRightInd w:val="0"/>
        <w:spacing w:line="360" w:lineRule="auto"/>
        <w:jc w:val="both"/>
        <w:rPr>
          <w:rFonts w:ascii="Palatino Linotype" w:eastAsia="Calibri" w:hAnsi="Palatino Linotype" w:cs="Arial"/>
          <w:sz w:val="18"/>
          <w:szCs w:val="18"/>
        </w:rPr>
      </w:pPr>
    </w:p>
    <w:p w:rsidR="00E13560" w:rsidRDefault="00E13560" w:rsidP="00A84D0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Es de lo anterior, que se colma el derecho de acceso a la información pública porque al allegarle la información que requirió bajo su derecho de acceso a la información pública es que se tiene po</w:t>
      </w:r>
      <w:r w:rsidR="005732DE">
        <w:rPr>
          <w:rFonts w:ascii="Palatino Linotype" w:eastAsia="Calibri" w:hAnsi="Palatino Linotype" w:cs="Arial"/>
        </w:rPr>
        <w:t>r garantizado el presente punto, de conformidad con el artículo 166 de la Ley de la materia:</w:t>
      </w:r>
    </w:p>
    <w:p w:rsidR="00E13560" w:rsidRPr="005732DE" w:rsidRDefault="005732DE" w:rsidP="005732DE">
      <w:pPr>
        <w:widowControl w:val="0"/>
        <w:autoSpaceDE w:val="0"/>
        <w:autoSpaceDN w:val="0"/>
        <w:adjustRightInd w:val="0"/>
        <w:spacing w:line="276" w:lineRule="auto"/>
        <w:ind w:left="851" w:right="899"/>
        <w:jc w:val="both"/>
        <w:rPr>
          <w:rFonts w:ascii="Palatino Linotype" w:eastAsia="Calibri" w:hAnsi="Palatino Linotype" w:cs="Arial"/>
          <w:i/>
          <w:sz w:val="22"/>
          <w:szCs w:val="22"/>
        </w:rPr>
      </w:pPr>
      <w:r w:rsidRPr="005732DE">
        <w:rPr>
          <w:rFonts w:ascii="Palatino Linotype" w:hAnsi="Palatino Linotype"/>
          <w:b/>
          <w:i/>
          <w:sz w:val="22"/>
          <w:szCs w:val="22"/>
        </w:rPr>
        <w:t>Artículo 166.</w:t>
      </w:r>
      <w:r w:rsidRPr="005732DE">
        <w:rPr>
          <w:rFonts w:ascii="Palatino Linotype" w:hAnsi="Palatino Linotype"/>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w:t>
      </w:r>
    </w:p>
    <w:p w:rsidR="005732DE" w:rsidRPr="009B2D36" w:rsidRDefault="005732DE" w:rsidP="005732DE">
      <w:pPr>
        <w:spacing w:before="240" w:after="240" w:line="360" w:lineRule="auto"/>
        <w:ind w:right="49"/>
        <w:jc w:val="both"/>
        <w:rPr>
          <w:rFonts w:ascii="Palatino Linotype" w:hAnsi="Palatino Linotype" w:cs="Arial"/>
        </w:rPr>
      </w:pPr>
      <w:r>
        <w:rPr>
          <w:rFonts w:ascii="Palatino Linotype" w:hAnsi="Palatino Linotype"/>
        </w:rPr>
        <w:lastRenderedPageBreak/>
        <w:t xml:space="preserve">Por otro lado y al haber manifestado el particular en su razones y motivos de inconformidad </w:t>
      </w:r>
      <w:r w:rsidRPr="003D5C63">
        <w:rPr>
          <w:rFonts w:ascii="Palatino Linotype" w:hAnsi="Palatino Linotype"/>
          <w:i/>
          <w:sz w:val="22"/>
          <w:szCs w:val="22"/>
        </w:rPr>
        <w:t>“. . .</w:t>
      </w:r>
      <w:r w:rsidRPr="005732DE">
        <w:t xml:space="preserve"> </w:t>
      </w:r>
      <w:r w:rsidRPr="005732DE">
        <w:rPr>
          <w:rFonts w:ascii="Palatino Linotype" w:hAnsi="Palatino Linotype"/>
          <w:i/>
          <w:sz w:val="22"/>
          <w:szCs w:val="22"/>
        </w:rPr>
        <w:t>a que el sujeto obligado al no entregar la Información que consta de ser de Acceso Público, da a expresar que existen anomalías y por eso niega dar a conocer lo solicitado.</w:t>
      </w:r>
      <w:r w:rsidRPr="003D5C63">
        <w:rPr>
          <w:rFonts w:ascii="Palatino Linotype" w:hAnsi="Palatino Linotype"/>
          <w:i/>
          <w:sz w:val="22"/>
          <w:szCs w:val="22"/>
        </w:rPr>
        <w:t>. . .</w:t>
      </w:r>
      <w:r>
        <w:rPr>
          <w:rFonts w:ascii="Palatino Linotype" w:hAnsi="Palatino Linotype"/>
          <w:i/>
        </w:rPr>
        <w:t xml:space="preserve">”  </w:t>
      </w:r>
      <w:r w:rsidRPr="009B2D36">
        <w:rPr>
          <w:rFonts w:ascii="Palatino Linotype" w:eastAsia="Arial Unicode MS" w:hAnsi="Palatino Linotype" w:cs="Arial"/>
        </w:rPr>
        <w:t xml:space="preserve">al respecto </w:t>
      </w:r>
      <w:r w:rsidRPr="009B2D36">
        <w:rPr>
          <w:rFonts w:ascii="Palatino Linotype" w:hAnsi="Palatino Linotype"/>
          <w:color w:val="000000"/>
        </w:rPr>
        <w:t xml:space="preserve">es de señalar que </w:t>
      </w:r>
      <w:r w:rsidRPr="009B2D36">
        <w:rPr>
          <w:rFonts w:ascii="Palatino Linotype" w:hAnsi="Palatino Linotype" w:cs="Arial"/>
        </w:rPr>
        <w:t xml:space="preserve">se trata de </w:t>
      </w:r>
      <w:r>
        <w:rPr>
          <w:rFonts w:ascii="Palatino Linotype" w:hAnsi="Palatino Linotype" w:cs="Arial"/>
        </w:rPr>
        <w:t>manifestaciones subjetivas, la cual no este Instituto no puede pronunciarse al respecto</w:t>
      </w:r>
      <w:r w:rsidR="006A23A4">
        <w:rPr>
          <w:rFonts w:ascii="Palatino Linotype" w:hAnsi="Palatino Linotype" w:cs="Arial"/>
        </w:rPr>
        <w:t>, motivo por el cual resultan parcialmente fundadas</w:t>
      </w:r>
    </w:p>
    <w:p w:rsidR="006A23A4" w:rsidRDefault="006A23A4" w:rsidP="006A23A4">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A3428D">
        <w:rPr>
          <w:rFonts w:ascii="Palatino Linotype" w:eastAsia="Calibri" w:hAnsi="Palatino Linotype" w:cs="Arial"/>
        </w:rPr>
        <w:t xml:space="preserve">Así, con </w:t>
      </w:r>
      <w:r w:rsidRPr="00A3428D">
        <w:rPr>
          <w:rFonts w:ascii="Palatino Linotype" w:hAnsi="Palatino Linotype" w:cs="Arial"/>
        </w:rPr>
        <w:t>fundamento</w:t>
      </w:r>
      <w:r w:rsidRPr="00A3428D">
        <w:rPr>
          <w:rFonts w:ascii="Palatino Linotype" w:eastAsia="Calibri" w:hAnsi="Palatino Linotype" w:cs="Arial"/>
        </w:rPr>
        <w:t xml:space="preserve"> en lo prescrito en los artículos 5, </w:t>
      </w:r>
      <w:r w:rsidRPr="00A3428D">
        <w:rPr>
          <w:rFonts w:ascii="Palatino Linotype" w:hAnsi="Palatino Linotype"/>
        </w:rPr>
        <w:t>párrafos vigésimo</w:t>
      </w:r>
      <w:r>
        <w:rPr>
          <w:rFonts w:ascii="Palatino Linotype" w:hAnsi="Palatino Linotype"/>
        </w:rPr>
        <w:t xml:space="preserve"> segundo</w:t>
      </w:r>
      <w:r w:rsidRPr="00A3428D">
        <w:rPr>
          <w:rFonts w:ascii="Palatino Linotype" w:hAnsi="Palatino Linotype"/>
        </w:rPr>
        <w:t xml:space="preserve">, vigésimo </w:t>
      </w:r>
      <w:r>
        <w:rPr>
          <w:rFonts w:ascii="Palatino Linotype" w:hAnsi="Palatino Linotype"/>
        </w:rPr>
        <w:t>tercero</w:t>
      </w:r>
      <w:r w:rsidRPr="00A3428D">
        <w:rPr>
          <w:rFonts w:ascii="Palatino Linotype" w:hAnsi="Palatino Linotype"/>
        </w:rPr>
        <w:t xml:space="preserve"> y vigésimo </w:t>
      </w:r>
      <w:r>
        <w:rPr>
          <w:rFonts w:ascii="Palatino Linotype" w:hAnsi="Palatino Linotype" w:cs="Arial"/>
        </w:rPr>
        <w:t>cuarto</w:t>
      </w:r>
      <w:r w:rsidRPr="00A3428D">
        <w:rPr>
          <w:rFonts w:ascii="Palatino Linotype" w:hAnsi="Palatino Linotype" w:cs="Arial"/>
        </w:rPr>
        <w:t>,</w:t>
      </w:r>
      <w:r w:rsidRPr="00A3428D">
        <w:rPr>
          <w:rFonts w:ascii="Palatino Linotype" w:hAnsi="Palatino Linotype"/>
        </w:rPr>
        <w:t xml:space="preserve"> fracciones IV y V,</w:t>
      </w:r>
      <w:r w:rsidRPr="00A3428D">
        <w:rPr>
          <w:rFonts w:ascii="Palatino Linotype" w:eastAsia="Calibri" w:hAnsi="Palatino Linotype" w:cs="Arial"/>
        </w:rPr>
        <w:t xml:space="preserve"> de la Constitución Política del Estado Libre y Soberano de México, y los artículos </w:t>
      </w:r>
      <w:r w:rsidRPr="00A3428D">
        <w:rPr>
          <w:rFonts w:ascii="Palatino Linotype" w:hAnsi="Palatino Linotype"/>
        </w:rPr>
        <w:t xml:space="preserve">2, </w:t>
      </w:r>
      <w:r w:rsidRPr="00A3428D">
        <w:rPr>
          <w:rFonts w:ascii="Palatino Linotype" w:hAnsi="Palatino Linotype" w:cs="Arial"/>
        </w:rPr>
        <w:t>fracción</w:t>
      </w:r>
      <w:r w:rsidRPr="00A3428D">
        <w:rPr>
          <w:rFonts w:ascii="Palatino Linotype" w:hAnsi="Palatino Linotype"/>
        </w:rPr>
        <w:t xml:space="preserve"> II, 9, </w:t>
      </w:r>
      <w:r w:rsidRPr="00A3428D">
        <w:rPr>
          <w:rFonts w:ascii="Palatino Linotype" w:hAnsi="Palatino Linotype" w:cs="Arial"/>
          <w:lang w:val="es-ES_tradnl"/>
        </w:rPr>
        <w:t>29</w:t>
      </w:r>
      <w:r w:rsidRPr="00A3428D">
        <w:rPr>
          <w:rFonts w:ascii="Palatino Linotype" w:hAnsi="Palatino Linotype"/>
        </w:rPr>
        <w:t>, 36, fracciones I y II, 176, 178, 179, 181, 185, fracción I, 186 y 188,</w:t>
      </w:r>
      <w:r w:rsidRPr="00A3428D">
        <w:rPr>
          <w:rFonts w:ascii="Palatino Linotype" w:eastAsia="Calibri" w:hAnsi="Palatino Linotype" w:cs="Arial"/>
        </w:rPr>
        <w:t xml:space="preserve"> de la Ley de Transparencia y Acceso a la Información Pública del Estado de México y </w:t>
      </w:r>
      <w:r w:rsidRPr="00A3428D">
        <w:rPr>
          <w:rFonts w:ascii="Palatino Linotype" w:hAnsi="Palatino Linotype" w:cs="Arial"/>
        </w:rPr>
        <w:t>Municipios</w:t>
      </w:r>
      <w:r w:rsidRPr="00A3428D">
        <w:rPr>
          <w:rFonts w:ascii="Palatino Linotype" w:eastAsia="Calibri" w:hAnsi="Palatino Linotype" w:cs="Arial"/>
        </w:rPr>
        <w:t xml:space="preserve">, </w:t>
      </w:r>
      <w:r w:rsidRPr="00A3428D">
        <w:rPr>
          <w:rFonts w:ascii="Palatino Linotype" w:hAnsi="Palatino Linotype"/>
        </w:rPr>
        <w:t>este</w:t>
      </w:r>
      <w:r w:rsidRPr="00A3428D">
        <w:rPr>
          <w:rFonts w:ascii="Palatino Linotype" w:eastAsia="Calibri" w:hAnsi="Palatino Linotype" w:cs="Arial"/>
        </w:rPr>
        <w:t xml:space="preserve"> Pleno:</w:t>
      </w:r>
    </w:p>
    <w:p w:rsidR="006A23A4" w:rsidRPr="00A3428D" w:rsidRDefault="006A23A4" w:rsidP="006A23A4">
      <w:pPr>
        <w:spacing w:before="360" w:after="240" w:line="360" w:lineRule="auto"/>
        <w:jc w:val="center"/>
        <w:rPr>
          <w:rFonts w:ascii="Palatino Linotype" w:hAnsi="Palatino Linotype"/>
          <w:b/>
          <w:bCs/>
          <w:spacing w:val="40"/>
          <w:sz w:val="28"/>
        </w:rPr>
      </w:pPr>
      <w:r w:rsidRPr="00A3428D">
        <w:rPr>
          <w:rFonts w:ascii="Palatino Linotype" w:hAnsi="Palatino Linotype"/>
          <w:b/>
          <w:bCs/>
          <w:spacing w:val="40"/>
          <w:sz w:val="28"/>
        </w:rPr>
        <w:t>RESUELVE</w:t>
      </w:r>
    </w:p>
    <w:p w:rsidR="006A23A4" w:rsidRPr="00CB4DE6" w:rsidRDefault="006A23A4" w:rsidP="006A23A4">
      <w:pPr>
        <w:spacing w:line="360" w:lineRule="auto"/>
        <w:jc w:val="both"/>
        <w:rPr>
          <w:rFonts w:ascii="Palatino Linotype" w:hAnsi="Palatino Linotype" w:cs="Arial"/>
        </w:rPr>
      </w:pPr>
      <w:r w:rsidRPr="00BA3ECA">
        <w:rPr>
          <w:rFonts w:ascii="Palatino Linotype" w:hAnsi="Palatino Linotype" w:cs="Arial"/>
          <w:b/>
          <w:color w:val="000000" w:themeColor="text1"/>
          <w:sz w:val="28"/>
        </w:rPr>
        <w:t xml:space="preserve">PRIMERO. </w:t>
      </w:r>
      <w:r w:rsidRPr="00CB4DE6">
        <w:rPr>
          <w:rFonts w:ascii="Palatino Linotype" w:hAnsi="Palatino Linotype" w:cs="Arial"/>
        </w:rPr>
        <w:t xml:space="preserve">Resultan </w:t>
      </w:r>
      <w:r w:rsidRPr="0063753C">
        <w:rPr>
          <w:rFonts w:ascii="Palatino Linotype" w:hAnsi="Palatino Linotype" w:cs="Arial"/>
          <w:b/>
        </w:rPr>
        <w:t>parcialmente</w:t>
      </w:r>
      <w:r>
        <w:rPr>
          <w:rFonts w:ascii="Palatino Linotype" w:hAnsi="Palatino Linotype" w:cs="Arial"/>
        </w:rPr>
        <w:t xml:space="preserve"> </w:t>
      </w:r>
      <w:r w:rsidRPr="00CB4DE6">
        <w:rPr>
          <w:rFonts w:ascii="Palatino Linotype" w:hAnsi="Palatino Linotype" w:cs="Arial"/>
          <w:b/>
        </w:rPr>
        <w:t>fundadas</w:t>
      </w:r>
      <w:r w:rsidRPr="00CB4DE6">
        <w:rPr>
          <w:rFonts w:ascii="Palatino Linotype" w:hAnsi="Palatino Linotype" w:cs="Arial"/>
        </w:rPr>
        <w:t xml:space="preserve"> las razones o motivos de inconformidad planteadas por </w:t>
      </w:r>
      <w:r>
        <w:rPr>
          <w:rFonts w:ascii="Palatino Linotype" w:hAnsi="Palatino Linotype" w:cs="Arial"/>
          <w:b/>
        </w:rPr>
        <w:t>LA</w:t>
      </w:r>
      <w:r w:rsidRPr="00CB4DE6">
        <w:rPr>
          <w:rFonts w:ascii="Palatino Linotype" w:hAnsi="Palatino Linotype" w:cs="Arial"/>
          <w:b/>
        </w:rPr>
        <w:t xml:space="preserve"> RECURRENTE</w:t>
      </w:r>
      <w:r w:rsidRPr="00CB4DE6">
        <w:rPr>
          <w:rFonts w:ascii="Palatino Linotype" w:hAnsi="Palatino Linotype" w:cs="Arial"/>
        </w:rPr>
        <w:t xml:space="preserve"> en el recurso de revisión </w:t>
      </w:r>
      <w:r w:rsidRPr="00CB4DE6">
        <w:rPr>
          <w:rFonts w:ascii="Palatino Linotype" w:hAnsi="Palatino Linotype" w:cs="Arial"/>
          <w:b/>
        </w:rPr>
        <w:t>0</w:t>
      </w:r>
      <w:r>
        <w:rPr>
          <w:rFonts w:ascii="Palatino Linotype" w:hAnsi="Palatino Linotype" w:cs="Arial"/>
          <w:b/>
        </w:rPr>
        <w:t>6947</w:t>
      </w:r>
      <w:r w:rsidRPr="00CB4DE6">
        <w:rPr>
          <w:rFonts w:ascii="Palatino Linotype" w:hAnsi="Palatino Linotype" w:cs="Arial"/>
          <w:b/>
        </w:rPr>
        <w:t xml:space="preserve">/INFOEM/IP/RR/2019 </w:t>
      </w:r>
      <w:r w:rsidRPr="00CB4DE6">
        <w:rPr>
          <w:rFonts w:ascii="Palatino Linotype" w:hAnsi="Palatino Linotype" w:cs="Arial"/>
        </w:rPr>
        <w:t xml:space="preserve">en términos del Considerando </w:t>
      </w:r>
      <w:r w:rsidRPr="00CB4DE6">
        <w:rPr>
          <w:rFonts w:ascii="Palatino Linotype" w:hAnsi="Palatino Linotype" w:cs="Arial"/>
          <w:b/>
        </w:rPr>
        <w:t>QUINTO</w:t>
      </w:r>
      <w:r w:rsidRPr="00CB4DE6">
        <w:rPr>
          <w:rFonts w:ascii="Palatino Linotype" w:hAnsi="Palatino Linotype" w:cs="Arial"/>
        </w:rPr>
        <w:t xml:space="preserve"> de esta Resolución.</w:t>
      </w:r>
    </w:p>
    <w:p w:rsidR="006A23A4" w:rsidRPr="0063753C" w:rsidRDefault="006A23A4" w:rsidP="006A23A4">
      <w:pPr>
        <w:spacing w:line="360" w:lineRule="auto"/>
        <w:jc w:val="both"/>
        <w:rPr>
          <w:rFonts w:ascii="Palatino Linotype" w:hAnsi="Palatino Linotype" w:cs="Arial"/>
          <w:b/>
          <w:color w:val="000000" w:themeColor="text1"/>
          <w:sz w:val="8"/>
        </w:rPr>
      </w:pPr>
    </w:p>
    <w:p w:rsidR="006A23A4" w:rsidRPr="00ED28B3" w:rsidRDefault="006A23A4" w:rsidP="006A23A4">
      <w:pPr>
        <w:spacing w:line="360" w:lineRule="auto"/>
        <w:jc w:val="both"/>
        <w:rPr>
          <w:rFonts w:ascii="Palatino Linotype" w:hAnsi="Palatino Linotype" w:cs="Arial"/>
        </w:rPr>
      </w:pPr>
      <w:r w:rsidRPr="00BA3ECA">
        <w:rPr>
          <w:rFonts w:ascii="Palatino Linotype" w:hAnsi="Palatino Linotype" w:cs="Arial"/>
          <w:b/>
          <w:color w:val="000000" w:themeColor="text1"/>
          <w:sz w:val="28"/>
        </w:rPr>
        <w:t>SEGUNDO</w:t>
      </w:r>
      <w:r>
        <w:rPr>
          <w:rFonts w:ascii="Palatino Linotype" w:hAnsi="Palatino Linotype" w:cs="Arial"/>
          <w:color w:val="000000" w:themeColor="text1"/>
          <w:sz w:val="28"/>
        </w:rPr>
        <w:t>.</w:t>
      </w:r>
      <w:r>
        <w:rPr>
          <w:rFonts w:ascii="Palatino Linotype" w:eastAsia="Calibri" w:hAnsi="Palatino Linotype" w:cs="Arial"/>
          <w:bCs/>
        </w:rPr>
        <w:t xml:space="preserve"> </w:t>
      </w:r>
      <w:r w:rsidRPr="00CB4DE6">
        <w:rPr>
          <w:rFonts w:ascii="Palatino Linotype" w:eastAsia="Calibri" w:hAnsi="Palatino Linotype" w:cs="Arial"/>
          <w:bCs/>
        </w:rPr>
        <w:t xml:space="preserve">Se </w:t>
      </w:r>
      <w:r w:rsidRPr="00CB4DE6">
        <w:rPr>
          <w:rFonts w:ascii="Palatino Linotype" w:eastAsia="Calibri" w:hAnsi="Palatino Linotype" w:cs="Arial"/>
          <w:b/>
          <w:bCs/>
        </w:rPr>
        <w:t>MODIFICA</w:t>
      </w:r>
      <w:r w:rsidRPr="00CB4DE6">
        <w:rPr>
          <w:rFonts w:ascii="Palatino Linotype" w:eastAsia="Calibri" w:hAnsi="Palatino Linotype" w:cs="Arial"/>
          <w:bCs/>
        </w:rPr>
        <w:t xml:space="preserve"> la respuesta y se </w:t>
      </w:r>
      <w:r w:rsidRPr="00CB4DE6">
        <w:rPr>
          <w:rFonts w:ascii="Palatino Linotype" w:eastAsia="Calibri" w:hAnsi="Palatino Linotype" w:cs="Arial"/>
          <w:b/>
          <w:bCs/>
        </w:rPr>
        <w:t>ordena</w:t>
      </w:r>
      <w:r w:rsidRPr="00CB4DE6">
        <w:rPr>
          <w:rFonts w:ascii="Palatino Linotype" w:eastAsia="Calibri" w:hAnsi="Palatino Linotype" w:cs="Arial"/>
          <w:bCs/>
        </w:rPr>
        <w:t xml:space="preserve"> al </w:t>
      </w:r>
      <w:r w:rsidRPr="00CB4DE6">
        <w:rPr>
          <w:rFonts w:ascii="Palatino Linotype" w:eastAsia="Calibri" w:hAnsi="Palatino Linotype" w:cs="Arial"/>
          <w:b/>
          <w:bCs/>
        </w:rPr>
        <w:t>SUJETO OBLIGADO</w:t>
      </w:r>
      <w:r w:rsidRPr="00CB4DE6">
        <w:rPr>
          <w:rFonts w:ascii="Palatino Linotype" w:eastAsia="Calibri" w:hAnsi="Palatino Linotype" w:cs="Arial"/>
          <w:bCs/>
        </w:rPr>
        <w:t xml:space="preserve"> atienda la solicitud de acceso a la información pública </w:t>
      </w:r>
      <w:r w:rsidRPr="006A23A4">
        <w:rPr>
          <w:rFonts w:ascii="Palatino Linotype" w:hAnsi="Palatino Linotype" w:cs="Arial"/>
          <w:b/>
        </w:rPr>
        <w:t>00047/CCCEM/IP/2019</w:t>
      </w:r>
      <w:r w:rsidR="009A449D">
        <w:rPr>
          <w:rFonts w:ascii="Palatino Linotype" w:hAnsi="Palatino Linotype" w:cs="Arial"/>
          <w:b/>
        </w:rPr>
        <w:t xml:space="preserve"> </w:t>
      </w:r>
      <w:r w:rsidRPr="00CB4DE6">
        <w:rPr>
          <w:rFonts w:ascii="Palatino Linotype" w:hAnsi="Palatino Linotype"/>
          <w:bCs/>
        </w:rPr>
        <w:t xml:space="preserve">y </w:t>
      </w:r>
      <w:r w:rsidRPr="00CB4DE6">
        <w:rPr>
          <w:rFonts w:ascii="Palatino Linotype" w:eastAsia="Calibri" w:hAnsi="Palatino Linotype" w:cs="Arial"/>
          <w:bCs/>
        </w:rPr>
        <w:t xml:space="preserve">en términos del Considerando </w:t>
      </w:r>
      <w:r w:rsidRPr="00CB4DE6">
        <w:rPr>
          <w:rFonts w:ascii="Palatino Linotype" w:eastAsia="Calibri" w:hAnsi="Palatino Linotype" w:cs="Arial"/>
          <w:b/>
          <w:bCs/>
        </w:rPr>
        <w:t>QUINTO</w:t>
      </w:r>
      <w:r>
        <w:rPr>
          <w:rFonts w:ascii="Palatino Linotype" w:eastAsia="Calibri" w:hAnsi="Palatino Linotype" w:cs="Arial"/>
          <w:bCs/>
        </w:rPr>
        <w:t xml:space="preserve">, haga entrega a </w:t>
      </w:r>
      <w:r w:rsidRPr="00F4078B">
        <w:rPr>
          <w:rFonts w:ascii="Palatino Linotype" w:eastAsia="Calibri" w:hAnsi="Palatino Linotype" w:cs="Arial"/>
          <w:b/>
          <w:bCs/>
        </w:rPr>
        <w:t>LA</w:t>
      </w:r>
      <w:r w:rsidRPr="00CB4DE6">
        <w:rPr>
          <w:rFonts w:ascii="Palatino Linotype" w:eastAsia="Calibri" w:hAnsi="Palatino Linotype" w:cs="Arial"/>
          <w:b/>
          <w:bCs/>
        </w:rPr>
        <w:t xml:space="preserve"> RECURRENTE</w:t>
      </w:r>
      <w:r w:rsidRPr="00CB4DE6">
        <w:rPr>
          <w:rFonts w:ascii="Palatino Linotype" w:eastAsia="Calibri" w:hAnsi="Palatino Linotype" w:cs="Arial"/>
          <w:bCs/>
        </w:rPr>
        <w:t xml:space="preserve">, vía el </w:t>
      </w:r>
      <w:r w:rsidRPr="00CB4DE6">
        <w:rPr>
          <w:rFonts w:ascii="Palatino Linotype" w:eastAsia="Calibri" w:hAnsi="Palatino Linotype" w:cs="Arial"/>
          <w:b/>
          <w:bCs/>
        </w:rPr>
        <w:t>SAIMEX</w:t>
      </w:r>
      <w:r w:rsidRPr="00CB4DE6">
        <w:rPr>
          <w:rFonts w:ascii="Palatino Linotype" w:eastAsia="Calibri" w:hAnsi="Palatino Linotype" w:cs="Arial"/>
          <w:bCs/>
        </w:rPr>
        <w:t>,</w:t>
      </w:r>
      <w:r w:rsidRPr="00CB4DE6">
        <w:rPr>
          <w:rFonts w:ascii="Palatino Linotype" w:hAnsi="Palatino Linotype" w:cs="Arial"/>
          <w:b/>
          <w:bCs/>
        </w:rPr>
        <w:t xml:space="preserve"> </w:t>
      </w:r>
      <w:r w:rsidRPr="00805516">
        <w:rPr>
          <w:rFonts w:ascii="Palatino Linotype" w:hAnsi="Palatino Linotype" w:cs="Arial"/>
          <w:bCs/>
        </w:rPr>
        <w:t xml:space="preserve">de </w:t>
      </w:r>
      <w:r w:rsidRPr="00CB4DE6">
        <w:rPr>
          <w:rFonts w:ascii="Palatino Linotype" w:hAnsi="Palatino Linotype" w:cs="Arial"/>
        </w:rPr>
        <w:t xml:space="preserve">lo siguiente: </w:t>
      </w:r>
    </w:p>
    <w:p w:rsidR="00D42DF6" w:rsidRDefault="006A23A4" w:rsidP="006A23A4">
      <w:pPr>
        <w:pStyle w:val="Prrafodelista"/>
        <w:spacing w:line="276" w:lineRule="auto"/>
        <w:ind w:left="851" w:right="899"/>
        <w:jc w:val="both"/>
        <w:rPr>
          <w:rFonts w:ascii="Palatino Linotype" w:hAnsi="Palatino Linotype" w:cs="Arial"/>
          <w:i/>
          <w:sz w:val="22"/>
          <w:szCs w:val="22"/>
        </w:rPr>
      </w:pPr>
      <w:r w:rsidRPr="00100436">
        <w:rPr>
          <w:rFonts w:ascii="Palatino Linotype" w:hAnsi="Palatino Linotype" w:cs="Arial"/>
          <w:i/>
          <w:sz w:val="22"/>
          <w:szCs w:val="22"/>
        </w:rPr>
        <w:t>“</w:t>
      </w:r>
      <w:r w:rsidR="00D42DF6">
        <w:rPr>
          <w:rFonts w:ascii="Palatino Linotype" w:hAnsi="Palatino Linotype" w:cs="Arial"/>
          <w:i/>
          <w:sz w:val="22"/>
          <w:szCs w:val="22"/>
        </w:rPr>
        <w:t>a) El documento donde conste el nombre de los servidor</w:t>
      </w:r>
      <w:r w:rsidR="009A449D">
        <w:rPr>
          <w:rFonts w:ascii="Palatino Linotype" w:hAnsi="Palatino Linotype" w:cs="Arial"/>
          <w:i/>
          <w:sz w:val="22"/>
          <w:szCs w:val="22"/>
        </w:rPr>
        <w:t xml:space="preserve">es que no realizan evaluaciones, </w:t>
      </w:r>
      <w:r w:rsidR="00D42DF6">
        <w:rPr>
          <w:rFonts w:ascii="Palatino Linotype" w:hAnsi="Palatino Linotype" w:cs="Arial"/>
          <w:i/>
          <w:sz w:val="22"/>
          <w:szCs w:val="22"/>
        </w:rPr>
        <w:t>adscritos al Centro de Control de Confianza</w:t>
      </w:r>
      <w:r w:rsidR="00D42DF6" w:rsidRPr="00D42DF6">
        <w:rPr>
          <w:rFonts w:ascii="Palatino Linotype" w:hAnsi="Palatino Linotype" w:cs="Arial"/>
          <w:i/>
          <w:sz w:val="22"/>
          <w:szCs w:val="22"/>
        </w:rPr>
        <w:t xml:space="preserve"> </w:t>
      </w:r>
      <w:r w:rsidR="00D42DF6">
        <w:rPr>
          <w:rFonts w:ascii="Palatino Linotype" w:hAnsi="Palatino Linotype" w:cs="Arial"/>
          <w:i/>
          <w:sz w:val="22"/>
          <w:szCs w:val="22"/>
        </w:rPr>
        <w:t>al 6 de agosto de 2019</w:t>
      </w:r>
      <w:r w:rsidR="00D5639D">
        <w:rPr>
          <w:rFonts w:ascii="Palatino Linotype" w:hAnsi="Palatino Linotype" w:cs="Arial"/>
          <w:i/>
          <w:sz w:val="22"/>
          <w:szCs w:val="22"/>
        </w:rPr>
        <w:t>, de ser procedente en versión pública</w:t>
      </w:r>
      <w:r w:rsidR="00D42DF6">
        <w:rPr>
          <w:rFonts w:ascii="Palatino Linotype" w:hAnsi="Palatino Linotype" w:cs="Arial"/>
          <w:i/>
          <w:sz w:val="22"/>
          <w:szCs w:val="22"/>
        </w:rPr>
        <w:t>.</w:t>
      </w:r>
    </w:p>
    <w:p w:rsidR="00E14FBB" w:rsidRDefault="00E14FBB" w:rsidP="006A23A4">
      <w:pPr>
        <w:pStyle w:val="Prrafodelista"/>
        <w:spacing w:line="276" w:lineRule="auto"/>
        <w:ind w:left="851" w:right="899"/>
        <w:jc w:val="both"/>
        <w:rPr>
          <w:rFonts w:ascii="Palatino Linotype" w:hAnsi="Palatino Linotype" w:cs="Arial"/>
          <w:i/>
          <w:sz w:val="22"/>
          <w:szCs w:val="22"/>
        </w:rPr>
      </w:pPr>
    </w:p>
    <w:p w:rsidR="00D42DF6" w:rsidRDefault="00E14FBB" w:rsidP="006A23A4">
      <w:pPr>
        <w:pStyle w:val="Prrafodelista"/>
        <w:spacing w:line="276" w:lineRule="auto"/>
        <w:ind w:left="851" w:right="899"/>
        <w:jc w:val="both"/>
        <w:rPr>
          <w:rFonts w:ascii="Palatino Linotype" w:hAnsi="Palatino Linotype"/>
          <w:bCs/>
          <w:i/>
          <w:sz w:val="22"/>
          <w:szCs w:val="22"/>
        </w:rPr>
      </w:pPr>
      <w:r w:rsidRPr="007C164B">
        <w:rPr>
          <w:rFonts w:ascii="Palatino Linotype" w:hAnsi="Palatino Linotype"/>
          <w:bCs/>
          <w:i/>
          <w:sz w:val="22"/>
          <w:szCs w:val="22"/>
        </w:rPr>
        <w:lastRenderedPageBreak/>
        <w:t>Debiendo notificar a</w:t>
      </w:r>
      <w:r>
        <w:rPr>
          <w:rFonts w:ascii="Palatino Linotype" w:hAnsi="Palatino Linotype"/>
          <w:bCs/>
          <w:i/>
          <w:sz w:val="22"/>
          <w:szCs w:val="22"/>
        </w:rPr>
        <w:t xml:space="preserve"> </w:t>
      </w:r>
      <w:r w:rsidRPr="00D5639D">
        <w:rPr>
          <w:rFonts w:ascii="Palatino Linotype" w:hAnsi="Palatino Linotype"/>
          <w:b/>
          <w:bCs/>
          <w:i/>
          <w:sz w:val="22"/>
          <w:szCs w:val="22"/>
        </w:rPr>
        <w:t>LA</w:t>
      </w:r>
      <w:r w:rsidRPr="007C164B">
        <w:rPr>
          <w:rFonts w:ascii="Palatino Linotype" w:hAnsi="Palatino Linotype"/>
          <w:b/>
          <w:bCs/>
          <w:i/>
          <w:sz w:val="22"/>
          <w:szCs w:val="22"/>
        </w:rPr>
        <w:t xml:space="preserve"> RECURRENTE</w:t>
      </w:r>
      <w:r w:rsidRPr="007C164B">
        <w:rPr>
          <w:rFonts w:ascii="Palatino Linotype" w:hAnsi="Palatino Linotype"/>
          <w:bCs/>
          <w:i/>
          <w:sz w:val="22"/>
          <w:szCs w:val="22"/>
        </w:rPr>
        <w:t xml:space="preserve"> el Acuerdo de Clasificación de la información que emita el Comité de Transparencia con motivo de la versión pública.</w:t>
      </w:r>
    </w:p>
    <w:p w:rsidR="00E14FBB" w:rsidRDefault="00E14FBB" w:rsidP="006A23A4">
      <w:pPr>
        <w:pStyle w:val="Prrafodelista"/>
        <w:spacing w:line="276" w:lineRule="auto"/>
        <w:ind w:left="851" w:right="899"/>
        <w:jc w:val="both"/>
        <w:rPr>
          <w:rFonts w:ascii="Palatino Linotype" w:hAnsi="Palatino Linotype" w:cs="Arial"/>
          <w:i/>
          <w:sz w:val="22"/>
          <w:szCs w:val="22"/>
        </w:rPr>
      </w:pPr>
    </w:p>
    <w:p w:rsidR="00D5639D" w:rsidRPr="00F72AA6" w:rsidRDefault="00D42DF6" w:rsidP="00F72AA6">
      <w:pPr>
        <w:pStyle w:val="Prrafodelista"/>
        <w:spacing w:line="276" w:lineRule="auto"/>
        <w:ind w:left="851" w:right="899"/>
        <w:jc w:val="both"/>
        <w:rPr>
          <w:rFonts w:ascii="Palatino Linotype" w:hAnsi="Palatino Linotype"/>
          <w:b/>
          <w:i/>
          <w:iCs/>
          <w:color w:val="222222"/>
          <w:sz w:val="22"/>
          <w:szCs w:val="22"/>
          <w:shd w:val="clear" w:color="auto" w:fill="FFFFFF"/>
        </w:rPr>
      </w:pPr>
      <w:r>
        <w:rPr>
          <w:rFonts w:ascii="Palatino Linotype" w:hAnsi="Palatino Linotype" w:cs="Arial"/>
          <w:i/>
        </w:rPr>
        <w:t xml:space="preserve">b) </w:t>
      </w:r>
      <w:r w:rsidR="006A23A4" w:rsidRPr="00D5639D">
        <w:rPr>
          <w:rFonts w:ascii="Palatino Linotype" w:hAnsi="Palatino Linotype" w:cs="Arial"/>
          <w:i/>
          <w:sz w:val="22"/>
          <w:szCs w:val="22"/>
        </w:rPr>
        <w:t xml:space="preserve">El Acuerdo que apruebe el Comité de Transparencia, en el que funde y motive la clasificación de los nombres de los servidores públicos que realizan la evaluaciones como </w:t>
      </w:r>
      <w:r w:rsidR="00E14FBB">
        <w:rPr>
          <w:rFonts w:ascii="Palatino Linotype" w:hAnsi="Palatino Linotype" w:cs="Arial"/>
          <w:i/>
          <w:sz w:val="22"/>
          <w:szCs w:val="22"/>
        </w:rPr>
        <w:t xml:space="preserve">información </w:t>
      </w:r>
      <w:r w:rsidR="006A23A4" w:rsidRPr="00D5639D">
        <w:rPr>
          <w:rFonts w:ascii="Palatino Linotype" w:hAnsi="Palatino Linotype" w:cs="Arial"/>
          <w:i/>
          <w:sz w:val="22"/>
          <w:szCs w:val="22"/>
        </w:rPr>
        <w:t>reservada, en términos de los artículos 129 y 14</w:t>
      </w:r>
      <w:r w:rsidR="00E14FBB">
        <w:rPr>
          <w:rFonts w:ascii="Palatino Linotype" w:hAnsi="Palatino Linotype" w:cs="Arial"/>
          <w:i/>
          <w:sz w:val="22"/>
          <w:szCs w:val="22"/>
        </w:rPr>
        <w:t>0</w:t>
      </w:r>
      <w:r w:rsidR="006A23A4" w:rsidRPr="00D5639D">
        <w:rPr>
          <w:rFonts w:ascii="Palatino Linotype" w:hAnsi="Palatino Linotype" w:cs="Arial"/>
          <w:i/>
          <w:sz w:val="22"/>
          <w:szCs w:val="22"/>
        </w:rPr>
        <w:t xml:space="preserve"> de la citada Ley de la Transparencia, debiendo notificarlo a</w:t>
      </w:r>
      <w:r w:rsidR="00D41933" w:rsidRPr="00D5639D">
        <w:rPr>
          <w:rFonts w:ascii="Palatino Linotype" w:hAnsi="Palatino Linotype" w:cs="Arial"/>
          <w:i/>
          <w:sz w:val="22"/>
          <w:szCs w:val="22"/>
        </w:rPr>
        <w:t xml:space="preserve"> </w:t>
      </w:r>
      <w:r w:rsidR="00D41933" w:rsidRPr="00D5639D">
        <w:rPr>
          <w:rFonts w:ascii="Palatino Linotype" w:hAnsi="Palatino Linotype" w:cs="Arial"/>
          <w:b/>
          <w:i/>
          <w:sz w:val="22"/>
          <w:szCs w:val="22"/>
        </w:rPr>
        <w:t>LA</w:t>
      </w:r>
      <w:r w:rsidR="006A23A4" w:rsidRPr="00D5639D">
        <w:rPr>
          <w:rFonts w:ascii="Palatino Linotype" w:hAnsi="Palatino Linotype" w:cs="Arial"/>
          <w:b/>
          <w:i/>
          <w:sz w:val="22"/>
          <w:szCs w:val="22"/>
        </w:rPr>
        <w:t xml:space="preserve"> RECURRENTE</w:t>
      </w:r>
      <w:r w:rsidR="006A23A4" w:rsidRPr="00D5639D">
        <w:rPr>
          <w:rFonts w:ascii="Palatino Linotype" w:hAnsi="Palatino Linotype" w:cs="Arial"/>
          <w:i/>
          <w:sz w:val="22"/>
          <w:szCs w:val="22"/>
        </w:rPr>
        <w:t xml:space="preserve"> al momento de dar cumplimiento a la presente resolución.</w:t>
      </w:r>
      <w:r w:rsidR="006A23A4" w:rsidRPr="00D5639D">
        <w:rPr>
          <w:rFonts w:ascii="Palatino Linotype" w:hAnsi="Palatino Linotype"/>
          <w:b/>
          <w:i/>
          <w:iCs/>
          <w:color w:val="222222"/>
          <w:sz w:val="22"/>
          <w:szCs w:val="22"/>
          <w:shd w:val="clear" w:color="auto" w:fill="FFFFFF"/>
        </w:rPr>
        <w:t>”</w:t>
      </w:r>
    </w:p>
    <w:p w:rsidR="006A23A4" w:rsidRPr="00CB4DE6" w:rsidRDefault="006A23A4" w:rsidP="006A23A4">
      <w:pPr>
        <w:spacing w:before="240" w:after="240" w:line="360" w:lineRule="auto"/>
        <w:jc w:val="both"/>
        <w:rPr>
          <w:color w:val="222222"/>
          <w:lang w:eastAsia="es-MX"/>
        </w:rPr>
      </w:pPr>
      <w:r>
        <w:rPr>
          <w:rFonts w:ascii="Palatino Linotype" w:hAnsi="Palatino Linotype" w:cs="Arial"/>
          <w:b/>
          <w:color w:val="000000" w:themeColor="text1"/>
          <w:sz w:val="28"/>
          <w:szCs w:val="28"/>
        </w:rPr>
        <w:t>TERCER</w:t>
      </w:r>
      <w:r w:rsidRPr="00BA3ECA">
        <w:rPr>
          <w:rFonts w:ascii="Palatino Linotype" w:hAnsi="Palatino Linotype" w:cs="Arial"/>
          <w:b/>
          <w:color w:val="000000" w:themeColor="text1"/>
          <w:sz w:val="28"/>
          <w:szCs w:val="28"/>
        </w:rPr>
        <w:t xml:space="preserve">O. </w:t>
      </w:r>
      <w:r w:rsidRPr="00CB4DE6">
        <w:rPr>
          <w:rFonts w:ascii="Palatino Linotype" w:hAnsi="Palatino Linotype"/>
          <w:b/>
          <w:bCs/>
          <w:color w:val="222222"/>
          <w:lang w:eastAsia="es-MX"/>
        </w:rPr>
        <w:t>Notifíquese</w:t>
      </w:r>
      <w:r w:rsidRPr="00CB4DE6">
        <w:rPr>
          <w:rFonts w:ascii="Palatino Linotype" w:hAnsi="Palatino Linotype"/>
          <w:color w:val="222222"/>
          <w:lang w:eastAsia="es-MX"/>
        </w:rPr>
        <w:t> </w:t>
      </w:r>
      <w:r w:rsidRPr="00CB4DE6">
        <w:rPr>
          <w:rFonts w:ascii="Palatino Linotype" w:hAnsi="Palatino Linotype"/>
          <w:color w:val="222222"/>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CB4DE6">
        <w:rPr>
          <w:rFonts w:ascii="Palatino Linotype" w:hAnsi="Palatino Linotype"/>
          <w:color w:val="222222"/>
          <w:shd w:val="clear" w:color="auto" w:fill="FFFFFF"/>
        </w:rPr>
        <w:t xml:space="preserve"> en los recursos de revisión</w:t>
      </w:r>
      <w:r w:rsidRPr="00CB4DE6">
        <w:rPr>
          <w:rFonts w:ascii="Palatino Linotype" w:hAnsi="Palatino Linotype" w:cs="Arial"/>
          <w:b/>
        </w:rPr>
        <w:t>,</w:t>
      </w:r>
      <w:r w:rsidRPr="00CB4DE6">
        <w:rPr>
          <w:rFonts w:ascii="Palatino Linotype" w:hAnsi="Palatino Linotype"/>
          <w:color w:val="222222"/>
          <w:shd w:val="clear" w:color="auto" w:fill="FFFFFF"/>
          <w:lang w:eastAsia="es-MX"/>
        </w:rPr>
        <w:t xml:space="preserve"> dentro del plazo de diez días hábiles, debiendo informar a este Instituto en un plazo </w:t>
      </w:r>
      <w:r w:rsidRPr="00CB4DE6">
        <w:rPr>
          <w:rFonts w:ascii="Palatino Linotype" w:hAnsi="Palatino Linotype"/>
          <w:color w:val="222222"/>
          <w:lang w:eastAsia="es-MX"/>
        </w:rPr>
        <w:t>de</w:t>
      </w:r>
      <w:r w:rsidRPr="00CB4DE6">
        <w:rPr>
          <w:rFonts w:ascii="Palatino Linotype" w:hAnsi="Palatino Linotype"/>
          <w:color w:val="222222"/>
          <w:shd w:val="clear" w:color="auto" w:fill="FFFFFF"/>
          <w:lang w:eastAsia="es-MX"/>
        </w:rPr>
        <w:t> tres días hábiles siguientes sobre el cumplimiento dado a la presente resolución.</w:t>
      </w:r>
    </w:p>
    <w:p w:rsidR="006A23A4" w:rsidRPr="00CB4DE6" w:rsidRDefault="006A23A4" w:rsidP="006A23A4">
      <w:pPr>
        <w:spacing w:line="360" w:lineRule="auto"/>
        <w:jc w:val="both"/>
        <w:rPr>
          <w:rFonts w:ascii="Palatino Linotype" w:hAnsi="Palatino Linotype" w:cs="Arial"/>
          <w:b/>
        </w:rPr>
      </w:pPr>
      <w:r>
        <w:rPr>
          <w:rFonts w:ascii="Palatino Linotype" w:hAnsi="Palatino Linotype" w:cs="Arial"/>
          <w:b/>
          <w:sz w:val="28"/>
          <w:szCs w:val="28"/>
        </w:rPr>
        <w:t>CUARTO</w:t>
      </w:r>
      <w:r w:rsidRPr="00BA3ECA">
        <w:rPr>
          <w:rFonts w:ascii="Palatino Linotype" w:hAnsi="Palatino Linotype" w:cs="Arial"/>
          <w:b/>
        </w:rPr>
        <w:t xml:space="preserve">. </w:t>
      </w:r>
      <w:r w:rsidRPr="00CB4DE6">
        <w:rPr>
          <w:rFonts w:ascii="Palatino Linotype" w:eastAsiaTheme="minorEastAsia" w:hAnsi="Palatino Linotype"/>
          <w:b/>
          <w:color w:val="222222"/>
          <w:lang w:eastAsia="es-ES_tradnl"/>
        </w:rPr>
        <w:t>Notifíquese</w:t>
      </w:r>
      <w:r w:rsidRPr="00CB4DE6">
        <w:rPr>
          <w:rFonts w:ascii="Palatino Linotype" w:eastAsiaTheme="minorEastAsia" w:hAnsi="Palatino Linotype"/>
          <w:color w:val="222222"/>
          <w:lang w:eastAsia="es-ES_tradnl"/>
        </w:rPr>
        <w:t xml:space="preserve"> a</w:t>
      </w:r>
      <w:r>
        <w:rPr>
          <w:rFonts w:ascii="Palatino Linotype" w:eastAsiaTheme="minorEastAsia" w:hAnsi="Palatino Linotype"/>
          <w:color w:val="222222"/>
          <w:lang w:eastAsia="es-ES_tradnl"/>
        </w:rPr>
        <w:t xml:space="preserve"> </w:t>
      </w:r>
      <w:r w:rsidRPr="00FB08AE">
        <w:rPr>
          <w:rFonts w:ascii="Palatino Linotype" w:eastAsiaTheme="minorEastAsia" w:hAnsi="Palatino Linotype"/>
          <w:b/>
          <w:color w:val="222222"/>
          <w:lang w:eastAsia="es-ES_tradnl"/>
        </w:rPr>
        <w:t>LA</w:t>
      </w:r>
      <w:r w:rsidRPr="00CB4DE6">
        <w:rPr>
          <w:rFonts w:ascii="Palatino Linotype" w:eastAsiaTheme="minorEastAsia" w:hAnsi="Palatino Linotype"/>
          <w:color w:val="222222"/>
          <w:lang w:eastAsia="es-ES_tradnl"/>
        </w:rPr>
        <w:t xml:space="preserve"> </w:t>
      </w:r>
      <w:r w:rsidRPr="00CB4DE6">
        <w:rPr>
          <w:rFonts w:ascii="Palatino Linotype" w:eastAsiaTheme="minorEastAsia" w:hAnsi="Palatino Linotype"/>
          <w:b/>
          <w:color w:val="222222"/>
          <w:lang w:eastAsia="es-ES_tradnl"/>
        </w:rPr>
        <w:t>RECURRENTE</w:t>
      </w:r>
      <w:r>
        <w:rPr>
          <w:rFonts w:ascii="Palatino Linotype" w:eastAsiaTheme="minorEastAsia" w:hAnsi="Palatino Linotype"/>
          <w:color w:val="222222"/>
          <w:lang w:eastAsia="es-ES_tradnl"/>
        </w:rPr>
        <w:t xml:space="preserve"> la presente resolución.</w:t>
      </w:r>
    </w:p>
    <w:p w:rsidR="006A23A4" w:rsidRPr="00BA3ECA" w:rsidRDefault="006A23A4" w:rsidP="006A23A4">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6A23A4" w:rsidRPr="00CB4DE6" w:rsidRDefault="006A23A4" w:rsidP="006A23A4">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Pr>
          <w:rFonts w:ascii="Palatino Linotype" w:hAnsi="Palatino Linotype" w:cs="Arial"/>
          <w:b/>
          <w:color w:val="000000" w:themeColor="text1"/>
          <w:sz w:val="28"/>
          <w:szCs w:val="28"/>
        </w:rPr>
        <w:t>QUINTO</w:t>
      </w:r>
      <w:r w:rsidRPr="00BA3ECA">
        <w:rPr>
          <w:rFonts w:ascii="Palatino Linotype" w:hAnsi="Palatino Linotype" w:cs="Arial"/>
          <w:b/>
          <w:color w:val="000000" w:themeColor="text1"/>
          <w:sz w:val="28"/>
          <w:szCs w:val="28"/>
        </w:rPr>
        <w:t xml:space="preserve">. </w:t>
      </w:r>
      <w:r w:rsidRPr="00CB4DE6">
        <w:rPr>
          <w:rFonts w:ascii="Palatino Linotype" w:eastAsiaTheme="minorEastAsia" w:hAnsi="Palatino Linotype"/>
          <w:b/>
          <w:color w:val="222222"/>
          <w:lang w:eastAsia="es-ES_tradnl"/>
        </w:rPr>
        <w:t>Hágase del conocimiento</w:t>
      </w:r>
      <w:r w:rsidRPr="00CB4DE6">
        <w:rPr>
          <w:rFonts w:ascii="Palatino Linotype" w:eastAsiaTheme="minorEastAsia" w:hAnsi="Palatino Linotype"/>
          <w:color w:val="222222"/>
          <w:lang w:eastAsia="es-ES_tradnl"/>
        </w:rPr>
        <w:t xml:space="preserve"> a</w:t>
      </w:r>
      <w:r>
        <w:rPr>
          <w:rFonts w:ascii="Palatino Linotype" w:eastAsiaTheme="minorEastAsia" w:hAnsi="Palatino Linotype"/>
          <w:color w:val="222222"/>
          <w:lang w:eastAsia="es-ES_tradnl"/>
        </w:rPr>
        <w:t xml:space="preserve"> </w:t>
      </w:r>
      <w:r w:rsidRPr="00FB08AE">
        <w:rPr>
          <w:rFonts w:ascii="Palatino Linotype" w:eastAsiaTheme="minorEastAsia" w:hAnsi="Palatino Linotype"/>
          <w:b/>
          <w:color w:val="222222"/>
          <w:lang w:eastAsia="es-ES_tradnl"/>
        </w:rPr>
        <w:t>LA</w:t>
      </w:r>
      <w:r w:rsidRPr="00CB4DE6">
        <w:rPr>
          <w:rFonts w:ascii="Palatino Linotype" w:eastAsiaTheme="minorEastAsia" w:hAnsi="Palatino Linotype"/>
          <w:color w:val="222222"/>
          <w:lang w:eastAsia="es-ES_tradnl"/>
        </w:rPr>
        <w:t xml:space="preserve"> </w:t>
      </w:r>
      <w:r w:rsidRPr="00CB4DE6">
        <w:rPr>
          <w:rFonts w:ascii="Palatino Linotype" w:eastAsiaTheme="minorEastAsia" w:hAnsi="Palatino Linotype"/>
          <w:b/>
          <w:color w:val="222222"/>
          <w:lang w:eastAsia="es-ES_tradnl"/>
        </w:rPr>
        <w:t>RECURRENTE</w:t>
      </w:r>
      <w:r w:rsidRPr="00CB4DE6">
        <w:rPr>
          <w:rFonts w:ascii="Palatino Linotype" w:eastAsiaTheme="minorEastAsia"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4D34CA" w:rsidRPr="00ED28B3" w:rsidRDefault="00ED28B3" w:rsidP="00ED28B3">
      <w:pPr>
        <w:spacing w:before="200" w:after="200" w:line="360" w:lineRule="auto"/>
        <w:jc w:val="both"/>
        <w:rPr>
          <w:rFonts w:ascii="Palatino Linotype" w:eastAsiaTheme="minorHAnsi" w:hAnsi="Palatino Linotype" w:cs="Arial"/>
          <w:lang w:eastAsia="en-US"/>
        </w:rPr>
      </w:pPr>
      <w:r w:rsidRPr="000B431E">
        <w:rPr>
          <w:rFonts w:ascii="Palatino Linotype" w:eastAsiaTheme="minorHAnsi" w:hAnsi="Palatino Linotype" w:cs="Arial"/>
          <w:lang w:eastAsia="en-US"/>
        </w:rPr>
        <w:t>ASÍ LO RESUELVE, POR UNANIMIDAD DE VOTOS EL PLENO DEL</w:t>
      </w:r>
      <w:r w:rsidRPr="000B431E">
        <w:rPr>
          <w:rFonts w:ascii="Palatino Linotype" w:eastAsia="Arial Unicode MS" w:hAnsi="Palatino Linotype" w:cs="Arial"/>
          <w:lang w:eastAsia="en-US"/>
        </w:rPr>
        <w:t xml:space="preserve"> INSTITUTO DE </w:t>
      </w:r>
      <w:r w:rsidRPr="000B431E">
        <w:rPr>
          <w:rFonts w:ascii="Palatino Linotype" w:eastAsiaTheme="minorHAnsi" w:hAnsi="Palatino Linotype" w:cstheme="minorBidi"/>
          <w:lang w:eastAsia="en-US"/>
        </w:rPr>
        <w:t>TRANSPARENCIA</w:t>
      </w:r>
      <w:r w:rsidRPr="000B431E">
        <w:rPr>
          <w:rFonts w:ascii="Palatino Linotype" w:eastAsia="Arial Unicode MS" w:hAnsi="Palatino Linotype" w:cs="Arial"/>
          <w:lang w:eastAsia="en-US"/>
        </w:rPr>
        <w:t>, ACCESO A LA INFORMACIÓN PÚBLICA Y PROTECCIÓN DE DATOS PERSONALES DEL ESTADO DE MÉXICO Y MUNICIPIOS</w:t>
      </w:r>
      <w:r w:rsidRPr="000B431E">
        <w:rPr>
          <w:rFonts w:ascii="Palatino Linotype" w:eastAsiaTheme="minorHAnsi" w:hAnsi="Palatino Linotype" w:cs="Arial"/>
          <w:lang w:eastAsia="en-US"/>
        </w:rPr>
        <w:t>, CONFORMADO POR LOS COMISIONADOS ZULEMA MARTÍNEZ SÁNCHEZ; EVA ABAID YAPUR; JOSÉ GUADALUPE LUNA HERNÁNDEZ</w:t>
      </w:r>
      <w:r>
        <w:rPr>
          <w:rFonts w:ascii="Palatino Linotype" w:eastAsiaTheme="minorHAnsi" w:hAnsi="Palatino Linotype" w:cs="Arial"/>
          <w:lang w:eastAsia="en-US"/>
        </w:rPr>
        <w:t xml:space="preserve"> EMITIENDO VOTO </w:t>
      </w:r>
      <w:r>
        <w:rPr>
          <w:rFonts w:ascii="Palatino Linotype" w:eastAsiaTheme="minorHAnsi" w:hAnsi="Palatino Linotype" w:cs="Arial"/>
          <w:lang w:eastAsia="en-US"/>
        </w:rPr>
        <w:lastRenderedPageBreak/>
        <w:t>PARTICULAR</w:t>
      </w:r>
      <w:r w:rsidRPr="000B431E">
        <w:rPr>
          <w:rFonts w:ascii="Palatino Linotype" w:eastAsiaTheme="minorHAnsi" w:hAnsi="Palatino Linotype" w:cs="Arial"/>
          <w:lang w:eastAsia="en-US"/>
        </w:rPr>
        <w:t>; JAVIER MARTÍNEZ CRUZ, Y LUIS GUSTAVO PARRA NORIEGA</w:t>
      </w:r>
      <w:r>
        <w:rPr>
          <w:rFonts w:ascii="Palatino Linotype" w:eastAsiaTheme="minorHAnsi" w:hAnsi="Palatino Linotype" w:cs="Arial"/>
          <w:lang w:eastAsia="en-US"/>
        </w:rPr>
        <w:t xml:space="preserve"> EMITIENDO VOTO PARTICULAR</w:t>
      </w:r>
      <w:r w:rsidRPr="000B431E">
        <w:rPr>
          <w:rFonts w:ascii="Palatino Linotype" w:eastAsiaTheme="minorHAnsi" w:hAnsi="Palatino Linotype" w:cs="Arial"/>
          <w:lang w:eastAsia="en-US"/>
        </w:rPr>
        <w:t>; EN</w:t>
      </w:r>
      <w:r w:rsidRPr="000B431E">
        <w:rPr>
          <w:rFonts w:ascii="Palatino Linotype" w:eastAsiaTheme="minorHAnsi" w:hAnsi="Palatino Linotype" w:cs="Arial"/>
          <w:shd w:val="clear" w:color="auto" w:fill="FFFFFF" w:themeFill="background1"/>
          <w:lang w:eastAsia="en-US"/>
        </w:rPr>
        <w:t xml:space="preserve"> LA CUADRAGÉSIMA PRIMERA </w:t>
      </w:r>
      <w:r w:rsidRPr="000B431E">
        <w:rPr>
          <w:rFonts w:ascii="Palatino Linotype" w:eastAsiaTheme="minorHAnsi" w:hAnsi="Palatino Linotype" w:cs="Arial"/>
          <w:lang w:eastAsia="en-US"/>
        </w:rPr>
        <w:t>SESIÓN ORDINARIA CELEBRADA EL DÍA SEIS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C2445" w:rsidRPr="00120510" w:rsidTr="00D600EF">
        <w:trPr>
          <w:jc w:val="center"/>
        </w:trPr>
        <w:tc>
          <w:tcPr>
            <w:tcW w:w="10368" w:type="dxa"/>
            <w:gridSpan w:val="2"/>
          </w:tcPr>
          <w:p w:rsidR="001C2445" w:rsidRDefault="001C2445" w:rsidP="00D600EF">
            <w:pPr>
              <w:jc w:val="center"/>
              <w:rPr>
                <w:rFonts w:ascii="Palatino Linotype" w:hAnsi="Palatino Linotype" w:cs="Arial"/>
                <w:b/>
                <w:lang w:val="es-ES_tradnl"/>
              </w:rPr>
            </w:pPr>
          </w:p>
          <w:p w:rsidR="00ED28B3" w:rsidRDefault="00ED28B3" w:rsidP="00D600EF">
            <w:pPr>
              <w:jc w:val="center"/>
              <w:rPr>
                <w:rFonts w:ascii="Palatino Linotype" w:hAnsi="Palatino Linotype" w:cs="Arial"/>
                <w:b/>
                <w:lang w:val="es-ES_tradnl"/>
              </w:rPr>
            </w:pPr>
          </w:p>
          <w:p w:rsidR="00ED28B3" w:rsidRPr="00120510" w:rsidRDefault="00ED28B3"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C2445" w:rsidRPr="00120510" w:rsidTr="00D600EF">
        <w:trPr>
          <w:jc w:val="center"/>
        </w:trPr>
        <w:tc>
          <w:tcPr>
            <w:tcW w:w="5184" w:type="dxa"/>
          </w:tcPr>
          <w:p w:rsidR="00E36BE4" w:rsidRDefault="00E36BE4" w:rsidP="00D600EF">
            <w:pPr>
              <w:jc w:val="center"/>
              <w:rPr>
                <w:rFonts w:ascii="Palatino Linotype" w:hAnsi="Palatino Linotype" w:cs="Arial"/>
                <w:b/>
                <w:lang w:val="es-ES_tradnl"/>
              </w:rPr>
            </w:pPr>
          </w:p>
          <w:p w:rsidR="00ED28B3" w:rsidRDefault="00ED28B3" w:rsidP="00D600EF">
            <w:pPr>
              <w:jc w:val="center"/>
              <w:rPr>
                <w:rFonts w:ascii="Palatino Linotype" w:hAnsi="Palatino Linotype" w:cs="Arial"/>
                <w:b/>
                <w:lang w:val="es-ES_tradnl"/>
              </w:rPr>
            </w:pPr>
          </w:p>
          <w:p w:rsidR="00ED28B3" w:rsidRDefault="00ED28B3"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Comisionada</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E36BE4" w:rsidRDefault="00E36BE4" w:rsidP="00D600EF">
            <w:pPr>
              <w:jc w:val="center"/>
              <w:rPr>
                <w:rFonts w:ascii="Palatino Linotype" w:hAnsi="Palatino Linotype" w:cs="Arial"/>
                <w:b/>
                <w:lang w:val="es-ES_tradnl"/>
              </w:rPr>
            </w:pPr>
          </w:p>
          <w:p w:rsidR="00ED28B3" w:rsidRDefault="00ED28B3" w:rsidP="00D600EF">
            <w:pPr>
              <w:jc w:val="center"/>
              <w:rPr>
                <w:rFonts w:ascii="Palatino Linotype" w:hAnsi="Palatino Linotype" w:cs="Arial"/>
                <w:b/>
                <w:lang w:val="es-ES_tradnl"/>
              </w:rPr>
            </w:pPr>
          </w:p>
          <w:p w:rsidR="00ED28B3" w:rsidRDefault="00ED28B3"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C2445" w:rsidRPr="00120510" w:rsidTr="00D600EF">
        <w:trPr>
          <w:jc w:val="center"/>
        </w:trPr>
        <w:tc>
          <w:tcPr>
            <w:tcW w:w="5184" w:type="dxa"/>
          </w:tcPr>
          <w:p w:rsidR="001C2445" w:rsidRDefault="001C2445" w:rsidP="00D600EF">
            <w:pPr>
              <w:jc w:val="center"/>
              <w:rPr>
                <w:rFonts w:ascii="Palatino Linotype" w:hAnsi="Palatino Linotype" w:cs="Arial"/>
                <w:b/>
                <w:lang w:val="es-ES_tradnl"/>
              </w:rPr>
            </w:pPr>
          </w:p>
          <w:p w:rsidR="00ED28B3" w:rsidRDefault="00ED28B3" w:rsidP="00D600EF">
            <w:pPr>
              <w:jc w:val="center"/>
              <w:rPr>
                <w:rFonts w:ascii="Palatino Linotype" w:hAnsi="Palatino Linotype" w:cs="Arial"/>
                <w:b/>
                <w:lang w:val="es-ES_tradnl"/>
              </w:rPr>
            </w:pPr>
          </w:p>
          <w:p w:rsidR="00ED28B3" w:rsidRDefault="00ED28B3"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1C2445" w:rsidRDefault="001C2445" w:rsidP="00D600EF">
            <w:pPr>
              <w:jc w:val="center"/>
              <w:rPr>
                <w:rFonts w:ascii="Palatino Linotype" w:hAnsi="Palatino Linotype" w:cs="Arial"/>
                <w:b/>
                <w:lang w:val="es-ES_tradnl"/>
              </w:rPr>
            </w:pPr>
          </w:p>
          <w:p w:rsidR="00ED28B3" w:rsidRDefault="00ED28B3" w:rsidP="00D600EF">
            <w:pPr>
              <w:jc w:val="center"/>
              <w:rPr>
                <w:rFonts w:ascii="Palatino Linotype" w:hAnsi="Palatino Linotype" w:cs="Arial"/>
                <w:b/>
                <w:lang w:val="es-ES_tradnl"/>
              </w:rPr>
            </w:pPr>
          </w:p>
          <w:p w:rsidR="00ED28B3" w:rsidRPr="00120510" w:rsidRDefault="00ED28B3"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C2445" w:rsidRPr="00120510" w:rsidTr="00D600EF">
        <w:trPr>
          <w:jc w:val="center"/>
        </w:trPr>
        <w:tc>
          <w:tcPr>
            <w:tcW w:w="10368" w:type="dxa"/>
            <w:gridSpan w:val="2"/>
          </w:tcPr>
          <w:p w:rsidR="00ED28B3" w:rsidRDefault="00ED28B3" w:rsidP="00D600EF">
            <w:pPr>
              <w:jc w:val="center"/>
              <w:rPr>
                <w:rFonts w:ascii="Palatino Linotype" w:hAnsi="Palatino Linotype" w:cs="Arial"/>
                <w:b/>
                <w:lang w:val="es-ES_tradnl"/>
              </w:rPr>
            </w:pPr>
          </w:p>
          <w:p w:rsidR="00ED28B3" w:rsidRDefault="00ED28B3" w:rsidP="00D600EF">
            <w:pPr>
              <w:jc w:val="center"/>
              <w:rPr>
                <w:rFonts w:ascii="Palatino Linotype" w:hAnsi="Palatino Linotype" w:cs="Arial"/>
                <w:b/>
                <w:lang w:val="es-ES_tradnl"/>
              </w:rPr>
            </w:pPr>
          </w:p>
          <w:p w:rsidR="00ED28B3" w:rsidRDefault="00ED28B3"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A34D92" w:rsidRDefault="00A34D92" w:rsidP="004D34CA">
      <w:pPr>
        <w:ind w:right="49"/>
        <w:jc w:val="both"/>
        <w:rPr>
          <w:rFonts w:ascii="Palatino Linotype" w:hAnsi="Palatino Linotype"/>
          <w:sz w:val="20"/>
          <w:szCs w:val="22"/>
          <w:lang w:val="es-ES_tradnl"/>
        </w:rPr>
      </w:pPr>
    </w:p>
    <w:p w:rsidR="00ED28B3" w:rsidRDefault="00ED28B3" w:rsidP="004D34CA">
      <w:pPr>
        <w:ind w:right="49"/>
        <w:jc w:val="both"/>
        <w:rPr>
          <w:rFonts w:ascii="Palatino Linotype" w:hAnsi="Palatino Linotype"/>
          <w:sz w:val="20"/>
          <w:szCs w:val="22"/>
          <w:lang w:val="es-ES_tradnl"/>
        </w:rPr>
      </w:pPr>
    </w:p>
    <w:p w:rsidR="004D34CA" w:rsidRPr="00ED28B3" w:rsidRDefault="004D34CA" w:rsidP="004D34CA">
      <w:pPr>
        <w:ind w:right="49"/>
        <w:jc w:val="both"/>
        <w:rPr>
          <w:rFonts w:ascii="Palatino Linotype" w:hAnsi="Palatino Linotype"/>
          <w:sz w:val="22"/>
          <w:szCs w:val="22"/>
          <w:lang w:val="es-ES_tradnl"/>
        </w:rPr>
      </w:pPr>
      <w:r w:rsidRPr="00ED28B3">
        <w:rPr>
          <w:rFonts w:ascii="Palatino Linotype" w:hAnsi="Palatino Linotype"/>
          <w:sz w:val="22"/>
          <w:szCs w:val="22"/>
          <w:lang w:val="es-ES_tradnl"/>
        </w:rPr>
        <w:t xml:space="preserve">Esta hoja corresponde a la resolución del </w:t>
      </w:r>
      <w:r w:rsidR="00A34D92" w:rsidRPr="00ED28B3">
        <w:rPr>
          <w:rFonts w:ascii="Palatino Linotype" w:hAnsi="Palatino Linotype"/>
          <w:sz w:val="22"/>
          <w:szCs w:val="22"/>
          <w:lang w:val="es-ES_tradnl"/>
        </w:rPr>
        <w:t>seis</w:t>
      </w:r>
      <w:r w:rsidRPr="00ED28B3">
        <w:rPr>
          <w:rFonts w:ascii="Palatino Linotype" w:hAnsi="Palatino Linotype"/>
          <w:sz w:val="22"/>
          <w:szCs w:val="22"/>
          <w:lang w:val="es-ES_tradnl"/>
        </w:rPr>
        <w:t xml:space="preserve"> de </w:t>
      </w:r>
      <w:r w:rsidR="00A34D92" w:rsidRPr="00ED28B3">
        <w:rPr>
          <w:rFonts w:ascii="Palatino Linotype" w:hAnsi="Palatino Linotype"/>
          <w:sz w:val="22"/>
          <w:szCs w:val="22"/>
          <w:lang w:val="es-ES_tradnl"/>
        </w:rPr>
        <w:t>noviembre</w:t>
      </w:r>
      <w:r w:rsidRPr="00ED28B3">
        <w:rPr>
          <w:rFonts w:ascii="Palatino Linotype" w:hAnsi="Palatino Linotype"/>
          <w:sz w:val="22"/>
          <w:szCs w:val="22"/>
          <w:lang w:val="es-ES_tradnl"/>
        </w:rPr>
        <w:t xml:space="preserve"> de dos mil dieci</w:t>
      </w:r>
      <w:r w:rsidR="00100436" w:rsidRPr="00ED28B3">
        <w:rPr>
          <w:rFonts w:ascii="Palatino Linotype" w:hAnsi="Palatino Linotype"/>
          <w:sz w:val="22"/>
          <w:szCs w:val="22"/>
          <w:lang w:val="es-ES_tradnl"/>
        </w:rPr>
        <w:t>nueve</w:t>
      </w:r>
      <w:r w:rsidR="00ED28B3">
        <w:rPr>
          <w:rFonts w:ascii="Palatino Linotype" w:hAnsi="Palatino Linotype"/>
          <w:sz w:val="22"/>
          <w:szCs w:val="22"/>
          <w:lang w:val="es-ES_tradnl"/>
        </w:rPr>
        <w:t xml:space="preserve">, emitida en </w:t>
      </w:r>
      <w:r w:rsidRPr="00ED28B3">
        <w:rPr>
          <w:rFonts w:ascii="Palatino Linotype" w:hAnsi="Palatino Linotype"/>
          <w:sz w:val="22"/>
          <w:szCs w:val="22"/>
          <w:lang w:val="es-ES_tradnl"/>
        </w:rPr>
        <w:t>el recurso de revisión 0</w:t>
      </w:r>
      <w:r w:rsidR="00A34D92" w:rsidRPr="00ED28B3">
        <w:rPr>
          <w:rFonts w:ascii="Palatino Linotype" w:hAnsi="Palatino Linotype"/>
          <w:sz w:val="22"/>
          <w:szCs w:val="22"/>
          <w:lang w:val="es-ES_tradnl"/>
        </w:rPr>
        <w:t>6</w:t>
      </w:r>
      <w:r w:rsidR="00D41933" w:rsidRPr="00ED28B3">
        <w:rPr>
          <w:rFonts w:ascii="Palatino Linotype" w:hAnsi="Palatino Linotype"/>
          <w:sz w:val="22"/>
          <w:szCs w:val="22"/>
          <w:lang w:val="es-ES_tradnl"/>
        </w:rPr>
        <w:t>947</w:t>
      </w:r>
      <w:r w:rsidRPr="00ED28B3">
        <w:rPr>
          <w:rFonts w:ascii="Palatino Linotype" w:hAnsi="Palatino Linotype"/>
          <w:sz w:val="22"/>
          <w:szCs w:val="22"/>
          <w:lang w:val="es-ES_tradnl"/>
        </w:rPr>
        <w:t>/INFOEM/IP/RR/201</w:t>
      </w:r>
      <w:r w:rsidR="00C05D4C" w:rsidRPr="00ED28B3">
        <w:rPr>
          <w:rFonts w:ascii="Palatino Linotype" w:hAnsi="Palatino Linotype"/>
          <w:sz w:val="22"/>
          <w:szCs w:val="22"/>
          <w:lang w:val="es-ES_tradnl"/>
        </w:rPr>
        <w:t>9</w:t>
      </w:r>
      <w:r w:rsidRPr="00ED28B3">
        <w:rPr>
          <w:rFonts w:ascii="Palatino Linotype" w:hAnsi="Palatino Linotype"/>
          <w:sz w:val="22"/>
          <w:szCs w:val="22"/>
          <w:lang w:val="es-ES_tradnl"/>
        </w:rPr>
        <w:t>.</w:t>
      </w:r>
    </w:p>
    <w:p w:rsidR="007E1FF4" w:rsidRPr="00ED28B3" w:rsidRDefault="00A34D92" w:rsidP="00C278E0">
      <w:pPr>
        <w:ind w:right="49"/>
        <w:jc w:val="both"/>
        <w:rPr>
          <w:rFonts w:ascii="Palatino Linotype" w:hAnsi="Palatino Linotype" w:cs="Arial"/>
          <w:sz w:val="22"/>
          <w:szCs w:val="22"/>
        </w:rPr>
      </w:pPr>
      <w:r w:rsidRPr="00ED28B3">
        <w:rPr>
          <w:rFonts w:ascii="Palatino Linotype" w:hAnsi="Palatino Linotype"/>
          <w:sz w:val="22"/>
          <w:szCs w:val="22"/>
          <w:lang w:val="es-ES_tradnl"/>
        </w:rPr>
        <w:t>YSM</w:t>
      </w:r>
      <w:r w:rsidR="004D34CA" w:rsidRPr="00ED28B3">
        <w:rPr>
          <w:rFonts w:ascii="Palatino Linotype" w:hAnsi="Palatino Linotype"/>
          <w:sz w:val="22"/>
          <w:szCs w:val="22"/>
          <w:lang w:val="es-ES_tradnl"/>
        </w:rPr>
        <w:t>/LAGO</w:t>
      </w:r>
    </w:p>
    <w:sectPr w:rsidR="007E1FF4" w:rsidRPr="00ED28B3" w:rsidSect="00E417E5">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49B" w:rsidRDefault="000C349B" w:rsidP="00C80F8C">
      <w:r>
        <w:separator/>
      </w:r>
    </w:p>
  </w:endnote>
  <w:endnote w:type="continuationSeparator" w:id="0">
    <w:p w:rsidR="000C349B" w:rsidRDefault="000C349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CC8" w:rsidRPr="00F12350" w:rsidRDefault="000F3CC8"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46388">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46388">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0F3CC8" w:rsidRDefault="000F3CC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CC8" w:rsidRPr="00F12350" w:rsidRDefault="000F3CC8"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4638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46388">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0F3CC8" w:rsidRDefault="000F3C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49B" w:rsidRDefault="000C349B" w:rsidP="00C80F8C">
      <w:r>
        <w:separator/>
      </w:r>
    </w:p>
  </w:footnote>
  <w:footnote w:type="continuationSeparator" w:id="0">
    <w:p w:rsidR="000C349B" w:rsidRDefault="000C349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CC8" w:rsidRDefault="000F3CC8" w:rsidP="006F30F8">
    <w:pPr>
      <w:pStyle w:val="Encabezado"/>
      <w:tabs>
        <w:tab w:val="clear" w:pos="4252"/>
        <w:tab w:val="clear" w:pos="8504"/>
        <w:tab w:val="left" w:pos="2326"/>
      </w:tabs>
    </w:pPr>
    <w:r>
      <w:t xml:space="preserve">                  </w:t>
    </w:r>
  </w:p>
  <w:tbl>
    <w:tblPr>
      <w:tblW w:w="6095" w:type="dxa"/>
      <w:tblInd w:w="2977" w:type="dxa"/>
      <w:tblLayout w:type="fixed"/>
      <w:tblLook w:val="04A0" w:firstRow="1" w:lastRow="0" w:firstColumn="1" w:lastColumn="0" w:noHBand="0" w:noVBand="1"/>
    </w:tblPr>
    <w:tblGrid>
      <w:gridCol w:w="2552"/>
      <w:gridCol w:w="3543"/>
    </w:tblGrid>
    <w:tr w:rsidR="000F3CC8" w:rsidRPr="005A5E02" w:rsidTr="000B4193">
      <w:tc>
        <w:tcPr>
          <w:tcW w:w="2552" w:type="dxa"/>
          <w:shd w:val="clear" w:color="auto" w:fill="auto"/>
          <w:vAlign w:val="center"/>
        </w:tcPr>
        <w:p w:rsidR="000F3CC8" w:rsidRPr="005A5E02" w:rsidRDefault="000F3CC8"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3" w:type="dxa"/>
          <w:shd w:val="clear" w:color="auto" w:fill="auto"/>
          <w:vAlign w:val="center"/>
        </w:tcPr>
        <w:p w:rsidR="000F3CC8" w:rsidRPr="005A5E02" w:rsidRDefault="000F3CC8" w:rsidP="000B4193">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6947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0F3CC8" w:rsidRPr="005A5E02" w:rsidTr="000B4193">
      <w:trPr>
        <w:trHeight w:val="228"/>
      </w:trPr>
      <w:tc>
        <w:tcPr>
          <w:tcW w:w="2552" w:type="dxa"/>
          <w:shd w:val="clear" w:color="auto" w:fill="auto"/>
          <w:vAlign w:val="center"/>
        </w:tcPr>
        <w:p w:rsidR="000F3CC8" w:rsidRPr="005A5E02" w:rsidRDefault="000F3CC8"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3" w:type="dxa"/>
          <w:shd w:val="clear" w:color="auto" w:fill="auto"/>
          <w:vAlign w:val="center"/>
        </w:tcPr>
        <w:p w:rsidR="000F3CC8" w:rsidRPr="00927A01" w:rsidRDefault="000F3CC8" w:rsidP="000F5939">
          <w:pPr>
            <w:ind w:right="-109"/>
            <w:jc w:val="both"/>
            <w:rPr>
              <w:rFonts w:ascii="Palatino Linotype" w:hAnsi="Palatino Linotype"/>
              <w:b/>
              <w:sz w:val="22"/>
              <w:szCs w:val="22"/>
              <w:lang w:val="es-ES_tradnl"/>
            </w:rPr>
          </w:pPr>
          <w:r w:rsidRPr="000B4193">
            <w:rPr>
              <w:rFonts w:ascii="Palatino Linotype" w:hAnsi="Palatino Linotype"/>
              <w:b/>
              <w:sz w:val="22"/>
              <w:szCs w:val="22"/>
              <w:lang w:val="es-ES_tradnl"/>
            </w:rPr>
            <w:t>Centro de Control de Confianza del Estado de México</w:t>
          </w:r>
        </w:p>
      </w:tc>
    </w:tr>
    <w:tr w:rsidR="000F3CC8" w:rsidRPr="005A5E02" w:rsidTr="000B4193">
      <w:tc>
        <w:tcPr>
          <w:tcW w:w="2552" w:type="dxa"/>
          <w:shd w:val="clear" w:color="auto" w:fill="auto"/>
          <w:vAlign w:val="center"/>
        </w:tcPr>
        <w:p w:rsidR="000F3CC8" w:rsidRPr="005A5E02" w:rsidRDefault="000F3CC8"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3" w:type="dxa"/>
          <w:shd w:val="clear" w:color="auto" w:fill="auto"/>
          <w:vAlign w:val="center"/>
        </w:tcPr>
        <w:p w:rsidR="000F3CC8" w:rsidRPr="005A5E02" w:rsidRDefault="000F3CC8"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0F3CC8" w:rsidRPr="00ED28B3" w:rsidRDefault="000F3CC8" w:rsidP="00E86E4F">
    <w:pPr>
      <w:pStyle w:val="Encabezado"/>
      <w:tabs>
        <w:tab w:val="clear" w:pos="4252"/>
        <w:tab w:val="clear" w:pos="8504"/>
        <w:tab w:val="left" w:pos="2326"/>
      </w:tabs>
      <w:rPr>
        <w:sz w:val="26"/>
        <w:szCs w:val="26"/>
      </w:rPr>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2"/>
      <w:gridCol w:w="3685"/>
    </w:tblGrid>
    <w:tr w:rsidR="000F3CC8" w:rsidRPr="005A5E02" w:rsidTr="0053114C">
      <w:tc>
        <w:tcPr>
          <w:tcW w:w="2552" w:type="dxa"/>
          <w:shd w:val="clear" w:color="auto" w:fill="auto"/>
          <w:vAlign w:val="center"/>
        </w:tcPr>
        <w:p w:rsidR="000F3CC8" w:rsidRPr="005A5E02" w:rsidRDefault="000F3CC8"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0F3CC8" w:rsidRPr="005A5E02" w:rsidRDefault="000F3CC8" w:rsidP="00D165A2">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6947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0F3CC8" w:rsidRPr="005A5E02" w:rsidTr="0053114C">
      <w:tc>
        <w:tcPr>
          <w:tcW w:w="2552" w:type="dxa"/>
          <w:shd w:val="clear" w:color="auto" w:fill="auto"/>
          <w:vAlign w:val="center"/>
        </w:tcPr>
        <w:p w:rsidR="000F3CC8" w:rsidRPr="005A5E02" w:rsidRDefault="000F3CC8"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0F3CC8" w:rsidRPr="00927A01" w:rsidRDefault="00246388" w:rsidP="00FA33CA">
          <w:pPr>
            <w:rPr>
              <w:rFonts w:ascii="Palatino Linotype" w:hAnsi="Palatino Linotype"/>
              <w:b/>
              <w:sz w:val="22"/>
              <w:szCs w:val="22"/>
              <w:lang w:val="es-ES_tradnl"/>
            </w:rPr>
          </w:pPr>
          <w:r>
            <w:rPr>
              <w:rFonts w:ascii="Palatino Linotype" w:hAnsi="Palatino Linotype"/>
              <w:b/>
              <w:sz w:val="22"/>
              <w:szCs w:val="22"/>
              <w:lang w:val="es-ES_tradnl"/>
            </w:rPr>
            <w:t>Xxxxx</w:t>
          </w:r>
          <w:r w:rsidR="000F3CC8">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0F3CC8">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0F3CC8" w:rsidRPr="005A5E02" w:rsidTr="0053114C">
      <w:trPr>
        <w:trHeight w:val="228"/>
      </w:trPr>
      <w:tc>
        <w:tcPr>
          <w:tcW w:w="2552" w:type="dxa"/>
          <w:shd w:val="clear" w:color="auto" w:fill="auto"/>
          <w:vAlign w:val="center"/>
        </w:tcPr>
        <w:p w:rsidR="000F3CC8" w:rsidRPr="005A5E02" w:rsidRDefault="000F3CC8"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0F3CC8" w:rsidRPr="00927A01" w:rsidRDefault="000F3CC8" w:rsidP="00FE01CF">
          <w:pPr>
            <w:tabs>
              <w:tab w:val="left" w:pos="3098"/>
            </w:tabs>
            <w:jc w:val="both"/>
            <w:rPr>
              <w:rFonts w:ascii="Palatino Linotype" w:hAnsi="Palatino Linotype"/>
              <w:b/>
              <w:sz w:val="22"/>
              <w:szCs w:val="22"/>
              <w:lang w:val="es-ES_tradnl"/>
            </w:rPr>
          </w:pPr>
          <w:r w:rsidRPr="00D165A2">
            <w:rPr>
              <w:rFonts w:ascii="Palatino Linotype" w:hAnsi="Palatino Linotype"/>
              <w:b/>
              <w:sz w:val="22"/>
              <w:szCs w:val="22"/>
              <w:lang w:val="es-ES_tradnl"/>
            </w:rPr>
            <w:t>Centro de Control de Confianza del Estado de México</w:t>
          </w:r>
        </w:p>
      </w:tc>
    </w:tr>
    <w:tr w:rsidR="000F3CC8" w:rsidRPr="005A5E02" w:rsidTr="0053114C">
      <w:tc>
        <w:tcPr>
          <w:tcW w:w="2552" w:type="dxa"/>
          <w:shd w:val="clear" w:color="auto" w:fill="auto"/>
          <w:vAlign w:val="center"/>
        </w:tcPr>
        <w:p w:rsidR="000F3CC8" w:rsidRPr="005A5E02" w:rsidRDefault="000F3CC8"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0F3CC8" w:rsidRPr="005A5E02" w:rsidRDefault="000F3CC8"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0F3CC8" w:rsidRPr="00ED28B3" w:rsidRDefault="000F3CC8">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1865"/>
    <w:multiLevelType w:val="hybridMultilevel"/>
    <w:tmpl w:val="314EC360"/>
    <w:lvl w:ilvl="0" w:tplc="3F9CBAC2">
      <w:start w:val="1"/>
      <w:numFmt w:val="lowerLetter"/>
      <w:lvlText w:val="%1)"/>
      <w:lvlJc w:val="left"/>
      <w:pPr>
        <w:ind w:left="1068" w:hanging="360"/>
      </w:pPr>
      <w:rPr>
        <w:rFonts w:hint="default"/>
        <w:i w:val="0"/>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5C4915"/>
    <w:multiLevelType w:val="hybridMultilevel"/>
    <w:tmpl w:val="C2E6886E"/>
    <w:lvl w:ilvl="0" w:tplc="68E0C82E">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15:restartNumberingAfterBreak="0">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696288"/>
    <w:multiLevelType w:val="hybridMultilevel"/>
    <w:tmpl w:val="9A064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9" w15:restartNumberingAfterBreak="0">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822AD9"/>
    <w:multiLevelType w:val="hybridMultilevel"/>
    <w:tmpl w:val="48A68628"/>
    <w:lvl w:ilvl="0" w:tplc="DE1C5444">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2"/>
  </w:num>
  <w:num w:numId="2">
    <w:abstractNumId w:val="6"/>
  </w:num>
  <w:num w:numId="3">
    <w:abstractNumId w:val="18"/>
  </w:num>
  <w:num w:numId="4">
    <w:abstractNumId w:val="9"/>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2"/>
  </w:num>
  <w:num w:numId="8">
    <w:abstractNumId w:val="14"/>
  </w:num>
  <w:num w:numId="9">
    <w:abstractNumId w:val="4"/>
  </w:num>
  <w:num w:numId="10">
    <w:abstractNumId w:val="20"/>
  </w:num>
  <w:num w:numId="11">
    <w:abstractNumId w:val="24"/>
  </w:num>
  <w:num w:numId="12">
    <w:abstractNumId w:val="8"/>
  </w:num>
  <w:num w:numId="13">
    <w:abstractNumId w:val="7"/>
  </w:num>
  <w:num w:numId="14">
    <w:abstractNumId w:val="25"/>
  </w:num>
  <w:num w:numId="15">
    <w:abstractNumId w:val="17"/>
  </w:num>
  <w:num w:numId="16">
    <w:abstractNumId w:val="11"/>
  </w:num>
  <w:num w:numId="17">
    <w:abstractNumId w:val="3"/>
  </w:num>
  <w:num w:numId="18">
    <w:abstractNumId w:val="16"/>
  </w:num>
  <w:num w:numId="19">
    <w:abstractNumId w:val="21"/>
  </w:num>
  <w:num w:numId="20">
    <w:abstractNumId w:val="15"/>
  </w:num>
  <w:num w:numId="21">
    <w:abstractNumId w:val="19"/>
  </w:num>
  <w:num w:numId="22">
    <w:abstractNumId w:val="5"/>
  </w:num>
  <w:num w:numId="23">
    <w:abstractNumId w:val="13"/>
  </w:num>
  <w:num w:numId="24">
    <w:abstractNumId w:val="23"/>
  </w:num>
  <w:num w:numId="25">
    <w:abstractNumId w:val="0"/>
  </w:num>
  <w:num w:numId="26">
    <w:abstractNumId w:val="2"/>
  </w:num>
  <w:num w:numId="2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C58"/>
    <w:rsid w:val="00000D12"/>
    <w:rsid w:val="00000DB5"/>
    <w:rsid w:val="00000E2B"/>
    <w:rsid w:val="00001559"/>
    <w:rsid w:val="000017D2"/>
    <w:rsid w:val="000023E2"/>
    <w:rsid w:val="000023F5"/>
    <w:rsid w:val="000031D2"/>
    <w:rsid w:val="00003F5B"/>
    <w:rsid w:val="00004E2F"/>
    <w:rsid w:val="0000542C"/>
    <w:rsid w:val="000058CF"/>
    <w:rsid w:val="000064B9"/>
    <w:rsid w:val="00007BFB"/>
    <w:rsid w:val="000102BF"/>
    <w:rsid w:val="00011730"/>
    <w:rsid w:val="00011E78"/>
    <w:rsid w:val="000121F1"/>
    <w:rsid w:val="0001449B"/>
    <w:rsid w:val="00015040"/>
    <w:rsid w:val="00015682"/>
    <w:rsid w:val="00017239"/>
    <w:rsid w:val="00017419"/>
    <w:rsid w:val="00017D62"/>
    <w:rsid w:val="00017DEC"/>
    <w:rsid w:val="00021550"/>
    <w:rsid w:val="00021A61"/>
    <w:rsid w:val="00021A8E"/>
    <w:rsid w:val="00022392"/>
    <w:rsid w:val="0002286D"/>
    <w:rsid w:val="00023F0E"/>
    <w:rsid w:val="00025F0D"/>
    <w:rsid w:val="00026229"/>
    <w:rsid w:val="00030168"/>
    <w:rsid w:val="000303DA"/>
    <w:rsid w:val="00030C3D"/>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4883"/>
    <w:rsid w:val="000470FE"/>
    <w:rsid w:val="00047E4B"/>
    <w:rsid w:val="0005040C"/>
    <w:rsid w:val="000528B6"/>
    <w:rsid w:val="000543DA"/>
    <w:rsid w:val="000554B4"/>
    <w:rsid w:val="00057B34"/>
    <w:rsid w:val="0006124E"/>
    <w:rsid w:val="000623F4"/>
    <w:rsid w:val="00062A6B"/>
    <w:rsid w:val="00063D80"/>
    <w:rsid w:val="00063DD3"/>
    <w:rsid w:val="000650FA"/>
    <w:rsid w:val="000655DD"/>
    <w:rsid w:val="000675B0"/>
    <w:rsid w:val="00067BB2"/>
    <w:rsid w:val="0007052D"/>
    <w:rsid w:val="000709B9"/>
    <w:rsid w:val="0007434D"/>
    <w:rsid w:val="00074E94"/>
    <w:rsid w:val="0007643D"/>
    <w:rsid w:val="00076612"/>
    <w:rsid w:val="00080AC5"/>
    <w:rsid w:val="00081782"/>
    <w:rsid w:val="00081FC7"/>
    <w:rsid w:val="00082AFC"/>
    <w:rsid w:val="000839CE"/>
    <w:rsid w:val="00084C0B"/>
    <w:rsid w:val="0008542A"/>
    <w:rsid w:val="00085610"/>
    <w:rsid w:val="00085D4A"/>
    <w:rsid w:val="000866B8"/>
    <w:rsid w:val="00086C1F"/>
    <w:rsid w:val="00086F62"/>
    <w:rsid w:val="000871A1"/>
    <w:rsid w:val="00087E72"/>
    <w:rsid w:val="00091A6D"/>
    <w:rsid w:val="00091A8A"/>
    <w:rsid w:val="000936E2"/>
    <w:rsid w:val="0009408F"/>
    <w:rsid w:val="000957AA"/>
    <w:rsid w:val="00096C67"/>
    <w:rsid w:val="000977B3"/>
    <w:rsid w:val="000A02C3"/>
    <w:rsid w:val="000A146C"/>
    <w:rsid w:val="000A1D24"/>
    <w:rsid w:val="000A3006"/>
    <w:rsid w:val="000A352B"/>
    <w:rsid w:val="000A5A50"/>
    <w:rsid w:val="000A5ED9"/>
    <w:rsid w:val="000A62AB"/>
    <w:rsid w:val="000A686C"/>
    <w:rsid w:val="000A6B77"/>
    <w:rsid w:val="000A7741"/>
    <w:rsid w:val="000B0A96"/>
    <w:rsid w:val="000B0BC0"/>
    <w:rsid w:val="000B257C"/>
    <w:rsid w:val="000B2C02"/>
    <w:rsid w:val="000B34A2"/>
    <w:rsid w:val="000B3FFD"/>
    <w:rsid w:val="000B4193"/>
    <w:rsid w:val="000B4979"/>
    <w:rsid w:val="000B5493"/>
    <w:rsid w:val="000B5F0E"/>
    <w:rsid w:val="000B63E8"/>
    <w:rsid w:val="000B6AC3"/>
    <w:rsid w:val="000B6B38"/>
    <w:rsid w:val="000B721E"/>
    <w:rsid w:val="000B73BF"/>
    <w:rsid w:val="000C038F"/>
    <w:rsid w:val="000C0AB0"/>
    <w:rsid w:val="000C2166"/>
    <w:rsid w:val="000C264E"/>
    <w:rsid w:val="000C349B"/>
    <w:rsid w:val="000C3591"/>
    <w:rsid w:val="000C3FF7"/>
    <w:rsid w:val="000C4453"/>
    <w:rsid w:val="000C44EA"/>
    <w:rsid w:val="000C5EF0"/>
    <w:rsid w:val="000C7231"/>
    <w:rsid w:val="000C78F4"/>
    <w:rsid w:val="000D059A"/>
    <w:rsid w:val="000D06E4"/>
    <w:rsid w:val="000D12E5"/>
    <w:rsid w:val="000D13D0"/>
    <w:rsid w:val="000D2D89"/>
    <w:rsid w:val="000D3F62"/>
    <w:rsid w:val="000D45A0"/>
    <w:rsid w:val="000D4A93"/>
    <w:rsid w:val="000D4F1A"/>
    <w:rsid w:val="000D5E2F"/>
    <w:rsid w:val="000D6E71"/>
    <w:rsid w:val="000D73F2"/>
    <w:rsid w:val="000D79A6"/>
    <w:rsid w:val="000D7AF5"/>
    <w:rsid w:val="000E050B"/>
    <w:rsid w:val="000E12BF"/>
    <w:rsid w:val="000E13E3"/>
    <w:rsid w:val="000E148C"/>
    <w:rsid w:val="000E1F04"/>
    <w:rsid w:val="000E2FAC"/>
    <w:rsid w:val="000E3018"/>
    <w:rsid w:val="000E34E1"/>
    <w:rsid w:val="000E3DD1"/>
    <w:rsid w:val="000E4151"/>
    <w:rsid w:val="000E4499"/>
    <w:rsid w:val="000E5CB2"/>
    <w:rsid w:val="000E63B2"/>
    <w:rsid w:val="000E6F5D"/>
    <w:rsid w:val="000E6FB1"/>
    <w:rsid w:val="000E72FE"/>
    <w:rsid w:val="000F0FF5"/>
    <w:rsid w:val="000F32FD"/>
    <w:rsid w:val="000F3671"/>
    <w:rsid w:val="000F3B3D"/>
    <w:rsid w:val="000F3CC8"/>
    <w:rsid w:val="000F3EDD"/>
    <w:rsid w:val="000F4A5F"/>
    <w:rsid w:val="000F5939"/>
    <w:rsid w:val="000F669C"/>
    <w:rsid w:val="000F785D"/>
    <w:rsid w:val="000F7C07"/>
    <w:rsid w:val="00100436"/>
    <w:rsid w:val="00101EA3"/>
    <w:rsid w:val="0010689D"/>
    <w:rsid w:val="001079F2"/>
    <w:rsid w:val="00110B24"/>
    <w:rsid w:val="00112882"/>
    <w:rsid w:val="00112F90"/>
    <w:rsid w:val="001144A5"/>
    <w:rsid w:val="00115AE8"/>
    <w:rsid w:val="00116E85"/>
    <w:rsid w:val="0011725B"/>
    <w:rsid w:val="001176B1"/>
    <w:rsid w:val="00117947"/>
    <w:rsid w:val="001200BC"/>
    <w:rsid w:val="001205E4"/>
    <w:rsid w:val="00120A9F"/>
    <w:rsid w:val="00120B12"/>
    <w:rsid w:val="001213A0"/>
    <w:rsid w:val="00121B9D"/>
    <w:rsid w:val="00122101"/>
    <w:rsid w:val="00122636"/>
    <w:rsid w:val="00122978"/>
    <w:rsid w:val="0012305F"/>
    <w:rsid w:val="0012430E"/>
    <w:rsid w:val="00124D28"/>
    <w:rsid w:val="00127157"/>
    <w:rsid w:val="00130E49"/>
    <w:rsid w:val="00131ED7"/>
    <w:rsid w:val="00132153"/>
    <w:rsid w:val="00132A8A"/>
    <w:rsid w:val="00132D1C"/>
    <w:rsid w:val="00132E57"/>
    <w:rsid w:val="0013333E"/>
    <w:rsid w:val="0013381E"/>
    <w:rsid w:val="001338F3"/>
    <w:rsid w:val="00133EB3"/>
    <w:rsid w:val="00135054"/>
    <w:rsid w:val="00135588"/>
    <w:rsid w:val="00136190"/>
    <w:rsid w:val="001362F2"/>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03B6"/>
    <w:rsid w:val="0016146B"/>
    <w:rsid w:val="001624D1"/>
    <w:rsid w:val="00163ECD"/>
    <w:rsid w:val="00164588"/>
    <w:rsid w:val="00165265"/>
    <w:rsid w:val="00165A2B"/>
    <w:rsid w:val="00165C15"/>
    <w:rsid w:val="001660DF"/>
    <w:rsid w:val="00166117"/>
    <w:rsid w:val="00167972"/>
    <w:rsid w:val="00170556"/>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0D88"/>
    <w:rsid w:val="00193749"/>
    <w:rsid w:val="00193E9E"/>
    <w:rsid w:val="001943A8"/>
    <w:rsid w:val="00196177"/>
    <w:rsid w:val="001A13AD"/>
    <w:rsid w:val="001A1824"/>
    <w:rsid w:val="001A1C1B"/>
    <w:rsid w:val="001A3B1D"/>
    <w:rsid w:val="001A50EA"/>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D0F42"/>
    <w:rsid w:val="001D1640"/>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5794"/>
    <w:rsid w:val="001E6358"/>
    <w:rsid w:val="001F0111"/>
    <w:rsid w:val="001F0D06"/>
    <w:rsid w:val="001F230E"/>
    <w:rsid w:val="001F2565"/>
    <w:rsid w:val="001F3588"/>
    <w:rsid w:val="001F419B"/>
    <w:rsid w:val="001F6AA4"/>
    <w:rsid w:val="0020051E"/>
    <w:rsid w:val="002014B8"/>
    <w:rsid w:val="0020362C"/>
    <w:rsid w:val="00205F40"/>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4D6"/>
    <w:rsid w:val="00226B9C"/>
    <w:rsid w:val="00227527"/>
    <w:rsid w:val="0022754E"/>
    <w:rsid w:val="002314A5"/>
    <w:rsid w:val="0023271C"/>
    <w:rsid w:val="002336C9"/>
    <w:rsid w:val="00233AEE"/>
    <w:rsid w:val="00234C4A"/>
    <w:rsid w:val="00234DC9"/>
    <w:rsid w:val="002374FD"/>
    <w:rsid w:val="002375D2"/>
    <w:rsid w:val="002414AB"/>
    <w:rsid w:val="00241773"/>
    <w:rsid w:val="00241964"/>
    <w:rsid w:val="00242306"/>
    <w:rsid w:val="0024313D"/>
    <w:rsid w:val="002434FE"/>
    <w:rsid w:val="0024350E"/>
    <w:rsid w:val="00243685"/>
    <w:rsid w:val="002438C0"/>
    <w:rsid w:val="00244A1E"/>
    <w:rsid w:val="00246388"/>
    <w:rsid w:val="00247391"/>
    <w:rsid w:val="00247FF9"/>
    <w:rsid w:val="00250117"/>
    <w:rsid w:val="00251D0D"/>
    <w:rsid w:val="00251DFA"/>
    <w:rsid w:val="0025594A"/>
    <w:rsid w:val="00256446"/>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23BD"/>
    <w:rsid w:val="002832D5"/>
    <w:rsid w:val="00283D02"/>
    <w:rsid w:val="00283DC4"/>
    <w:rsid w:val="00285572"/>
    <w:rsid w:val="00285AAA"/>
    <w:rsid w:val="0028653B"/>
    <w:rsid w:val="0028694D"/>
    <w:rsid w:val="00286B07"/>
    <w:rsid w:val="00286E29"/>
    <w:rsid w:val="002872CE"/>
    <w:rsid w:val="00287A66"/>
    <w:rsid w:val="002918CB"/>
    <w:rsid w:val="00291ECB"/>
    <w:rsid w:val="00291F6A"/>
    <w:rsid w:val="002920EE"/>
    <w:rsid w:val="002944C8"/>
    <w:rsid w:val="002959B2"/>
    <w:rsid w:val="002963CF"/>
    <w:rsid w:val="002A109F"/>
    <w:rsid w:val="002A1343"/>
    <w:rsid w:val="002A1AD9"/>
    <w:rsid w:val="002A21C6"/>
    <w:rsid w:val="002A258F"/>
    <w:rsid w:val="002A3D11"/>
    <w:rsid w:val="002A4B44"/>
    <w:rsid w:val="002A4FBB"/>
    <w:rsid w:val="002A5E68"/>
    <w:rsid w:val="002A6315"/>
    <w:rsid w:val="002A70BF"/>
    <w:rsid w:val="002A74D5"/>
    <w:rsid w:val="002A7C44"/>
    <w:rsid w:val="002A7C73"/>
    <w:rsid w:val="002B21F5"/>
    <w:rsid w:val="002B28C8"/>
    <w:rsid w:val="002B47A6"/>
    <w:rsid w:val="002B5166"/>
    <w:rsid w:val="002B636D"/>
    <w:rsid w:val="002B7241"/>
    <w:rsid w:val="002B7575"/>
    <w:rsid w:val="002B7EB1"/>
    <w:rsid w:val="002C1C54"/>
    <w:rsid w:val="002C26E6"/>
    <w:rsid w:val="002C2DA7"/>
    <w:rsid w:val="002C3F1F"/>
    <w:rsid w:val="002C69A6"/>
    <w:rsid w:val="002C6C17"/>
    <w:rsid w:val="002D0581"/>
    <w:rsid w:val="002D26B2"/>
    <w:rsid w:val="002D3B1B"/>
    <w:rsid w:val="002D4309"/>
    <w:rsid w:val="002D4BF3"/>
    <w:rsid w:val="002D7413"/>
    <w:rsid w:val="002E0738"/>
    <w:rsid w:val="002E1174"/>
    <w:rsid w:val="002E1A91"/>
    <w:rsid w:val="002E1E76"/>
    <w:rsid w:val="002E5760"/>
    <w:rsid w:val="002E5F1C"/>
    <w:rsid w:val="002F021C"/>
    <w:rsid w:val="002F10C0"/>
    <w:rsid w:val="002F28B0"/>
    <w:rsid w:val="002F2B5F"/>
    <w:rsid w:val="002F43A9"/>
    <w:rsid w:val="002F5559"/>
    <w:rsid w:val="002F7327"/>
    <w:rsid w:val="002F7780"/>
    <w:rsid w:val="003017D7"/>
    <w:rsid w:val="00302049"/>
    <w:rsid w:val="00304FD6"/>
    <w:rsid w:val="00307C33"/>
    <w:rsid w:val="003105ED"/>
    <w:rsid w:val="003117A8"/>
    <w:rsid w:val="00311B79"/>
    <w:rsid w:val="003120A1"/>
    <w:rsid w:val="00312E0F"/>
    <w:rsid w:val="00313542"/>
    <w:rsid w:val="00314E43"/>
    <w:rsid w:val="003155D8"/>
    <w:rsid w:val="00315963"/>
    <w:rsid w:val="00320EFA"/>
    <w:rsid w:val="00321C21"/>
    <w:rsid w:val="00322B25"/>
    <w:rsid w:val="00323431"/>
    <w:rsid w:val="0032350A"/>
    <w:rsid w:val="00325159"/>
    <w:rsid w:val="00327CA4"/>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3C75"/>
    <w:rsid w:val="0034510A"/>
    <w:rsid w:val="003451BB"/>
    <w:rsid w:val="00345760"/>
    <w:rsid w:val="003468B6"/>
    <w:rsid w:val="003468F4"/>
    <w:rsid w:val="00346D1C"/>
    <w:rsid w:val="00346EC3"/>
    <w:rsid w:val="00346F50"/>
    <w:rsid w:val="00347BEE"/>
    <w:rsid w:val="00352216"/>
    <w:rsid w:val="003523D5"/>
    <w:rsid w:val="00352920"/>
    <w:rsid w:val="00353360"/>
    <w:rsid w:val="0035351D"/>
    <w:rsid w:val="003538C9"/>
    <w:rsid w:val="00353AB5"/>
    <w:rsid w:val="00356016"/>
    <w:rsid w:val="00356E6C"/>
    <w:rsid w:val="00356EDD"/>
    <w:rsid w:val="00357B9E"/>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87456"/>
    <w:rsid w:val="003920EA"/>
    <w:rsid w:val="00393CEF"/>
    <w:rsid w:val="00393DF0"/>
    <w:rsid w:val="0039437D"/>
    <w:rsid w:val="00396014"/>
    <w:rsid w:val="00396E4D"/>
    <w:rsid w:val="00397250"/>
    <w:rsid w:val="00397E18"/>
    <w:rsid w:val="003A01DE"/>
    <w:rsid w:val="003A1EF4"/>
    <w:rsid w:val="003A362B"/>
    <w:rsid w:val="003A3B82"/>
    <w:rsid w:val="003A5A29"/>
    <w:rsid w:val="003B1936"/>
    <w:rsid w:val="003B2036"/>
    <w:rsid w:val="003B3BB0"/>
    <w:rsid w:val="003B573B"/>
    <w:rsid w:val="003B5F95"/>
    <w:rsid w:val="003B6C53"/>
    <w:rsid w:val="003C0DBA"/>
    <w:rsid w:val="003C1866"/>
    <w:rsid w:val="003C2027"/>
    <w:rsid w:val="003C25A2"/>
    <w:rsid w:val="003C2683"/>
    <w:rsid w:val="003C69B9"/>
    <w:rsid w:val="003D1B5F"/>
    <w:rsid w:val="003D2654"/>
    <w:rsid w:val="003D4287"/>
    <w:rsid w:val="003D44D8"/>
    <w:rsid w:val="003D4BE8"/>
    <w:rsid w:val="003D4EE5"/>
    <w:rsid w:val="003D5C31"/>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64A3"/>
    <w:rsid w:val="003F6B1A"/>
    <w:rsid w:val="003F6ED1"/>
    <w:rsid w:val="0040006B"/>
    <w:rsid w:val="00402840"/>
    <w:rsid w:val="0040295D"/>
    <w:rsid w:val="00403273"/>
    <w:rsid w:val="00406C92"/>
    <w:rsid w:val="00410F2A"/>
    <w:rsid w:val="00413B34"/>
    <w:rsid w:val="00415940"/>
    <w:rsid w:val="00415E93"/>
    <w:rsid w:val="0041782E"/>
    <w:rsid w:val="00417C85"/>
    <w:rsid w:val="00417FB5"/>
    <w:rsid w:val="004232FA"/>
    <w:rsid w:val="0042416A"/>
    <w:rsid w:val="00424AF5"/>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8AC"/>
    <w:rsid w:val="00462EAA"/>
    <w:rsid w:val="00463390"/>
    <w:rsid w:val="004646AF"/>
    <w:rsid w:val="00464B80"/>
    <w:rsid w:val="00467582"/>
    <w:rsid w:val="00470D81"/>
    <w:rsid w:val="0047181A"/>
    <w:rsid w:val="00475702"/>
    <w:rsid w:val="004759A3"/>
    <w:rsid w:val="00475C99"/>
    <w:rsid w:val="0047646D"/>
    <w:rsid w:val="00477507"/>
    <w:rsid w:val="0048151C"/>
    <w:rsid w:val="00481717"/>
    <w:rsid w:val="00483D64"/>
    <w:rsid w:val="0048428C"/>
    <w:rsid w:val="0048543D"/>
    <w:rsid w:val="00485EBF"/>
    <w:rsid w:val="00487321"/>
    <w:rsid w:val="004877F2"/>
    <w:rsid w:val="00491251"/>
    <w:rsid w:val="004917C0"/>
    <w:rsid w:val="00491EA0"/>
    <w:rsid w:val="0049280E"/>
    <w:rsid w:val="00495CFE"/>
    <w:rsid w:val="00495DE1"/>
    <w:rsid w:val="00495EBF"/>
    <w:rsid w:val="004A044B"/>
    <w:rsid w:val="004A09C8"/>
    <w:rsid w:val="004A0BAE"/>
    <w:rsid w:val="004A2224"/>
    <w:rsid w:val="004A2364"/>
    <w:rsid w:val="004A26E7"/>
    <w:rsid w:val="004A434C"/>
    <w:rsid w:val="004A4702"/>
    <w:rsid w:val="004A4BFE"/>
    <w:rsid w:val="004A4E04"/>
    <w:rsid w:val="004A6839"/>
    <w:rsid w:val="004A7699"/>
    <w:rsid w:val="004B147F"/>
    <w:rsid w:val="004B35B5"/>
    <w:rsid w:val="004B3F2C"/>
    <w:rsid w:val="004C09A0"/>
    <w:rsid w:val="004C0D99"/>
    <w:rsid w:val="004C32BD"/>
    <w:rsid w:val="004C35D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E83"/>
    <w:rsid w:val="004F4F14"/>
    <w:rsid w:val="004F5829"/>
    <w:rsid w:val="004F5C19"/>
    <w:rsid w:val="004F7218"/>
    <w:rsid w:val="004F7D6F"/>
    <w:rsid w:val="00500644"/>
    <w:rsid w:val="00501BBE"/>
    <w:rsid w:val="00501E92"/>
    <w:rsid w:val="0050244F"/>
    <w:rsid w:val="0050516E"/>
    <w:rsid w:val="005056DB"/>
    <w:rsid w:val="0050666A"/>
    <w:rsid w:val="00510D55"/>
    <w:rsid w:val="005111F1"/>
    <w:rsid w:val="00512B66"/>
    <w:rsid w:val="00513BDB"/>
    <w:rsid w:val="0051498F"/>
    <w:rsid w:val="00516C7F"/>
    <w:rsid w:val="00517359"/>
    <w:rsid w:val="00517441"/>
    <w:rsid w:val="00517FDE"/>
    <w:rsid w:val="00521349"/>
    <w:rsid w:val="005217FB"/>
    <w:rsid w:val="00523569"/>
    <w:rsid w:val="0052481D"/>
    <w:rsid w:val="00525208"/>
    <w:rsid w:val="005258E5"/>
    <w:rsid w:val="00526ED2"/>
    <w:rsid w:val="00530512"/>
    <w:rsid w:val="00530538"/>
    <w:rsid w:val="0053114C"/>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B74"/>
    <w:rsid w:val="00560E5B"/>
    <w:rsid w:val="00561CEF"/>
    <w:rsid w:val="005647B3"/>
    <w:rsid w:val="0056585C"/>
    <w:rsid w:val="005660BF"/>
    <w:rsid w:val="00566B08"/>
    <w:rsid w:val="00567F0E"/>
    <w:rsid w:val="00570B27"/>
    <w:rsid w:val="0057230F"/>
    <w:rsid w:val="00573076"/>
    <w:rsid w:val="005732DE"/>
    <w:rsid w:val="00574219"/>
    <w:rsid w:val="00574310"/>
    <w:rsid w:val="00575270"/>
    <w:rsid w:val="00577125"/>
    <w:rsid w:val="00577CE4"/>
    <w:rsid w:val="005824FD"/>
    <w:rsid w:val="00582928"/>
    <w:rsid w:val="00583B97"/>
    <w:rsid w:val="0058480A"/>
    <w:rsid w:val="00584E95"/>
    <w:rsid w:val="00585E02"/>
    <w:rsid w:val="005864D2"/>
    <w:rsid w:val="005900AA"/>
    <w:rsid w:val="005910F6"/>
    <w:rsid w:val="005936BF"/>
    <w:rsid w:val="00594DB0"/>
    <w:rsid w:val="005970EF"/>
    <w:rsid w:val="00597413"/>
    <w:rsid w:val="00597866"/>
    <w:rsid w:val="005A1D25"/>
    <w:rsid w:val="005A286C"/>
    <w:rsid w:val="005A32F4"/>
    <w:rsid w:val="005A354D"/>
    <w:rsid w:val="005A40DE"/>
    <w:rsid w:val="005A4C13"/>
    <w:rsid w:val="005A4DE7"/>
    <w:rsid w:val="005A51FB"/>
    <w:rsid w:val="005A5207"/>
    <w:rsid w:val="005A5970"/>
    <w:rsid w:val="005A5E02"/>
    <w:rsid w:val="005A5F60"/>
    <w:rsid w:val="005A5FB3"/>
    <w:rsid w:val="005A648C"/>
    <w:rsid w:val="005A6B2F"/>
    <w:rsid w:val="005A7FF2"/>
    <w:rsid w:val="005B0051"/>
    <w:rsid w:val="005B0E92"/>
    <w:rsid w:val="005B1193"/>
    <w:rsid w:val="005B1AD9"/>
    <w:rsid w:val="005B27CA"/>
    <w:rsid w:val="005B28C4"/>
    <w:rsid w:val="005B32F6"/>
    <w:rsid w:val="005B4407"/>
    <w:rsid w:val="005B4CB5"/>
    <w:rsid w:val="005B5192"/>
    <w:rsid w:val="005B5A52"/>
    <w:rsid w:val="005B642C"/>
    <w:rsid w:val="005B6FFA"/>
    <w:rsid w:val="005B7D0F"/>
    <w:rsid w:val="005C16EA"/>
    <w:rsid w:val="005C197D"/>
    <w:rsid w:val="005C26B3"/>
    <w:rsid w:val="005C2850"/>
    <w:rsid w:val="005C5F94"/>
    <w:rsid w:val="005C633E"/>
    <w:rsid w:val="005D0363"/>
    <w:rsid w:val="005D1175"/>
    <w:rsid w:val="005D1BE1"/>
    <w:rsid w:val="005D2AEA"/>
    <w:rsid w:val="005D36D2"/>
    <w:rsid w:val="005D3D74"/>
    <w:rsid w:val="005D4C26"/>
    <w:rsid w:val="005D6096"/>
    <w:rsid w:val="005D7D2D"/>
    <w:rsid w:val="005D7EE9"/>
    <w:rsid w:val="005E154C"/>
    <w:rsid w:val="005E1B00"/>
    <w:rsid w:val="005E1E17"/>
    <w:rsid w:val="005E2EFD"/>
    <w:rsid w:val="005E3F8E"/>
    <w:rsid w:val="005E49D8"/>
    <w:rsid w:val="005E4C68"/>
    <w:rsid w:val="005E5A37"/>
    <w:rsid w:val="005F148E"/>
    <w:rsid w:val="005F4709"/>
    <w:rsid w:val="005F4A2D"/>
    <w:rsid w:val="005F625C"/>
    <w:rsid w:val="005F64D9"/>
    <w:rsid w:val="005F7528"/>
    <w:rsid w:val="005F7843"/>
    <w:rsid w:val="005F7CC1"/>
    <w:rsid w:val="006019B5"/>
    <w:rsid w:val="00602297"/>
    <w:rsid w:val="006027DA"/>
    <w:rsid w:val="0060323C"/>
    <w:rsid w:val="006050DA"/>
    <w:rsid w:val="00605E06"/>
    <w:rsid w:val="006060AA"/>
    <w:rsid w:val="0060682B"/>
    <w:rsid w:val="00607548"/>
    <w:rsid w:val="00610E0D"/>
    <w:rsid w:val="006114FC"/>
    <w:rsid w:val="00611632"/>
    <w:rsid w:val="006128E6"/>
    <w:rsid w:val="00614AE8"/>
    <w:rsid w:val="00614B47"/>
    <w:rsid w:val="00616078"/>
    <w:rsid w:val="0061649A"/>
    <w:rsid w:val="00616520"/>
    <w:rsid w:val="00617B86"/>
    <w:rsid w:val="006212DE"/>
    <w:rsid w:val="006214AA"/>
    <w:rsid w:val="00621EEF"/>
    <w:rsid w:val="00621EF0"/>
    <w:rsid w:val="0062248A"/>
    <w:rsid w:val="006226A3"/>
    <w:rsid w:val="00625EC5"/>
    <w:rsid w:val="00626557"/>
    <w:rsid w:val="00627DAA"/>
    <w:rsid w:val="0063067B"/>
    <w:rsid w:val="00631298"/>
    <w:rsid w:val="0063130F"/>
    <w:rsid w:val="00632405"/>
    <w:rsid w:val="006333E8"/>
    <w:rsid w:val="00634005"/>
    <w:rsid w:val="00634485"/>
    <w:rsid w:val="00634C95"/>
    <w:rsid w:val="00636617"/>
    <w:rsid w:val="00636BE9"/>
    <w:rsid w:val="0063744F"/>
    <w:rsid w:val="0064351D"/>
    <w:rsid w:val="00643C40"/>
    <w:rsid w:val="00643CCD"/>
    <w:rsid w:val="00643FB6"/>
    <w:rsid w:val="0064575E"/>
    <w:rsid w:val="00646353"/>
    <w:rsid w:val="00647E63"/>
    <w:rsid w:val="00647EC5"/>
    <w:rsid w:val="00651F8F"/>
    <w:rsid w:val="00653048"/>
    <w:rsid w:val="00653182"/>
    <w:rsid w:val="006546AE"/>
    <w:rsid w:val="0065494B"/>
    <w:rsid w:val="00656F26"/>
    <w:rsid w:val="0066045A"/>
    <w:rsid w:val="00661EEE"/>
    <w:rsid w:val="00664699"/>
    <w:rsid w:val="00664EF4"/>
    <w:rsid w:val="00665004"/>
    <w:rsid w:val="006656D8"/>
    <w:rsid w:val="00667A51"/>
    <w:rsid w:val="00670713"/>
    <w:rsid w:val="00670ED7"/>
    <w:rsid w:val="0067100B"/>
    <w:rsid w:val="00671255"/>
    <w:rsid w:val="00671E4B"/>
    <w:rsid w:val="00672730"/>
    <w:rsid w:val="00672C39"/>
    <w:rsid w:val="00672F37"/>
    <w:rsid w:val="00672F99"/>
    <w:rsid w:val="00674236"/>
    <w:rsid w:val="006747A3"/>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6EA0"/>
    <w:rsid w:val="00697178"/>
    <w:rsid w:val="0069752A"/>
    <w:rsid w:val="006A0624"/>
    <w:rsid w:val="006A13CF"/>
    <w:rsid w:val="006A1AD8"/>
    <w:rsid w:val="006A23A4"/>
    <w:rsid w:val="006A24CC"/>
    <w:rsid w:val="006A4357"/>
    <w:rsid w:val="006A5A7E"/>
    <w:rsid w:val="006A68BB"/>
    <w:rsid w:val="006A72A8"/>
    <w:rsid w:val="006A76F3"/>
    <w:rsid w:val="006A7D91"/>
    <w:rsid w:val="006A7DDD"/>
    <w:rsid w:val="006B07A8"/>
    <w:rsid w:val="006B4541"/>
    <w:rsid w:val="006B617F"/>
    <w:rsid w:val="006B6AD9"/>
    <w:rsid w:val="006B7D73"/>
    <w:rsid w:val="006B7F8B"/>
    <w:rsid w:val="006C0114"/>
    <w:rsid w:val="006C0C28"/>
    <w:rsid w:val="006C1311"/>
    <w:rsid w:val="006C15AD"/>
    <w:rsid w:val="006C26EF"/>
    <w:rsid w:val="006C324A"/>
    <w:rsid w:val="006C408A"/>
    <w:rsid w:val="006C4F89"/>
    <w:rsid w:val="006C6807"/>
    <w:rsid w:val="006D08F4"/>
    <w:rsid w:val="006D0A70"/>
    <w:rsid w:val="006D3830"/>
    <w:rsid w:val="006D6077"/>
    <w:rsid w:val="006D62DC"/>
    <w:rsid w:val="006D7B05"/>
    <w:rsid w:val="006D7F35"/>
    <w:rsid w:val="006E0792"/>
    <w:rsid w:val="006E0AFE"/>
    <w:rsid w:val="006E0D87"/>
    <w:rsid w:val="006E27E9"/>
    <w:rsid w:val="006E3027"/>
    <w:rsid w:val="006E4261"/>
    <w:rsid w:val="006E5097"/>
    <w:rsid w:val="006E6389"/>
    <w:rsid w:val="006E6A8B"/>
    <w:rsid w:val="006F130C"/>
    <w:rsid w:val="006F1D04"/>
    <w:rsid w:val="006F27DA"/>
    <w:rsid w:val="006F30F8"/>
    <w:rsid w:val="006F59AC"/>
    <w:rsid w:val="006F5BB0"/>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539"/>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234C"/>
    <w:rsid w:val="007824BA"/>
    <w:rsid w:val="00783AE1"/>
    <w:rsid w:val="0078425E"/>
    <w:rsid w:val="007847E8"/>
    <w:rsid w:val="00785294"/>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5D6"/>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AC6"/>
    <w:rsid w:val="007C3CF4"/>
    <w:rsid w:val="007C550C"/>
    <w:rsid w:val="007C5EEE"/>
    <w:rsid w:val="007C6273"/>
    <w:rsid w:val="007C692C"/>
    <w:rsid w:val="007C6F72"/>
    <w:rsid w:val="007D039B"/>
    <w:rsid w:val="007D1195"/>
    <w:rsid w:val="007D2747"/>
    <w:rsid w:val="007D437E"/>
    <w:rsid w:val="007D4563"/>
    <w:rsid w:val="007D4E07"/>
    <w:rsid w:val="007D5397"/>
    <w:rsid w:val="007D56DD"/>
    <w:rsid w:val="007D5F4A"/>
    <w:rsid w:val="007D687E"/>
    <w:rsid w:val="007D6E65"/>
    <w:rsid w:val="007E1A9F"/>
    <w:rsid w:val="007E1FF4"/>
    <w:rsid w:val="007E36A1"/>
    <w:rsid w:val="007E4089"/>
    <w:rsid w:val="007E629D"/>
    <w:rsid w:val="007E64B1"/>
    <w:rsid w:val="007E762E"/>
    <w:rsid w:val="007E79BE"/>
    <w:rsid w:val="007F42AA"/>
    <w:rsid w:val="008005FD"/>
    <w:rsid w:val="0080166B"/>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61C"/>
    <w:rsid w:val="00821649"/>
    <w:rsid w:val="00824E7B"/>
    <w:rsid w:val="008273B6"/>
    <w:rsid w:val="00830651"/>
    <w:rsid w:val="008324F6"/>
    <w:rsid w:val="008326F2"/>
    <w:rsid w:val="008336E9"/>
    <w:rsid w:val="00834677"/>
    <w:rsid w:val="008359D0"/>
    <w:rsid w:val="008361F8"/>
    <w:rsid w:val="00836222"/>
    <w:rsid w:val="00836D3E"/>
    <w:rsid w:val="00841BF3"/>
    <w:rsid w:val="00842BC2"/>
    <w:rsid w:val="008433D4"/>
    <w:rsid w:val="00845BDD"/>
    <w:rsid w:val="0084607D"/>
    <w:rsid w:val="00846FB2"/>
    <w:rsid w:val="008506CB"/>
    <w:rsid w:val="00851887"/>
    <w:rsid w:val="00852A2B"/>
    <w:rsid w:val="00853977"/>
    <w:rsid w:val="0085458E"/>
    <w:rsid w:val="00854C55"/>
    <w:rsid w:val="00854E15"/>
    <w:rsid w:val="0085626D"/>
    <w:rsid w:val="008579D9"/>
    <w:rsid w:val="00857A7B"/>
    <w:rsid w:val="008608C0"/>
    <w:rsid w:val="008612BF"/>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01D"/>
    <w:rsid w:val="00881311"/>
    <w:rsid w:val="00881D2E"/>
    <w:rsid w:val="00883753"/>
    <w:rsid w:val="00883BEA"/>
    <w:rsid w:val="008846E7"/>
    <w:rsid w:val="00884B3C"/>
    <w:rsid w:val="0088589E"/>
    <w:rsid w:val="00886107"/>
    <w:rsid w:val="00886F62"/>
    <w:rsid w:val="0089030D"/>
    <w:rsid w:val="008905D6"/>
    <w:rsid w:val="00890F12"/>
    <w:rsid w:val="008913BA"/>
    <w:rsid w:val="00892341"/>
    <w:rsid w:val="00892AFC"/>
    <w:rsid w:val="008946A1"/>
    <w:rsid w:val="008958D6"/>
    <w:rsid w:val="00895D85"/>
    <w:rsid w:val="00896292"/>
    <w:rsid w:val="008978FC"/>
    <w:rsid w:val="00897EFB"/>
    <w:rsid w:val="008A07E0"/>
    <w:rsid w:val="008A1359"/>
    <w:rsid w:val="008A1835"/>
    <w:rsid w:val="008A191D"/>
    <w:rsid w:val="008A19AF"/>
    <w:rsid w:val="008A205C"/>
    <w:rsid w:val="008A2334"/>
    <w:rsid w:val="008A24CB"/>
    <w:rsid w:val="008A39EB"/>
    <w:rsid w:val="008A406C"/>
    <w:rsid w:val="008A4504"/>
    <w:rsid w:val="008A4658"/>
    <w:rsid w:val="008A49D4"/>
    <w:rsid w:val="008A5BBC"/>
    <w:rsid w:val="008A66AB"/>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FD0"/>
    <w:rsid w:val="008C07A9"/>
    <w:rsid w:val="008C1091"/>
    <w:rsid w:val="008C495D"/>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2CCB"/>
    <w:rsid w:val="008F3235"/>
    <w:rsid w:val="008F40EE"/>
    <w:rsid w:val="008F49D9"/>
    <w:rsid w:val="008F514B"/>
    <w:rsid w:val="008F7269"/>
    <w:rsid w:val="008F7AC9"/>
    <w:rsid w:val="00900261"/>
    <w:rsid w:val="00901C10"/>
    <w:rsid w:val="00901D7F"/>
    <w:rsid w:val="009033A8"/>
    <w:rsid w:val="00904D9F"/>
    <w:rsid w:val="00905DA9"/>
    <w:rsid w:val="00905E52"/>
    <w:rsid w:val="009061C4"/>
    <w:rsid w:val="009072A8"/>
    <w:rsid w:val="00907650"/>
    <w:rsid w:val="00907AED"/>
    <w:rsid w:val="0091053C"/>
    <w:rsid w:val="009111BD"/>
    <w:rsid w:val="009138A9"/>
    <w:rsid w:val="009151E0"/>
    <w:rsid w:val="00915BEB"/>
    <w:rsid w:val="00915E91"/>
    <w:rsid w:val="0091601F"/>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05F"/>
    <w:rsid w:val="00934DF1"/>
    <w:rsid w:val="0093540B"/>
    <w:rsid w:val="009355D3"/>
    <w:rsid w:val="0093647F"/>
    <w:rsid w:val="00937007"/>
    <w:rsid w:val="009404C1"/>
    <w:rsid w:val="00940745"/>
    <w:rsid w:val="00940C2F"/>
    <w:rsid w:val="00942F93"/>
    <w:rsid w:val="00943B51"/>
    <w:rsid w:val="00944B64"/>
    <w:rsid w:val="00944EE8"/>
    <w:rsid w:val="00946FD4"/>
    <w:rsid w:val="00950909"/>
    <w:rsid w:val="00951852"/>
    <w:rsid w:val="00951E8D"/>
    <w:rsid w:val="00952D91"/>
    <w:rsid w:val="00953338"/>
    <w:rsid w:val="00954E86"/>
    <w:rsid w:val="009568A3"/>
    <w:rsid w:val="00957B81"/>
    <w:rsid w:val="00961050"/>
    <w:rsid w:val="00961185"/>
    <w:rsid w:val="00961D80"/>
    <w:rsid w:val="009626EB"/>
    <w:rsid w:val="00963A3E"/>
    <w:rsid w:val="009640E6"/>
    <w:rsid w:val="0096507D"/>
    <w:rsid w:val="009653CE"/>
    <w:rsid w:val="00965F90"/>
    <w:rsid w:val="0096689C"/>
    <w:rsid w:val="00966C37"/>
    <w:rsid w:val="009678AC"/>
    <w:rsid w:val="00970A97"/>
    <w:rsid w:val="00970ACE"/>
    <w:rsid w:val="00970E7D"/>
    <w:rsid w:val="009720D7"/>
    <w:rsid w:val="00973524"/>
    <w:rsid w:val="00974557"/>
    <w:rsid w:val="00975EB9"/>
    <w:rsid w:val="009760EC"/>
    <w:rsid w:val="009769F9"/>
    <w:rsid w:val="00977532"/>
    <w:rsid w:val="00980EC7"/>
    <w:rsid w:val="009810E4"/>
    <w:rsid w:val="00981532"/>
    <w:rsid w:val="00982361"/>
    <w:rsid w:val="00983762"/>
    <w:rsid w:val="00983E32"/>
    <w:rsid w:val="0098579C"/>
    <w:rsid w:val="00985A54"/>
    <w:rsid w:val="00985E0E"/>
    <w:rsid w:val="00985E95"/>
    <w:rsid w:val="00987103"/>
    <w:rsid w:val="00990131"/>
    <w:rsid w:val="00990C6D"/>
    <w:rsid w:val="00991270"/>
    <w:rsid w:val="00991753"/>
    <w:rsid w:val="00991D13"/>
    <w:rsid w:val="009A02C4"/>
    <w:rsid w:val="009A0491"/>
    <w:rsid w:val="009A0B3C"/>
    <w:rsid w:val="009A1DD4"/>
    <w:rsid w:val="009A1EEC"/>
    <w:rsid w:val="009A449D"/>
    <w:rsid w:val="009A57EB"/>
    <w:rsid w:val="009A7FA5"/>
    <w:rsid w:val="009B1E76"/>
    <w:rsid w:val="009B2433"/>
    <w:rsid w:val="009B45AD"/>
    <w:rsid w:val="009B7712"/>
    <w:rsid w:val="009B7A1D"/>
    <w:rsid w:val="009C0885"/>
    <w:rsid w:val="009C0912"/>
    <w:rsid w:val="009C0CA8"/>
    <w:rsid w:val="009C1649"/>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612C"/>
    <w:rsid w:val="009E643E"/>
    <w:rsid w:val="009E6F25"/>
    <w:rsid w:val="009E7DBD"/>
    <w:rsid w:val="009F0022"/>
    <w:rsid w:val="009F0179"/>
    <w:rsid w:val="009F01AC"/>
    <w:rsid w:val="009F0375"/>
    <w:rsid w:val="009F0556"/>
    <w:rsid w:val="009F2924"/>
    <w:rsid w:val="009F5826"/>
    <w:rsid w:val="009F6CC3"/>
    <w:rsid w:val="009F6E89"/>
    <w:rsid w:val="009F7604"/>
    <w:rsid w:val="00A0031C"/>
    <w:rsid w:val="00A018D1"/>
    <w:rsid w:val="00A03690"/>
    <w:rsid w:val="00A03E24"/>
    <w:rsid w:val="00A04A2C"/>
    <w:rsid w:val="00A04F5F"/>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4D92"/>
    <w:rsid w:val="00A350B3"/>
    <w:rsid w:val="00A4058D"/>
    <w:rsid w:val="00A41E97"/>
    <w:rsid w:val="00A428BF"/>
    <w:rsid w:val="00A453C1"/>
    <w:rsid w:val="00A45DAF"/>
    <w:rsid w:val="00A470D3"/>
    <w:rsid w:val="00A4781B"/>
    <w:rsid w:val="00A47838"/>
    <w:rsid w:val="00A50AF3"/>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B26"/>
    <w:rsid w:val="00A74E1E"/>
    <w:rsid w:val="00A75128"/>
    <w:rsid w:val="00A759D1"/>
    <w:rsid w:val="00A76289"/>
    <w:rsid w:val="00A7662D"/>
    <w:rsid w:val="00A76948"/>
    <w:rsid w:val="00A77004"/>
    <w:rsid w:val="00A800A4"/>
    <w:rsid w:val="00A81140"/>
    <w:rsid w:val="00A81241"/>
    <w:rsid w:val="00A8328A"/>
    <w:rsid w:val="00A83B72"/>
    <w:rsid w:val="00A84D08"/>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5EA"/>
    <w:rsid w:val="00AA5944"/>
    <w:rsid w:val="00AA697E"/>
    <w:rsid w:val="00AA7ADA"/>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C62"/>
    <w:rsid w:val="00AC4697"/>
    <w:rsid w:val="00AC4A54"/>
    <w:rsid w:val="00AC54C0"/>
    <w:rsid w:val="00AC5D9B"/>
    <w:rsid w:val="00AC6FA2"/>
    <w:rsid w:val="00AC736B"/>
    <w:rsid w:val="00AC7BC6"/>
    <w:rsid w:val="00AD129B"/>
    <w:rsid w:val="00AD16B6"/>
    <w:rsid w:val="00AD1988"/>
    <w:rsid w:val="00AD1B80"/>
    <w:rsid w:val="00AD22C3"/>
    <w:rsid w:val="00AD2FA5"/>
    <w:rsid w:val="00AD7325"/>
    <w:rsid w:val="00AD79C8"/>
    <w:rsid w:val="00AE2370"/>
    <w:rsid w:val="00AE26E0"/>
    <w:rsid w:val="00AE3A3A"/>
    <w:rsid w:val="00AE41F3"/>
    <w:rsid w:val="00AE48CA"/>
    <w:rsid w:val="00AE4D95"/>
    <w:rsid w:val="00AE62F5"/>
    <w:rsid w:val="00AF11D8"/>
    <w:rsid w:val="00AF14E4"/>
    <w:rsid w:val="00AF2502"/>
    <w:rsid w:val="00AF440A"/>
    <w:rsid w:val="00AF52B4"/>
    <w:rsid w:val="00B0030A"/>
    <w:rsid w:val="00B003B7"/>
    <w:rsid w:val="00B01DDC"/>
    <w:rsid w:val="00B01E0E"/>
    <w:rsid w:val="00B02724"/>
    <w:rsid w:val="00B02EC8"/>
    <w:rsid w:val="00B03C33"/>
    <w:rsid w:val="00B0488D"/>
    <w:rsid w:val="00B066CD"/>
    <w:rsid w:val="00B07498"/>
    <w:rsid w:val="00B074D3"/>
    <w:rsid w:val="00B07FCA"/>
    <w:rsid w:val="00B128CE"/>
    <w:rsid w:val="00B1434A"/>
    <w:rsid w:val="00B14E96"/>
    <w:rsid w:val="00B15B25"/>
    <w:rsid w:val="00B16EB3"/>
    <w:rsid w:val="00B17275"/>
    <w:rsid w:val="00B20D84"/>
    <w:rsid w:val="00B214A6"/>
    <w:rsid w:val="00B21653"/>
    <w:rsid w:val="00B23080"/>
    <w:rsid w:val="00B242A7"/>
    <w:rsid w:val="00B242D6"/>
    <w:rsid w:val="00B25195"/>
    <w:rsid w:val="00B25677"/>
    <w:rsid w:val="00B25839"/>
    <w:rsid w:val="00B25C9F"/>
    <w:rsid w:val="00B262D3"/>
    <w:rsid w:val="00B26D2D"/>
    <w:rsid w:val="00B2731D"/>
    <w:rsid w:val="00B2747E"/>
    <w:rsid w:val="00B2753F"/>
    <w:rsid w:val="00B31846"/>
    <w:rsid w:val="00B31E73"/>
    <w:rsid w:val="00B32071"/>
    <w:rsid w:val="00B32323"/>
    <w:rsid w:val="00B35285"/>
    <w:rsid w:val="00B35A1D"/>
    <w:rsid w:val="00B3614C"/>
    <w:rsid w:val="00B362AC"/>
    <w:rsid w:val="00B365A7"/>
    <w:rsid w:val="00B378EA"/>
    <w:rsid w:val="00B37CC3"/>
    <w:rsid w:val="00B40655"/>
    <w:rsid w:val="00B4072B"/>
    <w:rsid w:val="00B41A48"/>
    <w:rsid w:val="00B42612"/>
    <w:rsid w:val="00B43761"/>
    <w:rsid w:val="00B45BD6"/>
    <w:rsid w:val="00B4669F"/>
    <w:rsid w:val="00B46A46"/>
    <w:rsid w:val="00B5061B"/>
    <w:rsid w:val="00B50629"/>
    <w:rsid w:val="00B50BD5"/>
    <w:rsid w:val="00B52D5C"/>
    <w:rsid w:val="00B534B0"/>
    <w:rsid w:val="00B53517"/>
    <w:rsid w:val="00B53901"/>
    <w:rsid w:val="00B546F1"/>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965"/>
    <w:rsid w:val="00B71C13"/>
    <w:rsid w:val="00B7442B"/>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572"/>
    <w:rsid w:val="00B868EC"/>
    <w:rsid w:val="00B90759"/>
    <w:rsid w:val="00B90919"/>
    <w:rsid w:val="00B90EC1"/>
    <w:rsid w:val="00B919A7"/>
    <w:rsid w:val="00B9522E"/>
    <w:rsid w:val="00B9685B"/>
    <w:rsid w:val="00B97EB4"/>
    <w:rsid w:val="00BA096F"/>
    <w:rsid w:val="00BA0FE5"/>
    <w:rsid w:val="00BA1707"/>
    <w:rsid w:val="00BA205C"/>
    <w:rsid w:val="00BA2771"/>
    <w:rsid w:val="00BA2F9F"/>
    <w:rsid w:val="00BA3BE8"/>
    <w:rsid w:val="00BA5A6B"/>
    <w:rsid w:val="00BA6D81"/>
    <w:rsid w:val="00BA7F6E"/>
    <w:rsid w:val="00BB10A4"/>
    <w:rsid w:val="00BB18A3"/>
    <w:rsid w:val="00BB31ED"/>
    <w:rsid w:val="00BB3A5B"/>
    <w:rsid w:val="00BB3E63"/>
    <w:rsid w:val="00BB51FB"/>
    <w:rsid w:val="00BB77E6"/>
    <w:rsid w:val="00BC0465"/>
    <w:rsid w:val="00BC0FE4"/>
    <w:rsid w:val="00BC11BB"/>
    <w:rsid w:val="00BC19F4"/>
    <w:rsid w:val="00BC4597"/>
    <w:rsid w:val="00BC4D41"/>
    <w:rsid w:val="00BC59DC"/>
    <w:rsid w:val="00BC5C69"/>
    <w:rsid w:val="00BC5D8E"/>
    <w:rsid w:val="00BC6440"/>
    <w:rsid w:val="00BC6A55"/>
    <w:rsid w:val="00BC73DB"/>
    <w:rsid w:val="00BD1F6C"/>
    <w:rsid w:val="00BD41AA"/>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3F7B"/>
    <w:rsid w:val="00BF4523"/>
    <w:rsid w:val="00BF4D96"/>
    <w:rsid w:val="00BF4F2D"/>
    <w:rsid w:val="00C024E4"/>
    <w:rsid w:val="00C02CFA"/>
    <w:rsid w:val="00C0481A"/>
    <w:rsid w:val="00C05D4C"/>
    <w:rsid w:val="00C06E06"/>
    <w:rsid w:val="00C06FC6"/>
    <w:rsid w:val="00C101A7"/>
    <w:rsid w:val="00C104F0"/>
    <w:rsid w:val="00C10CB6"/>
    <w:rsid w:val="00C123A8"/>
    <w:rsid w:val="00C12CB1"/>
    <w:rsid w:val="00C15CB6"/>
    <w:rsid w:val="00C15F11"/>
    <w:rsid w:val="00C165D1"/>
    <w:rsid w:val="00C179FE"/>
    <w:rsid w:val="00C20365"/>
    <w:rsid w:val="00C21EAE"/>
    <w:rsid w:val="00C2287F"/>
    <w:rsid w:val="00C24A55"/>
    <w:rsid w:val="00C25359"/>
    <w:rsid w:val="00C25EED"/>
    <w:rsid w:val="00C26025"/>
    <w:rsid w:val="00C268CC"/>
    <w:rsid w:val="00C278E0"/>
    <w:rsid w:val="00C27BDD"/>
    <w:rsid w:val="00C27D01"/>
    <w:rsid w:val="00C30087"/>
    <w:rsid w:val="00C3370B"/>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53A2"/>
    <w:rsid w:val="00C5608E"/>
    <w:rsid w:val="00C5670C"/>
    <w:rsid w:val="00C56BCB"/>
    <w:rsid w:val="00C570EF"/>
    <w:rsid w:val="00C571F1"/>
    <w:rsid w:val="00C5742D"/>
    <w:rsid w:val="00C60DD2"/>
    <w:rsid w:val="00C62CD4"/>
    <w:rsid w:val="00C65492"/>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3FF3"/>
    <w:rsid w:val="00C84B38"/>
    <w:rsid w:val="00C84C49"/>
    <w:rsid w:val="00C8509B"/>
    <w:rsid w:val="00C85C73"/>
    <w:rsid w:val="00C85FD2"/>
    <w:rsid w:val="00C86E7B"/>
    <w:rsid w:val="00C87B98"/>
    <w:rsid w:val="00C904A9"/>
    <w:rsid w:val="00C90A04"/>
    <w:rsid w:val="00C90B8E"/>
    <w:rsid w:val="00C91700"/>
    <w:rsid w:val="00C917B4"/>
    <w:rsid w:val="00C91CCF"/>
    <w:rsid w:val="00C93783"/>
    <w:rsid w:val="00C93FFA"/>
    <w:rsid w:val="00C942A1"/>
    <w:rsid w:val="00C94F02"/>
    <w:rsid w:val="00C96447"/>
    <w:rsid w:val="00C967AB"/>
    <w:rsid w:val="00C9748B"/>
    <w:rsid w:val="00C979AF"/>
    <w:rsid w:val="00CA21A0"/>
    <w:rsid w:val="00CA31A8"/>
    <w:rsid w:val="00CA39D3"/>
    <w:rsid w:val="00CA4ACD"/>
    <w:rsid w:val="00CA4D80"/>
    <w:rsid w:val="00CA4F05"/>
    <w:rsid w:val="00CA5356"/>
    <w:rsid w:val="00CA5C12"/>
    <w:rsid w:val="00CA5C8E"/>
    <w:rsid w:val="00CA71A7"/>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A61"/>
    <w:rsid w:val="00CC505B"/>
    <w:rsid w:val="00CC5A44"/>
    <w:rsid w:val="00CC5DA2"/>
    <w:rsid w:val="00CC691B"/>
    <w:rsid w:val="00CC6DC1"/>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B36"/>
    <w:rsid w:val="00CE7F34"/>
    <w:rsid w:val="00CF06F3"/>
    <w:rsid w:val="00CF13CC"/>
    <w:rsid w:val="00CF1839"/>
    <w:rsid w:val="00CF2EF3"/>
    <w:rsid w:val="00CF2FE1"/>
    <w:rsid w:val="00CF30E7"/>
    <w:rsid w:val="00CF35F6"/>
    <w:rsid w:val="00CF38C5"/>
    <w:rsid w:val="00CF3F05"/>
    <w:rsid w:val="00CF5381"/>
    <w:rsid w:val="00CF5762"/>
    <w:rsid w:val="00CF5C70"/>
    <w:rsid w:val="00CF6CDD"/>
    <w:rsid w:val="00CF7FF9"/>
    <w:rsid w:val="00D054B2"/>
    <w:rsid w:val="00D06012"/>
    <w:rsid w:val="00D0682A"/>
    <w:rsid w:val="00D104F3"/>
    <w:rsid w:val="00D106EA"/>
    <w:rsid w:val="00D12181"/>
    <w:rsid w:val="00D12D13"/>
    <w:rsid w:val="00D134E8"/>
    <w:rsid w:val="00D14480"/>
    <w:rsid w:val="00D14C06"/>
    <w:rsid w:val="00D1556D"/>
    <w:rsid w:val="00D165A2"/>
    <w:rsid w:val="00D20056"/>
    <w:rsid w:val="00D21C5B"/>
    <w:rsid w:val="00D222A8"/>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1B0"/>
    <w:rsid w:val="00D40F3E"/>
    <w:rsid w:val="00D41933"/>
    <w:rsid w:val="00D41B47"/>
    <w:rsid w:val="00D42038"/>
    <w:rsid w:val="00D4228E"/>
    <w:rsid w:val="00D42DF6"/>
    <w:rsid w:val="00D43180"/>
    <w:rsid w:val="00D433F1"/>
    <w:rsid w:val="00D43AE4"/>
    <w:rsid w:val="00D44153"/>
    <w:rsid w:val="00D44E62"/>
    <w:rsid w:val="00D461DA"/>
    <w:rsid w:val="00D463B2"/>
    <w:rsid w:val="00D46740"/>
    <w:rsid w:val="00D5120E"/>
    <w:rsid w:val="00D519BE"/>
    <w:rsid w:val="00D52083"/>
    <w:rsid w:val="00D53BBF"/>
    <w:rsid w:val="00D53C6D"/>
    <w:rsid w:val="00D53FA6"/>
    <w:rsid w:val="00D545F5"/>
    <w:rsid w:val="00D55350"/>
    <w:rsid w:val="00D5639D"/>
    <w:rsid w:val="00D600EF"/>
    <w:rsid w:val="00D60635"/>
    <w:rsid w:val="00D616A8"/>
    <w:rsid w:val="00D6191F"/>
    <w:rsid w:val="00D62A9B"/>
    <w:rsid w:val="00D62B5B"/>
    <w:rsid w:val="00D63FB4"/>
    <w:rsid w:val="00D650A8"/>
    <w:rsid w:val="00D6546D"/>
    <w:rsid w:val="00D65BDB"/>
    <w:rsid w:val="00D6704A"/>
    <w:rsid w:val="00D670F0"/>
    <w:rsid w:val="00D70A57"/>
    <w:rsid w:val="00D72DAF"/>
    <w:rsid w:val="00D730F4"/>
    <w:rsid w:val="00D7321B"/>
    <w:rsid w:val="00D73B09"/>
    <w:rsid w:val="00D74D96"/>
    <w:rsid w:val="00D74E55"/>
    <w:rsid w:val="00D7516A"/>
    <w:rsid w:val="00D76452"/>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1678"/>
    <w:rsid w:val="00DA329A"/>
    <w:rsid w:val="00DA3938"/>
    <w:rsid w:val="00DA3E98"/>
    <w:rsid w:val="00DA402E"/>
    <w:rsid w:val="00DA4713"/>
    <w:rsid w:val="00DA5B03"/>
    <w:rsid w:val="00DA6418"/>
    <w:rsid w:val="00DA728E"/>
    <w:rsid w:val="00DA7B93"/>
    <w:rsid w:val="00DB0D60"/>
    <w:rsid w:val="00DB25BD"/>
    <w:rsid w:val="00DB28E9"/>
    <w:rsid w:val="00DB2AF8"/>
    <w:rsid w:val="00DB3F8E"/>
    <w:rsid w:val="00DB47B2"/>
    <w:rsid w:val="00DB4AF2"/>
    <w:rsid w:val="00DB4C8C"/>
    <w:rsid w:val="00DB70A8"/>
    <w:rsid w:val="00DB7B56"/>
    <w:rsid w:val="00DC09A2"/>
    <w:rsid w:val="00DC0EA0"/>
    <w:rsid w:val="00DC104B"/>
    <w:rsid w:val="00DC1692"/>
    <w:rsid w:val="00DC21CF"/>
    <w:rsid w:val="00DC4820"/>
    <w:rsid w:val="00DC7F3D"/>
    <w:rsid w:val="00DD0ECB"/>
    <w:rsid w:val="00DD28B3"/>
    <w:rsid w:val="00DD2BD6"/>
    <w:rsid w:val="00DD3824"/>
    <w:rsid w:val="00DD3870"/>
    <w:rsid w:val="00DD3AF0"/>
    <w:rsid w:val="00DD5757"/>
    <w:rsid w:val="00DD5A98"/>
    <w:rsid w:val="00DD5B05"/>
    <w:rsid w:val="00DD609B"/>
    <w:rsid w:val="00DE0A5C"/>
    <w:rsid w:val="00DE0CA0"/>
    <w:rsid w:val="00DE0F93"/>
    <w:rsid w:val="00DE11A4"/>
    <w:rsid w:val="00DE1BB4"/>
    <w:rsid w:val="00DE1C07"/>
    <w:rsid w:val="00DE2FE4"/>
    <w:rsid w:val="00DE3280"/>
    <w:rsid w:val="00DE3D01"/>
    <w:rsid w:val="00DE5D4F"/>
    <w:rsid w:val="00DE67C2"/>
    <w:rsid w:val="00DE7A3D"/>
    <w:rsid w:val="00DF0121"/>
    <w:rsid w:val="00DF05C4"/>
    <w:rsid w:val="00DF068C"/>
    <w:rsid w:val="00DF1700"/>
    <w:rsid w:val="00DF1C01"/>
    <w:rsid w:val="00DF23B5"/>
    <w:rsid w:val="00DF303A"/>
    <w:rsid w:val="00DF31EC"/>
    <w:rsid w:val="00DF32E7"/>
    <w:rsid w:val="00DF38AB"/>
    <w:rsid w:val="00DF55E5"/>
    <w:rsid w:val="00DF592F"/>
    <w:rsid w:val="00DF6505"/>
    <w:rsid w:val="00E00CB0"/>
    <w:rsid w:val="00E00D34"/>
    <w:rsid w:val="00E014FB"/>
    <w:rsid w:val="00E01575"/>
    <w:rsid w:val="00E01F1B"/>
    <w:rsid w:val="00E02DD5"/>
    <w:rsid w:val="00E02F65"/>
    <w:rsid w:val="00E02F78"/>
    <w:rsid w:val="00E04425"/>
    <w:rsid w:val="00E04E3B"/>
    <w:rsid w:val="00E05427"/>
    <w:rsid w:val="00E05EB0"/>
    <w:rsid w:val="00E113DF"/>
    <w:rsid w:val="00E12DE7"/>
    <w:rsid w:val="00E13560"/>
    <w:rsid w:val="00E142DE"/>
    <w:rsid w:val="00E14C40"/>
    <w:rsid w:val="00E14FBB"/>
    <w:rsid w:val="00E17DE6"/>
    <w:rsid w:val="00E2099F"/>
    <w:rsid w:val="00E20CC5"/>
    <w:rsid w:val="00E20D2E"/>
    <w:rsid w:val="00E214E4"/>
    <w:rsid w:val="00E21647"/>
    <w:rsid w:val="00E23014"/>
    <w:rsid w:val="00E2346D"/>
    <w:rsid w:val="00E23697"/>
    <w:rsid w:val="00E239A5"/>
    <w:rsid w:val="00E23E25"/>
    <w:rsid w:val="00E24BFE"/>
    <w:rsid w:val="00E2539D"/>
    <w:rsid w:val="00E2541C"/>
    <w:rsid w:val="00E258AE"/>
    <w:rsid w:val="00E264C1"/>
    <w:rsid w:val="00E26DF8"/>
    <w:rsid w:val="00E30514"/>
    <w:rsid w:val="00E322FD"/>
    <w:rsid w:val="00E36BE4"/>
    <w:rsid w:val="00E36EA6"/>
    <w:rsid w:val="00E37A3C"/>
    <w:rsid w:val="00E4111C"/>
    <w:rsid w:val="00E417E5"/>
    <w:rsid w:val="00E41A2B"/>
    <w:rsid w:val="00E42E49"/>
    <w:rsid w:val="00E436CB"/>
    <w:rsid w:val="00E43D51"/>
    <w:rsid w:val="00E4411B"/>
    <w:rsid w:val="00E45AC4"/>
    <w:rsid w:val="00E47363"/>
    <w:rsid w:val="00E5233B"/>
    <w:rsid w:val="00E52F45"/>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5ED0"/>
    <w:rsid w:val="00E77714"/>
    <w:rsid w:val="00E77A16"/>
    <w:rsid w:val="00E77B59"/>
    <w:rsid w:val="00E77DAB"/>
    <w:rsid w:val="00E8045E"/>
    <w:rsid w:val="00E83145"/>
    <w:rsid w:val="00E83916"/>
    <w:rsid w:val="00E83ADC"/>
    <w:rsid w:val="00E84D4D"/>
    <w:rsid w:val="00E85A50"/>
    <w:rsid w:val="00E86942"/>
    <w:rsid w:val="00E86E4F"/>
    <w:rsid w:val="00E8700B"/>
    <w:rsid w:val="00E87227"/>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93B"/>
    <w:rsid w:val="00EB4C66"/>
    <w:rsid w:val="00EB4E3E"/>
    <w:rsid w:val="00EB502C"/>
    <w:rsid w:val="00EB5197"/>
    <w:rsid w:val="00EB5451"/>
    <w:rsid w:val="00EB6102"/>
    <w:rsid w:val="00EB617F"/>
    <w:rsid w:val="00EB6194"/>
    <w:rsid w:val="00EB6819"/>
    <w:rsid w:val="00EC0712"/>
    <w:rsid w:val="00EC24F4"/>
    <w:rsid w:val="00EC3A5E"/>
    <w:rsid w:val="00EC3BA1"/>
    <w:rsid w:val="00EC3D70"/>
    <w:rsid w:val="00EC3E73"/>
    <w:rsid w:val="00EC67E5"/>
    <w:rsid w:val="00EC7087"/>
    <w:rsid w:val="00EC71CE"/>
    <w:rsid w:val="00EC7F99"/>
    <w:rsid w:val="00ED00C8"/>
    <w:rsid w:val="00ED039D"/>
    <w:rsid w:val="00ED13EB"/>
    <w:rsid w:val="00ED28B3"/>
    <w:rsid w:val="00ED2F60"/>
    <w:rsid w:val="00ED495E"/>
    <w:rsid w:val="00ED4FBA"/>
    <w:rsid w:val="00ED5C1D"/>
    <w:rsid w:val="00ED663C"/>
    <w:rsid w:val="00ED72EB"/>
    <w:rsid w:val="00ED7585"/>
    <w:rsid w:val="00EE04D9"/>
    <w:rsid w:val="00EE0A5A"/>
    <w:rsid w:val="00EE23B6"/>
    <w:rsid w:val="00EE32AC"/>
    <w:rsid w:val="00EE4107"/>
    <w:rsid w:val="00EE4A8B"/>
    <w:rsid w:val="00EE4E85"/>
    <w:rsid w:val="00EE6716"/>
    <w:rsid w:val="00EF02B5"/>
    <w:rsid w:val="00EF2C75"/>
    <w:rsid w:val="00EF38F3"/>
    <w:rsid w:val="00EF39AD"/>
    <w:rsid w:val="00EF41CC"/>
    <w:rsid w:val="00EF4C27"/>
    <w:rsid w:val="00EF56C1"/>
    <w:rsid w:val="00EF634D"/>
    <w:rsid w:val="00EF77C5"/>
    <w:rsid w:val="00EF7A33"/>
    <w:rsid w:val="00F01A34"/>
    <w:rsid w:val="00F0644C"/>
    <w:rsid w:val="00F067AA"/>
    <w:rsid w:val="00F07021"/>
    <w:rsid w:val="00F070A0"/>
    <w:rsid w:val="00F079CE"/>
    <w:rsid w:val="00F12133"/>
    <w:rsid w:val="00F12350"/>
    <w:rsid w:val="00F12FFA"/>
    <w:rsid w:val="00F13D4E"/>
    <w:rsid w:val="00F143DF"/>
    <w:rsid w:val="00F14597"/>
    <w:rsid w:val="00F1477C"/>
    <w:rsid w:val="00F159ED"/>
    <w:rsid w:val="00F16E7C"/>
    <w:rsid w:val="00F17BAF"/>
    <w:rsid w:val="00F20507"/>
    <w:rsid w:val="00F20583"/>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FBF"/>
    <w:rsid w:val="00F450A5"/>
    <w:rsid w:val="00F46F88"/>
    <w:rsid w:val="00F47268"/>
    <w:rsid w:val="00F50EC3"/>
    <w:rsid w:val="00F5109E"/>
    <w:rsid w:val="00F51C08"/>
    <w:rsid w:val="00F524C4"/>
    <w:rsid w:val="00F538FA"/>
    <w:rsid w:val="00F553D6"/>
    <w:rsid w:val="00F5748C"/>
    <w:rsid w:val="00F607F2"/>
    <w:rsid w:val="00F61CB6"/>
    <w:rsid w:val="00F6229D"/>
    <w:rsid w:val="00F62DF3"/>
    <w:rsid w:val="00F640D3"/>
    <w:rsid w:val="00F64E25"/>
    <w:rsid w:val="00F668BE"/>
    <w:rsid w:val="00F66F7B"/>
    <w:rsid w:val="00F7013E"/>
    <w:rsid w:val="00F7173C"/>
    <w:rsid w:val="00F7212F"/>
    <w:rsid w:val="00F7278D"/>
    <w:rsid w:val="00F72AA6"/>
    <w:rsid w:val="00F73F82"/>
    <w:rsid w:val="00F74650"/>
    <w:rsid w:val="00F751AF"/>
    <w:rsid w:val="00F75590"/>
    <w:rsid w:val="00F76D43"/>
    <w:rsid w:val="00F77BFE"/>
    <w:rsid w:val="00F81607"/>
    <w:rsid w:val="00F84B92"/>
    <w:rsid w:val="00F85492"/>
    <w:rsid w:val="00F85968"/>
    <w:rsid w:val="00F85DF9"/>
    <w:rsid w:val="00F86EA9"/>
    <w:rsid w:val="00F87384"/>
    <w:rsid w:val="00F9083A"/>
    <w:rsid w:val="00F90EA3"/>
    <w:rsid w:val="00F90FC3"/>
    <w:rsid w:val="00F915DC"/>
    <w:rsid w:val="00F9174B"/>
    <w:rsid w:val="00F943AD"/>
    <w:rsid w:val="00F9597B"/>
    <w:rsid w:val="00F95E4A"/>
    <w:rsid w:val="00F96140"/>
    <w:rsid w:val="00F9657E"/>
    <w:rsid w:val="00F9679D"/>
    <w:rsid w:val="00F97C05"/>
    <w:rsid w:val="00FA06EB"/>
    <w:rsid w:val="00FA0799"/>
    <w:rsid w:val="00FA31D5"/>
    <w:rsid w:val="00FA33CA"/>
    <w:rsid w:val="00FA3F70"/>
    <w:rsid w:val="00FA45D1"/>
    <w:rsid w:val="00FA47E7"/>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01CF"/>
    <w:rsid w:val="00FE1771"/>
    <w:rsid w:val="00FE1AD4"/>
    <w:rsid w:val="00FE28B2"/>
    <w:rsid w:val="00FE2B08"/>
    <w:rsid w:val="00FE352D"/>
    <w:rsid w:val="00FE3578"/>
    <w:rsid w:val="00FE3B82"/>
    <w:rsid w:val="00FE4CCE"/>
    <w:rsid w:val="00FE6809"/>
    <w:rsid w:val="00FE6ABA"/>
    <w:rsid w:val="00FE7109"/>
    <w:rsid w:val="00FE71CD"/>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B18954F-37C6-4808-8BC3-2171F535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07762969">
      <w:bodyDiv w:val="1"/>
      <w:marLeft w:val="0"/>
      <w:marRight w:val="0"/>
      <w:marTop w:val="0"/>
      <w:marBottom w:val="0"/>
      <w:divBdr>
        <w:top w:val="none" w:sz="0" w:space="0" w:color="auto"/>
        <w:left w:val="none" w:sz="0" w:space="0" w:color="auto"/>
        <w:bottom w:val="none" w:sz="0" w:space="0" w:color="auto"/>
        <w:right w:val="none" w:sz="0" w:space="0" w:color="auto"/>
      </w:divBdr>
      <w:divsChild>
        <w:div w:id="524558220">
          <w:marLeft w:val="0"/>
          <w:marRight w:val="0"/>
          <w:marTop w:val="0"/>
          <w:marBottom w:val="84"/>
          <w:divBdr>
            <w:top w:val="none" w:sz="0" w:space="0" w:color="auto"/>
            <w:left w:val="none" w:sz="0" w:space="0" w:color="auto"/>
            <w:bottom w:val="none" w:sz="0" w:space="0" w:color="auto"/>
            <w:right w:val="none" w:sz="0" w:space="0" w:color="auto"/>
          </w:divBdr>
        </w:div>
        <w:div w:id="1083722164">
          <w:marLeft w:val="0"/>
          <w:marRight w:val="0"/>
          <w:marTop w:val="0"/>
          <w:marBottom w:val="84"/>
          <w:divBdr>
            <w:top w:val="none" w:sz="0" w:space="0" w:color="auto"/>
            <w:left w:val="none" w:sz="0" w:space="0" w:color="auto"/>
            <w:bottom w:val="none" w:sz="0" w:space="0" w:color="auto"/>
            <w:right w:val="none" w:sz="0" w:space="0" w:color="auto"/>
          </w:divBdr>
        </w:div>
      </w:divsChild>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484139">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68905186">
      <w:bodyDiv w:val="1"/>
      <w:marLeft w:val="0"/>
      <w:marRight w:val="0"/>
      <w:marTop w:val="0"/>
      <w:marBottom w:val="0"/>
      <w:divBdr>
        <w:top w:val="none" w:sz="0" w:space="0" w:color="auto"/>
        <w:left w:val="none" w:sz="0" w:space="0" w:color="auto"/>
        <w:bottom w:val="none" w:sz="0" w:space="0" w:color="auto"/>
        <w:right w:val="none" w:sz="0" w:space="0" w:color="auto"/>
      </w:divBdr>
      <w:divsChild>
        <w:div w:id="1776287831">
          <w:marLeft w:val="0"/>
          <w:marRight w:val="0"/>
          <w:marTop w:val="0"/>
          <w:marBottom w:val="84"/>
          <w:divBdr>
            <w:top w:val="none" w:sz="0" w:space="0" w:color="auto"/>
            <w:left w:val="none" w:sz="0" w:space="0" w:color="auto"/>
            <w:bottom w:val="none" w:sz="0" w:space="0" w:color="auto"/>
            <w:right w:val="none" w:sz="0" w:space="0" w:color="auto"/>
          </w:divBdr>
        </w:div>
        <w:div w:id="463809788">
          <w:marLeft w:val="0"/>
          <w:marRight w:val="0"/>
          <w:marTop w:val="0"/>
          <w:marBottom w:val="84"/>
          <w:divBdr>
            <w:top w:val="none" w:sz="0" w:space="0" w:color="auto"/>
            <w:left w:val="none" w:sz="0" w:space="0" w:color="auto"/>
            <w:bottom w:val="none" w:sz="0" w:space="0" w:color="auto"/>
            <w:right w:val="none" w:sz="0" w:space="0" w:color="auto"/>
          </w:divBdr>
        </w:div>
      </w:divsChild>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C004E-F729-4DD4-A8A9-67BC4C2B5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6931</Words>
  <Characters>38122</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4</cp:revision>
  <cp:lastPrinted>2019-10-31T02:29:00Z</cp:lastPrinted>
  <dcterms:created xsi:type="dcterms:W3CDTF">2019-11-01T00:13:00Z</dcterms:created>
  <dcterms:modified xsi:type="dcterms:W3CDTF">2019-12-05T00:04:00Z</dcterms:modified>
</cp:coreProperties>
</file>