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2F0087">
      <w:pPr>
        <w:spacing w:line="360" w:lineRule="auto"/>
        <w:jc w:val="center"/>
        <w:rPr>
          <w:rFonts w:ascii="Palatino Linotype" w:hAnsi="Palatino Linotype"/>
          <w:b/>
        </w:rPr>
      </w:pPr>
      <w:r w:rsidRPr="002F0087">
        <w:rPr>
          <w:rFonts w:ascii="Palatino Linotype" w:hAnsi="Palatino Linotype"/>
          <w:b/>
        </w:rPr>
        <w:t>LÍNEAS ARGUMENTATIVAS</w:t>
      </w:r>
    </w:p>
    <w:p w14:paraId="391A3883" w14:textId="77777777" w:rsidR="002F0087" w:rsidRPr="002F0087" w:rsidRDefault="002F0087" w:rsidP="002F0087">
      <w:pPr>
        <w:spacing w:line="360" w:lineRule="auto"/>
        <w:jc w:val="center"/>
        <w:rPr>
          <w:rFonts w:ascii="Palatino Linotype" w:hAnsi="Palatino Linotype"/>
          <w:b/>
          <w:sz w:val="12"/>
        </w:rPr>
      </w:pPr>
    </w:p>
    <w:p w14:paraId="13BB9BBF" w14:textId="77777777" w:rsidR="00984347" w:rsidRDefault="00984347" w:rsidP="002F0087">
      <w:pPr>
        <w:spacing w:line="360" w:lineRule="auto"/>
        <w:jc w:val="both"/>
        <w:rPr>
          <w:rFonts w:ascii="Palatino Linotype" w:hAnsi="Palatino Linotype"/>
        </w:rPr>
      </w:pPr>
      <w:r w:rsidRPr="002F0087">
        <w:rPr>
          <w:rFonts w:ascii="Palatino Linotype" w:hAnsi="Palatino Linotype"/>
          <w:b/>
        </w:rPr>
        <w:t>NEGATIVA FICTA, NO EXISTE PLAZO PERENTORIO PARA INTERPONER EL RECURSO.</w:t>
      </w:r>
      <w:r w:rsidRPr="002F0087">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3DF6BAEE" w14:textId="77777777" w:rsidR="002F0087" w:rsidRPr="002F0087" w:rsidRDefault="002F0087" w:rsidP="002F0087">
      <w:pPr>
        <w:spacing w:line="360" w:lineRule="auto"/>
        <w:jc w:val="both"/>
        <w:rPr>
          <w:rFonts w:ascii="Palatino Linotype" w:hAnsi="Palatino Linotype"/>
          <w:sz w:val="10"/>
        </w:rPr>
      </w:pPr>
    </w:p>
    <w:p w14:paraId="04563E97" w14:textId="77777777" w:rsidR="00984347" w:rsidRDefault="00984347" w:rsidP="002F0087">
      <w:pPr>
        <w:spacing w:line="360" w:lineRule="auto"/>
        <w:jc w:val="both"/>
        <w:rPr>
          <w:rFonts w:ascii="Palatino Linotype" w:eastAsia="MS Mincho" w:hAnsi="Palatino Linotype" w:cs="Times New Roman"/>
        </w:rPr>
      </w:pPr>
      <w:r w:rsidRPr="002F0087">
        <w:rPr>
          <w:rFonts w:ascii="Palatino Linotype" w:hAnsi="Palatino Linotype"/>
          <w:b/>
        </w:rPr>
        <w:t xml:space="preserve">INFORME JUSTIFICADO, FALTA DE. </w:t>
      </w:r>
      <w:r w:rsidRPr="002F0087">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3D6DFEEC" w14:textId="77777777" w:rsidR="002F0087" w:rsidRPr="002F0087" w:rsidRDefault="002F0087" w:rsidP="002F0087">
      <w:pPr>
        <w:spacing w:line="360" w:lineRule="auto"/>
        <w:jc w:val="both"/>
        <w:rPr>
          <w:rFonts w:ascii="Palatino Linotype" w:eastAsia="MS Mincho" w:hAnsi="Palatino Linotype" w:cs="Times New Roman"/>
          <w:sz w:val="10"/>
        </w:rPr>
      </w:pPr>
    </w:p>
    <w:p w14:paraId="5246CEC9" w14:textId="77777777" w:rsidR="00903054" w:rsidRDefault="00903054" w:rsidP="002F0087">
      <w:pPr>
        <w:spacing w:line="360" w:lineRule="auto"/>
        <w:jc w:val="both"/>
        <w:rPr>
          <w:rFonts w:ascii="Palatino Linotype" w:eastAsia="Times New Roman" w:hAnsi="Palatino Linotype"/>
        </w:rPr>
      </w:pPr>
      <w:r w:rsidRPr="002F0087">
        <w:rPr>
          <w:rFonts w:ascii="Palatino Linotype" w:eastAsia="Times New Roman" w:hAnsi="Palatino Linotype"/>
          <w:b/>
        </w:rPr>
        <w:t>DEBERES DE LAS AUTORIDADES.</w:t>
      </w:r>
      <w:r w:rsidRPr="002F008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FD981FF" w14:textId="77777777" w:rsidR="002F0087" w:rsidRPr="002F0087" w:rsidRDefault="002F0087" w:rsidP="002F0087">
      <w:pPr>
        <w:spacing w:line="360" w:lineRule="auto"/>
        <w:jc w:val="both"/>
        <w:rPr>
          <w:rFonts w:ascii="Palatino Linotype" w:eastAsia="Times New Roman" w:hAnsi="Palatino Linotype"/>
          <w:sz w:val="10"/>
        </w:rPr>
      </w:pPr>
    </w:p>
    <w:p w14:paraId="66C12F0D" w14:textId="165CDA72" w:rsidR="003E4A5C" w:rsidRPr="002F0087" w:rsidRDefault="00903054" w:rsidP="002F0087">
      <w:pPr>
        <w:spacing w:line="360" w:lineRule="auto"/>
        <w:jc w:val="both"/>
        <w:rPr>
          <w:rFonts w:ascii="Palatino Linotype" w:hAnsi="Palatino Linotype" w:cs="Arial"/>
          <w:b/>
          <w:i/>
        </w:rPr>
      </w:pPr>
      <w:r w:rsidRPr="002F0087">
        <w:rPr>
          <w:rFonts w:ascii="Palatino Linotype" w:hAnsi="Palatino Linotype" w:cs="Arial"/>
          <w:b/>
        </w:rPr>
        <w:t>DE LA ELABORACION DE LAS VERSIONES PÚBLICAS</w:t>
      </w:r>
      <w:r w:rsidRPr="002F0087">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33513D8" w14:textId="4A14399B" w:rsidR="002F0087" w:rsidRPr="002F0087" w:rsidRDefault="00A20B1F" w:rsidP="002F0087">
      <w:pPr>
        <w:tabs>
          <w:tab w:val="left" w:pos="0"/>
        </w:tabs>
        <w:spacing w:line="360" w:lineRule="auto"/>
        <w:jc w:val="center"/>
        <w:rPr>
          <w:rFonts w:ascii="Palatino Linotype" w:eastAsia="Times New Roman" w:hAnsi="Palatino Linotype" w:cs="Times New Roman"/>
          <w:b/>
          <w:u w:val="single"/>
        </w:rPr>
      </w:pPr>
      <w:r w:rsidRPr="002F0087">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26470370" w:rsidR="00763298" w:rsidRPr="002F0087" w:rsidRDefault="00763298" w:rsidP="002F0087">
          <w:pPr>
            <w:pStyle w:val="TtulodeTDC"/>
            <w:tabs>
              <w:tab w:val="left" w:pos="0"/>
            </w:tabs>
            <w:spacing w:before="0" w:line="360" w:lineRule="auto"/>
            <w:rPr>
              <w:sz w:val="22"/>
              <w:szCs w:val="22"/>
            </w:rPr>
          </w:pPr>
        </w:p>
        <w:p w14:paraId="4F6CD047" w14:textId="77777777" w:rsidR="00843C11" w:rsidRPr="002F0087" w:rsidRDefault="00763298" w:rsidP="002F0087">
          <w:pPr>
            <w:pStyle w:val="TDC1"/>
            <w:spacing w:line="360" w:lineRule="auto"/>
            <w:rPr>
              <w:rFonts w:ascii="Palatino Linotype" w:hAnsi="Palatino Linotype"/>
              <w:noProof/>
              <w:sz w:val="22"/>
              <w:szCs w:val="22"/>
              <w:lang w:val="es-MX" w:eastAsia="es-MX"/>
            </w:rPr>
          </w:pPr>
          <w:r w:rsidRPr="002F0087">
            <w:rPr>
              <w:rFonts w:ascii="Palatino Linotype" w:hAnsi="Palatino Linotype"/>
              <w:sz w:val="22"/>
              <w:szCs w:val="22"/>
            </w:rPr>
            <w:fldChar w:fldCharType="begin"/>
          </w:r>
          <w:r w:rsidRPr="002F0087">
            <w:rPr>
              <w:rFonts w:ascii="Palatino Linotype" w:hAnsi="Palatino Linotype"/>
              <w:sz w:val="22"/>
              <w:szCs w:val="22"/>
            </w:rPr>
            <w:instrText xml:space="preserve"> TOC \o "1-3" \h \z \u </w:instrText>
          </w:r>
          <w:r w:rsidRPr="002F0087">
            <w:rPr>
              <w:rFonts w:ascii="Palatino Linotype" w:hAnsi="Palatino Linotype"/>
              <w:sz w:val="22"/>
              <w:szCs w:val="22"/>
            </w:rPr>
            <w:fldChar w:fldCharType="separate"/>
          </w:r>
          <w:hyperlink w:anchor="_Toc5821414" w:history="1">
            <w:r w:rsidR="00843C11" w:rsidRPr="002F0087">
              <w:rPr>
                <w:rStyle w:val="Hipervnculo"/>
                <w:rFonts w:ascii="Palatino Linotype" w:hAnsi="Palatino Linotype"/>
                <w:b/>
                <w:noProof/>
                <w:sz w:val="22"/>
                <w:szCs w:val="22"/>
              </w:rPr>
              <w:t>ANTECEDENTES</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_Toc5821414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3</w:t>
            </w:r>
            <w:r w:rsidR="00843C11" w:rsidRPr="002F0087">
              <w:rPr>
                <w:rFonts w:ascii="Palatino Linotype" w:hAnsi="Palatino Linotype"/>
                <w:noProof/>
                <w:webHidden/>
                <w:sz w:val="22"/>
                <w:szCs w:val="22"/>
              </w:rPr>
              <w:fldChar w:fldCharType="end"/>
            </w:r>
          </w:hyperlink>
        </w:p>
        <w:p w14:paraId="1C7F13C7" w14:textId="77777777" w:rsidR="00843C11" w:rsidRPr="002F0087" w:rsidRDefault="00F50A84" w:rsidP="002F0087">
          <w:pPr>
            <w:pStyle w:val="TDC1"/>
            <w:spacing w:line="360" w:lineRule="auto"/>
            <w:rPr>
              <w:rFonts w:ascii="Palatino Linotype" w:hAnsi="Palatino Linotype"/>
              <w:noProof/>
              <w:sz w:val="22"/>
              <w:szCs w:val="22"/>
              <w:lang w:val="es-MX" w:eastAsia="es-MX"/>
            </w:rPr>
          </w:pPr>
          <w:hyperlink w:anchor="_Toc5821415" w:history="1">
            <w:r w:rsidR="00843C11" w:rsidRPr="002F0087">
              <w:rPr>
                <w:rStyle w:val="Hipervnculo"/>
                <w:rFonts w:ascii="Palatino Linotype" w:hAnsi="Palatino Linotype"/>
                <w:b/>
                <w:noProof/>
                <w:sz w:val="22"/>
                <w:szCs w:val="22"/>
              </w:rPr>
              <w:t>CONSIDERANDO</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_Toc5821415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6</w:t>
            </w:r>
            <w:r w:rsidR="00843C11" w:rsidRPr="002F0087">
              <w:rPr>
                <w:rFonts w:ascii="Palatino Linotype" w:hAnsi="Palatino Linotype"/>
                <w:noProof/>
                <w:webHidden/>
                <w:sz w:val="22"/>
                <w:szCs w:val="22"/>
              </w:rPr>
              <w:fldChar w:fldCharType="end"/>
            </w:r>
          </w:hyperlink>
        </w:p>
        <w:p w14:paraId="522686EB" w14:textId="77777777" w:rsidR="00843C11" w:rsidRPr="002F0087" w:rsidRDefault="00F50A84" w:rsidP="002F0087">
          <w:pPr>
            <w:pStyle w:val="TDC1"/>
            <w:spacing w:line="360" w:lineRule="auto"/>
            <w:rPr>
              <w:rFonts w:ascii="Palatino Linotype" w:hAnsi="Palatino Linotype"/>
              <w:noProof/>
              <w:sz w:val="22"/>
              <w:szCs w:val="22"/>
              <w:lang w:val="es-MX" w:eastAsia="es-MX"/>
            </w:rPr>
          </w:pPr>
          <w:hyperlink w:anchor="_Toc5821416" w:history="1">
            <w:r w:rsidR="00843C11" w:rsidRPr="002F0087">
              <w:rPr>
                <w:rStyle w:val="Hipervnculo"/>
                <w:rFonts w:ascii="Palatino Linotype" w:hAnsi="Palatino Linotype"/>
                <w:b/>
                <w:noProof/>
                <w:sz w:val="22"/>
                <w:szCs w:val="22"/>
              </w:rPr>
              <w:t>PRIMERO. De la competencia</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_Toc5821416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6</w:t>
            </w:r>
            <w:r w:rsidR="00843C11" w:rsidRPr="002F0087">
              <w:rPr>
                <w:rFonts w:ascii="Palatino Linotype" w:hAnsi="Palatino Linotype"/>
                <w:noProof/>
                <w:webHidden/>
                <w:sz w:val="22"/>
                <w:szCs w:val="22"/>
              </w:rPr>
              <w:fldChar w:fldCharType="end"/>
            </w:r>
          </w:hyperlink>
        </w:p>
        <w:p w14:paraId="2B12C61B" w14:textId="77777777" w:rsidR="00843C11" w:rsidRPr="002F0087" w:rsidRDefault="00F50A84" w:rsidP="002F0087">
          <w:pPr>
            <w:pStyle w:val="TDC1"/>
            <w:spacing w:line="360" w:lineRule="auto"/>
            <w:rPr>
              <w:rStyle w:val="Hipervnculo"/>
              <w:rFonts w:ascii="Palatino Linotype" w:hAnsi="Palatino Linotype"/>
              <w:b/>
              <w:noProof/>
              <w:sz w:val="22"/>
              <w:szCs w:val="22"/>
            </w:rPr>
          </w:pPr>
          <w:hyperlink w:anchor="_Toc5821417" w:history="1">
            <w:r w:rsidR="00843C11" w:rsidRPr="002F0087">
              <w:rPr>
                <w:rStyle w:val="Hipervnculo"/>
                <w:rFonts w:ascii="Palatino Linotype" w:hAnsi="Palatino Linotype"/>
                <w:b/>
                <w:noProof/>
                <w:sz w:val="22"/>
                <w:szCs w:val="22"/>
              </w:rPr>
              <w:t>SEGUNDO. De la oportunidad y procedencia.</w:t>
            </w:r>
            <w:r w:rsidR="00843C11" w:rsidRPr="002F0087">
              <w:rPr>
                <w:rStyle w:val="Hipervnculo"/>
                <w:rFonts w:ascii="Palatino Linotype" w:hAnsi="Palatino Linotype"/>
                <w:b/>
                <w:noProof/>
                <w:webHidden/>
                <w:sz w:val="22"/>
                <w:szCs w:val="22"/>
              </w:rPr>
              <w:tab/>
            </w:r>
            <w:r w:rsidR="00843C11" w:rsidRPr="002F0087">
              <w:rPr>
                <w:rStyle w:val="Hipervnculo"/>
                <w:rFonts w:ascii="Palatino Linotype" w:hAnsi="Palatino Linotype"/>
                <w:b/>
                <w:noProof/>
                <w:webHidden/>
                <w:sz w:val="22"/>
                <w:szCs w:val="22"/>
              </w:rPr>
              <w:fldChar w:fldCharType="begin"/>
            </w:r>
            <w:r w:rsidR="00843C11" w:rsidRPr="002F0087">
              <w:rPr>
                <w:rStyle w:val="Hipervnculo"/>
                <w:rFonts w:ascii="Palatino Linotype" w:hAnsi="Palatino Linotype"/>
                <w:b/>
                <w:noProof/>
                <w:webHidden/>
                <w:sz w:val="22"/>
                <w:szCs w:val="22"/>
              </w:rPr>
              <w:instrText xml:space="preserve"> PAGEREF _Toc5821417 \h </w:instrText>
            </w:r>
            <w:r w:rsidR="00843C11" w:rsidRPr="002F0087">
              <w:rPr>
                <w:rStyle w:val="Hipervnculo"/>
                <w:rFonts w:ascii="Palatino Linotype" w:hAnsi="Palatino Linotype"/>
                <w:b/>
                <w:noProof/>
                <w:webHidden/>
                <w:sz w:val="22"/>
                <w:szCs w:val="22"/>
              </w:rPr>
            </w:r>
            <w:r w:rsidR="00843C11" w:rsidRPr="002F0087">
              <w:rPr>
                <w:rStyle w:val="Hipervnculo"/>
                <w:rFonts w:ascii="Palatino Linotype" w:hAnsi="Palatino Linotype"/>
                <w:b/>
                <w:noProof/>
                <w:webHidden/>
                <w:sz w:val="22"/>
                <w:szCs w:val="22"/>
              </w:rPr>
              <w:fldChar w:fldCharType="separate"/>
            </w:r>
            <w:r w:rsidR="00773038">
              <w:rPr>
                <w:rStyle w:val="Hipervnculo"/>
                <w:rFonts w:ascii="Palatino Linotype" w:hAnsi="Palatino Linotype"/>
                <w:b/>
                <w:noProof/>
                <w:webHidden/>
                <w:sz w:val="22"/>
                <w:szCs w:val="22"/>
              </w:rPr>
              <w:t>6</w:t>
            </w:r>
            <w:r w:rsidR="00843C11" w:rsidRPr="002F0087">
              <w:rPr>
                <w:rStyle w:val="Hipervnculo"/>
                <w:rFonts w:ascii="Palatino Linotype" w:hAnsi="Palatino Linotype"/>
                <w:b/>
                <w:noProof/>
                <w:webHidden/>
                <w:sz w:val="22"/>
                <w:szCs w:val="22"/>
              </w:rPr>
              <w:fldChar w:fldCharType="end"/>
            </w:r>
          </w:hyperlink>
        </w:p>
        <w:p w14:paraId="0A46C065" w14:textId="77777777" w:rsidR="00843C11" w:rsidRPr="002F0087" w:rsidRDefault="00F50A84" w:rsidP="002F0087">
          <w:pPr>
            <w:pStyle w:val="TDC1"/>
            <w:spacing w:line="360" w:lineRule="auto"/>
            <w:rPr>
              <w:rStyle w:val="Hipervnculo"/>
              <w:rFonts w:ascii="Palatino Linotype" w:hAnsi="Palatino Linotype"/>
              <w:b/>
              <w:noProof/>
              <w:sz w:val="22"/>
              <w:szCs w:val="22"/>
            </w:rPr>
          </w:pPr>
          <w:hyperlink w:anchor="_Toc5821418" w:history="1">
            <w:r w:rsidR="00843C11" w:rsidRPr="002F0087">
              <w:rPr>
                <w:rStyle w:val="Hipervnculo"/>
                <w:rFonts w:ascii="Palatino Linotype" w:hAnsi="Palatino Linotype"/>
                <w:b/>
                <w:noProof/>
                <w:sz w:val="22"/>
                <w:szCs w:val="22"/>
              </w:rPr>
              <w:t>TERCERO. Previo y especial pronunciamiento</w:t>
            </w:r>
            <w:r w:rsidR="00843C11" w:rsidRPr="002F0087">
              <w:rPr>
                <w:rStyle w:val="Hipervnculo"/>
                <w:rFonts w:ascii="Palatino Linotype" w:hAnsi="Palatino Linotype"/>
                <w:b/>
                <w:noProof/>
                <w:webHidden/>
                <w:sz w:val="22"/>
                <w:szCs w:val="22"/>
              </w:rPr>
              <w:tab/>
            </w:r>
            <w:r w:rsidR="00843C11" w:rsidRPr="002F0087">
              <w:rPr>
                <w:rStyle w:val="Hipervnculo"/>
                <w:rFonts w:ascii="Palatino Linotype" w:hAnsi="Palatino Linotype"/>
                <w:b/>
                <w:noProof/>
                <w:webHidden/>
                <w:sz w:val="22"/>
                <w:szCs w:val="22"/>
              </w:rPr>
              <w:fldChar w:fldCharType="begin"/>
            </w:r>
            <w:r w:rsidR="00843C11" w:rsidRPr="002F0087">
              <w:rPr>
                <w:rStyle w:val="Hipervnculo"/>
                <w:rFonts w:ascii="Palatino Linotype" w:hAnsi="Palatino Linotype"/>
                <w:b/>
                <w:noProof/>
                <w:webHidden/>
                <w:sz w:val="22"/>
                <w:szCs w:val="22"/>
              </w:rPr>
              <w:instrText xml:space="preserve"> PAGEREF _Toc5821418 \h </w:instrText>
            </w:r>
            <w:r w:rsidR="00843C11" w:rsidRPr="002F0087">
              <w:rPr>
                <w:rStyle w:val="Hipervnculo"/>
                <w:rFonts w:ascii="Palatino Linotype" w:hAnsi="Palatino Linotype"/>
                <w:b/>
                <w:noProof/>
                <w:webHidden/>
                <w:sz w:val="22"/>
                <w:szCs w:val="22"/>
              </w:rPr>
            </w:r>
            <w:r w:rsidR="00843C11" w:rsidRPr="002F0087">
              <w:rPr>
                <w:rStyle w:val="Hipervnculo"/>
                <w:rFonts w:ascii="Palatino Linotype" w:hAnsi="Palatino Linotype"/>
                <w:b/>
                <w:noProof/>
                <w:webHidden/>
                <w:sz w:val="22"/>
                <w:szCs w:val="22"/>
              </w:rPr>
              <w:fldChar w:fldCharType="separate"/>
            </w:r>
            <w:r w:rsidR="00773038">
              <w:rPr>
                <w:rStyle w:val="Hipervnculo"/>
                <w:rFonts w:ascii="Palatino Linotype" w:hAnsi="Palatino Linotype"/>
                <w:b/>
                <w:noProof/>
                <w:webHidden/>
                <w:sz w:val="22"/>
                <w:szCs w:val="22"/>
              </w:rPr>
              <w:t>14</w:t>
            </w:r>
            <w:r w:rsidR="00843C11" w:rsidRPr="002F0087">
              <w:rPr>
                <w:rStyle w:val="Hipervnculo"/>
                <w:rFonts w:ascii="Palatino Linotype" w:hAnsi="Palatino Linotype"/>
                <w:b/>
                <w:noProof/>
                <w:webHidden/>
                <w:sz w:val="22"/>
                <w:szCs w:val="22"/>
              </w:rPr>
              <w:fldChar w:fldCharType="end"/>
            </w:r>
          </w:hyperlink>
        </w:p>
        <w:p w14:paraId="574F9A36" w14:textId="77777777" w:rsidR="00843C11" w:rsidRPr="002F0087" w:rsidRDefault="00F50A84" w:rsidP="002F0087">
          <w:pPr>
            <w:pStyle w:val="TDC1"/>
            <w:tabs>
              <w:tab w:val="left" w:pos="993"/>
            </w:tabs>
            <w:spacing w:line="360" w:lineRule="auto"/>
            <w:rPr>
              <w:rFonts w:ascii="Palatino Linotype" w:hAnsi="Palatino Linotype"/>
              <w:noProof/>
              <w:sz w:val="22"/>
              <w:szCs w:val="22"/>
              <w:lang w:val="es-MX" w:eastAsia="es-MX"/>
            </w:rPr>
          </w:pPr>
          <w:hyperlink w:anchor="_Toc5821419" w:history="1">
            <w:r w:rsidR="00843C11" w:rsidRPr="002F0087">
              <w:rPr>
                <w:rStyle w:val="Hipervnculo"/>
                <w:rFonts w:ascii="Palatino Linotype" w:eastAsia="Calibri" w:hAnsi="Palatino Linotype" w:cs="Times New Roman"/>
                <w:b/>
                <w:bCs/>
                <w:noProof/>
                <w:sz w:val="22"/>
                <w:szCs w:val="22"/>
                <w:lang w:val="es-ES"/>
              </w:rPr>
              <w:t>I.</w:t>
            </w:r>
            <w:r w:rsidR="00843C11" w:rsidRPr="002F0087">
              <w:rPr>
                <w:rFonts w:ascii="Palatino Linotype" w:hAnsi="Palatino Linotype"/>
                <w:noProof/>
                <w:sz w:val="22"/>
                <w:szCs w:val="22"/>
                <w:lang w:val="es-MX" w:eastAsia="es-MX"/>
              </w:rPr>
              <w:tab/>
            </w:r>
            <w:r w:rsidR="00843C11" w:rsidRPr="002F0087">
              <w:rPr>
                <w:rStyle w:val="Hipervnculo"/>
                <w:rFonts w:ascii="Palatino Linotype" w:eastAsia="Calibri" w:hAnsi="Palatino Linotype" w:cs="Times New Roman"/>
                <w:b/>
                <w:bCs/>
                <w:noProof/>
                <w:sz w:val="22"/>
                <w:szCs w:val="22"/>
                <w:lang w:val="es-ES"/>
              </w:rPr>
              <w:t>La falta de informe justificado.</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_Toc5821419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14</w:t>
            </w:r>
            <w:r w:rsidR="00843C11" w:rsidRPr="002F0087">
              <w:rPr>
                <w:rFonts w:ascii="Palatino Linotype" w:hAnsi="Palatino Linotype"/>
                <w:noProof/>
                <w:webHidden/>
                <w:sz w:val="22"/>
                <w:szCs w:val="22"/>
              </w:rPr>
              <w:fldChar w:fldCharType="end"/>
            </w:r>
          </w:hyperlink>
        </w:p>
        <w:p w14:paraId="23DBFA50" w14:textId="77777777" w:rsidR="00843C11" w:rsidRPr="002F0087" w:rsidRDefault="00F50A84" w:rsidP="002F0087">
          <w:pPr>
            <w:pStyle w:val="TDC1"/>
            <w:spacing w:line="360" w:lineRule="auto"/>
            <w:rPr>
              <w:rFonts w:ascii="Palatino Linotype" w:hAnsi="Palatino Linotype"/>
              <w:noProof/>
              <w:sz w:val="22"/>
              <w:szCs w:val="22"/>
              <w:lang w:val="es-MX" w:eastAsia="es-MX"/>
            </w:rPr>
          </w:pPr>
          <w:hyperlink w:anchor="_Toc5821420" w:history="1">
            <w:r w:rsidR="00843C11" w:rsidRPr="002F0087">
              <w:rPr>
                <w:rStyle w:val="Hipervnculo"/>
                <w:rFonts w:ascii="Palatino Linotype" w:hAnsi="Palatino Linotype"/>
                <w:b/>
                <w:noProof/>
                <w:sz w:val="22"/>
                <w:szCs w:val="22"/>
              </w:rPr>
              <w:t>CUARTO. Planteamiento de la Litis.</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_Toc5821420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16</w:t>
            </w:r>
            <w:r w:rsidR="00843C11" w:rsidRPr="002F0087">
              <w:rPr>
                <w:rFonts w:ascii="Palatino Linotype" w:hAnsi="Palatino Linotype"/>
                <w:noProof/>
                <w:webHidden/>
                <w:sz w:val="22"/>
                <w:szCs w:val="22"/>
              </w:rPr>
              <w:fldChar w:fldCharType="end"/>
            </w:r>
          </w:hyperlink>
        </w:p>
        <w:p w14:paraId="491E89BB" w14:textId="77777777" w:rsidR="00843C11" w:rsidRPr="002F0087" w:rsidRDefault="00F50A84" w:rsidP="002F0087">
          <w:pPr>
            <w:pStyle w:val="TDC1"/>
            <w:spacing w:line="360" w:lineRule="auto"/>
            <w:rPr>
              <w:rStyle w:val="Hipervnculo"/>
              <w:rFonts w:ascii="Palatino Linotype" w:hAnsi="Palatino Linotype"/>
              <w:b/>
              <w:noProof/>
              <w:sz w:val="22"/>
              <w:szCs w:val="22"/>
            </w:rPr>
          </w:pPr>
          <w:hyperlink w:anchor="_Toc5821421" w:history="1">
            <w:r w:rsidR="00843C11" w:rsidRPr="002F0087">
              <w:rPr>
                <w:rStyle w:val="Hipervnculo"/>
                <w:rFonts w:ascii="Palatino Linotype" w:hAnsi="Palatino Linotype"/>
                <w:b/>
                <w:noProof/>
                <w:sz w:val="22"/>
                <w:szCs w:val="22"/>
              </w:rPr>
              <w:t>QUINTO. Estudio y resolución del asunto</w:t>
            </w:r>
            <w:r w:rsidR="00843C11" w:rsidRPr="002F0087">
              <w:rPr>
                <w:rStyle w:val="Hipervnculo"/>
                <w:rFonts w:ascii="Palatino Linotype" w:hAnsi="Palatino Linotype"/>
                <w:b/>
                <w:noProof/>
                <w:webHidden/>
                <w:sz w:val="22"/>
                <w:szCs w:val="22"/>
              </w:rPr>
              <w:tab/>
            </w:r>
            <w:r w:rsidR="00843C11" w:rsidRPr="002F0087">
              <w:rPr>
                <w:rStyle w:val="Hipervnculo"/>
                <w:rFonts w:ascii="Palatino Linotype" w:hAnsi="Palatino Linotype"/>
                <w:b/>
                <w:noProof/>
                <w:webHidden/>
                <w:sz w:val="22"/>
                <w:szCs w:val="22"/>
              </w:rPr>
              <w:fldChar w:fldCharType="begin"/>
            </w:r>
            <w:r w:rsidR="00843C11" w:rsidRPr="002F0087">
              <w:rPr>
                <w:rStyle w:val="Hipervnculo"/>
                <w:rFonts w:ascii="Palatino Linotype" w:hAnsi="Palatino Linotype"/>
                <w:b/>
                <w:noProof/>
                <w:webHidden/>
                <w:sz w:val="22"/>
                <w:szCs w:val="22"/>
              </w:rPr>
              <w:instrText xml:space="preserve"> PAGEREF _Toc5821421 \h </w:instrText>
            </w:r>
            <w:r w:rsidR="00843C11" w:rsidRPr="002F0087">
              <w:rPr>
                <w:rStyle w:val="Hipervnculo"/>
                <w:rFonts w:ascii="Palatino Linotype" w:hAnsi="Palatino Linotype"/>
                <w:b/>
                <w:noProof/>
                <w:webHidden/>
                <w:sz w:val="22"/>
                <w:szCs w:val="22"/>
              </w:rPr>
            </w:r>
            <w:r w:rsidR="00843C11" w:rsidRPr="002F0087">
              <w:rPr>
                <w:rStyle w:val="Hipervnculo"/>
                <w:rFonts w:ascii="Palatino Linotype" w:hAnsi="Palatino Linotype"/>
                <w:b/>
                <w:noProof/>
                <w:webHidden/>
                <w:sz w:val="22"/>
                <w:szCs w:val="22"/>
              </w:rPr>
              <w:fldChar w:fldCharType="separate"/>
            </w:r>
            <w:r w:rsidR="00773038">
              <w:rPr>
                <w:rStyle w:val="Hipervnculo"/>
                <w:rFonts w:ascii="Palatino Linotype" w:hAnsi="Palatino Linotype"/>
                <w:b/>
                <w:noProof/>
                <w:webHidden/>
                <w:sz w:val="22"/>
                <w:szCs w:val="22"/>
              </w:rPr>
              <w:t>17</w:t>
            </w:r>
            <w:r w:rsidR="00843C11" w:rsidRPr="002F0087">
              <w:rPr>
                <w:rStyle w:val="Hipervnculo"/>
                <w:rFonts w:ascii="Palatino Linotype" w:hAnsi="Palatino Linotype"/>
                <w:b/>
                <w:noProof/>
                <w:webHidden/>
                <w:sz w:val="22"/>
                <w:szCs w:val="22"/>
              </w:rPr>
              <w:fldChar w:fldCharType="end"/>
            </w:r>
          </w:hyperlink>
        </w:p>
        <w:p w14:paraId="3396AD64" w14:textId="77777777" w:rsidR="00843C11" w:rsidRPr="002F0087" w:rsidRDefault="00F50A84" w:rsidP="002F0087">
          <w:pPr>
            <w:pStyle w:val="TDC1"/>
            <w:tabs>
              <w:tab w:val="left" w:pos="993"/>
            </w:tabs>
            <w:spacing w:line="360" w:lineRule="auto"/>
            <w:rPr>
              <w:rFonts w:ascii="Palatino Linotype" w:hAnsi="Palatino Linotype"/>
              <w:noProof/>
              <w:sz w:val="22"/>
              <w:szCs w:val="22"/>
              <w:lang w:val="es-MX" w:eastAsia="es-MX"/>
            </w:rPr>
          </w:pPr>
          <w:hyperlink w:anchor="_Toc5821422" w:history="1">
            <w:r w:rsidR="00843C11" w:rsidRPr="002F0087">
              <w:rPr>
                <w:rStyle w:val="Hipervnculo"/>
                <w:rFonts w:ascii="Palatino Linotype" w:hAnsi="Palatino Linotype"/>
                <w:b/>
                <w:noProof/>
                <w:sz w:val="22"/>
                <w:szCs w:val="22"/>
              </w:rPr>
              <w:t>I.</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Del deber de las autoridades de promover, respetar, proteger y garantizar el derecho de acceso a la información pública.</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_Toc5821422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17</w:t>
            </w:r>
            <w:r w:rsidR="00843C11" w:rsidRPr="002F0087">
              <w:rPr>
                <w:rFonts w:ascii="Palatino Linotype" w:hAnsi="Palatino Linotype"/>
                <w:noProof/>
                <w:webHidden/>
                <w:sz w:val="22"/>
                <w:szCs w:val="22"/>
              </w:rPr>
              <w:fldChar w:fldCharType="end"/>
            </w:r>
          </w:hyperlink>
        </w:p>
        <w:p w14:paraId="3686A2BB" w14:textId="77777777" w:rsidR="00843C11" w:rsidRPr="002F0087" w:rsidRDefault="00F50A84" w:rsidP="002F0087">
          <w:pPr>
            <w:pStyle w:val="TDC3"/>
            <w:tabs>
              <w:tab w:val="left" w:pos="993"/>
              <w:tab w:val="right" w:leader="dot" w:pos="8828"/>
            </w:tabs>
            <w:spacing w:after="0" w:line="360" w:lineRule="auto"/>
            <w:rPr>
              <w:rFonts w:ascii="Palatino Linotype" w:hAnsi="Palatino Linotype"/>
              <w:noProof/>
              <w:sz w:val="22"/>
              <w:szCs w:val="22"/>
              <w:lang w:val="es-MX" w:eastAsia="es-MX"/>
            </w:rPr>
          </w:pPr>
          <w:hyperlink w:anchor="_Toc5821423" w:history="1">
            <w:r w:rsidR="00843C11" w:rsidRPr="002F0087">
              <w:rPr>
                <w:rStyle w:val="Hipervnculo"/>
                <w:rFonts w:ascii="Palatino Linotype" w:hAnsi="Palatino Linotype"/>
                <w:b/>
                <w:noProof/>
                <w:sz w:val="22"/>
                <w:szCs w:val="22"/>
              </w:rPr>
              <w:t>II.</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De la naturaleza jurídica de la información solicitada</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_Toc5821423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19</w:t>
            </w:r>
            <w:r w:rsidR="00843C11" w:rsidRPr="002F0087">
              <w:rPr>
                <w:rFonts w:ascii="Palatino Linotype" w:hAnsi="Palatino Linotype"/>
                <w:noProof/>
                <w:webHidden/>
                <w:sz w:val="22"/>
                <w:szCs w:val="22"/>
              </w:rPr>
              <w:fldChar w:fldCharType="end"/>
            </w:r>
          </w:hyperlink>
        </w:p>
        <w:p w14:paraId="661DABC2" w14:textId="77777777" w:rsidR="00843C11" w:rsidRPr="002F0087" w:rsidRDefault="00F50A84" w:rsidP="002F0087">
          <w:pPr>
            <w:pStyle w:val="TDC3"/>
            <w:tabs>
              <w:tab w:val="left" w:pos="1100"/>
              <w:tab w:val="right" w:leader="dot" w:pos="8828"/>
            </w:tabs>
            <w:spacing w:after="0" w:line="360" w:lineRule="auto"/>
            <w:rPr>
              <w:rFonts w:ascii="Palatino Linotype" w:hAnsi="Palatino Linotype"/>
              <w:noProof/>
              <w:sz w:val="22"/>
              <w:szCs w:val="22"/>
              <w:lang w:val="es-MX" w:eastAsia="es-MX"/>
            </w:rPr>
          </w:pPr>
          <w:hyperlink w:anchor="_Toc5821424" w:history="1">
            <w:r w:rsidR="00843C11" w:rsidRPr="002F0087">
              <w:rPr>
                <w:rStyle w:val="Hipervnculo"/>
                <w:rFonts w:ascii="Palatino Linotype" w:hAnsi="Palatino Linotype"/>
                <w:b/>
                <w:noProof/>
                <w:sz w:val="22"/>
                <w:szCs w:val="22"/>
                <w:lang w:val="es-MX" w:eastAsia="en-US"/>
              </w:rPr>
              <w:t>III.</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lang w:val="es-MX" w:eastAsia="en-US"/>
              </w:rPr>
              <w:t>De las manifestaciones subjetivas.</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_Toc5821424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28</w:t>
            </w:r>
            <w:r w:rsidR="00843C11" w:rsidRPr="002F0087">
              <w:rPr>
                <w:rFonts w:ascii="Palatino Linotype" w:hAnsi="Palatino Linotype"/>
                <w:noProof/>
                <w:webHidden/>
                <w:sz w:val="22"/>
                <w:szCs w:val="22"/>
              </w:rPr>
              <w:fldChar w:fldCharType="end"/>
            </w:r>
          </w:hyperlink>
        </w:p>
        <w:p w14:paraId="1B532ACA" w14:textId="77777777" w:rsidR="00843C11" w:rsidRPr="002F0087" w:rsidRDefault="00F50A84" w:rsidP="002F0087">
          <w:pPr>
            <w:pStyle w:val="TDC1"/>
            <w:spacing w:line="360" w:lineRule="auto"/>
            <w:rPr>
              <w:rFonts w:ascii="Palatino Linotype" w:hAnsi="Palatino Linotype"/>
              <w:noProof/>
              <w:sz w:val="22"/>
              <w:szCs w:val="22"/>
              <w:lang w:val="es-MX" w:eastAsia="es-MX"/>
            </w:rPr>
          </w:pPr>
          <w:hyperlink w:anchor="_Toc5821425" w:history="1">
            <w:r w:rsidR="00843C11" w:rsidRPr="002F0087">
              <w:rPr>
                <w:rStyle w:val="Hipervnculo"/>
                <w:rFonts w:ascii="Palatino Linotype" w:hAnsi="Palatino Linotype"/>
                <w:b/>
                <w:noProof/>
                <w:sz w:val="22"/>
                <w:szCs w:val="22"/>
              </w:rPr>
              <w:t>SEXTO. De la Versión Pública</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_Toc5821425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32</w:t>
            </w:r>
            <w:r w:rsidR="00843C11" w:rsidRPr="002F0087">
              <w:rPr>
                <w:rFonts w:ascii="Palatino Linotype" w:hAnsi="Palatino Linotype"/>
                <w:noProof/>
                <w:webHidden/>
                <w:sz w:val="22"/>
                <w:szCs w:val="22"/>
              </w:rPr>
              <w:fldChar w:fldCharType="end"/>
            </w:r>
          </w:hyperlink>
        </w:p>
        <w:p w14:paraId="609D3DC7" w14:textId="77777777" w:rsidR="00843C11" w:rsidRPr="002F0087" w:rsidRDefault="00F50A84" w:rsidP="002F0087">
          <w:pPr>
            <w:pStyle w:val="TDC3"/>
            <w:tabs>
              <w:tab w:val="left" w:pos="993"/>
              <w:tab w:val="right" w:leader="dot" w:pos="8828"/>
            </w:tabs>
            <w:spacing w:after="0" w:line="360" w:lineRule="auto"/>
            <w:rPr>
              <w:rFonts w:ascii="Palatino Linotype" w:hAnsi="Palatino Linotype"/>
              <w:noProof/>
              <w:sz w:val="22"/>
              <w:szCs w:val="22"/>
              <w:lang w:val="es-MX" w:eastAsia="es-MX"/>
            </w:rPr>
          </w:pPr>
          <w:hyperlink w:anchor="_Toc5821426" w:history="1">
            <w:r w:rsidR="00843C11" w:rsidRPr="002F0087">
              <w:rPr>
                <w:rStyle w:val="Hipervnculo"/>
                <w:rFonts w:ascii="Palatino Linotype" w:hAnsi="Palatino Linotype"/>
                <w:b/>
                <w:noProof/>
                <w:sz w:val="22"/>
                <w:szCs w:val="22"/>
              </w:rPr>
              <w:t>I.</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Requisitos previos.</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_Toc5821426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33</w:t>
            </w:r>
            <w:r w:rsidR="00843C11" w:rsidRPr="002F0087">
              <w:rPr>
                <w:rFonts w:ascii="Palatino Linotype" w:hAnsi="Palatino Linotype"/>
                <w:noProof/>
                <w:webHidden/>
                <w:sz w:val="22"/>
                <w:szCs w:val="22"/>
              </w:rPr>
              <w:fldChar w:fldCharType="end"/>
            </w:r>
          </w:hyperlink>
        </w:p>
        <w:p w14:paraId="0B57F68E" w14:textId="77777777" w:rsidR="00843C11" w:rsidRPr="002F0087" w:rsidRDefault="00F50A84" w:rsidP="002F0087">
          <w:pPr>
            <w:pStyle w:val="TDC3"/>
            <w:tabs>
              <w:tab w:val="left" w:pos="993"/>
              <w:tab w:val="right" w:leader="dot" w:pos="8828"/>
            </w:tabs>
            <w:spacing w:after="0" w:line="360" w:lineRule="auto"/>
            <w:rPr>
              <w:rFonts w:ascii="Palatino Linotype" w:hAnsi="Palatino Linotype"/>
              <w:noProof/>
              <w:sz w:val="22"/>
              <w:szCs w:val="22"/>
              <w:lang w:val="es-MX" w:eastAsia="es-MX"/>
            </w:rPr>
          </w:pPr>
          <w:hyperlink w:anchor="_Toc5821427" w:history="1">
            <w:r w:rsidR="00843C11" w:rsidRPr="002F0087">
              <w:rPr>
                <w:rStyle w:val="Hipervnculo"/>
                <w:rFonts w:ascii="Palatino Linotype" w:hAnsi="Palatino Linotype"/>
                <w:b/>
                <w:noProof/>
                <w:sz w:val="22"/>
                <w:szCs w:val="22"/>
              </w:rPr>
              <w:t>II.</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Supuesto de clasificación.</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_Toc5821427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34</w:t>
            </w:r>
            <w:r w:rsidR="00843C11" w:rsidRPr="002F0087">
              <w:rPr>
                <w:rFonts w:ascii="Palatino Linotype" w:hAnsi="Palatino Linotype"/>
                <w:noProof/>
                <w:webHidden/>
                <w:sz w:val="22"/>
                <w:szCs w:val="22"/>
              </w:rPr>
              <w:fldChar w:fldCharType="end"/>
            </w:r>
          </w:hyperlink>
        </w:p>
        <w:p w14:paraId="489A5158" w14:textId="77777777" w:rsidR="00843C11" w:rsidRPr="002F0087" w:rsidRDefault="00F50A84" w:rsidP="002F0087">
          <w:pPr>
            <w:pStyle w:val="TDC3"/>
            <w:tabs>
              <w:tab w:val="left" w:pos="1100"/>
              <w:tab w:val="right" w:leader="dot" w:pos="8828"/>
            </w:tabs>
            <w:spacing w:after="0" w:line="360" w:lineRule="auto"/>
            <w:rPr>
              <w:rFonts w:ascii="Palatino Linotype" w:hAnsi="Palatino Linotype"/>
              <w:noProof/>
              <w:sz w:val="22"/>
              <w:szCs w:val="22"/>
              <w:lang w:val="es-MX" w:eastAsia="es-MX"/>
            </w:rPr>
          </w:pPr>
          <w:hyperlink w:anchor="_Toc5821428" w:history="1">
            <w:r w:rsidR="00843C11" w:rsidRPr="002F0087">
              <w:rPr>
                <w:rStyle w:val="Hipervnculo"/>
                <w:rFonts w:ascii="Palatino Linotype" w:hAnsi="Palatino Linotype"/>
                <w:b/>
                <w:noProof/>
                <w:sz w:val="22"/>
                <w:szCs w:val="22"/>
              </w:rPr>
              <w:t>III.</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La intervención del Comité de Transparencia.</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_Toc5821428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37</w:t>
            </w:r>
            <w:r w:rsidR="00843C11" w:rsidRPr="002F0087">
              <w:rPr>
                <w:rFonts w:ascii="Palatino Linotype" w:hAnsi="Palatino Linotype"/>
                <w:noProof/>
                <w:webHidden/>
                <w:sz w:val="22"/>
                <w:szCs w:val="22"/>
              </w:rPr>
              <w:fldChar w:fldCharType="end"/>
            </w:r>
          </w:hyperlink>
        </w:p>
        <w:p w14:paraId="632F79CE" w14:textId="77777777" w:rsidR="00843C11" w:rsidRPr="002F0087" w:rsidRDefault="00F50A84" w:rsidP="002F0087">
          <w:pPr>
            <w:pStyle w:val="TDC1"/>
            <w:tabs>
              <w:tab w:val="left" w:pos="993"/>
            </w:tabs>
            <w:spacing w:line="360" w:lineRule="auto"/>
            <w:rPr>
              <w:rFonts w:ascii="Palatino Linotype" w:hAnsi="Palatino Linotype"/>
              <w:noProof/>
              <w:sz w:val="22"/>
              <w:szCs w:val="22"/>
              <w:lang w:val="es-MX" w:eastAsia="es-MX"/>
            </w:rPr>
          </w:pPr>
          <w:hyperlink w:anchor="_Toc5821429" w:history="1">
            <w:r w:rsidR="00843C11" w:rsidRPr="002F0087">
              <w:rPr>
                <w:rStyle w:val="Hipervnculo"/>
                <w:rFonts w:ascii="Palatino Linotype" w:hAnsi="Palatino Linotype"/>
                <w:b/>
                <w:noProof/>
                <w:sz w:val="22"/>
                <w:szCs w:val="22"/>
              </w:rPr>
              <w:t>a.</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Formalidades para emitir el acuerdo de clasificación.</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_Toc5821429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37</w:t>
            </w:r>
            <w:r w:rsidR="00843C11" w:rsidRPr="002F0087">
              <w:rPr>
                <w:rFonts w:ascii="Palatino Linotype" w:hAnsi="Palatino Linotype"/>
                <w:noProof/>
                <w:webHidden/>
                <w:sz w:val="22"/>
                <w:szCs w:val="22"/>
              </w:rPr>
              <w:fldChar w:fldCharType="end"/>
            </w:r>
          </w:hyperlink>
        </w:p>
        <w:p w14:paraId="2F60AFB3" w14:textId="77777777" w:rsidR="00843C11" w:rsidRPr="002F0087" w:rsidRDefault="00F50A84" w:rsidP="002F0087">
          <w:pPr>
            <w:pStyle w:val="TDC1"/>
            <w:tabs>
              <w:tab w:val="left" w:pos="993"/>
            </w:tabs>
            <w:spacing w:line="360" w:lineRule="auto"/>
            <w:rPr>
              <w:rFonts w:ascii="Palatino Linotype" w:hAnsi="Palatino Linotype"/>
              <w:noProof/>
              <w:sz w:val="22"/>
              <w:szCs w:val="22"/>
              <w:lang w:val="es-MX" w:eastAsia="es-MX"/>
            </w:rPr>
          </w:pPr>
          <w:hyperlink w:anchor="_Toc5821430" w:history="1">
            <w:r w:rsidR="00843C11" w:rsidRPr="002F0087">
              <w:rPr>
                <w:rStyle w:val="Hipervnculo"/>
                <w:rFonts w:ascii="Palatino Linotype" w:hAnsi="Palatino Linotype"/>
                <w:b/>
                <w:noProof/>
                <w:sz w:val="22"/>
                <w:szCs w:val="22"/>
              </w:rPr>
              <w:t>b.</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Requisitos de fondo del acuerdo de clasificación.</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_Toc5821430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38</w:t>
            </w:r>
            <w:r w:rsidR="00843C11" w:rsidRPr="002F0087">
              <w:rPr>
                <w:rFonts w:ascii="Palatino Linotype" w:hAnsi="Palatino Linotype"/>
                <w:noProof/>
                <w:webHidden/>
                <w:sz w:val="22"/>
                <w:szCs w:val="22"/>
              </w:rPr>
              <w:fldChar w:fldCharType="end"/>
            </w:r>
          </w:hyperlink>
        </w:p>
        <w:p w14:paraId="2B413407" w14:textId="77777777" w:rsidR="00843C11" w:rsidRPr="002F0087" w:rsidRDefault="00F50A84" w:rsidP="002F0087">
          <w:pPr>
            <w:pStyle w:val="TDC1"/>
            <w:tabs>
              <w:tab w:val="left" w:pos="993"/>
            </w:tabs>
            <w:spacing w:line="360" w:lineRule="auto"/>
            <w:rPr>
              <w:rFonts w:ascii="Palatino Linotype" w:hAnsi="Palatino Linotype"/>
              <w:noProof/>
              <w:sz w:val="22"/>
              <w:szCs w:val="22"/>
              <w:lang w:val="es-MX" w:eastAsia="es-MX"/>
            </w:rPr>
          </w:pPr>
          <w:hyperlink w:anchor="_Toc5821431" w:history="1">
            <w:r w:rsidR="00843C11" w:rsidRPr="002F0087">
              <w:rPr>
                <w:rStyle w:val="Hipervnculo"/>
                <w:rFonts w:ascii="Palatino Linotype" w:hAnsi="Palatino Linotype"/>
                <w:b/>
                <w:noProof/>
                <w:sz w:val="22"/>
                <w:szCs w:val="22"/>
              </w:rPr>
              <w:t>IV.</w:t>
            </w:r>
            <w:r w:rsidR="00843C11" w:rsidRPr="002F0087">
              <w:rPr>
                <w:rFonts w:ascii="Palatino Linotype" w:hAnsi="Palatino Linotype"/>
                <w:noProof/>
                <w:sz w:val="22"/>
                <w:szCs w:val="22"/>
                <w:lang w:val="es-MX" w:eastAsia="es-MX"/>
              </w:rPr>
              <w:tab/>
            </w:r>
            <w:r w:rsidR="00843C11" w:rsidRPr="002F0087">
              <w:rPr>
                <w:rStyle w:val="Hipervnculo"/>
                <w:rFonts w:ascii="Palatino Linotype" w:hAnsi="Palatino Linotype"/>
                <w:b/>
                <w:noProof/>
                <w:sz w:val="22"/>
                <w:szCs w:val="22"/>
              </w:rPr>
              <w:t>Publicidad de las fotografías en el Currículum Vitae.</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_Toc5821431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43</w:t>
            </w:r>
            <w:r w:rsidR="00843C11" w:rsidRPr="002F0087">
              <w:rPr>
                <w:rFonts w:ascii="Palatino Linotype" w:hAnsi="Palatino Linotype"/>
                <w:noProof/>
                <w:webHidden/>
                <w:sz w:val="22"/>
                <w:szCs w:val="22"/>
              </w:rPr>
              <w:fldChar w:fldCharType="end"/>
            </w:r>
          </w:hyperlink>
        </w:p>
        <w:p w14:paraId="7F75CDC0" w14:textId="77777777" w:rsidR="00843C11" w:rsidRPr="002F0087" w:rsidRDefault="00F50A84" w:rsidP="002F0087">
          <w:pPr>
            <w:pStyle w:val="TDC1"/>
            <w:spacing w:line="360" w:lineRule="auto"/>
            <w:rPr>
              <w:rFonts w:ascii="Palatino Linotype" w:hAnsi="Palatino Linotype"/>
              <w:noProof/>
              <w:sz w:val="22"/>
              <w:szCs w:val="22"/>
              <w:lang w:val="es-MX" w:eastAsia="es-MX"/>
            </w:rPr>
          </w:pPr>
          <w:hyperlink w:anchor="_Toc5821432" w:history="1">
            <w:r w:rsidR="00843C11" w:rsidRPr="002F0087">
              <w:rPr>
                <w:rStyle w:val="Hipervnculo"/>
                <w:rFonts w:ascii="Palatino Linotype" w:eastAsia="MS Gothic" w:hAnsi="Palatino Linotype"/>
                <w:b/>
                <w:noProof/>
                <w:sz w:val="22"/>
                <w:szCs w:val="22"/>
              </w:rPr>
              <w:t>SÉPTIMO. Vista a los órganos de control interno.</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_Toc5821432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50</w:t>
            </w:r>
            <w:r w:rsidR="00843C11" w:rsidRPr="002F0087">
              <w:rPr>
                <w:rFonts w:ascii="Palatino Linotype" w:hAnsi="Palatino Linotype"/>
                <w:noProof/>
                <w:webHidden/>
                <w:sz w:val="22"/>
                <w:szCs w:val="22"/>
              </w:rPr>
              <w:fldChar w:fldCharType="end"/>
            </w:r>
          </w:hyperlink>
        </w:p>
        <w:p w14:paraId="65633D74" w14:textId="77777777" w:rsidR="00843C11" w:rsidRPr="002F0087" w:rsidRDefault="00F50A84" w:rsidP="002F0087">
          <w:pPr>
            <w:pStyle w:val="TDC1"/>
            <w:spacing w:line="360" w:lineRule="auto"/>
            <w:rPr>
              <w:rFonts w:ascii="Palatino Linotype" w:hAnsi="Palatino Linotype"/>
              <w:noProof/>
              <w:sz w:val="22"/>
              <w:szCs w:val="22"/>
              <w:lang w:val="es-MX" w:eastAsia="es-MX"/>
            </w:rPr>
          </w:pPr>
          <w:hyperlink w:anchor="_Toc5821433" w:history="1">
            <w:r w:rsidR="00843C11" w:rsidRPr="002F0087">
              <w:rPr>
                <w:rStyle w:val="Hipervnculo"/>
                <w:rFonts w:ascii="Palatino Linotype" w:eastAsia="Calibri" w:hAnsi="Palatino Linotype"/>
                <w:b/>
                <w:noProof/>
                <w:sz w:val="22"/>
                <w:szCs w:val="22"/>
                <w:lang w:val="es-ES"/>
              </w:rPr>
              <w:t>R E S O L U T I V O S</w:t>
            </w:r>
            <w:r w:rsidR="00843C11" w:rsidRPr="002F0087">
              <w:rPr>
                <w:rFonts w:ascii="Palatino Linotype" w:hAnsi="Palatino Linotype"/>
                <w:noProof/>
                <w:webHidden/>
                <w:sz w:val="22"/>
                <w:szCs w:val="22"/>
              </w:rPr>
              <w:tab/>
            </w:r>
            <w:r w:rsidR="00843C11" w:rsidRPr="002F0087">
              <w:rPr>
                <w:rFonts w:ascii="Palatino Linotype" w:hAnsi="Palatino Linotype"/>
                <w:noProof/>
                <w:webHidden/>
                <w:sz w:val="22"/>
                <w:szCs w:val="22"/>
              </w:rPr>
              <w:fldChar w:fldCharType="begin"/>
            </w:r>
            <w:r w:rsidR="00843C11" w:rsidRPr="002F0087">
              <w:rPr>
                <w:rFonts w:ascii="Palatino Linotype" w:hAnsi="Palatino Linotype"/>
                <w:noProof/>
                <w:webHidden/>
                <w:sz w:val="22"/>
                <w:szCs w:val="22"/>
              </w:rPr>
              <w:instrText xml:space="preserve"> PAGEREF _Toc5821433 \h </w:instrText>
            </w:r>
            <w:r w:rsidR="00843C11" w:rsidRPr="002F0087">
              <w:rPr>
                <w:rFonts w:ascii="Palatino Linotype" w:hAnsi="Palatino Linotype"/>
                <w:noProof/>
                <w:webHidden/>
                <w:sz w:val="22"/>
                <w:szCs w:val="22"/>
              </w:rPr>
            </w:r>
            <w:r w:rsidR="00843C11" w:rsidRPr="002F0087">
              <w:rPr>
                <w:rFonts w:ascii="Palatino Linotype" w:hAnsi="Palatino Linotype"/>
                <w:noProof/>
                <w:webHidden/>
                <w:sz w:val="22"/>
                <w:szCs w:val="22"/>
              </w:rPr>
              <w:fldChar w:fldCharType="separate"/>
            </w:r>
            <w:r w:rsidR="00773038">
              <w:rPr>
                <w:rFonts w:ascii="Palatino Linotype" w:hAnsi="Palatino Linotype"/>
                <w:noProof/>
                <w:webHidden/>
                <w:sz w:val="22"/>
                <w:szCs w:val="22"/>
              </w:rPr>
              <w:t>53</w:t>
            </w:r>
            <w:r w:rsidR="00843C11" w:rsidRPr="002F0087">
              <w:rPr>
                <w:rFonts w:ascii="Palatino Linotype" w:hAnsi="Palatino Linotype"/>
                <w:noProof/>
                <w:webHidden/>
                <w:sz w:val="22"/>
                <w:szCs w:val="22"/>
              </w:rPr>
              <w:fldChar w:fldCharType="end"/>
            </w:r>
          </w:hyperlink>
        </w:p>
        <w:p w14:paraId="6C34F5A3" w14:textId="77777777" w:rsidR="002F0087" w:rsidRDefault="00763298" w:rsidP="002F0087">
          <w:pPr>
            <w:tabs>
              <w:tab w:val="left" w:pos="0"/>
            </w:tabs>
            <w:spacing w:line="360" w:lineRule="auto"/>
            <w:rPr>
              <w:rFonts w:ascii="Palatino Linotype" w:hAnsi="Palatino Linotype"/>
              <w:b/>
              <w:bCs/>
            </w:rPr>
          </w:pPr>
          <w:r w:rsidRPr="002F0087">
            <w:rPr>
              <w:rFonts w:ascii="Palatino Linotype" w:hAnsi="Palatino Linotype"/>
              <w:b/>
              <w:bCs/>
              <w:sz w:val="22"/>
              <w:szCs w:val="22"/>
            </w:rPr>
            <w:lastRenderedPageBreak/>
            <w:fldChar w:fldCharType="end"/>
          </w:r>
        </w:p>
      </w:sdtContent>
    </w:sdt>
    <w:p w14:paraId="73F7F940" w14:textId="140057CC" w:rsidR="00662C69" w:rsidRPr="002F0087" w:rsidRDefault="009B11D6" w:rsidP="002F0087">
      <w:pPr>
        <w:tabs>
          <w:tab w:val="left" w:pos="0"/>
        </w:tabs>
        <w:spacing w:line="360" w:lineRule="auto"/>
        <w:rPr>
          <w:rFonts w:ascii="Palatino Linotype" w:hAnsi="Palatino Linotype"/>
        </w:rPr>
      </w:pPr>
      <w:r w:rsidRPr="002F0087">
        <w:rPr>
          <w:rFonts w:ascii="Palatino Linotype" w:hAnsi="Palatino Linotype"/>
        </w:rPr>
        <w:t>R</w:t>
      </w:r>
      <w:r w:rsidR="00662C69" w:rsidRPr="002F0087">
        <w:rPr>
          <w:rFonts w:ascii="Palatino Linotype" w:hAnsi="Palatino Linotype"/>
        </w:rPr>
        <w:t>esolución del Pleno del Instituto de Transparencia, Acceso a la Información Pública y Protección de Datos Personales del Estado de México y Mun</w:t>
      </w:r>
      <w:r w:rsidR="000D5A1D" w:rsidRPr="002F0087">
        <w:rPr>
          <w:rFonts w:ascii="Palatino Linotype" w:hAnsi="Palatino Linotype"/>
        </w:rPr>
        <w:t>icipios, con</w:t>
      </w:r>
      <w:r w:rsidR="00662C69" w:rsidRPr="002F0087">
        <w:rPr>
          <w:rFonts w:ascii="Palatino Linotype" w:hAnsi="Palatino Linotype"/>
        </w:rPr>
        <w:t xml:space="preserve"> </w:t>
      </w:r>
      <w:r w:rsidR="00485DB6" w:rsidRPr="002F0087">
        <w:rPr>
          <w:rFonts w:ascii="Palatino Linotype" w:hAnsi="Palatino Linotype"/>
        </w:rPr>
        <w:t xml:space="preserve">domicilio </w:t>
      </w:r>
      <w:r w:rsidR="00662C69" w:rsidRPr="002F0087">
        <w:rPr>
          <w:rFonts w:ascii="Palatino Linotype" w:hAnsi="Palatino Linotype"/>
        </w:rPr>
        <w:t xml:space="preserve">en Metepec, Estado de México; de </w:t>
      </w:r>
      <w:r w:rsidR="000D5A1D" w:rsidRPr="002F0087">
        <w:rPr>
          <w:rFonts w:ascii="Palatino Linotype" w:hAnsi="Palatino Linotype"/>
        </w:rPr>
        <w:t xml:space="preserve">fecha </w:t>
      </w:r>
      <w:r w:rsidR="004D5A2A" w:rsidRPr="002F0087">
        <w:rPr>
          <w:rFonts w:ascii="Palatino Linotype" w:hAnsi="Palatino Linotype"/>
        </w:rPr>
        <w:t>veinticuatro</w:t>
      </w:r>
      <w:r w:rsidR="006B149F" w:rsidRPr="002F0087">
        <w:rPr>
          <w:rFonts w:ascii="Palatino Linotype" w:hAnsi="Palatino Linotype"/>
        </w:rPr>
        <w:t xml:space="preserve"> (</w:t>
      </w:r>
      <w:r w:rsidR="00F268C6" w:rsidRPr="002F0087">
        <w:rPr>
          <w:rFonts w:ascii="Palatino Linotype" w:hAnsi="Palatino Linotype"/>
        </w:rPr>
        <w:t>2</w:t>
      </w:r>
      <w:r w:rsidR="004D5A2A" w:rsidRPr="002F0087">
        <w:rPr>
          <w:rFonts w:ascii="Palatino Linotype" w:hAnsi="Palatino Linotype"/>
        </w:rPr>
        <w:t>4</w:t>
      </w:r>
      <w:r w:rsidR="006B149F" w:rsidRPr="002F0087">
        <w:rPr>
          <w:rFonts w:ascii="Palatino Linotype" w:hAnsi="Palatino Linotype"/>
        </w:rPr>
        <w:t xml:space="preserve">) de </w:t>
      </w:r>
      <w:r w:rsidR="004D5A2A" w:rsidRPr="002F0087">
        <w:rPr>
          <w:rFonts w:ascii="Palatino Linotype" w:hAnsi="Palatino Linotype"/>
        </w:rPr>
        <w:t>abril</w:t>
      </w:r>
      <w:r w:rsidR="00F268C6" w:rsidRPr="002F0087">
        <w:rPr>
          <w:rFonts w:ascii="Palatino Linotype" w:hAnsi="Palatino Linotype"/>
        </w:rPr>
        <w:t xml:space="preserve"> </w:t>
      </w:r>
      <w:r w:rsidR="00B414A7" w:rsidRPr="002F0087">
        <w:rPr>
          <w:rFonts w:ascii="Palatino Linotype" w:hAnsi="Palatino Linotype"/>
        </w:rPr>
        <w:t>de dos mil diecinueve</w:t>
      </w:r>
      <w:r w:rsidR="00662C69" w:rsidRPr="002F0087">
        <w:rPr>
          <w:rFonts w:ascii="Palatino Linotype" w:hAnsi="Palatino Linotype"/>
        </w:rPr>
        <w:t>.</w:t>
      </w:r>
    </w:p>
    <w:p w14:paraId="5A51B5EC" w14:textId="77777777" w:rsidR="008A5A73" w:rsidRPr="002F0087" w:rsidRDefault="008A5A73" w:rsidP="002F0087">
      <w:pPr>
        <w:tabs>
          <w:tab w:val="left" w:pos="0"/>
          <w:tab w:val="left" w:pos="3465"/>
        </w:tabs>
        <w:spacing w:line="360" w:lineRule="auto"/>
        <w:jc w:val="both"/>
        <w:rPr>
          <w:rFonts w:ascii="Palatino Linotype" w:hAnsi="Palatino Linotype"/>
        </w:rPr>
      </w:pPr>
    </w:p>
    <w:p w14:paraId="02C1324E" w14:textId="3DAF83DB" w:rsidR="00662C69" w:rsidRPr="002F0087" w:rsidRDefault="00662C69" w:rsidP="002F0087">
      <w:pPr>
        <w:tabs>
          <w:tab w:val="left" w:pos="0"/>
        </w:tabs>
        <w:spacing w:line="360" w:lineRule="auto"/>
        <w:jc w:val="both"/>
        <w:rPr>
          <w:rFonts w:ascii="Palatino Linotype" w:hAnsi="Palatino Linotype"/>
        </w:rPr>
      </w:pPr>
      <w:r w:rsidRPr="002F0087">
        <w:rPr>
          <w:rFonts w:ascii="Palatino Linotype" w:hAnsi="Palatino Linotype"/>
          <w:b/>
        </w:rPr>
        <w:t>VISTO</w:t>
      </w:r>
      <w:r w:rsidRPr="002F0087">
        <w:rPr>
          <w:rFonts w:ascii="Palatino Linotype" w:hAnsi="Palatino Linotype"/>
        </w:rPr>
        <w:t xml:space="preserve"> el expediente electrónico for</w:t>
      </w:r>
      <w:r w:rsidR="00D37494" w:rsidRPr="002F0087">
        <w:rPr>
          <w:rFonts w:ascii="Palatino Linotype" w:hAnsi="Palatino Linotype"/>
        </w:rPr>
        <w:t>mado con motivo del</w:t>
      </w:r>
      <w:r w:rsidRPr="002F0087">
        <w:rPr>
          <w:rFonts w:ascii="Palatino Linotype" w:hAnsi="Palatino Linotype"/>
        </w:rPr>
        <w:t xml:space="preserve"> recurso de revisión </w:t>
      </w:r>
      <w:r w:rsidR="00F0190C" w:rsidRPr="002F0087">
        <w:rPr>
          <w:rFonts w:ascii="Palatino Linotype" w:hAnsi="Palatino Linotype"/>
          <w:b/>
          <w:bCs/>
        </w:rPr>
        <w:t>0</w:t>
      </w:r>
      <w:r w:rsidR="00103D24" w:rsidRPr="002F0087">
        <w:rPr>
          <w:rFonts w:ascii="Palatino Linotype" w:hAnsi="Palatino Linotype"/>
          <w:b/>
          <w:bCs/>
        </w:rPr>
        <w:t>0</w:t>
      </w:r>
      <w:r w:rsidR="004D5A2A" w:rsidRPr="002F0087">
        <w:rPr>
          <w:rFonts w:ascii="Palatino Linotype" w:hAnsi="Palatino Linotype"/>
          <w:b/>
          <w:bCs/>
        </w:rPr>
        <w:t>5</w:t>
      </w:r>
      <w:r w:rsidR="00E44F3A" w:rsidRPr="002F0087">
        <w:rPr>
          <w:rFonts w:ascii="Palatino Linotype" w:hAnsi="Palatino Linotype"/>
          <w:b/>
          <w:bCs/>
        </w:rPr>
        <w:t>83</w:t>
      </w:r>
      <w:r w:rsidR="002D6A36" w:rsidRPr="002F0087">
        <w:rPr>
          <w:rFonts w:ascii="Palatino Linotype" w:hAnsi="Palatino Linotype"/>
          <w:b/>
          <w:bCs/>
        </w:rPr>
        <w:t>/INFOEM/IP/RR/2019</w:t>
      </w:r>
      <w:r w:rsidR="003E4A5C" w:rsidRPr="002F0087">
        <w:rPr>
          <w:rFonts w:ascii="Palatino Linotype" w:hAnsi="Palatino Linotype"/>
          <w:b/>
        </w:rPr>
        <w:t xml:space="preserve"> </w:t>
      </w:r>
      <w:r w:rsidRPr="002F0087">
        <w:rPr>
          <w:rFonts w:ascii="Palatino Linotype" w:hAnsi="Palatino Linotype"/>
        </w:rPr>
        <w:t xml:space="preserve">promovido por </w:t>
      </w:r>
      <w:r w:rsidR="00322482" w:rsidRPr="00322482">
        <w:rPr>
          <w:rFonts w:ascii="Palatino Linotype" w:hAnsi="Palatino Linotype"/>
          <w:b/>
          <w:highlight w:val="black"/>
        </w:rPr>
        <w:t>------------</w:t>
      </w:r>
      <w:r w:rsidR="00322482">
        <w:rPr>
          <w:rFonts w:ascii="Palatino Linotype" w:hAnsi="Palatino Linotype"/>
          <w:b/>
          <w:highlight w:val="black"/>
        </w:rPr>
        <w:t>---</w:t>
      </w:r>
      <w:r w:rsidR="00322482" w:rsidRPr="00322482">
        <w:rPr>
          <w:rFonts w:ascii="Palatino Linotype" w:hAnsi="Palatino Linotype"/>
          <w:b/>
          <w:highlight w:val="black"/>
        </w:rPr>
        <w:t>----</w:t>
      </w:r>
      <w:r w:rsidR="003E4A5C" w:rsidRPr="002F0087">
        <w:rPr>
          <w:rFonts w:ascii="Palatino Linotype" w:hAnsi="Palatino Linotype"/>
          <w:b/>
          <w:bCs/>
        </w:rPr>
        <w:t xml:space="preserve"> </w:t>
      </w:r>
      <w:r w:rsidRPr="002F0087">
        <w:rPr>
          <w:rFonts w:ascii="Palatino Linotype" w:hAnsi="Palatino Linotype" w:cs="Arial"/>
        </w:rPr>
        <w:t xml:space="preserve">en su </w:t>
      </w:r>
      <w:r w:rsidR="00D83C17" w:rsidRPr="002F0087">
        <w:rPr>
          <w:rFonts w:ascii="Palatino Linotype" w:hAnsi="Palatino Linotype" w:cs="Arial"/>
        </w:rPr>
        <w:t>calidad</w:t>
      </w:r>
      <w:r w:rsidRPr="002F0087">
        <w:rPr>
          <w:rFonts w:ascii="Palatino Linotype" w:hAnsi="Palatino Linotype" w:cs="Arial"/>
        </w:rPr>
        <w:t xml:space="preserve"> de </w:t>
      </w:r>
      <w:r w:rsidRPr="002F0087">
        <w:rPr>
          <w:rFonts w:ascii="Palatino Linotype" w:hAnsi="Palatino Linotype" w:cs="Arial"/>
          <w:b/>
        </w:rPr>
        <w:t>RECURRENTE</w:t>
      </w:r>
      <w:r w:rsidRPr="002F0087">
        <w:rPr>
          <w:rFonts w:ascii="Palatino Linotype" w:hAnsi="Palatino Linotype" w:cs="Arial"/>
        </w:rPr>
        <w:t xml:space="preserve">, en contra </w:t>
      </w:r>
      <w:r w:rsidR="000D5A1D" w:rsidRPr="002F0087">
        <w:rPr>
          <w:rFonts w:ascii="Palatino Linotype" w:hAnsi="Palatino Linotype" w:cs="Arial"/>
        </w:rPr>
        <w:t xml:space="preserve">de </w:t>
      </w:r>
      <w:r w:rsidR="00843908" w:rsidRPr="002F0087">
        <w:rPr>
          <w:rFonts w:ascii="Palatino Linotype" w:hAnsi="Palatino Linotype" w:cs="Arial"/>
        </w:rPr>
        <w:t>la</w:t>
      </w:r>
      <w:r w:rsidR="004D5A2A" w:rsidRPr="002F0087">
        <w:rPr>
          <w:rFonts w:ascii="Palatino Linotype" w:hAnsi="Palatino Linotype" w:cs="Arial"/>
        </w:rPr>
        <w:t xml:space="preserve"> falta de</w:t>
      </w:r>
      <w:r w:rsidR="00843908" w:rsidRPr="002F0087">
        <w:rPr>
          <w:rFonts w:ascii="Palatino Linotype" w:hAnsi="Palatino Linotype" w:cs="Arial"/>
        </w:rPr>
        <w:t xml:space="preserve"> respuesta del</w:t>
      </w:r>
      <w:r w:rsidR="00ED007B" w:rsidRPr="002F0087">
        <w:rPr>
          <w:rFonts w:ascii="Palatino Linotype" w:hAnsi="Palatino Linotype" w:cs="Arial"/>
        </w:rPr>
        <w:t xml:space="preserve"> </w:t>
      </w:r>
      <w:r w:rsidR="004D5A2A" w:rsidRPr="002F0087">
        <w:rPr>
          <w:rFonts w:ascii="Palatino Linotype" w:hAnsi="Palatino Linotype"/>
          <w:b/>
        </w:rPr>
        <w:t xml:space="preserve">Sistema Municipal para el Desarrollo Integral de la Familia de Tecámac </w:t>
      </w:r>
      <w:r w:rsidR="003E4A5C" w:rsidRPr="002F0087">
        <w:rPr>
          <w:rFonts w:ascii="Palatino Linotype" w:hAnsi="Palatino Linotype"/>
          <w:b/>
          <w:bCs/>
        </w:rPr>
        <w:t xml:space="preserve"> </w:t>
      </w:r>
      <w:r w:rsidRPr="002F0087">
        <w:rPr>
          <w:rFonts w:ascii="Palatino Linotype" w:hAnsi="Palatino Linotype"/>
        </w:rPr>
        <w:t>en lo sucesivo el</w:t>
      </w:r>
      <w:r w:rsidRPr="002F0087">
        <w:rPr>
          <w:rFonts w:ascii="Palatino Linotype" w:hAnsi="Palatino Linotype"/>
          <w:b/>
        </w:rPr>
        <w:t xml:space="preserve"> SUJETO OBLIGADO, </w:t>
      </w:r>
      <w:r w:rsidRPr="002F0087">
        <w:rPr>
          <w:rFonts w:ascii="Palatino Linotype" w:hAnsi="Palatino Linotype"/>
        </w:rPr>
        <w:t>se procede a dictar la presente resolución, con base en los siguientes:</w:t>
      </w:r>
    </w:p>
    <w:p w14:paraId="0BBCF3EE" w14:textId="77777777" w:rsidR="008A5A73" w:rsidRDefault="008A5A73" w:rsidP="002F0087">
      <w:pPr>
        <w:tabs>
          <w:tab w:val="left" w:pos="0"/>
        </w:tabs>
        <w:spacing w:line="360" w:lineRule="auto"/>
        <w:jc w:val="both"/>
        <w:rPr>
          <w:rFonts w:ascii="Palatino Linotype" w:hAnsi="Palatino Linotype"/>
        </w:rPr>
      </w:pPr>
    </w:p>
    <w:p w14:paraId="46C067D3" w14:textId="77777777" w:rsidR="002F0087" w:rsidRPr="002F0087" w:rsidRDefault="002F0087" w:rsidP="002F0087">
      <w:pPr>
        <w:tabs>
          <w:tab w:val="left" w:pos="0"/>
        </w:tabs>
        <w:spacing w:line="360" w:lineRule="auto"/>
        <w:jc w:val="both"/>
        <w:rPr>
          <w:rFonts w:ascii="Palatino Linotype" w:hAnsi="Palatino Linotype"/>
        </w:rPr>
      </w:pPr>
    </w:p>
    <w:p w14:paraId="769E1410" w14:textId="305F44C0" w:rsidR="00587366" w:rsidRPr="002F0087" w:rsidRDefault="00662C69" w:rsidP="002F0087">
      <w:pPr>
        <w:pStyle w:val="Ttulo1"/>
        <w:tabs>
          <w:tab w:val="left" w:pos="0"/>
        </w:tabs>
        <w:spacing w:before="0" w:line="360" w:lineRule="auto"/>
        <w:jc w:val="center"/>
        <w:rPr>
          <w:b/>
          <w:szCs w:val="24"/>
        </w:rPr>
      </w:pPr>
      <w:bookmarkStart w:id="0" w:name="_Toc461555884"/>
      <w:bookmarkStart w:id="1" w:name="_Toc466371847"/>
      <w:bookmarkStart w:id="2" w:name="_Toc5821414"/>
      <w:r w:rsidRPr="002F0087">
        <w:rPr>
          <w:b/>
          <w:szCs w:val="24"/>
        </w:rPr>
        <w:t>ANTECEDENTES</w:t>
      </w:r>
      <w:bookmarkEnd w:id="0"/>
      <w:bookmarkEnd w:id="1"/>
      <w:bookmarkEnd w:id="2"/>
    </w:p>
    <w:p w14:paraId="468D1AB4" w14:textId="77777777" w:rsidR="008A5A73" w:rsidRPr="002F0087" w:rsidRDefault="008A5A73" w:rsidP="002F0087">
      <w:pPr>
        <w:tabs>
          <w:tab w:val="left" w:pos="0"/>
        </w:tabs>
        <w:spacing w:line="360" w:lineRule="auto"/>
        <w:rPr>
          <w:rFonts w:ascii="Palatino Linotype" w:hAnsi="Palatino Linotype"/>
          <w:lang w:eastAsia="en-US"/>
        </w:rPr>
      </w:pPr>
    </w:p>
    <w:p w14:paraId="402A4C0A" w14:textId="3F6E307F" w:rsidR="00D9392E" w:rsidRPr="002F0087" w:rsidRDefault="00D9392E" w:rsidP="002F0087">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2F0087">
        <w:rPr>
          <w:rFonts w:ascii="Palatino Linotype" w:eastAsia="Calibri" w:hAnsi="Palatino Linotype" w:cs="Arial"/>
        </w:rPr>
        <w:t xml:space="preserve">El </w:t>
      </w:r>
      <w:r w:rsidRPr="002F0087">
        <w:rPr>
          <w:rFonts w:ascii="Palatino Linotype" w:hAnsi="Palatino Linotype"/>
        </w:rPr>
        <w:t>día</w:t>
      </w:r>
      <w:r w:rsidRPr="002F0087">
        <w:rPr>
          <w:rFonts w:ascii="Palatino Linotype" w:eastAsia="Calibri" w:hAnsi="Palatino Linotype" w:cs="Arial"/>
        </w:rPr>
        <w:t xml:space="preserve"> </w:t>
      </w:r>
      <w:r w:rsidR="002D6A36" w:rsidRPr="002F0087">
        <w:rPr>
          <w:rFonts w:ascii="Palatino Linotype" w:eastAsia="Calibri" w:hAnsi="Palatino Linotype" w:cs="Arial"/>
        </w:rPr>
        <w:t>quince</w:t>
      </w:r>
      <w:r w:rsidR="0014400B" w:rsidRPr="002F0087">
        <w:rPr>
          <w:rFonts w:ascii="Palatino Linotype" w:eastAsia="Calibri" w:hAnsi="Palatino Linotype" w:cs="Arial"/>
        </w:rPr>
        <w:t xml:space="preserve"> </w:t>
      </w:r>
      <w:r w:rsidR="003E4A5C" w:rsidRPr="002F0087">
        <w:rPr>
          <w:rFonts w:ascii="Palatino Linotype" w:hAnsi="Palatino Linotype"/>
        </w:rPr>
        <w:t>(</w:t>
      </w:r>
      <w:r w:rsidR="002D6A36" w:rsidRPr="002F0087">
        <w:rPr>
          <w:rFonts w:ascii="Palatino Linotype" w:hAnsi="Palatino Linotype"/>
        </w:rPr>
        <w:t>15</w:t>
      </w:r>
      <w:r w:rsidR="000035F6" w:rsidRPr="002F0087">
        <w:rPr>
          <w:rFonts w:ascii="Palatino Linotype" w:hAnsi="Palatino Linotype"/>
        </w:rPr>
        <w:t>)</w:t>
      </w:r>
      <w:r w:rsidR="00A53AF8" w:rsidRPr="002F0087">
        <w:rPr>
          <w:rFonts w:ascii="Palatino Linotype" w:hAnsi="Palatino Linotype"/>
        </w:rPr>
        <w:t xml:space="preserve"> de </w:t>
      </w:r>
      <w:r w:rsidR="00103D24" w:rsidRPr="002F0087">
        <w:rPr>
          <w:rFonts w:ascii="Palatino Linotype" w:hAnsi="Palatino Linotype"/>
        </w:rPr>
        <w:t>enero</w:t>
      </w:r>
      <w:r w:rsidR="00F8587B" w:rsidRPr="002F0087">
        <w:rPr>
          <w:rFonts w:ascii="Palatino Linotype" w:eastAsia="Calibri" w:hAnsi="Palatino Linotype" w:cs="Arial"/>
        </w:rPr>
        <w:t xml:space="preserve"> de dos mil dieci</w:t>
      </w:r>
      <w:r w:rsidR="00103D24" w:rsidRPr="002F0087">
        <w:rPr>
          <w:rFonts w:ascii="Palatino Linotype" w:eastAsia="Calibri" w:hAnsi="Palatino Linotype" w:cs="Arial"/>
        </w:rPr>
        <w:t>nueve</w:t>
      </w:r>
      <w:r w:rsidRPr="002F0087">
        <w:rPr>
          <w:rFonts w:ascii="Palatino Linotype" w:hAnsi="Palatino Linotype"/>
          <w:b/>
        </w:rPr>
        <w:t xml:space="preserve">, </w:t>
      </w:r>
      <w:r w:rsidRPr="002F0087">
        <w:rPr>
          <w:rFonts w:ascii="Palatino Linotype" w:eastAsia="Calibri" w:hAnsi="Palatino Linotype" w:cs="Arial"/>
        </w:rPr>
        <w:t xml:space="preserve">se presentó ante el </w:t>
      </w:r>
      <w:r w:rsidRPr="002F0087">
        <w:rPr>
          <w:rFonts w:ascii="Palatino Linotype" w:eastAsia="Calibri" w:hAnsi="Palatino Linotype" w:cs="Arial"/>
          <w:b/>
        </w:rPr>
        <w:t>SUJETO OBLIGADO</w:t>
      </w:r>
      <w:r w:rsidRPr="002F0087">
        <w:rPr>
          <w:rFonts w:ascii="Palatino Linotype" w:eastAsia="Calibri" w:hAnsi="Palatino Linotype" w:cs="Arial"/>
        </w:rPr>
        <w:t xml:space="preserve"> </w:t>
      </w:r>
      <w:r w:rsidR="00A53AF8" w:rsidRPr="002F0087">
        <w:rPr>
          <w:rFonts w:ascii="Palatino Linotype" w:eastAsia="Calibri" w:hAnsi="Palatino Linotype" w:cs="Arial"/>
        </w:rPr>
        <w:t xml:space="preserve">vía </w:t>
      </w:r>
      <w:r w:rsidR="00A53AF8" w:rsidRPr="002F0087">
        <w:rPr>
          <w:rFonts w:ascii="Palatino Linotype" w:eastAsia="Calibri" w:hAnsi="Palatino Linotype" w:cs="Arial"/>
          <w:lang w:val="es-ES"/>
        </w:rPr>
        <w:t>Sistema de Acceso a la Información Mexiquense (</w:t>
      </w:r>
      <w:r w:rsidR="00A53AF8" w:rsidRPr="002F0087">
        <w:rPr>
          <w:rFonts w:ascii="Palatino Linotype" w:eastAsia="Calibri" w:hAnsi="Palatino Linotype" w:cs="Arial"/>
          <w:b/>
          <w:lang w:val="es-ES"/>
        </w:rPr>
        <w:t>SAIMEX)</w:t>
      </w:r>
      <w:r w:rsidRPr="002F0087">
        <w:rPr>
          <w:rFonts w:ascii="Palatino Linotype" w:eastAsia="Calibri" w:hAnsi="Palatino Linotype" w:cs="Arial"/>
        </w:rPr>
        <w:t>, la solicitud de información pública registrada con el número</w:t>
      </w:r>
      <w:r w:rsidR="003E4A5C" w:rsidRPr="002F0087">
        <w:rPr>
          <w:rFonts w:ascii="Palatino Linotype" w:eastAsia="Calibri" w:hAnsi="Palatino Linotype" w:cs="Arial"/>
        </w:rPr>
        <w:t xml:space="preserve"> </w:t>
      </w:r>
      <w:r w:rsidR="00A7308C" w:rsidRPr="002F0087">
        <w:rPr>
          <w:rFonts w:ascii="Palatino Linotype" w:eastAsia="Times New Roman" w:hAnsi="Palatino Linotype" w:cs="Arial"/>
          <w:b/>
          <w:lang w:val="es-ES"/>
        </w:rPr>
        <w:t>00</w:t>
      </w:r>
      <w:r w:rsidR="0014400B" w:rsidRPr="002F0087">
        <w:rPr>
          <w:rFonts w:ascii="Palatino Linotype" w:eastAsia="Times New Roman" w:hAnsi="Palatino Linotype" w:cs="Arial"/>
          <w:b/>
          <w:lang w:val="es-ES"/>
        </w:rPr>
        <w:t>0</w:t>
      </w:r>
      <w:r w:rsidR="002D6A36" w:rsidRPr="002F0087">
        <w:rPr>
          <w:rFonts w:ascii="Palatino Linotype" w:eastAsia="Times New Roman" w:hAnsi="Palatino Linotype" w:cs="Arial"/>
          <w:b/>
          <w:lang w:val="es-ES"/>
        </w:rPr>
        <w:t>0</w:t>
      </w:r>
      <w:r w:rsidR="00213A8F" w:rsidRPr="002F0087">
        <w:rPr>
          <w:rFonts w:ascii="Palatino Linotype" w:eastAsia="Times New Roman" w:hAnsi="Palatino Linotype" w:cs="Arial"/>
          <w:b/>
          <w:lang w:val="es-ES"/>
        </w:rPr>
        <w:t>4</w:t>
      </w:r>
      <w:r w:rsidR="00A7308C" w:rsidRPr="002F0087">
        <w:rPr>
          <w:rFonts w:ascii="Palatino Linotype" w:eastAsia="Times New Roman" w:hAnsi="Palatino Linotype" w:cs="Arial"/>
          <w:b/>
          <w:lang w:val="es-ES"/>
        </w:rPr>
        <w:t>/</w:t>
      </w:r>
      <w:r w:rsidR="004D5A2A" w:rsidRPr="002F0087">
        <w:rPr>
          <w:rFonts w:ascii="Palatino Linotype" w:eastAsia="Times New Roman" w:hAnsi="Palatino Linotype" w:cs="Arial"/>
          <w:b/>
          <w:lang w:val="es-ES"/>
        </w:rPr>
        <w:t>DIFTECAMAC</w:t>
      </w:r>
      <w:r w:rsidR="00A7308C" w:rsidRPr="002F0087">
        <w:rPr>
          <w:rFonts w:ascii="Palatino Linotype" w:eastAsia="Times New Roman" w:hAnsi="Palatino Linotype" w:cs="Arial"/>
          <w:b/>
          <w:lang w:val="es-ES"/>
        </w:rPr>
        <w:t>/IP/201</w:t>
      </w:r>
      <w:r w:rsidR="00103D24" w:rsidRPr="002F0087">
        <w:rPr>
          <w:rFonts w:ascii="Palatino Linotype" w:eastAsia="Times New Roman" w:hAnsi="Palatino Linotype" w:cs="Arial"/>
          <w:b/>
          <w:lang w:val="es-ES"/>
        </w:rPr>
        <w:t>9</w:t>
      </w:r>
      <w:r w:rsidR="00E17F3A" w:rsidRPr="002F0087">
        <w:rPr>
          <w:rFonts w:ascii="Palatino Linotype" w:eastAsia="Calibri" w:hAnsi="Palatino Linotype" w:cs="Arial"/>
        </w:rPr>
        <w:t>,</w:t>
      </w:r>
      <w:r w:rsidR="00FB54FB" w:rsidRPr="002F0087">
        <w:rPr>
          <w:rFonts w:ascii="Palatino Linotype" w:eastAsia="Calibri" w:hAnsi="Palatino Linotype" w:cs="Arial"/>
          <w:b/>
        </w:rPr>
        <w:t xml:space="preserve"> </w:t>
      </w:r>
      <w:r w:rsidRPr="002F0087">
        <w:rPr>
          <w:rFonts w:ascii="Palatino Linotype" w:eastAsia="Calibri" w:hAnsi="Palatino Linotype" w:cs="Arial"/>
        </w:rPr>
        <w:t>media</w:t>
      </w:r>
      <w:r w:rsidR="00FB54FB" w:rsidRPr="002F0087">
        <w:rPr>
          <w:rFonts w:ascii="Palatino Linotype" w:eastAsia="Calibri" w:hAnsi="Palatino Linotype" w:cs="Arial"/>
        </w:rPr>
        <w:t xml:space="preserve">nte la cual solicito: </w:t>
      </w:r>
      <w:r w:rsidR="003607B9" w:rsidRPr="002F0087">
        <w:rPr>
          <w:rFonts w:ascii="Palatino Linotype" w:eastAsia="Calibri" w:hAnsi="Palatino Linotype" w:cs="Arial"/>
        </w:rPr>
        <w:t xml:space="preserve">                                                                                                                                                                                                                                                                                                                                                                                                                                                                                                                                                                                                                                                                                                                                                                                                                                                                                                                                                                                                                                                                                                                                                                                                                                                                                                                                                                                                                                                                                                                                                                                                                                                                                                                                                                                                                                                                                                                                                                                                                                                                                                                                                                                                                                                                                                                                                                                                                                                                                                                                                                                                                                                                                                                                                                                                                                                                                                                                               </w:t>
      </w:r>
      <w:r w:rsidR="00FB54FB" w:rsidRPr="002F0087">
        <w:rPr>
          <w:rFonts w:ascii="Palatino Linotype" w:eastAsia="Calibri" w:hAnsi="Palatino Linotype" w:cs="Arial"/>
        </w:rPr>
        <w:t xml:space="preserve">                           </w:t>
      </w:r>
    </w:p>
    <w:p w14:paraId="1C4AB2C0" w14:textId="77777777" w:rsidR="00FB54FB" w:rsidRPr="002F0087" w:rsidRDefault="00FB54FB" w:rsidP="002F0087">
      <w:pPr>
        <w:pStyle w:val="Prrafodelista"/>
        <w:tabs>
          <w:tab w:val="left" w:pos="0"/>
        </w:tabs>
        <w:spacing w:line="360" w:lineRule="auto"/>
        <w:ind w:left="709" w:right="333"/>
        <w:jc w:val="both"/>
        <w:rPr>
          <w:rFonts w:ascii="Palatino Linotype" w:hAnsi="Palatino Linotype"/>
          <w:i/>
        </w:rPr>
      </w:pPr>
    </w:p>
    <w:p w14:paraId="45EF49F8" w14:textId="028C65E4" w:rsidR="001C34D6" w:rsidRPr="002F0087" w:rsidRDefault="001C34D6" w:rsidP="002F0087">
      <w:pPr>
        <w:pStyle w:val="Prrafodelista"/>
        <w:tabs>
          <w:tab w:val="left" w:pos="0"/>
        </w:tabs>
        <w:spacing w:line="360" w:lineRule="auto"/>
        <w:ind w:left="567" w:right="616"/>
        <w:jc w:val="both"/>
        <w:rPr>
          <w:rFonts w:ascii="Palatino Linotype" w:hAnsi="Palatino Linotype"/>
        </w:rPr>
      </w:pPr>
      <w:r w:rsidRPr="002F0087">
        <w:rPr>
          <w:rFonts w:ascii="Palatino Linotype" w:hAnsi="Palatino Linotype"/>
          <w:i/>
        </w:rPr>
        <w:t>“</w:t>
      </w:r>
      <w:r w:rsidR="00213A8F" w:rsidRPr="002F0087">
        <w:rPr>
          <w:rFonts w:ascii="Palatino Linotype" w:hAnsi="Palatino Linotype"/>
          <w:i/>
        </w:rPr>
        <w:t xml:space="preserve">COMPROBANTE DE ESTUDIOS Y CURRICULUM DE TODOS LOS MANDOS MEDIOS Y SUPERIORES DEL DIF MUNICIPAL, DESDE </w:t>
      </w:r>
      <w:r w:rsidR="00213A8F" w:rsidRPr="002F0087">
        <w:rPr>
          <w:rFonts w:ascii="Palatino Linotype" w:hAnsi="Palatino Linotype"/>
          <w:i/>
        </w:rPr>
        <w:lastRenderedPageBreak/>
        <w:t>PRESIDENTA DEL SISTEMA DIF HASTA LAS SUB JEFATURAS. O COORDINACIONES</w:t>
      </w:r>
      <w:r w:rsidR="002D6A36" w:rsidRPr="002F0087">
        <w:rPr>
          <w:rFonts w:ascii="Palatino Linotype" w:hAnsi="Palatino Linotype"/>
          <w:i/>
        </w:rPr>
        <w:t>.</w:t>
      </w:r>
      <w:r w:rsidR="003E4A5C" w:rsidRPr="002F0087">
        <w:rPr>
          <w:rFonts w:ascii="Palatino Linotype" w:hAnsi="Palatino Linotype"/>
          <w:i/>
        </w:rPr>
        <w:t>”</w:t>
      </w:r>
      <w:r w:rsidRPr="002F0087">
        <w:rPr>
          <w:rFonts w:ascii="Palatino Linotype" w:hAnsi="Palatino Linotype"/>
        </w:rPr>
        <w:t xml:space="preserve"> (Sic)</w:t>
      </w:r>
    </w:p>
    <w:p w14:paraId="282765A5" w14:textId="77777777" w:rsidR="00A7308C" w:rsidRPr="002F0087" w:rsidRDefault="00A7308C" w:rsidP="002F0087">
      <w:pPr>
        <w:pStyle w:val="Prrafodelista"/>
        <w:tabs>
          <w:tab w:val="left" w:pos="0"/>
        </w:tabs>
        <w:spacing w:line="360" w:lineRule="auto"/>
        <w:ind w:left="567" w:right="616"/>
        <w:jc w:val="both"/>
        <w:rPr>
          <w:rFonts w:ascii="Palatino Linotype" w:hAnsi="Palatino Linotype"/>
        </w:rPr>
      </w:pPr>
    </w:p>
    <w:p w14:paraId="7727518C" w14:textId="678D0797" w:rsidR="00A45546" w:rsidRPr="002F0087" w:rsidRDefault="00A8769A" w:rsidP="002F0087">
      <w:pPr>
        <w:pStyle w:val="Prrafodelista"/>
        <w:tabs>
          <w:tab w:val="left" w:pos="0"/>
        </w:tabs>
        <w:spacing w:line="360" w:lineRule="auto"/>
        <w:ind w:left="567"/>
        <w:jc w:val="both"/>
        <w:rPr>
          <w:rFonts w:ascii="Palatino Linotype" w:hAnsi="Palatino Linotype"/>
          <w:b/>
        </w:rPr>
      </w:pPr>
      <w:r w:rsidRPr="002F0087">
        <w:rPr>
          <w:rFonts w:ascii="Palatino Linotype" w:eastAsia="Times New Roman" w:hAnsi="Palatino Linotype" w:cs="Arial"/>
        </w:rPr>
        <w:t xml:space="preserve">Señaló </w:t>
      </w:r>
      <w:r w:rsidR="00750A80" w:rsidRPr="002F0087">
        <w:rPr>
          <w:rFonts w:ascii="Palatino Linotype" w:eastAsia="Times New Roman" w:hAnsi="Palatino Linotype" w:cs="Arial"/>
        </w:rPr>
        <w:t>como modalidad de entrega de información</w:t>
      </w:r>
      <w:r w:rsidR="00750A80" w:rsidRPr="002F0087">
        <w:rPr>
          <w:rFonts w:ascii="Palatino Linotype" w:eastAsia="Times New Roman" w:hAnsi="Palatino Linotype" w:cs="Arial"/>
          <w:b/>
        </w:rPr>
        <w:t>:</w:t>
      </w:r>
      <w:r w:rsidR="00750A80" w:rsidRPr="002F0087">
        <w:rPr>
          <w:rFonts w:ascii="Palatino Linotype" w:eastAsia="Times New Roman" w:hAnsi="Palatino Linotype" w:cs="Arial"/>
        </w:rPr>
        <w:t xml:space="preserve"> </w:t>
      </w:r>
      <w:r w:rsidR="007B30F3" w:rsidRPr="002F0087">
        <w:rPr>
          <w:rFonts w:ascii="Palatino Linotype" w:hAnsi="Palatino Linotype"/>
        </w:rPr>
        <w:t>A través de</w:t>
      </w:r>
      <w:r w:rsidR="00E83035" w:rsidRPr="002F0087">
        <w:rPr>
          <w:rFonts w:ascii="Palatino Linotype" w:hAnsi="Palatino Linotype"/>
        </w:rPr>
        <w:t>l</w:t>
      </w:r>
      <w:r w:rsidR="00A53AF8" w:rsidRPr="002F0087">
        <w:rPr>
          <w:rFonts w:ascii="Palatino Linotype" w:hAnsi="Palatino Linotype"/>
          <w:b/>
        </w:rPr>
        <w:t xml:space="preserve"> </w:t>
      </w:r>
      <w:r w:rsidR="00A7308C" w:rsidRPr="002F0087">
        <w:rPr>
          <w:rFonts w:ascii="Palatino Linotype" w:eastAsia="Times New Roman" w:hAnsi="Palatino Linotype" w:cs="Arial"/>
          <w:b/>
          <w:lang w:val="es-ES"/>
        </w:rPr>
        <w:t>SAIMEX</w:t>
      </w:r>
      <w:r w:rsidR="003E4A5C" w:rsidRPr="002F0087">
        <w:rPr>
          <w:rFonts w:ascii="Palatino Linotype" w:hAnsi="Palatino Linotype"/>
          <w:b/>
        </w:rPr>
        <w:t>.</w:t>
      </w:r>
    </w:p>
    <w:p w14:paraId="5F2D81F7" w14:textId="77777777" w:rsidR="00213A8F" w:rsidRPr="002F0087" w:rsidRDefault="00213A8F" w:rsidP="002F0087">
      <w:pPr>
        <w:pStyle w:val="Prrafodelista"/>
        <w:tabs>
          <w:tab w:val="left" w:pos="0"/>
        </w:tabs>
        <w:spacing w:line="360" w:lineRule="auto"/>
        <w:ind w:left="567"/>
        <w:jc w:val="both"/>
        <w:rPr>
          <w:rFonts w:ascii="Palatino Linotype" w:hAnsi="Palatino Linotype"/>
        </w:rPr>
      </w:pPr>
    </w:p>
    <w:p w14:paraId="41762098" w14:textId="1AFFB9F1" w:rsidR="004D5A2A" w:rsidRPr="002F0087" w:rsidRDefault="004D5A2A"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hAnsi="Palatino Linotype"/>
        </w:rPr>
        <w:t xml:space="preserve">El </w:t>
      </w:r>
      <w:r w:rsidRPr="002F0087">
        <w:rPr>
          <w:rFonts w:ascii="Palatino Linotype" w:hAnsi="Palatino Linotype"/>
          <w:b/>
        </w:rPr>
        <w:t xml:space="preserve">SUJETO OBLIGADO </w:t>
      </w:r>
      <w:r w:rsidRPr="002F0087">
        <w:rPr>
          <w:rFonts w:ascii="Palatino Linotype" w:hAnsi="Palatino Linotype"/>
        </w:rPr>
        <w:t>no respondió a la solicitud de información.</w:t>
      </w:r>
    </w:p>
    <w:p w14:paraId="6FDFCC07" w14:textId="77777777" w:rsidR="00213A8F" w:rsidRPr="002F0087" w:rsidRDefault="00213A8F" w:rsidP="002F0087">
      <w:pPr>
        <w:pStyle w:val="Prrafodelista"/>
        <w:tabs>
          <w:tab w:val="left" w:pos="0"/>
        </w:tabs>
        <w:spacing w:line="360" w:lineRule="auto"/>
        <w:ind w:left="0" w:right="49"/>
        <w:jc w:val="both"/>
        <w:rPr>
          <w:rFonts w:ascii="Palatino Linotype" w:hAnsi="Palatino Linotype"/>
        </w:rPr>
      </w:pPr>
    </w:p>
    <w:p w14:paraId="1BDB340C" w14:textId="370C9357" w:rsidR="00D870F1" w:rsidRPr="002F0087" w:rsidRDefault="00585F00"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Times New Roman" w:hAnsi="Palatino Linotype" w:cs="Arial"/>
        </w:rPr>
        <w:t xml:space="preserve">El día </w:t>
      </w:r>
      <w:r w:rsidR="00213A8F" w:rsidRPr="002F0087">
        <w:rPr>
          <w:rFonts w:ascii="Palatino Linotype" w:eastAsia="Times New Roman" w:hAnsi="Palatino Linotype" w:cs="Arial"/>
        </w:rPr>
        <w:t>once</w:t>
      </w:r>
      <w:r w:rsidR="00B119BA" w:rsidRPr="002F0087">
        <w:rPr>
          <w:rFonts w:ascii="Palatino Linotype" w:eastAsia="Times New Roman" w:hAnsi="Palatino Linotype" w:cs="Arial"/>
        </w:rPr>
        <w:t xml:space="preserve"> </w:t>
      </w:r>
      <w:r w:rsidR="003E4A5C" w:rsidRPr="002F0087">
        <w:rPr>
          <w:rFonts w:ascii="Palatino Linotype" w:eastAsia="Times New Roman" w:hAnsi="Palatino Linotype" w:cs="Arial"/>
        </w:rPr>
        <w:t>(</w:t>
      </w:r>
      <w:r w:rsidR="00213A8F" w:rsidRPr="002F0087">
        <w:rPr>
          <w:rFonts w:ascii="Palatino Linotype" w:eastAsia="Times New Roman" w:hAnsi="Palatino Linotype" w:cs="Arial"/>
        </w:rPr>
        <w:t>11</w:t>
      </w:r>
      <w:r w:rsidR="00BF2C41" w:rsidRPr="002F0087">
        <w:rPr>
          <w:rFonts w:ascii="Palatino Linotype" w:eastAsia="Times New Roman" w:hAnsi="Palatino Linotype" w:cs="Arial"/>
        </w:rPr>
        <w:t xml:space="preserve">) de </w:t>
      </w:r>
      <w:r w:rsidR="004D5A2A" w:rsidRPr="002F0087">
        <w:rPr>
          <w:rFonts w:ascii="Palatino Linotype" w:eastAsia="Times New Roman" w:hAnsi="Palatino Linotype" w:cs="Arial"/>
        </w:rPr>
        <w:t>febrero</w:t>
      </w:r>
      <w:r w:rsidR="00AA09C3" w:rsidRPr="002F0087">
        <w:rPr>
          <w:rFonts w:ascii="Palatino Linotype" w:eastAsia="Times New Roman" w:hAnsi="Palatino Linotype" w:cs="Arial"/>
        </w:rPr>
        <w:t xml:space="preserve"> de dos mil diecinueve</w:t>
      </w:r>
      <w:r w:rsidR="00FA3B14" w:rsidRPr="002F0087">
        <w:rPr>
          <w:rFonts w:ascii="Palatino Linotype" w:eastAsia="Times New Roman" w:hAnsi="Palatino Linotype" w:cs="Arial"/>
        </w:rPr>
        <w:t xml:space="preserve"> el</w:t>
      </w:r>
      <w:r w:rsidR="007E4E68" w:rsidRPr="002F0087">
        <w:rPr>
          <w:rFonts w:ascii="Palatino Linotype" w:hAnsi="Palatino Linotype" w:cs="Arial"/>
        </w:rPr>
        <w:t xml:space="preserve"> particular</w:t>
      </w:r>
      <w:r w:rsidRPr="002F0087">
        <w:rPr>
          <w:rFonts w:ascii="Palatino Linotype" w:eastAsia="Times New Roman" w:hAnsi="Palatino Linotype" w:cs="Arial"/>
        </w:rPr>
        <w:t xml:space="preserve"> interpuso el recurso de revisión, en contra de la</w:t>
      </w:r>
      <w:r w:rsidR="004D5A2A" w:rsidRPr="002F0087">
        <w:rPr>
          <w:rFonts w:ascii="Palatino Linotype" w:eastAsia="Times New Roman" w:hAnsi="Palatino Linotype" w:cs="Arial"/>
        </w:rPr>
        <w:t xml:space="preserve"> falta de</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r w:rsidR="00213A8F" w:rsidRPr="002F0087">
        <w:rPr>
          <w:rFonts w:ascii="Palatino Linotype" w:eastAsia="Times New Roman" w:hAnsi="Palatino Linotype" w:cs="Arial"/>
        </w:rPr>
        <w:t xml:space="preserve"> respuesta, señalando tanto en acto impugnado como en las razones o motivos de inconformidad lo siguiente: </w:t>
      </w:r>
      <w:r w:rsidR="00B119BA" w:rsidRPr="002F0087">
        <w:rPr>
          <w:rFonts w:ascii="Palatino Linotype" w:eastAsia="Times New Roman" w:hAnsi="Palatino Linotype" w:cs="Arial"/>
        </w:rPr>
        <w:t xml:space="preserve"> </w:t>
      </w:r>
    </w:p>
    <w:p w14:paraId="4D3C9C21" w14:textId="77777777" w:rsidR="00FA3B14" w:rsidRPr="002F0087" w:rsidRDefault="00FA3B14" w:rsidP="002F0087">
      <w:pPr>
        <w:pStyle w:val="Prrafodelista"/>
        <w:tabs>
          <w:tab w:val="left" w:pos="0"/>
        </w:tabs>
        <w:spacing w:line="360" w:lineRule="auto"/>
        <w:ind w:left="284" w:right="34"/>
        <w:jc w:val="both"/>
        <w:rPr>
          <w:rFonts w:ascii="Palatino Linotype" w:hAnsi="Palatino Linotype"/>
        </w:rPr>
      </w:pPr>
    </w:p>
    <w:bookmarkEnd w:id="3"/>
    <w:p w14:paraId="5654E5A5" w14:textId="787D4C3D" w:rsidR="00C208DE" w:rsidRPr="002F0087" w:rsidRDefault="00F95F7E" w:rsidP="002F0087">
      <w:pPr>
        <w:pStyle w:val="Prrafodelista"/>
        <w:tabs>
          <w:tab w:val="left" w:pos="0"/>
        </w:tabs>
        <w:spacing w:line="360" w:lineRule="auto"/>
        <w:ind w:left="927" w:right="616"/>
        <w:jc w:val="both"/>
        <w:rPr>
          <w:rFonts w:ascii="Palatino Linotype" w:eastAsia="Calibri" w:hAnsi="Palatino Linotype" w:cs="Arial"/>
        </w:rPr>
      </w:pPr>
      <w:r w:rsidRPr="002F0087">
        <w:rPr>
          <w:rFonts w:ascii="Palatino Linotype" w:eastAsia="Calibri" w:hAnsi="Palatino Linotype" w:cs="Arial"/>
        </w:rPr>
        <w:t xml:space="preserve"> </w:t>
      </w:r>
      <w:bookmarkStart w:id="17" w:name="_Toc466982515"/>
      <w:bookmarkStart w:id="18" w:name="_Toc471908127"/>
      <w:bookmarkStart w:id="19" w:name="_Toc491791301"/>
      <w:bookmarkStart w:id="20" w:name="_Toc496726171"/>
      <w:bookmarkStart w:id="21" w:name="_Toc497242135"/>
      <w:bookmarkStart w:id="22" w:name="_Toc497292518"/>
      <w:bookmarkStart w:id="23" w:name="_Toc498503717"/>
      <w:bookmarkStart w:id="24" w:name="_Toc499568661"/>
      <w:bookmarkStart w:id="25" w:name="_Toc499568694"/>
      <w:bookmarkStart w:id="26" w:name="_Toc499665453"/>
      <w:bookmarkStart w:id="27" w:name="_Toc499729820"/>
      <w:bookmarkStart w:id="28" w:name="_Toc499835025"/>
      <w:bookmarkStart w:id="29" w:name="_Toc499835836"/>
      <w:bookmarkStart w:id="30"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2F0087">
        <w:rPr>
          <w:rFonts w:ascii="Palatino Linotype" w:eastAsia="Calibri" w:hAnsi="Palatino Linotype" w:cs="Arial"/>
          <w:i/>
        </w:rPr>
        <w:t>“</w:t>
      </w:r>
      <w:r w:rsidR="00213A8F" w:rsidRPr="002F0087">
        <w:rPr>
          <w:rFonts w:ascii="Palatino Linotype" w:eastAsia="Calibri" w:hAnsi="Palatino Linotype" w:cs="Arial"/>
          <w:i/>
        </w:rPr>
        <w:t>NO RESPONDEN LAS SOLICITUDES, ESTA ADMINISTRACIÓN ESTÁ PLAGADA DE INEPTITUD Y CORRUPCIÓN, VIOLAN MIS DERECHOS A LOS CUALES LA CONSTITUCIÓN ME OTORGA EL DERECHO DE SABER LO QUE SOLICITO, ESPERO QUE EL INSTITUTO DE TRANSPARENCIA HAGA VALER LA LEY SANCIONANDO A ESTOS MAÑOSOS SERVIDORES PÚBLICOS QUE OCULTAN LA INFORMACIÓN ES OBVIO QUE TIENEN MUCHO QUE ESCONDER, COMENZANDO CON SU FALTA DE CONOCIMIENTOS Y PROFESIONALISMO</w:t>
      </w:r>
      <w:r w:rsidR="001770B2" w:rsidRPr="002F0087">
        <w:rPr>
          <w:rFonts w:ascii="Palatino Linotype" w:eastAsia="Calibri" w:hAnsi="Palatino Linotype" w:cs="Arial"/>
          <w:i/>
        </w:rPr>
        <w:t>.</w:t>
      </w:r>
      <w:r w:rsidR="003E4A5C" w:rsidRPr="002F0087">
        <w:rPr>
          <w:rFonts w:ascii="Palatino Linotype" w:eastAsia="Calibri" w:hAnsi="Palatino Linotype" w:cs="Arial"/>
          <w:i/>
        </w:rPr>
        <w:t>” (Sic)</w:t>
      </w:r>
    </w:p>
    <w:p w14:paraId="63B20642" w14:textId="77777777" w:rsidR="006C0831" w:rsidRPr="002F0087" w:rsidRDefault="006C0831" w:rsidP="002F0087">
      <w:pPr>
        <w:pStyle w:val="Prrafodelista"/>
        <w:tabs>
          <w:tab w:val="left" w:pos="0"/>
        </w:tabs>
        <w:spacing w:line="360" w:lineRule="auto"/>
        <w:ind w:left="927" w:right="616"/>
        <w:jc w:val="both"/>
        <w:rPr>
          <w:rFonts w:ascii="Palatino Linotype" w:eastAsia="Calibri" w:hAnsi="Palatino Linotype" w:cs="Arial"/>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p w14:paraId="14718D03" w14:textId="35F6E898" w:rsidR="00583389" w:rsidRPr="002F0087" w:rsidRDefault="00220DD2" w:rsidP="002F0087">
      <w:pPr>
        <w:pStyle w:val="Prrafodelista"/>
        <w:numPr>
          <w:ilvl w:val="0"/>
          <w:numId w:val="1"/>
        </w:numPr>
        <w:tabs>
          <w:tab w:val="left" w:pos="0"/>
        </w:tabs>
        <w:spacing w:line="360" w:lineRule="auto"/>
        <w:ind w:left="0" w:right="49" w:firstLine="0"/>
        <w:jc w:val="both"/>
        <w:rPr>
          <w:rFonts w:ascii="Palatino Linotype" w:hAnsi="Palatino Linotype"/>
          <w:i/>
        </w:rPr>
      </w:pPr>
      <w:r w:rsidRPr="002F0087">
        <w:rPr>
          <w:rFonts w:ascii="Palatino Linotype" w:eastAsia="Calibri" w:hAnsi="Palatino Linotype" w:cs="Arial"/>
        </w:rPr>
        <w:lastRenderedPageBreak/>
        <w:t xml:space="preserve">El </w:t>
      </w:r>
      <w:r w:rsidRPr="002F0087">
        <w:rPr>
          <w:rFonts w:ascii="Palatino Linotype" w:eastAsia="Calibri" w:hAnsi="Palatino Linotype" w:cs="Times New Roman"/>
        </w:rPr>
        <w:t>Comisionado</w:t>
      </w:r>
      <w:r w:rsidRPr="002F0087">
        <w:rPr>
          <w:rFonts w:ascii="Palatino Linotype" w:eastAsia="Calibri" w:hAnsi="Palatino Linotype" w:cs="Arial"/>
        </w:rPr>
        <w:t xml:space="preserve"> Ponente con fundamento en lo dispuesto por el artículo 185 fracción II de la ley de la materia, a través del acuerdo de admisión de fecha </w:t>
      </w:r>
      <w:r w:rsidR="00213A8F" w:rsidRPr="002F0087">
        <w:rPr>
          <w:rFonts w:ascii="Palatino Linotype" w:eastAsia="Calibri" w:hAnsi="Palatino Linotype" w:cs="Arial"/>
        </w:rPr>
        <w:t>quince</w:t>
      </w:r>
      <w:r w:rsidR="00091508" w:rsidRPr="002F0087">
        <w:rPr>
          <w:rFonts w:ascii="Palatino Linotype" w:eastAsia="Calibri" w:hAnsi="Palatino Linotype" w:cs="Arial"/>
        </w:rPr>
        <w:t xml:space="preserve"> (</w:t>
      </w:r>
      <w:r w:rsidR="00213A8F" w:rsidRPr="002F0087">
        <w:rPr>
          <w:rFonts w:ascii="Palatino Linotype" w:eastAsia="Calibri" w:hAnsi="Palatino Linotype" w:cs="Arial"/>
        </w:rPr>
        <w:t>15</w:t>
      </w:r>
      <w:r w:rsidR="00091508" w:rsidRPr="002F0087">
        <w:rPr>
          <w:rFonts w:ascii="Palatino Linotype" w:eastAsia="Calibri" w:hAnsi="Palatino Linotype" w:cs="Arial"/>
        </w:rPr>
        <w:t xml:space="preserve">) de </w:t>
      </w:r>
      <w:r w:rsidR="00AA09C3" w:rsidRPr="002F0087">
        <w:rPr>
          <w:rFonts w:ascii="Palatino Linotype" w:eastAsia="Calibri" w:hAnsi="Palatino Linotype" w:cs="Arial"/>
        </w:rPr>
        <w:t>febrero</w:t>
      </w:r>
      <w:r w:rsidR="007A4264" w:rsidRPr="002F0087">
        <w:rPr>
          <w:rFonts w:ascii="Palatino Linotype" w:eastAsia="Calibri" w:hAnsi="Palatino Linotype" w:cs="Arial"/>
        </w:rPr>
        <w:t xml:space="preserve"> </w:t>
      </w:r>
      <w:r w:rsidR="00FA3B14" w:rsidRPr="002F0087">
        <w:rPr>
          <w:rFonts w:ascii="Palatino Linotype" w:eastAsia="Calibri" w:hAnsi="Palatino Linotype" w:cs="Arial"/>
        </w:rPr>
        <w:t>de dos mil dieci</w:t>
      </w:r>
      <w:r w:rsidR="00AA09C3" w:rsidRPr="002F0087">
        <w:rPr>
          <w:rFonts w:ascii="Palatino Linotype" w:eastAsia="Calibri" w:hAnsi="Palatino Linotype" w:cs="Arial"/>
        </w:rPr>
        <w:t>nueve</w:t>
      </w:r>
      <w:r w:rsidRPr="002F0087">
        <w:rPr>
          <w:rFonts w:ascii="Palatino Linotype" w:eastAsia="Calibri" w:hAnsi="Palatino Linotype" w:cs="Arial"/>
        </w:rPr>
        <w:t xml:space="preserve">, puso a disposición de las partes el expediente electrónico vía Sistema de Acceso a la Información Mexiquense </w:t>
      </w:r>
      <w:r w:rsidRPr="002F0087">
        <w:rPr>
          <w:rFonts w:ascii="Palatino Linotype" w:eastAsia="Calibri" w:hAnsi="Palatino Linotype" w:cs="Arial"/>
          <w:b/>
        </w:rPr>
        <w:t xml:space="preserve">SAIMEX </w:t>
      </w:r>
      <w:r w:rsidRPr="002F0087">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F0087">
        <w:rPr>
          <w:rFonts w:ascii="Palatino Linotype" w:eastAsia="Calibri" w:hAnsi="Palatino Linotype" w:cs="Arial"/>
          <w:b/>
        </w:rPr>
        <w:t>SUJETO OBLIGADO</w:t>
      </w:r>
      <w:r w:rsidRPr="002F0087">
        <w:rPr>
          <w:rFonts w:ascii="Palatino Linotype" w:eastAsia="Calibri" w:hAnsi="Palatino Linotype" w:cs="Arial"/>
        </w:rPr>
        <w:t xml:space="preserve"> presentará el Informe Justificado procedente.</w:t>
      </w:r>
    </w:p>
    <w:p w14:paraId="76865E16" w14:textId="77777777" w:rsidR="00583389" w:rsidRPr="002F0087" w:rsidRDefault="00583389" w:rsidP="002F0087">
      <w:pPr>
        <w:pStyle w:val="Prrafodelista"/>
        <w:tabs>
          <w:tab w:val="left" w:pos="0"/>
        </w:tabs>
        <w:spacing w:line="360" w:lineRule="auto"/>
        <w:ind w:left="142"/>
        <w:jc w:val="both"/>
        <w:rPr>
          <w:rFonts w:ascii="Palatino Linotype" w:hAnsi="Palatino Linotype"/>
          <w:i/>
        </w:rPr>
      </w:pPr>
    </w:p>
    <w:p w14:paraId="27247524" w14:textId="77777777" w:rsidR="00984347" w:rsidRPr="002F0087" w:rsidRDefault="00984347" w:rsidP="002F0087">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2F0087">
        <w:rPr>
          <w:rFonts w:ascii="Palatino Linotype" w:eastAsia="Calibri" w:hAnsi="Palatino Linotype" w:cs="Arial"/>
          <w:lang w:val="es-ES"/>
        </w:rPr>
        <w:t xml:space="preserve">El </w:t>
      </w:r>
      <w:r w:rsidRPr="002F0087">
        <w:rPr>
          <w:rFonts w:ascii="Palatino Linotype" w:eastAsia="Calibri" w:hAnsi="Palatino Linotype" w:cs="Arial"/>
          <w:b/>
          <w:lang w:val="es-ES"/>
        </w:rPr>
        <w:t xml:space="preserve">SUJETO OBLIGADO </w:t>
      </w:r>
      <w:r w:rsidRPr="002F0087">
        <w:rPr>
          <w:rFonts w:ascii="Palatino Linotype" w:eastAsia="Calibri" w:hAnsi="Palatino Linotype" w:cs="Arial"/>
          <w:lang w:val="es-ES"/>
        </w:rPr>
        <w:t xml:space="preserve">no rindió informe justificado para manifestar lo que a su derecho conviniera; asimismo, el </w:t>
      </w:r>
      <w:r w:rsidRPr="002F0087">
        <w:rPr>
          <w:rFonts w:ascii="Palatino Linotype" w:eastAsia="Calibri" w:hAnsi="Palatino Linotype" w:cs="Arial"/>
          <w:b/>
          <w:lang w:val="es-ES"/>
        </w:rPr>
        <w:t xml:space="preserve">RECURRENTE </w:t>
      </w:r>
      <w:r w:rsidRPr="002F0087">
        <w:rPr>
          <w:rFonts w:ascii="Palatino Linotype" w:eastAsia="Calibri" w:hAnsi="Palatino Linotype" w:cs="Arial"/>
          <w:lang w:val="es-ES"/>
        </w:rPr>
        <w:t xml:space="preserve">no presentó alegatos, ni ofreció los medios de prueba, </w:t>
      </w:r>
      <w:r w:rsidRPr="002F0087">
        <w:rPr>
          <w:rFonts w:ascii="Palatino Linotype" w:eastAsia="Calibri" w:hAnsi="Palatino Linotype" w:cs="Times New Roman"/>
          <w:lang w:val="es-ES"/>
        </w:rPr>
        <w:t xml:space="preserve">según consta en el Sistema </w:t>
      </w:r>
      <w:r w:rsidRPr="002F0087">
        <w:rPr>
          <w:rFonts w:ascii="Palatino Linotype" w:eastAsia="Calibri" w:hAnsi="Palatino Linotype" w:cs="Arial"/>
          <w:lang w:val="es-ES"/>
        </w:rPr>
        <w:t xml:space="preserve">de Acceso a la Información Mexiquense </w:t>
      </w:r>
      <w:r w:rsidRPr="002F0087">
        <w:rPr>
          <w:rFonts w:ascii="Palatino Linotype" w:eastAsia="Calibri" w:hAnsi="Palatino Linotype" w:cs="Arial"/>
          <w:b/>
          <w:lang w:val="es-ES"/>
        </w:rPr>
        <w:t>SAIMEX.</w:t>
      </w:r>
      <w:r w:rsidRPr="002F0087">
        <w:rPr>
          <w:rFonts w:ascii="Palatino Linotype" w:eastAsia="Calibri" w:hAnsi="Palatino Linotype" w:cs="Arial"/>
          <w:lang w:val="es-ES"/>
        </w:rPr>
        <w:t xml:space="preserve"> </w:t>
      </w:r>
    </w:p>
    <w:p w14:paraId="162ED184" w14:textId="77777777" w:rsidR="00984347" w:rsidRPr="002F0087" w:rsidRDefault="00984347" w:rsidP="002F0087">
      <w:pPr>
        <w:pStyle w:val="Prrafodelista"/>
        <w:spacing w:line="360" w:lineRule="auto"/>
        <w:rPr>
          <w:rFonts w:ascii="Palatino Linotype" w:hAnsi="Palatino Linotype"/>
          <w:i/>
          <w:color w:val="000000"/>
        </w:rPr>
      </w:pPr>
    </w:p>
    <w:p w14:paraId="468C5D38" w14:textId="5908C2E5" w:rsidR="009D7F9C" w:rsidRPr="002F0087" w:rsidRDefault="008A72B7"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Calibri" w:hAnsi="Palatino Linotype" w:cs="Arial"/>
        </w:rPr>
        <w:t>Consecutivamente</w:t>
      </w:r>
      <w:r w:rsidR="00A71BC1" w:rsidRPr="002F0087">
        <w:rPr>
          <w:rFonts w:ascii="Palatino Linotype" w:hAnsi="Palatino Linotype"/>
        </w:rPr>
        <w:t>, el Comisionado Ponente decretó el cierre de instru</w:t>
      </w:r>
      <w:r w:rsidR="00F640B8" w:rsidRPr="002F0087">
        <w:rPr>
          <w:rFonts w:ascii="Palatino Linotype" w:hAnsi="Palatino Linotype"/>
        </w:rPr>
        <w:t>cción mediante acuerdo de fecha veintiséis</w:t>
      </w:r>
      <w:r w:rsidR="00C3488E" w:rsidRPr="002F0087">
        <w:rPr>
          <w:rFonts w:ascii="Palatino Linotype" w:hAnsi="Palatino Linotype"/>
        </w:rPr>
        <w:t xml:space="preserve"> </w:t>
      </w:r>
      <w:r w:rsidR="004A125E" w:rsidRPr="002F0087">
        <w:rPr>
          <w:rFonts w:ascii="Palatino Linotype" w:hAnsi="Palatino Linotype"/>
        </w:rPr>
        <w:t>(</w:t>
      </w:r>
      <w:r w:rsidR="00C3488E" w:rsidRPr="002F0087">
        <w:rPr>
          <w:rFonts w:ascii="Palatino Linotype" w:hAnsi="Palatino Linotype"/>
        </w:rPr>
        <w:t>2</w:t>
      </w:r>
      <w:r w:rsidR="00F640B8" w:rsidRPr="002F0087">
        <w:rPr>
          <w:rFonts w:ascii="Palatino Linotype" w:hAnsi="Palatino Linotype"/>
        </w:rPr>
        <w:t>6</w:t>
      </w:r>
      <w:r w:rsidR="00C3488E" w:rsidRPr="002F0087">
        <w:rPr>
          <w:rFonts w:ascii="Palatino Linotype" w:hAnsi="Palatino Linotype"/>
        </w:rPr>
        <w:t>)</w:t>
      </w:r>
      <w:r w:rsidR="00A71BC1" w:rsidRPr="002F0087">
        <w:rPr>
          <w:rFonts w:ascii="Palatino Linotype" w:hAnsi="Palatino Linotype"/>
        </w:rPr>
        <w:t xml:space="preserve"> de </w:t>
      </w:r>
      <w:r w:rsidR="00984347" w:rsidRPr="002F0087">
        <w:rPr>
          <w:rFonts w:ascii="Palatino Linotype" w:hAnsi="Palatino Linotype"/>
        </w:rPr>
        <w:t>marzo</w:t>
      </w:r>
      <w:r w:rsidR="00A71BC1" w:rsidRPr="002F0087">
        <w:rPr>
          <w:rFonts w:ascii="Palatino Linotype" w:hAnsi="Palatino Linotype"/>
        </w:rPr>
        <w:t xml:space="preserve"> de </w:t>
      </w:r>
      <w:r w:rsidR="00C3488E" w:rsidRPr="002F0087">
        <w:rPr>
          <w:rFonts w:ascii="Palatino Linotype" w:hAnsi="Palatino Linotype"/>
        </w:rPr>
        <w:t>dos mil diecinueve</w:t>
      </w:r>
      <w:r w:rsidR="00A71BC1" w:rsidRPr="002F0087">
        <w:rPr>
          <w:rFonts w:ascii="Palatino Linotype" w:hAnsi="Palatino Linotype"/>
        </w:rPr>
        <w:t>, por lo que, ordenó turnar el expediente a resolución.</w:t>
      </w:r>
      <w:r w:rsidR="009D7F9C" w:rsidRPr="002F0087">
        <w:rPr>
          <w:rFonts w:ascii="Palatino Linotype" w:hAnsi="Palatino Linotype"/>
        </w:rPr>
        <w:t xml:space="preserve"> </w:t>
      </w:r>
      <w:r w:rsidR="00984347" w:rsidRPr="002F0087">
        <w:rPr>
          <w:rFonts w:ascii="Palatino Linotype" w:hAnsi="Palatino Linotype"/>
          <w:color w:val="000000" w:themeColor="text1"/>
        </w:rPr>
        <w:t xml:space="preserve">Posteriormente, el </w:t>
      </w:r>
      <w:r w:rsidR="00B800CC" w:rsidRPr="002F0087">
        <w:rPr>
          <w:rFonts w:ascii="Palatino Linotype" w:hAnsi="Palatino Linotype"/>
          <w:color w:val="000000" w:themeColor="text1"/>
        </w:rPr>
        <w:t>uno</w:t>
      </w:r>
      <w:r w:rsidR="009D7F9C" w:rsidRPr="002F0087">
        <w:rPr>
          <w:rFonts w:ascii="Palatino Linotype" w:hAnsi="Palatino Linotype"/>
          <w:color w:val="000000" w:themeColor="text1"/>
        </w:rPr>
        <w:t xml:space="preserve"> (</w:t>
      </w:r>
      <w:r w:rsidR="00B800CC" w:rsidRPr="002F0087">
        <w:rPr>
          <w:rFonts w:ascii="Palatino Linotype" w:hAnsi="Palatino Linotype"/>
          <w:color w:val="000000" w:themeColor="text1"/>
        </w:rPr>
        <w:t>01</w:t>
      </w:r>
      <w:r w:rsidR="009D7F9C" w:rsidRPr="002F0087">
        <w:rPr>
          <w:rFonts w:ascii="Palatino Linotype" w:hAnsi="Palatino Linotype"/>
          <w:color w:val="000000" w:themeColor="text1"/>
        </w:rPr>
        <w:t xml:space="preserve">) de </w:t>
      </w:r>
      <w:r w:rsidR="00B800CC" w:rsidRPr="002F0087">
        <w:rPr>
          <w:rFonts w:ascii="Palatino Linotype" w:hAnsi="Palatino Linotype"/>
          <w:color w:val="000000" w:themeColor="text1"/>
        </w:rPr>
        <w:t>abril</w:t>
      </w:r>
      <w:r w:rsidR="009D7F9C" w:rsidRPr="002F0087">
        <w:rPr>
          <w:rFonts w:ascii="Palatino Linotype" w:hAnsi="Palatino Linotype"/>
          <w:color w:val="000000" w:themeColor="text1"/>
        </w:rPr>
        <w:t xml:space="preserve"> del año en curso,</w:t>
      </w:r>
      <w:r w:rsidR="00E31F71" w:rsidRPr="002F0087">
        <w:rPr>
          <w:rFonts w:ascii="Palatino Linotype" w:hAnsi="Palatino Linotype"/>
          <w:color w:val="000000" w:themeColor="text1"/>
        </w:rPr>
        <w:t xml:space="preserve"> se amplió el plazo de quince</w:t>
      </w:r>
      <w:r w:rsidR="009D7F9C" w:rsidRPr="002F0087">
        <w:rPr>
          <w:rFonts w:ascii="Palatino Linotype" w:hAnsi="Palatino Linotype"/>
          <w:color w:val="000000" w:themeColor="text1"/>
        </w:rPr>
        <w:t xml:space="preserve"> (15) días para resolver el recurso de revisión, </w:t>
      </w:r>
      <w:r w:rsidR="009D7F9C" w:rsidRPr="002F0087">
        <w:rPr>
          <w:rFonts w:ascii="Palatino Linotype" w:hAnsi="Palatino Linotype" w:cs="Arial"/>
          <w:color w:val="000000" w:themeColor="text1"/>
        </w:rPr>
        <w:t xml:space="preserve">por lo que ordenó turnar el expediente para su resolución, misma que ahora se pronuncia; y  - - - - - - - - - - - </w:t>
      </w:r>
      <w:r w:rsidR="00B800CC" w:rsidRPr="002F0087">
        <w:rPr>
          <w:rFonts w:ascii="Palatino Linotype" w:hAnsi="Palatino Linotype" w:cs="Arial"/>
        </w:rPr>
        <w:t>- - - - - - - - - - - - - - - - - - - - - - -</w:t>
      </w:r>
      <w:r w:rsidR="009D7F9C" w:rsidRPr="002F0087">
        <w:rPr>
          <w:rFonts w:ascii="Palatino Linotype" w:hAnsi="Palatino Linotype" w:cs="Arial"/>
        </w:rPr>
        <w:t xml:space="preserve"> - - - - - - - - - - - -</w:t>
      </w:r>
    </w:p>
    <w:p w14:paraId="4FDE6965" w14:textId="77777777" w:rsidR="00A71BC1" w:rsidRPr="002F0087" w:rsidRDefault="00A71BC1" w:rsidP="002F0087">
      <w:pPr>
        <w:pStyle w:val="Prrafodelista"/>
        <w:tabs>
          <w:tab w:val="left" w:pos="0"/>
        </w:tabs>
        <w:spacing w:line="360" w:lineRule="auto"/>
        <w:ind w:left="284" w:right="34"/>
        <w:jc w:val="both"/>
        <w:rPr>
          <w:rFonts w:ascii="Palatino Linotype" w:hAnsi="Palatino Linotype" w:cs="Arial"/>
        </w:rPr>
      </w:pPr>
    </w:p>
    <w:p w14:paraId="4887EE63" w14:textId="77777777" w:rsidR="009D7F9C" w:rsidRPr="002F0087" w:rsidRDefault="009D7F9C" w:rsidP="002F0087">
      <w:pPr>
        <w:pStyle w:val="Prrafodelista"/>
        <w:tabs>
          <w:tab w:val="left" w:pos="0"/>
        </w:tabs>
        <w:spacing w:line="360" w:lineRule="auto"/>
        <w:ind w:left="284" w:right="34"/>
        <w:jc w:val="both"/>
        <w:rPr>
          <w:rFonts w:ascii="Palatino Linotype" w:hAnsi="Palatino Linotype" w:cs="Arial"/>
        </w:rPr>
      </w:pPr>
    </w:p>
    <w:p w14:paraId="51E91971" w14:textId="77777777" w:rsidR="00585F00" w:rsidRDefault="00585F00" w:rsidP="002F0087">
      <w:pPr>
        <w:pStyle w:val="Ttulo1"/>
        <w:tabs>
          <w:tab w:val="left" w:pos="0"/>
        </w:tabs>
        <w:spacing w:before="0" w:line="360" w:lineRule="auto"/>
        <w:jc w:val="center"/>
        <w:rPr>
          <w:b/>
          <w:szCs w:val="24"/>
        </w:rPr>
      </w:pPr>
      <w:bookmarkStart w:id="31" w:name="_Toc491791302"/>
      <w:bookmarkStart w:id="32" w:name="_Toc5821415"/>
      <w:r w:rsidRPr="002F0087">
        <w:rPr>
          <w:b/>
          <w:szCs w:val="24"/>
        </w:rPr>
        <w:lastRenderedPageBreak/>
        <w:t>CONSIDERANDO</w:t>
      </w:r>
      <w:bookmarkEnd w:id="31"/>
      <w:bookmarkEnd w:id="32"/>
    </w:p>
    <w:p w14:paraId="5E5BDBFF" w14:textId="77777777" w:rsidR="002F0087" w:rsidRPr="002F0087" w:rsidRDefault="002F0087" w:rsidP="002F0087">
      <w:pPr>
        <w:rPr>
          <w:lang w:eastAsia="en-US"/>
        </w:rPr>
      </w:pPr>
    </w:p>
    <w:p w14:paraId="7DA2EB7E" w14:textId="77777777" w:rsidR="0032581C" w:rsidRPr="002F0087" w:rsidRDefault="0032581C" w:rsidP="002F0087">
      <w:pPr>
        <w:pStyle w:val="Ttulo2"/>
        <w:tabs>
          <w:tab w:val="left" w:pos="0"/>
        </w:tabs>
        <w:spacing w:before="0" w:line="360" w:lineRule="auto"/>
        <w:rPr>
          <w:rFonts w:ascii="Palatino Linotype" w:hAnsi="Palatino Linotype"/>
          <w:b/>
          <w:color w:val="auto"/>
          <w:sz w:val="24"/>
          <w:szCs w:val="24"/>
        </w:rPr>
      </w:pPr>
      <w:bookmarkStart w:id="33" w:name="_Toc491791303"/>
      <w:bookmarkStart w:id="34" w:name="_Toc535334651"/>
      <w:bookmarkStart w:id="35" w:name="_Toc5821416"/>
      <w:bookmarkStart w:id="36" w:name="_Toc511234456"/>
      <w:bookmarkStart w:id="37" w:name="_Toc466371865"/>
      <w:bookmarkStart w:id="38" w:name="_Toc466377653"/>
      <w:r w:rsidRPr="002F0087">
        <w:rPr>
          <w:rFonts w:ascii="Palatino Linotype" w:hAnsi="Palatino Linotype"/>
          <w:b/>
          <w:color w:val="auto"/>
          <w:sz w:val="24"/>
          <w:szCs w:val="24"/>
        </w:rPr>
        <w:t>PRIMERO. De la competencia</w:t>
      </w:r>
      <w:bookmarkEnd w:id="33"/>
      <w:bookmarkEnd w:id="34"/>
      <w:bookmarkEnd w:id="35"/>
    </w:p>
    <w:p w14:paraId="6E314099" w14:textId="77777777" w:rsidR="0032581C" w:rsidRPr="002F0087" w:rsidRDefault="0032581C" w:rsidP="002F0087">
      <w:pPr>
        <w:tabs>
          <w:tab w:val="left" w:pos="0"/>
        </w:tabs>
        <w:spacing w:line="360" w:lineRule="auto"/>
        <w:rPr>
          <w:rFonts w:ascii="Palatino Linotype" w:hAnsi="Palatino Linotype"/>
          <w:lang w:eastAsia="en-US"/>
        </w:rPr>
      </w:pPr>
    </w:p>
    <w:p w14:paraId="72882949" w14:textId="77777777" w:rsidR="0032581C" w:rsidRPr="002F0087" w:rsidRDefault="0032581C" w:rsidP="002F008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F0087">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F0087">
        <w:rPr>
          <w:rFonts w:ascii="Palatino Linotype" w:eastAsia="Calibri" w:hAnsi="Palatino Linotype" w:cs="Times New Roman"/>
          <w:b/>
        </w:rPr>
        <w:t>Constitución Política de los Estados Unidos Mexicanos</w:t>
      </w:r>
      <w:r w:rsidRPr="002F0087">
        <w:rPr>
          <w:rFonts w:ascii="Palatino Linotype" w:eastAsia="Calibri" w:hAnsi="Palatino Linotype" w:cs="Times New Roman"/>
        </w:rPr>
        <w:t xml:space="preserve">; 5, párrafos vigésimo, vigésimo primero y vigésimo segundo fracciones IV y V de la </w:t>
      </w:r>
      <w:r w:rsidRPr="002F0087">
        <w:rPr>
          <w:rFonts w:ascii="Palatino Linotype" w:eastAsia="Calibri" w:hAnsi="Palatino Linotype" w:cs="Times New Roman"/>
          <w:b/>
        </w:rPr>
        <w:t>Constitución Política del Estado Libre y Soberano de México</w:t>
      </w:r>
      <w:r w:rsidRPr="002F0087">
        <w:rPr>
          <w:rFonts w:ascii="Palatino Linotype" w:eastAsia="Calibri" w:hAnsi="Palatino Linotype" w:cs="Times New Roman"/>
        </w:rPr>
        <w:t xml:space="preserve">; artículos 1, 2 fracción II, 13, 29, 36 fracciones I y II, 176, 178, 179, 181 párrafo tercero y 185 </w:t>
      </w:r>
      <w:r w:rsidRPr="002F0087">
        <w:rPr>
          <w:rFonts w:ascii="Palatino Linotype" w:eastAsia="Calibri" w:hAnsi="Palatino Linotype" w:cs="Arial"/>
        </w:rPr>
        <w:t xml:space="preserve">de la </w:t>
      </w:r>
      <w:r w:rsidRPr="002F0087">
        <w:rPr>
          <w:rFonts w:ascii="Palatino Linotype" w:eastAsia="Calibri" w:hAnsi="Palatino Linotype" w:cs="Arial"/>
          <w:b/>
        </w:rPr>
        <w:t>Ley de Transparencia y Acceso a la Información Pública del Estado de México y Municipios</w:t>
      </w:r>
      <w:r w:rsidRPr="002F0087">
        <w:rPr>
          <w:rFonts w:ascii="Palatino Linotype" w:eastAsia="Calibri" w:hAnsi="Palatino Linotype" w:cs="Arial"/>
        </w:rPr>
        <w:t xml:space="preserve">; y 10, 7, 9 fracciones I y XXIV, y 11 del </w:t>
      </w:r>
      <w:r w:rsidRPr="002F0087">
        <w:rPr>
          <w:rFonts w:ascii="Palatino Linotype" w:eastAsia="Calibri" w:hAnsi="Palatino Linotype" w:cs="Arial"/>
          <w:b/>
        </w:rPr>
        <w:t>Reglamento Interior del Instituto de Transparencia, Acceso a la Información Pública y Protección de Datos Personales del Estado de México y Municipios.</w:t>
      </w:r>
    </w:p>
    <w:p w14:paraId="2937A4F1" w14:textId="77777777" w:rsidR="00984347" w:rsidRPr="002F0087" w:rsidRDefault="00984347" w:rsidP="002F0087">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F0087" w:rsidRDefault="0032581C" w:rsidP="002F008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5821417"/>
      <w:r w:rsidRPr="002F0087">
        <w:rPr>
          <w:rFonts w:ascii="Palatino Linotype" w:hAnsi="Palatino Linotype"/>
          <w:b/>
          <w:color w:val="auto"/>
          <w:sz w:val="24"/>
          <w:szCs w:val="24"/>
        </w:rPr>
        <w:t>SEGUNDO. De la oportunidad y procedencia.</w:t>
      </w:r>
      <w:bookmarkEnd w:id="39"/>
      <w:bookmarkEnd w:id="40"/>
      <w:bookmarkEnd w:id="41"/>
    </w:p>
    <w:p w14:paraId="47ACA632" w14:textId="77777777" w:rsidR="0032581C" w:rsidRPr="002F0087" w:rsidRDefault="0032581C" w:rsidP="002F0087">
      <w:pPr>
        <w:tabs>
          <w:tab w:val="left" w:pos="0"/>
        </w:tabs>
        <w:spacing w:line="360" w:lineRule="auto"/>
        <w:rPr>
          <w:rFonts w:ascii="Palatino Linotype" w:hAnsi="Palatino Linotype"/>
          <w:lang w:eastAsia="en-US"/>
        </w:rPr>
      </w:pPr>
    </w:p>
    <w:p w14:paraId="0A7649C0"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b/>
        </w:rPr>
      </w:pPr>
      <w:r w:rsidRPr="002F008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76F81154" w14:textId="77777777" w:rsidR="00A6380D" w:rsidRPr="002F0087" w:rsidRDefault="00A6380D" w:rsidP="002F0087">
      <w:pPr>
        <w:pStyle w:val="Prrafodelista"/>
        <w:spacing w:line="360" w:lineRule="auto"/>
        <w:ind w:left="0" w:right="49"/>
        <w:jc w:val="both"/>
        <w:rPr>
          <w:rFonts w:ascii="Palatino Linotype" w:hAnsi="Palatino Linotype"/>
          <w:b/>
        </w:rPr>
      </w:pPr>
    </w:p>
    <w:p w14:paraId="25BDC7C4" w14:textId="217B86A0" w:rsidR="00A6380D" w:rsidRPr="002F0087" w:rsidRDefault="00A6380D" w:rsidP="002F0087">
      <w:pPr>
        <w:pStyle w:val="Prrafodelista"/>
        <w:spacing w:line="360" w:lineRule="auto"/>
        <w:ind w:left="851" w:right="567"/>
        <w:jc w:val="both"/>
        <w:rPr>
          <w:rFonts w:ascii="Palatino Linotype" w:hAnsi="Palatino Linotype"/>
          <w:i/>
        </w:rPr>
      </w:pPr>
      <w:r w:rsidRPr="002F0087">
        <w:rPr>
          <w:rFonts w:ascii="Palatino Linotype" w:hAnsi="Palatino Linotype"/>
          <w:b/>
          <w:i/>
        </w:rPr>
        <w:t>“Artículo 179.</w:t>
      </w:r>
      <w:r w:rsidRPr="002F008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7CA5749B" w14:textId="77777777" w:rsidR="00A6380D" w:rsidRPr="002F0087" w:rsidRDefault="00A6380D" w:rsidP="002F0087">
      <w:pPr>
        <w:pStyle w:val="Prrafodelista"/>
        <w:spacing w:line="360" w:lineRule="auto"/>
        <w:ind w:left="851" w:right="567"/>
        <w:jc w:val="both"/>
        <w:rPr>
          <w:rFonts w:ascii="Palatino Linotype" w:hAnsi="Palatino Linotype"/>
          <w:i/>
        </w:rPr>
      </w:pPr>
      <w:r w:rsidRPr="002F0087">
        <w:rPr>
          <w:rFonts w:ascii="Palatino Linotype" w:hAnsi="Palatino Linotype"/>
          <w:i/>
        </w:rPr>
        <w:t>(…)</w:t>
      </w:r>
    </w:p>
    <w:p w14:paraId="7277464E" w14:textId="77777777" w:rsidR="00A6380D" w:rsidRPr="002F0087" w:rsidRDefault="00A6380D" w:rsidP="002F0087">
      <w:pPr>
        <w:pStyle w:val="Prrafodelista"/>
        <w:spacing w:line="360" w:lineRule="auto"/>
        <w:ind w:left="851" w:right="567"/>
        <w:jc w:val="both"/>
        <w:rPr>
          <w:rFonts w:ascii="Palatino Linotype" w:hAnsi="Palatino Linotype"/>
          <w:b/>
          <w:i/>
        </w:rPr>
      </w:pPr>
      <w:r w:rsidRPr="002F0087">
        <w:rPr>
          <w:rFonts w:ascii="Palatino Linotype" w:hAnsi="Palatino Linotype"/>
          <w:b/>
          <w:i/>
        </w:rPr>
        <w:t>VII. La falta de respuesta a una solicitud de acceso a la información;</w:t>
      </w:r>
    </w:p>
    <w:p w14:paraId="64D12308" w14:textId="74E216F0" w:rsidR="00A6380D" w:rsidRPr="002F0087" w:rsidRDefault="00A6380D" w:rsidP="002F0087">
      <w:pPr>
        <w:spacing w:line="360" w:lineRule="auto"/>
        <w:ind w:left="851"/>
        <w:rPr>
          <w:rFonts w:ascii="Palatino Linotype" w:hAnsi="Palatino Linotype"/>
          <w:i/>
          <w:lang w:val="es-MX" w:eastAsia="en-US"/>
        </w:rPr>
      </w:pPr>
      <w:r w:rsidRPr="002F0087">
        <w:rPr>
          <w:rFonts w:ascii="Palatino Linotype" w:hAnsi="Palatino Linotype"/>
          <w:i/>
          <w:lang w:val="es-MX" w:eastAsia="en-US"/>
        </w:rPr>
        <w:t>(…)”</w:t>
      </w:r>
    </w:p>
    <w:p w14:paraId="4639DE1F" w14:textId="77777777" w:rsidR="00A6380D" w:rsidRPr="002F0087" w:rsidRDefault="00A6380D" w:rsidP="002F0087">
      <w:pPr>
        <w:pStyle w:val="Prrafodelista"/>
        <w:spacing w:line="360" w:lineRule="auto"/>
        <w:ind w:left="0" w:right="49"/>
        <w:jc w:val="both"/>
        <w:rPr>
          <w:rFonts w:ascii="Palatino Linotype" w:hAnsi="Palatino Linotype"/>
        </w:rPr>
      </w:pPr>
    </w:p>
    <w:p w14:paraId="350B1A89"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Calibri" w:hAnsi="Palatino Linotype" w:cs="Arial"/>
        </w:rPr>
        <w:t>Así</w:t>
      </w:r>
      <w:r w:rsidRPr="002F0087">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2F0087">
        <w:rPr>
          <w:rFonts w:ascii="Palatino Linotype" w:hAnsi="Palatino Linotype"/>
          <w:b/>
        </w:rPr>
        <w:t>SUJETO OBLIGADO</w:t>
      </w:r>
      <w:r w:rsidRPr="002F008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0605DA5B" w14:textId="77777777" w:rsidR="00A6380D" w:rsidRPr="002F0087" w:rsidRDefault="00A6380D" w:rsidP="002F0087">
      <w:pPr>
        <w:pStyle w:val="Prrafodelista"/>
        <w:spacing w:line="360" w:lineRule="auto"/>
        <w:ind w:left="0" w:right="49"/>
        <w:jc w:val="both"/>
        <w:rPr>
          <w:rFonts w:ascii="Palatino Linotype" w:hAnsi="Palatino Linotype"/>
        </w:rPr>
      </w:pPr>
    </w:p>
    <w:p w14:paraId="29968DB5" w14:textId="5B0B39EA" w:rsidR="00A6380D" w:rsidRPr="002F0087" w:rsidRDefault="00A6380D" w:rsidP="002F0087">
      <w:pPr>
        <w:pStyle w:val="Prrafodelista"/>
        <w:spacing w:line="360" w:lineRule="auto"/>
        <w:ind w:left="851" w:right="567"/>
        <w:jc w:val="both"/>
        <w:rPr>
          <w:rFonts w:ascii="Palatino Linotype" w:hAnsi="Palatino Linotype"/>
          <w:i/>
        </w:rPr>
      </w:pPr>
      <w:r w:rsidRPr="002F0087">
        <w:rPr>
          <w:rFonts w:ascii="Palatino Linotype" w:hAnsi="Palatino Linotype"/>
          <w:b/>
          <w:i/>
        </w:rPr>
        <w:t>“Artículo 163.</w:t>
      </w:r>
      <w:r w:rsidRPr="002F0087">
        <w:rPr>
          <w:rFonts w:ascii="Palatino Linotype" w:hAnsi="Palatino Linotype"/>
          <w:i/>
        </w:rPr>
        <w:t xml:space="preserve"> La Unidad de Transparencia deberá notificar la respuesta a la solicitud al interesado en el menor tiempo posible, que </w:t>
      </w:r>
      <w:r w:rsidRPr="002F0087">
        <w:rPr>
          <w:rFonts w:ascii="Palatino Linotype" w:hAnsi="Palatino Linotype"/>
          <w:b/>
          <w:i/>
          <w:u w:val="single"/>
        </w:rPr>
        <w:t>no podrá exceder de quince días hábiles</w:t>
      </w:r>
      <w:r w:rsidRPr="002F0087">
        <w:rPr>
          <w:rFonts w:ascii="Palatino Linotype" w:hAnsi="Palatino Linotype"/>
          <w:i/>
        </w:rPr>
        <w:t xml:space="preserve">, contados a partir del día siguiente a la presentación de aquélla. </w:t>
      </w:r>
    </w:p>
    <w:p w14:paraId="0FC71885" w14:textId="77777777" w:rsidR="00A6380D" w:rsidRPr="002F0087" w:rsidRDefault="00A6380D" w:rsidP="002F0087">
      <w:pPr>
        <w:pStyle w:val="Prrafodelista"/>
        <w:spacing w:line="360" w:lineRule="auto"/>
        <w:ind w:left="851" w:right="567"/>
        <w:jc w:val="both"/>
        <w:rPr>
          <w:rFonts w:ascii="Palatino Linotype" w:hAnsi="Palatino Linotype"/>
          <w:i/>
        </w:rPr>
      </w:pPr>
    </w:p>
    <w:p w14:paraId="64046FE5" w14:textId="77777777" w:rsidR="00A6380D" w:rsidRPr="002F0087" w:rsidRDefault="00A6380D" w:rsidP="002F0087">
      <w:pPr>
        <w:pStyle w:val="Prrafodelista"/>
        <w:spacing w:line="360" w:lineRule="auto"/>
        <w:ind w:left="851" w:right="567"/>
        <w:jc w:val="both"/>
        <w:rPr>
          <w:rFonts w:ascii="Palatino Linotype" w:hAnsi="Palatino Linotype" w:cs="Arial"/>
          <w:i/>
        </w:rPr>
      </w:pPr>
      <w:r w:rsidRPr="002F0087">
        <w:rPr>
          <w:rFonts w:ascii="Palatino Linotype" w:hAnsi="Palatino Linotype"/>
          <w:i/>
        </w:rPr>
        <w:t xml:space="preserve">Excepcionalmente, el plazo referido en el párrafo anterior podrá ampliarse hasta por siete días hábiles más, siempre y cuando existan razones fundadas </w:t>
      </w:r>
      <w:r w:rsidRPr="002F0087">
        <w:rPr>
          <w:rFonts w:ascii="Palatino Linotype" w:hAnsi="Palatino Linotype"/>
          <w:i/>
        </w:rPr>
        <w:lastRenderedPageBreak/>
        <w:t>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9458C45" w14:textId="77777777" w:rsidR="00A6380D" w:rsidRPr="002F0087" w:rsidRDefault="00A6380D" w:rsidP="002F0087">
      <w:pPr>
        <w:pStyle w:val="Prrafodelista"/>
        <w:spacing w:line="360" w:lineRule="auto"/>
        <w:ind w:left="851" w:right="616"/>
        <w:jc w:val="both"/>
        <w:rPr>
          <w:rFonts w:ascii="Palatino Linotype" w:hAnsi="Palatino Linotype" w:cs="Arial"/>
          <w:i/>
        </w:rPr>
      </w:pPr>
      <w:r w:rsidRPr="002F0087">
        <w:rPr>
          <w:rFonts w:ascii="Palatino Linotype" w:hAnsi="Palatino Linotype" w:cs="Arial"/>
          <w:i/>
        </w:rPr>
        <w:t>…</w:t>
      </w:r>
    </w:p>
    <w:p w14:paraId="1C22F202" w14:textId="44E23D58" w:rsidR="00A6380D" w:rsidRPr="002F0087" w:rsidRDefault="00A6380D" w:rsidP="002F0087">
      <w:pPr>
        <w:spacing w:line="360" w:lineRule="auto"/>
        <w:ind w:left="851" w:right="567"/>
        <w:jc w:val="both"/>
        <w:rPr>
          <w:rFonts w:ascii="Palatino Linotype" w:hAnsi="Palatino Linotype" w:cs="Arial"/>
          <w:i/>
        </w:rPr>
      </w:pPr>
      <w:r w:rsidRPr="002F0087">
        <w:rPr>
          <w:rFonts w:ascii="Palatino Linotype" w:hAnsi="Palatino Linotype"/>
          <w:b/>
          <w:i/>
        </w:rPr>
        <w:t>Artículo 166.</w:t>
      </w:r>
      <w:r w:rsidRPr="002F008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2F0087">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2F0087">
        <w:rPr>
          <w:rFonts w:ascii="Palatino Linotype" w:hAnsi="Palatino Linotype"/>
          <w:i/>
        </w:rPr>
        <w:t>Una vez entregada la información, el solicitante acusará recibo por escrito, dándose por terminado el trámite de acceso a la información.”</w:t>
      </w:r>
    </w:p>
    <w:p w14:paraId="03AB0063"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cs="Arial"/>
        </w:rPr>
      </w:pPr>
      <w:r w:rsidRPr="002F0087">
        <w:rPr>
          <w:rFonts w:ascii="Palatino Linotype" w:eastAsia="Calibri" w:hAnsi="Palatino Linotype" w:cs="Arial"/>
        </w:rPr>
        <w:lastRenderedPageBreak/>
        <w:t>De</w:t>
      </w:r>
      <w:r w:rsidRPr="002F0087">
        <w:rPr>
          <w:rFonts w:ascii="Palatino Linotype" w:hAnsi="Palatino Linotype" w:cs="Arial"/>
        </w:rPr>
        <w:t xml:space="preserve"> la interpretación a los preceptos legales insertos se obtiene que el plazo que les asiste a los </w:t>
      </w:r>
      <w:r w:rsidRPr="002F0087">
        <w:rPr>
          <w:rFonts w:ascii="Palatino Linotype" w:hAnsi="Palatino Linotype" w:cs="Arial"/>
          <w:b/>
        </w:rPr>
        <w:t>SUJETOS OBLIGADOS</w:t>
      </w:r>
      <w:r w:rsidRPr="002F008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523A7848" w14:textId="77777777" w:rsidR="00A6380D" w:rsidRPr="002F0087" w:rsidRDefault="00A6380D" w:rsidP="002F0087">
      <w:pPr>
        <w:pStyle w:val="Prrafodelista"/>
        <w:spacing w:line="360" w:lineRule="auto"/>
        <w:ind w:left="0"/>
        <w:jc w:val="both"/>
        <w:rPr>
          <w:rFonts w:ascii="Palatino Linotype" w:hAnsi="Palatino Linotype" w:cs="Arial"/>
        </w:rPr>
      </w:pPr>
    </w:p>
    <w:p w14:paraId="28254357"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cs="Arial"/>
        </w:rPr>
      </w:pPr>
      <w:r w:rsidRPr="002F0087">
        <w:rPr>
          <w:rFonts w:ascii="Palatino Linotype" w:hAnsi="Palatino Linotype" w:cs="Arial"/>
        </w:rPr>
        <w:t xml:space="preserve">Derivado de lo anterior, se constituye la figura jurídica de la </w:t>
      </w:r>
      <w:r w:rsidRPr="002F0087">
        <w:rPr>
          <w:rFonts w:ascii="Palatino Linotype" w:hAnsi="Palatino Linotype" w:cs="Arial"/>
          <w:b/>
        </w:rPr>
        <w:t>NEGATIVA FICTA</w:t>
      </w:r>
      <w:r w:rsidRPr="002F0087">
        <w:rPr>
          <w:rFonts w:ascii="Palatino Linotype" w:hAnsi="Palatino Linotype" w:cs="Arial"/>
        </w:rPr>
        <w:t>, cuya esencia consiste en atribuir un efecto negativo al silencio de la autoridad administrativa frente a las instancias y solicitudes que hagan los particulares.</w:t>
      </w:r>
    </w:p>
    <w:p w14:paraId="38952AA3" w14:textId="77777777" w:rsidR="00A6380D" w:rsidRPr="002F0087" w:rsidRDefault="00A6380D" w:rsidP="002F0087">
      <w:pPr>
        <w:pStyle w:val="Prrafodelista"/>
        <w:spacing w:line="360" w:lineRule="auto"/>
        <w:ind w:left="0"/>
        <w:jc w:val="both"/>
        <w:rPr>
          <w:rFonts w:ascii="Palatino Linotype" w:hAnsi="Palatino Linotype" w:cs="Arial"/>
        </w:rPr>
      </w:pPr>
    </w:p>
    <w:p w14:paraId="4D917460"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cs="Arial"/>
        </w:rPr>
      </w:pPr>
      <w:r w:rsidRPr="002F0087">
        <w:rPr>
          <w:rFonts w:ascii="Palatino Linotype" w:hAnsi="Palatino Linotype" w:cs="Arial"/>
        </w:rPr>
        <w:t xml:space="preserve">Por su parte el artículo 178 de la </w:t>
      </w:r>
      <w:r w:rsidRPr="002F0087">
        <w:rPr>
          <w:rFonts w:ascii="Palatino Linotype" w:hAnsi="Palatino Linotype" w:cs="Arial"/>
          <w:b/>
        </w:rPr>
        <w:t>Ley de Transparencia y Acceso a la Información Pública del Estado de México y Municipios</w:t>
      </w:r>
      <w:r w:rsidRPr="002F0087">
        <w:rPr>
          <w:rFonts w:ascii="Palatino Linotype" w:hAnsi="Palatino Linotype" w:cs="Arial"/>
        </w:rPr>
        <w:t>, establece:</w:t>
      </w:r>
    </w:p>
    <w:p w14:paraId="602A5373" w14:textId="77777777" w:rsidR="00A6380D" w:rsidRPr="002F0087" w:rsidRDefault="00A6380D" w:rsidP="002F0087">
      <w:pPr>
        <w:pStyle w:val="Prrafodelista"/>
        <w:spacing w:line="360" w:lineRule="auto"/>
        <w:ind w:left="0"/>
        <w:rPr>
          <w:rFonts w:ascii="Palatino Linotype" w:hAnsi="Palatino Linotype" w:cs="Arial"/>
          <w:highlight w:val="lightGray"/>
        </w:rPr>
      </w:pPr>
    </w:p>
    <w:p w14:paraId="52D0550B" w14:textId="77777777" w:rsidR="00A6380D" w:rsidRPr="002F0087" w:rsidRDefault="00A6380D" w:rsidP="002F0087">
      <w:pPr>
        <w:pStyle w:val="Prrafodelista"/>
        <w:spacing w:line="360" w:lineRule="auto"/>
        <w:ind w:left="851" w:right="567"/>
        <w:jc w:val="both"/>
        <w:rPr>
          <w:rFonts w:ascii="Palatino Linotype" w:hAnsi="Palatino Linotype"/>
          <w:i/>
        </w:rPr>
      </w:pPr>
      <w:r w:rsidRPr="002F0087">
        <w:rPr>
          <w:rFonts w:ascii="Palatino Linotype" w:hAnsi="Palatino Linotype"/>
          <w:b/>
          <w:i/>
        </w:rPr>
        <w:t>Artículo 178.</w:t>
      </w:r>
      <w:r w:rsidRPr="002F0087">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2F0087">
        <w:rPr>
          <w:rFonts w:ascii="Palatino Linotype" w:hAnsi="Palatino Linotype"/>
          <w:b/>
          <w:i/>
          <w:u w:val="single"/>
        </w:rPr>
        <w:t xml:space="preserve">A falta de respuesta del sujeto obligado, dentro de los plazos establecidos en esta Ley, a una solicitud de acceso </w:t>
      </w:r>
      <w:r w:rsidRPr="002F0087">
        <w:rPr>
          <w:rFonts w:ascii="Palatino Linotype" w:hAnsi="Palatino Linotype"/>
          <w:b/>
          <w:i/>
          <w:u w:val="single"/>
        </w:rPr>
        <w:lastRenderedPageBreak/>
        <w:t>a la información pública, el recurso podrá ser interpuesto en cualquier momento, acompañado con el documento que pruebe la fecha en que presentó la solicitud.</w:t>
      </w:r>
      <w:r w:rsidRPr="002F0087">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1D5B60EA" w14:textId="77777777" w:rsidR="00A6380D" w:rsidRPr="002F0087" w:rsidRDefault="00A6380D" w:rsidP="002F0087">
      <w:pPr>
        <w:pStyle w:val="Prrafodelista"/>
        <w:spacing w:line="360" w:lineRule="auto"/>
        <w:ind w:left="567" w:right="567"/>
        <w:jc w:val="both"/>
        <w:rPr>
          <w:rFonts w:ascii="Palatino Linotype" w:hAnsi="Palatino Linotype"/>
          <w:i/>
        </w:rPr>
      </w:pPr>
    </w:p>
    <w:p w14:paraId="55A1A349"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cs="Arial"/>
        </w:rPr>
      </w:pPr>
      <w:r w:rsidRPr="002F0087">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2F0087">
        <w:rPr>
          <w:rFonts w:ascii="Palatino Linotype" w:hAnsi="Palatino Linotype" w:cs="Arial"/>
          <w:b/>
        </w:rPr>
        <w:t>SUJETO OBLIGADO</w:t>
      </w:r>
      <w:r w:rsidRPr="002F0087">
        <w:rPr>
          <w:rFonts w:ascii="Palatino Linotype" w:hAnsi="Palatino Linotype" w:cs="Arial"/>
        </w:rPr>
        <w:t xml:space="preserve">; sin embargo </w:t>
      </w:r>
      <w:r w:rsidRPr="002F0087">
        <w:rPr>
          <w:rFonts w:ascii="Palatino Linotype" w:hAnsi="Palatino Linotype" w:cs="Arial"/>
          <w:u w:val="single"/>
        </w:rPr>
        <w:t>tratándose de negativa ficta</w:t>
      </w:r>
      <w:r w:rsidRPr="002F0087">
        <w:rPr>
          <w:rStyle w:val="Refdenotaalpie"/>
          <w:rFonts w:ascii="Palatino Linotype" w:hAnsi="Palatino Linotype" w:cs="Arial"/>
          <w:u w:val="single"/>
        </w:rPr>
        <w:footnoteReference w:id="1"/>
      </w:r>
      <w:r w:rsidRPr="002F0087">
        <w:rPr>
          <w:rFonts w:ascii="Palatino Linotype" w:hAnsi="Palatino Linotype" w:cs="Arial"/>
        </w:rPr>
        <w:t xml:space="preserve"> no existe resolución que se haga del conocimiento del particular a partir de la cual pueda computarse dicho plazo, por tal motivo es pertinente establecer que </w:t>
      </w:r>
      <w:r w:rsidRPr="002F0087">
        <w:rPr>
          <w:rFonts w:ascii="Palatino Linotype" w:hAnsi="Palatino Linotype" w:cs="Arial"/>
          <w:u w:val="single"/>
        </w:rPr>
        <w:t>no existe plazo para la interposición del recurso de revisión</w:t>
      </w:r>
      <w:r w:rsidRPr="002F0087">
        <w:rPr>
          <w:rFonts w:ascii="Palatino Linotype" w:hAnsi="Palatino Linotype" w:cs="Arial"/>
        </w:rPr>
        <w:t>.</w:t>
      </w:r>
    </w:p>
    <w:p w14:paraId="3501FCCA" w14:textId="77777777" w:rsidR="00A6380D" w:rsidRPr="002F0087" w:rsidRDefault="00A6380D" w:rsidP="002F0087">
      <w:pPr>
        <w:pStyle w:val="Prrafodelista"/>
        <w:spacing w:line="360" w:lineRule="auto"/>
        <w:ind w:left="0"/>
        <w:jc w:val="both"/>
        <w:rPr>
          <w:rFonts w:ascii="Palatino Linotype" w:hAnsi="Palatino Linotype" w:cs="Arial"/>
        </w:rPr>
      </w:pPr>
    </w:p>
    <w:p w14:paraId="284B9FFC" w14:textId="77777777" w:rsidR="00A6380D"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cs="Arial"/>
        </w:rPr>
      </w:pPr>
      <w:r w:rsidRPr="002F0087">
        <w:rPr>
          <w:rFonts w:ascii="Palatino Linotype" w:hAnsi="Palatino Linotype" w:cs="Arial"/>
        </w:rPr>
        <w:t xml:space="preserve">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w:t>
      </w:r>
      <w:r w:rsidRPr="002F0087">
        <w:rPr>
          <w:rFonts w:ascii="Palatino Linotype" w:hAnsi="Palatino Linotype" w:cs="Arial"/>
        </w:rPr>
        <w:lastRenderedPageBreak/>
        <w:t>interposición del recurso de revisión en cualquier tiempo cuando exista negativa ficta, que es del tenor literal siguiente:</w:t>
      </w:r>
    </w:p>
    <w:p w14:paraId="09CC99AB" w14:textId="77777777" w:rsidR="002F0087" w:rsidRPr="002F0087" w:rsidRDefault="002F0087" w:rsidP="002F0087">
      <w:pPr>
        <w:pStyle w:val="Prrafodelista"/>
        <w:rPr>
          <w:rFonts w:ascii="Palatino Linotype" w:hAnsi="Palatino Linotype" w:cs="Arial"/>
        </w:rPr>
      </w:pPr>
    </w:p>
    <w:p w14:paraId="0513B762" w14:textId="77777777" w:rsidR="002F0087" w:rsidRPr="002F0087" w:rsidRDefault="002F0087" w:rsidP="002F0087">
      <w:pPr>
        <w:pStyle w:val="Prrafodelista"/>
        <w:tabs>
          <w:tab w:val="left" w:pos="0"/>
        </w:tabs>
        <w:spacing w:line="360" w:lineRule="auto"/>
        <w:ind w:left="0" w:right="49"/>
        <w:jc w:val="both"/>
        <w:rPr>
          <w:rFonts w:ascii="Palatino Linotype" w:hAnsi="Palatino Linotype" w:cs="Arial"/>
        </w:rPr>
      </w:pPr>
    </w:p>
    <w:p w14:paraId="15EC0608" w14:textId="77777777" w:rsidR="00A6380D" w:rsidRPr="002F0087" w:rsidRDefault="00A6380D" w:rsidP="002F0087">
      <w:pPr>
        <w:pStyle w:val="Prrafodelista"/>
        <w:spacing w:line="360" w:lineRule="auto"/>
        <w:ind w:left="851" w:right="616"/>
        <w:jc w:val="center"/>
        <w:rPr>
          <w:rFonts w:ascii="Palatino Linotype" w:hAnsi="Palatino Linotype" w:cs="Arial"/>
          <w:b/>
        </w:rPr>
      </w:pPr>
      <w:r w:rsidRPr="002F0087">
        <w:rPr>
          <w:rFonts w:ascii="Palatino Linotype" w:hAnsi="Palatino Linotype" w:cs="Arial"/>
          <w:b/>
        </w:rPr>
        <w:t>Criterio 0001-15</w:t>
      </w:r>
    </w:p>
    <w:p w14:paraId="7163B5C0" w14:textId="77777777" w:rsidR="00A6380D" w:rsidRPr="002F0087" w:rsidRDefault="00A6380D" w:rsidP="002F0087">
      <w:pPr>
        <w:pStyle w:val="Prrafodelista"/>
        <w:spacing w:line="360" w:lineRule="auto"/>
        <w:ind w:left="851" w:right="616"/>
        <w:jc w:val="both"/>
        <w:rPr>
          <w:rFonts w:ascii="Palatino Linotype" w:hAnsi="Palatino Linotype" w:cs="Arial"/>
        </w:rPr>
      </w:pPr>
      <w:r w:rsidRPr="002F0087">
        <w:rPr>
          <w:rFonts w:ascii="Palatino Linotype" w:hAnsi="Palatino Linotype" w:cs="Arial"/>
          <w:b/>
          <w:i/>
        </w:rPr>
        <w:t>NEGATIVA FICTA. PLAZO PARA INTERPONER EL RECURSO DE REVISIÓN TRATÁNDOSE DE</w:t>
      </w:r>
      <w:r w:rsidRPr="002F0087">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F0087">
        <w:rPr>
          <w:rFonts w:ascii="Palatino Linotype" w:hAnsi="Palatino Linotype" w:cs="Arial"/>
        </w:rPr>
        <w:t>.</w:t>
      </w:r>
    </w:p>
    <w:p w14:paraId="19408AB4" w14:textId="77777777" w:rsidR="00A6380D" w:rsidRPr="002F0087" w:rsidRDefault="00A6380D" w:rsidP="002F0087">
      <w:pPr>
        <w:pStyle w:val="Prrafodelista"/>
        <w:spacing w:line="360" w:lineRule="auto"/>
        <w:ind w:left="0"/>
        <w:jc w:val="both"/>
        <w:rPr>
          <w:rFonts w:ascii="Palatino Linotype" w:hAnsi="Palatino Linotype"/>
        </w:rPr>
      </w:pPr>
    </w:p>
    <w:p w14:paraId="5C15C9EB"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7A3C4244" w14:textId="77777777" w:rsidR="00A6380D" w:rsidRPr="002F0087" w:rsidRDefault="00A6380D" w:rsidP="002F0087">
      <w:pPr>
        <w:pStyle w:val="Prrafodelista"/>
        <w:tabs>
          <w:tab w:val="left" w:pos="0"/>
        </w:tabs>
        <w:spacing w:line="360" w:lineRule="auto"/>
        <w:ind w:left="0" w:right="49"/>
        <w:jc w:val="both"/>
        <w:rPr>
          <w:rFonts w:ascii="Palatino Linotype" w:hAnsi="Palatino Linotype"/>
        </w:rPr>
      </w:pPr>
    </w:p>
    <w:p w14:paraId="3D3BAA71"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F0087">
        <w:rPr>
          <w:rFonts w:ascii="Palatino Linotype" w:eastAsia="Calibri" w:hAnsi="Palatino Linotype" w:cs="Times New Roman"/>
          <w:b/>
          <w:lang w:val="es-ES"/>
        </w:rPr>
        <w:t xml:space="preserve">no proporciona su nombre completo para que sea </w:t>
      </w:r>
      <w:r w:rsidRPr="002F0087">
        <w:rPr>
          <w:rFonts w:ascii="Palatino Linotype" w:eastAsia="Calibri" w:hAnsi="Palatino Linotype" w:cs="Times New Roman"/>
          <w:b/>
          <w:u w:val="single"/>
          <w:lang w:val="es-ES"/>
        </w:rPr>
        <w:t>identificado</w:t>
      </w:r>
      <w:r w:rsidRPr="002F0087">
        <w:rPr>
          <w:rFonts w:ascii="Palatino Linotype" w:eastAsia="Calibri" w:hAnsi="Palatino Linotype" w:cs="Times New Roman"/>
          <w:b/>
          <w:lang w:val="es-ES"/>
        </w:rPr>
        <w:t>,</w:t>
      </w:r>
      <w:r w:rsidRPr="002F0087">
        <w:rPr>
          <w:rFonts w:ascii="Palatino Linotype" w:eastAsia="Calibri" w:hAnsi="Palatino Linotype" w:cs="Times New Roman"/>
          <w:lang w:val="es-ES"/>
        </w:rPr>
        <w:t xml:space="preserve"> ni se tiene la certeza sobre su identidad, sin embargo, es importante señalar también que </w:t>
      </w:r>
      <w:r w:rsidRPr="002F0087">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123B5C" w14:textId="77777777" w:rsidR="00A6380D" w:rsidRPr="002F0087" w:rsidRDefault="00A6380D" w:rsidP="002F0087">
      <w:pPr>
        <w:pStyle w:val="Prrafodelista"/>
        <w:spacing w:line="360" w:lineRule="auto"/>
        <w:rPr>
          <w:rFonts w:ascii="Palatino Linotype" w:hAnsi="Palatino Linotype"/>
        </w:rPr>
      </w:pPr>
    </w:p>
    <w:p w14:paraId="575B9AE1"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2F0087">
        <w:rPr>
          <w:rFonts w:ascii="Palatino Linotype" w:hAnsi="Palatino Linotype" w:cs="Arial"/>
          <w:bCs/>
          <w:color w:val="222222"/>
          <w:lang w:val="es-ES"/>
        </w:rPr>
        <w:t xml:space="preserve">vigésimo, vigésimo primero y vigésimo segundo </w:t>
      </w:r>
      <w:r w:rsidRPr="002F0087">
        <w:rPr>
          <w:rFonts w:ascii="Palatino Linotype" w:eastAsia="Calibri" w:hAnsi="Palatino Linotype" w:cs="Times New Roman"/>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2F0087">
        <w:rPr>
          <w:rFonts w:ascii="Palatino Linotype" w:eastAsia="Calibri" w:hAnsi="Palatino Linotype" w:cs="Times New Roman"/>
          <w:lang w:val="es-ES"/>
        </w:rPr>
        <w:lastRenderedPageBreak/>
        <w:t>procedimientos de revisión expeditos que se sustanciarán ante los organismos autónomos especializados e imparciales que establece la Constitución Federal y local.</w:t>
      </w:r>
    </w:p>
    <w:p w14:paraId="26A3F64D" w14:textId="77777777" w:rsidR="00A6380D" w:rsidRPr="002F0087" w:rsidRDefault="00A6380D" w:rsidP="002F0087">
      <w:pPr>
        <w:pStyle w:val="Prrafodelista"/>
        <w:spacing w:line="360" w:lineRule="auto"/>
        <w:rPr>
          <w:rFonts w:ascii="Palatino Linotype" w:hAnsi="Palatino Linotype"/>
        </w:rPr>
      </w:pPr>
    </w:p>
    <w:p w14:paraId="0214D7BC" w14:textId="3C29903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8E59E3" w14:textId="77777777" w:rsidR="00A6380D" w:rsidRPr="002F0087" w:rsidRDefault="00A6380D" w:rsidP="002F0087">
      <w:pPr>
        <w:pStyle w:val="Prrafodelista"/>
        <w:spacing w:line="360" w:lineRule="auto"/>
        <w:rPr>
          <w:rFonts w:ascii="Palatino Linotype" w:hAnsi="Palatino Linotype"/>
        </w:rPr>
      </w:pPr>
    </w:p>
    <w:p w14:paraId="78914B76"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BD5E2FA" w14:textId="77777777" w:rsidR="00A6380D" w:rsidRPr="002F0087" w:rsidRDefault="00A6380D" w:rsidP="002F0087">
      <w:pPr>
        <w:pStyle w:val="Prrafodelista"/>
        <w:spacing w:line="360" w:lineRule="auto"/>
        <w:rPr>
          <w:rFonts w:ascii="Palatino Linotype" w:hAnsi="Palatino Linotype"/>
        </w:rPr>
      </w:pPr>
    </w:p>
    <w:p w14:paraId="67823032" w14:textId="77777777" w:rsidR="00A6380D" w:rsidRPr="002F0087" w:rsidRDefault="00A6380D"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2F0087">
        <w:rPr>
          <w:rFonts w:ascii="Palatino Linotype" w:eastAsia="Times New Roman" w:hAnsi="Palatino Linotype" w:cs="Arial"/>
          <w:lang w:val="es-ES"/>
        </w:rPr>
        <w:t>procedibilidad</w:t>
      </w:r>
      <w:proofErr w:type="spellEnd"/>
      <w:r w:rsidRPr="002F0087">
        <w:rPr>
          <w:rFonts w:ascii="Palatino Linotype" w:eastAsia="Times New Roman" w:hAnsi="Palatino Linotype" w:cs="Arial"/>
          <w:lang w:val="es-ES"/>
        </w:rPr>
        <w:t xml:space="preserve"> del recurso de revisión que nos ocupa, ya que el acceso a la información no está condicionado a acreditar algún interés ya </w:t>
      </w:r>
      <w:r w:rsidRPr="002F0087">
        <w:rPr>
          <w:rFonts w:ascii="Palatino Linotype" w:eastAsia="Times New Roman" w:hAnsi="Palatino Linotype" w:cs="Arial"/>
          <w:lang w:val="es-ES"/>
        </w:rPr>
        <w:lastRenderedPageBreak/>
        <w:t xml:space="preserve">sea jurídico o legítimo, máxime que es un elemento subsanable por este Órgano </w:t>
      </w:r>
      <w:proofErr w:type="spellStart"/>
      <w:r w:rsidRPr="002F0087">
        <w:rPr>
          <w:rFonts w:ascii="Palatino Linotype" w:eastAsia="Times New Roman" w:hAnsi="Palatino Linotype" w:cs="Arial"/>
          <w:lang w:val="es-ES"/>
        </w:rPr>
        <w:t>Resolutor</w:t>
      </w:r>
      <w:proofErr w:type="spellEnd"/>
      <w:r w:rsidRPr="002F0087">
        <w:rPr>
          <w:rFonts w:ascii="Palatino Linotype" w:eastAsia="Times New Roman" w:hAnsi="Palatino Linotype" w:cs="Arial"/>
          <w:lang w:val="es-ES"/>
        </w:rPr>
        <w:t>.</w:t>
      </w:r>
    </w:p>
    <w:p w14:paraId="087FE66D" w14:textId="77777777" w:rsidR="00A6380D" w:rsidRPr="002F0087" w:rsidRDefault="00A6380D" w:rsidP="002F0087">
      <w:pPr>
        <w:spacing w:line="360" w:lineRule="auto"/>
        <w:rPr>
          <w:rFonts w:ascii="Palatino Linotype" w:hAnsi="Palatino Linotype"/>
        </w:rPr>
      </w:pPr>
    </w:p>
    <w:p w14:paraId="0B09348E" w14:textId="0878FA37" w:rsidR="00B800CC" w:rsidRPr="002F0087" w:rsidRDefault="0032581C" w:rsidP="002F0087">
      <w:pPr>
        <w:pStyle w:val="Prrafodelista"/>
        <w:numPr>
          <w:ilvl w:val="0"/>
          <w:numId w:val="1"/>
        </w:numPr>
        <w:tabs>
          <w:tab w:val="left" w:pos="0"/>
        </w:tabs>
        <w:spacing w:line="360" w:lineRule="auto"/>
        <w:ind w:left="0" w:right="49" w:firstLine="0"/>
        <w:jc w:val="both"/>
        <w:rPr>
          <w:rFonts w:ascii="Palatino Linotype" w:hAnsi="Palatino Linotype" w:cs="Arial"/>
        </w:rPr>
      </w:pPr>
      <w:r w:rsidRPr="002F008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2" w:name="_Toc4071137"/>
      <w:bookmarkStart w:id="43" w:name="_Toc535334653"/>
    </w:p>
    <w:p w14:paraId="695E0EAE" w14:textId="77777777" w:rsidR="002F0087" w:rsidRPr="002F0087" w:rsidRDefault="002F0087" w:rsidP="002F0087">
      <w:pPr>
        <w:pStyle w:val="Prrafodelista"/>
        <w:rPr>
          <w:rFonts w:ascii="Palatino Linotype" w:hAnsi="Palatino Linotype" w:cs="Arial"/>
        </w:rPr>
      </w:pPr>
    </w:p>
    <w:p w14:paraId="2423BE5D" w14:textId="77777777" w:rsidR="002F0087" w:rsidRPr="002F0087" w:rsidRDefault="002F0087" w:rsidP="002F0087">
      <w:pPr>
        <w:pStyle w:val="Prrafodelista"/>
        <w:tabs>
          <w:tab w:val="left" w:pos="0"/>
        </w:tabs>
        <w:spacing w:line="360" w:lineRule="auto"/>
        <w:ind w:left="0" w:right="49"/>
        <w:jc w:val="both"/>
        <w:rPr>
          <w:rFonts w:ascii="Palatino Linotype" w:hAnsi="Palatino Linotype" w:cs="Arial"/>
        </w:rPr>
      </w:pPr>
    </w:p>
    <w:p w14:paraId="354F04B1" w14:textId="7EE843F0" w:rsidR="00BC7D6E" w:rsidRPr="002F0087" w:rsidRDefault="00BC7D6E" w:rsidP="002F0087">
      <w:pPr>
        <w:pStyle w:val="Ttulo2"/>
        <w:spacing w:before="0" w:line="360" w:lineRule="auto"/>
        <w:rPr>
          <w:rFonts w:ascii="Palatino Linotype" w:hAnsi="Palatino Linotype"/>
          <w:b/>
          <w:color w:val="auto"/>
          <w:sz w:val="24"/>
          <w:szCs w:val="24"/>
        </w:rPr>
      </w:pPr>
      <w:bookmarkStart w:id="44" w:name="_Toc5821418"/>
      <w:r w:rsidRPr="002F0087">
        <w:rPr>
          <w:rFonts w:ascii="Palatino Linotype" w:hAnsi="Palatino Linotype"/>
          <w:b/>
          <w:color w:val="auto"/>
          <w:sz w:val="24"/>
          <w:szCs w:val="24"/>
        </w:rPr>
        <w:t>TERCERO. Previo y especial pronunciamiento</w:t>
      </w:r>
      <w:bookmarkEnd w:id="44"/>
    </w:p>
    <w:p w14:paraId="1C262864" w14:textId="77777777" w:rsidR="00BC7D6E" w:rsidRPr="002F0087" w:rsidRDefault="00BC7D6E" w:rsidP="002F0087">
      <w:pPr>
        <w:spacing w:line="360" w:lineRule="auto"/>
        <w:rPr>
          <w:rFonts w:ascii="Palatino Linotype" w:hAnsi="Palatino Linotype"/>
          <w:lang w:eastAsia="en-US"/>
        </w:rPr>
      </w:pPr>
    </w:p>
    <w:p w14:paraId="520F4E4E" w14:textId="0EDF7783" w:rsidR="00BC7D6E" w:rsidRPr="002F0087" w:rsidRDefault="00BC7D6E" w:rsidP="002F0087">
      <w:pPr>
        <w:pStyle w:val="Prrafodelista"/>
        <w:keepNext/>
        <w:keepLines/>
        <w:numPr>
          <w:ilvl w:val="0"/>
          <w:numId w:val="8"/>
        </w:numPr>
        <w:spacing w:line="360" w:lineRule="auto"/>
        <w:outlineLvl w:val="0"/>
        <w:rPr>
          <w:rFonts w:ascii="Palatino Linotype" w:eastAsia="Calibri" w:hAnsi="Palatino Linotype" w:cs="Times New Roman"/>
          <w:b/>
          <w:bCs/>
          <w:lang w:val="es-ES"/>
        </w:rPr>
      </w:pPr>
      <w:bookmarkStart w:id="45" w:name="_Toc5821419"/>
      <w:r w:rsidRPr="002F0087">
        <w:rPr>
          <w:rFonts w:ascii="Palatino Linotype" w:eastAsia="Calibri" w:hAnsi="Palatino Linotype" w:cs="Times New Roman"/>
          <w:b/>
          <w:bCs/>
          <w:lang w:val="es-ES"/>
        </w:rPr>
        <w:t>La falta de informe justificado.</w:t>
      </w:r>
      <w:bookmarkEnd w:id="45"/>
      <w:r w:rsidRPr="002F0087">
        <w:rPr>
          <w:rFonts w:ascii="Palatino Linotype" w:eastAsia="Calibri" w:hAnsi="Palatino Linotype" w:cs="Times New Roman"/>
          <w:b/>
          <w:bCs/>
          <w:lang w:val="es-ES"/>
        </w:rPr>
        <w:t xml:space="preserve"> </w:t>
      </w:r>
    </w:p>
    <w:p w14:paraId="0231E6DB" w14:textId="77777777" w:rsidR="00BC7D6E" w:rsidRPr="002F0087" w:rsidRDefault="00BC7D6E" w:rsidP="002F0087">
      <w:pPr>
        <w:pStyle w:val="Prrafodelista"/>
        <w:keepNext/>
        <w:keepLines/>
        <w:spacing w:line="360" w:lineRule="auto"/>
        <w:ind w:left="1080"/>
        <w:outlineLvl w:val="0"/>
        <w:rPr>
          <w:rFonts w:ascii="Palatino Linotype" w:eastAsia="Calibri" w:hAnsi="Palatino Linotype" w:cs="Times New Roman"/>
          <w:b/>
          <w:bCs/>
          <w:lang w:val="es-ES"/>
        </w:rPr>
      </w:pPr>
    </w:p>
    <w:p w14:paraId="303BE38C" w14:textId="77777777" w:rsidR="00BC7D6E" w:rsidRPr="002F0087" w:rsidRDefault="00BC7D6E" w:rsidP="002F008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2F0087">
        <w:rPr>
          <w:rFonts w:ascii="Palatino Linotype" w:eastAsia="Calibri" w:hAnsi="Palatino Linotype" w:cs="Times New Roman"/>
          <w:lang w:val="es-ES"/>
        </w:rPr>
        <w:t xml:space="preserve">El </w:t>
      </w:r>
      <w:r w:rsidRPr="002F0087">
        <w:rPr>
          <w:rFonts w:ascii="Palatino Linotype" w:eastAsia="Calibri" w:hAnsi="Palatino Linotype" w:cs="Times New Roman"/>
          <w:b/>
          <w:lang w:val="es-ES"/>
        </w:rPr>
        <w:t xml:space="preserve">SUJETO OBLIGADO </w:t>
      </w:r>
      <w:r w:rsidRPr="002F0087">
        <w:rPr>
          <w:rFonts w:ascii="Palatino Linotype" w:eastAsia="Calibri" w:hAnsi="Palatino Linotype" w:cs="Times New Roman"/>
          <w:lang w:val="es-ES"/>
        </w:rPr>
        <w:t xml:space="preserve">fue omiso de enviar el </w:t>
      </w:r>
      <w:r w:rsidRPr="002F0087">
        <w:rPr>
          <w:rFonts w:ascii="Palatino Linotype" w:eastAsia="MS Mincho" w:hAnsi="Palatino Linotype" w:cs="Times New Roman"/>
        </w:rPr>
        <w:t>informe justificado</w:t>
      </w:r>
      <w:r w:rsidRPr="002F0087">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2F0087">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04954A34" w14:textId="77777777" w:rsidR="00BC7D6E" w:rsidRPr="002F0087" w:rsidRDefault="00BC7D6E" w:rsidP="002F0087">
      <w:pPr>
        <w:tabs>
          <w:tab w:val="left" w:pos="426"/>
        </w:tabs>
        <w:spacing w:line="360" w:lineRule="auto"/>
        <w:ind w:right="49"/>
        <w:contextualSpacing/>
        <w:jc w:val="both"/>
        <w:rPr>
          <w:rFonts w:ascii="Palatino Linotype" w:eastAsia="Calibri" w:hAnsi="Palatino Linotype" w:cs="Times New Roman"/>
          <w:b/>
          <w:i/>
        </w:rPr>
      </w:pPr>
    </w:p>
    <w:p w14:paraId="6E4C6648" w14:textId="77777777" w:rsidR="00BC7D6E" w:rsidRDefault="00BC7D6E" w:rsidP="002F0087">
      <w:pPr>
        <w:spacing w:line="360" w:lineRule="auto"/>
        <w:ind w:left="851" w:right="567"/>
        <w:contextualSpacing/>
        <w:jc w:val="both"/>
        <w:rPr>
          <w:rFonts w:ascii="Palatino Linotype" w:eastAsia="Calibri" w:hAnsi="Palatino Linotype" w:cs="Arial"/>
          <w:i/>
          <w:lang w:val="es-ES"/>
        </w:rPr>
      </w:pPr>
      <w:r w:rsidRPr="002F0087">
        <w:rPr>
          <w:rFonts w:ascii="Palatino Linotype" w:eastAsia="Calibri" w:hAnsi="Palatino Linotype" w:cs="Arial"/>
          <w:b/>
          <w:i/>
          <w:lang w:val="es-ES"/>
        </w:rPr>
        <w:lastRenderedPageBreak/>
        <w:t xml:space="preserve">QUEJA, RECURSO DE. LA OMISION DE RENDIR EL INFORME RESPECTIVO NO IMPIDE QUE SE RESUELVA. </w:t>
      </w:r>
      <w:r w:rsidRPr="002F0087">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E75986D" w14:textId="77777777" w:rsidR="002F0087" w:rsidRPr="002F0087" w:rsidRDefault="002F0087" w:rsidP="002F0087">
      <w:pPr>
        <w:spacing w:line="360" w:lineRule="auto"/>
        <w:ind w:left="851" w:right="567"/>
        <w:contextualSpacing/>
        <w:jc w:val="both"/>
        <w:rPr>
          <w:rFonts w:ascii="Palatino Linotype" w:eastAsia="Calibri" w:hAnsi="Palatino Linotype" w:cs="Times New Roman"/>
          <w:strike/>
          <w:lang w:val="es-ES"/>
        </w:rPr>
      </w:pPr>
    </w:p>
    <w:p w14:paraId="03FCDD9C" w14:textId="77777777" w:rsidR="00BC7D6E" w:rsidRPr="002F0087" w:rsidRDefault="00BC7D6E" w:rsidP="002F0087">
      <w:pPr>
        <w:pStyle w:val="Prrafodelista"/>
        <w:numPr>
          <w:ilvl w:val="0"/>
          <w:numId w:val="1"/>
        </w:numPr>
        <w:tabs>
          <w:tab w:val="left" w:pos="0"/>
        </w:tabs>
        <w:spacing w:line="360" w:lineRule="auto"/>
        <w:ind w:left="0" w:right="49" w:firstLine="0"/>
        <w:jc w:val="both"/>
        <w:rPr>
          <w:rFonts w:ascii="Palatino Linotype" w:hAnsi="Palatino Linotype"/>
        </w:rPr>
      </w:pPr>
      <w:r w:rsidRPr="002F0087">
        <w:rPr>
          <w:rFonts w:ascii="Palatino Linotype" w:eastAsia="Times New Roman" w:hAnsi="Palatino Linotype" w:cs="Arial"/>
          <w:color w:val="222222"/>
          <w:lang w:val="es-ES" w:eastAsia="es-MX"/>
        </w:rPr>
        <w:t>Por lo cual se reitera, l</w:t>
      </w:r>
      <w:r w:rsidRPr="002F0087">
        <w:rPr>
          <w:rFonts w:ascii="Palatino Linotype" w:eastAsia="MS Mincho" w:hAnsi="Palatino Linotype" w:cs="Times New Roman"/>
        </w:rPr>
        <w:t xml:space="preserve">a falta de informe justificado no impide que este Órgano Garante conozca y resuelva el recurso de revisión, solo propicia que el </w:t>
      </w:r>
      <w:r w:rsidRPr="002F0087">
        <w:rPr>
          <w:rFonts w:ascii="Palatino Linotype" w:eastAsia="MS Mincho" w:hAnsi="Palatino Linotype" w:cs="Times New Roman"/>
          <w:b/>
        </w:rPr>
        <w:t>SUJETO</w:t>
      </w:r>
      <w:r w:rsidRPr="002F0087">
        <w:rPr>
          <w:rFonts w:ascii="Palatino Linotype" w:eastAsia="MS Mincho" w:hAnsi="Palatino Linotype" w:cs="Times New Roman"/>
        </w:rPr>
        <w:t xml:space="preserve"> </w:t>
      </w:r>
      <w:r w:rsidRPr="002F0087">
        <w:rPr>
          <w:rFonts w:ascii="Palatino Linotype" w:eastAsia="MS Mincho" w:hAnsi="Palatino Linotype" w:cs="Times New Roman"/>
          <w:b/>
        </w:rPr>
        <w:t>OBLIGADO</w:t>
      </w:r>
      <w:r w:rsidRPr="002F0087">
        <w:rPr>
          <w:rFonts w:ascii="Palatino Linotype" w:eastAsia="MS Mincho" w:hAnsi="Palatino Linotype" w:cs="Times New Roman"/>
        </w:rPr>
        <w:t xml:space="preserve"> pierda la oportunidad de justificar su respuesta y manifestar lo que a su derecho convenga.</w:t>
      </w:r>
    </w:p>
    <w:p w14:paraId="16CE4A1E" w14:textId="77777777" w:rsidR="00BC7D6E" w:rsidRPr="002F0087" w:rsidRDefault="00BC7D6E" w:rsidP="002F0087">
      <w:pPr>
        <w:spacing w:line="360" w:lineRule="auto"/>
        <w:rPr>
          <w:rFonts w:ascii="Palatino Linotype" w:hAnsi="Palatino Linotype"/>
          <w:b/>
          <w:i/>
        </w:rPr>
      </w:pPr>
    </w:p>
    <w:p w14:paraId="3B9574AE" w14:textId="5288BF30" w:rsidR="009D7F9C" w:rsidRPr="002F0087" w:rsidRDefault="00BC7D6E" w:rsidP="002F0087">
      <w:pPr>
        <w:pStyle w:val="Ttulo2"/>
        <w:spacing w:before="0" w:line="360" w:lineRule="auto"/>
        <w:rPr>
          <w:rFonts w:ascii="Palatino Linotype" w:hAnsi="Palatino Linotype"/>
          <w:b/>
          <w:color w:val="auto"/>
          <w:sz w:val="24"/>
          <w:szCs w:val="24"/>
        </w:rPr>
      </w:pPr>
      <w:bookmarkStart w:id="46" w:name="_Toc5821420"/>
      <w:r w:rsidRPr="002F0087">
        <w:rPr>
          <w:rFonts w:ascii="Palatino Linotype" w:hAnsi="Palatino Linotype"/>
          <w:b/>
          <w:color w:val="auto"/>
          <w:sz w:val="24"/>
          <w:szCs w:val="24"/>
        </w:rPr>
        <w:lastRenderedPageBreak/>
        <w:t xml:space="preserve">CUARTO. </w:t>
      </w:r>
      <w:r w:rsidR="009D7F9C" w:rsidRPr="002F0087">
        <w:rPr>
          <w:rFonts w:ascii="Palatino Linotype" w:hAnsi="Palatino Linotype"/>
          <w:b/>
          <w:color w:val="auto"/>
          <w:sz w:val="24"/>
          <w:szCs w:val="24"/>
        </w:rPr>
        <w:t>Planteamiento de la Litis.</w:t>
      </w:r>
      <w:bookmarkEnd w:id="42"/>
      <w:bookmarkEnd w:id="46"/>
    </w:p>
    <w:p w14:paraId="6FAA1B3D" w14:textId="77777777" w:rsidR="009D7F9C" w:rsidRPr="002F0087" w:rsidRDefault="009D7F9C" w:rsidP="002F0087">
      <w:pPr>
        <w:spacing w:line="360" w:lineRule="auto"/>
        <w:rPr>
          <w:rFonts w:ascii="Palatino Linotype" w:hAnsi="Palatino Linotype"/>
          <w:lang w:val="es-MX" w:eastAsia="en-US"/>
        </w:rPr>
      </w:pPr>
    </w:p>
    <w:p w14:paraId="26F869D1" w14:textId="2954054B" w:rsidR="007F3522" w:rsidRPr="002F0087" w:rsidRDefault="007F3522" w:rsidP="002F0087">
      <w:pPr>
        <w:pStyle w:val="Prrafodelista"/>
        <w:numPr>
          <w:ilvl w:val="0"/>
          <w:numId w:val="1"/>
        </w:numPr>
        <w:spacing w:line="360" w:lineRule="auto"/>
        <w:ind w:left="0" w:firstLine="0"/>
        <w:jc w:val="both"/>
        <w:rPr>
          <w:rFonts w:ascii="Palatino Linotype" w:hAnsi="Palatino Linotype" w:cs="Arial"/>
        </w:rPr>
      </w:pPr>
      <w:r w:rsidRPr="002F0087">
        <w:rPr>
          <w:rFonts w:ascii="Palatino Linotype" w:eastAsia="Calibri" w:hAnsi="Palatino Linotype" w:cs="Arial"/>
        </w:rPr>
        <w:t xml:space="preserve">De lo inicialmente solicitado por la recurrente al </w:t>
      </w:r>
      <w:r w:rsidRPr="002F0087">
        <w:rPr>
          <w:rFonts w:ascii="Palatino Linotype" w:hAnsi="Palatino Linotype" w:cs="Arial"/>
          <w:b/>
        </w:rPr>
        <w:t xml:space="preserve">SUJETO OBLIGADO </w:t>
      </w:r>
      <w:r w:rsidRPr="002F0087">
        <w:rPr>
          <w:rFonts w:ascii="Palatino Linotype" w:hAnsi="Palatino Linotype" w:cs="Arial"/>
        </w:rPr>
        <w:t>fue omiso en atender la solicitud del particular en el periodo comprendido para dar respuesta.</w:t>
      </w:r>
    </w:p>
    <w:p w14:paraId="230043E1" w14:textId="77777777" w:rsidR="007F3522" w:rsidRPr="002F0087" w:rsidRDefault="007F3522" w:rsidP="002F0087">
      <w:pPr>
        <w:pStyle w:val="Prrafodelista"/>
        <w:spacing w:line="360" w:lineRule="auto"/>
        <w:ind w:left="426"/>
        <w:jc w:val="both"/>
        <w:rPr>
          <w:rFonts w:ascii="Palatino Linotype" w:hAnsi="Palatino Linotype" w:cs="Arial"/>
        </w:rPr>
      </w:pPr>
    </w:p>
    <w:p w14:paraId="5C38D71E" w14:textId="3BAD3F8F" w:rsidR="007F3522" w:rsidRPr="002F0087" w:rsidRDefault="00B800CC" w:rsidP="002F0087">
      <w:pPr>
        <w:pStyle w:val="Prrafodelista"/>
        <w:numPr>
          <w:ilvl w:val="0"/>
          <w:numId w:val="1"/>
        </w:numPr>
        <w:spacing w:line="360" w:lineRule="auto"/>
        <w:ind w:left="0" w:firstLine="0"/>
        <w:jc w:val="both"/>
        <w:rPr>
          <w:rFonts w:ascii="Palatino Linotype" w:hAnsi="Palatino Linotype" w:cs="Arial"/>
          <w:color w:val="000000" w:themeColor="text1"/>
        </w:rPr>
      </w:pPr>
      <w:r w:rsidRPr="002F0087">
        <w:rPr>
          <w:rFonts w:ascii="Palatino Linotype" w:hAnsi="Palatino Linotype" w:cs="Arial"/>
          <w:color w:val="000000" w:themeColor="text1"/>
        </w:rPr>
        <w:t xml:space="preserve">Por tanto, ante la </w:t>
      </w:r>
      <w:r w:rsidR="007F3522" w:rsidRPr="002F0087">
        <w:rPr>
          <w:rFonts w:ascii="Palatino Linotype" w:hAnsi="Palatino Linotype" w:cs="Arial"/>
          <w:color w:val="000000" w:themeColor="text1"/>
        </w:rPr>
        <w:t xml:space="preserve">omisión del </w:t>
      </w:r>
      <w:r w:rsidR="007F3522" w:rsidRPr="002F0087">
        <w:rPr>
          <w:rFonts w:ascii="Palatino Linotype" w:hAnsi="Palatino Linotype" w:cs="Arial"/>
          <w:b/>
          <w:color w:val="000000" w:themeColor="text1"/>
        </w:rPr>
        <w:t>SUJETO OBLIGADO</w:t>
      </w:r>
      <w:r w:rsidR="007F3522" w:rsidRPr="002F0087">
        <w:rPr>
          <w:rFonts w:ascii="Palatino Linotype" w:hAnsi="Palatino Linotype" w:cs="Arial"/>
          <w:color w:val="000000" w:themeColor="text1"/>
        </w:rPr>
        <w:t xml:space="preserve">, </w:t>
      </w:r>
      <w:r w:rsidRPr="002F0087">
        <w:rPr>
          <w:rFonts w:ascii="Palatino Linotype" w:hAnsi="Palatino Linotype" w:cs="Arial"/>
          <w:color w:val="000000" w:themeColor="text1"/>
        </w:rPr>
        <w:t>el</w:t>
      </w:r>
      <w:r w:rsidR="007F3522" w:rsidRPr="002F0087">
        <w:rPr>
          <w:rFonts w:ascii="Palatino Linotype" w:hAnsi="Palatino Linotype" w:cs="Arial"/>
          <w:color w:val="000000" w:themeColor="text1"/>
        </w:rPr>
        <w:t xml:space="preserve"> </w:t>
      </w:r>
      <w:r w:rsidR="007F3522" w:rsidRPr="002F0087">
        <w:rPr>
          <w:rFonts w:ascii="Palatino Linotype" w:hAnsi="Palatino Linotype" w:cs="Arial"/>
          <w:b/>
          <w:color w:val="000000" w:themeColor="text1"/>
        </w:rPr>
        <w:t>RECURRENTE</w:t>
      </w:r>
      <w:r w:rsidR="007F3522" w:rsidRPr="002F0087">
        <w:rPr>
          <w:rFonts w:ascii="Palatino Linotype" w:hAnsi="Palatino Linotype" w:cs="Arial"/>
          <w:color w:val="000000" w:themeColor="text1"/>
        </w:rPr>
        <w:t xml:space="preserve"> presentó su inconformidad señalando como razones o motivo de la inconformidad los ya transcritos.</w:t>
      </w:r>
    </w:p>
    <w:p w14:paraId="0BA18593" w14:textId="77777777" w:rsidR="007F3522" w:rsidRPr="002F0087" w:rsidRDefault="007F3522" w:rsidP="002F0087">
      <w:pPr>
        <w:pStyle w:val="Prrafodelista"/>
        <w:spacing w:line="360" w:lineRule="auto"/>
        <w:rPr>
          <w:rFonts w:ascii="Palatino Linotype" w:hAnsi="Palatino Linotype" w:cs="Arial"/>
          <w:color w:val="000000" w:themeColor="text1"/>
        </w:rPr>
      </w:pPr>
    </w:p>
    <w:p w14:paraId="0479B68E" w14:textId="4E5D7333" w:rsidR="007F3522" w:rsidRPr="002F0087" w:rsidRDefault="007F3522" w:rsidP="002F0087">
      <w:pPr>
        <w:pStyle w:val="Prrafodelista"/>
        <w:numPr>
          <w:ilvl w:val="0"/>
          <w:numId w:val="1"/>
        </w:numPr>
        <w:spacing w:line="360" w:lineRule="auto"/>
        <w:ind w:left="0" w:right="49" w:firstLine="0"/>
        <w:jc w:val="both"/>
        <w:rPr>
          <w:rFonts w:ascii="Palatino Linotype" w:eastAsia="MS Mincho" w:hAnsi="Palatino Linotype" w:cs="Arial"/>
        </w:rPr>
      </w:pPr>
      <w:r w:rsidRPr="002F0087">
        <w:rPr>
          <w:rFonts w:ascii="Palatino Linotype" w:eastAsia="MS Mincho" w:hAnsi="Palatino Linotype" w:cs="Arial"/>
        </w:rPr>
        <w:t>En</w:t>
      </w:r>
      <w:r w:rsidRPr="002F0087">
        <w:rPr>
          <w:rFonts w:ascii="Palatino Linotype" w:eastAsia="Times New Roman" w:hAnsi="Palatino Linotype" w:cs="Arial"/>
        </w:rPr>
        <w:t xml:space="preserve"> </w:t>
      </w:r>
      <w:r w:rsidRPr="002F0087">
        <w:rPr>
          <w:rFonts w:ascii="Palatino Linotype" w:hAnsi="Palatino Linotype" w:cs="Arial"/>
          <w:lang w:eastAsia="es-MX"/>
        </w:rPr>
        <w:t>dichas</w:t>
      </w:r>
      <w:r w:rsidRPr="002F0087">
        <w:rPr>
          <w:rFonts w:ascii="Palatino Linotype" w:eastAsia="Times New Roman" w:hAnsi="Palatino Linotype" w:cs="Arial"/>
        </w:rPr>
        <w:t xml:space="preserve"> condiciones, la </w:t>
      </w:r>
      <w:r w:rsidRPr="002F0087">
        <w:rPr>
          <w:rFonts w:ascii="Palatino Linotype" w:eastAsia="Times New Roman" w:hAnsi="Palatino Linotype" w:cs="Arial"/>
          <w:i/>
        </w:rPr>
        <w:t>Litis</w:t>
      </w:r>
      <w:r w:rsidRPr="002F0087">
        <w:rPr>
          <w:rFonts w:ascii="Palatino Linotype" w:eastAsia="Times New Roman" w:hAnsi="Palatino Linotype" w:cs="Arial"/>
        </w:rPr>
        <w:t xml:space="preserve"> a resolver en este recurso se circunscribe a determinar si </w:t>
      </w:r>
      <w:r w:rsidRPr="002F0087">
        <w:rPr>
          <w:rFonts w:ascii="Palatino Linotype" w:eastAsia="MS Mincho" w:hAnsi="Palatino Linotype" w:cs="Arial"/>
        </w:rPr>
        <w:t xml:space="preserve">se actualizan las causales de procedencia previstas en las fracciones VII y XI del artículo 179 de la </w:t>
      </w:r>
      <w:r w:rsidRPr="002F0087">
        <w:rPr>
          <w:rFonts w:ascii="Palatino Linotype" w:eastAsia="MS Mincho" w:hAnsi="Palatino Linotype" w:cs="Arial"/>
          <w:b/>
        </w:rPr>
        <w:t>Ley de Transparencia y Acceso a la Información Pública del Estado de México y Municipios</w:t>
      </w:r>
      <w:r w:rsidRPr="002F0087">
        <w:rPr>
          <w:rFonts w:ascii="Palatino Linotype" w:eastAsia="MS Mincho" w:hAnsi="Palatino Linotype" w:cs="Arial"/>
        </w:rPr>
        <w:t xml:space="preserve">, en virtud que la mismas establecen la falta de respuesta a una solicitud de acceso a la información y la falta de trámite a una solicitud; contexto del cual se dolió la </w:t>
      </w:r>
      <w:r w:rsidRPr="002F0087">
        <w:rPr>
          <w:rFonts w:ascii="Palatino Linotype" w:eastAsia="MS Mincho" w:hAnsi="Palatino Linotype" w:cs="Arial"/>
          <w:b/>
        </w:rPr>
        <w:t>RECURRENTE</w:t>
      </w:r>
      <w:r w:rsidRPr="002F0087">
        <w:rPr>
          <w:rFonts w:ascii="Palatino Linotype" w:eastAsia="MS Mincho" w:hAnsi="Palatino Linotype" w:cs="Arial"/>
        </w:rPr>
        <w:t xml:space="preserve"> al momento de interponer el recurso de mérito.</w:t>
      </w:r>
    </w:p>
    <w:p w14:paraId="53F545C4" w14:textId="77777777" w:rsidR="009D7F9C" w:rsidRPr="002F0087" w:rsidRDefault="009D7F9C" w:rsidP="002F0087">
      <w:pPr>
        <w:spacing w:line="360" w:lineRule="auto"/>
        <w:rPr>
          <w:rFonts w:ascii="Palatino Linotype" w:hAnsi="Palatino Linotype"/>
          <w:lang w:eastAsia="en-US"/>
        </w:rPr>
      </w:pPr>
    </w:p>
    <w:p w14:paraId="03825F7A" w14:textId="77777777" w:rsidR="009D7F9C" w:rsidRPr="002F0087" w:rsidRDefault="009D7F9C" w:rsidP="002F0087">
      <w:pPr>
        <w:spacing w:line="360" w:lineRule="auto"/>
        <w:rPr>
          <w:rFonts w:ascii="Palatino Linotype" w:hAnsi="Palatino Linotype"/>
          <w:lang w:eastAsia="en-US"/>
        </w:rPr>
      </w:pPr>
    </w:p>
    <w:p w14:paraId="3B73D09A" w14:textId="0E91CEC3" w:rsidR="009D7F9C" w:rsidRPr="002F0087" w:rsidRDefault="0072771F" w:rsidP="002F0087">
      <w:pPr>
        <w:pStyle w:val="Ttulo2"/>
        <w:spacing w:before="0" w:line="360" w:lineRule="auto"/>
        <w:rPr>
          <w:rFonts w:ascii="Palatino Linotype" w:eastAsia="Times New Roman" w:hAnsi="Palatino Linotype" w:cs="Arial"/>
          <w:b/>
          <w:color w:val="auto"/>
          <w:sz w:val="24"/>
          <w:szCs w:val="24"/>
        </w:rPr>
      </w:pPr>
      <w:bookmarkStart w:id="47" w:name="_Toc499201873"/>
      <w:bookmarkStart w:id="48" w:name="_Toc4071138"/>
      <w:bookmarkStart w:id="49" w:name="_Toc5821421"/>
      <w:bookmarkEnd w:id="43"/>
      <w:r w:rsidRPr="002F0087">
        <w:rPr>
          <w:rFonts w:ascii="Palatino Linotype" w:hAnsi="Palatino Linotype"/>
          <w:b/>
          <w:color w:val="auto"/>
          <w:sz w:val="24"/>
          <w:szCs w:val="24"/>
        </w:rPr>
        <w:lastRenderedPageBreak/>
        <w:t>QUINTO</w:t>
      </w:r>
      <w:r w:rsidR="009D7F9C" w:rsidRPr="002F0087">
        <w:rPr>
          <w:rFonts w:ascii="Palatino Linotype" w:hAnsi="Palatino Linotype"/>
          <w:b/>
          <w:color w:val="auto"/>
          <w:sz w:val="24"/>
          <w:szCs w:val="24"/>
        </w:rPr>
        <w:t>. Estudio y resolución del asunto</w:t>
      </w:r>
      <w:bookmarkEnd w:id="47"/>
      <w:bookmarkEnd w:id="48"/>
      <w:bookmarkEnd w:id="49"/>
    </w:p>
    <w:p w14:paraId="775F11AB" w14:textId="7827FCE8" w:rsidR="002B1577" w:rsidRDefault="002B1577" w:rsidP="002F0087">
      <w:pPr>
        <w:pStyle w:val="Ttulo1"/>
        <w:numPr>
          <w:ilvl w:val="0"/>
          <w:numId w:val="10"/>
        </w:numPr>
        <w:spacing w:before="0" w:line="360" w:lineRule="auto"/>
        <w:rPr>
          <w:b/>
          <w:szCs w:val="24"/>
        </w:rPr>
      </w:pPr>
      <w:bookmarkStart w:id="50" w:name="_Toc1585428"/>
      <w:bookmarkStart w:id="51" w:name="_Toc5821422"/>
      <w:bookmarkStart w:id="52" w:name="_Toc4071139"/>
      <w:r w:rsidRPr="002F0087">
        <w:rPr>
          <w:b/>
          <w:szCs w:val="24"/>
        </w:rPr>
        <w:t>Del deber de las autoridades de promover, respetar, proteger y garantizar el derecho de acceso a la información pública.</w:t>
      </w:r>
      <w:bookmarkEnd w:id="50"/>
      <w:bookmarkEnd w:id="51"/>
    </w:p>
    <w:p w14:paraId="311E4FE3" w14:textId="77777777" w:rsidR="002F0087" w:rsidRPr="002F0087" w:rsidRDefault="002F0087" w:rsidP="002F0087">
      <w:pPr>
        <w:rPr>
          <w:lang w:eastAsia="en-US"/>
        </w:rPr>
      </w:pPr>
    </w:p>
    <w:p w14:paraId="1535D39F" w14:textId="77777777" w:rsidR="002B1577" w:rsidRPr="002F0087" w:rsidRDefault="002B1577" w:rsidP="002F00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F0087">
        <w:rPr>
          <w:rFonts w:ascii="Palatino Linotype" w:hAnsi="Palatino Linotype"/>
        </w:rPr>
        <w:t xml:space="preserve">Es menester precisar que este </w:t>
      </w:r>
      <w:r w:rsidRPr="002F0087">
        <w:rPr>
          <w:rFonts w:ascii="Palatino Linotype" w:eastAsia="MS Mincho" w:hAnsi="Palatino Linotype" w:cs="Times New Roman"/>
          <w:color w:val="000000"/>
        </w:rPr>
        <w:t xml:space="preserve">Órgano Garante parte de que </w:t>
      </w:r>
      <w:r w:rsidRPr="002F008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F0087">
        <w:rPr>
          <w:rFonts w:ascii="Palatino Linotype" w:eastAsia="Times New Roman" w:hAnsi="Palatino Linotype" w:cs="Arial"/>
          <w:color w:val="000000"/>
        </w:rPr>
        <w:t xml:space="preserve"> </w:t>
      </w:r>
      <w:r w:rsidRPr="002F0087">
        <w:rPr>
          <w:rFonts w:ascii="Palatino Linotype" w:eastAsia="Times New Roman" w:hAnsi="Palatino Linotype" w:cs="Arial"/>
          <w:b/>
          <w:color w:val="000000"/>
        </w:rPr>
        <w:t>SUJETO OBLIGADO</w:t>
      </w:r>
      <w:r w:rsidRPr="002F008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F0087">
        <w:rPr>
          <w:rFonts w:ascii="Palatino Linotype" w:eastAsia="Times New Roman" w:hAnsi="Palatino Linotype" w:cs="Arial"/>
          <w:b/>
          <w:color w:val="000000"/>
        </w:rPr>
        <w:t xml:space="preserve">Constitución Política de los Estados Unidos Mexicanos </w:t>
      </w:r>
      <w:r w:rsidRPr="002F0087">
        <w:rPr>
          <w:rFonts w:ascii="Palatino Linotype" w:eastAsia="Times New Roman" w:hAnsi="Palatino Linotype" w:cs="Arial"/>
          <w:color w:val="000000"/>
        </w:rPr>
        <w:t xml:space="preserve">al señalar la obligación de “promover, </w:t>
      </w:r>
      <w:r w:rsidRPr="002F0087">
        <w:rPr>
          <w:rFonts w:ascii="Palatino Linotype" w:eastAsia="Times New Roman" w:hAnsi="Palatino Linotype" w:cs="Arial"/>
          <w:b/>
          <w:color w:val="000000"/>
        </w:rPr>
        <w:t>respetar</w:t>
      </w:r>
      <w:r w:rsidRPr="002F0087">
        <w:rPr>
          <w:rFonts w:ascii="Palatino Linotype" w:eastAsia="Times New Roman" w:hAnsi="Palatino Linotype" w:cs="Arial"/>
          <w:color w:val="000000"/>
        </w:rPr>
        <w:t xml:space="preserve">, proteger y </w:t>
      </w:r>
      <w:r w:rsidRPr="002F0087">
        <w:rPr>
          <w:rFonts w:ascii="Palatino Linotype" w:eastAsia="Times New Roman" w:hAnsi="Palatino Linotype" w:cs="Arial"/>
          <w:b/>
          <w:color w:val="000000"/>
        </w:rPr>
        <w:t>garantizar</w:t>
      </w:r>
      <w:r w:rsidRPr="002F0087">
        <w:rPr>
          <w:rFonts w:ascii="Palatino Linotype" w:eastAsia="Times New Roman" w:hAnsi="Palatino Linotype" w:cs="Arial"/>
          <w:color w:val="000000"/>
        </w:rPr>
        <w:t xml:space="preserve"> los derechos humanos”, entre los cuales se encuentra dicho derecho. </w:t>
      </w:r>
    </w:p>
    <w:p w14:paraId="4D043009" w14:textId="77777777" w:rsidR="002B1577" w:rsidRPr="002F0087" w:rsidRDefault="002B1577" w:rsidP="002F0087">
      <w:pPr>
        <w:pStyle w:val="Prrafodelista"/>
        <w:spacing w:line="360" w:lineRule="auto"/>
        <w:ind w:left="0" w:right="49"/>
        <w:jc w:val="both"/>
        <w:rPr>
          <w:rFonts w:ascii="Palatino Linotype" w:eastAsia="MS Mincho" w:hAnsi="Palatino Linotype" w:cs="Times New Roman"/>
          <w:color w:val="000000"/>
        </w:rPr>
      </w:pPr>
    </w:p>
    <w:p w14:paraId="34B3A8BB" w14:textId="77777777" w:rsidR="002B1577" w:rsidRPr="002F0087" w:rsidRDefault="002B1577" w:rsidP="002F00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F0087">
        <w:rPr>
          <w:rFonts w:ascii="Palatino Linotype" w:eastAsia="Times New Roman" w:hAnsi="Palatino Linotype"/>
        </w:rPr>
        <w:t xml:space="preserve">Ahora bien, el Derecho de Acceso a la Información Pública se define como: </w:t>
      </w:r>
      <w:r w:rsidRPr="002F0087">
        <w:rPr>
          <w:rFonts w:ascii="Palatino Linotype" w:hAnsi="Palatino Linotype"/>
          <w:i/>
          <w:color w:val="000000"/>
        </w:rPr>
        <w:t>La igualdad de oportunidades para recibir, buscar e impartir información</w:t>
      </w:r>
      <w:r w:rsidRPr="002F0087">
        <w:rPr>
          <w:rStyle w:val="Refdenotaalpie"/>
          <w:rFonts w:ascii="Palatino Linotype" w:hAnsi="Palatino Linotype"/>
          <w:i/>
          <w:color w:val="000000"/>
        </w:rPr>
        <w:footnoteReference w:id="2"/>
      </w:r>
      <w:r w:rsidRPr="002F0087">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w:t>
      </w:r>
      <w:r w:rsidRPr="002F0087">
        <w:rPr>
          <w:rFonts w:ascii="Palatino Linotype" w:hAnsi="Palatino Linotype"/>
          <w:i/>
          <w:color w:val="000000"/>
        </w:rPr>
        <w:lastRenderedPageBreak/>
        <w:t>cualquier persona física, moral o sindicato que reciba y ejerza recursos públicos o realice actos de autoridad en el ámbito federal, estatal y municipal,</w:t>
      </w:r>
      <w:r w:rsidRPr="002F0087">
        <w:rPr>
          <w:rStyle w:val="Refdenotaalpie"/>
          <w:rFonts w:ascii="Palatino Linotype" w:hAnsi="Palatino Linotype"/>
          <w:i/>
          <w:color w:val="000000"/>
        </w:rPr>
        <w:footnoteReference w:id="3"/>
      </w:r>
      <w:r w:rsidRPr="002F0087">
        <w:rPr>
          <w:rFonts w:ascii="Palatino Linotype" w:hAnsi="Palatino Linotype"/>
          <w:color w:val="000000"/>
        </w:rPr>
        <w:t>que se constituye como una herramienta fundamental para ejercer</w:t>
      </w:r>
      <w:r w:rsidRPr="002F008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F0087">
        <w:rPr>
          <w:rStyle w:val="Refdenotaalpie"/>
          <w:rFonts w:ascii="Palatino Linotype" w:hAnsi="Palatino Linotype"/>
          <w:i/>
          <w:color w:val="000000"/>
        </w:rPr>
        <w:footnoteReference w:id="4"/>
      </w:r>
      <w:r w:rsidRPr="002F0087">
        <w:rPr>
          <w:rFonts w:ascii="Palatino Linotype" w:hAnsi="Palatino Linotype"/>
          <w:color w:val="000000"/>
        </w:rPr>
        <w:t>fomentando</w:t>
      </w:r>
      <w:r w:rsidRPr="002F0087">
        <w:rPr>
          <w:rFonts w:ascii="Palatino Linotype" w:hAnsi="Palatino Linotype"/>
          <w:i/>
          <w:color w:val="000000"/>
        </w:rPr>
        <w:t xml:space="preserve"> la transparencia de las actividades estatales y </w:t>
      </w:r>
      <w:r w:rsidRPr="002F0087">
        <w:rPr>
          <w:rFonts w:ascii="Palatino Linotype" w:hAnsi="Palatino Linotype"/>
          <w:color w:val="000000"/>
        </w:rPr>
        <w:t>promoviendo</w:t>
      </w:r>
      <w:r w:rsidRPr="002F0087">
        <w:rPr>
          <w:rFonts w:ascii="Palatino Linotype" w:hAnsi="Palatino Linotype"/>
          <w:i/>
          <w:color w:val="000000"/>
        </w:rPr>
        <w:t xml:space="preserve"> la responsabilidad de los funcionarios sobre su gestión pública,</w:t>
      </w:r>
      <w:r w:rsidRPr="002F0087">
        <w:rPr>
          <w:rStyle w:val="Refdenotaalpie"/>
          <w:rFonts w:ascii="Palatino Linotype" w:hAnsi="Palatino Linotype"/>
          <w:i/>
          <w:color w:val="000000"/>
        </w:rPr>
        <w:footnoteReference w:id="5"/>
      </w:r>
      <w:r w:rsidRPr="002F0087">
        <w:rPr>
          <w:rFonts w:ascii="Palatino Linotype" w:hAnsi="Palatino Linotype"/>
          <w:color w:val="000000"/>
        </w:rPr>
        <w:t>que permite</w:t>
      </w:r>
      <w:r w:rsidRPr="002F008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B5CD124" w14:textId="77777777" w:rsidR="002B1577" w:rsidRPr="002F0087" w:rsidRDefault="002B1577" w:rsidP="002F0087">
      <w:pPr>
        <w:pStyle w:val="Prrafodelista"/>
        <w:spacing w:line="360" w:lineRule="auto"/>
        <w:rPr>
          <w:rFonts w:ascii="Palatino Linotype" w:eastAsia="Times New Roman" w:hAnsi="Palatino Linotype"/>
        </w:rPr>
      </w:pPr>
    </w:p>
    <w:p w14:paraId="62D04FA8" w14:textId="77777777" w:rsidR="002B1577" w:rsidRPr="002F0087" w:rsidRDefault="002B1577" w:rsidP="002F00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F008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C8CCA5A" w14:textId="77777777" w:rsidR="002B1577" w:rsidRPr="002F0087" w:rsidRDefault="002B1577" w:rsidP="002F0087">
      <w:pPr>
        <w:pStyle w:val="Prrafodelista"/>
        <w:spacing w:line="360" w:lineRule="auto"/>
        <w:rPr>
          <w:rFonts w:ascii="Palatino Linotype" w:eastAsia="Times New Roman" w:hAnsi="Palatino Linotype"/>
        </w:rPr>
      </w:pPr>
    </w:p>
    <w:p w14:paraId="703BD53B" w14:textId="5AE0EC68" w:rsidR="002B1577" w:rsidRPr="002F0087" w:rsidRDefault="002B1577" w:rsidP="002F0087">
      <w:pPr>
        <w:pStyle w:val="Prrafodelista"/>
        <w:numPr>
          <w:ilvl w:val="0"/>
          <w:numId w:val="1"/>
        </w:numPr>
        <w:tabs>
          <w:tab w:val="left" w:pos="0"/>
        </w:tabs>
        <w:spacing w:line="360" w:lineRule="auto"/>
        <w:ind w:left="0" w:right="49" w:firstLine="0"/>
        <w:jc w:val="both"/>
        <w:rPr>
          <w:rFonts w:ascii="Palatino Linotype" w:hAnsi="Palatino Linotype"/>
          <w:i/>
        </w:rPr>
      </w:pPr>
      <w:r w:rsidRPr="002F0087">
        <w:rPr>
          <w:rFonts w:ascii="Palatino Linotype" w:eastAsia="Times New Roman" w:hAnsi="Palatino Linotype"/>
        </w:rPr>
        <w:t xml:space="preserve">En el caso concreto que nos ocupa analizar, el </w:t>
      </w:r>
      <w:r w:rsidRPr="002F0087">
        <w:rPr>
          <w:rFonts w:ascii="Palatino Linotype" w:eastAsia="Times New Roman" w:hAnsi="Palatino Linotype"/>
          <w:b/>
        </w:rPr>
        <w:t xml:space="preserve">SUJETO OBLIGADO </w:t>
      </w:r>
      <w:r w:rsidRPr="002F0087">
        <w:rPr>
          <w:rFonts w:ascii="Palatino Linotype" w:eastAsia="Times New Roman" w:hAnsi="Palatino Linotype"/>
        </w:rPr>
        <w:t>omitió responder a la solicitud de información,</w:t>
      </w:r>
      <w:r w:rsidRPr="002F0087">
        <w:rPr>
          <w:rFonts w:ascii="Palatino Linotype" w:hAnsi="Palatino Linotype"/>
        </w:rPr>
        <w:t xml:space="preserve"> situación </w:t>
      </w:r>
      <w:r w:rsidRPr="002F0087">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w:t>
      </w:r>
      <w:r w:rsidRPr="002F0087">
        <w:rPr>
          <w:rFonts w:ascii="Palatino Linotype" w:hAnsi="Palatino Linotype" w:cs="Arial"/>
        </w:rPr>
        <w:lastRenderedPageBreak/>
        <w:t xml:space="preserve">proteger y garantizar el derecho humano, el Estado deberá </w:t>
      </w:r>
      <w:r w:rsidRPr="002F0087">
        <w:rPr>
          <w:rFonts w:ascii="Palatino Linotype" w:hAnsi="Palatino Linotype" w:cs="Arial"/>
          <w:u w:val="single"/>
        </w:rPr>
        <w:t>prevenir, investigar, sancionar y reparar las violaciones a los derechos humanos</w:t>
      </w:r>
      <w:r w:rsidRPr="002F0087">
        <w:rPr>
          <w:rFonts w:ascii="Palatino Linotype" w:hAnsi="Palatino Linotype" w:cs="Arial"/>
        </w:rPr>
        <w:t xml:space="preserve">.  </w:t>
      </w:r>
    </w:p>
    <w:p w14:paraId="4270200F" w14:textId="77777777" w:rsidR="002B1577" w:rsidRPr="002F0087" w:rsidRDefault="002B1577" w:rsidP="002F0087">
      <w:pPr>
        <w:pStyle w:val="Prrafodelista"/>
        <w:spacing w:line="360" w:lineRule="auto"/>
        <w:rPr>
          <w:rFonts w:ascii="Palatino Linotype" w:eastAsia="Times New Roman" w:hAnsi="Palatino Linotype"/>
        </w:rPr>
      </w:pPr>
    </w:p>
    <w:p w14:paraId="628AC161" w14:textId="77777777" w:rsidR="002B1577" w:rsidRPr="002F0087" w:rsidRDefault="002B1577" w:rsidP="002F00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F0087">
        <w:rPr>
          <w:rFonts w:ascii="Palatino Linotype" w:eastAsia="Times New Roman" w:hAnsi="Palatino Linotype"/>
        </w:rPr>
        <w:t xml:space="preserve">En este orden de ideas, la </w:t>
      </w:r>
      <w:r w:rsidRPr="002F0087">
        <w:rPr>
          <w:rFonts w:ascii="Palatino Linotype" w:eastAsia="Times New Roman" w:hAnsi="Palatino Linotype"/>
          <w:b/>
        </w:rPr>
        <w:t xml:space="preserve">Ley de Transparencia y Acceso a la Información Pública del Estado de México y Municipios, </w:t>
      </w:r>
      <w:r w:rsidRPr="002F008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F0087">
        <w:rPr>
          <w:rFonts w:ascii="Palatino Linotype" w:eastAsia="Times New Roman" w:hAnsi="Palatino Linotype"/>
          <w:b/>
        </w:rPr>
        <w:t xml:space="preserve"> </w:t>
      </w:r>
      <w:r w:rsidRPr="002F0087">
        <w:rPr>
          <w:rFonts w:ascii="Palatino Linotype" w:eastAsia="Times New Roman" w:hAnsi="Palatino Linotype"/>
        </w:rPr>
        <w:t xml:space="preserve">establece que </w:t>
      </w:r>
      <w:r w:rsidRPr="002F0087">
        <w:rPr>
          <w:rFonts w:ascii="Palatino Linotype" w:eastAsia="Times New Roman" w:hAnsi="Palatino Linotype"/>
          <w:i/>
        </w:rPr>
        <w:t xml:space="preserve">el </w:t>
      </w:r>
      <w:r w:rsidRPr="002F0087">
        <w:rPr>
          <w:rFonts w:ascii="Palatino Linotype" w:eastAsia="Times New Roman" w:hAnsi="Palatino Linotype"/>
          <w:i/>
          <w:u w:val="single"/>
        </w:rPr>
        <w:t>recurso de revisión</w:t>
      </w:r>
      <w:r w:rsidRPr="002F0087">
        <w:rPr>
          <w:rFonts w:ascii="Palatino Linotype" w:eastAsia="Times New Roman" w:hAnsi="Palatino Linotype"/>
          <w:i/>
        </w:rPr>
        <w:t xml:space="preserve"> es la garantía secundaria mediante la cual se pretende reparar cualquier posible afectación al derecho de acceso a la información pública</w:t>
      </w:r>
      <w:r w:rsidRPr="002F0087">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0298F97" w14:textId="77777777" w:rsidR="002B1577" w:rsidRPr="002F0087" w:rsidRDefault="002B1577" w:rsidP="002F0087">
      <w:pPr>
        <w:pStyle w:val="Prrafodelista"/>
        <w:spacing w:line="360" w:lineRule="auto"/>
        <w:rPr>
          <w:rFonts w:ascii="Palatino Linotype" w:eastAsia="Times New Roman" w:hAnsi="Palatino Linotype"/>
        </w:rPr>
      </w:pPr>
    </w:p>
    <w:p w14:paraId="27973FB7" w14:textId="21BAFFFE" w:rsidR="009D7F9C" w:rsidRPr="002F0087" w:rsidRDefault="002B1577" w:rsidP="002F0087">
      <w:pPr>
        <w:pStyle w:val="Ttulo3"/>
        <w:numPr>
          <w:ilvl w:val="0"/>
          <w:numId w:val="10"/>
        </w:numPr>
        <w:spacing w:before="0" w:line="360" w:lineRule="auto"/>
        <w:rPr>
          <w:rFonts w:ascii="Palatino Linotype" w:hAnsi="Palatino Linotype"/>
          <w:b/>
          <w:color w:val="auto"/>
        </w:rPr>
      </w:pPr>
      <w:bookmarkStart w:id="53" w:name="_Toc5821423"/>
      <w:bookmarkEnd w:id="52"/>
      <w:r w:rsidRPr="002F0087">
        <w:rPr>
          <w:rFonts w:ascii="Palatino Linotype" w:hAnsi="Palatino Linotype"/>
          <w:b/>
          <w:color w:val="auto"/>
        </w:rPr>
        <w:t>De la naturaleza jurídica de la información solicitada</w:t>
      </w:r>
      <w:bookmarkEnd w:id="53"/>
    </w:p>
    <w:p w14:paraId="6AC96F21" w14:textId="77777777" w:rsidR="0072771F" w:rsidRPr="002F0087" w:rsidRDefault="0072771F" w:rsidP="002F0087">
      <w:pPr>
        <w:spacing w:line="360" w:lineRule="auto"/>
        <w:rPr>
          <w:rFonts w:ascii="Palatino Linotype" w:hAnsi="Palatino Linotype"/>
        </w:rPr>
      </w:pPr>
    </w:p>
    <w:p w14:paraId="21D3E964" w14:textId="19963463" w:rsidR="00612D5D" w:rsidRPr="002F0087" w:rsidRDefault="00612D5D" w:rsidP="002F00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lang w:val="es-MX" w:eastAsia="en-US"/>
        </w:rPr>
        <w:t xml:space="preserve">En el caso concreto que nos ocupa analizar y derivado del </w:t>
      </w:r>
      <w:r w:rsidRPr="002F0087">
        <w:rPr>
          <w:rFonts w:ascii="Palatino Linotype" w:eastAsia="Calibri" w:hAnsi="Palatino Linotype" w:cs="Arial"/>
          <w:color w:val="000000" w:themeColor="text1"/>
          <w:lang w:val="es-MX" w:eastAsia="en-US"/>
        </w:rPr>
        <w:t xml:space="preserve">razonamiento lógico-jurídico de las constancias que obran en el expediente electrónico al rubro indicado y </w:t>
      </w:r>
      <w:r w:rsidRPr="002F0087">
        <w:rPr>
          <w:rFonts w:ascii="Palatino Linotype" w:hAnsi="Palatino Linotype"/>
        </w:rPr>
        <w:t xml:space="preserve">atendiendo los principios de simplicidad y rapidez antes mencionados y  reconocidos en el ejercicio del derecho de acceso a la información, </w:t>
      </w:r>
      <w:r w:rsidRPr="002F0087">
        <w:rPr>
          <w:rFonts w:ascii="Palatino Linotype" w:eastAsia="Calibri" w:hAnsi="Palatino Linotype" w:cs="Arial"/>
          <w:color w:val="000000" w:themeColor="text1"/>
          <w:lang w:val="es-MX" w:eastAsia="en-US"/>
        </w:rPr>
        <w:t>la</w:t>
      </w:r>
      <w:r w:rsidRPr="002F0087">
        <w:rPr>
          <w:rFonts w:ascii="Palatino Linotype" w:hAnsi="Palatino Linotype" w:cs="Arial"/>
          <w:color w:val="000000" w:themeColor="text1"/>
        </w:rPr>
        <w:t xml:space="preserve"> hoy </w:t>
      </w:r>
      <w:r w:rsidRPr="002F0087">
        <w:rPr>
          <w:rFonts w:ascii="Palatino Linotype" w:hAnsi="Palatino Linotype" w:cs="Arial"/>
          <w:b/>
          <w:color w:val="000000" w:themeColor="text1"/>
        </w:rPr>
        <w:t xml:space="preserve">RECURRENTE </w:t>
      </w:r>
      <w:r w:rsidRPr="002F0087">
        <w:rPr>
          <w:rFonts w:ascii="Palatino Linotype" w:hAnsi="Palatino Linotype" w:cs="Arial"/>
          <w:color w:val="000000" w:themeColor="text1"/>
        </w:rPr>
        <w:t xml:space="preserve"> solicitó lo siguiente:</w:t>
      </w:r>
    </w:p>
    <w:p w14:paraId="11A6D0AC" w14:textId="77777777" w:rsidR="009853C8" w:rsidRPr="002F0087" w:rsidRDefault="009853C8" w:rsidP="002F0087">
      <w:pPr>
        <w:pStyle w:val="Prrafodelista"/>
        <w:tabs>
          <w:tab w:val="left" w:pos="0"/>
        </w:tabs>
        <w:spacing w:line="360" w:lineRule="auto"/>
        <w:ind w:left="0" w:right="49"/>
        <w:jc w:val="both"/>
        <w:rPr>
          <w:rFonts w:ascii="Palatino Linotype" w:hAnsi="Palatino Linotype" w:cs="Arial"/>
          <w:color w:val="000000" w:themeColor="text1"/>
        </w:rPr>
      </w:pPr>
    </w:p>
    <w:p w14:paraId="5ED11995" w14:textId="3454B42E" w:rsidR="00612D5D" w:rsidRPr="002F0087" w:rsidRDefault="003A4FF1" w:rsidP="002F0087">
      <w:pPr>
        <w:pStyle w:val="Prrafodelista"/>
        <w:numPr>
          <w:ilvl w:val="0"/>
          <w:numId w:val="14"/>
        </w:numPr>
        <w:tabs>
          <w:tab w:val="left" w:pos="0"/>
        </w:tabs>
        <w:spacing w:line="360" w:lineRule="auto"/>
        <w:ind w:right="49"/>
        <w:jc w:val="both"/>
        <w:rPr>
          <w:rFonts w:ascii="Palatino Linotype" w:hAnsi="Palatino Linotype" w:cs="Arial"/>
          <w:color w:val="000000" w:themeColor="text1"/>
        </w:rPr>
      </w:pPr>
      <w:r w:rsidRPr="002F0087">
        <w:rPr>
          <w:rFonts w:ascii="Palatino Linotype" w:hAnsi="Palatino Linotype"/>
          <w:lang w:val="es-MX" w:eastAsia="en-US"/>
        </w:rPr>
        <w:lastRenderedPageBreak/>
        <w:t xml:space="preserve">Comprobante de estudios y </w:t>
      </w:r>
      <w:proofErr w:type="spellStart"/>
      <w:r w:rsidRPr="002F0087">
        <w:rPr>
          <w:rFonts w:ascii="Palatino Linotype" w:hAnsi="Palatino Linotype"/>
          <w:lang w:val="es-MX" w:eastAsia="en-US"/>
        </w:rPr>
        <w:t>curriculum</w:t>
      </w:r>
      <w:proofErr w:type="spellEnd"/>
      <w:r w:rsidRPr="002F0087">
        <w:rPr>
          <w:rFonts w:ascii="Palatino Linotype" w:hAnsi="Palatino Linotype"/>
          <w:lang w:val="es-MX" w:eastAsia="en-US"/>
        </w:rPr>
        <w:t xml:space="preserve"> vitae de todos los mandos medios y superiores del DIF Municipal. </w:t>
      </w:r>
    </w:p>
    <w:p w14:paraId="756DFF3C" w14:textId="77777777" w:rsidR="00EE7C93" w:rsidRPr="002F0087" w:rsidRDefault="00EE7C93" w:rsidP="002F0087">
      <w:pPr>
        <w:pStyle w:val="Prrafodelista"/>
        <w:spacing w:line="360" w:lineRule="auto"/>
        <w:ind w:left="0"/>
        <w:jc w:val="both"/>
        <w:rPr>
          <w:rFonts w:ascii="Palatino Linotype" w:hAnsi="Palatino Linotype" w:cs="Arial"/>
        </w:rPr>
      </w:pPr>
    </w:p>
    <w:p w14:paraId="17E597B6" w14:textId="3D1FF3B0" w:rsidR="00EE7C93" w:rsidRPr="002F0087" w:rsidRDefault="00B01824" w:rsidP="002F0087">
      <w:pPr>
        <w:pStyle w:val="Prrafodelista"/>
        <w:numPr>
          <w:ilvl w:val="0"/>
          <w:numId w:val="1"/>
        </w:numPr>
        <w:tabs>
          <w:tab w:val="left" w:pos="0"/>
        </w:tabs>
        <w:spacing w:line="360" w:lineRule="auto"/>
        <w:ind w:left="0" w:right="49" w:firstLine="0"/>
        <w:jc w:val="both"/>
        <w:rPr>
          <w:rFonts w:ascii="Palatino Linotype" w:hAnsi="Palatino Linotype" w:cs="Arial"/>
          <w:noProof/>
          <w:lang w:val="es-MX" w:eastAsia="es-MX"/>
        </w:rPr>
      </w:pPr>
      <w:r w:rsidRPr="002F0087">
        <w:rPr>
          <w:rFonts w:ascii="Palatino Linotype" w:hAnsi="Palatino Linotype" w:cs="Arial"/>
          <w:noProof/>
          <w:lang w:val="es-MX" w:eastAsia="es-MX"/>
        </w:rPr>
        <w:t>E</w:t>
      </w:r>
      <w:r w:rsidR="00EE7C93" w:rsidRPr="002F0087">
        <w:rPr>
          <w:rFonts w:ascii="Palatino Linotype" w:hAnsi="Palatino Linotype" w:cs="Arial"/>
          <w:noProof/>
          <w:lang w:val="es-MX" w:eastAsia="es-MX"/>
        </w:rPr>
        <w:t xml:space="preserve">s </w:t>
      </w:r>
      <w:r w:rsidR="00CD4C99" w:rsidRPr="002F0087">
        <w:rPr>
          <w:rFonts w:ascii="Palatino Linotype" w:hAnsi="Palatino Linotype" w:cs="Arial"/>
          <w:noProof/>
          <w:lang w:val="es-MX" w:eastAsia="es-MX"/>
        </w:rPr>
        <w:t>importante precisar que</w:t>
      </w:r>
      <w:r w:rsidR="00EE7C93" w:rsidRPr="002F0087">
        <w:rPr>
          <w:rFonts w:ascii="Palatino Linotype" w:hAnsi="Palatino Linotype" w:cs="Arial"/>
          <w:noProof/>
          <w:lang w:val="es-MX" w:eastAsia="es-MX"/>
        </w:rPr>
        <w:t xml:space="preserve"> no existe norma jurídica que obligue a los servidores públicos a presentar su curriculum ante la institución pública en la que prestan sus servicios; esto es, que no constituye requisito para desempeñar un empleo, cargo o comisión en la administración pública sea estatal o municipal; sin embargo, para </w:t>
      </w:r>
      <w:r w:rsidR="00EE7C93" w:rsidRPr="002F0087">
        <w:rPr>
          <w:rFonts w:ascii="Palatino Linotype" w:hAnsi="Palatino Linotype" w:cs="Arial"/>
          <w:noProof/>
          <w:color w:val="000000"/>
          <w:lang w:val="es-MX" w:eastAsia="es-MX"/>
        </w:rPr>
        <w:t>el caso de que el</w:t>
      </w:r>
      <w:r w:rsidR="00EE7C93" w:rsidRPr="002F0087">
        <w:rPr>
          <w:rFonts w:ascii="Palatino Linotype" w:hAnsi="Palatino Linotype" w:cs="Arial"/>
          <w:b/>
          <w:noProof/>
          <w:color w:val="000000"/>
          <w:lang w:val="es-MX" w:eastAsia="es-MX"/>
        </w:rPr>
        <w:t xml:space="preserve"> SUJETO OBLIGADO</w:t>
      </w:r>
      <w:r w:rsidR="00EE7C93" w:rsidRPr="002F0087">
        <w:rPr>
          <w:rFonts w:ascii="Palatino Linotype" w:hAnsi="Palatino Linotype" w:cs="Arial"/>
          <w:noProof/>
          <w:lang w:val="es-MX" w:eastAsia="es-MX"/>
        </w:rPr>
        <w:t>, no posea o administre el currículum de los Servidores públicos en comento, sí deben poseer y administrar el documento análogo a éste, como lo sería su solicitud de empleo, en atenc</w:t>
      </w:r>
      <w:r w:rsidR="00134BD1" w:rsidRPr="002F0087">
        <w:rPr>
          <w:rFonts w:ascii="Palatino Linotype" w:hAnsi="Palatino Linotype" w:cs="Arial"/>
          <w:noProof/>
          <w:lang w:val="es-MX" w:eastAsia="es-MX"/>
        </w:rPr>
        <w:t>ión a los siguientes argumentos.</w:t>
      </w:r>
    </w:p>
    <w:p w14:paraId="5DF9DEC8" w14:textId="77777777" w:rsidR="00EE7C93" w:rsidRPr="002F0087" w:rsidRDefault="00EE7C93" w:rsidP="002F0087">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55E48B4D" w14:textId="2A8B78EB" w:rsidR="00EE7C93" w:rsidRPr="002F0087" w:rsidRDefault="00134BD1" w:rsidP="002F0087">
      <w:pPr>
        <w:pStyle w:val="Prrafodelista"/>
        <w:numPr>
          <w:ilvl w:val="0"/>
          <w:numId w:val="1"/>
        </w:numPr>
        <w:tabs>
          <w:tab w:val="left" w:pos="0"/>
        </w:tabs>
        <w:spacing w:line="360" w:lineRule="auto"/>
        <w:ind w:left="0" w:right="49" w:firstLine="0"/>
        <w:jc w:val="both"/>
        <w:rPr>
          <w:rFonts w:ascii="Palatino Linotype" w:hAnsi="Palatino Linotype" w:cs="Arial"/>
          <w:noProof/>
          <w:lang w:val="es-MX" w:eastAsia="es-MX"/>
        </w:rPr>
      </w:pPr>
      <w:r w:rsidRPr="002F0087">
        <w:rPr>
          <w:rFonts w:ascii="Palatino Linotype" w:hAnsi="Palatino Linotype" w:cs="Arial"/>
          <w:noProof/>
          <w:lang w:val="es-MX" w:eastAsia="es-MX"/>
        </w:rPr>
        <w:t>L</w:t>
      </w:r>
      <w:r w:rsidR="00EE7C93" w:rsidRPr="002F0087">
        <w:rPr>
          <w:rFonts w:ascii="Palatino Linotype" w:hAnsi="Palatino Linotype" w:cs="Arial"/>
          <w:noProof/>
          <w:lang w:val="es-MX" w:eastAsia="es-MX"/>
        </w:rPr>
        <w:t xml:space="preserve">a solicitud de empleo es el documento mediante el cual el aspirante a ocupar un empleo, cargo o comisión manifiesta al patrón su intención de prestar sus servicios laborales. </w:t>
      </w:r>
    </w:p>
    <w:p w14:paraId="3BC0F159" w14:textId="77777777" w:rsidR="00EE7C93" w:rsidRPr="002F0087" w:rsidRDefault="00EE7C93" w:rsidP="002F0087">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73F7BE24" w14:textId="77777777" w:rsidR="00EE7C93" w:rsidRPr="002F0087" w:rsidRDefault="00EE7C93" w:rsidP="002F0087">
      <w:pPr>
        <w:pStyle w:val="Prrafodelista"/>
        <w:numPr>
          <w:ilvl w:val="0"/>
          <w:numId w:val="1"/>
        </w:numPr>
        <w:tabs>
          <w:tab w:val="left" w:pos="0"/>
        </w:tabs>
        <w:spacing w:line="360" w:lineRule="auto"/>
        <w:ind w:left="0" w:right="49" w:firstLine="0"/>
        <w:jc w:val="both"/>
        <w:rPr>
          <w:rFonts w:ascii="Palatino Linotype" w:eastAsia="Arial Unicode MS" w:hAnsi="Palatino Linotype" w:cs="Arial"/>
        </w:rPr>
      </w:pPr>
      <w:r w:rsidRPr="002F0087">
        <w:rPr>
          <w:rFonts w:ascii="Palatino Linotype" w:hAnsi="Palatino Linotype" w:cs="Arial"/>
          <w:noProof/>
          <w:lang w:val="es-MX" w:eastAsia="es-MX"/>
        </w:rPr>
        <w:t>Así, l</w:t>
      </w:r>
      <w:r w:rsidRPr="002F0087">
        <w:rPr>
          <w:rFonts w:ascii="Palatino Linotype" w:eastAsia="Arial Unicode MS" w:hAnsi="Palatino Linotype" w:cs="Arial"/>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14:paraId="024670FB" w14:textId="77777777" w:rsidR="00EE7C93" w:rsidRPr="002F0087" w:rsidRDefault="00EE7C93" w:rsidP="002F0087">
      <w:pPr>
        <w:pStyle w:val="Prrafodelista"/>
        <w:autoSpaceDE w:val="0"/>
        <w:autoSpaceDN w:val="0"/>
        <w:adjustRightInd w:val="0"/>
        <w:spacing w:line="360" w:lineRule="auto"/>
        <w:ind w:left="0"/>
        <w:jc w:val="both"/>
        <w:rPr>
          <w:rFonts w:ascii="Palatino Linotype" w:eastAsia="Arial Unicode MS" w:hAnsi="Palatino Linotype" w:cs="Arial"/>
        </w:rPr>
      </w:pPr>
    </w:p>
    <w:p w14:paraId="6368F113" w14:textId="77777777" w:rsidR="00EE7C93" w:rsidRPr="002F0087" w:rsidRDefault="00EE7C93" w:rsidP="002F0087">
      <w:pPr>
        <w:pStyle w:val="Prrafodelista"/>
        <w:numPr>
          <w:ilvl w:val="0"/>
          <w:numId w:val="1"/>
        </w:numPr>
        <w:tabs>
          <w:tab w:val="left" w:pos="0"/>
        </w:tabs>
        <w:spacing w:line="360" w:lineRule="auto"/>
        <w:ind w:left="0" w:right="49" w:firstLine="0"/>
        <w:jc w:val="both"/>
        <w:rPr>
          <w:rFonts w:ascii="Palatino Linotype" w:eastAsia="Arial Unicode MS" w:hAnsi="Palatino Linotype" w:cs="Arial"/>
        </w:rPr>
      </w:pPr>
      <w:r w:rsidRPr="002F0087">
        <w:rPr>
          <w:rFonts w:ascii="Palatino Linotype" w:hAnsi="Palatino Linotype" w:cs="Arial"/>
          <w:noProof/>
          <w:lang w:val="es-MX" w:eastAsia="es-MX"/>
        </w:rPr>
        <w:lastRenderedPageBreak/>
        <w:t xml:space="preserve">Bajo estas condiciones, es importante </w:t>
      </w:r>
      <w:r w:rsidRPr="002F0087">
        <w:rPr>
          <w:rFonts w:ascii="Palatino Linotype" w:eastAsia="Arial Unicode MS" w:hAnsi="Palatino Linotype" w:cs="Arial"/>
        </w:rPr>
        <w:t xml:space="preserve">citar que los artículos 1 párrafo primero y 47 fracción I de la </w:t>
      </w:r>
      <w:r w:rsidRPr="002F0087">
        <w:rPr>
          <w:rFonts w:ascii="Palatino Linotype" w:eastAsia="Arial Unicode MS" w:hAnsi="Palatino Linotype" w:cs="Arial"/>
          <w:b/>
        </w:rPr>
        <w:t>Ley del Trabajo de los Servidores Públicos del Estado de México y Municipios</w:t>
      </w:r>
      <w:r w:rsidRPr="002F0087">
        <w:rPr>
          <w:rFonts w:ascii="Palatino Linotype" w:eastAsia="Arial Unicode MS" w:hAnsi="Palatino Linotype" w:cs="Arial"/>
        </w:rPr>
        <w:t>, que prevén:</w:t>
      </w:r>
    </w:p>
    <w:p w14:paraId="4BF53FF8" w14:textId="77777777" w:rsidR="00EE7C93" w:rsidRPr="002F0087" w:rsidRDefault="00EE7C93" w:rsidP="002F0087">
      <w:pPr>
        <w:pStyle w:val="Prrafodelista"/>
        <w:autoSpaceDE w:val="0"/>
        <w:autoSpaceDN w:val="0"/>
        <w:adjustRightInd w:val="0"/>
        <w:spacing w:line="360" w:lineRule="auto"/>
        <w:ind w:left="0"/>
        <w:jc w:val="both"/>
        <w:rPr>
          <w:rFonts w:ascii="Palatino Linotype" w:eastAsia="Arial Unicode MS" w:hAnsi="Palatino Linotype" w:cs="Arial"/>
        </w:rPr>
      </w:pPr>
    </w:p>
    <w:p w14:paraId="1AA3E450" w14:textId="77777777" w:rsidR="00EE7C93" w:rsidRPr="002F0087" w:rsidRDefault="00EE7C93" w:rsidP="002F0087">
      <w:pPr>
        <w:autoSpaceDE w:val="0"/>
        <w:autoSpaceDN w:val="0"/>
        <w:adjustRightInd w:val="0"/>
        <w:spacing w:line="360" w:lineRule="auto"/>
        <w:ind w:left="567" w:right="567"/>
        <w:jc w:val="both"/>
        <w:rPr>
          <w:rFonts w:ascii="Palatino Linotype" w:hAnsi="Palatino Linotype" w:cs="Arial"/>
          <w:i/>
          <w:lang w:val="es-MX" w:eastAsia="es-MX"/>
        </w:rPr>
      </w:pPr>
      <w:r w:rsidRPr="002F0087">
        <w:rPr>
          <w:rFonts w:ascii="Palatino Linotype" w:hAnsi="Palatino Linotype" w:cs="Arial"/>
          <w:b/>
          <w:bCs/>
          <w:i/>
          <w:lang w:val="es-MX" w:eastAsia="es-MX"/>
        </w:rPr>
        <w:t xml:space="preserve">ARTÍCULO 1. </w:t>
      </w:r>
      <w:r w:rsidRPr="002F0087">
        <w:rPr>
          <w:rFonts w:ascii="Palatino Linotype" w:hAnsi="Palatino Linotype" w:cs="Arial"/>
          <w:i/>
          <w:lang w:val="es-MX" w:eastAsia="es-MX"/>
        </w:rPr>
        <w:t>Ésta ley es de orden público e interés social y tiene por objeto regular las relaciones de trabajo, comprendidas entre los poderes públicos del Estado y los Municipios y sus respectivos servidores públicos.</w:t>
      </w:r>
    </w:p>
    <w:p w14:paraId="1C7A9506" w14:textId="77777777" w:rsidR="00EE7C93" w:rsidRPr="002F0087" w:rsidRDefault="00EE7C93" w:rsidP="002F0087">
      <w:pPr>
        <w:autoSpaceDE w:val="0"/>
        <w:autoSpaceDN w:val="0"/>
        <w:adjustRightInd w:val="0"/>
        <w:spacing w:line="360" w:lineRule="auto"/>
        <w:ind w:left="567" w:right="567"/>
        <w:rPr>
          <w:rFonts w:ascii="Palatino Linotype" w:hAnsi="Palatino Linotype" w:cs="Arial"/>
          <w:i/>
          <w:lang w:val="es-MX" w:eastAsia="es-MX"/>
        </w:rPr>
      </w:pPr>
      <w:r w:rsidRPr="002F0087">
        <w:rPr>
          <w:rFonts w:ascii="Palatino Linotype" w:hAnsi="Palatino Linotype" w:cs="Arial"/>
          <w:b/>
          <w:bCs/>
          <w:i/>
          <w:lang w:val="es-MX" w:eastAsia="es-MX"/>
        </w:rPr>
        <w:t xml:space="preserve">ARTICULO 47. </w:t>
      </w:r>
      <w:r w:rsidRPr="002F0087">
        <w:rPr>
          <w:rFonts w:ascii="Palatino Linotype" w:hAnsi="Palatino Linotype" w:cs="Arial"/>
          <w:i/>
          <w:lang w:val="es-MX" w:eastAsia="es-MX"/>
        </w:rPr>
        <w:t>Para ingresar al servicio público se requiere:</w:t>
      </w:r>
    </w:p>
    <w:p w14:paraId="25B3D75B" w14:textId="4E60DAFA" w:rsidR="00EE7C93" w:rsidRPr="002F0087" w:rsidRDefault="00EE7C93" w:rsidP="002F0087">
      <w:pPr>
        <w:pStyle w:val="Prrafodelista"/>
        <w:numPr>
          <w:ilvl w:val="0"/>
          <w:numId w:val="23"/>
        </w:numPr>
        <w:autoSpaceDE w:val="0"/>
        <w:autoSpaceDN w:val="0"/>
        <w:adjustRightInd w:val="0"/>
        <w:spacing w:line="360" w:lineRule="auto"/>
        <w:ind w:right="567"/>
        <w:jc w:val="both"/>
        <w:rPr>
          <w:rFonts w:ascii="Palatino Linotype" w:hAnsi="Palatino Linotype" w:cs="Arial"/>
          <w:i/>
          <w:lang w:val="es-MX" w:eastAsia="es-MX"/>
        </w:rPr>
      </w:pPr>
      <w:r w:rsidRPr="002F0087">
        <w:rPr>
          <w:rFonts w:ascii="Palatino Linotype" w:hAnsi="Palatino Linotype" w:cs="Arial"/>
          <w:i/>
          <w:lang w:val="es-MX" w:eastAsia="es-MX"/>
        </w:rPr>
        <w:t>Presentar una solicitud utilizando la forma oficial que se autorice por la  institución pública o dependencia correspondiente;</w:t>
      </w:r>
    </w:p>
    <w:p w14:paraId="72EB77D3" w14:textId="77777777" w:rsidR="002F0087" w:rsidRPr="002F0087" w:rsidRDefault="002F0087" w:rsidP="002F0087">
      <w:pPr>
        <w:pStyle w:val="Prrafodelista"/>
        <w:autoSpaceDE w:val="0"/>
        <w:autoSpaceDN w:val="0"/>
        <w:adjustRightInd w:val="0"/>
        <w:spacing w:line="360" w:lineRule="auto"/>
        <w:ind w:left="1287" w:right="567"/>
        <w:jc w:val="both"/>
        <w:rPr>
          <w:rFonts w:ascii="Palatino Linotype" w:eastAsia="Arial Unicode MS" w:hAnsi="Palatino Linotype" w:cs="Arial"/>
          <w:i/>
        </w:rPr>
      </w:pPr>
    </w:p>
    <w:p w14:paraId="7F597F2B" w14:textId="5E151879" w:rsidR="00EE7C93" w:rsidRPr="002F0087" w:rsidRDefault="00EE7C93" w:rsidP="002F0087">
      <w:pPr>
        <w:pStyle w:val="Prrafodelista"/>
        <w:numPr>
          <w:ilvl w:val="0"/>
          <w:numId w:val="1"/>
        </w:numPr>
        <w:tabs>
          <w:tab w:val="left" w:pos="0"/>
        </w:tabs>
        <w:spacing w:line="360" w:lineRule="auto"/>
        <w:ind w:left="0" w:right="49" w:firstLine="0"/>
        <w:jc w:val="both"/>
        <w:rPr>
          <w:rFonts w:ascii="Palatino Linotype" w:eastAsia="Arial Unicode MS" w:hAnsi="Palatino Linotype" w:cs="Arial"/>
          <w:b/>
        </w:rPr>
      </w:pPr>
      <w:r w:rsidRPr="002F0087">
        <w:rPr>
          <w:rFonts w:ascii="Palatino Linotype" w:eastAsia="Arial Unicode MS" w:hAnsi="Palatino Linotype" w:cs="Arial"/>
        </w:rPr>
        <w:t>De los preceptos legales insertos se obtiene que la relación de trabajo ex</w:t>
      </w:r>
      <w:r w:rsidR="00B01824" w:rsidRPr="002F0087">
        <w:rPr>
          <w:rFonts w:ascii="Palatino Linotype" w:eastAsia="Arial Unicode MS" w:hAnsi="Palatino Linotype" w:cs="Arial"/>
        </w:rPr>
        <w:t xml:space="preserve">istente entre el DIF Municipal </w:t>
      </w:r>
      <w:r w:rsidRPr="002F0087">
        <w:rPr>
          <w:rFonts w:ascii="Palatino Linotype" w:eastAsia="Arial Unicode MS" w:hAnsi="Palatino Linotype" w:cs="Arial"/>
        </w:rPr>
        <w:t>y sus servidores públicos, se rige conforme a la referida norma jurídica; por ende, le es aplicable al</w:t>
      </w:r>
      <w:r w:rsidRPr="002F0087">
        <w:rPr>
          <w:rFonts w:ascii="Palatino Linotype" w:eastAsia="Arial Unicode MS" w:hAnsi="Palatino Linotype" w:cs="Arial"/>
          <w:b/>
        </w:rPr>
        <w:t xml:space="preserve"> </w:t>
      </w:r>
      <w:r w:rsidR="00B01824" w:rsidRPr="002F0087">
        <w:rPr>
          <w:rFonts w:ascii="Palatino Linotype" w:eastAsia="Arial Unicode MS" w:hAnsi="Palatino Linotype" w:cs="Arial"/>
          <w:b/>
        </w:rPr>
        <w:t xml:space="preserve">Sistema Municipal para el Desarrollo Integral de la Familia de Tecámac. </w:t>
      </w:r>
    </w:p>
    <w:p w14:paraId="27708EE8" w14:textId="77777777" w:rsidR="00EE7C93" w:rsidRPr="002F0087" w:rsidRDefault="00EE7C93" w:rsidP="002F0087">
      <w:pPr>
        <w:pStyle w:val="Prrafodelista"/>
        <w:spacing w:line="360" w:lineRule="auto"/>
        <w:ind w:left="0"/>
        <w:jc w:val="both"/>
        <w:rPr>
          <w:rFonts w:ascii="Palatino Linotype" w:eastAsia="Times New Roman" w:hAnsi="Palatino Linotype" w:cs="Arial"/>
          <w:color w:val="000000" w:themeColor="text1"/>
          <w:lang w:val="es-ES"/>
        </w:rPr>
      </w:pPr>
    </w:p>
    <w:p w14:paraId="0BCB802F" w14:textId="15CB189D" w:rsidR="00EE7C93" w:rsidRPr="002F0087" w:rsidRDefault="00B01824" w:rsidP="002F0087">
      <w:pPr>
        <w:pStyle w:val="Prrafodelista"/>
        <w:numPr>
          <w:ilvl w:val="0"/>
          <w:numId w:val="1"/>
        </w:numPr>
        <w:tabs>
          <w:tab w:val="left" w:pos="0"/>
        </w:tabs>
        <w:spacing w:line="360" w:lineRule="auto"/>
        <w:ind w:left="0" w:right="49" w:firstLine="0"/>
        <w:jc w:val="both"/>
        <w:rPr>
          <w:rFonts w:ascii="Palatino Linotype" w:eastAsia="Arial Unicode MS" w:hAnsi="Palatino Linotype" w:cs="Arial"/>
        </w:rPr>
      </w:pPr>
      <w:r w:rsidRPr="002F0087">
        <w:rPr>
          <w:rFonts w:ascii="Palatino Linotype" w:eastAsia="Arial Unicode MS" w:hAnsi="Palatino Linotype" w:cs="Arial"/>
        </w:rPr>
        <w:t>P</w:t>
      </w:r>
      <w:r w:rsidR="00EE7C93" w:rsidRPr="002F0087">
        <w:rPr>
          <w:rFonts w:ascii="Palatino Linotype" w:eastAsia="Arial Unicode MS" w:hAnsi="Palatino Linotype" w:cs="Arial"/>
        </w:rPr>
        <w:t>ara ingresar al servicio público, constituye requisito indispensable, entre otros, presentar una solicitud, utilizando el formato oficial autorizado por la institución pública; de donde se infiere que se trata de una solicitud de empleo la cual necesariamente contiene apartados con información, como son: datos personales, formación académica, experiencia profesional, objetivos o aspiraciones personales; y otros.</w:t>
      </w:r>
    </w:p>
    <w:p w14:paraId="19013BB5" w14:textId="77777777" w:rsidR="00EE7C93" w:rsidRPr="002F0087" w:rsidRDefault="00EE7C93" w:rsidP="002F0087">
      <w:pPr>
        <w:pStyle w:val="Prrafodelista"/>
        <w:numPr>
          <w:ilvl w:val="0"/>
          <w:numId w:val="1"/>
        </w:numPr>
        <w:tabs>
          <w:tab w:val="left" w:pos="0"/>
        </w:tabs>
        <w:spacing w:line="360" w:lineRule="auto"/>
        <w:ind w:left="0" w:right="49" w:firstLine="0"/>
        <w:jc w:val="both"/>
        <w:rPr>
          <w:rFonts w:ascii="Palatino Linotype" w:eastAsia="Arial Unicode MS" w:hAnsi="Palatino Linotype" w:cs="Arial"/>
        </w:rPr>
      </w:pPr>
      <w:r w:rsidRPr="002F0087">
        <w:rPr>
          <w:rFonts w:ascii="Palatino Linotype" w:eastAsia="Arial Unicode MS" w:hAnsi="Palatino Linotype" w:cs="Arial"/>
        </w:rPr>
        <w:lastRenderedPageBreak/>
        <w:t xml:space="preserve">Conforme a los argumentos expuestos, atendiendo a que </w:t>
      </w:r>
      <w:r w:rsidRPr="002F0087">
        <w:rPr>
          <w:rFonts w:ascii="Palatino Linotype" w:hAnsi="Palatino Linotype" w:cs="Arial"/>
          <w:noProof/>
          <w:lang w:val="es-MX" w:eastAsia="es-MX"/>
        </w:rPr>
        <w:t xml:space="preserve">no existe norma jurídica que exija como requisito para desempeñar un empleo, cargo o comisión de la administración pública, presentar ante la institución pública el currículum; sin embargo, sí existe disposición legal que obliga a presentar solicititud de empleo, documento que se asemeja a aquél; por lo tanto, este último documento constituye información pública que posee o administra </w:t>
      </w:r>
      <w:r w:rsidRPr="002F0087">
        <w:rPr>
          <w:rFonts w:ascii="Palatino Linotype" w:hAnsi="Palatino Linotype" w:cs="Arial"/>
          <w:noProof/>
          <w:color w:val="000000"/>
          <w:lang w:val="es-MX" w:eastAsia="es-MX"/>
        </w:rPr>
        <w:t xml:space="preserve">el </w:t>
      </w:r>
      <w:r w:rsidRPr="002F0087">
        <w:rPr>
          <w:rFonts w:ascii="Palatino Linotype" w:hAnsi="Palatino Linotype" w:cs="Arial"/>
          <w:b/>
          <w:noProof/>
          <w:color w:val="000000"/>
          <w:lang w:val="es-MX" w:eastAsia="es-MX"/>
        </w:rPr>
        <w:t>SUJETO OBLIGADO</w:t>
      </w:r>
      <w:r w:rsidRPr="002F0087">
        <w:rPr>
          <w:rFonts w:ascii="Palatino Linotype" w:hAnsi="Palatino Linotype" w:cs="Arial"/>
          <w:noProof/>
          <w:lang w:val="es-MX" w:eastAsia="es-MX"/>
        </w:rPr>
        <w:t>.</w:t>
      </w:r>
    </w:p>
    <w:p w14:paraId="5F5C3DCF" w14:textId="77777777" w:rsidR="00EE7C93" w:rsidRPr="002F0087" w:rsidRDefault="00EE7C93" w:rsidP="002F0087">
      <w:pPr>
        <w:pStyle w:val="Prrafodelista"/>
        <w:autoSpaceDE w:val="0"/>
        <w:autoSpaceDN w:val="0"/>
        <w:adjustRightInd w:val="0"/>
        <w:spacing w:line="360" w:lineRule="auto"/>
        <w:ind w:left="0"/>
        <w:jc w:val="both"/>
        <w:rPr>
          <w:rFonts w:ascii="Palatino Linotype" w:eastAsia="Arial Unicode MS" w:hAnsi="Palatino Linotype" w:cs="Arial"/>
        </w:rPr>
      </w:pPr>
    </w:p>
    <w:p w14:paraId="7237224D" w14:textId="6D96D6CA" w:rsidR="00986726" w:rsidRPr="002F0087" w:rsidRDefault="00071B4D" w:rsidP="002F0087">
      <w:pPr>
        <w:pStyle w:val="Prrafodelista"/>
        <w:numPr>
          <w:ilvl w:val="0"/>
          <w:numId w:val="1"/>
        </w:numPr>
        <w:tabs>
          <w:tab w:val="left" w:pos="0"/>
        </w:tabs>
        <w:spacing w:line="360" w:lineRule="auto"/>
        <w:ind w:left="0" w:right="49" w:firstLine="0"/>
        <w:jc w:val="both"/>
        <w:rPr>
          <w:rFonts w:ascii="Palatino Linotype" w:hAnsi="Palatino Linotype" w:cs="Arial"/>
        </w:rPr>
      </w:pPr>
      <w:r w:rsidRPr="002F0087">
        <w:rPr>
          <w:rFonts w:ascii="Palatino Linotype" w:hAnsi="Palatino Linotype" w:cs="Arial"/>
        </w:rPr>
        <w:t>Es de</w:t>
      </w:r>
      <w:r w:rsidR="00BA5F08" w:rsidRPr="002F0087">
        <w:rPr>
          <w:rFonts w:ascii="Palatino Linotype" w:hAnsi="Palatino Linotype" w:cs="Arial"/>
        </w:rPr>
        <w:t xml:space="preserve"> señalar que de conformidad con lo dispuesto en los artículos 11,  12,  13</w:t>
      </w:r>
      <w:r w:rsidR="00447A66" w:rsidRPr="002F0087">
        <w:rPr>
          <w:rFonts w:ascii="Palatino Linotype" w:hAnsi="Palatino Linotype" w:cs="Arial"/>
        </w:rPr>
        <w:t>, fracción VIII</w:t>
      </w:r>
      <w:r w:rsidR="00986726" w:rsidRPr="002F0087">
        <w:rPr>
          <w:rFonts w:ascii="Palatino Linotype" w:hAnsi="Palatino Linotype" w:cs="Arial"/>
        </w:rPr>
        <w:t>, 13 Bis-E</w:t>
      </w:r>
      <w:r w:rsidR="00BA5F08" w:rsidRPr="002F0087">
        <w:rPr>
          <w:rFonts w:ascii="Palatino Linotype" w:hAnsi="Palatino Linotype" w:cs="Arial"/>
        </w:rPr>
        <w:t xml:space="preserve"> </w:t>
      </w:r>
      <w:r w:rsidR="00447A66" w:rsidRPr="002F0087">
        <w:rPr>
          <w:rFonts w:ascii="Palatino Linotype" w:hAnsi="Palatino Linotype" w:cs="Arial"/>
        </w:rPr>
        <w:t xml:space="preserve">fracción IX </w:t>
      </w:r>
      <w:r w:rsidR="00BA5F08" w:rsidRPr="002F0087">
        <w:rPr>
          <w:rFonts w:ascii="Palatino Linotype" w:hAnsi="Palatino Linotype" w:cs="Arial"/>
        </w:rPr>
        <w:t xml:space="preserve">y 15 Bis </w:t>
      </w:r>
      <w:r w:rsidR="00EE7C93" w:rsidRPr="002F0087">
        <w:rPr>
          <w:rFonts w:ascii="Palatino Linotype" w:hAnsi="Palatino Linotype" w:cs="Arial"/>
        </w:rPr>
        <w:t xml:space="preserve">de la </w:t>
      </w:r>
      <w:r w:rsidR="00BA5F08" w:rsidRPr="002F0087">
        <w:rPr>
          <w:rFonts w:ascii="Palatino Linotype" w:hAnsi="Palatino Linotype" w:cs="Arial"/>
          <w:b/>
        </w:rPr>
        <w:t>Ley que crea los Organismos Públicos Descentralizados de Asistencia Social, de carácter municipal, denominados “Sistemas Municipales pare el Desarrollo Integral de la Familia</w:t>
      </w:r>
      <w:r w:rsidR="00EE7C93" w:rsidRPr="002F0087">
        <w:rPr>
          <w:rFonts w:ascii="Palatino Linotype" w:hAnsi="Palatino Linotype" w:cs="Arial"/>
        </w:rPr>
        <w:t xml:space="preserve">, </w:t>
      </w:r>
      <w:r w:rsidR="00BA5F08" w:rsidRPr="002F0087">
        <w:rPr>
          <w:rFonts w:ascii="Palatino Linotype" w:hAnsi="Palatino Linotype"/>
        </w:rPr>
        <w:t>establecen que serán Órganos Superiores de los Or</w:t>
      </w:r>
      <w:r w:rsidR="00986726" w:rsidRPr="002F0087">
        <w:rPr>
          <w:rFonts w:ascii="Palatino Linotype" w:hAnsi="Palatino Linotype"/>
        </w:rPr>
        <w:t>g</w:t>
      </w:r>
      <w:r w:rsidR="00BA5F08" w:rsidRPr="002F0087">
        <w:rPr>
          <w:rFonts w:ascii="Palatino Linotype" w:hAnsi="Palatino Linotype"/>
        </w:rPr>
        <w:t xml:space="preserve">anismos: La Junta de Gobierno, la Presidencia y la Dirección; la Junta de Gobierno se integrará por el presidente, secretario y dos vocales y a quien le compete extender los nombramientos del personal del Sistema Municipal, cuyos nombramientos y remociones deberán ser propuestos por la Presidencia de la Junta </w:t>
      </w:r>
      <w:r w:rsidR="00986726" w:rsidRPr="002F0087">
        <w:rPr>
          <w:rFonts w:ascii="Palatino Linotype" w:hAnsi="Palatino Linotype"/>
        </w:rPr>
        <w:t xml:space="preserve">de Gobierno; servidores públicos que además de las atribuciones señaladas en la Ley de referencia, tendrán funciones y atribuciones contenidas en sus reglamentos interiores, manuales, acuerdos, circulares y otras disposiciones legales que tiendan a regular el funcionamiento del Organismo y serán responsables del ejercicio de las funciones propias de su competencia. </w:t>
      </w:r>
    </w:p>
    <w:p w14:paraId="7B0DA91B" w14:textId="77777777" w:rsidR="00986726" w:rsidRPr="002F0087" w:rsidRDefault="00986726" w:rsidP="002F0087">
      <w:pPr>
        <w:pStyle w:val="Prrafodelista"/>
        <w:spacing w:line="360" w:lineRule="auto"/>
        <w:rPr>
          <w:rFonts w:ascii="Palatino Linotype" w:hAnsi="Palatino Linotype" w:cs="Arial"/>
        </w:rPr>
      </w:pPr>
    </w:p>
    <w:p w14:paraId="48BFF3CB" w14:textId="2830BC5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b/>
          <w:i/>
        </w:rPr>
        <w:lastRenderedPageBreak/>
        <w:t>“Artículo 11</w:t>
      </w:r>
      <w:r w:rsidRPr="002F0087">
        <w:rPr>
          <w:rFonts w:ascii="Palatino Linotype" w:hAnsi="Palatino Linotype" w:cs="Arial"/>
          <w:i/>
        </w:rPr>
        <w:t xml:space="preserve">.- Serán </w:t>
      </w:r>
      <w:proofErr w:type="spellStart"/>
      <w:r w:rsidRPr="002F0087">
        <w:rPr>
          <w:rFonts w:ascii="Palatino Linotype" w:hAnsi="Palatino Linotype" w:cs="Arial"/>
          <w:i/>
        </w:rPr>
        <w:t>Organos</w:t>
      </w:r>
      <w:proofErr w:type="spellEnd"/>
      <w:r w:rsidRPr="002F0087">
        <w:rPr>
          <w:rFonts w:ascii="Palatino Linotype" w:hAnsi="Palatino Linotype" w:cs="Arial"/>
          <w:i/>
        </w:rPr>
        <w:t xml:space="preserve"> Superiores de los Organismos:</w:t>
      </w:r>
    </w:p>
    <w:p w14:paraId="06F89F65" w14:textId="7777777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i/>
        </w:rPr>
        <w:t>I. La Junta de Gobierno;</w:t>
      </w:r>
    </w:p>
    <w:p w14:paraId="0B07A7B5" w14:textId="7777777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i/>
        </w:rPr>
        <w:t>II. La Presidencia; y</w:t>
      </w:r>
    </w:p>
    <w:p w14:paraId="3FB97F34" w14:textId="7777777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i/>
        </w:rPr>
        <w:t>III. La Dirección.</w:t>
      </w:r>
    </w:p>
    <w:p w14:paraId="70B62866" w14:textId="7777777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p>
    <w:p w14:paraId="74350E03" w14:textId="23BA203D"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b/>
          <w:i/>
        </w:rPr>
        <w:t>Artículo 12</w:t>
      </w:r>
      <w:r w:rsidRPr="002F0087">
        <w:rPr>
          <w:rFonts w:ascii="Palatino Linotype" w:hAnsi="Palatino Linotype" w:cs="Arial"/>
          <w:i/>
        </w:rPr>
        <w:t>.-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07B18021" w14:textId="77777777" w:rsidR="00447A66" w:rsidRPr="002F0087" w:rsidRDefault="00447A66" w:rsidP="002F0087">
      <w:pPr>
        <w:pStyle w:val="Prrafodelista"/>
        <w:tabs>
          <w:tab w:val="left" w:pos="0"/>
        </w:tabs>
        <w:spacing w:line="360" w:lineRule="auto"/>
        <w:ind w:left="851" w:right="616"/>
        <w:jc w:val="both"/>
        <w:rPr>
          <w:rFonts w:ascii="Palatino Linotype" w:hAnsi="Palatino Linotype" w:cs="Arial"/>
          <w:i/>
        </w:rPr>
      </w:pPr>
    </w:p>
    <w:p w14:paraId="3267853F" w14:textId="7777777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b/>
          <w:i/>
        </w:rPr>
        <w:t>Artículo 13</w:t>
      </w:r>
      <w:r w:rsidRPr="002F0087">
        <w:rPr>
          <w:rFonts w:ascii="Palatino Linotype" w:hAnsi="Palatino Linotype" w:cs="Arial"/>
          <w:i/>
        </w:rPr>
        <w:t>.- La Junta de Gobierno tendrá las siguientes facultades y obligaciones:</w:t>
      </w:r>
    </w:p>
    <w:p w14:paraId="366459E6" w14:textId="7CFB39E6"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i/>
        </w:rPr>
        <w:t>…</w:t>
      </w:r>
    </w:p>
    <w:p w14:paraId="32BA4366" w14:textId="47F889CF"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i/>
        </w:rPr>
        <w:t>VIII. Extender los nombramientos del personal del Sistema Municipal de acuerdo con las disposiciones jurídicas aplicables;</w:t>
      </w:r>
    </w:p>
    <w:p w14:paraId="24CBA96F" w14:textId="7777777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p>
    <w:p w14:paraId="2EB8740D" w14:textId="77777777"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b/>
          <w:i/>
        </w:rPr>
        <w:t>Artículo 13 Bis-E</w:t>
      </w:r>
      <w:r w:rsidRPr="002F0087">
        <w:rPr>
          <w:rFonts w:ascii="Palatino Linotype" w:hAnsi="Palatino Linotype" w:cs="Arial"/>
          <w:i/>
        </w:rPr>
        <w:t>.- La Presidencia tendrá las atribuciones y obligaciones siguientes:</w:t>
      </w:r>
    </w:p>
    <w:p w14:paraId="51EF30AB" w14:textId="514F8120" w:rsidR="00447A66" w:rsidRPr="002F0087" w:rsidRDefault="00447A6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i/>
        </w:rPr>
        <w:t>…</w:t>
      </w:r>
    </w:p>
    <w:p w14:paraId="702D7F21" w14:textId="45481C7D"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i/>
        </w:rPr>
        <w:lastRenderedPageBreak/>
        <w:t>IX. Proponer a la Junta de Gobierno los nombramiento</w:t>
      </w:r>
      <w:r w:rsidR="00447A66" w:rsidRPr="002F0087">
        <w:rPr>
          <w:rFonts w:ascii="Palatino Linotype" w:hAnsi="Palatino Linotype" w:cs="Arial"/>
          <w:i/>
        </w:rPr>
        <w:t xml:space="preserve">s y remociones del personal del </w:t>
      </w:r>
      <w:r w:rsidRPr="002F0087">
        <w:rPr>
          <w:rFonts w:ascii="Palatino Linotype" w:hAnsi="Palatino Linotype" w:cs="Arial"/>
          <w:i/>
        </w:rPr>
        <w:t>Organismo;</w:t>
      </w:r>
    </w:p>
    <w:p w14:paraId="0C94D8A6" w14:textId="77777777" w:rsidR="00447A66" w:rsidRPr="002F0087" w:rsidRDefault="00447A66" w:rsidP="002F0087">
      <w:pPr>
        <w:pStyle w:val="Prrafodelista"/>
        <w:tabs>
          <w:tab w:val="left" w:pos="0"/>
        </w:tabs>
        <w:spacing w:line="360" w:lineRule="auto"/>
        <w:ind w:left="851" w:right="616"/>
        <w:jc w:val="both"/>
        <w:rPr>
          <w:rFonts w:ascii="Palatino Linotype" w:hAnsi="Palatino Linotype" w:cs="Arial"/>
          <w:i/>
        </w:rPr>
      </w:pPr>
    </w:p>
    <w:p w14:paraId="75C8C514" w14:textId="70D071FA" w:rsidR="00986726" w:rsidRPr="002F0087" w:rsidRDefault="00986726" w:rsidP="002F0087">
      <w:pPr>
        <w:pStyle w:val="Prrafodelista"/>
        <w:tabs>
          <w:tab w:val="left" w:pos="0"/>
        </w:tabs>
        <w:spacing w:line="360" w:lineRule="auto"/>
        <w:ind w:left="851" w:right="616"/>
        <w:jc w:val="both"/>
        <w:rPr>
          <w:rFonts w:ascii="Palatino Linotype" w:hAnsi="Palatino Linotype" w:cs="Arial"/>
          <w:i/>
        </w:rPr>
      </w:pPr>
      <w:r w:rsidRPr="002F0087">
        <w:rPr>
          <w:rFonts w:ascii="Palatino Linotype" w:hAnsi="Palatino Linotype" w:cs="Arial"/>
          <w:b/>
          <w:i/>
        </w:rPr>
        <w:t>Artículo 15 Bis</w:t>
      </w:r>
      <w:r w:rsidRPr="002F0087">
        <w:rPr>
          <w:rFonts w:ascii="Palatino Linotype" w:hAnsi="Palatino Linotype" w:cs="Arial"/>
          <w:i/>
        </w:rPr>
        <w:t>.- Los servidores públicos del organ</w:t>
      </w:r>
      <w:r w:rsidR="00447A66" w:rsidRPr="002F0087">
        <w:rPr>
          <w:rFonts w:ascii="Palatino Linotype" w:hAnsi="Palatino Linotype" w:cs="Arial"/>
          <w:i/>
        </w:rPr>
        <w:t xml:space="preserve">ismo además de las atribuciones </w:t>
      </w:r>
      <w:r w:rsidRPr="002F0087">
        <w:rPr>
          <w:rFonts w:ascii="Palatino Linotype" w:hAnsi="Palatino Linotype" w:cs="Arial"/>
          <w:i/>
        </w:rPr>
        <w:t>señaladas en la presente Ley, tendrán las funciones y atribuciones contenidas en sus</w:t>
      </w:r>
      <w:r w:rsidR="00447A66" w:rsidRPr="002F0087">
        <w:rPr>
          <w:rFonts w:ascii="Palatino Linotype" w:hAnsi="Palatino Linotype" w:cs="Arial"/>
          <w:i/>
        </w:rPr>
        <w:t xml:space="preserve"> </w:t>
      </w:r>
      <w:r w:rsidRPr="002F0087">
        <w:rPr>
          <w:rFonts w:ascii="Palatino Linotype" w:hAnsi="Palatino Linotype" w:cs="Arial"/>
          <w:i/>
        </w:rPr>
        <w:t xml:space="preserve">reglamentos interiores, manuales, acuerdos, circulares y </w:t>
      </w:r>
      <w:r w:rsidR="00447A66" w:rsidRPr="002F0087">
        <w:rPr>
          <w:rFonts w:ascii="Palatino Linotype" w:hAnsi="Palatino Linotype" w:cs="Arial"/>
          <w:i/>
        </w:rPr>
        <w:t xml:space="preserve">otras disposiciones legales que </w:t>
      </w:r>
      <w:r w:rsidRPr="002F0087">
        <w:rPr>
          <w:rFonts w:ascii="Palatino Linotype" w:hAnsi="Palatino Linotype" w:cs="Arial"/>
          <w:i/>
        </w:rPr>
        <w:t>tiendan a regular el funcionamiento del Organismo y serán responsables del ejercicio de</w:t>
      </w:r>
      <w:r w:rsidR="00447A66" w:rsidRPr="002F0087">
        <w:rPr>
          <w:rFonts w:ascii="Palatino Linotype" w:hAnsi="Palatino Linotype" w:cs="Arial"/>
          <w:i/>
        </w:rPr>
        <w:t xml:space="preserve"> </w:t>
      </w:r>
      <w:r w:rsidRPr="002F0087">
        <w:rPr>
          <w:rFonts w:ascii="Palatino Linotype" w:hAnsi="Palatino Linotype" w:cs="Arial"/>
          <w:i/>
        </w:rPr>
        <w:t>las funciones propias de su competencia.</w:t>
      </w:r>
      <w:r w:rsidR="00447A66" w:rsidRPr="002F0087">
        <w:rPr>
          <w:rFonts w:ascii="Palatino Linotype" w:hAnsi="Palatino Linotype" w:cs="Arial"/>
          <w:i/>
        </w:rPr>
        <w:t>”</w:t>
      </w:r>
    </w:p>
    <w:p w14:paraId="5B7747F3" w14:textId="77777777" w:rsidR="00447A66" w:rsidRPr="002F0087" w:rsidRDefault="00447A66" w:rsidP="002F0087">
      <w:pPr>
        <w:pStyle w:val="Prrafodelista"/>
        <w:tabs>
          <w:tab w:val="left" w:pos="0"/>
        </w:tabs>
        <w:spacing w:line="360" w:lineRule="auto"/>
        <w:ind w:left="851" w:right="616"/>
        <w:jc w:val="both"/>
        <w:rPr>
          <w:rFonts w:ascii="Palatino Linotype" w:hAnsi="Palatino Linotype" w:cs="Arial"/>
          <w:i/>
        </w:rPr>
      </w:pPr>
    </w:p>
    <w:p w14:paraId="1E50EBA5" w14:textId="77777777" w:rsidR="004D7F8E" w:rsidRPr="002F0087" w:rsidRDefault="00DB6DD3" w:rsidP="002F0087">
      <w:pPr>
        <w:pStyle w:val="Prrafodelista"/>
        <w:numPr>
          <w:ilvl w:val="0"/>
          <w:numId w:val="1"/>
        </w:numPr>
        <w:tabs>
          <w:tab w:val="left" w:pos="0"/>
        </w:tabs>
        <w:spacing w:line="360" w:lineRule="auto"/>
        <w:ind w:left="0" w:right="49" w:firstLine="0"/>
        <w:jc w:val="both"/>
        <w:rPr>
          <w:rFonts w:ascii="Palatino Linotype" w:eastAsia="Arial Unicode MS" w:hAnsi="Palatino Linotype" w:cs="Arial"/>
        </w:rPr>
      </w:pPr>
      <w:r w:rsidRPr="002F0087">
        <w:rPr>
          <w:rFonts w:ascii="Palatino Linotype" w:eastAsia="Arial Unicode MS" w:hAnsi="Palatino Linotype" w:cs="Arial"/>
        </w:rPr>
        <w:t xml:space="preserve">En este orden de ideas, el ordenamiento jurídico citado </w:t>
      </w:r>
      <w:r w:rsidR="004D7F8E" w:rsidRPr="002F0087">
        <w:rPr>
          <w:rFonts w:ascii="Palatino Linotype" w:eastAsia="Arial Unicode MS" w:hAnsi="Palatino Linotype" w:cs="Arial"/>
        </w:rPr>
        <w:t xml:space="preserve">no establece como requisito presentar </w:t>
      </w:r>
      <w:proofErr w:type="spellStart"/>
      <w:r w:rsidR="004D7F8E" w:rsidRPr="002F0087">
        <w:rPr>
          <w:rFonts w:ascii="Palatino Linotype" w:eastAsia="Arial Unicode MS" w:hAnsi="Palatino Linotype" w:cs="Arial"/>
        </w:rPr>
        <w:t>curriculum</w:t>
      </w:r>
      <w:proofErr w:type="spellEnd"/>
      <w:r w:rsidR="004D7F8E" w:rsidRPr="002F0087">
        <w:rPr>
          <w:rFonts w:ascii="Palatino Linotype" w:eastAsia="Arial Unicode MS" w:hAnsi="Palatino Linotype" w:cs="Arial"/>
        </w:rPr>
        <w:t xml:space="preserve"> o documentos que acrediten el grado máximo de estudios para ser nombrado como servidor público con excepción del Tesorero que será el responsable del manejo del presupuesto de Sistema Municipal y de la administración de los recursos que conforman el patrimonio del Organismo.</w:t>
      </w:r>
    </w:p>
    <w:p w14:paraId="221428A4" w14:textId="705697F6" w:rsidR="00DB6DD3" w:rsidRPr="002F0087" w:rsidRDefault="00DB6DD3" w:rsidP="002F0087">
      <w:pPr>
        <w:pStyle w:val="Prrafodelista"/>
        <w:tabs>
          <w:tab w:val="left" w:pos="0"/>
        </w:tabs>
        <w:spacing w:line="360" w:lineRule="auto"/>
        <w:ind w:left="0" w:right="49"/>
        <w:jc w:val="both"/>
        <w:rPr>
          <w:rFonts w:ascii="Palatino Linotype" w:eastAsia="Arial Unicode MS" w:hAnsi="Palatino Linotype" w:cs="Arial"/>
        </w:rPr>
      </w:pPr>
    </w:p>
    <w:p w14:paraId="55FFB774" w14:textId="0C690F5F" w:rsidR="004D7F8E" w:rsidRPr="002F0087" w:rsidRDefault="002B4B4F" w:rsidP="002F0087">
      <w:pPr>
        <w:pStyle w:val="Prrafodelista"/>
        <w:numPr>
          <w:ilvl w:val="0"/>
          <w:numId w:val="1"/>
        </w:numPr>
        <w:tabs>
          <w:tab w:val="left" w:pos="0"/>
        </w:tabs>
        <w:spacing w:line="360" w:lineRule="auto"/>
        <w:ind w:left="0" w:right="49" w:firstLine="0"/>
        <w:jc w:val="both"/>
        <w:rPr>
          <w:rFonts w:ascii="Palatino Linotype" w:eastAsia="Arial Unicode MS" w:hAnsi="Palatino Linotype" w:cs="Arial"/>
        </w:rPr>
      </w:pPr>
      <w:r w:rsidRPr="002F0087">
        <w:rPr>
          <w:rFonts w:ascii="Palatino Linotype" w:eastAsia="Arial Unicode MS" w:hAnsi="Palatino Linotype" w:cs="Arial"/>
        </w:rPr>
        <w:t xml:space="preserve">En el caso </w:t>
      </w:r>
      <w:r w:rsidR="004D7F8E" w:rsidRPr="002F0087">
        <w:rPr>
          <w:rFonts w:ascii="Palatino Linotype" w:eastAsia="Arial Unicode MS" w:hAnsi="Palatino Linotype" w:cs="Arial"/>
        </w:rPr>
        <w:t>del Tesorero del Sistema Municipal, el art</w:t>
      </w:r>
      <w:r w:rsidRPr="002F0087">
        <w:rPr>
          <w:rFonts w:ascii="Palatino Linotype" w:eastAsia="Arial Unicode MS" w:hAnsi="Palatino Linotype" w:cs="Arial"/>
        </w:rPr>
        <w:t>ículo 15 Ter de la Ley que crea los Organismos Públicos Descentralizados e</w:t>
      </w:r>
      <w:r w:rsidR="004D7F8E" w:rsidRPr="002F0087">
        <w:rPr>
          <w:rFonts w:ascii="Palatino Linotype" w:eastAsia="Arial Unicode MS" w:hAnsi="Palatino Linotype" w:cs="Arial"/>
        </w:rPr>
        <w:t xml:space="preserve">stablece que para ocupar el cargo deberá acreditar tener los conocimientos suficientes para desempeñar el cargo, contar con título profesional en las áreas económicas o contable-administrativas y con la certificación expedida por el Instituto Hacendario del Estado de México. </w:t>
      </w:r>
    </w:p>
    <w:p w14:paraId="3A47A71E" w14:textId="2E81254A" w:rsidR="00AE1ABE" w:rsidRPr="002F0087" w:rsidRDefault="00AE1ABE" w:rsidP="002F0087">
      <w:pPr>
        <w:numPr>
          <w:ilvl w:val="0"/>
          <w:numId w:val="1"/>
        </w:numPr>
        <w:spacing w:line="360" w:lineRule="auto"/>
        <w:ind w:left="0" w:right="34" w:firstLine="0"/>
        <w:contextualSpacing/>
        <w:jc w:val="both"/>
        <w:rPr>
          <w:rFonts w:ascii="Palatino Linotype" w:eastAsia="MS Mincho" w:hAnsi="Palatino Linotype" w:cs="Arial"/>
        </w:rPr>
      </w:pPr>
      <w:r w:rsidRPr="002F0087">
        <w:rPr>
          <w:rFonts w:ascii="Palatino Linotype" w:eastAsia="MS Mincho" w:hAnsi="Palatino Linotype" w:cs="Arial"/>
        </w:rPr>
        <w:lastRenderedPageBreak/>
        <w:t>En este sentido,</w:t>
      </w:r>
      <w:r w:rsidR="00454E3E" w:rsidRPr="002F0087">
        <w:rPr>
          <w:rFonts w:ascii="Palatino Linotype" w:eastAsia="MS Mincho" w:hAnsi="Palatino Linotype" w:cs="Arial"/>
        </w:rPr>
        <w:t xml:space="preserve"> si bien es cierto, únicamente el Tesorero Municipal debe acreditar tener los conocimientos suficientes para desempeñar el cargo, también lo es que en el expedientes de los servidores públicos de mandos medios y superiores pudiera obrar la documentación que acredite su grado máximo de estudios, </w:t>
      </w:r>
      <w:r w:rsidRPr="002F0087">
        <w:rPr>
          <w:rFonts w:ascii="Palatino Linotype" w:eastAsia="MS Mincho" w:hAnsi="Palatino Linotype" w:cs="Arial"/>
        </w:rPr>
        <w:t xml:space="preserve"> el Sujeto Obligado </w:t>
      </w:r>
      <w:r w:rsidR="00454E3E" w:rsidRPr="002F0087">
        <w:rPr>
          <w:rFonts w:ascii="Palatino Linotype" w:eastAsia="MS Mincho" w:hAnsi="Palatino Linotype" w:cs="Arial"/>
        </w:rPr>
        <w:t>deberá entregar la información</w:t>
      </w:r>
      <w:r w:rsidRPr="002F0087">
        <w:rPr>
          <w:rFonts w:ascii="Palatino Linotype" w:eastAsia="MS Mincho" w:hAnsi="Palatino Linotype" w:cs="Arial"/>
        </w:rPr>
        <w:t xml:space="preserve"> solicitada por </w:t>
      </w:r>
      <w:r w:rsidRPr="002F0087">
        <w:rPr>
          <w:rFonts w:ascii="Palatino Linotype" w:eastAsia="MS Mincho" w:hAnsi="Palatino Linotype" w:cs="Arial"/>
          <w:lang w:eastAsia="es-MX"/>
        </w:rPr>
        <w:t>el Recurrente</w:t>
      </w:r>
      <w:r w:rsidRPr="002F0087">
        <w:rPr>
          <w:rFonts w:ascii="Palatino Linotype" w:eastAsia="MS Mincho" w:hAnsi="Palatino Linotype" w:cs="Arial"/>
        </w:rPr>
        <w:t xml:space="preserve">, de acuerdo a lo dispuesto por los artículos 3, fracción XI y 12 </w:t>
      </w:r>
      <w:r w:rsidRPr="002F0087">
        <w:rPr>
          <w:rFonts w:ascii="Palatino Linotype" w:eastAsia="MS Mincho" w:hAnsi="Palatino Linotype" w:cs="Arial"/>
          <w:bCs/>
        </w:rPr>
        <w:t>de la Ley de Transparencia y Acceso a la Información Pública del Estado de México y Municipios</w:t>
      </w:r>
      <w:r w:rsidRPr="002F0087">
        <w:rPr>
          <w:rFonts w:ascii="Palatino Linotype" w:eastAsia="MS Mincho" w:hAnsi="Palatino Linotype" w:cs="Arial"/>
        </w:rPr>
        <w:t>, de los cuales se desprende que es información pública la contenida en los documentos que los Sujetos Obligados generen, administren o se encuentre en su posesión en ejercicio de sus atribuciones.</w:t>
      </w:r>
    </w:p>
    <w:p w14:paraId="69E2F0C7" w14:textId="77777777" w:rsidR="00AE1ABE" w:rsidRPr="002F0087" w:rsidRDefault="00AE1ABE" w:rsidP="002F0087">
      <w:pPr>
        <w:spacing w:line="360" w:lineRule="auto"/>
        <w:ind w:right="34"/>
        <w:contextualSpacing/>
        <w:jc w:val="both"/>
        <w:rPr>
          <w:rFonts w:ascii="Palatino Linotype" w:eastAsia="MS Mincho" w:hAnsi="Palatino Linotype" w:cs="Arial"/>
        </w:rPr>
      </w:pPr>
    </w:p>
    <w:p w14:paraId="423BFC0D" w14:textId="77777777" w:rsidR="00AE1ABE" w:rsidRPr="002F0087" w:rsidRDefault="00AE1ABE" w:rsidP="002F0087">
      <w:pPr>
        <w:numPr>
          <w:ilvl w:val="0"/>
          <w:numId w:val="1"/>
        </w:numPr>
        <w:spacing w:line="360" w:lineRule="auto"/>
        <w:ind w:left="0" w:right="34" w:firstLine="0"/>
        <w:contextualSpacing/>
        <w:jc w:val="both"/>
        <w:rPr>
          <w:rFonts w:ascii="Palatino Linotype" w:eastAsia="MS Mincho" w:hAnsi="Palatino Linotype" w:cs="Arial"/>
        </w:rPr>
      </w:pPr>
      <w:r w:rsidRPr="002F0087">
        <w:rPr>
          <w:rFonts w:ascii="Palatino Linotype" w:eastAsia="MS Mincho" w:hAnsi="Palatino Linotype" w:cs="Arial"/>
        </w:rPr>
        <w:t xml:space="preserve">Siendo aplicable, el criterio </w:t>
      </w:r>
      <w:r w:rsidRPr="002F0087">
        <w:rPr>
          <w:rFonts w:ascii="Palatino Linotype" w:eastAsia="MS Mincho"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2F0087">
        <w:rPr>
          <w:rFonts w:ascii="Palatino Linotype" w:eastAsia="MS Mincho" w:hAnsi="Palatino Linotype" w:cs="Arial"/>
        </w:rPr>
        <w:t>cuyo rubro y texto dispone:</w:t>
      </w:r>
    </w:p>
    <w:p w14:paraId="12415EEF" w14:textId="77777777" w:rsidR="00AE1ABE" w:rsidRPr="002F0087" w:rsidRDefault="00AE1ABE" w:rsidP="002F0087">
      <w:pPr>
        <w:spacing w:line="360" w:lineRule="auto"/>
        <w:contextualSpacing/>
        <w:rPr>
          <w:rFonts w:ascii="Palatino Linotype" w:eastAsia="MS Mincho" w:hAnsi="Palatino Linotype" w:cs="Arial"/>
        </w:rPr>
      </w:pPr>
    </w:p>
    <w:p w14:paraId="70E3B2FD" w14:textId="77777777" w:rsidR="00AE1ABE" w:rsidRDefault="00AE1ABE" w:rsidP="002F0087">
      <w:pPr>
        <w:spacing w:line="360" w:lineRule="auto"/>
        <w:ind w:right="34"/>
        <w:contextualSpacing/>
        <w:jc w:val="both"/>
        <w:rPr>
          <w:rFonts w:ascii="Palatino Linotype" w:eastAsia="MS Mincho" w:hAnsi="Palatino Linotype" w:cs="Arial"/>
        </w:rPr>
      </w:pPr>
    </w:p>
    <w:p w14:paraId="2B7BF822" w14:textId="77777777" w:rsidR="002F0087" w:rsidRDefault="002F0087" w:rsidP="002F0087">
      <w:pPr>
        <w:spacing w:line="360" w:lineRule="auto"/>
        <w:ind w:right="34"/>
        <w:contextualSpacing/>
        <w:jc w:val="both"/>
        <w:rPr>
          <w:rFonts w:ascii="Palatino Linotype" w:eastAsia="MS Mincho" w:hAnsi="Palatino Linotype" w:cs="Arial"/>
        </w:rPr>
      </w:pPr>
    </w:p>
    <w:p w14:paraId="4DEAF390" w14:textId="77777777" w:rsidR="002F0087" w:rsidRDefault="002F0087" w:rsidP="002F0087">
      <w:pPr>
        <w:spacing w:line="360" w:lineRule="auto"/>
        <w:ind w:right="34"/>
        <w:contextualSpacing/>
        <w:jc w:val="both"/>
        <w:rPr>
          <w:rFonts w:ascii="Palatino Linotype" w:eastAsia="MS Mincho" w:hAnsi="Palatino Linotype" w:cs="Arial"/>
        </w:rPr>
      </w:pPr>
    </w:p>
    <w:p w14:paraId="498EB287" w14:textId="77777777" w:rsidR="002F0087" w:rsidRPr="002F0087" w:rsidRDefault="002F0087" w:rsidP="002F0087">
      <w:pPr>
        <w:spacing w:line="360" w:lineRule="auto"/>
        <w:ind w:right="34"/>
        <w:contextualSpacing/>
        <w:jc w:val="both"/>
        <w:rPr>
          <w:rFonts w:ascii="Palatino Linotype" w:eastAsia="MS Mincho" w:hAnsi="Palatino Linotype" w:cs="Arial"/>
        </w:rPr>
      </w:pPr>
    </w:p>
    <w:p w14:paraId="6A568EA4" w14:textId="77777777" w:rsidR="00AE1ABE" w:rsidRPr="002F0087" w:rsidRDefault="00AE1ABE" w:rsidP="002F0087">
      <w:pPr>
        <w:spacing w:line="360" w:lineRule="auto"/>
        <w:ind w:right="757"/>
        <w:jc w:val="center"/>
        <w:rPr>
          <w:rFonts w:ascii="Palatino Linotype" w:eastAsia="MS Mincho" w:hAnsi="Palatino Linotype" w:cs="Arial"/>
          <w:b/>
          <w:i/>
        </w:rPr>
      </w:pPr>
      <w:r w:rsidRPr="002F0087">
        <w:rPr>
          <w:rFonts w:ascii="Palatino Linotype" w:eastAsia="MS Mincho" w:hAnsi="Palatino Linotype" w:cs="Arial"/>
          <w:b/>
          <w:i/>
        </w:rPr>
        <w:lastRenderedPageBreak/>
        <w:t>“CRITERIO 0002-11</w:t>
      </w:r>
    </w:p>
    <w:p w14:paraId="15AB17CD" w14:textId="77777777" w:rsidR="00AE1ABE" w:rsidRPr="002F0087" w:rsidRDefault="00AE1ABE" w:rsidP="002F0087">
      <w:pPr>
        <w:spacing w:line="360" w:lineRule="auto"/>
        <w:ind w:right="757"/>
        <w:jc w:val="center"/>
        <w:rPr>
          <w:rFonts w:ascii="Palatino Linotype" w:eastAsia="MS Mincho" w:hAnsi="Palatino Linotype" w:cs="Arial"/>
          <w:b/>
          <w:i/>
        </w:rPr>
      </w:pPr>
    </w:p>
    <w:p w14:paraId="5FBCCE5D" w14:textId="77777777" w:rsidR="00AE1ABE" w:rsidRPr="002F0087" w:rsidRDefault="00AE1ABE" w:rsidP="002F0087">
      <w:pPr>
        <w:spacing w:line="360" w:lineRule="auto"/>
        <w:ind w:right="616"/>
        <w:jc w:val="both"/>
        <w:rPr>
          <w:rFonts w:ascii="Palatino Linotype" w:eastAsia="MS Mincho" w:hAnsi="Palatino Linotype" w:cs="Arial"/>
          <w:i/>
        </w:rPr>
      </w:pPr>
      <w:r w:rsidRPr="002F0087">
        <w:rPr>
          <w:rFonts w:ascii="Palatino Linotype" w:eastAsia="MS Mincho" w:hAnsi="Palatino Linotype" w:cs="Arial"/>
          <w:b/>
          <w:i/>
        </w:rPr>
        <w:t xml:space="preserve">INFORMACIÓN PÚBLICA, CONCEPTO DE, EN MATERIA DE TRANSPARENCIA. INTERPRETACIÓN TEMÁTICA DE LOS ARTÍCULOS 2, FRACCIÓN </w:t>
      </w:r>
      <w:r w:rsidRPr="002F0087">
        <w:rPr>
          <w:rFonts w:ascii="Palatino Linotype" w:eastAsia="MS Mincho" w:hAnsi="Palatino Linotype" w:cs="Arial"/>
          <w:b/>
          <w:bCs/>
          <w:i/>
        </w:rPr>
        <w:t xml:space="preserve">V, XV, Y XVI, </w:t>
      </w:r>
      <w:r w:rsidRPr="002F0087">
        <w:rPr>
          <w:rFonts w:ascii="Palatino Linotype" w:eastAsia="MS Mincho" w:hAnsi="Palatino Linotype" w:cs="Arial"/>
          <w:b/>
          <w:i/>
        </w:rPr>
        <w:t>3, 4, 11 Y 41.</w:t>
      </w:r>
      <w:r w:rsidRPr="002F0087">
        <w:rPr>
          <w:rFonts w:ascii="Palatino Linotype" w:eastAsia="MS Mincho"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45BD25" w14:textId="77777777" w:rsidR="00AE1ABE" w:rsidRPr="002F0087" w:rsidRDefault="00AE1ABE" w:rsidP="002F0087">
      <w:pPr>
        <w:spacing w:line="360" w:lineRule="auto"/>
        <w:ind w:right="616"/>
        <w:jc w:val="both"/>
        <w:rPr>
          <w:rFonts w:ascii="Palatino Linotype" w:eastAsia="MS Mincho" w:hAnsi="Palatino Linotype" w:cs="Arial"/>
          <w:i/>
        </w:rPr>
      </w:pPr>
      <w:r w:rsidRPr="002F0087">
        <w:rPr>
          <w:rFonts w:ascii="Palatino Linotype" w:eastAsia="MS Mincho" w:hAnsi="Palatino Linotype" w:cs="Arial"/>
          <w:i/>
        </w:rPr>
        <w:t>En consecuencia el acceso a la información se refiere a que se cumplan cualquiera de los siguientes tres supuestos:</w:t>
      </w:r>
    </w:p>
    <w:p w14:paraId="74475A0D" w14:textId="77777777" w:rsidR="00454E3E" w:rsidRPr="002F0087" w:rsidRDefault="00454E3E" w:rsidP="002F0087">
      <w:pPr>
        <w:spacing w:line="360" w:lineRule="auto"/>
        <w:ind w:right="616"/>
        <w:jc w:val="both"/>
        <w:rPr>
          <w:rFonts w:ascii="Palatino Linotype" w:eastAsia="MS Mincho" w:hAnsi="Palatino Linotype" w:cs="Arial"/>
          <w:i/>
        </w:rPr>
      </w:pPr>
    </w:p>
    <w:p w14:paraId="33761BD8" w14:textId="77777777" w:rsidR="00AE1ABE" w:rsidRPr="002F0087" w:rsidRDefault="00AE1ABE" w:rsidP="002F0087">
      <w:pPr>
        <w:spacing w:line="360" w:lineRule="auto"/>
        <w:ind w:right="616"/>
        <w:jc w:val="both"/>
        <w:rPr>
          <w:rFonts w:ascii="Palatino Linotype" w:eastAsia="MS Mincho" w:hAnsi="Palatino Linotype" w:cs="Arial"/>
          <w:i/>
        </w:rPr>
      </w:pPr>
      <w:r w:rsidRPr="002F0087">
        <w:rPr>
          <w:rFonts w:ascii="Palatino Linotype" w:eastAsia="MS Mincho" w:hAnsi="Palatino Linotype" w:cs="Arial"/>
          <w:i/>
        </w:rPr>
        <w:t>1) Que se trate de información registrada en cualquier soporte documental, que en ejercicio de las atribuciones conferidas, sea generada por los Sujetos Obligados;</w:t>
      </w:r>
    </w:p>
    <w:p w14:paraId="5516FA6B" w14:textId="77777777" w:rsidR="00AE1ABE" w:rsidRPr="002F0087" w:rsidRDefault="00AE1ABE" w:rsidP="002F0087">
      <w:pPr>
        <w:spacing w:line="360" w:lineRule="auto"/>
        <w:ind w:right="616"/>
        <w:jc w:val="both"/>
        <w:rPr>
          <w:rFonts w:ascii="Palatino Linotype" w:eastAsia="MS Mincho" w:hAnsi="Palatino Linotype" w:cs="Arial"/>
          <w:i/>
        </w:rPr>
      </w:pPr>
    </w:p>
    <w:p w14:paraId="6D91C99D" w14:textId="77777777" w:rsidR="00AE1ABE" w:rsidRPr="002F0087" w:rsidRDefault="00AE1ABE" w:rsidP="002F0087">
      <w:pPr>
        <w:spacing w:line="360" w:lineRule="auto"/>
        <w:ind w:right="616"/>
        <w:jc w:val="both"/>
        <w:rPr>
          <w:rFonts w:ascii="Palatino Linotype" w:eastAsia="MS Mincho" w:hAnsi="Palatino Linotype" w:cs="Arial"/>
          <w:i/>
        </w:rPr>
      </w:pPr>
      <w:r w:rsidRPr="002F0087">
        <w:rPr>
          <w:rFonts w:ascii="Palatino Linotype" w:eastAsia="MS Mincho" w:hAnsi="Palatino Linotype" w:cs="Arial"/>
          <w:i/>
        </w:rPr>
        <w:t>2) Que se trate de información registrada en cualquier soporte documental, que en ejercicio de las atribuciones conferidas, sea administrada por los Sujetos Obligados, y</w:t>
      </w:r>
    </w:p>
    <w:p w14:paraId="4510A04B" w14:textId="77777777" w:rsidR="00454E3E" w:rsidRPr="002F0087" w:rsidRDefault="00454E3E" w:rsidP="002F0087">
      <w:pPr>
        <w:spacing w:line="360" w:lineRule="auto"/>
        <w:ind w:right="616"/>
        <w:jc w:val="both"/>
        <w:rPr>
          <w:rFonts w:ascii="Palatino Linotype" w:eastAsia="MS Mincho" w:hAnsi="Palatino Linotype" w:cs="Arial"/>
          <w:i/>
        </w:rPr>
      </w:pPr>
    </w:p>
    <w:p w14:paraId="002D3559" w14:textId="0263CF5F" w:rsidR="00AE1ABE" w:rsidRPr="002F0087" w:rsidRDefault="00AE1ABE" w:rsidP="002F0087">
      <w:pPr>
        <w:spacing w:line="360" w:lineRule="auto"/>
        <w:ind w:right="616"/>
        <w:jc w:val="both"/>
        <w:rPr>
          <w:rFonts w:ascii="Palatino Linotype" w:eastAsia="MS Mincho" w:hAnsi="Palatino Linotype" w:cs="Arial"/>
          <w:i/>
        </w:rPr>
      </w:pPr>
      <w:r w:rsidRPr="002F0087">
        <w:rPr>
          <w:rFonts w:ascii="Palatino Linotype" w:eastAsia="MS Mincho" w:hAnsi="Palatino Linotype" w:cs="Arial"/>
          <w:i/>
        </w:rPr>
        <w:t xml:space="preserve">3) </w:t>
      </w:r>
      <w:r w:rsidRPr="002F0087">
        <w:rPr>
          <w:rFonts w:ascii="Palatino Linotype" w:eastAsia="MS Mincho" w:hAnsi="Palatino Linotype" w:cs="Arial"/>
          <w:b/>
          <w:i/>
        </w:rPr>
        <w:t>Que se trate de información registrada en cualquier soporte documental, que en ejercicio de las atribuciones conferidas, se encuentre en posesión de los Sujetos Obligados.”</w:t>
      </w:r>
      <w:r w:rsidRPr="002F0087">
        <w:rPr>
          <w:rFonts w:ascii="Palatino Linotype" w:eastAsia="MS Mincho" w:hAnsi="Palatino Linotype" w:cs="Arial"/>
          <w:i/>
        </w:rPr>
        <w:t xml:space="preserve"> </w:t>
      </w:r>
    </w:p>
    <w:p w14:paraId="61643B98" w14:textId="77777777" w:rsidR="00AE1ABE" w:rsidRPr="002F0087" w:rsidRDefault="00AE1ABE" w:rsidP="002F0087">
      <w:pPr>
        <w:spacing w:line="360" w:lineRule="auto"/>
        <w:ind w:right="616"/>
        <w:jc w:val="both"/>
        <w:rPr>
          <w:rFonts w:ascii="Palatino Linotype" w:eastAsia="MS Mincho" w:hAnsi="Palatino Linotype" w:cs="Times New Roman"/>
          <w:i/>
        </w:rPr>
      </w:pPr>
      <w:r w:rsidRPr="002F0087">
        <w:rPr>
          <w:rFonts w:ascii="Palatino Linotype" w:eastAsia="MS Mincho" w:hAnsi="Palatino Linotype" w:cs="Times New Roman"/>
          <w:i/>
        </w:rPr>
        <w:lastRenderedPageBreak/>
        <w:t>(Énfasis Añadido)</w:t>
      </w:r>
    </w:p>
    <w:p w14:paraId="5D4F3320" w14:textId="77777777" w:rsidR="00AE1ABE" w:rsidRPr="002F0087" w:rsidRDefault="00AE1ABE" w:rsidP="002F0087">
      <w:pPr>
        <w:spacing w:line="360" w:lineRule="auto"/>
        <w:ind w:right="616"/>
        <w:jc w:val="both"/>
        <w:rPr>
          <w:rFonts w:ascii="Palatino Linotype" w:eastAsia="MS Mincho" w:hAnsi="Palatino Linotype" w:cs="Times New Roman"/>
          <w:i/>
        </w:rPr>
      </w:pPr>
    </w:p>
    <w:p w14:paraId="426932FC" w14:textId="77777777" w:rsidR="00AE1ABE" w:rsidRPr="002F0087" w:rsidRDefault="00AE1ABE" w:rsidP="002F0087">
      <w:pPr>
        <w:numPr>
          <w:ilvl w:val="0"/>
          <w:numId w:val="1"/>
        </w:numPr>
        <w:spacing w:line="360" w:lineRule="auto"/>
        <w:ind w:left="0" w:right="34" w:firstLine="0"/>
        <w:contextualSpacing/>
        <w:jc w:val="both"/>
        <w:rPr>
          <w:rFonts w:ascii="Palatino Linotype" w:eastAsia="MS Mincho" w:hAnsi="Palatino Linotype" w:cs="Arial"/>
        </w:rPr>
      </w:pPr>
      <w:r w:rsidRPr="002F0087">
        <w:rPr>
          <w:rFonts w:ascii="Palatino Linotype" w:eastAsia="MS Mincho"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14:paraId="58D5B7A6" w14:textId="77777777" w:rsidR="00AE1ABE" w:rsidRPr="002F0087" w:rsidRDefault="00AE1ABE" w:rsidP="002F0087">
      <w:pPr>
        <w:spacing w:line="360" w:lineRule="auto"/>
        <w:ind w:left="567" w:right="616"/>
        <w:contextualSpacing/>
        <w:jc w:val="both"/>
        <w:rPr>
          <w:rFonts w:ascii="Palatino Linotype" w:eastAsia="MS Mincho" w:hAnsi="Palatino Linotype" w:cs="Arial"/>
        </w:rPr>
      </w:pPr>
    </w:p>
    <w:p w14:paraId="19F34DCC"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b/>
          <w:i/>
        </w:rPr>
        <w:t>“Artículo 3</w:t>
      </w:r>
      <w:r w:rsidRPr="002F0087">
        <w:rPr>
          <w:rFonts w:ascii="Palatino Linotype" w:eastAsia="MS Mincho" w:hAnsi="Palatino Linotype" w:cs="Arial"/>
          <w:i/>
        </w:rPr>
        <w:t xml:space="preserve">. </w:t>
      </w:r>
      <w:r w:rsidRPr="002F0087">
        <w:rPr>
          <w:rFonts w:ascii="Palatino Linotype" w:eastAsia="MS Mincho" w:hAnsi="Palatino Linotype" w:cs="Arial"/>
          <w:b/>
          <w:i/>
        </w:rPr>
        <w:t>Para los efectos de la presente Ley se entenderá por</w:t>
      </w:r>
      <w:r w:rsidRPr="002F0087">
        <w:rPr>
          <w:rFonts w:ascii="Palatino Linotype" w:eastAsia="MS Mincho" w:hAnsi="Palatino Linotype" w:cs="Arial"/>
          <w:i/>
        </w:rPr>
        <w:t xml:space="preserve">: </w:t>
      </w:r>
    </w:p>
    <w:p w14:paraId="25FC5391"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i/>
        </w:rPr>
        <w:t>…</w:t>
      </w:r>
    </w:p>
    <w:p w14:paraId="5C1EADF4"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b/>
          <w:i/>
        </w:rPr>
        <w:t>XXXIX</w:t>
      </w:r>
      <w:r w:rsidRPr="002F0087">
        <w:rPr>
          <w:rFonts w:ascii="Palatino Linotype" w:eastAsia="MS Mincho" w:hAnsi="Palatino Linotype" w:cs="Arial"/>
          <w:i/>
        </w:rPr>
        <w:t xml:space="preserve">. </w:t>
      </w:r>
      <w:r w:rsidRPr="002F0087">
        <w:rPr>
          <w:rFonts w:ascii="Palatino Linotype" w:eastAsia="MS Mincho" w:hAnsi="Palatino Linotype" w:cs="Arial"/>
          <w:b/>
          <w:i/>
        </w:rPr>
        <w:t>Servidor público habilitado</w:t>
      </w:r>
      <w:r w:rsidRPr="002F0087">
        <w:rPr>
          <w:rFonts w:ascii="Palatino Linotype" w:eastAsia="MS Mincho" w:hAnsi="Palatino Linotype" w:cs="Arial"/>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0044009"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i/>
        </w:rPr>
        <w:t>…</w:t>
      </w:r>
    </w:p>
    <w:p w14:paraId="5E195D4E"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b/>
          <w:i/>
        </w:rPr>
        <w:t>Artículo 59</w:t>
      </w:r>
      <w:r w:rsidRPr="002F0087">
        <w:rPr>
          <w:rFonts w:ascii="Palatino Linotype" w:eastAsia="MS Mincho" w:hAnsi="Palatino Linotype" w:cs="Arial"/>
          <w:i/>
        </w:rPr>
        <w:t xml:space="preserve">. </w:t>
      </w:r>
      <w:r w:rsidRPr="002F0087">
        <w:rPr>
          <w:rFonts w:ascii="Palatino Linotype" w:eastAsia="MS Mincho" w:hAnsi="Palatino Linotype" w:cs="Arial"/>
          <w:b/>
          <w:i/>
        </w:rPr>
        <w:t>Los servidores públicos habilitados tendrán las funciones siguientes</w:t>
      </w:r>
      <w:r w:rsidRPr="002F0087">
        <w:rPr>
          <w:rFonts w:ascii="Palatino Linotype" w:eastAsia="MS Mincho" w:hAnsi="Palatino Linotype" w:cs="Arial"/>
          <w:i/>
        </w:rPr>
        <w:t xml:space="preserve">: </w:t>
      </w:r>
    </w:p>
    <w:p w14:paraId="0E1D507B" w14:textId="77777777" w:rsidR="00AE1ABE" w:rsidRPr="002F0087" w:rsidRDefault="00AE1ABE" w:rsidP="002F0087">
      <w:pPr>
        <w:spacing w:line="360" w:lineRule="auto"/>
        <w:ind w:left="567" w:right="616"/>
        <w:jc w:val="both"/>
        <w:rPr>
          <w:rFonts w:ascii="Palatino Linotype" w:eastAsia="MS Mincho" w:hAnsi="Palatino Linotype" w:cs="Arial"/>
          <w:i/>
        </w:rPr>
      </w:pPr>
    </w:p>
    <w:p w14:paraId="15A53BAE"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b/>
          <w:i/>
        </w:rPr>
        <w:t>I. Localizar la información que le solicite la Unidad de Transparencia</w:t>
      </w:r>
      <w:r w:rsidRPr="002F0087">
        <w:rPr>
          <w:rFonts w:ascii="Palatino Linotype" w:eastAsia="MS Mincho" w:hAnsi="Palatino Linotype" w:cs="Arial"/>
          <w:i/>
        </w:rPr>
        <w:t xml:space="preserve">; </w:t>
      </w:r>
    </w:p>
    <w:p w14:paraId="7EEF3023" w14:textId="77777777" w:rsidR="00AE1ABE" w:rsidRPr="002F0087" w:rsidRDefault="00AE1ABE" w:rsidP="002F0087">
      <w:pPr>
        <w:spacing w:line="360" w:lineRule="auto"/>
        <w:ind w:left="567" w:right="616"/>
        <w:jc w:val="both"/>
        <w:rPr>
          <w:rFonts w:ascii="Palatino Linotype" w:eastAsia="MS Mincho" w:hAnsi="Palatino Linotype" w:cs="Arial"/>
          <w:i/>
        </w:rPr>
      </w:pPr>
    </w:p>
    <w:p w14:paraId="3916BC2E" w14:textId="77777777" w:rsidR="00AE1ABE" w:rsidRPr="002F0087" w:rsidRDefault="00AE1ABE" w:rsidP="002F0087">
      <w:pPr>
        <w:spacing w:line="360" w:lineRule="auto"/>
        <w:ind w:left="567" w:right="616"/>
        <w:jc w:val="both"/>
        <w:rPr>
          <w:rFonts w:ascii="Palatino Linotype" w:eastAsia="MS Mincho" w:hAnsi="Palatino Linotype" w:cs="Arial"/>
          <w:b/>
          <w:i/>
        </w:rPr>
      </w:pPr>
      <w:r w:rsidRPr="002F0087">
        <w:rPr>
          <w:rFonts w:ascii="Palatino Linotype" w:eastAsia="MS Mincho" w:hAnsi="Palatino Linotype" w:cs="Arial"/>
          <w:b/>
          <w:i/>
        </w:rPr>
        <w:t xml:space="preserve">II. Proporcionar la información que obre en los archivos y que le sea solicitada por la Unidad de Transparencia; </w:t>
      </w:r>
    </w:p>
    <w:p w14:paraId="383E0827" w14:textId="77777777" w:rsidR="00AE1ABE" w:rsidRPr="002F0087" w:rsidRDefault="00AE1ABE" w:rsidP="002F0087">
      <w:pPr>
        <w:spacing w:line="360" w:lineRule="auto"/>
        <w:ind w:left="567" w:right="616"/>
        <w:jc w:val="both"/>
        <w:rPr>
          <w:rFonts w:ascii="Palatino Linotype" w:eastAsia="MS Mincho" w:hAnsi="Palatino Linotype" w:cs="Arial"/>
          <w:b/>
          <w:i/>
        </w:rPr>
      </w:pPr>
    </w:p>
    <w:p w14:paraId="3ECB9909" w14:textId="77777777" w:rsidR="00AE1ABE" w:rsidRPr="002F0087" w:rsidRDefault="00AE1ABE" w:rsidP="002F0087">
      <w:pPr>
        <w:spacing w:line="360" w:lineRule="auto"/>
        <w:ind w:left="567" w:right="616"/>
        <w:jc w:val="both"/>
        <w:rPr>
          <w:rFonts w:ascii="Palatino Linotype" w:eastAsia="MS Mincho" w:hAnsi="Palatino Linotype" w:cs="Arial"/>
          <w:b/>
          <w:i/>
        </w:rPr>
      </w:pPr>
      <w:r w:rsidRPr="002F0087">
        <w:rPr>
          <w:rFonts w:ascii="Palatino Linotype" w:eastAsia="MS Mincho" w:hAnsi="Palatino Linotype" w:cs="Arial"/>
          <w:b/>
          <w:i/>
        </w:rPr>
        <w:t>III. Apoyar a la Unidad de Transparencia en lo que esta le solicite para el cumplimiento de sus funciones;</w:t>
      </w:r>
    </w:p>
    <w:p w14:paraId="23BAB215"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i/>
        </w:rPr>
        <w:t>…”</w:t>
      </w:r>
    </w:p>
    <w:p w14:paraId="4C4E91DD" w14:textId="77777777" w:rsidR="00AE1ABE" w:rsidRPr="002F0087" w:rsidRDefault="00AE1ABE" w:rsidP="002F0087">
      <w:pPr>
        <w:spacing w:line="360" w:lineRule="auto"/>
        <w:ind w:left="567" w:right="616"/>
        <w:jc w:val="both"/>
        <w:rPr>
          <w:rFonts w:ascii="Palatino Linotype" w:eastAsia="MS Mincho" w:hAnsi="Palatino Linotype" w:cs="Arial"/>
          <w:i/>
        </w:rPr>
      </w:pPr>
      <w:r w:rsidRPr="002F0087">
        <w:rPr>
          <w:rFonts w:ascii="Palatino Linotype" w:eastAsia="MS Mincho" w:hAnsi="Palatino Linotype" w:cs="Arial"/>
          <w:i/>
        </w:rPr>
        <w:t xml:space="preserve">(Énfasis añadido) </w:t>
      </w:r>
    </w:p>
    <w:p w14:paraId="3E320EF8" w14:textId="77777777" w:rsidR="00816F62" w:rsidRPr="002F0087" w:rsidRDefault="00816F62" w:rsidP="002F0087">
      <w:pPr>
        <w:spacing w:line="360" w:lineRule="auto"/>
        <w:ind w:left="567" w:right="616"/>
        <w:jc w:val="both"/>
        <w:rPr>
          <w:rFonts w:ascii="Palatino Linotype" w:eastAsia="MS Mincho" w:hAnsi="Palatino Linotype" w:cs="Arial"/>
          <w:i/>
        </w:rPr>
      </w:pPr>
    </w:p>
    <w:p w14:paraId="4E508636" w14:textId="7EA3868B" w:rsidR="00816F62" w:rsidRPr="002F0087" w:rsidRDefault="00816F62" w:rsidP="002F0087">
      <w:pPr>
        <w:numPr>
          <w:ilvl w:val="0"/>
          <w:numId w:val="1"/>
        </w:numPr>
        <w:spacing w:line="360" w:lineRule="auto"/>
        <w:ind w:left="0" w:right="34" w:firstLine="0"/>
        <w:contextualSpacing/>
        <w:jc w:val="both"/>
        <w:rPr>
          <w:rFonts w:ascii="Palatino Linotype" w:eastAsia="MS Mincho" w:hAnsi="Palatino Linotype" w:cs="Arial"/>
          <w:i/>
        </w:rPr>
      </w:pPr>
      <w:r w:rsidRPr="002F0087">
        <w:rPr>
          <w:rFonts w:ascii="Palatino Linotype" w:eastAsia="MS Mincho" w:hAnsi="Palatino Linotype" w:cs="Arial"/>
        </w:rPr>
        <w:t xml:space="preserve">Por consiguiente, atendiendo las consideraciones señaladas, este Órgano Garante determina ordenar la entrega de los documentos que acrediten el grado máximo estudios y </w:t>
      </w:r>
      <w:proofErr w:type="spellStart"/>
      <w:r w:rsidRPr="002F0087">
        <w:rPr>
          <w:rFonts w:ascii="Palatino Linotype" w:eastAsia="MS Mincho" w:hAnsi="Palatino Linotype" w:cs="Arial"/>
        </w:rPr>
        <w:t>curriculum</w:t>
      </w:r>
      <w:proofErr w:type="spellEnd"/>
      <w:r w:rsidRPr="002F0087">
        <w:rPr>
          <w:rFonts w:ascii="Palatino Linotype" w:eastAsia="MS Mincho" w:hAnsi="Palatino Linotype" w:cs="Arial"/>
        </w:rPr>
        <w:t xml:space="preserve"> de los mandos medios y superiores del </w:t>
      </w:r>
      <w:r w:rsidRPr="002F0087">
        <w:rPr>
          <w:rFonts w:ascii="Palatino Linotype" w:eastAsia="MS Mincho" w:hAnsi="Palatino Linotype" w:cs="Arial"/>
          <w:b/>
        </w:rPr>
        <w:t xml:space="preserve">Sistema Municipal para el Desarrollo Integral de la Familia de Tecámac. </w:t>
      </w:r>
    </w:p>
    <w:p w14:paraId="02399C2A" w14:textId="77777777" w:rsidR="00816F62" w:rsidRPr="002F0087" w:rsidRDefault="00816F62" w:rsidP="002F0087">
      <w:pPr>
        <w:spacing w:line="360" w:lineRule="auto"/>
        <w:ind w:left="567" w:right="616"/>
        <w:jc w:val="both"/>
        <w:rPr>
          <w:rFonts w:ascii="Palatino Linotype" w:eastAsia="MS Mincho" w:hAnsi="Palatino Linotype" w:cs="Arial"/>
        </w:rPr>
      </w:pPr>
    </w:p>
    <w:p w14:paraId="0637D646" w14:textId="30AF024F" w:rsidR="0042248A" w:rsidRPr="002F0087" w:rsidRDefault="0042248A" w:rsidP="002F0087">
      <w:pPr>
        <w:pStyle w:val="Ttulo3"/>
        <w:numPr>
          <w:ilvl w:val="0"/>
          <w:numId w:val="10"/>
        </w:numPr>
        <w:spacing w:before="0" w:line="360" w:lineRule="auto"/>
        <w:rPr>
          <w:rFonts w:ascii="Palatino Linotype" w:hAnsi="Palatino Linotype"/>
          <w:b/>
          <w:color w:val="auto"/>
          <w:lang w:val="es-MX" w:eastAsia="en-US"/>
        </w:rPr>
      </w:pPr>
      <w:bookmarkStart w:id="54" w:name="_Toc528081978"/>
      <w:bookmarkStart w:id="55" w:name="_Toc5821424"/>
      <w:r w:rsidRPr="002F0087">
        <w:rPr>
          <w:rFonts w:ascii="Palatino Linotype" w:hAnsi="Palatino Linotype"/>
          <w:b/>
          <w:color w:val="auto"/>
          <w:lang w:val="es-MX" w:eastAsia="en-US"/>
        </w:rPr>
        <w:t>De las manifestaciones subjetivas.</w:t>
      </w:r>
      <w:bookmarkEnd w:id="54"/>
      <w:bookmarkEnd w:id="55"/>
    </w:p>
    <w:p w14:paraId="28DBC898" w14:textId="77777777" w:rsidR="0042248A" w:rsidRPr="002F0087" w:rsidRDefault="0042248A" w:rsidP="002F0087">
      <w:pPr>
        <w:spacing w:line="360" w:lineRule="auto"/>
        <w:rPr>
          <w:rFonts w:ascii="Palatino Linotype" w:hAnsi="Palatino Linotype"/>
          <w:lang w:val="es-MX" w:eastAsia="en-US"/>
        </w:rPr>
      </w:pPr>
    </w:p>
    <w:p w14:paraId="12AB2A31" w14:textId="2672A526" w:rsidR="0042248A" w:rsidRPr="002F0087" w:rsidRDefault="0042248A" w:rsidP="002F0087">
      <w:pPr>
        <w:pStyle w:val="Prrafodelista"/>
        <w:numPr>
          <w:ilvl w:val="0"/>
          <w:numId w:val="1"/>
        </w:numPr>
        <w:spacing w:line="360" w:lineRule="auto"/>
        <w:ind w:left="0" w:firstLine="0"/>
        <w:jc w:val="both"/>
        <w:rPr>
          <w:rFonts w:ascii="Palatino Linotype" w:hAnsi="Palatino Linotype"/>
          <w:lang w:val="es-MX" w:eastAsia="en-US"/>
        </w:rPr>
      </w:pPr>
      <w:r w:rsidRPr="002F0087">
        <w:rPr>
          <w:rFonts w:ascii="Palatino Linotype" w:hAnsi="Palatino Linotype"/>
          <w:lang w:val="es-MX" w:eastAsia="en-US"/>
        </w:rPr>
        <w:t>Este Órgano Garante no pasa desapercibido que el particular al momento de interponer los recursos de revisión realizó una serie de manifestaciones subjetivas de la siguiente manera “</w:t>
      </w:r>
      <w:r w:rsidR="00296883" w:rsidRPr="002F0087">
        <w:rPr>
          <w:rFonts w:ascii="Palatino Linotype" w:hAnsi="Palatino Linotype"/>
          <w:lang w:val="es-MX" w:eastAsia="en-US"/>
        </w:rPr>
        <w:t>…</w:t>
      </w:r>
      <w:r w:rsidR="003A4FF1" w:rsidRPr="002F0087">
        <w:rPr>
          <w:rFonts w:ascii="Palatino Linotype" w:eastAsia="Calibri" w:hAnsi="Palatino Linotype" w:cs="Arial"/>
          <w:i/>
        </w:rPr>
        <w:t xml:space="preserve">ESTA ADMINISTRACIÓN ESTÁ PLAGADA DE INEPTITUD Y CORRUPCIÓN…MAÑOSOS SERVIDORES PÚBLICOS QUE </w:t>
      </w:r>
      <w:r w:rsidR="003A4FF1" w:rsidRPr="002F0087">
        <w:rPr>
          <w:rFonts w:ascii="Palatino Linotype" w:eastAsia="Calibri" w:hAnsi="Palatino Linotype" w:cs="Arial"/>
          <w:i/>
        </w:rPr>
        <w:lastRenderedPageBreak/>
        <w:t>OCULTAN LA INFORMACIÓN ES OBVIO QUE TIENEN MUCHO QUE ESCONDER, COMENZANDO CON SU FALTA DE CONOCIMIENTOS Y PROFESIONALISMO</w:t>
      </w:r>
      <w:r w:rsidRPr="002F0087">
        <w:rPr>
          <w:rFonts w:ascii="Palatino Linotype" w:eastAsia="Calibri" w:hAnsi="Palatino Linotype" w:cs="Arial"/>
          <w:i/>
        </w:rPr>
        <w:t>”</w:t>
      </w:r>
    </w:p>
    <w:p w14:paraId="4B7E4B67" w14:textId="77777777" w:rsidR="0042248A" w:rsidRPr="002F0087" w:rsidRDefault="0042248A" w:rsidP="002F0087">
      <w:pPr>
        <w:pStyle w:val="Prrafodelista"/>
        <w:spacing w:line="360" w:lineRule="auto"/>
        <w:ind w:left="0"/>
        <w:jc w:val="both"/>
        <w:rPr>
          <w:rFonts w:ascii="Palatino Linotype" w:hAnsi="Palatino Linotype"/>
          <w:lang w:val="es-MX" w:eastAsia="en-US"/>
        </w:rPr>
      </w:pPr>
    </w:p>
    <w:p w14:paraId="471F91B3" w14:textId="77777777" w:rsidR="0042248A" w:rsidRPr="002F0087" w:rsidRDefault="0042248A" w:rsidP="002F0087">
      <w:pPr>
        <w:pStyle w:val="Prrafodelista"/>
        <w:numPr>
          <w:ilvl w:val="0"/>
          <w:numId w:val="1"/>
        </w:numPr>
        <w:spacing w:line="360" w:lineRule="auto"/>
        <w:ind w:left="0" w:firstLine="0"/>
        <w:jc w:val="both"/>
        <w:rPr>
          <w:rFonts w:ascii="Palatino Linotype" w:hAnsi="Palatino Linotype"/>
          <w:lang w:val="es-MX" w:eastAsia="en-US"/>
        </w:rPr>
      </w:pPr>
      <w:r w:rsidRPr="002F0087">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21254D5B" w14:textId="77777777" w:rsidR="0042248A" w:rsidRPr="002F0087" w:rsidRDefault="0042248A" w:rsidP="002F0087">
      <w:pPr>
        <w:pStyle w:val="Prrafodelista"/>
        <w:spacing w:line="360" w:lineRule="auto"/>
        <w:rPr>
          <w:rFonts w:ascii="Palatino Linotype" w:hAnsi="Palatino Linotype"/>
          <w:lang w:val="es-MX" w:eastAsia="en-US"/>
        </w:rPr>
      </w:pPr>
    </w:p>
    <w:p w14:paraId="2F1560EB" w14:textId="77777777" w:rsidR="0042248A" w:rsidRPr="002F0087" w:rsidRDefault="0042248A" w:rsidP="002F0087">
      <w:pPr>
        <w:pStyle w:val="Prrafodelista"/>
        <w:numPr>
          <w:ilvl w:val="0"/>
          <w:numId w:val="1"/>
        </w:numPr>
        <w:spacing w:line="360" w:lineRule="auto"/>
        <w:ind w:left="0" w:firstLine="0"/>
        <w:jc w:val="both"/>
        <w:rPr>
          <w:rFonts w:ascii="Palatino Linotype" w:hAnsi="Palatino Linotype"/>
          <w:lang w:val="es-MX" w:eastAsia="en-US"/>
        </w:rPr>
      </w:pPr>
      <w:r w:rsidRPr="002F0087">
        <w:rPr>
          <w:rFonts w:ascii="Palatino Linotype" w:eastAsia="Times New Roman" w:hAnsi="Palatino Linotype" w:cs="Times New Roman"/>
          <w:color w:val="222222"/>
          <w:lang w:val="es-MX" w:eastAsia="es-MX"/>
        </w:rPr>
        <w:t xml:space="preserve">No obstante lo anterior, esta Ponencia </w:t>
      </w:r>
      <w:proofErr w:type="spellStart"/>
      <w:r w:rsidRPr="002F0087">
        <w:rPr>
          <w:rFonts w:ascii="Palatino Linotype" w:eastAsia="Times New Roman" w:hAnsi="Palatino Linotype" w:cs="Times New Roman"/>
          <w:color w:val="222222"/>
          <w:lang w:val="es-MX" w:eastAsia="es-MX"/>
        </w:rPr>
        <w:t>Resolutora</w:t>
      </w:r>
      <w:proofErr w:type="spellEnd"/>
      <w:r w:rsidRPr="002F0087">
        <w:rPr>
          <w:rFonts w:ascii="Palatino Linotype" w:eastAsia="Times New Roman" w:hAnsi="Palatino Linotype" w:cs="Times New Roman"/>
          <w:color w:val="222222"/>
          <w:lang w:val="es-MX" w:eastAsia="es-MX"/>
        </w:rPr>
        <w:t xml:space="preserve"> no es omisa en señalar que, el derecho constitucional del ejercicio de la libertad de expresión, no implica para los particulares el uso de frases y expresiones que sean absolutamente vejatorias, que sean </w:t>
      </w:r>
      <w:r w:rsidRPr="002F0087">
        <w:rPr>
          <w:rFonts w:ascii="Palatino Linotype" w:eastAsia="Times New Roman" w:hAnsi="Palatino Linotype" w:cs="Times New Roman"/>
          <w:b/>
          <w:bCs/>
          <w:color w:val="222222"/>
          <w:lang w:val="es-MX" w:eastAsia="es-MX"/>
        </w:rPr>
        <w:t>ofensivas u</w:t>
      </w:r>
      <w:r w:rsidRPr="002F0087">
        <w:rPr>
          <w:rFonts w:ascii="Palatino Linotype" w:eastAsia="Times New Roman" w:hAnsi="Palatino Linotype" w:cs="Times New Roman"/>
          <w:color w:val="222222"/>
          <w:lang w:val="es-MX" w:eastAsia="es-MX"/>
        </w:rPr>
        <w:t> </w:t>
      </w:r>
      <w:r w:rsidRPr="002F0087">
        <w:rPr>
          <w:rFonts w:ascii="Palatino Linotype" w:eastAsia="Times New Roman" w:hAnsi="Palatino Linotype" w:cs="Times New Roman"/>
          <w:b/>
          <w:bCs/>
          <w:color w:val="222222"/>
          <w:lang w:val="es-MX" w:eastAsia="es-MX"/>
        </w:rPr>
        <w:t>oprobiosas</w:t>
      </w:r>
      <w:r w:rsidRPr="002F0087">
        <w:rPr>
          <w:rFonts w:ascii="Palatino Linotype" w:eastAsia="Times New Roman" w:hAnsi="Palatino Linotype" w:cs="Times New Roman"/>
          <w:color w:val="222222"/>
          <w:lang w:val="es-MX" w:eastAsia="es-MX"/>
        </w:rPr>
        <w:t>, según el contexto, o bien, </w:t>
      </w:r>
      <w:r w:rsidRPr="002F0087">
        <w:rPr>
          <w:rFonts w:ascii="Palatino Linotype" w:eastAsia="Times New Roman" w:hAnsi="Palatino Linotype" w:cs="Times New Roman"/>
          <w:b/>
          <w:bCs/>
          <w:color w:val="222222"/>
          <w:lang w:val="es-MX" w:eastAsia="es-MX"/>
        </w:rPr>
        <w:t>impertinentes para expresar opiniones</w:t>
      </w:r>
      <w:r w:rsidRPr="002F0087">
        <w:rPr>
          <w:rFonts w:ascii="Palatino Linotype" w:eastAsia="Times New Roman" w:hAnsi="Palatino Linotype" w:cs="Times New Roman"/>
          <w:color w:val="222222"/>
          <w:lang w:val="es-MX" w:eastAsia="es-MX"/>
        </w:rPr>
        <w:t xml:space="preserve"> o informaciones, </w:t>
      </w:r>
      <w:r w:rsidRPr="002F0087">
        <w:rPr>
          <w:rFonts w:ascii="Palatino Linotype" w:eastAsia="Times New Roman" w:hAnsi="Palatino Linotype" w:cs="Times New Roman"/>
          <w:b/>
          <w:bCs/>
          <w:color w:val="222222"/>
          <w:lang w:val="es-MX" w:eastAsia="es-MX"/>
        </w:rPr>
        <w:t>teniendo relación o no con lo manifestado</w:t>
      </w:r>
      <w:r w:rsidRPr="002F0087">
        <w:rPr>
          <w:rFonts w:ascii="Palatino Linotype" w:eastAsia="Times New Roman" w:hAnsi="Palatino Linotype" w:cs="Times New Roman"/>
          <w:color w:val="222222"/>
          <w:lang w:val="es-MX" w:eastAsia="es-MX"/>
        </w:rPr>
        <w:t>, 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6233EE70" w14:textId="77777777" w:rsidR="0042248A" w:rsidRPr="002F0087"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i/>
          <w:iCs/>
          <w:color w:val="222222"/>
          <w:lang w:val="es-MX" w:eastAsia="es-MX"/>
        </w:rPr>
        <w:lastRenderedPageBreak/>
        <w:t>“</w:t>
      </w:r>
      <w:r w:rsidRPr="002F0087">
        <w:rPr>
          <w:rFonts w:ascii="Palatino Linotype" w:eastAsia="Times New Roman" w:hAnsi="Palatino Linotype" w:cs="Times New Roman"/>
          <w:b/>
          <w:bCs/>
          <w:i/>
          <w:iCs/>
          <w:color w:val="222222"/>
          <w:lang w:val="es-MX" w:eastAsia="es-MX"/>
        </w:rPr>
        <w:t>LIBERTAD DE EXPRESIÓN. </w:t>
      </w:r>
      <w:r w:rsidRPr="002F0087">
        <w:rPr>
          <w:rFonts w:ascii="Palatino Linotype" w:eastAsia="Times New Roman" w:hAnsi="Palatino Linotype" w:cs="Times New Roman"/>
          <w:b/>
          <w:bCs/>
          <w:i/>
          <w:iCs/>
          <w:color w:val="222222"/>
          <w:u w:val="single"/>
          <w:lang w:val="es-MX" w:eastAsia="es-MX"/>
        </w:rPr>
        <w:t>LA CONSTITUCIÓN NO RECONOCE EL DERECHO AL INSULTO</w:t>
      </w:r>
      <w:r w:rsidRPr="002F0087">
        <w:rPr>
          <w:rFonts w:ascii="Palatino Linotype" w:eastAsia="Times New Roman" w:hAnsi="Palatino Linotype" w:cs="Times New Roman"/>
          <w:i/>
          <w:iCs/>
          <w:color w:val="222222"/>
          <w:lang w:val="es-MX" w:eastAsia="es-MX"/>
        </w:rPr>
        <w:t>. </w:t>
      </w:r>
      <w:r w:rsidRPr="002F0087">
        <w:rPr>
          <w:rFonts w:ascii="Palatino Linotype" w:eastAsia="Times New Roman" w:hAnsi="Palatino Linotype" w:cs="Times New Roman"/>
          <w:b/>
          <w:bCs/>
          <w:i/>
          <w:iCs/>
          <w:color w:val="222222"/>
          <w:u w:val="single"/>
          <w:lang w:val="es-MX" w:eastAsia="es-MX"/>
        </w:rPr>
        <w:t>Si bien es cierto que</w:t>
      </w:r>
      <w:r w:rsidRPr="002F0087">
        <w:rPr>
          <w:rFonts w:ascii="Palatino Linotype" w:eastAsia="Times New Roman" w:hAnsi="Palatino Linotype" w:cs="Times New Roman"/>
          <w:i/>
          <w:iCs/>
          <w:color w:val="222222"/>
          <w:lang w:val="es-MX" w:eastAsia="es-MX"/>
        </w:rPr>
        <w:t> cualquier individuo que participe en un debate público de interés general debe abstenerse de exceder ciertos límites, como el respeto a la reputación y a los derechos de terceros, también lo es que </w:t>
      </w:r>
      <w:r w:rsidRPr="002F0087">
        <w:rPr>
          <w:rFonts w:ascii="Palatino Linotype" w:eastAsia="Times New Roman" w:hAnsi="Palatino Linotype" w:cs="Times New Roman"/>
          <w:b/>
          <w:bCs/>
          <w:i/>
          <w:iCs/>
          <w:color w:val="222222"/>
          <w:u w:val="single"/>
          <w:lang w:val="es-MX" w:eastAsia="es-MX"/>
        </w:rPr>
        <w:t>está permitido recurrir a cierta dosis de exageración, incluso de provocación</w:t>
      </w:r>
      <w:r w:rsidRPr="002F0087">
        <w:rPr>
          <w:rFonts w:ascii="Palatino Linotype" w:eastAsia="Times New Roman" w:hAnsi="Palatino Linotype" w:cs="Times New Roman"/>
          <w:i/>
          <w:iCs/>
          <w:color w:val="222222"/>
          <w:lang w:val="es-MX" w:eastAsia="es-MX"/>
        </w:rPr>
        <w:t>, es decir, puede ser un tanto desmedido en sus declaraciones, </w:t>
      </w:r>
      <w:r w:rsidRPr="002F0087">
        <w:rPr>
          <w:rFonts w:ascii="Palatino Linotype" w:eastAsia="Times New Roman" w:hAnsi="Palatino Linotype" w:cs="Times New Roman"/>
          <w:b/>
          <w:bCs/>
          <w:i/>
          <w:iCs/>
          <w:color w:val="222222"/>
          <w:u w:val="single"/>
          <w:lang w:val="es-MX" w:eastAsia="es-MX"/>
        </w:rPr>
        <w:t>y es precisamente en las expresiones que puedan ofender, chocar, perturbar, molestar, inquietar o disgustar donde la libertad de expresión resulta más valiosa</w:t>
      </w:r>
      <w:r w:rsidRPr="002F0087">
        <w:rPr>
          <w:rFonts w:ascii="Palatino Linotype" w:eastAsia="Times New Roman" w:hAnsi="Palatino Linotype" w:cs="Times New Roman"/>
          <w:i/>
          <w:iCs/>
          <w:color w:val="2222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2F0087">
        <w:rPr>
          <w:rFonts w:ascii="Palatino Linotype" w:eastAsia="Times New Roman" w:hAnsi="Palatino Linotype" w:cs="Times New Roman"/>
          <w:b/>
          <w:bCs/>
          <w:i/>
          <w:iCs/>
          <w:color w:val="222222"/>
          <w:u w:val="single"/>
          <w:lang w:val="es-MX" w:eastAsia="es-MX"/>
        </w:rPr>
        <w:t>En este sentido, es importante enfatizar que la Constitución </w:t>
      </w:r>
      <w:r w:rsidRPr="002F0087">
        <w:rPr>
          <w:rFonts w:ascii="Palatino Linotype" w:eastAsia="Times New Roman" w:hAnsi="Palatino Linotype" w:cs="Times New Roman"/>
          <w:i/>
          <w:iCs/>
          <w:color w:val="222222"/>
          <w:lang w:val="es-MX" w:eastAsia="es-MX"/>
        </w:rPr>
        <w:t>Política de los Estados Unidos Mexicanos </w:t>
      </w:r>
      <w:r w:rsidRPr="002F0087">
        <w:rPr>
          <w:rFonts w:ascii="Palatino Linotype" w:eastAsia="Times New Roman" w:hAnsi="Palatino Linotype" w:cs="Times New Roman"/>
          <w:b/>
          <w:bCs/>
          <w:i/>
          <w:iCs/>
          <w:color w:val="222222"/>
          <w:u w:val="single"/>
          <w:lang w:val="es-MX" w:eastAsia="es-MX"/>
        </w:rPr>
        <w:t>no reconoce un derecho al insulto</w:t>
      </w:r>
      <w:r w:rsidRPr="002F0087">
        <w:rPr>
          <w:rFonts w:ascii="Palatino Linotype" w:eastAsia="Times New Roman" w:hAnsi="Palatino Linotype" w:cs="Times New Roman"/>
          <w:i/>
          <w:iCs/>
          <w:color w:val="2222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2F0087">
        <w:rPr>
          <w:rFonts w:ascii="Palatino Linotype" w:eastAsia="Times New Roman" w:hAnsi="Palatino Linotype" w:cs="Times New Roman"/>
          <w:b/>
          <w:bCs/>
          <w:i/>
          <w:iCs/>
          <w:color w:val="222222"/>
          <w:u w:val="single"/>
          <w:lang w:val="es-MX" w:eastAsia="es-MX"/>
        </w:rPr>
        <w:t>Consecuentemente, el derecho al honor prevalece cuando la libertad de expresión utiliza frases y expresiones que están excluidas de protección constitucional</w:t>
      </w:r>
      <w:r w:rsidRPr="002F0087">
        <w:rPr>
          <w:rFonts w:ascii="Palatino Linotype" w:eastAsia="Times New Roman" w:hAnsi="Palatino Linotype" w:cs="Times New Roman"/>
          <w:i/>
          <w:iCs/>
          <w:color w:val="222222"/>
          <w:lang w:val="es-MX" w:eastAsia="es-MX"/>
        </w:rPr>
        <w:t>, es decir, </w:t>
      </w:r>
      <w:r w:rsidRPr="002F0087">
        <w:rPr>
          <w:rFonts w:ascii="Palatino Linotype" w:eastAsia="Times New Roman" w:hAnsi="Palatino Linotype" w:cs="Times New Roman"/>
          <w:b/>
          <w:bCs/>
          <w:i/>
          <w:iCs/>
          <w:color w:val="222222"/>
          <w:u w:val="single"/>
          <w:lang w:val="es-MX" w:eastAsia="es-MX"/>
        </w:rPr>
        <w:t xml:space="preserve">cuando sean absolutamente </w:t>
      </w:r>
      <w:r w:rsidRPr="002F0087">
        <w:rPr>
          <w:rFonts w:ascii="Palatino Linotype" w:eastAsia="Times New Roman" w:hAnsi="Palatino Linotype" w:cs="Times New Roman"/>
          <w:b/>
          <w:bCs/>
          <w:i/>
          <w:iCs/>
          <w:color w:val="222222"/>
          <w:u w:val="single"/>
          <w:lang w:val="es-MX" w:eastAsia="es-MX"/>
        </w:rPr>
        <w:lastRenderedPageBreak/>
        <w:t>vejatorias</w:t>
      </w:r>
      <w:r w:rsidRPr="002F0087">
        <w:rPr>
          <w:rFonts w:ascii="Palatino Linotype" w:eastAsia="Times New Roman" w:hAnsi="Palatino Linotype" w:cs="Times New Roman"/>
          <w:i/>
          <w:iCs/>
          <w:color w:val="222222"/>
          <w:lang w:val="es-MX" w:eastAsia="es-MX"/>
        </w:rPr>
        <w:t>, entendiendo como tales las que sean: </w:t>
      </w:r>
      <w:r w:rsidRPr="002F0087">
        <w:rPr>
          <w:rFonts w:ascii="Palatino Linotype" w:eastAsia="Times New Roman" w:hAnsi="Palatino Linotype" w:cs="Times New Roman"/>
          <w:b/>
          <w:bCs/>
          <w:i/>
          <w:iCs/>
          <w:color w:val="222222"/>
          <w:u w:val="single"/>
          <w:lang w:val="es-MX" w:eastAsia="es-MX"/>
        </w:rPr>
        <w:t>a) ofensivas u oprobiosas, según el contexto; y, b) impertinentes para expresar opiniones o informaciones, según tengan o no relación con lo manifestado</w:t>
      </w:r>
      <w:r w:rsidRPr="002F0087">
        <w:rPr>
          <w:rFonts w:ascii="Palatino Linotype" w:eastAsia="Times New Roman" w:hAnsi="Palatino Linotype" w:cs="Times New Roman"/>
          <w:i/>
          <w:iCs/>
          <w:color w:val="2222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14:paraId="7D4F1B12" w14:textId="77777777" w:rsidR="0042248A" w:rsidRPr="002F0087"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i/>
          <w:iCs/>
          <w:color w:val="222222"/>
          <w:lang w:val="es-MX" w:eastAsia="es-MX"/>
        </w:rPr>
        <w:t xml:space="preserve">Amparo directo 28/2010. Demos, Desarrollo de Medios, S.A. de C.V. 23 de noviembre de 2011. Mayoría de cuatro votos. Disidente: Guillermo I. Ortiz </w:t>
      </w:r>
      <w:proofErr w:type="spellStart"/>
      <w:r w:rsidRPr="002F0087">
        <w:rPr>
          <w:rFonts w:ascii="Palatino Linotype" w:eastAsia="Times New Roman" w:hAnsi="Palatino Linotype" w:cs="Times New Roman"/>
          <w:i/>
          <w:iCs/>
          <w:color w:val="222222"/>
          <w:lang w:val="es-MX" w:eastAsia="es-MX"/>
        </w:rPr>
        <w:t>Mayagoitia</w:t>
      </w:r>
      <w:proofErr w:type="spellEnd"/>
      <w:r w:rsidRPr="002F0087">
        <w:rPr>
          <w:rFonts w:ascii="Palatino Linotype" w:eastAsia="Times New Roman" w:hAnsi="Palatino Linotype" w:cs="Times New Roman"/>
          <w:i/>
          <w:iCs/>
          <w:color w:val="222222"/>
          <w:lang w:val="es-MX" w:eastAsia="es-MX"/>
        </w:rPr>
        <w:t>, quien reservó su derecho a formular voto particular; José Ramón Cossío Díaz reservó su derecho a formular voto concurrente. Ponente: Arturo Zaldívar Lelo de Larrea. Secretario: Javier Mijangos y González.</w:t>
      </w:r>
    </w:p>
    <w:p w14:paraId="5ECE8051" w14:textId="77777777" w:rsidR="0042248A" w:rsidRPr="002F0087"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i/>
          <w:iCs/>
          <w:color w:val="222222"/>
          <w:lang w:val="es-MX" w:eastAsia="es-MX"/>
        </w:rPr>
        <w:t xml:space="preserve">Amparo directo 25/2010. Eduardo Rey </w:t>
      </w:r>
      <w:proofErr w:type="spellStart"/>
      <w:r w:rsidRPr="002F0087">
        <w:rPr>
          <w:rFonts w:ascii="Palatino Linotype" w:eastAsia="Times New Roman" w:hAnsi="Palatino Linotype" w:cs="Times New Roman"/>
          <w:i/>
          <w:iCs/>
          <w:color w:val="222222"/>
          <w:lang w:val="es-MX" w:eastAsia="es-MX"/>
        </w:rPr>
        <w:t>Huchim</w:t>
      </w:r>
      <w:proofErr w:type="spellEnd"/>
      <w:r w:rsidRPr="002F0087">
        <w:rPr>
          <w:rFonts w:ascii="Palatino Linotype" w:eastAsia="Times New Roman" w:hAnsi="Palatino Linotype" w:cs="Times New Roman"/>
          <w:i/>
          <w:iCs/>
          <w:color w:val="222222"/>
          <w:lang w:val="es-MX" w:eastAsia="es-MX"/>
        </w:rPr>
        <w:t xml:space="preserve"> </w:t>
      </w:r>
      <w:proofErr w:type="spellStart"/>
      <w:r w:rsidRPr="002F0087">
        <w:rPr>
          <w:rFonts w:ascii="Palatino Linotype" w:eastAsia="Times New Roman" w:hAnsi="Palatino Linotype" w:cs="Times New Roman"/>
          <w:i/>
          <w:iCs/>
          <w:color w:val="222222"/>
          <w:lang w:val="es-MX" w:eastAsia="es-MX"/>
        </w:rPr>
        <w:t>May</w:t>
      </w:r>
      <w:proofErr w:type="spellEnd"/>
      <w:r w:rsidRPr="002F0087">
        <w:rPr>
          <w:rFonts w:ascii="Palatino Linotype" w:eastAsia="Times New Roman" w:hAnsi="Palatino Linotype" w:cs="Times New Roman"/>
          <w:i/>
          <w:iCs/>
          <w:color w:val="222222"/>
          <w:lang w:val="es-MX" w:eastAsia="es-MX"/>
        </w:rPr>
        <w:t xml:space="preserve">. 28 de marzo de 2012. Unanimidad de cuatro votos. Ausente: Guillermo I. Ortiz </w:t>
      </w:r>
      <w:proofErr w:type="spellStart"/>
      <w:r w:rsidRPr="002F0087">
        <w:rPr>
          <w:rFonts w:ascii="Palatino Linotype" w:eastAsia="Times New Roman" w:hAnsi="Palatino Linotype" w:cs="Times New Roman"/>
          <w:i/>
          <w:iCs/>
          <w:color w:val="222222"/>
          <w:lang w:val="es-MX" w:eastAsia="es-MX"/>
        </w:rPr>
        <w:t>Mayagoitia</w:t>
      </w:r>
      <w:proofErr w:type="spellEnd"/>
      <w:r w:rsidRPr="002F0087">
        <w:rPr>
          <w:rFonts w:ascii="Palatino Linotype" w:eastAsia="Times New Roman" w:hAnsi="Palatino Linotype" w:cs="Times New Roman"/>
          <w:i/>
          <w:iCs/>
          <w:color w:val="222222"/>
          <w:lang w:val="es-MX" w:eastAsia="es-MX"/>
        </w:rPr>
        <w:t>. Ponente: Olga Sánchez Cordero de García Villegas. Secretaria: Rosalía Argumosa López.</w:t>
      </w:r>
    </w:p>
    <w:p w14:paraId="331D8A27" w14:textId="77777777" w:rsidR="0042248A" w:rsidRPr="002F0087"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i/>
          <w:iCs/>
          <w:color w:val="222222"/>
          <w:lang w:val="es-MX" w:eastAsia="es-MX"/>
        </w:rPr>
        <w:t xml:space="preserve">Amparo directo 26/2010. Rubén Lara León. 28 de marzo de 2012. Unanimidad de cuatro votos. Ausente: Guillermo I. Ortiz </w:t>
      </w:r>
      <w:proofErr w:type="spellStart"/>
      <w:r w:rsidRPr="002F0087">
        <w:rPr>
          <w:rFonts w:ascii="Palatino Linotype" w:eastAsia="Times New Roman" w:hAnsi="Palatino Linotype" w:cs="Times New Roman"/>
          <w:i/>
          <w:iCs/>
          <w:color w:val="222222"/>
          <w:lang w:val="es-MX" w:eastAsia="es-MX"/>
        </w:rPr>
        <w:t>Mayagoitia</w:t>
      </w:r>
      <w:proofErr w:type="spellEnd"/>
      <w:r w:rsidRPr="002F0087">
        <w:rPr>
          <w:rFonts w:ascii="Palatino Linotype" w:eastAsia="Times New Roman" w:hAnsi="Palatino Linotype" w:cs="Times New Roman"/>
          <w:i/>
          <w:iCs/>
          <w:color w:val="222222"/>
          <w:lang w:val="es-MX" w:eastAsia="es-MX"/>
        </w:rPr>
        <w:t>. Ponente: Olga Sánchez Cordero de García Villegas. Secretario: Francisco Octavio Escudero Contreras.</w:t>
      </w:r>
    </w:p>
    <w:p w14:paraId="0F49D522" w14:textId="77777777" w:rsidR="0042248A" w:rsidRPr="002F0087"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i/>
          <w:iCs/>
          <w:color w:val="222222"/>
          <w:lang w:val="es-MX" w:eastAsia="es-MX"/>
        </w:rPr>
        <w:t xml:space="preserve">Amparo directo 8/2012. Arrendadora </w:t>
      </w:r>
      <w:proofErr w:type="spellStart"/>
      <w:r w:rsidRPr="002F0087">
        <w:rPr>
          <w:rFonts w:ascii="Palatino Linotype" w:eastAsia="Times New Roman" w:hAnsi="Palatino Linotype" w:cs="Times New Roman"/>
          <w:i/>
          <w:iCs/>
          <w:color w:val="222222"/>
          <w:lang w:val="es-MX" w:eastAsia="es-MX"/>
        </w:rPr>
        <w:t>Ocean</w:t>
      </w:r>
      <w:proofErr w:type="spellEnd"/>
      <w:r w:rsidRPr="002F0087">
        <w:rPr>
          <w:rFonts w:ascii="Palatino Linotype" w:eastAsia="Times New Roman" w:hAnsi="Palatino Linotype" w:cs="Times New Roman"/>
          <w:i/>
          <w:iCs/>
          <w:color w:val="222222"/>
          <w:lang w:val="es-MX" w:eastAsia="es-MX"/>
        </w:rPr>
        <w:t xml:space="preserve"> Mexicana, S.A. de C.V. y otros. 4 de julio de 2012. Mayoría de cuatro votos. Disidente: Guillermo I. Ortiz </w:t>
      </w:r>
      <w:proofErr w:type="spellStart"/>
      <w:r w:rsidRPr="002F0087">
        <w:rPr>
          <w:rFonts w:ascii="Palatino Linotype" w:eastAsia="Times New Roman" w:hAnsi="Palatino Linotype" w:cs="Times New Roman"/>
          <w:i/>
          <w:iCs/>
          <w:color w:val="222222"/>
          <w:lang w:val="es-MX" w:eastAsia="es-MX"/>
        </w:rPr>
        <w:t>Mayagoitia</w:t>
      </w:r>
      <w:proofErr w:type="spellEnd"/>
      <w:r w:rsidRPr="002F0087">
        <w:rPr>
          <w:rFonts w:ascii="Palatino Linotype" w:eastAsia="Times New Roman" w:hAnsi="Palatino Linotype" w:cs="Times New Roman"/>
          <w:i/>
          <w:iCs/>
          <w:color w:val="222222"/>
          <w:lang w:val="es-MX" w:eastAsia="es-MX"/>
        </w:rPr>
        <w:t xml:space="preserve">; José Ramón Cossío Díaz reservó su derecho para formular voto concurrente; Olga Sánchez Cordero de García Villegas también reservó su </w:t>
      </w:r>
      <w:r w:rsidRPr="002F0087">
        <w:rPr>
          <w:rFonts w:ascii="Palatino Linotype" w:eastAsia="Times New Roman" w:hAnsi="Palatino Linotype" w:cs="Times New Roman"/>
          <w:i/>
          <w:iCs/>
          <w:color w:val="222222"/>
          <w:lang w:val="es-MX" w:eastAsia="es-MX"/>
        </w:rPr>
        <w:lastRenderedPageBreak/>
        <w:t>derecho a formular voto concurrente por lo que respecta al apartado XI. Ponente: Arturo Zaldívar Lelo de Larrea. Secretario: Javier Mijangos y González.</w:t>
      </w:r>
    </w:p>
    <w:p w14:paraId="1E824076" w14:textId="77777777" w:rsidR="0042248A" w:rsidRPr="002F0087"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i/>
          <w:iCs/>
          <w:color w:val="222222"/>
          <w:lang w:val="es-MX"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2F0087">
        <w:rPr>
          <w:rFonts w:ascii="Palatino Linotype" w:eastAsia="Times New Roman" w:hAnsi="Palatino Linotype" w:cs="Times New Roman"/>
          <w:i/>
          <w:iCs/>
          <w:color w:val="222222"/>
          <w:lang w:val="es-MX" w:eastAsia="es-MX"/>
        </w:rPr>
        <w:t>Vértiz</w:t>
      </w:r>
      <w:proofErr w:type="spellEnd"/>
      <w:r w:rsidRPr="002F0087">
        <w:rPr>
          <w:rFonts w:ascii="Palatino Linotype" w:eastAsia="Times New Roman" w:hAnsi="Palatino Linotype" w:cs="Times New Roman"/>
          <w:i/>
          <w:iCs/>
          <w:color w:val="222222"/>
          <w:lang w:val="es-MX" w:eastAsia="es-MX"/>
        </w:rPr>
        <w:t xml:space="preserve"> Contreras.</w:t>
      </w:r>
    </w:p>
    <w:p w14:paraId="05EFB0CF" w14:textId="77777777" w:rsidR="0042248A" w:rsidRPr="002F0087"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i/>
          <w:iCs/>
          <w:color w:val="222222"/>
          <w:lang w:val="es-MX" w:eastAsia="es-MX"/>
        </w:rPr>
        <w:t>Tesis de jurisprudencia 31/2013 (10a.). Aprobada por la Primera Sala de este Alto Tribunal, en sesión privada de veintisiete de febrero de dos mil trece.”</w:t>
      </w:r>
    </w:p>
    <w:p w14:paraId="575EA2AE" w14:textId="77777777" w:rsidR="0042248A" w:rsidRDefault="0042248A"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color w:val="222222"/>
          <w:lang w:val="es-MX" w:eastAsia="es-MX"/>
        </w:rPr>
        <w:t>(Énfasis añadido)</w:t>
      </w:r>
    </w:p>
    <w:p w14:paraId="4A171952" w14:textId="77777777" w:rsidR="002F0087" w:rsidRPr="002F0087" w:rsidRDefault="002F0087" w:rsidP="002F0087">
      <w:pPr>
        <w:shd w:val="clear" w:color="auto" w:fill="FFFFFF"/>
        <w:spacing w:line="360" w:lineRule="auto"/>
        <w:ind w:left="567" w:right="567"/>
        <w:jc w:val="both"/>
        <w:rPr>
          <w:rFonts w:ascii="Palatino Linotype" w:eastAsia="Times New Roman" w:hAnsi="Palatino Linotype" w:cs="Times New Roman"/>
          <w:color w:val="222222"/>
          <w:lang w:val="es-MX" w:eastAsia="es-MX"/>
        </w:rPr>
      </w:pPr>
    </w:p>
    <w:p w14:paraId="6493D0DD" w14:textId="7FA504F6" w:rsidR="0042248A" w:rsidRPr="002F0087" w:rsidRDefault="0042248A" w:rsidP="002F0087">
      <w:pPr>
        <w:pStyle w:val="Prrafodelista"/>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2F0087">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r w:rsidR="00F86585" w:rsidRPr="002F0087">
        <w:rPr>
          <w:rFonts w:ascii="Palatino Linotype" w:eastAsia="Times New Roman" w:hAnsi="Palatino Linotype" w:cs="Times New Roman"/>
          <w:color w:val="222222"/>
          <w:lang w:val="es-MX" w:eastAsia="es-MX"/>
        </w:rPr>
        <w:t>.</w:t>
      </w:r>
    </w:p>
    <w:p w14:paraId="205D39D1" w14:textId="1B310489" w:rsidR="00903054" w:rsidRDefault="0072771F" w:rsidP="002F0087">
      <w:pPr>
        <w:pStyle w:val="Ttulo1"/>
        <w:spacing w:before="0" w:line="360" w:lineRule="auto"/>
        <w:rPr>
          <w:b/>
          <w:szCs w:val="24"/>
        </w:rPr>
      </w:pPr>
      <w:bookmarkStart w:id="56" w:name="_Toc473799824"/>
      <w:bookmarkStart w:id="57" w:name="_Toc487025370"/>
      <w:bookmarkStart w:id="58" w:name="_Toc493790438"/>
      <w:bookmarkStart w:id="59" w:name="_Toc495606558"/>
      <w:bookmarkStart w:id="60" w:name="_Toc497297048"/>
      <w:bookmarkStart w:id="61" w:name="_Toc498503756"/>
      <w:bookmarkStart w:id="62" w:name="_Toc499201876"/>
      <w:bookmarkStart w:id="63" w:name="_Toc954272"/>
      <w:bookmarkStart w:id="64" w:name="_Toc1585432"/>
      <w:bookmarkStart w:id="65" w:name="_Toc5821425"/>
      <w:r w:rsidRPr="002F0087">
        <w:rPr>
          <w:b/>
          <w:szCs w:val="24"/>
        </w:rPr>
        <w:t>SEXTO</w:t>
      </w:r>
      <w:r w:rsidR="00903054" w:rsidRPr="002F0087">
        <w:rPr>
          <w:b/>
          <w:szCs w:val="24"/>
        </w:rPr>
        <w:t>. De la Versión Pública</w:t>
      </w:r>
      <w:bookmarkEnd w:id="56"/>
      <w:bookmarkEnd w:id="57"/>
      <w:bookmarkEnd w:id="58"/>
      <w:bookmarkEnd w:id="59"/>
      <w:bookmarkEnd w:id="60"/>
      <w:bookmarkEnd w:id="61"/>
      <w:bookmarkEnd w:id="62"/>
      <w:bookmarkEnd w:id="63"/>
      <w:bookmarkEnd w:id="64"/>
      <w:bookmarkEnd w:id="65"/>
      <w:r w:rsidR="00903054" w:rsidRPr="002F0087">
        <w:rPr>
          <w:b/>
          <w:szCs w:val="24"/>
        </w:rPr>
        <w:t xml:space="preserve"> </w:t>
      </w:r>
    </w:p>
    <w:p w14:paraId="73334644" w14:textId="77777777" w:rsidR="002F0087" w:rsidRPr="002F0087" w:rsidRDefault="002F0087" w:rsidP="002F0087">
      <w:pPr>
        <w:rPr>
          <w:lang w:eastAsia="en-US"/>
        </w:rPr>
      </w:pPr>
    </w:p>
    <w:p w14:paraId="337FCBF0" w14:textId="31DF374B" w:rsidR="00903054" w:rsidRPr="002F0087" w:rsidRDefault="00903054" w:rsidP="002F0087">
      <w:pPr>
        <w:pStyle w:val="Prrafodelista"/>
        <w:numPr>
          <w:ilvl w:val="0"/>
          <w:numId w:val="1"/>
        </w:numPr>
        <w:spacing w:line="360" w:lineRule="auto"/>
        <w:ind w:left="0" w:right="49" w:firstLine="0"/>
        <w:jc w:val="both"/>
        <w:rPr>
          <w:rFonts w:ascii="Palatino Linotype" w:hAnsi="Palatino Linotype" w:cs="Bookman Old Style"/>
        </w:rPr>
      </w:pPr>
      <w:r w:rsidRPr="002F0087">
        <w:rPr>
          <w:rFonts w:ascii="Palatino Linotype" w:eastAsia="Calibri" w:hAnsi="Palatino Linotype" w:cs="Arial"/>
          <w:lang w:val="es-ES" w:eastAsia="es-MX"/>
        </w:rPr>
        <w:t xml:space="preserve">Como ya se ha señalado en el considerando anterior el </w:t>
      </w:r>
      <w:r w:rsidRPr="002F0087">
        <w:rPr>
          <w:rFonts w:ascii="Palatino Linotype" w:eastAsia="Calibri" w:hAnsi="Palatino Linotype" w:cs="Arial"/>
          <w:b/>
          <w:lang w:val="es-ES" w:eastAsia="es-MX"/>
        </w:rPr>
        <w:t>SUJETO OBLIGADO,</w:t>
      </w:r>
      <w:r w:rsidRPr="002F0087">
        <w:rPr>
          <w:rFonts w:ascii="Palatino Linotype" w:eastAsia="Calibri" w:hAnsi="Palatino Linotype" w:cs="Arial"/>
          <w:lang w:val="es-ES" w:eastAsia="es-MX"/>
        </w:rPr>
        <w:t xml:space="preserve"> deberá </w:t>
      </w:r>
      <w:r w:rsidR="003A4FF1" w:rsidRPr="002F0087">
        <w:rPr>
          <w:rFonts w:ascii="Palatino Linotype" w:eastAsia="Calibri" w:hAnsi="Palatino Linotype" w:cs="Arial"/>
          <w:lang w:val="es-ES" w:eastAsia="es-MX"/>
        </w:rPr>
        <w:t xml:space="preserve">entregar los comprobantes de estudios y </w:t>
      </w:r>
      <w:proofErr w:type="spellStart"/>
      <w:r w:rsidR="003A4FF1" w:rsidRPr="002F0087">
        <w:rPr>
          <w:rFonts w:ascii="Palatino Linotype" w:eastAsia="Calibri" w:hAnsi="Palatino Linotype" w:cs="Arial"/>
          <w:lang w:val="es-ES" w:eastAsia="es-MX"/>
        </w:rPr>
        <w:t>curriculum</w:t>
      </w:r>
      <w:proofErr w:type="spellEnd"/>
      <w:r w:rsidR="003A4FF1" w:rsidRPr="002F0087">
        <w:rPr>
          <w:rFonts w:ascii="Palatino Linotype" w:eastAsia="Calibri" w:hAnsi="Palatino Linotype" w:cs="Arial"/>
          <w:lang w:val="es-ES" w:eastAsia="es-MX"/>
        </w:rPr>
        <w:t xml:space="preserve"> </w:t>
      </w:r>
      <w:r w:rsidR="001A4AF9" w:rsidRPr="002F0087">
        <w:rPr>
          <w:rFonts w:ascii="Palatino Linotype" w:eastAsia="Calibri" w:hAnsi="Palatino Linotype" w:cs="Arial"/>
          <w:lang w:val="es-ES" w:eastAsia="es-MX"/>
        </w:rPr>
        <w:t xml:space="preserve"> de </w:t>
      </w:r>
      <w:r w:rsidR="002B1577" w:rsidRPr="002F0087">
        <w:rPr>
          <w:rFonts w:ascii="Palatino Linotype" w:eastAsia="Calibri" w:hAnsi="Palatino Linotype" w:cs="Arial"/>
          <w:lang w:val="es-ES" w:eastAsia="es-MX"/>
        </w:rPr>
        <w:t xml:space="preserve">todos los </w:t>
      </w:r>
      <w:r w:rsidR="003A4FF1" w:rsidRPr="002F0087">
        <w:rPr>
          <w:rFonts w:ascii="Palatino Linotype" w:eastAsia="Calibri" w:hAnsi="Palatino Linotype" w:cs="Arial"/>
          <w:lang w:val="es-ES" w:eastAsia="es-MX"/>
        </w:rPr>
        <w:t>mandos medios y superiores</w:t>
      </w:r>
      <w:r w:rsidR="001A4AF9" w:rsidRPr="002F0087">
        <w:rPr>
          <w:rFonts w:ascii="Palatino Linotype" w:eastAsia="Calibri" w:hAnsi="Palatino Linotype" w:cs="Arial"/>
          <w:lang w:val="es-ES" w:eastAsia="es-MX"/>
        </w:rPr>
        <w:t>.</w:t>
      </w:r>
      <w:r w:rsidRPr="002F0087">
        <w:rPr>
          <w:rFonts w:ascii="Palatino Linotype" w:hAnsi="Palatino Linotype"/>
          <w:lang w:val="es-ES"/>
        </w:rPr>
        <w:t xml:space="preserve"> </w:t>
      </w:r>
      <w:r w:rsidRPr="002F0087">
        <w:rPr>
          <w:rFonts w:ascii="Palatino Linotype" w:eastAsia="Calibri" w:hAnsi="Palatino Linotype" w:cs="Arial"/>
          <w:lang w:val="es-ES" w:eastAsia="es-MX"/>
        </w:rPr>
        <w:t xml:space="preserve">Documentos </w:t>
      </w:r>
      <w:r w:rsidR="003A4FF1" w:rsidRPr="002F0087">
        <w:rPr>
          <w:rFonts w:ascii="Palatino Linotype" w:eastAsia="Calibri" w:hAnsi="Palatino Linotype" w:cs="Arial"/>
          <w:lang w:val="es-ES" w:eastAsia="es-MX"/>
        </w:rPr>
        <w:t>que por su naturaleza contienen datos personales que</w:t>
      </w:r>
      <w:r w:rsidR="00F62BD1" w:rsidRPr="002F0087">
        <w:rPr>
          <w:rFonts w:ascii="Palatino Linotype" w:eastAsia="Calibri" w:hAnsi="Palatino Linotype" w:cs="Arial"/>
          <w:lang w:val="es-ES" w:eastAsia="es-MX"/>
        </w:rPr>
        <w:t xml:space="preserve"> deben </w:t>
      </w:r>
      <w:r w:rsidRPr="002F0087">
        <w:rPr>
          <w:rFonts w:ascii="Palatino Linotype" w:eastAsia="Calibri" w:hAnsi="Palatino Linotype" w:cs="Arial"/>
          <w:lang w:val="es-ES" w:eastAsia="es-MX"/>
        </w:rPr>
        <w:t>ser clasificados como confidenciales, se protegerán mediante una versión pública</w:t>
      </w:r>
      <w:r w:rsidRPr="002F0087">
        <w:rPr>
          <w:rFonts w:ascii="Palatino Linotype" w:eastAsia="Times New Roman" w:hAnsi="Palatino Linotype" w:cs="Arial"/>
          <w:color w:val="222222"/>
          <w:lang w:val="es-ES" w:eastAsia="es-MX"/>
        </w:rPr>
        <w:t xml:space="preserve"> que deje a la vista los datos que ofrezcan la información requerida. </w:t>
      </w:r>
    </w:p>
    <w:p w14:paraId="48BF74D4" w14:textId="4A92A5B0" w:rsidR="00903054" w:rsidRPr="002F0087" w:rsidRDefault="00903054" w:rsidP="002F0087">
      <w:pPr>
        <w:pStyle w:val="Ttulo3"/>
        <w:numPr>
          <w:ilvl w:val="0"/>
          <w:numId w:val="20"/>
        </w:numPr>
        <w:spacing w:before="0" w:line="360" w:lineRule="auto"/>
        <w:rPr>
          <w:rFonts w:ascii="Palatino Linotype" w:eastAsia="Calibri" w:hAnsi="Palatino Linotype"/>
          <w:b/>
          <w:color w:val="auto"/>
        </w:rPr>
      </w:pPr>
      <w:bookmarkStart w:id="66" w:name="_Toc531859121"/>
      <w:bookmarkStart w:id="67" w:name="_Toc532385645"/>
      <w:bookmarkStart w:id="68" w:name="_Toc954273"/>
      <w:bookmarkStart w:id="69" w:name="_Toc1585433"/>
      <w:bookmarkStart w:id="70" w:name="_Toc5821426"/>
      <w:r w:rsidRPr="002F0087">
        <w:rPr>
          <w:rFonts w:ascii="Palatino Linotype" w:hAnsi="Palatino Linotype"/>
          <w:b/>
          <w:color w:val="auto"/>
        </w:rPr>
        <w:lastRenderedPageBreak/>
        <w:t>Requisitos previos.</w:t>
      </w:r>
      <w:bookmarkEnd w:id="66"/>
      <w:bookmarkEnd w:id="67"/>
      <w:bookmarkEnd w:id="68"/>
      <w:bookmarkEnd w:id="69"/>
      <w:bookmarkEnd w:id="70"/>
    </w:p>
    <w:p w14:paraId="622B37A4" w14:textId="77777777" w:rsidR="00843C11" w:rsidRPr="002F0087" w:rsidRDefault="00843C11" w:rsidP="002F0087">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BF2A710" w14:textId="0BDC91FE" w:rsidR="00903054" w:rsidRPr="002F0087" w:rsidRDefault="00903054" w:rsidP="002F0087">
      <w:pPr>
        <w:pStyle w:val="Prrafodelista"/>
        <w:numPr>
          <w:ilvl w:val="0"/>
          <w:numId w:val="1"/>
        </w:numPr>
        <w:spacing w:line="360" w:lineRule="auto"/>
        <w:ind w:left="0" w:right="49" w:firstLine="0"/>
        <w:jc w:val="both"/>
        <w:rPr>
          <w:rFonts w:ascii="Palatino Linotype" w:eastAsia="Calibri" w:hAnsi="Palatino Linotype" w:cs="Arial"/>
          <w:lang w:val="es-ES" w:eastAsia="es-MX"/>
        </w:rPr>
      </w:pPr>
      <w:r w:rsidRPr="002F0087">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6FFCA48" w14:textId="77777777" w:rsidR="00903054" w:rsidRPr="002F0087" w:rsidRDefault="00903054" w:rsidP="002F0087">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E001235"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3C7643B" w14:textId="77777777" w:rsidR="00903054" w:rsidRPr="002F0087" w:rsidRDefault="00903054" w:rsidP="002F0087">
      <w:pPr>
        <w:pStyle w:val="Prrafodelista"/>
        <w:spacing w:line="360" w:lineRule="auto"/>
        <w:rPr>
          <w:rFonts w:ascii="Palatino Linotype" w:eastAsia="Calibri" w:hAnsi="Palatino Linotype" w:cs="Arial"/>
          <w:lang w:val="es-ES" w:eastAsia="es-MX"/>
        </w:rPr>
      </w:pPr>
    </w:p>
    <w:p w14:paraId="535CF144"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A0A2A2" w14:textId="52EBFF21" w:rsidR="00903054" w:rsidRPr="002F0087" w:rsidRDefault="00903054" w:rsidP="002F0087">
      <w:pPr>
        <w:pStyle w:val="Ttulo3"/>
        <w:numPr>
          <w:ilvl w:val="0"/>
          <w:numId w:val="20"/>
        </w:numPr>
        <w:spacing w:before="0" w:line="360" w:lineRule="auto"/>
        <w:rPr>
          <w:rFonts w:ascii="Palatino Linotype" w:hAnsi="Palatino Linotype"/>
          <w:b/>
          <w:color w:val="auto"/>
        </w:rPr>
      </w:pPr>
      <w:bookmarkStart w:id="71" w:name="_Toc531859122"/>
      <w:bookmarkStart w:id="72" w:name="_Toc532385646"/>
      <w:bookmarkStart w:id="73" w:name="_Toc954274"/>
      <w:bookmarkStart w:id="74" w:name="_Toc1585434"/>
      <w:bookmarkStart w:id="75" w:name="_Toc5821427"/>
      <w:r w:rsidRPr="002F0087">
        <w:rPr>
          <w:rFonts w:ascii="Palatino Linotype" w:hAnsi="Palatino Linotype"/>
          <w:b/>
          <w:color w:val="auto"/>
        </w:rPr>
        <w:lastRenderedPageBreak/>
        <w:t>Supuesto de clasificación.</w:t>
      </w:r>
      <w:bookmarkEnd w:id="71"/>
      <w:bookmarkEnd w:id="72"/>
      <w:bookmarkEnd w:id="73"/>
      <w:bookmarkEnd w:id="74"/>
      <w:bookmarkEnd w:id="75"/>
    </w:p>
    <w:p w14:paraId="408BEE07" w14:textId="77777777" w:rsidR="00903054" w:rsidRPr="002F0087" w:rsidRDefault="00903054" w:rsidP="002F0087">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3375FD4" w14:textId="77777777" w:rsidR="00903054"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11B89A1" w14:textId="77777777" w:rsidR="002F0087" w:rsidRPr="002F0087" w:rsidRDefault="002F0087" w:rsidP="002F0087">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0E642754" w14:textId="77777777" w:rsidR="00903054" w:rsidRPr="002F0087" w:rsidRDefault="00903054" w:rsidP="002F0087">
      <w:pPr>
        <w:autoSpaceDE w:val="0"/>
        <w:autoSpaceDN w:val="0"/>
        <w:adjustRightInd w:val="0"/>
        <w:spacing w:line="360" w:lineRule="auto"/>
        <w:ind w:left="567" w:right="567"/>
        <w:jc w:val="both"/>
        <w:rPr>
          <w:rFonts w:ascii="Palatino Linotype" w:hAnsi="Palatino Linotype" w:cs="Arial"/>
          <w:i/>
          <w:lang w:val="es-MX"/>
        </w:rPr>
      </w:pPr>
      <w:r w:rsidRPr="002F0087">
        <w:rPr>
          <w:rFonts w:ascii="Palatino Linotype" w:hAnsi="Palatino Linotype" w:cs="Arial"/>
          <w:b/>
          <w:bCs/>
          <w:i/>
          <w:lang w:val="es-MX"/>
        </w:rPr>
        <w:t xml:space="preserve">Artículo 3. </w:t>
      </w:r>
      <w:r w:rsidRPr="002F0087">
        <w:rPr>
          <w:rFonts w:ascii="Palatino Linotype" w:hAnsi="Palatino Linotype" w:cs="Arial"/>
          <w:i/>
          <w:lang w:val="es-MX"/>
        </w:rPr>
        <w:t>Para los efectos de la presente Ley se entenderá por:</w:t>
      </w:r>
    </w:p>
    <w:p w14:paraId="334576CA"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 xml:space="preserve"> (…)</w:t>
      </w:r>
    </w:p>
    <w:p w14:paraId="0AEB02D8"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4D8DBAD"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w:t>
      </w:r>
    </w:p>
    <w:p w14:paraId="3E70796E"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XX. Información clasificada: Aquella considerada por la presente Ley como reservada o confidencial;</w:t>
      </w:r>
    </w:p>
    <w:p w14:paraId="7BEF34EB"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CE11E9"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w:t>
      </w:r>
    </w:p>
    <w:p w14:paraId="5691D8E8"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lastRenderedPageBreak/>
        <w:t>XLV. Versión pública: Documento en el que se elimine, suprime o borra la información clasificada como reservada o confidencial para permitir su acceso.</w:t>
      </w:r>
    </w:p>
    <w:p w14:paraId="343B1E23"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w:t>
      </w:r>
    </w:p>
    <w:p w14:paraId="5B000718"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2B1D1084"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w:t>
      </w:r>
    </w:p>
    <w:p w14:paraId="150F67E8"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11DB7E"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w:t>
      </w:r>
    </w:p>
    <w:p w14:paraId="471E2AB1"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B58B1CC"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F0087">
        <w:rPr>
          <w:rFonts w:ascii="Palatino Linotype" w:eastAsia="Calibri" w:hAnsi="Palatino Linotype" w:cs="Arial"/>
          <w:i/>
          <w:lang w:val="es-ES" w:eastAsia="es-MX"/>
        </w:rPr>
        <w:t>jurídico</w:t>
      </w:r>
      <w:proofErr w:type="gramEnd"/>
      <w:r w:rsidRPr="002F0087">
        <w:rPr>
          <w:rFonts w:ascii="Palatino Linotype" w:eastAsia="Calibri" w:hAnsi="Palatino Linotype" w:cs="Arial"/>
          <w:i/>
          <w:lang w:val="es-ES" w:eastAsia="es-MX"/>
        </w:rPr>
        <w:t xml:space="preserve"> colectiva identificada o identificable;</w:t>
      </w:r>
    </w:p>
    <w:p w14:paraId="44A9D5B9"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278E25D" w14:textId="77777777" w:rsidR="00903054" w:rsidRPr="002F0087" w:rsidRDefault="00903054" w:rsidP="002F0087">
      <w:pPr>
        <w:autoSpaceDE w:val="0"/>
        <w:autoSpaceDN w:val="0"/>
        <w:adjustRightInd w:val="0"/>
        <w:spacing w:line="360" w:lineRule="auto"/>
        <w:ind w:left="567" w:right="567"/>
        <w:jc w:val="both"/>
        <w:rPr>
          <w:rFonts w:ascii="Palatino Linotype" w:eastAsia="Calibri" w:hAnsi="Palatino Linotype" w:cs="Arial"/>
          <w:i/>
          <w:lang w:val="es-ES" w:eastAsia="es-MX"/>
        </w:rPr>
      </w:pPr>
      <w:r w:rsidRPr="002F0087">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290E08E"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036819" w14:textId="77777777" w:rsidR="00903054" w:rsidRPr="002F0087" w:rsidRDefault="00903054" w:rsidP="002F0087">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CBD6FFB"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t>Como consecuencia de lo anterior, el sujeto obligado debe identificar claramente el tipo de información y hacer un juicio de subsunción o encaje</w:t>
      </w:r>
      <w:r w:rsidRPr="002F0087">
        <w:rPr>
          <w:rStyle w:val="Refdenotaalpie"/>
          <w:rFonts w:ascii="Palatino Linotype" w:hAnsi="Palatino Linotype" w:cs="Arial"/>
        </w:rPr>
        <w:footnoteReference w:id="6"/>
      </w:r>
      <w:r w:rsidRPr="002F008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A7DD56A" w14:textId="77777777" w:rsidR="00903054" w:rsidRPr="002F0087" w:rsidRDefault="00903054" w:rsidP="002F0087">
      <w:pPr>
        <w:pStyle w:val="Prrafodelista"/>
        <w:spacing w:line="360" w:lineRule="auto"/>
        <w:rPr>
          <w:rFonts w:ascii="Palatino Linotype" w:eastAsia="Calibri" w:hAnsi="Palatino Linotype" w:cs="Arial"/>
          <w:lang w:val="es-ES" w:eastAsia="es-MX"/>
        </w:rPr>
      </w:pPr>
    </w:p>
    <w:p w14:paraId="68710631"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530778F7" w14:textId="77777777" w:rsidR="00903054" w:rsidRPr="002F0087" w:rsidRDefault="00903054" w:rsidP="002F0087">
      <w:pPr>
        <w:pStyle w:val="Prrafodelista"/>
        <w:spacing w:line="360" w:lineRule="auto"/>
        <w:rPr>
          <w:rFonts w:ascii="Palatino Linotype" w:eastAsia="Calibri" w:hAnsi="Palatino Linotype" w:cs="Arial"/>
          <w:lang w:val="es-ES" w:eastAsia="es-MX"/>
        </w:rPr>
      </w:pPr>
    </w:p>
    <w:p w14:paraId="60B87C89" w14:textId="77777777" w:rsidR="00903054" w:rsidRPr="002F0087" w:rsidRDefault="00903054" w:rsidP="002F0087">
      <w:pPr>
        <w:pStyle w:val="Ttulo3"/>
        <w:numPr>
          <w:ilvl w:val="0"/>
          <w:numId w:val="20"/>
        </w:numPr>
        <w:spacing w:before="0" w:line="360" w:lineRule="auto"/>
        <w:rPr>
          <w:rFonts w:ascii="Palatino Linotype" w:hAnsi="Palatino Linotype"/>
          <w:b/>
          <w:color w:val="auto"/>
        </w:rPr>
      </w:pPr>
      <w:bookmarkStart w:id="76" w:name="_Toc531859123"/>
      <w:bookmarkStart w:id="77" w:name="_Toc532385647"/>
      <w:bookmarkStart w:id="78" w:name="_Toc954275"/>
      <w:bookmarkStart w:id="79" w:name="_Toc1585435"/>
      <w:bookmarkStart w:id="80" w:name="_Toc5821428"/>
      <w:r w:rsidRPr="002F0087">
        <w:rPr>
          <w:rFonts w:ascii="Palatino Linotype" w:hAnsi="Palatino Linotype"/>
          <w:b/>
          <w:color w:val="auto"/>
        </w:rPr>
        <w:t>La intervención del Comité de Transparencia.</w:t>
      </w:r>
      <w:bookmarkEnd w:id="76"/>
      <w:bookmarkEnd w:id="77"/>
      <w:bookmarkEnd w:id="78"/>
      <w:bookmarkEnd w:id="79"/>
      <w:bookmarkEnd w:id="80"/>
    </w:p>
    <w:p w14:paraId="208E87B0" w14:textId="125AFD2E" w:rsidR="00903054" w:rsidRPr="002F0087" w:rsidRDefault="00903054" w:rsidP="002F0087">
      <w:pPr>
        <w:pStyle w:val="Ttulo1"/>
        <w:numPr>
          <w:ilvl w:val="1"/>
          <w:numId w:val="1"/>
        </w:numPr>
        <w:spacing w:before="0" w:line="360" w:lineRule="auto"/>
        <w:ind w:hanging="731"/>
        <w:rPr>
          <w:b/>
          <w:szCs w:val="24"/>
        </w:rPr>
      </w:pPr>
      <w:bookmarkStart w:id="81" w:name="_Toc5821429"/>
      <w:r w:rsidRPr="002F0087">
        <w:rPr>
          <w:b/>
          <w:szCs w:val="24"/>
        </w:rPr>
        <w:t>Formalidades para emitir el acuerdo de clasificación.</w:t>
      </w:r>
      <w:bookmarkEnd w:id="81"/>
    </w:p>
    <w:p w14:paraId="16F81E57" w14:textId="77777777" w:rsidR="00903054" w:rsidRPr="002F0087" w:rsidRDefault="00903054" w:rsidP="002F0087">
      <w:pPr>
        <w:spacing w:line="360" w:lineRule="auto"/>
        <w:rPr>
          <w:rFonts w:ascii="Palatino Linotype" w:hAnsi="Palatino Linotype"/>
          <w:lang w:val="es-MX" w:eastAsia="en-US"/>
        </w:rPr>
      </w:pPr>
    </w:p>
    <w:p w14:paraId="47B0BA4F"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t xml:space="preserve">El Comité de Transparencia, según lo dispuesto en los artículos 128 y 103 de la Ley Estatal y de la Ley General, respectivamente, y </w:t>
      </w:r>
      <w:r w:rsidRPr="002F0087">
        <w:rPr>
          <w:rFonts w:ascii="Palatino Linotype" w:hAnsi="Palatino Linotype"/>
        </w:rPr>
        <w:t xml:space="preserve">la fracción III del numeral Segundo de los </w:t>
      </w:r>
      <w:r w:rsidRPr="002F008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F0087">
        <w:rPr>
          <w:rFonts w:ascii="Palatino Linotype" w:hAnsi="Palatino Linotype"/>
        </w:rPr>
        <w:t xml:space="preserve"> </w:t>
      </w:r>
      <w:r w:rsidRPr="002F008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1E84635" w14:textId="77777777" w:rsidR="00903054" w:rsidRPr="002F0087" w:rsidRDefault="00903054" w:rsidP="002F0087">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26DA5378"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2F0087">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0C0F1DF" w14:textId="77777777" w:rsidR="00903054" w:rsidRPr="002F0087" w:rsidRDefault="00903054" w:rsidP="002F0087">
      <w:pPr>
        <w:pStyle w:val="Prrafodelista"/>
        <w:spacing w:line="360" w:lineRule="auto"/>
        <w:rPr>
          <w:rFonts w:ascii="Palatino Linotype" w:eastAsia="Calibri" w:hAnsi="Palatino Linotype" w:cs="Arial"/>
          <w:lang w:val="es-ES" w:eastAsia="es-MX"/>
        </w:rPr>
      </w:pPr>
    </w:p>
    <w:p w14:paraId="250BB23C"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CC16071" w14:textId="42AA16E8" w:rsidR="00903054" w:rsidRPr="002F0087" w:rsidRDefault="00903054" w:rsidP="002F0087">
      <w:pPr>
        <w:pStyle w:val="Ttulo1"/>
        <w:numPr>
          <w:ilvl w:val="0"/>
          <w:numId w:val="22"/>
        </w:numPr>
        <w:spacing w:before="0" w:line="360" w:lineRule="auto"/>
        <w:rPr>
          <w:b/>
          <w:szCs w:val="24"/>
        </w:rPr>
      </w:pPr>
      <w:bookmarkStart w:id="82" w:name="_Toc5821430"/>
      <w:r w:rsidRPr="002F0087">
        <w:rPr>
          <w:b/>
          <w:szCs w:val="24"/>
        </w:rPr>
        <w:t>Requisitos de fondo del acuerdo de clasificación</w:t>
      </w:r>
      <w:r w:rsidR="00DB0CCB" w:rsidRPr="002F0087">
        <w:rPr>
          <w:b/>
          <w:szCs w:val="24"/>
        </w:rPr>
        <w:t>.</w:t>
      </w:r>
      <w:bookmarkEnd w:id="82"/>
    </w:p>
    <w:p w14:paraId="319DB52E" w14:textId="77777777" w:rsidR="00903054" w:rsidRPr="002F0087" w:rsidRDefault="00903054" w:rsidP="002F0087">
      <w:pPr>
        <w:pStyle w:val="Prrafodelista"/>
        <w:spacing w:line="360" w:lineRule="auto"/>
        <w:rPr>
          <w:rFonts w:ascii="Palatino Linotype" w:eastAsia="Calibri" w:hAnsi="Palatino Linotype" w:cs="Arial"/>
          <w:b/>
          <w:lang w:val="es-ES" w:eastAsia="es-MX"/>
        </w:rPr>
      </w:pPr>
    </w:p>
    <w:p w14:paraId="0A3C6F4B" w14:textId="2C3BE735"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2F0087">
        <w:rPr>
          <w:rFonts w:ascii="Palatino Linotype" w:hAnsi="Palatino Linotype" w:cs="Arial"/>
        </w:rPr>
        <w:lastRenderedPageBreak/>
        <w:t xml:space="preserve">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B8651F5" w14:textId="77777777" w:rsidR="00903054" w:rsidRPr="002F0087" w:rsidRDefault="00903054" w:rsidP="002F0087">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7B03094E"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88E55B" w14:textId="77777777" w:rsidR="00903054" w:rsidRPr="002F0087" w:rsidRDefault="00903054" w:rsidP="002F0087">
      <w:pPr>
        <w:pStyle w:val="Prrafodelista"/>
        <w:spacing w:line="360" w:lineRule="auto"/>
        <w:rPr>
          <w:rFonts w:ascii="Palatino Linotype" w:eastAsia="Calibri" w:hAnsi="Palatino Linotype" w:cs="Arial"/>
          <w:lang w:val="es-ES" w:eastAsia="es-MX"/>
        </w:rPr>
      </w:pPr>
    </w:p>
    <w:p w14:paraId="24D39CD1"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F0087">
        <w:rPr>
          <w:rFonts w:ascii="Palatino Linotype" w:eastAsia="Times New Roman" w:hAnsi="Palatino Linotype" w:cs="Arial"/>
          <w:lang w:eastAsia="es-MX"/>
        </w:rPr>
        <w:lastRenderedPageBreak/>
        <w:t>del análisis de las pruebas, lo cual se debe exteriorizar en una argumentación o juicio de hecho....”</w:t>
      </w:r>
      <w:r w:rsidRPr="002F0087">
        <w:rPr>
          <w:rStyle w:val="Refdenotaalpie"/>
          <w:rFonts w:ascii="Palatino Linotype" w:eastAsia="Times New Roman" w:hAnsi="Palatino Linotype" w:cs="Arial"/>
          <w:lang w:eastAsia="es-MX"/>
        </w:rPr>
        <w:footnoteReference w:id="7"/>
      </w:r>
    </w:p>
    <w:p w14:paraId="6533BFB6" w14:textId="77777777" w:rsidR="00903054" w:rsidRPr="002F0087" w:rsidRDefault="00903054" w:rsidP="002F0087">
      <w:pPr>
        <w:pStyle w:val="Prrafodelista"/>
        <w:spacing w:line="360" w:lineRule="auto"/>
        <w:rPr>
          <w:rFonts w:ascii="Palatino Linotype" w:eastAsia="Calibri" w:hAnsi="Palatino Linotype" w:cs="Arial"/>
          <w:lang w:val="es-ES" w:eastAsia="es-MX"/>
        </w:rPr>
      </w:pPr>
    </w:p>
    <w:p w14:paraId="0D4E9564" w14:textId="77777777" w:rsidR="00903054" w:rsidRPr="002F0087" w:rsidRDefault="00903054" w:rsidP="002F0087">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F008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AC5E2DD" w14:textId="77777777" w:rsidR="00903054" w:rsidRPr="002F0087" w:rsidRDefault="00903054" w:rsidP="002F0087">
      <w:pPr>
        <w:pStyle w:val="Prrafodelista"/>
        <w:spacing w:line="360" w:lineRule="auto"/>
        <w:rPr>
          <w:rFonts w:ascii="Palatino Linotype" w:eastAsia="Calibri" w:hAnsi="Palatino Linotype" w:cs="Arial"/>
          <w:lang w:val="es-ES" w:eastAsia="es-MX"/>
        </w:rPr>
      </w:pPr>
    </w:p>
    <w:p w14:paraId="349D0157" w14:textId="77777777" w:rsidR="00903054" w:rsidRPr="002F0087" w:rsidRDefault="00903054" w:rsidP="002F0087">
      <w:pPr>
        <w:spacing w:line="360" w:lineRule="auto"/>
        <w:ind w:left="567" w:right="567"/>
        <w:contextualSpacing/>
        <w:jc w:val="both"/>
        <w:rPr>
          <w:rFonts w:ascii="Palatino Linotype" w:hAnsi="Palatino Linotype" w:cs="Arial"/>
          <w:i/>
        </w:rPr>
      </w:pPr>
      <w:r w:rsidRPr="002F0087">
        <w:rPr>
          <w:rFonts w:ascii="Palatino Linotype" w:hAnsi="Palatino Linotype" w:cs="Arial"/>
          <w:b/>
          <w:i/>
        </w:rPr>
        <w:t>FUNDAMENTACIÓN Y MOTIVACIÓN.</w:t>
      </w:r>
      <w:r w:rsidRPr="002F0087">
        <w:rPr>
          <w:rFonts w:ascii="Palatino Linotype" w:hAnsi="Palatino Linotype" w:cs="Arial"/>
          <w:i/>
        </w:rPr>
        <w:t xml:space="preserve"> La </w:t>
      </w:r>
      <w:r w:rsidRPr="002F0087">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F0087">
        <w:rPr>
          <w:rFonts w:ascii="Palatino Linotype" w:hAnsi="Palatino Linotype" w:cs="Arial"/>
          <w:i/>
        </w:rPr>
        <w:t>.</w:t>
      </w:r>
    </w:p>
    <w:p w14:paraId="06494445" w14:textId="77777777" w:rsidR="00903054" w:rsidRPr="002F0087" w:rsidRDefault="00903054" w:rsidP="002F0087">
      <w:pPr>
        <w:spacing w:line="360" w:lineRule="auto"/>
        <w:ind w:left="567" w:right="567"/>
        <w:contextualSpacing/>
        <w:jc w:val="both"/>
        <w:rPr>
          <w:rFonts w:ascii="Palatino Linotype" w:hAnsi="Palatino Linotype" w:cs="Arial"/>
          <w:i/>
        </w:rPr>
      </w:pPr>
      <w:r w:rsidRPr="002F0087">
        <w:rPr>
          <w:rFonts w:ascii="Palatino Linotype" w:hAnsi="Palatino Linotype" w:cs="Arial"/>
          <w:i/>
        </w:rPr>
        <w:t>SEGUNDO TRIBUNAL COLEGIADO DEL SEXTO CIRCUITO.</w:t>
      </w:r>
    </w:p>
    <w:p w14:paraId="43CCC07E" w14:textId="77777777" w:rsidR="00903054" w:rsidRPr="002F0087" w:rsidRDefault="00903054" w:rsidP="002F0087">
      <w:pPr>
        <w:spacing w:line="360" w:lineRule="auto"/>
        <w:ind w:left="567" w:right="567"/>
        <w:contextualSpacing/>
        <w:jc w:val="both"/>
        <w:rPr>
          <w:rFonts w:ascii="Palatino Linotype" w:hAnsi="Palatino Linotype" w:cs="Arial"/>
          <w:i/>
        </w:rPr>
      </w:pPr>
      <w:r w:rsidRPr="002F0087">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10168CF" w14:textId="77777777" w:rsidR="00903054" w:rsidRPr="002F0087" w:rsidRDefault="00903054" w:rsidP="002F0087">
      <w:pPr>
        <w:spacing w:line="360" w:lineRule="auto"/>
        <w:ind w:left="567" w:right="567"/>
        <w:contextualSpacing/>
        <w:jc w:val="both"/>
        <w:rPr>
          <w:rFonts w:ascii="Palatino Linotype" w:hAnsi="Palatino Linotype" w:cs="Arial"/>
          <w:i/>
        </w:rPr>
      </w:pPr>
      <w:r w:rsidRPr="002F0087">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2F0087">
        <w:rPr>
          <w:rFonts w:ascii="Palatino Linotype" w:hAnsi="Palatino Linotype" w:cs="Arial"/>
          <w:i/>
        </w:rPr>
        <w:t>Esponda</w:t>
      </w:r>
      <w:proofErr w:type="spellEnd"/>
      <w:r w:rsidRPr="002F0087">
        <w:rPr>
          <w:rFonts w:ascii="Palatino Linotype" w:hAnsi="Palatino Linotype" w:cs="Arial"/>
          <w:i/>
        </w:rPr>
        <w:t xml:space="preserve"> Rincón.</w:t>
      </w:r>
    </w:p>
    <w:p w14:paraId="4E1E882B" w14:textId="77777777" w:rsidR="00903054" w:rsidRPr="002F0087" w:rsidRDefault="00903054" w:rsidP="002F0087">
      <w:pPr>
        <w:spacing w:line="360" w:lineRule="auto"/>
        <w:ind w:left="567" w:right="567"/>
        <w:contextualSpacing/>
        <w:jc w:val="both"/>
        <w:rPr>
          <w:rFonts w:ascii="Palatino Linotype" w:hAnsi="Palatino Linotype" w:cs="Arial"/>
          <w:i/>
        </w:rPr>
      </w:pPr>
      <w:r w:rsidRPr="002F0087">
        <w:rPr>
          <w:rFonts w:ascii="Palatino Linotype" w:hAnsi="Palatino Linotype" w:cs="Arial"/>
          <w:i/>
        </w:rPr>
        <w:lastRenderedPageBreak/>
        <w:t xml:space="preserve">Amparo en revisión 333/88. </w:t>
      </w:r>
      <w:proofErr w:type="spellStart"/>
      <w:r w:rsidRPr="002F0087">
        <w:rPr>
          <w:rFonts w:ascii="Palatino Linotype" w:hAnsi="Palatino Linotype" w:cs="Arial"/>
          <w:i/>
        </w:rPr>
        <w:t>Adilia</w:t>
      </w:r>
      <w:proofErr w:type="spellEnd"/>
      <w:r w:rsidRPr="002F0087">
        <w:rPr>
          <w:rFonts w:ascii="Palatino Linotype" w:hAnsi="Palatino Linotype" w:cs="Arial"/>
          <w:i/>
        </w:rPr>
        <w:t xml:space="preserve"> Romero. 26 de octubre de 1988. Unanimidad de votos. Ponente: Arnoldo Nájera Virgen. Secretario: Enrique Crispín Campos Ramírez.</w:t>
      </w:r>
    </w:p>
    <w:p w14:paraId="045AB197" w14:textId="77777777" w:rsidR="00903054" w:rsidRPr="002F0087" w:rsidRDefault="00903054" w:rsidP="002F0087">
      <w:pPr>
        <w:spacing w:line="360" w:lineRule="auto"/>
        <w:ind w:left="567" w:right="567"/>
        <w:contextualSpacing/>
        <w:jc w:val="both"/>
        <w:rPr>
          <w:rFonts w:ascii="Palatino Linotype" w:hAnsi="Palatino Linotype" w:cs="Arial"/>
          <w:i/>
        </w:rPr>
      </w:pPr>
      <w:r w:rsidRPr="002F0087">
        <w:rPr>
          <w:rFonts w:ascii="Palatino Linotype" w:hAnsi="Palatino Linotype" w:cs="Arial"/>
          <w:i/>
        </w:rPr>
        <w:t xml:space="preserve">Amparo en revisión 597/95. Emilio Maurer Bretón. 15 de noviembre de 1995. Unanimidad de votos. Ponente: Clementina Ramírez Moguel </w:t>
      </w:r>
      <w:proofErr w:type="spellStart"/>
      <w:r w:rsidRPr="002F0087">
        <w:rPr>
          <w:rFonts w:ascii="Palatino Linotype" w:hAnsi="Palatino Linotype" w:cs="Arial"/>
          <w:i/>
        </w:rPr>
        <w:t>Goyzueta</w:t>
      </w:r>
      <w:proofErr w:type="spellEnd"/>
      <w:r w:rsidRPr="002F0087">
        <w:rPr>
          <w:rFonts w:ascii="Palatino Linotype" w:hAnsi="Palatino Linotype" w:cs="Arial"/>
          <w:i/>
        </w:rPr>
        <w:t>. Secretario: Gonzalo Carrera Molina.</w:t>
      </w:r>
    </w:p>
    <w:p w14:paraId="265BAAC6" w14:textId="77777777" w:rsidR="00903054" w:rsidRPr="002F0087" w:rsidRDefault="00903054" w:rsidP="002F0087">
      <w:pPr>
        <w:spacing w:line="360" w:lineRule="auto"/>
        <w:ind w:left="567" w:right="567"/>
        <w:contextualSpacing/>
        <w:jc w:val="both"/>
        <w:rPr>
          <w:rFonts w:ascii="Palatino Linotype" w:hAnsi="Palatino Linotype" w:cs="Arial"/>
          <w:i/>
        </w:rPr>
      </w:pPr>
      <w:r w:rsidRPr="002F0087">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2F0087">
        <w:rPr>
          <w:rFonts w:ascii="Palatino Linotype" w:hAnsi="Palatino Linotype" w:cs="Arial"/>
          <w:i/>
        </w:rPr>
        <w:t>Baigts</w:t>
      </w:r>
      <w:proofErr w:type="spellEnd"/>
      <w:r w:rsidRPr="002F0087">
        <w:rPr>
          <w:rFonts w:ascii="Palatino Linotype" w:hAnsi="Palatino Linotype" w:cs="Arial"/>
          <w:i/>
        </w:rPr>
        <w:t xml:space="preserve"> Muñoz.</w:t>
      </w:r>
    </w:p>
    <w:p w14:paraId="25B33B42" w14:textId="77777777" w:rsidR="00903054" w:rsidRPr="002F0087" w:rsidRDefault="00903054" w:rsidP="002F0087">
      <w:pPr>
        <w:spacing w:line="360" w:lineRule="auto"/>
        <w:ind w:firstLine="1418"/>
        <w:contextualSpacing/>
        <w:jc w:val="both"/>
        <w:rPr>
          <w:rFonts w:ascii="Palatino Linotype" w:hAnsi="Palatino Linotype" w:cs="Arial"/>
          <w:lang w:val="es-ES"/>
        </w:rPr>
      </w:pPr>
    </w:p>
    <w:p w14:paraId="67F517D5" w14:textId="77777777" w:rsidR="00903054" w:rsidRPr="002F0087" w:rsidRDefault="00903054" w:rsidP="002F00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008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A043CF" w14:textId="77777777" w:rsidR="00903054" w:rsidRPr="002F0087" w:rsidRDefault="00903054" w:rsidP="002F0087">
      <w:pPr>
        <w:pStyle w:val="Prrafodelista"/>
        <w:shd w:val="clear" w:color="auto" w:fill="FFFFFF"/>
        <w:spacing w:line="360" w:lineRule="auto"/>
        <w:ind w:left="360"/>
        <w:jc w:val="both"/>
        <w:rPr>
          <w:rFonts w:ascii="Palatino Linotype" w:eastAsia="Times New Roman" w:hAnsi="Palatino Linotype" w:cs="Arial"/>
          <w:lang w:eastAsia="es-MX"/>
        </w:rPr>
      </w:pPr>
    </w:p>
    <w:p w14:paraId="5F563896" w14:textId="77777777" w:rsidR="00903054" w:rsidRPr="002F0087" w:rsidRDefault="00903054" w:rsidP="002F00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0087">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C5AAE9" w14:textId="77777777" w:rsidR="00903054" w:rsidRPr="002F0087" w:rsidRDefault="00903054" w:rsidP="002F0087">
      <w:pPr>
        <w:shd w:val="clear" w:color="auto" w:fill="FFFFFF"/>
        <w:spacing w:line="360" w:lineRule="auto"/>
        <w:contextualSpacing/>
        <w:jc w:val="both"/>
        <w:rPr>
          <w:rFonts w:ascii="Palatino Linotype" w:eastAsia="Times New Roman" w:hAnsi="Palatino Linotype" w:cs="Arial"/>
          <w:lang w:eastAsia="es-MX"/>
        </w:rPr>
      </w:pPr>
    </w:p>
    <w:p w14:paraId="7F3A6D01" w14:textId="77777777" w:rsidR="00903054" w:rsidRPr="002F0087" w:rsidRDefault="00903054" w:rsidP="002F00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0087">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7F74C0B0" w14:textId="77777777" w:rsidR="00903054" w:rsidRPr="002F0087" w:rsidRDefault="00903054" w:rsidP="002F0087">
      <w:pPr>
        <w:shd w:val="clear" w:color="auto" w:fill="FFFFFF"/>
        <w:spacing w:line="360" w:lineRule="auto"/>
        <w:jc w:val="both"/>
        <w:rPr>
          <w:rFonts w:ascii="Palatino Linotype" w:eastAsia="Times New Roman" w:hAnsi="Palatino Linotype" w:cs="Arial"/>
          <w:lang w:eastAsia="es-MX"/>
        </w:rPr>
      </w:pPr>
    </w:p>
    <w:p w14:paraId="3D110D8F" w14:textId="77777777" w:rsidR="00903054" w:rsidRPr="002F0087" w:rsidRDefault="00903054" w:rsidP="002F00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008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F0087">
        <w:rPr>
          <w:rFonts w:ascii="Palatino Linotype" w:hAnsi="Palatino Linotype"/>
        </w:rPr>
        <w:t xml:space="preserve"> </w:t>
      </w:r>
      <w:r w:rsidRPr="002F0087">
        <w:rPr>
          <w:rFonts w:ascii="Palatino Linotype" w:eastAsia="Times New Roman" w:hAnsi="Palatino Linotype" w:cs="Arial"/>
          <w:lang w:eastAsia="es-MX"/>
        </w:rPr>
        <w:t>datos personales</w:t>
      </w:r>
      <w:r w:rsidRPr="002F0087">
        <w:rPr>
          <w:rStyle w:val="Refdenotaalpie"/>
          <w:rFonts w:ascii="Palatino Linotype" w:eastAsia="Times New Roman" w:hAnsi="Palatino Linotype" w:cs="Arial"/>
          <w:lang w:eastAsia="es-MX"/>
        </w:rPr>
        <w:footnoteReference w:id="8"/>
      </w:r>
      <w:r w:rsidRPr="002F0087">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F0087">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5241F6E6" w14:textId="77777777" w:rsidR="00903054" w:rsidRPr="002F0087" w:rsidRDefault="00903054" w:rsidP="002F0087">
      <w:pPr>
        <w:pStyle w:val="Prrafodelista"/>
        <w:spacing w:line="360" w:lineRule="auto"/>
        <w:rPr>
          <w:rFonts w:ascii="Palatino Linotype" w:eastAsia="Times New Roman" w:hAnsi="Palatino Linotype" w:cs="Arial"/>
          <w:lang w:eastAsia="es-MX"/>
        </w:rPr>
      </w:pPr>
    </w:p>
    <w:p w14:paraId="47A9A820" w14:textId="77777777" w:rsidR="00903054" w:rsidRPr="002F0087" w:rsidRDefault="00903054" w:rsidP="002F00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F0087">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2A3B3E8" w14:textId="77777777" w:rsidR="00903054" w:rsidRPr="002F0087" w:rsidRDefault="00903054" w:rsidP="002F0087">
      <w:pPr>
        <w:pStyle w:val="Prrafodelista"/>
        <w:spacing w:line="360" w:lineRule="auto"/>
        <w:rPr>
          <w:rFonts w:ascii="Palatino Linotype" w:eastAsia="Times New Roman" w:hAnsi="Palatino Linotype" w:cs="Arial"/>
          <w:lang w:eastAsia="es-MX"/>
        </w:rPr>
      </w:pPr>
    </w:p>
    <w:p w14:paraId="6D39B4C7" w14:textId="77777777" w:rsidR="00903054" w:rsidRPr="002F0087" w:rsidRDefault="00903054" w:rsidP="002F008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F008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F0087">
        <w:rPr>
          <w:rFonts w:ascii="Palatino Linotype" w:hAnsi="Palatino Linotype"/>
          <w:lang w:val="es-ES"/>
        </w:rPr>
        <w:t xml:space="preserve"> </w:t>
      </w:r>
    </w:p>
    <w:p w14:paraId="6ECF1849" w14:textId="51C7CA7E" w:rsidR="00E013B9" w:rsidRPr="002F0087" w:rsidRDefault="00C65A19" w:rsidP="002F0087">
      <w:pPr>
        <w:pStyle w:val="Ttulo1"/>
        <w:numPr>
          <w:ilvl w:val="0"/>
          <w:numId w:val="20"/>
        </w:numPr>
        <w:spacing w:before="0" w:line="360" w:lineRule="auto"/>
        <w:rPr>
          <w:rStyle w:val="apple-converted-space"/>
          <w:b/>
          <w:szCs w:val="24"/>
        </w:rPr>
      </w:pPr>
      <w:bookmarkStart w:id="83" w:name="_Toc5821431"/>
      <w:r w:rsidRPr="002F0087">
        <w:rPr>
          <w:b/>
          <w:szCs w:val="24"/>
        </w:rPr>
        <w:t>P</w:t>
      </w:r>
      <w:r w:rsidR="00E013B9" w:rsidRPr="002F0087">
        <w:rPr>
          <w:b/>
          <w:szCs w:val="24"/>
        </w:rPr>
        <w:t>ublicidad</w:t>
      </w:r>
      <w:r w:rsidR="00E013B9" w:rsidRPr="002F0087">
        <w:rPr>
          <w:rStyle w:val="apple-converted-space"/>
          <w:b/>
          <w:szCs w:val="24"/>
        </w:rPr>
        <w:t xml:space="preserve"> de las fotografías en el Currículum Vitae.</w:t>
      </w:r>
      <w:bookmarkEnd w:id="83"/>
    </w:p>
    <w:p w14:paraId="19E39338" w14:textId="77777777" w:rsidR="00E013B9" w:rsidRPr="002F0087" w:rsidRDefault="00E013B9" w:rsidP="002F0087">
      <w:pPr>
        <w:spacing w:line="360" w:lineRule="auto"/>
        <w:rPr>
          <w:rFonts w:ascii="Palatino Linotype" w:hAnsi="Palatino Linotype"/>
          <w:lang w:val="es-MX" w:eastAsia="en-US"/>
        </w:rPr>
      </w:pPr>
    </w:p>
    <w:p w14:paraId="4A9397FF"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t>La versión pública de los Currículum vitae testando la fotografía le resta valor a los mismos, ya que la simultánea concurrencia del nombre, fotografía, profesión, clave o número, institución, fecha de expedición, entre otros elementos, incluidos en un currículum es justamente lo que le otorga veracidad total al documento. Y la falta de cualquiera de ellos impide que la persona acceda a la información que pretende para generarse una opinión informada o para, en su caso, ejercer cualquier procedimiento de control administrativo o penal, según considere pertinente.</w:t>
      </w:r>
    </w:p>
    <w:p w14:paraId="1B3AE483"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3D5D2505"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lastRenderedPageBreak/>
        <w:t>Pero en el caso en cuestión, dicho argumento pierde todo punto de apoyo ya que se trata de documentos elaborados, precisamente en el momento en el que el servidor público adquiere esa condición, ya que incluye una fotografía que se vincula a sus referencias profesionales y laborales previas hasta llegar precisamente al cargo que ahora ocupa. Por lo que se puede decir, que es un documento actualizable y que se genera precisamente para su entrega en esta ocasión y, en no pocas ocasiones, incluso para su difusión pública en los sitios electrónicos oficiales ya que con el mismo la persona pretende acreditar la autenticidad del documento al tratarse de la misma persona que hace entrega de él, la idoneidad o experiencia para desempeñar un cargo público y generar, en la sociedad, una percepción favorable a su desempeño.</w:t>
      </w:r>
    </w:p>
    <w:p w14:paraId="396209D5"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01200221"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t>Debo decir que, en todos los casos anteriores y en el presente, nos encontramos ante una persona que ejerce su derecho de acceso a la información pública requiriendo documentos relacionados con servidores públicos, y si bien es cierto que la condición de agente gubernamental no implica que la persona pierda sus derechos, entre ellos, el de protección de datos personales, también lo es que la doctrina interamericana en materia de derechos humanos señala que los funcionarios públicos nos encontramos sujetos a un régimen de excepciones o de protección más limitado,</w:t>
      </w:r>
      <w:r w:rsidRPr="002F0087">
        <w:rPr>
          <w:rFonts w:ascii="Palatino Linotype" w:hAnsi="Palatino Linotype"/>
          <w:vertAlign w:val="superscript"/>
        </w:rPr>
        <w:footnoteReference w:id="9"/>
      </w:r>
      <w:r w:rsidRPr="002F0087">
        <w:rPr>
          <w:rFonts w:ascii="Palatino Linotype" w:hAnsi="Palatino Linotype" w:cs="Arial"/>
          <w:color w:val="000000" w:themeColor="text1"/>
        </w:rPr>
        <w:t xml:space="preserve"> restringido en razón de la naturaleza de la función </w:t>
      </w:r>
      <w:r w:rsidRPr="002F0087">
        <w:rPr>
          <w:rFonts w:ascii="Palatino Linotype" w:hAnsi="Palatino Linotype" w:cs="Arial"/>
          <w:color w:val="000000" w:themeColor="text1"/>
        </w:rPr>
        <w:lastRenderedPageBreak/>
        <w:t>pública en sí misma</w:t>
      </w:r>
      <w:r w:rsidRPr="002F0087">
        <w:rPr>
          <w:rFonts w:ascii="Palatino Linotype" w:hAnsi="Palatino Linotype"/>
          <w:color w:val="000000" w:themeColor="text1"/>
          <w:vertAlign w:val="superscript"/>
        </w:rPr>
        <w:footnoteReference w:id="10"/>
      </w:r>
      <w:r w:rsidRPr="002F0087">
        <w:rPr>
          <w:rFonts w:ascii="Palatino Linotype" w:hAnsi="Palatino Linotype" w:cs="Arial"/>
          <w:color w:val="000000" w:themeColor="text1"/>
        </w:rPr>
        <w:t xml:space="preserve"> y del contenido de la propia información que se ha requerido.</w:t>
      </w:r>
      <w:r w:rsidRPr="002F0087">
        <w:rPr>
          <w:rFonts w:ascii="Palatino Linotype" w:hAnsi="Palatino Linotype"/>
          <w:color w:val="000000" w:themeColor="text1"/>
          <w:vertAlign w:val="superscript"/>
        </w:rPr>
        <w:footnoteReference w:id="11"/>
      </w:r>
      <w:r w:rsidRPr="002F0087">
        <w:rPr>
          <w:rFonts w:ascii="Palatino Linotype" w:hAnsi="Palatino Linotype" w:cs="Arial"/>
          <w:color w:val="000000" w:themeColor="text1"/>
        </w:rPr>
        <w:t xml:space="preserve"> En este sentido han sido diversos los pronunciamientos de las altas </w:t>
      </w:r>
      <w:r w:rsidRPr="002F0087">
        <w:rPr>
          <w:rFonts w:ascii="Palatino Linotype" w:hAnsi="Palatino Linotype" w:cs="Arial"/>
          <w:color w:val="000000" w:themeColor="text1"/>
        </w:rPr>
        <w:lastRenderedPageBreak/>
        <w:t>cortes del continente haciendo que prevalezca el principio de máxima publicidad.</w:t>
      </w:r>
      <w:r w:rsidRPr="002F0087">
        <w:rPr>
          <w:rFonts w:ascii="Palatino Linotype" w:hAnsi="Palatino Linotype"/>
          <w:color w:val="000000" w:themeColor="text1"/>
          <w:vertAlign w:val="superscript"/>
        </w:rPr>
        <w:footnoteReference w:id="12"/>
      </w:r>
      <w:r w:rsidRPr="002F0087">
        <w:rPr>
          <w:rFonts w:ascii="Palatino Linotype" w:hAnsi="Palatino Linotype" w:cs="Arial"/>
          <w:color w:val="000000" w:themeColor="text1"/>
        </w:rPr>
        <w:t xml:space="preserve"> Por lo que es del todo desproporcionado dictar medidas que, en los hechos, impiden que las personas accedan a la información suficiente para generarse una opinión informada de manera integral y, a partir de ahí, manifestar sus opiniones o iniciar procedimientos administrativos o penales, de apreciar que se hubiera actualizado cualquier irregularidad sancionable. </w:t>
      </w:r>
    </w:p>
    <w:p w14:paraId="43FE65FC"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119B3EA8"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t>Podría señalarse que el criterio que he sostenido constituye una restricción al derecho de protección de datos personales de las personas que desempeñan alguna función pública, lo cual es cierto ya que las mismas disposiciones señalan que ningún derecho es absoluto y es dable establecer límites, siempre y cuando se sujeten a procedimientos estrictos para la adecuada defensa de la dignidad humana y la propia viabilidad de la sociedad democrática, pero además, que exista un esfuerzo adecuado y proporcional de los titulares del derecho para propiciar su debido ejercicio.</w:t>
      </w:r>
    </w:p>
    <w:p w14:paraId="0BBF6443" w14:textId="77777777" w:rsidR="00E013B9" w:rsidRPr="002F0087" w:rsidRDefault="00E013B9" w:rsidP="002F0087">
      <w:pPr>
        <w:pStyle w:val="Prrafodelista"/>
        <w:tabs>
          <w:tab w:val="left" w:pos="567"/>
        </w:tabs>
        <w:spacing w:line="360" w:lineRule="auto"/>
        <w:ind w:left="0" w:right="49"/>
        <w:jc w:val="both"/>
        <w:rPr>
          <w:rFonts w:ascii="Palatino Linotype" w:hAnsi="Palatino Linotype" w:cs="Arial"/>
          <w:b/>
        </w:rPr>
      </w:pPr>
    </w:p>
    <w:p w14:paraId="48761EC7"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lastRenderedPageBreak/>
        <w:t xml:space="preserve">Para justificar el presente argumento, vale la pena acudir a criterios de interpretación constitucional bajo el recurso del intérprete externo, según lo recomienda el Dr. Néstor Pedro </w:t>
      </w:r>
      <w:proofErr w:type="spellStart"/>
      <w:r w:rsidRPr="002F0087">
        <w:rPr>
          <w:rFonts w:ascii="Palatino Linotype" w:hAnsi="Palatino Linotype" w:cs="Arial"/>
          <w:color w:val="000000" w:themeColor="text1"/>
        </w:rPr>
        <w:t>Sagüés</w:t>
      </w:r>
      <w:proofErr w:type="spellEnd"/>
      <w:r w:rsidRPr="002F0087">
        <w:rPr>
          <w:rFonts w:ascii="Palatino Linotype" w:hAnsi="Palatino Linotype" w:cs="Arial"/>
          <w:color w:val="000000" w:themeColor="text1"/>
        </w:rPr>
        <w:t>.</w:t>
      </w:r>
      <w:r w:rsidRPr="002F0087">
        <w:rPr>
          <w:rFonts w:ascii="Palatino Linotype" w:hAnsi="Palatino Linotype"/>
          <w:vertAlign w:val="superscript"/>
        </w:rPr>
        <w:footnoteReference w:id="13"/>
      </w:r>
      <w:r w:rsidRPr="002F0087">
        <w:rPr>
          <w:rFonts w:ascii="Palatino Linotype" w:hAnsi="Palatino Linotype" w:cs="Arial"/>
          <w:color w:val="000000" w:themeColor="text1"/>
        </w:rPr>
        <w:t xml:space="preserve"> Para ello se acude a la interpretación de las más Altas Cortes, en primer lugar el Tribunal Constitucional Alemán y en segundo término el Tribunal de Estrasburgo.</w:t>
      </w:r>
    </w:p>
    <w:p w14:paraId="76879A39"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4B34660E"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t>El Tribunal Constitucional Alemán en su sentencia sobre el espionaje acústico masivo, de 3 de marzo de 2004 (</w:t>
      </w:r>
      <w:proofErr w:type="spellStart"/>
      <w:r w:rsidRPr="002F0087">
        <w:rPr>
          <w:rFonts w:ascii="Palatino Linotype" w:hAnsi="Palatino Linotype" w:cs="Arial"/>
          <w:color w:val="000000" w:themeColor="text1"/>
        </w:rPr>
        <w:t>BVerfGE</w:t>
      </w:r>
      <w:proofErr w:type="spellEnd"/>
      <w:r w:rsidRPr="002F0087">
        <w:rPr>
          <w:rFonts w:ascii="Palatino Linotype" w:hAnsi="Palatino Linotype" w:cs="Arial"/>
          <w:color w:val="000000" w:themeColor="text1"/>
        </w:rPr>
        <w:t xml:space="preserve"> 190, 279) señala:</w:t>
      </w:r>
    </w:p>
    <w:p w14:paraId="343C0FE9"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7F3B3BE7" w14:textId="77777777" w:rsidR="00E013B9" w:rsidRPr="002F0087" w:rsidRDefault="00E013B9" w:rsidP="002F0087">
      <w:pPr>
        <w:spacing w:line="360" w:lineRule="auto"/>
        <w:ind w:left="567" w:right="616"/>
        <w:contextualSpacing/>
        <w:jc w:val="both"/>
        <w:rPr>
          <w:rFonts w:ascii="Palatino Linotype" w:hAnsi="Palatino Linotype" w:cs="Arial"/>
          <w:i/>
          <w:color w:val="000000" w:themeColor="text1"/>
        </w:rPr>
      </w:pPr>
      <w:r w:rsidRPr="002F0087">
        <w:rPr>
          <w:rFonts w:ascii="Palatino Linotype" w:hAnsi="Palatino Linotype" w:cs="Arial"/>
          <w:i/>
          <w:color w:val="000000" w:themeColor="text1"/>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2F0087">
        <w:rPr>
          <w:rFonts w:ascii="Palatino Linotype" w:hAnsi="Palatino Linotype" w:cs="Arial"/>
          <w:i/>
          <w:color w:val="000000" w:themeColor="text1"/>
        </w:rPr>
        <w:t>BVerfGE</w:t>
      </w:r>
      <w:proofErr w:type="spellEnd"/>
      <w:r w:rsidRPr="002F0087">
        <w:rPr>
          <w:rFonts w:ascii="Palatino Linotype" w:hAnsi="Palatino Linotype" w:cs="Arial"/>
          <w:i/>
          <w:color w:val="000000" w:themeColor="text1"/>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2F0087">
        <w:rPr>
          <w:rFonts w:ascii="Palatino Linotype" w:hAnsi="Palatino Linotype" w:cs="Arial"/>
          <w:i/>
          <w:color w:val="000000" w:themeColor="text1"/>
        </w:rPr>
        <w:t>BVerfGE</w:t>
      </w:r>
      <w:proofErr w:type="spellEnd"/>
      <w:r w:rsidRPr="002F0087">
        <w:rPr>
          <w:rFonts w:ascii="Palatino Linotype" w:hAnsi="Palatino Linotype" w:cs="Arial"/>
          <w:i/>
          <w:color w:val="000000" w:themeColor="text1"/>
        </w:rPr>
        <w:t xml:space="preserve"> 100, 313, 376; 107, 299, 320). Además, la situación también es diferente dependiendo de si las medidas de investigación tienen lugar en una </w:t>
      </w:r>
      <w:r w:rsidRPr="002F0087">
        <w:rPr>
          <w:rFonts w:ascii="Palatino Linotype" w:hAnsi="Palatino Linotype" w:cs="Arial"/>
          <w:i/>
          <w:color w:val="000000" w:themeColor="text1"/>
        </w:rPr>
        <w:lastRenderedPageBreak/>
        <w:t>vivienda privada o en espacios industriales o comerciales y de si se ven afectados terceros no sospechosos y del número de estos”.</w:t>
      </w:r>
      <w:r w:rsidRPr="002F0087">
        <w:rPr>
          <w:rFonts w:ascii="Palatino Linotype" w:hAnsi="Palatino Linotype" w:cs="Arial"/>
          <w:i/>
          <w:color w:val="000000" w:themeColor="text1"/>
          <w:vertAlign w:val="superscript"/>
        </w:rPr>
        <w:footnoteReference w:id="14"/>
      </w:r>
    </w:p>
    <w:p w14:paraId="1E75FA17"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2F0810DC"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t>En el caso que nos ocupa se trata de personas que, al decidir incursionar en el ejercicio de responsabilidades públicas, han decidido, por sí mismas, someterse al escrutinio de una sociedad democrática. Además y como ya se ha señalado, el currículum vitae no es un documento generado por una persona, entidad o institución distinta, sino que, al contrario, su elaboración es de estricta responsabilidad de la persona que lo presenta, ya que no existen reglas o disposiciones que exijan o determinen que dicho documento cuente, con fotografía, por lo que de ser el caso que dichos documentos cuenten con estos elementos, ello depende exclusivamente de la libre voluntad de la persona. Cuestión distinta en el caso de todos aquellos documentos oficiales cuya elaboración exige y obliga a las personas a registrar datos personales. Por lo tanto, es de apreciarse que bajo los criterios de intensidad y del motivo provocado por la persona en cuestión, señalado por el Tribunal Constitucional Alemán, es que el criterio que sostengo es plenamente justificado.</w:t>
      </w:r>
    </w:p>
    <w:p w14:paraId="637B8CDB"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15D78B99"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lastRenderedPageBreak/>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14:paraId="09131E7D"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3D8553D6" w14:textId="77777777" w:rsidR="00E013B9" w:rsidRPr="002F0087" w:rsidRDefault="00E013B9" w:rsidP="002F0087">
      <w:pPr>
        <w:tabs>
          <w:tab w:val="left" w:pos="709"/>
        </w:tabs>
        <w:spacing w:line="360" w:lineRule="auto"/>
        <w:ind w:left="709" w:right="616" w:hanging="142"/>
        <w:jc w:val="both"/>
        <w:rPr>
          <w:rFonts w:ascii="Palatino Linotype" w:hAnsi="Palatino Linotype" w:cs="Arial"/>
          <w:i/>
          <w:color w:val="000000" w:themeColor="text1"/>
        </w:rPr>
      </w:pPr>
      <w:r w:rsidRPr="002F0087">
        <w:rPr>
          <w:rFonts w:ascii="Palatino Linotype" w:hAnsi="Palatino Linotype" w:cs="Arial"/>
          <w:i/>
          <w:color w:val="000000" w:themeColor="text1"/>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w:t>
      </w:r>
      <w:proofErr w:type="spellStart"/>
      <w:r w:rsidRPr="002F0087">
        <w:rPr>
          <w:rFonts w:ascii="Palatino Linotype" w:hAnsi="Palatino Linotype" w:cs="Arial"/>
          <w:i/>
          <w:color w:val="000000" w:themeColor="text1"/>
        </w:rPr>
        <w:t>Friedl</w:t>
      </w:r>
      <w:proofErr w:type="spellEnd"/>
      <w:r w:rsidRPr="002F0087">
        <w:rPr>
          <w:rFonts w:ascii="Palatino Linotype" w:hAnsi="Palatino Linotype" w:cs="Arial"/>
          <w:i/>
          <w:color w:val="000000" w:themeColor="text1"/>
        </w:rPr>
        <w:t xml:space="preserve"> contra Austria de 31 de enero de 1995, serie A núm. 305-B, acuerdo amistoso, Dictamen de la Comisión, pg. 21, </w:t>
      </w:r>
      <w:proofErr w:type="spellStart"/>
      <w:r w:rsidRPr="002F0087">
        <w:rPr>
          <w:rFonts w:ascii="Palatino Linotype" w:hAnsi="Palatino Linotype" w:cs="Arial"/>
          <w:i/>
          <w:color w:val="000000" w:themeColor="text1"/>
        </w:rPr>
        <w:t>aps</w:t>
      </w:r>
      <w:proofErr w:type="spellEnd"/>
      <w:r w:rsidRPr="002F0087">
        <w:rPr>
          <w:rFonts w:ascii="Palatino Linotype" w:hAnsi="Palatino Linotype" w:cs="Arial"/>
          <w:i/>
          <w:color w:val="000000" w:themeColor="text1"/>
        </w:rPr>
        <w:t xml:space="preserve">. 49-52, PG y JH anteriormente citada, ap. 58 y </w:t>
      </w:r>
      <w:proofErr w:type="spellStart"/>
      <w:r w:rsidRPr="002F0087">
        <w:rPr>
          <w:rFonts w:ascii="Palatino Linotype" w:hAnsi="Palatino Linotype" w:cs="Arial"/>
          <w:i/>
          <w:color w:val="000000" w:themeColor="text1"/>
        </w:rPr>
        <w:t>Peck</w:t>
      </w:r>
      <w:proofErr w:type="spellEnd"/>
      <w:r w:rsidRPr="002F0087">
        <w:rPr>
          <w:rFonts w:ascii="Palatino Linotype" w:hAnsi="Palatino Linotype" w:cs="Arial"/>
          <w:i/>
          <w:color w:val="000000" w:themeColor="text1"/>
        </w:rPr>
        <w:t>, previamente citada, ap. 61)”.</w:t>
      </w:r>
      <w:r w:rsidRPr="002F0087">
        <w:rPr>
          <w:rFonts w:ascii="Palatino Linotype" w:hAnsi="Palatino Linotype" w:cs="Arial"/>
          <w:i/>
          <w:color w:val="000000" w:themeColor="text1"/>
          <w:vertAlign w:val="superscript"/>
        </w:rPr>
        <w:footnoteReference w:id="15"/>
      </w:r>
      <w:r w:rsidRPr="002F0087">
        <w:rPr>
          <w:rFonts w:ascii="Palatino Linotype" w:hAnsi="Palatino Linotype" w:cs="Arial"/>
          <w:i/>
          <w:color w:val="000000" w:themeColor="text1"/>
        </w:rPr>
        <w:t xml:space="preserve">  </w:t>
      </w:r>
    </w:p>
    <w:p w14:paraId="3EEE1BF3" w14:textId="77777777" w:rsidR="00E013B9" w:rsidRPr="002F0087" w:rsidRDefault="00E013B9" w:rsidP="002F0087">
      <w:pPr>
        <w:pStyle w:val="Prrafodelista"/>
        <w:spacing w:line="360" w:lineRule="auto"/>
        <w:ind w:left="0"/>
        <w:jc w:val="both"/>
        <w:rPr>
          <w:rFonts w:ascii="Palatino Linotype" w:hAnsi="Palatino Linotype" w:cs="Arial"/>
          <w:color w:val="000000" w:themeColor="text1"/>
        </w:rPr>
      </w:pPr>
    </w:p>
    <w:p w14:paraId="4FB2FFA2" w14:textId="77777777" w:rsidR="00E013B9" w:rsidRPr="002F0087" w:rsidRDefault="00E013B9" w:rsidP="002F0087">
      <w:pPr>
        <w:pStyle w:val="Prrafodelista"/>
        <w:numPr>
          <w:ilvl w:val="0"/>
          <w:numId w:val="1"/>
        </w:numPr>
        <w:tabs>
          <w:tab w:val="left" w:pos="851"/>
        </w:tabs>
        <w:spacing w:line="360" w:lineRule="auto"/>
        <w:ind w:left="0" w:right="49" w:firstLine="0"/>
        <w:jc w:val="both"/>
        <w:rPr>
          <w:rFonts w:ascii="Palatino Linotype" w:hAnsi="Palatino Linotype" w:cs="Arial"/>
          <w:color w:val="000000" w:themeColor="text1"/>
        </w:rPr>
      </w:pPr>
      <w:r w:rsidRPr="002F0087">
        <w:rPr>
          <w:rFonts w:ascii="Palatino Linotype" w:hAnsi="Palatino Linotype" w:cs="Arial"/>
          <w:color w:val="000000" w:themeColor="text1"/>
        </w:rPr>
        <w:t xml:space="preserve">Es en atención de las consideraciones antes señaladas que el currículum vitae debería de entregarse </w:t>
      </w:r>
      <w:r w:rsidRPr="002F0087">
        <w:rPr>
          <w:rFonts w:ascii="Palatino Linotype" w:hAnsi="Palatino Linotype" w:cs="Arial"/>
          <w:b/>
          <w:color w:val="000000" w:themeColor="text1"/>
        </w:rPr>
        <w:t>sin testar, eliminar o suprimir la fotografía</w:t>
      </w:r>
      <w:r w:rsidRPr="002F0087">
        <w:rPr>
          <w:rFonts w:ascii="Palatino Linotype" w:hAnsi="Palatino Linotype" w:cs="Arial"/>
          <w:color w:val="000000" w:themeColor="text1"/>
        </w:rPr>
        <w:t xml:space="preserve">, en los casos, en los que dicho documentos la incluya. Lo anterior porque se trata de un documento elaborado de manera ex profeso para acreditar la idoneidad o experiencia en el cargo público, porque los servidores públicos nos encontramos </w:t>
      </w:r>
      <w:r w:rsidRPr="002F0087">
        <w:rPr>
          <w:rFonts w:ascii="Palatino Linotype" w:hAnsi="Palatino Linotype" w:cs="Arial"/>
          <w:color w:val="000000" w:themeColor="text1"/>
        </w:rPr>
        <w:lastRenderedPageBreak/>
        <w:t>sujetos a un régimen de excepciones o de protección más limitado, restringido en razón de la naturaleza de la función pública en sí misma y del contenido de la propia información que se ha requerido y porque dicho documento se circunscribe directamente a la esfera de las actividades públicas que realiza la persona y no en el terreno de su intimidad.</w:t>
      </w:r>
    </w:p>
    <w:p w14:paraId="7435647C" w14:textId="687BA0C1" w:rsidR="005B5DDB" w:rsidRDefault="00884719" w:rsidP="002F0087">
      <w:pPr>
        <w:pStyle w:val="Ttulo1"/>
        <w:spacing w:before="0" w:line="360" w:lineRule="auto"/>
        <w:rPr>
          <w:rFonts w:eastAsia="MS Gothic"/>
          <w:b/>
          <w:szCs w:val="24"/>
        </w:rPr>
      </w:pPr>
      <w:bookmarkStart w:id="84" w:name="_Toc487739452"/>
      <w:bookmarkStart w:id="85" w:name="_Toc534716573"/>
      <w:bookmarkStart w:id="86" w:name="_Toc2257796"/>
      <w:bookmarkStart w:id="87" w:name="_Toc5821432"/>
      <w:r w:rsidRPr="002F0087">
        <w:rPr>
          <w:rFonts w:eastAsia="MS Gothic"/>
          <w:b/>
          <w:szCs w:val="24"/>
        </w:rPr>
        <w:t>SÉPTIMO. Vista a los órganos de control interno</w:t>
      </w:r>
      <w:bookmarkEnd w:id="84"/>
      <w:r w:rsidRPr="002F0087">
        <w:rPr>
          <w:rFonts w:eastAsia="MS Gothic"/>
          <w:b/>
          <w:szCs w:val="24"/>
        </w:rPr>
        <w:t>.</w:t>
      </w:r>
      <w:bookmarkEnd w:id="85"/>
      <w:bookmarkEnd w:id="86"/>
      <w:bookmarkEnd w:id="87"/>
    </w:p>
    <w:p w14:paraId="69D2FFF3" w14:textId="77777777" w:rsidR="002F0087" w:rsidRPr="002F0087" w:rsidRDefault="002F0087" w:rsidP="002F0087">
      <w:pPr>
        <w:rPr>
          <w:lang w:eastAsia="en-US"/>
        </w:rPr>
      </w:pPr>
    </w:p>
    <w:p w14:paraId="1731D40E" w14:textId="6EADC582" w:rsidR="00884719" w:rsidRPr="002F0087" w:rsidRDefault="00884719" w:rsidP="002F00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F0087">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2F0087">
        <w:rPr>
          <w:rFonts w:ascii="Palatino Linotype" w:eastAsia="Times New Roman" w:hAnsi="Palatino Linotype"/>
          <w:b/>
          <w:u w:val="single"/>
        </w:rPr>
        <w:t>por la omisión de la entrega de información pública</w:t>
      </w:r>
      <w:r w:rsidRPr="002F0087">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F0087">
        <w:rPr>
          <w:rFonts w:ascii="Palatino Linotype" w:eastAsia="Times New Roman" w:hAnsi="Palatino Linotype"/>
          <w:b/>
        </w:rPr>
        <w:t>SUJETO OBLIGADO</w:t>
      </w:r>
      <w:r w:rsidRPr="002F0087">
        <w:rPr>
          <w:rFonts w:ascii="Palatino Linotype" w:eastAsia="Times New Roman" w:hAnsi="Palatino Linotype"/>
        </w:rPr>
        <w:t>.</w:t>
      </w:r>
    </w:p>
    <w:p w14:paraId="6DA0EAC9" w14:textId="77777777" w:rsidR="00884719" w:rsidRPr="002F0087" w:rsidRDefault="00884719" w:rsidP="002F0087">
      <w:pPr>
        <w:spacing w:line="360" w:lineRule="auto"/>
        <w:ind w:left="426"/>
        <w:contextualSpacing/>
        <w:jc w:val="both"/>
        <w:rPr>
          <w:rFonts w:ascii="Palatino Linotype" w:eastAsia="Times New Roman" w:hAnsi="Palatino Linotype"/>
        </w:rPr>
      </w:pPr>
    </w:p>
    <w:p w14:paraId="515C08B8" w14:textId="77777777" w:rsidR="00884719" w:rsidRPr="002F0087" w:rsidRDefault="00884719" w:rsidP="002F0087">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2F0087">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2C763AB" w14:textId="77777777" w:rsidR="00884719" w:rsidRPr="002F0087" w:rsidRDefault="00884719" w:rsidP="002F0087">
      <w:pPr>
        <w:spacing w:line="360" w:lineRule="auto"/>
        <w:contextualSpacing/>
        <w:jc w:val="both"/>
        <w:rPr>
          <w:rFonts w:ascii="Palatino Linotype" w:eastAsia="Times New Roman" w:hAnsi="Palatino Linotype"/>
        </w:rPr>
      </w:pPr>
    </w:p>
    <w:p w14:paraId="46477561"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t>Artículo 36. El Instituto tendrá, en el ámbito de su competencia, las siguientes atribuciones:</w:t>
      </w:r>
    </w:p>
    <w:p w14:paraId="3E6EF769"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t>(…)</w:t>
      </w:r>
    </w:p>
    <w:p w14:paraId="42164392"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lastRenderedPageBreak/>
        <w:t xml:space="preserve">X. Hacer del conocimiento del órgano de control interno o equivalente de cada Sujeto Obligado las infracciones a esta Ley; </w:t>
      </w:r>
    </w:p>
    <w:p w14:paraId="6B2B1C5E"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t>(…)</w:t>
      </w:r>
    </w:p>
    <w:p w14:paraId="6FEC244D" w14:textId="77777777" w:rsidR="00884719" w:rsidRPr="002F0087" w:rsidRDefault="00884719" w:rsidP="002F0087">
      <w:pPr>
        <w:spacing w:line="360" w:lineRule="auto"/>
        <w:ind w:left="426"/>
        <w:contextualSpacing/>
        <w:jc w:val="both"/>
        <w:rPr>
          <w:rFonts w:ascii="Palatino Linotype" w:eastAsia="MS Mincho" w:hAnsi="Palatino Linotype" w:cs="Arial"/>
        </w:rPr>
      </w:pPr>
    </w:p>
    <w:p w14:paraId="51399C60" w14:textId="77777777" w:rsidR="00884719" w:rsidRPr="002F0087" w:rsidRDefault="00884719" w:rsidP="002F0087">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2F0087">
        <w:rPr>
          <w:rFonts w:ascii="Palatino Linotype" w:eastAsia="Times New Roman" w:hAnsi="Palatino Linotype"/>
        </w:rPr>
        <w:t xml:space="preserve">Asimismo, este Pleno hará del conocimiento del órgano de control de este Instituto de las infracciones en que el </w:t>
      </w:r>
      <w:r w:rsidRPr="002F0087">
        <w:rPr>
          <w:rFonts w:ascii="Palatino Linotype" w:eastAsia="Times New Roman" w:hAnsi="Palatino Linotype"/>
          <w:b/>
        </w:rPr>
        <w:t>SUJETO OBLIGADO</w:t>
      </w:r>
      <w:r w:rsidRPr="002F0087">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F008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A30F933" w14:textId="77777777" w:rsidR="00884719" w:rsidRPr="002F0087" w:rsidRDefault="00884719" w:rsidP="002F0087">
      <w:pPr>
        <w:spacing w:line="360" w:lineRule="auto"/>
        <w:ind w:left="426"/>
        <w:contextualSpacing/>
        <w:jc w:val="both"/>
        <w:rPr>
          <w:rFonts w:ascii="Palatino Linotype" w:eastAsia="MS Mincho" w:hAnsi="Palatino Linotype" w:cs="Arial"/>
        </w:rPr>
      </w:pPr>
    </w:p>
    <w:p w14:paraId="33D4E9B4"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165F82"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p>
    <w:p w14:paraId="1B69369F" w14:textId="77777777" w:rsidR="002F0087" w:rsidRDefault="002F0087" w:rsidP="002F0087">
      <w:pPr>
        <w:spacing w:line="360" w:lineRule="auto"/>
        <w:ind w:left="567" w:right="567"/>
        <w:contextualSpacing/>
        <w:jc w:val="both"/>
        <w:rPr>
          <w:rFonts w:ascii="Palatino Linotype" w:eastAsia="Times New Roman" w:hAnsi="Palatino Linotype" w:cs="Times New Roman"/>
          <w:i/>
        </w:rPr>
      </w:pPr>
    </w:p>
    <w:p w14:paraId="2E6142D6" w14:textId="77777777" w:rsidR="002F0087" w:rsidRDefault="002F0087" w:rsidP="002F0087">
      <w:pPr>
        <w:spacing w:line="360" w:lineRule="auto"/>
        <w:ind w:left="567" w:right="567"/>
        <w:contextualSpacing/>
        <w:jc w:val="both"/>
        <w:rPr>
          <w:rFonts w:ascii="Palatino Linotype" w:eastAsia="Times New Roman" w:hAnsi="Palatino Linotype" w:cs="Times New Roman"/>
          <w:i/>
        </w:rPr>
      </w:pPr>
    </w:p>
    <w:p w14:paraId="644DD3BF" w14:textId="77777777" w:rsidR="002F0087" w:rsidRDefault="002F0087" w:rsidP="002F0087">
      <w:pPr>
        <w:spacing w:line="360" w:lineRule="auto"/>
        <w:ind w:left="567" w:right="567"/>
        <w:contextualSpacing/>
        <w:jc w:val="both"/>
        <w:rPr>
          <w:rFonts w:ascii="Palatino Linotype" w:eastAsia="Times New Roman" w:hAnsi="Palatino Linotype" w:cs="Times New Roman"/>
          <w:i/>
        </w:rPr>
      </w:pPr>
    </w:p>
    <w:p w14:paraId="175AABC9"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0C7D0248"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t>…</w:t>
      </w:r>
    </w:p>
    <w:p w14:paraId="32CD49D7"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b/>
          <w:i/>
        </w:rPr>
        <w:t>I. Cualquier acto u omisión que provoque la suspensión o deficiencia en la atención de las solicitudes de información</w:t>
      </w:r>
      <w:r w:rsidRPr="002F0087">
        <w:rPr>
          <w:rFonts w:ascii="Palatino Linotype" w:eastAsia="Times New Roman" w:hAnsi="Palatino Linotype" w:cs="Times New Roman"/>
          <w:i/>
        </w:rPr>
        <w:t>;</w:t>
      </w:r>
    </w:p>
    <w:p w14:paraId="0896941A"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b/>
          <w:i/>
        </w:rPr>
        <w:t>II. La falta de respuesta a las solicitudes de información en los plazos señalados en la normatividad aplicable</w:t>
      </w:r>
      <w:r w:rsidRPr="002F0087">
        <w:rPr>
          <w:rFonts w:ascii="Palatino Linotype" w:eastAsia="Times New Roman" w:hAnsi="Palatino Linotype" w:cs="Times New Roman"/>
          <w:i/>
        </w:rPr>
        <w:t>;</w:t>
      </w:r>
    </w:p>
    <w:p w14:paraId="13BC5881" w14:textId="77777777" w:rsidR="00884719" w:rsidRPr="002F0087" w:rsidRDefault="00884719" w:rsidP="002F0087">
      <w:pPr>
        <w:spacing w:line="360" w:lineRule="auto"/>
        <w:ind w:left="567" w:right="567"/>
        <w:contextualSpacing/>
        <w:jc w:val="both"/>
        <w:rPr>
          <w:rFonts w:ascii="Palatino Linotype" w:eastAsia="Times New Roman" w:hAnsi="Palatino Linotype" w:cs="Times New Roman"/>
          <w:i/>
        </w:rPr>
      </w:pPr>
      <w:r w:rsidRPr="002F0087">
        <w:rPr>
          <w:rFonts w:ascii="Palatino Linotype" w:eastAsia="Times New Roman" w:hAnsi="Palatino Linotype" w:cs="Times New Roman"/>
          <w:i/>
        </w:rPr>
        <w:t>…”</w:t>
      </w:r>
    </w:p>
    <w:p w14:paraId="3B9C0309" w14:textId="77777777" w:rsidR="00884719" w:rsidRPr="002F0087" w:rsidRDefault="00884719" w:rsidP="002F0087">
      <w:pPr>
        <w:spacing w:line="360" w:lineRule="auto"/>
        <w:ind w:left="567" w:right="567"/>
        <w:contextualSpacing/>
        <w:jc w:val="both"/>
        <w:rPr>
          <w:rFonts w:ascii="Palatino Linotype" w:hAnsi="Palatino Linotype"/>
          <w:i/>
        </w:rPr>
      </w:pPr>
      <w:r w:rsidRPr="002F0087">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F0087">
        <w:rPr>
          <w:rFonts w:ascii="Palatino Linotype" w:hAnsi="Palatino Linotype"/>
          <w:i/>
        </w:rPr>
        <w:t xml:space="preserve"> (De Acuerdo al Decreto N°207, Publicado el 30 de mayo de 2017)</w:t>
      </w:r>
    </w:p>
    <w:p w14:paraId="59D92CE7" w14:textId="47315DE2" w:rsidR="00903054" w:rsidRPr="002F0087" w:rsidRDefault="002F0087" w:rsidP="002F0087">
      <w:pPr>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BEB8F40" wp14:editId="3890FD46">
                <wp:simplePos x="0" y="0"/>
                <wp:positionH relativeFrom="column">
                  <wp:posOffset>106827</wp:posOffset>
                </wp:positionH>
                <wp:positionV relativeFrom="paragraph">
                  <wp:posOffset>177312</wp:posOffset>
                </wp:positionV>
                <wp:extent cx="5433499" cy="2620108"/>
                <wp:effectExtent l="38100" t="19050" r="72390" b="85090"/>
                <wp:wrapNone/>
                <wp:docPr id="2" name="Conector recto 2"/>
                <wp:cNvGraphicFramePr/>
                <a:graphic xmlns:a="http://schemas.openxmlformats.org/drawingml/2006/main">
                  <a:graphicData uri="http://schemas.microsoft.com/office/word/2010/wordprocessingShape">
                    <wps:wsp>
                      <wps:cNvCnPr/>
                      <wps:spPr>
                        <a:xfrm>
                          <a:off x="0" y="0"/>
                          <a:ext cx="5433499" cy="26201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7D33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3.95pt" to="436.25pt,2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" strokecolor="#4f81bd [3204]" strokeweight="2pt">
                <v:shadow on="t" color="black" opacity="24903f" origin=",.5" offset="0,.55556mm"/>
              </v:line>
            </w:pict>
          </mc:Fallback>
        </mc:AlternateContent>
      </w:r>
    </w:p>
    <w:p w14:paraId="7B9C886F" w14:textId="5EF5EBF0" w:rsidR="00903054" w:rsidRPr="002F0087" w:rsidRDefault="00903054" w:rsidP="002F0087">
      <w:pPr>
        <w:pStyle w:val="Prrafodelista"/>
        <w:tabs>
          <w:tab w:val="left" w:pos="0"/>
        </w:tabs>
        <w:spacing w:line="360" w:lineRule="auto"/>
        <w:ind w:left="0" w:right="49"/>
        <w:jc w:val="both"/>
        <w:rPr>
          <w:rFonts w:ascii="Palatino Linotype" w:hAnsi="Palatino Linotype"/>
        </w:rPr>
      </w:pPr>
    </w:p>
    <w:p w14:paraId="60F15B12" w14:textId="77777777" w:rsidR="001A4AF9" w:rsidRPr="002F0087" w:rsidRDefault="001A4AF9" w:rsidP="002F0087">
      <w:pPr>
        <w:pStyle w:val="Prrafodelista"/>
        <w:tabs>
          <w:tab w:val="left" w:pos="851"/>
        </w:tabs>
        <w:spacing w:line="360" w:lineRule="auto"/>
        <w:ind w:left="0" w:right="49"/>
        <w:jc w:val="both"/>
        <w:rPr>
          <w:rFonts w:ascii="Palatino Linotype" w:hAnsi="Palatino Linotype"/>
        </w:rPr>
      </w:pPr>
    </w:p>
    <w:p w14:paraId="7FD856B7" w14:textId="77777777" w:rsidR="00DA0763" w:rsidRPr="002F0087" w:rsidRDefault="00DA0763" w:rsidP="002F0087">
      <w:pPr>
        <w:pStyle w:val="Prrafodelista"/>
        <w:tabs>
          <w:tab w:val="left" w:pos="851"/>
        </w:tabs>
        <w:spacing w:line="360" w:lineRule="auto"/>
        <w:ind w:left="0" w:right="49"/>
        <w:jc w:val="both"/>
        <w:rPr>
          <w:rFonts w:ascii="Palatino Linotype" w:hAnsi="Palatino Linotype"/>
        </w:rPr>
      </w:pPr>
    </w:p>
    <w:p w14:paraId="2983AD88" w14:textId="77777777" w:rsidR="00DA0763" w:rsidRPr="002F0087" w:rsidRDefault="00DA0763" w:rsidP="002F0087">
      <w:pPr>
        <w:pStyle w:val="Prrafodelista"/>
        <w:tabs>
          <w:tab w:val="left" w:pos="851"/>
        </w:tabs>
        <w:spacing w:line="360" w:lineRule="auto"/>
        <w:ind w:left="0" w:right="49"/>
        <w:jc w:val="both"/>
        <w:rPr>
          <w:rFonts w:ascii="Palatino Linotype" w:hAnsi="Palatino Linotype"/>
        </w:rPr>
      </w:pPr>
    </w:p>
    <w:p w14:paraId="45405AFE" w14:textId="77777777" w:rsidR="00DA0763" w:rsidRPr="002F0087" w:rsidRDefault="00DA0763" w:rsidP="002F0087">
      <w:pPr>
        <w:pStyle w:val="Prrafodelista"/>
        <w:tabs>
          <w:tab w:val="left" w:pos="851"/>
        </w:tabs>
        <w:spacing w:line="360" w:lineRule="auto"/>
        <w:ind w:left="0" w:right="49"/>
        <w:jc w:val="both"/>
        <w:rPr>
          <w:rFonts w:ascii="Palatino Linotype" w:hAnsi="Palatino Linotype"/>
        </w:rPr>
      </w:pPr>
    </w:p>
    <w:p w14:paraId="3BA50868" w14:textId="77777777" w:rsidR="00DA0763" w:rsidRPr="002F0087" w:rsidRDefault="00DA0763" w:rsidP="002F0087">
      <w:pPr>
        <w:pStyle w:val="Prrafodelista"/>
        <w:tabs>
          <w:tab w:val="left" w:pos="851"/>
        </w:tabs>
        <w:spacing w:line="360" w:lineRule="auto"/>
        <w:ind w:left="0" w:right="49"/>
        <w:jc w:val="both"/>
        <w:rPr>
          <w:rFonts w:ascii="Palatino Linotype" w:hAnsi="Palatino Linotype"/>
        </w:rPr>
      </w:pPr>
    </w:p>
    <w:p w14:paraId="09DD4619" w14:textId="77777777" w:rsidR="00903054" w:rsidRPr="002F0087" w:rsidRDefault="00903054" w:rsidP="002F0087">
      <w:pPr>
        <w:pStyle w:val="Ttulo1"/>
        <w:spacing w:before="0" w:line="360" w:lineRule="auto"/>
        <w:jc w:val="center"/>
        <w:rPr>
          <w:rFonts w:eastAsia="Calibri"/>
          <w:b/>
          <w:szCs w:val="24"/>
          <w:lang w:val="es-ES" w:eastAsia="es-ES"/>
        </w:rPr>
      </w:pPr>
      <w:bookmarkStart w:id="88" w:name="_Toc504500693"/>
      <w:bookmarkStart w:id="89" w:name="_Toc534742545"/>
      <w:bookmarkStart w:id="90" w:name="_Toc1585436"/>
      <w:bookmarkStart w:id="91" w:name="_Toc5821433"/>
      <w:r w:rsidRPr="002F0087">
        <w:rPr>
          <w:rFonts w:eastAsia="Calibri"/>
          <w:b/>
          <w:szCs w:val="24"/>
          <w:lang w:val="es-ES" w:eastAsia="es-ES"/>
        </w:rPr>
        <w:lastRenderedPageBreak/>
        <w:t>R E S O L U T I V O S</w:t>
      </w:r>
      <w:bookmarkEnd w:id="88"/>
      <w:bookmarkEnd w:id="89"/>
      <w:bookmarkEnd w:id="90"/>
      <w:bookmarkEnd w:id="91"/>
      <w:r w:rsidRPr="002F0087">
        <w:rPr>
          <w:rFonts w:eastAsia="Calibri"/>
          <w:b/>
          <w:szCs w:val="24"/>
          <w:lang w:val="es-ES" w:eastAsia="es-ES"/>
        </w:rPr>
        <w:t xml:space="preserve"> </w:t>
      </w:r>
    </w:p>
    <w:p w14:paraId="08D6E3DC" w14:textId="77777777" w:rsidR="00903054" w:rsidRPr="002F0087" w:rsidRDefault="00903054" w:rsidP="002F0087">
      <w:pPr>
        <w:spacing w:line="360" w:lineRule="auto"/>
        <w:rPr>
          <w:rFonts w:ascii="Palatino Linotype" w:hAnsi="Palatino Linotype"/>
          <w:lang w:val="es-ES"/>
        </w:rPr>
      </w:pPr>
    </w:p>
    <w:p w14:paraId="097D8997" w14:textId="69324C27" w:rsidR="00884719" w:rsidRDefault="00903054" w:rsidP="002F0087">
      <w:pPr>
        <w:spacing w:line="360" w:lineRule="auto"/>
        <w:jc w:val="both"/>
        <w:rPr>
          <w:rFonts w:ascii="Palatino Linotype" w:hAnsi="Palatino Linotype" w:cs="Arial"/>
          <w:bCs/>
          <w:lang w:eastAsia="es-MX"/>
        </w:rPr>
      </w:pPr>
      <w:r w:rsidRPr="002F0087">
        <w:rPr>
          <w:rFonts w:ascii="Palatino Linotype" w:eastAsia="Times New Roman" w:hAnsi="Palatino Linotype" w:cs="Arial"/>
          <w:b/>
        </w:rPr>
        <w:t xml:space="preserve">PRIMERO. </w:t>
      </w:r>
      <w:r w:rsidR="00884719" w:rsidRPr="002F0087">
        <w:rPr>
          <w:rFonts w:ascii="Palatino Linotype" w:eastAsia="Times New Roman" w:hAnsi="Palatino Linotype" w:cs="Arial"/>
        </w:rPr>
        <w:t>Resultan fundadas las</w:t>
      </w:r>
      <w:r w:rsidR="00884719" w:rsidRPr="002F0087">
        <w:rPr>
          <w:rFonts w:ascii="Palatino Linotype" w:eastAsia="Times New Roman" w:hAnsi="Palatino Linotype" w:cs="Arial"/>
          <w:b/>
        </w:rPr>
        <w:t xml:space="preserve"> </w:t>
      </w:r>
      <w:r w:rsidR="00884719" w:rsidRPr="002F0087">
        <w:rPr>
          <w:rFonts w:ascii="Palatino Linotype" w:eastAsia="Times New Roman" w:hAnsi="Palatino Linotype" w:cs="Arial"/>
          <w:lang w:val="es-ES"/>
        </w:rPr>
        <w:t xml:space="preserve">razones o motivos de inconformidad hechos valer </w:t>
      </w:r>
      <w:r w:rsidR="00884719" w:rsidRPr="002F0087">
        <w:rPr>
          <w:rFonts w:ascii="Palatino Linotype" w:eastAsia="Calibri" w:hAnsi="Palatino Linotype" w:cs="Arial"/>
          <w:lang w:val="es-ES"/>
        </w:rPr>
        <w:t xml:space="preserve">en el recurso de revisión </w:t>
      </w:r>
      <w:r w:rsidR="00884719" w:rsidRPr="002F0087">
        <w:rPr>
          <w:rFonts w:ascii="Palatino Linotype" w:hAnsi="Palatino Linotype" w:cs="Arial"/>
          <w:b/>
          <w:bCs/>
        </w:rPr>
        <w:t>005</w:t>
      </w:r>
      <w:r w:rsidR="00F62BD1" w:rsidRPr="002F0087">
        <w:rPr>
          <w:rFonts w:ascii="Palatino Linotype" w:hAnsi="Palatino Linotype" w:cs="Arial"/>
          <w:b/>
          <w:bCs/>
        </w:rPr>
        <w:t>83</w:t>
      </w:r>
      <w:r w:rsidR="00884719" w:rsidRPr="002F0087">
        <w:rPr>
          <w:rFonts w:ascii="Palatino Linotype" w:hAnsi="Palatino Linotype" w:cs="Arial"/>
          <w:b/>
          <w:bCs/>
        </w:rPr>
        <w:t>/INFOEM/IP/RR/2019</w:t>
      </w:r>
      <w:r w:rsidR="00884719" w:rsidRPr="002F0087">
        <w:rPr>
          <w:rFonts w:ascii="Palatino Linotype" w:hAnsi="Palatino Linotype" w:cs="Arial"/>
          <w:b/>
          <w:bCs/>
          <w:lang w:eastAsia="es-MX"/>
        </w:rPr>
        <w:t xml:space="preserve"> </w:t>
      </w:r>
      <w:r w:rsidR="00884719" w:rsidRPr="002F0087">
        <w:rPr>
          <w:rFonts w:ascii="Palatino Linotype" w:hAnsi="Palatino Linotype" w:cs="Arial"/>
          <w:bCs/>
          <w:lang w:eastAsia="es-MX"/>
        </w:rPr>
        <w:t>en términos del Considerando</w:t>
      </w:r>
      <w:r w:rsidR="00884719" w:rsidRPr="002F0087">
        <w:rPr>
          <w:rFonts w:ascii="Palatino Linotype" w:hAnsi="Palatino Linotype" w:cs="Arial"/>
          <w:b/>
          <w:bCs/>
          <w:lang w:eastAsia="es-MX"/>
        </w:rPr>
        <w:t xml:space="preserve"> </w:t>
      </w:r>
      <w:r w:rsidR="0072771F" w:rsidRPr="002F0087">
        <w:rPr>
          <w:rFonts w:ascii="Palatino Linotype" w:hAnsi="Palatino Linotype" w:cs="Arial"/>
          <w:b/>
          <w:bCs/>
          <w:lang w:eastAsia="es-MX"/>
        </w:rPr>
        <w:t>QUINTO</w:t>
      </w:r>
      <w:r w:rsidR="00884719" w:rsidRPr="002F0087">
        <w:rPr>
          <w:rFonts w:ascii="Palatino Linotype" w:hAnsi="Palatino Linotype" w:cs="Arial"/>
          <w:b/>
          <w:bCs/>
          <w:lang w:eastAsia="es-MX"/>
        </w:rPr>
        <w:t xml:space="preserve"> </w:t>
      </w:r>
      <w:r w:rsidR="00884719" w:rsidRPr="002F0087">
        <w:rPr>
          <w:rFonts w:ascii="Palatino Linotype" w:hAnsi="Palatino Linotype" w:cs="Arial"/>
          <w:bCs/>
          <w:lang w:eastAsia="es-MX"/>
        </w:rPr>
        <w:t>de la presente resolución.</w:t>
      </w:r>
    </w:p>
    <w:p w14:paraId="2D512D2A" w14:textId="77777777" w:rsidR="002F0087" w:rsidRPr="002F0087" w:rsidRDefault="002F0087" w:rsidP="002F0087">
      <w:pPr>
        <w:spacing w:line="360" w:lineRule="auto"/>
        <w:jc w:val="both"/>
        <w:rPr>
          <w:rFonts w:ascii="Palatino Linotype" w:eastAsia="Times New Roman" w:hAnsi="Palatino Linotype" w:cs="Times New Roman"/>
        </w:rPr>
      </w:pPr>
    </w:p>
    <w:p w14:paraId="01D635A8" w14:textId="5F10370D" w:rsidR="00884719" w:rsidRDefault="00903054" w:rsidP="002F0087">
      <w:pPr>
        <w:spacing w:line="360" w:lineRule="auto"/>
        <w:jc w:val="both"/>
        <w:rPr>
          <w:rFonts w:ascii="Palatino Linotype" w:hAnsi="Palatino Linotype" w:cs="Arial"/>
          <w:bCs/>
          <w:shd w:val="clear" w:color="auto" w:fill="FFFFFF"/>
        </w:rPr>
      </w:pPr>
      <w:r w:rsidRPr="002F0087">
        <w:rPr>
          <w:rFonts w:ascii="Palatino Linotype" w:hAnsi="Palatino Linotype"/>
          <w:b/>
        </w:rPr>
        <w:t>SEGUNDO.</w:t>
      </w:r>
      <w:r w:rsidRPr="002F0087">
        <w:rPr>
          <w:rStyle w:val="Ttulo2Car"/>
          <w:rFonts w:ascii="Palatino Linotype" w:hAnsi="Palatino Linotype"/>
          <w:b/>
          <w:sz w:val="24"/>
          <w:szCs w:val="24"/>
        </w:rPr>
        <w:t xml:space="preserve"> </w:t>
      </w:r>
      <w:r w:rsidR="00884719" w:rsidRPr="002F0087">
        <w:rPr>
          <w:rFonts w:ascii="Palatino Linotype" w:eastAsia="Calibri" w:hAnsi="Palatino Linotype" w:cs="Arial"/>
          <w:lang w:val="es-ES"/>
        </w:rPr>
        <w:t>Se</w:t>
      </w:r>
      <w:r w:rsidR="00884719" w:rsidRPr="002F0087">
        <w:rPr>
          <w:rFonts w:ascii="Palatino Linotype" w:eastAsia="Calibri" w:hAnsi="Palatino Linotype" w:cs="Arial"/>
          <w:b/>
          <w:lang w:val="es-ES"/>
        </w:rPr>
        <w:t xml:space="preserve"> ORDENA </w:t>
      </w:r>
      <w:r w:rsidR="00884719" w:rsidRPr="002F0087">
        <w:rPr>
          <w:rFonts w:ascii="Palatino Linotype" w:eastAsia="Calibri" w:hAnsi="Palatino Linotype" w:cs="Arial"/>
          <w:lang w:val="es-ES"/>
        </w:rPr>
        <w:t>al</w:t>
      </w:r>
      <w:r w:rsidR="00884719" w:rsidRPr="002F0087">
        <w:rPr>
          <w:rFonts w:ascii="Palatino Linotype" w:eastAsia="Calibri" w:hAnsi="Palatino Linotype" w:cs="Arial"/>
          <w:b/>
          <w:lang w:val="es-ES"/>
        </w:rPr>
        <w:t xml:space="preserve"> </w:t>
      </w:r>
      <w:r w:rsidR="00884719" w:rsidRPr="002F0087">
        <w:rPr>
          <w:rFonts w:ascii="Palatino Linotype" w:hAnsi="Palatino Linotype"/>
          <w:b/>
          <w:bCs/>
        </w:rPr>
        <w:t>Sistema Municipal para el Desarrollo Integral de la Familia de Tecámac</w:t>
      </w:r>
      <w:r w:rsidR="00884719" w:rsidRPr="002F0087">
        <w:rPr>
          <w:rFonts w:ascii="Palatino Linotype" w:eastAsia="Times New Roman" w:hAnsi="Palatino Linotype" w:cs="Arial"/>
          <w:lang w:val="es-ES"/>
        </w:rPr>
        <w:t xml:space="preserve"> </w:t>
      </w:r>
      <w:r w:rsidR="00884719" w:rsidRPr="002F0087">
        <w:rPr>
          <w:rFonts w:ascii="Palatino Linotype" w:eastAsia="Calibri" w:hAnsi="Palatino Linotype" w:cs="Arial"/>
          <w:lang w:val="es-ES"/>
        </w:rPr>
        <w:t xml:space="preserve">entregar vía Sistema de Acceso a la Información Mexiquense </w:t>
      </w:r>
      <w:r w:rsidR="00884719" w:rsidRPr="002F0087">
        <w:rPr>
          <w:rFonts w:ascii="Palatino Linotype" w:eastAsia="Calibri" w:hAnsi="Palatino Linotype" w:cs="Arial"/>
          <w:b/>
          <w:lang w:val="es-ES"/>
        </w:rPr>
        <w:t>(SAIMEX)</w:t>
      </w:r>
      <w:r w:rsidR="00884719" w:rsidRPr="002F0087">
        <w:rPr>
          <w:rFonts w:ascii="Palatino Linotype" w:hAnsi="Palatino Linotype" w:cs="Arial"/>
          <w:bCs/>
          <w:shd w:val="clear" w:color="auto" w:fill="FFFFFF"/>
        </w:rPr>
        <w:t>,</w:t>
      </w:r>
      <w:r w:rsidR="00F62BD1" w:rsidRPr="002F0087">
        <w:rPr>
          <w:rFonts w:ascii="Palatino Linotype" w:hAnsi="Palatino Linotype" w:cs="Arial"/>
          <w:bCs/>
          <w:shd w:val="clear" w:color="auto" w:fill="FFFFFF"/>
        </w:rPr>
        <w:t xml:space="preserve"> </w:t>
      </w:r>
      <w:r w:rsidR="0072771F" w:rsidRPr="002F0087">
        <w:rPr>
          <w:rFonts w:ascii="Palatino Linotype" w:hAnsi="Palatino Linotype" w:cs="Arial"/>
          <w:bCs/>
          <w:shd w:val="clear" w:color="auto" w:fill="FFFFFF"/>
        </w:rPr>
        <w:t>en versión pública,</w:t>
      </w:r>
      <w:r w:rsidR="00F62BD1" w:rsidRPr="002F0087">
        <w:rPr>
          <w:rFonts w:ascii="Palatino Linotype" w:hAnsi="Palatino Linotype" w:cs="Arial"/>
          <w:bCs/>
          <w:shd w:val="clear" w:color="auto" w:fill="FFFFFF"/>
        </w:rPr>
        <w:t xml:space="preserve"> de todos los mandos medios y superiores nombrados al quince (15) de enero de dos mil diecinueve, </w:t>
      </w:r>
      <w:r w:rsidR="0072771F" w:rsidRPr="002F0087">
        <w:rPr>
          <w:rFonts w:ascii="Palatino Linotype" w:hAnsi="Palatino Linotype" w:cs="Arial"/>
          <w:bCs/>
          <w:shd w:val="clear" w:color="auto" w:fill="FFFFFF"/>
        </w:rPr>
        <w:t xml:space="preserve"> </w:t>
      </w:r>
      <w:r w:rsidR="00884719" w:rsidRPr="002F0087">
        <w:rPr>
          <w:rFonts w:ascii="Palatino Linotype" w:hAnsi="Palatino Linotype" w:cs="Arial"/>
          <w:bCs/>
          <w:shd w:val="clear" w:color="auto" w:fill="FFFFFF"/>
        </w:rPr>
        <w:t>lo siguiente:</w:t>
      </w:r>
    </w:p>
    <w:p w14:paraId="1E3E69B8" w14:textId="77777777" w:rsidR="002F0087" w:rsidRPr="002F0087" w:rsidRDefault="002F0087" w:rsidP="002F0087">
      <w:pPr>
        <w:spacing w:line="360" w:lineRule="auto"/>
        <w:jc w:val="both"/>
        <w:rPr>
          <w:rFonts w:ascii="Palatino Linotype" w:hAnsi="Palatino Linotype" w:cs="Arial"/>
          <w:bCs/>
          <w:shd w:val="clear" w:color="auto" w:fill="FFFFFF"/>
        </w:rPr>
      </w:pPr>
    </w:p>
    <w:p w14:paraId="3CCA1F51" w14:textId="0C1CDD12" w:rsidR="00903054" w:rsidRDefault="00F62BD1" w:rsidP="002F0087">
      <w:pPr>
        <w:pStyle w:val="Prrafodelista"/>
        <w:numPr>
          <w:ilvl w:val="0"/>
          <w:numId w:val="13"/>
        </w:numPr>
        <w:spacing w:line="360" w:lineRule="auto"/>
        <w:jc w:val="both"/>
        <w:rPr>
          <w:rFonts w:ascii="Palatino Linotype" w:eastAsia="Calibri" w:hAnsi="Palatino Linotype" w:cs="Arial"/>
          <w:b/>
          <w:lang w:val="es-ES"/>
        </w:rPr>
      </w:pPr>
      <w:r w:rsidRPr="002F0087">
        <w:rPr>
          <w:rFonts w:ascii="Palatino Linotype" w:eastAsia="Calibri" w:hAnsi="Palatino Linotype" w:cs="Arial"/>
          <w:b/>
          <w:lang w:val="es-ES"/>
        </w:rPr>
        <w:t>Documento que acredite el grado máximo de estudios</w:t>
      </w:r>
      <w:r w:rsidR="0072771F" w:rsidRPr="002F0087">
        <w:rPr>
          <w:rFonts w:ascii="Palatino Linotype" w:eastAsia="Calibri" w:hAnsi="Palatino Linotype" w:cs="Arial"/>
          <w:b/>
          <w:lang w:val="es-ES"/>
        </w:rPr>
        <w:t>; y,</w:t>
      </w:r>
    </w:p>
    <w:p w14:paraId="5B6A79EE" w14:textId="77777777" w:rsidR="002F0087" w:rsidRPr="002F0087" w:rsidRDefault="002F0087" w:rsidP="002F0087">
      <w:pPr>
        <w:pStyle w:val="Prrafodelista"/>
        <w:spacing w:line="360" w:lineRule="auto"/>
        <w:jc w:val="both"/>
        <w:rPr>
          <w:rFonts w:ascii="Palatino Linotype" w:eastAsia="Calibri" w:hAnsi="Palatino Linotype" w:cs="Arial"/>
          <w:b/>
          <w:lang w:val="es-ES"/>
        </w:rPr>
      </w:pPr>
      <w:bookmarkStart w:id="92" w:name="_GoBack"/>
      <w:bookmarkEnd w:id="92"/>
    </w:p>
    <w:p w14:paraId="47083A09" w14:textId="7721F687" w:rsidR="0072771F" w:rsidRDefault="00F62BD1" w:rsidP="002F0087">
      <w:pPr>
        <w:pStyle w:val="Prrafodelista"/>
        <w:numPr>
          <w:ilvl w:val="0"/>
          <w:numId w:val="13"/>
        </w:numPr>
        <w:spacing w:line="360" w:lineRule="auto"/>
        <w:jc w:val="both"/>
        <w:rPr>
          <w:rFonts w:ascii="Palatino Linotype" w:eastAsia="Calibri" w:hAnsi="Palatino Linotype" w:cs="Arial"/>
          <w:b/>
          <w:lang w:val="es-ES"/>
        </w:rPr>
      </w:pPr>
      <w:proofErr w:type="spellStart"/>
      <w:r w:rsidRPr="002F0087">
        <w:rPr>
          <w:rFonts w:ascii="Palatino Linotype" w:eastAsia="Calibri" w:hAnsi="Palatino Linotype" w:cs="Arial"/>
          <w:b/>
          <w:lang w:val="es-ES"/>
        </w:rPr>
        <w:t>Curriculum</w:t>
      </w:r>
      <w:proofErr w:type="spellEnd"/>
      <w:r w:rsidRPr="002F0087">
        <w:rPr>
          <w:rFonts w:ascii="Palatino Linotype" w:eastAsia="Calibri" w:hAnsi="Palatino Linotype" w:cs="Arial"/>
          <w:b/>
          <w:lang w:val="es-ES"/>
        </w:rPr>
        <w:t xml:space="preserve"> vi</w:t>
      </w:r>
      <w:r w:rsidR="00ED0D71" w:rsidRPr="002F0087">
        <w:rPr>
          <w:rFonts w:ascii="Palatino Linotype" w:eastAsia="Calibri" w:hAnsi="Palatino Linotype" w:cs="Arial"/>
          <w:b/>
          <w:lang w:val="es-ES"/>
        </w:rPr>
        <w:t>tae</w:t>
      </w:r>
      <w:r w:rsidR="00B46D67" w:rsidRPr="002F0087">
        <w:rPr>
          <w:rFonts w:ascii="Palatino Linotype" w:eastAsia="Calibri" w:hAnsi="Palatino Linotype" w:cs="Arial"/>
          <w:b/>
          <w:lang w:val="es-ES"/>
        </w:rPr>
        <w:t>, ficha curricular,</w:t>
      </w:r>
      <w:r w:rsidR="00ED0D71" w:rsidRPr="002F0087">
        <w:rPr>
          <w:rFonts w:ascii="Palatino Linotype" w:eastAsia="Calibri" w:hAnsi="Palatino Linotype" w:cs="Arial"/>
          <w:b/>
          <w:lang w:val="es-ES"/>
        </w:rPr>
        <w:t xml:space="preserve"> solicitud de empleo o documento análogo</w:t>
      </w:r>
      <w:r w:rsidR="0072771F" w:rsidRPr="002F0087">
        <w:rPr>
          <w:rFonts w:ascii="Palatino Linotype" w:eastAsia="Calibri" w:hAnsi="Palatino Linotype" w:cs="Arial"/>
          <w:b/>
          <w:lang w:val="es-ES"/>
        </w:rPr>
        <w:t>.</w:t>
      </w:r>
    </w:p>
    <w:p w14:paraId="596F02EF" w14:textId="77777777" w:rsidR="002F0087" w:rsidRPr="002F0087" w:rsidRDefault="002F0087" w:rsidP="002F0087">
      <w:pPr>
        <w:pStyle w:val="Prrafodelista"/>
        <w:rPr>
          <w:rFonts w:ascii="Palatino Linotype" w:eastAsia="Calibri" w:hAnsi="Palatino Linotype" w:cs="Arial"/>
          <w:b/>
          <w:lang w:val="es-ES"/>
        </w:rPr>
      </w:pPr>
    </w:p>
    <w:p w14:paraId="1ED4813F" w14:textId="77777777" w:rsidR="002F0087" w:rsidRPr="002F0087" w:rsidRDefault="002F0087" w:rsidP="002F0087">
      <w:pPr>
        <w:pStyle w:val="Prrafodelista"/>
        <w:spacing w:line="360" w:lineRule="auto"/>
        <w:jc w:val="both"/>
        <w:rPr>
          <w:rFonts w:ascii="Palatino Linotype" w:eastAsia="Calibri" w:hAnsi="Palatino Linotype" w:cs="Arial"/>
          <w:b/>
          <w:lang w:val="es-ES"/>
        </w:rPr>
      </w:pPr>
    </w:p>
    <w:p w14:paraId="312030AE" w14:textId="42347F4A" w:rsidR="00903054" w:rsidRPr="002F0087" w:rsidRDefault="00903054" w:rsidP="002F0087">
      <w:pPr>
        <w:spacing w:line="360" w:lineRule="auto"/>
        <w:jc w:val="both"/>
        <w:rPr>
          <w:rFonts w:ascii="Palatino Linotype" w:eastAsia="Calibri" w:hAnsi="Palatino Linotype" w:cs="Arial"/>
          <w:lang w:val="es-ES"/>
        </w:rPr>
      </w:pPr>
      <w:r w:rsidRPr="002F008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2F0087">
        <w:rPr>
          <w:rFonts w:ascii="Palatino Linotype" w:eastAsia="Calibri" w:hAnsi="Palatino Linotype" w:cs="Arial"/>
        </w:rPr>
        <w:lastRenderedPageBreak/>
        <w:t>eliminen dentro del soporte documental respectivo objeto de las ver</w:t>
      </w:r>
      <w:r w:rsidR="0072771F" w:rsidRPr="002F0087">
        <w:rPr>
          <w:rFonts w:ascii="Palatino Linotype" w:eastAsia="Calibri" w:hAnsi="Palatino Linotype" w:cs="Arial"/>
        </w:rPr>
        <w:t>siones públicas que se formulen.</w:t>
      </w:r>
    </w:p>
    <w:p w14:paraId="70D123AD" w14:textId="77777777" w:rsidR="00D651A0" w:rsidRPr="002F0087" w:rsidRDefault="00D651A0" w:rsidP="002F0087">
      <w:pPr>
        <w:tabs>
          <w:tab w:val="left" w:pos="8080"/>
        </w:tabs>
        <w:spacing w:line="360" w:lineRule="auto"/>
        <w:ind w:right="49"/>
        <w:contextualSpacing/>
        <w:jc w:val="both"/>
        <w:rPr>
          <w:rFonts w:ascii="Palatino Linotype" w:eastAsia="Palatino Linotype" w:hAnsi="Palatino Linotype" w:cs="Palatino Linotype"/>
          <w:b/>
        </w:rPr>
      </w:pPr>
    </w:p>
    <w:p w14:paraId="3D3EF70C" w14:textId="7C2C2338" w:rsidR="00104642" w:rsidRPr="002F0087" w:rsidRDefault="00104642" w:rsidP="002F0087">
      <w:pPr>
        <w:tabs>
          <w:tab w:val="left" w:pos="8080"/>
        </w:tabs>
        <w:spacing w:line="360" w:lineRule="auto"/>
        <w:ind w:right="49"/>
        <w:contextualSpacing/>
        <w:jc w:val="both"/>
        <w:rPr>
          <w:rFonts w:ascii="Palatino Linotype" w:eastAsia="Palatino Linotype" w:hAnsi="Palatino Linotype" w:cs="Palatino Linotype"/>
        </w:rPr>
      </w:pPr>
      <w:bookmarkStart w:id="93" w:name="_Toc5298824"/>
      <w:r w:rsidRPr="002F0087">
        <w:rPr>
          <w:rFonts w:ascii="Palatino Linotype" w:eastAsia="Palatino Linotype" w:hAnsi="Palatino Linotype" w:cs="Palatino Linotype"/>
          <w:lang w:val="es-MX"/>
        </w:rPr>
        <w:t>De</w:t>
      </w:r>
      <w:bookmarkEnd w:id="93"/>
      <w:r w:rsidRPr="002F0087">
        <w:rPr>
          <w:rFonts w:ascii="Palatino Linotype" w:eastAsia="Palatino Linotype" w:hAnsi="Palatino Linotype" w:cs="Palatino Linotype"/>
        </w:rPr>
        <w:t xml:space="preserve"> ser el caso que la información que se ordena la información señalada en el inciso a), no haya sido administrada y/o poseída por el </w:t>
      </w:r>
      <w:r w:rsidRPr="002F0087">
        <w:rPr>
          <w:rFonts w:ascii="Palatino Linotype" w:eastAsia="Palatino Linotype" w:hAnsi="Palatino Linotype" w:cs="Palatino Linotype"/>
          <w:b/>
        </w:rPr>
        <w:t>SUJETO OBLIGADO</w:t>
      </w:r>
      <w:r w:rsidRPr="002F0087">
        <w:rPr>
          <w:rFonts w:ascii="Palatino Linotype" w:eastAsia="Palatino Linotype" w:hAnsi="Palatino Linotype" w:cs="Palatino Linotype"/>
        </w:rPr>
        <w:t>, se deberá de manifestar de manera clara y precisa las razones que expliquen las causas por las que no se haya administrado y/o poseído la información requerida en este asunto.</w:t>
      </w:r>
    </w:p>
    <w:p w14:paraId="4B314C0A" w14:textId="77777777" w:rsidR="00104642" w:rsidRPr="002F0087" w:rsidRDefault="00104642" w:rsidP="002F0087">
      <w:pPr>
        <w:tabs>
          <w:tab w:val="left" w:pos="8080"/>
        </w:tabs>
        <w:spacing w:line="360" w:lineRule="auto"/>
        <w:ind w:right="49"/>
        <w:contextualSpacing/>
        <w:jc w:val="both"/>
        <w:rPr>
          <w:rFonts w:ascii="Palatino Linotype" w:eastAsia="Palatino Linotype" w:hAnsi="Palatino Linotype" w:cs="Palatino Linotype"/>
          <w:b/>
        </w:rPr>
      </w:pPr>
    </w:p>
    <w:p w14:paraId="651F2D01" w14:textId="77777777" w:rsidR="00903054" w:rsidRPr="002F0087" w:rsidRDefault="00903054" w:rsidP="002F0087">
      <w:pPr>
        <w:tabs>
          <w:tab w:val="left" w:pos="8080"/>
        </w:tabs>
        <w:spacing w:line="360" w:lineRule="auto"/>
        <w:ind w:right="49"/>
        <w:contextualSpacing/>
        <w:jc w:val="both"/>
        <w:rPr>
          <w:rFonts w:ascii="Palatino Linotype" w:eastAsia="Palatino Linotype" w:hAnsi="Palatino Linotype" w:cs="Palatino Linotype"/>
          <w:b/>
        </w:rPr>
      </w:pPr>
      <w:r w:rsidRPr="002F0087">
        <w:rPr>
          <w:rFonts w:ascii="Palatino Linotype" w:eastAsia="Palatino Linotype" w:hAnsi="Palatino Linotype" w:cs="Palatino Linotype"/>
          <w:b/>
        </w:rPr>
        <w:t xml:space="preserve">TERCERO. Notifíquese </w:t>
      </w:r>
      <w:r w:rsidRPr="002F0087">
        <w:rPr>
          <w:rFonts w:ascii="Palatino Linotype" w:eastAsia="Palatino Linotype" w:hAnsi="Palatino Linotype" w:cs="Palatino Linotype"/>
        </w:rPr>
        <w:t xml:space="preserve">al Titular de la Unidad de Transparencia del </w:t>
      </w:r>
      <w:r w:rsidRPr="002F0087">
        <w:rPr>
          <w:rFonts w:ascii="Palatino Linotype" w:eastAsia="Palatino Linotype" w:hAnsi="Palatino Linotype" w:cs="Palatino Linotype"/>
          <w:b/>
        </w:rPr>
        <w:t>SUJETO OBLIGADO</w:t>
      </w:r>
      <w:r w:rsidRPr="002F008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F008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80E72C0" w14:textId="77777777" w:rsidR="00903054" w:rsidRPr="002F0087" w:rsidRDefault="00903054" w:rsidP="002F0087">
      <w:pPr>
        <w:tabs>
          <w:tab w:val="left" w:pos="8080"/>
        </w:tabs>
        <w:spacing w:line="360" w:lineRule="auto"/>
        <w:ind w:right="49"/>
        <w:contextualSpacing/>
        <w:jc w:val="both"/>
        <w:rPr>
          <w:rFonts w:ascii="Palatino Linotype" w:eastAsia="Palatino Linotype" w:hAnsi="Palatino Linotype" w:cs="Palatino Linotype"/>
          <w:b/>
        </w:rPr>
      </w:pPr>
      <w:r w:rsidRPr="002F0087">
        <w:rPr>
          <w:rFonts w:ascii="Palatino Linotype" w:eastAsia="Palatino Linotype" w:hAnsi="Palatino Linotype" w:cs="Palatino Linotype"/>
          <w:b/>
        </w:rPr>
        <w:tab/>
      </w:r>
    </w:p>
    <w:p w14:paraId="5D552576" w14:textId="5250B623" w:rsidR="00903054" w:rsidRPr="002F0087" w:rsidRDefault="00903054" w:rsidP="002F0087">
      <w:pPr>
        <w:shd w:val="clear" w:color="auto" w:fill="FFFFFF"/>
        <w:spacing w:line="360" w:lineRule="auto"/>
        <w:jc w:val="both"/>
        <w:rPr>
          <w:rFonts w:ascii="Palatino Linotype" w:hAnsi="Palatino Linotype"/>
        </w:rPr>
      </w:pPr>
      <w:r w:rsidRPr="002F0087">
        <w:rPr>
          <w:rFonts w:ascii="Palatino Linotype" w:eastAsia="Times New Roman" w:hAnsi="Palatino Linotype" w:cs="Arial"/>
          <w:b/>
        </w:rPr>
        <w:t xml:space="preserve">CUARTO. </w:t>
      </w:r>
      <w:r w:rsidRPr="002F0087">
        <w:rPr>
          <w:rFonts w:ascii="Palatino Linotype" w:eastAsia="Times New Roman" w:hAnsi="Palatino Linotype" w:cs="Times New Roman"/>
          <w:b/>
          <w:bCs/>
          <w:color w:val="222222"/>
          <w:lang w:val="es-ES"/>
        </w:rPr>
        <w:t>Notifíquese a</w:t>
      </w:r>
      <w:r w:rsidRPr="002F0087">
        <w:rPr>
          <w:rFonts w:ascii="Palatino Linotype" w:hAnsi="Palatino Linotype"/>
          <w:b/>
        </w:rPr>
        <w:t xml:space="preserve"> </w:t>
      </w:r>
      <w:r w:rsidR="00322482" w:rsidRPr="00322482">
        <w:rPr>
          <w:rFonts w:ascii="Palatino Linotype" w:hAnsi="Palatino Linotype"/>
          <w:b/>
          <w:highlight w:val="black"/>
        </w:rPr>
        <w:t>-</w:t>
      </w:r>
      <w:r w:rsidR="00322482">
        <w:rPr>
          <w:rFonts w:ascii="Palatino Linotype" w:hAnsi="Palatino Linotype"/>
          <w:b/>
          <w:highlight w:val="black"/>
        </w:rPr>
        <w:t>---</w:t>
      </w:r>
      <w:r w:rsidR="00322482" w:rsidRPr="00322482">
        <w:rPr>
          <w:rFonts w:ascii="Palatino Linotype" w:hAnsi="Palatino Linotype"/>
          <w:b/>
          <w:highlight w:val="black"/>
        </w:rPr>
        <w:t>-------------------------</w:t>
      </w:r>
      <w:r w:rsidR="00ED0D71" w:rsidRPr="002F0087">
        <w:rPr>
          <w:rFonts w:ascii="Palatino Linotype" w:eastAsia="Calibri" w:hAnsi="Palatino Linotype" w:cs="Arial"/>
          <w:b/>
        </w:rPr>
        <w:t xml:space="preserve"> </w:t>
      </w:r>
      <w:r w:rsidRPr="002F0087">
        <w:rPr>
          <w:rFonts w:ascii="Palatino Linotype" w:hAnsi="Palatino Linotype"/>
        </w:rPr>
        <w:t>la presente</w:t>
      </w:r>
      <w:r w:rsidR="00AD6D99" w:rsidRPr="002F0087">
        <w:rPr>
          <w:rFonts w:ascii="Palatino Linotype" w:hAnsi="Palatino Linotype"/>
        </w:rPr>
        <w:t xml:space="preserve"> resolución.</w:t>
      </w:r>
    </w:p>
    <w:p w14:paraId="268B077F" w14:textId="77777777" w:rsidR="00903054" w:rsidRPr="002F0087" w:rsidRDefault="00903054" w:rsidP="002F0087">
      <w:pPr>
        <w:shd w:val="clear" w:color="auto" w:fill="FFFFFF"/>
        <w:spacing w:line="360" w:lineRule="auto"/>
        <w:jc w:val="both"/>
        <w:rPr>
          <w:rFonts w:ascii="Palatino Linotype" w:hAnsi="Palatino Linotype"/>
        </w:rPr>
      </w:pPr>
    </w:p>
    <w:p w14:paraId="3EAB4EA1" w14:textId="6E5CB4E3" w:rsidR="00903054" w:rsidRPr="002F0087" w:rsidRDefault="00903054" w:rsidP="002F0087">
      <w:pPr>
        <w:spacing w:line="360" w:lineRule="auto"/>
        <w:jc w:val="both"/>
        <w:rPr>
          <w:rFonts w:ascii="Palatino Linotype" w:eastAsia="MS Mincho" w:hAnsi="Palatino Linotype" w:cs="Times New Roman"/>
          <w:lang w:val="es-ES"/>
        </w:rPr>
      </w:pPr>
      <w:r w:rsidRPr="002F0087">
        <w:rPr>
          <w:rFonts w:ascii="Palatino Linotype" w:eastAsia="MS Mincho" w:hAnsi="Palatino Linotype" w:cs="Times New Roman"/>
          <w:b/>
          <w:lang w:val="es-MX"/>
        </w:rPr>
        <w:t>QUINTO.</w:t>
      </w:r>
      <w:r w:rsidRPr="002F0087">
        <w:rPr>
          <w:rFonts w:ascii="Palatino Linotype" w:eastAsia="MS Mincho" w:hAnsi="Palatino Linotype" w:cs="Times New Roman"/>
          <w:lang w:val="es-MX"/>
        </w:rPr>
        <w:t xml:space="preserve"> </w:t>
      </w:r>
      <w:r w:rsidRPr="002F0087">
        <w:rPr>
          <w:rFonts w:ascii="Palatino Linotype" w:eastAsia="MS Mincho" w:hAnsi="Palatino Linotype" w:cs="Times New Roman"/>
          <w:lang w:val="es-ES"/>
        </w:rPr>
        <w:t xml:space="preserve">Se hace del conocimiento de </w:t>
      </w:r>
      <w:r w:rsidR="00322482" w:rsidRPr="00322482">
        <w:rPr>
          <w:rFonts w:ascii="Palatino Linotype" w:hAnsi="Palatino Linotype"/>
          <w:b/>
          <w:highlight w:val="black"/>
        </w:rPr>
        <w:t>------------------</w:t>
      </w:r>
      <w:r w:rsidR="00322482">
        <w:rPr>
          <w:rFonts w:ascii="Palatino Linotype" w:hAnsi="Palatino Linotype"/>
          <w:b/>
          <w:highlight w:val="black"/>
        </w:rPr>
        <w:t>---</w:t>
      </w:r>
      <w:r w:rsidR="00322482" w:rsidRPr="00322482">
        <w:rPr>
          <w:rFonts w:ascii="Palatino Linotype" w:hAnsi="Palatino Linotype"/>
          <w:b/>
          <w:highlight w:val="black"/>
        </w:rPr>
        <w:t>----</w:t>
      </w:r>
      <w:r w:rsidR="00ED0D71" w:rsidRPr="002F0087">
        <w:rPr>
          <w:rFonts w:ascii="Palatino Linotype" w:eastAsia="Calibri" w:hAnsi="Palatino Linotype" w:cs="Arial"/>
          <w:b/>
        </w:rPr>
        <w:t xml:space="preserve"> </w:t>
      </w:r>
      <w:r w:rsidRPr="002F008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w:t>
      </w:r>
      <w:r w:rsidRPr="002F0087">
        <w:rPr>
          <w:rFonts w:ascii="Palatino Linotype" w:eastAsia="MS Mincho" w:hAnsi="Palatino Linotype" w:cs="Times New Roman"/>
          <w:lang w:val="es-ES"/>
        </w:rPr>
        <w:lastRenderedPageBreak/>
        <w:t>que la resolución le cause algún perjuicio podrá</w:t>
      </w:r>
      <w:r w:rsidR="00D651A0" w:rsidRPr="002F0087">
        <w:rPr>
          <w:rFonts w:ascii="Palatino Linotype" w:eastAsia="MS Mincho" w:hAnsi="Palatino Linotype" w:cs="Times New Roman"/>
          <w:lang w:val="es-ES"/>
        </w:rPr>
        <w:t xml:space="preserve"> impugnarla </w:t>
      </w:r>
      <w:r w:rsidRPr="002F0087">
        <w:rPr>
          <w:rFonts w:ascii="Palatino Linotype" w:eastAsia="MS Mincho" w:hAnsi="Palatino Linotype" w:cs="Times New Roman"/>
          <w:bCs/>
          <w:lang w:val="es-ES"/>
        </w:rPr>
        <w:t>vía juicio de amparo</w:t>
      </w:r>
      <w:r w:rsidR="00D651A0" w:rsidRPr="002F0087">
        <w:rPr>
          <w:rFonts w:ascii="Palatino Linotype" w:eastAsia="MS Mincho" w:hAnsi="Palatino Linotype" w:cs="Times New Roman"/>
          <w:lang w:val="es-ES"/>
        </w:rPr>
        <w:t xml:space="preserve"> </w:t>
      </w:r>
      <w:r w:rsidRPr="002F0087">
        <w:rPr>
          <w:rFonts w:ascii="Palatino Linotype" w:eastAsia="MS Mincho" w:hAnsi="Palatino Linotype" w:cs="Times New Roman"/>
          <w:lang w:val="es-ES"/>
        </w:rPr>
        <w:t>en los términos de las leyes aplicables.</w:t>
      </w:r>
    </w:p>
    <w:p w14:paraId="679B25BD" w14:textId="77777777" w:rsidR="00884719" w:rsidRPr="002F0087" w:rsidRDefault="00884719" w:rsidP="002F0087">
      <w:pPr>
        <w:spacing w:line="360" w:lineRule="auto"/>
        <w:jc w:val="both"/>
        <w:rPr>
          <w:rFonts w:ascii="Palatino Linotype" w:eastAsia="MS Mincho" w:hAnsi="Palatino Linotype" w:cs="Times New Roman"/>
          <w:lang w:val="es-ES"/>
        </w:rPr>
      </w:pPr>
    </w:p>
    <w:p w14:paraId="7AF4FB96" w14:textId="5106A294" w:rsidR="00884719" w:rsidRPr="002F0087" w:rsidRDefault="00884719" w:rsidP="002F0087">
      <w:pPr>
        <w:spacing w:line="360" w:lineRule="auto"/>
        <w:jc w:val="both"/>
        <w:rPr>
          <w:rFonts w:ascii="Palatino Linotype" w:eastAsia="MS Mincho" w:hAnsi="Palatino Linotype" w:cs="Times New Roman"/>
        </w:rPr>
      </w:pPr>
      <w:r w:rsidRPr="002F0087">
        <w:rPr>
          <w:rFonts w:ascii="Palatino Linotype" w:eastAsia="MS Mincho" w:hAnsi="Palatino Linotype" w:cs="Times New Roman"/>
          <w:b/>
        </w:rPr>
        <w:t xml:space="preserve">SEXTO. </w:t>
      </w:r>
      <w:r w:rsidRPr="002F0087">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2F0087">
        <w:rPr>
          <w:rFonts w:ascii="Palatino Linotype" w:eastAsia="MS Mincho" w:hAnsi="Palatino Linotype" w:cs="Times New Roman"/>
          <w:b/>
        </w:rPr>
        <w:t xml:space="preserve"> SÉPTIMO</w:t>
      </w:r>
      <w:r w:rsidRPr="002F0087">
        <w:rPr>
          <w:rFonts w:ascii="Palatino Linotype" w:eastAsia="MS Mincho" w:hAnsi="Palatino Linotype" w:cs="Times New Roman"/>
        </w:rPr>
        <w:t>.</w:t>
      </w:r>
    </w:p>
    <w:p w14:paraId="2364A859" w14:textId="77777777" w:rsidR="00884719" w:rsidRPr="002F0087" w:rsidRDefault="00884719" w:rsidP="002F0087">
      <w:pPr>
        <w:spacing w:line="360" w:lineRule="auto"/>
        <w:jc w:val="both"/>
        <w:rPr>
          <w:rFonts w:ascii="Palatino Linotype" w:eastAsia="MS Mincho" w:hAnsi="Palatino Linotype" w:cs="Times New Roman"/>
          <w:lang w:val="es-ES"/>
        </w:rPr>
      </w:pPr>
    </w:p>
    <w:bookmarkEnd w:id="36"/>
    <w:p w14:paraId="663BC45B" w14:textId="02570303" w:rsidR="009157E2" w:rsidRPr="002F0087" w:rsidRDefault="009157E2" w:rsidP="002F0087">
      <w:pPr>
        <w:tabs>
          <w:tab w:val="left" w:pos="0"/>
        </w:tabs>
        <w:spacing w:line="360" w:lineRule="auto"/>
        <w:ind w:right="49"/>
        <w:jc w:val="both"/>
        <w:rPr>
          <w:rFonts w:ascii="Palatino Linotype" w:hAnsi="Palatino Linotype" w:cs="Arial"/>
        </w:rPr>
      </w:pPr>
      <w:r w:rsidRPr="002F0087">
        <w:rPr>
          <w:rFonts w:ascii="Palatino Linotype" w:hAnsi="Palatino Linotype" w:cs="Arial"/>
        </w:rPr>
        <w:t>ASÍ LO RESUELVE, POR UNANIMIDAD DE VOTOS, EL PLENO DEL</w:t>
      </w:r>
      <w:r w:rsidRPr="002F0087">
        <w:rPr>
          <w:rFonts w:ascii="Palatino Linotype" w:eastAsia="Arial Unicode MS" w:hAnsi="Palatino Linotype" w:cs="Arial"/>
        </w:rPr>
        <w:t xml:space="preserve"> INSTITUTO DE TRANSPARENCIA, ACCESO A LA INFORMACIÓN PÚBLICA Y PROTECCIÓN DE DATOS PERSONALES DEL ESTADO DE MÉXICO Y MUNICIPIOS</w:t>
      </w:r>
      <w:r w:rsidRPr="002F0087">
        <w:rPr>
          <w:rFonts w:ascii="Palatino Linotype" w:hAnsi="Palatino Linotype" w:cs="Arial"/>
        </w:rPr>
        <w:t xml:space="preserve">, CONFORMADO POR LOS COMISIONADOS ZULEMA MARTÍNEZ </w:t>
      </w:r>
      <w:r w:rsidR="00D70F0E" w:rsidRPr="002F0087">
        <w:rPr>
          <w:rFonts w:ascii="Palatino Linotype" w:hAnsi="Palatino Linotype" w:cs="Arial"/>
        </w:rPr>
        <w:t xml:space="preserve">SÁNCHEZ; </w:t>
      </w:r>
      <w:r w:rsidR="008F2FC4">
        <w:rPr>
          <w:rFonts w:ascii="Palatino Linotype" w:hAnsi="Palatino Linotype" w:cs="Arial"/>
        </w:rPr>
        <w:t xml:space="preserve"> </w:t>
      </w:r>
      <w:r w:rsidR="00D70F0E" w:rsidRPr="002F0087">
        <w:rPr>
          <w:rFonts w:ascii="Palatino Linotype" w:hAnsi="Palatino Linotype" w:cs="Arial"/>
        </w:rPr>
        <w:t>EVA ABAID YAPUR</w:t>
      </w:r>
      <w:r w:rsidR="008F2FC4">
        <w:rPr>
          <w:rFonts w:ascii="Palatino Linotype" w:hAnsi="Palatino Linotype" w:cs="Arial"/>
        </w:rPr>
        <w:t xml:space="preserve"> EMITIENDO VOTO PARTICULAR</w:t>
      </w:r>
      <w:r w:rsidR="00D70F0E" w:rsidRPr="002F0087">
        <w:rPr>
          <w:rFonts w:ascii="Palatino Linotype" w:hAnsi="Palatino Linotype" w:cs="Arial"/>
        </w:rPr>
        <w:t xml:space="preserve">; </w:t>
      </w:r>
      <w:r w:rsidR="008F2FC4">
        <w:rPr>
          <w:rFonts w:ascii="Palatino Linotype" w:hAnsi="Palatino Linotype" w:cs="Arial"/>
        </w:rPr>
        <w:t xml:space="preserve"> </w:t>
      </w:r>
      <w:r w:rsidR="00D70F0E" w:rsidRPr="002F0087">
        <w:rPr>
          <w:rFonts w:ascii="Palatino Linotype" w:hAnsi="Palatino Linotype" w:cs="Arial"/>
        </w:rPr>
        <w:t xml:space="preserve">JOSÉ GUADALUPE </w:t>
      </w:r>
      <w:r w:rsidR="002F0087">
        <w:rPr>
          <w:rFonts w:ascii="Palatino Linotype" w:hAnsi="Palatino Linotype" w:cs="Arial"/>
        </w:rPr>
        <w:t>LUNA HERNÁNDEZ;</w:t>
      </w:r>
      <w:r w:rsidR="008F2FC4">
        <w:rPr>
          <w:rFonts w:ascii="Palatino Linotype" w:hAnsi="Palatino Linotype" w:cs="Arial"/>
        </w:rPr>
        <w:t xml:space="preserve"> </w:t>
      </w:r>
      <w:r w:rsidR="002F0087">
        <w:rPr>
          <w:rFonts w:ascii="Palatino Linotype" w:hAnsi="Palatino Linotype" w:cs="Arial"/>
        </w:rPr>
        <w:t xml:space="preserve"> JAVIER MARTÍNEZ CRUZ</w:t>
      </w:r>
      <w:r w:rsidR="008F2FC4">
        <w:rPr>
          <w:rFonts w:ascii="Palatino Linotype" w:hAnsi="Palatino Linotype" w:cs="Arial"/>
        </w:rPr>
        <w:t xml:space="preserve"> EMITIENDO VOTO PARTICULAR </w:t>
      </w:r>
      <w:r w:rsidR="002F0087">
        <w:rPr>
          <w:rFonts w:ascii="Palatino Linotype" w:hAnsi="Palatino Linotype" w:cs="Arial"/>
        </w:rPr>
        <w:t xml:space="preserve"> </w:t>
      </w:r>
      <w:r w:rsidR="00D70F0E" w:rsidRPr="002F0087">
        <w:rPr>
          <w:rFonts w:ascii="Palatino Linotype" w:hAnsi="Palatino Linotype" w:cs="Arial"/>
        </w:rPr>
        <w:t>Y LUIS GUSTAVO PARRA NORIEGA</w:t>
      </w:r>
      <w:r w:rsidR="00A345A3" w:rsidRPr="002F0087">
        <w:rPr>
          <w:rFonts w:ascii="Palatino Linotype" w:hAnsi="Palatino Linotype" w:cs="Arial"/>
        </w:rPr>
        <w:t xml:space="preserve">; EN LA </w:t>
      </w:r>
      <w:r w:rsidR="00A67857" w:rsidRPr="002F0087">
        <w:rPr>
          <w:rFonts w:ascii="Palatino Linotype" w:hAnsi="Palatino Linotype" w:cs="Arial"/>
        </w:rPr>
        <w:t xml:space="preserve">DÉCIMA </w:t>
      </w:r>
      <w:r w:rsidR="00884719" w:rsidRPr="002F0087">
        <w:rPr>
          <w:rFonts w:ascii="Palatino Linotype" w:hAnsi="Palatino Linotype" w:cs="Arial"/>
        </w:rPr>
        <w:t>QUINTA</w:t>
      </w:r>
      <w:r w:rsidR="00D70F0E" w:rsidRPr="002F0087">
        <w:rPr>
          <w:rFonts w:ascii="Palatino Linotype" w:hAnsi="Palatino Linotype" w:cs="Arial"/>
        </w:rPr>
        <w:t xml:space="preserve"> SESIÓN </w:t>
      </w:r>
      <w:r w:rsidR="00A345A3" w:rsidRPr="002F0087">
        <w:rPr>
          <w:rFonts w:ascii="Palatino Linotype" w:hAnsi="Palatino Linotype" w:cs="Arial"/>
        </w:rPr>
        <w:t xml:space="preserve">ORDINARIA CELEBRADA EL </w:t>
      </w:r>
      <w:r w:rsidR="00773038" w:rsidRPr="002F0087">
        <w:rPr>
          <w:rFonts w:ascii="Palatino Linotype" w:hAnsi="Palatino Linotype" w:cs="Arial"/>
        </w:rPr>
        <w:t>VEINTICUATRO</w:t>
      </w:r>
      <w:r w:rsidR="00F77BB6" w:rsidRPr="002F0087">
        <w:rPr>
          <w:rFonts w:ascii="Palatino Linotype" w:hAnsi="Palatino Linotype" w:cs="Arial"/>
        </w:rPr>
        <w:t xml:space="preserve"> DE </w:t>
      </w:r>
      <w:r w:rsidR="00884719" w:rsidRPr="002F0087">
        <w:rPr>
          <w:rFonts w:ascii="Palatino Linotype" w:hAnsi="Palatino Linotype" w:cs="Arial"/>
        </w:rPr>
        <w:t>ABRIL</w:t>
      </w:r>
      <w:r w:rsidR="00D70F0E" w:rsidRPr="002F0087">
        <w:rPr>
          <w:rFonts w:ascii="Palatino Linotype" w:hAnsi="Palatino Linotype" w:cs="Arial"/>
        </w:rPr>
        <w:t xml:space="preserve"> DE DOS MIL DIECINUEVE, ANTE EL SECRETARIO TÉCNICO </w:t>
      </w:r>
      <w:r w:rsidRPr="002F0087">
        <w:rPr>
          <w:rFonts w:ascii="Palatino Linotype" w:hAnsi="Palatino Linotype" w:cs="Arial"/>
        </w:rPr>
        <w:t xml:space="preserve">DEL PLENO, </w:t>
      </w:r>
      <w:r w:rsidRPr="002F0087">
        <w:rPr>
          <w:rFonts w:ascii="Palatino Linotype" w:hAnsi="Palatino Linotype"/>
        </w:rPr>
        <w:t>ALEXIS TAPIA RAMÍREZ</w:t>
      </w:r>
      <w:r w:rsidRPr="002F0087">
        <w:rPr>
          <w:rFonts w:ascii="Palatino Linotype" w:hAnsi="Palatino Linotype" w:cs="Arial"/>
        </w:rPr>
        <w:t>.</w:t>
      </w:r>
    </w:p>
    <w:p w14:paraId="3FE1CBB2" w14:textId="77777777" w:rsidR="00296883" w:rsidRPr="002F0087" w:rsidRDefault="00296883" w:rsidP="002F0087">
      <w:pPr>
        <w:tabs>
          <w:tab w:val="left" w:pos="0"/>
        </w:tabs>
        <w:spacing w:line="360" w:lineRule="auto"/>
        <w:ind w:right="49"/>
        <w:jc w:val="both"/>
        <w:rPr>
          <w:rFonts w:ascii="Palatino Linotype" w:hAnsi="Palatino Linotype" w:cs="Arial"/>
        </w:rPr>
      </w:pPr>
    </w:p>
    <w:p w14:paraId="545049D9" w14:textId="77777777" w:rsidR="00296883" w:rsidRPr="002F0087" w:rsidRDefault="00296883" w:rsidP="002F0087">
      <w:pPr>
        <w:tabs>
          <w:tab w:val="left" w:pos="0"/>
        </w:tabs>
        <w:spacing w:line="360" w:lineRule="auto"/>
        <w:ind w:right="49"/>
        <w:jc w:val="both"/>
        <w:rPr>
          <w:rFonts w:ascii="Palatino Linotype" w:hAnsi="Palatino Linotype" w:cs="Arial"/>
        </w:rPr>
      </w:pPr>
    </w:p>
    <w:p w14:paraId="272DF009" w14:textId="77777777" w:rsidR="00296883" w:rsidRPr="002F0087" w:rsidRDefault="00296883" w:rsidP="002F0087">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2F0087" w14:paraId="605AB817" w14:textId="77777777" w:rsidTr="00E45562">
        <w:trPr>
          <w:jc w:val="center"/>
        </w:trPr>
        <w:tc>
          <w:tcPr>
            <w:tcW w:w="9918" w:type="dxa"/>
            <w:gridSpan w:val="2"/>
          </w:tcPr>
          <w:p w14:paraId="00346448" w14:textId="77777777" w:rsidR="002F0087" w:rsidRDefault="002F0087" w:rsidP="002F0087">
            <w:pPr>
              <w:tabs>
                <w:tab w:val="left" w:pos="0"/>
              </w:tabs>
              <w:spacing w:line="360" w:lineRule="auto"/>
              <w:jc w:val="center"/>
              <w:rPr>
                <w:rFonts w:ascii="Palatino Linotype" w:hAnsi="Palatino Linotype" w:cs="Arial"/>
                <w:b/>
              </w:rPr>
            </w:pPr>
          </w:p>
          <w:p w14:paraId="74F7BDC6" w14:textId="77777777" w:rsidR="002F0087" w:rsidRDefault="002F0087" w:rsidP="002F0087">
            <w:pPr>
              <w:tabs>
                <w:tab w:val="left" w:pos="0"/>
              </w:tabs>
              <w:spacing w:line="360" w:lineRule="auto"/>
              <w:jc w:val="center"/>
              <w:rPr>
                <w:rFonts w:ascii="Palatino Linotype" w:hAnsi="Palatino Linotype" w:cs="Arial"/>
                <w:b/>
              </w:rPr>
            </w:pPr>
          </w:p>
          <w:p w14:paraId="6D624526" w14:textId="77777777" w:rsidR="009157E2"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Zulema Martínez Sánchez</w:t>
            </w:r>
          </w:p>
          <w:p w14:paraId="6E03B884" w14:textId="77777777" w:rsidR="009157E2"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rPr>
              <w:t>Comisionada Presidenta</w:t>
            </w:r>
          </w:p>
          <w:p w14:paraId="79698686" w14:textId="5F38562B" w:rsidR="00296883"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(R</w:t>
            </w:r>
            <w:r w:rsidR="0073321B" w:rsidRPr="002F0087">
              <w:rPr>
                <w:rFonts w:ascii="Palatino Linotype" w:hAnsi="Palatino Linotype" w:cs="Arial"/>
                <w:b/>
              </w:rPr>
              <w:t>úbrica</w:t>
            </w:r>
            <w:r w:rsidRPr="002F0087">
              <w:rPr>
                <w:rFonts w:ascii="Palatino Linotype" w:hAnsi="Palatino Linotype" w:cs="Arial"/>
                <w:b/>
              </w:rPr>
              <w:t>)</w:t>
            </w:r>
          </w:p>
        </w:tc>
      </w:tr>
      <w:tr w:rsidR="009157E2" w:rsidRPr="002F0087" w14:paraId="50EE6E98" w14:textId="77777777" w:rsidTr="00E45562">
        <w:trPr>
          <w:jc w:val="center"/>
        </w:trPr>
        <w:tc>
          <w:tcPr>
            <w:tcW w:w="4905" w:type="dxa"/>
          </w:tcPr>
          <w:p w14:paraId="7E92E50F" w14:textId="77777777" w:rsidR="00E45562" w:rsidRPr="002F0087" w:rsidRDefault="00E45562" w:rsidP="002F0087">
            <w:pPr>
              <w:tabs>
                <w:tab w:val="left" w:pos="0"/>
              </w:tabs>
              <w:spacing w:line="360" w:lineRule="auto"/>
              <w:jc w:val="center"/>
              <w:rPr>
                <w:rFonts w:ascii="Palatino Linotype" w:hAnsi="Palatino Linotype" w:cs="Arial"/>
                <w:b/>
                <w:sz w:val="32"/>
              </w:rPr>
            </w:pPr>
          </w:p>
          <w:p w14:paraId="13553C79" w14:textId="77777777" w:rsidR="009157E2"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 xml:space="preserve">Eva </w:t>
            </w:r>
            <w:proofErr w:type="spellStart"/>
            <w:r w:rsidRPr="002F0087">
              <w:rPr>
                <w:rFonts w:ascii="Palatino Linotype" w:hAnsi="Palatino Linotype" w:cs="Arial"/>
                <w:b/>
              </w:rPr>
              <w:t>Abaid</w:t>
            </w:r>
            <w:proofErr w:type="spellEnd"/>
            <w:r w:rsidRPr="002F0087">
              <w:rPr>
                <w:rFonts w:ascii="Palatino Linotype" w:hAnsi="Palatino Linotype" w:cs="Arial"/>
                <w:b/>
              </w:rPr>
              <w:t xml:space="preserve"> </w:t>
            </w:r>
            <w:proofErr w:type="spellStart"/>
            <w:r w:rsidRPr="002F0087">
              <w:rPr>
                <w:rFonts w:ascii="Palatino Linotype" w:hAnsi="Palatino Linotype" w:cs="Arial"/>
                <w:b/>
              </w:rPr>
              <w:t>Yapur</w:t>
            </w:r>
            <w:proofErr w:type="spellEnd"/>
          </w:p>
          <w:p w14:paraId="47FDB9EF" w14:textId="77777777" w:rsidR="009157E2" w:rsidRPr="002F0087" w:rsidRDefault="009157E2" w:rsidP="002F0087">
            <w:pPr>
              <w:tabs>
                <w:tab w:val="left" w:pos="0"/>
              </w:tabs>
              <w:spacing w:line="360" w:lineRule="auto"/>
              <w:jc w:val="center"/>
              <w:rPr>
                <w:rFonts w:ascii="Palatino Linotype" w:hAnsi="Palatino Linotype" w:cs="Arial"/>
              </w:rPr>
            </w:pPr>
            <w:r w:rsidRPr="002F0087">
              <w:rPr>
                <w:rFonts w:ascii="Palatino Linotype" w:hAnsi="Palatino Linotype" w:cs="Arial"/>
              </w:rPr>
              <w:t>Comisionada</w:t>
            </w:r>
          </w:p>
          <w:p w14:paraId="6BD2E6B4" w14:textId="0F990A2D" w:rsidR="009157E2" w:rsidRPr="002F0087" w:rsidRDefault="0073321B"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(Rúbrica</w:t>
            </w:r>
            <w:r w:rsidR="009157E2" w:rsidRPr="002F0087">
              <w:rPr>
                <w:rFonts w:ascii="Palatino Linotype" w:hAnsi="Palatino Linotype" w:cs="Arial"/>
                <w:b/>
              </w:rPr>
              <w:t>)</w:t>
            </w:r>
          </w:p>
        </w:tc>
        <w:tc>
          <w:tcPr>
            <w:tcW w:w="5013" w:type="dxa"/>
          </w:tcPr>
          <w:p w14:paraId="0A162630" w14:textId="77777777" w:rsidR="00E45562" w:rsidRPr="002F0087" w:rsidRDefault="00E45562" w:rsidP="002F0087">
            <w:pPr>
              <w:tabs>
                <w:tab w:val="left" w:pos="0"/>
              </w:tabs>
              <w:spacing w:line="360" w:lineRule="auto"/>
              <w:jc w:val="center"/>
              <w:rPr>
                <w:rFonts w:ascii="Palatino Linotype" w:hAnsi="Palatino Linotype" w:cs="Arial"/>
                <w:b/>
                <w:sz w:val="32"/>
              </w:rPr>
            </w:pPr>
          </w:p>
          <w:p w14:paraId="14E98247" w14:textId="77777777" w:rsidR="009157E2"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José Guadalupe Luna Hernández</w:t>
            </w:r>
          </w:p>
          <w:p w14:paraId="5D378D12" w14:textId="77777777" w:rsidR="009157E2" w:rsidRPr="002F0087" w:rsidRDefault="009157E2" w:rsidP="002F0087">
            <w:pPr>
              <w:tabs>
                <w:tab w:val="left" w:pos="0"/>
              </w:tabs>
              <w:spacing w:line="360" w:lineRule="auto"/>
              <w:jc w:val="center"/>
              <w:rPr>
                <w:rFonts w:ascii="Palatino Linotype" w:hAnsi="Palatino Linotype" w:cs="Arial"/>
              </w:rPr>
            </w:pPr>
            <w:r w:rsidRPr="002F0087">
              <w:rPr>
                <w:rFonts w:ascii="Palatino Linotype" w:hAnsi="Palatino Linotype" w:cs="Arial"/>
              </w:rPr>
              <w:t>Comisionado</w:t>
            </w:r>
          </w:p>
          <w:p w14:paraId="372BDCFB" w14:textId="00E7A113" w:rsidR="009157E2" w:rsidRPr="002F0087" w:rsidRDefault="0073321B"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(Rúbrica</w:t>
            </w:r>
            <w:r w:rsidR="009157E2" w:rsidRPr="002F0087">
              <w:rPr>
                <w:rFonts w:ascii="Palatino Linotype" w:hAnsi="Palatino Linotype" w:cs="Arial"/>
                <w:b/>
              </w:rPr>
              <w:t>)</w:t>
            </w:r>
          </w:p>
          <w:p w14:paraId="540A7962" w14:textId="77777777" w:rsidR="009157E2" w:rsidRDefault="009157E2" w:rsidP="002F0087">
            <w:pPr>
              <w:tabs>
                <w:tab w:val="left" w:pos="0"/>
              </w:tabs>
              <w:spacing w:line="360" w:lineRule="auto"/>
              <w:jc w:val="center"/>
              <w:rPr>
                <w:rFonts w:ascii="Palatino Linotype" w:hAnsi="Palatino Linotype" w:cs="Arial"/>
                <w:b/>
              </w:rPr>
            </w:pPr>
          </w:p>
          <w:p w14:paraId="28C9632D" w14:textId="77777777" w:rsidR="002F0087" w:rsidRPr="002F0087" w:rsidRDefault="002F0087" w:rsidP="002F0087">
            <w:pPr>
              <w:tabs>
                <w:tab w:val="left" w:pos="0"/>
              </w:tabs>
              <w:spacing w:line="360" w:lineRule="auto"/>
              <w:jc w:val="center"/>
              <w:rPr>
                <w:rFonts w:ascii="Palatino Linotype" w:hAnsi="Palatino Linotype" w:cs="Arial"/>
                <w:b/>
              </w:rPr>
            </w:pPr>
          </w:p>
        </w:tc>
      </w:tr>
      <w:tr w:rsidR="009157E2" w:rsidRPr="002F0087" w14:paraId="4B3FD288" w14:textId="77777777" w:rsidTr="00E45562">
        <w:trPr>
          <w:jc w:val="center"/>
        </w:trPr>
        <w:tc>
          <w:tcPr>
            <w:tcW w:w="4905" w:type="dxa"/>
          </w:tcPr>
          <w:p w14:paraId="783A1423" w14:textId="77777777" w:rsidR="009157E2"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Javier Martínez Cruz</w:t>
            </w:r>
          </w:p>
          <w:p w14:paraId="672380BE" w14:textId="77777777" w:rsidR="009157E2" w:rsidRPr="002F0087" w:rsidRDefault="009157E2" w:rsidP="002F0087">
            <w:pPr>
              <w:tabs>
                <w:tab w:val="left" w:pos="0"/>
              </w:tabs>
              <w:spacing w:line="360" w:lineRule="auto"/>
              <w:jc w:val="center"/>
              <w:rPr>
                <w:rFonts w:ascii="Palatino Linotype" w:hAnsi="Palatino Linotype" w:cs="Arial"/>
              </w:rPr>
            </w:pPr>
            <w:r w:rsidRPr="002F0087">
              <w:rPr>
                <w:rFonts w:ascii="Palatino Linotype" w:hAnsi="Palatino Linotype" w:cs="Arial"/>
              </w:rPr>
              <w:t>Comisionado</w:t>
            </w:r>
          </w:p>
          <w:p w14:paraId="580EE6F1" w14:textId="2746EC1C" w:rsidR="009157E2" w:rsidRPr="002F0087" w:rsidRDefault="0073321B"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(Rúbrica</w:t>
            </w:r>
            <w:r w:rsidR="009157E2" w:rsidRPr="002F0087">
              <w:rPr>
                <w:rFonts w:ascii="Palatino Linotype" w:hAnsi="Palatino Linotype" w:cs="Arial"/>
                <w:b/>
              </w:rPr>
              <w:t>)</w:t>
            </w:r>
          </w:p>
        </w:tc>
        <w:tc>
          <w:tcPr>
            <w:tcW w:w="5013" w:type="dxa"/>
          </w:tcPr>
          <w:p w14:paraId="00338DFF" w14:textId="77777777" w:rsidR="009157E2"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Luis Gustavo Parra Noriega</w:t>
            </w:r>
          </w:p>
          <w:p w14:paraId="54DB2582" w14:textId="77777777" w:rsidR="009157E2" w:rsidRPr="002F0087" w:rsidRDefault="009157E2" w:rsidP="002F0087">
            <w:pPr>
              <w:tabs>
                <w:tab w:val="left" w:pos="0"/>
              </w:tabs>
              <w:spacing w:line="360" w:lineRule="auto"/>
              <w:jc w:val="center"/>
              <w:rPr>
                <w:rFonts w:ascii="Palatino Linotype" w:hAnsi="Palatino Linotype" w:cs="Arial"/>
              </w:rPr>
            </w:pPr>
            <w:r w:rsidRPr="002F0087">
              <w:rPr>
                <w:rFonts w:ascii="Palatino Linotype" w:hAnsi="Palatino Linotype" w:cs="Arial"/>
              </w:rPr>
              <w:t>Comisionado</w:t>
            </w:r>
          </w:p>
          <w:p w14:paraId="763ADD11" w14:textId="72A22EEA" w:rsidR="009157E2" w:rsidRPr="002F0087" w:rsidRDefault="0073321B"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(Rúbrica</w:t>
            </w:r>
            <w:r w:rsidR="009157E2" w:rsidRPr="002F0087">
              <w:rPr>
                <w:rFonts w:ascii="Palatino Linotype" w:hAnsi="Palatino Linotype" w:cs="Arial"/>
                <w:b/>
              </w:rPr>
              <w:t>)</w:t>
            </w:r>
          </w:p>
        </w:tc>
      </w:tr>
      <w:tr w:rsidR="009157E2" w:rsidRPr="002F0087" w14:paraId="65A2A8C5" w14:textId="77777777" w:rsidTr="00E45562">
        <w:trPr>
          <w:jc w:val="center"/>
        </w:trPr>
        <w:tc>
          <w:tcPr>
            <w:tcW w:w="9918" w:type="dxa"/>
            <w:gridSpan w:val="2"/>
          </w:tcPr>
          <w:p w14:paraId="1382FFDB" w14:textId="77777777" w:rsidR="005B5DDB" w:rsidRDefault="005B5DDB" w:rsidP="002F0087">
            <w:pPr>
              <w:tabs>
                <w:tab w:val="left" w:pos="0"/>
              </w:tabs>
              <w:spacing w:line="360" w:lineRule="auto"/>
              <w:jc w:val="center"/>
              <w:rPr>
                <w:rFonts w:ascii="Palatino Linotype" w:hAnsi="Palatino Linotype" w:cs="Arial"/>
                <w:b/>
              </w:rPr>
            </w:pPr>
          </w:p>
          <w:p w14:paraId="30DF7A3F" w14:textId="77777777" w:rsidR="002F0087" w:rsidRPr="002F0087" w:rsidRDefault="002F0087" w:rsidP="002F0087">
            <w:pPr>
              <w:tabs>
                <w:tab w:val="left" w:pos="0"/>
              </w:tabs>
              <w:spacing w:line="360" w:lineRule="auto"/>
              <w:jc w:val="center"/>
              <w:rPr>
                <w:rFonts w:ascii="Palatino Linotype" w:hAnsi="Palatino Linotype" w:cs="Arial"/>
                <w:b/>
              </w:rPr>
            </w:pPr>
          </w:p>
          <w:p w14:paraId="0D246BC2" w14:textId="77777777" w:rsidR="009157E2" w:rsidRPr="002F0087" w:rsidRDefault="009157E2"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Alexis Tapia Ramírez</w:t>
            </w:r>
          </w:p>
          <w:p w14:paraId="4946B270" w14:textId="77777777" w:rsidR="009157E2" w:rsidRPr="002F0087" w:rsidRDefault="009157E2" w:rsidP="002F0087">
            <w:pPr>
              <w:tabs>
                <w:tab w:val="left" w:pos="0"/>
              </w:tabs>
              <w:spacing w:line="360" w:lineRule="auto"/>
              <w:jc w:val="center"/>
              <w:rPr>
                <w:rFonts w:ascii="Palatino Linotype" w:hAnsi="Palatino Linotype" w:cs="Arial"/>
              </w:rPr>
            </w:pPr>
            <w:r w:rsidRPr="002F0087">
              <w:rPr>
                <w:rFonts w:ascii="Palatino Linotype" w:hAnsi="Palatino Linotype" w:cs="Arial"/>
              </w:rPr>
              <w:t>Secretario Técnico del Pleno</w:t>
            </w:r>
          </w:p>
          <w:p w14:paraId="08618DF8" w14:textId="77777777" w:rsidR="00E45562" w:rsidRDefault="0073321B" w:rsidP="002F0087">
            <w:pPr>
              <w:tabs>
                <w:tab w:val="left" w:pos="0"/>
              </w:tabs>
              <w:spacing w:line="360" w:lineRule="auto"/>
              <w:jc w:val="center"/>
              <w:rPr>
                <w:rFonts w:ascii="Palatino Linotype" w:hAnsi="Palatino Linotype" w:cs="Arial"/>
                <w:b/>
              </w:rPr>
            </w:pPr>
            <w:r w:rsidRPr="002F0087">
              <w:rPr>
                <w:rFonts w:ascii="Palatino Linotype" w:hAnsi="Palatino Linotype" w:cs="Arial"/>
                <w:b/>
              </w:rPr>
              <w:t>(Rúbrica</w:t>
            </w:r>
            <w:r w:rsidR="009157E2" w:rsidRPr="002F0087">
              <w:rPr>
                <w:rFonts w:ascii="Palatino Linotype" w:hAnsi="Palatino Linotype" w:cs="Arial"/>
                <w:b/>
              </w:rPr>
              <w:t>)</w:t>
            </w:r>
          </w:p>
          <w:p w14:paraId="38385F09" w14:textId="0F4E9082" w:rsidR="002F0087" w:rsidRPr="002F0087" w:rsidRDefault="002F0087" w:rsidP="002F0087">
            <w:pPr>
              <w:tabs>
                <w:tab w:val="left" w:pos="0"/>
              </w:tabs>
              <w:spacing w:line="360" w:lineRule="auto"/>
              <w:jc w:val="center"/>
              <w:rPr>
                <w:rFonts w:ascii="Palatino Linotype" w:hAnsi="Palatino Linotype" w:cs="Arial"/>
                <w:b/>
                <w:sz w:val="12"/>
              </w:rPr>
            </w:pPr>
          </w:p>
        </w:tc>
      </w:tr>
    </w:tbl>
    <w:p w14:paraId="24986A6A" w14:textId="2F614802" w:rsidR="00E45562" w:rsidRPr="002F0087" w:rsidRDefault="009157E2" w:rsidP="002F0087">
      <w:pPr>
        <w:tabs>
          <w:tab w:val="left" w:pos="0"/>
        </w:tabs>
        <w:spacing w:line="360" w:lineRule="auto"/>
        <w:jc w:val="both"/>
        <w:rPr>
          <w:rFonts w:ascii="Palatino Linotype" w:hAnsi="Palatino Linotype" w:cs="Arial"/>
          <w:i/>
        </w:rPr>
      </w:pPr>
      <w:r w:rsidRPr="002F0087">
        <w:rPr>
          <w:rFonts w:ascii="Palatino Linotype" w:hAnsi="Palatino Linotype" w:cs="Arial"/>
        </w:rPr>
        <w:t xml:space="preserve">Esta hoja corresponde a la resolución de fecha </w:t>
      </w:r>
      <w:r w:rsidR="00884719" w:rsidRPr="002F0087">
        <w:rPr>
          <w:rFonts w:ascii="Palatino Linotype" w:hAnsi="Palatino Linotype" w:cs="Arial"/>
        </w:rPr>
        <w:t>veinticuatro</w:t>
      </w:r>
      <w:r w:rsidR="00A82CBB" w:rsidRPr="002F0087">
        <w:rPr>
          <w:rFonts w:ascii="Palatino Linotype" w:hAnsi="Palatino Linotype" w:cs="Arial"/>
        </w:rPr>
        <w:t xml:space="preserve"> </w:t>
      </w:r>
      <w:r w:rsidR="00137045" w:rsidRPr="002F0087">
        <w:rPr>
          <w:rFonts w:ascii="Palatino Linotype" w:hAnsi="Palatino Linotype" w:cs="Arial"/>
        </w:rPr>
        <w:t>(</w:t>
      </w:r>
      <w:r w:rsidR="00F77BB6" w:rsidRPr="002F0087">
        <w:rPr>
          <w:rFonts w:ascii="Palatino Linotype" w:hAnsi="Palatino Linotype" w:cs="Arial"/>
        </w:rPr>
        <w:t>2</w:t>
      </w:r>
      <w:r w:rsidR="00884719" w:rsidRPr="002F0087">
        <w:rPr>
          <w:rFonts w:ascii="Palatino Linotype" w:hAnsi="Palatino Linotype" w:cs="Arial"/>
        </w:rPr>
        <w:t>4</w:t>
      </w:r>
      <w:r w:rsidR="00137045" w:rsidRPr="002F0087">
        <w:rPr>
          <w:rFonts w:ascii="Palatino Linotype" w:hAnsi="Palatino Linotype" w:cs="Arial"/>
        </w:rPr>
        <w:t xml:space="preserve">) </w:t>
      </w:r>
      <w:r w:rsidR="00A82CBB" w:rsidRPr="002F0087">
        <w:rPr>
          <w:rFonts w:ascii="Palatino Linotype" w:hAnsi="Palatino Linotype" w:cs="Arial"/>
        </w:rPr>
        <w:t xml:space="preserve">de </w:t>
      </w:r>
      <w:r w:rsidR="00884719" w:rsidRPr="002F0087">
        <w:rPr>
          <w:rFonts w:ascii="Palatino Linotype" w:hAnsi="Palatino Linotype" w:cs="Arial"/>
        </w:rPr>
        <w:t>abril</w:t>
      </w:r>
      <w:r w:rsidR="00A82CBB" w:rsidRPr="002F0087">
        <w:rPr>
          <w:rFonts w:ascii="Palatino Linotype" w:hAnsi="Palatino Linotype" w:cs="Arial"/>
        </w:rPr>
        <w:t xml:space="preserve"> de dos mil diecinueve</w:t>
      </w:r>
      <w:r w:rsidRPr="002F0087">
        <w:rPr>
          <w:rFonts w:ascii="Palatino Linotype" w:hAnsi="Palatino Linotype" w:cs="Arial"/>
        </w:rPr>
        <w:t xml:space="preserve">, emitida en el recurso de revisión </w:t>
      </w:r>
      <w:r w:rsidRPr="002F0087">
        <w:rPr>
          <w:rFonts w:ascii="Palatino Linotype" w:hAnsi="Palatino Linotype" w:cs="Arial"/>
          <w:b/>
          <w:bCs/>
        </w:rPr>
        <w:t>0</w:t>
      </w:r>
      <w:r w:rsidR="00773038">
        <w:rPr>
          <w:rFonts w:ascii="Palatino Linotype" w:hAnsi="Palatino Linotype" w:cs="Arial"/>
          <w:b/>
          <w:bCs/>
        </w:rPr>
        <w:t>0583</w:t>
      </w:r>
      <w:r w:rsidRPr="002F0087">
        <w:rPr>
          <w:rFonts w:ascii="Palatino Linotype" w:hAnsi="Palatino Linotype" w:cs="Arial"/>
          <w:b/>
          <w:bCs/>
        </w:rPr>
        <w:t>/INFOEM/IP/RR/201</w:t>
      </w:r>
      <w:r w:rsidR="00B439F4" w:rsidRPr="002F0087">
        <w:rPr>
          <w:rFonts w:ascii="Palatino Linotype" w:hAnsi="Palatino Linotype" w:cs="Arial"/>
          <w:b/>
          <w:bCs/>
        </w:rPr>
        <w:t>9</w:t>
      </w:r>
      <w:r w:rsidRPr="002F0087">
        <w:rPr>
          <w:rFonts w:ascii="Palatino Linotype" w:hAnsi="Palatino Linotype" w:cs="Arial"/>
          <w:b/>
          <w:bCs/>
        </w:rPr>
        <w:t>.</w:t>
      </w:r>
      <w:bookmarkEnd w:id="37"/>
      <w:bookmarkEnd w:id="38"/>
    </w:p>
    <w:sectPr w:rsidR="00E45562" w:rsidRPr="002F0087" w:rsidSect="002F0087">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14EF8" w14:textId="77777777" w:rsidR="00130B5E" w:rsidRDefault="00130B5E" w:rsidP="00587366">
      <w:r>
        <w:separator/>
      </w:r>
    </w:p>
  </w:endnote>
  <w:endnote w:type="continuationSeparator" w:id="0">
    <w:p w14:paraId="61FD1DD5" w14:textId="77777777" w:rsidR="00130B5E" w:rsidRDefault="00130B5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F0087" w:rsidRPr="00883450" w:rsidRDefault="002F008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50A84">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50A84">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2F0087" w:rsidRDefault="002F00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F0087" w:rsidRPr="00883450" w:rsidRDefault="002F008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0A84" w:rsidRPr="00F50A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0A84" w:rsidRPr="00F50A84">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2F0087" w:rsidRPr="00883450" w:rsidRDefault="002F008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6C3C6" w14:textId="77777777" w:rsidR="00130B5E" w:rsidRDefault="00130B5E" w:rsidP="00587366">
      <w:r>
        <w:separator/>
      </w:r>
    </w:p>
  </w:footnote>
  <w:footnote w:type="continuationSeparator" w:id="0">
    <w:p w14:paraId="1FDE704D" w14:textId="77777777" w:rsidR="00130B5E" w:rsidRDefault="00130B5E" w:rsidP="00587366">
      <w:r>
        <w:continuationSeparator/>
      </w:r>
    </w:p>
  </w:footnote>
  <w:footnote w:id="1">
    <w:p w14:paraId="4AF034DB" w14:textId="77777777" w:rsidR="002F0087" w:rsidRPr="000C61AA" w:rsidRDefault="002F0087" w:rsidP="00A6380D">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5576562B" w14:textId="77777777" w:rsidR="002F0087" w:rsidRDefault="002F0087" w:rsidP="002B1577">
      <w:pPr>
        <w:pStyle w:val="Textonotapie"/>
      </w:pPr>
      <w:r>
        <w:rPr>
          <w:rStyle w:val="Refdenotaalpie"/>
        </w:rPr>
        <w:footnoteRef/>
      </w:r>
      <w:r>
        <w:t xml:space="preserve"> Convención Americana sobre Derechos Humanos. Artículo 13.</w:t>
      </w:r>
    </w:p>
  </w:footnote>
  <w:footnote w:id="3">
    <w:p w14:paraId="37D47FF2" w14:textId="77777777" w:rsidR="002F0087" w:rsidRDefault="002F0087" w:rsidP="002B1577">
      <w:pPr>
        <w:pStyle w:val="Textonotapie"/>
      </w:pPr>
      <w:r>
        <w:rPr>
          <w:rStyle w:val="Refdenotaalpie"/>
        </w:rPr>
        <w:footnoteRef/>
      </w:r>
      <w:r>
        <w:t xml:space="preserve"> Constitución Política de los Estados Unidos Mexicanos. Artículo sexto, sección A, fracción I.</w:t>
      </w:r>
    </w:p>
  </w:footnote>
  <w:footnote w:id="4">
    <w:p w14:paraId="6E3D4459" w14:textId="77777777" w:rsidR="002F0087" w:rsidRDefault="002F0087" w:rsidP="002B157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F73F794" w14:textId="77777777" w:rsidR="002F0087" w:rsidRDefault="002F0087" w:rsidP="002B1577">
      <w:pPr>
        <w:pStyle w:val="Textonotapie"/>
      </w:pPr>
      <w:r>
        <w:rPr>
          <w:rStyle w:val="Refdenotaalpie"/>
        </w:rPr>
        <w:footnoteRef/>
      </w:r>
      <w:r>
        <w:t xml:space="preserve"> Ibídem. </w:t>
      </w:r>
      <w:proofErr w:type="spellStart"/>
      <w:r>
        <w:t>Parr</w:t>
      </w:r>
      <w:proofErr w:type="spellEnd"/>
      <w:r>
        <w:t>. 87.</w:t>
      </w:r>
    </w:p>
  </w:footnote>
  <w:footnote w:id="6">
    <w:p w14:paraId="2BD4B20F" w14:textId="77777777" w:rsidR="002F0087" w:rsidRDefault="002F0087" w:rsidP="0090305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BFB188" w14:textId="77777777" w:rsidR="002F0087" w:rsidRDefault="002F0087" w:rsidP="0090305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0A7E34" w14:textId="77777777" w:rsidR="002F0087" w:rsidRPr="001E1F95" w:rsidRDefault="002F0087" w:rsidP="0090305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2F987BE4" w14:textId="77777777" w:rsidR="002F0087" w:rsidRPr="0037004E" w:rsidRDefault="002F0087" w:rsidP="00903054">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07D59BFE" w14:textId="77777777" w:rsidR="002F0087" w:rsidRDefault="002F0087" w:rsidP="00903054">
      <w:pPr>
        <w:pStyle w:val="Textonotapie"/>
        <w:jc w:val="both"/>
      </w:pPr>
      <w:r>
        <w:rPr>
          <w:rStyle w:val="Refdenotaalpie"/>
        </w:rPr>
        <w:footnoteRef/>
      </w:r>
      <w:r>
        <w:t xml:space="preserve"> Artículo 3. Para los efectos de la presente Ley se entenderá por:</w:t>
      </w:r>
    </w:p>
    <w:p w14:paraId="28CE21A9" w14:textId="77777777" w:rsidR="002F0087" w:rsidRDefault="002F0087" w:rsidP="00903054">
      <w:pPr>
        <w:pStyle w:val="Textonotapie"/>
        <w:jc w:val="both"/>
      </w:pPr>
      <w:r>
        <w:t xml:space="preserve"> (…)</w:t>
      </w:r>
    </w:p>
    <w:p w14:paraId="06EE27B1" w14:textId="77777777" w:rsidR="002F0087" w:rsidRDefault="002F0087" w:rsidP="00903054">
      <w:pPr>
        <w:pStyle w:val="Textonotapie"/>
        <w:jc w:val="both"/>
      </w:pPr>
      <w:r>
        <w:t>IX. Datos personales: La información concerniente a una persona, identificada o identificable según lo dispuesto por la Ley de Protección de Datos Personales del Estado de México;</w:t>
      </w:r>
    </w:p>
  </w:footnote>
  <w:footnote w:id="9">
    <w:p w14:paraId="2105D932" w14:textId="77777777" w:rsidR="002F0087" w:rsidRPr="00E04325" w:rsidRDefault="002F0087" w:rsidP="00E013B9">
      <w:pPr>
        <w:pStyle w:val="Textonotapie"/>
        <w:jc w:val="both"/>
        <w:rPr>
          <w:rFonts w:asciiTheme="majorHAnsi" w:hAnsiTheme="majorHAnsi" w:cs="Arial"/>
        </w:rPr>
      </w:pPr>
      <w:r w:rsidRPr="00E76C58">
        <w:rPr>
          <w:rStyle w:val="Refdenotaalpie"/>
          <w:rFonts w:ascii="Arial" w:hAnsi="Arial" w:cs="Arial"/>
        </w:rPr>
        <w:footnoteRef/>
      </w:r>
      <w:r w:rsidRPr="00E76C58">
        <w:rPr>
          <w:rFonts w:ascii="Arial" w:hAnsi="Arial" w:cs="Arial"/>
        </w:rPr>
        <w:t xml:space="preserve"> “</w:t>
      </w:r>
      <w:r w:rsidRPr="00E04325">
        <w:rPr>
          <w:rFonts w:asciiTheme="majorHAnsi" w:hAnsiTheme="majorHAnsi" w:cs="Arial"/>
        </w:rPr>
        <w:t xml:space="preserve">En este contexto es lógico y apropiado que las expresiones concernientes a funcionarios públicos o a otras personas que ejercen funciones de una naturaleza pública </w:t>
      </w:r>
      <w:r w:rsidRPr="00E04325">
        <w:rPr>
          <w:rFonts w:asciiTheme="majorHAnsi" w:hAnsiTheme="majorHAnsi" w:cs="Arial"/>
          <w:b/>
        </w:rPr>
        <w:t>deben gozar,</w:t>
      </w:r>
      <w:r w:rsidRPr="00E04325">
        <w:rPr>
          <w:rFonts w:asciiTheme="majorHAnsi" w:hAnsiTheme="majorHAnsi" w:cs="Arial"/>
        </w:rPr>
        <w:t xml:space="preserve"> en los términos del artículo 13.2 de la Convención, </w:t>
      </w:r>
      <w:r w:rsidRPr="00E04325">
        <w:rPr>
          <w:rFonts w:asciiTheme="majorHAnsi" w:hAnsiTheme="majorHAnsi" w:cs="Arial"/>
          <w:b/>
        </w:rPr>
        <w:t>de un margen de apertura</w:t>
      </w:r>
      <w:r w:rsidRPr="00E04325">
        <w:rPr>
          <w:rFonts w:asciiTheme="majorHAnsi" w:hAnsiTheme="majorHAnsi" w:cs="Arial"/>
        </w:rPr>
        <w:t xml:space="preserve"> a un debate amplio respecto de asuntos de interés público, el cual es esencial para el funcionamiento de un sistema verdaderamente democrático. Esto no significa, de modo alguno, que el honor de los funcionarios públicos o de las personas públicas no deba ser jurídicamente protegido, sino que éste debe serlo de manera acorde con los principios del pluralismo democrático. </w:t>
      </w:r>
    </w:p>
    <w:p w14:paraId="786A29DA" w14:textId="77777777" w:rsidR="002F0087" w:rsidRPr="00E04325" w:rsidRDefault="002F0087" w:rsidP="00E013B9">
      <w:pPr>
        <w:pStyle w:val="Textonotapie"/>
        <w:jc w:val="both"/>
        <w:rPr>
          <w:rFonts w:asciiTheme="majorHAnsi" w:hAnsiTheme="majorHAnsi" w:cs="Arial"/>
        </w:rPr>
      </w:pPr>
      <w:r w:rsidRPr="00E04325">
        <w:rPr>
          <w:rFonts w:asciiTheme="majorHAnsi" w:hAnsiTheme="majorHAnsi" w:cs="Arial"/>
        </w:rPr>
        <w:t xml:space="preserve">“Es así que el acento de </w:t>
      </w:r>
      <w:r w:rsidRPr="00E04325">
        <w:rPr>
          <w:rFonts w:asciiTheme="majorHAnsi" w:hAnsiTheme="majorHAnsi" w:cs="Arial"/>
          <w:b/>
        </w:rPr>
        <w:t>este umbral diferente de protección no se asienta en la calidad del sujeto, sino en el carácter de interés público que conllevan las actividades o actuaciones de una persona determinada.</w:t>
      </w:r>
      <w:r w:rsidRPr="00E04325">
        <w:rPr>
          <w:rFonts w:asciiTheme="majorHAnsi" w:hAnsiTheme="majorHAnsi" w:cs="Arial"/>
        </w:rPr>
        <w:t xml:space="preserve"> Aquellas personas que influyen en cuestiones de interés público se han expuesto voluntariamente a un escrutinio público más exigente y, consecuentemente, se ven expuestos a un mayor riesgo de sufrir críticas, ya que </w:t>
      </w:r>
      <w:r w:rsidRPr="00E04325">
        <w:rPr>
          <w:rFonts w:asciiTheme="majorHAnsi" w:hAnsiTheme="majorHAnsi" w:cs="Arial"/>
          <w:b/>
        </w:rPr>
        <w:t xml:space="preserve">sus actividades salen del dominio de la esfera privada para insertarse en la esfera del debate público”. </w:t>
      </w:r>
      <w:r w:rsidRPr="00E04325">
        <w:rPr>
          <w:rFonts w:asciiTheme="majorHAnsi" w:hAnsiTheme="majorHAnsi" w:cs="Arial"/>
        </w:rPr>
        <w:t xml:space="preserve">Corte Interamericana de Derechos Humanos. Caso Herrera Ulloa vs. Costa Rica. Sentencia del 2 de julio de 2004. Serie C No. 107. </w:t>
      </w:r>
      <w:proofErr w:type="spellStart"/>
      <w:r w:rsidRPr="00E04325">
        <w:rPr>
          <w:rFonts w:asciiTheme="majorHAnsi" w:hAnsiTheme="majorHAnsi" w:cs="Arial"/>
        </w:rPr>
        <w:t>Párrs</w:t>
      </w:r>
      <w:proofErr w:type="spellEnd"/>
      <w:r w:rsidRPr="00E04325">
        <w:rPr>
          <w:rFonts w:asciiTheme="majorHAnsi" w:hAnsiTheme="majorHAnsi" w:cs="Arial"/>
        </w:rPr>
        <w:t xml:space="preserve">. 128 y 129. </w:t>
      </w:r>
    </w:p>
    <w:p w14:paraId="1BD49678" w14:textId="77777777" w:rsidR="002F0087" w:rsidRPr="00E04325" w:rsidRDefault="002F0087" w:rsidP="00E013B9">
      <w:pPr>
        <w:pStyle w:val="Textonotapie"/>
        <w:jc w:val="both"/>
        <w:rPr>
          <w:rFonts w:asciiTheme="majorHAnsi" w:hAnsiTheme="majorHAnsi" w:cs="Arial"/>
        </w:rPr>
      </w:pPr>
      <w:r w:rsidRPr="00E04325">
        <w:rPr>
          <w:rFonts w:asciiTheme="majorHAnsi" w:hAnsiTheme="majorHAnsi" w:cs="Arial"/>
        </w:rPr>
        <w:t>“1. Recomendaciones a los Estados:</w:t>
      </w:r>
    </w:p>
    <w:p w14:paraId="459D4040" w14:textId="77777777" w:rsidR="002F0087" w:rsidRPr="00E04325" w:rsidRDefault="002F0087" w:rsidP="00E013B9">
      <w:pPr>
        <w:pStyle w:val="Textonotapie"/>
        <w:jc w:val="both"/>
        <w:rPr>
          <w:rFonts w:asciiTheme="majorHAnsi" w:hAnsiTheme="majorHAnsi" w:cs="Arial"/>
        </w:rPr>
      </w:pPr>
      <w:r w:rsidRPr="00E04325">
        <w:rPr>
          <w:rFonts w:asciiTheme="majorHAnsi" w:hAnsiTheme="majorHAnsi" w:cs="Arial"/>
        </w:rPr>
        <w:t>…</w:t>
      </w:r>
    </w:p>
    <w:p w14:paraId="3CB6BC1B" w14:textId="77777777" w:rsidR="002F0087" w:rsidRPr="00E04325" w:rsidRDefault="002F0087" w:rsidP="00E013B9">
      <w:pPr>
        <w:pStyle w:val="Textonotapie"/>
        <w:jc w:val="both"/>
        <w:rPr>
          <w:rFonts w:asciiTheme="majorHAnsi" w:hAnsiTheme="majorHAnsi" w:cs="Arial"/>
        </w:rPr>
      </w:pPr>
      <w:r w:rsidRPr="00E04325">
        <w:rPr>
          <w:rFonts w:asciiTheme="majorHAnsi" w:hAnsiTheme="majorHAnsi" w:cs="Arial"/>
        </w:rPr>
        <w:t xml:space="preserve">“e. Existe un núcleo de libertad de expresión respecto del cual los Estados no tienen potestad alguna o tan solo una facultad extremadamente limitada de adoptar restricciones que permitan tomar en cuenta las tradiciones, la cultura y los valores locales y esto incluye en particular el discurso político en un sentido amplio, en vista del carácter trascendental de dicho discurso para la democracia y el respeto de todos los derechos humanos, </w:t>
      </w:r>
      <w:r w:rsidRPr="00E04325">
        <w:rPr>
          <w:rFonts w:asciiTheme="majorHAnsi" w:hAnsiTheme="majorHAnsi" w:cs="Arial"/>
          <w:b/>
        </w:rPr>
        <w:t xml:space="preserve">lo cual implica que las figuras públicas deberían aceptar un mayor grado de escrutinio por la sociedad”. </w:t>
      </w:r>
      <w:r w:rsidRPr="00E04325">
        <w:rPr>
          <w:rFonts w:asciiTheme="majorHAnsi" w:hAnsiTheme="majorHAnsi" w:cs="Arial"/>
        </w:rPr>
        <w:t>“Declaración Conjunta sobre universalidad y el derecho a la libertad de expresión”. Relatoría Especial de las Naciones Unidas para la Libertad de Opinión y Expresión, de la Representante para la Libertad de los Medios de Comunicación de la Organización para la Seguridad y la Cooperación en Europa, la Relatora Especial de la OEA para la Libertad de Expresión y la Relatora Especial sobre Libertad de Expresión y Acceso a la Información de la Comisión Africana de Derechos Humanos y de los Pueblos. 2014.,</w:t>
      </w:r>
    </w:p>
  </w:footnote>
  <w:footnote w:id="10">
    <w:p w14:paraId="495B1E04" w14:textId="77777777" w:rsidR="002F0087" w:rsidRPr="00E04325" w:rsidRDefault="002F0087" w:rsidP="00E013B9">
      <w:pPr>
        <w:pStyle w:val="Textonotapie"/>
        <w:jc w:val="both"/>
        <w:rPr>
          <w:rFonts w:asciiTheme="majorHAnsi" w:hAnsiTheme="majorHAnsi" w:cs="Arial"/>
        </w:rPr>
      </w:pPr>
      <w:r w:rsidRPr="00E04325">
        <w:rPr>
          <w:rStyle w:val="Refdenotaalpie"/>
          <w:rFonts w:asciiTheme="majorHAnsi" w:hAnsiTheme="majorHAnsi" w:cs="Arial"/>
        </w:rPr>
        <w:footnoteRef/>
      </w:r>
      <w:r w:rsidRPr="00E04325">
        <w:rPr>
          <w:rFonts w:asciiTheme="majorHAnsi" w:hAnsiTheme="majorHAnsi" w:cs="Arial"/>
        </w:rPr>
        <w:t xml:space="preserve"> “En consecuencia, las expresiones, </w:t>
      </w:r>
      <w:r w:rsidRPr="00E04325">
        <w:rPr>
          <w:rFonts w:asciiTheme="majorHAnsi" w:hAnsiTheme="majorHAnsi" w:cs="Arial"/>
          <w:b/>
        </w:rPr>
        <w:t>informaciones</w:t>
      </w:r>
      <w:r w:rsidRPr="00E04325">
        <w:rPr>
          <w:rFonts w:asciiTheme="majorHAnsi" w:hAnsiTheme="majorHAnsi" w:cs="Arial"/>
        </w:rPr>
        <w:t xml:space="preserve"> y opiniones atinentes a asuntos de interés público, al Estado y a sus instituciones, gozan de mayor protección bajo la Convención Americana, lo cual implica que el Estado debe abstenerse con mayor rigor de establecer limitaciones a estas formas de expresión, y que las entidades y funcionarios que conforman el Estado, así como quienes aspiran a ocupar cargos públicos, </w:t>
      </w:r>
      <w:r w:rsidRPr="00E04325">
        <w:rPr>
          <w:rFonts w:asciiTheme="majorHAnsi" w:hAnsiTheme="majorHAnsi" w:cs="Arial"/>
          <w:b/>
        </w:rPr>
        <w:t>en razón de la naturaleza pública de las funciones que cumplen, deben tener un mayor umbral de tolerancia ante la crítica”.</w:t>
      </w:r>
      <w:r w:rsidRPr="00E04325">
        <w:rPr>
          <w:rFonts w:asciiTheme="majorHAnsi" w:hAnsiTheme="majorHAnsi" w:cs="Arial"/>
        </w:rPr>
        <w:t xml:space="preserve"> Relatoría Especial para la Libertad de Expresión. Comisión Interamericana de Derechos Humanos. Marco Jurídico interamericano sobre el derecho a la libertad de expresión. OEA, 2010. Párr. 35. “Dado que las expresio0nes e </w:t>
      </w:r>
      <w:r w:rsidRPr="00E04325">
        <w:rPr>
          <w:rFonts w:asciiTheme="majorHAnsi" w:hAnsiTheme="majorHAnsi" w:cs="Arial"/>
          <w:b/>
        </w:rPr>
        <w:t>informaciones</w:t>
      </w:r>
      <w:r w:rsidRPr="00E04325">
        <w:rPr>
          <w:rFonts w:asciiTheme="majorHAnsi" w:hAnsiTheme="majorHAnsi" w:cs="Arial"/>
        </w:rPr>
        <w:t xml:space="preserve"> atinentes a los funcionarios públicos, a particulares involucrados voluntariamente en asuntos públicos, y a candidatos a ocupar cargos públicos, gozan de un mayor grado de protección, el Estado debe abstenerse en mayor grado de imponer limitaciones a estas formas de expresión”.  Ibídem. Párr. 41. </w:t>
      </w:r>
    </w:p>
  </w:footnote>
  <w:footnote w:id="11">
    <w:p w14:paraId="479B60DC" w14:textId="77777777" w:rsidR="002F0087" w:rsidRPr="00E04325" w:rsidRDefault="002F0087" w:rsidP="00E013B9">
      <w:pPr>
        <w:pStyle w:val="Textonotapie"/>
        <w:jc w:val="both"/>
        <w:rPr>
          <w:rFonts w:asciiTheme="majorHAnsi" w:hAnsiTheme="majorHAnsi" w:cs="Arial"/>
        </w:rPr>
      </w:pPr>
      <w:r w:rsidRPr="00E04325">
        <w:rPr>
          <w:rStyle w:val="Refdenotaalpie"/>
          <w:rFonts w:asciiTheme="majorHAnsi" w:hAnsiTheme="majorHAnsi" w:cs="Arial"/>
        </w:rPr>
        <w:footnoteRef/>
      </w:r>
      <w:r w:rsidRPr="00E04325">
        <w:rPr>
          <w:rFonts w:asciiTheme="majorHAnsi" w:hAnsiTheme="majorHAnsi" w:cs="Arial"/>
        </w:rPr>
        <w:t xml:space="preserve"> “La gestión pública y los asuntos de interés común deben de ser objeto de control por la sociedad en su conjunto. El control democrático de la gestión pública, a través de la opinión pública, fomenta la transparencia de las actividades del Estado ya la responsabilidad de los funcionarios públicos sobre sus actuaciones, y es un medio para lograr el máximo nivel de participación ciudadana. De allí que el adecuado desenvolvimiento de la democracia requiera la mayor circulación de informes, opiniones e ideas sobre los asuntos públicos”. Ibídem. Párr. 33. </w:t>
      </w:r>
    </w:p>
  </w:footnote>
  <w:footnote w:id="12">
    <w:p w14:paraId="2EDFB6DB" w14:textId="77777777" w:rsidR="002F0087" w:rsidRPr="00E04325" w:rsidRDefault="002F0087" w:rsidP="00E013B9">
      <w:pPr>
        <w:pStyle w:val="Textonotapie"/>
        <w:jc w:val="both"/>
        <w:rPr>
          <w:rFonts w:asciiTheme="majorHAnsi" w:hAnsiTheme="majorHAnsi" w:cs="Arial"/>
        </w:rPr>
      </w:pPr>
      <w:r w:rsidRPr="00E04325">
        <w:rPr>
          <w:rStyle w:val="Refdenotaalpie"/>
          <w:rFonts w:asciiTheme="majorHAnsi" w:hAnsiTheme="majorHAnsi" w:cs="Arial"/>
        </w:rPr>
        <w:footnoteRef/>
      </w:r>
      <w:r w:rsidRPr="00E04325">
        <w:rPr>
          <w:rFonts w:asciiTheme="majorHAnsi" w:hAnsiTheme="majorHAnsi" w:cs="Arial"/>
        </w:rPr>
        <w:t xml:space="preserve"> Esto ocurrió en el caso de la Corte Suprema de Canadá: </w:t>
      </w:r>
      <w:proofErr w:type="spellStart"/>
      <w:r w:rsidRPr="00E04325">
        <w:rPr>
          <w:rFonts w:asciiTheme="majorHAnsi" w:hAnsiTheme="majorHAnsi" w:cs="Arial"/>
        </w:rPr>
        <w:t>Informatio</w:t>
      </w:r>
      <w:proofErr w:type="spellEnd"/>
      <w:r w:rsidRPr="00E04325">
        <w:rPr>
          <w:rFonts w:asciiTheme="majorHAnsi" w:hAnsiTheme="majorHAnsi" w:cs="Arial"/>
        </w:rPr>
        <w:t xml:space="preserve"> </w:t>
      </w:r>
      <w:proofErr w:type="spellStart"/>
      <w:r w:rsidRPr="00E04325">
        <w:rPr>
          <w:rFonts w:asciiTheme="majorHAnsi" w:hAnsiTheme="majorHAnsi" w:cs="Arial"/>
        </w:rPr>
        <w:t>Comissioner</w:t>
      </w:r>
      <w:proofErr w:type="spellEnd"/>
      <w:r w:rsidRPr="00E04325">
        <w:rPr>
          <w:rFonts w:asciiTheme="majorHAnsi" w:hAnsiTheme="majorHAnsi" w:cs="Arial"/>
        </w:rPr>
        <w:t xml:space="preserve"> of </w:t>
      </w:r>
      <w:proofErr w:type="spellStart"/>
      <w:r w:rsidRPr="00E04325">
        <w:rPr>
          <w:rFonts w:asciiTheme="majorHAnsi" w:hAnsiTheme="majorHAnsi" w:cs="Arial"/>
        </w:rPr>
        <w:t>Canadé</w:t>
      </w:r>
      <w:proofErr w:type="spellEnd"/>
      <w:r w:rsidRPr="00E04325">
        <w:rPr>
          <w:rFonts w:asciiTheme="majorHAnsi" w:hAnsiTheme="majorHAnsi" w:cs="Arial"/>
        </w:rPr>
        <w:t xml:space="preserve"> v. </w:t>
      </w:r>
      <w:proofErr w:type="spellStart"/>
      <w:r w:rsidRPr="00E04325">
        <w:rPr>
          <w:rFonts w:asciiTheme="majorHAnsi" w:hAnsiTheme="majorHAnsi" w:cs="Arial"/>
        </w:rPr>
        <w:t>Comissioner</w:t>
      </w:r>
      <w:proofErr w:type="spellEnd"/>
      <w:r w:rsidRPr="00E04325">
        <w:rPr>
          <w:rFonts w:asciiTheme="majorHAnsi" w:hAnsiTheme="majorHAnsi" w:cs="Arial"/>
        </w:rPr>
        <w:t xml:space="preserve"> of </w:t>
      </w:r>
      <w:proofErr w:type="spellStart"/>
      <w:r w:rsidRPr="00E04325">
        <w:rPr>
          <w:rFonts w:asciiTheme="majorHAnsi" w:hAnsiTheme="majorHAnsi" w:cs="Arial"/>
        </w:rPr>
        <w:t>the</w:t>
      </w:r>
      <w:proofErr w:type="spellEnd"/>
      <w:r w:rsidRPr="00E04325">
        <w:rPr>
          <w:rFonts w:asciiTheme="majorHAnsi" w:hAnsiTheme="majorHAnsi" w:cs="Arial"/>
        </w:rPr>
        <w:t xml:space="preserve"> Royal Canadian Mountain </w:t>
      </w:r>
      <w:proofErr w:type="spellStart"/>
      <w:r w:rsidRPr="00E04325">
        <w:rPr>
          <w:rFonts w:asciiTheme="majorHAnsi" w:hAnsiTheme="majorHAnsi" w:cs="Arial"/>
        </w:rPr>
        <w:t>Police</w:t>
      </w:r>
      <w:proofErr w:type="spellEnd"/>
      <w:r w:rsidRPr="00E04325">
        <w:rPr>
          <w:rFonts w:asciiTheme="majorHAnsi" w:hAnsiTheme="majorHAnsi" w:cs="Arial"/>
        </w:rPr>
        <w:t xml:space="preserve">, 1 S.C.R. 66 (2003) mediante la cual si bien se reconoció el historial laboral como información personal, también se señaló que la sección 3 (j) de la Ley de Privacidad establece que es posible acceder a esa “información sobre individuos </w:t>
      </w:r>
      <w:r w:rsidRPr="00E04325">
        <w:rPr>
          <w:rFonts w:asciiTheme="majorHAnsi" w:hAnsiTheme="majorHAnsi" w:cs="Arial"/>
          <w:b/>
        </w:rPr>
        <w:t xml:space="preserve">que son o haya sido oficiales o empleados de una institución gubernamental”. </w:t>
      </w:r>
    </w:p>
  </w:footnote>
  <w:footnote w:id="13">
    <w:p w14:paraId="5776CEB7" w14:textId="77777777" w:rsidR="002F0087" w:rsidRPr="00E04325" w:rsidRDefault="002F0087" w:rsidP="00E013B9">
      <w:pPr>
        <w:pStyle w:val="Textonotapie"/>
        <w:jc w:val="both"/>
        <w:rPr>
          <w:rFonts w:asciiTheme="majorHAnsi" w:hAnsiTheme="majorHAnsi" w:cs="Arial"/>
        </w:rPr>
      </w:pPr>
      <w:r w:rsidRPr="00E04325">
        <w:rPr>
          <w:rStyle w:val="Refdenotaalpie"/>
          <w:rFonts w:asciiTheme="majorHAnsi" w:hAnsiTheme="majorHAnsi" w:cs="Arial"/>
        </w:rPr>
        <w:footnoteRef/>
      </w:r>
      <w:r w:rsidRPr="00E04325">
        <w:rPr>
          <w:rFonts w:asciiTheme="majorHAnsi" w:hAnsiTheme="majorHAnsi" w:cs="Arial"/>
        </w:rPr>
        <w:t xml:space="preserve"> SAGÜÉS, Néstor Pedro. </w:t>
      </w:r>
      <w:r w:rsidRPr="00E04325">
        <w:rPr>
          <w:rFonts w:asciiTheme="majorHAnsi" w:hAnsiTheme="majorHAnsi" w:cs="Arial"/>
          <w:i/>
        </w:rPr>
        <w:t>La interpretación judicial de la Constitución. De la Constitución nacional a la Constitución convencionalizada.</w:t>
      </w:r>
      <w:r w:rsidRPr="00E04325">
        <w:rPr>
          <w:rFonts w:asciiTheme="majorHAnsi" w:hAnsiTheme="majorHAnsi" w:cs="Arial"/>
        </w:rPr>
        <w:t xml:space="preserve"> México, </w:t>
      </w:r>
      <w:proofErr w:type="spellStart"/>
      <w:r w:rsidRPr="00E04325">
        <w:rPr>
          <w:rFonts w:asciiTheme="majorHAnsi" w:hAnsiTheme="majorHAnsi" w:cs="Arial"/>
        </w:rPr>
        <w:t>Coed</w:t>
      </w:r>
      <w:proofErr w:type="spellEnd"/>
      <w:r w:rsidRPr="00E04325">
        <w:rPr>
          <w:rFonts w:asciiTheme="majorHAnsi" w:hAnsiTheme="majorHAnsi" w:cs="Arial"/>
        </w:rPr>
        <w:t>. Porrúa e Instituto Mexicano de Derecho Procesal Constitucional. 2013. Págs. 263 y 264.</w:t>
      </w:r>
    </w:p>
  </w:footnote>
  <w:footnote w:id="14">
    <w:p w14:paraId="03E5368C" w14:textId="77777777" w:rsidR="002F0087" w:rsidRPr="00E04325" w:rsidRDefault="002F0087" w:rsidP="00E013B9">
      <w:pPr>
        <w:pStyle w:val="Textonotapie"/>
        <w:jc w:val="both"/>
        <w:rPr>
          <w:rFonts w:asciiTheme="majorHAnsi" w:hAnsiTheme="majorHAnsi" w:cs="Arial"/>
        </w:rPr>
      </w:pPr>
      <w:r w:rsidRPr="00E04325">
        <w:rPr>
          <w:rStyle w:val="Refdenotaalpie"/>
          <w:rFonts w:asciiTheme="majorHAnsi" w:hAnsiTheme="majorHAnsi" w:cs="Arial"/>
        </w:rPr>
        <w:footnoteRef/>
      </w:r>
      <w:r w:rsidRPr="00E04325">
        <w:rPr>
          <w:rFonts w:asciiTheme="majorHAnsi" w:hAnsiTheme="majorHAnsi" w:cs="Arial"/>
        </w:rPr>
        <w:t xml:space="preserve"> La versión en español de la resolución se obtiene de ALÁEZ CORRAL, Benito y ÁLVAREZ </w:t>
      </w:r>
      <w:proofErr w:type="spellStart"/>
      <w:r w:rsidRPr="00E04325">
        <w:rPr>
          <w:rFonts w:asciiTheme="majorHAnsi" w:hAnsiTheme="majorHAnsi" w:cs="Arial"/>
        </w:rPr>
        <w:t>ÁLVAREZ</w:t>
      </w:r>
      <w:proofErr w:type="spellEnd"/>
      <w:r w:rsidRPr="00E04325">
        <w:rPr>
          <w:rFonts w:asciiTheme="majorHAnsi" w:hAnsiTheme="majorHAnsi" w:cs="Arial"/>
        </w:rPr>
        <w:t xml:space="preserve">, Leonardo. </w:t>
      </w:r>
      <w:r w:rsidRPr="00E04325">
        <w:rPr>
          <w:rFonts w:asciiTheme="majorHAnsi" w:hAnsiTheme="majorHAnsi" w:cs="Arial"/>
          <w:i/>
        </w:rPr>
        <w:t>Las decisiones básicas del Tribunal Constitucional Federal Alemán en las encrucijadas del cambio de milenio</w:t>
      </w:r>
      <w:r w:rsidRPr="00E04325">
        <w:rPr>
          <w:rFonts w:asciiTheme="majorHAnsi" w:hAnsiTheme="majorHAnsi" w:cs="Arial"/>
        </w:rPr>
        <w:t xml:space="preserve">. Madrid. </w:t>
      </w:r>
      <w:proofErr w:type="spellStart"/>
      <w:r w:rsidRPr="00E04325">
        <w:rPr>
          <w:rFonts w:asciiTheme="majorHAnsi" w:hAnsiTheme="majorHAnsi" w:cs="Arial"/>
        </w:rPr>
        <w:t>Coed</w:t>
      </w:r>
      <w:proofErr w:type="spellEnd"/>
      <w:r w:rsidRPr="00E04325">
        <w:rPr>
          <w:rFonts w:asciiTheme="majorHAnsi" w:hAnsiTheme="majorHAnsi" w:cs="Arial"/>
        </w:rPr>
        <w:t>. Centro de Estudios Políticos y Constitucionales y Boletín Oficial Español. 2008. Págs. 179 y 180.</w:t>
      </w:r>
    </w:p>
  </w:footnote>
  <w:footnote w:id="15">
    <w:p w14:paraId="0B6A5A33" w14:textId="77777777" w:rsidR="002F0087" w:rsidRPr="00E04325" w:rsidRDefault="002F0087" w:rsidP="00E013B9">
      <w:pPr>
        <w:pStyle w:val="Textonotapie"/>
        <w:jc w:val="both"/>
        <w:rPr>
          <w:rFonts w:asciiTheme="majorHAnsi" w:hAnsiTheme="majorHAnsi" w:cs="Arial"/>
        </w:rPr>
      </w:pPr>
      <w:r w:rsidRPr="00E04325">
        <w:rPr>
          <w:rStyle w:val="Refdenotaalpie"/>
          <w:rFonts w:asciiTheme="majorHAnsi" w:hAnsiTheme="majorHAnsi" w:cs="Arial"/>
        </w:rPr>
        <w:footnoteRef/>
      </w:r>
      <w:r w:rsidRPr="00E04325">
        <w:rPr>
          <w:rFonts w:asciiTheme="majorHAnsi" w:hAnsiTheme="majorHAnsi" w:cs="Arial"/>
        </w:rPr>
        <w:t xml:space="preserve"> La versión en español de la sentencia puede consultarse en SARMIENTO, Daniel et al. </w:t>
      </w:r>
      <w:r w:rsidRPr="00E04325">
        <w:rPr>
          <w:rFonts w:asciiTheme="majorHAnsi" w:hAnsiTheme="majorHAnsi" w:cs="Arial"/>
          <w:i/>
        </w:rPr>
        <w:t>Las sentencias básicas del Tribunal Europeo de Derechos Humanos. Estudio y Jurisprudencia</w:t>
      </w:r>
      <w:r w:rsidRPr="00E04325">
        <w:rPr>
          <w:rFonts w:asciiTheme="majorHAnsi" w:hAnsiTheme="majorHAnsi" w:cs="Arial"/>
        </w:rPr>
        <w:t xml:space="preserve">. Navarra. </w:t>
      </w:r>
      <w:proofErr w:type="spellStart"/>
      <w:r w:rsidRPr="00E04325">
        <w:rPr>
          <w:rFonts w:asciiTheme="majorHAnsi" w:hAnsiTheme="majorHAnsi" w:cs="Arial"/>
        </w:rPr>
        <w:t>Coed</w:t>
      </w:r>
      <w:proofErr w:type="spellEnd"/>
      <w:r w:rsidRPr="00E04325">
        <w:rPr>
          <w:rFonts w:asciiTheme="majorHAnsi" w:hAnsiTheme="majorHAnsi" w:cs="Arial"/>
        </w:rPr>
        <w:t xml:space="preserve">. Thomson y </w:t>
      </w:r>
      <w:proofErr w:type="spellStart"/>
      <w:r w:rsidRPr="00E04325">
        <w:rPr>
          <w:rFonts w:asciiTheme="majorHAnsi" w:hAnsiTheme="majorHAnsi" w:cs="Arial"/>
        </w:rPr>
        <w:t>Civitas</w:t>
      </w:r>
      <w:proofErr w:type="spellEnd"/>
      <w:r w:rsidRPr="00E04325">
        <w:rPr>
          <w:rFonts w:asciiTheme="majorHAnsi" w:hAnsiTheme="majorHAnsi"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F0087" w:rsidRDefault="002F0087" w:rsidP="001C6012">
    <w:pPr>
      <w:pStyle w:val="Encabezado"/>
      <w:tabs>
        <w:tab w:val="clear" w:pos="4252"/>
        <w:tab w:val="clear" w:pos="8504"/>
        <w:tab w:val="left" w:pos="8460"/>
      </w:tabs>
    </w:pPr>
    <w:r>
      <w:tab/>
    </w:r>
  </w:p>
  <w:p w14:paraId="64F5F23E" w14:textId="390690E5" w:rsidR="002F0087" w:rsidRDefault="002F008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F0087" w:rsidRPr="00674A46" w14:paraId="07F2896E" w14:textId="77777777" w:rsidTr="00F3586F">
      <w:trPr>
        <w:trHeight w:val="138"/>
      </w:trPr>
      <w:tc>
        <w:tcPr>
          <w:tcW w:w="3544" w:type="dxa"/>
          <w:vAlign w:val="center"/>
        </w:tcPr>
        <w:p w14:paraId="4A5B1974" w14:textId="3B2AB4E0" w:rsidR="002F0087" w:rsidRPr="00674A46" w:rsidRDefault="002F008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8719B39" w:rsidR="002F0087" w:rsidRPr="0017265D" w:rsidRDefault="002F0087" w:rsidP="00E44F3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0583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F0087" w:rsidRPr="00674A46" w14:paraId="1B5D8690" w14:textId="77777777" w:rsidTr="00F3586F">
      <w:trPr>
        <w:trHeight w:val="233"/>
      </w:trPr>
      <w:tc>
        <w:tcPr>
          <w:tcW w:w="3544" w:type="dxa"/>
          <w:vAlign w:val="center"/>
        </w:tcPr>
        <w:p w14:paraId="3903F2C6" w14:textId="35D57A2C" w:rsidR="002F0087" w:rsidRPr="00674A46" w:rsidRDefault="002F008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2BF3E8D" w:rsidR="002F0087" w:rsidRPr="00B75F20" w:rsidRDefault="002F0087" w:rsidP="00877086">
          <w:pPr>
            <w:pStyle w:val="Encabezado"/>
            <w:jc w:val="both"/>
            <w:rPr>
              <w:rFonts w:ascii="Palatino Linotype" w:hAnsi="Palatino Linotype"/>
              <w:b/>
              <w:sz w:val="22"/>
              <w:szCs w:val="22"/>
            </w:rPr>
          </w:pPr>
          <w:r>
            <w:rPr>
              <w:rFonts w:ascii="Palatino Linotype" w:hAnsi="Palatino Linotype"/>
              <w:b/>
              <w:sz w:val="22"/>
              <w:szCs w:val="22"/>
            </w:rPr>
            <w:t>Sistema Municipal para el Desarrollo Integral de la Familia de Tecámac</w:t>
          </w:r>
        </w:p>
      </w:tc>
    </w:tr>
    <w:tr w:rsidR="002F0087" w:rsidRPr="00674A46" w14:paraId="095EB01B" w14:textId="77777777" w:rsidTr="00F3586F">
      <w:trPr>
        <w:trHeight w:val="321"/>
      </w:trPr>
      <w:tc>
        <w:tcPr>
          <w:tcW w:w="3544" w:type="dxa"/>
          <w:vAlign w:val="center"/>
        </w:tcPr>
        <w:p w14:paraId="6E000A51" w14:textId="25DCC1C7" w:rsidR="002F0087" w:rsidRPr="00674A46" w:rsidRDefault="002F008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F0087" w:rsidRPr="00674A46" w:rsidRDefault="002F008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F0087" w:rsidRDefault="002F008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F0087" w:rsidRDefault="002F008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F0087" w:rsidRPr="00674A46" w14:paraId="0A3256F2" w14:textId="77777777" w:rsidTr="00F3586F">
      <w:trPr>
        <w:trHeight w:val="138"/>
      </w:trPr>
      <w:tc>
        <w:tcPr>
          <w:tcW w:w="3261" w:type="dxa"/>
          <w:vAlign w:val="center"/>
        </w:tcPr>
        <w:p w14:paraId="3D80769D" w14:textId="316F11F8" w:rsidR="002F0087" w:rsidRPr="00674A46" w:rsidRDefault="002F008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350A104" w:rsidR="002F0087" w:rsidRPr="00674A46" w:rsidRDefault="002F0087" w:rsidP="00E44F3A">
          <w:pPr>
            <w:pStyle w:val="Encabezado"/>
            <w:rPr>
              <w:rFonts w:ascii="Palatino Linotype" w:hAnsi="Palatino Linotype"/>
              <w:b/>
              <w:sz w:val="22"/>
              <w:szCs w:val="22"/>
            </w:rPr>
          </w:pPr>
          <w:r>
            <w:rPr>
              <w:rFonts w:ascii="Palatino Linotype" w:hAnsi="Palatino Linotype" w:cs="Arial"/>
              <w:b/>
              <w:bCs/>
              <w:sz w:val="22"/>
              <w:szCs w:val="22"/>
              <w:lang w:eastAsia="es-MX"/>
            </w:rPr>
            <w:t>00583/INFOEM/IP/RR/2019</w:t>
          </w:r>
        </w:p>
      </w:tc>
    </w:tr>
    <w:tr w:rsidR="002F0087" w:rsidRPr="00B75F20" w14:paraId="128C8B3C" w14:textId="77777777" w:rsidTr="00F3586F">
      <w:trPr>
        <w:trHeight w:val="233"/>
      </w:trPr>
      <w:tc>
        <w:tcPr>
          <w:tcW w:w="3261" w:type="dxa"/>
          <w:vAlign w:val="center"/>
        </w:tcPr>
        <w:p w14:paraId="483E3371" w14:textId="66B1BC74" w:rsidR="002F0087" w:rsidRPr="00674A46" w:rsidRDefault="002F008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88AF9D2" w:rsidR="002F0087" w:rsidRPr="00B75F20" w:rsidRDefault="00322482" w:rsidP="00F0190C">
          <w:pPr>
            <w:pStyle w:val="Encabezado"/>
            <w:ind w:right="234"/>
            <w:rPr>
              <w:rFonts w:ascii="Palatino Linotype" w:hAnsi="Palatino Linotype"/>
              <w:b/>
              <w:sz w:val="22"/>
              <w:szCs w:val="22"/>
            </w:rPr>
          </w:pPr>
          <w:r w:rsidRPr="00322482">
            <w:rPr>
              <w:rFonts w:ascii="Palatino Linotype" w:hAnsi="Palatino Linotype"/>
              <w:b/>
              <w:sz w:val="22"/>
              <w:szCs w:val="22"/>
              <w:highlight w:val="black"/>
            </w:rPr>
            <w:t>--------------------------</w:t>
          </w:r>
        </w:p>
      </w:tc>
    </w:tr>
    <w:tr w:rsidR="002F0087" w:rsidRPr="00674A46" w14:paraId="41BE0704" w14:textId="77777777" w:rsidTr="00F3586F">
      <w:trPr>
        <w:trHeight w:val="321"/>
      </w:trPr>
      <w:tc>
        <w:tcPr>
          <w:tcW w:w="3261" w:type="dxa"/>
          <w:vAlign w:val="center"/>
        </w:tcPr>
        <w:p w14:paraId="34C64148" w14:textId="10C6C8A9" w:rsidR="002F0087" w:rsidRPr="00674A46" w:rsidRDefault="002F008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897DE14" w:rsidR="002F0087" w:rsidRPr="00674A46" w:rsidRDefault="002F0087" w:rsidP="00877086">
          <w:pPr>
            <w:pStyle w:val="Encabezado"/>
            <w:jc w:val="both"/>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Tecámac</w:t>
          </w:r>
        </w:p>
      </w:tc>
    </w:tr>
    <w:tr w:rsidR="002F0087" w:rsidRPr="00674A46" w14:paraId="0C8B6193" w14:textId="77777777" w:rsidTr="00F3586F">
      <w:trPr>
        <w:trHeight w:val="321"/>
      </w:trPr>
      <w:tc>
        <w:tcPr>
          <w:tcW w:w="3261" w:type="dxa"/>
          <w:vAlign w:val="center"/>
        </w:tcPr>
        <w:p w14:paraId="321FFAFF" w14:textId="40E5A678" w:rsidR="002F0087" w:rsidRPr="00674A46" w:rsidRDefault="002F008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F0087" w:rsidRPr="00674A46" w:rsidRDefault="002F008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F0087" w:rsidRDefault="002F008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D0A3C7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3D62BF"/>
    <w:multiLevelType w:val="hybridMultilevel"/>
    <w:tmpl w:val="52027370"/>
    <w:lvl w:ilvl="0" w:tplc="77A2FED2">
      <w:start w:val="2"/>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C41B46"/>
    <w:multiLevelType w:val="hybridMultilevel"/>
    <w:tmpl w:val="E0D6EB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07A1023"/>
    <w:multiLevelType w:val="hybridMultilevel"/>
    <w:tmpl w:val="AB64B8C4"/>
    <w:lvl w:ilvl="0" w:tplc="589260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F05E0"/>
    <w:multiLevelType w:val="hybridMultilevel"/>
    <w:tmpl w:val="F04E7BEE"/>
    <w:lvl w:ilvl="0" w:tplc="5AF4CA10">
      <w:start w:val="18"/>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12342A"/>
    <w:multiLevelType w:val="hybridMultilevel"/>
    <w:tmpl w:val="F7CCFF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F83245"/>
    <w:multiLevelType w:val="hybridMultilevel"/>
    <w:tmpl w:val="04E4EEA4"/>
    <w:lvl w:ilvl="0" w:tplc="DE54DDC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6196B7C"/>
    <w:multiLevelType w:val="hybridMultilevel"/>
    <w:tmpl w:val="9CFC1A7A"/>
    <w:lvl w:ilvl="0" w:tplc="AA4EEE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2A56F8"/>
    <w:multiLevelType w:val="hybridMultilevel"/>
    <w:tmpl w:val="740EDA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51B148E0"/>
    <w:multiLevelType w:val="hybridMultilevel"/>
    <w:tmpl w:val="2EFE46D0"/>
    <w:lvl w:ilvl="0" w:tplc="724C5C0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BC2840"/>
    <w:multiLevelType w:val="hybridMultilevel"/>
    <w:tmpl w:val="29E48E88"/>
    <w:lvl w:ilvl="0" w:tplc="C55009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6EA37B1"/>
    <w:multiLevelType w:val="hybridMultilevel"/>
    <w:tmpl w:val="699E74A2"/>
    <w:lvl w:ilvl="0" w:tplc="4B1E199A">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770136A0"/>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8D017D9"/>
    <w:multiLevelType w:val="hybridMultilevel"/>
    <w:tmpl w:val="BD7602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5F1AEA"/>
    <w:multiLevelType w:val="hybridMultilevel"/>
    <w:tmpl w:val="99561CA6"/>
    <w:lvl w:ilvl="0" w:tplc="99282CA8">
      <w:start w:val="1"/>
      <w:numFmt w:val="lowerLetter"/>
      <w:lvlText w:val="%1)"/>
      <w:lvlJc w:val="left"/>
      <w:pPr>
        <w:ind w:left="720" w:hanging="36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9"/>
  </w:num>
  <w:num w:numId="5">
    <w:abstractNumId w:val="3"/>
  </w:num>
  <w:num w:numId="6">
    <w:abstractNumId w:val="10"/>
  </w:num>
  <w:num w:numId="7">
    <w:abstractNumId w:val="7"/>
  </w:num>
  <w:num w:numId="8">
    <w:abstractNumId w:val="8"/>
  </w:num>
  <w:num w:numId="9">
    <w:abstractNumId w:val="5"/>
  </w:num>
  <w:num w:numId="10">
    <w:abstractNumId w:val="17"/>
  </w:num>
  <w:num w:numId="11">
    <w:abstractNumId w:val="4"/>
  </w:num>
  <w:num w:numId="12">
    <w:abstractNumId w:val="15"/>
  </w:num>
  <w:num w:numId="13">
    <w:abstractNumId w:val="16"/>
  </w:num>
  <w:num w:numId="14">
    <w:abstractNumId w:val="22"/>
  </w:num>
  <w:num w:numId="15">
    <w:abstractNumId w:val="6"/>
  </w:num>
  <w:num w:numId="16">
    <w:abstractNumId w:val="14"/>
  </w:num>
  <w:num w:numId="17">
    <w:abstractNumId w:val="20"/>
  </w:num>
  <w:num w:numId="18">
    <w:abstractNumId w:val="0"/>
  </w:num>
  <w:num w:numId="19">
    <w:abstractNumId w:val="13"/>
  </w:num>
  <w:num w:numId="20">
    <w:abstractNumId w:val="19"/>
  </w:num>
  <w:num w:numId="21">
    <w:abstractNumId w:val="21"/>
  </w:num>
  <w:num w:numId="22">
    <w:abstractNumId w:val="2"/>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1B4D"/>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274"/>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A87"/>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4642"/>
    <w:rsid w:val="001069CE"/>
    <w:rsid w:val="00107499"/>
    <w:rsid w:val="0010754C"/>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0B5E"/>
    <w:rsid w:val="001318D2"/>
    <w:rsid w:val="00132593"/>
    <w:rsid w:val="00132C06"/>
    <w:rsid w:val="001339E6"/>
    <w:rsid w:val="00133B79"/>
    <w:rsid w:val="00133CE5"/>
    <w:rsid w:val="00133FAA"/>
    <w:rsid w:val="00134BD1"/>
    <w:rsid w:val="001352E5"/>
    <w:rsid w:val="0013673A"/>
    <w:rsid w:val="00137045"/>
    <w:rsid w:val="00140D44"/>
    <w:rsid w:val="001436BB"/>
    <w:rsid w:val="0014400B"/>
    <w:rsid w:val="0014481A"/>
    <w:rsid w:val="001459C8"/>
    <w:rsid w:val="001462DE"/>
    <w:rsid w:val="00146629"/>
    <w:rsid w:val="001467B7"/>
    <w:rsid w:val="00147864"/>
    <w:rsid w:val="0015207E"/>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AF9"/>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032"/>
    <w:rsid w:val="001D393C"/>
    <w:rsid w:val="001D39FC"/>
    <w:rsid w:val="001D3AB5"/>
    <w:rsid w:val="001D47E9"/>
    <w:rsid w:val="001D4FFC"/>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578"/>
    <w:rsid w:val="00210939"/>
    <w:rsid w:val="002111FF"/>
    <w:rsid w:val="00211229"/>
    <w:rsid w:val="00212C9C"/>
    <w:rsid w:val="00213108"/>
    <w:rsid w:val="00213A8F"/>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1E5"/>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96883"/>
    <w:rsid w:val="002A07F4"/>
    <w:rsid w:val="002A229B"/>
    <w:rsid w:val="002A2974"/>
    <w:rsid w:val="002A2F91"/>
    <w:rsid w:val="002A35B6"/>
    <w:rsid w:val="002A4D73"/>
    <w:rsid w:val="002A61A7"/>
    <w:rsid w:val="002A6BF9"/>
    <w:rsid w:val="002A7537"/>
    <w:rsid w:val="002A7D3B"/>
    <w:rsid w:val="002B085C"/>
    <w:rsid w:val="002B1577"/>
    <w:rsid w:val="002B284F"/>
    <w:rsid w:val="002B2A2E"/>
    <w:rsid w:val="002B2F59"/>
    <w:rsid w:val="002B32AD"/>
    <w:rsid w:val="002B3688"/>
    <w:rsid w:val="002B4061"/>
    <w:rsid w:val="002B4B4F"/>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A36"/>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87"/>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482"/>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5EB"/>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03B"/>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4FF1"/>
    <w:rsid w:val="003A514F"/>
    <w:rsid w:val="003A6359"/>
    <w:rsid w:val="003A6417"/>
    <w:rsid w:val="003A6551"/>
    <w:rsid w:val="003A65FE"/>
    <w:rsid w:val="003A6A5A"/>
    <w:rsid w:val="003A7221"/>
    <w:rsid w:val="003A730E"/>
    <w:rsid w:val="003B2420"/>
    <w:rsid w:val="003B2856"/>
    <w:rsid w:val="003B2A0D"/>
    <w:rsid w:val="003B3755"/>
    <w:rsid w:val="003B45B6"/>
    <w:rsid w:val="003B46AB"/>
    <w:rsid w:val="003B50CD"/>
    <w:rsid w:val="003B5187"/>
    <w:rsid w:val="003B544F"/>
    <w:rsid w:val="003B55AD"/>
    <w:rsid w:val="003B565C"/>
    <w:rsid w:val="003B5D48"/>
    <w:rsid w:val="003B6963"/>
    <w:rsid w:val="003B7421"/>
    <w:rsid w:val="003B7EC4"/>
    <w:rsid w:val="003C0D68"/>
    <w:rsid w:val="003C17CB"/>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48A"/>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A66"/>
    <w:rsid w:val="00447F0D"/>
    <w:rsid w:val="00450A5F"/>
    <w:rsid w:val="00450F7D"/>
    <w:rsid w:val="00451514"/>
    <w:rsid w:val="0045209F"/>
    <w:rsid w:val="004532C9"/>
    <w:rsid w:val="004537BB"/>
    <w:rsid w:val="00453BB4"/>
    <w:rsid w:val="00453E1C"/>
    <w:rsid w:val="00454E3E"/>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4B4C"/>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5A2A"/>
    <w:rsid w:val="004D657E"/>
    <w:rsid w:val="004D68F8"/>
    <w:rsid w:val="004D6D19"/>
    <w:rsid w:val="004D7F8E"/>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0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3BE7"/>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699F"/>
    <w:rsid w:val="005A76FE"/>
    <w:rsid w:val="005A786F"/>
    <w:rsid w:val="005A7F01"/>
    <w:rsid w:val="005B169C"/>
    <w:rsid w:val="005B1B39"/>
    <w:rsid w:val="005B1FAC"/>
    <w:rsid w:val="005B2DD1"/>
    <w:rsid w:val="005B31C8"/>
    <w:rsid w:val="005B3A49"/>
    <w:rsid w:val="005B4816"/>
    <w:rsid w:val="005B5C9F"/>
    <w:rsid w:val="005B5DDB"/>
    <w:rsid w:val="005B6802"/>
    <w:rsid w:val="005B6ADF"/>
    <w:rsid w:val="005B773D"/>
    <w:rsid w:val="005B7C5D"/>
    <w:rsid w:val="005C1282"/>
    <w:rsid w:val="005C1A74"/>
    <w:rsid w:val="005C2DA5"/>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4FE2"/>
    <w:rsid w:val="005D622E"/>
    <w:rsid w:val="005D6B00"/>
    <w:rsid w:val="005E11D5"/>
    <w:rsid w:val="005E1572"/>
    <w:rsid w:val="005E2296"/>
    <w:rsid w:val="005E22BC"/>
    <w:rsid w:val="005E34D4"/>
    <w:rsid w:val="005E3AE2"/>
    <w:rsid w:val="005E3FDE"/>
    <w:rsid w:val="005E4F9D"/>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2D5D"/>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1EA"/>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1D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1E19"/>
    <w:rsid w:val="00702887"/>
    <w:rsid w:val="0070499C"/>
    <w:rsid w:val="007049C8"/>
    <w:rsid w:val="007050B1"/>
    <w:rsid w:val="00707096"/>
    <w:rsid w:val="007116E3"/>
    <w:rsid w:val="007136BC"/>
    <w:rsid w:val="00714576"/>
    <w:rsid w:val="00714FBC"/>
    <w:rsid w:val="00715A04"/>
    <w:rsid w:val="00721335"/>
    <w:rsid w:val="00721924"/>
    <w:rsid w:val="00721F55"/>
    <w:rsid w:val="00721F66"/>
    <w:rsid w:val="007221AE"/>
    <w:rsid w:val="00722B93"/>
    <w:rsid w:val="007234C4"/>
    <w:rsid w:val="00725BBD"/>
    <w:rsid w:val="00725BF5"/>
    <w:rsid w:val="0072771F"/>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5B3"/>
    <w:rsid w:val="00765D96"/>
    <w:rsid w:val="0076630F"/>
    <w:rsid w:val="007665D7"/>
    <w:rsid w:val="007674F3"/>
    <w:rsid w:val="00767CD2"/>
    <w:rsid w:val="00770859"/>
    <w:rsid w:val="007721A1"/>
    <w:rsid w:val="00773038"/>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8AA"/>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1E59"/>
    <w:rsid w:val="007F217B"/>
    <w:rsid w:val="007F2D71"/>
    <w:rsid w:val="007F3522"/>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6F62"/>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3C11"/>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17F"/>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7086"/>
    <w:rsid w:val="00877E0E"/>
    <w:rsid w:val="008805A2"/>
    <w:rsid w:val="008811AA"/>
    <w:rsid w:val="00881572"/>
    <w:rsid w:val="00882510"/>
    <w:rsid w:val="00882AB3"/>
    <w:rsid w:val="00882FEA"/>
    <w:rsid w:val="00883450"/>
    <w:rsid w:val="0088398C"/>
    <w:rsid w:val="00884719"/>
    <w:rsid w:val="00884DD8"/>
    <w:rsid w:val="00885C6E"/>
    <w:rsid w:val="0089031E"/>
    <w:rsid w:val="0089067B"/>
    <w:rsid w:val="00891381"/>
    <w:rsid w:val="0089412A"/>
    <w:rsid w:val="00894B33"/>
    <w:rsid w:val="00896532"/>
    <w:rsid w:val="00896AD4"/>
    <w:rsid w:val="008974A5"/>
    <w:rsid w:val="008976B9"/>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D79B0"/>
    <w:rsid w:val="008E0674"/>
    <w:rsid w:val="008E11CC"/>
    <w:rsid w:val="008E1B8F"/>
    <w:rsid w:val="008E414C"/>
    <w:rsid w:val="008E5D47"/>
    <w:rsid w:val="008E625D"/>
    <w:rsid w:val="008E6676"/>
    <w:rsid w:val="008F12E6"/>
    <w:rsid w:val="008F154D"/>
    <w:rsid w:val="008F1558"/>
    <w:rsid w:val="008F273D"/>
    <w:rsid w:val="008F2C19"/>
    <w:rsid w:val="008F2FC4"/>
    <w:rsid w:val="008F3AFB"/>
    <w:rsid w:val="008F3F91"/>
    <w:rsid w:val="008F5927"/>
    <w:rsid w:val="008F73E9"/>
    <w:rsid w:val="008F7E83"/>
    <w:rsid w:val="009001DD"/>
    <w:rsid w:val="0090174A"/>
    <w:rsid w:val="009018D6"/>
    <w:rsid w:val="00901E1C"/>
    <w:rsid w:val="00903054"/>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17BF9"/>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1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15B"/>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7593B"/>
    <w:rsid w:val="00980FE9"/>
    <w:rsid w:val="00982DBD"/>
    <w:rsid w:val="009830D3"/>
    <w:rsid w:val="00983B8F"/>
    <w:rsid w:val="00984347"/>
    <w:rsid w:val="009846B5"/>
    <w:rsid w:val="009849F0"/>
    <w:rsid w:val="009853C8"/>
    <w:rsid w:val="00985716"/>
    <w:rsid w:val="0098595E"/>
    <w:rsid w:val="00986073"/>
    <w:rsid w:val="00986726"/>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D7F9C"/>
    <w:rsid w:val="009E0583"/>
    <w:rsid w:val="009E0AB4"/>
    <w:rsid w:val="009E1FA4"/>
    <w:rsid w:val="009E21FE"/>
    <w:rsid w:val="009E23A1"/>
    <w:rsid w:val="009E2906"/>
    <w:rsid w:val="009E4814"/>
    <w:rsid w:val="009E4905"/>
    <w:rsid w:val="009E4942"/>
    <w:rsid w:val="009E7975"/>
    <w:rsid w:val="009F090D"/>
    <w:rsid w:val="009F0B67"/>
    <w:rsid w:val="009F1758"/>
    <w:rsid w:val="009F1E4B"/>
    <w:rsid w:val="009F307E"/>
    <w:rsid w:val="009F50DE"/>
    <w:rsid w:val="009F54F9"/>
    <w:rsid w:val="009F6D34"/>
    <w:rsid w:val="009F7BB0"/>
    <w:rsid w:val="00A0010E"/>
    <w:rsid w:val="00A00D50"/>
    <w:rsid w:val="00A02B1E"/>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1DCD"/>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0D"/>
    <w:rsid w:val="00A64036"/>
    <w:rsid w:val="00A67428"/>
    <w:rsid w:val="00A67857"/>
    <w:rsid w:val="00A67CD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391"/>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D99"/>
    <w:rsid w:val="00AD6F04"/>
    <w:rsid w:val="00AE1ABE"/>
    <w:rsid w:val="00AE3B0B"/>
    <w:rsid w:val="00AE3FC3"/>
    <w:rsid w:val="00AE567C"/>
    <w:rsid w:val="00AE5853"/>
    <w:rsid w:val="00AE69CC"/>
    <w:rsid w:val="00AE7935"/>
    <w:rsid w:val="00AF149D"/>
    <w:rsid w:val="00AF1F04"/>
    <w:rsid w:val="00AF3D59"/>
    <w:rsid w:val="00AF47BE"/>
    <w:rsid w:val="00AF623F"/>
    <w:rsid w:val="00AF6794"/>
    <w:rsid w:val="00AF7E3F"/>
    <w:rsid w:val="00B016F7"/>
    <w:rsid w:val="00B01824"/>
    <w:rsid w:val="00B02BDD"/>
    <w:rsid w:val="00B055B9"/>
    <w:rsid w:val="00B059CC"/>
    <w:rsid w:val="00B10171"/>
    <w:rsid w:val="00B119BA"/>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6D67"/>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592"/>
    <w:rsid w:val="00B75267"/>
    <w:rsid w:val="00B75473"/>
    <w:rsid w:val="00B75BBD"/>
    <w:rsid w:val="00B75F20"/>
    <w:rsid w:val="00B762FD"/>
    <w:rsid w:val="00B77139"/>
    <w:rsid w:val="00B773FE"/>
    <w:rsid w:val="00B800CC"/>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2E2F"/>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5F08"/>
    <w:rsid w:val="00BA71D7"/>
    <w:rsid w:val="00BA7987"/>
    <w:rsid w:val="00BA7AAE"/>
    <w:rsid w:val="00BA7CFA"/>
    <w:rsid w:val="00BB04E3"/>
    <w:rsid w:val="00BB0919"/>
    <w:rsid w:val="00BB1309"/>
    <w:rsid w:val="00BB19C6"/>
    <w:rsid w:val="00BB2592"/>
    <w:rsid w:val="00BB3156"/>
    <w:rsid w:val="00BB3C9C"/>
    <w:rsid w:val="00BB3FE3"/>
    <w:rsid w:val="00BB5CA9"/>
    <w:rsid w:val="00BB6662"/>
    <w:rsid w:val="00BB7E7F"/>
    <w:rsid w:val="00BC0361"/>
    <w:rsid w:val="00BC0CE4"/>
    <w:rsid w:val="00BC2018"/>
    <w:rsid w:val="00BC260A"/>
    <w:rsid w:val="00BC2D03"/>
    <w:rsid w:val="00BC30BF"/>
    <w:rsid w:val="00BC3150"/>
    <w:rsid w:val="00BC4F95"/>
    <w:rsid w:val="00BC61B2"/>
    <w:rsid w:val="00BC6C2E"/>
    <w:rsid w:val="00BC7D6E"/>
    <w:rsid w:val="00BD010F"/>
    <w:rsid w:val="00BD02D5"/>
    <w:rsid w:val="00BD097C"/>
    <w:rsid w:val="00BD1092"/>
    <w:rsid w:val="00BD1B67"/>
    <w:rsid w:val="00BD2C6E"/>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639"/>
    <w:rsid w:val="00BF6747"/>
    <w:rsid w:val="00BF6B5B"/>
    <w:rsid w:val="00BF6D83"/>
    <w:rsid w:val="00BF704D"/>
    <w:rsid w:val="00BF7824"/>
    <w:rsid w:val="00C01037"/>
    <w:rsid w:val="00C0178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A19"/>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C99"/>
    <w:rsid w:val="00CD4D08"/>
    <w:rsid w:val="00CD4DB2"/>
    <w:rsid w:val="00CD5543"/>
    <w:rsid w:val="00CD5CAA"/>
    <w:rsid w:val="00CD6866"/>
    <w:rsid w:val="00CD76D4"/>
    <w:rsid w:val="00CD7893"/>
    <w:rsid w:val="00CE026F"/>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1A0"/>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4C5"/>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763"/>
    <w:rsid w:val="00DA0C4C"/>
    <w:rsid w:val="00DA0D61"/>
    <w:rsid w:val="00DA1BEE"/>
    <w:rsid w:val="00DA3A4F"/>
    <w:rsid w:val="00DA42C0"/>
    <w:rsid w:val="00DA52A2"/>
    <w:rsid w:val="00DA61FD"/>
    <w:rsid w:val="00DA6E45"/>
    <w:rsid w:val="00DA7AD9"/>
    <w:rsid w:val="00DA7B56"/>
    <w:rsid w:val="00DA7E2F"/>
    <w:rsid w:val="00DB0C0B"/>
    <w:rsid w:val="00DB0CCB"/>
    <w:rsid w:val="00DB2C12"/>
    <w:rsid w:val="00DB31E7"/>
    <w:rsid w:val="00DB3A66"/>
    <w:rsid w:val="00DB4240"/>
    <w:rsid w:val="00DB4BEF"/>
    <w:rsid w:val="00DB5DEE"/>
    <w:rsid w:val="00DB67EE"/>
    <w:rsid w:val="00DB6DD3"/>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3B9"/>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1F71"/>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4F3A"/>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C7DB1"/>
    <w:rsid w:val="00ED007B"/>
    <w:rsid w:val="00ED0D71"/>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E7C93"/>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5DF8"/>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0A84"/>
    <w:rsid w:val="00F5309E"/>
    <w:rsid w:val="00F53C70"/>
    <w:rsid w:val="00F5433C"/>
    <w:rsid w:val="00F55856"/>
    <w:rsid w:val="00F55D7B"/>
    <w:rsid w:val="00F5630D"/>
    <w:rsid w:val="00F60C62"/>
    <w:rsid w:val="00F62BD1"/>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6585"/>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55A4"/>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B74592"/>
    <w:pPr>
      <w:ind w:left="283" w:hanging="283"/>
      <w:contextualSpacing/>
    </w:pPr>
  </w:style>
  <w:style w:type="paragraph" w:styleId="Lista2">
    <w:name w:val="List 2"/>
    <w:basedOn w:val="Normal"/>
    <w:uiPriority w:val="99"/>
    <w:unhideWhenUsed/>
    <w:rsid w:val="00B74592"/>
    <w:pPr>
      <w:ind w:left="566" w:hanging="283"/>
      <w:contextualSpacing/>
    </w:pPr>
  </w:style>
  <w:style w:type="paragraph" w:styleId="Continuarlista">
    <w:name w:val="List Continue"/>
    <w:basedOn w:val="Normal"/>
    <w:uiPriority w:val="99"/>
    <w:unhideWhenUsed/>
    <w:rsid w:val="00B74592"/>
    <w:pPr>
      <w:spacing w:after="120"/>
      <w:ind w:left="283"/>
      <w:contextualSpacing/>
    </w:pPr>
  </w:style>
  <w:style w:type="paragraph" w:styleId="Sangradetextonormal">
    <w:name w:val="Body Text Indent"/>
    <w:basedOn w:val="Normal"/>
    <w:link w:val="SangradetextonormalCar"/>
    <w:uiPriority w:val="99"/>
    <w:semiHidden/>
    <w:unhideWhenUsed/>
    <w:rsid w:val="00B74592"/>
    <w:pPr>
      <w:spacing w:after="120"/>
      <w:ind w:left="283"/>
    </w:pPr>
  </w:style>
  <w:style w:type="character" w:customStyle="1" w:styleId="SangradetextonormalCar">
    <w:name w:val="Sangría de texto normal Car"/>
    <w:basedOn w:val="Fuentedeprrafopredeter"/>
    <w:link w:val="Sangradetextonormal"/>
    <w:uiPriority w:val="99"/>
    <w:semiHidden/>
    <w:rsid w:val="00B74592"/>
  </w:style>
  <w:style w:type="paragraph" w:styleId="Textoindependienteprimerasangra2">
    <w:name w:val="Body Text First Indent 2"/>
    <w:basedOn w:val="Sangradetextonormal"/>
    <w:link w:val="Textoindependienteprimerasangra2Car"/>
    <w:uiPriority w:val="99"/>
    <w:unhideWhenUsed/>
    <w:rsid w:val="00B7459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74592"/>
  </w:style>
  <w:style w:type="paragraph" w:styleId="Listaconvietas">
    <w:name w:val="List Bullet"/>
    <w:basedOn w:val="Normal"/>
    <w:uiPriority w:val="99"/>
    <w:unhideWhenUsed/>
    <w:rsid w:val="004D7F8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133650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FAFB8-5374-493D-9EF5-D9846F4D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56</Pages>
  <Words>10896</Words>
  <Characters>59933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2019-04-29T23:49:00Z</cp:lastPrinted>
  <dcterms:created xsi:type="dcterms:W3CDTF">2019-04-26T15:24:00Z</dcterms:created>
  <dcterms:modified xsi:type="dcterms:W3CDTF">2019-05-14T23:34:00Z</dcterms:modified>
</cp:coreProperties>
</file>