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516" w:rsidRDefault="00B53516" w:rsidP="0014447C">
      <w:pPr>
        <w:pStyle w:val="Sinespaciado"/>
        <w:spacing w:line="360" w:lineRule="auto"/>
        <w:jc w:val="both"/>
        <w:rPr>
          <w:rFonts w:ascii="Palatino Linotype" w:hAnsi="Palatino Linotype"/>
          <w:sz w:val="24"/>
          <w:szCs w:val="24"/>
          <w:lang w:eastAsia="es-MX"/>
        </w:rPr>
      </w:pPr>
    </w:p>
    <w:p w:rsidR="00B53516" w:rsidRDefault="00B53516"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065556">
        <w:rPr>
          <w:rFonts w:ascii="Palatino Linotype" w:hAnsi="Palatino Linotype"/>
          <w:sz w:val="24"/>
          <w:szCs w:val="24"/>
          <w:lang w:eastAsia="es-MX"/>
        </w:rPr>
        <w:t>a veintinueve de enero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863E19">
        <w:rPr>
          <w:rFonts w:ascii="Palatino Linotype" w:hAnsi="Palatino Linotype"/>
          <w:b/>
          <w:bCs/>
          <w:sz w:val="24"/>
          <w:szCs w:val="24"/>
          <w:lang w:eastAsia="es-MX"/>
        </w:rPr>
        <w:t>0838</w:t>
      </w:r>
      <w:r w:rsidR="00DE7461">
        <w:rPr>
          <w:rFonts w:ascii="Palatino Linotype" w:hAnsi="Palatino Linotype"/>
          <w:b/>
          <w:bCs/>
          <w:sz w:val="24"/>
          <w:szCs w:val="24"/>
          <w:lang w:eastAsia="es-MX"/>
        </w:rPr>
        <w:t>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 xml:space="preserve">o por </w:t>
      </w:r>
      <w:r w:rsidR="00863E19">
        <w:rPr>
          <w:rFonts w:ascii="Palatino Linotype" w:hAnsi="Palatino Linotype"/>
          <w:sz w:val="24"/>
          <w:szCs w:val="24"/>
        </w:rPr>
        <w:t>el</w:t>
      </w:r>
      <w:r w:rsidR="00DE7461">
        <w:rPr>
          <w:rFonts w:ascii="Palatino Linotype" w:hAnsi="Palatino Linotype"/>
          <w:sz w:val="24"/>
          <w:szCs w:val="24"/>
        </w:rPr>
        <w:t xml:space="preserve"> </w:t>
      </w:r>
      <w:r w:rsidR="0009543C">
        <w:rPr>
          <w:rFonts w:ascii="Palatino Linotype" w:hAnsi="Palatino Linotype"/>
          <w:b/>
          <w:sz w:val="24"/>
          <w:szCs w:val="24"/>
        </w:rPr>
        <w:t>C. Xxxxxxxxx Xxxxxxx</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863E19">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DE7461">
        <w:rPr>
          <w:rFonts w:ascii="Palatino Linotype" w:hAnsi="Palatino Linotype" w:cs="Arial"/>
          <w:b/>
          <w:sz w:val="24"/>
          <w:szCs w:val="24"/>
        </w:rPr>
        <w:t xml:space="preserve">Ayuntamiento de </w:t>
      </w:r>
      <w:r w:rsidR="00863E19">
        <w:rPr>
          <w:rFonts w:ascii="Palatino Linotype" w:hAnsi="Palatino Linotype" w:cs="Arial"/>
          <w:b/>
          <w:sz w:val="24"/>
          <w:szCs w:val="24"/>
        </w:rPr>
        <w:t>Valle de Bravo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63E19">
        <w:rPr>
          <w:rFonts w:ascii="Palatino Linotype" w:hAnsi="Palatino Linotype"/>
          <w:sz w:val="24"/>
          <w:szCs w:val="24"/>
        </w:rPr>
        <w:t>nueve</w:t>
      </w:r>
      <w:r w:rsidR="00C106DE">
        <w:rPr>
          <w:rFonts w:ascii="Palatino Linotype" w:hAnsi="Palatino Linotype"/>
          <w:sz w:val="24"/>
          <w:szCs w:val="24"/>
        </w:rPr>
        <w:t xml:space="preserve"> de septiembre</w:t>
      </w:r>
      <w:r w:rsidR="007E39F7">
        <w:rPr>
          <w:rFonts w:ascii="Palatino Linotype" w:hAnsi="Palatino Linotype"/>
          <w:sz w:val="24"/>
          <w:szCs w:val="24"/>
        </w:rPr>
        <w:t xml:space="preserve"> de dos mil diecinueve</w:t>
      </w:r>
      <w:r w:rsidR="00863E19">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863E19">
        <w:rPr>
          <w:rFonts w:ascii="Palatino Linotype" w:hAnsi="Palatino Linotype"/>
          <w:b/>
          <w:sz w:val="24"/>
          <w:szCs w:val="24"/>
        </w:rPr>
        <w:t xml:space="preserve"> 00160/VABRAVO</w:t>
      </w:r>
      <w:r w:rsidR="00C106DE">
        <w:rPr>
          <w:rFonts w:ascii="Palatino Linotype" w:hAnsi="Palatino Linotype"/>
          <w:b/>
          <w:sz w:val="24"/>
          <w:szCs w:val="24"/>
        </w:rPr>
        <w: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B53516" w:rsidRPr="00B53516">
        <w:rPr>
          <w:rFonts w:ascii="Palatino Linotype" w:eastAsia="Times New Roman" w:hAnsi="Palatino Linotype" w:cs="Times New Roman"/>
          <w:i/>
          <w:lang w:eastAsia="es-ES"/>
        </w:rPr>
        <w:t>Solicito las observaciones que se han realizado a los informes mensuales que el Tesorero remite a la Sindicatura durante el presente ejercicio fiscal, en términos del articulo 53 fracción XVI, de La Ley Orgánica Municipal del Estado de México.</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B53516"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B53516">
        <w:rPr>
          <w:rFonts w:ascii="Palatino Linotype" w:hAnsi="Palatino Linotype"/>
          <w:b/>
          <w:sz w:val="26"/>
          <w:szCs w:val="26"/>
        </w:rPr>
        <w:t>De la prórroga para emitir respuesta del Sujeto Obligado.</w:t>
      </w:r>
    </w:p>
    <w:p w:rsidR="00B53516" w:rsidRDefault="00B53516" w:rsidP="004737E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El día primero de octubre de dos mil diecinueve, el Sujeto Obligado informó al Recurrente que en la Décima Séptima Sesión Extraordinaria del Comité de Transparencia se autorizó la prórroga para la atención de su solicitud de información, sin que se acompañara </w:t>
      </w:r>
      <w:r w:rsidR="0093732E">
        <w:rPr>
          <w:rFonts w:ascii="Palatino Linotype" w:hAnsi="Palatino Linotype"/>
          <w:sz w:val="24"/>
          <w:szCs w:val="24"/>
        </w:rPr>
        <w:t>en el SAIMEX el acuerdo emitido por dicho Comité.</w:t>
      </w:r>
    </w:p>
    <w:p w:rsidR="00B53516" w:rsidRDefault="00B53516" w:rsidP="004737E6">
      <w:pPr>
        <w:pStyle w:val="Sinespaciado"/>
        <w:spacing w:line="360" w:lineRule="auto"/>
        <w:jc w:val="both"/>
        <w:rPr>
          <w:rFonts w:ascii="Palatino Linotype" w:hAnsi="Palatino Linotype"/>
          <w:sz w:val="24"/>
          <w:szCs w:val="24"/>
        </w:rPr>
      </w:pPr>
    </w:p>
    <w:p w:rsidR="004737E6" w:rsidRPr="00DD5971" w:rsidRDefault="00B53516" w:rsidP="004737E6">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TERCERO.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93732E">
        <w:rPr>
          <w:rFonts w:ascii="Palatino Linotype" w:hAnsi="Palatino Linotype"/>
          <w:sz w:val="24"/>
        </w:rPr>
        <w:t>diez</w:t>
      </w:r>
      <w:r w:rsidR="00074EEE">
        <w:rPr>
          <w:rFonts w:ascii="Palatino Linotype" w:hAnsi="Palatino Linotype"/>
          <w:sz w:val="24"/>
        </w:rPr>
        <w:t xml:space="preserve"> de octubre</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7C3284" w:rsidRDefault="008C0E72" w:rsidP="007C3284">
      <w:pPr>
        <w:pStyle w:val="Sinespaciado"/>
        <w:ind w:left="567" w:right="567"/>
        <w:jc w:val="both"/>
        <w:rPr>
          <w:rFonts w:ascii="Palatino Linotype" w:hAnsi="Palatino Linotype"/>
          <w:i/>
        </w:rPr>
      </w:pPr>
      <w:r>
        <w:rPr>
          <w:rFonts w:ascii="Palatino Linotype" w:hAnsi="Palatino Linotype"/>
          <w:sz w:val="24"/>
        </w:rPr>
        <w:t>“</w:t>
      </w:r>
      <w:r w:rsidR="007C3284" w:rsidRPr="007C328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3284" w:rsidRPr="007C3284" w:rsidRDefault="007C3284" w:rsidP="007C3284">
      <w:pPr>
        <w:pStyle w:val="Sinespaciado"/>
        <w:ind w:left="567" w:right="567"/>
        <w:jc w:val="both"/>
        <w:rPr>
          <w:rFonts w:ascii="Palatino Linotype" w:hAnsi="Palatino Linotype"/>
          <w:i/>
        </w:rPr>
      </w:pPr>
    </w:p>
    <w:p w:rsidR="007C3284" w:rsidRDefault="007C3284" w:rsidP="007C3284">
      <w:pPr>
        <w:pStyle w:val="Sinespaciado"/>
        <w:ind w:left="567" w:right="567"/>
        <w:jc w:val="both"/>
        <w:rPr>
          <w:rFonts w:ascii="Palatino Linotype" w:hAnsi="Palatino Linotype"/>
          <w:i/>
        </w:rPr>
      </w:pPr>
      <w:r w:rsidRPr="007C3284">
        <w:rPr>
          <w:rFonts w:ascii="Palatino Linotype" w:hAnsi="Palatino Linotype"/>
          <w:i/>
        </w:rPr>
        <w:t>En respuesta a su solicitud, nos permitimos hacer de su conocimiento que con fundamento en los artículos 4, 7, 23 fracción lV, 53 fracciones ll, lV y V de la Ley de Transparencia y Acceso a la Información Pública del Estado de México y Municipios, y en atención a su solicitud 000160/VABRAVO/IP/2019, le informo que encontrará respuesta en archivo anexo, emitida por parte de la Sindicatura Municipal de Valle de Bravo. Sin más por el momento reciba un cordial saludo</w:t>
      </w:r>
    </w:p>
    <w:p w:rsidR="007C3284" w:rsidRPr="007C3284" w:rsidRDefault="007C3284" w:rsidP="007C3284">
      <w:pPr>
        <w:pStyle w:val="Sinespaciado"/>
        <w:ind w:left="567" w:right="567"/>
        <w:jc w:val="both"/>
        <w:rPr>
          <w:rFonts w:ascii="Palatino Linotype" w:hAnsi="Palatino Linotype"/>
          <w:i/>
        </w:rPr>
      </w:pPr>
    </w:p>
    <w:p w:rsidR="007C3284" w:rsidRPr="007C3284" w:rsidRDefault="007C3284" w:rsidP="007C3284">
      <w:pPr>
        <w:pStyle w:val="Sinespaciado"/>
        <w:ind w:left="567" w:right="567"/>
        <w:jc w:val="both"/>
        <w:rPr>
          <w:rFonts w:ascii="Palatino Linotype" w:hAnsi="Palatino Linotype"/>
          <w:i/>
        </w:rPr>
      </w:pPr>
      <w:r w:rsidRPr="007C3284">
        <w:rPr>
          <w:rFonts w:ascii="Palatino Linotype" w:hAnsi="Palatino Linotype"/>
          <w:i/>
        </w:rPr>
        <w:t>ATENTAMENTE</w:t>
      </w:r>
    </w:p>
    <w:p w:rsidR="008C0E72" w:rsidRPr="008C0E72" w:rsidRDefault="007C3284" w:rsidP="007C3284">
      <w:pPr>
        <w:pStyle w:val="Sinespaciado"/>
        <w:ind w:left="567" w:right="567"/>
        <w:jc w:val="both"/>
        <w:rPr>
          <w:rFonts w:ascii="Palatino Linotype" w:hAnsi="Palatino Linotype"/>
          <w:i/>
        </w:rPr>
      </w:pPr>
      <w:r w:rsidRPr="007C3284">
        <w:rPr>
          <w:rFonts w:ascii="Palatino Linotype" w:hAnsi="Palatino Linotype"/>
          <w:i/>
        </w:rPr>
        <w:t>M.A. CARLOS MARTINEZ AVILA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Default="00D04234"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C74A5C">
        <w:rPr>
          <w:rFonts w:ascii="Palatino Linotype" w:hAnsi="Palatino Linotype"/>
          <w:sz w:val="24"/>
          <w:szCs w:val="24"/>
        </w:rPr>
        <w:t xml:space="preserve">el </w:t>
      </w:r>
      <w:r w:rsidR="007538C9">
        <w:rPr>
          <w:rFonts w:ascii="Palatino Linotype" w:hAnsi="Palatino Linotype"/>
          <w:sz w:val="24"/>
          <w:szCs w:val="24"/>
        </w:rPr>
        <w:t xml:space="preserve">archivo electrónico </w:t>
      </w:r>
      <w:r w:rsidR="004737E6">
        <w:rPr>
          <w:rFonts w:ascii="Palatino Linotype" w:hAnsi="Palatino Linotype"/>
          <w:b/>
          <w:sz w:val="24"/>
          <w:szCs w:val="24"/>
        </w:rPr>
        <w:t>“</w:t>
      </w:r>
      <w:r w:rsidR="007C3284">
        <w:rPr>
          <w:rFonts w:ascii="Palatino Linotype" w:hAnsi="Palatino Linotype"/>
          <w:b/>
          <w:sz w:val="24"/>
          <w:szCs w:val="24"/>
        </w:rPr>
        <w:t>RESPUESTA 160</w:t>
      </w:r>
      <w:r w:rsidR="00C74A5C">
        <w:rPr>
          <w:rFonts w:ascii="Palatino Linotype" w:hAnsi="Palatino Linotype"/>
          <w:b/>
          <w:sz w:val="24"/>
          <w:szCs w:val="24"/>
        </w:rPr>
        <w:t>.pdf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C74A5C">
        <w:rPr>
          <w:rFonts w:ascii="Palatino Linotype" w:hAnsi="Palatino Linotype"/>
          <w:sz w:val="24"/>
          <w:szCs w:val="24"/>
        </w:rPr>
        <w:t xml:space="preserve">el cual </w:t>
      </w:r>
      <w:r w:rsidR="007C3284">
        <w:rPr>
          <w:rFonts w:ascii="Palatino Linotype" w:hAnsi="Palatino Linotype"/>
          <w:sz w:val="24"/>
          <w:szCs w:val="24"/>
        </w:rPr>
        <w:t xml:space="preserve">no se reproduce por ser del conocimiento de ambas partes. No obstante, se hará el estudio pertinente a su contenido </w:t>
      </w:r>
      <w:r w:rsidR="000D3895">
        <w:rPr>
          <w:rFonts w:ascii="Palatino Linotype" w:hAnsi="Palatino Linotype"/>
          <w:sz w:val="24"/>
          <w:szCs w:val="24"/>
        </w:rPr>
        <w:t xml:space="preserve">más adelante. </w:t>
      </w:r>
    </w:p>
    <w:p w:rsidR="00C106DE" w:rsidRPr="00D04234" w:rsidRDefault="00C106DE"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0D389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BB770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3732E">
        <w:rPr>
          <w:rFonts w:ascii="Palatino Linotype" w:hAnsi="Palatino Linotype"/>
          <w:sz w:val="24"/>
          <w:szCs w:val="24"/>
        </w:rPr>
        <w:t>treinta y uno</w:t>
      </w:r>
      <w:r w:rsidR="00970865">
        <w:rPr>
          <w:rFonts w:ascii="Palatino Linotype" w:hAnsi="Palatino Linotype"/>
          <w:sz w:val="24"/>
          <w:szCs w:val="24"/>
        </w:rPr>
        <w:t xml:space="preserve"> de octubre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93732E">
        <w:rPr>
          <w:rFonts w:ascii="Palatino Linotype" w:hAnsi="Palatino Linotype"/>
          <w:b/>
          <w:bCs/>
          <w:sz w:val="24"/>
          <w:szCs w:val="24"/>
          <w:lang w:eastAsia="es-MX"/>
        </w:rPr>
        <w:t>083</w:t>
      </w:r>
      <w:r w:rsidR="001B40CE">
        <w:rPr>
          <w:rFonts w:ascii="Palatino Linotype" w:hAnsi="Palatino Linotype"/>
          <w:b/>
          <w:bCs/>
          <w:sz w:val="24"/>
          <w:szCs w:val="24"/>
          <w:lang w:eastAsia="es-MX"/>
        </w:rPr>
        <w:t>8</w:t>
      </w:r>
      <w:r w:rsidR="00960670">
        <w:rPr>
          <w:rFonts w:ascii="Palatino Linotype" w:hAnsi="Palatino Linotype"/>
          <w:b/>
          <w:bCs/>
          <w:sz w:val="24"/>
          <w:szCs w:val="24"/>
          <w:lang w:eastAsia="es-MX"/>
        </w:rPr>
        <w:t>5</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0D3895" w:rsidRDefault="007E2E80" w:rsidP="00960670">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D3895">
      <w:pPr>
        <w:spacing w:before="240"/>
        <w:ind w:left="567" w:right="567"/>
        <w:jc w:val="both"/>
        <w:rPr>
          <w:rFonts w:ascii="Palatino Linotype" w:hAnsi="Palatino Linotype" w:cs="Arial"/>
          <w:i/>
        </w:rPr>
      </w:pPr>
      <w:r w:rsidRPr="00D04234">
        <w:rPr>
          <w:rFonts w:ascii="Palatino Linotype" w:hAnsi="Palatino Linotype" w:cs="Arial"/>
          <w:i/>
        </w:rPr>
        <w:t>“</w:t>
      </w:r>
      <w:r w:rsidR="000D3895" w:rsidRPr="000D3895">
        <w:rPr>
          <w:rFonts w:ascii="Palatino Linotype" w:hAnsi="Palatino Linotype" w:cs="Arial"/>
          <w:i/>
        </w:rPr>
        <w:t>La notificación, entrega y puesta a disposición en una modalidad distinta la solicitada.</w:t>
      </w:r>
      <w:r w:rsidR="006A3A54" w:rsidRPr="00D04234">
        <w:rPr>
          <w:rFonts w:ascii="Palatino Linotype" w:hAnsi="Palatino Linotype" w:cs="Arial"/>
          <w:i/>
        </w:rPr>
        <w:t>"(Sic)</w:t>
      </w:r>
    </w:p>
    <w:p w:rsidR="000D3895" w:rsidRDefault="007E2E80" w:rsidP="00960670">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0D3895">
      <w:pPr>
        <w:spacing w:before="240"/>
        <w:ind w:left="567" w:right="567"/>
        <w:jc w:val="both"/>
        <w:rPr>
          <w:rFonts w:ascii="Palatino Linotype" w:hAnsi="Palatino Linotype" w:cs="Arial"/>
          <w:i/>
        </w:rPr>
      </w:pPr>
      <w:r w:rsidRPr="004657BE">
        <w:rPr>
          <w:rFonts w:ascii="Palatino Linotype" w:hAnsi="Palatino Linotype" w:cs="Arial"/>
          <w:i/>
        </w:rPr>
        <w:t>“</w:t>
      </w:r>
      <w:r w:rsidR="000D3895" w:rsidRPr="000D3895">
        <w:rPr>
          <w:rFonts w:ascii="Palatino Linotype" w:hAnsi="Palatino Linotype" w:cs="Arial"/>
          <w:i/>
        </w:rPr>
        <w:t xml:space="preserve">Existe una evidente contadiccion, temeraria y risoria en la respuesta de la Síndico Municipal del Valle de Bravo, toda vez que por una parte refiere que mi petición no se trata de acceso a información pública y por otra parte "pone a mi disposición" los medios para acudir personalmente a sus oficinas y "obtener información de manera detallada" contraviniendo con ello lo señalado por los numerales 15 y 16 de la Ley de Transparencia y Acceso a la Información Pública del Estado de México y Municipios, haciendo patente la filosofía de la ilustre y celebre Chimoltrufia que versa: "Así como digo una cosa, digo otra" por lo que aparte de solicitar que se inicie el correspondiente procedimiento administrativo en contra de quien o quienes resulten responsables por la obstrucción al acceso a la información requerida por su servidor, esto por incurrir en las hipótesis previstas en el artículo 222 fracciones I, III y XV de la ley local de la materia, sugiero se tomen las peticiones de los particulares con el debido respeto y pulcritud posibles, por lo que en caso de tener un conflicto para saber distinguir entre información pública de oficio del libre e irrestricto derecho al acceso a la documentación que obra en los archivos de una Dependencia Pública, privilegiando con ello los principios de transparencia y máxima publicidad, se tomen unas clases sobre el particular, pues con la inverosímil respuesta se denota el escaso conocimiento en la materia así como las consecuencias por el incumplimiento a la atención de está y las subsecuentes peticiones. Motivo por el cual interpongo el presente recurso, solicitando que una vez que sea sustanciado el mismo, se </w:t>
      </w:r>
      <w:r w:rsidR="000D3895" w:rsidRPr="000D3895">
        <w:rPr>
          <w:rFonts w:ascii="Palatino Linotype" w:hAnsi="Palatino Linotype" w:cs="Arial"/>
          <w:i/>
        </w:rPr>
        <w:lastRenderedPageBreak/>
        <w:t>obligue al sujeto a brindar mediante el SAIMEX la respuesta oportuna a mi requerimiento, ello por no ser contraria a derecho y porque la "respuesta" proporcionada ni siquiera se encuentra motivada ni mucho menos fundamentada.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0D389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0D3895">
        <w:rPr>
          <w:rFonts w:ascii="Palatino Linotype" w:hAnsi="Palatino Linotype"/>
          <w:sz w:val="24"/>
          <w:szCs w:val="24"/>
        </w:rPr>
        <w:t>seis</w:t>
      </w:r>
      <w:r w:rsidR="00960670">
        <w:rPr>
          <w:rFonts w:ascii="Palatino Linotype" w:hAnsi="Palatino Linotype"/>
          <w:sz w:val="24"/>
          <w:szCs w:val="24"/>
        </w:rPr>
        <w:t xml:space="preserve"> de noviembre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D389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4008E7" w:rsidRDefault="00F929FF" w:rsidP="0014447C">
      <w:pPr>
        <w:pStyle w:val="Sinespaciado"/>
        <w:spacing w:line="360" w:lineRule="auto"/>
        <w:jc w:val="both"/>
        <w:rPr>
          <w:rFonts w:ascii="Palatino Linotype" w:hAnsi="Palatino Linotype"/>
          <w:sz w:val="24"/>
          <w:szCs w:val="24"/>
        </w:rPr>
      </w:pPr>
      <w:r w:rsidRPr="00F929FF">
        <w:rPr>
          <w:rFonts w:ascii="Palatino Linotype" w:hAnsi="Palatino Linotype"/>
          <w:sz w:val="24"/>
          <w:szCs w:val="24"/>
        </w:rPr>
        <w:t>Así, una vez abierta la etapa de instrucción, en el sumario se observa que el Recurrente no realizó manifestaciones, vertió alegatos o presentó pruebas que a su derecho convinieran. Asimismo, el Sujeto Obligado omitió rendir su Informe Justificado dentro del término previsto, como puede observarse en la siguiente imagen:</w:t>
      </w:r>
    </w:p>
    <w:p w:rsidR="00D63BE7" w:rsidRDefault="00F929FF" w:rsidP="00F929FF">
      <w:pPr>
        <w:pStyle w:val="Sinespaciado"/>
        <w:spacing w:line="360" w:lineRule="auto"/>
        <w:jc w:val="center"/>
        <w:rPr>
          <w:rFonts w:ascii="Palatino Linotype" w:hAnsi="Palatino Linotype"/>
          <w:sz w:val="24"/>
          <w:szCs w:val="24"/>
        </w:rPr>
      </w:pPr>
      <w:r>
        <w:rPr>
          <w:noProof/>
          <w:lang w:eastAsia="es-MX"/>
        </w:rPr>
        <w:drawing>
          <wp:inline distT="0" distB="0" distL="0" distR="0" wp14:anchorId="7CDC1C69" wp14:editId="2806611E">
            <wp:extent cx="5217634" cy="170497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224" r="28902" b="57378"/>
                    <a:stretch/>
                  </pic:blipFill>
                  <pic:spPr bwMode="auto">
                    <a:xfrm>
                      <a:off x="0" y="0"/>
                      <a:ext cx="5234133" cy="1710367"/>
                    </a:xfrm>
                    <a:prstGeom prst="rect">
                      <a:avLst/>
                    </a:prstGeom>
                    <a:ln>
                      <a:noFill/>
                    </a:ln>
                    <a:extLst>
                      <a:ext uri="{53640926-AAD7-44D8-BBD7-CCE9431645EC}">
                        <a14:shadowObscured xmlns:a14="http://schemas.microsoft.com/office/drawing/2010/main"/>
                      </a:ext>
                    </a:extLst>
                  </pic:spPr>
                </pic:pic>
              </a:graphicData>
            </a:graphic>
          </wp:inline>
        </w:drawing>
      </w:r>
    </w:p>
    <w:p w:rsidR="00F929FF" w:rsidRDefault="00F929FF"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F929FF">
        <w:rPr>
          <w:rFonts w:ascii="Palatino Linotype" w:hAnsi="Palatino Linotype"/>
          <w:sz w:val="24"/>
          <w:szCs w:val="24"/>
        </w:rPr>
        <w:t>diecinueve de noviembre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065556" w:rsidRPr="00D81476" w:rsidRDefault="00541B17" w:rsidP="0006555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F929FF">
        <w:rPr>
          <w:rFonts w:ascii="Palatino Linotype" w:hAnsi="Palatino Linotype"/>
          <w:sz w:val="24"/>
          <w:szCs w:val="24"/>
        </w:rPr>
        <w:t>veinte de diciembre</w:t>
      </w:r>
      <w:r w:rsidR="0065519D" w:rsidRPr="0065519D">
        <w:rPr>
          <w:rFonts w:ascii="Palatino Linotype" w:hAnsi="Palatino Linotype"/>
          <w:sz w:val="24"/>
          <w:szCs w:val="24"/>
        </w:rPr>
        <w:t xml:space="preserve"> dos mil diecinueve, se amplió el término para resolver el recurso de revisión en términos del artículo 181 párrafo tercero de la Ley de Transparencia y Acceso a la Información Pública del Estado de México y Municipios por </w:t>
      </w:r>
      <w:r w:rsidR="00065556">
        <w:rPr>
          <w:rFonts w:ascii="Palatino Linotype" w:hAnsi="Palatino Linotype"/>
          <w:sz w:val="24"/>
          <w:szCs w:val="24"/>
        </w:rPr>
        <w:t xml:space="preserve">un plazo de quince días hábiles, </w:t>
      </w:r>
      <w:r w:rsidR="00065556" w:rsidRPr="00D81476">
        <w:rPr>
          <w:rFonts w:ascii="Palatino Linotype" w:hAnsi="Palatino Linotype"/>
          <w:sz w:val="24"/>
          <w:szCs w:val="24"/>
        </w:rPr>
        <w:t>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065556" w:rsidRPr="00D81476" w:rsidRDefault="00065556" w:rsidP="00065556">
      <w:pPr>
        <w:pStyle w:val="Sinespaciado"/>
        <w:spacing w:line="360" w:lineRule="auto"/>
        <w:jc w:val="both"/>
        <w:rPr>
          <w:rFonts w:ascii="Palatino Linotype" w:hAnsi="Palatino Linotype"/>
          <w:sz w:val="24"/>
          <w:szCs w:val="24"/>
        </w:rPr>
      </w:pPr>
    </w:p>
    <w:p w:rsidR="0065519D" w:rsidRPr="0014447C" w:rsidRDefault="00065556" w:rsidP="00065556">
      <w:pPr>
        <w:pStyle w:val="Sinespaciado"/>
        <w:spacing w:line="360" w:lineRule="auto"/>
        <w:jc w:val="both"/>
        <w:rPr>
          <w:rFonts w:ascii="Palatino Linotype" w:hAnsi="Palatino Linotype"/>
          <w:sz w:val="24"/>
          <w:szCs w:val="24"/>
        </w:rPr>
      </w:pPr>
      <w:r w:rsidRPr="00D81476">
        <w:rPr>
          <w:rFonts w:ascii="Palatino Linotype" w:hAnsi="Palatino Linotype"/>
          <w:sz w:val="24"/>
          <w:szCs w:val="24"/>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w:t>
      </w:r>
      <w:r w:rsidRPr="00D81476">
        <w:rPr>
          <w:rFonts w:ascii="Palatino Linotype" w:hAnsi="Palatino Linotype"/>
          <w:sz w:val="24"/>
          <w:szCs w:val="24"/>
        </w:rPr>
        <w:lastRenderedPageBreak/>
        <w:t>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FB79CA"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B7706">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BB7706">
        <w:rPr>
          <w:rFonts w:ascii="Palatino Linotype" w:hAnsi="Palatino Linotype"/>
          <w:sz w:val="24"/>
          <w:szCs w:val="24"/>
        </w:rPr>
        <w:t>las observaciones realizadas por la Sindicatura a los informes mensuales que realiza el Tesorero generadas en el ejercicio fiscal 2019, lo anterior en términos del artículo 53 fracción XVI de la Ley Orgánica Municipal del Estado de México.</w:t>
      </w:r>
    </w:p>
    <w:p w:rsidR="00BB7706" w:rsidRDefault="00BB7706" w:rsidP="0014447C">
      <w:pPr>
        <w:pStyle w:val="Sinespaciado"/>
        <w:spacing w:line="360" w:lineRule="auto"/>
        <w:jc w:val="both"/>
        <w:rPr>
          <w:rFonts w:ascii="Palatino Linotype" w:hAnsi="Palatino Linotype"/>
          <w:sz w:val="24"/>
          <w:szCs w:val="24"/>
        </w:rPr>
      </w:pPr>
    </w:p>
    <w:p w:rsidR="00BB7706" w:rsidRDefault="00BB770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 importante destacar que el Sujeto Obligado informó la Recurrente que se había aprobado una prórroga para </w:t>
      </w:r>
      <w:r w:rsidR="00993138">
        <w:rPr>
          <w:rFonts w:ascii="Palatino Linotype" w:hAnsi="Palatino Linotype"/>
          <w:sz w:val="24"/>
          <w:szCs w:val="24"/>
        </w:rPr>
        <w:t>dar atención a la solicitud de información en la Décima Séptima Sesión Extraordinaria de su Comité de Transparencia, sin embargo, no adjunto dicho acuerdo como se establece en el segundo párrafo del artículo 163 de la Ley de Transparencia y Acceso a la Información Pública del Estado de México y Municipios, en el que se señala lo siguiente:</w:t>
      </w:r>
    </w:p>
    <w:p w:rsidR="00993138" w:rsidRDefault="00993138" w:rsidP="0014447C">
      <w:pPr>
        <w:pStyle w:val="Sinespaciado"/>
        <w:spacing w:line="360" w:lineRule="auto"/>
        <w:jc w:val="both"/>
        <w:rPr>
          <w:rFonts w:ascii="Palatino Linotype" w:hAnsi="Palatino Linotype"/>
          <w:sz w:val="24"/>
          <w:szCs w:val="24"/>
        </w:rPr>
      </w:pPr>
    </w:p>
    <w:p w:rsidR="00993138" w:rsidRPr="00993138" w:rsidRDefault="00993138" w:rsidP="00993138">
      <w:pPr>
        <w:pStyle w:val="Sinespaciado"/>
        <w:ind w:left="567" w:right="567"/>
        <w:jc w:val="both"/>
        <w:rPr>
          <w:rFonts w:ascii="Palatino Linotype" w:hAnsi="Palatino Linotype"/>
          <w:i/>
        </w:rPr>
      </w:pPr>
      <w:r w:rsidRPr="00993138">
        <w:rPr>
          <w:rFonts w:ascii="Palatino Linotype" w:hAnsi="Palatino Linotype"/>
          <w:b/>
          <w:bCs/>
          <w:i/>
        </w:rPr>
        <w:lastRenderedPageBreak/>
        <w:t xml:space="preserve">Artículo 163. </w:t>
      </w:r>
      <w:r w:rsidRPr="00993138">
        <w:rPr>
          <w:rFonts w:ascii="Palatino Linotype" w:hAnsi="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rsidR="00993138" w:rsidRPr="00993138" w:rsidRDefault="00993138" w:rsidP="00993138">
      <w:pPr>
        <w:pStyle w:val="Sinespaciado"/>
        <w:ind w:left="567" w:right="567"/>
        <w:jc w:val="both"/>
        <w:rPr>
          <w:rFonts w:ascii="Palatino Linotype" w:hAnsi="Palatino Linotype"/>
          <w:i/>
        </w:rPr>
      </w:pPr>
    </w:p>
    <w:p w:rsidR="00993138" w:rsidRDefault="00993138" w:rsidP="00993138">
      <w:pPr>
        <w:pStyle w:val="Sinespaciado"/>
        <w:ind w:left="567" w:right="567"/>
        <w:jc w:val="both"/>
        <w:rPr>
          <w:rFonts w:ascii="Palatino Linotype" w:hAnsi="Palatino Linotype"/>
          <w:i/>
        </w:rPr>
      </w:pPr>
      <w:r w:rsidRPr="00993138">
        <w:rPr>
          <w:rFonts w:ascii="Palatino Linotype" w:hAnsi="Palatino Linotype"/>
          <w:i/>
        </w:rPr>
        <w:t>Excepcionalmente</w:t>
      </w:r>
      <w:r w:rsidRPr="00771EDA">
        <w:rPr>
          <w:rFonts w:ascii="Palatino Linotype" w:hAnsi="Palatino Linotype"/>
        </w:rPr>
        <w:t xml:space="preserve">, </w:t>
      </w:r>
      <w:r w:rsidRPr="00771EDA">
        <w:rPr>
          <w:rFonts w:ascii="Palatino Linotype" w:hAnsi="Palatino Linotype"/>
          <w:b/>
          <w:i/>
          <w:u w:val="single"/>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993138">
        <w:rPr>
          <w:rFonts w:ascii="Palatino Linotype" w:hAnsi="Palatino Linotype"/>
          <w:i/>
        </w:rPr>
        <w:t>. No podrán invocarse como causales de ampliación del plazo motivos que supongan negligencia o descuido del sujeto obligado en el desahogo de la solicitud.</w:t>
      </w:r>
    </w:p>
    <w:p w:rsidR="00FB79CA" w:rsidRDefault="00FB79CA" w:rsidP="0014447C">
      <w:pPr>
        <w:pStyle w:val="Sinespaciado"/>
        <w:spacing w:line="360" w:lineRule="auto"/>
        <w:jc w:val="both"/>
        <w:rPr>
          <w:rFonts w:ascii="Palatino Linotype" w:hAnsi="Palatino Linotype"/>
          <w:sz w:val="24"/>
          <w:szCs w:val="24"/>
        </w:rPr>
      </w:pPr>
    </w:p>
    <w:p w:rsidR="00993138" w:rsidRDefault="00771ED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Dado que dicho acuerdo no fue notificado al solicitante, se le insta al Sujeto Obligado a que en posteriores ocasiones se apegue a lo establecido en el artículo en cita y se haga del conocimiento del particular el acuerdo que apruebe la prórroga para la atención de las solicitudes de información.</w:t>
      </w:r>
    </w:p>
    <w:p w:rsidR="00993138" w:rsidRDefault="00993138" w:rsidP="0014447C">
      <w:pPr>
        <w:pStyle w:val="Sinespaciado"/>
        <w:spacing w:line="360" w:lineRule="auto"/>
        <w:jc w:val="both"/>
        <w:rPr>
          <w:rFonts w:ascii="Palatino Linotype" w:hAnsi="Palatino Linotype"/>
          <w:sz w:val="24"/>
          <w:szCs w:val="24"/>
        </w:rPr>
      </w:pPr>
    </w:p>
    <w:p w:rsidR="00182591" w:rsidRDefault="00771ED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Posteriormente</w:t>
      </w:r>
      <w:r w:rsidR="00D60EF9">
        <w:rPr>
          <w:rFonts w:ascii="Palatino Linotype" w:hAnsi="Palatino Linotype"/>
          <w:sz w:val="24"/>
          <w:szCs w:val="24"/>
        </w:rPr>
        <w:t>, el Sujeto Obligado res</w:t>
      </w:r>
      <w:r w:rsidR="00182591">
        <w:rPr>
          <w:rFonts w:ascii="Palatino Linotype" w:hAnsi="Palatino Linotype"/>
          <w:sz w:val="24"/>
          <w:szCs w:val="24"/>
        </w:rPr>
        <w:t xml:space="preserve">pondió mediante </w:t>
      </w:r>
      <w:r w:rsidR="0082278A">
        <w:rPr>
          <w:rFonts w:ascii="Palatino Linotype" w:hAnsi="Palatino Linotype"/>
          <w:sz w:val="24"/>
          <w:szCs w:val="24"/>
        </w:rPr>
        <w:t xml:space="preserve">el archivo electrónico denominado </w:t>
      </w:r>
      <w:r w:rsidR="00BB7706">
        <w:rPr>
          <w:rFonts w:ascii="Palatino Linotype" w:hAnsi="Palatino Linotype"/>
          <w:b/>
          <w:sz w:val="24"/>
          <w:szCs w:val="24"/>
        </w:rPr>
        <w:t>“RESPUESTA 160</w:t>
      </w:r>
      <w:r w:rsidR="0082278A" w:rsidRPr="0082278A">
        <w:rPr>
          <w:rFonts w:ascii="Palatino Linotype" w:hAnsi="Palatino Linotype"/>
          <w:b/>
          <w:sz w:val="24"/>
          <w:szCs w:val="24"/>
        </w:rPr>
        <w:t>.pdf”</w:t>
      </w:r>
      <w:r w:rsidR="0082278A" w:rsidRPr="0082278A">
        <w:rPr>
          <w:rFonts w:ascii="Palatino Linotype" w:hAnsi="Palatino Linotype"/>
          <w:sz w:val="24"/>
          <w:szCs w:val="24"/>
        </w:rPr>
        <w:t xml:space="preserve">, el cual consiste en el </w:t>
      </w:r>
      <w:r>
        <w:rPr>
          <w:rFonts w:ascii="Palatino Linotype" w:hAnsi="Palatino Linotype"/>
          <w:sz w:val="24"/>
          <w:szCs w:val="24"/>
        </w:rPr>
        <w:t xml:space="preserve">oficio SM/VB/157/2019 suscrito por la Síndico Municipal mediante el cual se informó que, de acuerdo a lo establecido en los artículos 4 y 12 de la Ley de Transparencia </w:t>
      </w:r>
      <w:r w:rsidR="008811D3">
        <w:rPr>
          <w:rFonts w:ascii="Palatino Linotype" w:hAnsi="Palatino Linotype"/>
          <w:sz w:val="24"/>
          <w:szCs w:val="24"/>
        </w:rPr>
        <w:t xml:space="preserve">local, los sujetos obligados sólo proporcionarán la información que generen en el desempeño de sus funciones, sin que ello implique que estén obligados a practicar investigaciones o a dar respuesta a las diversas peticiones o preguntas formuladas por los individuos, ya que eso no está encaminado al derecho a la información pública. Por lo cual, debido a que la solicitud no está dirigida a ejercer su derecho de acceso a la información, no se esta es posibilidades de atender la solicitud, pues se advierte que no se trata de información pública el cuestionamiento expresado por el peticionario. No obstante se pone a </w:t>
      </w:r>
      <w:r w:rsidR="008811D3">
        <w:rPr>
          <w:rFonts w:ascii="Palatino Linotype" w:hAnsi="Palatino Linotype"/>
          <w:sz w:val="24"/>
          <w:szCs w:val="24"/>
        </w:rPr>
        <w:lastRenderedPageBreak/>
        <w:t xml:space="preserve">disposición los medios para que la persona interesada pueda asistir personalmente a obtener la información detallada. </w:t>
      </w:r>
    </w:p>
    <w:p w:rsidR="00182591" w:rsidRDefault="00182591" w:rsidP="0014447C">
      <w:pPr>
        <w:pStyle w:val="Sinespaciado"/>
        <w:spacing w:line="360" w:lineRule="auto"/>
        <w:jc w:val="both"/>
        <w:rPr>
          <w:rFonts w:ascii="Palatino Linotype" w:hAnsi="Palatino Linotype"/>
          <w:sz w:val="24"/>
          <w:szCs w:val="24"/>
        </w:rPr>
      </w:pPr>
    </w:p>
    <w:p w:rsidR="007D29C5" w:rsidRDefault="00E16D1C" w:rsidP="007D29C5">
      <w:pPr>
        <w:pStyle w:val="Sinespaciado"/>
        <w:spacing w:line="360" w:lineRule="auto"/>
        <w:jc w:val="both"/>
        <w:rPr>
          <w:rFonts w:ascii="Palatino Linotype" w:hAnsi="Palatino Linotype"/>
          <w:sz w:val="24"/>
          <w:szCs w:val="24"/>
        </w:rPr>
      </w:pPr>
      <w:r>
        <w:rPr>
          <w:rFonts w:ascii="Palatino Linotype" w:hAnsi="Palatino Linotype"/>
          <w:sz w:val="24"/>
          <w:szCs w:val="24"/>
        </w:rPr>
        <w:t>Ante la r</w:t>
      </w:r>
      <w:r w:rsidR="008811D3">
        <w:rPr>
          <w:rFonts w:ascii="Palatino Linotype" w:hAnsi="Palatino Linotype"/>
          <w:sz w:val="24"/>
          <w:szCs w:val="24"/>
        </w:rPr>
        <w:t>espuesta del Sujeto Obligado, el</w:t>
      </w:r>
      <w:r>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Pr>
          <w:rFonts w:ascii="Palatino Linotype" w:hAnsi="Palatino Linotype"/>
          <w:sz w:val="24"/>
          <w:szCs w:val="24"/>
        </w:rPr>
        <w:t xml:space="preserve">impugnando </w:t>
      </w:r>
      <w:r w:rsidR="008811D3">
        <w:rPr>
          <w:rFonts w:ascii="Palatino Linotype" w:hAnsi="Palatino Linotype"/>
          <w:sz w:val="24"/>
          <w:szCs w:val="24"/>
        </w:rPr>
        <w:t>la notificación, entrega y puesta a disposición de la información en una modalidad distinta a la solicitada</w:t>
      </w:r>
      <w:r w:rsidR="00FC58D0">
        <w:rPr>
          <w:rFonts w:ascii="Palatino Linotype" w:hAnsi="Palatino Linotype"/>
          <w:sz w:val="24"/>
          <w:szCs w:val="24"/>
        </w:rPr>
        <w:t xml:space="preserve"> </w:t>
      </w:r>
      <w:r w:rsidR="000221BF">
        <w:rPr>
          <w:rFonts w:ascii="Palatino Linotype" w:hAnsi="Palatino Linotype"/>
          <w:sz w:val="24"/>
          <w:szCs w:val="24"/>
        </w:rPr>
        <w:t xml:space="preserve">y </w:t>
      </w:r>
      <w:r w:rsidR="008811D3">
        <w:rPr>
          <w:rFonts w:ascii="Palatino Linotype" w:hAnsi="Palatino Linotype"/>
          <w:sz w:val="24"/>
          <w:szCs w:val="24"/>
        </w:rPr>
        <w:t>d</w:t>
      </w:r>
      <w:r w:rsidR="00FC58D0">
        <w:rPr>
          <w:rFonts w:ascii="Palatino Linotype" w:hAnsi="Palatino Linotype"/>
          <w:sz w:val="24"/>
          <w:szCs w:val="24"/>
        </w:rPr>
        <w:t xml:space="preserve">ando como </w:t>
      </w:r>
      <w:r w:rsidR="000221BF">
        <w:rPr>
          <w:rFonts w:ascii="Palatino Linotype" w:hAnsi="Palatino Linotype"/>
          <w:sz w:val="24"/>
          <w:szCs w:val="24"/>
        </w:rPr>
        <w:t xml:space="preserve">razones o motivos de inconformidad lo siguiente: </w:t>
      </w:r>
    </w:p>
    <w:p w:rsidR="00FC58D0" w:rsidRDefault="00FC58D0" w:rsidP="007D29C5">
      <w:pPr>
        <w:pStyle w:val="Sinespaciado"/>
        <w:spacing w:line="360" w:lineRule="auto"/>
        <w:jc w:val="both"/>
        <w:rPr>
          <w:rFonts w:ascii="Palatino Linotype" w:hAnsi="Palatino Linotype"/>
          <w:sz w:val="24"/>
          <w:szCs w:val="24"/>
        </w:rPr>
      </w:pPr>
    </w:p>
    <w:p w:rsidR="00FC58D0" w:rsidRPr="009A488D" w:rsidRDefault="00FC58D0" w:rsidP="00FC58D0">
      <w:pPr>
        <w:pStyle w:val="Sinespaciado"/>
        <w:ind w:left="567" w:right="567"/>
        <w:jc w:val="both"/>
        <w:rPr>
          <w:rFonts w:ascii="Palatino Linotype" w:hAnsi="Palatino Linotype"/>
          <w:i/>
        </w:rPr>
      </w:pPr>
      <w:r w:rsidRPr="00FC58D0">
        <w:rPr>
          <w:rFonts w:ascii="Palatino Linotype" w:hAnsi="Palatino Linotype"/>
          <w:i/>
        </w:rPr>
        <w:t>“</w:t>
      </w:r>
      <w:r w:rsidR="00F04220" w:rsidRPr="00F04220">
        <w:rPr>
          <w:rFonts w:ascii="Palatino Linotype" w:hAnsi="Palatino Linotype"/>
          <w:i/>
        </w:rPr>
        <w:t>Existe una evidente contadiccion, temeraria y risoria en la respuesta de la Síndico Municipal del Valle de Bravo, toda vez que por una parte refiere que mi petición no se trata de acceso a información pública y por otra parte "pone a mi disposición" los medios para acudir personalmente a sus oficinas y "obtener información de manera detallada" contraviniendo con ello lo señalado por los numerales 15 y 16 de la Ley de Transparencia y Acceso a la Información Pública del Estado de México y Municipios, haciendo patente la filosofía de la ilustre y celebre Chimoltrufia que versa: "Así como digo una cosa, digo otra" por lo que aparte de solicitar que se inicie el correspondiente procedimiento administrativo en contra de quien o quienes resulten responsables por la obstrucción al acceso a la información requerida por su servidor, esto por incurrir en las hipótesis previstas en el artículo 222 fracciones I, III y XV de la ley local de la materia, sugiero se tomen las peticiones de los particulares con el debido respeto y pulcritud posibles, por lo que en caso de tener un conflicto para saber distinguir entre información pública de oficio del libre e irrestricto derecho al acceso a la documentación que obra en los archivos de una Dependencia Pública, privilegiando con ello los principios de transparencia y máxima publicidad, se tomen unas clases sobre el particular, pues con la inverosímil respuesta se denota el escaso conocimiento en la materia así como las consecuencias por el incumplimiento a la atención de está y las subsecuentes peticiones. Motivo por el cual interpongo el presente recurso, solicitando que una vez que sea sustanciado el mismo, se obligue al sujeto a brindar mediante el SAIMEX la respuesta oportuna a mi requerimiento, ello por no ser contraria a derecho y porque la "respuesta" proporcionada ni siquiera se encuentra motivada ni mucho menos fundamentada.</w:t>
      </w:r>
      <w:r w:rsidRPr="00FC58D0">
        <w:rPr>
          <w:rFonts w:ascii="Palatino Linotype" w:hAnsi="Palatino Linotype"/>
          <w:i/>
        </w:rPr>
        <w:t>” (Sic)</w:t>
      </w:r>
    </w:p>
    <w:p w:rsidR="00C47BC9" w:rsidRDefault="00C47BC9" w:rsidP="0014447C">
      <w:pPr>
        <w:pStyle w:val="Sinespaciado"/>
        <w:spacing w:line="360" w:lineRule="auto"/>
        <w:jc w:val="both"/>
        <w:rPr>
          <w:rFonts w:ascii="Palatino Linotype" w:hAnsi="Palatino Linotype"/>
          <w:sz w:val="24"/>
          <w:szCs w:val="24"/>
        </w:rPr>
      </w:pPr>
    </w:p>
    <w:p w:rsidR="00F04220" w:rsidRPr="004B5E7C" w:rsidRDefault="00F04220" w:rsidP="00F04220">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Durante la etapa de instrucción</w:t>
      </w:r>
      <w:r w:rsidRPr="004B5E7C">
        <w:rPr>
          <w:rFonts w:ascii="Palatino Linotype" w:hAnsi="Palatino Linotype"/>
          <w:sz w:val="24"/>
          <w:szCs w:val="24"/>
        </w:rPr>
        <w:t>,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F04220" w:rsidRPr="004B5E7C" w:rsidRDefault="00F04220" w:rsidP="00F04220">
      <w:pPr>
        <w:pStyle w:val="Sinespaciado"/>
        <w:spacing w:line="360" w:lineRule="auto"/>
        <w:jc w:val="both"/>
        <w:rPr>
          <w:rFonts w:ascii="Palatino Linotype" w:hAnsi="Palatino Linotype"/>
          <w:sz w:val="24"/>
          <w:szCs w:val="24"/>
        </w:rPr>
      </w:pPr>
    </w:p>
    <w:p w:rsidR="00F04220" w:rsidRPr="002C3944" w:rsidRDefault="00F04220" w:rsidP="00F04220">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04220" w:rsidRPr="004B5E7C" w:rsidRDefault="00F04220" w:rsidP="00F04220">
      <w:pPr>
        <w:pStyle w:val="Sinespaciado"/>
        <w:spacing w:line="360" w:lineRule="auto"/>
        <w:jc w:val="both"/>
        <w:rPr>
          <w:rFonts w:ascii="Palatino Linotype" w:hAnsi="Palatino Linotype"/>
          <w:sz w:val="24"/>
          <w:szCs w:val="24"/>
        </w:rPr>
      </w:pPr>
    </w:p>
    <w:p w:rsidR="000E54D0" w:rsidRPr="000E54D0" w:rsidRDefault="00F04220" w:rsidP="00F04220">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 xml:space="preserve">Por lo cual se reitera, que la falta de informe justificado no impide que este Órgano Garante conozca y resuelva el recurso de revisión, solo propicia que el Sujeto Obligado </w:t>
      </w:r>
      <w:r w:rsidRPr="004B5E7C">
        <w:rPr>
          <w:rFonts w:ascii="Palatino Linotype" w:hAnsi="Palatino Linotype"/>
          <w:sz w:val="24"/>
          <w:szCs w:val="24"/>
        </w:rPr>
        <w:lastRenderedPageBreak/>
        <w:t>pierda la oportunidad de justificar su falta de respuesta y manifestar lo que a su derecho convenga.</w:t>
      </w:r>
    </w:p>
    <w:p w:rsidR="00AB5B2C" w:rsidRPr="006023A0" w:rsidRDefault="00AB5B2C"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cs="Arial"/>
          <w:sz w:val="24"/>
          <w:szCs w:val="24"/>
        </w:rPr>
        <w:t>Ahora bien, quedando establecido lo anterior, este Órgano Garante considera viable realizar el est</w:t>
      </w:r>
      <w:r w:rsidR="00DC106B">
        <w:rPr>
          <w:rFonts w:ascii="Palatino Linotype" w:hAnsi="Palatino Linotype" w:cs="Arial"/>
          <w:sz w:val="24"/>
          <w:szCs w:val="24"/>
        </w:rPr>
        <w:t xml:space="preserve">udio en aras de establecer si la respuesta del </w:t>
      </w:r>
      <w:bookmarkStart w:id="0" w:name="_GoBack"/>
      <w:bookmarkEnd w:id="0"/>
      <w:r w:rsidRPr="00EC3B60">
        <w:rPr>
          <w:rFonts w:ascii="Palatino Linotype" w:hAnsi="Palatino Linotype" w:cs="Arial"/>
          <w:sz w:val="24"/>
          <w:szCs w:val="24"/>
        </w:rPr>
        <w:t xml:space="preserve">Sujeto Obligado </w:t>
      </w:r>
      <w:r w:rsidR="00DC106B">
        <w:rPr>
          <w:rFonts w:ascii="Palatino Linotype" w:hAnsi="Palatino Linotype" w:cs="Arial"/>
          <w:sz w:val="24"/>
          <w:szCs w:val="24"/>
        </w:rPr>
        <w:t>colma la pretensión de</w:t>
      </w:r>
      <w:r w:rsidR="008C16A7">
        <w:rPr>
          <w:rFonts w:ascii="Palatino Linotype" w:hAnsi="Palatino Linotype" w:cs="Arial"/>
          <w:sz w:val="24"/>
          <w:szCs w:val="24"/>
        </w:rPr>
        <w:t xml:space="preserve"> </w:t>
      </w:r>
      <w:r w:rsidR="00DC106B">
        <w:rPr>
          <w:rFonts w:ascii="Palatino Linotype" w:hAnsi="Palatino Linotype" w:cs="Arial"/>
          <w:sz w:val="24"/>
          <w:szCs w:val="24"/>
        </w:rPr>
        <w:t>l</w:t>
      </w:r>
      <w:r w:rsidR="008C16A7">
        <w:rPr>
          <w:rFonts w:ascii="Palatino Linotype" w:hAnsi="Palatino Linotype" w:cs="Arial"/>
          <w:sz w:val="24"/>
          <w:szCs w:val="24"/>
        </w:rPr>
        <w:t>a</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w:t>
      </w:r>
      <w:r w:rsidRPr="00BF0BA6">
        <w:rPr>
          <w:rFonts w:ascii="Palatino Linotype" w:hAnsi="Palatino Linotype"/>
          <w:i/>
        </w:rPr>
        <w:lastRenderedPageBreak/>
        <w:t xml:space="preserve">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lastRenderedPageBreak/>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2A6CAC" w:rsidRDefault="00EC3B60" w:rsidP="000B5E2B">
      <w:pPr>
        <w:pStyle w:val="Sinespaciado"/>
        <w:spacing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A3831">
        <w:rPr>
          <w:rFonts w:ascii="Palatino Linotype" w:hAnsi="Palatino Linotype"/>
          <w:sz w:val="24"/>
          <w:szCs w:val="24"/>
        </w:rPr>
        <w:t xml:space="preserve">es </w:t>
      </w:r>
      <w:r w:rsidR="00A07FE5">
        <w:rPr>
          <w:rFonts w:ascii="Palatino Linotype" w:hAnsi="Palatino Linotype"/>
          <w:sz w:val="24"/>
          <w:szCs w:val="24"/>
        </w:rPr>
        <w:t xml:space="preserve">menester hacer referencia a lo establecido en la Ley Orgánica Municipal del Estado de México, en cuyos artículos </w:t>
      </w:r>
      <w:r w:rsidR="002A6CAC">
        <w:rPr>
          <w:rFonts w:ascii="Palatino Linotype" w:hAnsi="Palatino Linotype"/>
          <w:sz w:val="24"/>
          <w:szCs w:val="24"/>
        </w:rPr>
        <w:t xml:space="preserve">53 fracción XVI y 95 fracción XXI, señalan lo siguiente: </w:t>
      </w:r>
    </w:p>
    <w:p w:rsidR="002A6CAC" w:rsidRDefault="002A6CAC" w:rsidP="000B5E2B">
      <w:pPr>
        <w:pStyle w:val="Sinespaciado"/>
        <w:spacing w:line="360" w:lineRule="auto"/>
        <w:jc w:val="both"/>
        <w:rPr>
          <w:rFonts w:ascii="Palatino Linotype" w:hAnsi="Palatino Linotype"/>
          <w:sz w:val="24"/>
          <w:szCs w:val="24"/>
        </w:rPr>
      </w:pPr>
    </w:p>
    <w:p w:rsidR="002A6CAC" w:rsidRPr="002A6CAC" w:rsidRDefault="002A6CAC" w:rsidP="002A6CAC">
      <w:pPr>
        <w:pStyle w:val="Sinespaciado"/>
        <w:ind w:left="567" w:right="567"/>
        <w:jc w:val="both"/>
        <w:rPr>
          <w:rFonts w:ascii="Palatino Linotype" w:hAnsi="Palatino Linotype"/>
          <w:i/>
        </w:rPr>
      </w:pPr>
      <w:r w:rsidRPr="002A6CAC">
        <w:rPr>
          <w:rFonts w:ascii="Palatino Linotype" w:hAnsi="Palatino Linotype"/>
          <w:b/>
          <w:bCs/>
          <w:i/>
        </w:rPr>
        <w:t xml:space="preserve">Artículo 53.- </w:t>
      </w:r>
      <w:r w:rsidRPr="002A6CAC">
        <w:rPr>
          <w:rFonts w:ascii="Palatino Linotype" w:hAnsi="Palatino Linotype"/>
          <w:i/>
        </w:rPr>
        <w:t>Los síndicos tendrán las siguientes atribuciones:</w:t>
      </w:r>
    </w:p>
    <w:p w:rsidR="002A6CAC" w:rsidRPr="002A6CAC" w:rsidRDefault="002A6CAC" w:rsidP="002A6CAC">
      <w:pPr>
        <w:pStyle w:val="Sinespaciado"/>
        <w:ind w:left="567" w:right="567"/>
        <w:jc w:val="both"/>
        <w:rPr>
          <w:rFonts w:ascii="Palatino Linotype" w:hAnsi="Palatino Linotype"/>
          <w:i/>
        </w:rPr>
      </w:pPr>
      <w:r w:rsidRPr="002A6CAC">
        <w:rPr>
          <w:rFonts w:ascii="Palatino Linotype" w:hAnsi="Palatino Linotype"/>
          <w:i/>
        </w:rPr>
        <w:lastRenderedPageBreak/>
        <w:t>(…)</w:t>
      </w:r>
    </w:p>
    <w:p w:rsidR="002A6CAC" w:rsidRPr="002A6CAC" w:rsidRDefault="002A6CAC" w:rsidP="002A6CAC">
      <w:pPr>
        <w:pStyle w:val="Sinespaciado"/>
        <w:ind w:left="567" w:right="567"/>
        <w:jc w:val="both"/>
        <w:rPr>
          <w:rFonts w:ascii="Palatino Linotype" w:hAnsi="Palatino Linotype"/>
          <w:i/>
        </w:rPr>
      </w:pPr>
      <w:r w:rsidRPr="002A6CAC">
        <w:rPr>
          <w:rFonts w:ascii="Palatino Linotype" w:hAnsi="Palatino Linotype"/>
          <w:i/>
        </w:rPr>
        <w:t>XVI. Revisar el informe mensual que le remita el Tesorero, y en su caso formular las observaciones correspondientes.</w:t>
      </w:r>
    </w:p>
    <w:p w:rsidR="002A6CAC" w:rsidRPr="002A6CAC" w:rsidRDefault="002A6CAC" w:rsidP="002A6CAC">
      <w:pPr>
        <w:pStyle w:val="Sinespaciado"/>
        <w:ind w:left="567" w:right="567"/>
        <w:jc w:val="both"/>
        <w:rPr>
          <w:rFonts w:ascii="Palatino Linotype" w:hAnsi="Palatino Linotype"/>
          <w:i/>
        </w:rPr>
      </w:pPr>
      <w:r w:rsidRPr="002A6CAC">
        <w:rPr>
          <w:rFonts w:ascii="Palatino Linotype" w:hAnsi="Palatino Linotype"/>
          <w:i/>
        </w:rPr>
        <w:t>(…)</w:t>
      </w:r>
    </w:p>
    <w:p w:rsidR="002A6CAC" w:rsidRPr="002A6CAC" w:rsidRDefault="002A6CAC" w:rsidP="002A6CAC">
      <w:pPr>
        <w:pStyle w:val="Sinespaciado"/>
        <w:ind w:left="567" w:right="567"/>
        <w:jc w:val="both"/>
        <w:rPr>
          <w:rFonts w:ascii="Palatino Linotype" w:hAnsi="Palatino Linotype"/>
          <w:i/>
        </w:rPr>
      </w:pPr>
    </w:p>
    <w:p w:rsidR="002A6CAC" w:rsidRPr="002A6CAC" w:rsidRDefault="002A6CAC" w:rsidP="002A6CAC">
      <w:pPr>
        <w:pStyle w:val="Sinespaciado"/>
        <w:ind w:left="567" w:right="567"/>
        <w:jc w:val="both"/>
        <w:rPr>
          <w:rFonts w:ascii="Palatino Linotype" w:hAnsi="Palatino Linotype"/>
          <w:i/>
        </w:rPr>
      </w:pPr>
      <w:r w:rsidRPr="002A6CAC">
        <w:rPr>
          <w:rFonts w:ascii="Palatino Linotype" w:hAnsi="Palatino Linotype"/>
          <w:b/>
          <w:bCs/>
          <w:i/>
        </w:rPr>
        <w:t xml:space="preserve">Artículo 95.- </w:t>
      </w:r>
      <w:r w:rsidRPr="002A6CAC">
        <w:rPr>
          <w:rFonts w:ascii="Palatino Linotype" w:hAnsi="Palatino Linotype"/>
          <w:i/>
        </w:rPr>
        <w:t>Son atribuciones del tesorero municipal:</w:t>
      </w:r>
    </w:p>
    <w:p w:rsidR="002A6CAC" w:rsidRPr="002A6CAC" w:rsidRDefault="002A6CAC" w:rsidP="002A6CAC">
      <w:pPr>
        <w:pStyle w:val="Sinespaciado"/>
        <w:ind w:left="567" w:right="567"/>
        <w:jc w:val="both"/>
        <w:rPr>
          <w:rFonts w:ascii="Palatino Linotype" w:hAnsi="Palatino Linotype"/>
          <w:i/>
        </w:rPr>
      </w:pPr>
      <w:r w:rsidRPr="002A6CAC">
        <w:rPr>
          <w:rFonts w:ascii="Palatino Linotype" w:hAnsi="Palatino Linotype"/>
          <w:i/>
        </w:rPr>
        <w:t>(…)</w:t>
      </w:r>
    </w:p>
    <w:p w:rsidR="002A6CAC" w:rsidRPr="002A6CAC" w:rsidRDefault="002A6CAC" w:rsidP="002A6CAC">
      <w:pPr>
        <w:pStyle w:val="Sinespaciado"/>
        <w:ind w:left="567" w:right="567"/>
        <w:jc w:val="both"/>
        <w:rPr>
          <w:rFonts w:ascii="Palatino Linotype" w:hAnsi="Palatino Linotype"/>
          <w:i/>
        </w:rPr>
      </w:pPr>
      <w:r w:rsidRPr="002A6CAC">
        <w:rPr>
          <w:rFonts w:ascii="Palatino Linotype" w:hAnsi="Palatino Linotype"/>
          <w:i/>
        </w:rPr>
        <w:t>XXI. Entregar oportunamente a él o los Síndicos, según sea el caso, el informe mensual que corresponda, a fin de que se revise, y de ser necesario, para que se formulen las observaciones respectivas.</w:t>
      </w:r>
    </w:p>
    <w:p w:rsidR="002A6CAC" w:rsidRPr="002A6CAC" w:rsidRDefault="002A6CAC" w:rsidP="002A6CAC">
      <w:pPr>
        <w:pStyle w:val="Sinespaciado"/>
        <w:ind w:left="567" w:right="567"/>
        <w:jc w:val="both"/>
        <w:rPr>
          <w:rFonts w:ascii="Palatino Linotype" w:hAnsi="Palatino Linotype"/>
          <w:i/>
        </w:rPr>
      </w:pPr>
      <w:r w:rsidRPr="002A6CAC">
        <w:rPr>
          <w:rFonts w:ascii="Palatino Linotype" w:hAnsi="Palatino Linotype"/>
          <w:i/>
        </w:rPr>
        <w:t>(…)</w:t>
      </w:r>
    </w:p>
    <w:p w:rsidR="002A6CAC" w:rsidRDefault="002A6CAC" w:rsidP="000B5E2B">
      <w:pPr>
        <w:pStyle w:val="Sinespaciado"/>
        <w:spacing w:line="360" w:lineRule="auto"/>
        <w:jc w:val="both"/>
        <w:rPr>
          <w:rFonts w:ascii="Palatino Linotype" w:hAnsi="Palatino Linotype"/>
          <w:sz w:val="24"/>
          <w:szCs w:val="24"/>
        </w:rPr>
      </w:pPr>
    </w:p>
    <w:p w:rsidR="002A6CAC" w:rsidRDefault="002A6CAC"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De los artículos</w:t>
      </w:r>
      <w:r w:rsidR="00F91B55">
        <w:rPr>
          <w:rFonts w:ascii="Palatino Linotype" w:hAnsi="Palatino Linotype"/>
          <w:sz w:val="24"/>
          <w:szCs w:val="24"/>
        </w:rPr>
        <w:t xml:space="preserve"> anteriormente citados se desprende que los tesoreros municipales están obligados a entregar oportunamente al o a los síndicos el informe mensual que corresponda; mientras que los síndicos tienen la atribución de revisar el informe mensual y, en caso de ser necesario, formular las observaciones correspondientes.</w:t>
      </w:r>
    </w:p>
    <w:p w:rsidR="0049115E" w:rsidRDefault="0049115E" w:rsidP="000B5E2B">
      <w:pPr>
        <w:pStyle w:val="Sinespaciado"/>
        <w:spacing w:line="360" w:lineRule="auto"/>
        <w:jc w:val="both"/>
        <w:rPr>
          <w:rFonts w:ascii="Palatino Linotype" w:hAnsi="Palatino Linotype"/>
          <w:sz w:val="24"/>
          <w:szCs w:val="24"/>
        </w:rPr>
      </w:pPr>
    </w:p>
    <w:p w:rsidR="0049115E" w:rsidRDefault="001072A1"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En este punto es importante definir cuál es el informe mensual que se menciona en la solicitud, para lo cual es necesario hacer referencia a la Ley de Fiscalización Superior del Estado de México que es sus artículos 1 y 2 fracciones II y XI</w:t>
      </w:r>
      <w:r w:rsidR="00BD6532">
        <w:rPr>
          <w:rFonts w:ascii="Palatino Linotype" w:hAnsi="Palatino Linotype"/>
          <w:sz w:val="24"/>
          <w:szCs w:val="24"/>
        </w:rPr>
        <w:t>,</w:t>
      </w:r>
      <w:r>
        <w:rPr>
          <w:rFonts w:ascii="Palatino Linotype" w:hAnsi="Palatino Linotype"/>
          <w:sz w:val="24"/>
          <w:szCs w:val="24"/>
        </w:rPr>
        <w:t xml:space="preserve"> dispone lo siguiente:</w:t>
      </w:r>
    </w:p>
    <w:p w:rsidR="001072A1" w:rsidRDefault="001072A1" w:rsidP="000B5E2B">
      <w:pPr>
        <w:pStyle w:val="Sinespaciado"/>
        <w:spacing w:line="360" w:lineRule="auto"/>
        <w:jc w:val="both"/>
        <w:rPr>
          <w:rFonts w:ascii="Palatino Linotype" w:hAnsi="Palatino Linotype"/>
          <w:sz w:val="24"/>
          <w:szCs w:val="24"/>
        </w:rPr>
      </w:pPr>
    </w:p>
    <w:p w:rsidR="001072A1" w:rsidRPr="00D42B44" w:rsidRDefault="001072A1" w:rsidP="00D42B44">
      <w:pPr>
        <w:pStyle w:val="Sinespaciado"/>
        <w:ind w:left="567" w:right="567"/>
        <w:jc w:val="both"/>
        <w:rPr>
          <w:rFonts w:ascii="Palatino Linotype" w:hAnsi="Palatino Linotype"/>
          <w:i/>
        </w:rPr>
      </w:pPr>
      <w:r w:rsidRPr="00D42B44">
        <w:rPr>
          <w:rFonts w:ascii="Palatino Linotype" w:hAnsi="Palatino Linotype"/>
          <w:b/>
          <w:bCs/>
          <w:i/>
        </w:rPr>
        <w:t xml:space="preserve">Artículo 1. </w:t>
      </w:r>
      <w:r w:rsidRPr="00D42B44">
        <w:rPr>
          <w:rFonts w:ascii="Palatino Linotype" w:hAnsi="Palatino Linotype"/>
          <w:b/>
          <w:i/>
          <w:u w:val="single"/>
        </w:rPr>
        <w:t>La presente Ley es de orden público e interés general y tiene por objeto regular la actuación del Órgano Superior de Fiscalización del Estado de México</w:t>
      </w:r>
      <w:r w:rsidRPr="00D42B44">
        <w:rPr>
          <w:rFonts w:ascii="Palatino Linotype" w:hAnsi="Palatino Linotype"/>
          <w:i/>
        </w:rPr>
        <w:t xml:space="preserve">, como la Entidad Estatal de Fiscalización en términos de la Constitución Política de los Estados Unidos Mexicanos y la Constitución Política del Estado Libre y Soberano de México, </w:t>
      </w:r>
      <w:r w:rsidRPr="00D42B44">
        <w:rPr>
          <w:rFonts w:ascii="Palatino Linotype" w:hAnsi="Palatino Linotype"/>
          <w:b/>
          <w:i/>
          <w:u w:val="single"/>
        </w:rPr>
        <w:t>competente en materia de revisión y fiscalización de los fondos, cuentas públicas, deuda pública y actos relativos al ejercicio y aplicación de los recursos públicos de las entidades fiscalizables del Estado de México</w:t>
      </w:r>
      <w:r w:rsidRPr="00D42B44">
        <w:rPr>
          <w:rFonts w:ascii="Palatino Linotype" w:hAnsi="Palatino Linotype"/>
          <w:i/>
        </w:rPr>
        <w:t xml:space="preserve">, asimismo, regular su organización, funcionamiento y atribuciones. </w:t>
      </w:r>
    </w:p>
    <w:p w:rsidR="001072A1" w:rsidRPr="00D42B44" w:rsidRDefault="001072A1" w:rsidP="00D42B44">
      <w:pPr>
        <w:pStyle w:val="Sinespaciado"/>
        <w:ind w:left="567" w:right="567"/>
        <w:jc w:val="both"/>
        <w:rPr>
          <w:rFonts w:ascii="Palatino Linotype" w:hAnsi="Palatino Linotype"/>
          <w:i/>
        </w:rPr>
      </w:pPr>
    </w:p>
    <w:p w:rsidR="001072A1" w:rsidRPr="00D42B44" w:rsidRDefault="001072A1" w:rsidP="00D42B44">
      <w:pPr>
        <w:pStyle w:val="Sinespaciado"/>
        <w:ind w:left="567" w:right="567"/>
        <w:jc w:val="both"/>
        <w:rPr>
          <w:rFonts w:ascii="Palatino Linotype" w:hAnsi="Palatino Linotype"/>
          <w:i/>
        </w:rPr>
      </w:pPr>
      <w:r w:rsidRPr="00D42B44">
        <w:rPr>
          <w:rFonts w:ascii="Palatino Linotype" w:hAnsi="Palatino Linotype"/>
          <w:i/>
        </w:rPr>
        <w:t xml:space="preserve">Adicionalmente, la evaluación y vigilancia por parte de la Legislatura; así como sus atribuciones para promover las responsabilidades que sean procedentes ante el Tribunal </w:t>
      </w:r>
      <w:r w:rsidRPr="00D42B44">
        <w:rPr>
          <w:rFonts w:ascii="Palatino Linotype" w:hAnsi="Palatino Linotype"/>
          <w:i/>
        </w:rPr>
        <w:lastRenderedPageBreak/>
        <w:t>Estatal de Justicia Administrativa y la Fiscalía Especializada en Combate a la Corrupción y todas aquéllas que se establezcan en otras leyes aplicables.</w:t>
      </w:r>
    </w:p>
    <w:p w:rsidR="001072A1" w:rsidRPr="00D42B44" w:rsidRDefault="001072A1" w:rsidP="00D42B44">
      <w:pPr>
        <w:pStyle w:val="Sinespaciado"/>
        <w:ind w:left="567" w:right="567"/>
        <w:jc w:val="both"/>
        <w:rPr>
          <w:rFonts w:ascii="Palatino Linotype" w:hAnsi="Palatino Linotype"/>
          <w:i/>
        </w:rPr>
      </w:pPr>
    </w:p>
    <w:p w:rsidR="001072A1" w:rsidRPr="00D42B44" w:rsidRDefault="001072A1" w:rsidP="00D42B44">
      <w:pPr>
        <w:pStyle w:val="Sinespaciado"/>
        <w:ind w:left="567" w:right="567"/>
        <w:jc w:val="both"/>
        <w:rPr>
          <w:rFonts w:ascii="Palatino Linotype" w:hAnsi="Palatino Linotype"/>
          <w:i/>
        </w:rPr>
      </w:pPr>
      <w:r w:rsidRPr="00D42B44">
        <w:rPr>
          <w:rFonts w:ascii="Palatino Linotype" w:hAnsi="Palatino Linotype"/>
          <w:b/>
          <w:bCs/>
          <w:i/>
        </w:rPr>
        <w:t xml:space="preserve">Artículo 2. </w:t>
      </w:r>
      <w:r w:rsidRPr="00D42B44">
        <w:rPr>
          <w:rFonts w:ascii="Palatino Linotype" w:hAnsi="Palatino Linotype"/>
          <w:i/>
        </w:rPr>
        <w:t>Para los efectos de la presente Ley, se entenderá por:</w:t>
      </w:r>
    </w:p>
    <w:p w:rsidR="001072A1" w:rsidRPr="00D42B44" w:rsidRDefault="001072A1" w:rsidP="00D42B44">
      <w:pPr>
        <w:pStyle w:val="Sinespaciado"/>
        <w:ind w:left="567" w:right="567"/>
        <w:jc w:val="both"/>
        <w:rPr>
          <w:rFonts w:ascii="Palatino Linotype" w:hAnsi="Palatino Linotype"/>
          <w:i/>
        </w:rPr>
      </w:pPr>
      <w:r w:rsidRPr="00D42B44">
        <w:rPr>
          <w:rFonts w:ascii="Palatino Linotype" w:hAnsi="Palatino Linotype"/>
          <w:i/>
        </w:rPr>
        <w:t>(…)</w:t>
      </w:r>
    </w:p>
    <w:p w:rsidR="001072A1" w:rsidRPr="00D42B44" w:rsidRDefault="001072A1" w:rsidP="00D42B44">
      <w:pPr>
        <w:pStyle w:val="Sinespaciado"/>
        <w:ind w:left="567" w:right="567"/>
        <w:jc w:val="both"/>
        <w:rPr>
          <w:rFonts w:ascii="Palatino Linotype" w:hAnsi="Palatino Linotype"/>
          <w:i/>
        </w:rPr>
      </w:pPr>
    </w:p>
    <w:p w:rsidR="001072A1" w:rsidRPr="00D42B44" w:rsidRDefault="001072A1" w:rsidP="00D42B44">
      <w:pPr>
        <w:pStyle w:val="Sinespaciado"/>
        <w:ind w:left="567" w:right="567"/>
        <w:jc w:val="both"/>
        <w:rPr>
          <w:rFonts w:ascii="Palatino Linotype" w:hAnsi="Palatino Linotype"/>
          <w:i/>
        </w:rPr>
      </w:pPr>
      <w:r w:rsidRPr="00D42B44">
        <w:rPr>
          <w:rFonts w:ascii="Palatino Linotype" w:hAnsi="Palatino Linotype"/>
          <w:b/>
          <w:bCs/>
          <w:i/>
        </w:rPr>
        <w:t xml:space="preserve">II. </w:t>
      </w:r>
      <w:r w:rsidRPr="00D42B44">
        <w:rPr>
          <w:rFonts w:ascii="Palatino Linotype" w:hAnsi="Palatino Linotype"/>
          <w:b/>
          <w:i/>
          <w:u w:val="single"/>
        </w:rPr>
        <w:t>Municipios: A los Municipios del Estado</w:t>
      </w:r>
      <w:r w:rsidRPr="00D42B44">
        <w:rPr>
          <w:rFonts w:ascii="Palatino Linotype" w:hAnsi="Palatino Linotype"/>
          <w:i/>
        </w:rPr>
        <w:t xml:space="preserve">; </w:t>
      </w:r>
    </w:p>
    <w:p w:rsidR="001072A1" w:rsidRPr="00D42B44" w:rsidRDefault="001072A1" w:rsidP="00D42B44">
      <w:pPr>
        <w:pStyle w:val="Sinespaciado"/>
        <w:ind w:left="567" w:right="567"/>
        <w:jc w:val="both"/>
        <w:rPr>
          <w:rFonts w:ascii="Palatino Linotype" w:hAnsi="Palatino Linotype"/>
          <w:i/>
        </w:rPr>
      </w:pPr>
      <w:r w:rsidRPr="00D42B44">
        <w:rPr>
          <w:rFonts w:ascii="Palatino Linotype" w:hAnsi="Palatino Linotype"/>
          <w:i/>
        </w:rPr>
        <w:t>(…)</w:t>
      </w:r>
    </w:p>
    <w:p w:rsidR="001072A1" w:rsidRPr="00D42B44" w:rsidRDefault="001072A1" w:rsidP="00D42B44">
      <w:pPr>
        <w:pStyle w:val="Sinespaciado"/>
        <w:ind w:left="567" w:right="567"/>
        <w:jc w:val="both"/>
        <w:rPr>
          <w:rFonts w:ascii="Palatino Linotype" w:hAnsi="Palatino Linotype"/>
          <w:i/>
        </w:rPr>
      </w:pPr>
      <w:r w:rsidRPr="00D42B44">
        <w:rPr>
          <w:rFonts w:ascii="Palatino Linotype" w:hAnsi="Palatino Linotype"/>
          <w:b/>
          <w:bCs/>
          <w:i/>
        </w:rPr>
        <w:t xml:space="preserve">XI. </w:t>
      </w:r>
      <w:r w:rsidRPr="00D42B44">
        <w:rPr>
          <w:rFonts w:ascii="Palatino Linotype" w:hAnsi="Palatino Linotype"/>
          <w:b/>
          <w:i/>
          <w:u w:val="single"/>
        </w:rPr>
        <w:t>Informe Mensual: Al documento que mensualmente envían para su análisis al Órgano Superior de Fiscalización de la Legislatura, las Tesorerías Municipales</w:t>
      </w:r>
      <w:r w:rsidRPr="00D42B44">
        <w:rPr>
          <w:rFonts w:ascii="Palatino Linotype" w:hAnsi="Palatino Linotype"/>
          <w:i/>
        </w:rPr>
        <w:t xml:space="preserve"> y la Secretaría de Finanzas; </w:t>
      </w:r>
    </w:p>
    <w:p w:rsidR="001072A1" w:rsidRDefault="001072A1" w:rsidP="00D42B44">
      <w:pPr>
        <w:pStyle w:val="Sinespaciado"/>
        <w:ind w:left="567" w:right="567"/>
        <w:jc w:val="both"/>
        <w:rPr>
          <w:rFonts w:ascii="Palatino Linotype" w:hAnsi="Palatino Linotype"/>
          <w:sz w:val="24"/>
          <w:szCs w:val="24"/>
        </w:rPr>
      </w:pPr>
      <w:r w:rsidRPr="00D42B44">
        <w:rPr>
          <w:rFonts w:ascii="Palatino Linotype" w:hAnsi="Palatino Linotype"/>
          <w:i/>
        </w:rPr>
        <w:t>(…)</w:t>
      </w:r>
    </w:p>
    <w:p w:rsidR="001072A1" w:rsidRDefault="001072A1" w:rsidP="000B5E2B">
      <w:pPr>
        <w:pStyle w:val="Sinespaciado"/>
        <w:spacing w:line="360" w:lineRule="auto"/>
        <w:jc w:val="both"/>
        <w:rPr>
          <w:rFonts w:ascii="Palatino Linotype" w:hAnsi="Palatino Linotype"/>
          <w:sz w:val="24"/>
          <w:szCs w:val="24"/>
        </w:rPr>
      </w:pPr>
    </w:p>
    <w:p w:rsidR="00D42B44" w:rsidRDefault="00D42B44"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el informe mensual al que se hace referencia en la solicitud es el que las tesorerías municipales están obligadas a entregar para su análisis al Órgano Superior de Fiscalización del Estado de México</w:t>
      </w:r>
      <w:r w:rsidR="00940AB1">
        <w:rPr>
          <w:rFonts w:ascii="Palatino Linotype" w:hAnsi="Palatino Linotype"/>
          <w:sz w:val="24"/>
          <w:szCs w:val="24"/>
        </w:rPr>
        <w:t xml:space="preserve">, que es el </w:t>
      </w:r>
      <w:r w:rsidR="00940AB1" w:rsidRPr="00940AB1">
        <w:rPr>
          <w:rFonts w:ascii="Palatino Linotype" w:hAnsi="Palatino Linotype"/>
          <w:sz w:val="24"/>
          <w:szCs w:val="24"/>
        </w:rPr>
        <w:t>competente en materia de revisión y fiscalización de los fondos, cuentas públicas, deuda pública y actos relativos al ejercicio y aplicación de los recursos públicos de las entidades fiscalizables del Estado de México</w:t>
      </w:r>
      <w:r w:rsidR="00940AB1">
        <w:rPr>
          <w:rFonts w:ascii="Palatino Linotype" w:hAnsi="Palatino Linotype"/>
          <w:sz w:val="24"/>
          <w:szCs w:val="24"/>
        </w:rPr>
        <w:t>.</w:t>
      </w:r>
    </w:p>
    <w:p w:rsidR="00940AB1" w:rsidRDefault="00940AB1" w:rsidP="000B5E2B">
      <w:pPr>
        <w:pStyle w:val="Sinespaciado"/>
        <w:spacing w:line="360" w:lineRule="auto"/>
        <w:jc w:val="both"/>
        <w:rPr>
          <w:rFonts w:ascii="Palatino Linotype" w:hAnsi="Palatino Linotype"/>
          <w:sz w:val="24"/>
          <w:szCs w:val="24"/>
        </w:rPr>
      </w:pPr>
    </w:p>
    <w:p w:rsidR="00940AB1" w:rsidRDefault="00940AB1"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Una vez establecido lo anterior, es conveniente analizar la respuesta del Sujeto Obligado, pues éste considera que la petición del Recurrente no está encaminada a ejercer el derecho de acceso a la información, sino que está dirigida a obtener una aclaración y/o contestación a planteamientos particulares.</w:t>
      </w:r>
    </w:p>
    <w:p w:rsidR="00940AB1" w:rsidRPr="00755E83" w:rsidRDefault="00940AB1" w:rsidP="000B5E2B">
      <w:pPr>
        <w:pStyle w:val="Sinespaciado"/>
        <w:spacing w:line="360" w:lineRule="auto"/>
        <w:jc w:val="both"/>
        <w:rPr>
          <w:rFonts w:ascii="Palatino Linotype" w:hAnsi="Palatino Linotype"/>
          <w:sz w:val="24"/>
          <w:szCs w:val="24"/>
        </w:rPr>
      </w:pPr>
    </w:p>
    <w:p w:rsidR="00755E83" w:rsidRPr="00755E83" w:rsidRDefault="00940AB1" w:rsidP="00755E83">
      <w:pPr>
        <w:pStyle w:val="Sinespaciado"/>
        <w:spacing w:line="360" w:lineRule="auto"/>
        <w:jc w:val="both"/>
        <w:rPr>
          <w:rFonts w:ascii="Palatino Linotype" w:hAnsi="Palatino Linotype"/>
          <w:sz w:val="24"/>
          <w:szCs w:val="24"/>
        </w:rPr>
      </w:pPr>
      <w:r w:rsidRPr="00755E83">
        <w:rPr>
          <w:rFonts w:ascii="Palatino Linotype" w:hAnsi="Palatino Linotype"/>
          <w:sz w:val="24"/>
          <w:szCs w:val="24"/>
        </w:rPr>
        <w:t>Por tal motivo</w:t>
      </w:r>
      <w:r w:rsidR="00755E83" w:rsidRPr="00755E83">
        <w:rPr>
          <w:rFonts w:ascii="Palatino Linotype" w:hAnsi="Palatino Linotype"/>
          <w:sz w:val="24"/>
          <w:szCs w:val="24"/>
        </w:rPr>
        <w:t>, es importante dejar en claro lo que debe entenderse por derecho de petición y por derecho de acceso a la información pública.</w:t>
      </w:r>
    </w:p>
    <w:p w:rsidR="00755E83" w:rsidRPr="00755E83" w:rsidRDefault="00755E83" w:rsidP="00755E83">
      <w:pPr>
        <w:pStyle w:val="Sinespaciado"/>
        <w:spacing w:line="360" w:lineRule="auto"/>
        <w:jc w:val="both"/>
        <w:rPr>
          <w:rFonts w:ascii="Palatino Linotype" w:hAnsi="Palatino Linotype"/>
          <w:sz w:val="24"/>
          <w:szCs w:val="24"/>
        </w:rPr>
      </w:pPr>
    </w:p>
    <w:p w:rsidR="00755E83" w:rsidRPr="00755E83" w:rsidRDefault="00755E83" w:rsidP="00755E83">
      <w:pPr>
        <w:pStyle w:val="Sinespaciado"/>
        <w:spacing w:line="360" w:lineRule="auto"/>
        <w:jc w:val="both"/>
        <w:rPr>
          <w:rFonts w:ascii="Palatino Linotype" w:hAnsi="Palatino Linotype"/>
          <w:sz w:val="24"/>
          <w:szCs w:val="24"/>
        </w:rPr>
      </w:pPr>
      <w:r w:rsidRPr="00755E83">
        <w:rPr>
          <w:rFonts w:ascii="Palatino Linotype" w:hAnsi="Palatino Linotype"/>
          <w:sz w:val="24"/>
          <w:szCs w:val="24"/>
        </w:rPr>
        <w:lastRenderedPageBreak/>
        <w:t xml:space="preserve">Por lo que respecta a la definición de derecho de petición, el Maestro Ignacio Burgoa Orihuela refiere: </w:t>
      </w:r>
      <w:r w:rsidRPr="00755E83">
        <w:rPr>
          <w:rFonts w:ascii="Palatino Linotype" w:hAnsi="Palatino Linotype"/>
          <w:i/>
          <w:sz w:val="24"/>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55E83">
        <w:rPr>
          <w:rFonts w:ascii="Palatino Linotype" w:hAnsi="Palatino Linotype"/>
          <w:sz w:val="24"/>
          <w:szCs w:val="24"/>
        </w:rPr>
        <w:t>.</w:t>
      </w:r>
      <w:r w:rsidRPr="00755E83">
        <w:rPr>
          <w:rFonts w:ascii="Palatino Linotype" w:hAnsi="Palatino Linotype"/>
          <w:sz w:val="24"/>
          <w:szCs w:val="24"/>
          <w:vertAlign w:val="superscript"/>
        </w:rPr>
        <w:footnoteReference w:id="2"/>
      </w:r>
      <w:r w:rsidRPr="00755E83">
        <w:rPr>
          <w:rFonts w:ascii="Palatino Linotype" w:hAnsi="Palatino Linotype"/>
          <w:sz w:val="24"/>
          <w:szCs w:val="24"/>
          <w:vertAlign w:val="superscript"/>
        </w:rPr>
        <w:t xml:space="preserve">  </w:t>
      </w:r>
      <w:r w:rsidRPr="00755E83">
        <w:rPr>
          <w:rFonts w:ascii="Palatino Linotype" w:hAnsi="Palatino Linotype"/>
          <w:sz w:val="24"/>
          <w:szCs w:val="24"/>
        </w:rPr>
        <w:t>“(Sic)</w:t>
      </w:r>
    </w:p>
    <w:p w:rsidR="00755E83" w:rsidRPr="00755E83" w:rsidRDefault="00755E83" w:rsidP="00755E83">
      <w:pPr>
        <w:pStyle w:val="Sinespaciado"/>
        <w:spacing w:line="360" w:lineRule="auto"/>
        <w:jc w:val="both"/>
        <w:rPr>
          <w:rFonts w:ascii="Palatino Linotype" w:hAnsi="Palatino Linotype"/>
          <w:sz w:val="24"/>
          <w:szCs w:val="24"/>
        </w:rPr>
      </w:pPr>
    </w:p>
    <w:p w:rsidR="00755E83" w:rsidRPr="00755E83" w:rsidRDefault="00755E83" w:rsidP="00755E83">
      <w:pPr>
        <w:pStyle w:val="Sinespaciado"/>
        <w:spacing w:line="360" w:lineRule="auto"/>
        <w:jc w:val="both"/>
        <w:rPr>
          <w:rFonts w:ascii="Palatino Linotype" w:hAnsi="Palatino Linotype"/>
          <w:sz w:val="24"/>
          <w:szCs w:val="24"/>
        </w:rPr>
      </w:pPr>
      <w:r w:rsidRPr="00755E83">
        <w:rPr>
          <w:rFonts w:ascii="Palatino Linotype" w:hAnsi="Palatino Linotype"/>
          <w:sz w:val="24"/>
          <w:szCs w:val="24"/>
        </w:rPr>
        <w:t xml:space="preserve">Por su parte, David Cienfuegos Salgado, concibe al derecho de petición como </w:t>
      </w:r>
      <w:r w:rsidRPr="00755E83">
        <w:rPr>
          <w:rFonts w:ascii="Palatino Linotype" w:hAnsi="Palatino Linotype"/>
          <w:i/>
          <w:sz w:val="24"/>
          <w:szCs w:val="24"/>
        </w:rPr>
        <w:t>“el derecho de toda persona a ser escuchado por quienes ejercen el poder público.</w:t>
      </w:r>
      <w:r w:rsidRPr="00755E83">
        <w:rPr>
          <w:rFonts w:ascii="Palatino Linotype" w:hAnsi="Palatino Linotype"/>
          <w:i/>
          <w:sz w:val="24"/>
          <w:szCs w:val="24"/>
          <w:vertAlign w:val="superscript"/>
        </w:rPr>
        <w:footnoteReference w:id="3"/>
      </w:r>
      <w:r w:rsidRPr="00755E83">
        <w:rPr>
          <w:rFonts w:ascii="Palatino Linotype" w:hAnsi="Palatino Linotype"/>
          <w:i/>
          <w:sz w:val="24"/>
          <w:szCs w:val="24"/>
        </w:rPr>
        <w:t>”</w:t>
      </w:r>
      <w:r w:rsidRPr="00755E83">
        <w:rPr>
          <w:rFonts w:ascii="Palatino Linotype" w:hAnsi="Palatino Linotype"/>
          <w:sz w:val="24"/>
          <w:szCs w:val="24"/>
        </w:rPr>
        <w:t xml:space="preserve"> (Sic) </w:t>
      </w:r>
    </w:p>
    <w:p w:rsidR="00755E83" w:rsidRPr="00755E83" w:rsidRDefault="00755E83" w:rsidP="00755E83">
      <w:pPr>
        <w:pStyle w:val="Sinespaciado"/>
        <w:spacing w:line="360" w:lineRule="auto"/>
        <w:jc w:val="both"/>
        <w:rPr>
          <w:rFonts w:ascii="Palatino Linotype" w:hAnsi="Palatino Linotype"/>
          <w:sz w:val="24"/>
          <w:szCs w:val="24"/>
        </w:rPr>
      </w:pPr>
    </w:p>
    <w:p w:rsidR="00755E83" w:rsidRPr="00755E83" w:rsidRDefault="00755E83" w:rsidP="00755E83">
      <w:pPr>
        <w:pStyle w:val="Sinespaciado"/>
        <w:spacing w:line="360" w:lineRule="auto"/>
        <w:jc w:val="both"/>
        <w:rPr>
          <w:rFonts w:ascii="Palatino Linotype" w:hAnsi="Palatino Linotype"/>
          <w:sz w:val="24"/>
          <w:szCs w:val="24"/>
        </w:rPr>
      </w:pPr>
      <w:r w:rsidRPr="00755E83">
        <w:rPr>
          <w:rFonts w:ascii="Palatino Linotype" w:hAnsi="Palatino Linotype"/>
          <w:sz w:val="24"/>
          <w:szCs w:val="24"/>
        </w:rPr>
        <w:t xml:space="preserve">A este respecto, y para diferenciar el derecho de petición al derecho de acceso a la información, resulta conducente señalar que José Guadalupe Robles, conceptualiza el derecho a la información como </w:t>
      </w:r>
      <w:r w:rsidRPr="00755E83">
        <w:rPr>
          <w:rFonts w:ascii="Palatino Linotype" w:hAnsi="Palatino Linotype"/>
          <w:i/>
          <w:sz w:val="24"/>
          <w:szCs w:val="24"/>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755E83">
        <w:rPr>
          <w:rFonts w:ascii="Palatino Linotype" w:hAnsi="Palatino Linotype"/>
          <w:i/>
          <w:sz w:val="24"/>
          <w:szCs w:val="24"/>
          <w:vertAlign w:val="superscript"/>
        </w:rPr>
        <w:footnoteReference w:id="4"/>
      </w:r>
      <w:r w:rsidRPr="00755E83">
        <w:rPr>
          <w:rFonts w:ascii="Palatino Linotype" w:hAnsi="Palatino Linotype"/>
          <w:i/>
          <w:sz w:val="24"/>
          <w:szCs w:val="24"/>
        </w:rPr>
        <w:t>“</w:t>
      </w:r>
      <w:r w:rsidRPr="00755E83">
        <w:rPr>
          <w:rFonts w:ascii="Palatino Linotype" w:hAnsi="Palatino Linotype"/>
          <w:sz w:val="24"/>
          <w:szCs w:val="24"/>
        </w:rPr>
        <w:t xml:space="preserve">(Sic) </w:t>
      </w:r>
    </w:p>
    <w:p w:rsidR="00755E83" w:rsidRPr="00755E83" w:rsidRDefault="00755E83" w:rsidP="00755E83">
      <w:pPr>
        <w:pStyle w:val="Sinespaciado"/>
        <w:spacing w:line="360" w:lineRule="auto"/>
        <w:jc w:val="both"/>
        <w:rPr>
          <w:rFonts w:ascii="Palatino Linotype" w:hAnsi="Palatino Linotype"/>
          <w:sz w:val="24"/>
          <w:szCs w:val="24"/>
        </w:rPr>
      </w:pPr>
    </w:p>
    <w:p w:rsidR="00755E83" w:rsidRPr="00755E83" w:rsidRDefault="00755E83" w:rsidP="00755E83">
      <w:pPr>
        <w:pStyle w:val="Sinespaciado"/>
        <w:spacing w:line="360" w:lineRule="auto"/>
        <w:jc w:val="both"/>
        <w:rPr>
          <w:rFonts w:ascii="Palatino Linotype" w:hAnsi="Palatino Linotype"/>
          <w:sz w:val="24"/>
          <w:szCs w:val="24"/>
        </w:rPr>
      </w:pPr>
      <w:r w:rsidRPr="00755E83">
        <w:rPr>
          <w:rFonts w:ascii="Palatino Linotype" w:hAnsi="Palatino Linotype"/>
          <w:sz w:val="24"/>
          <w:szCs w:val="24"/>
        </w:rPr>
        <w:t xml:space="preserve">Además, el derecho a la información constituye una prerrogativa a acceder a documentación en poder de los Sujetos Obligados, no así a realizar cuestionamientos, </w:t>
      </w:r>
      <w:r w:rsidRPr="00755E83">
        <w:rPr>
          <w:rFonts w:ascii="Palatino Linotype" w:hAnsi="Palatino Linotype"/>
          <w:sz w:val="24"/>
          <w:szCs w:val="24"/>
        </w:rPr>
        <w:lastRenderedPageBreak/>
        <w:t xml:space="preserve">o manifestaciones subjetivas. Sirve de apoyo a lo anterior la definición de derecho a la información de Ernesto Villanueva Villanueva que dice: </w:t>
      </w:r>
      <w:r w:rsidRPr="00755E83">
        <w:rPr>
          <w:rFonts w:ascii="Palatino Linotype" w:hAnsi="Palatino Linotype"/>
          <w:i/>
          <w:sz w:val="24"/>
          <w:szCs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755E83">
        <w:rPr>
          <w:rFonts w:ascii="Palatino Linotype" w:hAnsi="Palatino Linotype"/>
          <w:i/>
          <w:sz w:val="24"/>
          <w:szCs w:val="24"/>
          <w:vertAlign w:val="superscript"/>
        </w:rPr>
        <w:footnoteReference w:id="5"/>
      </w:r>
      <w:r w:rsidRPr="00755E83">
        <w:rPr>
          <w:rFonts w:ascii="Palatino Linotype" w:hAnsi="Palatino Linotype"/>
          <w:i/>
          <w:sz w:val="24"/>
          <w:szCs w:val="24"/>
        </w:rPr>
        <w:t>”</w:t>
      </w:r>
      <w:r w:rsidRPr="00755E83">
        <w:rPr>
          <w:rFonts w:ascii="Palatino Linotype" w:hAnsi="Palatino Linotype"/>
          <w:sz w:val="24"/>
          <w:szCs w:val="24"/>
        </w:rPr>
        <w:t xml:space="preserve"> (Sic)  </w:t>
      </w:r>
    </w:p>
    <w:p w:rsidR="00755E83" w:rsidRPr="00755E83" w:rsidRDefault="00755E83" w:rsidP="00755E83">
      <w:pPr>
        <w:pStyle w:val="Sinespaciado"/>
        <w:spacing w:line="360" w:lineRule="auto"/>
        <w:jc w:val="both"/>
        <w:rPr>
          <w:rFonts w:ascii="Palatino Linotype" w:hAnsi="Palatino Linotype"/>
          <w:sz w:val="24"/>
          <w:szCs w:val="24"/>
        </w:rPr>
      </w:pPr>
    </w:p>
    <w:p w:rsidR="00755E83" w:rsidRPr="00755E83" w:rsidRDefault="00755E83" w:rsidP="00755E83">
      <w:pPr>
        <w:pStyle w:val="Sinespaciado"/>
        <w:spacing w:line="360" w:lineRule="auto"/>
        <w:jc w:val="both"/>
        <w:rPr>
          <w:rFonts w:ascii="Palatino Linotype" w:hAnsi="Palatino Linotype"/>
          <w:sz w:val="24"/>
          <w:szCs w:val="24"/>
        </w:rPr>
      </w:pPr>
      <w:r w:rsidRPr="00755E83">
        <w:rPr>
          <w:rFonts w:ascii="Palatino Linotype" w:hAnsi="Palatino Linotype"/>
          <w:sz w:val="24"/>
          <w:szCs w:val="24"/>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55E83" w:rsidRPr="00755E83" w:rsidRDefault="00755E83" w:rsidP="00755E83">
      <w:pPr>
        <w:pStyle w:val="Sinespaciado"/>
        <w:spacing w:line="360" w:lineRule="auto"/>
        <w:jc w:val="both"/>
        <w:rPr>
          <w:rFonts w:ascii="Palatino Linotype" w:hAnsi="Palatino Linotype"/>
          <w:sz w:val="24"/>
          <w:szCs w:val="24"/>
        </w:rPr>
      </w:pPr>
    </w:p>
    <w:p w:rsidR="00755E83" w:rsidRPr="001720EF" w:rsidRDefault="00755E83" w:rsidP="00755E83">
      <w:pPr>
        <w:pStyle w:val="Sinespaciado"/>
        <w:ind w:left="567" w:right="567"/>
        <w:jc w:val="center"/>
        <w:rPr>
          <w:rFonts w:ascii="Palatino Linotype" w:hAnsi="Palatino Linotype"/>
          <w:b/>
          <w:i/>
        </w:rPr>
      </w:pPr>
      <w:r w:rsidRPr="001720EF">
        <w:rPr>
          <w:rFonts w:ascii="Palatino Linotype" w:hAnsi="Palatino Linotype"/>
          <w:b/>
          <w:i/>
        </w:rPr>
        <w:t>CRITERIO 0002-11</w:t>
      </w:r>
    </w:p>
    <w:p w:rsidR="00755E83" w:rsidRDefault="00755E83" w:rsidP="00755E83">
      <w:pPr>
        <w:pStyle w:val="Sinespaciado"/>
        <w:ind w:left="567" w:right="567"/>
        <w:jc w:val="both"/>
        <w:rPr>
          <w:rFonts w:ascii="Palatino Linotype" w:hAnsi="Palatino Linotype"/>
          <w:i/>
        </w:rPr>
      </w:pPr>
      <w:r w:rsidRPr="001720EF">
        <w:rPr>
          <w:rFonts w:ascii="Palatino Linotype" w:hAnsi="Palatino Linotype"/>
          <w:b/>
          <w:i/>
        </w:rPr>
        <w:t>INFORMACIÓN PÚBLICA, CONCEPTO DE, EN MATERIA DE TRANSPARENCIA. INTERPRETACIÓN TEMÁTICA DE LOS ARTÍCULOS 2, FRACCIÓN V, XV, Y XVI, 3, 4, 11 Y 41.</w:t>
      </w:r>
      <w:r w:rsidRPr="00000B68">
        <w:rPr>
          <w:rFonts w:ascii="Palatino Linotype" w:hAnsi="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55E83" w:rsidRPr="00000B68" w:rsidRDefault="00755E83" w:rsidP="00755E83">
      <w:pPr>
        <w:pStyle w:val="Sinespaciado"/>
        <w:ind w:left="567" w:right="567"/>
        <w:jc w:val="both"/>
        <w:rPr>
          <w:rFonts w:ascii="Palatino Linotype" w:hAnsi="Palatino Linotype"/>
        </w:rPr>
      </w:pPr>
    </w:p>
    <w:p w:rsidR="00755E83" w:rsidRPr="00000B68" w:rsidRDefault="00755E83" w:rsidP="00755E83">
      <w:pPr>
        <w:pStyle w:val="Sinespaciado"/>
        <w:ind w:left="567" w:right="567"/>
        <w:jc w:val="both"/>
        <w:rPr>
          <w:rFonts w:ascii="Palatino Linotype" w:hAnsi="Palatino Linotype"/>
          <w:i/>
        </w:rPr>
      </w:pPr>
      <w:r w:rsidRPr="00000B68">
        <w:rPr>
          <w:rFonts w:ascii="Palatino Linotype" w:hAnsi="Palatino Linotype"/>
          <w:i/>
        </w:rPr>
        <w:t>En consecuencia el acceso a la información se refiere a que se cumplan cualquiera de los siguientes tres supuestos:</w:t>
      </w:r>
    </w:p>
    <w:p w:rsidR="00755E83" w:rsidRPr="00000B68" w:rsidRDefault="00755E83" w:rsidP="00755E83">
      <w:pPr>
        <w:pStyle w:val="Sinespaciado"/>
        <w:ind w:left="567" w:right="567"/>
        <w:jc w:val="both"/>
        <w:rPr>
          <w:rFonts w:ascii="Palatino Linotype" w:hAnsi="Palatino Linotype"/>
          <w:i/>
        </w:rPr>
      </w:pPr>
    </w:p>
    <w:p w:rsidR="00755E83" w:rsidRPr="00000B68" w:rsidRDefault="00755E83" w:rsidP="00755E83">
      <w:pPr>
        <w:pStyle w:val="Sinespaciado"/>
        <w:ind w:left="567" w:right="567"/>
        <w:jc w:val="both"/>
        <w:rPr>
          <w:rFonts w:ascii="Palatino Linotype" w:hAnsi="Palatino Linotype"/>
          <w:i/>
        </w:rPr>
      </w:pPr>
      <w:r w:rsidRPr="00000B68">
        <w:rPr>
          <w:rFonts w:ascii="Palatino Linotype" w:hAnsi="Palatino Linotype"/>
          <w:i/>
        </w:rPr>
        <w:t>Que se trate de información registrada en cualquier soporte documental, que en ejercicio de las atribuciones conferidas, sea generada por los Sujetos Obligados;</w:t>
      </w:r>
    </w:p>
    <w:p w:rsidR="00755E83" w:rsidRPr="00000B68" w:rsidRDefault="00755E83" w:rsidP="00755E83">
      <w:pPr>
        <w:pStyle w:val="Sinespaciado"/>
        <w:ind w:left="567" w:right="567"/>
        <w:jc w:val="both"/>
        <w:rPr>
          <w:rFonts w:ascii="Palatino Linotype" w:hAnsi="Palatino Linotype"/>
          <w:i/>
        </w:rPr>
      </w:pPr>
    </w:p>
    <w:p w:rsidR="00755E83" w:rsidRPr="00000B68" w:rsidRDefault="00755E83" w:rsidP="00755E83">
      <w:pPr>
        <w:pStyle w:val="Sinespaciado"/>
        <w:ind w:left="567" w:right="567"/>
        <w:jc w:val="both"/>
        <w:rPr>
          <w:rFonts w:ascii="Palatino Linotype" w:hAnsi="Palatino Linotype"/>
          <w:i/>
        </w:rPr>
      </w:pPr>
      <w:r w:rsidRPr="00000B68">
        <w:rPr>
          <w:rFonts w:ascii="Palatino Linotype" w:hAnsi="Palatino Linotype"/>
          <w:i/>
        </w:rPr>
        <w:lastRenderedPageBreak/>
        <w:t>Que se trate de información registrada en cualquier soporte documental, que en ejercicio de las atribuciones conferidas, sea administrada por los Sujetos Obligados, y</w:t>
      </w:r>
    </w:p>
    <w:p w:rsidR="00755E83" w:rsidRPr="00000B68" w:rsidRDefault="00755E83" w:rsidP="00755E83">
      <w:pPr>
        <w:pStyle w:val="Sinespaciado"/>
        <w:ind w:left="567" w:right="567"/>
        <w:jc w:val="both"/>
        <w:rPr>
          <w:rFonts w:ascii="Palatino Linotype" w:hAnsi="Palatino Linotype"/>
          <w:i/>
        </w:rPr>
      </w:pPr>
    </w:p>
    <w:p w:rsidR="00755E83" w:rsidRPr="00000B68" w:rsidRDefault="00755E83" w:rsidP="00755E83">
      <w:pPr>
        <w:pStyle w:val="Sinespaciado"/>
        <w:ind w:left="567" w:right="567"/>
        <w:jc w:val="both"/>
        <w:rPr>
          <w:rFonts w:ascii="Palatino Linotype" w:hAnsi="Palatino Linotype"/>
          <w:i/>
        </w:rPr>
      </w:pPr>
      <w:r w:rsidRPr="00000B68">
        <w:rPr>
          <w:rFonts w:ascii="Palatino Linotype" w:hAnsi="Palatino Linotype"/>
          <w:i/>
        </w:rPr>
        <w:t>Que se trate de información registrada en cualquier soporte documental, que en ejercicio de las atribuciones conferidas, se encuentre en posesión de los Sujetos Obligados.”</w:t>
      </w:r>
    </w:p>
    <w:p w:rsidR="00755E83" w:rsidRPr="00755E83" w:rsidRDefault="00755E83" w:rsidP="00755E83">
      <w:pPr>
        <w:pStyle w:val="Sinespaciado"/>
        <w:spacing w:line="360" w:lineRule="auto"/>
        <w:jc w:val="both"/>
        <w:rPr>
          <w:rFonts w:ascii="Palatino Linotype" w:hAnsi="Palatino Linotype"/>
          <w:sz w:val="24"/>
          <w:szCs w:val="24"/>
        </w:rPr>
      </w:pPr>
    </w:p>
    <w:p w:rsidR="00940AB1" w:rsidRPr="00755E83" w:rsidRDefault="00755E83" w:rsidP="00755E83">
      <w:pPr>
        <w:pStyle w:val="Sinespaciado"/>
        <w:spacing w:line="360" w:lineRule="auto"/>
        <w:jc w:val="both"/>
        <w:rPr>
          <w:rFonts w:ascii="Palatino Linotype" w:hAnsi="Palatino Linotype"/>
          <w:sz w:val="24"/>
          <w:szCs w:val="24"/>
        </w:rPr>
      </w:pPr>
      <w:r w:rsidRPr="00755E83">
        <w:rPr>
          <w:rFonts w:ascii="Palatino Linotype" w:hAnsi="Palatino Linotype"/>
          <w:sz w:val="24"/>
          <w:szCs w:val="24"/>
        </w:rPr>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rsidR="001072A1" w:rsidRPr="00755E83" w:rsidRDefault="001072A1" w:rsidP="000B5E2B">
      <w:pPr>
        <w:pStyle w:val="Sinespaciado"/>
        <w:spacing w:line="360" w:lineRule="auto"/>
        <w:jc w:val="both"/>
        <w:rPr>
          <w:rFonts w:ascii="Palatino Linotype" w:hAnsi="Palatino Linotype"/>
          <w:sz w:val="24"/>
          <w:szCs w:val="24"/>
        </w:rPr>
      </w:pPr>
    </w:p>
    <w:p w:rsidR="002A6CAC" w:rsidRDefault="00755E83"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E</w:t>
      </w:r>
      <w:r w:rsidR="00352CFB">
        <w:rPr>
          <w:rFonts w:ascii="Palatino Linotype" w:hAnsi="Palatino Linotype"/>
          <w:sz w:val="24"/>
          <w:szCs w:val="24"/>
        </w:rPr>
        <w:t>n ese orden de ideas, este Instituto considera que la pretensión del Recurrente es acceder a un documento que el Sujeto Obligado genera, posee o administra en ejercicios de sus funciones y atribuciones, pues como ya ha quedado establecido anteriormente, los tesoreros municipales están obligados a remitir a los síndicos el informe mensual para su revisión, y éstos, a su vez, a emitir las observaciones correspondientes, en caso de ser necesario.</w:t>
      </w:r>
    </w:p>
    <w:p w:rsidR="00352CFB" w:rsidRDefault="00352CFB" w:rsidP="000B5E2B">
      <w:pPr>
        <w:pStyle w:val="Sinespaciado"/>
        <w:spacing w:line="360" w:lineRule="auto"/>
        <w:jc w:val="both"/>
        <w:rPr>
          <w:rFonts w:ascii="Palatino Linotype" w:hAnsi="Palatino Linotype"/>
          <w:sz w:val="24"/>
          <w:szCs w:val="24"/>
        </w:rPr>
      </w:pPr>
    </w:p>
    <w:p w:rsidR="00755E83" w:rsidRDefault="00352CFB"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atendiendo a lo establecido a</w:t>
      </w:r>
      <w:r w:rsidR="00457AF6">
        <w:rPr>
          <w:rFonts w:ascii="Palatino Linotype" w:hAnsi="Palatino Linotype"/>
          <w:sz w:val="24"/>
          <w:szCs w:val="24"/>
        </w:rPr>
        <w:t>l</w:t>
      </w:r>
      <w:r>
        <w:rPr>
          <w:rFonts w:ascii="Palatino Linotype" w:hAnsi="Palatino Linotype"/>
          <w:sz w:val="24"/>
          <w:szCs w:val="24"/>
        </w:rPr>
        <w:t xml:space="preserve"> art</w:t>
      </w:r>
      <w:r w:rsidR="00457AF6">
        <w:rPr>
          <w:rFonts w:ascii="Palatino Linotype" w:hAnsi="Palatino Linotype"/>
          <w:sz w:val="24"/>
          <w:szCs w:val="24"/>
        </w:rPr>
        <w:t>ículo</w:t>
      </w:r>
      <w:r>
        <w:rPr>
          <w:rFonts w:ascii="Palatino Linotype" w:hAnsi="Palatino Linotype"/>
          <w:sz w:val="24"/>
          <w:szCs w:val="24"/>
        </w:rPr>
        <w:t xml:space="preserve"> 18 de la Ley de Transparencia estatal, los sujetos obligados deben documentar todo acto que derive del ejercicio de sus facultades, competencias o funciones</w:t>
      </w:r>
      <w:r w:rsidR="00457AF6">
        <w:rPr>
          <w:rFonts w:ascii="Palatino Linotype" w:hAnsi="Palatino Linotype"/>
          <w:sz w:val="24"/>
          <w:szCs w:val="24"/>
        </w:rPr>
        <w:t xml:space="preserve">, considerando desde su origen la eventual publicidad y reutilización de la información. Debiendo entenderse como documento a los expedientes, reportes, estudios, actas, resoluciones, oficios, correspondencia, </w:t>
      </w:r>
      <w:r w:rsidR="00457AF6">
        <w:rPr>
          <w:rFonts w:ascii="Palatino Linotype" w:hAnsi="Palatino Linotype"/>
          <w:sz w:val="24"/>
          <w:szCs w:val="24"/>
        </w:rPr>
        <w:lastRenderedPageBreak/>
        <w:t>acuerdos, directivas, directrices, circulares, contratos, convenios, instructivos, notas, memorandos</w:t>
      </w:r>
      <w:r w:rsidR="003C7AAC">
        <w:rPr>
          <w:rFonts w:ascii="Palatino Linotype" w:hAnsi="Palatino Linotype"/>
          <w:sz w:val="24"/>
          <w:szCs w:val="24"/>
        </w:rPr>
        <w:t>,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42A5D" w:rsidRDefault="00C42A5D" w:rsidP="000B5E2B">
      <w:pPr>
        <w:pStyle w:val="Sinespaciado"/>
        <w:spacing w:line="360" w:lineRule="auto"/>
        <w:jc w:val="both"/>
        <w:rPr>
          <w:rFonts w:ascii="Palatino Linotype" w:hAnsi="Palatino Linotype"/>
          <w:sz w:val="24"/>
          <w:szCs w:val="24"/>
        </w:rPr>
      </w:pPr>
    </w:p>
    <w:p w:rsidR="003C7AAC" w:rsidRDefault="003C7AAC"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otra parte, no se soslaya el hecho de que el Sujeto Obligado pretendió hacer un cambio de modalidad </w:t>
      </w:r>
      <w:r w:rsidR="00483551">
        <w:rPr>
          <w:rFonts w:ascii="Palatino Linotype" w:hAnsi="Palatino Linotype"/>
          <w:sz w:val="24"/>
          <w:szCs w:val="24"/>
        </w:rPr>
        <w:t>en la entrega de la información, pues condicionó al hoy Recurrente a acudir personalmente para poner a su disposición los medios necesarios para acceder a la información detallada.</w:t>
      </w:r>
    </w:p>
    <w:p w:rsidR="00755E83" w:rsidRDefault="00755E83" w:rsidP="000B5E2B">
      <w:pPr>
        <w:pStyle w:val="Sinespaciado"/>
        <w:spacing w:line="360" w:lineRule="auto"/>
        <w:jc w:val="both"/>
        <w:rPr>
          <w:rFonts w:ascii="Palatino Linotype" w:hAnsi="Palatino Linotype"/>
          <w:sz w:val="24"/>
          <w:szCs w:val="24"/>
        </w:rPr>
      </w:pPr>
    </w:p>
    <w:p w:rsidR="009B4392" w:rsidRDefault="009B4392"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Al respecto, este Instituto considera que el cambio de modalidad no es procedente debido a que el Sujeto Obligado no</w:t>
      </w:r>
      <w:r w:rsidR="00483551">
        <w:rPr>
          <w:rFonts w:ascii="Palatino Linotype" w:hAnsi="Palatino Linotype"/>
          <w:sz w:val="24"/>
          <w:szCs w:val="24"/>
        </w:rPr>
        <w:t xml:space="preserve"> fundamentó ni motivos </w:t>
      </w:r>
      <w:r w:rsidR="00243440">
        <w:rPr>
          <w:rFonts w:ascii="Palatino Linotype" w:hAnsi="Palatino Linotype"/>
          <w:sz w:val="24"/>
          <w:szCs w:val="24"/>
        </w:rPr>
        <w:t xml:space="preserve">suficientemente la </w:t>
      </w:r>
      <w:r w:rsidR="00483551">
        <w:rPr>
          <w:rFonts w:ascii="Palatino Linotype" w:hAnsi="Palatino Linotype"/>
          <w:sz w:val="24"/>
          <w:szCs w:val="24"/>
        </w:rPr>
        <w:t xml:space="preserve">razón por la cual no puede entregar la información en la modalidad seleccionada por el particular, pues únicamente arguyó que la petición del Recurrente no se podía considerar como el ejercicio de acceso a la información pública. </w:t>
      </w:r>
    </w:p>
    <w:p w:rsidR="00243440" w:rsidRDefault="00243440" w:rsidP="000B5E2B">
      <w:pPr>
        <w:pStyle w:val="Sinespaciado"/>
        <w:spacing w:line="360" w:lineRule="auto"/>
        <w:jc w:val="both"/>
        <w:rPr>
          <w:rFonts w:ascii="Palatino Linotype" w:hAnsi="Palatino Linotype"/>
          <w:sz w:val="24"/>
          <w:szCs w:val="24"/>
        </w:rPr>
      </w:pPr>
    </w:p>
    <w:p w:rsidR="00243440" w:rsidRDefault="00243440"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w:t>
      </w:r>
      <w:r w:rsidR="00207F31">
        <w:rPr>
          <w:rFonts w:ascii="Palatino Linotype" w:hAnsi="Palatino Linotype"/>
          <w:sz w:val="24"/>
          <w:szCs w:val="24"/>
        </w:rPr>
        <w:t xml:space="preserve">este Órgano Garante considera que no se </w:t>
      </w:r>
      <w:r w:rsidR="00483551">
        <w:rPr>
          <w:rFonts w:ascii="Palatino Linotype" w:hAnsi="Palatino Linotype"/>
          <w:sz w:val="24"/>
          <w:szCs w:val="24"/>
        </w:rPr>
        <w:t xml:space="preserve">fundamentó ni </w:t>
      </w:r>
      <w:r w:rsidR="00207F31">
        <w:rPr>
          <w:rFonts w:ascii="Palatino Linotype" w:hAnsi="Palatino Linotype"/>
          <w:sz w:val="24"/>
          <w:szCs w:val="24"/>
        </w:rPr>
        <w:t xml:space="preserve">motivó de manera exhaustiva, pues no aportó los elementos suficientes que permitieran </w:t>
      </w:r>
      <w:r w:rsidR="00E31D50">
        <w:rPr>
          <w:rFonts w:ascii="Palatino Linotype" w:hAnsi="Palatino Linotype"/>
          <w:sz w:val="24"/>
          <w:szCs w:val="24"/>
        </w:rPr>
        <w:t xml:space="preserve">considerar que la información no puede ser entregada vía SAIMEX, sino únicamente en la modalidad de consulta directa. </w:t>
      </w:r>
    </w:p>
    <w:p w:rsidR="00207F31" w:rsidRDefault="00207F31" w:rsidP="000B5E2B">
      <w:pPr>
        <w:pStyle w:val="Sinespaciado"/>
        <w:spacing w:line="360" w:lineRule="auto"/>
        <w:jc w:val="both"/>
        <w:rPr>
          <w:rFonts w:ascii="Palatino Linotype" w:hAnsi="Palatino Linotype"/>
          <w:sz w:val="24"/>
          <w:szCs w:val="24"/>
        </w:rPr>
      </w:pPr>
    </w:p>
    <w:p w:rsidR="00207F31" w:rsidRDefault="00207F31"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Al respecto, se debe entender qué es la debida fundamentación y motivación, para lo cual es aplicable </w:t>
      </w:r>
      <w:r w:rsidR="00646E4D">
        <w:rPr>
          <w:rFonts w:ascii="Palatino Linotype" w:hAnsi="Palatino Linotype"/>
          <w:sz w:val="24"/>
          <w:szCs w:val="24"/>
        </w:rPr>
        <w:t>la siguiente jurisprudencia:</w:t>
      </w:r>
    </w:p>
    <w:p w:rsidR="00646E4D" w:rsidRDefault="00646E4D" w:rsidP="000B5E2B">
      <w:pPr>
        <w:pStyle w:val="Sinespaciado"/>
        <w:spacing w:line="360" w:lineRule="auto"/>
        <w:jc w:val="both"/>
        <w:rPr>
          <w:rFonts w:ascii="Palatino Linotype" w:hAnsi="Palatino Linotype"/>
          <w:sz w:val="24"/>
          <w:szCs w:val="24"/>
        </w:rPr>
      </w:pPr>
    </w:p>
    <w:p w:rsidR="004C0459"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b/>
          <w:i/>
          <w:color w:val="000000" w:themeColor="text1"/>
        </w:rPr>
        <w:t>FUNDAMENTACIÓN Y MOTIVACIÓN.</w:t>
      </w:r>
      <w:r w:rsidRPr="00FF5C90">
        <w:rPr>
          <w:rFonts w:ascii="Palatino Linotype" w:hAnsi="Palatino Linotype" w:cs="Arial"/>
          <w:i/>
          <w:color w:val="000000" w:themeColor="text1"/>
        </w:rPr>
        <w:t xml:space="preserve"> La </w:t>
      </w:r>
      <w:r w:rsidRPr="00FF5C90">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F5C90">
        <w:rPr>
          <w:rFonts w:ascii="Palatino Linotype" w:hAnsi="Palatino Linotype" w:cs="Arial"/>
          <w:i/>
          <w:color w:val="000000" w:themeColor="text1"/>
        </w:rPr>
        <w:t>.</w:t>
      </w:r>
    </w:p>
    <w:p w:rsidR="00646E4D" w:rsidRPr="00FF5C90" w:rsidRDefault="00646E4D" w:rsidP="00646E4D">
      <w:pPr>
        <w:spacing w:line="276" w:lineRule="auto"/>
        <w:ind w:left="567" w:right="567"/>
        <w:contextualSpacing/>
        <w:jc w:val="both"/>
        <w:rPr>
          <w:rFonts w:ascii="Palatino Linotype" w:hAnsi="Palatino Linotype" w:cs="Arial"/>
          <w:i/>
          <w:color w:val="000000" w:themeColor="text1"/>
        </w:rPr>
      </w:pP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SEGUNDO TRIBUNAL COLEGIADO DEL SEXTO CIRCUITO.</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Revisión fiscal 103/88. Instituto Mexicano del Seguro Social. 18 de octubre de 1988. Unanimidad de votos. Ponente: Arnoldo Nájera Virgen. Secretario: Alejandro Responda Rincón.</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4C0459" w:rsidRPr="00FF5C90" w:rsidRDefault="004C0459" w:rsidP="00646E4D">
      <w:pPr>
        <w:spacing w:line="276" w:lineRule="auto"/>
        <w:ind w:left="567" w:right="567"/>
        <w:contextualSpacing/>
        <w:jc w:val="both"/>
        <w:rPr>
          <w:rFonts w:ascii="Palatino Linotype" w:hAnsi="Palatino Linotype" w:cs="Arial"/>
          <w:i/>
          <w:color w:val="000000" w:themeColor="text1"/>
        </w:rPr>
      </w:pPr>
      <w:r w:rsidRPr="00FF5C90">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4C0459" w:rsidRPr="00FF5C90" w:rsidRDefault="004C0459" w:rsidP="004C0459">
      <w:pPr>
        <w:spacing w:after="120" w:line="360" w:lineRule="auto"/>
        <w:ind w:left="709" w:right="425"/>
        <w:contextualSpacing/>
        <w:jc w:val="both"/>
        <w:rPr>
          <w:rFonts w:ascii="Palatino Linotype" w:hAnsi="Palatino Linotype" w:cs="Arial"/>
          <w:color w:val="000000" w:themeColor="text1"/>
        </w:rPr>
      </w:pPr>
    </w:p>
    <w:p w:rsidR="004C0459" w:rsidRPr="00646E4D" w:rsidRDefault="004C0459" w:rsidP="00646E4D">
      <w:pPr>
        <w:pStyle w:val="Sinespaciado"/>
        <w:spacing w:line="360" w:lineRule="auto"/>
        <w:jc w:val="both"/>
        <w:rPr>
          <w:rFonts w:ascii="Palatino Linotype" w:hAnsi="Palatino Linotype"/>
          <w:sz w:val="24"/>
          <w:szCs w:val="24"/>
        </w:rPr>
      </w:pPr>
      <w:r w:rsidRPr="00646E4D">
        <w:rPr>
          <w:rFonts w:ascii="Palatino Linotype"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C0459" w:rsidRPr="00646E4D" w:rsidRDefault="004C0459" w:rsidP="00646E4D">
      <w:pPr>
        <w:pStyle w:val="Sinespaciado"/>
        <w:spacing w:line="360" w:lineRule="auto"/>
        <w:jc w:val="both"/>
        <w:rPr>
          <w:rFonts w:ascii="Palatino Linotype" w:hAnsi="Palatino Linotype"/>
          <w:sz w:val="24"/>
          <w:szCs w:val="24"/>
        </w:rPr>
      </w:pPr>
    </w:p>
    <w:p w:rsidR="004C0459" w:rsidRDefault="00646E4D" w:rsidP="00646E4D">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el caso en concreto, lo anterior no se realizó, dado que no se acreditaron las razones, motivos o circunstancias impiden al Sujeto Obligado hacer entrega de la información solicitada, por lo que lo conducente es ordenar la entrega de</w:t>
      </w:r>
      <w:r w:rsidR="00E31D50">
        <w:rPr>
          <w:rFonts w:ascii="Palatino Linotype" w:hAnsi="Palatino Linotype"/>
          <w:sz w:val="24"/>
          <w:szCs w:val="24"/>
        </w:rPr>
        <w:t xml:space="preserve"> las observaciones realizadas por la Sindicatura a los informes mensuales remitidos por el Tesorero Municipal que se hayan generado desde el primero de enero al nueve de septiembre de dos mil nueve, lo anterior</w:t>
      </w:r>
      <w:r>
        <w:rPr>
          <w:rFonts w:ascii="Palatino Linotype" w:hAnsi="Palatino Linotype"/>
          <w:sz w:val="24"/>
          <w:szCs w:val="24"/>
        </w:rPr>
        <w:t xml:space="preserve"> en versión pública de ser necesario.</w:t>
      </w:r>
    </w:p>
    <w:p w:rsidR="004C0459" w:rsidRDefault="004C0459" w:rsidP="00646E4D">
      <w:pPr>
        <w:pStyle w:val="Sinespaciado"/>
        <w:spacing w:line="360" w:lineRule="auto"/>
        <w:jc w:val="both"/>
        <w:rPr>
          <w:rFonts w:ascii="Palatino Linotype" w:hAnsi="Palatino Linotype"/>
          <w:sz w:val="24"/>
          <w:szCs w:val="24"/>
        </w:rPr>
      </w:pPr>
    </w:p>
    <w:p w:rsidR="00367BDB" w:rsidRDefault="00367BDB" w:rsidP="00250DDA">
      <w:pPr>
        <w:spacing w:after="0" w:line="360" w:lineRule="auto"/>
        <w:jc w:val="both"/>
        <w:rPr>
          <w:rFonts w:ascii="Palatino Linotype" w:hAnsi="Palatino Linotype"/>
          <w:sz w:val="24"/>
          <w:szCs w:val="24"/>
        </w:rPr>
      </w:pPr>
      <w:r>
        <w:rPr>
          <w:rFonts w:ascii="Palatino Linotype" w:hAnsi="Palatino Linotype"/>
          <w:sz w:val="24"/>
          <w:szCs w:val="24"/>
        </w:rPr>
        <w:t xml:space="preserve">Por lo argumentado en los párrafos anteriores, este Instituto estima que las razones o motivos de inconformidad </w:t>
      </w:r>
      <w:r w:rsidR="00E31D50">
        <w:rPr>
          <w:rFonts w:ascii="Palatino Linotype" w:hAnsi="Palatino Linotype"/>
          <w:sz w:val="24"/>
          <w:szCs w:val="24"/>
        </w:rPr>
        <w:t xml:space="preserve">del </w:t>
      </w:r>
      <w:r w:rsidR="00BD6532">
        <w:rPr>
          <w:rFonts w:ascii="Palatino Linotype" w:hAnsi="Palatino Linotype"/>
          <w:sz w:val="24"/>
          <w:szCs w:val="24"/>
        </w:rPr>
        <w:t>Recurrente son</w:t>
      </w:r>
      <w:r>
        <w:rPr>
          <w:rFonts w:ascii="Palatino Linotype" w:hAnsi="Palatino Linotype"/>
          <w:sz w:val="24"/>
          <w:szCs w:val="24"/>
        </w:rPr>
        <w:t xml:space="preserve"> fundados, por lo que es procedente revocar la respuesta del Sujeto Obligado y ordenar la entrega de los documentos en donde conste</w:t>
      </w:r>
      <w:r w:rsidR="00E31D50">
        <w:rPr>
          <w:rFonts w:ascii="Palatino Linotype" w:hAnsi="Palatino Linotype"/>
          <w:sz w:val="24"/>
          <w:szCs w:val="24"/>
        </w:rPr>
        <w:t>n</w:t>
      </w:r>
      <w:r>
        <w:rPr>
          <w:rFonts w:ascii="Palatino Linotype" w:hAnsi="Palatino Linotype"/>
          <w:sz w:val="24"/>
          <w:szCs w:val="24"/>
        </w:rPr>
        <w:t xml:space="preserve"> </w:t>
      </w:r>
      <w:r w:rsidR="00E31D50" w:rsidRPr="00E31D50">
        <w:rPr>
          <w:rFonts w:ascii="Palatino Linotype" w:hAnsi="Palatino Linotype"/>
          <w:sz w:val="24"/>
          <w:szCs w:val="24"/>
        </w:rPr>
        <w:t>las observaciones realizadas por la Sindicatura a los informes mensuales remitidos por el Tesorero Municipal que se hayan generado desde el primero</w:t>
      </w:r>
      <w:r w:rsidR="00C42A5D">
        <w:rPr>
          <w:rFonts w:ascii="Palatino Linotype" w:hAnsi="Palatino Linotype"/>
          <w:sz w:val="24"/>
          <w:szCs w:val="24"/>
        </w:rPr>
        <w:t xml:space="preserve"> de enero al treinta de agosto</w:t>
      </w:r>
      <w:r w:rsidR="00E31D50" w:rsidRPr="00E31D50">
        <w:rPr>
          <w:rFonts w:ascii="Palatino Linotype" w:hAnsi="Palatino Linotype"/>
          <w:sz w:val="24"/>
          <w:szCs w:val="24"/>
        </w:rPr>
        <w:t xml:space="preserve"> de dos mil nueve, lo anterior en versión pública de ser necesario.</w:t>
      </w:r>
    </w:p>
    <w:p w:rsidR="00C42A5D" w:rsidRDefault="00C42A5D" w:rsidP="00250DDA">
      <w:pPr>
        <w:spacing w:after="0" w:line="360" w:lineRule="auto"/>
        <w:jc w:val="both"/>
        <w:rPr>
          <w:rFonts w:ascii="Palatino Linotype" w:hAnsi="Palatino Linotype"/>
          <w:sz w:val="24"/>
          <w:szCs w:val="24"/>
        </w:rPr>
      </w:pPr>
    </w:p>
    <w:p w:rsidR="00C42A5D" w:rsidRDefault="00C42A5D" w:rsidP="00250DDA">
      <w:pPr>
        <w:spacing w:after="0" w:line="360" w:lineRule="auto"/>
        <w:jc w:val="both"/>
        <w:rPr>
          <w:rFonts w:ascii="Palatino Linotype" w:hAnsi="Palatino Linotype"/>
          <w:sz w:val="24"/>
          <w:szCs w:val="24"/>
        </w:rPr>
      </w:pPr>
      <w:r>
        <w:rPr>
          <w:rFonts w:ascii="Palatino Linotype" w:hAnsi="Palatino Linotype"/>
          <w:sz w:val="24"/>
          <w:szCs w:val="24"/>
        </w:rPr>
        <w:t xml:space="preserve">La temporalidad señalada anteriormente se debe a que los informes mensuales se entregan a más tardar a los veinte días del mes siguiente al que corresponde el informe </w:t>
      </w:r>
      <w:r w:rsidR="007369C6">
        <w:rPr>
          <w:rFonts w:ascii="Palatino Linotype" w:hAnsi="Palatino Linotype"/>
          <w:sz w:val="24"/>
          <w:szCs w:val="24"/>
        </w:rPr>
        <w:t>según se establece en el segundo párrafo de la Ley de Fiscalización Superior del Estado de México, como se observa a continuación:</w:t>
      </w:r>
    </w:p>
    <w:p w:rsidR="007369C6" w:rsidRDefault="007369C6" w:rsidP="00250DDA">
      <w:pPr>
        <w:spacing w:after="0" w:line="360" w:lineRule="auto"/>
        <w:jc w:val="both"/>
        <w:rPr>
          <w:rFonts w:ascii="Palatino Linotype" w:hAnsi="Palatino Linotype"/>
          <w:sz w:val="24"/>
          <w:szCs w:val="24"/>
        </w:rPr>
      </w:pPr>
    </w:p>
    <w:p w:rsidR="007369C6" w:rsidRPr="007369C6" w:rsidRDefault="007369C6" w:rsidP="007369C6">
      <w:pPr>
        <w:spacing w:after="0" w:line="240" w:lineRule="auto"/>
        <w:ind w:left="567" w:right="567"/>
        <w:jc w:val="both"/>
        <w:rPr>
          <w:rFonts w:ascii="Palatino Linotype" w:hAnsi="Palatino Linotype"/>
          <w:i/>
        </w:rPr>
      </w:pPr>
      <w:r w:rsidRPr="007369C6">
        <w:rPr>
          <w:rFonts w:ascii="Palatino Linotype" w:hAnsi="Palatino Linotype"/>
          <w:b/>
          <w:bCs/>
          <w:i/>
        </w:rPr>
        <w:t xml:space="preserve">Artículo 32.- </w:t>
      </w:r>
      <w:r w:rsidRPr="007369C6">
        <w:rPr>
          <w:rFonts w:ascii="Palatino Linotype" w:hAnsi="Palatino Linotype"/>
          <w:i/>
        </w:rPr>
        <w:t xml:space="preserve">El Gobernador del Estado, por conducto del titular de la dependencia competente, presentará a la Legislatura la cuenta pública del Gobierno del Estado del ejercicio fiscal inmediato anterior, a más tardar el treinta de abril de cada año. </w:t>
      </w:r>
    </w:p>
    <w:p w:rsidR="007369C6" w:rsidRPr="007369C6" w:rsidRDefault="007369C6" w:rsidP="007369C6">
      <w:pPr>
        <w:spacing w:after="0" w:line="240" w:lineRule="auto"/>
        <w:ind w:left="567" w:right="567"/>
        <w:jc w:val="both"/>
        <w:rPr>
          <w:rFonts w:ascii="Palatino Linotype" w:hAnsi="Palatino Linotype"/>
          <w:i/>
        </w:rPr>
      </w:pPr>
    </w:p>
    <w:p w:rsidR="007369C6" w:rsidRPr="007369C6" w:rsidRDefault="007369C6" w:rsidP="007369C6">
      <w:pPr>
        <w:spacing w:after="0" w:line="240" w:lineRule="auto"/>
        <w:ind w:left="567" w:right="567"/>
        <w:jc w:val="both"/>
        <w:rPr>
          <w:rFonts w:ascii="Palatino Linotype" w:hAnsi="Palatino Linotype"/>
          <w:i/>
        </w:rPr>
      </w:pPr>
      <w:r w:rsidRPr="007369C6">
        <w:rPr>
          <w:rFonts w:ascii="Palatino Linotype" w:hAnsi="Palatino Linotype"/>
          <w:b/>
          <w:i/>
          <w:u w:val="single"/>
        </w:rPr>
        <w:t>Los Presidentes Municipales presentarán a la Legislatura</w:t>
      </w:r>
      <w:r w:rsidRPr="007369C6">
        <w:rPr>
          <w:rFonts w:ascii="Palatino Linotype" w:hAnsi="Palatino Linotype"/>
          <w:i/>
        </w:rPr>
        <w:t xml:space="preserve"> las cuentas públicas anuales de sus respectivos municipios, del ejercicio fiscal inmediato anterior, dentro de los </w:t>
      </w:r>
      <w:r w:rsidRPr="007369C6">
        <w:rPr>
          <w:rFonts w:ascii="Palatino Linotype" w:hAnsi="Palatino Linotype"/>
          <w:i/>
        </w:rPr>
        <w:lastRenderedPageBreak/>
        <w:t xml:space="preserve">quince primeros días del mes de marzo de cada año; asimismo, </w:t>
      </w:r>
      <w:r w:rsidRPr="007369C6">
        <w:rPr>
          <w:rFonts w:ascii="Palatino Linotype" w:hAnsi="Palatino Linotype"/>
          <w:b/>
          <w:i/>
          <w:u w:val="single"/>
        </w:rPr>
        <w:t>los informes mensuales los deberán presentar dentro de los veinte días posteriores al término del mes correspondiente.</w:t>
      </w:r>
      <w:r w:rsidRPr="007369C6">
        <w:rPr>
          <w:rFonts w:ascii="Palatino Linotype" w:hAnsi="Palatino Linotype"/>
          <w:i/>
        </w:rPr>
        <w:t xml:space="preserve"> </w:t>
      </w:r>
    </w:p>
    <w:p w:rsidR="007369C6" w:rsidRPr="007369C6" w:rsidRDefault="007369C6" w:rsidP="007369C6">
      <w:pPr>
        <w:spacing w:after="0" w:line="240" w:lineRule="auto"/>
        <w:ind w:left="567" w:right="567"/>
        <w:jc w:val="both"/>
        <w:rPr>
          <w:rFonts w:ascii="Palatino Linotype" w:hAnsi="Palatino Linotype"/>
          <w:i/>
        </w:rPr>
      </w:pPr>
    </w:p>
    <w:p w:rsidR="007369C6" w:rsidRDefault="007369C6" w:rsidP="007369C6">
      <w:pPr>
        <w:spacing w:after="0" w:line="240" w:lineRule="auto"/>
        <w:ind w:left="567" w:right="567"/>
        <w:jc w:val="both"/>
        <w:rPr>
          <w:rFonts w:ascii="Palatino Linotype" w:hAnsi="Palatino Linotype"/>
          <w:i/>
        </w:rPr>
      </w:pPr>
      <w:r w:rsidRPr="007369C6">
        <w:rPr>
          <w:rFonts w:ascii="Palatino Linotype" w:hAnsi="Palatino Linotype"/>
          <w:i/>
        </w:rPr>
        <w:t>Las cuentas públicas deberán presentarse conforme a lo establecido en la Ley General de Contabilidad Gubernamental, Ley de Disciplina Financiera delas Entidades Federativas y los Municipios y demás disposiciones aplicables.</w:t>
      </w:r>
    </w:p>
    <w:p w:rsidR="00E31D50" w:rsidRDefault="00E31D50" w:rsidP="00250DDA">
      <w:pPr>
        <w:spacing w:after="0" w:line="360" w:lineRule="auto"/>
        <w:jc w:val="both"/>
        <w:rPr>
          <w:rFonts w:ascii="Palatino Linotype" w:hAnsi="Palatino Linotype"/>
          <w:sz w:val="24"/>
          <w:szCs w:val="24"/>
        </w:rPr>
      </w:pPr>
    </w:p>
    <w:p w:rsidR="007369C6" w:rsidRDefault="007369C6" w:rsidP="00250DDA">
      <w:pPr>
        <w:spacing w:after="0" w:line="360" w:lineRule="auto"/>
        <w:jc w:val="both"/>
        <w:rPr>
          <w:rFonts w:ascii="Palatino Linotype" w:hAnsi="Palatino Linotype"/>
          <w:sz w:val="24"/>
          <w:szCs w:val="24"/>
        </w:rPr>
      </w:pPr>
      <w:r>
        <w:rPr>
          <w:rFonts w:ascii="Palatino Linotype" w:hAnsi="Palatino Linotype"/>
          <w:sz w:val="24"/>
          <w:szCs w:val="24"/>
        </w:rPr>
        <w:t>Por tal motivo, dado que la fecha de ingreso de la solicitud de información</w:t>
      </w:r>
      <w:r w:rsidR="00C7460B">
        <w:rPr>
          <w:rFonts w:ascii="Palatino Linotype" w:hAnsi="Palatino Linotype"/>
          <w:sz w:val="24"/>
          <w:szCs w:val="24"/>
        </w:rPr>
        <w:t xml:space="preserve"> fue anterior al día veinte</w:t>
      </w:r>
      <w:r>
        <w:rPr>
          <w:rFonts w:ascii="Palatino Linotype" w:hAnsi="Palatino Linotype"/>
          <w:sz w:val="24"/>
          <w:szCs w:val="24"/>
        </w:rPr>
        <w:t xml:space="preserve">, el informe </w:t>
      </w:r>
      <w:r w:rsidR="00C7460B">
        <w:rPr>
          <w:rFonts w:ascii="Palatino Linotype" w:hAnsi="Palatino Linotype"/>
          <w:sz w:val="24"/>
          <w:szCs w:val="24"/>
        </w:rPr>
        <w:t>del mes correspondiente pudo no haberse generado aún, por lo que es procedente ordenar que la información entregada sea la del mes cumplido anterior a la fecha de la solicitud, es decir, a la generada hasta el treinta y uno de agosto de dos mil diecinueve.</w:t>
      </w:r>
    </w:p>
    <w:p w:rsidR="007369C6" w:rsidRDefault="007369C6" w:rsidP="00250DDA">
      <w:pPr>
        <w:spacing w:after="0" w:line="360" w:lineRule="auto"/>
        <w:jc w:val="both"/>
        <w:rPr>
          <w:rFonts w:ascii="Palatino Linotype" w:hAnsi="Palatino Linotype"/>
          <w:sz w:val="24"/>
          <w:szCs w:val="24"/>
        </w:rPr>
      </w:pPr>
    </w:p>
    <w:p w:rsidR="00E31D50" w:rsidRPr="00250DDA" w:rsidRDefault="00C7460B" w:rsidP="00250DDA">
      <w:pPr>
        <w:spacing w:after="0" w:line="360" w:lineRule="auto"/>
        <w:jc w:val="both"/>
        <w:rPr>
          <w:rFonts w:ascii="Palatino Linotype" w:hAnsi="Palatino Linotype"/>
          <w:sz w:val="24"/>
          <w:szCs w:val="24"/>
        </w:rPr>
      </w:pPr>
      <w:r>
        <w:rPr>
          <w:rFonts w:ascii="Palatino Linotype" w:hAnsi="Palatino Linotype"/>
          <w:sz w:val="24"/>
          <w:szCs w:val="24"/>
        </w:rPr>
        <w:t>Por último</w:t>
      </w:r>
      <w:r w:rsidR="00E31D50">
        <w:rPr>
          <w:rFonts w:ascii="Palatino Linotype" w:hAnsi="Palatino Linotype"/>
          <w:sz w:val="24"/>
          <w:szCs w:val="24"/>
        </w:rPr>
        <w:t xml:space="preserve">, no debe pasar desapercibido que el artículo 53 fracción </w:t>
      </w:r>
      <w:r w:rsidR="008B063B">
        <w:rPr>
          <w:rFonts w:ascii="Palatino Linotype" w:hAnsi="Palatino Linotype"/>
          <w:sz w:val="24"/>
          <w:szCs w:val="24"/>
        </w:rPr>
        <w:t>XVI señala que dicha observaciones se formularán en el supuesto de que sean necesarias, por lo que puede darse el caso de que los informes mensuales remitidos por el Tesorero Municipal no ameritaran observaciones por parte de la Sindicatura, en cuyo caso bastará con que así lo manifieste el Sujeto Obligado.</w:t>
      </w:r>
    </w:p>
    <w:p w:rsidR="004B19F6" w:rsidRDefault="004B19F6" w:rsidP="00646E4D">
      <w:pPr>
        <w:pStyle w:val="Sinespaciado"/>
        <w:spacing w:line="360" w:lineRule="auto"/>
        <w:jc w:val="both"/>
        <w:rPr>
          <w:rFonts w:ascii="Palatino Linotype" w:hAnsi="Palatino Linotype"/>
          <w:sz w:val="24"/>
          <w:szCs w:val="24"/>
        </w:rPr>
      </w:pPr>
    </w:p>
    <w:p w:rsidR="007A3831" w:rsidRPr="007A3831" w:rsidRDefault="007A3831" w:rsidP="007A3831">
      <w:pPr>
        <w:spacing w:after="0" w:line="360" w:lineRule="auto"/>
        <w:jc w:val="both"/>
        <w:rPr>
          <w:rFonts w:ascii="Palatino Linotype" w:hAnsi="Palatino Linotype" w:cs="Arial"/>
          <w:b/>
          <w:i/>
          <w:sz w:val="26"/>
          <w:szCs w:val="26"/>
        </w:rPr>
      </w:pPr>
      <w:r w:rsidRPr="007A3831">
        <w:rPr>
          <w:rFonts w:ascii="Palatino Linotype" w:hAnsi="Palatino Linotype" w:cs="Arial"/>
          <w:b/>
          <w:i/>
          <w:sz w:val="26"/>
          <w:szCs w:val="26"/>
        </w:rPr>
        <w:t>DE LA VERSIÓN PÚBLICA.</w:t>
      </w: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7A3831" w:rsidRPr="007A3831" w:rsidRDefault="007A3831" w:rsidP="007A3831">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360" w:lineRule="auto"/>
        <w:jc w:val="both"/>
        <w:rPr>
          <w:rFonts w:ascii="Palatino Linotype" w:hAnsi="Palatino Linotype" w:cs="Arial"/>
          <w:i/>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7A3831">
        <w:rPr>
          <w:rFonts w:ascii="Palatino Linotype" w:hAnsi="Palatino Linotype" w:cs="Arial"/>
          <w:sz w:val="24"/>
          <w:szCs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7A3831" w:rsidRDefault="007A3831" w:rsidP="007A3831">
      <w:pPr>
        <w:spacing w:after="0" w:line="360" w:lineRule="auto"/>
        <w:jc w:val="both"/>
        <w:rPr>
          <w:rFonts w:ascii="Palatino Linotype" w:hAnsi="Palatino Linotype" w:cs="Arial"/>
          <w:i/>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w:t>
      </w:r>
      <w:r w:rsidRPr="007A3831">
        <w:rPr>
          <w:rFonts w:ascii="Palatino Linotype" w:hAnsi="Palatino Linotype" w:cs="Arial"/>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sidR="008C16A7">
        <w:rPr>
          <w:rFonts w:ascii="Palatino Linotype" w:hAnsi="Palatino Linotype" w:cs="Arial"/>
          <w:sz w:val="24"/>
          <w:szCs w:val="24"/>
        </w:rPr>
        <w:t xml:space="preserve"> </w:t>
      </w:r>
      <w:r w:rsidRPr="007A3831">
        <w:rPr>
          <w:rFonts w:ascii="Palatino Linotype" w:hAnsi="Palatino Linotype" w:cs="Arial"/>
          <w:sz w:val="24"/>
          <w:szCs w:val="24"/>
        </w:rPr>
        <w:t>l</w:t>
      </w:r>
      <w:r w:rsidR="008C16A7">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sidR="007F2293">
        <w:rPr>
          <w:rFonts w:ascii="Palatino Linotype" w:hAnsi="Palatino Linotype" w:cs="Arial"/>
          <w:bCs/>
          <w:sz w:val="24"/>
          <w:szCs w:val="24"/>
        </w:rPr>
        <w:t>n pública consignado a favor de</w:t>
      </w:r>
      <w:r w:rsidR="008B063B">
        <w:rPr>
          <w:rFonts w:ascii="Palatino Linotype" w:hAnsi="Palatino Linotype" w:cs="Arial"/>
          <w:bCs/>
          <w:sz w:val="24"/>
          <w:szCs w:val="24"/>
        </w:rPr>
        <w:t>l</w:t>
      </w:r>
      <w:r w:rsidRPr="007A3831">
        <w:rPr>
          <w:rFonts w:ascii="Palatino Linotype" w:hAnsi="Palatino Linotype" w:cs="Arial"/>
          <w:bCs/>
          <w:sz w:val="24"/>
          <w:szCs w:val="24"/>
        </w:rPr>
        <w:t xml:space="preserve"> Recurrente.</w:t>
      </w:r>
    </w:p>
    <w:p w:rsidR="007A3831" w:rsidRDefault="007A3831" w:rsidP="00646E4D">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En mérito de lo expuesto en líneas anteriores, resultan fundados los motivos de inconformidad que arg</w:t>
      </w:r>
      <w:r w:rsidR="008B063B">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con fundamento en la 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34396B">
        <w:rPr>
          <w:rFonts w:ascii="Palatino Linotype" w:hAnsi="Palatino Linotype" w:cs="Arial"/>
          <w:b/>
          <w:sz w:val="24"/>
          <w:szCs w:val="24"/>
        </w:rPr>
        <w:t>REVO</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1B40CE">
        <w:rPr>
          <w:rFonts w:ascii="Palatino Linotype" w:hAnsi="Palatino Linotype"/>
          <w:b/>
          <w:sz w:val="24"/>
          <w:szCs w:val="24"/>
        </w:rPr>
        <w:t>00160/VABRAVO</w:t>
      </w:r>
      <w:r w:rsidRPr="00B81C51">
        <w:rPr>
          <w:rFonts w:ascii="Palatino Linotype" w:hAnsi="Palatino Linotype"/>
          <w:b/>
          <w:sz w:val="24"/>
          <w:szCs w:val="24"/>
        </w:rPr>
        <w:t>/IP/2019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7460B" w:rsidRDefault="00C7460B"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34396B">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8B063B">
        <w:rPr>
          <w:rFonts w:ascii="Palatino Linotype" w:hAnsi="Palatino Linotype"/>
          <w:b/>
          <w:sz w:val="24"/>
          <w:szCs w:val="24"/>
        </w:rPr>
        <w:t>00160/VABRAVO</w:t>
      </w:r>
      <w:r w:rsidR="004D339E" w:rsidRPr="00B81C51">
        <w:rPr>
          <w:rFonts w:ascii="Palatino Linotype" w:hAnsi="Palatino Linotype"/>
          <w:b/>
          <w:sz w:val="24"/>
          <w:szCs w:val="24"/>
        </w:rPr>
        <w:t>/IP/2019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8B063B">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E57C83">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8B063B">
        <w:rPr>
          <w:rFonts w:ascii="Palatino Linotype" w:hAnsi="Palatino Linotype" w:cs="Arial"/>
          <w:sz w:val="24"/>
          <w:szCs w:val="24"/>
        </w:rPr>
        <w:t>l</w:t>
      </w:r>
      <w:r w:rsidR="00E57C83">
        <w:rPr>
          <w:rFonts w:ascii="Palatino Linotype" w:hAnsi="Palatino Linotype" w:cs="Arial"/>
          <w:sz w:val="24"/>
          <w:szCs w:val="24"/>
        </w:rPr>
        <w:t xml:space="preserve"> </w:t>
      </w:r>
      <w:r w:rsidR="004C08AF">
        <w:rPr>
          <w:rFonts w:ascii="Palatino Linotype" w:hAnsi="Palatino Linotype" w:cs="Arial"/>
          <w:sz w:val="24"/>
          <w:szCs w:val="24"/>
        </w:rPr>
        <w:t>Recurrente a través del SAIMEX,</w:t>
      </w:r>
      <w:r w:rsidR="00E57C83">
        <w:rPr>
          <w:rFonts w:ascii="Palatino Linotype" w:hAnsi="Palatino Linotype" w:cs="Arial"/>
          <w:sz w:val="24"/>
          <w:szCs w:val="24"/>
        </w:rPr>
        <w:t xml:space="preserve"> en versión pública de ser procedente</w:t>
      </w:r>
      <w:r w:rsidR="004C08AF">
        <w:rPr>
          <w:rFonts w:ascii="Palatino Linotype" w:hAnsi="Palatino Linotype" w:cs="Arial"/>
          <w:sz w:val="24"/>
          <w:szCs w:val="24"/>
        </w:rPr>
        <w:t>, el o los documentos en donde conste</w:t>
      </w:r>
      <w:r w:rsidR="008B063B">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Pr="004C08AF" w:rsidRDefault="004C08AF" w:rsidP="004C08AF">
      <w:pPr>
        <w:pStyle w:val="Sinespaciado"/>
        <w:numPr>
          <w:ilvl w:val="0"/>
          <w:numId w:val="30"/>
        </w:numPr>
        <w:spacing w:line="276" w:lineRule="auto"/>
        <w:jc w:val="both"/>
        <w:rPr>
          <w:rFonts w:ascii="Palatino Linotype" w:hAnsi="Palatino Linotype" w:cs="Arial"/>
          <w:sz w:val="24"/>
          <w:szCs w:val="24"/>
        </w:rPr>
      </w:pPr>
      <w:r>
        <w:rPr>
          <w:rFonts w:ascii="Palatino Linotype" w:hAnsi="Palatino Linotype" w:cs="Arial"/>
          <w:i/>
          <w:sz w:val="24"/>
          <w:szCs w:val="24"/>
        </w:rPr>
        <w:t>L</w:t>
      </w:r>
      <w:r w:rsidRPr="004C08AF">
        <w:rPr>
          <w:rFonts w:ascii="Palatino Linotype" w:hAnsi="Palatino Linotype" w:cs="Arial"/>
          <w:i/>
          <w:sz w:val="24"/>
          <w:szCs w:val="24"/>
        </w:rPr>
        <w:t xml:space="preserve">as observaciones realizadas por la Sindicatura a los informes mensuales remitidos por el Tesorero Municipal que se hayan generado desde el primero de enero al </w:t>
      </w:r>
      <w:r w:rsidR="00C7460B">
        <w:rPr>
          <w:rFonts w:ascii="Palatino Linotype" w:hAnsi="Palatino Linotype" w:cs="Arial"/>
          <w:i/>
          <w:sz w:val="24"/>
          <w:szCs w:val="24"/>
        </w:rPr>
        <w:t xml:space="preserve">treinta y uno de agosto </w:t>
      </w:r>
      <w:r w:rsidRPr="004C08AF">
        <w:rPr>
          <w:rFonts w:ascii="Palatino Linotype" w:hAnsi="Palatino Linotype" w:cs="Arial"/>
          <w:i/>
          <w:sz w:val="24"/>
          <w:szCs w:val="24"/>
        </w:rPr>
        <w:t xml:space="preserve">de dos mil </w:t>
      </w:r>
      <w:r w:rsidR="00C7460B">
        <w:rPr>
          <w:rFonts w:ascii="Palatino Linotype" w:hAnsi="Palatino Linotype" w:cs="Arial"/>
          <w:i/>
          <w:sz w:val="24"/>
          <w:szCs w:val="24"/>
        </w:rPr>
        <w:t>dieci</w:t>
      </w:r>
      <w:r w:rsidRPr="004C08AF">
        <w:rPr>
          <w:rFonts w:ascii="Palatino Linotype" w:hAnsi="Palatino Linotype" w:cs="Arial"/>
          <w:i/>
          <w:sz w:val="24"/>
          <w:szCs w:val="24"/>
        </w:rPr>
        <w:t>nueve</w:t>
      </w:r>
      <w:r>
        <w:rPr>
          <w:rFonts w:ascii="Palatino Linotype" w:hAnsi="Palatino Linotype" w:cs="Arial"/>
          <w:i/>
          <w:sz w:val="24"/>
          <w:szCs w:val="24"/>
        </w:rPr>
        <w:t>.</w:t>
      </w:r>
    </w:p>
    <w:p w:rsidR="004C08AF" w:rsidRDefault="004C08AF" w:rsidP="004C08AF">
      <w:pPr>
        <w:pStyle w:val="Sinespaciado"/>
        <w:spacing w:line="276" w:lineRule="auto"/>
        <w:jc w:val="both"/>
        <w:rPr>
          <w:rFonts w:ascii="Palatino Linotype" w:hAnsi="Palatino Linotype" w:cs="Arial"/>
          <w:sz w:val="24"/>
          <w:szCs w:val="24"/>
        </w:rPr>
      </w:pPr>
    </w:p>
    <w:p w:rsid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4C08AF" w:rsidRDefault="004C08AF" w:rsidP="007A3831">
      <w:pPr>
        <w:spacing w:after="0" w:line="360" w:lineRule="auto"/>
        <w:jc w:val="both"/>
        <w:rPr>
          <w:rFonts w:ascii="Palatino Linotype" w:hAnsi="Palatino Linotype" w:cs="Arial"/>
          <w:sz w:val="24"/>
          <w:szCs w:val="24"/>
        </w:rPr>
      </w:pPr>
    </w:p>
    <w:p w:rsidR="004C08AF" w:rsidRPr="007A3831" w:rsidRDefault="004C08AF" w:rsidP="007A3831">
      <w:pPr>
        <w:spacing w:after="0" w:line="360" w:lineRule="auto"/>
        <w:jc w:val="both"/>
        <w:rPr>
          <w:rFonts w:ascii="Palatino Linotype" w:hAnsi="Palatino Linotype"/>
          <w:sz w:val="24"/>
          <w:szCs w:val="24"/>
        </w:rPr>
      </w:pPr>
      <w:r>
        <w:rPr>
          <w:rFonts w:ascii="Palatino Linotype" w:hAnsi="Palatino Linotype" w:cs="Arial"/>
          <w:sz w:val="24"/>
          <w:szCs w:val="24"/>
        </w:rPr>
        <w:lastRenderedPageBreak/>
        <w:t>En el supuesto de que la información solicitada no haya sido generada, bastará con que así lo manifieste el Sujeto Obligado.</w:t>
      </w:r>
    </w:p>
    <w:p w:rsidR="00E57C83" w:rsidRDefault="00E57C83"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4C08AF">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4C08AF">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6A6AF8">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065556">
        <w:rPr>
          <w:rFonts w:ascii="Palatino Linotype" w:hAnsi="Palatino Linotype"/>
          <w:sz w:val="24"/>
          <w:szCs w:val="24"/>
        </w:rPr>
        <w:t xml:space="preserve">TERCERA SESIÓN ORDINARIA </w:t>
      </w:r>
      <w:r w:rsidR="007E2E80" w:rsidRPr="0014447C">
        <w:rPr>
          <w:rFonts w:ascii="Palatino Linotype" w:hAnsi="Palatino Linotype"/>
          <w:sz w:val="24"/>
          <w:szCs w:val="24"/>
        </w:rPr>
        <w:t xml:space="preserve">CELEBRADA EL </w:t>
      </w:r>
      <w:r w:rsidR="00065556">
        <w:rPr>
          <w:rFonts w:ascii="Palatino Linotype" w:hAnsi="Palatino Linotype"/>
          <w:sz w:val="24"/>
          <w:szCs w:val="24"/>
        </w:rPr>
        <w:t>VEINTINUEVE DE ENERO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3E1C7D">
        <w:rPr>
          <w:rFonts w:ascii="Palatino Linotype" w:hAnsi="Palatino Linotype"/>
          <w:sz w:val="24"/>
          <w:szCs w:val="24"/>
        </w:rPr>
        <w:t>.-------------------------------------------------------------------</w:t>
      </w:r>
      <w:r w:rsidR="00455D34">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911DE" w:rsidRPr="004D7252" w:rsidRDefault="00C911D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492958"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455D34">
        <w:rPr>
          <w:rFonts w:ascii="Palatino Linotype" w:hAnsi="Palatino Linotype"/>
          <w:sz w:val="16"/>
          <w:szCs w:val="16"/>
        </w:rPr>
        <w:t>veintinueve de enero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455D34">
        <w:rPr>
          <w:rFonts w:ascii="Palatino Linotype" w:hAnsi="Palatino Linotype"/>
          <w:bCs/>
          <w:sz w:val="16"/>
          <w:szCs w:val="16"/>
          <w:lang w:eastAsia="es-MX"/>
        </w:rPr>
        <w:t>0838</w:t>
      </w:r>
      <w:r w:rsidR="008C16A7">
        <w:rPr>
          <w:rFonts w:ascii="Palatino Linotype" w:hAnsi="Palatino Linotype"/>
          <w:bCs/>
          <w:sz w:val="16"/>
          <w:szCs w:val="16"/>
          <w:lang w:eastAsia="es-MX"/>
        </w:rPr>
        <w:t>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DBC" w:rsidRDefault="00CE3DBC" w:rsidP="007E2E80">
      <w:pPr>
        <w:spacing w:after="0" w:line="240" w:lineRule="auto"/>
      </w:pPr>
      <w:r>
        <w:separator/>
      </w:r>
    </w:p>
  </w:endnote>
  <w:endnote w:type="continuationSeparator" w:id="0">
    <w:p w:rsidR="00CE3DBC" w:rsidRDefault="00CE3DB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CAC" w:rsidRPr="000B69FA" w:rsidRDefault="002A6CA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543C">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543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CAC" w:rsidRPr="000B69FA" w:rsidRDefault="002A6CA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54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543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DBC" w:rsidRDefault="00CE3DBC" w:rsidP="007E2E80">
      <w:pPr>
        <w:spacing w:after="0" w:line="240" w:lineRule="auto"/>
      </w:pPr>
      <w:r>
        <w:separator/>
      </w:r>
    </w:p>
  </w:footnote>
  <w:footnote w:type="continuationSeparator" w:id="0">
    <w:p w:rsidR="00CE3DBC" w:rsidRDefault="00CE3DBC" w:rsidP="007E2E80">
      <w:pPr>
        <w:spacing w:after="0" w:line="240" w:lineRule="auto"/>
      </w:pPr>
      <w:r>
        <w:continuationSeparator/>
      </w:r>
    </w:p>
  </w:footnote>
  <w:footnote w:id="1">
    <w:p w:rsidR="002A6CAC" w:rsidRPr="00615B4B" w:rsidRDefault="002A6CAC"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A6CAC" w:rsidRPr="00615B4B" w:rsidRDefault="002A6CAC"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55E83" w:rsidRDefault="00755E83" w:rsidP="00755E83">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rsidR="00755E83" w:rsidRDefault="00755E83" w:rsidP="00755E83">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4">
    <w:p w:rsidR="00755E83" w:rsidRDefault="00755E83" w:rsidP="00755E83">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5">
    <w:p w:rsidR="00755E83" w:rsidRDefault="00755E83" w:rsidP="00755E83">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CAC" w:rsidRDefault="002A6CAC">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A6CAC" w:rsidTr="00182616">
      <w:trPr>
        <w:trHeight w:val="227"/>
      </w:trPr>
      <w:tc>
        <w:tcPr>
          <w:tcW w:w="5949" w:type="dxa"/>
          <w:hideMark/>
        </w:tcPr>
        <w:p w:rsidR="002A6CAC" w:rsidRDefault="002A6CAC"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A6CAC" w:rsidRDefault="0093732E"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083</w:t>
          </w:r>
          <w:r w:rsidR="00483713">
            <w:rPr>
              <w:rFonts w:ascii="Palatino Linotype" w:hAnsi="Palatino Linotype" w:cs="Arial"/>
              <w:bCs/>
              <w:sz w:val="24"/>
              <w:lang w:eastAsia="es-MX"/>
            </w:rPr>
            <w:t>8</w:t>
          </w:r>
          <w:r w:rsidR="002A6CAC">
            <w:rPr>
              <w:rFonts w:ascii="Palatino Linotype" w:hAnsi="Palatino Linotype" w:cs="Arial"/>
              <w:bCs/>
              <w:sz w:val="24"/>
              <w:lang w:eastAsia="es-MX"/>
            </w:rPr>
            <w:t>5/INFOEM/IP/RR/2019</w:t>
          </w:r>
        </w:p>
      </w:tc>
    </w:tr>
    <w:tr w:rsidR="002A6CAC" w:rsidTr="00182616">
      <w:trPr>
        <w:trHeight w:val="242"/>
      </w:trPr>
      <w:tc>
        <w:tcPr>
          <w:tcW w:w="5949" w:type="dxa"/>
          <w:hideMark/>
        </w:tcPr>
        <w:p w:rsidR="002A6CAC" w:rsidRDefault="002A6CAC"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A6CAC" w:rsidRPr="00DE7461" w:rsidRDefault="002A6CAC" w:rsidP="009F2913">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Valle de Bravo</w:t>
          </w:r>
        </w:p>
      </w:tc>
    </w:tr>
    <w:tr w:rsidR="002A6CAC" w:rsidTr="00182616">
      <w:trPr>
        <w:trHeight w:val="342"/>
      </w:trPr>
      <w:tc>
        <w:tcPr>
          <w:tcW w:w="5949" w:type="dxa"/>
          <w:hideMark/>
        </w:tcPr>
        <w:p w:rsidR="002A6CAC" w:rsidRDefault="002A6CAC"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A6CAC" w:rsidRDefault="002A6CAC"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A6CAC" w:rsidRDefault="002A6CAC">
    <w:pPr>
      <w:pStyle w:val="Encabezado"/>
    </w:pPr>
  </w:p>
  <w:p w:rsidR="00455D34" w:rsidRDefault="00455D3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A6CAC" w:rsidTr="00182616">
      <w:trPr>
        <w:trHeight w:val="227"/>
      </w:trPr>
      <w:tc>
        <w:tcPr>
          <w:tcW w:w="5103" w:type="dxa"/>
          <w:hideMark/>
        </w:tcPr>
        <w:p w:rsidR="002A6CAC" w:rsidRDefault="002A6CA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A6CAC" w:rsidRPr="00B4142F" w:rsidRDefault="002A6CAC"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08385/INFOEM/IP/RR/2019</w:t>
          </w:r>
        </w:p>
      </w:tc>
    </w:tr>
    <w:tr w:rsidR="002A6CAC" w:rsidTr="00182616">
      <w:trPr>
        <w:trHeight w:val="196"/>
      </w:trPr>
      <w:tc>
        <w:tcPr>
          <w:tcW w:w="5103" w:type="dxa"/>
          <w:hideMark/>
        </w:tcPr>
        <w:p w:rsidR="002A6CAC" w:rsidRDefault="002A6CA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A6CAC" w:rsidRPr="00F06FED" w:rsidRDefault="0009543C" w:rsidP="00212498">
          <w:pPr>
            <w:spacing w:after="120" w:line="256" w:lineRule="auto"/>
            <w:ind w:left="208" w:right="214"/>
            <w:jc w:val="right"/>
            <w:rPr>
              <w:rFonts w:ascii="Palatino Linotype" w:hAnsi="Palatino Linotype" w:cs="Arial"/>
            </w:rPr>
          </w:pPr>
          <w:r>
            <w:rPr>
              <w:rFonts w:ascii="Palatino Linotype" w:hAnsi="Palatino Linotype" w:cs="Arial"/>
            </w:rPr>
            <w:t>Xxxxxxxx Xxxxx</w:t>
          </w:r>
        </w:p>
      </w:tc>
    </w:tr>
    <w:tr w:rsidR="002A6CAC" w:rsidTr="00182616">
      <w:trPr>
        <w:trHeight w:val="242"/>
      </w:trPr>
      <w:tc>
        <w:tcPr>
          <w:tcW w:w="5103" w:type="dxa"/>
          <w:hideMark/>
        </w:tcPr>
        <w:p w:rsidR="002A6CAC" w:rsidRDefault="002A6CA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A6CAC" w:rsidRDefault="002A6CAC"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Valle de Bravo</w:t>
          </w:r>
        </w:p>
      </w:tc>
    </w:tr>
    <w:tr w:rsidR="002A6CAC" w:rsidTr="00182616">
      <w:trPr>
        <w:trHeight w:val="342"/>
      </w:trPr>
      <w:tc>
        <w:tcPr>
          <w:tcW w:w="5103" w:type="dxa"/>
          <w:hideMark/>
        </w:tcPr>
        <w:p w:rsidR="002A6CAC" w:rsidRDefault="002A6CA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A6CAC" w:rsidRDefault="002A6CAC"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A6CAC" w:rsidRDefault="002A6CA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63D1975"/>
    <w:multiLevelType w:val="hybridMultilevel"/>
    <w:tmpl w:val="6D76C5E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28"/>
  </w:num>
  <w:num w:numId="5">
    <w:abstractNumId w:val="6"/>
  </w:num>
  <w:num w:numId="6">
    <w:abstractNumId w:val="4"/>
  </w:num>
  <w:num w:numId="7">
    <w:abstractNumId w:val="16"/>
  </w:num>
  <w:num w:numId="8">
    <w:abstractNumId w:val="15"/>
  </w:num>
  <w:num w:numId="9">
    <w:abstractNumId w:val="23"/>
  </w:num>
  <w:num w:numId="10">
    <w:abstractNumId w:val="7"/>
  </w:num>
  <w:num w:numId="11">
    <w:abstractNumId w:val="24"/>
  </w:num>
  <w:num w:numId="12">
    <w:abstractNumId w:val="18"/>
  </w:num>
  <w:num w:numId="13">
    <w:abstractNumId w:val="17"/>
  </w:num>
  <w:num w:numId="14">
    <w:abstractNumId w:val="10"/>
  </w:num>
  <w:num w:numId="15">
    <w:abstractNumId w:val="3"/>
  </w:num>
  <w:num w:numId="16">
    <w:abstractNumId w:val="9"/>
  </w:num>
  <w:num w:numId="17">
    <w:abstractNumId w:val="13"/>
  </w:num>
  <w:num w:numId="18">
    <w:abstractNumId w:val="22"/>
  </w:num>
  <w:num w:numId="19">
    <w:abstractNumId w:val="26"/>
  </w:num>
  <w:num w:numId="20">
    <w:abstractNumId w:val="21"/>
  </w:num>
  <w:num w:numId="21">
    <w:abstractNumId w:val="11"/>
  </w:num>
  <w:num w:numId="22">
    <w:abstractNumId w:val="12"/>
  </w:num>
  <w:num w:numId="23">
    <w:abstractNumId w:val="19"/>
  </w:num>
  <w:num w:numId="24">
    <w:abstractNumId w:val="29"/>
  </w:num>
  <w:num w:numId="25">
    <w:abstractNumId w:val="14"/>
  </w:num>
  <w:num w:numId="26">
    <w:abstractNumId w:val="27"/>
  </w:num>
  <w:num w:numId="27">
    <w:abstractNumId w:val="25"/>
  </w:num>
  <w:num w:numId="28">
    <w:abstractNumId w:val="5"/>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FC0"/>
    <w:rsid w:val="000178AC"/>
    <w:rsid w:val="000221BF"/>
    <w:rsid w:val="00022E72"/>
    <w:rsid w:val="000248E4"/>
    <w:rsid w:val="000276E0"/>
    <w:rsid w:val="00032DBD"/>
    <w:rsid w:val="00033949"/>
    <w:rsid w:val="00033A37"/>
    <w:rsid w:val="00033B75"/>
    <w:rsid w:val="00037291"/>
    <w:rsid w:val="00037385"/>
    <w:rsid w:val="000402BD"/>
    <w:rsid w:val="00043018"/>
    <w:rsid w:val="00050A9C"/>
    <w:rsid w:val="00051311"/>
    <w:rsid w:val="00052ED4"/>
    <w:rsid w:val="00053C9B"/>
    <w:rsid w:val="00056372"/>
    <w:rsid w:val="00057570"/>
    <w:rsid w:val="00065556"/>
    <w:rsid w:val="000674FE"/>
    <w:rsid w:val="0007328F"/>
    <w:rsid w:val="000738E9"/>
    <w:rsid w:val="00074EEE"/>
    <w:rsid w:val="0008042E"/>
    <w:rsid w:val="00083079"/>
    <w:rsid w:val="00086FC0"/>
    <w:rsid w:val="0008795C"/>
    <w:rsid w:val="0009343E"/>
    <w:rsid w:val="0009497C"/>
    <w:rsid w:val="00094B58"/>
    <w:rsid w:val="00094CA1"/>
    <w:rsid w:val="00095218"/>
    <w:rsid w:val="0009543C"/>
    <w:rsid w:val="000A153F"/>
    <w:rsid w:val="000A27C1"/>
    <w:rsid w:val="000A7540"/>
    <w:rsid w:val="000B5E2B"/>
    <w:rsid w:val="000C2ACC"/>
    <w:rsid w:val="000D3895"/>
    <w:rsid w:val="000D47AB"/>
    <w:rsid w:val="000D6982"/>
    <w:rsid w:val="000D756B"/>
    <w:rsid w:val="000E54D0"/>
    <w:rsid w:val="000E7C0A"/>
    <w:rsid w:val="000F199E"/>
    <w:rsid w:val="000F3722"/>
    <w:rsid w:val="000F4EB1"/>
    <w:rsid w:val="00106160"/>
    <w:rsid w:val="00106FF0"/>
    <w:rsid w:val="001072A1"/>
    <w:rsid w:val="001129FF"/>
    <w:rsid w:val="00114C3C"/>
    <w:rsid w:val="00117598"/>
    <w:rsid w:val="00121E46"/>
    <w:rsid w:val="00122CD0"/>
    <w:rsid w:val="0012508A"/>
    <w:rsid w:val="00132E9F"/>
    <w:rsid w:val="00135494"/>
    <w:rsid w:val="00140AE4"/>
    <w:rsid w:val="00140C2F"/>
    <w:rsid w:val="0014191F"/>
    <w:rsid w:val="00143AC6"/>
    <w:rsid w:val="0014447C"/>
    <w:rsid w:val="00150071"/>
    <w:rsid w:val="001510E8"/>
    <w:rsid w:val="001552E9"/>
    <w:rsid w:val="00162176"/>
    <w:rsid w:val="00165929"/>
    <w:rsid w:val="00166046"/>
    <w:rsid w:val="00166FB7"/>
    <w:rsid w:val="001706EC"/>
    <w:rsid w:val="00180F6B"/>
    <w:rsid w:val="00182591"/>
    <w:rsid w:val="00182616"/>
    <w:rsid w:val="001A12A0"/>
    <w:rsid w:val="001A17B9"/>
    <w:rsid w:val="001A4700"/>
    <w:rsid w:val="001B260E"/>
    <w:rsid w:val="001B40CE"/>
    <w:rsid w:val="001C0CE9"/>
    <w:rsid w:val="001C7007"/>
    <w:rsid w:val="001D5892"/>
    <w:rsid w:val="001D6114"/>
    <w:rsid w:val="001D61D0"/>
    <w:rsid w:val="001D63E9"/>
    <w:rsid w:val="001E07AC"/>
    <w:rsid w:val="001E10E4"/>
    <w:rsid w:val="001E1309"/>
    <w:rsid w:val="001E1E50"/>
    <w:rsid w:val="001E60B7"/>
    <w:rsid w:val="001E7E59"/>
    <w:rsid w:val="001F021C"/>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252AD"/>
    <w:rsid w:val="00231EFE"/>
    <w:rsid w:val="00235C9C"/>
    <w:rsid w:val="00240360"/>
    <w:rsid w:val="00243440"/>
    <w:rsid w:val="002450D9"/>
    <w:rsid w:val="00247556"/>
    <w:rsid w:val="00247E1F"/>
    <w:rsid w:val="00250DDA"/>
    <w:rsid w:val="00254523"/>
    <w:rsid w:val="002572CF"/>
    <w:rsid w:val="0026191D"/>
    <w:rsid w:val="00271762"/>
    <w:rsid w:val="00273014"/>
    <w:rsid w:val="002771A2"/>
    <w:rsid w:val="00277E0D"/>
    <w:rsid w:val="0028585E"/>
    <w:rsid w:val="00287072"/>
    <w:rsid w:val="00290397"/>
    <w:rsid w:val="00291370"/>
    <w:rsid w:val="00296F49"/>
    <w:rsid w:val="002A1927"/>
    <w:rsid w:val="002A3167"/>
    <w:rsid w:val="002A6CAC"/>
    <w:rsid w:val="002B0070"/>
    <w:rsid w:val="002B1519"/>
    <w:rsid w:val="002B2554"/>
    <w:rsid w:val="002B58D4"/>
    <w:rsid w:val="002B5B14"/>
    <w:rsid w:val="002C2A2E"/>
    <w:rsid w:val="002C2D19"/>
    <w:rsid w:val="002C529C"/>
    <w:rsid w:val="002C56B2"/>
    <w:rsid w:val="002C5A67"/>
    <w:rsid w:val="002D3BB0"/>
    <w:rsid w:val="002D4991"/>
    <w:rsid w:val="002D4BAA"/>
    <w:rsid w:val="002D6110"/>
    <w:rsid w:val="002E22D8"/>
    <w:rsid w:val="002E2D4C"/>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6EDF"/>
    <w:rsid w:val="00337468"/>
    <w:rsid w:val="0034396B"/>
    <w:rsid w:val="00350442"/>
    <w:rsid w:val="00352CFB"/>
    <w:rsid w:val="00363308"/>
    <w:rsid w:val="00365ADF"/>
    <w:rsid w:val="00367BDB"/>
    <w:rsid w:val="0037111B"/>
    <w:rsid w:val="00374450"/>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6EE8"/>
    <w:rsid w:val="003C74AF"/>
    <w:rsid w:val="003C7AAC"/>
    <w:rsid w:val="003D1EEB"/>
    <w:rsid w:val="003D1FF7"/>
    <w:rsid w:val="003D2672"/>
    <w:rsid w:val="003D2A1C"/>
    <w:rsid w:val="003D3420"/>
    <w:rsid w:val="003D4962"/>
    <w:rsid w:val="003E01DA"/>
    <w:rsid w:val="003E08B9"/>
    <w:rsid w:val="003E1C7D"/>
    <w:rsid w:val="003E24FE"/>
    <w:rsid w:val="003E43D8"/>
    <w:rsid w:val="003E653B"/>
    <w:rsid w:val="003F046E"/>
    <w:rsid w:val="00400852"/>
    <w:rsid w:val="004008E7"/>
    <w:rsid w:val="004033F4"/>
    <w:rsid w:val="00404F9D"/>
    <w:rsid w:val="00405574"/>
    <w:rsid w:val="00406B61"/>
    <w:rsid w:val="00407282"/>
    <w:rsid w:val="00410A41"/>
    <w:rsid w:val="004132B8"/>
    <w:rsid w:val="00417EBD"/>
    <w:rsid w:val="00423757"/>
    <w:rsid w:val="00423C27"/>
    <w:rsid w:val="00424A8A"/>
    <w:rsid w:val="00425199"/>
    <w:rsid w:val="00432BF1"/>
    <w:rsid w:val="00437846"/>
    <w:rsid w:val="00443826"/>
    <w:rsid w:val="004440A9"/>
    <w:rsid w:val="0045270C"/>
    <w:rsid w:val="0045396C"/>
    <w:rsid w:val="00455D34"/>
    <w:rsid w:val="004572BE"/>
    <w:rsid w:val="00457AF6"/>
    <w:rsid w:val="004617C7"/>
    <w:rsid w:val="004625C1"/>
    <w:rsid w:val="004657BE"/>
    <w:rsid w:val="004737E6"/>
    <w:rsid w:val="00473B0B"/>
    <w:rsid w:val="004740BE"/>
    <w:rsid w:val="00474F20"/>
    <w:rsid w:val="004807F7"/>
    <w:rsid w:val="00481959"/>
    <w:rsid w:val="00481A0C"/>
    <w:rsid w:val="004830B5"/>
    <w:rsid w:val="00483551"/>
    <w:rsid w:val="00483713"/>
    <w:rsid w:val="00484E47"/>
    <w:rsid w:val="00487B8B"/>
    <w:rsid w:val="004905DB"/>
    <w:rsid w:val="0049115E"/>
    <w:rsid w:val="00492958"/>
    <w:rsid w:val="00496755"/>
    <w:rsid w:val="00497586"/>
    <w:rsid w:val="00497B93"/>
    <w:rsid w:val="004A51FF"/>
    <w:rsid w:val="004B19F6"/>
    <w:rsid w:val="004B2C63"/>
    <w:rsid w:val="004B4721"/>
    <w:rsid w:val="004C0459"/>
    <w:rsid w:val="004C08AF"/>
    <w:rsid w:val="004C7E18"/>
    <w:rsid w:val="004D339E"/>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7419"/>
    <w:rsid w:val="00537D90"/>
    <w:rsid w:val="00541B17"/>
    <w:rsid w:val="005421C7"/>
    <w:rsid w:val="005436F5"/>
    <w:rsid w:val="005448FA"/>
    <w:rsid w:val="00566699"/>
    <w:rsid w:val="00567C71"/>
    <w:rsid w:val="005733EB"/>
    <w:rsid w:val="0057534D"/>
    <w:rsid w:val="00590126"/>
    <w:rsid w:val="00591988"/>
    <w:rsid w:val="00592B53"/>
    <w:rsid w:val="00596856"/>
    <w:rsid w:val="005A117C"/>
    <w:rsid w:val="005A6F55"/>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23A0"/>
    <w:rsid w:val="0060633A"/>
    <w:rsid w:val="006110C1"/>
    <w:rsid w:val="006149F1"/>
    <w:rsid w:val="00617D1A"/>
    <w:rsid w:val="00620FA6"/>
    <w:rsid w:val="006246A5"/>
    <w:rsid w:val="00625C69"/>
    <w:rsid w:val="0062686A"/>
    <w:rsid w:val="00627F9C"/>
    <w:rsid w:val="00631F1B"/>
    <w:rsid w:val="00631FF9"/>
    <w:rsid w:val="00632085"/>
    <w:rsid w:val="00633C3F"/>
    <w:rsid w:val="00635C5C"/>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796"/>
    <w:rsid w:val="00673D7C"/>
    <w:rsid w:val="006749FD"/>
    <w:rsid w:val="00676C32"/>
    <w:rsid w:val="00677735"/>
    <w:rsid w:val="006808D8"/>
    <w:rsid w:val="00680D39"/>
    <w:rsid w:val="00686046"/>
    <w:rsid w:val="0068613E"/>
    <w:rsid w:val="0069776E"/>
    <w:rsid w:val="006A0ADE"/>
    <w:rsid w:val="006A29C5"/>
    <w:rsid w:val="006A3A54"/>
    <w:rsid w:val="006A561E"/>
    <w:rsid w:val="006A6AF8"/>
    <w:rsid w:val="006A7B74"/>
    <w:rsid w:val="006B42F4"/>
    <w:rsid w:val="006B54F8"/>
    <w:rsid w:val="006C24DF"/>
    <w:rsid w:val="006C43CE"/>
    <w:rsid w:val="006C6176"/>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30DE0"/>
    <w:rsid w:val="0073345D"/>
    <w:rsid w:val="00735353"/>
    <w:rsid w:val="007369C6"/>
    <w:rsid w:val="0073758D"/>
    <w:rsid w:val="0074093D"/>
    <w:rsid w:val="00742DE8"/>
    <w:rsid w:val="007451B1"/>
    <w:rsid w:val="00751BBC"/>
    <w:rsid w:val="00752C97"/>
    <w:rsid w:val="007538C9"/>
    <w:rsid w:val="00755E83"/>
    <w:rsid w:val="0075676A"/>
    <w:rsid w:val="0076120C"/>
    <w:rsid w:val="00763D73"/>
    <w:rsid w:val="007640C8"/>
    <w:rsid w:val="007676AF"/>
    <w:rsid w:val="00771EDA"/>
    <w:rsid w:val="00772257"/>
    <w:rsid w:val="00776087"/>
    <w:rsid w:val="007812E7"/>
    <w:rsid w:val="00785145"/>
    <w:rsid w:val="00785340"/>
    <w:rsid w:val="00786497"/>
    <w:rsid w:val="00790289"/>
    <w:rsid w:val="0079496F"/>
    <w:rsid w:val="00794D57"/>
    <w:rsid w:val="00797BE3"/>
    <w:rsid w:val="007A0571"/>
    <w:rsid w:val="007A223B"/>
    <w:rsid w:val="007A3831"/>
    <w:rsid w:val="007A4E13"/>
    <w:rsid w:val="007A7098"/>
    <w:rsid w:val="007B0292"/>
    <w:rsid w:val="007B0E30"/>
    <w:rsid w:val="007B1050"/>
    <w:rsid w:val="007C11C3"/>
    <w:rsid w:val="007C3284"/>
    <w:rsid w:val="007D0CFF"/>
    <w:rsid w:val="007D29C5"/>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299A"/>
    <w:rsid w:val="00815EAB"/>
    <w:rsid w:val="00816AE5"/>
    <w:rsid w:val="0081732C"/>
    <w:rsid w:val="00821898"/>
    <w:rsid w:val="0082278A"/>
    <w:rsid w:val="00823454"/>
    <w:rsid w:val="00824894"/>
    <w:rsid w:val="0082750B"/>
    <w:rsid w:val="00830360"/>
    <w:rsid w:val="008307E5"/>
    <w:rsid w:val="00834E89"/>
    <w:rsid w:val="00843415"/>
    <w:rsid w:val="0084469C"/>
    <w:rsid w:val="008455DC"/>
    <w:rsid w:val="00850F99"/>
    <w:rsid w:val="00853CC3"/>
    <w:rsid w:val="00862A04"/>
    <w:rsid w:val="00863E19"/>
    <w:rsid w:val="008659E5"/>
    <w:rsid w:val="00866110"/>
    <w:rsid w:val="00867D56"/>
    <w:rsid w:val="00870064"/>
    <w:rsid w:val="008725EE"/>
    <w:rsid w:val="008731D1"/>
    <w:rsid w:val="00875F60"/>
    <w:rsid w:val="008811D3"/>
    <w:rsid w:val="00881FE4"/>
    <w:rsid w:val="00882E8A"/>
    <w:rsid w:val="00882F15"/>
    <w:rsid w:val="00887526"/>
    <w:rsid w:val="00892543"/>
    <w:rsid w:val="00896031"/>
    <w:rsid w:val="00897444"/>
    <w:rsid w:val="008A0BE6"/>
    <w:rsid w:val="008A1C19"/>
    <w:rsid w:val="008A29E6"/>
    <w:rsid w:val="008A46B7"/>
    <w:rsid w:val="008B063B"/>
    <w:rsid w:val="008B5FD3"/>
    <w:rsid w:val="008B6FCC"/>
    <w:rsid w:val="008C0E72"/>
    <w:rsid w:val="008C0F70"/>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9EC"/>
    <w:rsid w:val="00934C64"/>
    <w:rsid w:val="00936CE7"/>
    <w:rsid w:val="0093732E"/>
    <w:rsid w:val="0093743A"/>
    <w:rsid w:val="00940AB1"/>
    <w:rsid w:val="00942349"/>
    <w:rsid w:val="00943B37"/>
    <w:rsid w:val="009450FA"/>
    <w:rsid w:val="00950ABA"/>
    <w:rsid w:val="00954DC1"/>
    <w:rsid w:val="009564D0"/>
    <w:rsid w:val="00960670"/>
    <w:rsid w:val="00960D8F"/>
    <w:rsid w:val="0096284F"/>
    <w:rsid w:val="0096359D"/>
    <w:rsid w:val="00967270"/>
    <w:rsid w:val="00970865"/>
    <w:rsid w:val="0097416D"/>
    <w:rsid w:val="009759F9"/>
    <w:rsid w:val="0098039E"/>
    <w:rsid w:val="00984CA8"/>
    <w:rsid w:val="0098562F"/>
    <w:rsid w:val="009859B8"/>
    <w:rsid w:val="0099000E"/>
    <w:rsid w:val="00992548"/>
    <w:rsid w:val="00993138"/>
    <w:rsid w:val="00994FE7"/>
    <w:rsid w:val="009A488D"/>
    <w:rsid w:val="009A6C7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2913"/>
    <w:rsid w:val="009F63A1"/>
    <w:rsid w:val="009F7B22"/>
    <w:rsid w:val="00A01F59"/>
    <w:rsid w:val="00A06551"/>
    <w:rsid w:val="00A077C1"/>
    <w:rsid w:val="00A07FE5"/>
    <w:rsid w:val="00A10000"/>
    <w:rsid w:val="00A10775"/>
    <w:rsid w:val="00A112EB"/>
    <w:rsid w:val="00A121E4"/>
    <w:rsid w:val="00A20153"/>
    <w:rsid w:val="00A205A0"/>
    <w:rsid w:val="00A2199B"/>
    <w:rsid w:val="00A22469"/>
    <w:rsid w:val="00A25EBC"/>
    <w:rsid w:val="00A26AC5"/>
    <w:rsid w:val="00A27B48"/>
    <w:rsid w:val="00A3134D"/>
    <w:rsid w:val="00A33B3A"/>
    <w:rsid w:val="00A35B31"/>
    <w:rsid w:val="00A4214D"/>
    <w:rsid w:val="00A54113"/>
    <w:rsid w:val="00A62727"/>
    <w:rsid w:val="00A63830"/>
    <w:rsid w:val="00A65C29"/>
    <w:rsid w:val="00A666CE"/>
    <w:rsid w:val="00A73A68"/>
    <w:rsid w:val="00A823B0"/>
    <w:rsid w:val="00A854D1"/>
    <w:rsid w:val="00A871F0"/>
    <w:rsid w:val="00A91642"/>
    <w:rsid w:val="00A9172E"/>
    <w:rsid w:val="00A92164"/>
    <w:rsid w:val="00A9462B"/>
    <w:rsid w:val="00A94BF6"/>
    <w:rsid w:val="00A979C7"/>
    <w:rsid w:val="00AA4F9A"/>
    <w:rsid w:val="00AA5A0A"/>
    <w:rsid w:val="00AB1AF3"/>
    <w:rsid w:val="00AB481C"/>
    <w:rsid w:val="00AB5B2C"/>
    <w:rsid w:val="00AB6FE4"/>
    <w:rsid w:val="00AD0168"/>
    <w:rsid w:val="00AD3C94"/>
    <w:rsid w:val="00AD4AD8"/>
    <w:rsid w:val="00AE26CD"/>
    <w:rsid w:val="00AE658B"/>
    <w:rsid w:val="00AF1F1C"/>
    <w:rsid w:val="00B00C15"/>
    <w:rsid w:val="00B0448E"/>
    <w:rsid w:val="00B070F5"/>
    <w:rsid w:val="00B12CBA"/>
    <w:rsid w:val="00B16CAC"/>
    <w:rsid w:val="00B303EA"/>
    <w:rsid w:val="00B31ACE"/>
    <w:rsid w:val="00B31BB2"/>
    <w:rsid w:val="00B33A21"/>
    <w:rsid w:val="00B34026"/>
    <w:rsid w:val="00B34950"/>
    <w:rsid w:val="00B34998"/>
    <w:rsid w:val="00B37149"/>
    <w:rsid w:val="00B37304"/>
    <w:rsid w:val="00B41C78"/>
    <w:rsid w:val="00B432F1"/>
    <w:rsid w:val="00B453EE"/>
    <w:rsid w:val="00B501B2"/>
    <w:rsid w:val="00B5077D"/>
    <w:rsid w:val="00B50E01"/>
    <w:rsid w:val="00B51B2F"/>
    <w:rsid w:val="00B53516"/>
    <w:rsid w:val="00B549E1"/>
    <w:rsid w:val="00B56587"/>
    <w:rsid w:val="00B56E95"/>
    <w:rsid w:val="00B649E6"/>
    <w:rsid w:val="00B64ADA"/>
    <w:rsid w:val="00B70242"/>
    <w:rsid w:val="00B75842"/>
    <w:rsid w:val="00B900A2"/>
    <w:rsid w:val="00B93C5C"/>
    <w:rsid w:val="00B956F6"/>
    <w:rsid w:val="00B97CAC"/>
    <w:rsid w:val="00BA11F9"/>
    <w:rsid w:val="00BA5252"/>
    <w:rsid w:val="00BA6922"/>
    <w:rsid w:val="00BA69A0"/>
    <w:rsid w:val="00BA79BA"/>
    <w:rsid w:val="00BB2359"/>
    <w:rsid w:val="00BB4086"/>
    <w:rsid w:val="00BB7706"/>
    <w:rsid w:val="00BC1A78"/>
    <w:rsid w:val="00BC5438"/>
    <w:rsid w:val="00BC55DA"/>
    <w:rsid w:val="00BC64D4"/>
    <w:rsid w:val="00BD1DE7"/>
    <w:rsid w:val="00BD20DA"/>
    <w:rsid w:val="00BD6532"/>
    <w:rsid w:val="00BE100C"/>
    <w:rsid w:val="00BE48F3"/>
    <w:rsid w:val="00BE6D77"/>
    <w:rsid w:val="00BE76C5"/>
    <w:rsid w:val="00BF0AEC"/>
    <w:rsid w:val="00BF123B"/>
    <w:rsid w:val="00BF123D"/>
    <w:rsid w:val="00BF3765"/>
    <w:rsid w:val="00BF5EE2"/>
    <w:rsid w:val="00BF69B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4B47"/>
    <w:rsid w:val="00C35F18"/>
    <w:rsid w:val="00C370FC"/>
    <w:rsid w:val="00C37DAE"/>
    <w:rsid w:val="00C40345"/>
    <w:rsid w:val="00C42A5D"/>
    <w:rsid w:val="00C47BC9"/>
    <w:rsid w:val="00C5369B"/>
    <w:rsid w:val="00C53CB3"/>
    <w:rsid w:val="00C67A59"/>
    <w:rsid w:val="00C70ADA"/>
    <w:rsid w:val="00C73F42"/>
    <w:rsid w:val="00C7460B"/>
    <w:rsid w:val="00C74A5C"/>
    <w:rsid w:val="00C8573E"/>
    <w:rsid w:val="00C90CE9"/>
    <w:rsid w:val="00C911DE"/>
    <w:rsid w:val="00C921D5"/>
    <w:rsid w:val="00C95F13"/>
    <w:rsid w:val="00C96EB7"/>
    <w:rsid w:val="00CA2ED9"/>
    <w:rsid w:val="00CA3DD3"/>
    <w:rsid w:val="00CA5A37"/>
    <w:rsid w:val="00CA5EC1"/>
    <w:rsid w:val="00CA7F40"/>
    <w:rsid w:val="00CC5081"/>
    <w:rsid w:val="00CD4230"/>
    <w:rsid w:val="00CD5716"/>
    <w:rsid w:val="00CD5D9E"/>
    <w:rsid w:val="00CE15C8"/>
    <w:rsid w:val="00CE1D19"/>
    <w:rsid w:val="00CE3DBC"/>
    <w:rsid w:val="00CE79D5"/>
    <w:rsid w:val="00CF27C6"/>
    <w:rsid w:val="00CF32FD"/>
    <w:rsid w:val="00CF6075"/>
    <w:rsid w:val="00CF6361"/>
    <w:rsid w:val="00CF7E3D"/>
    <w:rsid w:val="00D01B24"/>
    <w:rsid w:val="00D020E2"/>
    <w:rsid w:val="00D04234"/>
    <w:rsid w:val="00D04E44"/>
    <w:rsid w:val="00D0540D"/>
    <w:rsid w:val="00D060C5"/>
    <w:rsid w:val="00D0673B"/>
    <w:rsid w:val="00D12507"/>
    <w:rsid w:val="00D13B83"/>
    <w:rsid w:val="00D14D51"/>
    <w:rsid w:val="00D14E3B"/>
    <w:rsid w:val="00D21C2D"/>
    <w:rsid w:val="00D23F11"/>
    <w:rsid w:val="00D31AAE"/>
    <w:rsid w:val="00D32449"/>
    <w:rsid w:val="00D32E6F"/>
    <w:rsid w:val="00D42B44"/>
    <w:rsid w:val="00D42C52"/>
    <w:rsid w:val="00D46D29"/>
    <w:rsid w:val="00D47ECE"/>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C1F"/>
    <w:rsid w:val="00DF641D"/>
    <w:rsid w:val="00E014FE"/>
    <w:rsid w:val="00E05D45"/>
    <w:rsid w:val="00E0776F"/>
    <w:rsid w:val="00E1520C"/>
    <w:rsid w:val="00E16D1C"/>
    <w:rsid w:val="00E2314B"/>
    <w:rsid w:val="00E23E06"/>
    <w:rsid w:val="00E25492"/>
    <w:rsid w:val="00E264B7"/>
    <w:rsid w:val="00E31685"/>
    <w:rsid w:val="00E31D50"/>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70CAE"/>
    <w:rsid w:val="00E70CC2"/>
    <w:rsid w:val="00E70D08"/>
    <w:rsid w:val="00E726BA"/>
    <w:rsid w:val="00E72712"/>
    <w:rsid w:val="00E776D2"/>
    <w:rsid w:val="00E83DA0"/>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4D17"/>
    <w:rsid w:val="00EF6B28"/>
    <w:rsid w:val="00EF6CD7"/>
    <w:rsid w:val="00F00750"/>
    <w:rsid w:val="00F02F2E"/>
    <w:rsid w:val="00F04220"/>
    <w:rsid w:val="00F05BB1"/>
    <w:rsid w:val="00F07833"/>
    <w:rsid w:val="00F07DC2"/>
    <w:rsid w:val="00F11CFC"/>
    <w:rsid w:val="00F1657E"/>
    <w:rsid w:val="00F1770B"/>
    <w:rsid w:val="00F17EC1"/>
    <w:rsid w:val="00F2178A"/>
    <w:rsid w:val="00F23233"/>
    <w:rsid w:val="00F2343A"/>
    <w:rsid w:val="00F4463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B55"/>
    <w:rsid w:val="00F91C8D"/>
    <w:rsid w:val="00F929FF"/>
    <w:rsid w:val="00F92D09"/>
    <w:rsid w:val="00F967F3"/>
    <w:rsid w:val="00F96AD5"/>
    <w:rsid w:val="00FA47E2"/>
    <w:rsid w:val="00FB2F77"/>
    <w:rsid w:val="00FB55E9"/>
    <w:rsid w:val="00FB79CA"/>
    <w:rsid w:val="00FC029D"/>
    <w:rsid w:val="00FC58D0"/>
    <w:rsid w:val="00FC716A"/>
    <w:rsid w:val="00FC7D8B"/>
    <w:rsid w:val="00FD3A3C"/>
    <w:rsid w:val="00FD3B96"/>
    <w:rsid w:val="00FD4EB1"/>
    <w:rsid w:val="00FD59F4"/>
    <w:rsid w:val="00FD7EE2"/>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79BB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82112-6BAF-49EC-9666-7E7FA98A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7880</Words>
  <Characters>43346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2020-02-04T22:54:00Z</cp:lastPrinted>
  <dcterms:created xsi:type="dcterms:W3CDTF">2020-04-09T18:29:00Z</dcterms:created>
  <dcterms:modified xsi:type="dcterms:W3CDTF">2020-04-09T18:29:00Z</dcterms:modified>
</cp:coreProperties>
</file>