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8B9971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E717A">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D241EA5"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6E717A" w:rsidRPr="006E717A">
        <w:rPr>
          <w:rFonts w:ascii="Palatino Linotype" w:hAnsi="Palatino Linotype" w:cs="Arial"/>
          <w:b/>
          <w:bCs/>
          <w:sz w:val="24"/>
          <w:lang w:eastAsia="es-MX"/>
        </w:rPr>
        <w:t>10600/INFOEM/IP/RR/2019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415FD8">
        <w:rPr>
          <w:rFonts w:ascii="Palatino Linotype" w:hAnsi="Palatino Linotype" w:cs="Arial"/>
          <w:b/>
          <w:sz w:val="24"/>
          <w:szCs w:val="24"/>
        </w:rPr>
        <w:t xml:space="preserve">  </w:t>
      </w:r>
      <w:r w:rsidR="00304852">
        <w:rPr>
          <w:rFonts w:ascii="Palatino Linotype" w:hAnsi="Palatino Linotype" w:cs="Arial"/>
          <w:b/>
          <w:sz w:val="24"/>
          <w:szCs w:val="24"/>
        </w:rPr>
        <w:t>XXXX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6E717A" w:rsidRPr="006E717A">
        <w:rPr>
          <w:rFonts w:ascii="Palatino Linotype" w:hAnsi="Palatino Linotype" w:cs="Arial"/>
          <w:b/>
          <w:sz w:val="24"/>
          <w:szCs w:val="24"/>
        </w:rPr>
        <w:t>Ayuntamiento de San Felipe del Progreso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0E781B8F"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6E717A">
        <w:rPr>
          <w:rFonts w:ascii="Palatino Linotype" w:hAnsi="Palatino Linotype" w:cs="Arial"/>
          <w:sz w:val="24"/>
        </w:rPr>
        <w:t>veinticinco</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6E717A" w:rsidRPr="006E717A">
        <w:rPr>
          <w:rFonts w:ascii="Palatino Linotype" w:hAnsi="Palatino Linotype" w:cs="Arial"/>
          <w:b/>
          <w:sz w:val="24"/>
        </w:rPr>
        <w:t>00355/FELIPRO/IP/2019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6E72B984"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6E717A" w:rsidRPr="006E717A">
        <w:rPr>
          <w:rFonts w:ascii="Palatino Linotype" w:hAnsi="Palatino Linotype"/>
          <w:i/>
          <w:color w:val="000000"/>
        </w:rPr>
        <w:t>. Solicito la lista del personal que ingreso a las oficinas en el mes de septiembre de 2019.</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2CFC059A"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69AA63F0"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48C8EFD0" w14:textId="485671CE" w:rsidR="006E717A" w:rsidRDefault="006E717A"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0464" behindDoc="0" locked="0" layoutInCell="1" allowOverlap="1" wp14:anchorId="27BB2F17" wp14:editId="64A20C43">
                <wp:simplePos x="0" y="0"/>
                <wp:positionH relativeFrom="column">
                  <wp:posOffset>110490</wp:posOffset>
                </wp:positionH>
                <wp:positionV relativeFrom="paragraph">
                  <wp:posOffset>560071</wp:posOffset>
                </wp:positionV>
                <wp:extent cx="5550010" cy="495300"/>
                <wp:effectExtent l="19050" t="19050" r="12700" b="19050"/>
                <wp:wrapNone/>
                <wp:docPr id="13" name="Rectángulo 13"/>
                <wp:cNvGraphicFramePr/>
                <a:graphic xmlns:a="http://schemas.openxmlformats.org/drawingml/2006/main">
                  <a:graphicData uri="http://schemas.microsoft.com/office/word/2010/wordprocessingShape">
                    <wps:wsp>
                      <wps:cNvSpPr/>
                      <wps:spPr>
                        <a:xfrm>
                          <a:off x="0" y="0"/>
                          <a:ext cx="5550010" cy="495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526D75" id="Rectángulo 13" o:spid="_x0000_s1026" style="position:absolute;margin-left:8.7pt;margin-top:44.1pt;width:437pt;height:3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" filled="f" strokecolor="red" strokeweight="2.25pt"/>
            </w:pict>
          </mc:Fallback>
        </mc:AlternateContent>
      </w:r>
      <w:r w:rsidRPr="006E717A">
        <w:rPr>
          <w:rFonts w:ascii="Palatino Linotype" w:hAnsi="Palatino Linotype" w:cs="Arial"/>
          <w:noProof/>
          <w:sz w:val="24"/>
          <w:szCs w:val="24"/>
          <w:lang w:eastAsia="es-MX"/>
        </w:rPr>
        <w:drawing>
          <wp:inline distT="0" distB="0" distL="0" distR="0" wp14:anchorId="618598F8" wp14:editId="6903E1B3">
            <wp:extent cx="576072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33600"/>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5101A653"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6E717A">
        <w:rPr>
          <w:rFonts w:ascii="Palatino Linotype" w:hAnsi="Palatino Linotype" w:cs="Arial"/>
          <w:sz w:val="24"/>
          <w:szCs w:val="24"/>
        </w:rPr>
        <w:t>diecisiete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6E717A" w:rsidRPr="006E717A">
        <w:rPr>
          <w:rFonts w:ascii="Palatino Linotype" w:hAnsi="Palatino Linotype" w:cs="Arial"/>
          <w:b/>
          <w:sz w:val="24"/>
          <w:szCs w:val="24"/>
        </w:rPr>
        <w:t>10600/INFOEM/IP/RR/2019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1B989D03"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6E717A" w:rsidRPr="006E717A">
        <w:rPr>
          <w:rFonts w:ascii="Palatino Linotype" w:hAnsi="Palatino Linotype" w:cs="Arial"/>
          <w:i/>
        </w:rPr>
        <w:t>NO ENTREGARON LA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4A739B70"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lastRenderedPageBreak/>
        <w:t>“</w:t>
      </w:r>
      <w:r w:rsidR="006E717A" w:rsidRPr="006E717A">
        <w:rPr>
          <w:rFonts w:ascii="Palatino Linotype" w:hAnsi="Palatino Linotype"/>
          <w:i/>
          <w:color w:val="000000"/>
        </w:rPr>
        <w:t>NO ATENDIERON COMO DICE LA LEY DE TRANSPARENCIA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5379FF07"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E717A">
        <w:rPr>
          <w:rFonts w:ascii="Palatino Linotype" w:hAnsi="Palatino Linotype" w:cs="Arial"/>
          <w:sz w:val="24"/>
          <w:szCs w:val="24"/>
        </w:rPr>
        <w:t>ocho</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0A39936D"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5DD974F1" w14:textId="6E58270B" w:rsidR="006E717A" w:rsidRDefault="006E717A" w:rsidP="00415FD8">
      <w:pPr>
        <w:spacing w:after="0" w:line="360" w:lineRule="auto"/>
        <w:jc w:val="both"/>
        <w:rPr>
          <w:rFonts w:ascii="Palatino Linotype" w:hAnsi="Palatino Linotype" w:cs="Arial"/>
          <w:sz w:val="24"/>
          <w:szCs w:val="24"/>
        </w:rPr>
      </w:pPr>
      <w:r w:rsidRPr="006E717A">
        <w:rPr>
          <w:rFonts w:ascii="Palatino Linotype" w:hAnsi="Palatino Linotype" w:cs="Arial"/>
          <w:noProof/>
          <w:sz w:val="24"/>
          <w:szCs w:val="24"/>
          <w:lang w:eastAsia="es-MX"/>
        </w:rPr>
        <w:drawing>
          <wp:inline distT="0" distB="0" distL="0" distR="0" wp14:anchorId="46DEC12A" wp14:editId="2320E593">
            <wp:extent cx="5760720" cy="1660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60525"/>
                    </a:xfrm>
                    <a:prstGeom prst="rect">
                      <a:avLst/>
                    </a:prstGeom>
                  </pic:spPr>
                </pic:pic>
              </a:graphicData>
            </a:graphic>
          </wp:inline>
        </w:drawing>
      </w:r>
    </w:p>
    <w:p w14:paraId="01E75774" w14:textId="77777777" w:rsidR="00727C0F" w:rsidRDefault="00727C0F" w:rsidP="00727C0F">
      <w:pPr>
        <w:pStyle w:val="Sinespaciado"/>
      </w:pPr>
    </w:p>
    <w:p w14:paraId="5694A078" w14:textId="4013FE9C" w:rsidR="002813C0" w:rsidRDefault="002813C0" w:rsidP="00415FD8">
      <w:pPr>
        <w:spacing w:after="0" w:line="360" w:lineRule="auto"/>
        <w:jc w:val="both"/>
        <w:rPr>
          <w:rFonts w:ascii="Palatino Linotype" w:hAnsi="Palatino Linotype" w:cs="Arial"/>
          <w:sz w:val="24"/>
          <w:szCs w:val="24"/>
        </w:rPr>
      </w:pP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6091CE6"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E717A">
        <w:rPr>
          <w:rFonts w:ascii="Palatino Linotype" w:hAnsi="Palatino Linotype" w:cs="Arial"/>
          <w:sz w:val="24"/>
          <w:szCs w:val="24"/>
        </w:rPr>
        <w:t>veintiocho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F83B691" w:rsidR="0052678C"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3AFFA960" w14:textId="7D119366" w:rsidR="006E717A" w:rsidRDefault="006E717A" w:rsidP="00415FD8">
      <w:pPr>
        <w:spacing w:after="0" w:line="360" w:lineRule="auto"/>
        <w:jc w:val="both"/>
        <w:rPr>
          <w:rFonts w:ascii="Palatino Linotype" w:hAnsi="Palatino Linotype" w:cs="Arial"/>
          <w:sz w:val="24"/>
        </w:rPr>
      </w:pPr>
    </w:p>
    <w:p w14:paraId="2650B3DB" w14:textId="77777777" w:rsidR="006E717A" w:rsidRPr="006A6C9D" w:rsidRDefault="006E717A" w:rsidP="00415FD8">
      <w:pPr>
        <w:spacing w:after="0" w:line="360" w:lineRule="auto"/>
        <w:jc w:val="both"/>
        <w:rPr>
          <w:rFonts w:ascii="Palatino Linotype" w:hAnsi="Palatino Linotype" w:cs="Arial"/>
          <w:sz w:val="24"/>
        </w:rPr>
      </w:pP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lastRenderedPageBreak/>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w:t>
      </w:r>
      <w:r w:rsidRPr="00584718">
        <w:rPr>
          <w:rFonts w:ascii="Palatino Linotype" w:hAnsi="Palatino Linotype" w:cs="Arial"/>
        </w:rPr>
        <w:lastRenderedPageBreak/>
        <w:t xml:space="preserve">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lastRenderedPageBreak/>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84718">
        <w:rPr>
          <w:rFonts w:ascii="Palatino Linotype" w:hAnsi="Palatino Linotype" w:cs="Arial"/>
        </w:rPr>
        <w:lastRenderedPageBreak/>
        <w:t>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7097F46C"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49322E" w:rsidRPr="0049322E">
        <w:rPr>
          <w:rFonts w:ascii="Palatino Linotype" w:hAnsi="Palatino Linotype"/>
          <w:b/>
          <w:sz w:val="24"/>
          <w:szCs w:val="24"/>
        </w:rPr>
        <w:t xml:space="preserve"> </w:t>
      </w:r>
      <w:r w:rsidR="006E717A" w:rsidRPr="006E717A">
        <w:rPr>
          <w:rFonts w:ascii="Palatino Linotype" w:hAnsi="Palatino Linotype"/>
          <w:b/>
          <w:sz w:val="24"/>
          <w:szCs w:val="24"/>
        </w:rPr>
        <w:t>00355/FELIPRO/IP/2019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223D590B"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49322E" w:rsidRPr="0049322E">
        <w:rPr>
          <w:rFonts w:ascii="Palatino Linotype" w:hAnsi="Palatino Linotype"/>
          <w:b/>
          <w:i/>
          <w:sz w:val="24"/>
          <w:szCs w:val="24"/>
          <w:u w:val="single"/>
        </w:rPr>
        <w:t xml:space="preserve">La lista </w:t>
      </w:r>
      <w:r w:rsidR="006E717A" w:rsidRPr="006E717A">
        <w:rPr>
          <w:rFonts w:ascii="Palatino Linotype" w:hAnsi="Palatino Linotype"/>
          <w:b/>
          <w:i/>
          <w:sz w:val="24"/>
          <w:szCs w:val="24"/>
          <w:u w:val="single"/>
        </w:rPr>
        <w:t>el personal que ingreso a las oficinas en el mes de septiembre de 2019</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399443C" w14:textId="69DB8A6F"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265ABFF5" w14:textId="77777777"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893282">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w:t>
      </w:r>
      <w:r w:rsidRPr="00584718">
        <w:rPr>
          <w:rFonts w:ascii="Palatino Linotype" w:hAnsi="Palatino Linotype" w:cs="Arial"/>
          <w:color w:val="222222"/>
          <w:sz w:val="24"/>
          <w:lang w:eastAsia="es-MX"/>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C0ED8BD"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500405" w:rsidRPr="00500405">
        <w:rPr>
          <w:rFonts w:ascii="Palatino Linotype" w:hAnsi="Palatino Linotype" w:cs="Arial"/>
          <w:b/>
          <w:sz w:val="24"/>
        </w:rPr>
        <w:t>00355/FELIPRO/IP/2019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6A551BE2"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500405" w:rsidRPr="00500405">
        <w:rPr>
          <w:rFonts w:ascii="Palatino Linotype" w:hAnsi="Palatino Linotype" w:cs="Arial"/>
          <w:b/>
          <w:sz w:val="24"/>
          <w:szCs w:val="24"/>
        </w:rPr>
        <w:t>00355/FELIPRO/IP/2019</w:t>
      </w:r>
      <w:r w:rsidR="00AA17EB">
        <w:rPr>
          <w:rFonts w:ascii="Palatino Linotype" w:eastAsia="Times New Roman" w:hAnsi="Palatino Linotype" w:cs="Arial"/>
          <w:sz w:val="24"/>
          <w:szCs w:val="24"/>
        </w:rPr>
        <w:t xml:space="preserve">, en términos del Considerando </w:t>
      </w:r>
      <w:r w:rsidR="00AA17EB" w:rsidRPr="00AA17EB">
        <w:rPr>
          <w:rFonts w:ascii="Palatino Linotype" w:eastAsia="Times New Roman" w:hAnsi="Palatino Linotype" w:cs="Arial"/>
          <w:b/>
          <w:sz w:val="24"/>
          <w:szCs w:val="24"/>
        </w:rPr>
        <w:t>QUINTO</w:t>
      </w:r>
      <w:r w:rsidR="000444B6">
        <w:rPr>
          <w:rFonts w:ascii="Palatino Linotype" w:eastAsia="Times New Roman" w:hAnsi="Palatino Linotype" w:cs="Arial"/>
          <w:b/>
          <w:sz w:val="24"/>
          <w:szCs w:val="24"/>
        </w:rPr>
        <w:t xml:space="preserve"> </w:t>
      </w:r>
      <w:r w:rsidR="000444B6" w:rsidRPr="000444B6">
        <w:rPr>
          <w:rFonts w:ascii="Palatino Linotype" w:eastAsia="Times New Roman" w:hAnsi="Palatino Linotype" w:cs="Arial"/>
          <w:bCs/>
          <w:sz w:val="24"/>
          <w:szCs w:val="24"/>
        </w:rPr>
        <w:t>de esta Resolución</w:t>
      </w:r>
      <w:r w:rsidR="00CF5C44">
        <w:rPr>
          <w:rFonts w:ascii="Palatino Linotype" w:eastAsia="Times New Roman" w:hAnsi="Palatino Linotype" w:cs="Arial"/>
          <w:sz w:val="24"/>
          <w:szCs w:val="24"/>
        </w:rPr>
        <w:t xml:space="preserve">, </w:t>
      </w:r>
      <w:r w:rsidR="000444B6">
        <w:rPr>
          <w:rFonts w:ascii="Palatino Linotype" w:eastAsia="Times New Roman" w:hAnsi="Palatino Linotype" w:cs="Arial"/>
          <w:sz w:val="24"/>
          <w:szCs w:val="24"/>
        </w:rPr>
        <w:t xml:space="preserve">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66242CA0" w14:textId="0A98B30C" w:rsidR="001D2FCC" w:rsidRPr="00453875" w:rsidRDefault="00453875" w:rsidP="00453875">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7ED77DD3" w14:textId="134B39F1" w:rsidR="008F239B"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0E34E59" w14:textId="77777777" w:rsidR="008F239B" w:rsidRPr="00A87BAA" w:rsidRDefault="008F239B" w:rsidP="008F239B">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14:paraId="0D36F861" w14:textId="77777777" w:rsidR="008F239B" w:rsidRDefault="008F239B" w:rsidP="004D3D74">
      <w:pPr>
        <w:autoSpaceDE w:val="0"/>
        <w:autoSpaceDN w:val="0"/>
        <w:adjustRightInd w:val="0"/>
        <w:spacing w:after="0" w:line="360" w:lineRule="auto"/>
        <w:jc w:val="both"/>
        <w:rPr>
          <w:rFonts w:ascii="Palatino Linotype" w:eastAsia="MS Mincho" w:hAnsi="Palatino Linotype" w:cs="Times New Roman"/>
          <w:sz w:val="24"/>
        </w:rPr>
      </w:pPr>
    </w:p>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78A030A"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D959F4">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500405">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500405">
        <w:rPr>
          <w:rFonts w:ascii="Palatino Linotype" w:hAnsi="Palatino Linotype" w:cs="Arial"/>
          <w:sz w:val="24"/>
          <w:szCs w:val="24"/>
        </w:rPr>
        <w:t>CINCO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AA17EB">
        <w:rPr>
          <w:rFonts w:ascii="Palatino Linotype" w:hAnsi="Palatino Linotype" w:cs="Arial"/>
          <w:sz w:val="24"/>
          <w:szCs w:val="24"/>
        </w:rPr>
        <w:t>------------------------------</w:t>
      </w:r>
      <w:r w:rsidR="00500405">
        <w:rPr>
          <w:rFonts w:ascii="Palatino Linotype" w:hAnsi="Palatino Linotype" w:cs="Arial"/>
          <w:sz w:val="24"/>
          <w:szCs w:val="24"/>
        </w:rPr>
        <w:t>-------------------------------------------------------------------</w:t>
      </w:r>
    </w:p>
    <w:p w14:paraId="42929CC7" w14:textId="77777777" w:rsidR="00656294" w:rsidRDefault="00656294" w:rsidP="00415FD8">
      <w:pPr>
        <w:spacing w:after="0" w:line="360" w:lineRule="auto"/>
        <w:jc w:val="both"/>
        <w:rPr>
          <w:rFonts w:ascii="Palatino Linotype" w:hAnsi="Palatino Linotype" w:cs="Arial"/>
          <w:sz w:val="24"/>
          <w:szCs w:val="24"/>
        </w:rPr>
      </w:pPr>
    </w:p>
    <w:p w14:paraId="20CC17D6" w14:textId="0D954C5F"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F736D2C"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D959F4">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F736D2C"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D959F4">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9D7EB21"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00405">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500405" w:rsidRPr="00500405">
        <w:rPr>
          <w:rFonts w:ascii="Palatino Linotype" w:hAnsi="Palatino Linotype" w:cs="Arial"/>
          <w:b/>
          <w:bCs/>
          <w:sz w:val="16"/>
          <w:szCs w:val="16"/>
          <w:lang w:eastAsia="es-MX"/>
        </w:rPr>
        <w:t>10600/INFOEM/IP/RR/2019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24D52" w14:textId="77777777" w:rsidR="00C31F85" w:rsidRDefault="00C31F85" w:rsidP="006168E4">
      <w:pPr>
        <w:spacing w:after="0" w:line="240" w:lineRule="auto"/>
      </w:pPr>
      <w:r>
        <w:separator/>
      </w:r>
    </w:p>
  </w:endnote>
  <w:endnote w:type="continuationSeparator" w:id="0">
    <w:p w14:paraId="19261E38" w14:textId="77777777" w:rsidR="00C31F85" w:rsidRDefault="00C31F8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485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4852">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48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485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5D7F0" w14:textId="77777777" w:rsidR="00C31F85" w:rsidRDefault="00C31F85" w:rsidP="006168E4">
      <w:pPr>
        <w:spacing w:after="0" w:line="240" w:lineRule="auto"/>
      </w:pPr>
      <w:r>
        <w:separator/>
      </w:r>
    </w:p>
  </w:footnote>
  <w:footnote w:type="continuationSeparator" w:id="0">
    <w:p w14:paraId="1F31318D" w14:textId="77777777" w:rsidR="00C31F85" w:rsidRDefault="00C31F8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440C03A" w:rsidR="000510FC" w:rsidRPr="00B4142F" w:rsidRDefault="006E717A" w:rsidP="005C14E1">
          <w:pPr>
            <w:spacing w:after="0" w:line="276" w:lineRule="auto"/>
            <w:ind w:left="639" w:right="214"/>
            <w:jc w:val="right"/>
            <w:rPr>
              <w:rFonts w:ascii="Palatino Linotype" w:hAnsi="Palatino Linotype" w:cs="Arial"/>
              <w:szCs w:val="20"/>
            </w:rPr>
          </w:pPr>
          <w:r w:rsidRPr="006E717A">
            <w:rPr>
              <w:rFonts w:ascii="Palatino Linotype" w:hAnsi="Palatino Linotype" w:cs="Arial"/>
              <w:bCs/>
              <w:sz w:val="24"/>
              <w:lang w:eastAsia="es-MX"/>
            </w:rPr>
            <w:t>10600/INFOEM/IP/RR/2019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9682142" w:rsidR="000510FC" w:rsidRPr="00B7426B" w:rsidRDefault="006E717A" w:rsidP="00B7426B">
          <w:pPr>
            <w:spacing w:after="0" w:line="276" w:lineRule="auto"/>
            <w:ind w:left="639" w:right="214"/>
            <w:jc w:val="right"/>
            <w:rPr>
              <w:rFonts w:ascii="Palatino Linotype" w:hAnsi="Palatino Linotype" w:cs="Arial"/>
              <w:szCs w:val="20"/>
            </w:rPr>
          </w:pPr>
          <w:r w:rsidRPr="006E717A">
            <w:rPr>
              <w:rFonts w:ascii="Palatino Linotype" w:hAnsi="Palatino Linotype" w:cs="Arial"/>
              <w:szCs w:val="20"/>
            </w:rPr>
            <w:t>Ayuntamiento de San Felipe del Progreso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7A148E0" w:rsidR="000510FC" w:rsidRPr="00B4142F" w:rsidRDefault="006E717A" w:rsidP="005C14E1">
          <w:pPr>
            <w:spacing w:after="0" w:line="276" w:lineRule="auto"/>
            <w:ind w:left="639" w:right="214"/>
            <w:jc w:val="right"/>
            <w:rPr>
              <w:rFonts w:ascii="Palatino Linotype" w:hAnsi="Palatino Linotype" w:cs="Arial"/>
              <w:szCs w:val="20"/>
            </w:rPr>
          </w:pPr>
          <w:r w:rsidRPr="006E717A">
            <w:rPr>
              <w:rFonts w:ascii="Palatino Linotype" w:hAnsi="Palatino Linotype" w:cs="Arial"/>
              <w:bCs/>
              <w:sz w:val="24"/>
              <w:lang w:eastAsia="es-MX"/>
            </w:rPr>
            <w:t>10600/INFOEM/IP/RR/2019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8D4F519" w:rsidR="000510FC" w:rsidRPr="00F06FED" w:rsidRDefault="00304852" w:rsidP="00B7426B">
          <w:pPr>
            <w:spacing w:after="0" w:line="276" w:lineRule="auto"/>
            <w:ind w:left="639" w:right="214"/>
            <w:jc w:val="right"/>
            <w:rPr>
              <w:rFonts w:ascii="Palatino Linotype" w:hAnsi="Palatino Linotype" w:cs="Arial"/>
            </w:rPr>
          </w:pPr>
          <w:r>
            <w:rPr>
              <w:rFonts w:ascii="Palatino Linotype" w:hAnsi="Palatino Linotype" w:cs="Arial"/>
            </w:rPr>
            <w:t>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3E6E42A" w:rsidR="000510FC" w:rsidRDefault="006E717A" w:rsidP="00B7426B">
          <w:pPr>
            <w:spacing w:after="0" w:line="276" w:lineRule="auto"/>
            <w:ind w:left="639" w:right="214"/>
            <w:jc w:val="right"/>
            <w:rPr>
              <w:rFonts w:ascii="Palatino Linotype" w:hAnsi="Palatino Linotype" w:cs="Arial"/>
              <w:szCs w:val="20"/>
            </w:rPr>
          </w:pPr>
          <w:r w:rsidRPr="006E717A">
            <w:rPr>
              <w:rFonts w:ascii="Palatino Linotype" w:hAnsi="Palatino Linotype" w:cs="Arial"/>
              <w:szCs w:val="20"/>
            </w:rPr>
            <w:t>Ayuntamiento de San Felipe del Progreso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4B6"/>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4852"/>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3875"/>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0405"/>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56294"/>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4586E"/>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39B"/>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34B"/>
    <w:rsid w:val="00BB243B"/>
    <w:rsid w:val="00BB31BE"/>
    <w:rsid w:val="00BB3580"/>
    <w:rsid w:val="00BB65EE"/>
    <w:rsid w:val="00BC0FDD"/>
    <w:rsid w:val="00BC22E0"/>
    <w:rsid w:val="00BD2C4D"/>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1F85"/>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59F4"/>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DA01-79CC-4383-B1E9-6B1623A9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7440</Words>
  <Characters>40922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2020-04-15T22:48:00Z</dcterms:created>
  <dcterms:modified xsi:type="dcterms:W3CDTF">2020-04-28T04:26:00Z</dcterms:modified>
</cp:coreProperties>
</file>