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5C1" w:rsidRPr="00E42755" w:rsidRDefault="005765C1" w:rsidP="005765C1">
      <w:pPr>
        <w:widowControl w:val="0"/>
        <w:spacing w:before="100" w:beforeAutospacing="1" w:after="100" w:afterAutospacing="1"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Pr>
          <w:rFonts w:ascii="Palatino Linotype" w:hAnsi="Palatino Linotype" w:cs="Arial"/>
          <w:b/>
        </w:rPr>
        <w:t xml:space="preserve">DÉCIMA SÉPTIMA </w:t>
      </w:r>
      <w:r w:rsidRPr="0007653D">
        <w:rPr>
          <w:rFonts w:ascii="Palatino Linotype" w:hAnsi="Palatino Linotype" w:cs="Arial"/>
          <w:b/>
        </w:rPr>
        <w:t xml:space="preserve">SESIÓN ORDINARIA DE </w:t>
      </w:r>
      <w:r>
        <w:rPr>
          <w:rFonts w:ascii="Palatino Linotype" w:hAnsi="Palatino Linotype" w:cs="Arial"/>
          <w:b/>
        </w:rPr>
        <w:t>NUEVE DE MAYO DE DOS MIL DIECINUEVE</w:t>
      </w:r>
      <w:r w:rsidRPr="0007653D">
        <w:rPr>
          <w:rFonts w:ascii="Palatino Linotype" w:hAnsi="Palatino Linotype" w:cs="Arial"/>
          <w:b/>
        </w:rPr>
        <w:t>, EN EL RECURSO DE REVISIÓN 0</w:t>
      </w:r>
      <w:r>
        <w:rPr>
          <w:rFonts w:ascii="Palatino Linotype" w:hAnsi="Palatino Linotype" w:cs="Arial"/>
          <w:b/>
        </w:rPr>
        <w:t>0810/INFOEM/IP/RR/2019</w:t>
      </w:r>
      <w:r w:rsidRPr="00E42755">
        <w:rPr>
          <w:rFonts w:ascii="Palatino Linotype" w:eastAsia="Calibri" w:hAnsi="Palatino Linotype" w:cs="Arial"/>
          <w:b/>
          <w:color w:val="000000"/>
        </w:rPr>
        <w:t>.</w:t>
      </w:r>
    </w:p>
    <w:p w:rsidR="005765C1" w:rsidRPr="00E42755" w:rsidRDefault="005765C1" w:rsidP="005765C1">
      <w:pPr>
        <w:spacing w:before="100" w:beforeAutospacing="1" w:after="100" w:afterAutospacing="1"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 xml:space="preserve">respecto de la resolución dictada en el recurso de revisión </w:t>
      </w:r>
      <w:r w:rsidRPr="00E42755">
        <w:rPr>
          <w:rFonts w:ascii="Palatino Linotype" w:eastAsia="Calibri" w:hAnsi="Palatino Linotype" w:cs="Arial"/>
          <w:b/>
          <w:color w:val="000000"/>
        </w:rPr>
        <w:t>0</w:t>
      </w:r>
      <w:r>
        <w:rPr>
          <w:rFonts w:ascii="Palatino Linotype" w:eastAsia="Calibri" w:hAnsi="Palatino Linotype" w:cs="Arial"/>
          <w:b/>
          <w:color w:val="000000"/>
        </w:rPr>
        <w:t>0810/</w:t>
      </w:r>
      <w:r w:rsidRPr="00E42755">
        <w:rPr>
          <w:rFonts w:ascii="Palatino Linotype" w:eastAsia="Calibri" w:hAnsi="Palatino Linotype" w:cs="Arial"/>
          <w:b/>
          <w:color w:val="000000"/>
        </w:rPr>
        <w:t>INFOEM/IP/RR/201</w:t>
      </w:r>
      <w:r>
        <w:rPr>
          <w:rFonts w:ascii="Palatino Linotype" w:eastAsia="Calibri" w:hAnsi="Palatino Linotype" w:cs="Arial"/>
          <w:b/>
          <w:color w:val="000000"/>
        </w:rPr>
        <w:t>9</w:t>
      </w:r>
      <w:r w:rsidRPr="00E42755">
        <w:rPr>
          <w:rFonts w:ascii="Palatino Linotype" w:hAnsi="Palatino Linotype" w:cs="Arial"/>
        </w:rPr>
        <w:t xml:space="preserve">, pronunciada por el Pleno de este Instituto ante el proyecto presentado por </w:t>
      </w:r>
      <w:r>
        <w:rPr>
          <w:rFonts w:ascii="Palatino Linotype" w:hAnsi="Palatino Linotype" w:cs="Arial"/>
        </w:rPr>
        <w:t>la</w:t>
      </w:r>
      <w:r w:rsidRPr="00E42755">
        <w:rPr>
          <w:rFonts w:ascii="Palatino Linotype" w:hAnsi="Palatino Linotype" w:cs="Arial"/>
        </w:rPr>
        <w:t xml:space="preserve"> Comisionad</w:t>
      </w:r>
      <w:r>
        <w:rPr>
          <w:rFonts w:ascii="Palatino Linotype" w:hAnsi="Palatino Linotype" w:cs="Arial"/>
        </w:rPr>
        <w:t xml:space="preserve">a Presidenta </w:t>
      </w:r>
      <w:r>
        <w:rPr>
          <w:rFonts w:ascii="Palatino Linotype" w:hAnsi="Palatino Linotype" w:cs="Arial"/>
          <w:b/>
        </w:rPr>
        <w:t>ZULEMA MARTÍNEZ SÁNCHEZ</w:t>
      </w:r>
      <w:r w:rsidRPr="0007653D">
        <w:rPr>
          <w:rFonts w:ascii="Palatino Linotype" w:hAnsi="Palatino Linotype" w:cs="Arial"/>
        </w:rPr>
        <w:t xml:space="preserve">, </w:t>
      </w:r>
      <w:r>
        <w:rPr>
          <w:rFonts w:ascii="Palatino Linotype" w:hAnsi="Palatino Linotype" w:cs="Arial"/>
        </w:rPr>
        <w:t>que es del tenor siguiente.</w:t>
      </w:r>
    </w:p>
    <w:p w:rsidR="005765C1" w:rsidRDefault="005765C1" w:rsidP="005765C1">
      <w:pPr>
        <w:spacing w:before="100" w:beforeAutospacing="1" w:after="100" w:afterAutospacing="1" w:line="360" w:lineRule="auto"/>
        <w:jc w:val="both"/>
        <w:rPr>
          <w:rFonts w:ascii="Palatino Linotype" w:hAnsi="Palatino Linotype"/>
        </w:rPr>
      </w:pPr>
      <w:r>
        <w:rPr>
          <w:rFonts w:ascii="Palatino Linotype" w:hAnsi="Palatino Linotype"/>
        </w:rPr>
        <w:t>Al respecto, t</w:t>
      </w:r>
      <w:r w:rsidRPr="00D93A88">
        <w:rPr>
          <w:rFonts w:ascii="Palatino Linotype" w:hAnsi="Palatino Linotype"/>
        </w:rPr>
        <w:t xml:space="preserve">al y como quedó debidamente asentado en la resolución materia del presente voto, </w:t>
      </w:r>
      <w:r>
        <w:rPr>
          <w:rFonts w:ascii="Palatino Linotype" w:hAnsi="Palatino Linotype"/>
        </w:rPr>
        <w:t>el</w:t>
      </w:r>
      <w:r w:rsidRPr="00D93A88">
        <w:rPr>
          <w:rFonts w:ascii="Palatino Linotype" w:hAnsi="Palatino Linotype"/>
        </w:rPr>
        <w:t xml:space="preserve"> particular </w:t>
      </w:r>
      <w:r>
        <w:rPr>
          <w:rFonts w:ascii="Palatino Linotype" w:hAnsi="Palatino Linotype"/>
        </w:rPr>
        <w:t xml:space="preserve">requirió del </w:t>
      </w:r>
      <w:r w:rsidRPr="005F0909">
        <w:rPr>
          <w:rFonts w:ascii="Palatino Linotype" w:hAnsi="Palatino Linotype" w:cs="Arial"/>
          <w:b/>
        </w:rPr>
        <w:t>Ayuntamiento de Naucalpan de Juárez</w:t>
      </w:r>
      <w:r>
        <w:rPr>
          <w:rFonts w:ascii="Palatino Linotype" w:hAnsi="Palatino Linotype" w:cs="Arial"/>
          <w:b/>
        </w:rPr>
        <w:t xml:space="preserve">, </w:t>
      </w:r>
      <w:r>
        <w:rPr>
          <w:rFonts w:ascii="Palatino Linotype" w:hAnsi="Palatino Linotype"/>
        </w:rPr>
        <w:t xml:space="preserve">en lo sucesivo </w:t>
      </w:r>
      <w:r>
        <w:rPr>
          <w:rFonts w:ascii="Palatino Linotype" w:hAnsi="Palatino Linotype"/>
          <w:b/>
        </w:rPr>
        <w:t xml:space="preserve">EL SUJETO OBLIGADO, </w:t>
      </w:r>
      <w:r>
        <w:rPr>
          <w:rFonts w:ascii="Palatino Linotype" w:hAnsi="Palatino Linotype"/>
        </w:rPr>
        <w:t>el nombramiento de los integrantes del Comité de Adquisiciones y servicios, y del Comité de Arrendamientos, Adquisiciones de Inmuebles y Enajenaciones.</w:t>
      </w:r>
    </w:p>
    <w:p w:rsidR="005765C1" w:rsidRDefault="005765C1" w:rsidP="005765C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lastRenderedPageBreak/>
        <w:t xml:space="preserve">Del expediente electrónico del </w:t>
      </w:r>
      <w:r w:rsidRPr="00D87598">
        <w:rPr>
          <w:rFonts w:ascii="Palatino Linotype" w:hAnsi="Palatino Linotype" w:cs="Arial"/>
        </w:rPr>
        <w:t>Sistema de Acceso a la Información Mexiquens</w:t>
      </w:r>
      <w:r>
        <w:rPr>
          <w:rFonts w:ascii="Palatino Linotype" w:hAnsi="Palatino Linotype" w:cs="Arial"/>
        </w:rPr>
        <w:t xml:space="preserve">e, </w:t>
      </w:r>
      <w:r w:rsidRPr="00674996">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advierte que </w:t>
      </w:r>
      <w:r w:rsidRPr="00B57FE6">
        <w:rPr>
          <w:rFonts w:ascii="Palatino Linotype" w:hAnsi="Palatino Linotype" w:cs="Arial"/>
          <w:b/>
        </w:rPr>
        <w:t>EL SUJETO OBLIGADO</w:t>
      </w:r>
      <w:r w:rsidRPr="00AD7F4F">
        <w:rPr>
          <w:rFonts w:ascii="Palatino Linotype" w:hAnsi="Palatino Linotype" w:cs="Arial"/>
        </w:rPr>
        <w:t xml:space="preserve">, </w:t>
      </w:r>
      <w:r>
        <w:rPr>
          <w:rFonts w:ascii="Palatino Linotype" w:hAnsi="Palatino Linotype" w:cs="Arial"/>
        </w:rPr>
        <w:t>en respuesta adjuntó el listado que enseguida se inserta:</w:t>
      </w:r>
    </w:p>
    <w:p w:rsidR="005765C1" w:rsidRDefault="005765C1" w:rsidP="005765C1">
      <w:pPr>
        <w:spacing w:before="100" w:beforeAutospacing="1" w:after="100" w:afterAutospacing="1" w:line="360" w:lineRule="auto"/>
        <w:ind w:right="49"/>
        <w:jc w:val="both"/>
        <w:rPr>
          <w:rFonts w:ascii="Palatino Linotype" w:hAnsi="Palatino Linotype" w:cs="Arial"/>
        </w:rPr>
      </w:pPr>
      <w:r>
        <w:rPr>
          <w:noProof/>
          <w:lang w:val="es-MX" w:eastAsia="es-MX"/>
        </w:rPr>
        <w:drawing>
          <wp:inline distT="0" distB="0" distL="0" distR="0" wp14:anchorId="1F36E920" wp14:editId="189A467F">
            <wp:extent cx="5760720" cy="3657600"/>
            <wp:effectExtent l="19050" t="19050" r="1143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204"/>
                    <a:stretch/>
                  </pic:blipFill>
                  <pic:spPr bwMode="auto">
                    <a:xfrm>
                      <a:off x="0" y="0"/>
                      <a:ext cx="5760720" cy="3657600"/>
                    </a:xfrm>
                    <a:prstGeom prst="rect">
                      <a:avLst/>
                    </a:prstGeom>
                    <a:ln w="952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765C1" w:rsidRDefault="005765C1" w:rsidP="005765C1">
      <w:pPr>
        <w:spacing w:before="100" w:beforeAutospacing="1" w:after="100" w:afterAutospacing="1" w:line="360" w:lineRule="auto"/>
        <w:jc w:val="both"/>
        <w:rPr>
          <w:rFonts w:ascii="Palatino Linotype" w:hAnsi="Palatino Linotype" w:cs="Arial"/>
        </w:rPr>
      </w:pPr>
      <w:r>
        <w:rPr>
          <w:rFonts w:ascii="Palatino Linotype" w:hAnsi="Palatino Linotype"/>
          <w:color w:val="000000"/>
          <w:lang w:val="es-MX" w:eastAsia="es-MX"/>
        </w:rPr>
        <w:t xml:space="preserve">Inconforme con la respuesta proporcionada, </w:t>
      </w:r>
      <w:r>
        <w:rPr>
          <w:rFonts w:ascii="Palatino Linotype" w:hAnsi="Palatino Linotype"/>
          <w:b/>
          <w:color w:val="000000"/>
          <w:lang w:val="es-MX" w:eastAsia="es-MX"/>
        </w:rPr>
        <w:t>EL R</w:t>
      </w:r>
      <w:r w:rsidRPr="00833697">
        <w:rPr>
          <w:rFonts w:ascii="Palatino Linotype" w:hAnsi="Palatino Linotype"/>
          <w:b/>
          <w:color w:val="000000"/>
          <w:lang w:val="es-MX" w:eastAsia="es-MX"/>
        </w:rPr>
        <w:t>ECURRENTE</w:t>
      </w:r>
      <w:r>
        <w:rPr>
          <w:rFonts w:ascii="Palatino Linotype" w:hAnsi="Palatino Linotype"/>
          <w:color w:val="000000"/>
          <w:lang w:val="es-MX" w:eastAsia="es-MX"/>
        </w:rPr>
        <w:t xml:space="preserve"> </w:t>
      </w:r>
      <w:r>
        <w:rPr>
          <w:rFonts w:ascii="Palatino Linotype" w:hAnsi="Palatino Linotype" w:cs="Arial"/>
        </w:rPr>
        <w:t>interpuso el recurso de revisión de mérito, argumentando que la información solicitada le fue entregada de manera incompleta.</w:t>
      </w:r>
    </w:p>
    <w:p w:rsidR="005765C1" w:rsidRDefault="005765C1" w:rsidP="00D3570A">
      <w:pPr>
        <w:spacing w:before="100" w:beforeAutospacing="1" w:after="100" w:afterAutospacing="1" w:line="360" w:lineRule="auto"/>
        <w:jc w:val="both"/>
        <w:rPr>
          <w:rFonts w:ascii="Palatino Linotype" w:hAnsi="Palatino Linotype" w:cs="Arial"/>
        </w:rPr>
      </w:pPr>
      <w:r w:rsidRPr="005765C1">
        <w:rPr>
          <w:rFonts w:ascii="Palatino Linotype" w:hAnsi="Palatino Linotype" w:cs="Arial"/>
        </w:rPr>
        <w:t xml:space="preserve">Bajo ese tenor, </w:t>
      </w:r>
      <w:r w:rsidR="00D3570A">
        <w:rPr>
          <w:rFonts w:ascii="Palatino Linotype" w:hAnsi="Palatino Linotype" w:cs="Arial"/>
          <w:b/>
        </w:rPr>
        <w:t xml:space="preserve">EL SUJETO OBLIGADO </w:t>
      </w:r>
      <w:r w:rsidR="00D3570A">
        <w:rPr>
          <w:rFonts w:ascii="Palatino Linotype" w:hAnsi="Palatino Linotype" w:cs="Arial"/>
        </w:rPr>
        <w:t>mediante Informe Justificado remitió el A</w:t>
      </w:r>
      <w:r>
        <w:rPr>
          <w:rFonts w:ascii="Palatino Linotype" w:hAnsi="Palatino Linotype" w:cs="Arial"/>
        </w:rPr>
        <w:t xml:space="preserve">cuerdo número 03-SO/2019/12 por </w:t>
      </w:r>
      <w:r w:rsidR="00D3570A">
        <w:rPr>
          <w:rFonts w:ascii="Palatino Linotype" w:hAnsi="Palatino Linotype" w:cs="Arial"/>
        </w:rPr>
        <w:t>medio del cual</w:t>
      </w:r>
      <w:r>
        <w:rPr>
          <w:rFonts w:ascii="Palatino Linotype" w:hAnsi="Palatino Linotype" w:cs="Arial"/>
        </w:rPr>
        <w:t xml:space="preserve"> se </w:t>
      </w:r>
      <w:r w:rsidR="00D3570A">
        <w:rPr>
          <w:rFonts w:ascii="Palatino Linotype" w:hAnsi="Palatino Linotype" w:cs="Arial"/>
        </w:rPr>
        <w:t>constituyó</w:t>
      </w:r>
      <w:r>
        <w:rPr>
          <w:rFonts w:ascii="Palatino Linotype" w:hAnsi="Palatino Linotype" w:cs="Arial"/>
        </w:rPr>
        <w:t xml:space="preserve"> e integr</w:t>
      </w:r>
      <w:r w:rsidR="00D3570A">
        <w:rPr>
          <w:rFonts w:ascii="Palatino Linotype" w:hAnsi="Palatino Linotype" w:cs="Arial"/>
        </w:rPr>
        <w:t>ó</w:t>
      </w:r>
      <w:r>
        <w:rPr>
          <w:rFonts w:ascii="Palatino Linotype" w:hAnsi="Palatino Linotype" w:cs="Arial"/>
        </w:rPr>
        <w:t xml:space="preserve"> el Comité de Adquisiciones y Servicios de Naucalpan de Juárez, </w:t>
      </w:r>
      <w:r w:rsidR="00D3570A">
        <w:rPr>
          <w:rFonts w:ascii="Palatino Linotype" w:hAnsi="Palatino Linotype" w:cs="Arial"/>
        </w:rPr>
        <w:t xml:space="preserve">correspondiente a la </w:t>
      </w:r>
      <w:r>
        <w:rPr>
          <w:rFonts w:ascii="Palatino Linotype" w:hAnsi="Palatino Linotype" w:cs="Arial"/>
        </w:rPr>
        <w:lastRenderedPageBreak/>
        <w:t xml:space="preserve">administración 2019-2021, aprobado en la Tercera Sesión Ordinaria de Cabildo con fecha veintitrés de enero de dos mil diecinueve. </w:t>
      </w:r>
    </w:p>
    <w:p w:rsidR="00D3570A" w:rsidRPr="00D3570A" w:rsidRDefault="005765C1" w:rsidP="005765C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Así, del estudio d</w:t>
      </w:r>
      <w:r>
        <w:rPr>
          <w:rFonts w:ascii="Palatino Linotype" w:hAnsi="Palatino Linotype"/>
        </w:rPr>
        <w:t xml:space="preserve">el </w:t>
      </w:r>
      <w:r w:rsidRPr="00A01905">
        <w:rPr>
          <w:rFonts w:ascii="Palatino Linotype" w:hAnsi="Palatino Linotype"/>
        </w:rPr>
        <w:t>expediente electrónico</w:t>
      </w:r>
      <w:r>
        <w:rPr>
          <w:rFonts w:ascii="Palatino Linotype" w:hAnsi="Palatino Linotype" w:cs="Arial"/>
        </w:rPr>
        <w:t xml:space="preserve"> la Ponencia Resolutora determinó </w:t>
      </w:r>
      <w:r w:rsidR="00D3570A">
        <w:rPr>
          <w:rFonts w:ascii="Palatino Linotype" w:hAnsi="Palatino Linotype" w:cs="Arial"/>
          <w:b/>
        </w:rPr>
        <w:t xml:space="preserve">Modificar </w:t>
      </w:r>
      <w:r w:rsidR="00D3570A">
        <w:rPr>
          <w:rFonts w:ascii="Palatino Linotype" w:hAnsi="Palatino Linotype" w:cs="Arial"/>
        </w:rPr>
        <w:t xml:space="preserve">la respuesta del </w:t>
      </w:r>
      <w:r w:rsidR="00D3570A">
        <w:rPr>
          <w:rFonts w:ascii="Palatino Linotype" w:hAnsi="Palatino Linotype" w:cs="Arial"/>
          <w:b/>
        </w:rPr>
        <w:t xml:space="preserve">SUJETO OBLIGADO </w:t>
      </w:r>
      <w:r w:rsidR="00D3570A">
        <w:rPr>
          <w:rFonts w:ascii="Palatino Linotype" w:hAnsi="Palatino Linotype" w:cs="Arial"/>
        </w:rPr>
        <w:t xml:space="preserve">y ordenar la entrega preví búsqueda exhaustiva y razonable, a través del SAIMEX, del o de los documentos donde constara o de los cuales pudiera advertirse: </w:t>
      </w:r>
    </w:p>
    <w:p w:rsidR="00D3570A" w:rsidRPr="00D3570A" w:rsidRDefault="00D3570A" w:rsidP="00D3570A">
      <w:pPr>
        <w:pStyle w:val="Prrafodelista"/>
        <w:numPr>
          <w:ilvl w:val="0"/>
          <w:numId w:val="1"/>
        </w:numPr>
        <w:autoSpaceDE w:val="0"/>
        <w:autoSpaceDN w:val="0"/>
        <w:adjustRightInd w:val="0"/>
        <w:spacing w:before="240"/>
        <w:ind w:left="993" w:right="899" w:hanging="153"/>
        <w:jc w:val="both"/>
        <w:rPr>
          <w:rFonts w:ascii="Palatino Linotype" w:hAnsi="Palatino Linotype"/>
          <w:i/>
          <w:sz w:val="22"/>
          <w:szCs w:val="22"/>
        </w:rPr>
      </w:pPr>
      <w:r w:rsidRPr="00D3570A">
        <w:rPr>
          <w:rFonts w:ascii="Palatino Linotype" w:eastAsia="Cambria" w:hAnsi="Palatino Linotype"/>
          <w:i/>
          <w:sz w:val="22"/>
          <w:szCs w:val="22"/>
        </w:rPr>
        <w:t>El nombramiento del Secretario Ejecutivo, Vocales e Invitados Permanentes, que integran el Comité de Adquisiciones y Servicios de Naucalpan de Juárez, para la administración 2019-2021</w:t>
      </w:r>
      <w:r w:rsidRPr="00D3570A">
        <w:rPr>
          <w:rFonts w:ascii="Palatino Linotype" w:hAnsi="Palatino Linotype"/>
          <w:i/>
          <w:sz w:val="22"/>
          <w:szCs w:val="22"/>
        </w:rPr>
        <w:t>.</w:t>
      </w:r>
    </w:p>
    <w:p w:rsidR="00D3570A" w:rsidRPr="00EB2549" w:rsidRDefault="00D3570A" w:rsidP="00D3570A">
      <w:pPr>
        <w:pStyle w:val="Prrafodelista"/>
        <w:numPr>
          <w:ilvl w:val="0"/>
          <w:numId w:val="1"/>
        </w:numPr>
        <w:autoSpaceDE w:val="0"/>
        <w:autoSpaceDN w:val="0"/>
        <w:adjustRightInd w:val="0"/>
        <w:spacing w:before="240"/>
        <w:ind w:left="993" w:right="899" w:hanging="153"/>
        <w:jc w:val="both"/>
        <w:rPr>
          <w:rFonts w:ascii="Palatino Linotype" w:hAnsi="Palatino Linotype"/>
        </w:rPr>
      </w:pPr>
      <w:r w:rsidRPr="00D3570A">
        <w:rPr>
          <w:rFonts w:ascii="Palatino Linotype" w:hAnsi="Palatino Linotype"/>
          <w:i/>
          <w:sz w:val="22"/>
          <w:szCs w:val="22"/>
        </w:rPr>
        <w:t>El nombramiento del Presidente, Secretario Ejecutivo y Vocales, que integran el Comité de Arrendamientos, Adquisiciones de Inmuebles y Enajenaciones de Naucalpan de Juárez para la administración 2019-2021</w:t>
      </w:r>
      <w:r w:rsidRPr="00D3570A">
        <w:rPr>
          <w:rFonts w:ascii="Palatino Linotype" w:hAnsi="Palatino Linotype" w:cs="Arial"/>
          <w:i/>
          <w:sz w:val="22"/>
          <w:szCs w:val="22"/>
          <w:lang w:val="es-ES_tradnl"/>
        </w:rPr>
        <w:t>.</w:t>
      </w:r>
      <w:r>
        <w:rPr>
          <w:rFonts w:ascii="Palatino Linotype" w:hAnsi="Palatino Linotype" w:cs="Arial"/>
          <w:lang w:val="es-ES_tradnl"/>
        </w:rPr>
        <w:t xml:space="preserve">   </w:t>
      </w:r>
    </w:p>
    <w:p w:rsidR="00D3570A" w:rsidRDefault="005765C1" w:rsidP="005765C1">
      <w:pPr>
        <w:spacing w:before="100" w:beforeAutospacing="1" w:after="100" w:afterAutospacing="1" w:line="360" w:lineRule="auto"/>
        <w:jc w:val="both"/>
        <w:rPr>
          <w:rFonts w:ascii="Palatino Linotype" w:hAnsi="Palatino Linotype" w:cs="Arial"/>
          <w:lang w:val="es-MX"/>
        </w:rPr>
      </w:pPr>
      <w:r w:rsidRPr="004F3DBF">
        <w:rPr>
          <w:rFonts w:ascii="Palatino Linotype" w:hAnsi="Palatino Linotype" w:cs="Arial"/>
          <w:lang w:val="es-MX"/>
        </w:rPr>
        <w:t xml:space="preserve">En ese sentido, la que suscribe si bien coincide en términos generales con </w:t>
      </w:r>
      <w:r>
        <w:rPr>
          <w:rFonts w:ascii="Palatino Linotype" w:hAnsi="Palatino Linotype" w:cs="Arial"/>
          <w:lang w:val="es-MX"/>
        </w:rPr>
        <w:t xml:space="preserve">las causas que dieron origen al recurso de revisión en comento, considero necesario precisar que </w:t>
      </w:r>
      <w:r w:rsidR="00D3570A">
        <w:rPr>
          <w:rFonts w:ascii="Palatino Linotype" w:hAnsi="Palatino Linotype" w:cs="Arial"/>
          <w:lang w:val="es-MX"/>
        </w:rPr>
        <w:t>lo procedente era que la Ponencia Resolutora hubiera determinado el sobreseimiento del recurso de revisión en comento, al actualizarse la causal prevista en el artículo 192, fracción III de la Ley de Transparencia y Acceso a la Información Pública.</w:t>
      </w:r>
    </w:p>
    <w:p w:rsidR="00D3570A" w:rsidRDefault="00D3570A" w:rsidP="00D3570A">
      <w:pPr>
        <w:spacing w:before="100" w:beforeAutospacing="1" w:after="100" w:afterAutospacing="1" w:line="360" w:lineRule="auto"/>
        <w:jc w:val="both"/>
        <w:rPr>
          <w:rFonts w:ascii="Palatino Linotype" w:hAnsi="Palatino Linotype" w:cs="Arial"/>
        </w:rPr>
      </w:pPr>
      <w:r>
        <w:rPr>
          <w:rFonts w:ascii="Palatino Linotype" w:hAnsi="Palatino Linotype" w:cs="Arial"/>
          <w:lang w:val="es-MX"/>
        </w:rPr>
        <w:t xml:space="preserve">Lo anterior, debido a que la solicitud de información del particular consistió en obtener </w:t>
      </w:r>
      <w:r>
        <w:rPr>
          <w:rFonts w:ascii="Palatino Linotype" w:hAnsi="Palatino Linotype"/>
        </w:rPr>
        <w:t xml:space="preserve">el nombramiento de los integrantes del Comité de Adquisiciones y servicios, y del Comité de Arrendamientos, Adquisiciones de Inmuebles y Enajenaciones; a lo que, </w:t>
      </w:r>
      <w:r>
        <w:rPr>
          <w:rFonts w:ascii="Palatino Linotype" w:hAnsi="Palatino Linotype"/>
          <w:b/>
        </w:rPr>
        <w:t xml:space="preserve">EL SUJETO OBLIGADO </w:t>
      </w:r>
      <w:r>
        <w:rPr>
          <w:rFonts w:ascii="Palatino Linotype" w:hAnsi="Palatino Linotype"/>
        </w:rPr>
        <w:t xml:space="preserve">mediante su respuesta entrego un listado que contiene el nombre y cargo de los servidores públicos que integran </w:t>
      </w:r>
      <w:r w:rsidR="00AB4DE4">
        <w:rPr>
          <w:rFonts w:ascii="Palatino Linotype" w:hAnsi="Palatino Linotype"/>
        </w:rPr>
        <w:t xml:space="preserve">el Comité de Adquisiciones y </w:t>
      </w:r>
      <w:r w:rsidR="00AB4DE4">
        <w:rPr>
          <w:rFonts w:ascii="Palatino Linotype" w:hAnsi="Palatino Linotype"/>
        </w:rPr>
        <w:lastRenderedPageBreak/>
        <w:t xml:space="preserve">Servicios, situación que al no colmar el derecho de acceso a la información del solicitante, dio origen al recurso de revisión señalado al rubro; sin embargo, a través del Informe Justificado </w:t>
      </w:r>
      <w:r w:rsidR="00AB4DE4">
        <w:rPr>
          <w:rFonts w:ascii="Palatino Linotype" w:hAnsi="Palatino Linotype"/>
          <w:b/>
        </w:rPr>
        <w:t xml:space="preserve">EL SUJETO OBLIGADO </w:t>
      </w:r>
      <w:r w:rsidR="00AB4DE4">
        <w:rPr>
          <w:rFonts w:ascii="Palatino Linotype" w:hAnsi="Palatino Linotype"/>
        </w:rPr>
        <w:t xml:space="preserve">modificó su respuesta, haciendo entrega del </w:t>
      </w:r>
      <w:r w:rsidR="00AB4DE4">
        <w:rPr>
          <w:rFonts w:ascii="Palatino Linotype" w:hAnsi="Palatino Linotype" w:cs="Arial"/>
        </w:rPr>
        <w:t>Acuerdo número 03-SO/2019/12 por medio del cual se constituyó e integró el Comité de Adquisiciones y Servicios de Naucalpan de Juárez; tal y como se aprecia de las imágenes que se insertan a continuación:</w:t>
      </w:r>
    </w:p>
    <w:p w:rsidR="00AB4DE4" w:rsidRPr="00AB4DE4" w:rsidRDefault="00AB4DE4" w:rsidP="00D3570A">
      <w:pPr>
        <w:spacing w:before="100" w:beforeAutospacing="1" w:after="100" w:afterAutospacing="1" w:line="360" w:lineRule="auto"/>
        <w:jc w:val="both"/>
        <w:rPr>
          <w:rFonts w:ascii="Palatino Linotype" w:hAnsi="Palatino Linotype"/>
        </w:rPr>
      </w:pPr>
      <w:r>
        <w:rPr>
          <w:noProof/>
          <w:lang w:val="es-MX" w:eastAsia="es-MX"/>
        </w:rPr>
        <w:drawing>
          <wp:inline distT="0" distB="0" distL="0" distR="0" wp14:anchorId="42CC7A50" wp14:editId="71A41DFD">
            <wp:extent cx="5163512" cy="16383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4" t="17521" r="7646" b="32191"/>
                    <a:stretch/>
                  </pic:blipFill>
                  <pic:spPr bwMode="auto">
                    <a:xfrm>
                      <a:off x="0" y="0"/>
                      <a:ext cx="5163965" cy="1638470"/>
                    </a:xfrm>
                    <a:prstGeom prst="rect">
                      <a:avLst/>
                    </a:prstGeom>
                    <a:ln>
                      <a:noFill/>
                    </a:ln>
                    <a:extLst>
                      <a:ext uri="{53640926-AAD7-44D8-BBD7-CCE9431645EC}">
                        <a14:shadowObscured xmlns:a14="http://schemas.microsoft.com/office/drawing/2010/main"/>
                      </a:ext>
                    </a:extLst>
                  </pic:spPr>
                </pic:pic>
              </a:graphicData>
            </a:graphic>
          </wp:inline>
        </w:drawing>
      </w:r>
    </w:p>
    <w:p w:rsidR="00D3570A" w:rsidRDefault="00AB4DE4" w:rsidP="00E50266">
      <w:pPr>
        <w:spacing w:before="100" w:beforeAutospacing="1" w:after="100" w:afterAutospacing="1" w:line="360" w:lineRule="auto"/>
        <w:jc w:val="center"/>
        <w:rPr>
          <w:rFonts w:ascii="Palatino Linotype" w:hAnsi="Palatino Linotype" w:cs="Arial"/>
          <w:lang w:val="es-MX"/>
        </w:rPr>
      </w:pPr>
      <w:r>
        <w:rPr>
          <w:noProof/>
          <w:lang w:val="es-MX" w:eastAsia="es-MX"/>
        </w:rPr>
        <w:drawing>
          <wp:inline distT="0" distB="0" distL="0" distR="0" wp14:anchorId="57CEAA72" wp14:editId="3A018F70">
            <wp:extent cx="4476306" cy="803213"/>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21" t="30015" r="10384" b="45331"/>
                    <a:stretch/>
                  </pic:blipFill>
                  <pic:spPr bwMode="auto">
                    <a:xfrm>
                      <a:off x="0" y="0"/>
                      <a:ext cx="4476784" cy="803299"/>
                    </a:xfrm>
                    <a:prstGeom prst="rect">
                      <a:avLst/>
                    </a:prstGeom>
                    <a:ln>
                      <a:noFill/>
                    </a:ln>
                    <a:extLst>
                      <a:ext uri="{53640926-AAD7-44D8-BBD7-CCE9431645EC}">
                        <a14:shadowObscured xmlns:a14="http://schemas.microsoft.com/office/drawing/2010/main"/>
                      </a:ext>
                    </a:extLst>
                  </pic:spPr>
                </pic:pic>
              </a:graphicData>
            </a:graphic>
          </wp:inline>
        </w:drawing>
      </w:r>
    </w:p>
    <w:p w:rsidR="00D3570A" w:rsidRDefault="00E50266" w:rsidP="00E50266">
      <w:pPr>
        <w:spacing w:before="100" w:beforeAutospacing="1" w:after="100" w:afterAutospacing="1" w:line="360" w:lineRule="auto"/>
        <w:jc w:val="center"/>
        <w:rPr>
          <w:rFonts w:ascii="Palatino Linotype" w:hAnsi="Palatino Linotype" w:cs="Arial"/>
          <w:lang w:val="es-MX"/>
        </w:rPr>
      </w:pPr>
      <w:r>
        <w:rPr>
          <w:noProof/>
          <w:lang w:val="es-MX" w:eastAsia="es-MX"/>
        </w:rPr>
        <w:drawing>
          <wp:inline distT="0" distB="0" distL="0" distR="0" wp14:anchorId="3A7E6CC5" wp14:editId="61490BA1">
            <wp:extent cx="4135059" cy="21089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54" t="13303" r="17594" b="24728"/>
                    <a:stretch/>
                  </pic:blipFill>
                  <pic:spPr bwMode="auto">
                    <a:xfrm>
                      <a:off x="0" y="0"/>
                      <a:ext cx="4145317" cy="2114167"/>
                    </a:xfrm>
                    <a:prstGeom prst="rect">
                      <a:avLst/>
                    </a:prstGeom>
                    <a:ln>
                      <a:noFill/>
                    </a:ln>
                    <a:extLst>
                      <a:ext uri="{53640926-AAD7-44D8-BBD7-CCE9431645EC}">
                        <a14:shadowObscured xmlns:a14="http://schemas.microsoft.com/office/drawing/2010/main"/>
                      </a:ext>
                    </a:extLst>
                  </pic:spPr>
                </pic:pic>
              </a:graphicData>
            </a:graphic>
          </wp:inline>
        </w:drawing>
      </w:r>
    </w:p>
    <w:p w:rsidR="00E50266" w:rsidRDefault="00E50266" w:rsidP="00E50266">
      <w:pPr>
        <w:spacing w:before="100" w:beforeAutospacing="1" w:after="100" w:afterAutospacing="1" w:line="360" w:lineRule="auto"/>
        <w:jc w:val="center"/>
        <w:rPr>
          <w:rFonts w:ascii="Palatino Linotype" w:hAnsi="Palatino Linotype" w:cs="Arial"/>
          <w:lang w:val="es-MX"/>
        </w:rPr>
      </w:pPr>
      <w:r>
        <w:rPr>
          <w:noProof/>
          <w:lang w:val="es-MX" w:eastAsia="es-MX"/>
        </w:rPr>
        <w:lastRenderedPageBreak/>
        <w:drawing>
          <wp:inline distT="0" distB="0" distL="0" distR="0" wp14:anchorId="7160CDC7" wp14:editId="0BEF007C">
            <wp:extent cx="4067267" cy="29387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741" t="13306" r="18689" b="15319"/>
                    <a:stretch/>
                  </pic:blipFill>
                  <pic:spPr bwMode="auto">
                    <a:xfrm>
                      <a:off x="0" y="0"/>
                      <a:ext cx="4073272" cy="2943104"/>
                    </a:xfrm>
                    <a:prstGeom prst="rect">
                      <a:avLst/>
                    </a:prstGeom>
                    <a:ln>
                      <a:noFill/>
                    </a:ln>
                    <a:extLst>
                      <a:ext uri="{53640926-AAD7-44D8-BBD7-CCE9431645EC}">
                        <a14:shadowObscured xmlns:a14="http://schemas.microsoft.com/office/drawing/2010/main"/>
                      </a:ext>
                    </a:extLst>
                  </pic:spPr>
                </pic:pic>
              </a:graphicData>
            </a:graphic>
          </wp:inline>
        </w:drawing>
      </w:r>
    </w:p>
    <w:p w:rsidR="0051554B" w:rsidRDefault="00E50266" w:rsidP="005765C1">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lang w:val="es-MX"/>
        </w:rPr>
        <w:t xml:space="preserve">Así, </w:t>
      </w:r>
      <w:r w:rsidR="0051554B">
        <w:rPr>
          <w:rFonts w:ascii="Palatino Linotype" w:hAnsi="Palatino Linotype" w:cs="Arial"/>
          <w:lang w:val="es-MX"/>
        </w:rPr>
        <w:t xml:space="preserve">de las imágenes inserta se puede advertir que la fuente obligacional que constriñe al </w:t>
      </w:r>
      <w:r w:rsidR="0051554B">
        <w:rPr>
          <w:rFonts w:ascii="Palatino Linotype" w:hAnsi="Palatino Linotype" w:cs="Arial"/>
          <w:b/>
          <w:lang w:val="es-MX"/>
        </w:rPr>
        <w:t xml:space="preserve">SUJETO OBLIGADO </w:t>
      </w:r>
      <w:r w:rsidR="0051554B">
        <w:rPr>
          <w:rFonts w:ascii="Palatino Linotype" w:hAnsi="Palatino Linotype" w:cs="Arial"/>
          <w:lang w:val="es-MX"/>
        </w:rPr>
        <w:t>a contar con el Comité de Adquisiciones y Servicios es la Ley de Contratación Pública del Estado de México y Municipios y su Reglamento; específicamente en el numeral 44, que señala que dicho comité se integrara en el caso de los Municipios por el Presidente Municipal, un representante del área financiera, administrativa y jurídica; así como, de un representante del Órgano de Control y un secretario ejecutivo designado por el Presidente.</w:t>
      </w:r>
    </w:p>
    <w:p w:rsidR="00D3570A" w:rsidRDefault="0051554B" w:rsidP="005765C1">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lang w:val="es-MX"/>
        </w:rPr>
        <w:t xml:space="preserve">Siendo importante, destacar que, de la normatividad en comento no se advierte que exista fuente obligacional que </w:t>
      </w:r>
      <w:r w:rsidR="00DD2201">
        <w:rPr>
          <w:rFonts w:ascii="Palatino Linotype" w:hAnsi="Palatino Linotype" w:cs="Arial"/>
          <w:lang w:val="es-MX"/>
        </w:rPr>
        <w:t xml:space="preserve">constriña al </w:t>
      </w:r>
      <w:r w:rsidR="00DD2201">
        <w:rPr>
          <w:rFonts w:ascii="Palatino Linotype" w:hAnsi="Palatino Linotype" w:cs="Arial"/>
          <w:b/>
          <w:lang w:val="es-MX"/>
        </w:rPr>
        <w:t xml:space="preserve">SUJETO OBLIGADO </w:t>
      </w:r>
      <w:r w:rsidR="00DD2201">
        <w:rPr>
          <w:rFonts w:ascii="Palatino Linotype" w:hAnsi="Palatino Linotype" w:cs="Arial"/>
          <w:lang w:val="es-MX"/>
        </w:rPr>
        <w:t xml:space="preserve">para expedir como tal un nombramiento a cada integrante del citado Comité de Adquisiciones; razón por la cual, considero importante destacar que lo procedente era que la Ponencia </w:t>
      </w:r>
      <w:r w:rsidR="00DD2201">
        <w:rPr>
          <w:rFonts w:ascii="Palatino Linotype" w:hAnsi="Palatino Linotype" w:cs="Arial"/>
          <w:lang w:val="es-MX"/>
        </w:rPr>
        <w:lastRenderedPageBreak/>
        <w:t>Resolutora analizara dicha situación en el estudio de la resolución de mérito y determinara el sobreseimiento del recurso de revisión.</w:t>
      </w:r>
    </w:p>
    <w:p w:rsidR="001106D6" w:rsidRDefault="00DD2201" w:rsidP="005765C1">
      <w:pPr>
        <w:spacing w:before="100" w:beforeAutospacing="1" w:after="100" w:afterAutospacing="1" w:line="360" w:lineRule="auto"/>
        <w:jc w:val="both"/>
        <w:rPr>
          <w:rFonts w:ascii="Palatino Linotype" w:hAnsi="Palatino Linotype" w:cs="Arial"/>
          <w:lang w:val="es-MX"/>
        </w:rPr>
      </w:pPr>
      <w:r>
        <w:rPr>
          <w:rFonts w:ascii="Palatino Linotype" w:hAnsi="Palatino Linotype" w:cs="Arial"/>
          <w:lang w:val="es-MX"/>
        </w:rPr>
        <w:t>Toda vez que, de conformidad con lo establecido en los artículo 4 y 9, fracciones I, VII y VIII</w:t>
      </w:r>
      <w:r>
        <w:rPr>
          <w:rStyle w:val="Refdenotaalpie"/>
          <w:rFonts w:ascii="Palatino Linotype" w:hAnsi="Palatino Linotype" w:cs="Arial"/>
          <w:lang w:val="es-MX"/>
        </w:rPr>
        <w:footnoteReference w:id="1"/>
      </w:r>
      <w:r>
        <w:rPr>
          <w:rFonts w:ascii="Palatino Linotype" w:hAnsi="Palatino Linotype" w:cs="Arial"/>
          <w:lang w:val="es-MX"/>
        </w:rPr>
        <w:t xml:space="preserve"> de la Ley de Transparencia y Acceso a la Información Pública del Estado de México y Municipios, </w:t>
      </w:r>
      <w:r>
        <w:rPr>
          <w:rFonts w:ascii="Palatino Linotype" w:hAnsi="Palatino Linotype" w:cs="Arial"/>
          <w:b/>
          <w:lang w:val="es-MX"/>
        </w:rPr>
        <w:t xml:space="preserve">EL SUJETO OBLIGADO </w:t>
      </w:r>
      <w:r>
        <w:rPr>
          <w:rFonts w:ascii="Palatino Linotype" w:hAnsi="Palatino Linotype" w:cs="Arial"/>
          <w:lang w:val="es-MX"/>
        </w:rPr>
        <w:t>a fin de dar cumplimiento a los principios de máxima publicidad, certeza y objetividad y congruencia hizo entrega mediante Informe Justificado de la información que obra en sus archivos; razón por la cual se considera que el derecho de acceso a la información del solicitante hab</w:t>
      </w:r>
      <w:r w:rsidR="001106D6">
        <w:rPr>
          <w:rFonts w:ascii="Palatino Linotype" w:hAnsi="Palatino Linotype" w:cs="Arial"/>
          <w:lang w:val="es-MX"/>
        </w:rPr>
        <w:t xml:space="preserve">ía sido colmado, pues al no existir fuente obligacional, la Ponencia Resolutora debió analizar el requerimiento formulado por el particular así como la respuesta otorgada y el Informe Justificado con la finalidad de aplicar un criterio exhaustivo al momento de </w:t>
      </w:r>
      <w:r w:rsidR="001106D6">
        <w:rPr>
          <w:rFonts w:ascii="Palatino Linotype" w:hAnsi="Palatino Linotype" w:cs="Arial"/>
          <w:lang w:val="es-MX"/>
        </w:rPr>
        <w:lastRenderedPageBreak/>
        <w:t xml:space="preserve">resolver el recurso de revisión para que existiera congruencia entre lo requerido y el sentido de la resolución en comento. </w:t>
      </w:r>
    </w:p>
    <w:p w:rsidR="005765C1" w:rsidRDefault="005765C1" w:rsidP="005765C1">
      <w:pPr>
        <w:spacing w:before="100" w:beforeAutospacing="1" w:after="100" w:afterAutospacing="1" w:line="360" w:lineRule="auto"/>
        <w:jc w:val="both"/>
        <w:rPr>
          <w:rFonts w:ascii="Palatino Linotype" w:hAnsi="Palatino Linotype" w:cs="Arial"/>
          <w:lang w:val="es-MX"/>
        </w:rPr>
      </w:pPr>
      <w:r>
        <w:rPr>
          <w:rFonts w:ascii="Palatino Linotype" w:hAnsi="Palatino Linotype"/>
        </w:rPr>
        <w:t xml:space="preserve">A fin de robustecer lo expuesto, conviene citar </w:t>
      </w:r>
      <w:r>
        <w:rPr>
          <w:rFonts w:ascii="Palatino Linotype" w:hAnsi="Palatino Linotype" w:cs="Segoe UI"/>
        </w:rPr>
        <w:t xml:space="preserve">el criterio orientador </w:t>
      </w:r>
      <w:r>
        <w:rPr>
          <w:rFonts w:ascii="Palatino Linotype" w:hAnsi="Palatino Linotype"/>
          <w:lang w:eastAsia="es-MX"/>
        </w:rPr>
        <w:t xml:space="preserve">002/2017 del Instituto Nacional de Acceso a la Información y Protección de Datos (INAI), </w:t>
      </w:r>
      <w:r>
        <w:rPr>
          <w:rFonts w:ascii="Palatino Linotype" w:hAnsi="Palatino Linotype" w:cs="Arial"/>
        </w:rPr>
        <w:t>cuyo tenor es el siguiente:</w:t>
      </w:r>
    </w:p>
    <w:p w:rsidR="005765C1" w:rsidRPr="00D621C2" w:rsidRDefault="005765C1" w:rsidP="005765C1">
      <w:pPr>
        <w:spacing w:before="100" w:beforeAutospacing="1" w:after="100" w:afterAutospacing="1"/>
        <w:ind w:left="851" w:right="899"/>
        <w:jc w:val="both"/>
        <w:rPr>
          <w:rFonts w:ascii="Palatino Linotype" w:hAnsi="Palatino Linotype" w:cs="Arial"/>
          <w:b/>
          <w:bCs/>
          <w:i/>
          <w:sz w:val="22"/>
        </w:rPr>
      </w:pPr>
      <w:r w:rsidRPr="006807DD">
        <w:rPr>
          <w:rFonts w:ascii="Palatino Linotype" w:hAnsi="Palatino Linotype" w:cs="Arial"/>
          <w:b/>
          <w:bCs/>
          <w:i/>
          <w:sz w:val="22"/>
        </w:rPr>
        <w:t>“Congruencia y exhaustividad.</w:t>
      </w:r>
      <w:r w:rsidRPr="006807D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D621C2">
        <w:rPr>
          <w:rFonts w:ascii="Palatino Linotype" w:hAnsi="Palatino Linotype" w:cs="Arial"/>
          <w:b/>
          <w:bCs/>
          <w:i/>
          <w:sz w:val="22"/>
        </w:rPr>
        <w:t>la congruencia implica que exista concordancia entre el requerimiento formulado por el particular y la respuesta proporcionada por el sujeto obligado;</w:t>
      </w:r>
      <w:r w:rsidRPr="006807DD">
        <w:rPr>
          <w:rFonts w:ascii="Palatino Linotype" w:hAnsi="Palatino Linotype" w:cs="Arial"/>
          <w:bCs/>
          <w:i/>
          <w:sz w:val="22"/>
        </w:rPr>
        <w:t xml:space="preserve"> mientras que </w:t>
      </w:r>
      <w:r w:rsidRPr="00D621C2">
        <w:rPr>
          <w:rFonts w:ascii="Palatino Linotype" w:hAnsi="Palatino Linotype" w:cs="Arial"/>
          <w:b/>
          <w:bCs/>
          <w:i/>
          <w:sz w:val="22"/>
        </w:rPr>
        <w:t xml:space="preserve">la exhaustividad significa que dicha respuesta se refiera expresamente a cada uno de los puntos solicitados. </w:t>
      </w:r>
      <w:r w:rsidRPr="006807DD">
        <w:rPr>
          <w:rFonts w:ascii="Palatino Linotype" w:hAnsi="Palatino Linotype" w:cs="Arial"/>
          <w:bCs/>
          <w:i/>
          <w:sz w:val="22"/>
        </w:rPr>
        <w:t xml:space="preserve">Por lo anterior, los sujetos obligados cumplirán con los principios de congruencia y exhaustividad, </w:t>
      </w:r>
      <w:r w:rsidRPr="00D621C2">
        <w:rPr>
          <w:rFonts w:ascii="Palatino Linotype" w:hAnsi="Palatino Linotype" w:cs="Arial"/>
          <w:b/>
          <w:bCs/>
          <w:i/>
          <w:sz w:val="22"/>
        </w:rPr>
        <w:t>cuando las respuestas que emitan guarden una relación lógica con lo solicitado y atiendan de manera puntual y expresa, cada uno de los contenidos de información.</w:t>
      </w:r>
    </w:p>
    <w:p w:rsidR="005765C1" w:rsidRPr="00C01C99" w:rsidRDefault="005765C1" w:rsidP="005765C1">
      <w:pPr>
        <w:spacing w:before="100" w:beforeAutospacing="1" w:after="100" w:afterAutospacing="1"/>
        <w:ind w:left="851" w:right="899"/>
        <w:jc w:val="both"/>
        <w:rPr>
          <w:rFonts w:ascii="Palatino Linotype" w:hAnsi="Palatino Linotype" w:cs="Arial"/>
          <w:b/>
          <w:bCs/>
          <w:i/>
          <w:sz w:val="22"/>
        </w:rPr>
      </w:pPr>
      <w:r w:rsidRPr="006807DD">
        <w:rPr>
          <w:rFonts w:ascii="Palatino Linotype" w:hAnsi="Palatino Linotype" w:cs="Arial"/>
          <w:bCs/>
          <w:i/>
          <w:sz w:val="22"/>
        </w:rPr>
        <w:t xml:space="preserve">Resoluciones: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0003/16. Comisión Nacional de las Zonas Áridas. 29 de junio de 2016. Por unanimidad. Comisionado Ponente Oscar Mauricio Guerra Ford.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0100/16. Sindicato Nacional de Trabajadores de la Educación. 13 de julio de 2016. Por unanimidad. Comisionada Ponente. Areli Cano Guadiana. </w:t>
      </w:r>
      <w:r w:rsidRPr="006807DD">
        <w:rPr>
          <w:rFonts w:ascii="Palatino Linotype" w:hAnsi="Palatino Linotype" w:cs="Arial"/>
          <w:bCs/>
          <w:i/>
          <w:sz w:val="22"/>
        </w:rPr>
        <w:sym w:font="Symbol" w:char="F0B7"/>
      </w:r>
      <w:r w:rsidRPr="006807DD">
        <w:rPr>
          <w:rFonts w:ascii="Palatino Linotype" w:hAnsi="Palatino Linotype" w:cs="Arial"/>
          <w:bCs/>
          <w:i/>
          <w:sz w:val="22"/>
        </w:rPr>
        <w:t xml:space="preserve"> RRA 1419/16. Secretaría de Educación Pública. 14 de septiembre de 2016. Por unanimidad. Comisionado Ponente Rosendoevgueni Monterrey Chepov</w:t>
      </w:r>
      <w:r w:rsidRPr="007D2ED5">
        <w:rPr>
          <w:rFonts w:ascii="Palatino Linotype" w:hAnsi="Palatino Linotype" w:cs="Arial"/>
          <w:b/>
          <w:bCs/>
          <w:i/>
          <w:sz w:val="22"/>
        </w:rPr>
        <w:t>.”</w:t>
      </w:r>
    </w:p>
    <w:p w:rsidR="00041F7B" w:rsidRDefault="005765C1" w:rsidP="005765C1">
      <w:pPr>
        <w:spacing w:before="100" w:beforeAutospacing="1" w:after="100" w:afterAutospacing="1" w:line="360" w:lineRule="auto"/>
        <w:jc w:val="both"/>
        <w:rPr>
          <w:rFonts w:ascii="Palatino Linotype" w:hAnsi="Palatino Linotype" w:cs="Arial"/>
        </w:rPr>
      </w:pPr>
      <w:r w:rsidRPr="000A6958">
        <w:rPr>
          <w:rFonts w:ascii="Palatino Linotype" w:hAnsi="Palatino Linotype" w:cs="Arial"/>
        </w:rPr>
        <w:t>Es por lo anteriormen</w:t>
      </w:r>
      <w:r>
        <w:rPr>
          <w:rFonts w:ascii="Palatino Linotype" w:hAnsi="Palatino Linotype" w:cs="Arial"/>
        </w:rPr>
        <w:t>te expuesto que, la que suscrita</w:t>
      </w:r>
      <w:r w:rsidRPr="000A6958">
        <w:rPr>
          <w:rFonts w:ascii="Palatino Linotype" w:hAnsi="Palatino Linotype" w:cs="Arial"/>
        </w:rPr>
        <w:t xml:space="preserve"> emite </w:t>
      </w:r>
      <w:r w:rsidRPr="000A6958">
        <w:rPr>
          <w:rFonts w:ascii="Palatino Linotype" w:hAnsi="Palatino Linotype" w:cs="Arial"/>
          <w:b/>
        </w:rPr>
        <w:t>VOTO PARTICULAR</w:t>
      </w:r>
      <w:r w:rsidRPr="000A6958">
        <w:rPr>
          <w:rFonts w:ascii="Palatino Linotype" w:hAnsi="Palatino Linotype" w:cs="Arial"/>
        </w:rPr>
        <w:t xml:space="preserve">, pues se insiste que </w:t>
      </w:r>
      <w:r>
        <w:rPr>
          <w:rFonts w:ascii="Palatino Linotype" w:hAnsi="Palatino Linotype" w:cs="Arial"/>
        </w:rPr>
        <w:t xml:space="preserve">lo </w:t>
      </w:r>
      <w:r w:rsidRPr="000A6958">
        <w:rPr>
          <w:rFonts w:ascii="Palatino Linotype" w:hAnsi="Palatino Linotype" w:cs="Arial"/>
        </w:rPr>
        <w:t xml:space="preserve">procedente </w:t>
      </w:r>
      <w:r>
        <w:rPr>
          <w:rFonts w:ascii="Palatino Linotype" w:hAnsi="Palatino Linotype" w:cs="Arial"/>
        </w:rPr>
        <w:t xml:space="preserve">respecto al sentido de la resolución en comento era </w:t>
      </w:r>
      <w:r w:rsidR="00041F7B">
        <w:rPr>
          <w:rFonts w:ascii="Palatino Linotype" w:hAnsi="Palatino Linotype" w:cs="Arial"/>
          <w:b/>
        </w:rPr>
        <w:t>Sobresee</w:t>
      </w:r>
      <w:r w:rsidRPr="00A204B7">
        <w:rPr>
          <w:rFonts w:ascii="Palatino Linotype" w:hAnsi="Palatino Linotype" w:cs="Arial"/>
          <w:b/>
        </w:rPr>
        <w:t>r</w:t>
      </w:r>
      <w:r w:rsidR="00041F7B">
        <w:rPr>
          <w:rFonts w:ascii="Palatino Linotype" w:hAnsi="Palatino Linotype" w:cs="Arial"/>
        </w:rPr>
        <w:t xml:space="preserve"> el recurso de revisión al rubro señalado; ya que, </w:t>
      </w:r>
      <w:r w:rsidR="00041F7B">
        <w:rPr>
          <w:rFonts w:ascii="Palatino Linotype" w:hAnsi="Palatino Linotype" w:cs="Arial"/>
          <w:b/>
        </w:rPr>
        <w:t xml:space="preserve">EL SUJETO OBLIGADO </w:t>
      </w:r>
      <w:r w:rsidR="00041F7B">
        <w:rPr>
          <w:rFonts w:ascii="Palatino Linotype" w:hAnsi="Palatino Linotype" w:cs="Arial"/>
        </w:rPr>
        <w:t xml:space="preserve">mediante el Informe Justificado, colmó el derecho de acceso a la información del </w:t>
      </w:r>
      <w:r w:rsidR="00041F7B">
        <w:rPr>
          <w:rFonts w:ascii="Palatino Linotype" w:hAnsi="Palatino Linotype" w:cs="Arial"/>
          <w:b/>
        </w:rPr>
        <w:lastRenderedPageBreak/>
        <w:t>RECURRENTE</w:t>
      </w:r>
      <w:r w:rsidR="00041F7B">
        <w:rPr>
          <w:rFonts w:ascii="Palatino Linotype" w:hAnsi="Palatino Linotype" w:cs="Arial"/>
        </w:rPr>
        <w:t xml:space="preserve"> actualizándose en consecuencia la causal de sobreseimiento prevista en la fracción III del artículo 192 de la Ley de Transparencia y Acceso a la Información Púbica del Estado de México y Municipios.</w:t>
      </w:r>
    </w:p>
    <w:p w:rsidR="005765C1" w:rsidRDefault="005765C1" w:rsidP="005765C1">
      <w:pPr>
        <w:spacing w:before="100" w:beforeAutospacing="1" w:after="100" w:afterAutospacing="1" w:line="360" w:lineRule="auto"/>
        <w:jc w:val="both"/>
        <w:rPr>
          <w:rFonts w:ascii="Palatino Linotype" w:hAnsi="Palatino Linotype" w:cs="Arial"/>
        </w:rPr>
      </w:pPr>
    </w:p>
    <w:p w:rsidR="00792C39" w:rsidRDefault="00792C39" w:rsidP="005765C1">
      <w:pPr>
        <w:spacing w:before="100" w:beforeAutospacing="1" w:after="100" w:afterAutospacing="1" w:line="360" w:lineRule="auto"/>
        <w:jc w:val="both"/>
        <w:rPr>
          <w:rFonts w:ascii="Palatino Linotype" w:hAnsi="Palatino Linotype" w:cs="Arial"/>
        </w:rPr>
      </w:pPr>
    </w:p>
    <w:p w:rsidR="00792C39" w:rsidRDefault="00792C39" w:rsidP="005765C1">
      <w:pPr>
        <w:spacing w:before="100" w:beforeAutospacing="1" w:after="100" w:afterAutospacing="1" w:line="360" w:lineRule="auto"/>
        <w:jc w:val="both"/>
        <w:rPr>
          <w:rFonts w:ascii="Palatino Linotype" w:hAnsi="Palatino Linotype" w:cs="Arial"/>
        </w:rPr>
      </w:pPr>
    </w:p>
    <w:p w:rsidR="00792C39" w:rsidRDefault="00792C39" w:rsidP="005765C1">
      <w:pPr>
        <w:spacing w:before="100" w:beforeAutospacing="1" w:after="100" w:afterAutospacing="1" w:line="360" w:lineRule="auto"/>
        <w:jc w:val="both"/>
        <w:rPr>
          <w:rFonts w:ascii="Palatino Linotype" w:hAnsi="Palatino Linotype" w:cs="Arial"/>
        </w:rPr>
      </w:pPr>
    </w:p>
    <w:p w:rsidR="00B50717" w:rsidRDefault="00B50717" w:rsidP="005765C1">
      <w:pPr>
        <w:spacing w:before="100" w:beforeAutospacing="1" w:after="100" w:afterAutospacing="1" w:line="360" w:lineRule="auto"/>
        <w:jc w:val="both"/>
        <w:rPr>
          <w:rFonts w:ascii="Palatino Linotype" w:hAnsi="Palatino Linotype" w:cs="Arial"/>
        </w:rPr>
      </w:pPr>
    </w:p>
    <w:p w:rsidR="00792C39" w:rsidRDefault="00792C39" w:rsidP="005765C1">
      <w:pPr>
        <w:spacing w:before="100" w:beforeAutospacing="1" w:after="100" w:afterAutospacing="1" w:line="360" w:lineRule="auto"/>
        <w:jc w:val="both"/>
        <w:rPr>
          <w:rFonts w:ascii="Palatino Linotype" w:hAnsi="Palatino Linotype" w:cs="Arial"/>
        </w:rPr>
      </w:pPr>
    </w:p>
    <w:tbl>
      <w:tblPr>
        <w:tblW w:w="4393" w:type="dxa"/>
        <w:jc w:val="center"/>
        <w:tblLayout w:type="fixed"/>
        <w:tblLook w:val="04A0" w:firstRow="1" w:lastRow="0" w:firstColumn="1" w:lastColumn="0" w:noHBand="0" w:noVBand="1"/>
      </w:tblPr>
      <w:tblGrid>
        <w:gridCol w:w="4393"/>
      </w:tblGrid>
      <w:tr w:rsidR="005765C1" w:rsidRPr="001950C9" w:rsidTr="00D16022">
        <w:trPr>
          <w:jc w:val="center"/>
        </w:trPr>
        <w:tc>
          <w:tcPr>
            <w:tcW w:w="4393" w:type="dxa"/>
          </w:tcPr>
          <w:p w:rsidR="005765C1" w:rsidRPr="001950C9" w:rsidRDefault="005765C1" w:rsidP="00D16022">
            <w:pPr>
              <w:jc w:val="center"/>
              <w:rPr>
                <w:rFonts w:ascii="Palatino Linotype" w:hAnsi="Palatino Linotype"/>
                <w:b/>
              </w:rPr>
            </w:pPr>
            <w:r w:rsidRPr="001950C9">
              <w:rPr>
                <w:rFonts w:ascii="Palatino Linotype" w:hAnsi="Palatino Linotype"/>
                <w:b/>
              </w:rPr>
              <w:t>EVA ABAID YAPUR</w:t>
            </w:r>
          </w:p>
          <w:p w:rsidR="005765C1" w:rsidRDefault="005765C1" w:rsidP="00B50717">
            <w:pPr>
              <w:jc w:val="center"/>
              <w:rPr>
                <w:rFonts w:ascii="Palatino Linotype" w:hAnsi="Palatino Linotype"/>
                <w:b/>
              </w:rPr>
            </w:pPr>
            <w:r w:rsidRPr="001950C9">
              <w:rPr>
                <w:rFonts w:ascii="Palatino Linotype" w:hAnsi="Palatino Linotype"/>
                <w:b/>
              </w:rPr>
              <w:t>COMISIONADA</w:t>
            </w:r>
          </w:p>
          <w:p w:rsidR="008D65AA" w:rsidRPr="001950C9" w:rsidRDefault="008D65AA" w:rsidP="00B50717">
            <w:pPr>
              <w:jc w:val="center"/>
              <w:rPr>
                <w:rFonts w:ascii="Palatino Linotype" w:hAnsi="Palatino Linotype"/>
                <w:b/>
              </w:rPr>
            </w:pPr>
            <w:r>
              <w:rPr>
                <w:rFonts w:ascii="Palatino Linotype" w:hAnsi="Palatino Linotype"/>
                <w:b/>
              </w:rPr>
              <w:t>(RÚBRICA)</w:t>
            </w:r>
            <w:bookmarkStart w:id="0" w:name="_GoBack"/>
            <w:bookmarkEnd w:id="0"/>
          </w:p>
        </w:tc>
      </w:tr>
    </w:tbl>
    <w:p w:rsidR="005765C1" w:rsidRDefault="005765C1" w:rsidP="005765C1">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792C39" w:rsidRDefault="00792C39" w:rsidP="005765C1">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792C39" w:rsidRDefault="00792C39" w:rsidP="005765C1">
      <w:pPr>
        <w:spacing w:before="100" w:beforeAutospacing="1" w:after="100" w:afterAutospacing="1" w:line="360" w:lineRule="auto"/>
        <w:jc w:val="both"/>
        <w:rPr>
          <w:rFonts w:ascii="Palatino Linotype" w:eastAsia="Calibri" w:hAnsi="Palatino Linotype" w:cs="Arial"/>
          <w:color w:val="000000" w:themeColor="text1"/>
          <w:sz w:val="20"/>
          <w:szCs w:val="20"/>
        </w:rPr>
      </w:pPr>
    </w:p>
    <w:p w:rsidR="00B50717" w:rsidRDefault="00B50717" w:rsidP="005765C1">
      <w:pPr>
        <w:jc w:val="both"/>
        <w:rPr>
          <w:rFonts w:ascii="Palatino Linotype" w:eastAsia="Calibri" w:hAnsi="Palatino Linotype" w:cs="Arial"/>
          <w:color w:val="000000" w:themeColor="text1"/>
          <w:sz w:val="20"/>
          <w:szCs w:val="20"/>
        </w:rPr>
      </w:pPr>
    </w:p>
    <w:p w:rsidR="005765C1" w:rsidRDefault="005765C1" w:rsidP="005765C1">
      <w:pPr>
        <w:jc w:val="both"/>
        <w:rPr>
          <w:rFonts w:ascii="Palatino Linotype" w:eastAsia="Calibri" w:hAnsi="Palatino Linotype" w:cs="Arial"/>
          <w:color w:val="000000" w:themeColor="text1"/>
          <w:sz w:val="20"/>
          <w:szCs w:val="20"/>
        </w:rPr>
      </w:pPr>
      <w:r w:rsidRPr="001950C9">
        <w:rPr>
          <w:rFonts w:ascii="Palatino Linotype" w:eastAsia="Calibri" w:hAnsi="Palatino Linotype" w:cs="Arial"/>
          <w:color w:val="000000" w:themeColor="text1"/>
          <w:sz w:val="20"/>
          <w:szCs w:val="20"/>
        </w:rPr>
        <w:t xml:space="preserve">Esta hoja corresponde al voto particular emitido en </w:t>
      </w:r>
      <w:r>
        <w:rPr>
          <w:rFonts w:ascii="Palatino Linotype" w:eastAsia="Calibri" w:hAnsi="Palatino Linotype" w:cs="Arial"/>
          <w:color w:val="000000" w:themeColor="text1"/>
          <w:sz w:val="20"/>
          <w:szCs w:val="20"/>
        </w:rPr>
        <w:t>la resolución d</w:t>
      </w:r>
      <w:r w:rsidRPr="001950C9">
        <w:rPr>
          <w:rFonts w:ascii="Palatino Linotype" w:eastAsia="Calibri" w:hAnsi="Palatino Linotype" w:cs="Arial"/>
          <w:color w:val="000000" w:themeColor="text1"/>
          <w:sz w:val="20"/>
          <w:szCs w:val="20"/>
        </w:rPr>
        <w:t>el recurso de revisión 0</w:t>
      </w:r>
      <w:r w:rsidR="00792C39">
        <w:rPr>
          <w:rFonts w:ascii="Palatino Linotype" w:eastAsia="Calibri" w:hAnsi="Palatino Linotype" w:cs="Arial"/>
          <w:color w:val="000000" w:themeColor="text1"/>
          <w:sz w:val="20"/>
          <w:szCs w:val="20"/>
        </w:rPr>
        <w:t>0810</w:t>
      </w:r>
      <w:r w:rsidRPr="001950C9">
        <w:rPr>
          <w:rFonts w:ascii="Palatino Linotype" w:eastAsia="Calibri" w:hAnsi="Palatino Linotype" w:cs="Arial"/>
          <w:color w:val="000000" w:themeColor="text1"/>
          <w:sz w:val="20"/>
          <w:szCs w:val="20"/>
        </w:rPr>
        <w:t>/INFOEM/IP/RR/201</w:t>
      </w:r>
      <w:r w:rsidR="00792C39">
        <w:rPr>
          <w:rFonts w:ascii="Palatino Linotype" w:eastAsia="Calibri" w:hAnsi="Palatino Linotype" w:cs="Arial"/>
          <w:color w:val="000000" w:themeColor="text1"/>
          <w:sz w:val="20"/>
          <w:szCs w:val="20"/>
        </w:rPr>
        <w:t>9</w:t>
      </w:r>
      <w:r>
        <w:rPr>
          <w:rFonts w:ascii="Palatino Linotype" w:eastAsia="Calibri" w:hAnsi="Palatino Linotype" w:cs="Arial"/>
          <w:color w:val="000000" w:themeColor="text1"/>
          <w:sz w:val="20"/>
          <w:szCs w:val="20"/>
        </w:rPr>
        <w:t>, aprobada</w:t>
      </w:r>
      <w:r w:rsidRPr="001950C9">
        <w:rPr>
          <w:rFonts w:ascii="Palatino Linotype" w:eastAsia="Calibri" w:hAnsi="Palatino Linotype" w:cs="Arial"/>
          <w:color w:val="000000" w:themeColor="text1"/>
          <w:sz w:val="20"/>
          <w:szCs w:val="20"/>
        </w:rPr>
        <w:t xml:space="preserve"> el</w:t>
      </w:r>
      <w:r>
        <w:rPr>
          <w:rFonts w:ascii="Palatino Linotype" w:eastAsia="Calibri" w:hAnsi="Palatino Linotype" w:cs="Arial"/>
          <w:color w:val="000000" w:themeColor="text1"/>
          <w:sz w:val="20"/>
          <w:szCs w:val="20"/>
        </w:rPr>
        <w:t xml:space="preserve"> </w:t>
      </w:r>
      <w:r w:rsidR="00792C39">
        <w:rPr>
          <w:rFonts w:ascii="Palatino Linotype" w:eastAsia="Calibri" w:hAnsi="Palatino Linotype" w:cs="Arial"/>
          <w:color w:val="000000" w:themeColor="text1"/>
          <w:sz w:val="20"/>
          <w:szCs w:val="20"/>
        </w:rPr>
        <w:t xml:space="preserve">nueve de mayo de </w:t>
      </w:r>
      <w:r>
        <w:rPr>
          <w:rFonts w:ascii="Palatino Linotype" w:eastAsia="Calibri" w:hAnsi="Palatino Linotype" w:cs="Arial"/>
          <w:color w:val="000000" w:themeColor="text1"/>
          <w:sz w:val="20"/>
          <w:szCs w:val="20"/>
        </w:rPr>
        <w:t>dos mil dieci</w:t>
      </w:r>
      <w:r w:rsidR="00792C39">
        <w:rPr>
          <w:rFonts w:ascii="Palatino Linotype" w:eastAsia="Calibri" w:hAnsi="Palatino Linotype" w:cs="Arial"/>
          <w:color w:val="000000" w:themeColor="text1"/>
          <w:sz w:val="20"/>
          <w:szCs w:val="20"/>
        </w:rPr>
        <w:t>nueve</w:t>
      </w:r>
      <w:r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rsidR="00B50717" w:rsidRPr="00B50717" w:rsidRDefault="00B50717" w:rsidP="005765C1">
      <w:pPr>
        <w:jc w:val="both"/>
        <w:rPr>
          <w:rFonts w:ascii="Palatino Linotype" w:eastAsia="Calibri" w:hAnsi="Palatino Linotype" w:cs="Arial"/>
          <w:color w:val="000000" w:themeColor="text1"/>
          <w:sz w:val="8"/>
          <w:szCs w:val="8"/>
        </w:rPr>
      </w:pPr>
    </w:p>
    <w:p w:rsidR="00C23B43" w:rsidRDefault="00792C39" w:rsidP="00792C39">
      <w:pPr>
        <w:jc w:val="both"/>
      </w:pPr>
      <w:r>
        <w:rPr>
          <w:rFonts w:ascii="Palatino Linotype" w:eastAsia="Calibri" w:hAnsi="Palatino Linotype" w:cs="Arial"/>
          <w:color w:val="000000" w:themeColor="text1"/>
          <w:sz w:val="18"/>
          <w:szCs w:val="18"/>
        </w:rPr>
        <w:t>ATU</w:t>
      </w:r>
      <w:r w:rsidR="005765C1" w:rsidRPr="00C60EC0">
        <w:rPr>
          <w:rFonts w:ascii="Palatino Linotype" w:eastAsia="Calibri" w:hAnsi="Palatino Linotype" w:cs="Arial"/>
          <w:color w:val="000000" w:themeColor="text1"/>
          <w:sz w:val="18"/>
          <w:szCs w:val="18"/>
        </w:rPr>
        <w:t>/A</w:t>
      </w:r>
      <w:r w:rsidR="005765C1">
        <w:rPr>
          <w:rFonts w:ascii="Palatino Linotype" w:eastAsia="Calibri" w:hAnsi="Palatino Linotype" w:cs="Arial"/>
          <w:color w:val="000000" w:themeColor="text1"/>
          <w:sz w:val="18"/>
          <w:szCs w:val="18"/>
        </w:rPr>
        <w:t>MV</w:t>
      </w:r>
    </w:p>
    <w:sectPr w:rsidR="00C23B43" w:rsidSect="00017A8B">
      <w:headerReference w:type="even" r:id="rId13"/>
      <w:headerReference w:type="default" r:id="rId14"/>
      <w:footerReference w:type="default" r:id="rId15"/>
      <w:headerReference w:type="first" r:id="rId16"/>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1FF" w:rsidRDefault="006B41FF" w:rsidP="005765C1">
      <w:r>
        <w:separator/>
      </w:r>
    </w:p>
  </w:endnote>
  <w:endnote w:type="continuationSeparator" w:id="0">
    <w:p w:rsidR="006B41FF" w:rsidRDefault="006B41FF" w:rsidP="00576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D65AA" w:rsidP="00DC5C4E">
    <w:pPr>
      <w:pStyle w:val="Piedepgina"/>
      <w:tabs>
        <w:tab w:val="clear" w:pos="4252"/>
        <w:tab w:val="left" w:pos="4228"/>
      </w:tabs>
      <w:rPr>
        <w:rFonts w:ascii="Palatino Linotype" w:hAnsi="Palatino Linotype" w:cs="Arial"/>
        <w:b/>
        <w:bCs/>
        <w:sz w:val="20"/>
        <w:szCs w:val="20"/>
      </w:rPr>
    </w:pPr>
  </w:p>
  <w:p w:rsidR="0031302B" w:rsidRDefault="008D65AA" w:rsidP="00DC5C4E">
    <w:pPr>
      <w:pStyle w:val="Piedepgina"/>
      <w:tabs>
        <w:tab w:val="clear" w:pos="4252"/>
        <w:tab w:val="left" w:pos="4228"/>
      </w:tabs>
      <w:rPr>
        <w:rFonts w:ascii="Palatino Linotype" w:hAnsi="Palatino Linotype" w:cs="Arial"/>
        <w:b/>
        <w:bCs/>
        <w:sz w:val="20"/>
        <w:szCs w:val="20"/>
      </w:rPr>
    </w:pPr>
  </w:p>
  <w:p w:rsidR="005C7C8F" w:rsidRDefault="008D65AA" w:rsidP="00DC5C4E">
    <w:pPr>
      <w:pStyle w:val="Piedepgina"/>
      <w:tabs>
        <w:tab w:val="clear" w:pos="4252"/>
        <w:tab w:val="left" w:pos="4228"/>
      </w:tabs>
      <w:rPr>
        <w:rFonts w:ascii="Palatino Linotype" w:hAnsi="Palatino Linotype" w:cs="Arial"/>
        <w:b/>
        <w:bCs/>
        <w:sz w:val="20"/>
        <w:szCs w:val="20"/>
      </w:rPr>
    </w:pPr>
  </w:p>
  <w:p w:rsidR="005C7C8F" w:rsidRDefault="008D65AA" w:rsidP="00DC5C4E">
    <w:pPr>
      <w:pStyle w:val="Piedepgina"/>
      <w:tabs>
        <w:tab w:val="clear" w:pos="4252"/>
        <w:tab w:val="left" w:pos="4228"/>
      </w:tabs>
      <w:rPr>
        <w:rFonts w:ascii="Palatino Linotype" w:hAnsi="Palatino Linotype" w:cs="Arial"/>
        <w:b/>
        <w:bCs/>
        <w:sz w:val="20"/>
        <w:szCs w:val="20"/>
      </w:rPr>
    </w:pPr>
  </w:p>
  <w:p w:rsidR="005C7C8F" w:rsidRDefault="008D65AA" w:rsidP="00DC5C4E">
    <w:pPr>
      <w:pStyle w:val="Piedepgina"/>
      <w:rPr>
        <w:rFonts w:ascii="Palatino Linotype" w:hAnsi="Palatino Linotype" w:cs="Arial"/>
        <w:b/>
        <w:bCs/>
        <w:sz w:val="20"/>
        <w:szCs w:val="20"/>
      </w:rPr>
    </w:pPr>
  </w:p>
  <w:p w:rsidR="005C7C8F" w:rsidRPr="00F12350" w:rsidRDefault="00B677AD" w:rsidP="00DC5C4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D65AA">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D65AA">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p>
  <w:p w:rsidR="005C7C8F" w:rsidRDefault="008D65AA" w:rsidP="00DC5C4E">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1FF" w:rsidRDefault="006B41FF" w:rsidP="005765C1">
      <w:r>
        <w:separator/>
      </w:r>
    </w:p>
  </w:footnote>
  <w:footnote w:type="continuationSeparator" w:id="0">
    <w:p w:rsidR="006B41FF" w:rsidRDefault="006B41FF" w:rsidP="005765C1">
      <w:r>
        <w:continuationSeparator/>
      </w:r>
    </w:p>
  </w:footnote>
  <w:footnote w:id="1">
    <w:p w:rsidR="00DD2201" w:rsidRPr="00DD2201" w:rsidRDefault="00DD2201" w:rsidP="00DD2201">
      <w:pPr>
        <w:ind w:right="51"/>
        <w:jc w:val="both"/>
        <w:rPr>
          <w:rFonts w:ascii="Palatino Linotype" w:hAnsi="Palatino Linotype" w:cs="Arial"/>
          <w:bCs/>
          <w:i/>
          <w:sz w:val="16"/>
          <w:szCs w:val="16"/>
        </w:rPr>
      </w:pPr>
      <w:r>
        <w:rPr>
          <w:rStyle w:val="Refdenotaalpie"/>
        </w:rPr>
        <w:footnoteRef/>
      </w:r>
      <w:r>
        <w:t xml:space="preserve"> </w:t>
      </w:r>
      <w:r w:rsidRPr="00DD2201">
        <w:rPr>
          <w:rFonts w:ascii="Palatino Linotype" w:hAnsi="Palatino Linotype" w:cs="Arial"/>
          <w:b/>
          <w:bCs/>
          <w:i/>
          <w:sz w:val="16"/>
          <w:szCs w:val="16"/>
        </w:rPr>
        <w:t>“Artículo 4.</w:t>
      </w:r>
      <w:r w:rsidRPr="00DD2201">
        <w:rPr>
          <w:rFonts w:ascii="Palatino Linotype" w:hAnsi="Palatino Linotype" w:cs="Arial"/>
          <w:bCs/>
          <w:i/>
          <w:sz w:val="16"/>
          <w:szCs w:val="16"/>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D2201" w:rsidRPr="00DD2201" w:rsidRDefault="00DD2201" w:rsidP="00DD2201">
      <w:pPr>
        <w:ind w:right="51"/>
        <w:jc w:val="both"/>
        <w:rPr>
          <w:rFonts w:ascii="Palatino Linotype" w:hAnsi="Palatino Linotype" w:cs="Arial"/>
          <w:bCs/>
          <w:i/>
          <w:sz w:val="16"/>
          <w:szCs w:val="16"/>
        </w:rPr>
      </w:pPr>
      <w:r w:rsidRPr="00DD2201">
        <w:rPr>
          <w:rFonts w:ascii="Palatino Linotype" w:hAnsi="Palatino Linotype" w:cs="Arial"/>
          <w:b/>
          <w:bCs/>
          <w:i/>
          <w:sz w:val="16"/>
          <w:szCs w:val="16"/>
        </w:rPr>
        <w:t>Toda la información generada, obtenida, adquirida, transformada, administrada o en posesión de los sujetos obligados es pública y accesible de manera permanente a cualquier persona</w:t>
      </w:r>
      <w:r w:rsidRPr="00DD2201">
        <w:rPr>
          <w:rFonts w:ascii="Palatino Linotype" w:hAnsi="Palatino Linotype" w:cs="Arial"/>
          <w:bCs/>
          <w:i/>
          <w:sz w:val="16"/>
          <w:szCs w:val="16"/>
        </w:rPr>
        <w:t xml:space="preserve">, en los términos y condiciones que se establezcan en los tratados internacionales de los que el Estado mexicano sea parte, en la Ley General, la presente Ley y demás disposiciones de la materia, </w:t>
      </w:r>
      <w:r w:rsidRPr="00DD2201">
        <w:rPr>
          <w:rFonts w:ascii="Palatino Linotype" w:hAnsi="Palatino Linotype" w:cs="Arial"/>
          <w:b/>
          <w:bCs/>
          <w:i/>
          <w:sz w:val="16"/>
          <w:szCs w:val="16"/>
        </w:rPr>
        <w:t>privilegiando el principio de máxima publicidad</w:t>
      </w:r>
      <w:r w:rsidRPr="00DD2201">
        <w:rPr>
          <w:rFonts w:ascii="Palatino Linotype" w:hAnsi="Palatino Linotype" w:cs="Arial"/>
          <w:bCs/>
          <w:i/>
          <w:sz w:val="16"/>
          <w:szCs w:val="16"/>
        </w:rPr>
        <w:t xml:space="preserve"> de la </w:t>
      </w:r>
      <w:r w:rsidRPr="00DD2201">
        <w:rPr>
          <w:rFonts w:ascii="Palatino Linotype" w:hAnsi="Palatino Linotype" w:cs="Arial"/>
          <w:i/>
          <w:color w:val="000000"/>
          <w:sz w:val="16"/>
          <w:szCs w:val="16"/>
        </w:rPr>
        <w:t>información</w:t>
      </w:r>
      <w:r w:rsidRPr="00DD2201">
        <w:rPr>
          <w:rFonts w:ascii="Palatino Linotype" w:hAnsi="Palatino Linotype" w:cs="Arial"/>
          <w:bCs/>
          <w:i/>
          <w:sz w:val="16"/>
          <w:szCs w:val="16"/>
        </w:rPr>
        <w:t xml:space="preserve">. Solo podrá ser clasificada excepcionalmente como reservada temporalmente por razones de interés público, en los términos de las causas legítimas y estrictamente necesarias previstas por esta Ley. </w:t>
      </w:r>
    </w:p>
    <w:p w:rsidR="00DD2201" w:rsidRPr="00DD2201" w:rsidRDefault="00DD2201" w:rsidP="00DD2201">
      <w:pPr>
        <w:ind w:right="51"/>
        <w:jc w:val="both"/>
        <w:rPr>
          <w:rFonts w:ascii="Palatino Linotype" w:hAnsi="Palatino Linotype" w:cs="Arial"/>
          <w:bCs/>
          <w:i/>
          <w:sz w:val="16"/>
          <w:szCs w:val="16"/>
        </w:rPr>
      </w:pPr>
      <w:r w:rsidRPr="00DD2201">
        <w:rPr>
          <w:rFonts w:ascii="Palatino Linotype" w:hAnsi="Palatino Linotype" w:cs="Arial"/>
          <w:bCs/>
          <w:i/>
          <w:sz w:val="16"/>
          <w:szCs w:val="16"/>
        </w:rPr>
        <w:t xml:space="preserve">Los sujetos obligados deben poner en práctica, políticas y programas de acceso a la información que se apeguen a criterios de publicidad, veracidad, oportunidad, precisión y suficiencia en beneficio de los solicitantes. </w:t>
      </w:r>
    </w:p>
    <w:p w:rsidR="00DD2201" w:rsidRPr="00DD2201" w:rsidRDefault="00DD2201" w:rsidP="00DD2201">
      <w:pPr>
        <w:ind w:right="51"/>
        <w:jc w:val="both"/>
        <w:rPr>
          <w:rFonts w:ascii="Palatino Linotype" w:hAnsi="Palatino Linotype" w:cs="Arial"/>
          <w:b/>
          <w:bCs/>
          <w:i/>
          <w:sz w:val="16"/>
          <w:szCs w:val="16"/>
        </w:rPr>
      </w:pPr>
      <w:r w:rsidRPr="00DD2201">
        <w:rPr>
          <w:rFonts w:ascii="Palatino Linotype" w:hAnsi="Palatino Linotype" w:cs="Arial"/>
          <w:b/>
          <w:bCs/>
          <w:i/>
          <w:sz w:val="16"/>
          <w:szCs w:val="16"/>
        </w:rPr>
        <w:t>Artículo 9. El Instituto deberá regir su funcionamiento de acuerdo a los siguientes principios:</w:t>
      </w:r>
    </w:p>
    <w:p w:rsidR="00DD2201" w:rsidRPr="00DD2201" w:rsidRDefault="00DD2201" w:rsidP="00DD2201">
      <w:pPr>
        <w:ind w:right="51"/>
        <w:jc w:val="both"/>
        <w:rPr>
          <w:rFonts w:ascii="Palatino Linotype" w:hAnsi="Palatino Linotype" w:cs="Arial"/>
          <w:b/>
          <w:bCs/>
          <w:i/>
          <w:sz w:val="16"/>
          <w:szCs w:val="16"/>
        </w:rPr>
      </w:pPr>
      <w:r w:rsidRPr="00DD2201">
        <w:rPr>
          <w:rFonts w:ascii="Palatino Linotype" w:hAnsi="Palatino Linotype" w:cs="Arial"/>
          <w:b/>
          <w:bCs/>
          <w:i/>
          <w:sz w:val="16"/>
          <w:szCs w:val="16"/>
        </w:rPr>
        <w:t>I. Certeza:</w:t>
      </w:r>
      <w:r w:rsidRPr="00DD2201">
        <w:rPr>
          <w:rFonts w:ascii="Palatino Linotype" w:hAnsi="Palatino Linotype" w:cs="Arial"/>
          <w:bCs/>
          <w:i/>
          <w:sz w:val="16"/>
          <w:szCs w:val="16"/>
        </w:rPr>
        <w:t xml:space="preserve"> </w:t>
      </w:r>
      <w:r w:rsidRPr="00DD2201">
        <w:rPr>
          <w:rFonts w:ascii="Palatino Linotype" w:hAnsi="Palatino Linotype" w:cs="Arial"/>
          <w:b/>
          <w:bCs/>
          <w:i/>
          <w:sz w:val="16"/>
          <w:szCs w:val="16"/>
        </w:rPr>
        <w:t xml:space="preserve">Principio que otorga seguridad y certidumbre jurídica a los particulares, en virtud de que permite conocer si las acciones del Instituto son apegadas a derecho y garantiza que los procedimientos sean completamente verificables, fidedignos y confiables; </w:t>
      </w:r>
    </w:p>
    <w:p w:rsidR="00DD2201" w:rsidRPr="00DD2201" w:rsidRDefault="00DD2201" w:rsidP="00DD2201">
      <w:pPr>
        <w:ind w:right="51"/>
        <w:jc w:val="both"/>
        <w:rPr>
          <w:rFonts w:ascii="Palatino Linotype" w:hAnsi="Palatino Linotype" w:cs="Arial"/>
          <w:b/>
          <w:bCs/>
          <w:i/>
          <w:sz w:val="16"/>
          <w:szCs w:val="16"/>
        </w:rPr>
      </w:pPr>
      <w:r w:rsidRPr="00DD2201">
        <w:rPr>
          <w:rFonts w:ascii="Palatino Linotype" w:hAnsi="Palatino Linotype" w:cs="Arial"/>
          <w:b/>
          <w:bCs/>
          <w:i/>
          <w:sz w:val="16"/>
          <w:szCs w:val="16"/>
        </w:rPr>
        <w:t>…</w:t>
      </w:r>
    </w:p>
    <w:p w:rsidR="00DD2201" w:rsidRPr="00DD2201" w:rsidRDefault="00DD2201" w:rsidP="00DD2201">
      <w:pPr>
        <w:ind w:right="51"/>
        <w:jc w:val="both"/>
        <w:rPr>
          <w:rFonts w:ascii="Palatino Linotype" w:hAnsi="Palatino Linotype" w:cs="Arial"/>
          <w:b/>
          <w:bCs/>
          <w:i/>
          <w:sz w:val="16"/>
          <w:szCs w:val="16"/>
        </w:rPr>
      </w:pPr>
      <w:r w:rsidRPr="00DD2201">
        <w:rPr>
          <w:rFonts w:ascii="Palatino Linotype" w:hAnsi="Palatino Linotype" w:cs="Arial"/>
          <w:b/>
          <w:bCs/>
          <w:i/>
          <w:sz w:val="16"/>
          <w:szCs w:val="16"/>
        </w:rPr>
        <w:t xml:space="preserve">VII. Máxima Publicidad: Toda la información en posesión de los sujetos obligados será pública, completa, oportuna y accesible, sujeta a un claro régimen de excepciones que deberán estar definidas y ser además legítimas y estrictamente necesarias en una sociedad democrática; </w:t>
      </w:r>
    </w:p>
    <w:p w:rsidR="00DD2201" w:rsidRPr="00DD2201" w:rsidRDefault="00DD2201" w:rsidP="00DD2201">
      <w:pPr>
        <w:ind w:right="51"/>
        <w:jc w:val="both"/>
        <w:rPr>
          <w:rFonts w:ascii="Palatino Linotype" w:hAnsi="Palatino Linotype" w:cs="Arial"/>
          <w:b/>
          <w:bCs/>
          <w:i/>
          <w:sz w:val="16"/>
          <w:szCs w:val="16"/>
        </w:rPr>
      </w:pPr>
      <w:r w:rsidRPr="00DD2201">
        <w:rPr>
          <w:rFonts w:ascii="Palatino Linotype" w:hAnsi="Palatino Linotype" w:cs="Arial"/>
          <w:b/>
          <w:bCs/>
          <w:i/>
          <w:sz w:val="16"/>
          <w:szCs w:val="16"/>
        </w:rPr>
        <w:t xml:space="preserve">VIII. Objetividad: Obligación del Instituto de ajustar su actuación a los presupuestos de ley que deben ser aplicados al analizar el caso en concreto y resolver todos los hechos, prescindiendo de las consideraciones y criterios personales; </w:t>
      </w:r>
    </w:p>
    <w:p w:rsidR="00DD2201" w:rsidRPr="00DD2201" w:rsidRDefault="00DD2201" w:rsidP="00DD2201">
      <w:pPr>
        <w:ind w:right="51"/>
        <w:jc w:val="both"/>
        <w:rPr>
          <w:rFonts w:ascii="Palatino Linotype" w:hAnsi="Palatino Linotype" w:cs="Arial"/>
          <w:b/>
          <w:bCs/>
          <w:i/>
          <w:sz w:val="16"/>
          <w:szCs w:val="16"/>
        </w:rPr>
      </w:pPr>
      <w:r w:rsidRPr="00DD2201">
        <w:rPr>
          <w:rFonts w:ascii="Palatino Linotype" w:hAnsi="Palatino Linotype" w:cs="Arial"/>
          <w:b/>
          <w:bCs/>
          <w:i/>
          <w:sz w:val="16"/>
          <w:szCs w:val="16"/>
        </w:rPr>
        <w:t>…</w:t>
      </w:r>
    </w:p>
    <w:p w:rsidR="00DD2201" w:rsidRPr="00DD2201" w:rsidRDefault="00DD2201" w:rsidP="00DD2201">
      <w:pPr>
        <w:ind w:right="51"/>
        <w:jc w:val="both"/>
        <w:rPr>
          <w:rFonts w:ascii="Palatino Linotype" w:hAnsi="Palatino Linotype" w:cs="Arial"/>
          <w:b/>
          <w:bCs/>
          <w:i/>
          <w:sz w:val="16"/>
          <w:szCs w:val="16"/>
        </w:rPr>
      </w:pPr>
      <w:r w:rsidRPr="00DD2201">
        <w:rPr>
          <w:rFonts w:ascii="Palatino Linotype" w:hAnsi="Palatino Linotype" w:cs="Arial"/>
          <w:b/>
          <w:bCs/>
          <w:i/>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D65A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829" w:rsidRDefault="00B677AD" w:rsidP="00DC5C4E">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9264" behindDoc="1" locked="0" layoutInCell="1" allowOverlap="1" wp14:anchorId="330B4343" wp14:editId="522025D3">
          <wp:simplePos x="0" y="0"/>
          <wp:positionH relativeFrom="column">
            <wp:posOffset>-695435</wp:posOffset>
          </wp:positionH>
          <wp:positionV relativeFrom="paragraph">
            <wp:posOffset>-449746</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C7C8F" w:rsidRDefault="008D65AA" w:rsidP="00DC5C4E">
    <w:pPr>
      <w:pStyle w:val="Encabezado"/>
      <w:tabs>
        <w:tab w:val="clear" w:pos="4252"/>
        <w:tab w:val="clear" w:pos="8504"/>
        <w:tab w:val="left" w:pos="2326"/>
      </w:tabs>
      <w:jc w:val="right"/>
    </w:pPr>
  </w:p>
  <w:p w:rsidR="005C7C8F" w:rsidRDefault="00B677AD" w:rsidP="00DC5C4E">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5C7C8F" w:rsidRDefault="00B677AD" w:rsidP="00DC5C4E">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Pr>
        <w:rFonts w:ascii="Palatino Linotype" w:hAnsi="Palatino Linotype" w:cs="Arial"/>
        <w:sz w:val="20"/>
        <w:szCs w:val="20"/>
      </w:rPr>
      <w:t>0</w:t>
    </w:r>
    <w:r w:rsidR="005765C1">
      <w:rPr>
        <w:rFonts w:ascii="Palatino Linotype" w:hAnsi="Palatino Linotype" w:cs="Arial"/>
        <w:sz w:val="20"/>
        <w:szCs w:val="20"/>
      </w:rPr>
      <w:t>08</w:t>
    </w:r>
    <w:r>
      <w:rPr>
        <w:rFonts w:ascii="Palatino Linotype" w:hAnsi="Palatino Linotype" w:cs="Arial"/>
        <w:sz w:val="20"/>
        <w:szCs w:val="20"/>
      </w:rPr>
      <w:t>10/INFOEM/IP</w:t>
    </w:r>
    <w:r w:rsidRPr="00706042">
      <w:rPr>
        <w:rFonts w:ascii="Palatino Linotype" w:hAnsi="Palatino Linotype" w:cs="Arial"/>
        <w:sz w:val="20"/>
        <w:szCs w:val="20"/>
      </w:rPr>
      <w:t>/RR/201</w:t>
    </w:r>
    <w:r w:rsidR="005765C1">
      <w:rPr>
        <w:rFonts w:ascii="Palatino Linotype" w:hAnsi="Palatino Linotype" w:cs="Arial"/>
        <w:sz w:val="20"/>
        <w:szCs w:val="20"/>
      </w:rPr>
      <w:t>9</w:t>
    </w:r>
  </w:p>
  <w:p w:rsidR="002E3829" w:rsidRDefault="008D65AA" w:rsidP="00DC5C4E">
    <w:pPr>
      <w:pStyle w:val="Encabezado"/>
      <w:tabs>
        <w:tab w:val="clear" w:pos="4252"/>
        <w:tab w:val="clear" w:pos="8504"/>
        <w:tab w:val="left" w:pos="2326"/>
      </w:tabs>
      <w:jc w:val="right"/>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0;margin-top:0;width:636.35pt;height:97.9pt;rotation:315;z-index:-251655168;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C8F" w:rsidRDefault="008D65A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3024C"/>
    <w:multiLevelType w:val="hybridMultilevel"/>
    <w:tmpl w:val="068EC710"/>
    <w:lvl w:ilvl="0" w:tplc="F2A0A73A">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5C1"/>
    <w:rsid w:val="00041F7B"/>
    <w:rsid w:val="001106D6"/>
    <w:rsid w:val="0051554B"/>
    <w:rsid w:val="005765C1"/>
    <w:rsid w:val="006B41FF"/>
    <w:rsid w:val="00792C39"/>
    <w:rsid w:val="008D65AA"/>
    <w:rsid w:val="00AB4DE4"/>
    <w:rsid w:val="00B50717"/>
    <w:rsid w:val="00B677AD"/>
    <w:rsid w:val="00C23B43"/>
    <w:rsid w:val="00C9714C"/>
    <w:rsid w:val="00D3570A"/>
    <w:rsid w:val="00DD2201"/>
    <w:rsid w:val="00E502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5499F48-43B4-4966-B640-02FB9EC0B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5C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65C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65C1"/>
    <w:rPr>
      <w:rFonts w:eastAsiaTheme="minorEastAsia"/>
      <w:sz w:val="24"/>
      <w:szCs w:val="24"/>
      <w:lang w:val="es-ES_tradnl" w:eastAsia="es-ES"/>
    </w:rPr>
  </w:style>
  <w:style w:type="paragraph" w:styleId="Piedepgina">
    <w:name w:val="footer"/>
    <w:basedOn w:val="Normal"/>
    <w:link w:val="PiedepginaCar"/>
    <w:uiPriority w:val="99"/>
    <w:unhideWhenUsed/>
    <w:rsid w:val="005765C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65C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D3570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570A"/>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DD2201"/>
    <w:rPr>
      <w:sz w:val="20"/>
      <w:szCs w:val="20"/>
    </w:rPr>
  </w:style>
  <w:style w:type="character" w:customStyle="1" w:styleId="TextonotapieCar">
    <w:name w:val="Texto nota pie Car"/>
    <w:basedOn w:val="Fuentedeprrafopredeter"/>
    <w:link w:val="Textonotapie"/>
    <w:uiPriority w:val="99"/>
    <w:semiHidden/>
    <w:rsid w:val="00DD2201"/>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DD2201"/>
    <w:rPr>
      <w:vertAlign w:val="superscript"/>
    </w:rPr>
  </w:style>
  <w:style w:type="paragraph" w:styleId="Textodeglobo">
    <w:name w:val="Balloon Text"/>
    <w:basedOn w:val="Normal"/>
    <w:link w:val="TextodegloboCar"/>
    <w:uiPriority w:val="99"/>
    <w:semiHidden/>
    <w:unhideWhenUsed/>
    <w:rsid w:val="00792C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2C39"/>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BA236-D1EA-40BC-BF7B-C4DD0FCB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1261</Words>
  <Characters>6940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2019-05-13T17:35:00Z</cp:lastPrinted>
  <dcterms:created xsi:type="dcterms:W3CDTF">2019-05-13T15:12:00Z</dcterms:created>
  <dcterms:modified xsi:type="dcterms:W3CDTF">2019-07-05T19:26:00Z</dcterms:modified>
</cp:coreProperties>
</file>