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128AC27D"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83209B" w:rsidRPr="0083209B">
        <w:rPr>
          <w:rFonts w:ascii="Palatino Linotype" w:eastAsia="Times New Roman" w:hAnsi="Palatino Linotype" w:cs="Arial"/>
          <w:color w:val="000000"/>
          <w:sz w:val="24"/>
          <w:szCs w:val="24"/>
          <w:lang w:eastAsia="es-MX"/>
        </w:rPr>
        <w:t xml:space="preserve">cinco de marzo </w:t>
      </w:r>
      <w:r w:rsidR="00EE4E07" w:rsidRPr="00584718">
        <w:rPr>
          <w:rFonts w:ascii="Palatino Linotype" w:eastAsia="Times New Roman" w:hAnsi="Palatino Linotype" w:cs="Arial"/>
          <w:color w:val="000000"/>
          <w:sz w:val="24"/>
          <w:szCs w:val="24"/>
          <w:lang w:eastAsia="es-MX"/>
        </w:rPr>
        <w:t xml:space="preserve">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53795A42"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A97490">
        <w:rPr>
          <w:rFonts w:ascii="Palatino Linotype" w:hAnsi="Palatino Linotype" w:cs="Arial"/>
          <w:b/>
          <w:bCs/>
          <w:sz w:val="24"/>
          <w:lang w:eastAsia="es-MX"/>
        </w:rPr>
        <w:t>096</w:t>
      </w:r>
      <w:r w:rsidR="00E631BE">
        <w:rPr>
          <w:rFonts w:ascii="Palatino Linotype" w:hAnsi="Palatino Linotype" w:cs="Arial"/>
          <w:b/>
          <w:bCs/>
          <w:sz w:val="24"/>
          <w:lang w:eastAsia="es-MX"/>
        </w:rPr>
        <w:t>20</w:t>
      </w:r>
      <w:r w:rsidR="000510FC">
        <w:rPr>
          <w:rFonts w:ascii="Palatino Linotype" w:hAnsi="Palatino Linotype" w:cs="Arial"/>
          <w:b/>
          <w:bCs/>
          <w:sz w:val="24"/>
          <w:lang w:eastAsia="es-MX"/>
        </w:rPr>
        <w:t>/INFOEM/IP/RR/2019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5709B3">
        <w:rPr>
          <w:rFonts w:ascii="Palatino Linotype" w:hAnsi="Palatino Linotype" w:cs="Arial"/>
        </w:rPr>
        <w:t>XXXXXXXXXXXXXXXXXXXXX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415FD8" w:rsidRPr="00415FD8">
        <w:rPr>
          <w:rFonts w:ascii="Palatino Linotype" w:hAnsi="Palatino Linotype" w:cs="Arial"/>
          <w:b/>
          <w:sz w:val="24"/>
          <w:szCs w:val="24"/>
        </w:rPr>
        <w:t xml:space="preserve">Ayuntamiento de </w:t>
      </w:r>
      <w:r w:rsidR="00E631BE" w:rsidRPr="00E631BE">
        <w:rPr>
          <w:rFonts w:ascii="Palatino Linotype" w:hAnsi="Palatino Linotype" w:cs="Arial"/>
          <w:b/>
          <w:sz w:val="24"/>
          <w:szCs w:val="24"/>
        </w:rPr>
        <w:t>Capulhuac</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12EB2E0C"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A97490">
        <w:rPr>
          <w:rFonts w:ascii="Palatino Linotype" w:hAnsi="Palatino Linotype" w:cs="Arial"/>
          <w:sz w:val="24"/>
        </w:rPr>
        <w:t>veinte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F07363" w:rsidRPr="00F07363">
        <w:rPr>
          <w:rFonts w:ascii="Palatino Linotype" w:hAnsi="Palatino Linotype" w:cs="Arial"/>
          <w:b/>
          <w:sz w:val="24"/>
        </w:rPr>
        <w:t>00455/CAPULHUA/IP/2019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565D2743" w:rsidR="00A50811" w:rsidRDefault="00F07363" w:rsidP="00415FD8">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Pr="00F07363">
        <w:rPr>
          <w:rFonts w:ascii="Palatino Linotype" w:eastAsia="Times New Roman" w:hAnsi="Palatino Linotype" w:cs="Times New Roman"/>
          <w:i/>
          <w:lang w:val="es-ES_tradnl" w:eastAsia="es-ES"/>
        </w:rPr>
        <w:t>. Quiero saber cuales son los bienes muebles que se encuentran bajo reguardo de los policías.</w:t>
      </w:r>
      <w:r w:rsidR="006168E4" w:rsidRPr="00584718">
        <w:rPr>
          <w:rFonts w:ascii="Palatino Linotype" w:eastAsia="Times New Roman" w:hAnsi="Palatino Linotype" w:cs="Times New Roman"/>
          <w:i/>
          <w:lang w:val="es-ES_tradnl" w:eastAsia="es-ES"/>
        </w:rPr>
        <w:t xml:space="preserve">” </w:t>
      </w:r>
      <w:r w:rsidR="006168E4" w:rsidRPr="00A13C51">
        <w:rPr>
          <w:rFonts w:ascii="Palatino Linotype" w:eastAsia="Times New Roman" w:hAnsi="Palatino Linotype" w:cs="Times New Roman"/>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4396A7F9" w14:textId="77777777" w:rsidR="00C10D63" w:rsidRDefault="00C10D63" w:rsidP="00415FD8">
      <w:pPr>
        <w:spacing w:after="0" w:line="360" w:lineRule="auto"/>
        <w:ind w:right="850"/>
        <w:jc w:val="both"/>
        <w:rPr>
          <w:rFonts w:ascii="Palatino Linotype" w:eastAsia="Times New Roman" w:hAnsi="Palatino Linotype" w:cs="Times New Roman"/>
          <w:b/>
          <w:sz w:val="24"/>
          <w:szCs w:val="24"/>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15FBDB" w14:textId="77777777" w:rsidR="00415FD8" w:rsidRPr="00415FD8" w:rsidRDefault="00415FD8" w:rsidP="00415FD8">
      <w:pPr>
        <w:pStyle w:val="Sinespaciado"/>
        <w:rPr>
          <w:sz w:val="18"/>
        </w:rPr>
      </w:pPr>
    </w:p>
    <w:p w14:paraId="36561C2A" w14:textId="03F78708" w:rsidR="00415FD8" w:rsidRPr="00584718" w:rsidRDefault="00415FD8" w:rsidP="00415FD8">
      <w:pPr>
        <w:pStyle w:val="Sinespaciado"/>
      </w:pPr>
      <w:r>
        <w:rPr>
          <w:noProof/>
          <w:lang w:eastAsia="es-MX"/>
        </w:rPr>
        <mc:AlternateContent>
          <mc:Choice Requires="wps">
            <w:drawing>
              <wp:anchor distT="0" distB="0" distL="114300" distR="114300" simplePos="0" relativeHeight="251710464" behindDoc="0" locked="0" layoutInCell="1" allowOverlap="1" wp14:anchorId="27BB2F17" wp14:editId="7DFBC99B">
                <wp:simplePos x="0" y="0"/>
                <wp:positionH relativeFrom="margin">
                  <wp:align>left</wp:align>
                </wp:positionH>
                <wp:positionV relativeFrom="paragraph">
                  <wp:posOffset>975995</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79A1E" id="Rectángulo 13" o:spid="_x0000_s1026" style="position:absolute;margin-left:0;margin-top:76.85pt;width:437pt;height:65.1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" filled="f" strokecolor="red" strokeweight="2.25pt">
                <w10:wrap anchorx="margin"/>
              </v:rect>
            </w:pict>
          </mc:Fallback>
        </mc:AlternateContent>
      </w:r>
      <w:r w:rsidR="00256400" w:rsidRPr="00256400">
        <w:rPr>
          <w:noProof/>
          <w:lang w:eastAsia="es-MX"/>
        </w:rPr>
        <w:t xml:space="preserve"> </w:t>
      </w:r>
      <w:r w:rsidR="00EB658E">
        <w:rPr>
          <w:noProof/>
          <w:lang w:eastAsia="es-MX"/>
        </w:rPr>
        <w:drawing>
          <wp:inline distT="0" distB="0" distL="0" distR="0" wp14:anchorId="4A03F641" wp14:editId="5FC17CB0">
            <wp:extent cx="5760720" cy="25869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86990"/>
                    </a:xfrm>
                    <a:prstGeom prst="rect">
                      <a:avLst/>
                    </a:prstGeom>
                  </pic:spPr>
                </pic:pic>
              </a:graphicData>
            </a:graphic>
          </wp:inline>
        </w:drawing>
      </w:r>
    </w:p>
    <w:p w14:paraId="63254B74" w14:textId="52BD7823" w:rsidR="0035578B" w:rsidRDefault="0035578B" w:rsidP="00415FD8">
      <w:pPr>
        <w:pStyle w:val="Sinespaciado"/>
        <w:rPr>
          <w:rFonts w:ascii="Palatino Linotype" w:eastAsiaTheme="minorHAnsi" w:hAnsi="Palatino Linotype" w:cs="Arial"/>
          <w:noProof/>
          <w:lang w:eastAsia="es-MX"/>
        </w:rPr>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5A8404DB" w:rsidR="0035578B"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803CDA">
        <w:rPr>
          <w:rFonts w:ascii="Palatino Linotype" w:hAnsi="Palatino Linotype" w:cs="Arial"/>
          <w:sz w:val="24"/>
          <w:szCs w:val="24"/>
        </w:rPr>
        <w:t>doce</w:t>
      </w:r>
      <w:r w:rsidR="005F0EA1">
        <w:rPr>
          <w:rFonts w:ascii="Palatino Linotype" w:hAnsi="Palatino Linotype" w:cs="Arial"/>
          <w:sz w:val="24"/>
          <w:szCs w:val="24"/>
        </w:rPr>
        <w:t xml:space="preser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EB658E">
        <w:rPr>
          <w:rFonts w:ascii="Palatino Linotype" w:hAnsi="Palatino Linotype" w:cs="Arial"/>
          <w:b/>
          <w:sz w:val="24"/>
          <w:szCs w:val="24"/>
        </w:rPr>
        <w:t>096</w:t>
      </w:r>
      <w:r w:rsidR="00803CDA">
        <w:rPr>
          <w:rFonts w:ascii="Palatino Linotype" w:hAnsi="Palatino Linotype" w:cs="Arial"/>
          <w:b/>
          <w:sz w:val="24"/>
          <w:szCs w:val="24"/>
        </w:rPr>
        <w:t>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0CC2FA51" w14:textId="77777777" w:rsidR="005F0EA1" w:rsidRDefault="005F0EA1" w:rsidP="00415FD8">
      <w:pPr>
        <w:spacing w:after="0" w:line="360" w:lineRule="auto"/>
        <w:jc w:val="both"/>
        <w:rPr>
          <w:rFonts w:ascii="Palatino Linotype" w:hAnsi="Palatino Linotype" w:cs="Arial"/>
          <w:sz w:val="24"/>
          <w:szCs w:val="24"/>
        </w:rPr>
      </w:pPr>
    </w:p>
    <w:p w14:paraId="2F09A4AB" w14:textId="77777777" w:rsidR="005F0EA1" w:rsidRPr="00584718" w:rsidRDefault="005F0EA1" w:rsidP="00415FD8">
      <w:pPr>
        <w:spacing w:after="0" w:line="360" w:lineRule="auto"/>
        <w:jc w:val="both"/>
        <w:rPr>
          <w:rFonts w:ascii="Palatino Linotype" w:hAnsi="Palatino Linotype" w:cs="Arial"/>
          <w:sz w:val="24"/>
          <w:szCs w:val="24"/>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lastRenderedPageBreak/>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31C2A60B" w:rsidR="00AA4738" w:rsidRPr="00803CDA" w:rsidRDefault="008A6597" w:rsidP="00415FD8">
      <w:pPr>
        <w:spacing w:after="0" w:line="240" w:lineRule="auto"/>
        <w:ind w:left="360"/>
        <w:jc w:val="both"/>
        <w:rPr>
          <w:rFonts w:ascii="Palatino Linotype" w:hAnsi="Palatino Linotype" w:cs="Arial"/>
          <w:b/>
          <w:i/>
          <w:sz w:val="24"/>
        </w:rPr>
      </w:pPr>
      <w:r w:rsidRPr="00803CDA">
        <w:rPr>
          <w:rFonts w:ascii="Palatino Linotype" w:hAnsi="Palatino Linotype" w:cs="Arial"/>
          <w:i/>
          <w:sz w:val="24"/>
        </w:rPr>
        <w:t>“</w:t>
      </w:r>
      <w:r w:rsidR="0016006B" w:rsidRPr="0016006B">
        <w:rPr>
          <w:rFonts w:ascii="Palatino Linotype" w:hAnsi="Palatino Linotype" w:cs="Arial"/>
          <w:i/>
          <w:sz w:val="24"/>
        </w:rPr>
        <w:t>falta de respuesta a la solicitud</w:t>
      </w:r>
      <w:r w:rsidR="006168E4" w:rsidRPr="00803CDA">
        <w:rPr>
          <w:rFonts w:ascii="Palatino Linotype" w:hAnsi="Palatino Linotype" w:cs="Arial"/>
          <w:i/>
          <w:sz w:val="24"/>
        </w:rPr>
        <w:t>”</w:t>
      </w:r>
      <w:r w:rsidR="00053099" w:rsidRPr="00803CDA">
        <w:rPr>
          <w:rFonts w:ascii="Palatino Linotype" w:hAnsi="Palatino Linotype" w:cs="Arial"/>
          <w:i/>
          <w:sz w:val="24"/>
        </w:rPr>
        <w:t xml:space="preserve"> </w:t>
      </w:r>
      <w:r w:rsidR="00053099" w:rsidRPr="00803CDA">
        <w:rPr>
          <w:rFonts w:ascii="Palatino Linotype" w:hAnsi="Palatino Linotype" w:cs="Arial"/>
          <w:b/>
          <w:i/>
          <w:sz w:val="24"/>
        </w:rPr>
        <w:t>[S</w:t>
      </w:r>
      <w:r w:rsidR="006168E4" w:rsidRPr="00803CDA">
        <w:rPr>
          <w:rFonts w:ascii="Palatino Linotype" w:hAnsi="Palatino Linotype" w:cs="Arial"/>
          <w:b/>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600B5DD4" w:rsidR="000510FC" w:rsidRPr="00803CDA" w:rsidRDefault="00053099" w:rsidP="002813C0">
      <w:pPr>
        <w:spacing w:after="0" w:line="240" w:lineRule="auto"/>
        <w:ind w:left="360" w:right="851"/>
        <w:jc w:val="both"/>
        <w:rPr>
          <w:rFonts w:ascii="Palatino Linotype" w:hAnsi="Palatino Linotype" w:cs="Arial"/>
          <w:b/>
          <w:i/>
          <w:sz w:val="24"/>
        </w:rPr>
      </w:pPr>
      <w:r w:rsidRPr="00803CDA">
        <w:rPr>
          <w:rFonts w:ascii="Palatino Linotype" w:hAnsi="Palatino Linotype" w:cs="Arial"/>
          <w:i/>
          <w:sz w:val="24"/>
        </w:rPr>
        <w:t>“</w:t>
      </w:r>
      <w:r w:rsidR="0016006B" w:rsidRPr="0016006B">
        <w:rPr>
          <w:rFonts w:ascii="Palatino Linotype" w:hAnsi="Palatino Linotype"/>
          <w:i/>
          <w:color w:val="000000"/>
          <w:sz w:val="24"/>
        </w:rPr>
        <w:t>no contestaron la solicitud de acceso a la información</w:t>
      </w:r>
      <w:r w:rsidR="004447EE" w:rsidRPr="00803CDA">
        <w:rPr>
          <w:rFonts w:ascii="Palatino Linotype" w:hAnsi="Palatino Linotype"/>
          <w:i/>
          <w:sz w:val="24"/>
          <w:lang w:eastAsia="es-MX"/>
        </w:rPr>
        <w:t xml:space="preserve">” </w:t>
      </w:r>
      <w:r w:rsidRPr="00803CDA">
        <w:rPr>
          <w:rFonts w:ascii="Palatino Linotype" w:hAnsi="Palatino Linotype" w:cs="Arial"/>
          <w:b/>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116ED690"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747C67">
        <w:rPr>
          <w:rFonts w:ascii="Palatino Linotype" w:hAnsi="Palatino Linotype" w:cs="Arial"/>
          <w:sz w:val="24"/>
          <w:szCs w:val="24"/>
        </w:rPr>
        <w:t>dieciocho</w:t>
      </w:r>
      <w:r w:rsidR="003A5725">
        <w:rPr>
          <w:rFonts w:ascii="Palatino Linotype" w:hAnsi="Palatino Linotype" w:cs="Arial"/>
          <w:sz w:val="24"/>
          <w:szCs w:val="24"/>
        </w:rPr>
        <w:t xml:space="preserve"> de diciembre</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3A5725">
        <w:rPr>
          <w:rFonts w:ascii="Palatino Linotype" w:hAnsi="Palatino Linotype" w:cs="Arial"/>
          <w:sz w:val="24"/>
          <w:szCs w:val="24"/>
        </w:rPr>
        <w:t>diecinueve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3A890F6D"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747C67">
        <w:rPr>
          <w:rFonts w:ascii="Palatino Linotype" w:hAnsi="Palatino Linotype" w:cs="Arial"/>
          <w:sz w:val="24"/>
          <w:szCs w:val="24"/>
        </w:rPr>
        <w:t>diecisiete</w:t>
      </w:r>
      <w:r w:rsidR="00E855FE">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lastRenderedPageBreak/>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lastRenderedPageBreak/>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lastRenderedPageBreak/>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161CEB">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w:t>
      </w:r>
      <w:r w:rsidRPr="00584718">
        <w:rPr>
          <w:rFonts w:ascii="Palatino Linotype" w:eastAsia="Times New Roman" w:hAnsi="Palatino Linotype" w:cs="Times New Roman"/>
          <w:sz w:val="24"/>
          <w:szCs w:val="24"/>
          <w:lang w:eastAsia="es-ES"/>
        </w:rPr>
        <w:lastRenderedPageBreak/>
        <w:t>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w:t>
      </w:r>
      <w:r w:rsidRPr="00584718">
        <w:rPr>
          <w:rFonts w:ascii="Palatino Linotype" w:eastAsia="Times New Roman" w:hAnsi="Palatino Linotype" w:cs="Times New Roman"/>
          <w:sz w:val="24"/>
          <w:szCs w:val="24"/>
          <w:lang w:eastAsia="es-ES"/>
        </w:rPr>
        <w:lastRenderedPageBreak/>
        <w:t>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w:t>
      </w:r>
      <w:r w:rsidRPr="00584718">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1763307" w14:textId="77777777" w:rsidR="009C533E" w:rsidRDefault="009C533E" w:rsidP="00415FD8">
      <w:pPr>
        <w:tabs>
          <w:tab w:val="left" w:pos="709"/>
        </w:tabs>
        <w:spacing w:after="0" w:line="360" w:lineRule="auto"/>
        <w:ind w:right="51"/>
        <w:jc w:val="both"/>
        <w:rPr>
          <w:rFonts w:ascii="Palatino Linotype" w:hAnsi="Palatino Linotype"/>
          <w:sz w:val="24"/>
          <w:szCs w:val="24"/>
        </w:rPr>
      </w:pPr>
    </w:p>
    <w:p w14:paraId="73195F14" w14:textId="6F21AD6F"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8A5A24">
        <w:rPr>
          <w:rFonts w:ascii="Palatino Linotype" w:hAnsi="Palatino Linotype"/>
          <w:b/>
          <w:sz w:val="24"/>
          <w:szCs w:val="24"/>
        </w:rPr>
        <w:t>00455</w:t>
      </w:r>
      <w:r w:rsidR="00747C67" w:rsidRPr="00747C67">
        <w:rPr>
          <w:rFonts w:ascii="Palatino Linotype" w:hAnsi="Palatino Linotype"/>
          <w:b/>
          <w:sz w:val="24"/>
          <w:szCs w:val="24"/>
        </w:rPr>
        <w:t>/CAPULHUA/IP/2019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6C3F1014" w14:textId="695EC7B0" w:rsidR="00747C67" w:rsidRPr="00747C67" w:rsidRDefault="008A5A24" w:rsidP="008A5A24">
      <w:pPr>
        <w:pStyle w:val="Prrafodelista"/>
        <w:numPr>
          <w:ilvl w:val="0"/>
          <w:numId w:val="4"/>
        </w:numPr>
        <w:autoSpaceDE w:val="0"/>
        <w:autoSpaceDN w:val="0"/>
        <w:adjustRightInd w:val="0"/>
        <w:spacing w:line="360" w:lineRule="auto"/>
        <w:jc w:val="both"/>
        <w:rPr>
          <w:rFonts w:ascii="Palatino Linotype" w:eastAsiaTheme="minorHAnsi" w:hAnsi="Palatino Linotype" w:cstheme="minorBidi"/>
          <w:i/>
          <w:sz w:val="28"/>
          <w:lang w:val="es-MX" w:eastAsia="en-US"/>
        </w:rPr>
      </w:pPr>
      <w:r>
        <w:rPr>
          <w:rFonts w:ascii="Palatino Linotype" w:eastAsiaTheme="minorHAnsi" w:hAnsi="Palatino Linotype" w:cstheme="minorBidi"/>
          <w:i/>
          <w:sz w:val="28"/>
          <w:lang w:val="es-MX" w:eastAsia="en-US"/>
        </w:rPr>
        <w:t>B</w:t>
      </w:r>
      <w:r w:rsidRPr="008A5A24">
        <w:rPr>
          <w:rFonts w:ascii="Palatino Linotype" w:eastAsiaTheme="minorHAnsi" w:hAnsi="Palatino Linotype" w:cstheme="minorBidi"/>
          <w:i/>
          <w:sz w:val="28"/>
          <w:lang w:val="es-MX" w:eastAsia="en-US"/>
        </w:rPr>
        <w:t>ienes muebles que se encuentran bajo reguardo de los policías</w:t>
      </w:r>
      <w:r w:rsidR="00747C67" w:rsidRPr="00747C67">
        <w:rPr>
          <w:rFonts w:ascii="Palatino Linotype" w:eastAsiaTheme="minorHAnsi" w:hAnsi="Palatino Linotype" w:cstheme="minorBidi"/>
          <w:i/>
          <w:sz w:val="28"/>
          <w:lang w:val="es-MX" w:eastAsia="en-US"/>
        </w:rPr>
        <w:t>.</w:t>
      </w:r>
    </w:p>
    <w:p w14:paraId="0C3082BE" w14:textId="77777777" w:rsidR="00747C67" w:rsidRDefault="00747C67" w:rsidP="0083209B">
      <w:pPr>
        <w:pStyle w:val="Sinespaciado"/>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w:t>
      </w:r>
      <w:r w:rsidRPr="00584718">
        <w:rPr>
          <w:rFonts w:ascii="Palatino Linotype" w:hAnsi="Palatino Linotype" w:cs="Arial"/>
          <w:i/>
        </w:rPr>
        <w:lastRenderedPageBreak/>
        <w:t xml:space="preserve">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53F43525" w14:textId="77777777" w:rsidR="004D3D74" w:rsidRDefault="004D3D74" w:rsidP="0083209B">
      <w:pPr>
        <w:rPr>
          <w:lang w:val="es-AR"/>
        </w:rPr>
      </w:pPr>
    </w:p>
    <w:p w14:paraId="6B4939B6" w14:textId="7F399323" w:rsidR="00620A58" w:rsidRPr="0083209B" w:rsidRDefault="00735FBE" w:rsidP="0083209B">
      <w:pPr>
        <w:spacing w:before="100" w:beforeAutospacing="1" w:after="100" w:afterAutospacing="1" w:line="360" w:lineRule="auto"/>
        <w:jc w:val="both"/>
        <w:rPr>
          <w:rFonts w:ascii="Palatino Linotype" w:hAnsi="Palatino Linotype"/>
          <w:sz w:val="24"/>
          <w:szCs w:val="24"/>
        </w:rPr>
      </w:pPr>
      <w:r w:rsidRPr="00735FBE">
        <w:rPr>
          <w:rFonts w:ascii="Palatino Linotype" w:hAnsi="Palatino Linotype"/>
          <w:sz w:val="24"/>
          <w:szCs w:val="24"/>
        </w:rPr>
        <w:t xml:space="preserve">Una vez apuntado lo anterior, este Instituto, como ente garante del derecho de acceso a la información, analizó el marco normativo que rige el actuar del </w:t>
      </w:r>
      <w:r w:rsidRPr="00735FBE">
        <w:rPr>
          <w:rFonts w:ascii="Palatino Linotype" w:hAnsi="Palatino Linotype"/>
          <w:b/>
          <w:sz w:val="24"/>
          <w:szCs w:val="24"/>
        </w:rPr>
        <w:t>SUJETO OBLIGADO</w:t>
      </w:r>
      <w:r w:rsidRPr="00735FBE">
        <w:rPr>
          <w:rFonts w:ascii="Palatino Linotype" w:hAnsi="Palatino Linotype"/>
          <w:sz w:val="24"/>
          <w:szCs w:val="24"/>
        </w:rPr>
        <w:t xml:space="preserve"> y observó lo siguiente:</w:t>
      </w:r>
    </w:p>
    <w:p w14:paraId="5264421D" w14:textId="4034D911" w:rsidR="00620A58" w:rsidRDefault="00620A58" w:rsidP="00620A58">
      <w:pPr>
        <w:pStyle w:val="Sinespaciado"/>
        <w:spacing w:line="360" w:lineRule="auto"/>
        <w:jc w:val="both"/>
        <w:rPr>
          <w:rFonts w:ascii="Palatino Linotype" w:hAnsi="Palatino Linotype"/>
        </w:rPr>
      </w:pPr>
      <w:r>
        <w:rPr>
          <w:rFonts w:ascii="Palatino Linotype" w:hAnsi="Palatino Linotype"/>
        </w:rPr>
        <w:t>En este tenor, en alusión al requerimiento formulado por el particular resulta oportuno</w:t>
      </w:r>
      <w:r w:rsidR="002F3EC4">
        <w:rPr>
          <w:rFonts w:ascii="Palatino Linotype" w:hAnsi="Palatino Linotype"/>
        </w:rPr>
        <w:t xml:space="preserve"> traer a colación el artículo 41</w:t>
      </w:r>
      <w:r>
        <w:rPr>
          <w:rFonts w:ascii="Palatino Linotype" w:hAnsi="Palatino Linotype"/>
        </w:rPr>
        <w:t xml:space="preserve"> del Bando Municipal de </w:t>
      </w:r>
      <w:r w:rsidR="002F3EC4">
        <w:rPr>
          <w:rFonts w:ascii="Palatino Linotype" w:hAnsi="Palatino Linotype"/>
        </w:rPr>
        <w:t>Capulhuac</w:t>
      </w:r>
      <w:r>
        <w:rPr>
          <w:rFonts w:ascii="Palatino Linotype" w:hAnsi="Palatino Linotype"/>
        </w:rPr>
        <w:t xml:space="preserve">, porción normativa cuyo contenido literal es el siguiente: </w:t>
      </w:r>
    </w:p>
    <w:p w14:paraId="73E2B973" w14:textId="77777777" w:rsidR="00620A58" w:rsidRDefault="00620A58" w:rsidP="00735FBE">
      <w:pPr>
        <w:pStyle w:val="Sinespaciado"/>
        <w:rPr>
          <w:rFonts w:eastAsia="Calibri"/>
        </w:rPr>
      </w:pPr>
    </w:p>
    <w:p w14:paraId="5BF16776" w14:textId="77777777" w:rsidR="00620A58" w:rsidRDefault="00620A58" w:rsidP="00735FBE">
      <w:pPr>
        <w:pStyle w:val="Sinespaciado"/>
        <w:rPr>
          <w:rFonts w:eastAsia="Calibri"/>
        </w:rPr>
      </w:pPr>
    </w:p>
    <w:p w14:paraId="2DE719E9" w14:textId="77777777"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Artículo 41. Para el despacho de los asuntos municipales, el Ayuntamiento se auxiliará de las áreas administrativas, organismos públicos descentralizados y entidades de la Administración Pública Municipal que considere necesarias y se dividirá en:</w:t>
      </w:r>
    </w:p>
    <w:p w14:paraId="5B0F378B" w14:textId="77777777" w:rsidR="00620A58" w:rsidRPr="00620A58" w:rsidRDefault="00620A58" w:rsidP="00620A58">
      <w:pPr>
        <w:pStyle w:val="Sinespaciado"/>
        <w:ind w:left="426" w:right="567"/>
        <w:jc w:val="both"/>
        <w:rPr>
          <w:rFonts w:ascii="Palatino Linotype" w:eastAsia="Calibri" w:hAnsi="Palatino Linotype"/>
          <w:i/>
        </w:rPr>
      </w:pPr>
    </w:p>
    <w:p w14:paraId="15D9D883" w14:textId="77777777"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ORGANISMOS CENTRALIZADOS.</w:t>
      </w:r>
    </w:p>
    <w:p w14:paraId="231DFD62" w14:textId="77777777" w:rsidR="002F3EC4" w:rsidRDefault="002F3EC4" w:rsidP="00620A58">
      <w:pPr>
        <w:pStyle w:val="Sinespaciado"/>
        <w:ind w:left="426" w:right="567"/>
        <w:jc w:val="both"/>
        <w:rPr>
          <w:rFonts w:ascii="Palatino Linotype" w:eastAsia="Calibri" w:hAnsi="Palatino Linotype"/>
          <w:i/>
        </w:rPr>
      </w:pPr>
    </w:p>
    <w:p w14:paraId="6153DD66" w14:textId="77777777"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PRESIDENCIA MUNICIPAL</w:t>
      </w:r>
    </w:p>
    <w:p w14:paraId="69617AA7" w14:textId="77777777"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 SECRETARÍA PARTICULAR</w:t>
      </w:r>
    </w:p>
    <w:p w14:paraId="5BAB4862" w14:textId="77777777"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 UNIDAD DE INFORMACION PLANEACIÓN PROGRAMACION Y EVALUACION.</w:t>
      </w:r>
    </w:p>
    <w:p w14:paraId="5504D122" w14:textId="77777777"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 COORDINACION DE COMUNICACIÓN SOCIAL, GIRAS, EVENTOS Y LOGISTICA</w:t>
      </w:r>
    </w:p>
    <w:p w14:paraId="34D7F705" w14:textId="0F17E7A2"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 xml:space="preserve">• SECRETARÍA TECNICA DEL CONSEJO MUNICIPAL DE SEGURIDAD </w:t>
      </w:r>
      <w:r w:rsidR="002F3EC4" w:rsidRPr="00620A58">
        <w:rPr>
          <w:rFonts w:ascii="Palatino Linotype" w:eastAsia="Calibri" w:hAnsi="Palatino Linotype"/>
          <w:i/>
        </w:rPr>
        <w:t>PÚBLICA</w:t>
      </w:r>
    </w:p>
    <w:p w14:paraId="508E4FAC" w14:textId="77777777" w:rsidR="002F3EC4" w:rsidRDefault="002F3EC4" w:rsidP="00620A58">
      <w:pPr>
        <w:pStyle w:val="Sinespaciado"/>
        <w:ind w:left="426" w:right="567"/>
        <w:jc w:val="both"/>
        <w:rPr>
          <w:rFonts w:ascii="Palatino Linotype" w:eastAsia="Calibri" w:hAnsi="Palatino Linotype"/>
          <w:b/>
          <w:i/>
        </w:rPr>
      </w:pPr>
    </w:p>
    <w:p w14:paraId="5C2C4358" w14:textId="77777777" w:rsidR="00620A58" w:rsidRPr="002F3EC4" w:rsidRDefault="00620A58" w:rsidP="00620A58">
      <w:pPr>
        <w:pStyle w:val="Sinespaciado"/>
        <w:ind w:left="426" w:right="567"/>
        <w:jc w:val="both"/>
        <w:rPr>
          <w:rFonts w:ascii="Palatino Linotype" w:eastAsia="Calibri" w:hAnsi="Palatino Linotype"/>
          <w:b/>
          <w:i/>
        </w:rPr>
      </w:pPr>
      <w:r w:rsidRPr="002F3EC4">
        <w:rPr>
          <w:rFonts w:ascii="Palatino Linotype" w:eastAsia="Calibri" w:hAnsi="Palatino Linotype"/>
          <w:b/>
          <w:i/>
        </w:rPr>
        <w:t>SECRETARÍA DEL AYUNTAMIENTO.</w:t>
      </w:r>
    </w:p>
    <w:p w14:paraId="29208094" w14:textId="77777777"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 COORDINACION DE CONTROL PATRIMONIAL</w:t>
      </w:r>
    </w:p>
    <w:p w14:paraId="5EF18009" w14:textId="77777777"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 COORDINACIÓN DE ARCHIVO MUNICIPAL</w:t>
      </w:r>
    </w:p>
    <w:p w14:paraId="71C9C40A" w14:textId="77777777"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 OFICIALIA DEL REGISTRO CIVIL</w:t>
      </w:r>
    </w:p>
    <w:p w14:paraId="571B0F47" w14:textId="6472AD9D" w:rsidR="00620A58" w:rsidRPr="00620A58" w:rsidRDefault="00620A58" w:rsidP="00620A58">
      <w:pPr>
        <w:pStyle w:val="Sinespaciado"/>
        <w:ind w:left="426" w:right="567"/>
        <w:jc w:val="both"/>
        <w:rPr>
          <w:rFonts w:ascii="Palatino Linotype" w:eastAsia="Calibri" w:hAnsi="Palatino Linotype"/>
          <w:i/>
        </w:rPr>
      </w:pPr>
      <w:r w:rsidRPr="00620A58">
        <w:rPr>
          <w:rFonts w:ascii="Palatino Linotype" w:eastAsia="Calibri" w:hAnsi="Palatino Linotype"/>
          <w:i/>
        </w:rPr>
        <w:t>• UNIDAD DE TRANSPARENCIA ACCESO A LA INFORMACIÓN, DOCUMENTACIÓN Y GESTION</w:t>
      </w:r>
    </w:p>
    <w:p w14:paraId="442608D5" w14:textId="77777777" w:rsidR="00620A58" w:rsidRDefault="00620A58" w:rsidP="00735FBE">
      <w:pPr>
        <w:pStyle w:val="Sinespaciado"/>
        <w:rPr>
          <w:rFonts w:eastAsia="Calibri"/>
        </w:rPr>
      </w:pPr>
    </w:p>
    <w:p w14:paraId="65B8B042" w14:textId="77777777" w:rsidR="00620A58" w:rsidRDefault="00620A58" w:rsidP="00735FBE">
      <w:pPr>
        <w:pStyle w:val="Sinespaciado"/>
        <w:rPr>
          <w:rFonts w:eastAsia="Calibri"/>
        </w:rPr>
      </w:pPr>
    </w:p>
    <w:p w14:paraId="5AD43E5F" w14:textId="77777777" w:rsidR="002F3EC4" w:rsidRDefault="002F3EC4" w:rsidP="002F3EC4">
      <w:pPr>
        <w:pStyle w:val="Sinespaciado"/>
        <w:spacing w:line="360" w:lineRule="auto"/>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rPr>
        <w:t xml:space="preserve">El Sujeto Obligado </w:t>
      </w:r>
      <w:r>
        <w:rPr>
          <w:rFonts w:ascii="Palatino Linotype" w:hAnsi="Palatino Linotype"/>
        </w:rPr>
        <w:t xml:space="preserve">se auxilia de diversas Direcciones, Coordinaciones y Unidades Administrativas para cumplir con sus fines y objetivos, resultando de nuestro interés la esfera competencial de la Secretaría del Ayuntamiento. En este tenor, resulta aplicable el artículo 91, fracción XI de la Ley Orgánica Municipal del Estado de México, dispositivo jurídico que señala a la literalidad: </w:t>
      </w:r>
    </w:p>
    <w:p w14:paraId="1B69B0CF" w14:textId="77777777" w:rsidR="002F3EC4" w:rsidRPr="00497110" w:rsidRDefault="002F3EC4" w:rsidP="002F3EC4">
      <w:pPr>
        <w:pStyle w:val="Sinespaciado"/>
        <w:spacing w:before="240" w:after="160" w:line="360" w:lineRule="auto"/>
        <w:ind w:left="851" w:right="851"/>
        <w:jc w:val="both"/>
        <w:rPr>
          <w:rFonts w:ascii="Palatino Linotype" w:hAnsi="Palatino Linotype"/>
          <w:i/>
          <w:sz w:val="22"/>
          <w:szCs w:val="22"/>
        </w:rPr>
      </w:pPr>
      <w:r w:rsidRPr="00497110">
        <w:rPr>
          <w:rFonts w:ascii="Palatino Linotype" w:hAnsi="Palatino Linotype"/>
          <w:i/>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0B0B710" w14:textId="77777777" w:rsidR="002F3EC4" w:rsidRPr="00497110" w:rsidRDefault="002F3EC4" w:rsidP="002F3EC4">
      <w:pPr>
        <w:pStyle w:val="Sinespaciado"/>
        <w:spacing w:before="240" w:after="160" w:line="360" w:lineRule="auto"/>
        <w:ind w:left="851" w:right="851"/>
        <w:jc w:val="both"/>
        <w:rPr>
          <w:rFonts w:ascii="Palatino Linotype" w:hAnsi="Palatino Linotype"/>
          <w:i/>
          <w:sz w:val="22"/>
          <w:szCs w:val="22"/>
        </w:rPr>
      </w:pPr>
      <w:r w:rsidRPr="00497110">
        <w:rPr>
          <w:rFonts w:ascii="Palatino Linotype" w:hAnsi="Palatino Linotype"/>
          <w:i/>
          <w:sz w:val="22"/>
          <w:szCs w:val="22"/>
        </w:rPr>
        <w:t>(…)</w:t>
      </w:r>
    </w:p>
    <w:p w14:paraId="566BADB0" w14:textId="77777777" w:rsidR="002F3EC4" w:rsidRPr="00497110" w:rsidRDefault="002F3EC4" w:rsidP="002F3EC4">
      <w:pPr>
        <w:pStyle w:val="Sinespaciado"/>
        <w:spacing w:before="240" w:after="160" w:line="360" w:lineRule="auto"/>
        <w:ind w:left="851" w:right="851"/>
        <w:jc w:val="both"/>
        <w:rPr>
          <w:rFonts w:ascii="Palatino Linotype" w:hAnsi="Palatino Linotype"/>
          <w:b/>
          <w:i/>
          <w:sz w:val="22"/>
          <w:szCs w:val="22"/>
          <w:u w:val="single"/>
        </w:rPr>
      </w:pPr>
      <w:r w:rsidRPr="00497110">
        <w:rPr>
          <w:rFonts w:ascii="Palatino Linotype" w:hAnsi="Palatino Linotype"/>
          <w:b/>
          <w:i/>
          <w:sz w:val="22"/>
          <w:szCs w:val="22"/>
          <w:u w:val="single"/>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7BF320B6" w14:textId="77777777" w:rsidR="002F3EC4" w:rsidRPr="00497110" w:rsidRDefault="002F3EC4" w:rsidP="002F3EC4">
      <w:pPr>
        <w:pStyle w:val="Sinespaciado"/>
        <w:spacing w:before="240" w:after="160" w:line="360" w:lineRule="auto"/>
        <w:ind w:left="851" w:right="851"/>
        <w:jc w:val="both"/>
        <w:rPr>
          <w:rFonts w:ascii="Palatino Linotype" w:hAnsi="Palatino Linotype"/>
          <w:i/>
          <w:sz w:val="22"/>
          <w:szCs w:val="22"/>
        </w:rPr>
      </w:pPr>
      <w:r w:rsidRPr="00497110">
        <w:rPr>
          <w:rFonts w:ascii="Palatino Linotype" w:hAnsi="Palatino Linotype"/>
          <w:i/>
          <w:sz w:val="22"/>
          <w:szCs w:val="22"/>
        </w:rPr>
        <w:lastRenderedPageBreak/>
        <w:t>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p>
    <w:p w14:paraId="393AD5E9" w14:textId="77777777" w:rsidR="002F3EC4" w:rsidRPr="00497110" w:rsidRDefault="002F3EC4" w:rsidP="002F3EC4">
      <w:pPr>
        <w:pStyle w:val="Sinespaciado"/>
        <w:spacing w:before="240" w:after="160" w:line="360" w:lineRule="auto"/>
        <w:ind w:left="851" w:right="851"/>
        <w:jc w:val="both"/>
        <w:rPr>
          <w:rFonts w:ascii="Palatino Linotype" w:hAnsi="Palatino Linotype"/>
          <w:b/>
          <w:i/>
          <w:sz w:val="22"/>
          <w:szCs w:val="22"/>
        </w:rPr>
      </w:pPr>
      <w:r w:rsidRPr="00497110">
        <w:rPr>
          <w:rFonts w:ascii="Palatino Linotype" w:hAnsi="Palatino Linotype"/>
          <w:i/>
          <w:sz w:val="22"/>
          <w:szCs w:val="22"/>
        </w:rPr>
        <w:t xml:space="preserve">(…)” </w:t>
      </w:r>
      <w:r w:rsidRPr="00497110">
        <w:rPr>
          <w:rFonts w:ascii="Palatino Linotype" w:hAnsi="Palatino Linotype"/>
          <w:b/>
          <w:i/>
          <w:sz w:val="22"/>
          <w:szCs w:val="22"/>
        </w:rPr>
        <w:t>[Sic]</w:t>
      </w:r>
    </w:p>
    <w:p w14:paraId="5C0F5733" w14:textId="77777777" w:rsidR="002F3EC4" w:rsidRDefault="002F3EC4" w:rsidP="002F3EC4">
      <w:pPr>
        <w:pStyle w:val="Sinespaciado"/>
        <w:spacing w:line="360" w:lineRule="auto"/>
        <w:jc w:val="both"/>
        <w:rPr>
          <w:rFonts w:ascii="Palatino Linotype" w:hAnsi="Palatino Linotype"/>
        </w:rPr>
      </w:pPr>
      <w:r>
        <w:rPr>
          <w:rFonts w:ascii="Palatino Linotype" w:hAnsi="Palatino Linotype"/>
        </w:rPr>
        <w:t xml:space="preserve">Así las cosas, resulta inconcuso que la información que resulta de interés al particular es generada, poseída y administrada por </w:t>
      </w:r>
      <w:r>
        <w:rPr>
          <w:rFonts w:ascii="Palatino Linotype" w:hAnsi="Palatino Linotype"/>
          <w:b/>
        </w:rPr>
        <w:t xml:space="preserve">El Sujeto Obligado, </w:t>
      </w:r>
      <w:r>
        <w:rPr>
          <w:rFonts w:ascii="Palatino Linotype" w:hAnsi="Palatino Linotype"/>
        </w:rPr>
        <w:t>precisando que esta estriba en el interés general y el alcance público, robustece lo anterior el artículo 24, fracción XII y 92, fracción XXXVIII de la Ley de Transparencia y Acceso a la Información Pública del Estado de México y Municipios, que disponen a la literalidad:</w:t>
      </w:r>
    </w:p>
    <w:p w14:paraId="53912ECC" w14:textId="77777777" w:rsidR="002F3EC4" w:rsidRPr="00991908" w:rsidRDefault="002F3EC4" w:rsidP="002F3EC4">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03BD17D6" w14:textId="77777777" w:rsidR="002F3EC4" w:rsidRPr="00991908" w:rsidRDefault="002F3EC4" w:rsidP="002F3EC4">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p>
    <w:p w14:paraId="08482A69" w14:textId="77777777" w:rsidR="002F3EC4" w:rsidRPr="00991908" w:rsidRDefault="002F3EC4" w:rsidP="002F3EC4">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538FC46D" w14:textId="77777777" w:rsidR="002F3EC4" w:rsidRPr="00991908" w:rsidRDefault="002F3EC4" w:rsidP="002F3EC4">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p>
    <w:p w14:paraId="4D6F71F9" w14:textId="77777777" w:rsidR="002F3EC4" w:rsidRPr="00991908" w:rsidRDefault="002F3EC4" w:rsidP="002F3EC4">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91908">
        <w:rPr>
          <w:rFonts w:ascii="Palatino Linotype" w:hAnsi="Palatino Linotype"/>
          <w:i/>
          <w:sz w:val="22"/>
          <w:szCs w:val="22"/>
        </w:rPr>
        <w:lastRenderedPageBreak/>
        <w:t>social, según corresponda, la información, por lo menos, de los temas, documentos y políticas que a continuación se señalan:</w:t>
      </w:r>
    </w:p>
    <w:p w14:paraId="47743845" w14:textId="77777777" w:rsidR="002F3EC4" w:rsidRPr="00991908" w:rsidRDefault="002F3EC4" w:rsidP="002F3EC4">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p>
    <w:p w14:paraId="509F8E99" w14:textId="77777777" w:rsidR="002F3EC4" w:rsidRPr="00991908" w:rsidRDefault="002F3EC4" w:rsidP="002F3EC4">
      <w:pPr>
        <w:pStyle w:val="Sinespaciado"/>
        <w:spacing w:before="240" w:after="160" w:line="360" w:lineRule="auto"/>
        <w:ind w:left="851" w:right="851"/>
        <w:jc w:val="both"/>
        <w:rPr>
          <w:rFonts w:ascii="Palatino Linotype" w:hAnsi="Palatino Linotype"/>
          <w:b/>
          <w:i/>
          <w:sz w:val="22"/>
          <w:szCs w:val="22"/>
          <w:u w:val="single"/>
        </w:rPr>
      </w:pPr>
      <w:r w:rsidRPr="00991908">
        <w:rPr>
          <w:rFonts w:ascii="Palatino Linotype" w:hAnsi="Palatino Linotype"/>
          <w:b/>
          <w:i/>
          <w:sz w:val="22"/>
          <w:szCs w:val="22"/>
          <w:u w:val="single"/>
        </w:rPr>
        <w:t>XXXVIII. El inventario de bienes muebles e inmuebles en posesión y propiedad;</w:t>
      </w:r>
    </w:p>
    <w:p w14:paraId="142E7421" w14:textId="77777777" w:rsidR="002F3EC4" w:rsidRPr="00991908" w:rsidRDefault="002F3EC4" w:rsidP="002F3EC4">
      <w:pPr>
        <w:pStyle w:val="Sinespaciado"/>
        <w:spacing w:before="240" w:after="160" w:line="360" w:lineRule="auto"/>
        <w:ind w:left="851" w:right="851"/>
        <w:jc w:val="both"/>
        <w:rPr>
          <w:rFonts w:ascii="Palatino Linotype" w:hAnsi="Palatino Linotype"/>
          <w:b/>
          <w:i/>
          <w:sz w:val="22"/>
          <w:szCs w:val="22"/>
        </w:rPr>
      </w:pPr>
      <w:r w:rsidRPr="00991908">
        <w:rPr>
          <w:rFonts w:ascii="Palatino Linotype" w:hAnsi="Palatino Linotype"/>
          <w:i/>
          <w:sz w:val="22"/>
          <w:szCs w:val="22"/>
        </w:rPr>
        <w:t xml:space="preserve">(…)” </w:t>
      </w:r>
      <w:r w:rsidRPr="00991908">
        <w:rPr>
          <w:rFonts w:ascii="Palatino Linotype" w:hAnsi="Palatino Linotype"/>
          <w:b/>
          <w:i/>
          <w:sz w:val="22"/>
          <w:szCs w:val="22"/>
        </w:rPr>
        <w:t>[Sic]</w:t>
      </w:r>
    </w:p>
    <w:p w14:paraId="4CD49663" w14:textId="77777777" w:rsidR="00620A58" w:rsidRDefault="00620A58" w:rsidP="00735FBE">
      <w:pPr>
        <w:pStyle w:val="Sinespaciado"/>
        <w:rPr>
          <w:rFonts w:eastAsia="Calibri"/>
        </w:rPr>
      </w:pPr>
    </w:p>
    <w:p w14:paraId="129A451C" w14:textId="75822B3C" w:rsidR="00620A58" w:rsidRDefault="001E5BF1" w:rsidP="001E5BF1">
      <w:pPr>
        <w:pStyle w:val="Sinespaciado"/>
        <w:spacing w:line="360" w:lineRule="auto"/>
        <w:jc w:val="both"/>
        <w:rPr>
          <w:rFonts w:ascii="Palatino Linotype" w:eastAsia="Calibri" w:hAnsi="Palatino Linotype"/>
        </w:rPr>
      </w:pPr>
      <w:r w:rsidRPr="001E5BF1">
        <w:rPr>
          <w:rFonts w:ascii="Palatino Linotype" w:eastAsia="Calibri" w:hAnsi="Palatino Linotype"/>
        </w:rPr>
        <w:t>Con base en lo anteriormente expuesto, resulta procedente ordenar la entrega, previa búsqueda exhaustiva y razonable, en versión pública del Inventario de bie</w:t>
      </w:r>
      <w:r w:rsidR="00CF2459">
        <w:rPr>
          <w:rFonts w:ascii="Palatino Linotype" w:eastAsia="Calibri" w:hAnsi="Palatino Linotype"/>
        </w:rPr>
        <w:t xml:space="preserve">nes muebles de la Dirección de Seguridad Pública, actualizado a la fecha de la solicitud. </w:t>
      </w:r>
    </w:p>
    <w:p w14:paraId="1DA0E7BB" w14:textId="77777777" w:rsidR="00AE4352" w:rsidRPr="004C0FAC" w:rsidRDefault="00AE4352" w:rsidP="00AE4352">
      <w:pPr>
        <w:autoSpaceDE w:val="0"/>
        <w:autoSpaceDN w:val="0"/>
        <w:adjustRightInd w:val="0"/>
        <w:spacing w:before="240" w:after="240" w:line="360" w:lineRule="auto"/>
        <w:jc w:val="both"/>
        <w:rPr>
          <w:rFonts w:ascii="Palatino Linotype" w:hAnsi="Palatino Linotype" w:cs="Arial"/>
          <w:color w:val="000000" w:themeColor="text1"/>
          <w:sz w:val="24"/>
        </w:rPr>
      </w:pPr>
      <w:r w:rsidRPr="004C0FAC">
        <w:rPr>
          <w:rFonts w:ascii="Palatino Linotype" w:hAnsi="Palatino Linotype" w:cs="Arial"/>
          <w:color w:val="000000" w:themeColor="text1"/>
          <w:sz w:val="24"/>
        </w:rPr>
        <w:t>Bajo este contexto, si bien es cierto, es indispensable que la sociedad se haga conocedora de la información peticionada de origen, también lo es que existen casos excepcionales, en donde debe privilegiarse un bien tutelado mayor y en su caso clasificar información por cuestiones de interés público, como es la seguridad pública</w:t>
      </w:r>
      <w:r w:rsidRPr="004C0FAC">
        <w:rPr>
          <w:rStyle w:val="Refdenotaalpie"/>
          <w:rFonts w:ascii="Palatino Linotype" w:hAnsi="Palatino Linotype" w:cs="Arial"/>
          <w:color w:val="000000" w:themeColor="text1"/>
          <w:sz w:val="24"/>
        </w:rPr>
        <w:footnoteReference w:id="1"/>
      </w:r>
      <w:r w:rsidRPr="004C0FAC">
        <w:rPr>
          <w:rFonts w:ascii="Palatino Linotype" w:hAnsi="Palatino Linotype" w:cs="Arial"/>
          <w:color w:val="000000" w:themeColor="text1"/>
          <w:sz w:val="24"/>
        </w:rPr>
        <w:t xml:space="preserve">, en consecuencia se actualiza lo previsto en el artículo 140 de la Ley de la Materia, </w:t>
      </w:r>
      <w:r w:rsidRPr="004C0FAC">
        <w:rPr>
          <w:rFonts w:ascii="Palatino Linotype" w:hAnsi="Palatino Linotype" w:cs="Arial"/>
          <w:color w:val="000000" w:themeColor="text1"/>
          <w:sz w:val="24"/>
        </w:rPr>
        <w:lastRenderedPageBreak/>
        <w:t xml:space="preserve">puesto que de entregarse la información, podría comprometerse la seguridad pública, obstruirse la prevención o persecución de los delitos, o porque, el daño que puede producirse con la publicación de la información, puede ser mayor que el interés público de conocer la información. </w:t>
      </w:r>
    </w:p>
    <w:p w14:paraId="40E6AF0D" w14:textId="77777777" w:rsidR="00AE4352" w:rsidRPr="004C0FAC" w:rsidRDefault="00AE4352" w:rsidP="00AE4352">
      <w:pPr>
        <w:autoSpaceDE w:val="0"/>
        <w:autoSpaceDN w:val="0"/>
        <w:adjustRightInd w:val="0"/>
        <w:spacing w:before="240" w:after="240" w:line="360" w:lineRule="auto"/>
        <w:jc w:val="both"/>
        <w:rPr>
          <w:rFonts w:ascii="Palatino Linotype" w:hAnsi="Palatino Linotype" w:cs="Arial"/>
          <w:color w:val="000000" w:themeColor="text1"/>
          <w:sz w:val="24"/>
        </w:rPr>
      </w:pPr>
      <w:r w:rsidRPr="004C0FAC">
        <w:rPr>
          <w:rFonts w:ascii="Palatino Linotype" w:hAnsi="Palatino Linotype" w:cs="Arial"/>
          <w:color w:val="000000" w:themeColor="text1"/>
          <w:sz w:val="24"/>
        </w:rPr>
        <w:t>A este respecto, de conformidad con los artículos 91 y 140, fracción I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6CD64F73" w14:textId="77777777" w:rsidR="00AE4352" w:rsidRPr="004C7647" w:rsidRDefault="00AE4352" w:rsidP="00AE4352">
      <w:pPr>
        <w:autoSpaceDE w:val="0"/>
        <w:autoSpaceDN w:val="0"/>
        <w:adjustRightInd w:val="0"/>
        <w:spacing w:after="120"/>
        <w:ind w:left="567" w:right="902"/>
        <w:jc w:val="both"/>
        <w:rPr>
          <w:rFonts w:ascii="Palatino Linotype" w:hAnsi="Palatino Linotype"/>
          <w:i/>
          <w:color w:val="000000" w:themeColor="text1"/>
          <w:szCs w:val="20"/>
        </w:rPr>
      </w:pPr>
      <w:r w:rsidRPr="004C7647">
        <w:rPr>
          <w:rFonts w:ascii="Palatino Linotype" w:hAnsi="Palatino Linotype"/>
          <w:i/>
          <w:color w:val="000000" w:themeColor="text1"/>
          <w:szCs w:val="20"/>
        </w:rPr>
        <w:t>“</w:t>
      </w:r>
      <w:r w:rsidRPr="004C7647">
        <w:rPr>
          <w:rFonts w:ascii="Palatino Linotype" w:hAnsi="Palatino Linotype"/>
          <w:b/>
          <w:i/>
          <w:color w:val="000000" w:themeColor="text1"/>
          <w:szCs w:val="20"/>
        </w:rPr>
        <w:t>Artículo 91.</w:t>
      </w:r>
      <w:r w:rsidRPr="004C7647">
        <w:rPr>
          <w:rFonts w:ascii="Palatino Linotype" w:hAnsi="Palatino Linotype"/>
          <w:i/>
          <w:color w:val="000000" w:themeColor="text1"/>
          <w:szCs w:val="20"/>
        </w:rPr>
        <w:t xml:space="preserve"> El acceso a la información pública será restringido excepcionalmente, cuando ésta sea clasificada como reservada o confidencial.</w:t>
      </w:r>
    </w:p>
    <w:p w14:paraId="74B2E4C9" w14:textId="77777777" w:rsidR="00AE4352" w:rsidRPr="004C7647" w:rsidRDefault="00AE4352" w:rsidP="00AE4352">
      <w:pPr>
        <w:autoSpaceDE w:val="0"/>
        <w:autoSpaceDN w:val="0"/>
        <w:adjustRightInd w:val="0"/>
        <w:spacing w:after="120"/>
        <w:ind w:left="567" w:right="902"/>
        <w:jc w:val="both"/>
        <w:rPr>
          <w:rFonts w:ascii="Palatino Linotype" w:hAnsi="Palatino Linotype"/>
          <w:i/>
          <w:color w:val="000000" w:themeColor="text1"/>
          <w:szCs w:val="20"/>
        </w:rPr>
      </w:pPr>
      <w:r w:rsidRPr="004C7647">
        <w:rPr>
          <w:rFonts w:ascii="Palatino Linotype" w:hAnsi="Palatino Linotype"/>
          <w:b/>
          <w:i/>
          <w:color w:val="000000" w:themeColor="text1"/>
          <w:szCs w:val="20"/>
        </w:rPr>
        <w:t xml:space="preserve">Artículo 140. </w:t>
      </w:r>
      <w:r w:rsidRPr="004C7647">
        <w:rPr>
          <w:rFonts w:ascii="Palatino Linotype" w:hAnsi="Palatino Linotype"/>
          <w:i/>
          <w:color w:val="000000" w:themeColor="text1"/>
          <w:szCs w:val="20"/>
        </w:rPr>
        <w:t xml:space="preserve">El acceso a la información pública será restringido excepcionalmente, cuando por razones de interés público, ésta sea clasificada como reservada, conforme a los criterios siguientes: </w:t>
      </w:r>
    </w:p>
    <w:p w14:paraId="0DFFF686" w14:textId="77777777" w:rsidR="00AE4352" w:rsidRPr="004C7647" w:rsidRDefault="00AE4352" w:rsidP="00AE4352">
      <w:pPr>
        <w:autoSpaceDE w:val="0"/>
        <w:autoSpaceDN w:val="0"/>
        <w:adjustRightInd w:val="0"/>
        <w:spacing w:after="120"/>
        <w:ind w:left="567" w:right="902"/>
        <w:jc w:val="both"/>
        <w:rPr>
          <w:rFonts w:ascii="Palatino Linotype" w:hAnsi="Palatino Linotype"/>
          <w:i/>
          <w:color w:val="000000" w:themeColor="text1"/>
          <w:szCs w:val="20"/>
        </w:rPr>
      </w:pPr>
      <w:r w:rsidRPr="004C7647">
        <w:rPr>
          <w:rFonts w:ascii="Palatino Linotype" w:hAnsi="Palatino Linotype"/>
          <w:b/>
          <w:i/>
          <w:color w:val="000000" w:themeColor="text1"/>
          <w:szCs w:val="20"/>
        </w:rPr>
        <w:t>I.</w:t>
      </w:r>
      <w:r w:rsidRPr="004C7647">
        <w:rPr>
          <w:rFonts w:ascii="Palatino Linotype" w:hAnsi="Palatino Linotype"/>
          <w:i/>
          <w:color w:val="000000" w:themeColor="text1"/>
          <w:szCs w:val="20"/>
        </w:rPr>
        <w:t xml:space="preserve"> Comprometa la seguridad pública y cuente con un propósito genuino y un efecto demostrable;…” (Sic)</w:t>
      </w:r>
    </w:p>
    <w:p w14:paraId="2FA11DC4" w14:textId="77777777" w:rsidR="00AE4352" w:rsidRDefault="00AE4352" w:rsidP="00AE4352">
      <w:pPr>
        <w:pStyle w:val="Sinespaciado"/>
      </w:pPr>
    </w:p>
    <w:p w14:paraId="52FFACB0" w14:textId="77777777" w:rsidR="00AE4352" w:rsidRPr="001C4BDC" w:rsidRDefault="00AE4352" w:rsidP="00AE4352">
      <w:pPr>
        <w:spacing w:after="240" w:line="360" w:lineRule="auto"/>
        <w:jc w:val="both"/>
        <w:rPr>
          <w:rFonts w:ascii="Palatino Linotype" w:hAnsi="Palatino Linotype" w:cs="Arial"/>
          <w:color w:val="000000" w:themeColor="text1"/>
          <w:sz w:val="24"/>
        </w:rPr>
      </w:pPr>
      <w:r w:rsidRPr="001C4BDC">
        <w:rPr>
          <w:rFonts w:ascii="Palatino Linotype" w:hAnsi="Palatino Linotype" w:cs="Arial"/>
          <w:color w:val="000000" w:themeColor="text1"/>
          <w:sz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590B687" w14:textId="77777777" w:rsidR="00AE4352" w:rsidRPr="001C4BDC" w:rsidRDefault="00AE4352" w:rsidP="00AE4352">
      <w:pPr>
        <w:spacing w:after="240" w:line="360" w:lineRule="auto"/>
        <w:jc w:val="both"/>
        <w:rPr>
          <w:rFonts w:ascii="Palatino Linotype" w:hAnsi="Palatino Linotype" w:cs="Arial"/>
          <w:color w:val="000000" w:themeColor="text1"/>
          <w:sz w:val="24"/>
        </w:rPr>
      </w:pPr>
      <w:r w:rsidRPr="001C4BDC">
        <w:rPr>
          <w:rFonts w:ascii="Palatino Linotype" w:hAnsi="Palatino Linotype" w:cs="Arial"/>
          <w:color w:val="000000" w:themeColor="text1"/>
          <w:sz w:val="24"/>
        </w:rPr>
        <w:lastRenderedPageBreak/>
        <w:t>En el caso en particular, es necesario limitar la publicación de cierta información, ya que podría poner en riesgo la seguridad pública, de entregarse información que una institución tiene para prevenir y combatir la comisión de delitos. Debido a que su difusión, facilitaría a células delictivas el neutralizar las acciones, implementadas o por implementar, en materia de seguridad pública para la preservación del orden y la paz pública.</w:t>
      </w:r>
    </w:p>
    <w:p w14:paraId="0BB723AD" w14:textId="77777777" w:rsidR="00AE4352" w:rsidRPr="001C4BDC" w:rsidRDefault="00AE4352" w:rsidP="00AE4352">
      <w:pPr>
        <w:spacing w:before="240" w:after="240" w:line="360" w:lineRule="auto"/>
        <w:jc w:val="both"/>
        <w:rPr>
          <w:rFonts w:ascii="Palatino Linotype" w:hAnsi="Palatino Linotype"/>
          <w:color w:val="000000" w:themeColor="text1"/>
          <w:sz w:val="24"/>
        </w:rPr>
      </w:pPr>
      <w:r w:rsidRPr="001C4BDC">
        <w:rPr>
          <w:rFonts w:ascii="Palatino Linotype" w:hAnsi="Palatino Linotype" w:cs="Arial"/>
          <w:color w:val="000000" w:themeColor="text1"/>
          <w:sz w:val="24"/>
        </w:rPr>
        <w:t>En relación directa con lo anterior, cabe decir que en términos del Capítulo V de los Lineamientos Generales en Materia de Clasificación y Desclasificación de la Información, así como para la Elaboración de Versiones Públicas, es información reservada, aquella que de difundirse actualice o potencialice un riesgo o amenaza a la seguridad nacional cuando, s</w:t>
      </w:r>
      <w:r w:rsidRPr="001C4BDC">
        <w:rPr>
          <w:rFonts w:ascii="Palatino Linotype" w:hAnsi="Palatino Linotype"/>
          <w:color w:val="000000" w:themeColor="text1"/>
          <w:sz w:val="24"/>
        </w:rPr>
        <w:t xml:space="preserve">e obstaculicen o bloqueen las actividades de inteligencia o contrainteligencia y cuando se </w:t>
      </w:r>
      <w:r w:rsidRPr="001C4BDC">
        <w:rPr>
          <w:rFonts w:ascii="Palatino Linotype" w:hAnsi="Palatino Linotype"/>
          <w:color w:val="000000" w:themeColor="text1"/>
          <w:sz w:val="24"/>
          <w:u w:val="single"/>
        </w:rPr>
        <w:t>revelen normas</w:t>
      </w:r>
      <w:r w:rsidRPr="001C4BDC">
        <w:rPr>
          <w:rFonts w:ascii="Palatino Linotype" w:hAnsi="Palatino Linotype"/>
          <w:color w:val="000000" w:themeColor="text1"/>
          <w:sz w:val="24"/>
        </w:rPr>
        <w:t xml:space="preserve">, procedimientos, métodos, fuentes, </w:t>
      </w:r>
      <w:r w:rsidRPr="00975521">
        <w:rPr>
          <w:rFonts w:ascii="Palatino Linotype" w:hAnsi="Palatino Linotype"/>
          <w:color w:val="000000" w:themeColor="text1"/>
          <w:sz w:val="24"/>
          <w:u w:val="single"/>
        </w:rPr>
        <w:t>especificaciones técnicas</w:t>
      </w:r>
      <w:r w:rsidRPr="001C4BDC">
        <w:rPr>
          <w:rFonts w:ascii="Palatino Linotype" w:hAnsi="Palatino Linotype"/>
          <w:color w:val="000000" w:themeColor="text1"/>
          <w:sz w:val="24"/>
        </w:rPr>
        <w:t xml:space="preserve">, </w:t>
      </w:r>
      <w:r w:rsidRPr="001C4BDC">
        <w:rPr>
          <w:rFonts w:ascii="Palatino Linotype" w:hAnsi="Palatino Linotype"/>
          <w:color w:val="000000" w:themeColor="text1"/>
          <w:sz w:val="24"/>
          <w:u w:val="single"/>
        </w:rPr>
        <w:t>tecnología o equipo que sean útiles para la generación de inteligencia para la seguridad nacional</w:t>
      </w:r>
      <w:r w:rsidRPr="001C4BDC">
        <w:rPr>
          <w:rFonts w:ascii="Palatino Linotype" w:hAnsi="Palatino Linotype"/>
          <w:color w:val="000000" w:themeColor="text1"/>
          <w:sz w:val="24"/>
        </w:rPr>
        <w:t>.</w:t>
      </w:r>
    </w:p>
    <w:p w14:paraId="0BE05408" w14:textId="77777777" w:rsidR="00AE4352" w:rsidRPr="001C4BDC" w:rsidRDefault="00AE4352" w:rsidP="00AE4352">
      <w:pPr>
        <w:spacing w:before="240" w:after="240" w:line="360" w:lineRule="auto"/>
        <w:jc w:val="both"/>
        <w:rPr>
          <w:rFonts w:ascii="Palatino Linotype" w:hAnsi="Palatino Linotype" w:cs="Arial"/>
          <w:color w:val="000000" w:themeColor="text1"/>
          <w:sz w:val="24"/>
        </w:rPr>
      </w:pPr>
      <w:r w:rsidRPr="001C4BDC">
        <w:rPr>
          <w:rFonts w:ascii="Palatino Linotype" w:hAnsi="Palatino Linotype"/>
          <w:color w:val="000000" w:themeColor="text1"/>
          <w:sz w:val="24"/>
        </w:rPr>
        <w:t xml:space="preserve">No obstante, que en términos del último párrafo del numeral Décimo séptimo, de los Lineamientos en cuestión, podrá considerarse como reservada aquella que revele </w:t>
      </w:r>
      <w:r w:rsidRPr="00975521">
        <w:rPr>
          <w:rFonts w:ascii="Palatino Linotype" w:hAnsi="Palatino Linotype"/>
          <w:color w:val="000000" w:themeColor="text1"/>
          <w:sz w:val="24"/>
          <w:u w:val="single"/>
        </w:rPr>
        <w:t>d</w:t>
      </w:r>
      <w:r w:rsidRPr="001C4BDC">
        <w:rPr>
          <w:rFonts w:ascii="Palatino Linotype" w:hAnsi="Palatino Linotype"/>
          <w:color w:val="000000" w:themeColor="text1"/>
          <w:sz w:val="24"/>
          <w:u w:val="single"/>
        </w:rPr>
        <w:t>atos que pudieran ser aprovechados para conocer la capacidad de reacción de las instituciones encargadas de la seguridad nacional;</w:t>
      </w:r>
      <w:r w:rsidRPr="001C4BDC">
        <w:rPr>
          <w:rFonts w:ascii="Palatino Linotype" w:hAnsi="Palatino Linotype"/>
          <w:color w:val="000000" w:themeColor="text1"/>
          <w:sz w:val="24"/>
        </w:rPr>
        <w:t xml:space="preserve"> sus normas, procedimientos, métodos, fuentes, especificaciones técnicas, </w:t>
      </w:r>
      <w:r w:rsidRPr="001C4BDC">
        <w:rPr>
          <w:rFonts w:ascii="Palatino Linotype" w:hAnsi="Palatino Linotype"/>
          <w:color w:val="000000" w:themeColor="text1"/>
          <w:sz w:val="24"/>
          <w:u w:val="single"/>
        </w:rPr>
        <w:t>tecnología o equipo útiles a la generación de inteligencia para la Seguridad Nacional</w:t>
      </w:r>
      <w:r w:rsidRPr="001C4BDC">
        <w:rPr>
          <w:rFonts w:ascii="Palatino Linotype" w:hAnsi="Palatino Linotype"/>
          <w:color w:val="000000" w:themeColor="text1"/>
          <w:sz w:val="24"/>
        </w:rPr>
        <w:t>, sin importar la naturaleza o el origen de los documentos que la consignen.</w:t>
      </w:r>
    </w:p>
    <w:p w14:paraId="38046284" w14:textId="77777777" w:rsidR="00AE4352" w:rsidRPr="001C4BDC" w:rsidRDefault="00AE4352" w:rsidP="00AE4352">
      <w:pPr>
        <w:spacing w:before="240" w:after="240" w:line="360" w:lineRule="auto"/>
        <w:jc w:val="both"/>
        <w:rPr>
          <w:rFonts w:ascii="Palatino Linotype" w:hAnsi="Palatino Linotype" w:cs="Arial"/>
          <w:color w:val="000000" w:themeColor="text1"/>
          <w:sz w:val="24"/>
        </w:rPr>
      </w:pPr>
      <w:r w:rsidRPr="001C4BDC">
        <w:rPr>
          <w:rFonts w:ascii="Palatino Linotype" w:hAnsi="Palatino Linotype" w:cs="Arial"/>
          <w:color w:val="000000" w:themeColor="text1"/>
          <w:sz w:val="24"/>
        </w:rPr>
        <w:t xml:space="preserve"> Se robustece lo anterior, con el criterio de jurisprudencia emitido por la suprema Corte de Justicia de la Nación, que es del texto y rubro siguiente:</w:t>
      </w:r>
    </w:p>
    <w:p w14:paraId="1B4430DB" w14:textId="77777777" w:rsidR="00AE4352" w:rsidRPr="001C4BDC" w:rsidRDefault="00AE4352" w:rsidP="00AE4352">
      <w:pPr>
        <w:spacing w:after="120"/>
        <w:ind w:left="851" w:right="900"/>
        <w:jc w:val="both"/>
        <w:rPr>
          <w:rFonts w:ascii="Palatino Linotype" w:hAnsi="Palatino Linotype" w:cs="Arial"/>
          <w:i/>
          <w:color w:val="000000" w:themeColor="text1"/>
          <w:sz w:val="20"/>
          <w:szCs w:val="20"/>
        </w:rPr>
      </w:pPr>
      <w:r w:rsidRPr="001C4BDC">
        <w:rPr>
          <w:rFonts w:ascii="Palatino Linotype" w:hAnsi="Palatino Linotype" w:cs="Arial"/>
          <w:b/>
          <w:i/>
          <w:color w:val="000000" w:themeColor="text1"/>
          <w:sz w:val="20"/>
          <w:szCs w:val="20"/>
        </w:rPr>
        <w:lastRenderedPageBreak/>
        <w:t>“INFORMACIÓN RESERVADA. LÍMITE AL DERECHO DE ACCESO A LA INFORMACIÓN (LEY FEDERAL DE TRANSPARENCIA Y ACCESO A LA INFORMACIÓN PÚBLICA GUBERNAMENTAL).*</w:t>
      </w:r>
      <w:r w:rsidRPr="001C4BDC">
        <w:rPr>
          <w:rFonts w:ascii="Palatino Linotype" w:hAnsi="Palatino Linotype" w:cs="Arial"/>
          <w:i/>
          <w:color w:val="000000" w:themeColor="text1"/>
          <w:sz w:val="20"/>
          <w:szCs w:val="20"/>
        </w:rPr>
        <w:t xml:space="preserve"> 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protección del interés público, los artículos 13 y 14 de la ley establecieron como criterio de clasificación el de información reservada. El primero de los artículos citados establece un catálogo genérico de lineamientos bajo los cuales deberá reservarse la información, lo cual procederá cuando la difusión de la información pueda: 1) comprometer la seguridad nacional, la seguridad pública o la defensa nacional; 2) menoscabar negociaciones o relaciones internacionales; 3) dañar la estabilidad financiera, económica o monetaria del país; 4) poner en riesgo la vida, seguridad o salud de alguna persona; o 5) causar perjuicio al cumplimiento de las leyes, prevención o verificación de delitos, impartición de justicia, recaudación de contribuciones, control migratorio o a las estrategias procesales en procedimientos jurisdiccionales, mientras las resoluciones no causen estado. Por otro lado, con un enfoque más preciso que descriptivo, el artículo 14 de la Ley Federal de Transparencia y Acceso a la Información Pública Gubernamental contiene un catálogo ya no genérico, sino específico, de supuestos en los cuales la información también se considerará reservada: 1) la que expresamente se clasifique como confidencial, reservada, comercial reservada o gubernamental reservada; 2) secretos comercial, industrial, fiscal, bancario, fiduciario u otros; 3) averiguaciones previas; 4) expedientes jurisdiccionales que no hayan causado estado; 5) procedimientos de responsabilidad administrativa sin resolución definitiva; o 6) la que contenga opiniones, recomendaciones o puntos de vista de servidores públicos y que formen parte de un proceso deliberativo en el cual aún no se hubiese adoptado una decisión definitiva. Como evidencia el listado anterior, la ley enunció en su artículo 14 supuestos que, si bien pueden clasificarse dentro de los lineamientos genéricos establecidos en el artículo 13, el legislador quiso destacar de modo que no se presentasen dudas respecto a la necesidad de considerarlos como información reservada.”</w:t>
      </w:r>
    </w:p>
    <w:p w14:paraId="2212FF4D" w14:textId="77777777" w:rsidR="00AE4352" w:rsidRDefault="00AE4352" w:rsidP="00AE4352">
      <w:pPr>
        <w:spacing w:line="360" w:lineRule="auto"/>
        <w:jc w:val="both"/>
        <w:rPr>
          <w:rFonts w:ascii="Palatino Linotype" w:hAnsi="Palatino Linotype" w:cs="Arial"/>
          <w:color w:val="000000" w:themeColor="text1"/>
          <w:sz w:val="24"/>
        </w:rPr>
      </w:pPr>
    </w:p>
    <w:p w14:paraId="4DD8FA39" w14:textId="77777777" w:rsidR="00AE4352" w:rsidRPr="0027490E" w:rsidRDefault="00AE4352" w:rsidP="00AE4352">
      <w:pPr>
        <w:tabs>
          <w:tab w:val="left" w:pos="709"/>
        </w:tabs>
        <w:spacing w:line="360" w:lineRule="auto"/>
        <w:jc w:val="both"/>
        <w:rPr>
          <w:rFonts w:ascii="Palatino Linotype" w:hAnsi="Palatino Linotype"/>
          <w:sz w:val="24"/>
          <w:szCs w:val="24"/>
        </w:rPr>
      </w:pPr>
      <w:r w:rsidRPr="0027490E">
        <w:rPr>
          <w:rFonts w:ascii="Palatino Linotype" w:hAnsi="Palatino Linotype" w:cs="Arial"/>
          <w:sz w:val="24"/>
          <w:szCs w:val="24"/>
          <w:lang w:eastAsia="es-MX"/>
        </w:rPr>
        <w:lastRenderedPageBreak/>
        <w:t xml:space="preserve">De los preceptos anteriores, se aduce que, </w:t>
      </w:r>
      <w:r w:rsidRPr="0027490E">
        <w:rPr>
          <w:rFonts w:ascii="Palatino Linotype" w:hAnsi="Palatino Linotype" w:cs="Arial"/>
          <w:b/>
          <w:sz w:val="24"/>
          <w:szCs w:val="24"/>
          <w:lang w:eastAsia="es-MX"/>
        </w:rPr>
        <w:t>EL SUJETO OBLIGADO</w:t>
      </w:r>
      <w:r w:rsidRPr="0027490E">
        <w:rPr>
          <w:rFonts w:ascii="Palatino Linotype" w:hAnsi="Palatino Linotype" w:cs="Arial"/>
          <w:sz w:val="24"/>
          <w:szCs w:val="24"/>
          <w:lang w:eastAsia="es-MX"/>
        </w:rPr>
        <w:t xml:space="preserve"> tiene el deber de poner a disposición del público en su portal de transparencia electrónico, todos aquellos procesos, resultados de licitaciones, contratos celebrados, concesiones, que celebre el municipio con los particulares, ya que son de interés público y se manejan recursos financieros de la misma naturaleza, no pasa desapercibido que los </w:t>
      </w:r>
      <w:r w:rsidRPr="0027490E">
        <w:rPr>
          <w:rFonts w:ascii="Palatino Linotype" w:hAnsi="Palatino Linotype" w:cs="Arial"/>
          <w:sz w:val="24"/>
          <w:szCs w:val="24"/>
        </w:rPr>
        <w:t xml:space="preserve">Preceptos normativos disponen que la clasificación es el proceso mediante el cual el </w:t>
      </w:r>
      <w:r w:rsidRPr="0027490E">
        <w:rPr>
          <w:rFonts w:ascii="Palatino Linotype" w:hAnsi="Palatino Linotype" w:cs="Arial"/>
          <w:b/>
          <w:sz w:val="24"/>
          <w:szCs w:val="24"/>
        </w:rPr>
        <w:t xml:space="preserve">Sujeto Obligado </w:t>
      </w:r>
      <w:r w:rsidRPr="0027490E">
        <w:rPr>
          <w:rFonts w:ascii="Palatino Linotype" w:hAnsi="Palatino Linotype" w:cs="Arial"/>
          <w:sz w:val="24"/>
          <w:szCs w:val="24"/>
        </w:rPr>
        <w:t>deberá determinar que la información en su poder actualiza alguno de los supuestos de reserva de la información, al cual recae el acuerdo de clasificación de información reservada, en el que deberá determinar el plazo de reserva, que conformidad con la Ley en la Materia, podrá permanecer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por cinco años adicionales y por una sola vez, siempre y cuando justifiquen que subsistente las causas que dieron origen a su clasificación, mediante la aplicación de la prueba de daño</w:t>
      </w:r>
      <w:r w:rsidRPr="0027490E">
        <w:rPr>
          <w:rStyle w:val="Refdenotaalpie"/>
          <w:rFonts w:ascii="Palatino Linotype" w:hAnsi="Palatino Linotype" w:cs="Arial"/>
          <w:sz w:val="24"/>
          <w:szCs w:val="24"/>
        </w:rPr>
        <w:footnoteReference w:id="2"/>
      </w:r>
      <w:r w:rsidRPr="0027490E">
        <w:rPr>
          <w:rFonts w:ascii="Palatino Linotype" w:hAnsi="Palatino Linotype" w:cs="Arial"/>
          <w:sz w:val="24"/>
          <w:szCs w:val="24"/>
        </w:rPr>
        <w:t xml:space="preserve">, en la que se justificaran las razones, motivos o circunstancias especiales que lo llevaron a concluir que el caso concreto, se ajustó a los supuestos previstos en la normatividad como fundamento. </w:t>
      </w:r>
    </w:p>
    <w:p w14:paraId="180440F7" w14:textId="77777777" w:rsidR="00AE4352" w:rsidRPr="0027490E" w:rsidRDefault="00AE4352" w:rsidP="00AE4352">
      <w:pPr>
        <w:pStyle w:val="Sinespaciado"/>
        <w:rPr>
          <w:lang w:eastAsia="es-MX"/>
        </w:rPr>
      </w:pPr>
    </w:p>
    <w:p w14:paraId="763CF88D" w14:textId="77777777" w:rsidR="00AE4352" w:rsidRPr="0027490E" w:rsidRDefault="00AE4352" w:rsidP="00AE4352">
      <w:pPr>
        <w:spacing w:after="260" w:line="360" w:lineRule="auto"/>
        <w:ind w:right="-232"/>
        <w:jc w:val="both"/>
        <w:rPr>
          <w:rFonts w:ascii="Palatino Linotype" w:hAnsi="Palatino Linotype"/>
          <w:color w:val="000000"/>
          <w:sz w:val="24"/>
          <w:szCs w:val="24"/>
          <w:lang w:eastAsia="es-MX"/>
        </w:rPr>
      </w:pPr>
      <w:r w:rsidRPr="0027490E">
        <w:rPr>
          <w:rFonts w:ascii="Palatino Linotype" w:hAnsi="Palatino Linotype"/>
          <w:color w:val="000000"/>
          <w:sz w:val="24"/>
          <w:szCs w:val="24"/>
          <w:lang w:eastAsia="es-MX"/>
        </w:rPr>
        <w:lastRenderedPageBreak/>
        <w:t>Cobra aplicación la jurisprudencia de la novena época visible en el Semanario Judicial de la Federación y su Gaceta. Instancia: Tribunales Colegiados de Circuito. Tesis I.4o.A.J/43 (9a.) bajo el número de registro 175082 cuyo rubro y texto esgrime:</w:t>
      </w:r>
    </w:p>
    <w:p w14:paraId="1C183B9A" w14:textId="77777777" w:rsidR="00AE4352" w:rsidRPr="00C81EC9" w:rsidRDefault="00AE4352" w:rsidP="00AE4352">
      <w:pPr>
        <w:spacing w:after="120"/>
        <w:ind w:left="851" w:right="902"/>
        <w:jc w:val="both"/>
        <w:rPr>
          <w:rFonts w:ascii="Palatino Linotype" w:hAnsi="Palatino Linotype"/>
          <w:b/>
          <w:bCs/>
          <w:i/>
          <w:color w:val="000000"/>
          <w:sz w:val="20"/>
          <w:szCs w:val="20"/>
          <w:lang w:eastAsia="es-MX"/>
        </w:rPr>
      </w:pPr>
      <w:r w:rsidRPr="00C81EC9">
        <w:rPr>
          <w:rFonts w:ascii="Palatino Linotype" w:hAnsi="Palatino Linotype"/>
          <w:b/>
          <w:bCs/>
          <w:i/>
          <w:color w:val="000000"/>
          <w:sz w:val="20"/>
          <w:szCs w:val="20"/>
          <w:lang w:eastAsia="es-MX"/>
        </w:rPr>
        <w:t>FUNDAMENTACIÓN Y MOTIVACIÓN. EL ASPECTO FORMAL DE LA GARANTÍA Y SU FINALIDAD SE TRADUCEN EN EXPLICAR, JUSTIFICAR, POSIBILITAR LA DEFENSA Y COMUNICAR LA DECISIÓN.</w:t>
      </w:r>
    </w:p>
    <w:p w14:paraId="68B33884" w14:textId="77777777" w:rsidR="00AE4352" w:rsidRPr="00C81EC9" w:rsidRDefault="00AE4352" w:rsidP="00AE4352">
      <w:pPr>
        <w:spacing w:after="120"/>
        <w:ind w:left="851" w:right="902"/>
        <w:jc w:val="both"/>
        <w:rPr>
          <w:rFonts w:ascii="Palatino Linotype" w:hAnsi="Palatino Linotype"/>
          <w:i/>
          <w:color w:val="000000"/>
          <w:sz w:val="20"/>
          <w:szCs w:val="20"/>
          <w:lang w:eastAsia="es-MX"/>
        </w:rPr>
      </w:pPr>
      <w:r w:rsidRPr="00C81EC9">
        <w:rPr>
          <w:rFonts w:ascii="Palatino Linotype" w:hAnsi="Palatino Linotype"/>
          <w:i/>
          <w:color w:val="000000"/>
          <w:sz w:val="20"/>
          <w:szCs w:val="20"/>
          <w:lang w:eastAsia="es-MX"/>
        </w:rPr>
        <w:t>El contenido formal de la garantía de legalidad prevista en el artículo </w:t>
      </w:r>
      <w:hyperlink r:id="rId11" w:history="1">
        <w:r w:rsidRPr="00C81EC9">
          <w:rPr>
            <w:rFonts w:ascii="Palatino Linotype" w:hAnsi="Palatino Linotype"/>
            <w:i/>
            <w:sz w:val="20"/>
            <w:szCs w:val="20"/>
            <w:lang w:eastAsia="es-MX"/>
          </w:rPr>
          <w:t>16 constitucional</w:t>
        </w:r>
      </w:hyperlink>
      <w:r w:rsidRPr="00C81EC9">
        <w:rPr>
          <w:rFonts w:ascii="Palatino Linotype" w:hAnsi="Palatino Linotype"/>
          <w:i/>
          <w:color w:val="000000"/>
          <w:sz w:val="20"/>
          <w:szCs w:val="2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sz w:val="20"/>
          <w:szCs w:val="20"/>
          <w:lang w:eastAsia="es-MX"/>
        </w:rPr>
        <w:t>.”</w:t>
      </w:r>
    </w:p>
    <w:p w14:paraId="7438C913" w14:textId="77777777" w:rsidR="0083209B" w:rsidRDefault="0083209B" w:rsidP="0083209B">
      <w:pPr>
        <w:pStyle w:val="Sinespaciado"/>
      </w:pPr>
    </w:p>
    <w:p w14:paraId="3E8C1B49" w14:textId="77777777" w:rsidR="00AE4352" w:rsidRPr="004C6C07" w:rsidRDefault="00AE4352" w:rsidP="00AE4352">
      <w:pPr>
        <w:spacing w:before="240" w:after="240" w:line="360" w:lineRule="auto"/>
        <w:jc w:val="both"/>
        <w:rPr>
          <w:rFonts w:ascii="Palatino Linotype" w:hAnsi="Palatino Linotype" w:cs="Arial"/>
          <w:sz w:val="24"/>
          <w:szCs w:val="24"/>
        </w:rPr>
      </w:pPr>
      <w:r w:rsidRPr="004C6C07">
        <w:rPr>
          <w:rFonts w:ascii="Palatino Linotype" w:hAnsi="Palatino Linotype" w:cs="Arial"/>
          <w:sz w:val="24"/>
          <w:szCs w:val="24"/>
        </w:rPr>
        <w:t xml:space="preserve">La clasificación de la información se llevará a cabo en el momento que se reciba una solicitud de información, </w:t>
      </w:r>
      <w:r w:rsidRPr="004C6C07">
        <w:rPr>
          <w:rFonts w:ascii="Palatino Linotype" w:hAnsi="Palatino Linotype" w:cs="Arial"/>
          <w:b/>
          <w:sz w:val="24"/>
          <w:szCs w:val="24"/>
        </w:rPr>
        <w:t>cuando se determine mediante resolución de autoridad competente</w:t>
      </w:r>
      <w:r w:rsidRPr="004C6C07">
        <w:rPr>
          <w:rFonts w:ascii="Palatino Linotype" w:hAnsi="Palatino Linotype" w:cs="Arial"/>
          <w:sz w:val="24"/>
          <w:szCs w:val="24"/>
        </w:rPr>
        <w:t xml:space="preserve"> o bien, en la generación de versiones públicas para dar cumplimiento a las obligaciones de transparencias previstas en la Ley. </w:t>
      </w:r>
    </w:p>
    <w:p w14:paraId="1FFF989D" w14:textId="77777777" w:rsidR="00AE4352" w:rsidRPr="004C6C07" w:rsidRDefault="00AE4352" w:rsidP="00AE4352">
      <w:pPr>
        <w:spacing w:before="240" w:after="240" w:line="360" w:lineRule="auto"/>
        <w:jc w:val="both"/>
        <w:rPr>
          <w:rFonts w:ascii="Palatino Linotype" w:hAnsi="Palatino Linotype"/>
          <w:sz w:val="24"/>
          <w:szCs w:val="24"/>
        </w:rPr>
      </w:pPr>
      <w:r w:rsidRPr="004C6C07">
        <w:rPr>
          <w:rFonts w:ascii="Palatino Linotype" w:hAnsi="Palatino Linotype"/>
          <w:sz w:val="24"/>
          <w:szCs w:val="24"/>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w:t>
      </w:r>
      <w:r w:rsidRPr="004C6C07">
        <w:rPr>
          <w:rFonts w:ascii="Palatino Linotype" w:hAnsi="Palatino Linotype"/>
          <w:sz w:val="24"/>
          <w:szCs w:val="24"/>
        </w:rPr>
        <w:lastRenderedPageBreak/>
        <w:t>ley de la materia como información clasificada, en ningún caso se podrán clasificar documentos antes de que se genere la información.</w:t>
      </w:r>
    </w:p>
    <w:p w14:paraId="2B8E7163" w14:textId="77777777" w:rsidR="00AE4352" w:rsidRPr="004C6C07" w:rsidRDefault="00AE4352" w:rsidP="00AE4352">
      <w:pPr>
        <w:spacing w:before="240" w:after="240" w:line="360" w:lineRule="auto"/>
        <w:jc w:val="both"/>
        <w:rPr>
          <w:rFonts w:ascii="Palatino Linotype" w:hAnsi="Palatino Linotype" w:cs="Arial"/>
          <w:sz w:val="24"/>
          <w:szCs w:val="24"/>
        </w:rPr>
      </w:pPr>
      <w:r w:rsidRPr="004C6C07">
        <w:rPr>
          <w:rFonts w:ascii="Palatino Linotype" w:hAnsi="Palatino Linotype" w:cs="Arial"/>
          <w:sz w:val="24"/>
          <w:szCs w:val="24"/>
        </w:rPr>
        <w:t>En los casos en que la información solicitada por los particulares actualice algún supuesto de información reservada, le corresponde a los sujetos obligados la carga de la prueba para justificar la negativa de acceso a la información.</w:t>
      </w:r>
    </w:p>
    <w:p w14:paraId="67B1E8A1" w14:textId="77777777" w:rsidR="00620A58" w:rsidRDefault="00620A58"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66B1575"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lastRenderedPageBreak/>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893282">
        <w:rPr>
          <w:rFonts w:ascii="Palatino Linotype" w:hAnsi="Palatino Linotype"/>
          <w:sz w:val="24"/>
        </w:rPr>
        <w:lastRenderedPageBreak/>
        <w:t>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120A91E3"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78694D" w:rsidRPr="008777C8">
        <w:rPr>
          <w:rFonts w:ascii="Palatino Linotype" w:hAnsi="Palatino Linotype" w:cs="Arial"/>
          <w:b/>
          <w:sz w:val="24"/>
          <w:szCs w:val="24"/>
        </w:rPr>
        <w:t>00455/CAPULHUA/IP/2019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lastRenderedPageBreak/>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4F381CEA"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8777C8" w:rsidRPr="008777C8">
        <w:rPr>
          <w:rFonts w:ascii="Palatino Linotype" w:hAnsi="Palatino Linotype" w:cs="Arial"/>
          <w:b/>
          <w:sz w:val="24"/>
          <w:szCs w:val="24"/>
        </w:rPr>
        <w:t>00455/CAPULHUA/IP/2019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AA17EB" w:rsidRPr="00AA17EB">
        <w:rPr>
          <w:rFonts w:ascii="Palatino Linotype" w:eastAsia="Times New Roman" w:hAnsi="Palatino Linotype" w:cs="Arial"/>
          <w:b/>
          <w:sz w:val="24"/>
          <w:szCs w:val="24"/>
        </w:rPr>
        <w:t>QUINTO</w:t>
      </w:r>
      <w:r w:rsidR="0078694D">
        <w:rPr>
          <w:rFonts w:ascii="Palatino Linotype" w:eastAsia="Times New Roman" w:hAnsi="Palatino Linotype" w:cs="Arial"/>
          <w:b/>
          <w:sz w:val="24"/>
          <w:szCs w:val="24"/>
        </w:rPr>
        <w:t xml:space="preserve"> </w:t>
      </w:r>
      <w:r w:rsidR="0078694D" w:rsidRPr="0078694D">
        <w:rPr>
          <w:rFonts w:ascii="Palatino Linotype" w:eastAsia="Times New Roman" w:hAnsi="Palatino Linotype" w:cs="Arial"/>
          <w:sz w:val="24"/>
          <w:szCs w:val="24"/>
        </w:rPr>
        <w:t xml:space="preserve">de esta Resolución </w:t>
      </w:r>
      <w:r w:rsidR="0078694D">
        <w:rPr>
          <w:rFonts w:ascii="Palatino Linotype" w:eastAsia="Times New Roman" w:hAnsi="Palatino Linotype" w:cs="Arial"/>
          <w:sz w:val="24"/>
          <w:szCs w:val="24"/>
        </w:rPr>
        <w:t>vía</w:t>
      </w:r>
      <w:r w:rsidR="00AA17EB" w:rsidRPr="00584718">
        <w:rPr>
          <w:rFonts w:ascii="Palatino Linotype" w:eastAsia="Times New Roman" w:hAnsi="Palatino Linotype" w:cs="Arial"/>
          <w:sz w:val="24"/>
          <w:szCs w:val="24"/>
        </w:rPr>
        <w:t xml:space="preserve"> del</w:t>
      </w:r>
      <w:r w:rsidR="00AA17EB">
        <w:rPr>
          <w:rFonts w:ascii="Palatino Linotype" w:hAnsi="Palatino Linotype" w:cs="Arial"/>
          <w:sz w:val="24"/>
          <w:szCs w:val="24"/>
        </w:rPr>
        <w:t xml:space="preserve"> 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4305F177" w14:textId="77777777" w:rsidR="005016B8" w:rsidRDefault="005016B8" w:rsidP="005016B8">
      <w:pPr>
        <w:pStyle w:val="Sinespaciado"/>
      </w:pP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w:t>
      </w:r>
      <w:r w:rsidRPr="00584718">
        <w:rPr>
          <w:rFonts w:ascii="Palatino Linotype" w:eastAsia="MS Mincho" w:hAnsi="Palatino Linotype" w:cs="Times New Roman"/>
          <w:sz w:val="24"/>
        </w:rPr>
        <w:lastRenderedPageBreak/>
        <w:t xml:space="preserve">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090255B2" w14:textId="77777777" w:rsidR="00F93588" w:rsidRDefault="00F93588" w:rsidP="004D3D74">
      <w:pPr>
        <w:autoSpaceDE w:val="0"/>
        <w:autoSpaceDN w:val="0"/>
        <w:adjustRightInd w:val="0"/>
        <w:spacing w:after="0" w:line="360" w:lineRule="auto"/>
        <w:jc w:val="both"/>
        <w:rPr>
          <w:rFonts w:ascii="Palatino Linotype" w:eastAsia="MS Mincho" w:hAnsi="Palatino Linotype" w:cs="Times New Roman"/>
          <w:sz w:val="24"/>
        </w:rPr>
      </w:pPr>
    </w:p>
    <w:p w14:paraId="0704F5F4" w14:textId="77777777" w:rsidR="00F93588" w:rsidRDefault="00F93588" w:rsidP="00F93588">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46D0D1A5" w:rsidR="00FA3867" w:rsidRPr="00584718" w:rsidRDefault="0083209B" w:rsidP="00415FD8">
      <w:pPr>
        <w:spacing w:after="0" w:line="360" w:lineRule="auto"/>
        <w:jc w:val="both"/>
        <w:rPr>
          <w:rFonts w:ascii="Palatino Linotype" w:hAnsi="Palatino Linotype" w:cs="Arial"/>
          <w:sz w:val="24"/>
          <w:szCs w:val="24"/>
        </w:rPr>
      </w:pPr>
      <w:r w:rsidRPr="0083209B">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D7096E">
        <w:rPr>
          <w:rFonts w:ascii="Palatino Linotype" w:hAnsi="Palatino Linotype" w:cs="Arial"/>
          <w:sz w:val="24"/>
          <w:szCs w:val="24"/>
        </w:rPr>
        <w:t>,</w:t>
      </w:r>
      <w:r w:rsidRPr="0083209B">
        <w:rPr>
          <w:rFonts w:ascii="Palatino Linotype" w:hAnsi="Palatino Linotype" w:cs="Arial"/>
          <w:sz w:val="24"/>
          <w:szCs w:val="24"/>
        </w:rPr>
        <w:t xml:space="preserve"> JOSÉ GUADALUPE LUNA HERNÁNDE</w:t>
      </w:r>
      <w:r w:rsidR="00FA53B4">
        <w:rPr>
          <w:rFonts w:ascii="Palatino Linotype" w:hAnsi="Palatino Linotype" w:cs="Arial"/>
          <w:sz w:val="24"/>
          <w:szCs w:val="24"/>
        </w:rPr>
        <w:t>Z, JAVIER MARTÍNEZ CRUZ (AUSENCIA JUSTIFICADA</w:t>
      </w:r>
      <w:r w:rsidRPr="0083209B">
        <w:rPr>
          <w:rFonts w:ascii="Palatino Linotype" w:hAnsi="Palatino Linotype" w:cs="Arial"/>
          <w:sz w:val="24"/>
          <w:szCs w:val="24"/>
        </w:rPr>
        <w:t>) Y LUIS GUSTAVO PARRA NORIEGA; EN LA OCTAVA SESIÓN ORDINARIA CELEBRADA EL CINCO DE MARZO DE 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Pr>
          <w:rFonts w:ascii="Palatino Linotype" w:hAnsi="Palatino Linotype" w:cs="Arial"/>
          <w:sz w:val="24"/>
          <w:szCs w:val="24"/>
        </w:rPr>
        <w:t>---------------------------------</w:t>
      </w:r>
      <w:r w:rsidR="00CA1CB9">
        <w:rPr>
          <w:rFonts w:ascii="Palatino Linotype" w:hAnsi="Palatino Linotype" w:cs="Arial"/>
          <w:sz w:val="24"/>
          <w:szCs w:val="24"/>
        </w:rPr>
        <w:t>---------------------------------------------------------------------------------------------------------------------------------------------------------------------------------------------------------------------------------------------------------------------------------------------------</w:t>
      </w:r>
      <w:bookmarkStart w:id="0" w:name="_GoBack"/>
      <w:bookmarkEnd w:id="0"/>
    </w:p>
    <w:p w14:paraId="30589103" w14:textId="77777777" w:rsidR="005016B8" w:rsidRDefault="005016B8"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2855C31" w:rsidR="000510FC" w:rsidRPr="001F3F4B" w:rsidRDefault="00FA53B4" w:rsidP="007C15B3">
                            <w:pPr>
                              <w:spacing w:after="0" w:line="240" w:lineRule="auto"/>
                              <w:jc w:val="center"/>
                              <w:rPr>
                                <w:rFonts w:ascii="Palatino Linotype" w:hAnsi="Palatino Linotype"/>
                                <w:b/>
                              </w:rPr>
                            </w:pPr>
                            <w:r>
                              <w:rPr>
                                <w:rFonts w:ascii="Palatino Linotype" w:hAnsi="Palatino Linotype"/>
                                <w:b/>
                              </w:rPr>
                              <w:t>(Ausencia justificada</w:t>
                            </w:r>
                            <w:r w:rsidR="002A0053" w:rsidRPr="001F3F4B">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2855C31" w:rsidR="000510FC" w:rsidRPr="001F3F4B" w:rsidRDefault="00FA53B4" w:rsidP="007C15B3">
                      <w:pPr>
                        <w:spacing w:after="0" w:line="240" w:lineRule="auto"/>
                        <w:jc w:val="center"/>
                        <w:rPr>
                          <w:rFonts w:ascii="Palatino Linotype" w:hAnsi="Palatino Linotype"/>
                          <w:b/>
                        </w:rPr>
                      </w:pPr>
                      <w:r>
                        <w:rPr>
                          <w:rFonts w:ascii="Palatino Linotype" w:hAnsi="Palatino Linotype"/>
                          <w:b/>
                        </w:rPr>
                        <w:t>(Ausencia justificada</w:t>
                      </w:r>
                      <w:r w:rsidR="002A0053" w:rsidRPr="001F3F4B">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64B300E7"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83209B" w:rsidRPr="0083209B">
        <w:rPr>
          <w:rFonts w:ascii="Palatino Linotype" w:hAnsi="Palatino Linotype" w:cs="Arial"/>
          <w:sz w:val="16"/>
          <w:szCs w:val="16"/>
        </w:rPr>
        <w:t>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8861EC" w:rsidRPr="008861EC">
        <w:rPr>
          <w:rFonts w:ascii="Palatino Linotype" w:hAnsi="Palatino Linotype" w:cs="Arial"/>
          <w:bCs/>
          <w:sz w:val="16"/>
          <w:szCs w:val="16"/>
          <w:lang w:eastAsia="es-MX"/>
        </w:rPr>
        <w:t>096</w:t>
      </w:r>
      <w:r w:rsidR="002A6ADB" w:rsidRPr="008861EC">
        <w:rPr>
          <w:rFonts w:ascii="Palatino Linotype" w:hAnsi="Palatino Linotype" w:cs="Arial"/>
          <w:bCs/>
          <w:sz w:val="16"/>
          <w:szCs w:val="16"/>
          <w:lang w:eastAsia="es-MX"/>
        </w:rPr>
        <w:t>20</w:t>
      </w:r>
      <w:r w:rsidRPr="008861EC">
        <w:rPr>
          <w:rFonts w:ascii="Palatino Linotype" w:hAnsi="Palatino Linotype" w:cs="Arial"/>
          <w:bCs/>
          <w:sz w:val="16"/>
          <w:szCs w:val="16"/>
          <w:lang w:eastAsia="es-MX"/>
        </w:rPr>
        <w:t>/INFOEM/IP/RR/201</w:t>
      </w:r>
      <w:r w:rsidR="000510FC" w:rsidRPr="008861EC">
        <w:rPr>
          <w:rFonts w:ascii="Palatino Linotype" w:hAnsi="Palatino Linotype" w:cs="Arial"/>
          <w:bCs/>
          <w:sz w:val="16"/>
          <w:szCs w:val="16"/>
          <w:lang w:eastAsia="es-MX"/>
        </w:rPr>
        <w:t>9</w:t>
      </w:r>
      <w:r w:rsidRPr="008861EC">
        <w:rPr>
          <w:rFonts w:ascii="Palatino Linotype" w:hAnsi="Palatino Linotype" w:cs="Arial"/>
          <w:bCs/>
          <w:sz w:val="16"/>
          <w:szCs w:val="16"/>
          <w:lang w:eastAsia="es-MX"/>
        </w:rPr>
        <w:t>.</w:t>
      </w:r>
    </w:p>
    <w:p w14:paraId="345214E0" w14:textId="2C3449DB" w:rsidR="00FA3867" w:rsidRPr="005A797B" w:rsidRDefault="00992074"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ZMS/OSAM/RDPG</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FF003" w14:textId="77777777" w:rsidR="003A194D" w:rsidRDefault="003A194D" w:rsidP="006168E4">
      <w:pPr>
        <w:spacing w:after="0" w:line="240" w:lineRule="auto"/>
      </w:pPr>
      <w:r>
        <w:separator/>
      </w:r>
    </w:p>
  </w:endnote>
  <w:endnote w:type="continuationSeparator" w:id="0">
    <w:p w14:paraId="01CF3E83" w14:textId="77777777" w:rsidR="003A194D" w:rsidRDefault="003A194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09B3">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09B3">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09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09B3">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E0272" w14:textId="77777777" w:rsidR="003A194D" w:rsidRDefault="003A194D" w:rsidP="006168E4">
      <w:pPr>
        <w:spacing w:after="0" w:line="240" w:lineRule="auto"/>
      </w:pPr>
      <w:r>
        <w:separator/>
      </w:r>
    </w:p>
  </w:footnote>
  <w:footnote w:type="continuationSeparator" w:id="0">
    <w:p w14:paraId="7D704B5C" w14:textId="77777777" w:rsidR="003A194D" w:rsidRDefault="003A194D" w:rsidP="006168E4">
      <w:pPr>
        <w:spacing w:after="0" w:line="240" w:lineRule="auto"/>
      </w:pPr>
      <w:r>
        <w:continuationSeparator/>
      </w:r>
    </w:p>
  </w:footnote>
  <w:footnote w:id="1">
    <w:p w14:paraId="12A0BF34" w14:textId="77777777" w:rsidR="00AE4352" w:rsidRPr="00623229" w:rsidRDefault="00AE4352" w:rsidP="00AE4352">
      <w:pPr>
        <w:pStyle w:val="Textonotapie"/>
        <w:jc w:val="both"/>
        <w:rPr>
          <w:rFonts w:ascii="Palatino Linotype" w:hAnsi="Palatino Linotype"/>
          <w:i/>
          <w:sz w:val="16"/>
          <w:szCs w:val="16"/>
        </w:rPr>
      </w:pPr>
      <w:r>
        <w:rPr>
          <w:rStyle w:val="Refdenotaalpie"/>
        </w:rPr>
        <w:footnoteRef/>
      </w:r>
      <w:r>
        <w:t xml:space="preserve"> </w:t>
      </w:r>
      <w:r w:rsidRPr="00623229">
        <w:rPr>
          <w:rFonts w:ascii="Palatino Linotype" w:hAnsi="Palatino Linotype"/>
          <w:b/>
          <w:i/>
          <w:sz w:val="16"/>
          <w:szCs w:val="16"/>
        </w:rPr>
        <w:t xml:space="preserve">DERECHO A LA INFORMACIÓN. SU EJERCICIO SE ENCUENTRA LIMITADO TANTO POR LOS INTERESES NACIONALES Y DE LA SOCIEDAD, COMO POR LOS DERECHOS DE TERCEROS. </w:t>
      </w:r>
      <w:r w:rsidRPr="00623229">
        <w:rPr>
          <w:rFonts w:ascii="Palatino Linotype" w:hAnsi="Palatino Linotype"/>
          <w:i/>
          <w:sz w:val="16"/>
          <w:szCs w:val="16"/>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3BD3F85F" w14:textId="77777777" w:rsidR="00AE4352" w:rsidRDefault="00AE4352" w:rsidP="00AE4352">
      <w:pPr>
        <w:pStyle w:val="Textonotapie"/>
      </w:pPr>
    </w:p>
    <w:p w14:paraId="4DEC1D1E" w14:textId="77777777" w:rsidR="00AE4352" w:rsidRDefault="00AE4352" w:rsidP="00AE4352">
      <w:pPr>
        <w:pStyle w:val="Textonotapie"/>
      </w:pPr>
    </w:p>
    <w:p w14:paraId="7625E21C" w14:textId="77777777" w:rsidR="00AE4352" w:rsidRDefault="00AE4352" w:rsidP="00AE4352">
      <w:pPr>
        <w:pStyle w:val="Textonotapie"/>
      </w:pPr>
    </w:p>
    <w:p w14:paraId="266040B0" w14:textId="77777777" w:rsidR="00AE4352" w:rsidRDefault="00AE4352" w:rsidP="00AE4352">
      <w:pPr>
        <w:pStyle w:val="Textonotapie"/>
      </w:pPr>
    </w:p>
    <w:p w14:paraId="559E64CC" w14:textId="77777777" w:rsidR="00AE4352" w:rsidRDefault="00AE4352" w:rsidP="00AE4352">
      <w:pPr>
        <w:pStyle w:val="Textonotapie"/>
      </w:pPr>
    </w:p>
  </w:footnote>
  <w:footnote w:id="2">
    <w:p w14:paraId="388DBD2D" w14:textId="77777777" w:rsidR="00AE4352" w:rsidRPr="00E774D6" w:rsidRDefault="00AE4352" w:rsidP="00AE4352">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14:paraId="309F43BC" w14:textId="77777777" w:rsidR="00AE4352" w:rsidRPr="00E774D6" w:rsidRDefault="00AE4352" w:rsidP="00AE4352">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14:paraId="68F65BB6" w14:textId="77777777" w:rsidR="00AE4352" w:rsidRPr="00E774D6" w:rsidRDefault="00AE4352" w:rsidP="00AE4352">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14:paraId="4E293BD8" w14:textId="77777777" w:rsidR="00AE4352" w:rsidRPr="00E774D6" w:rsidRDefault="00AE4352" w:rsidP="00AE4352">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2B5D5C1" w:rsidR="000510FC" w:rsidRPr="00B4142F" w:rsidRDefault="00A97490"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096</w:t>
          </w:r>
          <w:r w:rsidR="002A6ADB">
            <w:rPr>
              <w:rFonts w:ascii="Palatino Linotype" w:hAnsi="Palatino Linotype" w:cs="Arial"/>
              <w:bCs/>
              <w:sz w:val="24"/>
              <w:lang w:eastAsia="es-MX"/>
            </w:rPr>
            <w:t>20/INFOEM/IP/RR/2019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DD5A43B" w:rsidR="000510FC" w:rsidRPr="00B7426B"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r w:rsidR="00116EE8" w:rsidRPr="00116EE8">
            <w:rPr>
              <w:rFonts w:ascii="Palatino Linotype" w:hAnsi="Palatino Linotype" w:cs="Arial"/>
              <w:szCs w:val="20"/>
            </w:rPr>
            <w:t>Capulhuac</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32ECDF6" w:rsidR="000510FC" w:rsidRPr="00B4142F" w:rsidRDefault="00E631BE"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w:t>
          </w:r>
          <w:r w:rsidR="00A97490">
            <w:rPr>
              <w:rFonts w:ascii="Palatino Linotype" w:hAnsi="Palatino Linotype" w:cs="Arial"/>
              <w:bCs/>
              <w:sz w:val="24"/>
              <w:lang w:eastAsia="es-MX"/>
            </w:rPr>
            <w:t>6</w:t>
          </w:r>
          <w:r>
            <w:rPr>
              <w:rFonts w:ascii="Palatino Linotype" w:hAnsi="Palatino Linotype" w:cs="Arial"/>
              <w:bCs/>
              <w:sz w:val="24"/>
              <w:lang w:eastAsia="es-MX"/>
            </w:rPr>
            <w:t>20</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390B521" w:rsidR="000510FC" w:rsidRPr="00F06FED" w:rsidRDefault="005709B3"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E0A2B56" w:rsidR="000510FC"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r w:rsidR="00E631BE" w:rsidRPr="00E631BE">
            <w:rPr>
              <w:rFonts w:ascii="Palatino Linotype" w:hAnsi="Palatino Linotype" w:cs="Arial"/>
              <w:szCs w:val="20"/>
            </w:rPr>
            <w:t>Capulhuac</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9EE"/>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6EE8"/>
    <w:rsid w:val="001178FA"/>
    <w:rsid w:val="00117DA2"/>
    <w:rsid w:val="00124855"/>
    <w:rsid w:val="001260E7"/>
    <w:rsid w:val="00126A06"/>
    <w:rsid w:val="00130240"/>
    <w:rsid w:val="0013189B"/>
    <w:rsid w:val="001363FD"/>
    <w:rsid w:val="001372F1"/>
    <w:rsid w:val="00141DD7"/>
    <w:rsid w:val="0014223D"/>
    <w:rsid w:val="00145F3D"/>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3F4B"/>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56400"/>
    <w:rsid w:val="00266874"/>
    <w:rsid w:val="00272FC7"/>
    <w:rsid w:val="002813C0"/>
    <w:rsid w:val="00282948"/>
    <w:rsid w:val="00293C1E"/>
    <w:rsid w:val="00293E9D"/>
    <w:rsid w:val="0029402C"/>
    <w:rsid w:val="002948D3"/>
    <w:rsid w:val="002A0053"/>
    <w:rsid w:val="002A12C4"/>
    <w:rsid w:val="002A2034"/>
    <w:rsid w:val="002A228B"/>
    <w:rsid w:val="002A2DC3"/>
    <w:rsid w:val="002A4CB4"/>
    <w:rsid w:val="002A6031"/>
    <w:rsid w:val="002A6ADB"/>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3EC4"/>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194D"/>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6B8"/>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09B3"/>
    <w:rsid w:val="005733EB"/>
    <w:rsid w:val="0057689F"/>
    <w:rsid w:val="00582600"/>
    <w:rsid w:val="00584718"/>
    <w:rsid w:val="00590D02"/>
    <w:rsid w:val="005A08C7"/>
    <w:rsid w:val="005A0B6E"/>
    <w:rsid w:val="005A0F33"/>
    <w:rsid w:val="005A797B"/>
    <w:rsid w:val="005B05B0"/>
    <w:rsid w:val="005B1582"/>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0A58"/>
    <w:rsid w:val="00627191"/>
    <w:rsid w:val="00637208"/>
    <w:rsid w:val="0063729B"/>
    <w:rsid w:val="006375B6"/>
    <w:rsid w:val="00651AA0"/>
    <w:rsid w:val="00656E56"/>
    <w:rsid w:val="006615F9"/>
    <w:rsid w:val="006639E2"/>
    <w:rsid w:val="00666AD1"/>
    <w:rsid w:val="00670673"/>
    <w:rsid w:val="00673857"/>
    <w:rsid w:val="00676967"/>
    <w:rsid w:val="0069410C"/>
    <w:rsid w:val="00697DD0"/>
    <w:rsid w:val="006A6142"/>
    <w:rsid w:val="006A6BD9"/>
    <w:rsid w:val="006A6C9D"/>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8694D"/>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17EBE"/>
    <w:rsid w:val="008212A5"/>
    <w:rsid w:val="008217D2"/>
    <w:rsid w:val="00830D0D"/>
    <w:rsid w:val="0083209B"/>
    <w:rsid w:val="00834D80"/>
    <w:rsid w:val="00847D23"/>
    <w:rsid w:val="0085412C"/>
    <w:rsid w:val="00862368"/>
    <w:rsid w:val="00865FA4"/>
    <w:rsid w:val="008707E9"/>
    <w:rsid w:val="00873D6E"/>
    <w:rsid w:val="008743FD"/>
    <w:rsid w:val="008773E7"/>
    <w:rsid w:val="008777C8"/>
    <w:rsid w:val="00884054"/>
    <w:rsid w:val="008861EC"/>
    <w:rsid w:val="00887A61"/>
    <w:rsid w:val="00887CAA"/>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1120"/>
    <w:rsid w:val="009738FB"/>
    <w:rsid w:val="00973E6E"/>
    <w:rsid w:val="009743C4"/>
    <w:rsid w:val="009815F8"/>
    <w:rsid w:val="00991E39"/>
    <w:rsid w:val="00992074"/>
    <w:rsid w:val="0099331E"/>
    <w:rsid w:val="009943D4"/>
    <w:rsid w:val="00997358"/>
    <w:rsid w:val="00997C2C"/>
    <w:rsid w:val="009A18AC"/>
    <w:rsid w:val="009A4E3B"/>
    <w:rsid w:val="009A5D16"/>
    <w:rsid w:val="009A686F"/>
    <w:rsid w:val="009A6A58"/>
    <w:rsid w:val="009B3487"/>
    <w:rsid w:val="009B4CE2"/>
    <w:rsid w:val="009C0752"/>
    <w:rsid w:val="009C1EEF"/>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13C51"/>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1E71"/>
    <w:rsid w:val="00A952D2"/>
    <w:rsid w:val="00A95C3D"/>
    <w:rsid w:val="00A97490"/>
    <w:rsid w:val="00AA17EB"/>
    <w:rsid w:val="00AA4738"/>
    <w:rsid w:val="00AA648E"/>
    <w:rsid w:val="00AB09E3"/>
    <w:rsid w:val="00AB3710"/>
    <w:rsid w:val="00AB4B0F"/>
    <w:rsid w:val="00AB5FED"/>
    <w:rsid w:val="00AC0CCC"/>
    <w:rsid w:val="00AC12AB"/>
    <w:rsid w:val="00AC3768"/>
    <w:rsid w:val="00AC3CC3"/>
    <w:rsid w:val="00AC52D3"/>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77D04"/>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2D9F"/>
    <w:rsid w:val="00BF3876"/>
    <w:rsid w:val="00BF4CB5"/>
    <w:rsid w:val="00BF63A0"/>
    <w:rsid w:val="00BF6BFA"/>
    <w:rsid w:val="00C03CC0"/>
    <w:rsid w:val="00C07DD6"/>
    <w:rsid w:val="00C10301"/>
    <w:rsid w:val="00C10D63"/>
    <w:rsid w:val="00C1588F"/>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96E"/>
    <w:rsid w:val="00D70CED"/>
    <w:rsid w:val="00D70DD1"/>
    <w:rsid w:val="00D72D16"/>
    <w:rsid w:val="00D72DA5"/>
    <w:rsid w:val="00D76554"/>
    <w:rsid w:val="00D76C70"/>
    <w:rsid w:val="00D77A67"/>
    <w:rsid w:val="00D827D4"/>
    <w:rsid w:val="00D900A1"/>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72AC7"/>
    <w:rsid w:val="00E75B63"/>
    <w:rsid w:val="00E85365"/>
    <w:rsid w:val="00E854AF"/>
    <w:rsid w:val="00E855FE"/>
    <w:rsid w:val="00E8604E"/>
    <w:rsid w:val="00E9008B"/>
    <w:rsid w:val="00E90766"/>
    <w:rsid w:val="00E96217"/>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3588"/>
    <w:rsid w:val="00FA1884"/>
    <w:rsid w:val="00FA3867"/>
    <w:rsid w:val="00FA4C4E"/>
    <w:rsid w:val="00FA53B4"/>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53B3B-9D0E-4C5E-A8E5-CA6DF9D4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34</Pages>
  <Words>8840</Words>
  <Characters>48625</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17</cp:revision>
  <cp:lastPrinted>2017-07-07T18:23:00Z</cp:lastPrinted>
  <dcterms:created xsi:type="dcterms:W3CDTF">2020-02-05T20:27:00Z</dcterms:created>
  <dcterms:modified xsi:type="dcterms:W3CDTF">2020-04-27T20:59:00Z</dcterms:modified>
</cp:coreProperties>
</file>