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D736C2" w:rsidRDefault="001B26AA" w:rsidP="00D736C2">
      <w:pPr>
        <w:tabs>
          <w:tab w:val="left" w:pos="567"/>
        </w:tabs>
        <w:spacing w:line="360" w:lineRule="auto"/>
        <w:jc w:val="center"/>
        <w:rPr>
          <w:rFonts w:ascii="Palatino Linotype" w:eastAsia="Times New Roman" w:hAnsi="Palatino Linotype" w:cs="Times New Roman"/>
          <w:b/>
        </w:rPr>
      </w:pPr>
      <w:r w:rsidRPr="00D736C2">
        <w:rPr>
          <w:rFonts w:ascii="Palatino Linotype" w:eastAsia="Times New Roman" w:hAnsi="Palatino Linotype" w:cs="Times New Roman"/>
          <w:b/>
        </w:rPr>
        <w:t>LÍNEAS ARGUMENTATIVAS</w:t>
      </w:r>
    </w:p>
    <w:p w14:paraId="1E314B59" w14:textId="77777777" w:rsidR="007A53F1" w:rsidRPr="00D736C2" w:rsidRDefault="007A53F1" w:rsidP="00D736C2">
      <w:pPr>
        <w:spacing w:line="360" w:lineRule="auto"/>
        <w:jc w:val="both"/>
        <w:rPr>
          <w:rFonts w:ascii="Palatino Linotype" w:hAnsi="Palatino Linotype"/>
          <w:b/>
        </w:rPr>
      </w:pPr>
    </w:p>
    <w:p w14:paraId="2A7470F0" w14:textId="77777777" w:rsidR="00265381" w:rsidRPr="00D736C2" w:rsidRDefault="00265381" w:rsidP="00D736C2">
      <w:pPr>
        <w:spacing w:line="360" w:lineRule="auto"/>
        <w:jc w:val="both"/>
        <w:rPr>
          <w:rFonts w:ascii="Palatino Linotype" w:hAnsi="Palatino Linotype"/>
        </w:rPr>
      </w:pPr>
      <w:r w:rsidRPr="00D736C2">
        <w:rPr>
          <w:rFonts w:ascii="Palatino Linotype" w:hAnsi="Palatino Linotype"/>
          <w:b/>
        </w:rPr>
        <w:t xml:space="preserve">INFORMACIÓN CONFIDENCIAL, CLASIFICACIÓN DE LA. </w:t>
      </w:r>
      <w:r w:rsidRPr="00D736C2">
        <w:rPr>
          <w:rFonts w:ascii="Palatino Linotype" w:hAnsi="Palatino Linotype"/>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w:t>
      </w:r>
      <w:proofErr w:type="gramStart"/>
      <w:r w:rsidRPr="00D736C2">
        <w:rPr>
          <w:rFonts w:ascii="Palatino Linotype" w:hAnsi="Palatino Linotype"/>
        </w:rPr>
        <w:t>de</w:t>
      </w:r>
      <w:proofErr w:type="gramEnd"/>
      <w:r w:rsidRPr="00D736C2">
        <w:rPr>
          <w:rFonts w:ascii="Palatino Linotype" w:hAnsi="Palatino Linotype"/>
        </w:rPr>
        <w:t xml:space="preserve"> clasificación y desclasificación de la información, así como para la elaboración de versiones públicas, de manera previa a su entrega al solicitante, de lo contrario los servidores públicos involucrados incurrirán en responsabilidad.</w:t>
      </w:r>
    </w:p>
    <w:p w14:paraId="3820B62E" w14:textId="7A00FA0C" w:rsidR="00D172C0" w:rsidRPr="00D736C2" w:rsidRDefault="00D736C2" w:rsidP="00D736C2">
      <w:pPr>
        <w:tabs>
          <w:tab w:val="left" w:pos="567"/>
        </w:tabs>
        <w:spacing w:line="360" w:lineRule="auto"/>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62336" behindDoc="0" locked="0" layoutInCell="1" allowOverlap="1" wp14:anchorId="12858A42" wp14:editId="13A87A81">
                <wp:simplePos x="0" y="0"/>
                <wp:positionH relativeFrom="column">
                  <wp:posOffset>13969</wp:posOffset>
                </wp:positionH>
                <wp:positionV relativeFrom="paragraph">
                  <wp:posOffset>13236</wp:posOffset>
                </wp:positionV>
                <wp:extent cx="5969977" cy="4317023"/>
                <wp:effectExtent l="76200" t="57150" r="50165" b="83820"/>
                <wp:wrapNone/>
                <wp:docPr id="8" name="Conector recto 8"/>
                <wp:cNvGraphicFramePr/>
                <a:graphic xmlns:a="http://schemas.openxmlformats.org/drawingml/2006/main">
                  <a:graphicData uri="http://schemas.microsoft.com/office/word/2010/wordprocessingShape">
                    <wps:wsp>
                      <wps:cNvCnPr/>
                      <wps:spPr>
                        <a:xfrm flipH="1" flipV="1">
                          <a:off x="0" y="0"/>
                          <a:ext cx="5969977" cy="431702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B15EE" id="Conector recto 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05pt" to="471.2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" strokecolor="#4f81bd [3204]" strokeweight="3pt">
                <v:shadow on="t" color="black" opacity="24903f" origin=",.5" offset="0,.55556mm"/>
              </v:line>
            </w:pict>
          </mc:Fallback>
        </mc:AlternateContent>
      </w:r>
    </w:p>
    <w:p w14:paraId="501D630E" w14:textId="77777777" w:rsidR="00265381" w:rsidRPr="00D736C2" w:rsidRDefault="00265381" w:rsidP="00D736C2">
      <w:pPr>
        <w:tabs>
          <w:tab w:val="left" w:pos="567"/>
        </w:tabs>
        <w:spacing w:line="360" w:lineRule="auto"/>
        <w:rPr>
          <w:rFonts w:ascii="Palatino Linotype" w:eastAsia="Times New Roman" w:hAnsi="Palatino Linotype" w:cs="Times New Roman"/>
          <w:b/>
        </w:rPr>
      </w:pPr>
    </w:p>
    <w:p w14:paraId="126DEEF3" w14:textId="77777777" w:rsidR="00265381" w:rsidRPr="00D736C2" w:rsidRDefault="00265381" w:rsidP="00D736C2">
      <w:pPr>
        <w:tabs>
          <w:tab w:val="left" w:pos="567"/>
        </w:tabs>
        <w:spacing w:line="360" w:lineRule="auto"/>
        <w:rPr>
          <w:rFonts w:ascii="Palatino Linotype" w:eastAsia="Times New Roman" w:hAnsi="Palatino Linotype" w:cs="Times New Roman"/>
          <w:b/>
        </w:rPr>
      </w:pPr>
    </w:p>
    <w:p w14:paraId="5863F2D0" w14:textId="77777777" w:rsidR="00265381" w:rsidRPr="00D736C2" w:rsidRDefault="00265381" w:rsidP="00D736C2">
      <w:pPr>
        <w:tabs>
          <w:tab w:val="left" w:pos="567"/>
        </w:tabs>
        <w:spacing w:line="360" w:lineRule="auto"/>
        <w:rPr>
          <w:rFonts w:ascii="Palatino Linotype" w:eastAsia="Times New Roman" w:hAnsi="Palatino Linotype" w:cs="Times New Roman"/>
          <w:b/>
        </w:rPr>
      </w:pPr>
    </w:p>
    <w:p w14:paraId="25A8019D" w14:textId="77777777" w:rsidR="007D26B9" w:rsidRPr="00D736C2" w:rsidRDefault="007D26B9" w:rsidP="00D736C2">
      <w:pPr>
        <w:tabs>
          <w:tab w:val="left" w:pos="567"/>
        </w:tabs>
        <w:spacing w:line="360" w:lineRule="auto"/>
        <w:rPr>
          <w:rFonts w:ascii="Palatino Linotype" w:eastAsia="Times New Roman" w:hAnsi="Palatino Linotype" w:cs="Times New Roman"/>
          <w:b/>
        </w:rPr>
      </w:pPr>
    </w:p>
    <w:p w14:paraId="64B3C4F0" w14:textId="77777777" w:rsidR="004966CB" w:rsidRPr="00D736C2" w:rsidRDefault="004966CB" w:rsidP="00D736C2">
      <w:pPr>
        <w:tabs>
          <w:tab w:val="left" w:pos="567"/>
        </w:tabs>
        <w:spacing w:line="360" w:lineRule="auto"/>
        <w:rPr>
          <w:rFonts w:ascii="Palatino Linotype" w:eastAsia="Times New Roman" w:hAnsi="Palatino Linotype" w:cs="Times New Roman"/>
          <w:b/>
        </w:rPr>
      </w:pPr>
    </w:p>
    <w:p w14:paraId="5F9717B8" w14:textId="77777777" w:rsidR="004966CB" w:rsidRPr="00D736C2" w:rsidRDefault="004966CB" w:rsidP="00D736C2">
      <w:pPr>
        <w:tabs>
          <w:tab w:val="left" w:pos="567"/>
        </w:tabs>
        <w:spacing w:line="360" w:lineRule="auto"/>
        <w:rPr>
          <w:rFonts w:ascii="Palatino Linotype" w:eastAsia="Times New Roman" w:hAnsi="Palatino Linotype" w:cs="Times New Roman"/>
          <w:b/>
        </w:rPr>
      </w:pPr>
    </w:p>
    <w:p w14:paraId="4275DEFC" w14:textId="77777777" w:rsidR="004966CB" w:rsidRPr="00D736C2" w:rsidRDefault="004966CB" w:rsidP="00D736C2">
      <w:pPr>
        <w:tabs>
          <w:tab w:val="left" w:pos="567"/>
        </w:tabs>
        <w:spacing w:line="360" w:lineRule="auto"/>
        <w:rPr>
          <w:rFonts w:ascii="Palatino Linotype" w:eastAsia="Times New Roman" w:hAnsi="Palatino Linotype" w:cs="Times New Roman"/>
          <w:b/>
        </w:rPr>
      </w:pPr>
    </w:p>
    <w:p w14:paraId="3EF84E07" w14:textId="77777777" w:rsidR="004966CB" w:rsidRPr="00D736C2" w:rsidRDefault="004966CB" w:rsidP="00D736C2">
      <w:pPr>
        <w:tabs>
          <w:tab w:val="left" w:pos="567"/>
        </w:tabs>
        <w:spacing w:line="360" w:lineRule="auto"/>
        <w:rPr>
          <w:rFonts w:ascii="Palatino Linotype" w:eastAsia="Times New Roman" w:hAnsi="Palatino Linotype" w:cs="Times New Roman"/>
          <w:b/>
        </w:rPr>
      </w:pPr>
    </w:p>
    <w:p w14:paraId="0DB93C0A" w14:textId="77777777" w:rsidR="00E00655" w:rsidRDefault="00E00655" w:rsidP="00D736C2">
      <w:pPr>
        <w:tabs>
          <w:tab w:val="left" w:pos="567"/>
        </w:tabs>
        <w:spacing w:line="360" w:lineRule="auto"/>
        <w:rPr>
          <w:rFonts w:ascii="Palatino Linotype" w:eastAsia="Times New Roman" w:hAnsi="Palatino Linotype" w:cs="Times New Roman"/>
          <w:b/>
        </w:rPr>
      </w:pPr>
    </w:p>
    <w:p w14:paraId="552C480D" w14:textId="77777777" w:rsidR="00D736C2" w:rsidRDefault="00D736C2" w:rsidP="00D736C2">
      <w:pPr>
        <w:tabs>
          <w:tab w:val="left" w:pos="567"/>
        </w:tabs>
        <w:spacing w:line="360" w:lineRule="auto"/>
        <w:rPr>
          <w:rFonts w:ascii="Palatino Linotype" w:eastAsia="Times New Roman" w:hAnsi="Palatino Linotype" w:cs="Times New Roman"/>
          <w:b/>
        </w:rPr>
      </w:pPr>
    </w:p>
    <w:p w14:paraId="6EF10BC2" w14:textId="77777777" w:rsidR="00D736C2" w:rsidRPr="00D736C2" w:rsidRDefault="00D736C2" w:rsidP="00D736C2">
      <w:pPr>
        <w:tabs>
          <w:tab w:val="left" w:pos="567"/>
        </w:tabs>
        <w:spacing w:line="360" w:lineRule="auto"/>
        <w:rPr>
          <w:rFonts w:ascii="Palatino Linotype" w:eastAsia="Times New Roman" w:hAnsi="Palatino Linotype" w:cs="Times New Roman"/>
          <w:b/>
        </w:rPr>
      </w:pPr>
    </w:p>
    <w:p w14:paraId="16410C99" w14:textId="77777777" w:rsidR="00E00655" w:rsidRPr="00D736C2" w:rsidRDefault="00E00655" w:rsidP="00D736C2">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3DFAA53" w:rsidR="008826F4" w:rsidRPr="00D736C2" w:rsidRDefault="00C220D2" w:rsidP="00D736C2">
          <w:pPr>
            <w:pStyle w:val="TtulodeTDC"/>
            <w:spacing w:before="0" w:line="276" w:lineRule="auto"/>
            <w:jc w:val="center"/>
            <w:rPr>
              <w:rFonts w:eastAsiaTheme="minorEastAsia" w:cstheme="minorBidi"/>
              <w:b w:val="0"/>
              <w:color w:val="auto"/>
              <w:sz w:val="22"/>
              <w:szCs w:val="24"/>
              <w:lang w:val="es-ES" w:eastAsia="es-ES"/>
            </w:rPr>
          </w:pPr>
          <w:r w:rsidRPr="00D736C2">
            <w:rPr>
              <w:b w:val="0"/>
              <w:sz w:val="22"/>
              <w:szCs w:val="24"/>
              <w:lang w:val="es-ES"/>
            </w:rPr>
            <w:t>ÍNDICE</w:t>
          </w:r>
        </w:p>
        <w:p w14:paraId="20B54EA4" w14:textId="77777777" w:rsidR="009405A1" w:rsidRPr="00D736C2" w:rsidRDefault="0011338C" w:rsidP="00D736C2">
          <w:pPr>
            <w:pStyle w:val="TDC1"/>
            <w:spacing w:line="276" w:lineRule="auto"/>
            <w:rPr>
              <w:rFonts w:ascii="Palatino Linotype" w:hAnsi="Palatino Linotype"/>
              <w:b/>
              <w:noProof/>
              <w:sz w:val="22"/>
              <w:lang w:val="es-MX" w:eastAsia="es-MX"/>
            </w:rPr>
          </w:pPr>
          <w:r w:rsidRPr="00D736C2">
            <w:rPr>
              <w:rFonts w:ascii="Palatino Linotype" w:hAnsi="Palatino Linotype"/>
              <w:sz w:val="22"/>
            </w:rPr>
            <w:fldChar w:fldCharType="begin"/>
          </w:r>
          <w:r w:rsidRPr="00D736C2">
            <w:rPr>
              <w:rFonts w:ascii="Palatino Linotype" w:hAnsi="Palatino Linotype"/>
              <w:sz w:val="22"/>
            </w:rPr>
            <w:instrText xml:space="preserve"> TOC \o "1-3" \h \z \u </w:instrText>
          </w:r>
          <w:r w:rsidRPr="00D736C2">
            <w:rPr>
              <w:rFonts w:ascii="Palatino Linotype" w:hAnsi="Palatino Linotype"/>
              <w:sz w:val="22"/>
            </w:rPr>
            <w:fldChar w:fldCharType="separate"/>
          </w:r>
          <w:hyperlink w:anchor="_Toc25255393" w:history="1">
            <w:r w:rsidR="009405A1" w:rsidRPr="00D736C2">
              <w:rPr>
                <w:rStyle w:val="Hipervnculo"/>
                <w:rFonts w:ascii="Palatino Linotype" w:hAnsi="Palatino Linotype"/>
                <w:b/>
                <w:noProof/>
                <w:sz w:val="22"/>
              </w:rPr>
              <w:t>ANTECEDENTES</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_Toc25255393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3</w:t>
            </w:r>
            <w:r w:rsidR="009405A1" w:rsidRPr="00D736C2">
              <w:rPr>
                <w:rFonts w:ascii="Palatino Linotype" w:hAnsi="Palatino Linotype"/>
                <w:b/>
                <w:noProof/>
                <w:webHidden/>
                <w:sz w:val="22"/>
              </w:rPr>
              <w:fldChar w:fldCharType="end"/>
            </w:r>
          </w:hyperlink>
        </w:p>
        <w:p w14:paraId="6696B33B" w14:textId="77777777" w:rsidR="009405A1" w:rsidRPr="00D736C2" w:rsidRDefault="00B16375" w:rsidP="00D736C2">
          <w:pPr>
            <w:pStyle w:val="TDC2"/>
            <w:spacing w:line="276" w:lineRule="auto"/>
            <w:rPr>
              <w:rFonts w:ascii="Palatino Linotype" w:hAnsi="Palatino Linotype"/>
              <w:b/>
              <w:noProof/>
              <w:sz w:val="22"/>
              <w:lang w:val="es-MX" w:eastAsia="es-MX"/>
            </w:rPr>
          </w:pPr>
          <w:hyperlink w:anchor="_Toc25255394" w:history="1">
            <w:r w:rsidR="009405A1" w:rsidRPr="00D736C2">
              <w:rPr>
                <w:rStyle w:val="Hipervnculo"/>
                <w:rFonts w:ascii="Palatino Linotype" w:hAnsi="Palatino Linotype"/>
                <w:b/>
                <w:noProof/>
                <w:sz w:val="22"/>
                <w:lang w:val="es-ES"/>
              </w:rPr>
              <w:t>a) Acto impugnado:</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_Toc25255394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4</w:t>
            </w:r>
            <w:r w:rsidR="009405A1" w:rsidRPr="00D736C2">
              <w:rPr>
                <w:rFonts w:ascii="Palatino Linotype" w:hAnsi="Palatino Linotype"/>
                <w:b/>
                <w:noProof/>
                <w:webHidden/>
                <w:sz w:val="22"/>
              </w:rPr>
              <w:fldChar w:fldCharType="end"/>
            </w:r>
          </w:hyperlink>
        </w:p>
        <w:p w14:paraId="3E66CD7A" w14:textId="77777777" w:rsidR="009405A1" w:rsidRPr="00D736C2" w:rsidRDefault="00B16375" w:rsidP="00D736C2">
          <w:pPr>
            <w:pStyle w:val="TDC2"/>
            <w:spacing w:line="276" w:lineRule="auto"/>
            <w:rPr>
              <w:rFonts w:ascii="Palatino Linotype" w:hAnsi="Palatino Linotype"/>
              <w:b/>
              <w:noProof/>
              <w:sz w:val="22"/>
              <w:lang w:val="es-MX" w:eastAsia="es-MX"/>
            </w:rPr>
          </w:pPr>
          <w:hyperlink w:anchor="_Toc25255395" w:history="1">
            <w:r w:rsidR="009405A1" w:rsidRPr="00D736C2">
              <w:rPr>
                <w:rStyle w:val="Hipervnculo"/>
                <w:rFonts w:ascii="Palatino Linotype" w:hAnsi="Palatino Linotype"/>
                <w:b/>
                <w:noProof/>
                <w:sz w:val="22"/>
                <w:lang w:val="es-ES"/>
              </w:rPr>
              <w:t>b) Razones o Motivos de inconformidad:</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_Toc25255395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5</w:t>
            </w:r>
            <w:r w:rsidR="009405A1" w:rsidRPr="00D736C2">
              <w:rPr>
                <w:rFonts w:ascii="Palatino Linotype" w:hAnsi="Palatino Linotype"/>
                <w:b/>
                <w:noProof/>
                <w:webHidden/>
                <w:sz w:val="22"/>
              </w:rPr>
              <w:fldChar w:fldCharType="end"/>
            </w:r>
          </w:hyperlink>
        </w:p>
        <w:p w14:paraId="08E5A282"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396" w:history="1">
            <w:r w:rsidR="009405A1" w:rsidRPr="00D736C2">
              <w:rPr>
                <w:rStyle w:val="Hipervnculo"/>
                <w:rFonts w:ascii="Palatino Linotype" w:hAnsi="Palatino Linotype"/>
                <w:b/>
                <w:noProof/>
                <w:sz w:val="22"/>
              </w:rPr>
              <w:t>CONSIDERANDO</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_Toc25255396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6</w:t>
            </w:r>
            <w:r w:rsidR="009405A1" w:rsidRPr="00D736C2">
              <w:rPr>
                <w:rFonts w:ascii="Palatino Linotype" w:hAnsi="Palatino Linotype"/>
                <w:b/>
                <w:noProof/>
                <w:webHidden/>
                <w:sz w:val="22"/>
              </w:rPr>
              <w:fldChar w:fldCharType="end"/>
            </w:r>
          </w:hyperlink>
        </w:p>
        <w:p w14:paraId="6C97F8E4"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397" w:history="1">
            <w:r w:rsidR="009405A1" w:rsidRPr="00D736C2">
              <w:rPr>
                <w:rStyle w:val="Hipervnculo"/>
                <w:rFonts w:ascii="Palatino Linotype" w:hAnsi="Palatino Linotype"/>
                <w:b/>
                <w:noProof/>
                <w:sz w:val="22"/>
              </w:rPr>
              <w:t>PRIMERO. De la competencia</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_Toc25255397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6</w:t>
            </w:r>
            <w:r w:rsidR="009405A1" w:rsidRPr="00D736C2">
              <w:rPr>
                <w:rFonts w:ascii="Palatino Linotype" w:hAnsi="Palatino Linotype"/>
                <w:b/>
                <w:noProof/>
                <w:webHidden/>
                <w:sz w:val="22"/>
              </w:rPr>
              <w:fldChar w:fldCharType="end"/>
            </w:r>
          </w:hyperlink>
        </w:p>
        <w:p w14:paraId="75E2FF58"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399" w:history="1">
            <w:r w:rsidR="009405A1" w:rsidRPr="00D736C2">
              <w:rPr>
                <w:rStyle w:val="Hipervnculo"/>
                <w:rFonts w:ascii="Palatino Linotype" w:hAnsi="Palatino Linotype"/>
                <w:b/>
                <w:noProof/>
                <w:sz w:val="22"/>
              </w:rPr>
              <w:t>SEGUNDO. De la oportunidad y procedencia.</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_Toc25255399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7</w:t>
            </w:r>
            <w:r w:rsidR="009405A1" w:rsidRPr="00D736C2">
              <w:rPr>
                <w:rFonts w:ascii="Palatino Linotype" w:hAnsi="Palatino Linotype"/>
                <w:b/>
                <w:noProof/>
                <w:webHidden/>
                <w:sz w:val="22"/>
              </w:rPr>
              <w:fldChar w:fldCharType="end"/>
            </w:r>
          </w:hyperlink>
        </w:p>
        <w:p w14:paraId="206ACC34" w14:textId="77777777" w:rsidR="009405A1" w:rsidRPr="00D736C2" w:rsidRDefault="00B16375" w:rsidP="00D736C2">
          <w:pPr>
            <w:pStyle w:val="TDC2"/>
            <w:spacing w:line="276" w:lineRule="auto"/>
            <w:rPr>
              <w:rFonts w:ascii="Palatino Linotype" w:hAnsi="Palatino Linotype"/>
              <w:b/>
              <w:noProof/>
              <w:sz w:val="22"/>
              <w:lang w:val="es-MX" w:eastAsia="es-MX"/>
            </w:rPr>
          </w:pPr>
          <w:hyperlink w:anchor="_Toc25255400" w:history="1">
            <w:r w:rsidR="009405A1" w:rsidRPr="00D736C2">
              <w:rPr>
                <w:rStyle w:val="Hipervnculo"/>
                <w:rFonts w:ascii="Palatino Linotype" w:hAnsi="Palatino Linotype"/>
                <w:b/>
                <w:noProof/>
                <w:sz w:val="22"/>
              </w:rPr>
              <w:t>TERCERO. Del planteamiento de la litis.</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_Toc25255400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10</w:t>
            </w:r>
            <w:r w:rsidR="009405A1" w:rsidRPr="00D736C2">
              <w:rPr>
                <w:rFonts w:ascii="Palatino Linotype" w:hAnsi="Palatino Linotype"/>
                <w:b/>
                <w:noProof/>
                <w:webHidden/>
                <w:sz w:val="22"/>
              </w:rPr>
              <w:fldChar w:fldCharType="end"/>
            </w:r>
          </w:hyperlink>
        </w:p>
        <w:p w14:paraId="3C28BCD5" w14:textId="77777777" w:rsidR="009405A1" w:rsidRPr="00D736C2" w:rsidRDefault="00B16375" w:rsidP="00D736C2">
          <w:pPr>
            <w:pStyle w:val="TDC2"/>
            <w:spacing w:line="276" w:lineRule="auto"/>
            <w:rPr>
              <w:rFonts w:ascii="Palatino Linotype" w:hAnsi="Palatino Linotype"/>
              <w:b/>
              <w:noProof/>
              <w:sz w:val="22"/>
              <w:lang w:val="es-MX" w:eastAsia="es-MX"/>
            </w:rPr>
          </w:pPr>
          <w:hyperlink w:anchor="_Toc25255401" w:history="1">
            <w:r w:rsidR="009405A1" w:rsidRPr="00D736C2">
              <w:rPr>
                <w:rStyle w:val="Hipervnculo"/>
                <w:rFonts w:ascii="Palatino Linotype" w:hAnsi="Palatino Linotype"/>
                <w:b/>
                <w:noProof/>
                <w:sz w:val="22"/>
              </w:rPr>
              <w:t>CUARTO. Del estudio y resolución del asunto.</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_Toc25255401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10</w:t>
            </w:r>
            <w:r w:rsidR="009405A1" w:rsidRPr="00D736C2">
              <w:rPr>
                <w:rFonts w:ascii="Palatino Linotype" w:hAnsi="Palatino Linotype"/>
                <w:b/>
                <w:noProof/>
                <w:webHidden/>
                <w:sz w:val="22"/>
              </w:rPr>
              <w:fldChar w:fldCharType="end"/>
            </w:r>
          </w:hyperlink>
        </w:p>
        <w:p w14:paraId="01E11E56"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2" w:history="1">
            <w:r w:rsidR="009405A1" w:rsidRPr="00D736C2">
              <w:rPr>
                <w:rStyle w:val="Hipervnculo"/>
                <w:rFonts w:ascii="Palatino Linotype" w:eastAsia="MS Gothic" w:hAnsi="Palatino Linotype" w:cstheme="majorBidi"/>
                <w:b/>
                <w:noProof/>
                <w:sz w:val="22"/>
              </w:rPr>
              <w:t>I. Del Derecho de Acceso a la Información Pública, como instrumento y herramienta de control gubernamental.</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_Toc25255402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11</w:t>
            </w:r>
            <w:r w:rsidR="009405A1" w:rsidRPr="00D736C2">
              <w:rPr>
                <w:rFonts w:ascii="Palatino Linotype" w:hAnsi="Palatino Linotype"/>
                <w:b/>
                <w:noProof/>
                <w:webHidden/>
                <w:sz w:val="22"/>
              </w:rPr>
              <w:fldChar w:fldCharType="end"/>
            </w:r>
          </w:hyperlink>
        </w:p>
        <w:p w14:paraId="34556C62"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3" w:history="1">
            <w:r w:rsidR="009405A1" w:rsidRPr="00D736C2">
              <w:rPr>
                <w:rStyle w:val="Hipervnculo"/>
                <w:rFonts w:ascii="Palatino Linotype" w:eastAsia="MS Gothic" w:hAnsi="Palatino Linotype" w:cstheme="majorBidi"/>
                <w:b/>
                <w:noProof/>
                <w:sz w:val="22"/>
              </w:rPr>
              <w:t>II. De la Seguridad Pública.</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_Toc25255403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14</w:t>
            </w:r>
            <w:r w:rsidR="009405A1" w:rsidRPr="00D736C2">
              <w:rPr>
                <w:rFonts w:ascii="Palatino Linotype" w:hAnsi="Palatino Linotype"/>
                <w:b/>
                <w:noProof/>
                <w:webHidden/>
                <w:sz w:val="22"/>
              </w:rPr>
              <w:fldChar w:fldCharType="end"/>
            </w:r>
          </w:hyperlink>
        </w:p>
        <w:p w14:paraId="4C2BCCB6"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4" w:history="1">
            <w:r w:rsidR="009405A1" w:rsidRPr="00D736C2">
              <w:rPr>
                <w:rStyle w:val="Hipervnculo"/>
                <w:rFonts w:ascii="Palatino Linotype" w:eastAsia="MS Gothic" w:hAnsi="Palatino Linotype" w:cstheme="majorBidi"/>
                <w:b/>
                <w:noProof/>
                <w:sz w:val="22"/>
              </w:rPr>
              <w:t>III. De los Cuerpos de Seguridad Auxiliares del Estado de México.</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_Toc25255404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17</w:t>
            </w:r>
            <w:r w:rsidR="009405A1" w:rsidRPr="00D736C2">
              <w:rPr>
                <w:rFonts w:ascii="Palatino Linotype" w:hAnsi="Palatino Linotype"/>
                <w:b/>
                <w:noProof/>
                <w:webHidden/>
                <w:sz w:val="22"/>
              </w:rPr>
              <w:fldChar w:fldCharType="end"/>
            </w:r>
          </w:hyperlink>
        </w:p>
        <w:p w14:paraId="47593C2E"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5" w:history="1">
            <w:r w:rsidR="009405A1" w:rsidRPr="00D736C2">
              <w:rPr>
                <w:rStyle w:val="Hipervnculo"/>
                <w:rFonts w:ascii="Palatino Linotype" w:eastAsia="MS Gothic" w:hAnsi="Palatino Linotype" w:cstheme="majorBidi"/>
                <w:b/>
                <w:noProof/>
                <w:sz w:val="22"/>
              </w:rPr>
              <w:t xml:space="preserve">IV. De la naturaleza de los Cuerpos de Seguridad Auxiliares del Estado de México (CUSAEM) y del </w:t>
            </w:r>
            <w:r w:rsidR="009405A1" w:rsidRPr="00D736C2">
              <w:rPr>
                <w:rStyle w:val="Hipervnculo"/>
                <w:rFonts w:ascii="Palatino Linotype" w:hAnsi="Palatino Linotype"/>
                <w:b/>
                <w:noProof/>
                <w:sz w:val="22"/>
              </w:rPr>
              <w:t>Cuerpo de Guardias de Seguridad Industrial, Bancaria, Comercial y Urbana del Valle Cuautitlán Texcoco</w:t>
            </w:r>
            <w:r w:rsidR="009405A1" w:rsidRPr="00D736C2">
              <w:rPr>
                <w:rStyle w:val="Hipervnculo"/>
                <w:rFonts w:ascii="Palatino Linotype" w:eastAsia="MS Gothic" w:hAnsi="Palatino Linotype" w:cstheme="majorBidi"/>
                <w:b/>
                <w:noProof/>
                <w:sz w:val="22"/>
              </w:rPr>
              <w:t>.</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_Toc25255405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20</w:t>
            </w:r>
            <w:r w:rsidR="009405A1" w:rsidRPr="00D736C2">
              <w:rPr>
                <w:rFonts w:ascii="Palatino Linotype" w:hAnsi="Palatino Linotype"/>
                <w:b/>
                <w:noProof/>
                <w:webHidden/>
                <w:sz w:val="22"/>
              </w:rPr>
              <w:fldChar w:fldCharType="end"/>
            </w:r>
          </w:hyperlink>
        </w:p>
        <w:p w14:paraId="4566974A"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6" w:history="1">
            <w:r w:rsidR="009405A1" w:rsidRPr="00D736C2">
              <w:rPr>
                <w:rStyle w:val="Hipervnculo"/>
                <w:rFonts w:ascii="Palatino Linotype" w:eastAsia="MS Gothic" w:hAnsi="Palatino Linotype" w:cstheme="majorBidi"/>
                <w:b/>
                <w:noProof/>
                <w:sz w:val="22"/>
              </w:rPr>
              <w:t>a) Los actos del organismo auxiliar de seguridad pública con otras dependencias gubernamentales.</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_Toc25255406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23</w:t>
            </w:r>
            <w:r w:rsidR="009405A1" w:rsidRPr="00D736C2">
              <w:rPr>
                <w:rFonts w:ascii="Palatino Linotype" w:hAnsi="Palatino Linotype"/>
                <w:b/>
                <w:noProof/>
                <w:webHidden/>
                <w:sz w:val="22"/>
              </w:rPr>
              <w:fldChar w:fldCharType="end"/>
            </w:r>
          </w:hyperlink>
        </w:p>
        <w:p w14:paraId="0BC6BEEA"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7" w:history="1">
            <w:r w:rsidR="009405A1" w:rsidRPr="00D736C2">
              <w:rPr>
                <w:rStyle w:val="Hipervnculo"/>
                <w:rFonts w:ascii="Palatino Linotype" w:eastAsia="MS Gothic" w:hAnsi="Palatino Linotype" w:cstheme="majorBidi"/>
                <w:b/>
                <w:noProof/>
                <w:sz w:val="22"/>
              </w:rPr>
              <w:t>V. Las obligaciones de la Secretaría de Finanzas.</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_Toc25255407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34</w:t>
            </w:r>
            <w:r w:rsidR="009405A1" w:rsidRPr="00D736C2">
              <w:rPr>
                <w:rFonts w:ascii="Palatino Linotype" w:hAnsi="Palatino Linotype"/>
                <w:b/>
                <w:noProof/>
                <w:webHidden/>
                <w:sz w:val="22"/>
              </w:rPr>
              <w:fldChar w:fldCharType="end"/>
            </w:r>
          </w:hyperlink>
        </w:p>
        <w:p w14:paraId="6296BFFE"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8" w:history="1">
            <w:r w:rsidR="009405A1" w:rsidRPr="00D736C2">
              <w:rPr>
                <w:rStyle w:val="Hipervnculo"/>
                <w:rFonts w:ascii="Palatino Linotype" w:eastAsia="MS Gothic" w:hAnsi="Palatino Linotype" w:cstheme="majorBidi"/>
                <w:b/>
                <w:noProof/>
                <w:sz w:val="22"/>
              </w:rPr>
              <w:t>VI. La inexistencia de la información.</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_Toc25255408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45</w:t>
            </w:r>
            <w:r w:rsidR="009405A1" w:rsidRPr="00D736C2">
              <w:rPr>
                <w:rFonts w:ascii="Palatino Linotype" w:hAnsi="Palatino Linotype"/>
                <w:b/>
                <w:noProof/>
                <w:webHidden/>
                <w:sz w:val="22"/>
              </w:rPr>
              <w:fldChar w:fldCharType="end"/>
            </w:r>
          </w:hyperlink>
        </w:p>
        <w:p w14:paraId="4C505AD3" w14:textId="77777777" w:rsidR="009405A1" w:rsidRPr="00D736C2" w:rsidRDefault="00B16375" w:rsidP="00D736C2">
          <w:pPr>
            <w:pStyle w:val="TDC1"/>
            <w:spacing w:line="276" w:lineRule="auto"/>
            <w:rPr>
              <w:rFonts w:ascii="Palatino Linotype" w:hAnsi="Palatino Linotype"/>
              <w:b/>
              <w:noProof/>
              <w:sz w:val="22"/>
              <w:lang w:val="es-MX" w:eastAsia="es-MX"/>
            </w:rPr>
          </w:pPr>
          <w:hyperlink w:anchor="_Toc25255409" w:history="1">
            <w:r w:rsidR="009405A1" w:rsidRPr="00D736C2">
              <w:rPr>
                <w:rStyle w:val="Hipervnculo"/>
                <w:rFonts w:ascii="Palatino Linotype" w:hAnsi="Palatino Linotype" w:cs="Times New Roman"/>
                <w:b/>
                <w:noProof/>
                <w:sz w:val="22"/>
                <w:lang w:eastAsia="es-ES_tradnl"/>
              </w:rPr>
              <w:t xml:space="preserve">QUINTO. </w:t>
            </w:r>
            <w:r w:rsidR="009405A1" w:rsidRPr="00D736C2">
              <w:rPr>
                <w:rStyle w:val="Hipervnculo"/>
                <w:rFonts w:ascii="Palatino Linotype" w:hAnsi="Palatino Linotype"/>
                <w:b/>
                <w:noProof/>
                <w:sz w:val="22"/>
              </w:rPr>
              <w:t xml:space="preserve"> De la elaboración de la versión pública.</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_Toc25255409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50</w:t>
            </w:r>
            <w:r w:rsidR="009405A1" w:rsidRPr="00D736C2">
              <w:rPr>
                <w:rFonts w:ascii="Palatino Linotype" w:hAnsi="Palatino Linotype"/>
                <w:b/>
                <w:noProof/>
                <w:webHidden/>
                <w:sz w:val="22"/>
              </w:rPr>
              <w:fldChar w:fldCharType="end"/>
            </w:r>
          </w:hyperlink>
        </w:p>
        <w:p w14:paraId="41B92B8A" w14:textId="77777777" w:rsidR="009405A1" w:rsidRPr="00D736C2" w:rsidRDefault="00B16375" w:rsidP="00D736C2">
          <w:pPr>
            <w:pStyle w:val="TDC1"/>
            <w:spacing w:line="276" w:lineRule="auto"/>
            <w:rPr>
              <w:rFonts w:ascii="Palatino Linotype" w:hAnsi="Palatino Linotype"/>
              <w:noProof/>
              <w:sz w:val="22"/>
              <w:lang w:val="es-MX" w:eastAsia="es-MX"/>
            </w:rPr>
          </w:pPr>
          <w:hyperlink w:anchor="_Toc25255410" w:history="1">
            <w:r w:rsidR="009405A1" w:rsidRPr="00D736C2">
              <w:rPr>
                <w:rStyle w:val="Hipervnculo"/>
                <w:rFonts w:ascii="Palatino Linotype" w:eastAsia="Calibri" w:hAnsi="Palatino Linotype"/>
                <w:b/>
                <w:noProof/>
                <w:sz w:val="22"/>
                <w:lang w:val="es-ES"/>
              </w:rPr>
              <w:t>R E S O L U T I V O S</w:t>
            </w:r>
            <w:r w:rsidR="009405A1" w:rsidRPr="00D736C2">
              <w:rPr>
                <w:rFonts w:ascii="Palatino Linotype" w:hAnsi="Palatino Linotype"/>
                <w:b/>
                <w:noProof/>
                <w:webHidden/>
                <w:sz w:val="22"/>
              </w:rPr>
              <w:tab/>
            </w:r>
            <w:r w:rsidR="009405A1" w:rsidRPr="00D736C2">
              <w:rPr>
                <w:rFonts w:ascii="Palatino Linotype" w:hAnsi="Palatino Linotype"/>
                <w:b/>
                <w:noProof/>
                <w:webHidden/>
                <w:sz w:val="22"/>
              </w:rPr>
              <w:fldChar w:fldCharType="begin"/>
            </w:r>
            <w:r w:rsidR="009405A1" w:rsidRPr="00D736C2">
              <w:rPr>
                <w:rFonts w:ascii="Palatino Linotype" w:hAnsi="Palatino Linotype"/>
                <w:b/>
                <w:noProof/>
                <w:webHidden/>
                <w:sz w:val="22"/>
              </w:rPr>
              <w:instrText xml:space="preserve"> PAGEREF _Toc25255410 \h </w:instrText>
            </w:r>
            <w:r w:rsidR="009405A1" w:rsidRPr="00D736C2">
              <w:rPr>
                <w:rFonts w:ascii="Palatino Linotype" w:hAnsi="Palatino Linotype"/>
                <w:b/>
                <w:noProof/>
                <w:webHidden/>
                <w:sz w:val="22"/>
              </w:rPr>
            </w:r>
            <w:r w:rsidR="009405A1" w:rsidRPr="00D736C2">
              <w:rPr>
                <w:rFonts w:ascii="Palatino Linotype" w:hAnsi="Palatino Linotype"/>
                <w:b/>
                <w:noProof/>
                <w:webHidden/>
                <w:sz w:val="22"/>
              </w:rPr>
              <w:fldChar w:fldCharType="separate"/>
            </w:r>
            <w:r w:rsidR="00251EB4">
              <w:rPr>
                <w:rFonts w:ascii="Palatino Linotype" w:hAnsi="Palatino Linotype"/>
                <w:b/>
                <w:noProof/>
                <w:webHidden/>
                <w:sz w:val="22"/>
              </w:rPr>
              <w:t>55</w:t>
            </w:r>
            <w:r w:rsidR="009405A1" w:rsidRPr="00D736C2">
              <w:rPr>
                <w:rFonts w:ascii="Palatino Linotype" w:hAnsi="Palatino Linotype"/>
                <w:b/>
                <w:noProof/>
                <w:webHidden/>
                <w:sz w:val="22"/>
              </w:rPr>
              <w:fldChar w:fldCharType="end"/>
            </w:r>
          </w:hyperlink>
        </w:p>
        <w:p w14:paraId="719B19E2" w14:textId="1C798399" w:rsidR="00E00655" w:rsidRPr="00D736C2" w:rsidRDefault="0011338C" w:rsidP="00D736C2">
          <w:pPr>
            <w:spacing w:line="276" w:lineRule="auto"/>
            <w:rPr>
              <w:rFonts w:ascii="Palatino Linotype" w:hAnsi="Palatino Linotype"/>
              <w:bCs/>
              <w:lang w:val="es-ES"/>
            </w:rPr>
          </w:pPr>
          <w:r w:rsidRPr="00D736C2">
            <w:rPr>
              <w:rFonts w:ascii="Palatino Linotype" w:hAnsi="Palatino Linotype"/>
              <w:bCs/>
              <w:sz w:val="22"/>
              <w:lang w:val="es-ES"/>
            </w:rPr>
            <w:fldChar w:fldCharType="end"/>
          </w:r>
        </w:p>
      </w:sdtContent>
    </w:sdt>
    <w:p w14:paraId="55FADA9C" w14:textId="71BBFBC1" w:rsidR="00D736C2" w:rsidRDefault="00D736C2" w:rsidP="00D736C2">
      <w:pPr>
        <w:tabs>
          <w:tab w:val="left" w:pos="567"/>
        </w:tabs>
        <w:spacing w:before="240" w:after="240" w:line="360" w:lineRule="auto"/>
        <w:jc w:val="both"/>
        <w:rPr>
          <w:rFonts w:ascii="Palatino Linotype" w:hAnsi="Palatino Linotype"/>
        </w:rPr>
      </w:pPr>
    </w:p>
    <w:p w14:paraId="70D11C16" w14:textId="77777777" w:rsidR="00D736C2" w:rsidRPr="00D736C2" w:rsidRDefault="00D736C2" w:rsidP="00D736C2">
      <w:pPr>
        <w:rPr>
          <w:rFonts w:ascii="Palatino Linotype" w:hAnsi="Palatino Linotype"/>
        </w:rPr>
      </w:pPr>
    </w:p>
    <w:p w14:paraId="53B61086" w14:textId="06E319B7" w:rsidR="00D736C2" w:rsidRPr="00D736C2" w:rsidRDefault="00D736C2" w:rsidP="00D736C2">
      <w:pPr>
        <w:tabs>
          <w:tab w:val="left" w:pos="5165"/>
        </w:tabs>
        <w:rPr>
          <w:rFonts w:ascii="Palatino Linotype" w:hAnsi="Palatino Linotype"/>
        </w:rPr>
      </w:pPr>
      <w:r>
        <w:rPr>
          <w:rFonts w:ascii="Palatino Linotype" w:hAnsi="Palatino Linotype"/>
        </w:rPr>
        <w:tab/>
      </w:r>
    </w:p>
    <w:p w14:paraId="7BA9DE57" w14:textId="17BCA95E" w:rsidR="00EB4847" w:rsidRPr="00D736C2" w:rsidRDefault="001B26AA" w:rsidP="00D736C2">
      <w:pPr>
        <w:tabs>
          <w:tab w:val="left" w:pos="567"/>
        </w:tabs>
        <w:spacing w:before="240" w:after="240" w:line="360" w:lineRule="auto"/>
        <w:jc w:val="both"/>
        <w:rPr>
          <w:rFonts w:ascii="Palatino Linotype" w:hAnsi="Palatino Linotype"/>
          <w:lang w:val="es-MX"/>
        </w:rPr>
      </w:pPr>
      <w:r w:rsidRPr="00D736C2">
        <w:rPr>
          <w:rFonts w:ascii="Palatino Linotype" w:hAnsi="Palatino Linotype"/>
        </w:rPr>
        <w:lastRenderedPageBreak/>
        <w:t>R</w:t>
      </w:r>
      <w:proofErr w:type="spellStart"/>
      <w:r w:rsidR="00662C69" w:rsidRPr="00D736C2">
        <w:rPr>
          <w:rFonts w:ascii="Palatino Linotype" w:hAnsi="Palatino Linotype"/>
          <w:lang w:val="es-MX"/>
        </w:rPr>
        <w:t>esolución</w:t>
      </w:r>
      <w:proofErr w:type="spellEnd"/>
      <w:r w:rsidR="00662C69" w:rsidRPr="00D736C2">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D736C2">
        <w:rPr>
          <w:rFonts w:ascii="Palatino Linotype" w:hAnsi="Palatino Linotype"/>
          <w:lang w:val="es-MX"/>
        </w:rPr>
        <w:t>fecha</w:t>
      </w:r>
      <w:r w:rsidR="001662A9" w:rsidRPr="00D736C2">
        <w:rPr>
          <w:rFonts w:ascii="Palatino Linotype" w:hAnsi="Palatino Linotype"/>
          <w:lang w:val="es-MX"/>
        </w:rPr>
        <w:t xml:space="preserve"> veintisiete </w:t>
      </w:r>
      <w:r w:rsidR="007E14CE" w:rsidRPr="00D736C2">
        <w:rPr>
          <w:rFonts w:ascii="Palatino Linotype" w:hAnsi="Palatino Linotype"/>
          <w:lang w:val="es-MX"/>
        </w:rPr>
        <w:t xml:space="preserve"> (</w:t>
      </w:r>
      <w:r w:rsidR="001662A9" w:rsidRPr="00D736C2">
        <w:rPr>
          <w:rFonts w:ascii="Palatino Linotype" w:hAnsi="Palatino Linotype"/>
          <w:lang w:val="es-MX"/>
        </w:rPr>
        <w:t>27</w:t>
      </w:r>
      <w:r w:rsidR="007E14CE" w:rsidRPr="00D736C2">
        <w:rPr>
          <w:rFonts w:ascii="Palatino Linotype" w:hAnsi="Palatino Linotype"/>
          <w:lang w:val="es-MX"/>
        </w:rPr>
        <w:t xml:space="preserve">) </w:t>
      </w:r>
      <w:r w:rsidR="00D755D6" w:rsidRPr="00D736C2">
        <w:rPr>
          <w:rFonts w:ascii="Palatino Linotype" w:hAnsi="Palatino Linotype"/>
          <w:lang w:val="es-MX"/>
        </w:rPr>
        <w:t xml:space="preserve">de </w:t>
      </w:r>
      <w:r w:rsidR="0095074E" w:rsidRPr="00D736C2">
        <w:rPr>
          <w:rFonts w:ascii="Palatino Linotype" w:hAnsi="Palatino Linotype"/>
          <w:lang w:val="es-MX"/>
        </w:rPr>
        <w:t>nov</w:t>
      </w:r>
      <w:r w:rsidR="00EA1F70" w:rsidRPr="00D736C2">
        <w:rPr>
          <w:rFonts w:ascii="Palatino Linotype" w:hAnsi="Palatino Linotype"/>
          <w:lang w:val="es-MX"/>
        </w:rPr>
        <w:t>iembre</w:t>
      </w:r>
      <w:r w:rsidR="008A334C" w:rsidRPr="00D736C2">
        <w:rPr>
          <w:rFonts w:ascii="Palatino Linotype" w:hAnsi="Palatino Linotype"/>
          <w:lang w:val="es-MX"/>
        </w:rPr>
        <w:t xml:space="preserve"> </w:t>
      </w:r>
      <w:r w:rsidR="00662C69" w:rsidRPr="00D736C2">
        <w:rPr>
          <w:rFonts w:ascii="Palatino Linotype" w:hAnsi="Palatino Linotype"/>
          <w:lang w:val="es-MX"/>
        </w:rPr>
        <w:t xml:space="preserve">de dos mil </w:t>
      </w:r>
      <w:r w:rsidR="00B10987" w:rsidRPr="00D736C2">
        <w:rPr>
          <w:rFonts w:ascii="Palatino Linotype" w:hAnsi="Palatino Linotype"/>
          <w:lang w:val="es-MX"/>
        </w:rPr>
        <w:t>dieci</w:t>
      </w:r>
      <w:r w:rsidR="008A334C" w:rsidRPr="00D736C2">
        <w:rPr>
          <w:rFonts w:ascii="Palatino Linotype" w:hAnsi="Palatino Linotype"/>
          <w:lang w:val="es-MX"/>
        </w:rPr>
        <w:t>nueve</w:t>
      </w:r>
      <w:r w:rsidR="00662C69" w:rsidRPr="00D736C2">
        <w:rPr>
          <w:rFonts w:ascii="Palatino Linotype" w:hAnsi="Palatino Linotype"/>
          <w:lang w:val="es-MX"/>
        </w:rPr>
        <w:t>.</w:t>
      </w:r>
    </w:p>
    <w:p w14:paraId="678D20AB" w14:textId="16787622" w:rsidR="009B359D" w:rsidRPr="00D736C2" w:rsidRDefault="00924CEA" w:rsidP="00D736C2">
      <w:pPr>
        <w:pStyle w:val="Encabezado"/>
        <w:spacing w:line="360" w:lineRule="auto"/>
        <w:jc w:val="both"/>
        <w:rPr>
          <w:rFonts w:ascii="Palatino Linotype" w:eastAsia="Times New Roman" w:hAnsi="Palatino Linotype" w:cs="Times New Roman"/>
        </w:rPr>
      </w:pPr>
      <w:r w:rsidRPr="00D736C2">
        <w:rPr>
          <w:rFonts w:ascii="Palatino Linotype" w:eastAsia="Times New Roman" w:hAnsi="Palatino Linotype" w:cs="Times New Roman"/>
          <w:b/>
        </w:rPr>
        <w:t>VISTO</w:t>
      </w:r>
      <w:r w:rsidR="003122CE" w:rsidRPr="00D736C2">
        <w:rPr>
          <w:rFonts w:ascii="Palatino Linotype" w:eastAsia="Times New Roman" w:hAnsi="Palatino Linotype" w:cs="Times New Roman"/>
        </w:rPr>
        <w:t xml:space="preserve"> </w:t>
      </w:r>
      <w:r w:rsidRPr="00D736C2">
        <w:rPr>
          <w:rFonts w:ascii="Palatino Linotype" w:eastAsia="Times New Roman" w:hAnsi="Palatino Linotype" w:cs="Times New Roman"/>
        </w:rPr>
        <w:t>el expediente</w:t>
      </w:r>
      <w:r w:rsidR="003122CE" w:rsidRPr="00D736C2">
        <w:rPr>
          <w:rFonts w:ascii="Palatino Linotype" w:eastAsia="Times New Roman" w:hAnsi="Palatino Linotype" w:cs="Times New Roman"/>
        </w:rPr>
        <w:t xml:space="preserve"> electrón</w:t>
      </w:r>
      <w:r w:rsidRPr="00D736C2">
        <w:rPr>
          <w:rFonts w:ascii="Palatino Linotype" w:eastAsia="Times New Roman" w:hAnsi="Palatino Linotype" w:cs="Times New Roman"/>
        </w:rPr>
        <w:t>ico formado</w:t>
      </w:r>
      <w:r w:rsidR="00417E0F" w:rsidRPr="00D736C2">
        <w:rPr>
          <w:rFonts w:ascii="Palatino Linotype" w:eastAsia="Times New Roman" w:hAnsi="Palatino Linotype" w:cs="Times New Roman"/>
        </w:rPr>
        <w:t xml:space="preserve"> con motivo del recurso de revisión número</w:t>
      </w:r>
      <w:r w:rsidRPr="00D736C2">
        <w:rPr>
          <w:rFonts w:ascii="Palatino Linotype" w:eastAsia="Times New Roman" w:hAnsi="Palatino Linotype" w:cs="Times New Roman"/>
        </w:rPr>
        <w:t xml:space="preserve"> </w:t>
      </w:r>
      <w:r w:rsidR="0095074E" w:rsidRPr="00D736C2">
        <w:rPr>
          <w:rFonts w:ascii="Palatino Linotype" w:hAnsi="Palatino Linotype" w:cs="Arial"/>
          <w:b/>
          <w:bCs/>
          <w:lang w:eastAsia="es-MX"/>
        </w:rPr>
        <w:t>07527/INFOEM/IP/RR/2019</w:t>
      </w:r>
      <w:r w:rsidR="003122CE" w:rsidRPr="00D736C2">
        <w:rPr>
          <w:rFonts w:ascii="Palatino Linotype" w:eastAsia="Times New Roman" w:hAnsi="Palatino Linotype" w:cs="Arial"/>
          <w:bCs/>
        </w:rPr>
        <w:t xml:space="preserve">, </w:t>
      </w:r>
      <w:r w:rsidR="00417E0F" w:rsidRPr="00D736C2">
        <w:rPr>
          <w:rFonts w:ascii="Palatino Linotype" w:eastAsia="Times New Roman" w:hAnsi="Palatino Linotype" w:cs="Times New Roman"/>
        </w:rPr>
        <w:t>promovido</w:t>
      </w:r>
      <w:r w:rsidR="003122CE" w:rsidRPr="00D736C2">
        <w:rPr>
          <w:rFonts w:ascii="Palatino Linotype" w:eastAsia="Times New Roman" w:hAnsi="Palatino Linotype" w:cs="Times New Roman"/>
        </w:rPr>
        <w:t xml:space="preserve"> por</w:t>
      </w:r>
      <w:r w:rsidR="008D6C8D" w:rsidRPr="00D736C2">
        <w:rPr>
          <w:rFonts w:ascii="Palatino Linotype" w:eastAsia="Times New Roman" w:hAnsi="Palatino Linotype" w:cs="Times New Roman"/>
        </w:rPr>
        <w:t xml:space="preserve"> </w:t>
      </w:r>
      <w:r w:rsidR="00B16375" w:rsidRPr="00B16375">
        <w:rPr>
          <w:rFonts w:ascii="Palatino Linotype" w:eastAsia="Times New Roman" w:hAnsi="Palatino Linotype" w:cs="Arial"/>
          <w:b/>
          <w:highlight w:val="black"/>
        </w:rPr>
        <w:t>----------------------------------------------------</w:t>
      </w:r>
      <w:r w:rsidR="0095074E" w:rsidRPr="00D736C2">
        <w:rPr>
          <w:rFonts w:ascii="Palatino Linotype" w:eastAsia="Times New Roman" w:hAnsi="Palatino Linotype" w:cs="Times New Roman"/>
          <w:b/>
        </w:rPr>
        <w:t xml:space="preserve"> </w:t>
      </w:r>
      <w:r w:rsidR="003122CE" w:rsidRPr="00D736C2">
        <w:rPr>
          <w:rFonts w:ascii="Palatino Linotype" w:eastAsia="Times New Roman" w:hAnsi="Palatino Linotype" w:cs="Arial"/>
        </w:rPr>
        <w:t xml:space="preserve">en su calidad de </w:t>
      </w:r>
      <w:r w:rsidR="003122CE" w:rsidRPr="00D736C2">
        <w:rPr>
          <w:rFonts w:ascii="Palatino Linotype" w:eastAsia="Times New Roman" w:hAnsi="Palatino Linotype" w:cs="Arial"/>
          <w:b/>
        </w:rPr>
        <w:t>RECURRENTE</w:t>
      </w:r>
      <w:r w:rsidR="003122CE" w:rsidRPr="00D736C2">
        <w:rPr>
          <w:rFonts w:ascii="Palatino Linotype" w:eastAsia="Times New Roman" w:hAnsi="Palatino Linotype" w:cs="Arial"/>
        </w:rPr>
        <w:t>, en contra de la respuesta</w:t>
      </w:r>
      <w:r w:rsidRPr="00D736C2">
        <w:rPr>
          <w:rFonts w:ascii="Palatino Linotype" w:eastAsia="Times New Roman" w:hAnsi="Palatino Linotype" w:cs="Arial"/>
        </w:rPr>
        <w:t xml:space="preserve"> </w:t>
      </w:r>
      <w:r w:rsidR="00D14F0C" w:rsidRPr="00D736C2">
        <w:rPr>
          <w:rFonts w:ascii="Palatino Linotype" w:eastAsia="Times New Roman" w:hAnsi="Palatino Linotype" w:cs="Arial"/>
        </w:rPr>
        <w:t xml:space="preserve">de la </w:t>
      </w:r>
      <w:r w:rsidR="00B375D7" w:rsidRPr="00D736C2">
        <w:rPr>
          <w:rFonts w:ascii="Palatino Linotype" w:eastAsia="Times New Roman" w:hAnsi="Palatino Linotype" w:cs="Arial"/>
          <w:b/>
        </w:rPr>
        <w:t>Secretaría de Finanzas</w:t>
      </w:r>
      <w:r w:rsidR="003122CE" w:rsidRPr="00D736C2">
        <w:rPr>
          <w:rFonts w:ascii="Palatino Linotype" w:eastAsia="Calibri" w:hAnsi="Palatino Linotype" w:cs="Arial"/>
          <w:lang w:val="es-ES"/>
        </w:rPr>
        <w:t xml:space="preserve">, </w:t>
      </w:r>
      <w:r w:rsidR="003122CE" w:rsidRPr="00D736C2">
        <w:rPr>
          <w:rFonts w:ascii="Palatino Linotype" w:eastAsia="Times New Roman" w:hAnsi="Palatino Linotype" w:cs="Times New Roman"/>
        </w:rPr>
        <w:t>en lo sucesivo el</w:t>
      </w:r>
      <w:r w:rsidR="003122CE" w:rsidRPr="00D736C2">
        <w:rPr>
          <w:rFonts w:ascii="Palatino Linotype" w:eastAsia="Times New Roman" w:hAnsi="Palatino Linotype" w:cs="Times New Roman"/>
          <w:b/>
        </w:rPr>
        <w:t xml:space="preserve"> SUJETO OBLIGADO, </w:t>
      </w:r>
      <w:r w:rsidR="003122CE" w:rsidRPr="00D736C2">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690F5A6A" w14:textId="77777777" w:rsidR="0004403E" w:rsidRPr="00D736C2" w:rsidRDefault="0004403E" w:rsidP="00D736C2">
      <w:pPr>
        <w:pStyle w:val="Encabezado"/>
        <w:spacing w:line="360" w:lineRule="auto"/>
        <w:jc w:val="both"/>
        <w:rPr>
          <w:rFonts w:ascii="Palatino Linotype" w:eastAsia="Times New Roman" w:hAnsi="Palatino Linotype" w:cs="Times New Roman"/>
        </w:rPr>
      </w:pPr>
    </w:p>
    <w:p w14:paraId="02320B65" w14:textId="77777777" w:rsidR="00F34201" w:rsidRPr="00D736C2" w:rsidRDefault="00F34201" w:rsidP="00D736C2">
      <w:pPr>
        <w:pStyle w:val="Ttulo1"/>
        <w:tabs>
          <w:tab w:val="left" w:pos="567"/>
        </w:tabs>
        <w:spacing w:line="360" w:lineRule="auto"/>
        <w:jc w:val="center"/>
        <w:rPr>
          <w:b w:val="0"/>
          <w:color w:val="auto"/>
          <w:szCs w:val="24"/>
        </w:rPr>
      </w:pPr>
      <w:bookmarkStart w:id="2" w:name="_Toc473812222"/>
      <w:bookmarkStart w:id="3" w:name="_Toc495430765"/>
      <w:bookmarkStart w:id="4" w:name="_Toc25255393"/>
      <w:r w:rsidRPr="00D736C2">
        <w:rPr>
          <w:color w:val="auto"/>
          <w:szCs w:val="24"/>
        </w:rPr>
        <w:t>ANTECEDENTES</w:t>
      </w:r>
      <w:bookmarkEnd w:id="2"/>
      <w:bookmarkEnd w:id="3"/>
      <w:bookmarkEnd w:id="4"/>
    </w:p>
    <w:p w14:paraId="13D23DB0" w14:textId="77777777" w:rsidR="00D14F0C" w:rsidRPr="00D736C2" w:rsidRDefault="00D14F0C" w:rsidP="00D736C2">
      <w:pPr>
        <w:tabs>
          <w:tab w:val="left" w:pos="567"/>
        </w:tabs>
        <w:spacing w:line="360" w:lineRule="auto"/>
        <w:rPr>
          <w:rFonts w:ascii="Palatino Linotype" w:hAnsi="Palatino Linotype"/>
          <w:color w:val="000000" w:themeColor="text1"/>
          <w:lang w:val="es-MX" w:eastAsia="en-US"/>
        </w:rPr>
      </w:pPr>
      <w:bookmarkStart w:id="5" w:name="_Toc495430768"/>
    </w:p>
    <w:p w14:paraId="03954050" w14:textId="2DFF9F3C" w:rsidR="00D14F0C" w:rsidRPr="00D736C2" w:rsidRDefault="00D14F0C" w:rsidP="00D736C2">
      <w:pPr>
        <w:pStyle w:val="Prrafodelista"/>
        <w:numPr>
          <w:ilvl w:val="0"/>
          <w:numId w:val="1"/>
        </w:numPr>
        <w:tabs>
          <w:tab w:val="left" w:pos="426"/>
          <w:tab w:val="left" w:pos="567"/>
        </w:tabs>
        <w:spacing w:line="360" w:lineRule="auto"/>
        <w:ind w:left="0"/>
        <w:jc w:val="both"/>
        <w:rPr>
          <w:rFonts w:ascii="Palatino Linotype" w:eastAsia="Calibri" w:hAnsi="Palatino Linotype" w:cs="Arial"/>
          <w:color w:val="000000" w:themeColor="text1"/>
          <w:lang w:val="es-ES"/>
        </w:rPr>
      </w:pPr>
      <w:r w:rsidRPr="00D736C2">
        <w:rPr>
          <w:rFonts w:ascii="Palatino Linotype" w:eastAsia="Calibri" w:hAnsi="Palatino Linotype" w:cs="Arial"/>
          <w:color w:val="000000" w:themeColor="text1"/>
          <w:lang w:val="es-ES"/>
        </w:rPr>
        <w:t xml:space="preserve">El día </w:t>
      </w:r>
      <w:r w:rsidR="00A67A06" w:rsidRPr="00D736C2">
        <w:rPr>
          <w:rFonts w:ascii="Palatino Linotype" w:eastAsia="Calibri" w:hAnsi="Palatino Linotype" w:cs="Arial"/>
          <w:color w:val="000000" w:themeColor="text1"/>
          <w:lang w:val="es-ES"/>
        </w:rPr>
        <w:t>veintisiete</w:t>
      </w:r>
      <w:r w:rsidRPr="00D736C2">
        <w:rPr>
          <w:rFonts w:ascii="Palatino Linotype" w:eastAsia="Calibri" w:hAnsi="Palatino Linotype" w:cs="Arial"/>
          <w:color w:val="000000" w:themeColor="text1"/>
          <w:lang w:val="es-ES"/>
        </w:rPr>
        <w:t xml:space="preserve"> (</w:t>
      </w:r>
      <w:r w:rsidR="00A67A06" w:rsidRPr="00D736C2">
        <w:rPr>
          <w:rFonts w:ascii="Palatino Linotype" w:eastAsia="Calibri" w:hAnsi="Palatino Linotype" w:cs="Arial"/>
          <w:color w:val="000000" w:themeColor="text1"/>
          <w:lang w:val="es-ES"/>
        </w:rPr>
        <w:t>27</w:t>
      </w:r>
      <w:r w:rsidRPr="00D736C2">
        <w:rPr>
          <w:rFonts w:ascii="Palatino Linotype" w:eastAsia="Calibri" w:hAnsi="Palatino Linotype" w:cs="Arial"/>
          <w:color w:val="000000" w:themeColor="text1"/>
          <w:lang w:val="es-ES"/>
        </w:rPr>
        <w:t xml:space="preserve">) de </w:t>
      </w:r>
      <w:r w:rsidR="00A67A06" w:rsidRPr="00D736C2">
        <w:rPr>
          <w:rFonts w:ascii="Palatino Linotype" w:eastAsia="Calibri" w:hAnsi="Palatino Linotype" w:cs="Arial"/>
          <w:color w:val="000000" w:themeColor="text1"/>
          <w:lang w:val="es-ES"/>
        </w:rPr>
        <w:t>agosto</w:t>
      </w:r>
      <w:r w:rsidRPr="00D736C2">
        <w:rPr>
          <w:rFonts w:ascii="Palatino Linotype" w:eastAsia="Calibri" w:hAnsi="Palatino Linotype" w:cs="Arial"/>
          <w:color w:val="000000" w:themeColor="text1"/>
          <w:lang w:val="es-ES"/>
        </w:rPr>
        <w:t xml:space="preserve"> de dos mil diecinueve,</w:t>
      </w:r>
      <w:r w:rsidRPr="00D736C2">
        <w:rPr>
          <w:rFonts w:ascii="Palatino Linotype" w:eastAsia="Calibri" w:hAnsi="Palatino Linotype" w:cs="Times New Roman"/>
          <w:color w:val="000000" w:themeColor="text1"/>
          <w:lang w:val="es-ES"/>
        </w:rPr>
        <w:t xml:space="preserve"> </w:t>
      </w:r>
      <w:r w:rsidRPr="00D736C2">
        <w:rPr>
          <w:rFonts w:ascii="Palatino Linotype" w:eastAsia="Calibri" w:hAnsi="Palatino Linotype" w:cs="Arial"/>
          <w:color w:val="000000" w:themeColor="text1"/>
          <w:lang w:val="es-ES"/>
        </w:rPr>
        <w:t>se</w:t>
      </w:r>
      <w:r w:rsidRPr="00D736C2">
        <w:rPr>
          <w:rFonts w:ascii="Palatino Linotype" w:eastAsia="Calibri" w:hAnsi="Palatino Linotype" w:cs="Arial"/>
          <w:b/>
          <w:color w:val="000000" w:themeColor="text1"/>
          <w:lang w:val="es-ES"/>
        </w:rPr>
        <w:t xml:space="preserve"> </w:t>
      </w:r>
      <w:r w:rsidRPr="00D736C2">
        <w:rPr>
          <w:rFonts w:ascii="Palatino Linotype" w:hAnsi="Palatino Linotype"/>
          <w:color w:val="000000" w:themeColor="text1"/>
        </w:rPr>
        <w:t>presentó</w:t>
      </w:r>
      <w:r w:rsidRPr="00D736C2">
        <w:rPr>
          <w:rFonts w:ascii="Palatino Linotype" w:hAnsi="Palatino Linotype"/>
          <w:b/>
          <w:color w:val="000000" w:themeColor="text1"/>
        </w:rPr>
        <w:t xml:space="preserve"> </w:t>
      </w:r>
      <w:r w:rsidRPr="00D736C2">
        <w:rPr>
          <w:rFonts w:ascii="Palatino Linotype" w:eastAsia="Calibri" w:hAnsi="Palatino Linotype" w:cs="Arial"/>
          <w:color w:val="000000" w:themeColor="text1"/>
        </w:rPr>
        <w:t xml:space="preserve">vía </w:t>
      </w:r>
      <w:r w:rsidRPr="00D736C2">
        <w:rPr>
          <w:rFonts w:ascii="Palatino Linotype" w:eastAsia="Calibri" w:hAnsi="Palatino Linotype" w:cs="Arial"/>
          <w:color w:val="000000" w:themeColor="text1"/>
          <w:lang w:val="es-ES"/>
        </w:rPr>
        <w:t xml:space="preserve">Sistema de Acceso a la Información Mexiquense </w:t>
      </w:r>
      <w:r w:rsidRPr="00D736C2">
        <w:rPr>
          <w:rFonts w:ascii="Palatino Linotype" w:eastAsia="Calibri" w:hAnsi="Palatino Linotype" w:cs="Arial"/>
          <w:b/>
          <w:color w:val="000000" w:themeColor="text1"/>
          <w:lang w:val="es-ES"/>
        </w:rPr>
        <w:t>(SAIMEX)</w:t>
      </w:r>
      <w:r w:rsidRPr="00D736C2">
        <w:rPr>
          <w:rFonts w:ascii="Palatino Linotype" w:eastAsia="Calibri" w:hAnsi="Palatino Linotype" w:cs="Arial"/>
          <w:color w:val="000000" w:themeColor="text1"/>
          <w:lang w:val="es-ES"/>
        </w:rPr>
        <w:t xml:space="preserve">, la solicitud de información pública registrada con el número </w:t>
      </w:r>
      <w:r w:rsidR="0095074E" w:rsidRPr="00D736C2">
        <w:rPr>
          <w:rFonts w:ascii="Palatino Linotype" w:eastAsia="Calibri" w:hAnsi="Palatino Linotype" w:cs="Arial"/>
          <w:b/>
          <w:color w:val="000000" w:themeColor="text1"/>
          <w:lang w:val="es-ES"/>
        </w:rPr>
        <w:t>00728/SF/IP/2019</w:t>
      </w:r>
      <w:r w:rsidRPr="00D736C2">
        <w:rPr>
          <w:rFonts w:ascii="Palatino Linotype" w:hAnsi="Palatino Linotype"/>
          <w:b/>
          <w:bCs/>
          <w:color w:val="000000" w:themeColor="text1"/>
        </w:rPr>
        <w:t>,</w:t>
      </w:r>
      <w:r w:rsidRPr="00D736C2">
        <w:rPr>
          <w:rFonts w:ascii="Palatino Linotype" w:eastAsia="Calibri" w:hAnsi="Palatino Linotype" w:cs="Arial"/>
          <w:color w:val="000000" w:themeColor="text1"/>
          <w:lang w:val="es-ES"/>
        </w:rPr>
        <w:t xml:space="preserve"> mediante la cual se requirió:</w:t>
      </w:r>
    </w:p>
    <w:p w14:paraId="0FD0F975" w14:textId="77777777" w:rsidR="00D14F0C" w:rsidRPr="00D736C2" w:rsidRDefault="00D14F0C" w:rsidP="00D736C2">
      <w:pPr>
        <w:tabs>
          <w:tab w:val="left" w:pos="567"/>
        </w:tabs>
        <w:spacing w:line="360" w:lineRule="auto"/>
        <w:rPr>
          <w:rFonts w:ascii="Palatino Linotype" w:hAnsi="Palatino Linotype"/>
          <w:color w:val="000000" w:themeColor="text1"/>
          <w:lang w:val="es-MX" w:eastAsia="en-US"/>
        </w:rPr>
      </w:pPr>
    </w:p>
    <w:p w14:paraId="5EFEC06A" w14:textId="636C684C" w:rsidR="00D14F0C" w:rsidRPr="00D736C2" w:rsidRDefault="00D14F0C" w:rsidP="00D736C2">
      <w:pPr>
        <w:spacing w:line="360" w:lineRule="auto"/>
        <w:ind w:left="567" w:right="567"/>
        <w:jc w:val="both"/>
        <w:rPr>
          <w:rFonts w:ascii="Palatino Linotype" w:hAnsi="Palatino Linotype"/>
          <w:i/>
          <w:color w:val="000000" w:themeColor="text1"/>
        </w:rPr>
      </w:pPr>
      <w:r w:rsidRPr="00D736C2">
        <w:rPr>
          <w:rFonts w:ascii="Palatino Linotype" w:hAnsi="Palatino Linotype"/>
          <w:i/>
          <w:color w:val="000000" w:themeColor="text1"/>
        </w:rPr>
        <w:t>“</w:t>
      </w:r>
      <w:r w:rsidR="00A67A06" w:rsidRPr="00D736C2">
        <w:rPr>
          <w:rFonts w:ascii="Palatino Linotype" w:hAnsi="Palatino Linotype"/>
          <w:i/>
          <w:color w:val="000000"/>
        </w:rPr>
        <w:t>SE ME INFORME SI EL PERSONAL OPERATIVO O ADMINISTRATIVO DEL CUERPO DE GUARDIAS DE SEGURIDAD INDUSTRIAL, BANCARIA Y COMERCIAL DEL VALLE CUAUTITLAN TEXCOCO Y DEL CUERPO DE VIGILANCIA AUXILIAR Y URBANA DEL ESTADO DE MEXICO, SON CONSIDERADOS COMO SERVIDORES PUBLICOS, Y SI FORMAN PARTE DE ALGUN PADRON O ESTRUCTURA DE SERVIDORES PUBLICOS DEL ESTADO DE MEXICO</w:t>
      </w:r>
      <w:r w:rsidRPr="00D736C2">
        <w:rPr>
          <w:rFonts w:ascii="Palatino Linotype" w:hAnsi="Palatino Linotype"/>
          <w:i/>
          <w:color w:val="000000" w:themeColor="text1"/>
        </w:rPr>
        <w:t>” (Sic)</w:t>
      </w:r>
    </w:p>
    <w:p w14:paraId="6E288436" w14:textId="77777777" w:rsidR="00D14F0C" w:rsidRPr="00D736C2" w:rsidRDefault="00D14F0C" w:rsidP="00D736C2">
      <w:pPr>
        <w:tabs>
          <w:tab w:val="left" w:pos="567"/>
        </w:tabs>
        <w:spacing w:line="360" w:lineRule="auto"/>
        <w:rPr>
          <w:rFonts w:ascii="Palatino Linotype" w:hAnsi="Palatino Linotype"/>
          <w:color w:val="000000" w:themeColor="text1"/>
          <w:lang w:val="es-MX" w:eastAsia="en-US"/>
        </w:rPr>
      </w:pPr>
    </w:p>
    <w:p w14:paraId="2365066D" w14:textId="77777777" w:rsidR="00D14F0C" w:rsidRPr="00D736C2" w:rsidRDefault="00D14F0C" w:rsidP="00D736C2">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D736C2">
        <w:rPr>
          <w:rFonts w:ascii="Palatino Linotype" w:hAnsi="Palatino Linotype" w:cs="Arial"/>
          <w:color w:val="000000" w:themeColor="text1"/>
        </w:rPr>
        <w:lastRenderedPageBreak/>
        <w:t xml:space="preserve">Se hace constar que </w:t>
      </w:r>
      <w:r w:rsidRPr="00D736C2">
        <w:rPr>
          <w:rFonts w:ascii="Palatino Linotype" w:eastAsia="Times New Roman" w:hAnsi="Palatino Linotype" w:cs="Arial"/>
          <w:color w:val="000000" w:themeColor="text1"/>
          <w:lang w:val="es-ES"/>
        </w:rPr>
        <w:t>se señaló como modalidad de entrega de la información</w:t>
      </w:r>
      <w:r w:rsidRPr="00D736C2">
        <w:rPr>
          <w:rFonts w:ascii="Palatino Linotype" w:eastAsia="Times New Roman" w:hAnsi="Palatino Linotype" w:cs="Arial"/>
          <w:b/>
          <w:color w:val="000000" w:themeColor="text1"/>
          <w:lang w:val="es-ES"/>
        </w:rPr>
        <w:t>:</w:t>
      </w:r>
      <w:r w:rsidRPr="00D736C2">
        <w:rPr>
          <w:rFonts w:ascii="Palatino Linotype" w:eastAsia="Times New Roman" w:hAnsi="Palatino Linotype" w:cs="Arial"/>
          <w:color w:val="000000" w:themeColor="text1"/>
          <w:lang w:val="es-ES"/>
        </w:rPr>
        <w:t xml:space="preserve"> a través </w:t>
      </w:r>
      <w:r w:rsidRPr="00D736C2">
        <w:rPr>
          <w:rFonts w:ascii="Palatino Linotype" w:hAnsi="Palatino Linotype"/>
          <w:color w:val="000000" w:themeColor="text1"/>
        </w:rPr>
        <w:t xml:space="preserve">del </w:t>
      </w:r>
      <w:r w:rsidRPr="00D736C2">
        <w:rPr>
          <w:rFonts w:ascii="Palatino Linotype" w:hAnsi="Palatino Linotype"/>
          <w:color w:val="000000" w:themeColor="text1"/>
          <w:shd w:val="clear" w:color="auto" w:fill="FFFFFF"/>
        </w:rPr>
        <w:t xml:space="preserve">Sistema de Acceso a la Información Mexiquense </w:t>
      </w:r>
      <w:r w:rsidRPr="00D736C2">
        <w:rPr>
          <w:rFonts w:ascii="Palatino Linotype" w:hAnsi="Palatino Linotype"/>
          <w:b/>
          <w:bCs/>
          <w:color w:val="000000" w:themeColor="text1"/>
          <w:shd w:val="clear" w:color="auto" w:fill="FFFFFF"/>
        </w:rPr>
        <w:t>(SAIMEX).</w:t>
      </w:r>
    </w:p>
    <w:p w14:paraId="75B45258" w14:textId="77777777" w:rsidR="00D14F0C" w:rsidRPr="00D736C2" w:rsidRDefault="00D14F0C" w:rsidP="00D736C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1C7F680" w14:textId="4AE0A991" w:rsidR="00D14F0C" w:rsidRPr="00D736C2" w:rsidRDefault="00D14F0C" w:rsidP="00D736C2">
      <w:pPr>
        <w:pStyle w:val="Prrafodelista"/>
        <w:numPr>
          <w:ilvl w:val="0"/>
          <w:numId w:val="1"/>
        </w:numPr>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r w:rsidRPr="00D736C2">
        <w:rPr>
          <w:rFonts w:ascii="Palatino Linotype" w:eastAsia="Calibri" w:hAnsi="Palatino Linotype" w:cs="Arial"/>
          <w:color w:val="000000" w:themeColor="text1"/>
          <w:lang w:val="es-AR"/>
        </w:rPr>
        <w:t xml:space="preserve">El día </w:t>
      </w:r>
      <w:r w:rsidR="00A67A06" w:rsidRPr="00D736C2">
        <w:rPr>
          <w:rFonts w:ascii="Palatino Linotype" w:eastAsia="Times New Roman" w:hAnsi="Palatino Linotype" w:cs="Arial"/>
          <w:color w:val="000000" w:themeColor="text1"/>
          <w:lang w:val="es-ES"/>
        </w:rPr>
        <w:t>diec</w:t>
      </w:r>
      <w:r w:rsidR="000F457B" w:rsidRPr="00D736C2">
        <w:rPr>
          <w:rFonts w:ascii="Palatino Linotype" w:eastAsia="Times New Roman" w:hAnsi="Palatino Linotype" w:cs="Arial"/>
          <w:color w:val="000000" w:themeColor="text1"/>
          <w:lang w:val="es-ES"/>
        </w:rPr>
        <w:t>iocho</w:t>
      </w:r>
      <w:r w:rsidRPr="00D736C2">
        <w:rPr>
          <w:rFonts w:ascii="Palatino Linotype" w:eastAsia="Times New Roman" w:hAnsi="Palatino Linotype" w:cs="Arial"/>
          <w:color w:val="000000" w:themeColor="text1"/>
          <w:lang w:val="es-ES"/>
        </w:rPr>
        <w:t xml:space="preserve"> (</w:t>
      </w:r>
      <w:r w:rsidR="00A67A06" w:rsidRPr="00D736C2">
        <w:rPr>
          <w:rFonts w:ascii="Palatino Linotype" w:eastAsia="Times New Roman" w:hAnsi="Palatino Linotype" w:cs="Arial"/>
          <w:color w:val="000000" w:themeColor="text1"/>
          <w:lang w:val="es-ES"/>
        </w:rPr>
        <w:t>1</w:t>
      </w:r>
      <w:r w:rsidR="000F457B" w:rsidRPr="00D736C2">
        <w:rPr>
          <w:rFonts w:ascii="Palatino Linotype" w:eastAsia="Times New Roman" w:hAnsi="Palatino Linotype" w:cs="Arial"/>
          <w:color w:val="000000" w:themeColor="text1"/>
          <w:lang w:val="es-ES"/>
        </w:rPr>
        <w:t>8</w:t>
      </w:r>
      <w:r w:rsidRPr="00D736C2">
        <w:rPr>
          <w:rFonts w:ascii="Palatino Linotype" w:eastAsia="Times New Roman" w:hAnsi="Palatino Linotype" w:cs="Arial"/>
          <w:color w:val="000000" w:themeColor="text1"/>
          <w:lang w:val="es-ES"/>
        </w:rPr>
        <w:t xml:space="preserve">) de </w:t>
      </w:r>
      <w:r w:rsidR="00A67A06" w:rsidRPr="00D736C2">
        <w:rPr>
          <w:rFonts w:ascii="Palatino Linotype" w:eastAsia="Times New Roman" w:hAnsi="Palatino Linotype" w:cs="Arial"/>
          <w:color w:val="000000" w:themeColor="text1"/>
          <w:lang w:val="es-ES"/>
        </w:rPr>
        <w:t>septiembre</w:t>
      </w:r>
      <w:r w:rsidRPr="00D736C2">
        <w:rPr>
          <w:rFonts w:ascii="Palatino Linotype" w:eastAsia="Times New Roman" w:hAnsi="Palatino Linotype" w:cs="Arial"/>
          <w:color w:val="000000" w:themeColor="text1"/>
          <w:lang w:val="es-ES"/>
        </w:rPr>
        <w:t xml:space="preserve"> de dos mil diecinueve</w:t>
      </w:r>
      <w:r w:rsidRPr="00D736C2">
        <w:rPr>
          <w:rFonts w:ascii="Palatino Linotype" w:eastAsia="Calibri" w:hAnsi="Palatino Linotype" w:cs="Arial"/>
          <w:color w:val="000000" w:themeColor="text1"/>
          <w:lang w:val="es-AR"/>
        </w:rPr>
        <w:t xml:space="preserve"> el </w:t>
      </w:r>
      <w:r w:rsidRPr="00D736C2">
        <w:rPr>
          <w:rFonts w:ascii="Palatino Linotype" w:eastAsia="Times New Roman" w:hAnsi="Palatino Linotype" w:cs="Arial"/>
          <w:b/>
          <w:color w:val="000000" w:themeColor="text1"/>
          <w:lang w:val="es-ES"/>
        </w:rPr>
        <w:t xml:space="preserve">SUJETO OBLIGADO </w:t>
      </w:r>
      <w:r w:rsidRPr="00D736C2">
        <w:rPr>
          <w:rFonts w:ascii="Palatino Linotype" w:eastAsia="Times New Roman" w:hAnsi="Palatino Linotype" w:cs="Arial"/>
          <w:color w:val="000000" w:themeColor="text1"/>
          <w:lang w:val="es-ES"/>
        </w:rPr>
        <w:t>emitió su respuesta en los términos siguientes:</w:t>
      </w:r>
    </w:p>
    <w:p w14:paraId="0F486225" w14:textId="77777777" w:rsidR="00D14F0C" w:rsidRPr="00D736C2" w:rsidRDefault="00D14F0C" w:rsidP="00D736C2">
      <w:pPr>
        <w:pStyle w:val="Prrafodelista"/>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66E9F084" w14:textId="40736A99" w:rsidR="00D14F0C" w:rsidRPr="00D736C2" w:rsidRDefault="00D14F0C" w:rsidP="00D736C2">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Arial"/>
          <w:i/>
          <w:color w:val="000000" w:themeColor="text1"/>
          <w:lang w:val="es-ES"/>
        </w:rPr>
      </w:pPr>
      <w:r w:rsidRPr="00D736C2">
        <w:rPr>
          <w:rFonts w:ascii="Palatino Linotype" w:eastAsia="Times New Roman" w:hAnsi="Palatino Linotype" w:cs="Arial"/>
          <w:i/>
          <w:color w:val="000000" w:themeColor="text1"/>
          <w:lang w:val="es-ES"/>
        </w:rPr>
        <w:t>“</w:t>
      </w:r>
      <w:r w:rsidR="00A67A06" w:rsidRPr="00D736C2">
        <w:rPr>
          <w:rFonts w:ascii="Palatino Linotype" w:hAnsi="Palatino Linotype"/>
          <w:i/>
          <w:color w:val="000000"/>
        </w:rPr>
        <w:t>Sobre el particular, sírvase encontrar en archivo adjunto copia del oficio de notificación número 20700004S/UT-2337/2019 mediante el cual se detalla lo referente a su solicitud</w:t>
      </w:r>
      <w:r w:rsidR="000F457B" w:rsidRPr="00D736C2">
        <w:rPr>
          <w:rFonts w:ascii="Palatino Linotype" w:hAnsi="Palatino Linotype"/>
          <w:i/>
          <w:color w:val="000000"/>
        </w:rPr>
        <w:t>.</w:t>
      </w:r>
      <w:r w:rsidRPr="00D736C2">
        <w:rPr>
          <w:rFonts w:ascii="Palatino Linotype" w:eastAsia="Times New Roman" w:hAnsi="Palatino Linotype" w:cs="Arial"/>
          <w:i/>
          <w:color w:val="000000" w:themeColor="text1"/>
          <w:lang w:val="es-ES"/>
        </w:rPr>
        <w:t>”</w:t>
      </w:r>
    </w:p>
    <w:p w14:paraId="37BCF84E" w14:textId="77777777" w:rsidR="00D14F0C" w:rsidRPr="00D736C2" w:rsidRDefault="00D14F0C" w:rsidP="00D736C2">
      <w:pPr>
        <w:pStyle w:val="Prrafodelista"/>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678EA7F1" w14:textId="3A05D7D9" w:rsidR="00D14F0C" w:rsidRPr="00D736C2" w:rsidRDefault="00D14F0C" w:rsidP="00D736C2">
      <w:pPr>
        <w:pStyle w:val="Prrafodelista"/>
        <w:numPr>
          <w:ilvl w:val="0"/>
          <w:numId w:val="1"/>
        </w:numPr>
        <w:spacing w:before="100" w:beforeAutospacing="1" w:after="100" w:afterAutospacing="1" w:line="360" w:lineRule="auto"/>
        <w:ind w:left="0"/>
        <w:jc w:val="both"/>
        <w:rPr>
          <w:rFonts w:ascii="Palatino Linotype" w:hAnsi="Palatino Linotype"/>
          <w:b/>
          <w:i/>
          <w:color w:val="000000" w:themeColor="text1"/>
        </w:rPr>
      </w:pPr>
      <w:r w:rsidRPr="00D736C2">
        <w:rPr>
          <w:rFonts w:ascii="Palatino Linotype" w:eastAsia="Times New Roman" w:hAnsi="Palatino Linotype" w:cs="Arial"/>
          <w:color w:val="000000" w:themeColor="text1"/>
          <w:lang w:val="es-ES"/>
        </w:rPr>
        <w:t xml:space="preserve">A su respuesta adjuntó los archivos electrónicos </w:t>
      </w:r>
      <w:r w:rsidR="00A67A06" w:rsidRPr="00D736C2">
        <w:rPr>
          <w:rFonts w:ascii="Palatino Linotype" w:hAnsi="Palatino Linotype"/>
          <w:color w:val="000000" w:themeColor="text1"/>
        </w:rPr>
        <w:t>“</w:t>
      </w:r>
      <w:hyperlink r:id="rId8" w:tgtFrame="_blank" w:history="1">
        <w:r w:rsidR="00A67A06" w:rsidRPr="00D736C2">
          <w:rPr>
            <w:rStyle w:val="Hipervnculo"/>
            <w:rFonts w:ascii="Palatino Linotype" w:hAnsi="Palatino Linotype" w:cs="Arial"/>
            <w:b/>
            <w:bCs/>
            <w:i/>
            <w:color w:val="000000" w:themeColor="text1"/>
            <w:u w:val="none"/>
          </w:rPr>
          <w:t>728 DG Personal.pdf</w:t>
        </w:r>
      </w:hyperlink>
      <w:r w:rsidR="00A67A06" w:rsidRPr="00D736C2">
        <w:rPr>
          <w:rFonts w:ascii="Palatino Linotype" w:hAnsi="Palatino Linotype"/>
          <w:b/>
          <w:i/>
          <w:color w:val="000000" w:themeColor="text1"/>
        </w:rPr>
        <w:t xml:space="preserve">” </w:t>
      </w:r>
      <w:r w:rsidR="008940E9" w:rsidRPr="00D736C2">
        <w:rPr>
          <w:rFonts w:ascii="Palatino Linotype" w:hAnsi="Palatino Linotype"/>
          <w:color w:val="000000" w:themeColor="text1"/>
        </w:rPr>
        <w:t xml:space="preserve">constante en una hoja con el oficio número 207060040001 OOS-407 /2019 signado por el Jefe de la Unidad de Políticas de Desarrollo y Administración del Personal y Servidor Público Habilitado de la Dirección General de Personal, </w:t>
      </w:r>
      <w:r w:rsidR="000909EE" w:rsidRPr="00D736C2">
        <w:rPr>
          <w:rFonts w:ascii="Palatino Linotype" w:hAnsi="Palatino Linotype"/>
          <w:color w:val="000000" w:themeColor="text1"/>
        </w:rPr>
        <w:t xml:space="preserve">y </w:t>
      </w:r>
      <w:r w:rsidR="000909EE" w:rsidRPr="00D736C2">
        <w:rPr>
          <w:rFonts w:ascii="Palatino Linotype" w:hAnsi="Palatino Linotype"/>
          <w:b/>
          <w:i/>
          <w:color w:val="000000" w:themeColor="text1"/>
        </w:rPr>
        <w:t>“</w:t>
      </w:r>
      <w:hyperlink r:id="rId9" w:tgtFrame="_blank" w:history="1">
        <w:r w:rsidR="000909EE" w:rsidRPr="00D736C2">
          <w:rPr>
            <w:rStyle w:val="Hipervnculo"/>
            <w:rFonts w:ascii="Palatino Linotype" w:hAnsi="Palatino Linotype" w:cs="Arial"/>
            <w:b/>
            <w:bCs/>
            <w:i/>
            <w:color w:val="000000" w:themeColor="text1"/>
            <w:u w:val="none"/>
          </w:rPr>
          <w:t>UIPPE 728.pdf</w:t>
        </w:r>
      </w:hyperlink>
      <w:r w:rsidR="000909EE" w:rsidRPr="00D736C2">
        <w:rPr>
          <w:rFonts w:ascii="Palatino Linotype" w:hAnsi="Palatino Linotype"/>
          <w:b/>
          <w:i/>
          <w:color w:val="000000" w:themeColor="text1"/>
        </w:rPr>
        <w:t>”</w:t>
      </w:r>
      <w:r w:rsidR="000909EE" w:rsidRPr="00D736C2">
        <w:rPr>
          <w:rFonts w:ascii="Palatino Linotype" w:hAnsi="Palatino Linotype"/>
          <w:color w:val="000000" w:themeColor="text1"/>
        </w:rPr>
        <w:t xml:space="preserve"> </w:t>
      </w:r>
      <w:r w:rsidR="00711878" w:rsidRPr="00D736C2">
        <w:rPr>
          <w:rFonts w:ascii="Palatino Linotype" w:hAnsi="Palatino Linotype"/>
          <w:color w:val="000000" w:themeColor="text1"/>
        </w:rPr>
        <w:t xml:space="preserve">contante en </w:t>
      </w:r>
      <w:r w:rsidR="000909EE" w:rsidRPr="00D736C2">
        <w:rPr>
          <w:rFonts w:ascii="Palatino Linotype" w:hAnsi="Palatino Linotype"/>
          <w:color w:val="000000" w:themeColor="text1"/>
        </w:rPr>
        <w:t xml:space="preserve">una hoja con el oficio número 20700004S/UT-2337 /2019, </w:t>
      </w:r>
      <w:r w:rsidR="00B10DFF" w:rsidRPr="00D736C2">
        <w:rPr>
          <w:rFonts w:ascii="Palatino Linotype" w:hAnsi="Palatino Linotype"/>
          <w:color w:val="000000" w:themeColor="text1"/>
        </w:rPr>
        <w:t xml:space="preserve">signado por </w:t>
      </w:r>
      <w:r w:rsidR="000909EE" w:rsidRPr="00D736C2">
        <w:rPr>
          <w:rFonts w:ascii="Palatino Linotype" w:hAnsi="Palatino Linotype"/>
          <w:color w:val="000000" w:themeColor="text1"/>
        </w:rPr>
        <w:t>el Titular de la Unidad de Transparencia de la Secretaría de Finanzas</w:t>
      </w:r>
      <w:r w:rsidR="008F5F7C" w:rsidRPr="00D736C2">
        <w:rPr>
          <w:rFonts w:ascii="Palatino Linotype" w:hAnsi="Palatino Linotype"/>
          <w:i/>
          <w:color w:val="000000" w:themeColor="text1"/>
        </w:rPr>
        <w:t>,</w:t>
      </w:r>
      <w:r w:rsidRPr="00D736C2">
        <w:rPr>
          <w:rFonts w:ascii="Palatino Linotype" w:eastAsia="Times New Roman" w:hAnsi="Palatino Linotype" w:cs="Arial"/>
          <w:color w:val="000000" w:themeColor="text1"/>
          <w:lang w:val="es-ES"/>
        </w:rPr>
        <w:t xml:space="preserve"> información que no se inserta en este apartado en obviedad de repeticiones innecesarias aunado a que serán motivo de análisis en el cuerpo de la presente resolución.</w:t>
      </w:r>
    </w:p>
    <w:p w14:paraId="07522A09" w14:textId="2ECA62C5" w:rsidR="00711878" w:rsidRPr="00D736C2" w:rsidRDefault="00711878" w:rsidP="00D736C2">
      <w:pPr>
        <w:pStyle w:val="Prrafodelista"/>
        <w:tabs>
          <w:tab w:val="left" w:pos="567"/>
        </w:tabs>
        <w:spacing w:line="360" w:lineRule="auto"/>
        <w:ind w:left="0"/>
        <w:jc w:val="both"/>
        <w:rPr>
          <w:rFonts w:ascii="Palatino Linotype" w:hAnsi="Palatino Linotype" w:cs="Arial"/>
          <w:color w:val="000000" w:themeColor="text1"/>
        </w:rPr>
      </w:pPr>
    </w:p>
    <w:p w14:paraId="7E4DF4C9" w14:textId="41C3C04E" w:rsidR="00D14F0C" w:rsidRPr="00D736C2" w:rsidRDefault="00D14F0C" w:rsidP="00D736C2">
      <w:pPr>
        <w:pStyle w:val="Prrafodelista"/>
        <w:numPr>
          <w:ilvl w:val="0"/>
          <w:numId w:val="1"/>
        </w:numPr>
        <w:tabs>
          <w:tab w:val="left" w:pos="567"/>
        </w:tabs>
        <w:spacing w:line="360" w:lineRule="auto"/>
        <w:ind w:left="0"/>
        <w:jc w:val="both"/>
        <w:rPr>
          <w:rFonts w:ascii="Palatino Linotype" w:hAnsi="Palatino Linotype" w:cs="Arial"/>
          <w:color w:val="000000" w:themeColor="text1"/>
        </w:rPr>
      </w:pPr>
      <w:r w:rsidRPr="00D736C2">
        <w:rPr>
          <w:rFonts w:ascii="Palatino Linotype" w:eastAsia="Times New Roman" w:hAnsi="Palatino Linotype" w:cs="Arial"/>
          <w:color w:val="000000" w:themeColor="text1"/>
          <w:lang w:val="es-ES"/>
        </w:rPr>
        <w:t xml:space="preserve">El día </w:t>
      </w:r>
      <w:r w:rsidR="000909EE" w:rsidRPr="00D736C2">
        <w:rPr>
          <w:rFonts w:ascii="Palatino Linotype" w:eastAsia="Times New Roman" w:hAnsi="Palatino Linotype" w:cs="Arial"/>
          <w:color w:val="000000" w:themeColor="text1"/>
          <w:lang w:val="es-ES"/>
        </w:rPr>
        <w:t>veintitrés</w:t>
      </w:r>
      <w:r w:rsidRPr="00D736C2">
        <w:rPr>
          <w:rFonts w:ascii="Palatino Linotype" w:eastAsia="Times New Roman" w:hAnsi="Palatino Linotype" w:cs="Arial"/>
          <w:color w:val="000000" w:themeColor="text1"/>
          <w:lang w:val="es-ES"/>
        </w:rPr>
        <w:t xml:space="preserve"> (</w:t>
      </w:r>
      <w:r w:rsidR="000909EE" w:rsidRPr="00D736C2">
        <w:rPr>
          <w:rFonts w:ascii="Palatino Linotype" w:eastAsia="Times New Roman" w:hAnsi="Palatino Linotype" w:cs="Arial"/>
          <w:color w:val="000000" w:themeColor="text1"/>
          <w:lang w:val="es-ES"/>
        </w:rPr>
        <w:t>23</w:t>
      </w:r>
      <w:r w:rsidRPr="00D736C2">
        <w:rPr>
          <w:rFonts w:ascii="Palatino Linotype" w:eastAsia="Times New Roman" w:hAnsi="Palatino Linotype" w:cs="Arial"/>
          <w:color w:val="000000" w:themeColor="text1"/>
          <w:lang w:val="es-ES"/>
        </w:rPr>
        <w:t xml:space="preserve">) de </w:t>
      </w:r>
      <w:r w:rsidR="000909EE" w:rsidRPr="00D736C2">
        <w:rPr>
          <w:rFonts w:ascii="Palatino Linotype" w:eastAsia="Times New Roman" w:hAnsi="Palatino Linotype" w:cs="Arial"/>
          <w:color w:val="000000" w:themeColor="text1"/>
          <w:lang w:val="es-ES"/>
        </w:rPr>
        <w:t>septiembre</w:t>
      </w:r>
      <w:r w:rsidRPr="00D736C2">
        <w:rPr>
          <w:rFonts w:ascii="Palatino Linotype" w:eastAsia="Times New Roman" w:hAnsi="Palatino Linotype" w:cs="Arial"/>
          <w:color w:val="000000" w:themeColor="text1"/>
          <w:lang w:val="es-ES"/>
        </w:rPr>
        <w:t xml:space="preserve"> de dos mil diecinueve, </w:t>
      </w:r>
      <w:r w:rsidRPr="00D736C2">
        <w:rPr>
          <w:rFonts w:ascii="Palatino Linotype" w:hAnsi="Palatino Linotype"/>
          <w:color w:val="000000" w:themeColor="text1"/>
        </w:rPr>
        <w:t xml:space="preserve">se </w:t>
      </w:r>
      <w:r w:rsidRPr="00D736C2">
        <w:rPr>
          <w:rFonts w:ascii="Palatino Linotype" w:eastAsia="Times New Roman" w:hAnsi="Palatino Linotype" w:cs="Arial"/>
          <w:color w:val="000000" w:themeColor="text1"/>
          <w:lang w:val="es-ES"/>
        </w:rPr>
        <w:t>interpuso el recurso de revisión, en contra de la respuesta, señalando como:</w:t>
      </w:r>
    </w:p>
    <w:p w14:paraId="0FB4AE18" w14:textId="77777777" w:rsidR="00D14F0C" w:rsidRPr="00D736C2" w:rsidRDefault="00D14F0C" w:rsidP="00D736C2">
      <w:pPr>
        <w:spacing w:line="360" w:lineRule="auto"/>
        <w:ind w:left="567"/>
        <w:jc w:val="both"/>
        <w:rPr>
          <w:rStyle w:val="Ttulo2Car"/>
          <w:szCs w:val="24"/>
          <w:lang w:val="es-ES"/>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p>
    <w:p w14:paraId="218797ED" w14:textId="1A972E67" w:rsidR="00D14F0C" w:rsidRPr="00D736C2" w:rsidRDefault="00D14F0C" w:rsidP="00D736C2">
      <w:pPr>
        <w:spacing w:line="360" w:lineRule="auto"/>
        <w:ind w:left="567" w:right="567"/>
        <w:jc w:val="both"/>
        <w:rPr>
          <w:rFonts w:ascii="Palatino Linotype" w:hAnsi="Palatino Linotype"/>
          <w:i/>
          <w:color w:val="000000" w:themeColor="text1"/>
        </w:rPr>
      </w:pPr>
      <w:bookmarkStart w:id="32" w:name="_Toc17386890"/>
      <w:bookmarkStart w:id="33" w:name="_Toc25255394"/>
      <w:r w:rsidRPr="00D736C2">
        <w:rPr>
          <w:rStyle w:val="Ttulo2Car"/>
          <w:szCs w:val="24"/>
          <w:lang w:val="es-ES"/>
        </w:rPr>
        <w:t>a) Acto impugnado:</w:t>
      </w:r>
      <w:bookmarkStart w:id="34" w:name="_Toc464139198"/>
      <w:bookmarkStart w:id="35" w:name="_Toc471981163"/>
      <w:bookmarkStart w:id="36" w:name="_Toc471981318"/>
      <w:bookmarkStart w:id="37" w:name="_Toc472780345"/>
      <w:bookmarkStart w:id="38" w:name="_Toc473229706"/>
      <w:bookmarkStart w:id="39" w:name="_Toc473651752"/>
      <w:bookmarkStart w:id="40" w:name="_Toc476135273"/>
      <w:bookmarkStart w:id="41" w:name="_Toc476135582"/>
      <w:bookmarkStart w:id="42" w:name="_Toc476765028"/>
      <w:bookmarkStart w:id="43" w:name="_Toc476766284"/>
      <w:bookmarkStart w:id="44" w:name="_Toc476766379"/>
      <w:bookmarkStart w:id="45"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32"/>
      <w:bookmarkEnd w:id="33"/>
      <w:r w:rsidRPr="00D736C2">
        <w:rPr>
          <w:rStyle w:val="Ttulo2Car"/>
          <w:szCs w:val="24"/>
          <w:lang w:val="es-ES"/>
        </w:rPr>
        <w:t xml:space="preserve"> </w:t>
      </w:r>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bookmarkEnd w:id="43"/>
      <w:bookmarkEnd w:id="44"/>
      <w:bookmarkEnd w:id="45"/>
      <w:r w:rsidRPr="00D736C2">
        <w:rPr>
          <w:rFonts w:ascii="Palatino Linotype" w:eastAsia="Calibri" w:hAnsi="Palatino Linotype" w:cs="Arial"/>
          <w:i/>
          <w:color w:val="000000" w:themeColor="text1"/>
          <w:lang w:val="es-ES"/>
        </w:rPr>
        <w:t>“</w:t>
      </w:r>
      <w:r w:rsidR="00000EDA" w:rsidRPr="00D736C2">
        <w:rPr>
          <w:rFonts w:ascii="Palatino Linotype" w:hAnsi="Palatino Linotype"/>
          <w:i/>
          <w:color w:val="000000"/>
        </w:rPr>
        <w:t xml:space="preserve">No he recibido la respuesta en el </w:t>
      </w:r>
      <w:proofErr w:type="spellStart"/>
      <w:r w:rsidR="00000EDA" w:rsidRPr="00D736C2">
        <w:rPr>
          <w:rFonts w:ascii="Palatino Linotype" w:hAnsi="Palatino Linotype"/>
          <w:i/>
          <w:color w:val="000000"/>
        </w:rPr>
        <w:t>termino</w:t>
      </w:r>
      <w:proofErr w:type="spellEnd"/>
      <w:r w:rsidR="00000EDA" w:rsidRPr="00D736C2">
        <w:rPr>
          <w:rFonts w:ascii="Palatino Linotype" w:hAnsi="Palatino Linotype"/>
          <w:i/>
          <w:color w:val="000000"/>
        </w:rPr>
        <w:t xml:space="preserve"> establecido para tal efecto.</w:t>
      </w:r>
      <w:r w:rsidRPr="00D736C2">
        <w:rPr>
          <w:rFonts w:ascii="Palatino Linotype" w:eastAsia="Calibri" w:hAnsi="Palatino Linotype" w:cs="Arial"/>
          <w:i/>
          <w:color w:val="000000" w:themeColor="text1"/>
          <w:lang w:val="es-ES"/>
        </w:rPr>
        <w:t>”</w:t>
      </w:r>
      <w:r w:rsidRPr="00D736C2">
        <w:rPr>
          <w:rFonts w:ascii="Palatino Linotype" w:hAnsi="Palatino Linotype"/>
          <w:i/>
          <w:color w:val="000000" w:themeColor="text1"/>
        </w:rPr>
        <w:t xml:space="preserve"> </w:t>
      </w:r>
      <w:r w:rsidRPr="00D736C2">
        <w:rPr>
          <w:rFonts w:ascii="Palatino Linotype" w:eastAsia="Calibri" w:hAnsi="Palatino Linotype" w:cs="Arial"/>
          <w:i/>
          <w:color w:val="000000" w:themeColor="text1"/>
          <w:lang w:val="es-ES"/>
        </w:rPr>
        <w:t>(Sic)</w:t>
      </w:r>
    </w:p>
    <w:p w14:paraId="69DC2454" w14:textId="77777777" w:rsidR="00D14F0C" w:rsidRPr="00D736C2" w:rsidRDefault="00D14F0C" w:rsidP="00D736C2">
      <w:pPr>
        <w:spacing w:line="360" w:lineRule="auto"/>
        <w:ind w:left="567" w:right="567"/>
        <w:jc w:val="both"/>
        <w:rPr>
          <w:rStyle w:val="Ttulo2Car"/>
          <w:b w:val="0"/>
          <w:szCs w:val="24"/>
          <w:lang w:val="es-ES"/>
        </w:rPr>
      </w:pPr>
    </w:p>
    <w:p w14:paraId="3D6AA46D" w14:textId="7654F6C4" w:rsidR="00D14F0C" w:rsidRPr="00D736C2" w:rsidRDefault="00D14F0C" w:rsidP="00D736C2">
      <w:pPr>
        <w:spacing w:line="360" w:lineRule="auto"/>
        <w:ind w:left="567" w:right="567"/>
        <w:jc w:val="both"/>
        <w:rPr>
          <w:rFonts w:ascii="Palatino Linotype" w:hAnsi="Palatino Linotype"/>
          <w:i/>
          <w:color w:val="000000"/>
        </w:rPr>
      </w:pPr>
      <w:bookmarkStart w:id="46" w:name="_Toc478584833"/>
      <w:bookmarkStart w:id="47" w:name="_Toc479274981"/>
      <w:bookmarkStart w:id="48" w:name="_Toc479275049"/>
      <w:bookmarkStart w:id="49" w:name="_Toc479275095"/>
      <w:bookmarkStart w:id="50" w:name="_Toc481092629"/>
      <w:bookmarkStart w:id="51" w:name="_Toc487053686"/>
      <w:bookmarkStart w:id="52" w:name="_Toc487053881"/>
      <w:bookmarkStart w:id="53" w:name="_Toc494915461"/>
      <w:bookmarkStart w:id="54" w:name="_Toc494920992"/>
      <w:bookmarkStart w:id="55" w:name="_Toc494998349"/>
      <w:bookmarkStart w:id="56" w:name="_Toc495430767"/>
      <w:bookmarkStart w:id="57" w:name="_Toc17386891"/>
      <w:bookmarkStart w:id="58" w:name="_Toc25255395"/>
      <w:r w:rsidRPr="00D736C2">
        <w:rPr>
          <w:rStyle w:val="Ttulo2Car"/>
          <w:szCs w:val="24"/>
          <w:lang w:val="es-ES"/>
        </w:rPr>
        <w:t>b) Razones o Motivos de inconformidad:</w:t>
      </w:r>
      <w:bookmarkEnd w:id="46"/>
      <w:bookmarkEnd w:id="47"/>
      <w:bookmarkEnd w:id="48"/>
      <w:bookmarkEnd w:id="49"/>
      <w:bookmarkEnd w:id="50"/>
      <w:bookmarkEnd w:id="51"/>
      <w:bookmarkEnd w:id="52"/>
      <w:bookmarkEnd w:id="53"/>
      <w:bookmarkEnd w:id="54"/>
      <w:bookmarkEnd w:id="55"/>
      <w:bookmarkEnd w:id="56"/>
      <w:bookmarkEnd w:id="57"/>
      <w:bookmarkEnd w:id="58"/>
      <w:r w:rsidRPr="00D736C2">
        <w:rPr>
          <w:rFonts w:ascii="Palatino Linotype" w:hAnsi="Palatino Linotype"/>
          <w:color w:val="000000" w:themeColor="text1"/>
        </w:rPr>
        <w:t xml:space="preserve"> </w:t>
      </w:r>
      <w:r w:rsidRPr="00D736C2">
        <w:rPr>
          <w:rFonts w:ascii="Palatino Linotype" w:hAnsi="Palatino Linotype"/>
          <w:i/>
          <w:color w:val="000000"/>
        </w:rPr>
        <w:t>“</w:t>
      </w:r>
      <w:r w:rsidR="00000EDA" w:rsidRPr="00D736C2">
        <w:rPr>
          <w:rFonts w:ascii="Palatino Linotype" w:hAnsi="Palatino Linotype"/>
          <w:i/>
          <w:color w:val="000000"/>
        </w:rPr>
        <w:t xml:space="preserve">No he recibido la respuesta en el </w:t>
      </w:r>
      <w:proofErr w:type="spellStart"/>
      <w:r w:rsidR="00000EDA" w:rsidRPr="00D736C2">
        <w:rPr>
          <w:rFonts w:ascii="Palatino Linotype" w:hAnsi="Palatino Linotype"/>
          <w:i/>
          <w:color w:val="000000"/>
        </w:rPr>
        <w:t>termino</w:t>
      </w:r>
      <w:proofErr w:type="spellEnd"/>
      <w:r w:rsidR="00000EDA" w:rsidRPr="00D736C2">
        <w:rPr>
          <w:rFonts w:ascii="Palatino Linotype" w:hAnsi="Palatino Linotype"/>
          <w:i/>
          <w:color w:val="000000"/>
        </w:rPr>
        <w:t xml:space="preserve"> establecido para tal efecto.</w:t>
      </w:r>
      <w:r w:rsidRPr="00D736C2">
        <w:rPr>
          <w:rFonts w:ascii="Palatino Linotype" w:hAnsi="Palatino Linotype"/>
          <w:i/>
          <w:color w:val="000000"/>
        </w:rPr>
        <w:t>” (Sic)</w:t>
      </w:r>
    </w:p>
    <w:p w14:paraId="3F32B161" w14:textId="77777777" w:rsidR="00D14F0C" w:rsidRPr="00D736C2" w:rsidRDefault="00D14F0C" w:rsidP="00D736C2">
      <w:pPr>
        <w:pStyle w:val="Prrafodelista"/>
        <w:tabs>
          <w:tab w:val="left" w:pos="426"/>
          <w:tab w:val="left" w:pos="567"/>
        </w:tabs>
        <w:spacing w:line="360" w:lineRule="auto"/>
        <w:ind w:left="567"/>
        <w:jc w:val="both"/>
        <w:rPr>
          <w:rFonts w:ascii="Palatino Linotype" w:hAnsi="Palatino Linotype"/>
          <w:i/>
          <w:color w:val="000000"/>
        </w:rPr>
      </w:pPr>
    </w:p>
    <w:p w14:paraId="16CBB088" w14:textId="77777777" w:rsidR="00D14F0C" w:rsidRPr="00D736C2" w:rsidRDefault="00D14F0C" w:rsidP="00D736C2">
      <w:pPr>
        <w:pStyle w:val="Prrafodelista"/>
        <w:numPr>
          <w:ilvl w:val="0"/>
          <w:numId w:val="1"/>
        </w:numPr>
        <w:tabs>
          <w:tab w:val="left" w:pos="426"/>
          <w:tab w:val="left" w:pos="567"/>
        </w:tabs>
        <w:spacing w:before="240" w:line="360" w:lineRule="auto"/>
        <w:ind w:left="0"/>
        <w:jc w:val="both"/>
        <w:rPr>
          <w:rFonts w:ascii="Palatino Linotype" w:hAnsi="Palatino Linotype"/>
          <w:b/>
          <w:i/>
          <w:color w:val="000000" w:themeColor="text1"/>
        </w:rPr>
      </w:pPr>
      <w:r w:rsidRPr="00D736C2">
        <w:rPr>
          <w:rFonts w:ascii="Palatino Linotype" w:eastAsia="Times New Roman" w:hAnsi="Palatino Linotype" w:cs="Arial"/>
          <w:color w:val="000000" w:themeColor="text1"/>
          <w:lang w:val="es-ES"/>
        </w:rPr>
        <w:t xml:space="preserve">Se registró el recurso de revisión bajo el número de expediente </w:t>
      </w:r>
      <w:r w:rsidRPr="00D736C2">
        <w:rPr>
          <w:rFonts w:ascii="Palatino Linotype" w:hAnsi="Palatino Linotype" w:cs="Arial"/>
          <w:bCs/>
          <w:color w:val="000000" w:themeColor="text1"/>
        </w:rPr>
        <w:t xml:space="preserve">al rubro indicado, así mismo con fundamento en lo dispuesto por el </w:t>
      </w:r>
      <w:r w:rsidRPr="00D736C2">
        <w:rPr>
          <w:rFonts w:ascii="Palatino Linotype" w:eastAsia="Calibri" w:hAnsi="Palatino Linotype" w:cs="Arial"/>
          <w:color w:val="000000" w:themeColor="text1"/>
          <w:lang w:val="es-ES"/>
        </w:rPr>
        <w:t xml:space="preserve">artículo 185 fracción I de la </w:t>
      </w:r>
      <w:r w:rsidRPr="00D736C2">
        <w:rPr>
          <w:rFonts w:ascii="Palatino Linotype" w:eastAsia="Calibri" w:hAnsi="Palatino Linotype" w:cs="Arial"/>
          <w:b/>
          <w:color w:val="000000" w:themeColor="text1"/>
          <w:lang w:val="es-ES"/>
        </w:rPr>
        <w:t xml:space="preserve">Ley de Transparencia y Acceso a la Información Pública del Estado de México y Municipios </w:t>
      </w:r>
      <w:r w:rsidRPr="00D736C2">
        <w:rPr>
          <w:rFonts w:ascii="Palatino Linotype" w:eastAsia="Times New Roman" w:hAnsi="Palatino Linotype" w:cs="Arial"/>
          <w:color w:val="000000" w:themeColor="text1"/>
          <w:lang w:val="es-ES"/>
        </w:rPr>
        <w:t xml:space="preserve">se turnó al </w:t>
      </w:r>
      <w:r w:rsidRPr="00D736C2">
        <w:rPr>
          <w:rFonts w:ascii="Palatino Linotype" w:eastAsia="Times New Roman" w:hAnsi="Palatino Linotype" w:cs="Arial"/>
          <w:b/>
          <w:color w:val="000000" w:themeColor="text1"/>
          <w:lang w:val="es-ES"/>
        </w:rPr>
        <w:t xml:space="preserve">Comisionado José Guadalupe Luna Hernández, </w:t>
      </w:r>
      <w:r w:rsidRPr="00D736C2">
        <w:rPr>
          <w:rFonts w:ascii="Palatino Linotype" w:eastAsia="Times New Roman" w:hAnsi="Palatino Linotype" w:cs="Arial"/>
          <w:color w:val="000000" w:themeColor="text1"/>
          <w:lang w:val="es-ES"/>
        </w:rPr>
        <w:t xml:space="preserve">con el objeto de </w:t>
      </w:r>
      <w:r w:rsidRPr="00D736C2">
        <w:rPr>
          <w:rFonts w:ascii="Palatino Linotype" w:eastAsia="Times New Roman" w:hAnsi="Palatino Linotype" w:cs="Arial"/>
          <w:color w:val="000000" w:themeColor="text1"/>
          <w:lang w:val="es-MX"/>
        </w:rPr>
        <w:t>su análisis.</w:t>
      </w:r>
    </w:p>
    <w:p w14:paraId="1F40002A" w14:textId="77777777" w:rsidR="00D14F0C" w:rsidRPr="00D736C2" w:rsidRDefault="00D14F0C" w:rsidP="00D736C2">
      <w:pPr>
        <w:pStyle w:val="Prrafodelista"/>
        <w:tabs>
          <w:tab w:val="left" w:pos="426"/>
          <w:tab w:val="left" w:pos="567"/>
        </w:tabs>
        <w:spacing w:line="360" w:lineRule="auto"/>
        <w:ind w:left="0"/>
        <w:jc w:val="both"/>
        <w:rPr>
          <w:rFonts w:ascii="Palatino Linotype" w:hAnsi="Palatino Linotype"/>
          <w:color w:val="000000" w:themeColor="text1"/>
        </w:rPr>
      </w:pPr>
    </w:p>
    <w:p w14:paraId="75530BEB" w14:textId="5498A7CB" w:rsidR="00D14F0C" w:rsidRPr="00D736C2" w:rsidRDefault="00D14F0C" w:rsidP="00D736C2">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D736C2">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9C4F1A" w:rsidRPr="00D736C2">
        <w:rPr>
          <w:rFonts w:ascii="Palatino Linotype" w:eastAsia="Calibri" w:hAnsi="Palatino Linotype" w:cs="Arial"/>
          <w:color w:val="000000" w:themeColor="text1"/>
          <w:lang w:val="es-ES"/>
        </w:rPr>
        <w:t>veinti</w:t>
      </w:r>
      <w:r w:rsidR="00000EDA" w:rsidRPr="00D736C2">
        <w:rPr>
          <w:rFonts w:ascii="Palatino Linotype" w:eastAsia="Calibri" w:hAnsi="Palatino Linotype" w:cs="Arial"/>
          <w:color w:val="000000" w:themeColor="text1"/>
          <w:lang w:val="es-ES"/>
        </w:rPr>
        <w:t xml:space="preserve">siete </w:t>
      </w:r>
      <w:r w:rsidRPr="00D736C2">
        <w:rPr>
          <w:rFonts w:ascii="Palatino Linotype" w:eastAsia="Calibri" w:hAnsi="Palatino Linotype" w:cs="Arial"/>
          <w:color w:val="000000" w:themeColor="text1"/>
          <w:lang w:val="es-ES"/>
        </w:rPr>
        <w:t>(</w:t>
      </w:r>
      <w:r w:rsidR="00000EDA" w:rsidRPr="00D736C2">
        <w:rPr>
          <w:rFonts w:ascii="Palatino Linotype" w:eastAsia="Calibri" w:hAnsi="Palatino Linotype" w:cs="Arial"/>
          <w:color w:val="000000" w:themeColor="text1"/>
          <w:lang w:val="es-ES"/>
        </w:rPr>
        <w:t>27</w:t>
      </w:r>
      <w:r w:rsidR="009C4F1A" w:rsidRPr="00D736C2">
        <w:rPr>
          <w:rFonts w:ascii="Palatino Linotype" w:eastAsia="Calibri" w:hAnsi="Palatino Linotype" w:cs="Arial"/>
          <w:color w:val="000000" w:themeColor="text1"/>
          <w:lang w:val="es-ES"/>
        </w:rPr>
        <w:t xml:space="preserve">) de </w:t>
      </w:r>
      <w:r w:rsidR="00000EDA" w:rsidRPr="00D736C2">
        <w:rPr>
          <w:rFonts w:ascii="Palatino Linotype" w:eastAsia="Calibri" w:hAnsi="Palatino Linotype" w:cs="Arial"/>
          <w:color w:val="000000" w:themeColor="text1"/>
          <w:lang w:val="es-ES"/>
        </w:rPr>
        <w:t>septiembre</w:t>
      </w:r>
      <w:r w:rsidRPr="00D736C2">
        <w:rPr>
          <w:rFonts w:ascii="Palatino Linotype" w:eastAsia="Calibri" w:hAnsi="Palatino Linotype" w:cs="Arial"/>
          <w:color w:val="000000" w:themeColor="text1"/>
          <w:lang w:val="es-ES"/>
        </w:rPr>
        <w:t xml:space="preserve"> de dos mil diecinueve, puso a disposición de las partes el expediente electrónico </w:t>
      </w:r>
      <w:r w:rsidRPr="00D736C2">
        <w:rPr>
          <w:rFonts w:ascii="Palatino Linotype" w:eastAsia="Calibri" w:hAnsi="Palatino Linotype" w:cs="Arial"/>
          <w:color w:val="000000" w:themeColor="text1"/>
        </w:rPr>
        <w:t xml:space="preserve">vía </w:t>
      </w:r>
      <w:r w:rsidRPr="00D736C2">
        <w:rPr>
          <w:rFonts w:ascii="Palatino Linotype" w:eastAsia="Calibri" w:hAnsi="Palatino Linotype" w:cs="Arial"/>
          <w:color w:val="000000" w:themeColor="text1"/>
          <w:lang w:val="es-ES"/>
        </w:rPr>
        <w:t xml:space="preserve">Sistema de Acceso a la Información Mexiquense </w:t>
      </w:r>
      <w:r w:rsidRPr="00D736C2">
        <w:rPr>
          <w:rFonts w:ascii="Palatino Linotype" w:eastAsia="Calibri" w:hAnsi="Palatino Linotype" w:cs="Arial"/>
          <w:b/>
          <w:color w:val="000000" w:themeColor="text1"/>
          <w:lang w:val="es-ES"/>
        </w:rPr>
        <w:t xml:space="preserve">(SAIMEX) </w:t>
      </w:r>
      <w:r w:rsidRPr="00D736C2">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D736C2">
        <w:rPr>
          <w:rFonts w:ascii="Palatino Linotype" w:eastAsia="Calibri" w:hAnsi="Palatino Linotype" w:cs="Arial"/>
          <w:b/>
          <w:color w:val="000000" w:themeColor="text1"/>
          <w:lang w:val="es-ES"/>
        </w:rPr>
        <w:t>SUJETO OBLIGADO</w:t>
      </w:r>
      <w:r w:rsidRPr="00D736C2">
        <w:rPr>
          <w:rFonts w:ascii="Palatino Linotype" w:eastAsia="Calibri" w:hAnsi="Palatino Linotype" w:cs="Arial"/>
          <w:color w:val="000000" w:themeColor="text1"/>
          <w:lang w:val="es-ES"/>
        </w:rPr>
        <w:t xml:space="preserve"> presentará el Informe Justificado procedente.</w:t>
      </w:r>
    </w:p>
    <w:p w14:paraId="0DFD2D36" w14:textId="77777777" w:rsidR="00D14F0C" w:rsidRPr="00D736C2" w:rsidRDefault="00D14F0C" w:rsidP="00D736C2">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A61D07B" w14:textId="38973438" w:rsidR="006D0D9F" w:rsidRPr="00D736C2" w:rsidRDefault="00D14F0C" w:rsidP="00D736C2">
      <w:pPr>
        <w:pStyle w:val="Prrafodelista"/>
        <w:numPr>
          <w:ilvl w:val="0"/>
          <w:numId w:val="1"/>
        </w:numPr>
        <w:spacing w:before="100" w:beforeAutospacing="1" w:after="100" w:afterAutospacing="1" w:line="360" w:lineRule="auto"/>
        <w:ind w:left="0"/>
        <w:jc w:val="both"/>
        <w:rPr>
          <w:rFonts w:ascii="Palatino Linotype" w:hAnsi="Palatino Linotype" w:cs="Arial"/>
          <w:i/>
          <w:color w:val="000000" w:themeColor="text1"/>
        </w:rPr>
      </w:pPr>
      <w:r w:rsidRPr="00D736C2">
        <w:rPr>
          <w:rFonts w:ascii="Palatino Linotype" w:hAnsi="Palatino Linotype"/>
          <w:color w:val="000000" w:themeColor="text1"/>
        </w:rPr>
        <w:t xml:space="preserve">El </w:t>
      </w:r>
      <w:r w:rsidR="009C4F1A" w:rsidRPr="00D736C2">
        <w:rPr>
          <w:rFonts w:ascii="Palatino Linotype" w:hAnsi="Palatino Linotype"/>
          <w:color w:val="000000" w:themeColor="text1"/>
        </w:rPr>
        <w:t xml:space="preserve">día veintinueve </w:t>
      </w:r>
      <w:r w:rsidR="009C4F1A" w:rsidRPr="00D736C2">
        <w:rPr>
          <w:rFonts w:ascii="Palatino Linotype" w:eastAsia="Calibri" w:hAnsi="Palatino Linotype" w:cs="Arial"/>
          <w:color w:val="000000" w:themeColor="text1"/>
          <w:lang w:val="es-ES"/>
        </w:rPr>
        <w:t>(29) de julio de dos mil diecinueve, el</w:t>
      </w:r>
      <w:r w:rsidR="009C4F1A" w:rsidRPr="00D736C2">
        <w:rPr>
          <w:rFonts w:ascii="Palatino Linotype" w:hAnsi="Palatino Linotype"/>
          <w:color w:val="000000" w:themeColor="text1"/>
        </w:rPr>
        <w:t xml:space="preserve"> </w:t>
      </w:r>
      <w:r w:rsidRPr="00D736C2">
        <w:rPr>
          <w:rFonts w:ascii="Palatino Linotype" w:hAnsi="Palatino Linotype"/>
          <w:b/>
          <w:color w:val="000000" w:themeColor="text1"/>
        </w:rPr>
        <w:t>SUJETO OBLIGADO</w:t>
      </w:r>
      <w:r w:rsidRPr="00D736C2">
        <w:rPr>
          <w:rFonts w:ascii="Palatino Linotype" w:hAnsi="Palatino Linotype"/>
          <w:color w:val="000000" w:themeColor="text1"/>
        </w:rPr>
        <w:t xml:space="preserve"> rindió su informe justificado para manifestar lo que a su</w:t>
      </w:r>
      <w:r w:rsidR="009C4F1A" w:rsidRPr="00D736C2">
        <w:rPr>
          <w:rFonts w:ascii="Palatino Linotype" w:hAnsi="Palatino Linotype"/>
          <w:color w:val="000000" w:themeColor="text1"/>
        </w:rPr>
        <w:t xml:space="preserve"> derecho asi</w:t>
      </w:r>
      <w:r w:rsidR="00000EDA" w:rsidRPr="00D736C2">
        <w:rPr>
          <w:rFonts w:ascii="Palatino Linotype" w:hAnsi="Palatino Linotype"/>
          <w:color w:val="000000" w:themeColor="text1"/>
        </w:rPr>
        <w:t>stiera y conviniera a través de</w:t>
      </w:r>
      <w:r w:rsidR="009C4F1A" w:rsidRPr="00D736C2">
        <w:rPr>
          <w:rFonts w:ascii="Palatino Linotype" w:hAnsi="Palatino Linotype"/>
          <w:color w:val="000000" w:themeColor="text1"/>
        </w:rPr>
        <w:t>l</w:t>
      </w:r>
      <w:r w:rsidR="00000EDA" w:rsidRPr="00D736C2">
        <w:rPr>
          <w:rFonts w:ascii="Palatino Linotype" w:hAnsi="Palatino Linotype"/>
          <w:color w:val="000000" w:themeColor="text1"/>
        </w:rPr>
        <w:t xml:space="preserve"> archivo electrónico</w:t>
      </w:r>
      <w:r w:rsidR="009C4F1A" w:rsidRPr="00D736C2">
        <w:rPr>
          <w:rFonts w:ascii="Palatino Linotype" w:hAnsi="Palatino Linotype"/>
          <w:color w:val="000000" w:themeColor="text1"/>
        </w:rPr>
        <w:t xml:space="preserve"> </w:t>
      </w:r>
      <w:r w:rsidR="006D0D9F" w:rsidRPr="00D736C2">
        <w:rPr>
          <w:rFonts w:ascii="Palatino Linotype" w:hAnsi="Palatino Linotype"/>
          <w:color w:val="000000" w:themeColor="text1"/>
        </w:rPr>
        <w:t>“</w:t>
      </w:r>
      <w:hyperlink r:id="rId10" w:history="1">
        <w:r w:rsidR="00000EDA" w:rsidRPr="00D736C2">
          <w:rPr>
            <w:rStyle w:val="Hipervnculo"/>
            <w:rFonts w:ascii="Palatino Linotype" w:hAnsi="Palatino Linotype" w:cs="Arial"/>
            <w:b/>
            <w:bCs/>
            <w:i/>
            <w:color w:val="000000" w:themeColor="text1"/>
            <w:u w:val="none"/>
          </w:rPr>
          <w:t>Informe Justificado RR. 07527.pdf</w:t>
        </w:r>
      </w:hyperlink>
      <w:r w:rsidR="006D0D9F" w:rsidRPr="00D736C2">
        <w:rPr>
          <w:rFonts w:ascii="Palatino Linotype" w:hAnsi="Palatino Linotype" w:cs="Arial"/>
          <w:i/>
          <w:color w:val="000000" w:themeColor="text1"/>
        </w:rPr>
        <w:t>”</w:t>
      </w:r>
      <w:r w:rsidR="00E44BEB" w:rsidRPr="00D736C2">
        <w:rPr>
          <w:rFonts w:ascii="Palatino Linotype" w:hAnsi="Palatino Linotype" w:cs="Arial"/>
          <w:color w:val="000000" w:themeColor="text1"/>
        </w:rPr>
        <w:t xml:space="preserve">, </w:t>
      </w:r>
      <w:r w:rsidR="00000EDA" w:rsidRPr="00D736C2">
        <w:rPr>
          <w:rFonts w:ascii="Palatino Linotype" w:hAnsi="Palatino Linotype" w:cs="Arial"/>
          <w:color w:val="000000" w:themeColor="text1"/>
        </w:rPr>
        <w:t>mismo</w:t>
      </w:r>
      <w:r w:rsidR="006D0D9F" w:rsidRPr="00D736C2">
        <w:rPr>
          <w:rFonts w:ascii="Palatino Linotype" w:hAnsi="Palatino Linotype" w:cs="Arial"/>
          <w:color w:val="000000" w:themeColor="text1"/>
        </w:rPr>
        <w:t xml:space="preserve"> que no </w:t>
      </w:r>
      <w:r w:rsidR="005163C4" w:rsidRPr="00D736C2">
        <w:rPr>
          <w:rFonts w:ascii="Palatino Linotype" w:hAnsi="Palatino Linotype" w:cs="Arial"/>
          <w:color w:val="000000" w:themeColor="text1"/>
        </w:rPr>
        <w:t>fue puesto a disposición del particular</w:t>
      </w:r>
      <w:r w:rsidR="006D0D9F" w:rsidRPr="00D736C2">
        <w:rPr>
          <w:rFonts w:ascii="Palatino Linotype" w:eastAsia="Times New Roman" w:hAnsi="Palatino Linotype" w:cs="Arial"/>
          <w:color w:val="000000" w:themeColor="text1"/>
          <w:lang w:val="es-ES"/>
        </w:rPr>
        <w:t xml:space="preserve"> toda vez que </w:t>
      </w:r>
      <w:r w:rsidR="005163C4" w:rsidRPr="00D736C2">
        <w:rPr>
          <w:rFonts w:ascii="Palatino Linotype" w:eastAsia="Times New Roman" w:hAnsi="Palatino Linotype" w:cs="Arial"/>
          <w:color w:val="000000" w:themeColor="text1"/>
          <w:lang w:val="es-ES"/>
        </w:rPr>
        <w:t>ratifica su respuesta inicial</w:t>
      </w:r>
      <w:r w:rsidR="006D0D9F" w:rsidRPr="00D736C2">
        <w:rPr>
          <w:rFonts w:ascii="Palatino Linotype" w:eastAsia="Times New Roman" w:hAnsi="Palatino Linotype" w:cs="Arial"/>
          <w:color w:val="000000" w:themeColor="text1"/>
          <w:lang w:val="es-ES"/>
        </w:rPr>
        <w:t>, aunado a que serán motivo de análisis en el cuerpo de la presente resolución.</w:t>
      </w:r>
    </w:p>
    <w:p w14:paraId="1AF278FF" w14:textId="77777777" w:rsidR="00D14F0C" w:rsidRPr="00D736C2" w:rsidRDefault="00D14F0C" w:rsidP="00D736C2">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p>
    <w:p w14:paraId="63187E07" w14:textId="6BE20ECB" w:rsidR="00D14F0C" w:rsidRPr="00D736C2" w:rsidRDefault="00D14F0C" w:rsidP="00D736C2">
      <w:pPr>
        <w:pStyle w:val="Prrafodelista"/>
        <w:numPr>
          <w:ilvl w:val="0"/>
          <w:numId w:val="1"/>
        </w:numPr>
        <w:tabs>
          <w:tab w:val="clear" w:pos="567"/>
          <w:tab w:val="left" w:pos="426"/>
        </w:tabs>
        <w:spacing w:before="240" w:after="240" w:line="360" w:lineRule="auto"/>
        <w:ind w:left="0" w:hanging="11"/>
        <w:jc w:val="both"/>
        <w:rPr>
          <w:rFonts w:ascii="Palatino Linotype" w:hAnsi="Palatino Linotype"/>
          <w:b/>
          <w:color w:val="000000" w:themeColor="text1"/>
        </w:rPr>
      </w:pPr>
      <w:r w:rsidRPr="00D736C2">
        <w:rPr>
          <w:rFonts w:ascii="Palatino Linotype" w:hAnsi="Palatino Linotype"/>
          <w:color w:val="000000" w:themeColor="text1"/>
        </w:rPr>
        <w:lastRenderedPageBreak/>
        <w:t>El Comisionado Ponente decretó el cierre de instrucción</w:t>
      </w:r>
      <w:r w:rsidRPr="00D736C2">
        <w:rPr>
          <w:rFonts w:ascii="Palatino Linotype" w:hAnsi="Palatino Linotype" w:cs="Arial"/>
          <w:color w:val="000000" w:themeColor="text1"/>
        </w:rPr>
        <w:t xml:space="preserve"> </w:t>
      </w:r>
      <w:r w:rsidRPr="00D736C2">
        <w:rPr>
          <w:rFonts w:ascii="Palatino Linotype" w:hAnsi="Palatino Linotype"/>
          <w:color w:val="000000" w:themeColor="text1"/>
        </w:rPr>
        <w:t>mediante acuerdo de fecha die</w:t>
      </w:r>
      <w:r w:rsidR="00E44BEB" w:rsidRPr="00D736C2">
        <w:rPr>
          <w:rFonts w:ascii="Palatino Linotype" w:hAnsi="Palatino Linotype"/>
          <w:color w:val="000000" w:themeColor="text1"/>
        </w:rPr>
        <w:t xml:space="preserve">z </w:t>
      </w:r>
      <w:r w:rsidRPr="00D736C2">
        <w:rPr>
          <w:rFonts w:ascii="Palatino Linotype" w:hAnsi="Palatino Linotype"/>
          <w:color w:val="000000" w:themeColor="text1"/>
        </w:rPr>
        <w:t>(1</w:t>
      </w:r>
      <w:r w:rsidR="00E44BEB" w:rsidRPr="00D736C2">
        <w:rPr>
          <w:rFonts w:ascii="Palatino Linotype" w:hAnsi="Palatino Linotype"/>
          <w:color w:val="000000" w:themeColor="text1"/>
        </w:rPr>
        <w:t>0</w:t>
      </w:r>
      <w:r w:rsidRPr="00D736C2">
        <w:rPr>
          <w:rFonts w:ascii="Palatino Linotype" w:hAnsi="Palatino Linotype"/>
          <w:color w:val="000000" w:themeColor="text1"/>
        </w:rPr>
        <w:t xml:space="preserve">) de </w:t>
      </w:r>
      <w:r w:rsidR="005163C4" w:rsidRPr="00D736C2">
        <w:rPr>
          <w:rFonts w:ascii="Palatino Linotype" w:hAnsi="Palatino Linotype"/>
          <w:color w:val="000000" w:themeColor="text1"/>
        </w:rPr>
        <w:t>octu</w:t>
      </w:r>
      <w:r w:rsidR="00E44BEB" w:rsidRPr="00D736C2">
        <w:rPr>
          <w:rFonts w:ascii="Palatino Linotype" w:hAnsi="Palatino Linotype"/>
          <w:color w:val="000000" w:themeColor="text1"/>
        </w:rPr>
        <w:t>bre</w:t>
      </w:r>
      <w:r w:rsidRPr="00D736C2">
        <w:rPr>
          <w:rFonts w:ascii="Palatino Linotype" w:hAnsi="Palatino Linotype"/>
          <w:color w:val="000000" w:themeColor="text1"/>
        </w:rPr>
        <w:t xml:space="preserve"> de </w:t>
      </w:r>
      <w:r w:rsidRPr="00D736C2">
        <w:rPr>
          <w:rFonts w:ascii="Palatino Linotype" w:eastAsia="Calibri" w:hAnsi="Palatino Linotype" w:cs="Arial"/>
          <w:color w:val="000000" w:themeColor="text1"/>
          <w:lang w:val="es-ES"/>
        </w:rPr>
        <w:t>dos mil diecinueve</w:t>
      </w:r>
      <w:r w:rsidRPr="00D736C2">
        <w:rPr>
          <w:rFonts w:ascii="Palatino Linotype" w:hAnsi="Palatino Linotype"/>
          <w:color w:val="000000" w:themeColor="text1"/>
        </w:rPr>
        <w:t xml:space="preserve">, </w:t>
      </w:r>
      <w:r w:rsidRPr="00D736C2">
        <w:rPr>
          <w:rFonts w:ascii="Palatino Linotype" w:hAnsi="Palatino Linotype" w:cs="Arial"/>
          <w:color w:val="000000" w:themeColor="text1"/>
        </w:rPr>
        <w:t>por lo que ordenó turnar el expediente a resolución</w:t>
      </w:r>
      <w:r w:rsidR="005163C4" w:rsidRPr="00D736C2">
        <w:rPr>
          <w:rFonts w:ascii="Palatino Linotype" w:hAnsi="Palatino Linotype" w:cs="Arial"/>
          <w:color w:val="000000" w:themeColor="text1"/>
        </w:rPr>
        <w:t>.</w:t>
      </w:r>
    </w:p>
    <w:p w14:paraId="6127B4A2" w14:textId="77777777" w:rsidR="000C5575" w:rsidRPr="00D736C2" w:rsidRDefault="000C5575" w:rsidP="00D736C2">
      <w:pPr>
        <w:pStyle w:val="Prrafodelista"/>
        <w:spacing w:line="360" w:lineRule="auto"/>
        <w:ind w:left="0"/>
        <w:rPr>
          <w:rFonts w:ascii="Palatino Linotype" w:hAnsi="Palatino Linotype"/>
          <w:b/>
          <w:color w:val="000000" w:themeColor="text1"/>
        </w:rPr>
      </w:pPr>
    </w:p>
    <w:p w14:paraId="4D08AED3" w14:textId="2735299F" w:rsidR="000C5575" w:rsidRPr="00D736C2" w:rsidRDefault="000C5575" w:rsidP="00D736C2">
      <w:pPr>
        <w:pStyle w:val="Prrafodelista"/>
        <w:numPr>
          <w:ilvl w:val="0"/>
          <w:numId w:val="1"/>
        </w:numPr>
        <w:tabs>
          <w:tab w:val="clear" w:pos="567"/>
          <w:tab w:val="left" w:pos="426"/>
        </w:tabs>
        <w:spacing w:before="240" w:after="240" w:line="360" w:lineRule="auto"/>
        <w:ind w:left="0" w:hanging="11"/>
        <w:jc w:val="both"/>
        <w:rPr>
          <w:rFonts w:ascii="Palatino Linotype" w:hAnsi="Palatino Linotype"/>
          <w:b/>
          <w:color w:val="000000" w:themeColor="text1"/>
        </w:rPr>
      </w:pPr>
      <w:r w:rsidRPr="00D736C2">
        <w:rPr>
          <w:rFonts w:ascii="Palatino Linotype" w:hAnsi="Palatino Linotype"/>
        </w:rPr>
        <w:t xml:space="preserve">Posteriormente, en la Cuadragésima Segunda Sesión Ordinaria de fecha </w:t>
      </w:r>
      <w:r w:rsidR="00D035AB" w:rsidRPr="00D736C2">
        <w:rPr>
          <w:rFonts w:ascii="Palatino Linotype" w:hAnsi="Palatino Linotype"/>
        </w:rPr>
        <w:t>trece</w:t>
      </w:r>
      <w:r w:rsidRPr="00D736C2">
        <w:rPr>
          <w:rFonts w:ascii="Palatino Linotype" w:hAnsi="Palatino Linotype"/>
        </w:rPr>
        <w:t xml:space="preserve"> (</w:t>
      </w:r>
      <w:r w:rsidR="00D035AB" w:rsidRPr="00D736C2">
        <w:rPr>
          <w:rFonts w:ascii="Palatino Linotype" w:hAnsi="Palatino Linotype"/>
        </w:rPr>
        <w:t>13</w:t>
      </w:r>
      <w:r w:rsidRPr="00D736C2">
        <w:rPr>
          <w:rFonts w:ascii="Palatino Linotype" w:hAnsi="Palatino Linotype"/>
        </w:rPr>
        <w:t xml:space="preserve">) de </w:t>
      </w:r>
      <w:r w:rsidR="00D035AB" w:rsidRPr="00D736C2">
        <w:rPr>
          <w:rFonts w:ascii="Palatino Linotype" w:hAnsi="Palatino Linotype"/>
        </w:rPr>
        <w:t>noviembre</w:t>
      </w:r>
      <w:r w:rsidRPr="00D736C2">
        <w:rPr>
          <w:rFonts w:ascii="Palatino Linotype" w:hAnsi="Palatino Linotype"/>
        </w:rPr>
        <w:t xml:space="preserve"> de dos mil diecinueve, en términos del artículo 63 de los </w:t>
      </w:r>
      <w:r w:rsidRPr="00D736C2">
        <w:rPr>
          <w:rFonts w:ascii="Palatino Linotype" w:hAnsi="Palatino Linotype"/>
          <w:b/>
        </w:rPr>
        <w:t>Lineamientos para el funcionamiento del Pleno y las Comisiones del Instituto de Transparencia, Acceso a la Información Pública y Protección de Datos Personales del Estado de México y Municipios</w:t>
      </w:r>
      <w:r w:rsidRPr="00D736C2">
        <w:rPr>
          <w:rFonts w:ascii="Palatino Linotype" w:hAnsi="Palatino Linotype"/>
        </w:rPr>
        <w:t xml:space="preserve">, y conforme al registro de </w:t>
      </w:r>
      <w:proofErr w:type="spellStart"/>
      <w:r w:rsidRPr="00D736C2">
        <w:rPr>
          <w:rFonts w:ascii="Palatino Linotype" w:hAnsi="Palatino Linotype"/>
        </w:rPr>
        <w:t>returnos</w:t>
      </w:r>
      <w:proofErr w:type="spellEnd"/>
      <w:r w:rsidRPr="00D736C2">
        <w:rPr>
          <w:rFonts w:ascii="Palatino Linotype" w:hAnsi="Palatino Linotype"/>
        </w:rPr>
        <w:t xml:space="preserve"> que lleva la Secretaría Técnica de este Instituto se </w:t>
      </w:r>
      <w:proofErr w:type="spellStart"/>
      <w:r w:rsidR="00D035AB" w:rsidRPr="00D736C2">
        <w:rPr>
          <w:rFonts w:ascii="Palatino Linotype" w:hAnsi="Palatino Linotype"/>
        </w:rPr>
        <w:t>returnó</w:t>
      </w:r>
      <w:proofErr w:type="spellEnd"/>
      <w:r w:rsidR="00D035AB" w:rsidRPr="00D736C2">
        <w:rPr>
          <w:rFonts w:ascii="Palatino Linotype" w:hAnsi="Palatino Linotype"/>
        </w:rPr>
        <w:t xml:space="preserve"> </w:t>
      </w:r>
      <w:r w:rsidRPr="00D736C2">
        <w:rPr>
          <w:rFonts w:ascii="Palatino Linotype" w:hAnsi="Palatino Linotype"/>
        </w:rPr>
        <w:t xml:space="preserve">el </w:t>
      </w:r>
      <w:r w:rsidR="00D035AB" w:rsidRPr="00D736C2">
        <w:rPr>
          <w:rFonts w:ascii="Palatino Linotype" w:hAnsi="Palatino Linotype"/>
        </w:rPr>
        <w:t>recurso de revisión</w:t>
      </w:r>
      <w:r w:rsidRPr="00D736C2">
        <w:rPr>
          <w:rFonts w:ascii="Palatino Linotype" w:hAnsi="Palatino Linotype"/>
        </w:rPr>
        <w:t xml:space="preserve"> que ahora nos ocupa al Comisionado </w:t>
      </w:r>
      <w:r w:rsidRPr="00D736C2">
        <w:rPr>
          <w:rFonts w:ascii="Palatino Linotype" w:hAnsi="Palatino Linotype"/>
          <w:b/>
          <w:bCs/>
        </w:rPr>
        <w:t xml:space="preserve">JOSÉ GUADALUPE LUNA HERNÁNDEZ </w:t>
      </w:r>
      <w:r w:rsidRPr="00D736C2">
        <w:rPr>
          <w:rFonts w:ascii="Palatino Linotype" w:hAnsi="Palatino Linotype"/>
        </w:rPr>
        <w:t xml:space="preserve">para </w:t>
      </w:r>
      <w:r w:rsidR="00D035AB" w:rsidRPr="00D736C2">
        <w:rPr>
          <w:rFonts w:ascii="Palatino Linotype" w:hAnsi="Palatino Linotype"/>
        </w:rPr>
        <w:t>la elaboración de</w:t>
      </w:r>
      <w:r w:rsidRPr="00D736C2">
        <w:rPr>
          <w:rFonts w:ascii="Palatino Linotype" w:hAnsi="Palatino Linotype"/>
        </w:rPr>
        <w:t xml:space="preserve"> la resolución correspondiente.</w:t>
      </w:r>
    </w:p>
    <w:p w14:paraId="261C1CA3" w14:textId="77777777" w:rsidR="005163C4" w:rsidRPr="00D736C2" w:rsidRDefault="005163C4" w:rsidP="00D736C2">
      <w:pPr>
        <w:pStyle w:val="Prrafodelista"/>
        <w:spacing w:after="240" w:line="360" w:lineRule="auto"/>
        <w:ind w:left="0"/>
        <w:rPr>
          <w:rFonts w:ascii="Palatino Linotype" w:hAnsi="Palatino Linotype"/>
          <w:b/>
          <w:color w:val="000000" w:themeColor="text1"/>
        </w:rPr>
      </w:pPr>
    </w:p>
    <w:p w14:paraId="770B50E1" w14:textId="2AFBFAB7" w:rsidR="005163C4" w:rsidRPr="00D736C2" w:rsidRDefault="005163C4" w:rsidP="00D736C2">
      <w:pPr>
        <w:pStyle w:val="Prrafodelista"/>
        <w:numPr>
          <w:ilvl w:val="0"/>
          <w:numId w:val="1"/>
        </w:numPr>
        <w:tabs>
          <w:tab w:val="clear" w:pos="567"/>
          <w:tab w:val="left" w:pos="426"/>
        </w:tabs>
        <w:spacing w:before="240" w:after="240" w:line="360" w:lineRule="auto"/>
        <w:ind w:left="0" w:hanging="11"/>
        <w:jc w:val="both"/>
        <w:rPr>
          <w:rFonts w:ascii="Palatino Linotype" w:hAnsi="Palatino Linotype"/>
          <w:b/>
          <w:color w:val="000000" w:themeColor="text1"/>
        </w:rPr>
      </w:pPr>
      <w:r w:rsidRPr="00D736C2">
        <w:rPr>
          <w:rFonts w:ascii="Palatino Linotype" w:hAnsi="Palatino Linotype"/>
          <w:color w:val="000000" w:themeColor="text1"/>
        </w:rPr>
        <w:t xml:space="preserve">El día diecinueve (19) de noviembre de </w:t>
      </w:r>
      <w:r w:rsidRPr="00D736C2">
        <w:rPr>
          <w:rFonts w:ascii="Palatino Linotype" w:eastAsia="Calibri" w:hAnsi="Palatino Linotype" w:cs="Arial"/>
          <w:color w:val="000000" w:themeColor="text1"/>
          <w:lang w:val="es-ES"/>
        </w:rPr>
        <w:t xml:space="preserve">dos mil diecinueve, </w:t>
      </w:r>
      <w:r w:rsidRPr="00D736C2">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0950EFA1" w14:textId="77777777" w:rsidR="005163C4" w:rsidRPr="00D736C2" w:rsidRDefault="005163C4" w:rsidP="00D736C2">
      <w:pPr>
        <w:pStyle w:val="Prrafodelista"/>
        <w:tabs>
          <w:tab w:val="left" w:pos="426"/>
        </w:tabs>
        <w:spacing w:after="240" w:line="360" w:lineRule="auto"/>
        <w:ind w:left="0"/>
        <w:jc w:val="both"/>
        <w:rPr>
          <w:rFonts w:ascii="Palatino Linotype" w:hAnsi="Palatino Linotype"/>
          <w:b/>
          <w:color w:val="000000" w:themeColor="text1"/>
          <w:sz w:val="12"/>
        </w:rPr>
      </w:pPr>
    </w:p>
    <w:p w14:paraId="216E385F" w14:textId="1291F9EE" w:rsidR="00962E79" w:rsidRPr="00D736C2" w:rsidRDefault="00962E79" w:rsidP="00D736C2">
      <w:pPr>
        <w:pStyle w:val="Ttulo1"/>
        <w:tabs>
          <w:tab w:val="left" w:pos="567"/>
        </w:tabs>
        <w:spacing w:after="240" w:line="360" w:lineRule="auto"/>
        <w:jc w:val="center"/>
        <w:rPr>
          <w:b w:val="0"/>
          <w:szCs w:val="24"/>
        </w:rPr>
      </w:pPr>
      <w:bookmarkStart w:id="59" w:name="_Toc25255396"/>
      <w:r w:rsidRPr="00D736C2">
        <w:rPr>
          <w:szCs w:val="24"/>
        </w:rPr>
        <w:t>CONSIDERANDO</w:t>
      </w:r>
      <w:bookmarkEnd w:id="5"/>
      <w:bookmarkEnd w:id="59"/>
    </w:p>
    <w:p w14:paraId="1C754B23" w14:textId="77777777" w:rsidR="00962E79" w:rsidRPr="00D736C2" w:rsidRDefault="00962E79" w:rsidP="00D736C2">
      <w:pPr>
        <w:pStyle w:val="Ttulo1"/>
        <w:tabs>
          <w:tab w:val="left" w:pos="567"/>
        </w:tabs>
        <w:spacing w:line="360" w:lineRule="auto"/>
        <w:rPr>
          <w:b w:val="0"/>
          <w:bCs/>
          <w:spacing w:val="60"/>
          <w:szCs w:val="24"/>
        </w:rPr>
      </w:pPr>
      <w:bookmarkStart w:id="60" w:name="_Toc473812224"/>
      <w:bookmarkStart w:id="61" w:name="_Toc495430769"/>
      <w:bookmarkStart w:id="62" w:name="_Toc25255397"/>
      <w:r w:rsidRPr="00D736C2">
        <w:rPr>
          <w:szCs w:val="24"/>
        </w:rPr>
        <w:t>PRIMERO. De la competencia</w:t>
      </w:r>
      <w:bookmarkEnd w:id="60"/>
      <w:bookmarkEnd w:id="61"/>
      <w:bookmarkEnd w:id="62"/>
    </w:p>
    <w:p w14:paraId="5DFB4714" w14:textId="77777777" w:rsidR="00962E79" w:rsidRPr="00D736C2" w:rsidRDefault="00962E79" w:rsidP="00D736C2">
      <w:pPr>
        <w:pStyle w:val="Prrafodelista"/>
        <w:tabs>
          <w:tab w:val="left" w:pos="567"/>
        </w:tabs>
        <w:spacing w:line="360" w:lineRule="auto"/>
        <w:ind w:left="0"/>
        <w:jc w:val="both"/>
        <w:rPr>
          <w:rFonts w:ascii="Palatino Linotype" w:hAnsi="Palatino Linotype"/>
          <w:color w:val="000000"/>
          <w:sz w:val="12"/>
        </w:rPr>
      </w:pPr>
    </w:p>
    <w:p w14:paraId="0873CBF9" w14:textId="4FC9CC66" w:rsidR="00DA59C7" w:rsidRPr="00D736C2" w:rsidRDefault="00F34201" w:rsidP="00D736C2">
      <w:pPr>
        <w:pStyle w:val="Prrafodelista"/>
        <w:numPr>
          <w:ilvl w:val="0"/>
          <w:numId w:val="1"/>
        </w:numPr>
        <w:tabs>
          <w:tab w:val="left" w:pos="426"/>
        </w:tabs>
        <w:spacing w:line="360" w:lineRule="auto"/>
        <w:ind w:left="0"/>
        <w:jc w:val="both"/>
        <w:rPr>
          <w:rFonts w:ascii="Palatino Linotype" w:hAnsi="Palatino Linotype"/>
          <w:color w:val="000000"/>
        </w:rPr>
      </w:pPr>
      <w:r w:rsidRPr="00D736C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w:t>
      </w:r>
      <w:r w:rsidRPr="00D736C2">
        <w:rPr>
          <w:rFonts w:ascii="Palatino Linotype" w:eastAsia="Calibri" w:hAnsi="Palatino Linotype" w:cs="Times New Roman"/>
          <w:lang w:val="es-ES"/>
        </w:rPr>
        <w:lastRenderedPageBreak/>
        <w:t xml:space="preserve">resolver del presente recurso de conformidad con el artículo: 6, apartado A, fracción IV de la </w:t>
      </w:r>
      <w:r w:rsidRPr="00D736C2">
        <w:rPr>
          <w:rFonts w:ascii="Palatino Linotype" w:eastAsia="Calibri" w:hAnsi="Palatino Linotype" w:cs="Times New Roman"/>
          <w:b/>
          <w:lang w:val="es-ES"/>
        </w:rPr>
        <w:t>Constitución Política de los Estados Unidos Mexicanos</w:t>
      </w:r>
      <w:r w:rsidRPr="00D736C2">
        <w:rPr>
          <w:rFonts w:ascii="Palatino Linotype" w:eastAsia="Calibri" w:hAnsi="Palatino Linotype" w:cs="Times New Roman"/>
          <w:lang w:val="es-ES"/>
        </w:rPr>
        <w:t xml:space="preserve">; 5, </w:t>
      </w:r>
      <w:r w:rsidR="0089468F" w:rsidRPr="00D736C2">
        <w:rPr>
          <w:rFonts w:ascii="Palatino Linotype" w:eastAsia="Calibri" w:hAnsi="Palatino Linotype" w:cs="Times New Roman"/>
          <w:color w:val="000000" w:themeColor="text1"/>
          <w:lang w:val="es-ES"/>
        </w:rPr>
        <w:t xml:space="preserve">párrafos vigésimo segundo, vigésimo tercero y vigésimo cuarto fracciones IV y V de la </w:t>
      </w:r>
      <w:r w:rsidRPr="00D736C2">
        <w:rPr>
          <w:rFonts w:ascii="Palatino Linotype" w:eastAsia="Calibri" w:hAnsi="Palatino Linotype" w:cs="Times New Roman"/>
          <w:b/>
          <w:lang w:val="es-ES"/>
        </w:rPr>
        <w:t>Constitución Política del Estado Libre y Soberano de México</w:t>
      </w:r>
      <w:r w:rsidRPr="00D736C2">
        <w:rPr>
          <w:rFonts w:ascii="Palatino Linotype" w:eastAsia="Calibri" w:hAnsi="Palatino Linotype" w:cs="Times New Roman"/>
          <w:lang w:val="es-ES"/>
        </w:rPr>
        <w:t xml:space="preserve">; artículos 1, 2 fracción II, 13, 29, 36 fracciones I y II, 176, 178, 179, 181 párrafo tercero y 185 </w:t>
      </w:r>
      <w:r w:rsidRPr="00D736C2">
        <w:rPr>
          <w:rFonts w:ascii="Palatino Linotype" w:eastAsia="Calibri" w:hAnsi="Palatino Linotype" w:cs="Arial"/>
          <w:lang w:val="es-ES"/>
        </w:rPr>
        <w:t xml:space="preserve">de la </w:t>
      </w:r>
      <w:r w:rsidRPr="00D736C2">
        <w:rPr>
          <w:rFonts w:ascii="Palatino Linotype" w:eastAsia="Calibri" w:hAnsi="Palatino Linotype" w:cs="Arial"/>
          <w:b/>
          <w:lang w:val="es-ES"/>
        </w:rPr>
        <w:t>Ley de Transparencia y Acceso a la Información Pública del Estado de México y Municipios</w:t>
      </w:r>
      <w:r w:rsidRPr="00D736C2">
        <w:rPr>
          <w:rFonts w:ascii="Palatino Linotype" w:eastAsia="Calibri" w:hAnsi="Palatino Linotype" w:cs="Arial"/>
          <w:lang w:val="es-ES"/>
        </w:rPr>
        <w:t xml:space="preserve">; y </w:t>
      </w:r>
      <w:r w:rsidR="00011036" w:rsidRPr="00D736C2">
        <w:rPr>
          <w:rFonts w:ascii="Palatino Linotype" w:eastAsia="Calibri" w:hAnsi="Palatino Linotype" w:cs="Arial"/>
          <w:lang w:val="es-ES"/>
        </w:rPr>
        <w:t xml:space="preserve">10, </w:t>
      </w:r>
      <w:r w:rsidRPr="00D736C2">
        <w:rPr>
          <w:rFonts w:ascii="Palatino Linotype" w:eastAsia="Calibri" w:hAnsi="Palatino Linotype" w:cs="Arial"/>
          <w:lang w:val="es-ES"/>
        </w:rPr>
        <w:t xml:space="preserve">7, 9 fracciones I y XXIV, y 11 del </w:t>
      </w:r>
      <w:r w:rsidRPr="00D736C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736C2">
        <w:rPr>
          <w:rFonts w:ascii="Palatino Linotype" w:hAnsi="Palatino Linotype"/>
        </w:rPr>
        <w:t>.</w:t>
      </w:r>
    </w:p>
    <w:p w14:paraId="522CEB67" w14:textId="77777777" w:rsidR="002E4871" w:rsidRPr="00D736C2" w:rsidRDefault="002E4871" w:rsidP="00D736C2">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D736C2" w:rsidRDefault="00F34201" w:rsidP="00D736C2">
      <w:pPr>
        <w:pStyle w:val="Ttulo1"/>
        <w:tabs>
          <w:tab w:val="left" w:pos="567"/>
        </w:tabs>
        <w:spacing w:before="0" w:line="360" w:lineRule="auto"/>
        <w:rPr>
          <w:szCs w:val="24"/>
        </w:rPr>
      </w:pPr>
      <w:bookmarkStart w:id="63" w:name="_Toc471845444"/>
      <w:bookmarkStart w:id="64" w:name="_Toc473812225"/>
      <w:bookmarkStart w:id="65" w:name="_Toc495430770"/>
      <w:bookmarkStart w:id="66" w:name="_Toc25255398"/>
      <w:r w:rsidRPr="00D736C2">
        <w:rPr>
          <w:szCs w:val="24"/>
        </w:rPr>
        <w:t>SEGUNDO. De la oportunidad y proced</w:t>
      </w:r>
      <w:r w:rsidR="00903242" w:rsidRPr="00D736C2">
        <w:rPr>
          <w:szCs w:val="24"/>
        </w:rPr>
        <w:t>encia</w:t>
      </w:r>
      <w:r w:rsidRPr="00D736C2">
        <w:rPr>
          <w:szCs w:val="24"/>
        </w:rPr>
        <w:t>.</w:t>
      </w:r>
      <w:bookmarkEnd w:id="63"/>
      <w:bookmarkEnd w:id="64"/>
      <w:bookmarkEnd w:id="65"/>
      <w:bookmarkEnd w:id="66"/>
    </w:p>
    <w:p w14:paraId="195EC81A" w14:textId="2891151F" w:rsidR="00F34201" w:rsidRPr="00D736C2" w:rsidRDefault="00F34201" w:rsidP="00D736C2">
      <w:pPr>
        <w:pStyle w:val="Prrafodelista"/>
        <w:tabs>
          <w:tab w:val="left" w:pos="567"/>
        </w:tabs>
        <w:spacing w:line="360" w:lineRule="auto"/>
        <w:ind w:left="0"/>
        <w:jc w:val="both"/>
        <w:rPr>
          <w:rFonts w:ascii="Palatino Linotype" w:hAnsi="Palatino Linotype"/>
          <w:b/>
          <w:color w:val="000000" w:themeColor="text1"/>
        </w:rPr>
      </w:pPr>
    </w:p>
    <w:p w14:paraId="30832C9F" w14:textId="77777777" w:rsidR="00D14F0C" w:rsidRPr="00D736C2" w:rsidRDefault="00D14F0C" w:rsidP="00D736C2">
      <w:pPr>
        <w:pStyle w:val="Prrafodelista"/>
        <w:numPr>
          <w:ilvl w:val="0"/>
          <w:numId w:val="1"/>
        </w:numPr>
        <w:tabs>
          <w:tab w:val="left" w:pos="426"/>
          <w:tab w:val="left" w:pos="567"/>
        </w:tabs>
        <w:spacing w:line="360" w:lineRule="auto"/>
        <w:ind w:left="0"/>
        <w:jc w:val="both"/>
        <w:rPr>
          <w:rFonts w:ascii="Palatino Linotype" w:hAnsi="Palatino Linotype"/>
          <w:color w:val="000000" w:themeColor="text1"/>
        </w:rPr>
      </w:pPr>
      <w:bookmarkStart w:id="67" w:name="_Toc463524052"/>
      <w:bookmarkStart w:id="68" w:name="_Toc468394898"/>
      <w:r w:rsidRPr="00D736C2">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736C2">
        <w:rPr>
          <w:rFonts w:ascii="Palatino Linotype" w:eastAsia="Calibri" w:hAnsi="Palatino Linotype" w:cs="Times New Roman"/>
          <w:b/>
          <w:color w:val="000000" w:themeColor="text1"/>
          <w:lang w:val="es-ES"/>
        </w:rPr>
        <w:t>Constitución Política de los Estados Unidos Mexicanos</w:t>
      </w:r>
      <w:r w:rsidRPr="00D736C2">
        <w:rPr>
          <w:rFonts w:ascii="Palatino Linotype" w:eastAsia="Calibri" w:hAnsi="Palatino Linotype" w:cs="Times New Roman"/>
          <w:color w:val="000000" w:themeColor="text1"/>
          <w:lang w:val="es-ES"/>
        </w:rPr>
        <w:t xml:space="preserve">; 5, párrafos vigésimo primero y vigésimo segundo fracciones IV y V de la </w:t>
      </w:r>
      <w:r w:rsidRPr="00D736C2">
        <w:rPr>
          <w:rFonts w:ascii="Palatino Linotype" w:eastAsia="Calibri" w:hAnsi="Palatino Linotype" w:cs="Times New Roman"/>
          <w:b/>
          <w:color w:val="000000" w:themeColor="text1"/>
          <w:lang w:val="es-ES"/>
        </w:rPr>
        <w:t>Constitución Política del Estado Libre y Soberano de México</w:t>
      </w:r>
      <w:r w:rsidRPr="00D736C2">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736C2">
        <w:rPr>
          <w:rFonts w:ascii="Palatino Linotype" w:eastAsia="Calibri" w:hAnsi="Palatino Linotype" w:cs="Arial"/>
          <w:color w:val="000000" w:themeColor="text1"/>
          <w:lang w:val="es-ES"/>
        </w:rPr>
        <w:t xml:space="preserve">de la </w:t>
      </w:r>
      <w:r w:rsidRPr="00D736C2">
        <w:rPr>
          <w:rFonts w:ascii="Palatino Linotype" w:eastAsia="Calibri" w:hAnsi="Palatino Linotype" w:cs="Arial"/>
          <w:b/>
          <w:color w:val="000000" w:themeColor="text1"/>
          <w:lang w:val="es-ES"/>
        </w:rPr>
        <w:t>Ley de Transparencia y Acceso a la Información Pública del Estado de México y Municipios</w:t>
      </w:r>
      <w:r w:rsidRPr="00D736C2">
        <w:rPr>
          <w:rFonts w:ascii="Palatino Linotype" w:eastAsia="Calibri" w:hAnsi="Palatino Linotype" w:cs="Arial"/>
          <w:color w:val="000000" w:themeColor="text1"/>
          <w:lang w:val="es-ES"/>
        </w:rPr>
        <w:t xml:space="preserve">; y 10, 7, 9 fracciones I y XXIV, y 11 del </w:t>
      </w:r>
      <w:r w:rsidRPr="00D736C2">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D736C2">
        <w:rPr>
          <w:rFonts w:ascii="Palatino Linotype" w:hAnsi="Palatino Linotype"/>
          <w:color w:val="000000" w:themeColor="text1"/>
        </w:rPr>
        <w:t>.</w:t>
      </w:r>
    </w:p>
    <w:p w14:paraId="3353B01F" w14:textId="77777777" w:rsidR="00D14F0C" w:rsidRPr="00D736C2" w:rsidRDefault="00D14F0C" w:rsidP="00D736C2">
      <w:pPr>
        <w:pStyle w:val="Prrafodelista"/>
        <w:tabs>
          <w:tab w:val="left" w:pos="426"/>
          <w:tab w:val="left" w:pos="567"/>
        </w:tabs>
        <w:spacing w:line="360" w:lineRule="auto"/>
        <w:ind w:left="0"/>
        <w:jc w:val="both"/>
        <w:rPr>
          <w:rFonts w:ascii="Palatino Linotype" w:hAnsi="Palatino Linotype"/>
          <w:color w:val="000000" w:themeColor="text1"/>
        </w:rPr>
      </w:pPr>
    </w:p>
    <w:p w14:paraId="2C985F5E" w14:textId="77777777" w:rsidR="00D14F0C" w:rsidRPr="00D736C2" w:rsidRDefault="00D14F0C" w:rsidP="00D736C2">
      <w:pPr>
        <w:pStyle w:val="Ttulo1"/>
        <w:tabs>
          <w:tab w:val="left" w:pos="567"/>
        </w:tabs>
        <w:spacing w:before="0" w:line="360" w:lineRule="auto"/>
        <w:rPr>
          <w:szCs w:val="24"/>
        </w:rPr>
      </w:pPr>
      <w:bookmarkStart w:id="69" w:name="_Toc17386894"/>
      <w:bookmarkStart w:id="70" w:name="_Toc25255399"/>
      <w:r w:rsidRPr="00D736C2">
        <w:rPr>
          <w:szCs w:val="24"/>
        </w:rPr>
        <w:t>SEGUNDO. De la oportunidad y procedencia.</w:t>
      </w:r>
      <w:bookmarkEnd w:id="69"/>
      <w:bookmarkEnd w:id="70"/>
    </w:p>
    <w:p w14:paraId="6C8F6546" w14:textId="77777777" w:rsidR="00D14F0C" w:rsidRPr="00D736C2" w:rsidRDefault="00D14F0C" w:rsidP="00D736C2">
      <w:pPr>
        <w:pStyle w:val="Prrafodelista"/>
        <w:tabs>
          <w:tab w:val="left" w:pos="567"/>
        </w:tabs>
        <w:spacing w:line="360" w:lineRule="auto"/>
        <w:ind w:left="0"/>
        <w:jc w:val="both"/>
        <w:rPr>
          <w:rFonts w:ascii="Palatino Linotype" w:hAnsi="Palatino Linotype"/>
          <w:b/>
          <w:color w:val="000000" w:themeColor="text1"/>
        </w:rPr>
      </w:pPr>
    </w:p>
    <w:p w14:paraId="542D1D3F" w14:textId="0B40E6F2" w:rsidR="00D14F0C" w:rsidRPr="00D736C2" w:rsidRDefault="00D14F0C" w:rsidP="00D736C2">
      <w:pPr>
        <w:pStyle w:val="Prrafodelista"/>
        <w:numPr>
          <w:ilvl w:val="0"/>
          <w:numId w:val="1"/>
        </w:numPr>
        <w:tabs>
          <w:tab w:val="left" w:pos="567"/>
        </w:tabs>
        <w:spacing w:before="240" w:after="240" w:line="360" w:lineRule="auto"/>
        <w:ind w:left="0"/>
        <w:jc w:val="both"/>
        <w:rPr>
          <w:rFonts w:ascii="Palatino Linotype" w:hAnsi="Palatino Linotype"/>
          <w:b/>
          <w:color w:val="000000" w:themeColor="text1"/>
        </w:rPr>
      </w:pPr>
      <w:r w:rsidRPr="00D736C2">
        <w:rPr>
          <w:rFonts w:ascii="Palatino Linotype" w:eastAsia="Calibri" w:hAnsi="Palatino Linotype" w:cs="Arial"/>
          <w:color w:val="000000" w:themeColor="text1"/>
        </w:rPr>
        <w:lastRenderedPageBreak/>
        <w:t>El medio de impugnación fue presentado a través del Sistema de Acceso a la Información Mexiquense (SAIMEX)</w:t>
      </w:r>
      <w:r w:rsidRPr="00D736C2">
        <w:rPr>
          <w:rFonts w:ascii="Palatino Linotype" w:eastAsia="Calibri" w:hAnsi="Palatino Linotype" w:cs="Arial"/>
          <w:b/>
          <w:color w:val="000000" w:themeColor="text1"/>
        </w:rPr>
        <w:t>,</w:t>
      </w:r>
      <w:r w:rsidRPr="00D736C2">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D736C2">
        <w:rPr>
          <w:rFonts w:ascii="Palatino Linotype" w:eastAsia="Calibri" w:hAnsi="Palatino Linotype" w:cs="Arial"/>
          <w:b/>
          <w:color w:val="000000" w:themeColor="text1"/>
        </w:rPr>
        <w:t>SUJETO OBLIGADO</w:t>
      </w:r>
      <w:r w:rsidRPr="00D736C2">
        <w:rPr>
          <w:rFonts w:ascii="Palatino Linotype" w:eastAsia="Calibri" w:hAnsi="Palatino Linotype" w:cs="Arial"/>
          <w:color w:val="000000" w:themeColor="text1"/>
        </w:rPr>
        <w:t xml:space="preserve"> entregó respuesta el día </w:t>
      </w:r>
      <w:r w:rsidR="00D035AB" w:rsidRPr="00D736C2">
        <w:rPr>
          <w:rFonts w:ascii="Palatino Linotype" w:eastAsia="Times New Roman" w:hAnsi="Palatino Linotype" w:cs="Arial"/>
          <w:color w:val="000000" w:themeColor="text1"/>
          <w:lang w:val="es-ES"/>
        </w:rPr>
        <w:t>diec</w:t>
      </w:r>
      <w:r w:rsidR="00E44BEB" w:rsidRPr="00D736C2">
        <w:rPr>
          <w:rFonts w:ascii="Palatino Linotype" w:eastAsia="Times New Roman" w:hAnsi="Palatino Linotype" w:cs="Arial"/>
          <w:color w:val="000000" w:themeColor="text1"/>
          <w:lang w:val="es-ES"/>
        </w:rPr>
        <w:t xml:space="preserve">iocho </w:t>
      </w:r>
      <w:r w:rsidRPr="00D736C2">
        <w:rPr>
          <w:rFonts w:ascii="Palatino Linotype" w:eastAsia="Times New Roman" w:hAnsi="Palatino Linotype" w:cs="Arial"/>
          <w:color w:val="000000" w:themeColor="text1"/>
          <w:lang w:val="es-ES"/>
        </w:rPr>
        <w:t>(</w:t>
      </w:r>
      <w:r w:rsidR="00D035AB" w:rsidRPr="00D736C2">
        <w:rPr>
          <w:rFonts w:ascii="Palatino Linotype" w:eastAsia="Times New Roman" w:hAnsi="Palatino Linotype" w:cs="Arial"/>
          <w:color w:val="000000" w:themeColor="text1"/>
          <w:lang w:val="es-ES"/>
        </w:rPr>
        <w:t>1</w:t>
      </w:r>
      <w:r w:rsidR="00E44BEB" w:rsidRPr="00D736C2">
        <w:rPr>
          <w:rFonts w:ascii="Palatino Linotype" w:eastAsia="Times New Roman" w:hAnsi="Palatino Linotype" w:cs="Arial"/>
          <w:color w:val="000000" w:themeColor="text1"/>
          <w:lang w:val="es-ES"/>
        </w:rPr>
        <w:t>8</w:t>
      </w:r>
      <w:r w:rsidRPr="00D736C2">
        <w:rPr>
          <w:rFonts w:ascii="Palatino Linotype" w:eastAsia="Times New Roman" w:hAnsi="Palatino Linotype" w:cs="Arial"/>
          <w:color w:val="000000" w:themeColor="text1"/>
          <w:lang w:val="es-ES"/>
        </w:rPr>
        <w:t xml:space="preserve">) de </w:t>
      </w:r>
      <w:r w:rsidR="00D035AB" w:rsidRPr="00D736C2">
        <w:rPr>
          <w:rFonts w:ascii="Palatino Linotype" w:eastAsia="Times New Roman" w:hAnsi="Palatino Linotype" w:cs="Arial"/>
          <w:color w:val="000000" w:themeColor="text1"/>
          <w:lang w:val="es-ES"/>
        </w:rPr>
        <w:t>septiembre</w:t>
      </w:r>
      <w:r w:rsidRPr="00D736C2">
        <w:rPr>
          <w:rFonts w:ascii="Palatino Linotype" w:eastAsia="Times New Roman" w:hAnsi="Palatino Linotype" w:cs="Arial"/>
          <w:color w:val="000000" w:themeColor="text1"/>
          <w:lang w:val="es-ES"/>
        </w:rPr>
        <w:t xml:space="preserve"> de dos mil diecinueve</w:t>
      </w:r>
      <w:r w:rsidRPr="00D736C2">
        <w:rPr>
          <w:rFonts w:ascii="Palatino Linotype" w:eastAsia="Calibri" w:hAnsi="Palatino Linotype" w:cs="Arial"/>
          <w:color w:val="000000" w:themeColor="text1"/>
        </w:rPr>
        <w:t xml:space="preserve">, </w:t>
      </w:r>
      <w:r w:rsidRPr="00D736C2">
        <w:rPr>
          <w:rFonts w:ascii="Palatino Linotype" w:hAnsi="Palatino Linotype" w:cs="Arial"/>
          <w:color w:val="000000" w:themeColor="text1"/>
        </w:rPr>
        <w:t xml:space="preserve">de tal forma que el plazo para interponer el recurso de revisión transcurrió del día </w:t>
      </w:r>
      <w:r w:rsidR="00E44BEB" w:rsidRPr="00D736C2">
        <w:rPr>
          <w:rFonts w:ascii="Palatino Linotype" w:eastAsia="Times New Roman" w:hAnsi="Palatino Linotype" w:cs="Arial"/>
          <w:color w:val="000000" w:themeColor="text1"/>
          <w:lang w:val="es-ES"/>
        </w:rPr>
        <w:t>uno</w:t>
      </w:r>
      <w:r w:rsidRPr="00D736C2">
        <w:rPr>
          <w:rFonts w:ascii="Palatino Linotype" w:eastAsia="Times New Roman" w:hAnsi="Palatino Linotype" w:cs="Arial"/>
          <w:color w:val="000000" w:themeColor="text1"/>
          <w:lang w:val="es-ES"/>
        </w:rPr>
        <w:t xml:space="preserve"> </w:t>
      </w:r>
      <w:r w:rsidR="00DA715B" w:rsidRPr="00D736C2">
        <w:rPr>
          <w:rFonts w:ascii="Palatino Linotype" w:hAnsi="Palatino Linotype" w:cs="Arial"/>
          <w:color w:val="000000" w:themeColor="text1"/>
        </w:rPr>
        <w:t>diecinueve</w:t>
      </w:r>
      <w:r w:rsidR="00DA715B" w:rsidRPr="00D736C2">
        <w:rPr>
          <w:rFonts w:ascii="Palatino Linotype" w:eastAsia="Times New Roman" w:hAnsi="Palatino Linotype" w:cs="Arial"/>
          <w:color w:val="000000" w:themeColor="text1"/>
          <w:lang w:val="es-ES"/>
        </w:rPr>
        <w:t xml:space="preserve"> (19) de noviembre </w:t>
      </w:r>
      <w:r w:rsidRPr="00D736C2">
        <w:rPr>
          <w:rFonts w:ascii="Palatino Linotype" w:eastAsia="Times New Roman" w:hAnsi="Palatino Linotype" w:cs="Arial"/>
          <w:color w:val="000000" w:themeColor="text1"/>
          <w:lang w:val="es-ES"/>
        </w:rPr>
        <w:t>de dos mil diecinueve</w:t>
      </w:r>
      <w:r w:rsidRPr="00D736C2">
        <w:rPr>
          <w:rFonts w:ascii="Palatino Linotype" w:hAnsi="Palatino Linotype" w:cs="Arial"/>
          <w:color w:val="000000" w:themeColor="text1"/>
        </w:rPr>
        <w:t xml:space="preserve"> al </w:t>
      </w:r>
      <w:r w:rsidR="00DA715B" w:rsidRPr="00D736C2">
        <w:rPr>
          <w:rFonts w:ascii="Palatino Linotype" w:eastAsia="Times New Roman" w:hAnsi="Palatino Linotype" w:cs="Arial"/>
          <w:color w:val="000000" w:themeColor="text1"/>
          <w:lang w:val="es-ES"/>
        </w:rPr>
        <w:t>nueve</w:t>
      </w:r>
      <w:r w:rsidR="00DA715B" w:rsidRPr="00D736C2">
        <w:rPr>
          <w:rFonts w:ascii="Palatino Linotype" w:hAnsi="Palatino Linotype" w:cs="Arial"/>
          <w:color w:val="000000" w:themeColor="text1"/>
        </w:rPr>
        <w:t xml:space="preserve"> </w:t>
      </w:r>
      <w:r w:rsidRPr="00D736C2">
        <w:rPr>
          <w:rFonts w:ascii="Palatino Linotype" w:hAnsi="Palatino Linotype" w:cs="Arial"/>
          <w:color w:val="000000" w:themeColor="text1"/>
        </w:rPr>
        <w:t>(0</w:t>
      </w:r>
      <w:r w:rsidR="00DA715B" w:rsidRPr="00D736C2">
        <w:rPr>
          <w:rFonts w:ascii="Palatino Linotype" w:hAnsi="Palatino Linotype" w:cs="Arial"/>
          <w:color w:val="000000" w:themeColor="text1"/>
        </w:rPr>
        <w:t>9</w:t>
      </w:r>
      <w:r w:rsidRPr="00D736C2">
        <w:rPr>
          <w:rFonts w:ascii="Palatino Linotype" w:hAnsi="Palatino Linotype" w:cs="Arial"/>
          <w:color w:val="000000" w:themeColor="text1"/>
        </w:rPr>
        <w:t xml:space="preserve">) de </w:t>
      </w:r>
      <w:r w:rsidR="00DA715B" w:rsidRPr="00D736C2">
        <w:rPr>
          <w:rFonts w:ascii="Palatino Linotype" w:hAnsi="Palatino Linotype" w:cs="Arial"/>
          <w:color w:val="000000" w:themeColor="text1"/>
        </w:rPr>
        <w:t>diciembre</w:t>
      </w:r>
      <w:r w:rsidRPr="00D736C2">
        <w:rPr>
          <w:rFonts w:ascii="Palatino Linotype" w:hAnsi="Palatino Linotype" w:cs="Arial"/>
          <w:color w:val="000000" w:themeColor="text1"/>
        </w:rPr>
        <w:t xml:space="preserve"> de dos mil </w:t>
      </w:r>
      <w:r w:rsidR="00DA715B" w:rsidRPr="00D736C2">
        <w:rPr>
          <w:rFonts w:ascii="Palatino Linotype" w:hAnsi="Palatino Linotype" w:cs="Arial"/>
          <w:color w:val="000000" w:themeColor="text1"/>
        </w:rPr>
        <w:t>diecinueve</w:t>
      </w:r>
      <w:r w:rsidRPr="00D736C2">
        <w:rPr>
          <w:rFonts w:ascii="Palatino Linotype" w:hAnsi="Palatino Linotype" w:cs="Arial"/>
          <w:color w:val="000000" w:themeColor="text1"/>
        </w:rPr>
        <w:t>;</w:t>
      </w:r>
      <w:r w:rsidRPr="00D736C2">
        <w:rPr>
          <w:rFonts w:ascii="Palatino Linotype" w:eastAsia="Calibri" w:hAnsi="Palatino Linotype" w:cs="Arial"/>
          <w:color w:val="000000" w:themeColor="text1"/>
        </w:rPr>
        <w:t xml:space="preserve"> </w:t>
      </w:r>
      <w:r w:rsidRPr="00D736C2">
        <w:rPr>
          <w:rFonts w:ascii="Palatino Linotype" w:hAnsi="Palatino Linotype" w:cs="Arial"/>
          <w:color w:val="000000" w:themeColor="text1"/>
        </w:rPr>
        <w:t xml:space="preserve">por lo que si presentó su inconformidad el día </w:t>
      </w:r>
      <w:r w:rsidR="00DA715B" w:rsidRPr="00D736C2">
        <w:rPr>
          <w:rFonts w:ascii="Palatino Linotype" w:eastAsia="Times New Roman" w:hAnsi="Palatino Linotype" w:cs="Arial"/>
          <w:color w:val="000000" w:themeColor="text1"/>
          <w:lang w:val="es-ES"/>
        </w:rPr>
        <w:t>veintitrés</w:t>
      </w:r>
      <w:r w:rsidRPr="00D736C2">
        <w:rPr>
          <w:rFonts w:ascii="Palatino Linotype" w:eastAsia="Times New Roman" w:hAnsi="Palatino Linotype" w:cs="Arial"/>
          <w:color w:val="000000" w:themeColor="text1"/>
          <w:lang w:val="es-ES"/>
        </w:rPr>
        <w:t xml:space="preserve"> (</w:t>
      </w:r>
      <w:r w:rsidR="00DA715B" w:rsidRPr="00D736C2">
        <w:rPr>
          <w:rFonts w:ascii="Palatino Linotype" w:eastAsia="Times New Roman" w:hAnsi="Palatino Linotype" w:cs="Arial"/>
          <w:color w:val="000000" w:themeColor="text1"/>
          <w:lang w:val="es-ES"/>
        </w:rPr>
        <w:t>23</w:t>
      </w:r>
      <w:r w:rsidRPr="00D736C2">
        <w:rPr>
          <w:rFonts w:ascii="Palatino Linotype" w:eastAsia="Times New Roman" w:hAnsi="Palatino Linotype" w:cs="Arial"/>
          <w:color w:val="000000" w:themeColor="text1"/>
          <w:lang w:val="es-ES"/>
        </w:rPr>
        <w:t xml:space="preserve">) </w:t>
      </w:r>
      <w:r w:rsidR="00DA715B" w:rsidRPr="00D736C2">
        <w:rPr>
          <w:rFonts w:ascii="Palatino Linotype" w:eastAsia="Times New Roman" w:hAnsi="Palatino Linotype" w:cs="Arial"/>
          <w:color w:val="000000" w:themeColor="text1"/>
          <w:lang w:val="es-ES"/>
        </w:rPr>
        <w:t>de septiembre de dos mil diecinueve</w:t>
      </w:r>
      <w:r w:rsidRPr="00D736C2">
        <w:rPr>
          <w:rFonts w:ascii="Palatino Linotype" w:hAnsi="Palatino Linotype" w:cs="Arial"/>
        </w:rPr>
        <w:t xml:space="preserve">, </w:t>
      </w:r>
      <w:bookmarkStart w:id="71" w:name="_Toc473812226"/>
      <w:bookmarkStart w:id="72" w:name="_Toc482887019"/>
      <w:r w:rsidRPr="00D736C2">
        <w:rPr>
          <w:rFonts w:ascii="Palatino Linotype" w:hAnsi="Palatino Linotype" w:cs="Arial"/>
          <w:color w:val="000000" w:themeColor="text1"/>
        </w:rPr>
        <w:t xml:space="preserve">éste se encuentra dentro de los márgenes temporales previstos en el artículo 178 de la </w:t>
      </w:r>
      <w:r w:rsidRPr="00D736C2">
        <w:rPr>
          <w:rFonts w:ascii="Palatino Linotype" w:hAnsi="Palatino Linotype" w:cs="Arial"/>
          <w:b/>
          <w:color w:val="000000" w:themeColor="text1"/>
        </w:rPr>
        <w:t>Ley de Transparencia y Acceso a la Información Pública del Estado de México y Municipios.</w:t>
      </w:r>
    </w:p>
    <w:p w14:paraId="57C48A00" w14:textId="6D1F2C4E" w:rsidR="00DA715B" w:rsidRPr="00D736C2" w:rsidRDefault="00D14F0C" w:rsidP="00D736C2">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D736C2">
        <w:rPr>
          <w:rFonts w:ascii="Palatino Linotype" w:eastAsia="Calibri" w:hAnsi="Palatino Linotype" w:cs="Arial"/>
        </w:rPr>
        <w:t xml:space="preserve">Por otro lado, </w:t>
      </w:r>
      <w:r w:rsidR="00DA715B" w:rsidRPr="00D736C2">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00DA715B" w:rsidRPr="00D736C2">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00DA715B" w:rsidRPr="00D736C2">
        <w:rPr>
          <w:rFonts w:ascii="Palatino Linotype" w:hAnsi="Palatino Linotype" w:cs="Arial"/>
          <w:lang w:val="es-ES_tradnl"/>
        </w:rPr>
        <w:t>artículo</w:t>
      </w:r>
      <w:r w:rsidR="00DA715B" w:rsidRPr="00D736C2">
        <w:rPr>
          <w:rFonts w:ascii="Palatino Linotype" w:hAnsi="Palatino Linotype" w:cs="Arial"/>
        </w:rPr>
        <w:t xml:space="preserve"> 180 del mismo ordenamiento.</w:t>
      </w:r>
    </w:p>
    <w:p w14:paraId="29EF1278" w14:textId="77777777" w:rsidR="00DA715B" w:rsidRPr="00D736C2" w:rsidRDefault="00DA715B" w:rsidP="00D736C2">
      <w:pPr>
        <w:pStyle w:val="Prrafodelista"/>
        <w:tabs>
          <w:tab w:val="left" w:pos="567"/>
        </w:tabs>
        <w:spacing w:line="360" w:lineRule="auto"/>
        <w:ind w:left="0"/>
        <w:jc w:val="both"/>
        <w:rPr>
          <w:rFonts w:ascii="Palatino Linotype" w:hAnsi="Palatino Linotype"/>
          <w:b/>
        </w:rPr>
      </w:pPr>
    </w:p>
    <w:p w14:paraId="53A451B8" w14:textId="77777777" w:rsidR="00DA715B" w:rsidRPr="00D736C2" w:rsidRDefault="00DA715B" w:rsidP="00D736C2">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D736C2">
        <w:rPr>
          <w:rFonts w:ascii="Palatino Linotype"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I, III, IV y V de la Constitución Política </w:t>
      </w:r>
      <w:r w:rsidRPr="00D736C2">
        <w:rPr>
          <w:rFonts w:ascii="Palatino Linotype" w:hAnsi="Palatino Linotype" w:cs="Arial"/>
          <w:lang w:val="es-ES"/>
        </w:rPr>
        <w:lastRenderedPageBreak/>
        <w:t>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1DFEEA9" w14:textId="77777777" w:rsidR="00DA715B" w:rsidRPr="00D736C2" w:rsidRDefault="00DA715B" w:rsidP="00D736C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6D3BC08" w14:textId="77777777" w:rsidR="00DA715B" w:rsidRPr="00D736C2" w:rsidRDefault="00DA715B" w:rsidP="00D736C2">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D736C2">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3E17BA9" w14:textId="77777777" w:rsidR="00DA715B" w:rsidRPr="00D736C2" w:rsidRDefault="00DA715B" w:rsidP="00D736C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C51ECCB" w14:textId="77777777" w:rsidR="00DA715B" w:rsidRPr="00D736C2" w:rsidRDefault="00DA715B" w:rsidP="00D736C2">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D736C2">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DF5FEE3" w14:textId="77777777" w:rsidR="00DA715B" w:rsidRPr="00D736C2" w:rsidRDefault="00DA715B" w:rsidP="00D736C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1402DD1" w14:textId="77777777" w:rsidR="00DA715B" w:rsidRPr="00D736C2" w:rsidRDefault="00DA715B" w:rsidP="00D736C2">
      <w:pPr>
        <w:pStyle w:val="m3468294172500300143gmail-msolistparagraph"/>
        <w:numPr>
          <w:ilvl w:val="0"/>
          <w:numId w:val="1"/>
        </w:numPr>
        <w:shd w:val="clear" w:color="auto" w:fill="FFFFFF"/>
        <w:tabs>
          <w:tab w:val="clear" w:pos="567"/>
        </w:tabs>
        <w:spacing w:before="0" w:beforeAutospacing="0" w:after="0" w:afterAutospacing="0" w:line="360" w:lineRule="auto"/>
        <w:ind w:left="0"/>
        <w:jc w:val="both"/>
        <w:rPr>
          <w:rFonts w:ascii="Palatino Linotype" w:hAnsi="Palatino Linotype" w:cs="Arial"/>
        </w:rPr>
      </w:pPr>
      <w:r w:rsidRPr="00D736C2">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D736C2">
        <w:rPr>
          <w:rFonts w:ascii="Palatino Linotype" w:eastAsia="Calibri" w:hAnsi="Palatino Linotype" w:cs="Arial"/>
        </w:rPr>
        <w:t xml:space="preserve">por lo que es </w:t>
      </w:r>
      <w:r w:rsidRPr="00D736C2">
        <w:rPr>
          <w:rFonts w:ascii="Palatino Linotype" w:eastAsia="Calibri" w:hAnsi="Palatino Linotype" w:cs="Arial"/>
        </w:rPr>
        <w:lastRenderedPageBreak/>
        <w:t>procedente que este Instituto de Transparencia, Acceso a la Información Pública y Protección de Datos Personales del Estado de México y Municipios, conozca y resuelva el presente recurso.</w:t>
      </w:r>
    </w:p>
    <w:p w14:paraId="4DCCAD4E" w14:textId="77777777" w:rsidR="00D14F0C" w:rsidRPr="00D736C2" w:rsidRDefault="00D14F0C" w:rsidP="00D736C2">
      <w:pPr>
        <w:pStyle w:val="Prrafodelista"/>
        <w:tabs>
          <w:tab w:val="left" w:pos="567"/>
        </w:tabs>
        <w:spacing w:line="360" w:lineRule="auto"/>
        <w:ind w:left="0"/>
        <w:jc w:val="both"/>
        <w:rPr>
          <w:rFonts w:ascii="Palatino Linotype" w:hAnsi="Palatino Linotype"/>
          <w:b/>
          <w:color w:val="000000" w:themeColor="text1"/>
        </w:rPr>
      </w:pPr>
    </w:p>
    <w:p w14:paraId="5DC3B18D" w14:textId="7A3B41A9" w:rsidR="00D14F0C" w:rsidRDefault="00D14F0C" w:rsidP="00D736C2">
      <w:pPr>
        <w:pStyle w:val="Ttulo2"/>
        <w:spacing w:line="360" w:lineRule="auto"/>
        <w:rPr>
          <w:szCs w:val="24"/>
        </w:rPr>
      </w:pPr>
      <w:bookmarkStart w:id="73" w:name="_Toc17386895"/>
      <w:bookmarkStart w:id="74" w:name="_Toc25255400"/>
      <w:r w:rsidRPr="00D736C2">
        <w:rPr>
          <w:szCs w:val="24"/>
        </w:rPr>
        <w:t xml:space="preserve">TERCERO. Del planteamiento de la </w:t>
      </w:r>
      <w:proofErr w:type="spellStart"/>
      <w:r w:rsidRPr="00D736C2">
        <w:rPr>
          <w:szCs w:val="24"/>
        </w:rPr>
        <w:t>litis</w:t>
      </w:r>
      <w:proofErr w:type="spellEnd"/>
      <w:r w:rsidRPr="00D736C2">
        <w:rPr>
          <w:szCs w:val="24"/>
        </w:rPr>
        <w:t>.</w:t>
      </w:r>
      <w:bookmarkEnd w:id="71"/>
      <w:bookmarkEnd w:id="72"/>
      <w:bookmarkEnd w:id="73"/>
      <w:bookmarkEnd w:id="74"/>
    </w:p>
    <w:p w14:paraId="4E52F132" w14:textId="77777777" w:rsidR="00D736C2" w:rsidRPr="00D736C2" w:rsidRDefault="00D736C2" w:rsidP="00D736C2">
      <w:pPr>
        <w:rPr>
          <w:lang w:val="es-MX" w:eastAsia="en-US"/>
        </w:rPr>
      </w:pPr>
    </w:p>
    <w:p w14:paraId="377F4E0F" w14:textId="662FE25D" w:rsidR="00D14F0C" w:rsidRPr="00D736C2" w:rsidRDefault="00D14F0C" w:rsidP="00D736C2">
      <w:pPr>
        <w:pStyle w:val="Prrafodelista"/>
        <w:numPr>
          <w:ilvl w:val="0"/>
          <w:numId w:val="1"/>
        </w:numPr>
        <w:tabs>
          <w:tab w:val="clear" w:pos="567"/>
        </w:tabs>
        <w:spacing w:line="360" w:lineRule="auto"/>
        <w:ind w:left="0"/>
        <w:jc w:val="both"/>
        <w:rPr>
          <w:rFonts w:ascii="Palatino Linotype" w:eastAsia="Times New Roman" w:hAnsi="Palatino Linotype" w:cs="Times New Roman"/>
          <w:lang w:val="es-MX" w:eastAsia="es-MX"/>
        </w:rPr>
      </w:pPr>
      <w:r w:rsidRPr="00D736C2">
        <w:rPr>
          <w:rFonts w:ascii="Palatino Linotype" w:hAnsi="Palatino Linotype"/>
          <w:color w:val="000000" w:themeColor="text1"/>
        </w:rPr>
        <w:t xml:space="preserve">En términos generales </w:t>
      </w:r>
      <w:r w:rsidRPr="00D736C2">
        <w:rPr>
          <w:rFonts w:ascii="Palatino Linotype" w:hAnsi="Palatino Linotype" w:cs="Arial"/>
          <w:color w:val="000000" w:themeColor="text1"/>
        </w:rPr>
        <w:t xml:space="preserve">el particular </w:t>
      </w:r>
      <w:r w:rsidRPr="00D736C2">
        <w:rPr>
          <w:rFonts w:ascii="Palatino Linotype" w:hAnsi="Palatino Linotype"/>
          <w:color w:val="000000" w:themeColor="text1"/>
        </w:rPr>
        <w:t xml:space="preserve">se inconforma porque en la respuesta a su consideración </w:t>
      </w:r>
      <w:r w:rsidR="009C08CB" w:rsidRPr="00D736C2">
        <w:rPr>
          <w:rFonts w:ascii="Palatino Linotype" w:hAnsi="Palatino Linotype"/>
          <w:color w:val="000000" w:themeColor="text1"/>
        </w:rPr>
        <w:t>se niega</w:t>
      </w:r>
      <w:r w:rsidRPr="00D736C2">
        <w:rPr>
          <w:rFonts w:ascii="Palatino Linotype" w:hAnsi="Palatino Linotype"/>
          <w:color w:val="000000" w:themeColor="text1"/>
        </w:rPr>
        <w:t xml:space="preserve"> la información requerida </w:t>
      </w:r>
      <w:r w:rsidR="009C08CB" w:rsidRPr="00D736C2">
        <w:rPr>
          <w:rFonts w:ascii="Palatino Linotype" w:hAnsi="Palatino Linotype"/>
          <w:color w:val="000000" w:themeColor="text1"/>
        </w:rPr>
        <w:t>y además</w:t>
      </w:r>
      <w:r w:rsidRPr="00D736C2">
        <w:rPr>
          <w:rFonts w:ascii="Palatino Linotype" w:hAnsi="Palatino Linotype"/>
          <w:color w:val="000000" w:themeColor="text1"/>
        </w:rPr>
        <w:t xml:space="preserve"> el </w:t>
      </w:r>
      <w:r w:rsidRPr="00D736C2">
        <w:rPr>
          <w:rFonts w:ascii="Palatino Linotype" w:hAnsi="Palatino Linotype"/>
          <w:b/>
          <w:color w:val="000000" w:themeColor="text1"/>
        </w:rPr>
        <w:t>SUJETO OBLIGADO</w:t>
      </w:r>
      <w:r w:rsidRPr="00D736C2">
        <w:rPr>
          <w:rFonts w:ascii="Palatino Linotype" w:hAnsi="Palatino Linotype"/>
          <w:color w:val="000000" w:themeColor="text1"/>
        </w:rPr>
        <w:t xml:space="preserve"> </w:t>
      </w:r>
      <w:bookmarkStart w:id="75" w:name="_Toc505797115"/>
      <w:r w:rsidR="00A44191" w:rsidRPr="00D736C2">
        <w:rPr>
          <w:rFonts w:ascii="Palatino Linotype" w:hAnsi="Palatino Linotype"/>
          <w:color w:val="000000" w:themeColor="text1"/>
        </w:rPr>
        <w:t xml:space="preserve">declina su competencia hacia otro </w:t>
      </w:r>
      <w:r w:rsidR="00A44191" w:rsidRPr="00D736C2">
        <w:rPr>
          <w:rFonts w:ascii="Palatino Linotype" w:hAnsi="Palatino Linotype"/>
          <w:b/>
          <w:color w:val="000000" w:themeColor="text1"/>
        </w:rPr>
        <w:t>SUJETO OBLIGADO</w:t>
      </w:r>
      <w:r w:rsidRPr="00D736C2">
        <w:rPr>
          <w:rFonts w:ascii="Palatino Linotype" w:hAnsi="Palatino Linotype"/>
          <w:color w:val="000000" w:themeColor="text1"/>
        </w:rPr>
        <w:t xml:space="preserve">, </w:t>
      </w:r>
      <w:r w:rsidRPr="00D736C2">
        <w:rPr>
          <w:rFonts w:ascii="Palatino Linotype" w:hAnsi="Palatino Linotype" w:cs="Arial"/>
        </w:rPr>
        <w:t>de este modo, se actualiza</w:t>
      </w:r>
      <w:r w:rsidR="009C08CB" w:rsidRPr="00D736C2">
        <w:rPr>
          <w:rFonts w:ascii="Palatino Linotype" w:hAnsi="Palatino Linotype" w:cs="Arial"/>
        </w:rPr>
        <w:t>n</w:t>
      </w:r>
      <w:r w:rsidRPr="00D736C2">
        <w:rPr>
          <w:rFonts w:ascii="Palatino Linotype" w:hAnsi="Palatino Linotype" w:cs="Arial"/>
        </w:rPr>
        <w:t xml:space="preserve"> la</w:t>
      </w:r>
      <w:r w:rsidR="009C08CB" w:rsidRPr="00D736C2">
        <w:rPr>
          <w:rFonts w:ascii="Palatino Linotype" w:hAnsi="Palatino Linotype" w:cs="Arial"/>
        </w:rPr>
        <w:t>s</w:t>
      </w:r>
      <w:r w:rsidRPr="00D736C2">
        <w:rPr>
          <w:rFonts w:ascii="Palatino Linotype" w:hAnsi="Palatino Linotype" w:cs="Arial"/>
        </w:rPr>
        <w:t xml:space="preserve"> causal</w:t>
      </w:r>
      <w:r w:rsidR="009C08CB" w:rsidRPr="00D736C2">
        <w:rPr>
          <w:rFonts w:ascii="Palatino Linotype" w:hAnsi="Palatino Linotype" w:cs="Arial"/>
        </w:rPr>
        <w:t>es</w:t>
      </w:r>
      <w:r w:rsidRPr="00D736C2">
        <w:rPr>
          <w:rFonts w:ascii="Palatino Linotype" w:hAnsi="Palatino Linotype" w:cs="Arial"/>
        </w:rPr>
        <w:t xml:space="preserve"> de procedencia del recurso de revisión establecida</w:t>
      </w:r>
      <w:r w:rsidR="009C08CB" w:rsidRPr="00D736C2">
        <w:rPr>
          <w:rFonts w:ascii="Palatino Linotype" w:hAnsi="Palatino Linotype" w:cs="Arial"/>
        </w:rPr>
        <w:t>s</w:t>
      </w:r>
      <w:r w:rsidRPr="00D736C2">
        <w:rPr>
          <w:rFonts w:ascii="Palatino Linotype" w:hAnsi="Palatino Linotype" w:cs="Arial"/>
        </w:rPr>
        <w:t xml:space="preserve"> en el artículo 179, fracci</w:t>
      </w:r>
      <w:r w:rsidR="009C08CB" w:rsidRPr="00D736C2">
        <w:rPr>
          <w:rFonts w:ascii="Palatino Linotype" w:hAnsi="Palatino Linotype" w:cs="Arial"/>
        </w:rPr>
        <w:t>ones</w:t>
      </w:r>
      <w:r w:rsidRPr="00D736C2">
        <w:rPr>
          <w:rFonts w:ascii="Palatino Linotype" w:hAnsi="Palatino Linotype" w:cs="Arial"/>
        </w:rPr>
        <w:t xml:space="preserve"> </w:t>
      </w:r>
      <w:r w:rsidR="009C08CB" w:rsidRPr="00D736C2">
        <w:rPr>
          <w:rFonts w:ascii="Palatino Linotype" w:hAnsi="Palatino Linotype" w:cs="Arial"/>
        </w:rPr>
        <w:t>I y I</w:t>
      </w:r>
      <w:r w:rsidR="00A44191" w:rsidRPr="00D736C2">
        <w:rPr>
          <w:rFonts w:ascii="Palatino Linotype" w:hAnsi="Palatino Linotype" w:cs="Arial"/>
        </w:rPr>
        <w:t>V</w:t>
      </w:r>
      <w:r w:rsidRPr="00D736C2">
        <w:rPr>
          <w:rFonts w:ascii="Palatino Linotype" w:hAnsi="Palatino Linotype" w:cs="Arial"/>
        </w:rPr>
        <w:t xml:space="preserve"> de la </w:t>
      </w:r>
      <w:r w:rsidRPr="00D736C2">
        <w:rPr>
          <w:rFonts w:ascii="Palatino Linotype" w:hAnsi="Palatino Linotype" w:cs="Arial"/>
          <w:b/>
        </w:rPr>
        <w:t>Ley de Transparencia y Acceso a la Información Pública del Estado de México y Municipios.</w:t>
      </w:r>
    </w:p>
    <w:p w14:paraId="29E25524" w14:textId="77777777" w:rsidR="00D14F0C" w:rsidRPr="00D736C2" w:rsidRDefault="00D14F0C" w:rsidP="00D736C2">
      <w:pPr>
        <w:pStyle w:val="Prrafodelista"/>
        <w:tabs>
          <w:tab w:val="left" w:pos="567"/>
        </w:tabs>
        <w:spacing w:before="240" w:after="240" w:line="360" w:lineRule="auto"/>
        <w:ind w:left="0"/>
        <w:jc w:val="both"/>
        <w:rPr>
          <w:rFonts w:ascii="Palatino Linotype" w:hAnsi="Palatino Linotype"/>
        </w:rPr>
      </w:pPr>
    </w:p>
    <w:bookmarkEnd w:id="75"/>
    <w:p w14:paraId="61F25455" w14:textId="7F049683" w:rsidR="00D14F0C" w:rsidRPr="00D736C2" w:rsidRDefault="00D14F0C" w:rsidP="00D736C2">
      <w:pPr>
        <w:pStyle w:val="Prrafodelista"/>
        <w:numPr>
          <w:ilvl w:val="0"/>
          <w:numId w:val="1"/>
        </w:numPr>
        <w:tabs>
          <w:tab w:val="clear" w:pos="567"/>
        </w:tabs>
        <w:spacing w:before="240" w:after="240" w:line="360" w:lineRule="auto"/>
        <w:ind w:left="0" w:right="49"/>
        <w:jc w:val="both"/>
        <w:rPr>
          <w:rFonts w:ascii="Palatino Linotype" w:hAnsi="Palatino Linotype"/>
        </w:rPr>
      </w:pPr>
      <w:r w:rsidRPr="00D736C2">
        <w:rPr>
          <w:rFonts w:ascii="Palatino Linotype" w:eastAsia="Calibri" w:hAnsi="Palatino Linotype" w:cs="Arial"/>
        </w:rPr>
        <w:t xml:space="preserve">Cabe señalar </w:t>
      </w:r>
      <w:r w:rsidRPr="00D736C2">
        <w:rPr>
          <w:rFonts w:ascii="Palatino Linotype" w:hAnsi="Palatino Linotype" w:cs="Arial"/>
        </w:rPr>
        <w:t xml:space="preserve">que </w:t>
      </w:r>
      <w:r w:rsidRPr="00D736C2">
        <w:rPr>
          <w:rFonts w:ascii="Palatino Linotype" w:eastAsia="Times New Roman" w:hAnsi="Palatino Linotype" w:cs="Arial"/>
          <w:lang w:val="es-ES"/>
        </w:rPr>
        <w:t>e</w:t>
      </w:r>
      <w:r w:rsidRPr="00D736C2">
        <w:rPr>
          <w:rFonts w:ascii="Palatino Linotype" w:eastAsia="Calibri" w:hAnsi="Palatino Linotype" w:cs="Arial"/>
          <w:lang w:val="es-ES"/>
        </w:rPr>
        <w:t xml:space="preserve">l </w:t>
      </w:r>
      <w:r w:rsidRPr="00D736C2">
        <w:rPr>
          <w:rFonts w:ascii="Palatino Linotype" w:hAnsi="Palatino Linotype" w:cs="Arial"/>
          <w:b/>
        </w:rPr>
        <w:t>SUJETO OBLIGADO</w:t>
      </w:r>
      <w:r w:rsidRPr="00D736C2">
        <w:rPr>
          <w:rFonts w:ascii="Palatino Linotype" w:hAnsi="Palatino Linotype" w:cs="Arial"/>
        </w:rPr>
        <w:t xml:space="preserve"> rindió su Informe justificado </w:t>
      </w:r>
      <w:r w:rsidRPr="00D736C2">
        <w:rPr>
          <w:rFonts w:ascii="Palatino Linotype" w:hAnsi="Palatino Linotype"/>
        </w:rPr>
        <w:t xml:space="preserve">para manifestar lo que a Derecho le asistiera y conviniera, </w:t>
      </w:r>
      <w:r w:rsidR="00F4430D" w:rsidRPr="00D736C2">
        <w:rPr>
          <w:rFonts w:ascii="Palatino Linotype" w:hAnsi="Palatino Linotype"/>
        </w:rPr>
        <w:t xml:space="preserve">mismo que </w:t>
      </w:r>
      <w:r w:rsidR="001171C5" w:rsidRPr="00D736C2">
        <w:rPr>
          <w:rFonts w:ascii="Palatino Linotype" w:hAnsi="Palatino Linotype"/>
        </w:rPr>
        <w:t>ratifica su respuesta inicial</w:t>
      </w:r>
      <w:r w:rsidR="00F4430D" w:rsidRPr="00D736C2">
        <w:rPr>
          <w:rFonts w:ascii="Palatino Linotype" w:hAnsi="Palatino Linotype"/>
        </w:rPr>
        <w:t>.</w:t>
      </w:r>
    </w:p>
    <w:p w14:paraId="6F773238" w14:textId="77777777" w:rsidR="00656462" w:rsidRPr="00D736C2" w:rsidRDefault="00656462" w:rsidP="00D736C2">
      <w:pPr>
        <w:pStyle w:val="Prrafodelista"/>
        <w:spacing w:before="240" w:after="240" w:line="360" w:lineRule="auto"/>
        <w:ind w:left="0" w:right="49"/>
        <w:jc w:val="both"/>
        <w:rPr>
          <w:rFonts w:ascii="Palatino Linotype" w:hAnsi="Palatino Linotype"/>
        </w:rPr>
      </w:pPr>
    </w:p>
    <w:p w14:paraId="289A1E2B" w14:textId="4D7305D0" w:rsidR="00D14F0C" w:rsidRPr="00D736C2" w:rsidRDefault="00D14F0C" w:rsidP="00D736C2">
      <w:pPr>
        <w:pStyle w:val="Prrafodelista"/>
        <w:numPr>
          <w:ilvl w:val="0"/>
          <w:numId w:val="1"/>
        </w:numPr>
        <w:tabs>
          <w:tab w:val="left" w:pos="567"/>
        </w:tabs>
        <w:spacing w:before="240" w:after="240" w:line="360" w:lineRule="auto"/>
        <w:ind w:left="0"/>
        <w:jc w:val="both"/>
        <w:rPr>
          <w:rFonts w:ascii="Palatino Linotype" w:hAnsi="Palatino Linotype"/>
        </w:rPr>
      </w:pPr>
      <w:r w:rsidRPr="00D736C2">
        <w:rPr>
          <w:rFonts w:ascii="Palatino Linotype" w:eastAsia="Times New Roman" w:hAnsi="Palatino Linotype" w:cs="Arial"/>
          <w:color w:val="000000" w:themeColor="text1"/>
        </w:rPr>
        <w:t xml:space="preserve">En dichas condiciones, la </w:t>
      </w:r>
      <w:proofErr w:type="spellStart"/>
      <w:r w:rsidRPr="00D736C2">
        <w:rPr>
          <w:rFonts w:ascii="Palatino Linotype" w:eastAsia="Times New Roman" w:hAnsi="Palatino Linotype" w:cs="Arial"/>
          <w:i/>
          <w:color w:val="000000" w:themeColor="text1"/>
        </w:rPr>
        <w:t>litis</w:t>
      </w:r>
      <w:proofErr w:type="spellEnd"/>
      <w:r w:rsidRPr="00D736C2">
        <w:rPr>
          <w:rFonts w:ascii="Palatino Linotype" w:eastAsia="Times New Roman" w:hAnsi="Palatino Linotype" w:cs="Arial"/>
          <w:color w:val="000000" w:themeColor="text1"/>
        </w:rPr>
        <w:t xml:space="preserve"> a resolver en este recurso se circunscribe a determinar si es procedente </w:t>
      </w:r>
      <w:r w:rsidR="00A44191" w:rsidRPr="00D736C2">
        <w:rPr>
          <w:rFonts w:ascii="Palatino Linotype" w:eastAsia="Times New Roman" w:hAnsi="Palatino Linotype" w:cs="Arial"/>
          <w:color w:val="000000" w:themeColor="text1"/>
        </w:rPr>
        <w:t>la declinación de competencia</w:t>
      </w:r>
      <w:r w:rsidRPr="00D736C2">
        <w:rPr>
          <w:rFonts w:ascii="Palatino Linotype" w:eastAsia="Times New Roman" w:hAnsi="Palatino Linotype" w:cs="Arial"/>
          <w:color w:val="000000" w:themeColor="text1"/>
        </w:rPr>
        <w:t xml:space="preserve"> y </w:t>
      </w:r>
      <w:r w:rsidR="00A44191" w:rsidRPr="00D736C2">
        <w:rPr>
          <w:rFonts w:ascii="Palatino Linotype" w:eastAsia="Times New Roman" w:hAnsi="Palatino Linotype" w:cs="Arial"/>
          <w:color w:val="000000" w:themeColor="text1"/>
        </w:rPr>
        <w:t>si</w:t>
      </w:r>
      <w:r w:rsidRPr="00D736C2">
        <w:rPr>
          <w:rFonts w:ascii="Palatino Linotype" w:eastAsia="Times New Roman" w:hAnsi="Palatino Linotype" w:cs="Arial"/>
          <w:color w:val="000000" w:themeColor="text1"/>
        </w:rPr>
        <w:t xml:space="preserve"> el </w:t>
      </w:r>
      <w:r w:rsidRPr="00D736C2">
        <w:rPr>
          <w:rFonts w:ascii="Palatino Linotype" w:eastAsia="Times New Roman" w:hAnsi="Palatino Linotype" w:cs="Arial"/>
          <w:b/>
          <w:color w:val="000000" w:themeColor="text1"/>
        </w:rPr>
        <w:t>SUJETO OBLIGADO</w:t>
      </w:r>
      <w:r w:rsidR="00A44191" w:rsidRPr="00D736C2">
        <w:rPr>
          <w:rFonts w:ascii="Palatino Linotype" w:eastAsia="Times New Roman" w:hAnsi="Palatino Linotype" w:cs="Arial"/>
          <w:b/>
          <w:color w:val="000000" w:themeColor="text1"/>
        </w:rPr>
        <w:t xml:space="preserve"> </w:t>
      </w:r>
      <w:r w:rsidR="00A44191" w:rsidRPr="00D736C2">
        <w:rPr>
          <w:rFonts w:ascii="Palatino Linotype" w:eastAsia="Times New Roman" w:hAnsi="Palatino Linotype" w:cs="Arial"/>
          <w:color w:val="000000" w:themeColor="text1"/>
        </w:rPr>
        <w:t>de acuerdo con sus atribuciones pudiera generar, poseer o administrar la información solicitada</w:t>
      </w:r>
      <w:r w:rsidRPr="00D736C2">
        <w:rPr>
          <w:rFonts w:ascii="Palatino Linotype" w:eastAsia="Times New Roman" w:hAnsi="Palatino Linotype" w:cs="Arial"/>
          <w:color w:val="000000" w:themeColor="text1"/>
        </w:rPr>
        <w:t>, y si resultan fundadas las razones o motivos de inconformidad.</w:t>
      </w:r>
    </w:p>
    <w:p w14:paraId="471D24D8" w14:textId="77777777" w:rsidR="00221EAD" w:rsidRPr="00D736C2" w:rsidRDefault="00221EAD" w:rsidP="00D736C2">
      <w:pPr>
        <w:pStyle w:val="Prrafodelista"/>
        <w:spacing w:line="360" w:lineRule="auto"/>
        <w:ind w:left="0" w:right="49"/>
        <w:jc w:val="both"/>
        <w:rPr>
          <w:rFonts w:ascii="Palatino Linotype" w:hAnsi="Palatino Linotype"/>
          <w:color w:val="000000" w:themeColor="text1"/>
        </w:rPr>
      </w:pPr>
    </w:p>
    <w:p w14:paraId="6318EE9D" w14:textId="27722F97" w:rsidR="000F214D" w:rsidRPr="00D736C2" w:rsidRDefault="000F214D" w:rsidP="00D736C2">
      <w:pPr>
        <w:pStyle w:val="Ttulo2"/>
        <w:spacing w:line="360" w:lineRule="auto"/>
        <w:rPr>
          <w:szCs w:val="24"/>
        </w:rPr>
      </w:pPr>
      <w:bookmarkStart w:id="76" w:name="_Toc503429775"/>
      <w:bookmarkStart w:id="77" w:name="_Toc505889807"/>
      <w:bookmarkStart w:id="78" w:name="_Toc508908146"/>
      <w:bookmarkStart w:id="79" w:name="_Toc25255401"/>
      <w:bookmarkStart w:id="80" w:name="_Toc482887020"/>
      <w:r w:rsidRPr="00D736C2">
        <w:rPr>
          <w:szCs w:val="24"/>
        </w:rPr>
        <w:t>CUARTO. Del estudio y resolución del asunto.</w:t>
      </w:r>
      <w:bookmarkEnd w:id="76"/>
      <w:bookmarkEnd w:id="77"/>
      <w:bookmarkEnd w:id="78"/>
      <w:bookmarkEnd w:id="79"/>
    </w:p>
    <w:p w14:paraId="4264B57D" w14:textId="77777777" w:rsidR="00400B3F" w:rsidRPr="00D736C2" w:rsidRDefault="00400B3F" w:rsidP="00D736C2">
      <w:pPr>
        <w:spacing w:line="360" w:lineRule="auto"/>
        <w:rPr>
          <w:rFonts w:ascii="Palatino Linotype" w:hAnsi="Palatino Linotype"/>
          <w:lang w:val="es-MX" w:eastAsia="en-US"/>
        </w:rPr>
      </w:pPr>
    </w:p>
    <w:p w14:paraId="2B5E2DBA" w14:textId="77777777" w:rsidR="005163C4" w:rsidRPr="00D736C2" w:rsidRDefault="005163C4" w:rsidP="00D736C2">
      <w:pPr>
        <w:keepNext/>
        <w:keepLines/>
        <w:spacing w:line="360" w:lineRule="auto"/>
        <w:jc w:val="both"/>
        <w:outlineLvl w:val="0"/>
        <w:rPr>
          <w:rFonts w:ascii="Palatino Linotype" w:eastAsia="MS Gothic" w:hAnsi="Palatino Linotype" w:cstheme="majorBidi"/>
          <w:b/>
        </w:rPr>
      </w:pPr>
      <w:bookmarkStart w:id="81" w:name="_Toc23446070"/>
      <w:bookmarkStart w:id="82" w:name="_Toc25255402"/>
      <w:bookmarkStart w:id="83" w:name="_Toc458528990"/>
      <w:bookmarkStart w:id="84" w:name="_Toc473812227"/>
      <w:bookmarkEnd w:id="67"/>
      <w:bookmarkEnd w:id="68"/>
      <w:bookmarkEnd w:id="80"/>
      <w:r w:rsidRPr="00D736C2">
        <w:rPr>
          <w:rFonts w:ascii="Palatino Linotype" w:eastAsia="MS Gothic" w:hAnsi="Palatino Linotype" w:cstheme="majorBidi"/>
          <w:b/>
        </w:rPr>
        <w:lastRenderedPageBreak/>
        <w:t>I. Del Derecho de Acceso a la Información Pública, como instrumento y herramienta de control gubernamental.</w:t>
      </w:r>
      <w:bookmarkEnd w:id="81"/>
      <w:bookmarkEnd w:id="82"/>
      <w:r w:rsidRPr="00D736C2">
        <w:rPr>
          <w:rFonts w:ascii="Palatino Linotype" w:eastAsia="MS Gothic" w:hAnsi="Palatino Linotype" w:cstheme="majorBidi"/>
          <w:b/>
        </w:rPr>
        <w:t xml:space="preserve"> </w:t>
      </w:r>
    </w:p>
    <w:p w14:paraId="570CF962"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27C80303" w14:textId="7861F8E1" w:rsidR="005163C4" w:rsidRPr="00D736C2" w:rsidRDefault="005163C4" w:rsidP="00D736C2">
      <w:pPr>
        <w:pStyle w:val="Prrafodelista"/>
        <w:numPr>
          <w:ilvl w:val="0"/>
          <w:numId w:val="1"/>
        </w:numPr>
        <w:spacing w:line="360" w:lineRule="auto"/>
        <w:ind w:left="0" w:right="49"/>
        <w:jc w:val="both"/>
        <w:rPr>
          <w:rFonts w:ascii="Palatino Linotype" w:eastAsia="MS Mincho" w:hAnsi="Palatino Linotype" w:cs="Times New Roman"/>
        </w:rPr>
      </w:pPr>
      <w:r w:rsidRPr="00D736C2">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D736C2">
        <w:rPr>
          <w:rFonts w:ascii="Palatino Linotype" w:eastAsia="MS Mincho" w:hAnsi="Palatino Linotype" w:cstheme="majorBidi"/>
        </w:rPr>
        <w:t>artículo 13.1; en el artículo sexto de la Constitución Política de los Estados Unidos Mexicanos y en el artículo quinto de la Particular del Estado de México.</w:t>
      </w:r>
    </w:p>
    <w:p w14:paraId="3F285ED6"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ACAFBEE" w14:textId="77777777" w:rsidR="005163C4" w:rsidRPr="00D736C2" w:rsidRDefault="005163C4" w:rsidP="00D736C2">
      <w:pPr>
        <w:pStyle w:val="Prrafodelista"/>
        <w:numPr>
          <w:ilvl w:val="0"/>
          <w:numId w:val="1"/>
        </w:numPr>
        <w:autoSpaceDE w:val="0"/>
        <w:autoSpaceDN w:val="0"/>
        <w:adjustRightInd w:val="0"/>
        <w:spacing w:line="360" w:lineRule="auto"/>
        <w:ind w:left="0"/>
        <w:jc w:val="both"/>
        <w:rPr>
          <w:rFonts w:ascii="Palatino Linotype" w:hAnsi="Palatino Linotype"/>
        </w:rPr>
      </w:pPr>
      <w:r w:rsidRPr="00D736C2">
        <w:rPr>
          <w:rFonts w:ascii="Palatino Linotype" w:eastAsia="MS Mincho" w:hAnsi="Palatino Linotype" w:cs="Times New Roman"/>
        </w:rPr>
        <w:t xml:space="preserve">De los dispositivos legales citados, se tiene que, el derecho a la información, es la </w:t>
      </w:r>
      <w:r w:rsidRPr="00D736C2">
        <w:rPr>
          <w:rFonts w:ascii="Palatino Linotype" w:eastAsia="Times New Roman" w:hAnsi="Palatino Linotype" w:cs="Arial"/>
          <w:color w:val="000000" w:themeColor="text1"/>
          <w:lang w:eastAsia="es-MX"/>
        </w:rPr>
        <w:t xml:space="preserve">es la: </w:t>
      </w:r>
      <w:r w:rsidRPr="00D736C2">
        <w:rPr>
          <w:rFonts w:ascii="Palatino Linotype" w:eastAsia="MS Mincho" w:hAnsi="Palatino Linotype" w:cs="Times New Roman"/>
          <w:b/>
          <w:bCs/>
          <w:iCs/>
        </w:rPr>
        <w:t>igualdad de oportunidades para recibir, buscar e impartir información</w:t>
      </w:r>
      <w:r w:rsidRPr="00D736C2">
        <w:rPr>
          <w:rStyle w:val="Refdenotaalpie"/>
          <w:rFonts w:ascii="Palatino Linotype" w:eastAsia="MS Mincho" w:hAnsi="Palatino Linotype" w:cs="Times New Roman"/>
          <w:b/>
          <w:bCs/>
          <w:iCs/>
        </w:rPr>
        <w:footnoteReference w:id="1"/>
      </w:r>
      <w:r w:rsidRPr="00D736C2">
        <w:rPr>
          <w:rFonts w:ascii="Palatino Linotype" w:eastAsia="MS Mincho" w:hAnsi="Palatino Linotype" w:cs="Times New Roman"/>
          <w:b/>
          <w:bCs/>
          <w:iC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736C2">
        <w:rPr>
          <w:rStyle w:val="Refdenotaalpie"/>
          <w:rFonts w:ascii="Palatino Linotype" w:eastAsia="MS Mincho" w:hAnsi="Palatino Linotype" w:cs="Times New Roman"/>
          <w:b/>
          <w:bCs/>
          <w:iCs/>
        </w:rPr>
        <w:footnoteReference w:id="2"/>
      </w:r>
      <w:r w:rsidRPr="00D736C2">
        <w:rPr>
          <w:rFonts w:ascii="Palatino Linotype" w:eastAsia="MS Mincho" w:hAnsi="Palatino Linotype" w:cs="Times New Roman"/>
          <w:b/>
          <w:bCs/>
          <w:iCs/>
        </w:rPr>
        <w:t xml:space="preserve"> que se constituye como una herramienta fundamental para ejercer control democrático de las gestiones estatales, de forma tal que puedan cuestionar, indagar y considerar si se está dando un adecuado cumplimiento de las funciones públicas,</w:t>
      </w:r>
      <w:r w:rsidRPr="00D736C2">
        <w:rPr>
          <w:rStyle w:val="Refdenotaalpie"/>
          <w:rFonts w:ascii="Palatino Linotype" w:eastAsia="MS Mincho" w:hAnsi="Palatino Linotype" w:cs="Times New Roman"/>
          <w:b/>
          <w:bCs/>
          <w:iCs/>
        </w:rPr>
        <w:footnoteReference w:id="3"/>
      </w:r>
      <w:r w:rsidRPr="00D736C2">
        <w:rPr>
          <w:rFonts w:ascii="Palatino Linotype" w:eastAsia="MS Mincho" w:hAnsi="Palatino Linotype" w:cs="Times New Roman"/>
          <w:b/>
          <w:bCs/>
          <w:iCs/>
        </w:rPr>
        <w:t>fomentando la transparencia de las actividades estatales y promoviendo la responsabilidad de los funcionarios sobre su gestión pública</w:t>
      </w:r>
      <w:r w:rsidRPr="00D736C2">
        <w:rPr>
          <w:rStyle w:val="Refdenotaalpie"/>
          <w:rFonts w:ascii="Palatino Linotype" w:eastAsia="MS Mincho" w:hAnsi="Palatino Linotype" w:cs="Times New Roman"/>
          <w:b/>
          <w:bCs/>
          <w:iCs/>
        </w:rPr>
        <w:footnoteReference w:id="4"/>
      </w:r>
      <w:r w:rsidRPr="00D736C2">
        <w:rPr>
          <w:rFonts w:ascii="Palatino Linotype" w:eastAsia="MS Mincho" w:hAnsi="Palatino Linotype" w:cs="Times New Roman"/>
          <w:b/>
          <w:bCs/>
          <w:iCs/>
        </w:rPr>
        <w:t xml:space="preserve"> que permite saber qué están haciendo los </w:t>
      </w:r>
      <w:r w:rsidRPr="00D736C2">
        <w:rPr>
          <w:rFonts w:ascii="Palatino Linotype" w:eastAsia="MS Mincho" w:hAnsi="Palatino Linotype" w:cs="Times New Roman"/>
          <w:b/>
          <w:bCs/>
          <w:iCs/>
        </w:rPr>
        <w:lastRenderedPageBreak/>
        <w:t>gobiernos por sus pueblos, sin lo cual la verdad languidecería y la participación en el gobierno permanecería fragmentada</w:t>
      </w:r>
      <w:r w:rsidRPr="00D736C2">
        <w:rPr>
          <w:rStyle w:val="Refdenotaalpie"/>
          <w:rFonts w:ascii="Palatino Linotype" w:eastAsia="MS Mincho" w:hAnsi="Palatino Linotype" w:cs="Times New Roman"/>
          <w:b/>
          <w:bCs/>
          <w:iCs/>
        </w:rPr>
        <w:footnoteReference w:id="5"/>
      </w:r>
      <w:r w:rsidRPr="00D736C2">
        <w:rPr>
          <w:rFonts w:ascii="Palatino Linotype" w:eastAsia="MS Mincho" w:hAnsi="Palatino Linotype" w:cs="Times New Roman"/>
          <w:b/>
          <w:bCs/>
          <w:iCs/>
        </w:rPr>
        <w:t xml:space="preserve"> ”.</w:t>
      </w:r>
    </w:p>
    <w:p w14:paraId="282F982D" w14:textId="77777777" w:rsidR="005163C4" w:rsidRPr="00D736C2" w:rsidRDefault="005163C4" w:rsidP="00D736C2">
      <w:pPr>
        <w:pStyle w:val="Prrafodelista"/>
        <w:autoSpaceDE w:val="0"/>
        <w:autoSpaceDN w:val="0"/>
        <w:adjustRightInd w:val="0"/>
        <w:spacing w:line="360" w:lineRule="auto"/>
        <w:ind w:left="0"/>
        <w:jc w:val="both"/>
        <w:rPr>
          <w:rFonts w:ascii="Palatino Linotype" w:hAnsi="Palatino Linotype"/>
        </w:rPr>
      </w:pPr>
    </w:p>
    <w:p w14:paraId="44EDD176" w14:textId="77777777" w:rsidR="005163C4" w:rsidRPr="00D736C2" w:rsidRDefault="005163C4" w:rsidP="00D736C2">
      <w:pPr>
        <w:pStyle w:val="Prrafodelista"/>
        <w:numPr>
          <w:ilvl w:val="0"/>
          <w:numId w:val="1"/>
        </w:numPr>
        <w:spacing w:line="360" w:lineRule="auto"/>
        <w:ind w:left="0"/>
        <w:jc w:val="both"/>
        <w:rPr>
          <w:rFonts w:ascii="Palatino Linotype" w:hAnsi="Palatino Linotype" w:cs="Arial"/>
          <w:i/>
          <w:color w:val="000000" w:themeColor="text1"/>
        </w:rPr>
      </w:pPr>
      <w:r w:rsidRPr="00D736C2">
        <w:rPr>
          <w:rFonts w:ascii="Palatino Linotype" w:hAnsi="Palatino Linotype" w:cs="Arial"/>
        </w:rPr>
        <w:t xml:space="preserve">Ahora bien, para entender los alcances de la información pública se considera importante citar el criterio </w:t>
      </w:r>
      <w:r w:rsidRPr="00D736C2">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736C2">
        <w:rPr>
          <w:rFonts w:ascii="Palatino Linotype" w:hAnsi="Palatino Linotype" w:cs="Arial"/>
        </w:rPr>
        <w:t>cuyo rubro y texto dispone:</w:t>
      </w:r>
    </w:p>
    <w:p w14:paraId="23F2A2E7" w14:textId="77777777" w:rsidR="005163C4" w:rsidRPr="00D736C2" w:rsidRDefault="005163C4" w:rsidP="00D736C2">
      <w:pPr>
        <w:pStyle w:val="Prrafodelista"/>
        <w:spacing w:line="360" w:lineRule="auto"/>
        <w:ind w:left="0"/>
        <w:jc w:val="both"/>
        <w:rPr>
          <w:rFonts w:ascii="Palatino Linotype" w:hAnsi="Palatino Linotype" w:cs="Arial"/>
          <w:i/>
          <w:color w:val="000000" w:themeColor="text1"/>
        </w:rPr>
      </w:pPr>
    </w:p>
    <w:p w14:paraId="2E6036A2" w14:textId="77777777" w:rsidR="005163C4" w:rsidRPr="00D736C2" w:rsidRDefault="005163C4" w:rsidP="00D736C2">
      <w:pPr>
        <w:autoSpaceDE w:val="0"/>
        <w:autoSpaceDN w:val="0"/>
        <w:adjustRightInd w:val="0"/>
        <w:spacing w:line="360" w:lineRule="auto"/>
        <w:ind w:left="567" w:right="567"/>
        <w:jc w:val="center"/>
        <w:rPr>
          <w:rFonts w:ascii="Palatino Linotype" w:hAnsi="Palatino Linotype" w:cs="Arial"/>
          <w:b/>
          <w:i/>
          <w:iCs/>
          <w:lang w:eastAsia="es-MX"/>
        </w:rPr>
      </w:pPr>
      <w:r w:rsidRPr="00D736C2">
        <w:rPr>
          <w:rFonts w:ascii="Palatino Linotype" w:hAnsi="Palatino Linotype" w:cs="Arial"/>
          <w:b/>
          <w:i/>
          <w:iCs/>
          <w:lang w:eastAsia="es-MX"/>
        </w:rPr>
        <w:t>“CRITERIO 0002-11</w:t>
      </w:r>
    </w:p>
    <w:p w14:paraId="3C1CBFF7" w14:textId="77777777" w:rsidR="005163C4" w:rsidRPr="00D736C2" w:rsidRDefault="005163C4" w:rsidP="00D736C2">
      <w:pPr>
        <w:autoSpaceDE w:val="0"/>
        <w:autoSpaceDN w:val="0"/>
        <w:adjustRightInd w:val="0"/>
        <w:spacing w:line="360" w:lineRule="auto"/>
        <w:ind w:left="567" w:right="567"/>
        <w:jc w:val="both"/>
        <w:rPr>
          <w:rFonts w:ascii="Palatino Linotype" w:hAnsi="Palatino Linotype" w:cs="Arial"/>
          <w:i/>
          <w:iCs/>
          <w:lang w:eastAsia="es-MX"/>
        </w:rPr>
      </w:pPr>
      <w:r w:rsidRPr="00D736C2">
        <w:rPr>
          <w:rFonts w:ascii="Palatino Linotype" w:hAnsi="Palatino Linotype" w:cs="Arial"/>
          <w:b/>
          <w:i/>
          <w:iCs/>
          <w:lang w:eastAsia="es-MX"/>
        </w:rPr>
        <w:t xml:space="preserve">INFORMACIÓN PÚBLICA, CONCEPTO DE, EN MATERIA DE TRANSPARENCIA. INTERPRETACIÓN TEMÁTICA DE LOS ARTÍCULOS 2, FRACCIÓN </w:t>
      </w:r>
      <w:r w:rsidRPr="00D736C2">
        <w:rPr>
          <w:rFonts w:ascii="Palatino Linotype" w:hAnsi="Palatino Linotype" w:cs="Arial"/>
          <w:b/>
          <w:bCs/>
          <w:i/>
          <w:iCs/>
          <w:lang w:eastAsia="es-MX"/>
        </w:rPr>
        <w:t xml:space="preserve">V, XV, Y XVI, </w:t>
      </w:r>
      <w:r w:rsidRPr="00D736C2">
        <w:rPr>
          <w:rFonts w:ascii="Palatino Linotype" w:hAnsi="Palatino Linotype" w:cs="Arial"/>
          <w:b/>
          <w:i/>
          <w:iCs/>
          <w:lang w:eastAsia="es-MX"/>
        </w:rPr>
        <w:t>3, 4,11 Y 41.</w:t>
      </w:r>
      <w:r w:rsidRPr="00D736C2">
        <w:rPr>
          <w:rFonts w:ascii="Palatino Linotype" w:hAnsi="Palatino Linotype" w:cs="Arial"/>
          <w:i/>
          <w:iCs/>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FD3BC6" w14:textId="77777777" w:rsidR="005163C4" w:rsidRPr="00D736C2" w:rsidRDefault="005163C4" w:rsidP="00D736C2">
      <w:pPr>
        <w:autoSpaceDE w:val="0"/>
        <w:autoSpaceDN w:val="0"/>
        <w:adjustRightInd w:val="0"/>
        <w:spacing w:line="360" w:lineRule="auto"/>
        <w:ind w:left="567" w:right="567"/>
        <w:jc w:val="both"/>
        <w:rPr>
          <w:rFonts w:ascii="Palatino Linotype" w:hAnsi="Palatino Linotype" w:cs="Arial"/>
          <w:i/>
          <w:iCs/>
          <w:lang w:eastAsia="es-MX"/>
        </w:rPr>
      </w:pPr>
      <w:r w:rsidRPr="00D736C2">
        <w:rPr>
          <w:rFonts w:ascii="Palatino Linotype" w:hAnsi="Palatino Linotype" w:cs="Arial"/>
          <w:i/>
          <w:iCs/>
          <w:lang w:eastAsia="es-MX"/>
        </w:rPr>
        <w:lastRenderedPageBreak/>
        <w:t>En consecuencia, el acceso a la información se refiere a que se cumplan cualquiera de los siguientes tres supuestos:</w:t>
      </w:r>
    </w:p>
    <w:p w14:paraId="4EEAFAFD" w14:textId="77777777" w:rsidR="005163C4" w:rsidRPr="00D736C2" w:rsidRDefault="005163C4" w:rsidP="00D736C2">
      <w:pPr>
        <w:autoSpaceDE w:val="0"/>
        <w:autoSpaceDN w:val="0"/>
        <w:adjustRightInd w:val="0"/>
        <w:spacing w:line="360" w:lineRule="auto"/>
        <w:ind w:left="567" w:right="567"/>
        <w:jc w:val="both"/>
        <w:rPr>
          <w:rFonts w:ascii="Palatino Linotype" w:hAnsi="Palatino Linotype" w:cs="Arial"/>
          <w:i/>
          <w:iCs/>
          <w:lang w:eastAsia="es-MX"/>
        </w:rPr>
      </w:pPr>
      <w:r w:rsidRPr="00D736C2">
        <w:rPr>
          <w:rFonts w:ascii="Palatino Linotype" w:hAnsi="Palatino Linotype" w:cs="Arial"/>
          <w:i/>
          <w:iCs/>
          <w:lang w:eastAsia="es-MX"/>
        </w:rPr>
        <w:t>Que se trate de información registrada en cualquier soporte documental que, en ejercicio de las atribuciones conferidas, sea generada por los Sujetos Obligados;</w:t>
      </w:r>
    </w:p>
    <w:p w14:paraId="27AB9082" w14:textId="77777777" w:rsidR="005163C4" w:rsidRPr="00D736C2" w:rsidRDefault="005163C4" w:rsidP="00D736C2">
      <w:pPr>
        <w:autoSpaceDE w:val="0"/>
        <w:autoSpaceDN w:val="0"/>
        <w:adjustRightInd w:val="0"/>
        <w:spacing w:line="360" w:lineRule="auto"/>
        <w:ind w:left="567" w:right="567"/>
        <w:jc w:val="both"/>
        <w:rPr>
          <w:rFonts w:ascii="Palatino Linotype" w:hAnsi="Palatino Linotype" w:cs="Arial"/>
          <w:i/>
          <w:iCs/>
          <w:lang w:eastAsia="es-MX"/>
        </w:rPr>
      </w:pPr>
      <w:r w:rsidRPr="00D736C2">
        <w:rPr>
          <w:rFonts w:ascii="Palatino Linotype" w:hAnsi="Palatino Linotype" w:cs="Arial"/>
          <w:i/>
          <w:iCs/>
          <w:lang w:eastAsia="es-MX"/>
        </w:rPr>
        <w:t>Que se trate de información registrada en cualquier soporte documental que, en ejercicio de las atribuciones conferidas, sea administrada por los Sujetos Obligados, y</w:t>
      </w:r>
    </w:p>
    <w:p w14:paraId="7BD38179" w14:textId="77777777" w:rsidR="005163C4" w:rsidRPr="00D736C2" w:rsidRDefault="005163C4" w:rsidP="00D736C2">
      <w:pPr>
        <w:spacing w:line="360" w:lineRule="auto"/>
        <w:ind w:left="567" w:right="567"/>
        <w:jc w:val="both"/>
        <w:rPr>
          <w:rFonts w:ascii="Palatino Linotype" w:hAnsi="Palatino Linotype" w:cs="Arial"/>
          <w:i/>
          <w:iCs/>
          <w:lang w:eastAsia="es-MX"/>
        </w:rPr>
      </w:pPr>
      <w:r w:rsidRPr="00D736C2">
        <w:rPr>
          <w:rFonts w:ascii="Palatino Linotype" w:hAnsi="Palatino Linotype" w:cs="Arial"/>
          <w:i/>
          <w:iCs/>
          <w:lang w:eastAsia="es-MX"/>
        </w:rPr>
        <w:t>Que se trate de información registrada en cualquier soporte documental que, en ejercicio de las atribuciones conferidas, se encuentre en posesión de los Sujetos Obligados.”</w:t>
      </w:r>
    </w:p>
    <w:p w14:paraId="7C1AEC46" w14:textId="77777777" w:rsidR="005163C4" w:rsidRPr="00D736C2" w:rsidRDefault="005163C4" w:rsidP="00D736C2">
      <w:pPr>
        <w:spacing w:line="360" w:lineRule="auto"/>
        <w:ind w:left="567" w:right="567"/>
        <w:jc w:val="both"/>
        <w:rPr>
          <w:rFonts w:ascii="Palatino Linotype" w:hAnsi="Palatino Linotype" w:cs="Arial"/>
          <w:iCs/>
          <w:color w:val="000000" w:themeColor="text1"/>
        </w:rPr>
      </w:pPr>
    </w:p>
    <w:p w14:paraId="2FE73A3C" w14:textId="77777777" w:rsidR="005163C4" w:rsidRPr="00D736C2" w:rsidRDefault="005163C4" w:rsidP="00D736C2">
      <w:pPr>
        <w:pStyle w:val="Prrafodelista"/>
        <w:numPr>
          <w:ilvl w:val="0"/>
          <w:numId w:val="1"/>
        </w:numPr>
        <w:spacing w:line="360" w:lineRule="auto"/>
        <w:ind w:left="0"/>
        <w:jc w:val="both"/>
        <w:rPr>
          <w:rFonts w:ascii="Palatino Linotype" w:hAnsi="Palatino Linotype" w:cs="Arial"/>
          <w:i/>
          <w:color w:val="000000" w:themeColor="text1"/>
        </w:rPr>
      </w:pPr>
      <w:r w:rsidRPr="00D736C2">
        <w:rPr>
          <w:rFonts w:ascii="Palatino Linotype" w:hAnsi="Palatino Linotype"/>
          <w:color w:val="000000" w:themeColor="text1"/>
        </w:rPr>
        <w:t>En esa virtud, el</w:t>
      </w:r>
      <w:r w:rsidRPr="00D736C2">
        <w:rPr>
          <w:rStyle w:val="apple-converted-space"/>
          <w:rFonts w:ascii="Palatino Linotype" w:hAnsi="Palatino Linotype"/>
          <w:color w:val="000000" w:themeColor="text1"/>
        </w:rPr>
        <w:t xml:space="preserve"> </w:t>
      </w:r>
      <w:r w:rsidRPr="00D736C2">
        <w:rPr>
          <w:rFonts w:ascii="Palatino Linotype" w:hAnsi="Palatino Linotype"/>
          <w:b/>
          <w:bCs/>
          <w:color w:val="000000" w:themeColor="text1"/>
        </w:rPr>
        <w:t>Sujeto Obligado</w:t>
      </w:r>
      <w:r w:rsidRPr="00D736C2">
        <w:rPr>
          <w:rStyle w:val="apple-converted-space"/>
          <w:rFonts w:ascii="Palatino Linotype" w:hAnsi="Palatino Linotype"/>
          <w:color w:val="000000" w:themeColor="text1"/>
        </w:rPr>
        <w:t xml:space="preserve"> </w:t>
      </w:r>
      <w:r w:rsidRPr="00D736C2">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14:paraId="54B1CC90" w14:textId="77777777" w:rsidR="005163C4" w:rsidRPr="00D736C2" w:rsidRDefault="005163C4" w:rsidP="00D736C2">
      <w:pPr>
        <w:pStyle w:val="Prrafodelista"/>
        <w:spacing w:line="360" w:lineRule="auto"/>
        <w:ind w:left="0"/>
        <w:jc w:val="both"/>
        <w:rPr>
          <w:rFonts w:ascii="Palatino Linotype" w:hAnsi="Palatino Linotype" w:cs="Arial"/>
          <w:i/>
          <w:color w:val="000000" w:themeColor="text1"/>
        </w:rPr>
      </w:pPr>
    </w:p>
    <w:p w14:paraId="0BE6D748" w14:textId="456493A0"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En el caso concreto al que nos circunscribimos, se tiene que el derecho de acceso a la información pública y protección de datos personales, se ha ejercido por múltiples personas, a través de diversos </w:t>
      </w:r>
      <w:r w:rsidRPr="00D736C2">
        <w:rPr>
          <w:rFonts w:ascii="Palatino Linotype" w:eastAsia="MS Mincho" w:hAnsi="Palatino Linotype" w:cs="Times New Roman"/>
          <w:b/>
          <w:bCs/>
        </w:rPr>
        <w:t xml:space="preserve">Sujetos Obligados </w:t>
      </w:r>
      <w:r w:rsidRPr="00D736C2">
        <w:rPr>
          <w:rFonts w:ascii="Palatino Linotype" w:eastAsia="MS Mincho" w:hAnsi="Palatino Linotype" w:cs="Times New Roman"/>
        </w:rPr>
        <w:t xml:space="preserve">-tal es el caso particular de la Secretaría de Finanzas-, con la finalidad de obtener acceso a la información relativa a estos organismos auxiliares de seguridad pública, en razón de que dicha información se presume pública, de tal forma que en estricto apego a los derechos consagrados en nuestra carta magna, el negar acceso a esta información por la incertidumbre derivada de la supuesta incompetencia de las autoridades, no sólo transgrede y viola los valores constitucionales, sino que además contribuye a mantener el estado de opacidad de dichas agrupaciones, respecto a su operación, integración y/o administración. </w:t>
      </w:r>
    </w:p>
    <w:p w14:paraId="31DD951D" w14:textId="77777777" w:rsidR="005163C4" w:rsidRPr="00D736C2" w:rsidRDefault="005163C4" w:rsidP="00D736C2">
      <w:pPr>
        <w:keepNext/>
        <w:keepLines/>
        <w:spacing w:line="360" w:lineRule="auto"/>
        <w:outlineLvl w:val="0"/>
        <w:rPr>
          <w:rFonts w:ascii="Palatino Linotype" w:eastAsia="MS Gothic" w:hAnsi="Palatino Linotype" w:cstheme="majorBidi"/>
          <w:b/>
        </w:rPr>
      </w:pPr>
      <w:bookmarkStart w:id="85" w:name="_Toc23446071"/>
      <w:bookmarkStart w:id="86" w:name="_Toc25255403"/>
      <w:r w:rsidRPr="00D736C2">
        <w:rPr>
          <w:rFonts w:ascii="Palatino Linotype" w:eastAsia="MS Gothic" w:hAnsi="Palatino Linotype" w:cstheme="majorBidi"/>
          <w:b/>
        </w:rPr>
        <w:lastRenderedPageBreak/>
        <w:t>II. De la Seguridad Pública.</w:t>
      </w:r>
      <w:bookmarkEnd w:id="85"/>
      <w:bookmarkEnd w:id="86"/>
      <w:r w:rsidRPr="00D736C2">
        <w:rPr>
          <w:rFonts w:ascii="Palatino Linotype" w:eastAsia="MS Gothic" w:hAnsi="Palatino Linotype" w:cstheme="majorBidi"/>
          <w:b/>
        </w:rPr>
        <w:t xml:space="preserve"> </w:t>
      </w:r>
    </w:p>
    <w:p w14:paraId="1CAE369B"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2718D35"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El tema de seguridad pública es constantemente un objeto de análisis, pues forma parte esencial del bienestar social, de tal forma que un Estado de derecho debe generar las condiciones que permitan que la sociedad sea cimentada en confianza respecto a sus bienes jurídicos tutelados. El concepto de seguridad, no puede ser consolidado con estrategias y acciones aisladas, por el contrario, se exige la articulación y coordinación de los órganos que intervienen en los tres niveles de gobierno a lo cual deben sumarse otras instituciones e inclusive la sociedad civil, por lo que, ante ello se parte de una visión global e incluyente. </w:t>
      </w:r>
    </w:p>
    <w:p w14:paraId="39430D3C"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C5F8E9D"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De acuerdo con José Antonio González Fernández, </w:t>
      </w:r>
      <w:r w:rsidRPr="00D736C2">
        <w:rPr>
          <w:rFonts w:ascii="Palatino Linotype" w:eastAsia="MS Mincho" w:hAnsi="Palatino Linotype" w:cs="Times New Roman"/>
          <w:i/>
          <w:iCs/>
        </w:rPr>
        <w:t>“…para definir el concepto de seguridad pública debemos partir del deber del Estado como encargado de vigilar el orden público, garantizar la paz y la seguridad de la comunidad…</w:t>
      </w:r>
      <w:r w:rsidRPr="00D736C2">
        <w:rPr>
          <w:rFonts w:ascii="Palatino Linotype" w:hAnsi="Palatino Linotype" w:cs="Arial"/>
          <w:vertAlign w:val="superscript"/>
        </w:rPr>
        <w:footnoteReference w:id="6"/>
      </w:r>
      <w:r w:rsidRPr="00D736C2">
        <w:rPr>
          <w:rFonts w:ascii="Palatino Linotype" w:eastAsia="MS Mincho" w:hAnsi="Palatino Linotype" w:cs="Times New Roman"/>
          <w:i/>
          <w:iCs/>
        </w:rPr>
        <w:t>”</w:t>
      </w:r>
      <w:r w:rsidRPr="00D736C2">
        <w:rPr>
          <w:rFonts w:ascii="Palatino Linotype" w:eastAsia="MS Mincho" w:hAnsi="Palatino Linotype" w:cs="Times New Roman"/>
        </w:rPr>
        <w:t>, y dicha función se relaciona con la preservación de determinados valores tutelados entre los cuales se encuentran los de la vida e integridad de las personas, sus derechos y libertades, el orden y la paz públicos</w:t>
      </w:r>
      <w:r w:rsidRPr="00D736C2">
        <w:rPr>
          <w:rFonts w:ascii="Palatino Linotype" w:hAnsi="Palatino Linotype" w:cs="Arial"/>
          <w:vertAlign w:val="superscript"/>
        </w:rPr>
        <w:footnoteReference w:id="7"/>
      </w:r>
      <w:r w:rsidRPr="00D736C2">
        <w:rPr>
          <w:rFonts w:ascii="Palatino Linotype" w:eastAsia="MS Mincho" w:hAnsi="Palatino Linotype" w:cs="Times New Roman"/>
        </w:rPr>
        <w:t xml:space="preserve">. </w:t>
      </w:r>
    </w:p>
    <w:p w14:paraId="58EEF261"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1D548CE"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Es entonces que la seguridad, en su concepción genérica, es concebida como un valor supremo, mientras que la función del Estado, en su especie, corresponde a la seguridad pública como el mecanismo idóneo para alcanzar la realización de ese valor, </w:t>
      </w:r>
      <w:r w:rsidRPr="00D736C2">
        <w:rPr>
          <w:rFonts w:ascii="Palatino Linotype" w:eastAsia="MS Mincho" w:hAnsi="Palatino Linotype" w:cs="Times New Roman"/>
        </w:rPr>
        <w:lastRenderedPageBreak/>
        <w:t xml:space="preserve">de tal forma, que el Estado mediante la coordinación de diversas actividades, como prevención, investigación, persecución, sanción de delitos y reinserción de la persona infractora del orden jurídico, salvaguarda la integridad y derechos de las personas, preserva las libertades y mantiene el orden y la paz públicos. </w:t>
      </w:r>
    </w:p>
    <w:p w14:paraId="4E56F14F"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787441CE"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Lo anterior, permite comprender con mayor claridad la concepción de la seguridad pública definida en el noveno párrafo del artículo 21 de la </w:t>
      </w:r>
      <w:r w:rsidRPr="00D736C2">
        <w:rPr>
          <w:rFonts w:ascii="Palatino Linotype" w:eastAsia="MS Mincho" w:hAnsi="Palatino Linotype" w:cs="Times New Roman"/>
          <w:b/>
        </w:rPr>
        <w:t>Constitución Política de los Estados Unidos Mexicanos</w:t>
      </w:r>
      <w:r w:rsidRPr="00D736C2">
        <w:rPr>
          <w:rFonts w:ascii="Palatino Linotype" w:eastAsia="MS Mincho" w:hAnsi="Palatino Linotype" w:cs="Times New Roman"/>
        </w:rPr>
        <w:t>, en los siguientes términos:</w:t>
      </w:r>
    </w:p>
    <w:p w14:paraId="1F0D816F"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42B5411" w14:textId="77777777" w:rsidR="005163C4" w:rsidRPr="00D736C2" w:rsidRDefault="005163C4" w:rsidP="00D736C2">
      <w:pPr>
        <w:spacing w:line="360" w:lineRule="auto"/>
        <w:ind w:left="567" w:right="49"/>
        <w:contextualSpacing/>
        <w:jc w:val="both"/>
        <w:rPr>
          <w:rFonts w:ascii="Palatino Linotype" w:eastAsia="MS Mincho" w:hAnsi="Palatino Linotype" w:cs="Times New Roman"/>
          <w:b/>
          <w:bCs/>
          <w:i/>
        </w:rPr>
      </w:pPr>
      <w:r w:rsidRPr="00D736C2">
        <w:rPr>
          <w:rFonts w:ascii="Palatino Linotype" w:eastAsia="MS Mincho" w:hAnsi="Palatino Linotype" w:cs="Times New Roman"/>
          <w:b/>
          <w:bCs/>
          <w:i/>
        </w:rPr>
        <w:t>Artículo 21. […]</w:t>
      </w:r>
    </w:p>
    <w:p w14:paraId="6D44FAB9" w14:textId="77777777" w:rsidR="005163C4" w:rsidRPr="00D736C2" w:rsidRDefault="005163C4" w:rsidP="00D736C2">
      <w:pPr>
        <w:spacing w:line="360" w:lineRule="auto"/>
        <w:ind w:left="567" w:right="49"/>
        <w:contextualSpacing/>
        <w:jc w:val="both"/>
        <w:rPr>
          <w:rFonts w:ascii="Palatino Linotype" w:eastAsia="MS Mincho" w:hAnsi="Palatino Linotype" w:cs="Times New Roman"/>
          <w:b/>
          <w:bCs/>
          <w:i/>
        </w:rPr>
      </w:pPr>
    </w:p>
    <w:p w14:paraId="0A53704A"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 xml:space="preserve">“[…]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14:paraId="3E077BB5"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4021AAC4" w14:textId="77777777" w:rsidR="005163C4" w:rsidRPr="00D736C2" w:rsidRDefault="005163C4" w:rsidP="00D736C2">
      <w:pPr>
        <w:pStyle w:val="Prrafodelista"/>
        <w:numPr>
          <w:ilvl w:val="0"/>
          <w:numId w:val="1"/>
        </w:numPr>
        <w:spacing w:line="360" w:lineRule="auto"/>
        <w:ind w:left="0" w:right="49"/>
        <w:jc w:val="both"/>
        <w:rPr>
          <w:rFonts w:ascii="Palatino Linotype" w:eastAsia="MS Mincho" w:hAnsi="Palatino Linotype" w:cs="Times New Roman"/>
        </w:rPr>
      </w:pPr>
      <w:r w:rsidRPr="00D736C2">
        <w:rPr>
          <w:rFonts w:ascii="Palatino Linotype" w:eastAsia="MS Mincho" w:hAnsi="Palatino Linotype" w:cs="Times New Roman"/>
        </w:rPr>
        <w:t xml:space="preserve">Asimismo, en el artículo referido, se establece que las instituciones de seguridad pública, incluyendo la Guardia Nacional, serán de carácter civil, disciplinado y </w:t>
      </w:r>
      <w:r w:rsidRPr="00D736C2">
        <w:rPr>
          <w:rFonts w:ascii="Palatino Linotype" w:eastAsia="MS Mincho" w:hAnsi="Palatino Linotype" w:cs="Times New Roman"/>
        </w:rPr>
        <w:lastRenderedPageBreak/>
        <w:t>profesional. El Ministerio Público y las instituciones policiales de los tres órdenes de gobierno deberán coordinarse entre sí para cumplir los fines de la seguridad pública y conformarán el Sistema Nacional de Seguridad Pública, que estará sujeto a bases mínimas como;</w:t>
      </w:r>
    </w:p>
    <w:p w14:paraId="66A0FD23"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491C230C"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
          <w:bCs/>
          <w:i/>
        </w:rPr>
        <w:t>Artículo 21. […]</w:t>
      </w:r>
    </w:p>
    <w:p w14:paraId="57795C73" w14:textId="77777777" w:rsidR="005163C4" w:rsidRPr="00D736C2" w:rsidRDefault="005163C4" w:rsidP="00D736C2">
      <w:pPr>
        <w:spacing w:line="360" w:lineRule="auto"/>
        <w:ind w:left="567" w:right="567"/>
        <w:contextualSpacing/>
        <w:jc w:val="both"/>
        <w:rPr>
          <w:rFonts w:ascii="Palatino Linotype" w:hAnsi="Palatino Linotype"/>
          <w:i/>
        </w:rPr>
      </w:pPr>
    </w:p>
    <w:p w14:paraId="65DC807E"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a</w:t>
      </w:r>
      <w:r w:rsidRPr="00D736C2">
        <w:rPr>
          <w:rFonts w:ascii="Palatino Linotype" w:hAnsi="Palatino Linotype"/>
          <w:b/>
          <w:bCs/>
          <w:i/>
        </w:rPr>
        <w:t>) 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r w:rsidRPr="00D736C2">
        <w:rPr>
          <w:rFonts w:ascii="Palatino Linotype" w:hAnsi="Palatino Linotype"/>
          <w:i/>
        </w:rPr>
        <w:t xml:space="preserve"> [Inciso reformado DOF 29-01-2016]</w:t>
      </w:r>
    </w:p>
    <w:p w14:paraId="573A3E02" w14:textId="77777777" w:rsidR="005163C4" w:rsidRPr="00D736C2" w:rsidRDefault="005163C4" w:rsidP="00D736C2">
      <w:pPr>
        <w:spacing w:line="360" w:lineRule="auto"/>
        <w:ind w:left="567" w:right="567"/>
        <w:contextualSpacing/>
        <w:jc w:val="both"/>
        <w:rPr>
          <w:rFonts w:ascii="Palatino Linotype" w:hAnsi="Palatino Linotype"/>
          <w:i/>
        </w:rPr>
      </w:pPr>
    </w:p>
    <w:p w14:paraId="7069C391"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 xml:space="preserve">b) 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w:t>
      </w:r>
      <w:proofErr w:type="spellStart"/>
      <w:r w:rsidRPr="00D736C2">
        <w:rPr>
          <w:rFonts w:ascii="Palatino Linotype" w:hAnsi="Palatino Linotype"/>
          <w:i/>
        </w:rPr>
        <w:t>criminalísticos</w:t>
      </w:r>
      <w:proofErr w:type="spellEnd"/>
      <w:r w:rsidRPr="00D736C2">
        <w:rPr>
          <w:rFonts w:ascii="Palatino Linotype" w:hAnsi="Palatino Linotype"/>
          <w:i/>
        </w:rPr>
        <w:t xml:space="preserve"> y de personal para las instituciones de seguridad pública. Ninguna persona podrá ingresar a las instituciones de seguridad pública si no ha sido debidamente certificada y registrada en el sistema. [Inciso reformado DOF 26-03-2019]</w:t>
      </w:r>
    </w:p>
    <w:p w14:paraId="248080A6" w14:textId="77777777" w:rsidR="005163C4" w:rsidRPr="00D736C2" w:rsidRDefault="005163C4" w:rsidP="00D736C2">
      <w:pPr>
        <w:spacing w:line="360" w:lineRule="auto"/>
        <w:ind w:left="567" w:right="567"/>
        <w:contextualSpacing/>
        <w:jc w:val="both"/>
        <w:rPr>
          <w:rFonts w:ascii="Palatino Linotype" w:hAnsi="Palatino Linotype"/>
          <w:i/>
        </w:rPr>
      </w:pPr>
    </w:p>
    <w:p w14:paraId="70D4143A"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 xml:space="preserve">c) La formulación de políticas públicas tendientes a prevenir la comisión de delitos. d) Se determinará la participación de la comunidad que coadyuvará, entre otros, en los </w:t>
      </w:r>
      <w:r w:rsidRPr="00D736C2">
        <w:rPr>
          <w:rFonts w:ascii="Palatino Linotype" w:hAnsi="Palatino Linotype"/>
          <w:i/>
        </w:rPr>
        <w:lastRenderedPageBreak/>
        <w:t xml:space="preserve">procesos de evaluación de las políticas de prevención del delito, así como de las instituciones de seguridad pública. </w:t>
      </w:r>
    </w:p>
    <w:p w14:paraId="1318F08E" w14:textId="77777777" w:rsidR="005163C4" w:rsidRPr="00D736C2" w:rsidRDefault="005163C4" w:rsidP="00D736C2">
      <w:pPr>
        <w:spacing w:line="360" w:lineRule="auto"/>
        <w:ind w:left="567" w:right="567"/>
        <w:contextualSpacing/>
        <w:jc w:val="both"/>
        <w:rPr>
          <w:rFonts w:ascii="Palatino Linotype" w:hAnsi="Palatino Linotype"/>
          <w:i/>
        </w:rPr>
      </w:pPr>
    </w:p>
    <w:p w14:paraId="3ED13840"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e) Los fondos de ayuda federal para la seguridad pública, a nivel nacional serán aportados a las entidades federativas y municipios para ser destinados exclusivamente a estos fines.</w:t>
      </w:r>
    </w:p>
    <w:p w14:paraId="7B67BFB8"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5632F931" w14:textId="77777777" w:rsidR="005163C4" w:rsidRPr="00D736C2" w:rsidRDefault="005163C4" w:rsidP="00D736C2">
      <w:pPr>
        <w:spacing w:line="360" w:lineRule="auto"/>
        <w:ind w:right="567"/>
        <w:contextualSpacing/>
        <w:jc w:val="both"/>
        <w:rPr>
          <w:rFonts w:ascii="Palatino Linotype" w:hAnsi="Palatino Linotype"/>
        </w:rPr>
      </w:pPr>
    </w:p>
    <w:p w14:paraId="7C8EB6AC" w14:textId="77777777" w:rsidR="005163C4" w:rsidRPr="00D736C2" w:rsidRDefault="005163C4" w:rsidP="00D736C2">
      <w:pPr>
        <w:pStyle w:val="Prrafodelista"/>
        <w:numPr>
          <w:ilvl w:val="0"/>
          <w:numId w:val="1"/>
        </w:numPr>
        <w:spacing w:line="360" w:lineRule="auto"/>
        <w:ind w:left="0" w:right="49"/>
        <w:jc w:val="both"/>
        <w:rPr>
          <w:rFonts w:ascii="Palatino Linotype" w:eastAsia="MS Mincho" w:hAnsi="Palatino Linotype" w:cs="Times New Roman"/>
        </w:rPr>
      </w:pPr>
      <w:r w:rsidRPr="00D736C2">
        <w:rPr>
          <w:rFonts w:ascii="Palatino Linotype" w:eastAsia="MS Mincho" w:hAnsi="Palatino Linotype" w:cs="Times New Roman"/>
        </w:rPr>
        <w:t xml:space="preserve">En el caso que nos ocupa, se trata de un ente que realiza ciertas actividades que forman parte de dicha función pública, las que se encuentran comprendidas dentro de las competencias locales definidas en la </w:t>
      </w:r>
      <w:r w:rsidRPr="00D736C2">
        <w:rPr>
          <w:rFonts w:ascii="Palatino Linotype" w:eastAsia="MS Mincho" w:hAnsi="Palatino Linotype" w:cs="Times New Roman"/>
          <w:b/>
        </w:rPr>
        <w:t>Ley de Seguridad del Estado de México</w:t>
      </w:r>
      <w:r w:rsidRPr="00D736C2">
        <w:rPr>
          <w:rFonts w:ascii="Palatino Linotype" w:eastAsia="MS Mincho" w:hAnsi="Palatino Linotype" w:cs="Times New Roman"/>
        </w:rPr>
        <w:t xml:space="preserve">, a través del segundo párrafo del artículo 103 como atribución del Estado que, a través de organismos auxiliares, en este caso, los denominados Cuerpos de Seguridad Auxiliares del Estado de México, organismo que coadyuva a la consumación de los fines perseguidos por el artículo 21 constitucional, pues contribuyen al orden, la paz y tienden a asegurar el respeto a la vida, integridad, derechos y libertades de las personas </w:t>
      </w:r>
      <w:r w:rsidRPr="00D736C2">
        <w:rPr>
          <w:rFonts w:ascii="Palatino Linotype" w:eastAsia="MS Mincho" w:hAnsi="Palatino Linotype" w:cs="Times New Roman"/>
          <w:i/>
        </w:rPr>
        <w:t>al proporcionar</w:t>
      </w:r>
      <w:r w:rsidRPr="00D736C2">
        <w:rPr>
          <w:rFonts w:ascii="Palatino Linotype" w:eastAsia="MS Mincho" w:hAnsi="Palatino Linotype" w:cs="Times New Roman"/>
        </w:rPr>
        <w:t xml:space="preserve"> </w:t>
      </w:r>
      <w:r w:rsidRPr="00D736C2">
        <w:rPr>
          <w:rFonts w:ascii="Palatino Linotype" w:eastAsia="MS Mincho" w:hAnsi="Palatino Linotype" w:cs="Times New Roman"/>
          <w:i/>
        </w:rPr>
        <w:t>servicios de protección, custodia, vigilancia y seguridad a dependencias y organismos públicos, sociedades mercantiles, asociaciones, instituciones educativas y particulares.</w:t>
      </w:r>
      <w:r w:rsidRPr="00D736C2">
        <w:rPr>
          <w:rFonts w:ascii="Palatino Linotype" w:eastAsia="MS Mincho" w:hAnsi="Palatino Linotype" w:cs="Times New Roman"/>
        </w:rPr>
        <w:t xml:space="preserve">  </w:t>
      </w:r>
    </w:p>
    <w:p w14:paraId="0A02D794" w14:textId="77777777" w:rsidR="005163C4" w:rsidRPr="00D736C2" w:rsidRDefault="005163C4" w:rsidP="00D736C2">
      <w:pPr>
        <w:spacing w:line="360" w:lineRule="auto"/>
        <w:ind w:right="49"/>
        <w:jc w:val="both"/>
        <w:rPr>
          <w:rFonts w:ascii="Palatino Linotype" w:eastAsia="MS Mincho" w:hAnsi="Palatino Linotype" w:cs="Times New Roman"/>
        </w:rPr>
      </w:pPr>
    </w:p>
    <w:p w14:paraId="2A14FC3E" w14:textId="77777777" w:rsidR="005163C4" w:rsidRPr="00D736C2" w:rsidRDefault="005163C4" w:rsidP="00D736C2">
      <w:pPr>
        <w:keepNext/>
        <w:keepLines/>
        <w:spacing w:line="360" w:lineRule="auto"/>
        <w:jc w:val="both"/>
        <w:outlineLvl w:val="0"/>
        <w:rPr>
          <w:rFonts w:ascii="Palatino Linotype" w:eastAsia="MS Gothic" w:hAnsi="Palatino Linotype" w:cstheme="majorBidi"/>
          <w:b/>
        </w:rPr>
      </w:pPr>
      <w:bookmarkStart w:id="87" w:name="_Toc23446072"/>
      <w:bookmarkStart w:id="88" w:name="_Toc25255404"/>
      <w:r w:rsidRPr="00D736C2">
        <w:rPr>
          <w:rFonts w:ascii="Palatino Linotype" w:eastAsia="MS Gothic" w:hAnsi="Palatino Linotype" w:cstheme="majorBidi"/>
          <w:b/>
        </w:rPr>
        <w:t>III. De los Cuerpos de Seguridad Auxiliares del Estado de México.</w:t>
      </w:r>
      <w:bookmarkEnd w:id="87"/>
      <w:bookmarkEnd w:id="88"/>
      <w:r w:rsidRPr="00D736C2">
        <w:rPr>
          <w:rFonts w:ascii="Palatino Linotype" w:eastAsia="MS Gothic" w:hAnsi="Palatino Linotype" w:cstheme="majorBidi"/>
          <w:b/>
        </w:rPr>
        <w:t xml:space="preserve"> </w:t>
      </w:r>
    </w:p>
    <w:p w14:paraId="021DA833"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46CA5F8E" w14:textId="77902BEC"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Los Cuerpos de Seguridad A</w:t>
      </w:r>
      <w:r w:rsidR="005A2086" w:rsidRPr="00D736C2">
        <w:rPr>
          <w:rFonts w:ascii="Palatino Linotype" w:eastAsia="MS Mincho" w:hAnsi="Palatino Linotype" w:cs="Times New Roman"/>
        </w:rPr>
        <w:t>uxiliares del Estado de México,</w:t>
      </w:r>
      <w:r w:rsidRPr="00D736C2">
        <w:rPr>
          <w:rFonts w:ascii="Palatino Linotype" w:eastAsia="MS Mincho" w:hAnsi="Palatino Linotype" w:cs="Times New Roman"/>
        </w:rPr>
        <w:t xml:space="preserve"> son un organismo auxiliar cuya existencia se encuentra regulada por lo dispuesto en el artículo 103, segundo párrafo de la Ley de Seguridad del Estado de México, el cual señala que: </w:t>
      </w:r>
      <w:r w:rsidRPr="00D736C2">
        <w:rPr>
          <w:rFonts w:ascii="Palatino Linotype" w:eastAsia="MS Mincho" w:hAnsi="Palatino Linotype" w:cs="Times New Roman"/>
          <w:i/>
          <w:iCs/>
        </w:rPr>
        <w:t xml:space="preserve">“El Estado podrá </w:t>
      </w:r>
      <w:r w:rsidRPr="00D736C2">
        <w:rPr>
          <w:rFonts w:ascii="Palatino Linotype" w:eastAsia="MS Mincho" w:hAnsi="Palatino Linotype" w:cs="Times New Roman"/>
          <w:i/>
          <w:iCs/>
        </w:rPr>
        <w:lastRenderedPageBreak/>
        <w:t xml:space="preserve">proporcionar servicios de protección, custodia, vigilancia y seguridad a dependencias y organismos públicos, sociedades mercantiles, asociaciones, instituciones educativas y particulares, por conducto de los </w:t>
      </w:r>
      <w:r w:rsidRPr="00D736C2">
        <w:rPr>
          <w:rFonts w:ascii="Palatino Linotype" w:eastAsia="MS Mincho" w:hAnsi="Palatino Linotype" w:cs="Times New Roman"/>
          <w:b/>
          <w:i/>
          <w:iCs/>
        </w:rPr>
        <w:t>organismos</w:t>
      </w:r>
      <w:r w:rsidRPr="00D736C2">
        <w:rPr>
          <w:rFonts w:ascii="Palatino Linotype" w:eastAsia="MS Mincho" w:hAnsi="Palatino Linotype" w:cs="Times New Roman"/>
          <w:i/>
          <w:iCs/>
        </w:rPr>
        <w:t xml:space="preserve"> que se creen con base en las normas legales aplicables, </w:t>
      </w:r>
      <w:r w:rsidRPr="00D736C2">
        <w:rPr>
          <w:rFonts w:ascii="Palatino Linotype" w:eastAsia="MS Mincho" w:hAnsi="Palatino Linotype" w:cs="Times New Roman"/>
          <w:b/>
          <w:i/>
          <w:iCs/>
        </w:rPr>
        <w:t>en su carácter de auxiliares</w:t>
      </w:r>
      <w:r w:rsidRPr="00D736C2">
        <w:rPr>
          <w:rFonts w:ascii="Palatino Linotype" w:eastAsia="MS Mincho" w:hAnsi="Palatino Linotype" w:cs="Times New Roman"/>
          <w:i/>
          <w:iCs/>
        </w:rPr>
        <w:t xml:space="preserve">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r w:rsidRPr="00D736C2">
        <w:rPr>
          <w:rFonts w:ascii="Palatino Linotype" w:eastAsia="MS Mincho" w:hAnsi="Palatino Linotype" w:cs="Times New Roman"/>
          <w:iCs/>
        </w:rPr>
        <w:t>(énfasis añadido)</w:t>
      </w:r>
      <w:r w:rsidRPr="00D736C2">
        <w:rPr>
          <w:rFonts w:ascii="Palatino Linotype" w:eastAsia="MS Mincho" w:hAnsi="Palatino Linotype" w:cs="Times New Roman"/>
          <w:i/>
          <w:iCs/>
        </w:rPr>
        <w:t>.</w:t>
      </w:r>
      <w:r w:rsidRPr="00D736C2">
        <w:rPr>
          <w:rFonts w:ascii="Palatino Linotype" w:eastAsia="MS Mincho" w:hAnsi="Palatino Linotype" w:cs="Times New Roman"/>
        </w:rPr>
        <w:t xml:space="preserve"> </w:t>
      </w:r>
    </w:p>
    <w:p w14:paraId="5CC098D0"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3B34651" w14:textId="33ED001F"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i/>
          <w:iCs/>
        </w:rPr>
      </w:pPr>
      <w:r w:rsidRPr="00D736C2">
        <w:rPr>
          <w:rFonts w:ascii="Palatino Linotype" w:eastAsia="MS Mincho" w:hAnsi="Palatino Linotype" w:cs="Times New Roman"/>
        </w:rPr>
        <w:t xml:space="preserve">Para resolver el presente recurso de revisión y determinar si el </w:t>
      </w:r>
      <w:r w:rsidR="00270D2A" w:rsidRPr="00D736C2">
        <w:rPr>
          <w:rFonts w:ascii="Palatino Linotype" w:eastAsia="MS Mincho" w:hAnsi="Palatino Linotype" w:cs="Times New Roman"/>
        </w:rPr>
        <w:t xml:space="preserve">SUJETO OBLIGADO </w:t>
      </w:r>
      <w:r w:rsidRPr="00D736C2">
        <w:rPr>
          <w:rFonts w:ascii="Palatino Linotype" w:eastAsia="MS Mincho" w:hAnsi="Palatino Linotype" w:cs="Times New Roman"/>
        </w:rPr>
        <w:t xml:space="preserve">debe contar o no con la información requerida, es necesario entender la naturaleza jurídica de un organismo auxiliar. Al respecto,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xml:space="preserve">, en su artículo 3 señala que: </w:t>
      </w:r>
      <w:r w:rsidRPr="00D736C2">
        <w:rPr>
          <w:rFonts w:ascii="Palatino Linotype" w:eastAsia="MS Mincho" w:hAnsi="Palatino Linotype" w:cs="Times New Roman"/>
          <w:i/>
          <w:iCs/>
        </w:rPr>
        <w:t xml:space="preserve">“Para el despacho de los asuntos que competen al Poder Ejecutivo, el Gobernador del Estado </w:t>
      </w:r>
      <w:r w:rsidRPr="00D736C2">
        <w:rPr>
          <w:rFonts w:ascii="Palatino Linotype" w:eastAsia="MS Mincho" w:hAnsi="Palatino Linotype" w:cs="Times New Roman"/>
          <w:b/>
          <w:bCs/>
          <w:i/>
          <w:iCs/>
        </w:rPr>
        <w:t xml:space="preserve">se auxiliará de las dependencias, organismos y entidades que </w:t>
      </w:r>
      <w:r w:rsidRPr="00D736C2">
        <w:rPr>
          <w:rFonts w:ascii="Palatino Linotype" w:eastAsia="MS Mincho" w:hAnsi="Palatino Linotype" w:cs="Times New Roman"/>
          <w:bCs/>
          <w:i/>
          <w:iCs/>
        </w:rPr>
        <w:t>señalen la Constitución Política del Estado, la presente Ley, el presupuesto de egresos</w:t>
      </w:r>
      <w:r w:rsidRPr="00D736C2">
        <w:rPr>
          <w:rFonts w:ascii="Palatino Linotype" w:eastAsia="MS Mincho" w:hAnsi="Palatino Linotype" w:cs="Times New Roman"/>
          <w:b/>
          <w:bCs/>
          <w:i/>
          <w:iCs/>
        </w:rPr>
        <w:t xml:space="preserve"> y las demás disposiciones jurídicas vigentes en el Estado” </w:t>
      </w:r>
      <w:r w:rsidRPr="00D736C2">
        <w:rPr>
          <w:rFonts w:ascii="Palatino Linotype" w:eastAsia="MS Mincho" w:hAnsi="Palatino Linotype" w:cs="Times New Roman"/>
          <w:bCs/>
          <w:iCs/>
        </w:rPr>
        <w:t>(énfasis añadido)</w:t>
      </w:r>
      <w:r w:rsidRPr="00D736C2">
        <w:rPr>
          <w:rFonts w:ascii="Palatino Linotype" w:eastAsia="MS Mincho" w:hAnsi="Palatino Linotype" w:cs="Times New Roman"/>
          <w:b/>
          <w:bCs/>
          <w:i/>
          <w:iCs/>
        </w:rPr>
        <w:t>.</w:t>
      </w:r>
      <w:r w:rsidRPr="00D736C2">
        <w:rPr>
          <w:rFonts w:ascii="Palatino Linotype" w:eastAsia="MS Mincho" w:hAnsi="Palatino Linotype" w:cs="Times New Roman"/>
          <w:i/>
          <w:iCs/>
        </w:rPr>
        <w:t xml:space="preserve"> </w:t>
      </w:r>
    </w:p>
    <w:p w14:paraId="6F9D7AB3"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77906BD"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su parte, el artículo 45 de la citada ley orgánica establece que: </w:t>
      </w:r>
      <w:bookmarkStart w:id="89" w:name="_Hlk22886355"/>
      <w:r w:rsidRPr="00D736C2">
        <w:rPr>
          <w:rFonts w:ascii="Palatino Linotype" w:eastAsia="MS Mincho" w:hAnsi="Palatino Linotype" w:cs="Times New Roman"/>
          <w:i/>
          <w:iCs/>
        </w:rPr>
        <w:t xml:space="preserve">“Los organismos descentralizados, las empresas de participación estatal y los fideicomisos públicos serán considerados como </w:t>
      </w:r>
      <w:r w:rsidRPr="00D736C2">
        <w:rPr>
          <w:rFonts w:ascii="Palatino Linotype" w:eastAsia="MS Mincho" w:hAnsi="Palatino Linotype" w:cs="Times New Roman"/>
          <w:b/>
          <w:bCs/>
          <w:i/>
          <w:iCs/>
        </w:rPr>
        <w:t xml:space="preserve">organismos auxiliares </w:t>
      </w:r>
      <w:r w:rsidRPr="00D736C2">
        <w:rPr>
          <w:rFonts w:ascii="Palatino Linotype" w:eastAsia="MS Mincho" w:hAnsi="Palatino Linotype" w:cs="Times New Roman"/>
          <w:bCs/>
          <w:i/>
          <w:iCs/>
        </w:rPr>
        <w:t>del Poder Ejecutivo</w:t>
      </w:r>
      <w:r w:rsidRPr="00D736C2">
        <w:rPr>
          <w:rFonts w:ascii="Palatino Linotype" w:eastAsia="MS Mincho" w:hAnsi="Palatino Linotype" w:cs="Times New Roman"/>
          <w:b/>
          <w:bCs/>
          <w:i/>
          <w:iCs/>
        </w:rPr>
        <w:t xml:space="preserve"> y forman parte de la Administración Pública del Estado</w:t>
      </w:r>
      <w:r w:rsidRPr="00D736C2">
        <w:rPr>
          <w:rFonts w:ascii="Palatino Linotype" w:eastAsia="MS Mincho" w:hAnsi="Palatino Linotype" w:cs="Times New Roman"/>
          <w:i/>
          <w:iCs/>
        </w:rPr>
        <w:t>”.</w:t>
      </w:r>
      <w:r w:rsidRPr="00D736C2">
        <w:rPr>
          <w:rFonts w:ascii="Palatino Linotype" w:eastAsia="MS Mincho" w:hAnsi="Palatino Linotype" w:cs="Times New Roman"/>
        </w:rPr>
        <w:t xml:space="preserve"> </w:t>
      </w:r>
      <w:bookmarkEnd w:id="89"/>
    </w:p>
    <w:p w14:paraId="49042EBE"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4081FDB3" w14:textId="77777777" w:rsidR="005163C4" w:rsidRPr="00D736C2" w:rsidRDefault="005163C4" w:rsidP="00D736C2">
      <w:pPr>
        <w:numPr>
          <w:ilvl w:val="0"/>
          <w:numId w:val="1"/>
        </w:numPr>
        <w:spacing w:line="360" w:lineRule="auto"/>
        <w:ind w:left="0" w:right="49"/>
        <w:contextualSpacing/>
        <w:jc w:val="both"/>
        <w:rPr>
          <w:rFonts w:ascii="Palatino Linotype" w:eastAsia="Calibri" w:hAnsi="Palatino Linotype"/>
          <w:lang w:val="es-ES"/>
        </w:rPr>
      </w:pPr>
      <w:r w:rsidRPr="00D736C2">
        <w:rPr>
          <w:rFonts w:ascii="Palatino Linotype" w:eastAsia="MS Mincho" w:hAnsi="Palatino Linotype" w:cs="Times New Roman"/>
        </w:rPr>
        <w:t xml:space="preserve">La </w:t>
      </w:r>
      <w:r w:rsidRPr="00D736C2">
        <w:rPr>
          <w:rFonts w:ascii="Palatino Linotype" w:eastAsia="MS Mincho" w:hAnsi="Palatino Linotype" w:cs="Times New Roman"/>
          <w:b/>
        </w:rPr>
        <w:t>Ley de Seguridad Pública del Estado de México</w:t>
      </w:r>
      <w:r w:rsidRPr="00D736C2">
        <w:rPr>
          <w:rFonts w:ascii="Palatino Linotype" w:eastAsia="MS Mincho" w:hAnsi="Palatino Linotype" w:cs="Times New Roman"/>
        </w:rPr>
        <w:t xml:space="preserve"> es una disposición jurídica vigente en nuestra entidad, la que establece atribuciones para las autoridades del ámbito </w:t>
      </w:r>
      <w:r w:rsidRPr="00D736C2">
        <w:rPr>
          <w:rFonts w:ascii="Palatino Linotype" w:eastAsia="MS Mincho" w:hAnsi="Palatino Linotype" w:cs="Times New Roman"/>
        </w:rPr>
        <w:lastRenderedPageBreak/>
        <w:t xml:space="preserve">estatal, a las que alude como el Estado, y de carácter municipal, a las que refiere como los Municipios. Dicha disposición jurídica vigente, señala a estos organismos auxiliares del Estado en materia de seguridad pública para brindar los servicios que previamente se han precisado, por lo que bajo tal condición debe entenderse a los Cuerpos de Seguridad Auxiliares del Estado de México. </w:t>
      </w:r>
    </w:p>
    <w:p w14:paraId="55EE8B3A" w14:textId="77777777" w:rsidR="005163C4" w:rsidRPr="00D736C2" w:rsidRDefault="005163C4" w:rsidP="00D736C2">
      <w:pPr>
        <w:spacing w:line="360" w:lineRule="auto"/>
        <w:ind w:right="49"/>
        <w:contextualSpacing/>
        <w:jc w:val="both"/>
        <w:rPr>
          <w:rFonts w:ascii="Palatino Linotype" w:eastAsia="Calibri" w:hAnsi="Palatino Linotype"/>
          <w:lang w:val="es-ES"/>
        </w:rPr>
      </w:pPr>
    </w:p>
    <w:p w14:paraId="3B6009AF"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Calibri" w:hAnsi="Palatino Linotype" w:cs="Times New Roman"/>
          <w:bCs/>
        </w:rPr>
        <w:t xml:space="preserve">Así las cosas y de acuerdo con lo establecido por el artículo 45 de la Ley Orgánica de la Administración Pública del Estado de México, </w:t>
      </w:r>
      <w:r w:rsidRPr="00D736C2">
        <w:rPr>
          <w:rFonts w:ascii="Palatino Linotype" w:eastAsia="Calibri" w:hAnsi="Palatino Linotype" w:cs="Times New Roman"/>
          <w:bCs/>
          <w:i/>
        </w:rPr>
        <w:t xml:space="preserve">los organismos auxiliares del Poder Ejecutivo forman parte de la Administración Pública del Estado </w:t>
      </w:r>
      <w:r w:rsidRPr="00D736C2">
        <w:rPr>
          <w:rFonts w:ascii="Palatino Linotype" w:eastAsia="Calibri" w:hAnsi="Palatino Linotype" w:cs="Times New Roman"/>
          <w:bCs/>
        </w:rPr>
        <w:t>y pueden ser de tres tipos</w:t>
      </w:r>
      <w:r w:rsidRPr="00D736C2">
        <w:rPr>
          <w:rFonts w:ascii="Palatino Linotype" w:eastAsia="Calibri" w:hAnsi="Palatino Linotype" w:cs="Times New Roman"/>
          <w:bCs/>
          <w:i/>
          <w:iCs/>
        </w:rPr>
        <w:t xml:space="preserve"> organismos descentralizados, empresas de participación estatal y fideicomisos públicos. </w:t>
      </w:r>
      <w:r w:rsidRPr="00D736C2">
        <w:rPr>
          <w:rFonts w:ascii="Palatino Linotype" w:eastAsia="Calibri" w:hAnsi="Palatino Linotype" w:cs="Times New Roman"/>
          <w:bCs/>
        </w:rPr>
        <w:t>Bajo ese diseño institucional deben de ser considerado los cuerpos de seguridad sobre los cuales se requiere información y cuya negativa motivan el recurso de revisión que se resuelve.</w:t>
      </w:r>
    </w:p>
    <w:p w14:paraId="6E6061B4"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2911C26"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A pesar de que el asunto resulta así de claro y evidente, al parecer, en el diseño de dicho organismo auxiliar, ocurrió algo distinto. Como consecuencia de eso, este Órgano Garante ha enfrentado diversos obstáculos para resolver los recursos de revisión que se han presentado en este tema. De esta manera la posición ha pasado de la sistemática respuesta de los sujetos obligados del ámbito estatal que negaban cualquier contacto e información con relación a dicho organismo auxiliar,</w:t>
      </w:r>
      <w:r w:rsidRPr="00D736C2">
        <w:rPr>
          <w:rStyle w:val="Refdenotaalpie"/>
          <w:rFonts w:ascii="Palatino Linotype" w:eastAsia="MS Mincho" w:hAnsi="Palatino Linotype" w:cs="Times New Roman"/>
        </w:rPr>
        <w:footnoteReference w:id="8"/>
      </w:r>
      <w:r w:rsidRPr="00D736C2">
        <w:rPr>
          <w:rFonts w:ascii="Palatino Linotype" w:eastAsia="MS Mincho" w:hAnsi="Palatino Linotype" w:cs="Times New Roman"/>
        </w:rPr>
        <w:t xml:space="preserve"> a reconocer sólo una relación en casos de desastres,</w:t>
      </w:r>
      <w:r w:rsidRPr="00D736C2">
        <w:rPr>
          <w:rStyle w:val="Refdenotaalpie"/>
          <w:rFonts w:ascii="Palatino Linotype" w:eastAsia="MS Mincho" w:hAnsi="Palatino Linotype" w:cs="Times New Roman"/>
        </w:rPr>
        <w:footnoteReference w:id="9"/>
      </w:r>
      <w:r w:rsidRPr="00D736C2">
        <w:rPr>
          <w:rFonts w:ascii="Palatino Linotype" w:eastAsia="MS Mincho" w:hAnsi="Palatino Linotype" w:cs="Times New Roman"/>
        </w:rPr>
        <w:t xml:space="preserve"> hasta –en los más recientes casos–, reconocer relaciones entre dicho </w:t>
      </w:r>
      <w:r w:rsidRPr="00D736C2">
        <w:rPr>
          <w:rFonts w:ascii="Palatino Linotype" w:eastAsia="MS Mincho" w:hAnsi="Palatino Linotype" w:cs="Times New Roman"/>
        </w:rPr>
        <w:lastRenderedPageBreak/>
        <w:t>organismo con el Instituto de Seguridad Social del Estado de México y Municipios</w:t>
      </w:r>
      <w:r w:rsidRPr="00D736C2">
        <w:rPr>
          <w:rStyle w:val="Refdenotaalpie"/>
          <w:rFonts w:ascii="Palatino Linotype" w:eastAsia="MS Mincho" w:hAnsi="Palatino Linotype" w:cs="Times New Roman"/>
        </w:rPr>
        <w:footnoteReference w:id="10"/>
      </w:r>
      <w:r w:rsidRPr="00D736C2">
        <w:rPr>
          <w:rFonts w:ascii="Palatino Linotype" w:eastAsia="MS Mincho" w:hAnsi="Palatino Linotype" w:cs="Times New Roman"/>
        </w:rPr>
        <w:t xml:space="preserve"> o dando cuenta de los elementos que lo integran y demás información estadística</w:t>
      </w:r>
      <w:r w:rsidRPr="00D736C2">
        <w:rPr>
          <w:rStyle w:val="Refdenotaalpie"/>
          <w:rFonts w:ascii="Palatino Linotype" w:eastAsia="MS Mincho" w:hAnsi="Palatino Linotype" w:cs="Times New Roman"/>
        </w:rPr>
        <w:footnoteReference w:id="11"/>
      </w:r>
      <w:r w:rsidRPr="00D736C2">
        <w:rPr>
          <w:rFonts w:ascii="Palatino Linotype" w:eastAsia="MS Mincho" w:hAnsi="Palatino Linotype" w:cs="Times New Roman"/>
        </w:rPr>
        <w:t>. Sin embargo, en casos como el que ahora se analiza, la Secretaría de Finanzas sigue pretendiendo negar la existencia de información relacionada con este organismo, el número de sus elementos y sus ingresos. Razón por la cual resulta relevante analizar con mayor profundidad el marco normativo de obligada aplicación al respecto.</w:t>
      </w:r>
    </w:p>
    <w:p w14:paraId="13F184B2"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A437B02" w14:textId="086EAAE4" w:rsidR="00270D2A" w:rsidRPr="00D736C2" w:rsidRDefault="005163C4" w:rsidP="00D736C2">
      <w:pPr>
        <w:keepNext/>
        <w:keepLines/>
        <w:spacing w:line="360" w:lineRule="auto"/>
        <w:jc w:val="both"/>
        <w:outlineLvl w:val="0"/>
        <w:rPr>
          <w:rFonts w:ascii="Palatino Linotype" w:eastAsia="MS Gothic" w:hAnsi="Palatino Linotype" w:cstheme="majorBidi"/>
          <w:b/>
        </w:rPr>
      </w:pPr>
      <w:bookmarkStart w:id="90" w:name="_Toc23446073"/>
      <w:bookmarkStart w:id="91" w:name="_Toc25255405"/>
      <w:r w:rsidRPr="00D736C2">
        <w:rPr>
          <w:rFonts w:ascii="Palatino Linotype" w:eastAsia="MS Gothic" w:hAnsi="Palatino Linotype" w:cstheme="majorBidi"/>
          <w:b/>
        </w:rPr>
        <w:t>IV. De la naturaleza de</w:t>
      </w:r>
      <w:r w:rsidR="00270D2A" w:rsidRPr="00D736C2">
        <w:rPr>
          <w:rFonts w:ascii="Palatino Linotype" w:eastAsia="MS Gothic" w:hAnsi="Palatino Linotype" w:cstheme="majorBidi"/>
          <w:b/>
        </w:rPr>
        <w:t xml:space="preserve"> l</w:t>
      </w:r>
      <w:r w:rsidRPr="00D736C2">
        <w:rPr>
          <w:rFonts w:ascii="Palatino Linotype" w:eastAsia="MS Gothic" w:hAnsi="Palatino Linotype" w:cstheme="majorBidi"/>
          <w:b/>
        </w:rPr>
        <w:t>os Cuerpos de Seguridad Auxiliares del Estado de México (CUSAEM)</w:t>
      </w:r>
      <w:r w:rsidR="005A2086" w:rsidRPr="00D736C2">
        <w:rPr>
          <w:rFonts w:ascii="Palatino Linotype" w:eastAsia="MS Gothic" w:hAnsi="Palatino Linotype" w:cstheme="majorBidi"/>
          <w:b/>
        </w:rPr>
        <w:t xml:space="preserve"> y del </w:t>
      </w:r>
      <w:r w:rsidR="005A2086" w:rsidRPr="00D736C2">
        <w:rPr>
          <w:rFonts w:ascii="Palatino Linotype" w:hAnsi="Palatino Linotype"/>
          <w:b/>
        </w:rPr>
        <w:t>Cuerpo de Guardias de Seguridad Industrial, Bancaria, Comercial y Urbana del Valle Cuautitlán Texcoco</w:t>
      </w:r>
      <w:r w:rsidRPr="00D736C2">
        <w:rPr>
          <w:rFonts w:ascii="Palatino Linotype" w:eastAsia="MS Gothic" w:hAnsi="Palatino Linotype" w:cstheme="majorBidi"/>
          <w:b/>
        </w:rPr>
        <w:t>.</w:t>
      </w:r>
      <w:bookmarkEnd w:id="90"/>
      <w:bookmarkEnd w:id="91"/>
    </w:p>
    <w:p w14:paraId="590FE512" w14:textId="77777777" w:rsidR="00270D2A" w:rsidRPr="00D736C2" w:rsidRDefault="00270D2A" w:rsidP="00D736C2">
      <w:pPr>
        <w:spacing w:line="360" w:lineRule="auto"/>
        <w:rPr>
          <w:rFonts w:ascii="Palatino Linotype" w:hAnsi="Palatino Linotype"/>
        </w:rPr>
      </w:pPr>
    </w:p>
    <w:p w14:paraId="6B1B283C"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Como anteriormente se estableció, las actividades que desempeñan estos Cuerpos de Seguridad forman parte de los componentes de la función de seguridad pública definidos en el artículo 21 constitucional, aterrizadas en nuestra entidad a través de la </w:t>
      </w:r>
      <w:r w:rsidRPr="00D736C2">
        <w:rPr>
          <w:rFonts w:ascii="Palatino Linotype" w:eastAsia="MS Mincho" w:hAnsi="Palatino Linotype" w:cs="Times New Roman"/>
          <w:b/>
        </w:rPr>
        <w:t>Ley de Seguridad del Estado de México</w:t>
      </w:r>
      <w:r w:rsidRPr="00D736C2">
        <w:rPr>
          <w:rFonts w:ascii="Palatino Linotype" w:eastAsia="MS Mincho" w:hAnsi="Palatino Linotype" w:cs="Times New Roman"/>
        </w:rPr>
        <w:t xml:space="preserve">, específicamente del segundo y tercer párrafo del artículo 103, el cual a la letra señala que: </w:t>
      </w:r>
    </w:p>
    <w:p w14:paraId="0BE388ED"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33089AC7"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r w:rsidRPr="00D736C2">
        <w:rPr>
          <w:rFonts w:ascii="Palatino Linotype" w:hAnsi="Palatino Linotype"/>
          <w:b/>
          <w:bCs/>
          <w:i/>
        </w:rPr>
        <w:t>Artículo 103.</w:t>
      </w:r>
      <w:r w:rsidRPr="00D736C2">
        <w:rPr>
          <w:rFonts w:ascii="Palatino Linotype" w:hAnsi="Palatino Linotype"/>
          <w:i/>
        </w:rPr>
        <w:t xml:space="preserve"> …</w:t>
      </w:r>
    </w:p>
    <w:p w14:paraId="6C26A459" w14:textId="77777777" w:rsidR="005163C4" w:rsidRPr="00D736C2" w:rsidRDefault="005163C4" w:rsidP="00D736C2">
      <w:pPr>
        <w:spacing w:line="360" w:lineRule="auto"/>
        <w:ind w:left="567" w:right="567"/>
        <w:contextualSpacing/>
        <w:jc w:val="both"/>
        <w:rPr>
          <w:rFonts w:ascii="Palatino Linotype" w:hAnsi="Palatino Linotype"/>
          <w:i/>
        </w:rPr>
      </w:pPr>
    </w:p>
    <w:p w14:paraId="217BE54B"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
          <w:bCs/>
          <w:i/>
        </w:rPr>
        <w:t xml:space="preserve">El Estado podrá proporcionar servicios de protección, custodia, vigilancia y seguridad a dependencias y organismos públicos, sociedades mercantiles, </w:t>
      </w:r>
      <w:r w:rsidRPr="00D736C2">
        <w:rPr>
          <w:rFonts w:ascii="Palatino Linotype" w:hAnsi="Palatino Linotype"/>
          <w:b/>
          <w:bCs/>
          <w:i/>
        </w:rPr>
        <w:lastRenderedPageBreak/>
        <w:t>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p>
    <w:p w14:paraId="29182492" w14:textId="77777777" w:rsidR="005163C4" w:rsidRPr="00D736C2" w:rsidRDefault="005163C4" w:rsidP="00D736C2">
      <w:pPr>
        <w:spacing w:line="360" w:lineRule="auto"/>
        <w:ind w:left="567" w:right="567"/>
        <w:contextualSpacing/>
        <w:jc w:val="both"/>
        <w:rPr>
          <w:rFonts w:ascii="Palatino Linotype" w:hAnsi="Palatino Linotype"/>
          <w:i/>
        </w:rPr>
      </w:pPr>
    </w:p>
    <w:p w14:paraId="1E3FC2F8"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 xml:space="preserve">El personal que integre los organismos antes referidos deberá sujetarse a las disposiciones que establece esta Ley en materia de desarrollo policial, así como someterse a las evaluaciones para contar con la certificación respectiva”. </w:t>
      </w:r>
    </w:p>
    <w:p w14:paraId="0F2753FA"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72CD53EA"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lo que, las actividades de protección, custodia, vigilancia y seguridad señaladas en la sección anterior además de formar parte de la función general de seguridad pública a cargo del Estado, corresponden a un tema de prestación de servicios que tienen un común denominador, </w:t>
      </w:r>
      <w:r w:rsidRPr="00D736C2">
        <w:rPr>
          <w:rFonts w:ascii="Palatino Linotype" w:eastAsia="MS Mincho" w:hAnsi="Palatino Linotype" w:cs="Times New Roman"/>
          <w:b/>
          <w:bCs/>
        </w:rPr>
        <w:t>el Estado</w:t>
      </w:r>
      <w:r w:rsidRPr="00D736C2">
        <w:rPr>
          <w:rFonts w:ascii="Palatino Linotype" w:eastAsia="MS Mincho" w:hAnsi="Palatino Linotype" w:cs="Times New Roman"/>
        </w:rPr>
        <w:t xml:space="preserve">; el cual las puede proporcionar a </w:t>
      </w:r>
      <w:r w:rsidRPr="00D736C2">
        <w:rPr>
          <w:rFonts w:ascii="Palatino Linotype" w:hAnsi="Palatino Linotype"/>
        </w:rPr>
        <w:t xml:space="preserve">través de </w:t>
      </w:r>
      <w:r w:rsidRPr="00D736C2">
        <w:rPr>
          <w:rFonts w:ascii="Palatino Linotype" w:hAnsi="Palatino Linotype"/>
          <w:b/>
        </w:rPr>
        <w:t>organismos</w:t>
      </w:r>
      <w:r w:rsidRPr="00D736C2">
        <w:rPr>
          <w:rFonts w:ascii="Palatino Linotype" w:hAnsi="Palatino Linotype"/>
        </w:rPr>
        <w:t xml:space="preserve"> </w:t>
      </w:r>
      <w:r w:rsidRPr="00D736C2">
        <w:rPr>
          <w:rFonts w:ascii="Palatino Linotype" w:hAnsi="Palatino Linotype"/>
          <w:b/>
          <w:bCs/>
        </w:rPr>
        <w:t xml:space="preserve">auxiliares de la función de seguridad pública. </w:t>
      </w:r>
    </w:p>
    <w:p w14:paraId="4A193DC1"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4562F7CB"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Como se ha señalado antes, el artículo 3 de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reconoce como organismos a los creados en las disposiciones jurídicas vigentes</w:t>
      </w:r>
      <w:r w:rsidRPr="00D736C2">
        <w:rPr>
          <w:rFonts w:ascii="Palatino Linotype" w:eastAsia="MS Mincho" w:hAnsi="Palatino Linotype" w:cs="Times New Roman"/>
          <w:b/>
        </w:rPr>
        <w:t>,</w:t>
      </w:r>
      <w:r w:rsidRPr="00D736C2">
        <w:rPr>
          <w:rFonts w:ascii="Palatino Linotype" w:eastAsia="MS Mincho" w:hAnsi="Palatino Linotype" w:cs="Times New Roman"/>
        </w:rPr>
        <w:t xml:space="preserve"> siendo la </w:t>
      </w:r>
      <w:r w:rsidRPr="00D736C2">
        <w:rPr>
          <w:rFonts w:ascii="Palatino Linotype" w:eastAsia="MS Mincho" w:hAnsi="Palatino Linotype" w:cs="Times New Roman"/>
          <w:b/>
        </w:rPr>
        <w:t>Ley de Seguridad del Estado de México</w:t>
      </w:r>
      <w:r w:rsidRPr="00D736C2">
        <w:rPr>
          <w:rFonts w:ascii="Palatino Linotype" w:eastAsia="MS Mincho" w:hAnsi="Palatino Linotype" w:cs="Times New Roman"/>
        </w:rPr>
        <w:t xml:space="preserve">, una disposición jurídica vigente, los organismos auxiliares del estado, concebidos en su artículo 103 para que el Estado pueda brindar los servicios de protección, custodia, vigilancia y seguridad deben corresponderse a cualquiera de las tres modalidades </w:t>
      </w:r>
      <w:r w:rsidRPr="00D736C2">
        <w:rPr>
          <w:rFonts w:ascii="Palatino Linotype" w:eastAsia="MS Mincho" w:hAnsi="Palatino Linotype" w:cs="Times New Roman"/>
        </w:rPr>
        <w:lastRenderedPageBreak/>
        <w:t xml:space="preserve">descritas en el artículo 45 de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xml:space="preserve">. </w:t>
      </w:r>
    </w:p>
    <w:p w14:paraId="00C9090E"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3B6D1D8D" w14:textId="20B7971C"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Pero </w:t>
      </w:r>
      <w:r w:rsidR="00270D2A" w:rsidRPr="00D736C2">
        <w:rPr>
          <w:rFonts w:ascii="Palatino Linotype" w:eastAsia="MS Mincho" w:hAnsi="Palatino Linotype" w:cs="Times New Roman"/>
        </w:rPr>
        <w:t>aun</w:t>
      </w:r>
      <w:r w:rsidRPr="00D736C2">
        <w:rPr>
          <w:rFonts w:ascii="Palatino Linotype" w:eastAsia="MS Mincho" w:hAnsi="Palatino Linotype" w:cs="Times New Roman"/>
        </w:rPr>
        <w:t xml:space="preserve"> cuando la hipótesis jurídica se encuentra perfectamente establecida y es claramente aplicable al caso en proceso de solución, es necesario confirmar si, efecto, dicho organismo auxiliar es un organismo de naturaleza pública en cualquiera de sus modalidades o no, para entonces apreciar si se encuentra sujeto al control y supervisión de las instituciones públicas. En caso de que esto sea así, la presunción de existencia de la información tendría consecuencias distintas a las hasta ahora consideradas. Siendo eso lo que se resuelve a continuación. </w:t>
      </w:r>
    </w:p>
    <w:p w14:paraId="64137E4B"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AE0E0E8"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Para ello, es indispensable nuevamente traer a colación el fragmento del artículo 103, segundo párrafo de la </w:t>
      </w:r>
      <w:r w:rsidRPr="00D736C2">
        <w:rPr>
          <w:rFonts w:ascii="Palatino Linotype" w:eastAsia="MS Mincho" w:hAnsi="Palatino Linotype" w:cs="Times New Roman"/>
          <w:b/>
        </w:rPr>
        <w:t>Ley de Seguridad del Estado de México</w:t>
      </w:r>
      <w:r w:rsidRPr="00D736C2">
        <w:rPr>
          <w:rFonts w:ascii="Palatino Linotype" w:eastAsia="MS Mincho" w:hAnsi="Palatino Linotype" w:cs="Times New Roman"/>
        </w:rPr>
        <w:t xml:space="preserve"> que señala que: </w:t>
      </w:r>
      <w:r w:rsidRPr="00D736C2">
        <w:rPr>
          <w:rFonts w:ascii="Palatino Linotype" w:eastAsia="MS Mincho" w:hAnsi="Palatino Linotype" w:cs="Times New Roman"/>
          <w:i/>
          <w:iCs/>
        </w:rPr>
        <w:t xml:space="preserve">“…Su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14:paraId="00210013"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D0C7993"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Luego entonces, no es el propio organismo auxiliar el que por sí mismo determina su organización, funcionamiento y tarifa, ya que el mismo artículo 103 dispone que el </w:t>
      </w:r>
      <w:r w:rsidRPr="00D736C2">
        <w:rPr>
          <w:rFonts w:ascii="Palatino Linotype" w:eastAsia="MS Mincho" w:hAnsi="Palatino Linotype" w:cs="Times New Roman"/>
          <w:b/>
          <w:bCs/>
        </w:rPr>
        <w:t>organismo se encuentra sujeto a las disposiciones administrativas que emitan las dependencias del Gobierno del Estado competentes y a los sistemas de control y fiscalización a cargo de las instancias competentes</w:t>
      </w:r>
      <w:r w:rsidRPr="00D736C2">
        <w:rPr>
          <w:rFonts w:ascii="Palatino Linotype" w:eastAsia="MS Mincho" w:hAnsi="Palatino Linotype" w:cs="Times New Roman"/>
        </w:rPr>
        <w:t>.</w:t>
      </w:r>
    </w:p>
    <w:p w14:paraId="32A0B760"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AA79DDA"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bookmarkStart w:id="92" w:name="_Hlk22886466"/>
      <w:r w:rsidRPr="00D736C2">
        <w:rPr>
          <w:rFonts w:ascii="Palatino Linotype" w:eastAsia="MS Mincho" w:hAnsi="Palatino Linotype" w:cs="Times New Roman"/>
        </w:rPr>
        <w:lastRenderedPageBreak/>
        <w:t xml:space="preserve">Por lo tanto, si el organismo no tiene autonomía para gobernarse y depende del propio sector público, </w:t>
      </w:r>
      <w:r w:rsidRPr="00D736C2">
        <w:rPr>
          <w:rFonts w:ascii="Palatino Linotype" w:eastAsia="MS Mincho" w:hAnsi="Palatino Linotype" w:cs="Times New Roman"/>
          <w:b/>
          <w:bCs/>
        </w:rPr>
        <w:t>su esquema de control y fiscalización no es otro que el propio sistema de control y fiscalización del sector público</w:t>
      </w:r>
      <w:bookmarkEnd w:id="92"/>
      <w:r w:rsidRPr="00D736C2">
        <w:rPr>
          <w:rFonts w:ascii="Palatino Linotype" w:eastAsia="MS Mincho" w:hAnsi="Palatino Linotype" w:cs="Times New Roman"/>
        </w:rPr>
        <w:t xml:space="preserve">. </w:t>
      </w:r>
    </w:p>
    <w:p w14:paraId="6B5FA9CB"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001C0FD"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lo anterior, es relevante señalar que, en México, el sistema de fiscalización alcanza a los poderes públicos, a los organismos autónomos, a la administración central, a los organismos descentralizados y a todas las figuras jurídicas que maneja el artículo 45 de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xml:space="preserve">. </w:t>
      </w:r>
    </w:p>
    <w:p w14:paraId="6E5587A5"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241A7B2" w14:textId="1CBCA294"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Para sustentar esta consideración, conviene analizar el comportamiento que ha</w:t>
      </w:r>
      <w:r w:rsidR="005A2086" w:rsidRPr="00D736C2">
        <w:rPr>
          <w:rFonts w:ascii="Palatino Linotype" w:eastAsia="MS Mincho" w:hAnsi="Palatino Linotype" w:cs="Times New Roman"/>
        </w:rPr>
        <w:t>n</w:t>
      </w:r>
      <w:r w:rsidRPr="00D736C2">
        <w:rPr>
          <w:rFonts w:ascii="Palatino Linotype" w:eastAsia="MS Mincho" w:hAnsi="Palatino Linotype" w:cs="Times New Roman"/>
        </w:rPr>
        <w:t xml:space="preserve"> tenido el propio CUSAEM y </w:t>
      </w:r>
      <w:r w:rsidR="005A2086" w:rsidRPr="00D736C2">
        <w:rPr>
          <w:rFonts w:ascii="Palatino Linotype" w:eastAsia="MS Mincho" w:hAnsi="Palatino Linotype" w:cs="Times New Roman"/>
        </w:rPr>
        <w:t xml:space="preserve">el </w:t>
      </w:r>
      <w:r w:rsidR="005A2086" w:rsidRPr="00D736C2">
        <w:rPr>
          <w:rFonts w:ascii="Palatino Linotype" w:hAnsi="Palatino Linotype"/>
        </w:rPr>
        <w:t>Cuerpo de Guardias de Seguridad Industrial, Bancaria, Comercial y Urbana del Valle Cuautitlán Texcoco,</w:t>
      </w:r>
      <w:r w:rsidR="005A2086" w:rsidRPr="00D736C2">
        <w:rPr>
          <w:rFonts w:ascii="Palatino Linotype" w:eastAsia="MS Mincho" w:hAnsi="Palatino Linotype" w:cs="Times New Roman"/>
        </w:rPr>
        <w:t xml:space="preserve"> </w:t>
      </w:r>
      <w:r w:rsidRPr="00D736C2">
        <w:rPr>
          <w:rFonts w:ascii="Palatino Linotype" w:eastAsia="MS Mincho" w:hAnsi="Palatino Linotype" w:cs="Times New Roman"/>
        </w:rPr>
        <w:t>que permite confirmar que, en efecto se trata</w:t>
      </w:r>
      <w:r w:rsidR="005A2086" w:rsidRPr="00D736C2">
        <w:rPr>
          <w:rFonts w:ascii="Palatino Linotype" w:eastAsia="MS Mincho" w:hAnsi="Palatino Linotype" w:cs="Times New Roman"/>
        </w:rPr>
        <w:t>n</w:t>
      </w:r>
      <w:r w:rsidRPr="00D736C2">
        <w:rPr>
          <w:rFonts w:ascii="Palatino Linotype" w:eastAsia="MS Mincho" w:hAnsi="Palatino Linotype" w:cs="Times New Roman"/>
        </w:rPr>
        <w:t xml:space="preserve"> de organismo</w:t>
      </w:r>
      <w:r w:rsidR="005A2086" w:rsidRPr="00D736C2">
        <w:rPr>
          <w:rFonts w:ascii="Palatino Linotype" w:eastAsia="MS Mincho" w:hAnsi="Palatino Linotype" w:cs="Times New Roman"/>
        </w:rPr>
        <w:t>s</w:t>
      </w:r>
      <w:r w:rsidRPr="00D736C2">
        <w:rPr>
          <w:rFonts w:ascii="Palatino Linotype" w:eastAsia="MS Mincho" w:hAnsi="Palatino Linotype" w:cs="Times New Roman"/>
        </w:rPr>
        <w:t xml:space="preserve"> auxiliar</w:t>
      </w:r>
      <w:r w:rsidR="005A2086" w:rsidRPr="00D736C2">
        <w:rPr>
          <w:rFonts w:ascii="Palatino Linotype" w:eastAsia="MS Mincho" w:hAnsi="Palatino Linotype" w:cs="Times New Roman"/>
        </w:rPr>
        <w:t>es</w:t>
      </w:r>
      <w:r w:rsidRPr="00D736C2">
        <w:rPr>
          <w:rFonts w:ascii="Palatino Linotype" w:eastAsia="MS Mincho" w:hAnsi="Palatino Linotype" w:cs="Times New Roman"/>
        </w:rPr>
        <w:t xml:space="preserve"> de naturaleza pública.</w:t>
      </w:r>
    </w:p>
    <w:p w14:paraId="0BCB4117" w14:textId="77777777" w:rsidR="005163C4" w:rsidRPr="00D736C2" w:rsidRDefault="005163C4" w:rsidP="00D736C2">
      <w:pPr>
        <w:spacing w:line="360" w:lineRule="auto"/>
        <w:rPr>
          <w:rFonts w:ascii="Palatino Linotype" w:hAnsi="Palatino Linotype"/>
        </w:rPr>
      </w:pPr>
    </w:p>
    <w:p w14:paraId="0F8CD8A3" w14:textId="77777777" w:rsidR="005163C4" w:rsidRPr="00D736C2" w:rsidRDefault="005163C4" w:rsidP="00D736C2">
      <w:pPr>
        <w:keepNext/>
        <w:keepLines/>
        <w:spacing w:line="360" w:lineRule="auto"/>
        <w:jc w:val="both"/>
        <w:outlineLvl w:val="0"/>
        <w:rPr>
          <w:rFonts w:ascii="Palatino Linotype" w:eastAsia="MS Mincho" w:hAnsi="Palatino Linotype" w:cs="Times New Roman"/>
          <w:b/>
          <w:bCs/>
        </w:rPr>
      </w:pPr>
      <w:bookmarkStart w:id="93" w:name="_Toc23446074"/>
      <w:bookmarkStart w:id="94" w:name="_Toc25255406"/>
      <w:r w:rsidRPr="00D736C2">
        <w:rPr>
          <w:rFonts w:ascii="Palatino Linotype" w:eastAsia="MS Gothic" w:hAnsi="Palatino Linotype" w:cstheme="majorBidi"/>
          <w:b/>
        </w:rPr>
        <w:t>a) Los actos del organismo auxiliar de seguridad pública con otras dependencias gubernamentales.</w:t>
      </w:r>
      <w:bookmarkEnd w:id="93"/>
      <w:bookmarkEnd w:id="94"/>
      <w:r w:rsidRPr="00D736C2">
        <w:rPr>
          <w:rFonts w:ascii="Palatino Linotype" w:eastAsia="MS Gothic" w:hAnsi="Palatino Linotype" w:cstheme="majorBidi"/>
          <w:b/>
        </w:rPr>
        <w:t xml:space="preserve">  </w:t>
      </w:r>
    </w:p>
    <w:p w14:paraId="295FB16B"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D719CC3" w14:textId="37E948AA"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Los Cuerpos de Seguridad Auxiliares del Estado de México</w:t>
      </w:r>
      <w:r w:rsidR="005A2086" w:rsidRPr="00D736C2">
        <w:rPr>
          <w:rFonts w:ascii="Palatino Linotype" w:eastAsia="MS Mincho" w:hAnsi="Palatino Linotype" w:cs="Times New Roman"/>
        </w:rPr>
        <w:t xml:space="preserve"> y el </w:t>
      </w:r>
      <w:r w:rsidR="005A2086" w:rsidRPr="00D736C2">
        <w:rPr>
          <w:rFonts w:ascii="Palatino Linotype" w:hAnsi="Palatino Linotype"/>
        </w:rPr>
        <w:t>Cuerpo de Guardias de Seguridad Industrial, Bancaria, Comercial y Urbana del Valle Cuautitlán Texcoco</w:t>
      </w:r>
      <w:r w:rsidRPr="00D736C2">
        <w:rPr>
          <w:rFonts w:ascii="Palatino Linotype" w:eastAsia="MS Mincho" w:hAnsi="Palatino Linotype" w:cs="Times New Roman"/>
        </w:rPr>
        <w:t xml:space="preserve">, han brindado servicios de guarda y custodia de dependencias a través de distintos contratos, los cuales en términos del artículo 70 la </w:t>
      </w:r>
      <w:r w:rsidRPr="00D736C2">
        <w:rPr>
          <w:rFonts w:ascii="Palatino Linotype" w:eastAsia="MS Mincho" w:hAnsi="Palatino Linotype" w:cs="Times New Roman"/>
          <w:b/>
        </w:rPr>
        <w:t>Ley General de Transparencia y Acceso a la Información Pública</w:t>
      </w:r>
      <w:r w:rsidRPr="00D736C2">
        <w:rPr>
          <w:rFonts w:ascii="Palatino Linotype" w:eastAsia="MS Mincho" w:hAnsi="Palatino Linotype" w:cs="Times New Roman"/>
        </w:rPr>
        <w:t xml:space="preserve">, son una obligación de transparencia común y por ello, diversas dependencias los han publicitado, en dichos contratos, el CUSAEM se ha reivindicado como parte de la administración pública estatal, tal y como lo establece en los contratos </w:t>
      </w:r>
      <w:r w:rsidRPr="00D736C2">
        <w:rPr>
          <w:rFonts w:ascii="Palatino Linotype" w:eastAsia="MS Mincho" w:hAnsi="Palatino Linotype" w:cs="Times New Roman"/>
        </w:rPr>
        <w:lastRenderedPageBreak/>
        <w:t>firmado</w:t>
      </w:r>
      <w:r w:rsidR="00BD2FB4" w:rsidRPr="00D736C2">
        <w:rPr>
          <w:rFonts w:ascii="Palatino Linotype" w:eastAsia="MS Mincho" w:hAnsi="Palatino Linotype" w:cs="Times New Roman"/>
        </w:rPr>
        <w:t>s</w:t>
      </w:r>
      <w:r w:rsidRPr="00D736C2">
        <w:rPr>
          <w:rFonts w:ascii="Palatino Linotype" w:eastAsia="MS Mincho" w:hAnsi="Palatino Linotype" w:cs="Times New Roman"/>
        </w:rPr>
        <w:t xml:space="preserve"> por los Cuerpos de Seguridad Auxiliares y el Banco Nacional de Obras y Servicios Públicos S.N.C</w:t>
      </w:r>
      <w:r w:rsidRPr="00D736C2">
        <w:rPr>
          <w:rStyle w:val="Refdenotaalpie"/>
          <w:rFonts w:ascii="Palatino Linotype" w:eastAsia="MS Mincho" w:hAnsi="Palatino Linotype" w:cs="Times New Roman"/>
        </w:rPr>
        <w:footnoteReference w:id="12"/>
      </w:r>
      <w:r w:rsidRPr="00D736C2">
        <w:rPr>
          <w:rFonts w:ascii="Palatino Linotype" w:eastAsia="MS Mincho" w:hAnsi="Palatino Linotype" w:cs="Times New Roman"/>
        </w:rPr>
        <w:t xml:space="preserve">, o con los firmados con el Consejo de Promoción Turística de México S.A. DE C.V. </w:t>
      </w:r>
      <w:r w:rsidRPr="00D736C2">
        <w:rPr>
          <w:rStyle w:val="Refdenotaalpie"/>
          <w:rFonts w:ascii="Palatino Linotype" w:eastAsia="MS Mincho" w:hAnsi="Palatino Linotype" w:cs="Times New Roman"/>
        </w:rPr>
        <w:footnoteReference w:id="13"/>
      </w:r>
      <w:r w:rsidRPr="00D736C2">
        <w:rPr>
          <w:rFonts w:ascii="Palatino Linotype" w:eastAsia="MS Mincho" w:hAnsi="Palatino Linotype" w:cs="Times New Roman"/>
        </w:rPr>
        <w:t xml:space="preserve"> o aquellos convenidos con el Organismo Descentralizado de la Administración Pública Federal “TELECOMM”</w:t>
      </w:r>
      <w:r w:rsidRPr="00D736C2">
        <w:rPr>
          <w:rStyle w:val="Refdenotaalpie"/>
          <w:rFonts w:ascii="Palatino Linotype" w:eastAsia="MS Mincho" w:hAnsi="Palatino Linotype" w:cs="Times New Roman"/>
        </w:rPr>
        <w:footnoteReference w:id="14"/>
      </w:r>
      <w:r w:rsidRPr="00D736C2">
        <w:rPr>
          <w:rFonts w:ascii="Palatino Linotype" w:eastAsia="MS Mincho" w:hAnsi="Palatino Linotype" w:cs="Times New Roman"/>
        </w:rPr>
        <w:t>, instrumentos en el que dicho organismo auxiliar emplea el escudo del Estado de México y la cromática y logotipos de la anterior Secretaría de Seguridad Ciudadana del Estado, declarando además que sus integrantes se rigen por el apartado B del artículo 123 de la Constitución Política de los Estados Unidos Mexicanos, que sólo es aplicable precisamente a los traba</w:t>
      </w:r>
      <w:r w:rsidR="00BD2FB4" w:rsidRPr="00D736C2">
        <w:rPr>
          <w:rFonts w:ascii="Palatino Linotype" w:eastAsia="MS Mincho" w:hAnsi="Palatino Linotype" w:cs="Times New Roman"/>
        </w:rPr>
        <w:t>jadores al servicio del Estado, por su parte el Cuerpo de Guardias de Seguridad Industrial, Bancaria, Comercial y Urbana del Valle Cuautitlán Texcoco suscribió un contrato</w:t>
      </w:r>
      <w:r w:rsidR="00241B8A" w:rsidRPr="00D736C2">
        <w:rPr>
          <w:rStyle w:val="Refdenotaalpie"/>
          <w:rFonts w:ascii="Palatino Linotype" w:eastAsia="MS Mincho" w:hAnsi="Palatino Linotype" w:cs="Times New Roman"/>
        </w:rPr>
        <w:footnoteReference w:id="15"/>
      </w:r>
      <w:r w:rsidR="00BD2FB4" w:rsidRPr="00D736C2">
        <w:rPr>
          <w:rFonts w:ascii="Palatino Linotype" w:eastAsia="MS Mincho" w:hAnsi="Palatino Linotype" w:cs="Times New Roman"/>
        </w:rPr>
        <w:t xml:space="preserve"> con el Centro de Control de Confianza </w:t>
      </w:r>
      <w:r w:rsidR="00241B8A" w:rsidRPr="00D736C2">
        <w:rPr>
          <w:rFonts w:ascii="Palatino Linotype" w:eastAsia="MS Mincho" w:hAnsi="Palatino Linotype" w:cs="Times New Roman"/>
        </w:rPr>
        <w:t>d</w:t>
      </w:r>
      <w:r w:rsidR="00BD2FB4" w:rsidRPr="00D736C2">
        <w:rPr>
          <w:rFonts w:ascii="Palatino Linotype" w:eastAsia="MS Mincho" w:hAnsi="Palatino Linotype" w:cs="Times New Roman"/>
        </w:rPr>
        <w:t xml:space="preserve">el Gobierno del Estado de México </w:t>
      </w:r>
      <w:r w:rsidR="00241B8A" w:rsidRPr="00D736C2">
        <w:rPr>
          <w:rFonts w:ascii="Palatino Linotype" w:eastAsia="MS Mincho" w:hAnsi="Palatino Linotype" w:cs="Times New Roman"/>
        </w:rPr>
        <w:t xml:space="preserve">en el que en la Cláusula segunda apartado II.I. declaró ser un organismo auxiliar de la Secretaría de Seguridad Ciudadana del Estado de México, de conformidad con lo que establecen los artículos 21, 123 apartado "b" fracción XIII de la Constitución Política de los Estados Unidos Mexicanos; 86 bis de la Constitución Política del Estado libre y Soberano de México; 19 fracción II, 21 bis de la Ley Orgánica de la Administración Pública del Estado de México y sexto, séptimo y octavo transitorios del decreto 359 que reforma dicha ley; artículo 103 segundo párrafo, 16 fracciones III, IX y XXIV de la Ley de Seguridad del </w:t>
      </w:r>
      <w:r w:rsidR="00241B8A" w:rsidRPr="00D736C2">
        <w:rPr>
          <w:rFonts w:ascii="Palatino Linotype" w:eastAsia="MS Mincho" w:hAnsi="Palatino Linotype" w:cs="Times New Roman"/>
        </w:rPr>
        <w:lastRenderedPageBreak/>
        <w:t>Estado de México y 7 fracción XXII del Reglamento . Interior de la Agencia de Seguridad Estatal, aunado a lo dispuesto por el Reglamento de los Cuerpos de Seguridad Pública del Estado de México tal como se observa en los siguientes extractos de imagen:</w:t>
      </w:r>
    </w:p>
    <w:p w14:paraId="3A97E1F9" w14:textId="77777777" w:rsidR="005163C4" w:rsidRPr="00D736C2" w:rsidRDefault="005163C4" w:rsidP="00D736C2">
      <w:pPr>
        <w:spacing w:line="360" w:lineRule="auto"/>
        <w:ind w:left="567" w:right="567"/>
        <w:contextualSpacing/>
        <w:jc w:val="center"/>
        <w:rPr>
          <w:rFonts w:ascii="Palatino Linotype" w:eastAsia="MS Mincho" w:hAnsi="Palatino Linotype" w:cs="Times New Roman"/>
        </w:rPr>
      </w:pPr>
      <w:r w:rsidRPr="00D736C2">
        <w:rPr>
          <w:rFonts w:ascii="Palatino Linotype" w:hAnsi="Palatino Linotype"/>
          <w:noProof/>
          <w:lang w:val="es-MX" w:eastAsia="es-MX"/>
        </w:rPr>
        <w:drawing>
          <wp:inline distT="0" distB="0" distL="0" distR="0" wp14:anchorId="25E4C33B" wp14:editId="147258B1">
            <wp:extent cx="4819650" cy="548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49" t="12136" r="31391" b="5036"/>
                    <a:stretch/>
                  </pic:blipFill>
                  <pic:spPr bwMode="auto">
                    <a:xfrm>
                      <a:off x="0" y="0"/>
                      <a:ext cx="4819650" cy="5486400"/>
                    </a:xfrm>
                    <a:prstGeom prst="rect">
                      <a:avLst/>
                    </a:prstGeom>
                    <a:ln>
                      <a:noFill/>
                    </a:ln>
                    <a:extLst>
                      <a:ext uri="{53640926-AAD7-44D8-BBD7-CCE9431645EC}">
                        <a14:shadowObscured xmlns:a14="http://schemas.microsoft.com/office/drawing/2010/main"/>
                      </a:ext>
                    </a:extLst>
                  </pic:spPr>
                </pic:pic>
              </a:graphicData>
            </a:graphic>
          </wp:inline>
        </w:drawing>
      </w:r>
    </w:p>
    <w:p w14:paraId="6FC4CE1E" w14:textId="77777777" w:rsidR="005163C4" w:rsidRPr="00D736C2" w:rsidRDefault="005163C4" w:rsidP="00D736C2">
      <w:pPr>
        <w:spacing w:line="360" w:lineRule="auto"/>
        <w:ind w:left="567" w:right="49"/>
        <w:contextualSpacing/>
        <w:jc w:val="center"/>
        <w:rPr>
          <w:rFonts w:ascii="Palatino Linotype" w:eastAsia="MS Mincho" w:hAnsi="Palatino Linotype" w:cs="Times New Roman"/>
        </w:rPr>
      </w:pPr>
      <w:r w:rsidRPr="00D736C2">
        <w:rPr>
          <w:rFonts w:ascii="Palatino Linotype" w:hAnsi="Palatino Linotype"/>
          <w:noProof/>
          <w:lang w:val="es-MX" w:eastAsia="es-MX"/>
        </w:rPr>
        <w:lastRenderedPageBreak/>
        <w:drawing>
          <wp:inline distT="0" distB="0" distL="0" distR="0" wp14:anchorId="4865FE8C" wp14:editId="65EB2187">
            <wp:extent cx="4629150" cy="7058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20" t="7282" r="31391" b="9671"/>
                    <a:stretch/>
                  </pic:blipFill>
                  <pic:spPr bwMode="auto">
                    <a:xfrm>
                      <a:off x="0" y="0"/>
                      <a:ext cx="4629150" cy="7058025"/>
                    </a:xfrm>
                    <a:prstGeom prst="rect">
                      <a:avLst/>
                    </a:prstGeom>
                    <a:ln>
                      <a:noFill/>
                    </a:ln>
                    <a:extLst>
                      <a:ext uri="{53640926-AAD7-44D8-BBD7-CCE9431645EC}">
                        <a14:shadowObscured xmlns:a14="http://schemas.microsoft.com/office/drawing/2010/main"/>
                      </a:ext>
                    </a:extLst>
                  </pic:spPr>
                </pic:pic>
              </a:graphicData>
            </a:graphic>
          </wp:inline>
        </w:drawing>
      </w:r>
    </w:p>
    <w:p w14:paraId="6C244BBB" w14:textId="77777777" w:rsidR="005163C4" w:rsidRPr="00D736C2" w:rsidRDefault="005163C4" w:rsidP="00D736C2">
      <w:pPr>
        <w:spacing w:line="360" w:lineRule="auto"/>
        <w:ind w:left="567" w:right="49"/>
        <w:contextualSpacing/>
        <w:rPr>
          <w:rFonts w:ascii="Palatino Linotype" w:eastAsia="MS Mincho" w:hAnsi="Palatino Linotype" w:cs="Times New Roman"/>
        </w:rPr>
      </w:pPr>
      <w:r w:rsidRPr="00D736C2">
        <w:rPr>
          <w:rFonts w:ascii="Palatino Linotype" w:hAnsi="Palatino Linotype"/>
          <w:noProof/>
          <w:lang w:val="es-MX" w:eastAsia="es-MX"/>
        </w:rPr>
        <w:lastRenderedPageBreak/>
        <w:drawing>
          <wp:inline distT="0" distB="0" distL="0" distR="0" wp14:anchorId="21170720" wp14:editId="730EDC20">
            <wp:extent cx="4857750" cy="6962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85" t="13283" r="33906" b="11105"/>
                    <a:stretch/>
                  </pic:blipFill>
                  <pic:spPr bwMode="auto">
                    <a:xfrm>
                      <a:off x="0" y="0"/>
                      <a:ext cx="4857750" cy="6962775"/>
                    </a:xfrm>
                    <a:prstGeom prst="rect">
                      <a:avLst/>
                    </a:prstGeom>
                    <a:ln>
                      <a:noFill/>
                    </a:ln>
                    <a:extLst>
                      <a:ext uri="{53640926-AAD7-44D8-BBD7-CCE9431645EC}">
                        <a14:shadowObscured xmlns:a14="http://schemas.microsoft.com/office/drawing/2010/main"/>
                      </a:ext>
                    </a:extLst>
                  </pic:spPr>
                </pic:pic>
              </a:graphicData>
            </a:graphic>
          </wp:inline>
        </w:drawing>
      </w:r>
    </w:p>
    <w:p w14:paraId="39399BC6" w14:textId="3D80E241" w:rsidR="005163C4" w:rsidRPr="00D736C2" w:rsidRDefault="005163C4" w:rsidP="00D736C2">
      <w:pPr>
        <w:spacing w:line="360" w:lineRule="auto"/>
        <w:ind w:left="567" w:right="49"/>
        <w:contextualSpacing/>
        <w:rPr>
          <w:rFonts w:ascii="Palatino Linotype" w:eastAsia="MS Mincho" w:hAnsi="Palatino Linotype" w:cs="Times New Roman"/>
        </w:rPr>
      </w:pPr>
      <w:r w:rsidRPr="00D736C2">
        <w:rPr>
          <w:rFonts w:ascii="Palatino Linotype" w:hAnsi="Palatino Linotype"/>
          <w:noProof/>
          <w:lang w:val="es-MX" w:eastAsia="es-MX"/>
        </w:rPr>
        <w:lastRenderedPageBreak/>
        <w:drawing>
          <wp:inline distT="0" distB="0" distL="0" distR="0" wp14:anchorId="4125CF58" wp14:editId="7F977877">
            <wp:extent cx="4819650" cy="7181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68" t="17597" r="33610" b="8069"/>
                    <a:stretch/>
                  </pic:blipFill>
                  <pic:spPr bwMode="auto">
                    <a:xfrm>
                      <a:off x="0" y="0"/>
                      <a:ext cx="4819650" cy="7181850"/>
                    </a:xfrm>
                    <a:prstGeom prst="rect">
                      <a:avLst/>
                    </a:prstGeom>
                    <a:ln>
                      <a:noFill/>
                    </a:ln>
                    <a:extLst>
                      <a:ext uri="{53640926-AAD7-44D8-BBD7-CCE9431645EC}">
                        <a14:shadowObscured xmlns:a14="http://schemas.microsoft.com/office/drawing/2010/main"/>
                      </a:ext>
                    </a:extLst>
                  </pic:spPr>
                </pic:pic>
              </a:graphicData>
            </a:graphic>
          </wp:inline>
        </w:drawing>
      </w:r>
    </w:p>
    <w:p w14:paraId="7219BF69" w14:textId="77777777" w:rsidR="005163C4" w:rsidRPr="00D736C2" w:rsidRDefault="005163C4" w:rsidP="00D736C2">
      <w:pPr>
        <w:spacing w:line="360" w:lineRule="auto"/>
        <w:ind w:left="567" w:right="49"/>
        <w:contextualSpacing/>
        <w:rPr>
          <w:rFonts w:ascii="Palatino Linotype" w:eastAsia="MS Mincho" w:hAnsi="Palatino Linotype" w:cs="Times New Roman"/>
        </w:rPr>
      </w:pPr>
      <w:r w:rsidRPr="00D736C2">
        <w:rPr>
          <w:rFonts w:ascii="Palatino Linotype" w:hAnsi="Palatino Linotype"/>
          <w:noProof/>
          <w:lang w:val="es-MX" w:eastAsia="es-MX"/>
        </w:rPr>
        <w:lastRenderedPageBreak/>
        <w:drawing>
          <wp:inline distT="0" distB="0" distL="0" distR="0" wp14:anchorId="5425EF9A" wp14:editId="5ED0C3B7">
            <wp:extent cx="4791075" cy="72580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99" t="13349" r="36512" b="21420"/>
                    <a:stretch/>
                  </pic:blipFill>
                  <pic:spPr bwMode="auto">
                    <a:xfrm>
                      <a:off x="0" y="0"/>
                      <a:ext cx="4791075" cy="7258050"/>
                    </a:xfrm>
                    <a:prstGeom prst="rect">
                      <a:avLst/>
                    </a:prstGeom>
                    <a:ln>
                      <a:noFill/>
                    </a:ln>
                    <a:extLst>
                      <a:ext uri="{53640926-AAD7-44D8-BBD7-CCE9431645EC}">
                        <a14:shadowObscured xmlns:a14="http://schemas.microsoft.com/office/drawing/2010/main"/>
                      </a:ext>
                    </a:extLst>
                  </pic:spPr>
                </pic:pic>
              </a:graphicData>
            </a:graphic>
          </wp:inline>
        </w:drawing>
      </w:r>
    </w:p>
    <w:p w14:paraId="60D12018" w14:textId="77777777" w:rsidR="005163C4" w:rsidRPr="00D736C2" w:rsidRDefault="005163C4" w:rsidP="00D736C2">
      <w:pPr>
        <w:spacing w:line="360" w:lineRule="auto"/>
        <w:ind w:left="567" w:right="49"/>
        <w:contextualSpacing/>
        <w:rPr>
          <w:rFonts w:ascii="Palatino Linotype" w:eastAsia="MS Mincho" w:hAnsi="Palatino Linotype" w:cs="Times New Roman"/>
        </w:rPr>
      </w:pPr>
      <w:r w:rsidRPr="00D736C2">
        <w:rPr>
          <w:rFonts w:ascii="Palatino Linotype" w:hAnsi="Palatino Linotype"/>
          <w:noProof/>
          <w:lang w:val="es-MX" w:eastAsia="es-MX"/>
        </w:rPr>
        <w:lastRenderedPageBreak/>
        <w:drawing>
          <wp:inline distT="0" distB="0" distL="0" distR="0" wp14:anchorId="3087D1DB" wp14:editId="564F6BA5">
            <wp:extent cx="4838700" cy="73247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58" t="23665" r="36340" b="12014"/>
                    <a:stretch/>
                  </pic:blipFill>
                  <pic:spPr bwMode="auto">
                    <a:xfrm>
                      <a:off x="0" y="0"/>
                      <a:ext cx="4838700" cy="7324725"/>
                    </a:xfrm>
                    <a:prstGeom prst="rect">
                      <a:avLst/>
                    </a:prstGeom>
                    <a:ln>
                      <a:noFill/>
                    </a:ln>
                    <a:extLst>
                      <a:ext uri="{53640926-AAD7-44D8-BBD7-CCE9431645EC}">
                        <a14:shadowObscured xmlns:a14="http://schemas.microsoft.com/office/drawing/2010/main"/>
                      </a:ext>
                    </a:extLst>
                  </pic:spPr>
                </pic:pic>
              </a:graphicData>
            </a:graphic>
          </wp:inline>
        </w:drawing>
      </w:r>
    </w:p>
    <w:p w14:paraId="7DD3F31C" w14:textId="0D1C5237" w:rsidR="00BD2FB4" w:rsidRPr="00D736C2" w:rsidRDefault="00BD2FB4" w:rsidP="00D736C2">
      <w:pPr>
        <w:spacing w:line="360" w:lineRule="auto"/>
        <w:ind w:left="567" w:right="49"/>
        <w:contextualSpacing/>
        <w:rPr>
          <w:rFonts w:ascii="Palatino Linotype" w:eastAsia="MS Mincho" w:hAnsi="Palatino Linotype" w:cs="Times New Roman"/>
        </w:rPr>
      </w:pPr>
      <w:r w:rsidRPr="00D736C2">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128AC187" wp14:editId="4B6A2D10">
                <wp:simplePos x="0" y="0"/>
                <wp:positionH relativeFrom="column">
                  <wp:posOffset>843915</wp:posOffset>
                </wp:positionH>
                <wp:positionV relativeFrom="paragraph">
                  <wp:posOffset>4715510</wp:posOffset>
                </wp:positionV>
                <wp:extent cx="4238625" cy="1657350"/>
                <wp:effectExtent l="76200" t="38100" r="85725" b="114300"/>
                <wp:wrapNone/>
                <wp:docPr id="7" name="Rectángulo 7"/>
                <wp:cNvGraphicFramePr/>
                <a:graphic xmlns:a="http://schemas.openxmlformats.org/drawingml/2006/main">
                  <a:graphicData uri="http://schemas.microsoft.com/office/word/2010/wordprocessingShape">
                    <wps:wsp>
                      <wps:cNvSpPr/>
                      <wps:spPr>
                        <a:xfrm>
                          <a:off x="0" y="0"/>
                          <a:ext cx="4238625" cy="16573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E509E" id="Rectángulo 7" o:spid="_x0000_s1026" style="position:absolute;margin-left:66.45pt;margin-top:371.3pt;width:333.75pt;height:1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" filled="f" strokecolor="red" strokeweight="4.5pt">
                <v:shadow on="t" color="black" opacity="22937f" origin=",.5" offset="0,.63889mm"/>
              </v:rect>
            </w:pict>
          </mc:Fallback>
        </mc:AlternateContent>
      </w:r>
      <w:r w:rsidRPr="00D736C2">
        <w:rPr>
          <w:rFonts w:ascii="Palatino Linotype" w:hAnsi="Palatino Linotype"/>
          <w:noProof/>
          <w:lang w:val="es-MX" w:eastAsia="es-MX"/>
        </w:rPr>
        <w:drawing>
          <wp:inline distT="0" distB="0" distL="0" distR="0" wp14:anchorId="2A0299E5" wp14:editId="2B59F6A6">
            <wp:extent cx="4800600" cy="6972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72" t="5158" r="29685"/>
                    <a:stretch/>
                  </pic:blipFill>
                  <pic:spPr bwMode="auto">
                    <a:xfrm>
                      <a:off x="0" y="0"/>
                      <a:ext cx="4800600" cy="6972300"/>
                    </a:xfrm>
                    <a:prstGeom prst="rect">
                      <a:avLst/>
                    </a:prstGeom>
                    <a:ln>
                      <a:noFill/>
                    </a:ln>
                    <a:extLst>
                      <a:ext uri="{53640926-AAD7-44D8-BBD7-CCE9431645EC}">
                        <a14:shadowObscured xmlns:a14="http://schemas.microsoft.com/office/drawing/2010/main"/>
                      </a:ext>
                    </a:extLst>
                  </pic:spPr>
                </pic:pic>
              </a:graphicData>
            </a:graphic>
          </wp:inline>
        </w:drawing>
      </w:r>
    </w:p>
    <w:p w14:paraId="51C929C9"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lastRenderedPageBreak/>
        <w:t>Aunado a lo anterior, los Cuerpos de Seguridad Auxiliares del Estado de México, han firmado múltiples convenios con el Instituto de Seguridad Social del Estado de México y sus Municipios (</w:t>
      </w:r>
      <w:proofErr w:type="spellStart"/>
      <w:r w:rsidRPr="00D736C2">
        <w:rPr>
          <w:rFonts w:ascii="Palatino Linotype" w:eastAsia="MS Mincho" w:hAnsi="Palatino Linotype" w:cs="Times New Roman"/>
        </w:rPr>
        <w:t>ISSEMyM</w:t>
      </w:r>
      <w:proofErr w:type="spellEnd"/>
      <w:r w:rsidRPr="00D736C2">
        <w:rPr>
          <w:rFonts w:ascii="Palatino Linotype" w:eastAsia="MS Mincho" w:hAnsi="Palatino Linotype" w:cs="Times New Roman"/>
        </w:rPr>
        <w:t xml:space="preserve">). De acuerdo con la Ley de Seguridad Social para los Servidores Públicos del Estado de México y Municipios, se tiene que en la fracción X de su artículo 5, se establece como </w:t>
      </w:r>
      <w:r w:rsidRPr="00D736C2">
        <w:rPr>
          <w:rFonts w:ascii="Palatino Linotype" w:eastAsia="MS Mincho" w:hAnsi="Palatino Linotype" w:cs="Times New Roman"/>
          <w:b/>
          <w:bCs/>
        </w:rPr>
        <w:t xml:space="preserve">derechohabientes </w:t>
      </w:r>
      <w:r w:rsidRPr="00D736C2">
        <w:rPr>
          <w:rFonts w:ascii="Palatino Linotype" w:eastAsia="MS Mincho" w:hAnsi="Palatino Linotype" w:cs="Times New Roman"/>
        </w:rPr>
        <w:t xml:space="preserve">a las personas a que se refieren las fracciones VI, XXIII, XXIV, XXXII del propio artículo, las cuales son: </w:t>
      </w:r>
    </w:p>
    <w:p w14:paraId="2D54E188"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2C5CEC42" w14:textId="77777777" w:rsidR="005163C4" w:rsidRPr="00D736C2" w:rsidRDefault="005163C4" w:rsidP="00D736C2">
      <w:pPr>
        <w:spacing w:line="360" w:lineRule="auto"/>
        <w:ind w:left="567" w:right="49"/>
        <w:contextualSpacing/>
        <w:jc w:val="both"/>
        <w:rPr>
          <w:rFonts w:ascii="Palatino Linotype" w:hAnsi="Palatino Linotype"/>
          <w:b/>
          <w:bCs/>
          <w:i/>
        </w:rPr>
      </w:pPr>
      <w:r w:rsidRPr="00D736C2">
        <w:rPr>
          <w:rFonts w:ascii="Palatino Linotype" w:hAnsi="Palatino Linotype"/>
          <w:b/>
          <w:bCs/>
          <w:i/>
        </w:rPr>
        <w:t>Artículo 5. Para los efectos de esta Ley se entiende por:</w:t>
      </w:r>
    </w:p>
    <w:p w14:paraId="03E06F41" w14:textId="77777777" w:rsidR="005163C4" w:rsidRPr="00D736C2" w:rsidRDefault="005163C4" w:rsidP="00D736C2">
      <w:pPr>
        <w:spacing w:line="360" w:lineRule="auto"/>
        <w:ind w:left="567" w:right="49"/>
        <w:contextualSpacing/>
        <w:jc w:val="both"/>
        <w:rPr>
          <w:rFonts w:ascii="Palatino Linotype" w:hAnsi="Palatino Linotype"/>
          <w:b/>
          <w:bCs/>
          <w:i/>
        </w:rPr>
      </w:pPr>
    </w:p>
    <w:p w14:paraId="5418CAD5"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b/>
          <w:bCs/>
          <w:i/>
        </w:rPr>
        <w:t xml:space="preserve">X. Derechohabientes; </w:t>
      </w:r>
      <w:r w:rsidRPr="00D736C2">
        <w:rPr>
          <w:rFonts w:ascii="Palatino Linotype" w:hAnsi="Palatino Linotype"/>
          <w:i/>
        </w:rPr>
        <w:t>a las personas a que refieren las fracciones VI, XXIII, XXIV, XXXII:</w:t>
      </w:r>
    </w:p>
    <w:p w14:paraId="562A2C63"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b/>
          <w:bCs/>
          <w:i/>
        </w:rPr>
        <w:t>[…</w:t>
      </w:r>
      <w:r w:rsidRPr="00D736C2">
        <w:rPr>
          <w:rFonts w:ascii="Palatino Linotype" w:hAnsi="Palatino Linotype"/>
          <w:i/>
        </w:rPr>
        <w:t>]</w:t>
      </w:r>
    </w:p>
    <w:p w14:paraId="2AF5B818" w14:textId="77777777" w:rsidR="005163C4" w:rsidRPr="00D736C2" w:rsidRDefault="005163C4" w:rsidP="00D736C2">
      <w:pPr>
        <w:pStyle w:val="Prrafodelista"/>
        <w:spacing w:line="360" w:lineRule="auto"/>
        <w:ind w:left="567" w:right="567"/>
        <w:jc w:val="both"/>
        <w:rPr>
          <w:rFonts w:ascii="Palatino Linotype" w:hAnsi="Palatino Linotype"/>
          <w:b/>
          <w:bCs/>
          <w:i/>
        </w:rPr>
      </w:pPr>
      <w:r w:rsidRPr="00D736C2">
        <w:rPr>
          <w:rFonts w:ascii="Palatino Linotype" w:hAnsi="Palatino Linotype"/>
          <w:b/>
          <w:bCs/>
          <w:i/>
        </w:rPr>
        <w:t>VI. Beneficiarios, del Servidor Público o del pensionado.</w:t>
      </w:r>
    </w:p>
    <w:p w14:paraId="2FA43A4D"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i/>
        </w:rPr>
        <w:t>[…]</w:t>
      </w:r>
    </w:p>
    <w:p w14:paraId="4A5D5DAF"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b/>
          <w:bCs/>
          <w:i/>
        </w:rPr>
        <w:t>XXIII. Pensionado,</w:t>
      </w:r>
      <w:r w:rsidRPr="00D736C2">
        <w:rPr>
          <w:rFonts w:ascii="Palatino Linotype" w:hAnsi="Palatino Linotype"/>
          <w:i/>
        </w:rPr>
        <w:t xml:space="preserve"> al Servidor Público retirado definitiva o temporalmente del servicio, a quien en forma específica esta Ley le reconozca esa condición;</w:t>
      </w:r>
    </w:p>
    <w:p w14:paraId="7ADFE7E0"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b/>
          <w:bCs/>
          <w:i/>
        </w:rPr>
        <w:t>XXIV. Pensionista,</w:t>
      </w:r>
      <w:r w:rsidRPr="00D736C2">
        <w:rPr>
          <w:rFonts w:ascii="Palatino Linotype" w:hAnsi="Palatino Linotype"/>
          <w:i/>
        </w:rPr>
        <w:t xml:space="preserve"> a la persona que recibe el importe de una pensión, originada por tener el carácter de beneficiario del Servidor Público o del pensionado fallecido;</w:t>
      </w:r>
    </w:p>
    <w:p w14:paraId="7ACF6C64"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i/>
        </w:rPr>
        <w:t>[…]</w:t>
      </w:r>
    </w:p>
    <w:p w14:paraId="027E2773"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b/>
          <w:bCs/>
          <w:i/>
        </w:rPr>
        <w:t>XXXII. Servidor Público</w:t>
      </w:r>
      <w:r w:rsidRPr="00D736C2">
        <w:rPr>
          <w:rFonts w:ascii="Palatino Linotype" w:hAnsi="Palatino Linotype"/>
          <w:i/>
        </w:rPr>
        <w:t xml:space="preserve"> a toda persona que desempeñe un empleo, cargo o comisión ya sea por elección popular o por nombramiento, o bien, preste sus servicios mediante contrato por tiempo u obra determinados, así como las que se encuentren en lista de raya, </w:t>
      </w:r>
      <w:r w:rsidRPr="00D736C2">
        <w:rPr>
          <w:rFonts w:ascii="Palatino Linotype" w:hAnsi="Palatino Linotype"/>
          <w:b/>
          <w:bCs/>
          <w:i/>
        </w:rPr>
        <w:t xml:space="preserve">en cualquiera de las Instituciones Públicas a que se refiere la fracción XVI </w:t>
      </w:r>
      <w:r w:rsidRPr="00D736C2">
        <w:rPr>
          <w:rFonts w:ascii="Palatino Linotype" w:hAnsi="Palatino Linotype"/>
          <w:b/>
          <w:bCs/>
          <w:i/>
        </w:rPr>
        <w:lastRenderedPageBreak/>
        <w:t>de este artículo.</w:t>
      </w:r>
      <w:r w:rsidRPr="00D736C2">
        <w:rPr>
          <w:rFonts w:ascii="Palatino Linotype" w:hAnsi="Palatino Linotype"/>
          <w:i/>
        </w:rPr>
        <w:t xml:space="preserve"> Quedan exceptuadas aquellas que estén sujetas a contrato civil o mercantil, o a pago de honorarios;</w:t>
      </w:r>
    </w:p>
    <w:p w14:paraId="3CBC28A4" w14:textId="77777777" w:rsidR="005163C4" w:rsidRPr="00D736C2" w:rsidRDefault="005163C4" w:rsidP="00D736C2">
      <w:pPr>
        <w:pStyle w:val="Prrafodelista"/>
        <w:spacing w:line="360" w:lineRule="auto"/>
        <w:ind w:left="567" w:right="567"/>
        <w:jc w:val="both"/>
        <w:rPr>
          <w:rFonts w:ascii="Palatino Linotype" w:hAnsi="Palatino Linotype"/>
          <w:i/>
        </w:rPr>
      </w:pPr>
      <w:r w:rsidRPr="00D736C2">
        <w:rPr>
          <w:rFonts w:ascii="Palatino Linotype" w:hAnsi="Palatino Linotype"/>
          <w:i/>
        </w:rPr>
        <w:t>[…]</w:t>
      </w:r>
    </w:p>
    <w:p w14:paraId="196FE876"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7535A8EB" w14:textId="449853B3"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lo que, el primero y directo derechohabiente es aquella persona que resulta ser </w:t>
      </w:r>
      <w:r w:rsidRPr="00D736C2">
        <w:rPr>
          <w:rFonts w:ascii="Palatino Linotype" w:eastAsia="MS Mincho" w:hAnsi="Palatino Linotype" w:cs="Times New Roman"/>
          <w:b/>
          <w:bCs/>
        </w:rPr>
        <w:t>servidor público</w:t>
      </w:r>
      <w:r w:rsidRPr="00D736C2">
        <w:rPr>
          <w:rFonts w:ascii="Palatino Linotype" w:eastAsia="MS Mincho" w:hAnsi="Palatino Linotype" w:cs="Times New Roman"/>
        </w:rPr>
        <w:t xml:space="preserve"> y presta sus servicios en cualquiera de las Instituciones Públicas, como lo ha referido la recurrente, durante el análisis de la más reciente Cuenta Pública del Gobierno del Estado de México y organismos autónomos, quedó acreditado una serie de adeudos de dicho organismo auxiliar con el </w:t>
      </w:r>
      <w:proofErr w:type="spellStart"/>
      <w:r w:rsidRPr="00D736C2">
        <w:rPr>
          <w:rFonts w:ascii="Palatino Linotype" w:eastAsia="MS Mincho" w:hAnsi="Palatino Linotype" w:cs="Times New Roman"/>
        </w:rPr>
        <w:t>ISSEMyM</w:t>
      </w:r>
      <w:proofErr w:type="spellEnd"/>
      <w:r w:rsidR="00884A4E" w:rsidRPr="00D736C2">
        <w:rPr>
          <w:rFonts w:ascii="Palatino Linotype" w:eastAsia="MS Mincho" w:hAnsi="Palatino Linotype" w:cs="Times New Roman"/>
        </w:rPr>
        <w:t>,</w:t>
      </w:r>
      <w:r w:rsidRPr="00D736C2">
        <w:rPr>
          <w:rFonts w:ascii="Palatino Linotype" w:eastAsia="MS Mincho" w:hAnsi="Palatino Linotype" w:cs="Times New Roman"/>
        </w:rPr>
        <w:t xml:space="preserve"> y que se derivan de la relación que existe por dar de alta a sus elementos como derechohabientes. </w:t>
      </w:r>
    </w:p>
    <w:p w14:paraId="269E261A"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1C28681F"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A la luz de estos elementos, el uso del escudo, logotipos del gobierno del estado de México, y la determinación de que sus elementos son trabajadores al servicio del Estado, sujetos al régimen de seguridad social del Estado, es que no puede concluirse otra cosa, sino que se trata de </w:t>
      </w:r>
      <w:r w:rsidRPr="00D736C2">
        <w:rPr>
          <w:rFonts w:ascii="Palatino Linotype" w:eastAsia="MS Mincho" w:hAnsi="Palatino Linotype" w:cs="Times New Roman"/>
          <w:b/>
          <w:bCs/>
        </w:rPr>
        <w:t>un organismo auxiliar de naturaleza pública.</w:t>
      </w:r>
      <w:r w:rsidRPr="00D736C2">
        <w:rPr>
          <w:rFonts w:ascii="Palatino Linotype" w:eastAsia="MS Mincho" w:hAnsi="Palatino Linotype" w:cs="Times New Roman"/>
        </w:rPr>
        <w:t xml:space="preserve"> </w:t>
      </w:r>
    </w:p>
    <w:p w14:paraId="552F3B56"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1004366D"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hAnsi="Palatino Linotype" w:cs="Arial"/>
        </w:rPr>
        <w:t xml:space="preserve">En consecuencia, los servicios de protección, custodia, vigilancia y seguridad forman parte de la función general de seguridad pública, y cuando el Estado los brinda a través de un organismo auxiliar, cuyo régimen se encuentra regulado por la disposición jurídica contenida en el segundo párrafo del artículo 103 de la </w:t>
      </w:r>
      <w:r w:rsidRPr="00D736C2">
        <w:rPr>
          <w:rFonts w:ascii="Palatino Linotype" w:hAnsi="Palatino Linotype" w:cs="Arial"/>
          <w:b/>
        </w:rPr>
        <w:t>Ley de Seguridad del Estado de México</w:t>
      </w:r>
      <w:r w:rsidRPr="00D736C2">
        <w:rPr>
          <w:rFonts w:ascii="Palatino Linotype" w:hAnsi="Palatino Linotype" w:cs="Arial"/>
        </w:rPr>
        <w:t xml:space="preserve">, dicha función obliga a documentar sus actos y, al generar documentación, esta debe considerarse de naturaleza pública. </w:t>
      </w:r>
    </w:p>
    <w:p w14:paraId="0CA8A175"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3C46BF46"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lastRenderedPageBreak/>
        <w:t xml:space="preserve">Ahora es necesario analizar si la Secretaría de Finanzas del Gobierno del Estado de México debe o no, contar con la información que se le ha solicitado. </w:t>
      </w:r>
    </w:p>
    <w:p w14:paraId="2DB1B614" w14:textId="77777777" w:rsidR="00270D2A" w:rsidRPr="00D736C2" w:rsidRDefault="00270D2A" w:rsidP="00D736C2">
      <w:pPr>
        <w:pStyle w:val="Prrafodelista"/>
        <w:spacing w:line="360" w:lineRule="auto"/>
        <w:rPr>
          <w:rFonts w:ascii="Palatino Linotype" w:eastAsia="MS Mincho" w:hAnsi="Palatino Linotype" w:cs="Times New Roman"/>
        </w:rPr>
      </w:pPr>
    </w:p>
    <w:p w14:paraId="794CD7C3" w14:textId="77777777" w:rsidR="005163C4" w:rsidRPr="00D736C2" w:rsidRDefault="005163C4" w:rsidP="00D736C2">
      <w:pPr>
        <w:keepNext/>
        <w:keepLines/>
        <w:spacing w:line="360" w:lineRule="auto"/>
        <w:jc w:val="both"/>
        <w:outlineLvl w:val="0"/>
        <w:rPr>
          <w:rFonts w:ascii="Palatino Linotype" w:eastAsia="MS Mincho" w:hAnsi="Palatino Linotype" w:cs="Times New Roman"/>
          <w:b/>
          <w:bCs/>
        </w:rPr>
      </w:pPr>
      <w:bookmarkStart w:id="95" w:name="_Toc23446075"/>
      <w:bookmarkStart w:id="96" w:name="_Toc25255407"/>
      <w:r w:rsidRPr="00D736C2">
        <w:rPr>
          <w:rFonts w:ascii="Palatino Linotype" w:eastAsia="MS Gothic" w:hAnsi="Palatino Linotype" w:cstheme="majorBidi"/>
          <w:b/>
        </w:rPr>
        <w:t>V. Las obligaciones de la Secretaría de Finanzas.</w:t>
      </w:r>
      <w:bookmarkEnd w:id="95"/>
      <w:bookmarkEnd w:id="96"/>
      <w:r w:rsidRPr="00D736C2">
        <w:rPr>
          <w:rFonts w:ascii="Palatino Linotype" w:eastAsia="MS Gothic" w:hAnsi="Palatino Linotype" w:cstheme="majorBidi"/>
          <w:b/>
        </w:rPr>
        <w:t xml:space="preserve"> </w:t>
      </w:r>
    </w:p>
    <w:p w14:paraId="13FE418A"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1C250727"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otra parte, es sumamente importante establecer que la Secretaría de Finanzas tiene como objetivo general el de dictar las políticas de la administración financiera y tributaria que busquen </w:t>
      </w:r>
      <w:proofErr w:type="spellStart"/>
      <w:r w:rsidRPr="00D736C2">
        <w:rPr>
          <w:rFonts w:ascii="Palatino Linotype" w:eastAsia="MS Mincho" w:hAnsi="Palatino Linotype" w:cs="Times New Roman"/>
        </w:rPr>
        <w:t>eficientar</w:t>
      </w:r>
      <w:proofErr w:type="spellEnd"/>
      <w:r w:rsidRPr="00D736C2">
        <w:rPr>
          <w:rFonts w:ascii="Palatino Linotype" w:eastAsia="MS Mincho" w:hAnsi="Palatino Linotype" w:cs="Times New Roman"/>
        </w:rPr>
        <w:t xml:space="preserve"> la recaudación, planeación, programación y evaluación del uso de los recursos humanos y materiales, así como el </w:t>
      </w:r>
      <w:r w:rsidRPr="00D736C2">
        <w:rPr>
          <w:rFonts w:ascii="Palatino Linotype" w:eastAsia="MS Mincho" w:hAnsi="Palatino Linotype" w:cs="Times New Roman"/>
          <w:bCs/>
        </w:rPr>
        <w:t>otorgamiento del apoyo administrativo requerido por las dependencias de la Administración Pública Estatal, regulando lo relativo al Sector Auxiliar.</w:t>
      </w:r>
      <w:r w:rsidRPr="00D736C2">
        <w:rPr>
          <w:rFonts w:ascii="Palatino Linotype" w:eastAsia="MS Mincho" w:hAnsi="Palatino Linotype" w:cs="Times New Roman"/>
        </w:rPr>
        <w:t xml:space="preserve"> </w:t>
      </w:r>
    </w:p>
    <w:p w14:paraId="5390299A"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C98C8E4"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Ahora bien, tal y como lo establece el artículo 23 de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xml:space="preserve">, la Secretaría de Finanzas es la encargada de la planeación, programación, </w:t>
      </w:r>
      <w:proofErr w:type="spellStart"/>
      <w:r w:rsidRPr="00D736C2">
        <w:rPr>
          <w:rFonts w:ascii="Palatino Linotype" w:eastAsia="MS Mincho" w:hAnsi="Palatino Linotype" w:cs="Times New Roman"/>
        </w:rPr>
        <w:t>presupuestación</w:t>
      </w:r>
      <w:proofErr w:type="spellEnd"/>
      <w:r w:rsidRPr="00D736C2">
        <w:rPr>
          <w:rFonts w:ascii="Palatino Linotype" w:eastAsia="MS Mincho" w:hAnsi="Palatino Linotype" w:cs="Times New Roman"/>
        </w:rPr>
        <w:t xml:space="preserve"> y evaluación de las actividades del Poder Ejecutivo, de la administración financiera y tributaria de la hacienda pública del Estado y de prestar el apoyo administrativo que requieren las dependencias del Poder Ejecutivo del Estado de México. </w:t>
      </w:r>
    </w:p>
    <w:p w14:paraId="6C5FCBC3"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3218D820"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Asimismo, el artículo 24 de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xml:space="preserve">, a la Secretaría de Finanzas le corresponde el despacho de los siguientes asuntos; </w:t>
      </w:r>
    </w:p>
    <w:p w14:paraId="7E2806D5" w14:textId="77777777" w:rsidR="005163C4" w:rsidRPr="00D736C2" w:rsidRDefault="005163C4" w:rsidP="00D736C2">
      <w:pPr>
        <w:spacing w:line="360" w:lineRule="auto"/>
        <w:ind w:right="49"/>
        <w:contextualSpacing/>
        <w:jc w:val="both"/>
        <w:rPr>
          <w:rFonts w:ascii="Palatino Linotype" w:eastAsia="MS Mincho" w:hAnsi="Palatino Linotype" w:cs="Times New Roman"/>
          <w:b/>
          <w:bCs/>
        </w:rPr>
      </w:pPr>
    </w:p>
    <w:p w14:paraId="609B16F5"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
          <w:bCs/>
          <w:i/>
        </w:rPr>
        <w:t>Artículo 24.- […]</w:t>
      </w:r>
    </w:p>
    <w:p w14:paraId="38CC9F54" w14:textId="77777777" w:rsidR="005163C4" w:rsidRPr="00D736C2" w:rsidRDefault="005163C4" w:rsidP="00D736C2">
      <w:pPr>
        <w:spacing w:line="360" w:lineRule="auto"/>
        <w:ind w:left="567" w:right="567"/>
        <w:contextualSpacing/>
        <w:jc w:val="both"/>
        <w:rPr>
          <w:rFonts w:ascii="Palatino Linotype" w:hAnsi="Palatino Linotype"/>
          <w:b/>
          <w:bCs/>
          <w:i/>
        </w:rPr>
      </w:pPr>
    </w:p>
    <w:p w14:paraId="1D0929B1"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bCs/>
          <w:i/>
        </w:rPr>
        <w:t xml:space="preserve">I. Elaborar y proponer al Ejecutivo los proyectos de Ley, Reglamentos y demás disposiciones de carácter general que se requieran para la planeación, programación, </w:t>
      </w:r>
      <w:proofErr w:type="spellStart"/>
      <w:r w:rsidRPr="00D736C2">
        <w:rPr>
          <w:rFonts w:ascii="Palatino Linotype" w:hAnsi="Palatino Linotype"/>
          <w:bCs/>
          <w:i/>
        </w:rPr>
        <w:t>presupuestación</w:t>
      </w:r>
      <w:proofErr w:type="spellEnd"/>
      <w:r w:rsidRPr="00D736C2">
        <w:rPr>
          <w:rFonts w:ascii="Palatino Linotype" w:hAnsi="Palatino Linotype"/>
          <w:bCs/>
          <w:i/>
        </w:rPr>
        <w:t xml:space="preserve"> y evaluación de la actividad económica y financiera del Estado, así como para la actividad fiscal y tributaria estatal</w:t>
      </w:r>
      <w:r w:rsidRPr="00D736C2">
        <w:rPr>
          <w:rFonts w:ascii="Palatino Linotype" w:hAnsi="Palatino Linotype"/>
          <w:i/>
        </w:rPr>
        <w:t xml:space="preserve">. </w:t>
      </w:r>
    </w:p>
    <w:p w14:paraId="03912C6B"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7361B26D" w14:textId="77777777" w:rsidR="005163C4" w:rsidRPr="00D736C2" w:rsidRDefault="005163C4" w:rsidP="00D736C2">
      <w:pPr>
        <w:spacing w:line="360" w:lineRule="auto"/>
        <w:ind w:left="567" w:right="567"/>
        <w:contextualSpacing/>
        <w:jc w:val="both"/>
        <w:rPr>
          <w:rFonts w:ascii="Palatino Linotype" w:hAnsi="Palatino Linotype"/>
          <w:bCs/>
          <w:i/>
        </w:rPr>
      </w:pPr>
      <w:r w:rsidRPr="00D736C2">
        <w:rPr>
          <w:rFonts w:ascii="Palatino Linotype" w:hAnsi="Palatino Linotype"/>
          <w:bCs/>
          <w:i/>
        </w:rPr>
        <w:t xml:space="preserve">V. Formular y presentar al Ejecutivo, los proyectos de Ley de Ingresos, del presupuesto de egresos y el programa general del gasto público. </w:t>
      </w:r>
    </w:p>
    <w:p w14:paraId="0606EA39"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i/>
        </w:rPr>
        <w:t>…</w:t>
      </w:r>
    </w:p>
    <w:p w14:paraId="52545277" w14:textId="77777777" w:rsidR="005163C4" w:rsidRPr="00D736C2" w:rsidRDefault="005163C4" w:rsidP="00D736C2">
      <w:pPr>
        <w:spacing w:line="360" w:lineRule="auto"/>
        <w:ind w:left="567" w:right="567"/>
        <w:contextualSpacing/>
        <w:jc w:val="both"/>
        <w:rPr>
          <w:rFonts w:ascii="Palatino Linotype" w:hAnsi="Palatino Linotype"/>
          <w:bCs/>
          <w:i/>
        </w:rPr>
      </w:pPr>
      <w:r w:rsidRPr="00D736C2">
        <w:rPr>
          <w:rFonts w:ascii="Palatino Linotype" w:hAnsi="Palatino Linotype"/>
          <w:bCs/>
          <w:i/>
        </w:rPr>
        <w:t>XI.</w:t>
      </w:r>
      <w:r w:rsidRPr="00D736C2">
        <w:rPr>
          <w:rFonts w:ascii="Palatino Linotype" w:hAnsi="Palatino Linotype"/>
          <w:b/>
          <w:bCs/>
          <w:i/>
        </w:rPr>
        <w:t xml:space="preserve"> </w:t>
      </w:r>
      <w:r w:rsidRPr="00D736C2">
        <w:rPr>
          <w:rFonts w:ascii="Palatino Linotype" w:hAnsi="Palatino Linotype"/>
          <w:bCs/>
          <w:i/>
        </w:rPr>
        <w:t>Dictar las normas relacionadas con el manejo de fondos y valores de las dependencias,</w:t>
      </w:r>
      <w:r w:rsidRPr="00D736C2">
        <w:rPr>
          <w:rFonts w:ascii="Palatino Linotype" w:hAnsi="Palatino Linotype"/>
          <w:b/>
          <w:bCs/>
          <w:i/>
        </w:rPr>
        <w:t xml:space="preserve"> organismos auxiliares </w:t>
      </w:r>
      <w:r w:rsidRPr="00D736C2">
        <w:rPr>
          <w:rFonts w:ascii="Palatino Linotype" w:hAnsi="Palatino Linotype"/>
          <w:bCs/>
          <w:i/>
        </w:rPr>
        <w:t>y fideicomisos del Estado, así como custodiar los documentos que constituyen valores, acciones y demás derechos que formen parte del patrimonio del Estado;</w:t>
      </w:r>
    </w:p>
    <w:p w14:paraId="07EC7D32"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168B921A"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Cs/>
          <w:i/>
        </w:rPr>
        <w:t xml:space="preserve">XXIII. Proyectar y calcular los egresos del Gobierno del Estado y </w:t>
      </w:r>
      <w:r w:rsidRPr="00D736C2">
        <w:rPr>
          <w:rFonts w:ascii="Palatino Linotype" w:hAnsi="Palatino Linotype"/>
          <w:b/>
          <w:bCs/>
          <w:i/>
        </w:rPr>
        <w:t>los ingresos y egresos de sus organismos auxiliares;</w:t>
      </w:r>
    </w:p>
    <w:p w14:paraId="0370A5FF"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Cs/>
          <w:i/>
        </w:rPr>
        <w:t>XXIV. Planear, autorizar, coordinar, vigilar y evaluar los programas de inversión pública de las dependencias del Ejecutivo</w:t>
      </w:r>
      <w:r w:rsidRPr="00D736C2">
        <w:rPr>
          <w:rFonts w:ascii="Palatino Linotype" w:hAnsi="Palatino Linotype"/>
          <w:b/>
          <w:bCs/>
          <w:i/>
        </w:rPr>
        <w:t xml:space="preserve"> y de sus organismos auxiliares;</w:t>
      </w:r>
    </w:p>
    <w:p w14:paraId="139CE41B" w14:textId="77777777" w:rsidR="005163C4" w:rsidRPr="00D736C2" w:rsidRDefault="005163C4" w:rsidP="00D736C2">
      <w:pPr>
        <w:spacing w:line="360" w:lineRule="auto"/>
        <w:ind w:left="567" w:right="567"/>
        <w:contextualSpacing/>
        <w:jc w:val="both"/>
        <w:rPr>
          <w:rFonts w:ascii="Palatino Linotype" w:eastAsia="MS Mincho" w:hAnsi="Palatino Linotype" w:cs="Times New Roman"/>
          <w:b/>
          <w:bCs/>
          <w:i/>
        </w:rPr>
      </w:pPr>
      <w:r w:rsidRPr="00D736C2">
        <w:rPr>
          <w:rFonts w:ascii="Palatino Linotype" w:hAnsi="Palatino Linotype"/>
          <w:i/>
        </w:rPr>
        <w:t>…</w:t>
      </w:r>
    </w:p>
    <w:p w14:paraId="04E7A9B1"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4665A286"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lo que una interpretación sistemática del artículo anteriormente citado, en sus fracciones XI, XXIII y XXIV, del tercero de la misma ley y del 103 en su segundo párrafo de la </w:t>
      </w:r>
      <w:r w:rsidRPr="00D736C2">
        <w:rPr>
          <w:rFonts w:ascii="Palatino Linotype" w:eastAsia="MS Mincho" w:hAnsi="Palatino Linotype" w:cs="Times New Roman"/>
          <w:b/>
        </w:rPr>
        <w:t>Ley de Seguridad del Estado de México</w:t>
      </w:r>
      <w:r w:rsidRPr="00D736C2">
        <w:rPr>
          <w:rFonts w:ascii="Palatino Linotype" w:eastAsia="MS Mincho" w:hAnsi="Palatino Linotype" w:cs="Times New Roman"/>
        </w:rPr>
        <w:t xml:space="preserve">, nos permite concluir que la referencia genérica </w:t>
      </w:r>
      <w:r w:rsidRPr="00D736C2">
        <w:rPr>
          <w:rFonts w:ascii="Palatino Linotype" w:eastAsia="MS Mincho" w:hAnsi="Palatino Linotype" w:cs="Times New Roman"/>
          <w:i/>
          <w:iCs/>
        </w:rPr>
        <w:t xml:space="preserve">“las dependencias del Gobierno del Estado competentes” </w:t>
      </w:r>
      <w:r w:rsidRPr="00D736C2">
        <w:rPr>
          <w:rFonts w:ascii="Palatino Linotype" w:eastAsia="MS Mincho" w:hAnsi="Palatino Linotype" w:cs="Times New Roman"/>
          <w:iCs/>
        </w:rPr>
        <w:t xml:space="preserve">(encargadas de regular a los </w:t>
      </w:r>
      <w:r w:rsidRPr="00D736C2">
        <w:rPr>
          <w:rFonts w:ascii="Palatino Linotype" w:eastAsia="MS Mincho" w:hAnsi="Palatino Linotype" w:cs="Times New Roman"/>
          <w:iCs/>
        </w:rPr>
        <w:lastRenderedPageBreak/>
        <w:t>organismos auxiliares de seguridad pública)</w:t>
      </w:r>
      <w:r w:rsidRPr="00D736C2">
        <w:rPr>
          <w:rFonts w:ascii="Palatino Linotype" w:eastAsia="MS Mincho" w:hAnsi="Palatino Linotype" w:cs="Times New Roman"/>
        </w:rPr>
        <w:t xml:space="preserve">, por lo que se refiere a las actividades contables y fiscales, aluden a la propia Secretaría de Finanzas del Gobierno del Estado de México, sujeto obligado al que se ha solicitado la información cuya negativa de entrega provoca el presente recurso de revisión.  </w:t>
      </w:r>
    </w:p>
    <w:p w14:paraId="4418C380"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510D0A8"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b/>
          <w:bCs/>
        </w:rPr>
      </w:pPr>
      <w:r w:rsidRPr="00D736C2">
        <w:rPr>
          <w:rFonts w:ascii="Palatino Linotype" w:eastAsia="MS Mincho" w:hAnsi="Palatino Linotype" w:cs="Times New Roman"/>
        </w:rPr>
        <w:t xml:space="preserve">Para reafirmar lo anterior, es importante mencionar que, la Secretaría de Finanzas en términos de la fracción V del artículo 24 de la Ley Orgánica de la Administración Pública del Estado, es la encargada de: </w:t>
      </w:r>
      <w:r w:rsidRPr="00D736C2">
        <w:rPr>
          <w:rFonts w:ascii="Palatino Linotype" w:eastAsia="MS Mincho" w:hAnsi="Palatino Linotype" w:cs="Times New Roman"/>
          <w:i/>
          <w:iCs/>
        </w:rPr>
        <w:t>“</w:t>
      </w:r>
      <w:r w:rsidRPr="00D736C2">
        <w:rPr>
          <w:rFonts w:ascii="Palatino Linotype" w:eastAsia="MS Mincho" w:hAnsi="Palatino Linotype" w:cs="Times New Roman"/>
          <w:b/>
          <w:i/>
          <w:iCs/>
        </w:rPr>
        <w:t>V.</w:t>
      </w:r>
      <w:r w:rsidRPr="00D736C2">
        <w:rPr>
          <w:rFonts w:ascii="Palatino Linotype" w:eastAsia="MS Mincho" w:hAnsi="Palatino Linotype" w:cs="Times New Roman"/>
          <w:i/>
          <w:iCs/>
        </w:rPr>
        <w:t xml:space="preserve"> </w:t>
      </w:r>
      <w:r w:rsidRPr="00D736C2">
        <w:rPr>
          <w:rFonts w:ascii="Palatino Linotype" w:hAnsi="Palatino Linotype"/>
          <w:b/>
          <w:bCs/>
          <w:i/>
          <w:iCs/>
        </w:rPr>
        <w:t xml:space="preserve">Formular y presentar al Ejecutivo, los proyectos de Ley de Ingresos, del presupuesto de egresos y el programa general del gasto público”. </w:t>
      </w:r>
    </w:p>
    <w:p w14:paraId="7121779F" w14:textId="77777777" w:rsidR="005163C4" w:rsidRPr="00D736C2" w:rsidRDefault="005163C4" w:rsidP="00D736C2">
      <w:pPr>
        <w:spacing w:line="360" w:lineRule="auto"/>
        <w:ind w:right="49"/>
        <w:contextualSpacing/>
        <w:jc w:val="both"/>
        <w:rPr>
          <w:rFonts w:ascii="Palatino Linotype" w:eastAsia="MS Mincho" w:hAnsi="Palatino Linotype" w:cs="Times New Roman"/>
          <w:b/>
          <w:bCs/>
        </w:rPr>
      </w:pPr>
    </w:p>
    <w:p w14:paraId="2BF7109D"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Asimismo, en términos del </w:t>
      </w:r>
      <w:r w:rsidRPr="00D736C2">
        <w:rPr>
          <w:rFonts w:ascii="Palatino Linotype" w:eastAsia="MS Mincho" w:hAnsi="Palatino Linotype" w:cs="Times New Roman"/>
          <w:b/>
        </w:rPr>
        <w:t>Código Financiero del Estado de México</w:t>
      </w:r>
      <w:r w:rsidRPr="00D736C2">
        <w:rPr>
          <w:rFonts w:ascii="Palatino Linotype" w:eastAsia="MS Mincho" w:hAnsi="Palatino Linotype" w:cs="Times New Roman"/>
        </w:rPr>
        <w:t>, los artículos 7 y 9 fracción II, establecen que;</w:t>
      </w:r>
    </w:p>
    <w:p w14:paraId="404528A2" w14:textId="77777777" w:rsidR="005163C4" w:rsidRPr="00D736C2" w:rsidRDefault="005163C4" w:rsidP="00D736C2">
      <w:pPr>
        <w:spacing w:line="360" w:lineRule="auto"/>
        <w:ind w:left="567" w:right="567"/>
        <w:contextualSpacing/>
        <w:jc w:val="both"/>
        <w:rPr>
          <w:rFonts w:ascii="Palatino Linotype" w:eastAsia="MS Mincho" w:hAnsi="Palatino Linotype" w:cs="Times New Roman"/>
        </w:rPr>
      </w:pPr>
    </w:p>
    <w:p w14:paraId="3834A146"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r w:rsidRPr="00D736C2">
        <w:rPr>
          <w:rFonts w:ascii="Palatino Linotype" w:hAnsi="Palatino Linotype"/>
          <w:b/>
          <w:bCs/>
          <w:i/>
        </w:rPr>
        <w:t>Artículo 7.-</w:t>
      </w:r>
      <w:r w:rsidRPr="00D736C2">
        <w:rPr>
          <w:rFonts w:ascii="Palatino Linotype" w:hAnsi="Palatino Linotype"/>
          <w:i/>
        </w:rPr>
        <w:t xml:space="preserv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w:t>
      </w:r>
      <w:r w:rsidRPr="00D736C2">
        <w:rPr>
          <w:rFonts w:ascii="Palatino Linotype" w:hAnsi="Palatino Linotype"/>
          <w:i/>
        </w:rPr>
        <w:lastRenderedPageBreak/>
        <w:t xml:space="preserve">que de él deriven; tratándose de estimaciones de participaciones y transferencias federales etiquetadas, no deberán exceder a las previstas en la Ley de Ingresos de la Federación y en el Presupuesto de Egresos de la Federación del ejercicio fiscal correspondiente”. </w:t>
      </w:r>
    </w:p>
    <w:p w14:paraId="561BCCC6" w14:textId="77777777" w:rsidR="005163C4" w:rsidRPr="00D736C2" w:rsidRDefault="005163C4" w:rsidP="00D736C2">
      <w:pPr>
        <w:spacing w:line="360" w:lineRule="auto"/>
        <w:ind w:left="567" w:right="567"/>
        <w:contextualSpacing/>
        <w:jc w:val="both"/>
        <w:rPr>
          <w:rFonts w:ascii="Palatino Linotype" w:hAnsi="Palatino Linotype"/>
          <w:i/>
        </w:rPr>
      </w:pPr>
    </w:p>
    <w:p w14:paraId="038BB9AD"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b/>
          <w:bCs/>
          <w:i/>
        </w:rPr>
        <w:t>Artículo 9.-</w:t>
      </w:r>
      <w:r w:rsidRPr="00D736C2">
        <w:rPr>
          <w:rFonts w:ascii="Palatino Linotype" w:hAnsi="Palatino Linotype"/>
          <w:i/>
        </w:rPr>
        <w:t xml:space="preserve"> Las contribuciones se clasifican en impuestos, derechos, contribuciones o aportaciones de mejoras, y aportaciones y cuotas de seguridad social, las que se definen de la manera siguiente:</w:t>
      </w:r>
    </w:p>
    <w:p w14:paraId="225ECAFC"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299DF4AC"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b/>
          <w:bCs/>
          <w:i/>
        </w:rPr>
        <w:t>II. Derechos.</w:t>
      </w:r>
      <w:r w:rsidRPr="00D736C2">
        <w:rPr>
          <w:rFonts w:ascii="Palatino Linotype" w:hAnsi="Palatino Linotype"/>
          <w:i/>
        </w:rPr>
        <w:t xml:space="preserve"> Son las </w:t>
      </w:r>
      <w:r w:rsidRPr="00D736C2">
        <w:rPr>
          <w:rFonts w:ascii="Palatino Linotype" w:hAnsi="Palatino Linotype"/>
          <w:b/>
          <w:i/>
        </w:rPr>
        <w:t xml:space="preserve">contraprestaciones </w:t>
      </w:r>
      <w:r w:rsidRPr="00D736C2">
        <w:rPr>
          <w:rFonts w:ascii="Palatino Linotype" w:hAnsi="Palatino Linotype"/>
          <w:i/>
        </w:rPr>
        <w:t xml:space="preserve">establecidas en este Código, </w:t>
      </w:r>
      <w:r w:rsidRPr="00D736C2">
        <w:rPr>
          <w:rFonts w:ascii="Palatino Linotype" w:hAnsi="Palatino Linotype"/>
          <w:b/>
          <w:i/>
        </w:rPr>
        <w:t>que deben pagar las personas físicas y jurídicas colectivas, por</w:t>
      </w:r>
      <w:r w:rsidRPr="00D736C2">
        <w:rPr>
          <w:rFonts w:ascii="Palatino Linotype" w:hAnsi="Palatino Linotype"/>
          <w:i/>
        </w:rPr>
        <w:t xml:space="preserve"> el uso o aprovechamiento de los bienes del dominio público de la Entidad, así como por </w:t>
      </w:r>
      <w:r w:rsidRPr="00D736C2">
        <w:rPr>
          <w:rFonts w:ascii="Palatino Linotype" w:hAnsi="Palatino Linotype"/>
          <w:b/>
          <w:i/>
        </w:rPr>
        <w:t>recibir servicios que presten el Estado, sus organismos</w:t>
      </w:r>
      <w:r w:rsidRPr="00D736C2">
        <w:rPr>
          <w:rFonts w:ascii="Palatino Linotype" w:hAnsi="Palatino Linotype"/>
          <w:i/>
        </w:rPr>
        <w:t xml:space="preserve">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2BC03D22"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08F6023E" w14:textId="77777777" w:rsidR="005163C4" w:rsidRPr="00D736C2" w:rsidRDefault="005163C4" w:rsidP="00D736C2">
      <w:pPr>
        <w:spacing w:line="360" w:lineRule="auto"/>
        <w:ind w:right="567"/>
        <w:contextualSpacing/>
        <w:jc w:val="both"/>
        <w:rPr>
          <w:rFonts w:ascii="Palatino Linotype" w:eastAsia="MS Mincho" w:hAnsi="Palatino Linotype" w:cs="Times New Roman"/>
          <w:i/>
        </w:rPr>
      </w:pPr>
    </w:p>
    <w:p w14:paraId="60C0C389"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De lo que se deduce que parte de los ingresos del Estado, son los derechos, los cuales son concebidos como </w:t>
      </w:r>
      <w:r w:rsidRPr="00D736C2">
        <w:rPr>
          <w:rFonts w:ascii="Palatino Linotype" w:eastAsia="MS Mincho" w:hAnsi="Palatino Linotype" w:cs="Times New Roman"/>
          <w:b/>
          <w:bCs/>
        </w:rPr>
        <w:t>las aportaciones por</w:t>
      </w:r>
      <w:r w:rsidRPr="00D736C2">
        <w:rPr>
          <w:rFonts w:ascii="Palatino Linotype" w:eastAsia="MS Mincho" w:hAnsi="Palatino Linotype" w:cs="Times New Roman"/>
        </w:rPr>
        <w:t xml:space="preserve"> </w:t>
      </w:r>
      <w:r w:rsidRPr="00D736C2">
        <w:rPr>
          <w:rFonts w:ascii="Palatino Linotype" w:eastAsia="MS Mincho" w:hAnsi="Palatino Linotype" w:cs="Times New Roman"/>
          <w:b/>
          <w:bCs/>
        </w:rPr>
        <w:t>recibir servicios que presten el Estado, sus organismos y Municipios en funciones del derecho público</w:t>
      </w:r>
      <w:r w:rsidRPr="00D736C2">
        <w:rPr>
          <w:rFonts w:ascii="Palatino Linotype" w:eastAsia="MS Mincho" w:hAnsi="Palatino Linotype" w:cs="Times New Roman"/>
        </w:rPr>
        <w:t xml:space="preserve">. </w:t>
      </w:r>
    </w:p>
    <w:p w14:paraId="5E1A55C1"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3358B809"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lastRenderedPageBreak/>
        <w:t xml:space="preserve">Entonces, siendo un organismo auxiliar, teniendo el carácter público y realizando una función de seguridad que tiene el Estado, está brindando un servicio, por el cual recibe una serie de contraprestaciones y pagos, que debieron de haber sido contemplados como derechos y que, al ser contemplados como derechos deberían de formar parte de las tarifas definidas en el </w:t>
      </w:r>
      <w:r w:rsidRPr="00D736C2">
        <w:rPr>
          <w:rFonts w:ascii="Palatino Linotype" w:eastAsia="MS Mincho" w:hAnsi="Palatino Linotype" w:cs="Times New Roman"/>
          <w:b/>
        </w:rPr>
        <w:t>Código Financiero del Estado de México y Municipios</w:t>
      </w:r>
      <w:r w:rsidRPr="00D736C2">
        <w:rPr>
          <w:rFonts w:ascii="Palatino Linotype" w:eastAsia="MS Mincho" w:hAnsi="Palatino Linotype" w:cs="Times New Roman"/>
        </w:rPr>
        <w:t>, las que debieron de proponerse en las diversas iniciativas que la Secretaría de Finanzas elabora para el Ejecutivo del Estado con la finalidad de que sean la base de las respectivas leyes de ingresos, estando, sujetos a fiscalización y control, a través de la Ley de Ingresos del Estado de México.</w:t>
      </w:r>
    </w:p>
    <w:p w14:paraId="6D9912D3"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24741586"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 Para que estos ingresos fueran debidamente contemplados en la Ley de Ingresos del Estado se requieren dos supuestos, que la Secretaría de Finanzas elaborara una propuesta para determinar el costo de los derechos por brindar los servicios que brinda el organismo auxiliar y, utilizando como factor dicha tarifa y la información que el organismo auxiliar le proporcionara sobre los servicios que brinda, el cálculo del total de sus ingresos. Es a la luz de estas consideraciones que puede apreciarse que el marco normativo vigente nos conduce a determinar que la información relacionada con </w:t>
      </w:r>
      <w:r w:rsidRPr="00D736C2">
        <w:rPr>
          <w:rFonts w:ascii="Palatino Linotype" w:eastAsia="MS Mincho" w:hAnsi="Palatino Linotype" w:cs="Times New Roman"/>
          <w:b/>
        </w:rPr>
        <w:t>los ingresos de los organismos auxiliares</w:t>
      </w:r>
      <w:r w:rsidRPr="00D736C2">
        <w:rPr>
          <w:rFonts w:ascii="Palatino Linotype" w:eastAsia="MS Mincho" w:hAnsi="Palatino Linotype" w:cs="Times New Roman"/>
        </w:rPr>
        <w:t xml:space="preserve"> se deriva de la función que ellos realizan en materia de seguridad, pero corresponde también a las atribuciones que tiene la propia Secretaría de Finanzas al integrar todo el apartado de los ingresos públicos del Estado. </w:t>
      </w:r>
    </w:p>
    <w:p w14:paraId="146A8CAD"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56A377E7"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consiguiente, el </w:t>
      </w:r>
      <w:r w:rsidRPr="00D736C2">
        <w:rPr>
          <w:rFonts w:ascii="Palatino Linotype" w:eastAsia="MS Mincho" w:hAnsi="Palatino Linotype" w:cs="Times New Roman"/>
          <w:b/>
          <w:bCs/>
        </w:rPr>
        <w:t xml:space="preserve">Sujeto Obligado </w:t>
      </w:r>
      <w:r w:rsidRPr="00D736C2">
        <w:rPr>
          <w:rFonts w:ascii="Palatino Linotype" w:eastAsia="MS Mincho" w:hAnsi="Palatino Linotype" w:cs="Times New Roman"/>
        </w:rPr>
        <w:t>tendría que tener la información relativa a:</w:t>
      </w:r>
    </w:p>
    <w:p w14:paraId="583BB574"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5AD097F" w14:textId="77777777" w:rsidR="005163C4" w:rsidRPr="00D736C2" w:rsidRDefault="005163C4" w:rsidP="00D736C2">
      <w:pPr>
        <w:pStyle w:val="Prrafodelista"/>
        <w:numPr>
          <w:ilvl w:val="0"/>
          <w:numId w:val="3"/>
        </w:numPr>
        <w:spacing w:line="360" w:lineRule="auto"/>
        <w:ind w:left="851" w:right="567" w:hanging="283"/>
        <w:jc w:val="both"/>
        <w:rPr>
          <w:rFonts w:ascii="Palatino Linotype" w:eastAsia="MS Mincho" w:hAnsi="Palatino Linotype" w:cs="Times New Roman"/>
        </w:rPr>
      </w:pPr>
      <w:r w:rsidRPr="00D736C2">
        <w:rPr>
          <w:rFonts w:ascii="Palatino Linotype" w:eastAsia="MS Mincho" w:hAnsi="Palatino Linotype" w:cs="Times New Roman"/>
        </w:rPr>
        <w:t xml:space="preserve">Las empresas, instituciones o clientes a los que les brinda sus servicios. </w:t>
      </w:r>
    </w:p>
    <w:p w14:paraId="5A520542" w14:textId="77777777" w:rsidR="005163C4" w:rsidRPr="00D736C2" w:rsidRDefault="005163C4" w:rsidP="00D736C2">
      <w:pPr>
        <w:pStyle w:val="Prrafodelista"/>
        <w:numPr>
          <w:ilvl w:val="0"/>
          <w:numId w:val="3"/>
        </w:numPr>
        <w:spacing w:line="360" w:lineRule="auto"/>
        <w:ind w:left="851" w:right="567" w:hanging="283"/>
        <w:jc w:val="both"/>
        <w:rPr>
          <w:rFonts w:ascii="Palatino Linotype" w:eastAsia="MS Mincho" w:hAnsi="Palatino Linotype" w:cs="Times New Roman"/>
        </w:rPr>
      </w:pPr>
      <w:r w:rsidRPr="00D736C2">
        <w:rPr>
          <w:rFonts w:ascii="Palatino Linotype" w:eastAsia="MS Mincho" w:hAnsi="Palatino Linotype" w:cs="Times New Roman"/>
        </w:rPr>
        <w:lastRenderedPageBreak/>
        <w:t xml:space="preserve">Los ingresos obtenidos por sus servicios en el año 2017. </w:t>
      </w:r>
    </w:p>
    <w:p w14:paraId="17A090B1"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5DB965E"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En ese mismo sentido y como se estableció, si el CUSAEM es un organismo auxiliar de naturaleza pública, todos los gastos que realice deben estar previamente aprobados en los presupuestos de egresos, en términos del artículo 285 del Código Financiero del Estado de México y Municipios el cual prevé que: </w:t>
      </w:r>
      <w:r w:rsidRPr="00D736C2">
        <w:rPr>
          <w:rFonts w:ascii="Palatino Linotype" w:eastAsia="MS Mincho" w:hAnsi="Palatino Linotype" w:cs="Times New Roman"/>
          <w:i/>
          <w:iCs/>
        </w:rPr>
        <w:t xml:space="preserve">“El presupuesto de Egresos del Estado es el instrumento jurídico, de política económica y de política de gasto, que aprueba la Legislatura conforme a la iniciativa que presenta el Gobernador, en el cual se establece el </w:t>
      </w:r>
      <w:r w:rsidRPr="00D736C2">
        <w:rPr>
          <w:rFonts w:ascii="Palatino Linotype" w:eastAsia="MS Mincho" w:hAnsi="Palatino Linotype" w:cs="Times New Roman"/>
          <w:b/>
          <w:bCs/>
          <w:i/>
          <w:iCs/>
        </w:rPr>
        <w:t xml:space="preserve">ejercicio, control del gasto público y evaluación del desempeño de las </w:t>
      </w:r>
      <w:r w:rsidRPr="00D736C2">
        <w:rPr>
          <w:rFonts w:ascii="Palatino Linotype" w:eastAsia="MS Mincho" w:hAnsi="Palatino Linotype" w:cs="Times New Roman"/>
          <w:bCs/>
          <w:i/>
          <w:iCs/>
        </w:rPr>
        <w:t>Dependencias,</w:t>
      </w:r>
      <w:r w:rsidRPr="00D736C2">
        <w:rPr>
          <w:rFonts w:ascii="Palatino Linotype" w:eastAsia="MS Mincho" w:hAnsi="Palatino Linotype" w:cs="Times New Roman"/>
          <w:b/>
          <w:bCs/>
          <w:i/>
          <w:iCs/>
        </w:rPr>
        <w:t xml:space="preserve"> Entidades Públicas, </w:t>
      </w:r>
      <w:r w:rsidRPr="00D736C2">
        <w:rPr>
          <w:rFonts w:ascii="Palatino Linotype" w:eastAsia="MS Mincho" w:hAnsi="Palatino Linotype" w:cs="Times New Roman"/>
          <w:bCs/>
          <w:i/>
          <w:iCs/>
        </w:rPr>
        <w:t>Organismos Autónomos, Poderes Legislativo y Judicial y de los Municipios</w:t>
      </w:r>
      <w:r w:rsidRPr="00D736C2">
        <w:rPr>
          <w:rFonts w:ascii="Palatino Linotype" w:eastAsia="MS Mincho" w:hAnsi="Palatino Linotype" w:cs="Times New Roman"/>
          <w:i/>
          <w:iCs/>
        </w:rPr>
        <w:t xml:space="preserve"> […]” </w:t>
      </w:r>
    </w:p>
    <w:p w14:paraId="5424533D"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109A22C1"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A pesar de que esta disposición no contempla a los organismos auxiliares, es necesario acudir a la definición establecida en el artículo 3 fracción XIV del Código Financiero Estatal que a la letra señala que se entiende por: “</w:t>
      </w:r>
      <w:r w:rsidRPr="00D736C2">
        <w:rPr>
          <w:rFonts w:ascii="Palatino Linotype" w:eastAsia="MS Mincho" w:hAnsi="Palatino Linotype" w:cs="Times New Roman"/>
          <w:b/>
          <w:bCs/>
        </w:rPr>
        <w:t xml:space="preserve">Entidades Públicas. </w:t>
      </w:r>
      <w:r w:rsidRPr="00D736C2">
        <w:rPr>
          <w:rFonts w:ascii="Palatino Linotype" w:eastAsia="MS Mincho" w:hAnsi="Palatino Linotype" w:cs="Times New Roman"/>
        </w:rPr>
        <w:t>A Tribunales administrativos</w:t>
      </w:r>
      <w:r w:rsidRPr="00D736C2">
        <w:rPr>
          <w:rFonts w:ascii="Palatino Linotype" w:eastAsia="MS Mincho" w:hAnsi="Palatino Linotype" w:cs="Times New Roman"/>
          <w:b/>
          <w:bCs/>
        </w:rPr>
        <w:t xml:space="preserve"> </w:t>
      </w:r>
      <w:r w:rsidRPr="00D736C2">
        <w:rPr>
          <w:rFonts w:ascii="Palatino Linotype" w:eastAsia="MS Mincho" w:hAnsi="Palatino Linotype" w:cs="Times New Roman"/>
        </w:rPr>
        <w:t>y</w:t>
      </w:r>
      <w:r w:rsidRPr="00D736C2">
        <w:rPr>
          <w:rFonts w:ascii="Palatino Linotype" w:eastAsia="MS Mincho" w:hAnsi="Palatino Linotype" w:cs="Times New Roman"/>
          <w:b/>
          <w:bCs/>
        </w:rPr>
        <w:t xml:space="preserve"> organismos descentralizados, empresas de participación estatal o municipal y fideicomisos públicos, todos del Estado de México”. </w:t>
      </w:r>
      <w:r w:rsidRPr="00D736C2">
        <w:rPr>
          <w:rFonts w:ascii="Palatino Linotype" w:eastAsia="MS Mincho" w:hAnsi="Palatino Linotype" w:cs="Times New Roman"/>
          <w:bCs/>
        </w:rPr>
        <w:t xml:space="preserve">Y si el artículo 45 de la Ley Orgánica de la Administración Pública del Estado de México establece que los </w:t>
      </w:r>
      <w:r w:rsidRPr="00D736C2">
        <w:rPr>
          <w:rFonts w:ascii="Palatino Linotype" w:eastAsia="MS Mincho" w:hAnsi="Palatino Linotype" w:cs="Times New Roman"/>
          <w:b/>
          <w:bCs/>
        </w:rPr>
        <w:t xml:space="preserve">organismos descentralizados, las empresas de participación estatal y los fideicomisos públicos serán considerados como organismos auxiliares del Poder Ejecutivo”, </w:t>
      </w:r>
      <w:r w:rsidRPr="00D736C2">
        <w:rPr>
          <w:rFonts w:ascii="Palatino Linotype" w:eastAsia="MS Mincho" w:hAnsi="Palatino Linotype" w:cs="Times New Roman"/>
          <w:bCs/>
        </w:rPr>
        <w:t>una interpretación sistemática de ambas disposiciones jurídicas nos permite concluir que los organismos auxiliares se encuentran contemplados en la definición de entidades públicas del Código Financiero del Estado.</w:t>
      </w:r>
    </w:p>
    <w:p w14:paraId="0434068E"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r w:rsidRPr="00D736C2">
        <w:rPr>
          <w:rFonts w:ascii="Palatino Linotype" w:eastAsia="MS Mincho" w:hAnsi="Palatino Linotype" w:cs="Times New Roman"/>
          <w:b/>
          <w:bCs/>
        </w:rPr>
        <w:t xml:space="preserve"> </w:t>
      </w:r>
    </w:p>
    <w:p w14:paraId="5AEC3127"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lastRenderedPageBreak/>
        <w:t>Luego entonces, los organismos auxiliares, en su condición de descentralizados, empresas de participación estatal y fideicomisos públicos, son considerados y forman parte de la Administración Pública del Estado, y su gasto se encuentra autorizado en cualquier presupuesto de egresos, para el caso del año fiscal 2019, su presupuesto aprobado se encuentra definido en el artículo 33 del Presupuesto de Egresos del Estado de México</w:t>
      </w:r>
      <w:r w:rsidRPr="00D736C2">
        <w:rPr>
          <w:rStyle w:val="Refdenotaalpie"/>
          <w:rFonts w:ascii="Palatino Linotype" w:eastAsia="MS Mincho" w:hAnsi="Palatino Linotype" w:cs="Times New Roman"/>
        </w:rPr>
        <w:footnoteReference w:id="16"/>
      </w:r>
      <w:r w:rsidRPr="00D736C2">
        <w:rPr>
          <w:rFonts w:ascii="Palatino Linotype" w:eastAsia="MS Mincho" w:hAnsi="Palatino Linotype" w:cs="Times New Roman"/>
        </w:rPr>
        <w:t xml:space="preserve">.  </w:t>
      </w:r>
    </w:p>
    <w:p w14:paraId="32268E85"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C3646A2"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Es importante mencionar que de acuerdo con el artículo 15 del referido </w:t>
      </w:r>
      <w:r w:rsidRPr="00D736C2">
        <w:rPr>
          <w:rFonts w:ascii="Palatino Linotype" w:eastAsia="MS Mincho" w:hAnsi="Palatino Linotype" w:cs="Times New Roman"/>
          <w:b/>
        </w:rPr>
        <w:t>Presupuesto de Egresos del Estado de México</w:t>
      </w:r>
      <w:r w:rsidRPr="00D736C2">
        <w:rPr>
          <w:rFonts w:ascii="Palatino Linotype" w:eastAsia="MS Mincho" w:hAnsi="Palatino Linotype" w:cs="Times New Roman"/>
        </w:rPr>
        <w:t xml:space="preserve">, el gasto público se clasifica de manera económica por capítulo, siendo el primero de ellos el denominado capítulo 1000 Servicios personales, como puede apreciarse a continuación: </w:t>
      </w:r>
    </w:p>
    <w:p w14:paraId="19405ED0" w14:textId="77777777" w:rsidR="005163C4" w:rsidRPr="00D736C2" w:rsidRDefault="005163C4" w:rsidP="00D736C2">
      <w:pPr>
        <w:spacing w:line="360" w:lineRule="auto"/>
        <w:ind w:left="567" w:right="567"/>
        <w:contextualSpacing/>
        <w:jc w:val="both"/>
        <w:rPr>
          <w:rFonts w:ascii="Palatino Linotype" w:eastAsia="MS Mincho" w:hAnsi="Palatino Linotype" w:cs="Times New Roman"/>
        </w:rPr>
      </w:pPr>
    </w:p>
    <w:p w14:paraId="5582209C" w14:textId="77777777" w:rsidR="005163C4" w:rsidRPr="00D736C2" w:rsidRDefault="005163C4" w:rsidP="00D736C2">
      <w:pPr>
        <w:spacing w:line="360" w:lineRule="auto"/>
        <w:ind w:left="567" w:right="567"/>
        <w:contextualSpacing/>
        <w:jc w:val="both"/>
        <w:rPr>
          <w:rFonts w:ascii="Palatino Linotype" w:hAnsi="Palatino Linotype"/>
        </w:rPr>
      </w:pPr>
      <w:r w:rsidRPr="00D736C2">
        <w:rPr>
          <w:rFonts w:ascii="Palatino Linotype" w:hAnsi="Palatino Linotype"/>
          <w:b/>
          <w:bCs/>
        </w:rPr>
        <w:t>Artículo 15.</w:t>
      </w:r>
      <w:r w:rsidRPr="00D736C2">
        <w:rPr>
          <w:rFonts w:ascii="Palatino Linotype" w:hAnsi="Palatino Linotype"/>
        </w:rPr>
        <w:t xml:space="preserve"> Las erogaciones previstas en el artículo anterior</w:t>
      </w:r>
      <w:r w:rsidRPr="00D736C2">
        <w:rPr>
          <w:rStyle w:val="Refdenotaalpie"/>
          <w:rFonts w:ascii="Palatino Linotype" w:hAnsi="Palatino Linotype"/>
        </w:rPr>
        <w:footnoteReference w:id="17"/>
      </w:r>
      <w:r w:rsidRPr="00D736C2">
        <w:rPr>
          <w:rFonts w:ascii="Palatino Linotype" w:hAnsi="Palatino Linotype"/>
        </w:rPr>
        <w:t xml:space="preserve"> se distribuyen en la clasificación económica de la siguiente forma:</w:t>
      </w:r>
    </w:p>
    <w:p w14:paraId="7C29F2B6" w14:textId="77777777" w:rsidR="005163C4" w:rsidRPr="00D736C2" w:rsidRDefault="005163C4" w:rsidP="00D736C2">
      <w:pPr>
        <w:tabs>
          <w:tab w:val="left" w:pos="7371"/>
        </w:tabs>
        <w:spacing w:line="360" w:lineRule="auto"/>
        <w:ind w:left="567" w:right="709"/>
        <w:contextualSpacing/>
        <w:jc w:val="both"/>
        <w:rPr>
          <w:rFonts w:ascii="Palatino Linotype" w:eastAsia="MS Mincho" w:hAnsi="Palatino Linotype" w:cs="Times New Roman"/>
        </w:rPr>
      </w:pPr>
      <w:r w:rsidRPr="00D736C2">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10C335B4" wp14:editId="2BEFFF7A">
                <wp:simplePos x="0" y="0"/>
                <wp:positionH relativeFrom="column">
                  <wp:posOffset>398064</wp:posOffset>
                </wp:positionH>
                <wp:positionV relativeFrom="paragraph">
                  <wp:posOffset>133688</wp:posOffset>
                </wp:positionV>
                <wp:extent cx="4007796" cy="2333476"/>
                <wp:effectExtent l="19050" t="19050" r="12065" b="10160"/>
                <wp:wrapNone/>
                <wp:docPr id="2" name="Rectángulo 2"/>
                <wp:cNvGraphicFramePr/>
                <a:graphic xmlns:a="http://schemas.openxmlformats.org/drawingml/2006/main">
                  <a:graphicData uri="http://schemas.microsoft.com/office/word/2010/wordprocessingShape">
                    <wps:wsp>
                      <wps:cNvSpPr/>
                      <wps:spPr>
                        <a:xfrm>
                          <a:off x="0" y="0"/>
                          <a:ext cx="4007796" cy="23334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CC86A" id="Rectángulo 2" o:spid="_x0000_s1026" style="position:absolute;margin-left:31.35pt;margin-top:10.55pt;width:315.55pt;height:18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" filled="f" strokecolor="red" strokeweight="3pt"/>
            </w:pict>
          </mc:Fallback>
        </mc:AlternateContent>
      </w:r>
      <w:r w:rsidRPr="00D736C2">
        <w:rPr>
          <w:rFonts w:ascii="Palatino Linotype" w:hAnsi="Palatino Linotype"/>
          <w:noProof/>
          <w:lang w:val="es-MX" w:eastAsia="es-MX"/>
        </w:rPr>
        <w:drawing>
          <wp:inline distT="0" distB="0" distL="0" distR="0" wp14:anchorId="3128B0EE" wp14:editId="01186A7D">
            <wp:extent cx="5318524" cy="277238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53" t="34704" r="26440" b="27178"/>
                    <a:stretch/>
                  </pic:blipFill>
                  <pic:spPr bwMode="auto">
                    <a:xfrm>
                      <a:off x="0" y="0"/>
                      <a:ext cx="5353124" cy="2790419"/>
                    </a:xfrm>
                    <a:prstGeom prst="rect">
                      <a:avLst/>
                    </a:prstGeom>
                    <a:ln>
                      <a:noFill/>
                    </a:ln>
                    <a:extLst>
                      <a:ext uri="{53640926-AAD7-44D8-BBD7-CCE9431645EC}">
                        <a14:shadowObscured xmlns:a14="http://schemas.microsoft.com/office/drawing/2010/main"/>
                      </a:ext>
                    </a:extLst>
                  </pic:spPr>
                </pic:pic>
              </a:graphicData>
            </a:graphic>
          </wp:inline>
        </w:drawing>
      </w:r>
    </w:p>
    <w:p w14:paraId="70511B7D"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72986F7C" w14:textId="057F2DC1"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De lo anterior se desprende que las erogaciones previstas para el Poder Ejecutivo para el gasto corriente y de inversión de las dependencias se distribuirán por diversos capítulos, de tal manera que, la Secretaría de Finanzas al elaborar el proyecto de presupuesto de egresos del estado </w:t>
      </w:r>
      <w:r w:rsidR="00884A4E" w:rsidRPr="00D736C2">
        <w:rPr>
          <w:rFonts w:ascii="Palatino Linotype" w:eastAsia="MS Mincho" w:hAnsi="Palatino Linotype" w:cs="Times New Roman"/>
        </w:rPr>
        <w:t>y contemplar el presupuesto de</w:t>
      </w:r>
      <w:r w:rsidRPr="00D736C2">
        <w:rPr>
          <w:rFonts w:ascii="Palatino Linotype" w:eastAsia="MS Mincho" w:hAnsi="Palatino Linotype" w:cs="Times New Roman"/>
        </w:rPr>
        <w:t xml:space="preserve">l gasto de las </w:t>
      </w:r>
      <w:r w:rsidRPr="00D736C2">
        <w:rPr>
          <w:rFonts w:ascii="Palatino Linotype" w:eastAsia="MS Mincho" w:hAnsi="Palatino Linotype" w:cs="Times New Roman"/>
          <w:b/>
          <w:bCs/>
          <w:i/>
          <w:iCs/>
        </w:rPr>
        <w:t xml:space="preserve">de las </w:t>
      </w:r>
      <w:r w:rsidRPr="00D736C2">
        <w:rPr>
          <w:rFonts w:ascii="Palatino Linotype" w:eastAsia="MS Mincho" w:hAnsi="Palatino Linotype" w:cs="Times New Roman"/>
          <w:bCs/>
          <w:i/>
          <w:iCs/>
        </w:rPr>
        <w:t>Dependencias,</w:t>
      </w:r>
      <w:r w:rsidRPr="00D736C2">
        <w:rPr>
          <w:rFonts w:ascii="Palatino Linotype" w:eastAsia="MS Mincho" w:hAnsi="Palatino Linotype" w:cs="Times New Roman"/>
          <w:b/>
          <w:bCs/>
          <w:i/>
          <w:iCs/>
        </w:rPr>
        <w:t xml:space="preserve"> Entidades Públicas, </w:t>
      </w:r>
      <w:r w:rsidRPr="00D736C2">
        <w:rPr>
          <w:rFonts w:ascii="Palatino Linotype" w:eastAsia="MS Mincho" w:hAnsi="Palatino Linotype" w:cs="Times New Roman"/>
          <w:bCs/>
          <w:i/>
          <w:iCs/>
        </w:rPr>
        <w:t>Organismos Autónomos, Poderes Legislativo y Judicial,</w:t>
      </w:r>
      <w:r w:rsidRPr="00D736C2">
        <w:rPr>
          <w:rFonts w:ascii="Palatino Linotype" w:eastAsia="MS Mincho" w:hAnsi="Palatino Linotype" w:cs="Times New Roman"/>
          <w:bCs/>
          <w:iCs/>
        </w:rPr>
        <w:t xml:space="preserve"> necesita presentar dichos montos bajo el criterio de clasificación económica que contempla los servicios personales, cifra que sólo puede componerse a partir de conocer los tabuladores de sueldos, el número de servidores públicos y demás cargos que proponen </w:t>
      </w:r>
      <w:r w:rsidRPr="00D736C2">
        <w:rPr>
          <w:rFonts w:ascii="Palatino Linotype" w:eastAsia="MS Mincho" w:hAnsi="Palatino Linotype" w:cs="Times New Roman"/>
          <w:b/>
          <w:bCs/>
          <w:i/>
          <w:iCs/>
        </w:rPr>
        <w:t xml:space="preserve">las </w:t>
      </w:r>
      <w:r w:rsidRPr="00D736C2">
        <w:rPr>
          <w:rFonts w:ascii="Palatino Linotype" w:eastAsia="MS Mincho" w:hAnsi="Palatino Linotype" w:cs="Times New Roman"/>
          <w:bCs/>
          <w:i/>
          <w:iCs/>
        </w:rPr>
        <w:t>Dependencias,</w:t>
      </w:r>
      <w:r w:rsidRPr="00D736C2">
        <w:rPr>
          <w:rFonts w:ascii="Palatino Linotype" w:eastAsia="MS Mincho" w:hAnsi="Palatino Linotype" w:cs="Times New Roman"/>
          <w:b/>
          <w:bCs/>
          <w:i/>
          <w:iCs/>
        </w:rPr>
        <w:t xml:space="preserve"> Entidades Públicas, </w:t>
      </w:r>
      <w:r w:rsidRPr="00D736C2">
        <w:rPr>
          <w:rFonts w:ascii="Palatino Linotype" w:eastAsia="MS Mincho" w:hAnsi="Palatino Linotype" w:cs="Times New Roman"/>
          <w:bCs/>
          <w:i/>
          <w:iCs/>
        </w:rPr>
        <w:t>Organismos Autónomos, Poderes Legislativo y Judicial.</w:t>
      </w:r>
    </w:p>
    <w:p w14:paraId="4D62B98B" w14:textId="77777777" w:rsidR="00F763AC" w:rsidRPr="00D736C2" w:rsidRDefault="00F763AC" w:rsidP="00D736C2">
      <w:pPr>
        <w:spacing w:line="360" w:lineRule="auto"/>
        <w:ind w:right="49"/>
        <w:contextualSpacing/>
        <w:jc w:val="both"/>
        <w:rPr>
          <w:rFonts w:ascii="Palatino Linotype" w:eastAsia="MS Mincho" w:hAnsi="Palatino Linotype" w:cs="Times New Roman"/>
        </w:rPr>
      </w:pPr>
    </w:p>
    <w:p w14:paraId="53969F7B" w14:textId="78A7F9AB" w:rsidR="00F763AC" w:rsidRPr="00D736C2" w:rsidRDefault="00F763AC" w:rsidP="00D736C2">
      <w:pPr>
        <w:numPr>
          <w:ilvl w:val="0"/>
          <w:numId w:val="1"/>
        </w:numPr>
        <w:spacing w:line="360" w:lineRule="auto"/>
        <w:ind w:left="0" w:right="49"/>
        <w:contextualSpacing/>
        <w:jc w:val="both"/>
        <w:rPr>
          <w:rFonts w:ascii="Palatino Linotype" w:eastAsia="MS Mincho" w:hAnsi="Palatino Linotype" w:cs="Times New Roman"/>
          <w:i/>
        </w:rPr>
      </w:pPr>
      <w:r w:rsidRPr="00D736C2">
        <w:rPr>
          <w:rFonts w:ascii="Palatino Linotype" w:eastAsia="MS Mincho" w:hAnsi="Palatino Linotype" w:cs="Times New Roman"/>
          <w:bCs/>
          <w:iCs/>
        </w:rPr>
        <w:lastRenderedPageBreak/>
        <w:t xml:space="preserve">Aunado a ello en la página 5 de la exposición de motivos del </w:t>
      </w:r>
      <w:r w:rsidRPr="00D736C2">
        <w:rPr>
          <w:rFonts w:ascii="Palatino Linotype" w:eastAsia="MS Mincho" w:hAnsi="Palatino Linotype" w:cs="Times New Roman"/>
          <w:b/>
        </w:rPr>
        <w:t xml:space="preserve">Presupuesto de Egresos del Estado de México </w:t>
      </w:r>
      <w:r w:rsidRPr="00D736C2">
        <w:rPr>
          <w:rFonts w:ascii="Palatino Linotype" w:eastAsia="MS Mincho" w:hAnsi="Palatino Linotype" w:cs="Times New Roman"/>
        </w:rPr>
        <w:t>se señala que</w:t>
      </w:r>
      <w:r w:rsidRPr="00D736C2">
        <w:rPr>
          <w:rFonts w:ascii="Palatino Linotype" w:eastAsia="MS Mincho" w:hAnsi="Palatino Linotype" w:cs="Times New Roman"/>
          <w:b/>
          <w:i/>
        </w:rPr>
        <w:t xml:space="preserve"> </w:t>
      </w:r>
      <w:r w:rsidRPr="00D736C2">
        <w:rPr>
          <w:rFonts w:ascii="Palatino Linotype" w:eastAsia="MS Mincho" w:hAnsi="Palatino Linotype" w:cs="Times New Roman"/>
          <w:i/>
        </w:rPr>
        <w:t xml:space="preserve">el </w:t>
      </w:r>
      <w:r w:rsidRPr="00D736C2">
        <w:rPr>
          <w:rFonts w:ascii="Palatino Linotype" w:hAnsi="Palatino Linotype"/>
          <w:i/>
        </w:rPr>
        <w:t xml:space="preserve">proyecto también incluye la propuesta de asignación para los organismos auxiliares por </w:t>
      </w:r>
      <w:r w:rsidRPr="00D736C2">
        <w:rPr>
          <w:rFonts w:ascii="Palatino Linotype" w:hAnsi="Palatino Linotype"/>
          <w:b/>
          <w:i/>
          <w:u w:val="single"/>
        </w:rPr>
        <w:t>105 mil 149 millones 667 mil 611 pesos.</w:t>
      </w:r>
    </w:p>
    <w:p w14:paraId="723A8B00" w14:textId="77777777" w:rsidR="00884A4E" w:rsidRPr="00D736C2" w:rsidRDefault="00884A4E" w:rsidP="00D736C2">
      <w:pPr>
        <w:spacing w:line="360" w:lineRule="auto"/>
        <w:ind w:right="49"/>
        <w:contextualSpacing/>
        <w:jc w:val="both"/>
        <w:rPr>
          <w:rFonts w:ascii="Palatino Linotype" w:eastAsia="MS Mincho" w:hAnsi="Palatino Linotype" w:cs="Times New Roman"/>
        </w:rPr>
      </w:pPr>
    </w:p>
    <w:p w14:paraId="66103BEC" w14:textId="77777777" w:rsidR="005163C4" w:rsidRPr="00D736C2" w:rsidRDefault="005163C4" w:rsidP="00D736C2">
      <w:pPr>
        <w:pStyle w:val="Prrafodelista"/>
        <w:numPr>
          <w:ilvl w:val="0"/>
          <w:numId w:val="1"/>
        </w:numPr>
        <w:spacing w:line="360" w:lineRule="auto"/>
        <w:ind w:left="0"/>
        <w:jc w:val="both"/>
        <w:rPr>
          <w:rFonts w:ascii="Palatino Linotype" w:eastAsia="MS Mincho" w:hAnsi="Palatino Linotype" w:cs="Times New Roman"/>
          <w:i/>
          <w:iCs/>
        </w:rPr>
      </w:pPr>
      <w:r w:rsidRPr="00D736C2">
        <w:rPr>
          <w:rFonts w:ascii="Palatino Linotype" w:eastAsia="MS Mincho" w:hAnsi="Palatino Linotype" w:cs="Times New Roman"/>
        </w:rPr>
        <w:t xml:space="preserve">Por otro lado, tenemos que, de acuerdo con lo establecido en el artículo 349 del </w:t>
      </w:r>
      <w:r w:rsidRPr="00D736C2">
        <w:rPr>
          <w:rFonts w:ascii="Palatino Linotype" w:eastAsia="MS Mincho" w:hAnsi="Palatino Linotype" w:cs="Times New Roman"/>
          <w:b/>
        </w:rPr>
        <w:t>Código Financiero del Estado de México</w:t>
      </w:r>
      <w:r w:rsidRPr="00D736C2">
        <w:rPr>
          <w:rFonts w:ascii="Palatino Linotype" w:eastAsia="MS Mincho" w:hAnsi="Palatino Linotype" w:cs="Times New Roman"/>
        </w:rPr>
        <w:t xml:space="preserve">: </w:t>
      </w:r>
      <w:r w:rsidRPr="00D736C2">
        <w:rPr>
          <w:rFonts w:ascii="Palatino Linotype" w:eastAsia="MS Mincho" w:hAnsi="Palatino Linotype" w:cs="Times New Roman"/>
          <w:i/>
          <w:iCs/>
        </w:rPr>
        <w:t>“</w:t>
      </w:r>
      <w:r w:rsidRPr="00D736C2">
        <w:rPr>
          <w:rFonts w:ascii="Palatino Linotype" w:hAnsi="Palatino Linotype"/>
          <w:i/>
          <w:iCs/>
        </w:rPr>
        <w:t>Las Dependencias, Entidades Públicas y unidades administrativas proporcionarán con la periodicidad que determinen la Secretaría y las tesorerías, la información contable que comprenderá la patrimonial y presupuestal, para la integración de los estados financieros”.</w:t>
      </w:r>
    </w:p>
    <w:p w14:paraId="17D7B736" w14:textId="77777777" w:rsidR="005163C4" w:rsidRPr="00D736C2" w:rsidRDefault="005163C4" w:rsidP="00D736C2">
      <w:pPr>
        <w:pStyle w:val="Prrafodelista"/>
        <w:spacing w:line="360" w:lineRule="auto"/>
        <w:ind w:left="0"/>
        <w:jc w:val="both"/>
        <w:rPr>
          <w:rFonts w:ascii="Palatino Linotype" w:eastAsia="MS Mincho" w:hAnsi="Palatino Linotype" w:cs="Times New Roman"/>
          <w:i/>
          <w:iCs/>
        </w:rPr>
      </w:pPr>
    </w:p>
    <w:p w14:paraId="499C4A5D" w14:textId="77777777" w:rsidR="005163C4" w:rsidRPr="00D736C2" w:rsidRDefault="005163C4" w:rsidP="00D736C2">
      <w:pPr>
        <w:pStyle w:val="Prrafodelista"/>
        <w:numPr>
          <w:ilvl w:val="0"/>
          <w:numId w:val="1"/>
        </w:numPr>
        <w:spacing w:line="360" w:lineRule="auto"/>
        <w:ind w:left="0"/>
        <w:jc w:val="both"/>
        <w:rPr>
          <w:rFonts w:ascii="Palatino Linotype" w:eastAsia="MS Mincho" w:hAnsi="Palatino Linotype" w:cs="Times New Roman"/>
          <w:i/>
          <w:iCs/>
        </w:rPr>
      </w:pPr>
      <w:r w:rsidRPr="00D736C2">
        <w:rPr>
          <w:rFonts w:ascii="Palatino Linotype" w:eastAsia="MS Mincho" w:hAnsi="Palatino Linotype" w:cs="Times New Roman"/>
        </w:rPr>
        <w:t xml:space="preserve">Del mismo modo, de acuerdo con lo establecido por el artículo 352 del Código Financiero Estatal, se tiene que </w:t>
      </w:r>
      <w:proofErr w:type="spellStart"/>
      <w:r w:rsidRPr="00D736C2">
        <w:rPr>
          <w:rFonts w:ascii="Palatino Linotype" w:eastAsia="MS Mincho" w:hAnsi="Palatino Linotype" w:cs="Times New Roman"/>
        </w:rPr>
        <w:t>esta</w:t>
      </w:r>
      <w:proofErr w:type="spellEnd"/>
      <w:r w:rsidRPr="00D736C2">
        <w:rPr>
          <w:rFonts w:ascii="Palatino Linotype" w:eastAsia="MS Mincho" w:hAnsi="Palatino Linotype" w:cs="Times New Roman"/>
        </w:rPr>
        <w:t xml:space="preserve"> a la letra señala que; </w:t>
      </w:r>
    </w:p>
    <w:p w14:paraId="0BDDB106" w14:textId="77777777" w:rsidR="005163C4" w:rsidRPr="00D736C2" w:rsidRDefault="005163C4" w:rsidP="00D736C2">
      <w:pPr>
        <w:pStyle w:val="Prrafodelista"/>
        <w:spacing w:line="360" w:lineRule="auto"/>
        <w:ind w:left="567" w:right="567"/>
        <w:jc w:val="both"/>
        <w:rPr>
          <w:rFonts w:ascii="Palatino Linotype" w:eastAsia="MS Mincho" w:hAnsi="Palatino Linotype" w:cs="Times New Roman"/>
          <w:i/>
          <w:iCs/>
        </w:rPr>
      </w:pPr>
    </w:p>
    <w:p w14:paraId="52DCE17C" w14:textId="77777777" w:rsidR="005163C4" w:rsidRPr="00D736C2" w:rsidRDefault="005163C4" w:rsidP="00D736C2">
      <w:pPr>
        <w:pStyle w:val="Prrafodelista"/>
        <w:spacing w:line="360" w:lineRule="auto"/>
        <w:ind w:left="567" w:right="567"/>
        <w:jc w:val="both"/>
        <w:rPr>
          <w:rFonts w:ascii="Palatino Linotype" w:hAnsi="Palatino Linotype"/>
          <w:b/>
          <w:bCs/>
          <w:i/>
        </w:rPr>
      </w:pPr>
      <w:r w:rsidRPr="00D736C2">
        <w:rPr>
          <w:rFonts w:ascii="Palatino Linotype" w:hAnsi="Palatino Linotype"/>
          <w:b/>
          <w:bCs/>
          <w:i/>
        </w:rPr>
        <w:t xml:space="preserve">Artículo 352.- La cuenta pública se constituye por la información económica, patrimonial, presupuestal, programática, cualitativa y cuantitativa que muestre los resultados de la ejecución de la Ley de Ingresos y del Presupuesto de Egresos. </w:t>
      </w:r>
    </w:p>
    <w:p w14:paraId="7EC335A0" w14:textId="77777777" w:rsidR="005163C4" w:rsidRPr="00D736C2" w:rsidRDefault="005163C4" w:rsidP="00D736C2">
      <w:pPr>
        <w:pStyle w:val="Prrafodelista"/>
        <w:spacing w:line="360" w:lineRule="auto"/>
        <w:ind w:left="567" w:right="567"/>
        <w:jc w:val="both"/>
        <w:rPr>
          <w:rFonts w:ascii="Palatino Linotype" w:hAnsi="Palatino Linotype"/>
          <w:b/>
          <w:bCs/>
          <w:i/>
        </w:rPr>
      </w:pPr>
    </w:p>
    <w:p w14:paraId="21ED2454" w14:textId="77777777" w:rsidR="005163C4" w:rsidRPr="00D736C2" w:rsidRDefault="005163C4" w:rsidP="00D736C2">
      <w:pPr>
        <w:pStyle w:val="Prrafodelista"/>
        <w:spacing w:line="360" w:lineRule="auto"/>
        <w:ind w:left="567" w:right="567"/>
        <w:jc w:val="both"/>
        <w:rPr>
          <w:rFonts w:ascii="Palatino Linotype" w:hAnsi="Palatino Linotype"/>
          <w:b/>
          <w:bCs/>
          <w:i/>
        </w:rPr>
      </w:pPr>
      <w:r w:rsidRPr="00D736C2">
        <w:rPr>
          <w:rFonts w:ascii="Palatino Linotype" w:hAnsi="Palatino Linotype"/>
          <w:b/>
          <w:bCs/>
          <w:i/>
        </w:rPr>
        <w:t xml:space="preserve">La Secretaría y las Tesorerías, proporcionarán la información complementaria requerida por el Órgano Superior de Fiscalización del Estado de México para el análisis y evaluación de la cuenta pública. </w:t>
      </w:r>
    </w:p>
    <w:p w14:paraId="21975EE5" w14:textId="77777777" w:rsidR="005163C4" w:rsidRPr="00D736C2" w:rsidRDefault="005163C4" w:rsidP="00D736C2">
      <w:pPr>
        <w:pStyle w:val="Prrafodelista"/>
        <w:spacing w:line="360" w:lineRule="auto"/>
        <w:ind w:left="567" w:right="567"/>
        <w:jc w:val="both"/>
        <w:rPr>
          <w:rFonts w:ascii="Palatino Linotype" w:hAnsi="Palatino Linotype"/>
          <w:i/>
        </w:rPr>
      </w:pPr>
    </w:p>
    <w:p w14:paraId="47202965" w14:textId="77777777" w:rsidR="005163C4" w:rsidRPr="00D736C2" w:rsidRDefault="005163C4" w:rsidP="00D736C2">
      <w:pPr>
        <w:pStyle w:val="Prrafodelista"/>
        <w:spacing w:line="360" w:lineRule="auto"/>
        <w:ind w:left="567" w:right="567"/>
        <w:jc w:val="both"/>
        <w:rPr>
          <w:rFonts w:ascii="Palatino Linotype" w:eastAsia="MS Mincho" w:hAnsi="Palatino Linotype" w:cs="Times New Roman"/>
          <w:i/>
        </w:rPr>
      </w:pPr>
      <w:r w:rsidRPr="00D736C2">
        <w:rPr>
          <w:rFonts w:ascii="Palatino Linotype" w:hAnsi="Palatino Linotype"/>
          <w:i/>
        </w:rPr>
        <w:t xml:space="preserve">El formato de entrega de las Cuentas Públicas del Estado y de los Municipios, deberá ser congruente, contener el mismo nivel de desglose y mantener la debida correlación </w:t>
      </w:r>
      <w:r w:rsidRPr="00D736C2">
        <w:rPr>
          <w:rFonts w:ascii="Palatino Linotype" w:hAnsi="Palatino Linotype"/>
          <w:i/>
        </w:rPr>
        <w:lastRenderedPageBreak/>
        <w:t xml:space="preserve">con respecto a los formatos del Presupuesto de Egresos del Estado y de los Municipios respectivamente, para lograr una mejor claridad, comprensión y transparencia en la revisión y fiscalización por parte del Órgano Superior de Fiscalización del Estado de México. </w:t>
      </w:r>
      <w:r w:rsidRPr="00D736C2">
        <w:rPr>
          <w:rFonts w:ascii="Palatino Linotype" w:eastAsia="MS Mincho" w:hAnsi="Palatino Linotype" w:cs="Times New Roman"/>
          <w:i/>
        </w:rPr>
        <w:t xml:space="preserve"> </w:t>
      </w:r>
    </w:p>
    <w:p w14:paraId="37E0D5FE" w14:textId="77777777" w:rsidR="005163C4" w:rsidRPr="00D736C2" w:rsidRDefault="005163C4" w:rsidP="00D736C2">
      <w:pPr>
        <w:pStyle w:val="Prrafodelista"/>
        <w:spacing w:line="360" w:lineRule="auto"/>
        <w:ind w:left="567" w:right="567"/>
        <w:jc w:val="both"/>
        <w:rPr>
          <w:rFonts w:ascii="Palatino Linotype" w:eastAsia="MS Mincho" w:hAnsi="Palatino Linotype" w:cs="Times New Roman"/>
          <w:i/>
          <w:iCs/>
        </w:rPr>
      </w:pPr>
    </w:p>
    <w:p w14:paraId="477E43FF"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Derivado de lo anterior, es imprescindible traer a colación lo establecido por el </w:t>
      </w:r>
      <w:r w:rsidRPr="00D736C2">
        <w:rPr>
          <w:rFonts w:ascii="Palatino Linotype" w:eastAsia="MS Mincho" w:hAnsi="Palatino Linotype" w:cs="Times New Roman"/>
          <w:b/>
        </w:rPr>
        <w:t>Reglamento Interior de la Secretaría de Finanzas</w:t>
      </w:r>
      <w:r w:rsidRPr="00D736C2">
        <w:rPr>
          <w:rFonts w:ascii="Palatino Linotype" w:eastAsia="MS Mincho" w:hAnsi="Palatino Linotype" w:cs="Times New Roman"/>
        </w:rPr>
        <w:t>, el cual en su artículo 18 fracción XII, se establece que corresponde al Subsecretario de Planeación y Presupuesto: “</w:t>
      </w:r>
      <w:r w:rsidRPr="00D736C2">
        <w:rPr>
          <w:rFonts w:ascii="Palatino Linotype" w:eastAsia="MS Mincho" w:hAnsi="Palatino Linotype" w:cs="Times New Roman"/>
          <w:i/>
          <w:iCs/>
        </w:rPr>
        <w:t>Supervisar el Sistema de Contabilidad Gubernamental y</w:t>
      </w:r>
      <w:r w:rsidRPr="00D736C2">
        <w:rPr>
          <w:rFonts w:ascii="Palatino Linotype" w:eastAsia="MS Mincho" w:hAnsi="Palatino Linotype" w:cs="Times New Roman"/>
          <w:b/>
          <w:bCs/>
          <w:i/>
          <w:iCs/>
        </w:rPr>
        <w:t xml:space="preserve"> la formulación e integración de la cuenta pública estatal”.</w:t>
      </w:r>
      <w:r w:rsidRPr="00D736C2">
        <w:rPr>
          <w:rFonts w:ascii="Palatino Linotype" w:eastAsia="MS Mincho" w:hAnsi="Palatino Linotype" w:cs="Times New Roman"/>
          <w:b/>
          <w:bCs/>
        </w:rPr>
        <w:t xml:space="preserve"> </w:t>
      </w:r>
    </w:p>
    <w:p w14:paraId="5203557E"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64F3A407" w14:textId="70B5E4C2"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bookmarkStart w:id="97" w:name="_Hlk22889928"/>
      <w:r w:rsidRPr="00D736C2">
        <w:rPr>
          <w:rFonts w:ascii="Palatino Linotype" w:eastAsia="MS Mincho" w:hAnsi="Palatino Linotype" w:cs="Times New Roman"/>
        </w:rPr>
        <w:t xml:space="preserve">Por lo tanto, si </w:t>
      </w:r>
      <w:r w:rsidR="005F06D8" w:rsidRPr="00D736C2">
        <w:rPr>
          <w:rFonts w:ascii="Palatino Linotype" w:eastAsia="MS Mincho" w:hAnsi="Palatino Linotype" w:cs="Times New Roman"/>
        </w:rPr>
        <w:t xml:space="preserve">el </w:t>
      </w:r>
      <w:r w:rsidRPr="00D736C2">
        <w:rPr>
          <w:rFonts w:ascii="Palatino Linotype" w:eastAsia="MS Mincho" w:hAnsi="Palatino Linotype" w:cs="Times New Roman"/>
        </w:rPr>
        <w:t xml:space="preserve">CUSAEM </w:t>
      </w:r>
      <w:r w:rsidR="005F06D8" w:rsidRPr="00D736C2">
        <w:rPr>
          <w:rFonts w:ascii="Palatino Linotype" w:eastAsia="MS Mincho" w:hAnsi="Palatino Linotype" w:cs="Times New Roman"/>
        </w:rPr>
        <w:t xml:space="preserve">y el </w:t>
      </w:r>
      <w:r w:rsidR="005F06D8" w:rsidRPr="00D736C2">
        <w:rPr>
          <w:rFonts w:ascii="Palatino Linotype" w:hAnsi="Palatino Linotype"/>
        </w:rPr>
        <w:t>Cuerpo de Guardias de Seguridad Industrial, Bancaria, Comercial y Urbana del Valle Cuautitlán Texcoco</w:t>
      </w:r>
      <w:r w:rsidR="005F06D8" w:rsidRPr="00D736C2">
        <w:rPr>
          <w:rFonts w:ascii="Palatino Linotype" w:eastAsia="MS Mincho" w:hAnsi="Palatino Linotype" w:cs="Times New Roman"/>
        </w:rPr>
        <w:t xml:space="preserve"> son </w:t>
      </w:r>
      <w:r w:rsidRPr="00D736C2">
        <w:rPr>
          <w:rFonts w:ascii="Palatino Linotype" w:eastAsia="MS Mincho" w:hAnsi="Palatino Linotype" w:cs="Times New Roman"/>
        </w:rPr>
        <w:t xml:space="preserve">un organismo auxiliar y como organismo auxiliar es un organismo de carácter público, todas sus acciones, bajo la óptica de que deberían ser fiscalizadas por las leyes aplicables, tendrían que haber estado sometidas al sistema de </w:t>
      </w:r>
      <w:proofErr w:type="spellStart"/>
      <w:r w:rsidRPr="00D736C2">
        <w:rPr>
          <w:rFonts w:ascii="Palatino Linotype" w:eastAsia="MS Mincho" w:hAnsi="Palatino Linotype" w:cs="Times New Roman"/>
        </w:rPr>
        <w:t>presupuestación</w:t>
      </w:r>
      <w:proofErr w:type="spellEnd"/>
      <w:r w:rsidRPr="00D736C2">
        <w:rPr>
          <w:rFonts w:ascii="Palatino Linotype" w:eastAsia="MS Mincho" w:hAnsi="Palatino Linotype" w:cs="Times New Roman"/>
        </w:rPr>
        <w:t xml:space="preserve"> en términos del Código Financiero del Estado de México que determina los ingresos contemplados en la Ley de Ingresos, egresos contemplados en el Presupuesto de Egresos y ejercicio de los recursos contemplados en la Cuenta Pública, por ello es que se considera que la información objeto de la presente solicitud se encuentra en posesión del </w:t>
      </w:r>
      <w:r w:rsidRPr="00D736C2">
        <w:rPr>
          <w:rFonts w:ascii="Palatino Linotype" w:eastAsia="MS Mincho" w:hAnsi="Palatino Linotype" w:cs="Times New Roman"/>
          <w:b/>
          <w:bCs/>
        </w:rPr>
        <w:t xml:space="preserve">Sujeto Obligado. </w:t>
      </w:r>
      <w:bookmarkEnd w:id="97"/>
    </w:p>
    <w:p w14:paraId="71E897E7"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3186053" w14:textId="1D25689D"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Al ser CUSAEM</w:t>
      </w:r>
      <w:r w:rsidR="005F06D8" w:rsidRPr="00D736C2">
        <w:rPr>
          <w:rFonts w:ascii="Palatino Linotype" w:eastAsia="MS Mincho" w:hAnsi="Palatino Linotype" w:cs="Times New Roman"/>
        </w:rPr>
        <w:t xml:space="preserve"> y el </w:t>
      </w:r>
      <w:r w:rsidR="005F06D8" w:rsidRPr="00D736C2">
        <w:rPr>
          <w:rFonts w:ascii="Palatino Linotype" w:hAnsi="Palatino Linotype"/>
        </w:rPr>
        <w:t>Cuerpo de Guardias de Seguridad Industrial, Bancaria, Comercial y Urbana del Valle Cuautitlán Texcoco</w:t>
      </w:r>
      <w:r w:rsidRPr="00D736C2">
        <w:rPr>
          <w:rFonts w:ascii="Palatino Linotype" w:eastAsia="MS Mincho" w:hAnsi="Palatino Linotype" w:cs="Times New Roman"/>
        </w:rPr>
        <w:t xml:space="preserve"> un organismo auxiliar y, por lo tanto, una entidad pública, cuya </w:t>
      </w:r>
      <w:r w:rsidRPr="00D736C2">
        <w:rPr>
          <w:rFonts w:ascii="Palatino Linotype" w:eastAsia="MS Mincho" w:hAnsi="Palatino Linotype" w:cs="Times New Roman"/>
          <w:i/>
        </w:rPr>
        <w:t xml:space="preserve">organización, funcionamiento y tarifa por concepto de pago de </w:t>
      </w:r>
      <w:r w:rsidRPr="00D736C2">
        <w:rPr>
          <w:rFonts w:ascii="Palatino Linotype" w:eastAsia="MS Mincho" w:hAnsi="Palatino Linotype" w:cs="Times New Roman"/>
          <w:i/>
        </w:rPr>
        <w:lastRenderedPageBreak/>
        <w:t>servicio,</w:t>
      </w:r>
      <w:r w:rsidRPr="00D736C2">
        <w:rPr>
          <w:rFonts w:ascii="Palatino Linotype" w:eastAsia="MS Mincho" w:hAnsi="Palatino Linotype" w:cs="Times New Roman"/>
        </w:rPr>
        <w:t xml:space="preserve"> se regulan </w:t>
      </w:r>
      <w:r w:rsidRPr="00D736C2">
        <w:rPr>
          <w:rFonts w:ascii="Palatino Linotype" w:eastAsia="MS Mincho" w:hAnsi="Palatino Linotype" w:cs="Times New Roman"/>
          <w:i/>
        </w:rPr>
        <w:t>por las disposiciones administrativas que emitan las dependencias del Gobierno del Estado</w:t>
      </w:r>
      <w:r w:rsidRPr="00D736C2">
        <w:rPr>
          <w:rFonts w:ascii="Palatino Linotype" w:eastAsia="MS Mincho" w:hAnsi="Palatino Linotype" w:cs="Times New Roman"/>
        </w:rPr>
        <w:t xml:space="preserve">, </w:t>
      </w:r>
      <w:r w:rsidRPr="00D736C2">
        <w:rPr>
          <w:rFonts w:ascii="Palatino Linotype" w:eastAsia="MS Mincho" w:hAnsi="Palatino Linotype" w:cs="Times New Roman"/>
          <w:i/>
        </w:rPr>
        <w:t>sujetándose a los sistemas de control y fiscalización,</w:t>
      </w:r>
      <w:r w:rsidRPr="00D736C2">
        <w:rPr>
          <w:rFonts w:ascii="Palatino Linotype" w:eastAsia="MS Mincho" w:hAnsi="Palatino Linotype" w:cs="Times New Roman"/>
        </w:rPr>
        <w:t xml:space="preserve"> dichos conceptos deben estar sometidas al sistema de contabilidad pública en términos del Código Financiero del Estado de México, esto es, sus ingresos deberían de estar contemplados en la Ley de Ingresos; su gasto, en el Presupuesto de Egresos y el ejercicio de los recursos, reportados en la Cuenta Pública del Gobierno del Estado</w:t>
      </w:r>
      <w:r w:rsidR="00DB20E3" w:rsidRPr="00D736C2">
        <w:rPr>
          <w:rFonts w:ascii="Palatino Linotype" w:eastAsia="MS Mincho" w:hAnsi="Palatino Linotype" w:cs="Times New Roman"/>
        </w:rPr>
        <w:t xml:space="preserve"> de México y órganos autónomos.</w:t>
      </w:r>
    </w:p>
    <w:p w14:paraId="60ABB7A5" w14:textId="77777777" w:rsidR="00DB20E3" w:rsidRPr="00D736C2" w:rsidRDefault="00DB20E3" w:rsidP="00D736C2">
      <w:pPr>
        <w:pStyle w:val="Prrafodelista"/>
        <w:spacing w:line="360" w:lineRule="auto"/>
        <w:rPr>
          <w:rFonts w:ascii="Palatino Linotype" w:eastAsia="MS Mincho" w:hAnsi="Palatino Linotype" w:cs="Times New Roman"/>
        </w:rPr>
      </w:pPr>
    </w:p>
    <w:p w14:paraId="28267EB3" w14:textId="75AE69F2" w:rsidR="00DB20E3" w:rsidRPr="00D736C2" w:rsidRDefault="00DB20E3" w:rsidP="00D736C2">
      <w:pPr>
        <w:numPr>
          <w:ilvl w:val="0"/>
          <w:numId w:val="1"/>
        </w:numPr>
        <w:spacing w:line="360" w:lineRule="auto"/>
        <w:ind w:left="0" w:right="49"/>
        <w:contextualSpacing/>
        <w:jc w:val="both"/>
        <w:rPr>
          <w:rFonts w:ascii="Palatino Linotype" w:hAnsi="Palatino Linotype"/>
        </w:rPr>
      </w:pPr>
      <w:r w:rsidRPr="00D736C2">
        <w:rPr>
          <w:rFonts w:ascii="Palatino Linotype" w:eastAsia="MS Mincho" w:hAnsi="Palatino Linotype" w:cs="Times New Roman"/>
        </w:rPr>
        <w:t xml:space="preserve">Dicho lo anterior </w:t>
      </w:r>
      <w:r w:rsidR="006F5D79" w:rsidRPr="00D736C2">
        <w:rPr>
          <w:rFonts w:ascii="Palatino Linotype" w:eastAsia="MS Mincho" w:hAnsi="Palatino Linotype" w:cs="Times New Roman"/>
        </w:rPr>
        <w:t>es oportuno citar la Tesis Jurisprudencial</w:t>
      </w:r>
      <w:r w:rsidR="006F5D79" w:rsidRPr="00D736C2">
        <w:rPr>
          <w:rStyle w:val="Refdenotaalpie"/>
          <w:rFonts w:ascii="Palatino Linotype" w:eastAsia="MS Mincho" w:hAnsi="Palatino Linotype" w:cs="Times New Roman"/>
        </w:rPr>
        <w:footnoteReference w:id="18"/>
      </w:r>
      <w:r w:rsidR="006F5D79" w:rsidRPr="00D736C2">
        <w:rPr>
          <w:rFonts w:ascii="Palatino Linotype" w:eastAsia="MS Mincho" w:hAnsi="Palatino Linotype" w:cs="Times New Roman"/>
        </w:rPr>
        <w:t xml:space="preserve"> de la Suprema Corte de Justicia de la Nación en la que se advierte que </w:t>
      </w:r>
      <w:r w:rsidRPr="00D736C2">
        <w:rPr>
          <w:rFonts w:ascii="Palatino Linotype" w:eastAsia="MS Mincho" w:hAnsi="Palatino Linotype" w:cs="Times New Roman"/>
        </w:rPr>
        <w:t xml:space="preserve">dicho Organismo pretende crear normas jurídicas que regulen sus prestaciones, declarando </w:t>
      </w:r>
      <w:r w:rsidR="006F5D79" w:rsidRPr="00D736C2">
        <w:rPr>
          <w:rFonts w:ascii="Palatino Linotype" w:eastAsia="MS Mincho" w:hAnsi="Palatino Linotype" w:cs="Times New Roman"/>
        </w:rPr>
        <w:t xml:space="preserve">nuestro máximo tribunal </w:t>
      </w:r>
      <w:r w:rsidRPr="00D736C2">
        <w:rPr>
          <w:rFonts w:ascii="Palatino Linotype" w:eastAsia="MS Mincho" w:hAnsi="Palatino Linotype" w:cs="Times New Roman"/>
        </w:rPr>
        <w:t xml:space="preserve">como inválido un manual de Seguridad Social al formar parte de las Instituciones de Seguridad, así mismo determinó que </w:t>
      </w:r>
      <w:r w:rsidRPr="00D736C2">
        <w:rPr>
          <w:rFonts w:ascii="Palatino Linotype" w:hAnsi="Palatino Linotype"/>
        </w:rPr>
        <w:t>pues dichas cuestiones deben estar contenidas en una norma emanada de la Legislatura del Estado de México y no en un manual de carácter administrativo</w:t>
      </w:r>
      <w:r w:rsidR="006F5D79" w:rsidRPr="00D736C2">
        <w:rPr>
          <w:rFonts w:ascii="Palatino Linotype" w:hAnsi="Palatino Linotype"/>
        </w:rPr>
        <w:t>, tal como se transcribe:</w:t>
      </w:r>
    </w:p>
    <w:p w14:paraId="4F5BA073" w14:textId="77777777" w:rsidR="00DB20E3" w:rsidRPr="00D736C2" w:rsidRDefault="00DB20E3" w:rsidP="00D736C2">
      <w:pPr>
        <w:pStyle w:val="Prrafodelista"/>
        <w:spacing w:line="360" w:lineRule="auto"/>
        <w:ind w:left="567" w:right="567"/>
        <w:rPr>
          <w:rFonts w:ascii="Palatino Linotype" w:hAnsi="Palatino Linotype"/>
          <w:i/>
        </w:rPr>
      </w:pPr>
    </w:p>
    <w:p w14:paraId="5933F6BD" w14:textId="5D1C8630" w:rsidR="005163C4" w:rsidRPr="00D736C2" w:rsidRDefault="00DB20E3" w:rsidP="00D736C2">
      <w:pPr>
        <w:spacing w:line="360" w:lineRule="auto"/>
        <w:ind w:left="567" w:right="567"/>
        <w:contextualSpacing/>
        <w:jc w:val="both"/>
        <w:rPr>
          <w:rFonts w:ascii="Palatino Linotype" w:hAnsi="Palatino Linotype"/>
          <w:i/>
        </w:rPr>
      </w:pPr>
      <w:r w:rsidRPr="00D736C2">
        <w:rPr>
          <w:rFonts w:ascii="Palatino Linotype" w:hAnsi="Palatino Linotype"/>
          <w:i/>
        </w:rPr>
        <w:t xml:space="preserve">CUERPO DE GUARDIAS DE SEGURIDAD INDUSTRIAL, BANCARIA Y COMERCIAL DEL VALLE CUAUTITLÁN-TEXCOCO. AL NO EMANAR EL MANUAL DE SEGURIDAD SOCIAL RELATIVO DE LA LEGISLATURA DEL ESTADO DE MÉXICO, NO PUEDE REGULAR LAS MODALIDADES A QUE SE SUJETARÁN LAS PRESTACIONES RELATIVAS DE LOS MIEMBROS DE </w:t>
      </w:r>
      <w:r w:rsidRPr="00D736C2">
        <w:rPr>
          <w:rFonts w:ascii="Palatino Linotype" w:hAnsi="Palatino Linotype"/>
          <w:i/>
        </w:rPr>
        <w:lastRenderedPageBreak/>
        <w:t>ESA CORPORACIÓN. La fracción XIII del apartado B del artículo 123 de la Constitución Política de los Estados Unidos Mexicanos estatuye que las relaciones entre los miembros de los cuerpos de seguridad pública y el Estado se regirán por sus propias leyes, por lo que sólo a través de un acto formal y materialmente legislativo pueden establecerse sus derechos y obligaciones. En ese sentido, si el Manual de Seguridad Social del Cuerpo de Guardias de Seguridad Industrial, Bancaria y Comercial del Valle Cuautitlán-Texcoco fue emitido por el jefe de dicha corporación, es claro que no puede regular las modalidades a que se sujetarán las prestaciones relativas de los miembros de ésta, que tienen su origen en la prestación de los servicios de seguridad pública que realizan, pues dichas cuestiones deben estar contenidas en una norma emanada de la Legislatura del Estado de México y no en un manual de carácter administrativo. CUARTO TRIBUNAL COLEGIADO EN MATERIA ADMINISTRATIVA DEL SEGUNDO CIRCUITO. Amparo directo 375/2009. César Romero Román. 16 de abril de 2010. Unanimidad de votos. Ponente: Yolanda Islas Hernández. Secretaria: Miriam Corte Gómez.</w:t>
      </w:r>
    </w:p>
    <w:p w14:paraId="2A54CA70" w14:textId="77777777" w:rsidR="006F5D79" w:rsidRPr="00D736C2" w:rsidRDefault="006F5D79" w:rsidP="00D736C2">
      <w:pPr>
        <w:spacing w:line="360" w:lineRule="auto"/>
        <w:ind w:left="567" w:right="567"/>
        <w:contextualSpacing/>
        <w:jc w:val="both"/>
        <w:rPr>
          <w:rFonts w:ascii="Palatino Linotype" w:hAnsi="Palatino Linotype"/>
          <w:i/>
        </w:rPr>
      </w:pPr>
    </w:p>
    <w:p w14:paraId="398D9F68" w14:textId="77777777" w:rsidR="005163C4" w:rsidRPr="00D736C2" w:rsidRDefault="005163C4" w:rsidP="00D736C2">
      <w:pPr>
        <w:keepNext/>
        <w:keepLines/>
        <w:spacing w:line="360" w:lineRule="auto"/>
        <w:jc w:val="both"/>
        <w:outlineLvl w:val="0"/>
        <w:rPr>
          <w:rFonts w:ascii="Palatino Linotype" w:eastAsia="MS Mincho" w:hAnsi="Palatino Linotype" w:cs="Times New Roman"/>
          <w:b/>
          <w:bCs/>
        </w:rPr>
      </w:pPr>
      <w:bookmarkStart w:id="98" w:name="_Toc23446076"/>
      <w:bookmarkStart w:id="99" w:name="_Toc25255408"/>
      <w:r w:rsidRPr="00D736C2">
        <w:rPr>
          <w:rFonts w:ascii="Palatino Linotype" w:eastAsia="MS Gothic" w:hAnsi="Palatino Linotype" w:cstheme="majorBidi"/>
          <w:b/>
        </w:rPr>
        <w:t>VI. La inexistencia de la información.</w:t>
      </w:r>
      <w:bookmarkEnd w:id="98"/>
      <w:bookmarkEnd w:id="99"/>
      <w:r w:rsidRPr="00D736C2">
        <w:rPr>
          <w:rFonts w:ascii="Palatino Linotype" w:eastAsia="MS Gothic" w:hAnsi="Palatino Linotype" w:cstheme="majorBidi"/>
          <w:b/>
        </w:rPr>
        <w:t xml:space="preserve"> </w:t>
      </w:r>
    </w:p>
    <w:p w14:paraId="09293519"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0CE6AB2B"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Con lo hasta aquí analizado es posible determinar lo siguiente. Los Cuerpos de Seguridad de Seguridad Auxiliares del Estado de México son un organismo auxiliar del Estado, disciplinado por lo dispuesto en los artículos 3 y 45 de la Ley Orgánica de la Administración Pública del Estado de México, en ejercicio de dicha función, se encuentra obligado a documentar sus actos.</w:t>
      </w:r>
    </w:p>
    <w:p w14:paraId="0841551C"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 </w:t>
      </w:r>
    </w:p>
    <w:p w14:paraId="4D6AC765"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lastRenderedPageBreak/>
        <w:t xml:space="preserve">Por tratarse de un organismo auxiliar y, al mismo tiempo, entidad pública, en términos de lo dispuesto por el Código Financiero del Estado de México, sus tarifas de servicios debieron de contemplarse en dicho Código y su sistema de control debe derivar de lo que sobre sus actividades determinara la Ley de Ingresos del Estado, el Presupuesto de Egresos del Estado y su fiscalización dependería de la información que sobre el mismo se contemplara en la Cuenta Pública. Siendo la Secretaría de Finanzas, sujeto obligado cuya respuesta se ha combatido, la autoridad encargada de elaborar los proyectos de estos instrumentos jurídicos, al mismo corresponde documentar, de lo que se ha derivado que la información requerida se relaciona con las atribuciones de este sujeto obligado, por lo que debe presumirse su existencia, en términos de lo dispuesto por el artículo 19 de la Ley de Transparencia y Acceso a la Información Pública del Estado de México y Municipios, que señala que: </w:t>
      </w:r>
    </w:p>
    <w:p w14:paraId="14705EB0"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35ED361E"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r w:rsidRPr="00D736C2">
        <w:rPr>
          <w:rFonts w:ascii="Palatino Linotype" w:hAnsi="Palatino Linotype"/>
          <w:b/>
          <w:bCs/>
          <w:i/>
        </w:rPr>
        <w:t>Artículo 19.</w:t>
      </w:r>
      <w:r w:rsidRPr="00D736C2">
        <w:rPr>
          <w:rFonts w:ascii="Palatino Linotype" w:hAnsi="Palatino Linotype"/>
          <w:i/>
        </w:rPr>
        <w:t xml:space="preserve"> </w:t>
      </w:r>
      <w:r w:rsidRPr="00D736C2">
        <w:rPr>
          <w:rFonts w:ascii="Palatino Linotype" w:hAnsi="Palatino Linotype"/>
          <w:b/>
          <w:i/>
        </w:rPr>
        <w:t>Se presume que la información debe existir si se refiere a las facultades, competencias y funciones que los ordenamientos jurídicos aplicables otorgan a los sujetos obligados.</w:t>
      </w:r>
      <w:r w:rsidRPr="00D736C2">
        <w:rPr>
          <w:rFonts w:ascii="Palatino Linotype" w:hAnsi="Palatino Linotype"/>
          <w:i/>
        </w:rPr>
        <w:t xml:space="preserve"> En los casos en que ciertas facultades, competencias o funciones no se hayan ejercido, se debe motivar la respuesta en función de las causas que motiven tal circunstancia.</w:t>
      </w:r>
    </w:p>
    <w:p w14:paraId="6841EEDE" w14:textId="77777777" w:rsidR="005163C4" w:rsidRPr="00D736C2" w:rsidRDefault="005163C4" w:rsidP="00D736C2">
      <w:pPr>
        <w:spacing w:line="360" w:lineRule="auto"/>
        <w:ind w:left="567" w:right="567"/>
        <w:contextualSpacing/>
        <w:jc w:val="both"/>
        <w:rPr>
          <w:rFonts w:ascii="Palatino Linotype" w:hAnsi="Palatino Linotype"/>
          <w:i/>
        </w:rPr>
      </w:pPr>
    </w:p>
    <w:p w14:paraId="4475AFE9"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
          <w:bCs/>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1EA61BF" w14:textId="77777777" w:rsidR="005163C4" w:rsidRPr="00D736C2" w:rsidRDefault="005163C4" w:rsidP="00D736C2">
      <w:pPr>
        <w:spacing w:line="360" w:lineRule="auto"/>
        <w:ind w:left="567" w:right="567"/>
        <w:contextualSpacing/>
        <w:jc w:val="both"/>
        <w:rPr>
          <w:rFonts w:ascii="Palatino Linotype" w:eastAsia="MS Mincho" w:hAnsi="Palatino Linotype" w:cs="Times New Roman"/>
          <w:b/>
          <w:bCs/>
        </w:rPr>
      </w:pPr>
    </w:p>
    <w:p w14:paraId="47B4D000" w14:textId="77777777" w:rsidR="005163C4" w:rsidRPr="00D736C2" w:rsidRDefault="005163C4" w:rsidP="00D736C2">
      <w:pPr>
        <w:pStyle w:val="Prrafodelista"/>
        <w:numPr>
          <w:ilvl w:val="0"/>
          <w:numId w:val="1"/>
        </w:numPr>
        <w:spacing w:line="360" w:lineRule="auto"/>
        <w:ind w:left="0"/>
        <w:jc w:val="both"/>
        <w:rPr>
          <w:rFonts w:ascii="Palatino Linotype" w:eastAsia="MS Mincho" w:hAnsi="Palatino Linotype" w:cs="Times New Roman"/>
          <w:b/>
          <w:bCs/>
        </w:rPr>
      </w:pPr>
      <w:r w:rsidRPr="00D736C2">
        <w:rPr>
          <w:rFonts w:ascii="Palatino Linotype" w:eastAsia="MS Mincho" w:hAnsi="Palatino Linotype" w:cs="Times New Roman"/>
        </w:rPr>
        <w:lastRenderedPageBreak/>
        <w:t>Sin embargo, la respuesta y el contenido del informe justificado, así como las respuestas previas de este sujeto obligado y de otros del gobierno del estado, apuntan que, al generar el diseño institucional más reciente de este organismo</w:t>
      </w:r>
      <w:r w:rsidRPr="00D736C2">
        <w:rPr>
          <w:rStyle w:val="Refdenotaalpie"/>
          <w:rFonts w:ascii="Palatino Linotype" w:eastAsia="MS Mincho" w:hAnsi="Palatino Linotype" w:cs="Times New Roman"/>
        </w:rPr>
        <w:footnoteReference w:id="19"/>
      </w:r>
      <w:r w:rsidRPr="00D736C2">
        <w:rPr>
          <w:rFonts w:ascii="Palatino Linotype" w:eastAsia="MS Mincho" w:hAnsi="Palatino Linotype" w:cs="Times New Roman"/>
        </w:rPr>
        <w:t xml:space="preserve">, todo parece indicar que por razones que este Órgano Garante no conoce, los encargados del diseño se apartaron de observar lo que disponen los artículos 3 y 45 de la </w:t>
      </w:r>
      <w:r w:rsidRPr="00D736C2">
        <w:rPr>
          <w:rFonts w:ascii="Palatino Linotype" w:eastAsia="MS Mincho" w:hAnsi="Palatino Linotype" w:cs="Times New Roman"/>
          <w:b/>
        </w:rPr>
        <w:t>Ley Orgánica de la Administración Pública del Estado de México</w:t>
      </w:r>
      <w:r w:rsidRPr="00D736C2">
        <w:rPr>
          <w:rFonts w:ascii="Palatino Linotype" w:eastAsia="MS Mincho" w:hAnsi="Palatino Linotype" w:cs="Times New Roman"/>
        </w:rPr>
        <w:t>, que es lo único que permitiría explicar el por qué la Secretaría de Finanzas, no contempla como entidad pública a este organismo auxiliar para efectos del régimen presupuestal.</w:t>
      </w:r>
    </w:p>
    <w:p w14:paraId="7E9C7453" w14:textId="77777777" w:rsidR="005163C4" w:rsidRPr="00D736C2" w:rsidRDefault="005163C4" w:rsidP="00D736C2">
      <w:pPr>
        <w:pStyle w:val="Prrafodelista"/>
        <w:spacing w:line="360" w:lineRule="auto"/>
        <w:ind w:left="0" w:right="567"/>
        <w:jc w:val="both"/>
        <w:rPr>
          <w:rFonts w:ascii="Palatino Linotype" w:eastAsia="MS Mincho" w:hAnsi="Palatino Linotype" w:cs="Times New Roman"/>
          <w:b/>
          <w:bCs/>
        </w:rPr>
      </w:pPr>
    </w:p>
    <w:p w14:paraId="53279CAC" w14:textId="77777777"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rPr>
      </w:pPr>
      <w:r w:rsidRPr="00D736C2">
        <w:rPr>
          <w:rFonts w:ascii="Palatino Linotype" w:eastAsia="MS Mincho" w:hAnsi="Palatino Linotype" w:cs="Times New Roman"/>
        </w:rPr>
        <w:t xml:space="preserve">Por lo que, nos conlleva a determinar que en efecto el </w:t>
      </w:r>
      <w:r w:rsidRPr="00D736C2">
        <w:rPr>
          <w:rFonts w:ascii="Palatino Linotype" w:eastAsia="MS Mincho" w:hAnsi="Palatino Linotype" w:cs="Times New Roman"/>
          <w:b/>
          <w:bCs/>
        </w:rPr>
        <w:t xml:space="preserve">Sujeto Obligado </w:t>
      </w:r>
      <w:r w:rsidRPr="00D736C2">
        <w:rPr>
          <w:rFonts w:ascii="Palatino Linotype" w:eastAsia="MS Mincho" w:hAnsi="Palatino Linotype" w:cs="Times New Roman"/>
        </w:rPr>
        <w:t xml:space="preserve">debió generar, poseer y administrar la información, pero si esta no se encuentra, porque las atribuciones no fueron ejercidas, a pesar de que resultaban de aplicación imperativa e inexcusable, debe procederse atendiendo lo establecido por el artículo 169, fracción III de la Ley de Transparencia Estatal, que dice; </w:t>
      </w:r>
    </w:p>
    <w:p w14:paraId="31B24A87" w14:textId="77777777" w:rsidR="005163C4" w:rsidRPr="00D736C2" w:rsidRDefault="005163C4" w:rsidP="00D736C2">
      <w:pPr>
        <w:spacing w:line="360" w:lineRule="auto"/>
        <w:ind w:right="49"/>
        <w:contextualSpacing/>
        <w:jc w:val="both"/>
        <w:rPr>
          <w:rFonts w:ascii="Palatino Linotype" w:eastAsia="MS Mincho" w:hAnsi="Palatino Linotype" w:cs="Times New Roman"/>
        </w:rPr>
      </w:pPr>
    </w:p>
    <w:p w14:paraId="1FE1E0EE"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Artículo 169. Cuando la información no se encuentre en los archivos del sujeto obligado, el Comité de Transparencia:</w:t>
      </w:r>
    </w:p>
    <w:p w14:paraId="377ED3AB"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178B0C5C"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i/>
        </w:rPr>
        <w:t xml:space="preserve">III. Ordenará, siempre que sea materialmente posible, que se genere o se reponga la información en caso de que ésta tuviera que existir en la medida que deriva del ejercicio </w:t>
      </w:r>
      <w:r w:rsidRPr="00D736C2">
        <w:rPr>
          <w:rFonts w:ascii="Palatino Linotype" w:hAnsi="Palatino Linotype"/>
          <w:i/>
        </w:rPr>
        <w:lastRenderedPageBreak/>
        <w:t xml:space="preserve">de sus facultades, competencias o funciones, o que previa acreditación de la imposibilidad de su generación, </w:t>
      </w:r>
      <w:r w:rsidRPr="00D736C2">
        <w:rPr>
          <w:rFonts w:ascii="Palatino Linotype" w:hAnsi="Palatino Linotype"/>
          <w:b/>
          <w:i/>
        </w:rPr>
        <w:t>exponga de forma fundada y motivada, las razones por las cuales en el caso particular</w:t>
      </w:r>
      <w:r w:rsidRPr="00D736C2">
        <w:rPr>
          <w:rFonts w:ascii="Palatino Linotype" w:hAnsi="Palatino Linotype"/>
          <w:i/>
        </w:rPr>
        <w:t xml:space="preserve"> </w:t>
      </w:r>
      <w:r w:rsidRPr="00D736C2">
        <w:rPr>
          <w:rFonts w:ascii="Palatino Linotype" w:hAnsi="Palatino Linotype"/>
          <w:b/>
          <w:bCs/>
          <w:i/>
        </w:rPr>
        <w:t xml:space="preserve">no ejerció dichas facultades, competencias o funciones, lo cual notificará al solicitante a través de la Unidad de Transparencia; </w:t>
      </w:r>
    </w:p>
    <w:p w14:paraId="4C65D29A" w14:textId="77777777" w:rsidR="005163C4" w:rsidRPr="00D736C2" w:rsidRDefault="005163C4" w:rsidP="00D736C2">
      <w:pPr>
        <w:spacing w:line="360" w:lineRule="auto"/>
        <w:ind w:left="567" w:right="567"/>
        <w:contextualSpacing/>
        <w:jc w:val="both"/>
        <w:rPr>
          <w:rFonts w:ascii="Palatino Linotype" w:hAnsi="Palatino Linotype"/>
          <w:b/>
          <w:bCs/>
          <w:i/>
        </w:rPr>
      </w:pPr>
    </w:p>
    <w:p w14:paraId="794D4C16" w14:textId="77777777" w:rsidR="005163C4" w:rsidRPr="00D736C2" w:rsidRDefault="005163C4" w:rsidP="00D736C2">
      <w:pPr>
        <w:spacing w:line="360" w:lineRule="auto"/>
        <w:ind w:left="567" w:right="567"/>
        <w:contextualSpacing/>
        <w:jc w:val="both"/>
        <w:rPr>
          <w:rFonts w:ascii="Palatino Linotype" w:hAnsi="Palatino Linotype"/>
          <w:b/>
          <w:bCs/>
          <w:i/>
        </w:rPr>
      </w:pPr>
      <w:r w:rsidRPr="00D736C2">
        <w:rPr>
          <w:rFonts w:ascii="Palatino Linotype" w:hAnsi="Palatino Linotype"/>
          <w:bCs/>
          <w:i/>
        </w:rPr>
        <w:t>IV. Notificará al órgano interno de control o equivalente del sujeto obligado</w:t>
      </w:r>
      <w:r w:rsidRPr="00D736C2">
        <w:rPr>
          <w:rFonts w:ascii="Palatino Linotype" w:hAnsi="Palatino Linotype"/>
          <w:b/>
          <w:bCs/>
          <w:i/>
        </w:rPr>
        <w:t xml:space="preserve"> quien, en su caso, deberá iniciar el procedimiento de responsabilidad administrativa que corresponda.</w:t>
      </w:r>
    </w:p>
    <w:p w14:paraId="256CE8A5" w14:textId="77777777" w:rsidR="005163C4" w:rsidRPr="00D736C2" w:rsidRDefault="005163C4" w:rsidP="00D736C2">
      <w:pPr>
        <w:spacing w:line="360" w:lineRule="auto"/>
        <w:ind w:left="567" w:right="567"/>
        <w:contextualSpacing/>
        <w:jc w:val="both"/>
        <w:rPr>
          <w:rFonts w:ascii="Palatino Linotype" w:hAnsi="Palatino Linotype"/>
          <w:i/>
        </w:rPr>
      </w:pPr>
      <w:r w:rsidRPr="00D736C2">
        <w:rPr>
          <w:rFonts w:ascii="Palatino Linotype" w:hAnsi="Palatino Linotype"/>
          <w:i/>
        </w:rPr>
        <w:t>[…]</w:t>
      </w:r>
    </w:p>
    <w:p w14:paraId="5E25D722" w14:textId="77777777" w:rsidR="005163C4" w:rsidRPr="00D736C2" w:rsidRDefault="005163C4" w:rsidP="00D736C2">
      <w:pPr>
        <w:spacing w:line="360" w:lineRule="auto"/>
        <w:ind w:left="567" w:right="567"/>
        <w:contextualSpacing/>
        <w:jc w:val="both"/>
        <w:rPr>
          <w:rFonts w:ascii="Palatino Linotype" w:hAnsi="Palatino Linotype"/>
          <w:i/>
        </w:rPr>
      </w:pPr>
    </w:p>
    <w:p w14:paraId="61FB1FAF" w14:textId="08185036" w:rsidR="005163C4" w:rsidRPr="00D736C2" w:rsidRDefault="005163C4" w:rsidP="00D736C2">
      <w:pPr>
        <w:numPr>
          <w:ilvl w:val="0"/>
          <w:numId w:val="1"/>
        </w:numPr>
        <w:spacing w:line="360" w:lineRule="auto"/>
        <w:ind w:left="0" w:right="49"/>
        <w:contextualSpacing/>
        <w:jc w:val="both"/>
        <w:rPr>
          <w:rFonts w:ascii="Palatino Linotype" w:eastAsia="MS Mincho" w:hAnsi="Palatino Linotype" w:cs="Times New Roman"/>
          <w:i/>
        </w:rPr>
      </w:pPr>
      <w:bookmarkStart w:id="100" w:name="_Hlk22889916"/>
      <w:r w:rsidRPr="00D736C2">
        <w:rPr>
          <w:rFonts w:ascii="Palatino Linotype" w:eastAsia="MS Mincho" w:hAnsi="Palatino Linotype" w:cs="Times New Roman"/>
        </w:rPr>
        <w:t xml:space="preserve">Lo que nos lleva a determinar que la  Secretaría de Finanzas debe realizar una nueva búsqueda exhaustiva de la información y si, como refiere, no cuenta con la información solicitada y que, como ya se refirió, corresponde al ejercicio de atribuciones legalmente establecidas, deberá emitir la resolución de inexistencia que, según el artículo 170 de la </w:t>
      </w:r>
      <w:r w:rsidRPr="00D736C2">
        <w:rPr>
          <w:rFonts w:ascii="Palatino Linotype" w:eastAsia="MS Mincho" w:hAnsi="Palatino Linotype" w:cs="Times New Roman"/>
          <w:b/>
        </w:rPr>
        <w:t>Ley de Transparencia y Acceso a la Información Pública del Estado de México y Municipios</w:t>
      </w:r>
      <w:r w:rsidRPr="00D736C2">
        <w:rPr>
          <w:rFonts w:ascii="Palatino Linotype" w:eastAsia="MS Mincho" w:hAnsi="Palatino Linotype" w:cs="Times New Roman"/>
        </w:rPr>
        <w:t xml:space="preserve">, contenga </w:t>
      </w:r>
      <w:r w:rsidRPr="00D736C2">
        <w:rPr>
          <w:rFonts w:ascii="Palatino Linotype" w:eastAsia="MS Mincho" w:hAnsi="Palatino Linotype" w:cs="Times New Roman"/>
          <w:i/>
        </w:rPr>
        <w:t xml:space="preserve">los elementos mínimos que permitan al solicitante tener la certeza de que se utilizó un criterio de búsqueda exhaustivo, </w:t>
      </w:r>
      <w:r w:rsidRPr="00D736C2">
        <w:rPr>
          <w:rFonts w:ascii="Palatino Linotype" w:eastAsia="MS Mincho" w:hAnsi="Palatino Linotype" w:cs="Times New Roman"/>
        </w:rPr>
        <w:t>exponer las razones de por qué en este caso en particular no ejerció dichas facultades, competencias o funciones y señalar las circunstancias de tiempo, modo y lugar que generaron la inexistencia en cuestión, señalando al servidor público responsable de contar con la información, lo anterior para que su Órgano de Control o equivalente inicie el procedimiento de responsabilidades que corresponda, lo anterior al tratarse de faculta</w:t>
      </w:r>
      <w:r w:rsidR="00B26A33" w:rsidRPr="00D736C2">
        <w:rPr>
          <w:rFonts w:ascii="Palatino Linotype" w:eastAsia="MS Mincho" w:hAnsi="Palatino Linotype" w:cs="Times New Roman"/>
        </w:rPr>
        <w:t xml:space="preserve">des de cumplimiento ineludible. </w:t>
      </w:r>
      <w:r w:rsidRPr="00D736C2">
        <w:rPr>
          <w:rFonts w:ascii="Palatino Linotype" w:hAnsi="Palatino Linotype" w:cs="Arial"/>
          <w:b/>
          <w:i/>
          <w:u w:val="single"/>
        </w:rPr>
        <w:t>INEXISTENCIA DE LA INFORMACIÓN,</w:t>
      </w:r>
      <w:r w:rsidRPr="00D736C2">
        <w:rPr>
          <w:rFonts w:ascii="Palatino Linotype" w:hAnsi="Palatino Linotype" w:cs="Arial"/>
          <w:b/>
          <w:i/>
        </w:rPr>
        <w:t xml:space="preserve"> SUPUESTOS PARA EMITIR LA </w:t>
      </w:r>
      <w:r w:rsidRPr="00D736C2">
        <w:rPr>
          <w:rFonts w:ascii="Palatino Linotype" w:hAnsi="Palatino Linotype" w:cs="Arial"/>
          <w:b/>
          <w:i/>
        </w:rPr>
        <w:lastRenderedPageBreak/>
        <w:t>RESOLUCIÓN DE LA.</w:t>
      </w:r>
      <w:r w:rsidRPr="00D736C2">
        <w:rPr>
          <w:rFonts w:ascii="Palatino Linotype" w:hAnsi="Palatino Linotype" w:cs="Arial"/>
          <w:i/>
        </w:rPr>
        <w:t xml:space="preserve"> A 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segundo supuesto, que corresponde a lo señalado en su último párrafo, alude a: 1.- Actos realizados sobre los cuales a) no se generó, poseyó o administró el documento que registre la información solicitada; b) habiendo sido generada, poseída o administrada, no se cuenta con la información solicitada; o bien, </w:t>
      </w:r>
      <w:r w:rsidRPr="00D736C2">
        <w:rPr>
          <w:rFonts w:ascii="Palatino Linotype" w:hAnsi="Palatino Linotype" w:cs="Arial"/>
          <w:b/>
          <w:i/>
        </w:rPr>
        <w:t>2.- El sujeto obligado fue omiso en el ejercicio de una facultad, competencia o atribución inexcusable.</w:t>
      </w:r>
      <w:r w:rsidRPr="00D736C2">
        <w:rPr>
          <w:rFonts w:ascii="Palatino Linotype" w:hAnsi="Palatino Linotype" w:cs="Arial"/>
          <w:i/>
        </w:rPr>
        <w:t xml:space="preserve"> En estos casos, será necesario acreditar que se cumplieron los supuestos del artículo 169 del citado ordenamiento y emitir la resolución que confirme la inexistencia cumpliendo con las formalidades señaladas en el artículo 170 de la misma norma. </w:t>
      </w:r>
    </w:p>
    <w:p w14:paraId="79FB5A02" w14:textId="77777777" w:rsidR="005163C4" w:rsidRPr="00D736C2" w:rsidRDefault="005163C4" w:rsidP="00D736C2">
      <w:pPr>
        <w:pStyle w:val="Prrafodelista"/>
        <w:spacing w:line="360" w:lineRule="auto"/>
        <w:ind w:left="0"/>
        <w:jc w:val="both"/>
        <w:rPr>
          <w:rFonts w:ascii="Palatino Linotype" w:hAnsi="Palatino Linotype" w:cs="Arial"/>
        </w:rPr>
      </w:pPr>
    </w:p>
    <w:p w14:paraId="634B8525" w14:textId="36ED262C" w:rsidR="005163C4" w:rsidRPr="00D736C2" w:rsidRDefault="005163C4" w:rsidP="00D736C2">
      <w:pPr>
        <w:pStyle w:val="Prrafodelista"/>
        <w:numPr>
          <w:ilvl w:val="0"/>
          <w:numId w:val="1"/>
        </w:numPr>
        <w:spacing w:line="360" w:lineRule="auto"/>
        <w:ind w:left="0"/>
        <w:jc w:val="both"/>
        <w:rPr>
          <w:rFonts w:ascii="Palatino Linotype" w:hAnsi="Palatino Linotype" w:cs="Arial"/>
        </w:rPr>
      </w:pPr>
      <w:r w:rsidRPr="00D736C2">
        <w:rPr>
          <w:rFonts w:ascii="Palatino Linotype" w:hAnsi="Palatino Linotype" w:cs="Arial"/>
        </w:rPr>
        <w:t>En conclusión, el Derecho de Acceso a la Información no convalida el no ejercicio de las atribuciones establecidas, sino que, al contrario, permite iniciar el procedimiento de responsabilidades correspondientes al servidor público que no haya ejercido dichas funciones y se constituye en una ventana de oportunidad para que esta situación ajena al orden jurídico sea resuelta definitivamente, reintegrando a dichos cuerpos de seguridad al régimen legal que prevalece en la materia.</w:t>
      </w:r>
      <w:bookmarkEnd w:id="100"/>
    </w:p>
    <w:p w14:paraId="1BA49806" w14:textId="77777777" w:rsidR="005F06D8" w:rsidRPr="00D736C2" w:rsidRDefault="005F06D8" w:rsidP="00D736C2">
      <w:pPr>
        <w:pStyle w:val="Prrafodelista"/>
        <w:spacing w:line="360" w:lineRule="auto"/>
        <w:rPr>
          <w:rFonts w:ascii="Palatino Linotype" w:hAnsi="Palatino Linotype" w:cs="Arial"/>
        </w:rPr>
      </w:pPr>
    </w:p>
    <w:p w14:paraId="7EBFB58B" w14:textId="5018ACF6" w:rsidR="005F06D8" w:rsidRPr="00D736C2" w:rsidRDefault="005F06D8" w:rsidP="00D736C2">
      <w:pPr>
        <w:pStyle w:val="Prrafodelista"/>
        <w:numPr>
          <w:ilvl w:val="0"/>
          <w:numId w:val="1"/>
        </w:numPr>
        <w:spacing w:line="360" w:lineRule="auto"/>
        <w:ind w:left="0"/>
        <w:jc w:val="both"/>
        <w:rPr>
          <w:rFonts w:ascii="Palatino Linotype" w:hAnsi="Palatino Linotype" w:cs="Arial"/>
        </w:rPr>
      </w:pPr>
      <w:r w:rsidRPr="00D736C2">
        <w:rPr>
          <w:rFonts w:ascii="Palatino Linotype" w:hAnsi="Palatino Linotype" w:cs="Arial"/>
        </w:rPr>
        <w:t xml:space="preserve">Finalmente no se soslaya que si bien es cierto que los cuerpos de Seguridad </w:t>
      </w:r>
      <w:proofErr w:type="spellStart"/>
      <w:r w:rsidRPr="00D736C2">
        <w:rPr>
          <w:rFonts w:ascii="Palatino Linotype" w:hAnsi="Palatino Linotype" w:cs="Arial"/>
        </w:rPr>
        <w:t>multi</w:t>
      </w:r>
      <w:proofErr w:type="spellEnd"/>
      <w:r w:rsidRPr="00D736C2">
        <w:rPr>
          <w:rFonts w:ascii="Palatino Linotype" w:hAnsi="Palatino Linotype" w:cs="Arial"/>
        </w:rPr>
        <w:t xml:space="preserve"> referidos pertenecen a la Secretaría de Seguridad del Estado de México, también lo es que </w:t>
      </w:r>
      <w:r w:rsidR="009405A1" w:rsidRPr="00D736C2">
        <w:rPr>
          <w:rFonts w:ascii="Palatino Linotype" w:hAnsi="Palatino Linotype" w:cs="Arial"/>
        </w:rPr>
        <w:t xml:space="preserve">no es procedente declinar la competencia hacia dicho SUJETO OBLIGADO máxime que </w:t>
      </w:r>
      <w:r w:rsidR="009405A1" w:rsidRPr="00D736C2">
        <w:rPr>
          <w:rFonts w:ascii="Palatino Linotype" w:hAnsi="Palatino Linotype" w:cs="Arial"/>
        </w:rPr>
        <w:lastRenderedPageBreak/>
        <w:t>se trata de la información vinculada a ambas dependencias, sin embargo se dejan a salvo los derechos del particular para solicitar la información a dicha dependencia.</w:t>
      </w:r>
    </w:p>
    <w:p w14:paraId="42DE3961" w14:textId="77777777" w:rsidR="005F06D8" w:rsidRPr="00D736C2" w:rsidRDefault="005F06D8" w:rsidP="00D736C2">
      <w:pPr>
        <w:pStyle w:val="Prrafodelista"/>
        <w:spacing w:line="360" w:lineRule="auto"/>
        <w:ind w:left="0"/>
        <w:jc w:val="both"/>
        <w:rPr>
          <w:rFonts w:ascii="Palatino Linotype" w:hAnsi="Palatino Linotype" w:cs="Arial"/>
        </w:rPr>
      </w:pPr>
    </w:p>
    <w:p w14:paraId="633FB6BA" w14:textId="77777777" w:rsidR="005163C4" w:rsidRPr="00D736C2" w:rsidRDefault="005163C4" w:rsidP="00D736C2">
      <w:pPr>
        <w:pStyle w:val="Ttulo1"/>
        <w:spacing w:before="0" w:line="360" w:lineRule="auto"/>
        <w:rPr>
          <w:b w:val="0"/>
          <w:szCs w:val="24"/>
        </w:rPr>
      </w:pPr>
      <w:bookmarkStart w:id="101" w:name="_Toc523908140"/>
      <w:bookmarkStart w:id="102" w:name="_Toc522209067"/>
      <w:bookmarkStart w:id="103" w:name="_Toc521949107"/>
      <w:bookmarkStart w:id="104" w:name="_Toc17390946"/>
      <w:bookmarkStart w:id="105" w:name="_Toc17043969"/>
      <w:bookmarkStart w:id="106" w:name="_Toc12448142"/>
      <w:bookmarkStart w:id="107" w:name="_Toc11834466"/>
      <w:bookmarkStart w:id="108" w:name="_Toc20392593"/>
      <w:bookmarkStart w:id="109" w:name="_Toc23446077"/>
      <w:bookmarkStart w:id="110" w:name="_Toc25255409"/>
      <w:r w:rsidRPr="00D736C2">
        <w:rPr>
          <w:rFonts w:cs="Times New Roman"/>
          <w:szCs w:val="24"/>
          <w:lang w:eastAsia="es-ES_tradnl"/>
        </w:rPr>
        <w:t xml:space="preserve">QUINTO. </w:t>
      </w:r>
      <w:r w:rsidRPr="00D736C2">
        <w:rPr>
          <w:szCs w:val="24"/>
        </w:rPr>
        <w:t xml:space="preserve"> De la elaboración de la versión pública</w:t>
      </w:r>
      <w:bookmarkEnd w:id="101"/>
      <w:bookmarkEnd w:id="102"/>
      <w:bookmarkEnd w:id="103"/>
      <w:r w:rsidRPr="00D736C2">
        <w:rPr>
          <w:szCs w:val="24"/>
        </w:rPr>
        <w:t>.</w:t>
      </w:r>
      <w:bookmarkEnd w:id="104"/>
      <w:bookmarkEnd w:id="105"/>
      <w:bookmarkEnd w:id="106"/>
      <w:bookmarkEnd w:id="107"/>
      <w:bookmarkEnd w:id="108"/>
      <w:bookmarkEnd w:id="109"/>
      <w:bookmarkEnd w:id="110"/>
      <w:r w:rsidRPr="00D736C2">
        <w:rPr>
          <w:szCs w:val="24"/>
        </w:rPr>
        <w:t xml:space="preserve"> </w:t>
      </w:r>
    </w:p>
    <w:p w14:paraId="1E51F90E" w14:textId="77777777" w:rsidR="005163C4" w:rsidRPr="00D736C2" w:rsidRDefault="005163C4" w:rsidP="00D736C2">
      <w:pPr>
        <w:pStyle w:val="Prrafodelista"/>
        <w:tabs>
          <w:tab w:val="left" w:pos="426"/>
        </w:tabs>
        <w:spacing w:line="360" w:lineRule="auto"/>
        <w:ind w:left="0"/>
        <w:jc w:val="both"/>
        <w:rPr>
          <w:rFonts w:ascii="Palatino Linotype" w:eastAsia="MS Mincho" w:hAnsi="Palatino Linotype" w:cs="Arial"/>
          <w:color w:val="000000" w:themeColor="text1"/>
        </w:rPr>
      </w:pPr>
    </w:p>
    <w:p w14:paraId="49CC4EC0" w14:textId="77777777" w:rsidR="005163C4" w:rsidRPr="00D736C2" w:rsidRDefault="005163C4" w:rsidP="00D736C2">
      <w:pPr>
        <w:pStyle w:val="Prrafodelista"/>
        <w:numPr>
          <w:ilvl w:val="0"/>
          <w:numId w:val="1"/>
        </w:numPr>
        <w:spacing w:line="360" w:lineRule="auto"/>
        <w:ind w:left="0" w:right="49"/>
        <w:jc w:val="both"/>
        <w:rPr>
          <w:rFonts w:ascii="Palatino Linotype" w:eastAsia="Times New Roman" w:hAnsi="Palatino Linotype" w:cs="Arial"/>
          <w:color w:val="000000"/>
        </w:rPr>
      </w:pPr>
      <w:r w:rsidRPr="00D736C2">
        <w:rPr>
          <w:rFonts w:ascii="Palatino Linotype" w:eastAsia="Times New Roman" w:hAnsi="Palatino Linotype" w:cs="Arial"/>
          <w:color w:val="000000"/>
        </w:rPr>
        <w:t>Debe destacarse que, debido a la naturaleza de la información solicitada</w:t>
      </w:r>
      <w:r w:rsidRPr="00D736C2">
        <w:rPr>
          <w:rFonts w:ascii="Palatino Linotype" w:eastAsia="Times New Roman" w:hAnsi="Palatino Linotype" w:cs="Arial"/>
          <w:b/>
          <w:color w:val="000000"/>
        </w:rPr>
        <w:t xml:space="preserve">, </w:t>
      </w:r>
      <w:r w:rsidRPr="00D736C2">
        <w:rPr>
          <w:rFonts w:ascii="Palatino Linotype" w:eastAsia="Times New Roman" w:hAnsi="Palatino Linotype" w:cs="Arial"/>
          <w:color w:val="000000"/>
        </w:rPr>
        <w:t xml:space="preserve">eventualmente pudiera obrar datos personales susceptibles de protegerse, el </w:t>
      </w:r>
      <w:r w:rsidRPr="00D736C2">
        <w:rPr>
          <w:rFonts w:ascii="Palatino Linotype" w:eastAsia="Times New Roman" w:hAnsi="Palatino Linotype" w:cs="Arial"/>
          <w:b/>
          <w:bCs/>
          <w:color w:val="000000"/>
        </w:rPr>
        <w:t xml:space="preserve">Sujeto Obligado </w:t>
      </w:r>
      <w:r w:rsidRPr="00D736C2">
        <w:rPr>
          <w:rFonts w:ascii="Palatino Linotype" w:eastAsia="Times New Roman" w:hAnsi="Palatino Linotype" w:cs="Arial"/>
          <w:color w:val="000000"/>
        </w:rPr>
        <w:t xml:space="preserve">deberá de hacer la adecuada versión pública, protegiendo los datos que no son susceptibles de ser proporcionados. </w:t>
      </w:r>
    </w:p>
    <w:p w14:paraId="3DF5EC39" w14:textId="77777777" w:rsidR="005163C4" w:rsidRPr="00D736C2" w:rsidRDefault="005163C4" w:rsidP="00D736C2">
      <w:pPr>
        <w:pStyle w:val="Prrafodelista"/>
        <w:tabs>
          <w:tab w:val="left" w:pos="0"/>
        </w:tabs>
        <w:spacing w:line="360" w:lineRule="auto"/>
        <w:ind w:left="0" w:right="49"/>
        <w:jc w:val="both"/>
        <w:rPr>
          <w:rFonts w:ascii="Palatino Linotype" w:eastAsia="MS Mincho" w:hAnsi="Palatino Linotype" w:cs="Times New Roman"/>
          <w:lang w:val="es-ES"/>
        </w:rPr>
      </w:pPr>
    </w:p>
    <w:p w14:paraId="1E7423B2" w14:textId="77777777" w:rsidR="005163C4" w:rsidRPr="00D736C2" w:rsidRDefault="005163C4" w:rsidP="00D736C2">
      <w:pPr>
        <w:pStyle w:val="Prrafodelista"/>
        <w:numPr>
          <w:ilvl w:val="0"/>
          <w:numId w:val="1"/>
        </w:numPr>
        <w:spacing w:line="360" w:lineRule="auto"/>
        <w:ind w:left="0" w:right="49"/>
        <w:jc w:val="both"/>
        <w:rPr>
          <w:rFonts w:ascii="Palatino Linotype" w:eastAsia="Times New Roman" w:hAnsi="Palatino Linotype" w:cs="Arial"/>
          <w:color w:val="000000"/>
        </w:rPr>
      </w:pPr>
      <w:r w:rsidRPr="00D736C2">
        <w:rPr>
          <w:rFonts w:ascii="Palatino Linotype" w:eastAsia="Times New Roman" w:hAnsi="Palatino Linotype" w:cs="Arial"/>
          <w:color w:val="000000"/>
        </w:rPr>
        <w:t xml:space="preserve">No pasa desapercibido para este Órgano Garante que los </w:t>
      </w:r>
      <w:r w:rsidRPr="00D736C2">
        <w:rPr>
          <w:rFonts w:ascii="Palatino Linotype" w:eastAsia="Times New Roman" w:hAnsi="Palatino Linotype" w:cs="Arial"/>
          <w:b/>
          <w:bCs/>
          <w:color w:val="000000"/>
        </w:rPr>
        <w:t xml:space="preserve">Sujetos Obligados </w:t>
      </w:r>
      <w:r w:rsidRPr="00D736C2">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88A2719" w14:textId="77777777" w:rsidR="005163C4" w:rsidRPr="00D736C2" w:rsidRDefault="005163C4" w:rsidP="00D736C2">
      <w:pPr>
        <w:spacing w:line="360" w:lineRule="auto"/>
        <w:ind w:right="49"/>
        <w:contextualSpacing/>
        <w:jc w:val="both"/>
        <w:rPr>
          <w:rFonts w:ascii="Palatino Linotype" w:eastAsia="Times New Roman" w:hAnsi="Palatino Linotype" w:cs="Arial"/>
          <w:color w:val="000000"/>
        </w:rPr>
      </w:pPr>
    </w:p>
    <w:tbl>
      <w:tblPr>
        <w:tblStyle w:val="Tabladecuadrcula6concolores-nfasis3"/>
        <w:tblW w:w="0" w:type="auto"/>
        <w:tblLook w:val="04A0" w:firstRow="1" w:lastRow="0" w:firstColumn="1" w:lastColumn="0" w:noHBand="0" w:noVBand="1"/>
      </w:tblPr>
      <w:tblGrid>
        <w:gridCol w:w="1838"/>
        <w:gridCol w:w="6990"/>
      </w:tblGrid>
      <w:tr w:rsidR="005163C4" w:rsidRPr="00D736C2" w14:paraId="32146BA9" w14:textId="77777777" w:rsidTr="00516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2D69B" w:themeColor="accent3" w:themeTint="99"/>
              <w:left w:val="single" w:sz="4" w:space="0" w:color="C2D69B" w:themeColor="accent3" w:themeTint="99"/>
              <w:right w:val="single" w:sz="4" w:space="0" w:color="C2D69B" w:themeColor="accent3" w:themeTint="99"/>
            </w:tcBorders>
            <w:hideMark/>
          </w:tcPr>
          <w:p w14:paraId="170AD635" w14:textId="77777777" w:rsidR="005163C4" w:rsidRPr="00D736C2" w:rsidRDefault="005163C4" w:rsidP="00D736C2">
            <w:pPr>
              <w:spacing w:line="360" w:lineRule="auto"/>
              <w:rPr>
                <w:rFonts w:ascii="Palatino Linotype" w:hAnsi="Palatino Linotype"/>
                <w:bCs w:val="0"/>
                <w:color w:val="auto"/>
                <w:sz w:val="24"/>
                <w:szCs w:val="24"/>
                <w:lang w:val="es-MX"/>
              </w:rPr>
            </w:pPr>
            <w:r w:rsidRPr="00D736C2">
              <w:rPr>
                <w:rFonts w:ascii="Palatino Linotype" w:hAnsi="Palatino Linotype" w:cstheme="majorBidi"/>
                <w:bCs w:val="0"/>
                <w:color w:val="auto"/>
                <w:sz w:val="24"/>
                <w:szCs w:val="24"/>
                <w:lang w:val="es-MX"/>
              </w:rPr>
              <w:t>a) Requisitos previos.</w:t>
            </w:r>
          </w:p>
        </w:tc>
        <w:tc>
          <w:tcPr>
            <w:tcW w:w="6990" w:type="dxa"/>
            <w:tcBorders>
              <w:top w:val="single" w:sz="4" w:space="0" w:color="C2D69B" w:themeColor="accent3" w:themeTint="99"/>
              <w:left w:val="single" w:sz="4" w:space="0" w:color="C2D69B" w:themeColor="accent3" w:themeTint="99"/>
              <w:right w:val="single" w:sz="4" w:space="0" w:color="C2D69B" w:themeColor="accent3" w:themeTint="99"/>
            </w:tcBorders>
            <w:hideMark/>
          </w:tcPr>
          <w:p w14:paraId="15C866DB" w14:textId="77777777" w:rsidR="005163C4" w:rsidRPr="00D736C2" w:rsidRDefault="005163C4" w:rsidP="00D736C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lang w:val="es-MX"/>
              </w:rPr>
            </w:pPr>
            <w:r w:rsidRPr="00D736C2">
              <w:rPr>
                <w:rFonts w:ascii="Palatino Linotype" w:eastAsia="Times New Roman" w:hAnsi="Palatino Linotype" w:cs="Arial"/>
                <w:b w:val="0"/>
                <w:bCs w:val="0"/>
                <w:color w:val="000000"/>
                <w:sz w:val="24"/>
                <w:szCs w:val="24"/>
                <w:lang w:val="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41E8A7E" w14:textId="77777777" w:rsidR="005163C4" w:rsidRPr="00D736C2" w:rsidRDefault="005163C4" w:rsidP="00D736C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lang w:val="es-MX"/>
              </w:rPr>
            </w:pPr>
            <w:r w:rsidRPr="00D736C2">
              <w:rPr>
                <w:rFonts w:ascii="Palatino Linotype" w:eastAsia="Times New Roman" w:hAnsi="Palatino Linotype" w:cs="Arial"/>
                <w:b w:val="0"/>
                <w:bCs w:val="0"/>
                <w:color w:val="000000"/>
                <w:sz w:val="24"/>
                <w:szCs w:val="24"/>
                <w:lang w:val="es-MX"/>
              </w:rPr>
              <w:lastRenderedPageBreak/>
              <w:t>Al hacerlo tienen que precisar de qué información se trata, señalando el supuesto de clasificación (confidencialidad o reserva).</w:t>
            </w:r>
          </w:p>
          <w:p w14:paraId="62B3E0AF" w14:textId="77777777" w:rsidR="005163C4" w:rsidRPr="00D736C2" w:rsidRDefault="005163C4" w:rsidP="00D736C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lang w:val="es-MX"/>
              </w:rPr>
            </w:pPr>
            <w:r w:rsidRPr="00D736C2">
              <w:rPr>
                <w:rFonts w:ascii="Palatino Linotype" w:eastAsia="Times New Roman" w:hAnsi="Palatino Linotype" w:cs="Arial"/>
                <w:b w:val="0"/>
                <w:bCs w:val="0"/>
                <w:color w:val="000000"/>
                <w:sz w:val="24"/>
                <w:szCs w:val="24"/>
                <w:lang w:val="es-MX"/>
              </w:rPr>
              <w:t>Además, se debe señalar el procedimiento, de los tres que establecen los artículos 132 y 106 de la Ley Estatal y General, respectivamente.</w:t>
            </w:r>
          </w:p>
          <w:p w14:paraId="29BF7C68" w14:textId="77777777" w:rsidR="005163C4" w:rsidRPr="00D736C2" w:rsidRDefault="005163C4" w:rsidP="00D736C2">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rPr>
            </w:pPr>
            <w:r w:rsidRPr="00D736C2">
              <w:rPr>
                <w:rFonts w:ascii="Palatino Linotype" w:eastAsia="Times New Roman" w:hAnsi="Palatino Linotype" w:cs="Arial"/>
                <w:b w:val="0"/>
                <w:bCs w:val="0"/>
                <w:color w:val="000000"/>
                <w:sz w:val="24"/>
                <w:szCs w:val="24"/>
                <w:lang w:val="es-MX"/>
              </w:rPr>
              <w:t xml:space="preserve">El último de estos requisitos previos consiste en que no se pueden emitir acuerdos de carácter general ni particular, esto es, </w:t>
            </w:r>
            <w:r w:rsidRPr="00D736C2">
              <w:rPr>
                <w:rFonts w:ascii="Palatino Linotype" w:eastAsia="Times New Roman" w:hAnsi="Palatino Linotype" w:cs="Arial"/>
                <w:b w:val="0"/>
                <w:bCs w:val="0"/>
                <w:color w:val="000000"/>
                <w:sz w:val="24"/>
                <w:szCs w:val="24"/>
                <w:u w:val="single"/>
                <w:lang w:val="es-MX"/>
              </w:rPr>
              <w:t>no se puede hacer un acuerdo para clasificar de manera general todos los documentos de un expediente o área, sin</w:t>
            </w:r>
            <w:r w:rsidRPr="00D736C2">
              <w:rPr>
                <w:rFonts w:ascii="Palatino Linotype" w:eastAsia="Times New Roman" w:hAnsi="Palatino Linotype" w:cs="Arial"/>
                <w:b w:val="0"/>
                <w:bCs w:val="0"/>
                <w:color w:val="000000"/>
                <w:sz w:val="24"/>
                <w:szCs w:val="24"/>
                <w:lang w:val="es-MX"/>
              </w:rPr>
              <w:t xml:space="preserve"> individualizar su análisis y tampoco se puede hacer un acuerdo por cada dato que se vaya a clasificar dentro de un documento con diez datos, por ejemplo, susceptibles de ser clasificados.</w:t>
            </w:r>
          </w:p>
        </w:tc>
      </w:tr>
      <w:tr w:rsidR="005163C4" w:rsidRPr="00D736C2" w14:paraId="6D178021" w14:textId="77777777" w:rsidTr="00516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4730FFB" w14:textId="77777777" w:rsidR="005163C4" w:rsidRPr="00D736C2" w:rsidRDefault="005163C4" w:rsidP="00D736C2">
            <w:pPr>
              <w:spacing w:line="360" w:lineRule="auto"/>
              <w:rPr>
                <w:rFonts w:ascii="Palatino Linotype" w:hAnsi="Palatino Linotype"/>
                <w:bCs w:val="0"/>
                <w:sz w:val="24"/>
                <w:szCs w:val="24"/>
                <w:lang w:val="es-MX"/>
              </w:rPr>
            </w:pPr>
            <w:r w:rsidRPr="00D736C2">
              <w:rPr>
                <w:rFonts w:ascii="Palatino Linotype" w:hAnsi="Palatino Linotype" w:cstheme="majorBidi"/>
                <w:bCs w:val="0"/>
                <w:color w:val="auto"/>
                <w:sz w:val="24"/>
                <w:szCs w:val="24"/>
                <w:lang w:val="es-MX"/>
              </w:rPr>
              <w:lastRenderedPageBreak/>
              <w:t>b) Supuestos de clasificación.</w:t>
            </w:r>
          </w:p>
        </w:tc>
        <w:tc>
          <w:tcPr>
            <w:tcW w:w="6990"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D38E500"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Las disposiciones constitucionales y legales en la materia establecen los dos supuestos generales para clasificar la información: por reserva y por confidencialidad.</w:t>
            </w:r>
          </w:p>
          <w:p w14:paraId="6AB62284"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D736C2">
              <w:rPr>
                <w:rFonts w:ascii="Palatino Linotype" w:eastAsia="Times New Roman" w:hAnsi="Palatino Linotype" w:cs="Arial"/>
                <w:color w:val="000000"/>
                <w:sz w:val="24"/>
                <w:szCs w:val="24"/>
                <w:lang w:val="es-MX"/>
              </w:rPr>
              <w:lastRenderedPageBreak/>
              <w:t>ampliar las excepciones o supuestos de clasificación aduciendo analogía o mayoría de razón.</w:t>
            </w:r>
          </w:p>
          <w:p w14:paraId="685702E8" w14:textId="77777777" w:rsidR="005163C4" w:rsidRPr="00D736C2" w:rsidRDefault="005163C4" w:rsidP="00D736C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rPr>
            </w:pPr>
            <w:r w:rsidRPr="00D736C2">
              <w:rPr>
                <w:rFonts w:ascii="Palatino Linotype" w:eastAsia="Times New Roman" w:hAnsi="Palatino Linotype" w:cs="Arial"/>
                <w:color w:val="000000"/>
                <w:sz w:val="24"/>
                <w:szCs w:val="24"/>
                <w:lang w:val="es-MX"/>
              </w:rPr>
              <w:t xml:space="preserve">El </w:t>
            </w:r>
            <w:r w:rsidRPr="00D736C2">
              <w:rPr>
                <w:rFonts w:ascii="Palatino Linotype" w:eastAsia="Times New Roman" w:hAnsi="Palatino Linotype" w:cs="Arial"/>
                <w:b/>
                <w:color w:val="000000"/>
                <w:sz w:val="24"/>
                <w:szCs w:val="24"/>
                <w:lang w:val="es-MX"/>
              </w:rPr>
              <w:t>Sujeto Obligado</w:t>
            </w:r>
            <w:r w:rsidRPr="00D736C2">
              <w:rPr>
                <w:rFonts w:ascii="Palatino Linotype" w:eastAsia="Times New Roman" w:hAnsi="Palatino Linotype" w:cs="Arial"/>
                <w:color w:val="000000"/>
                <w:sz w:val="24"/>
                <w:szCs w:val="24"/>
                <w:lang w:val="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163C4" w:rsidRPr="00D736C2" w14:paraId="4A10DDBE" w14:textId="77777777" w:rsidTr="005163C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99B69E0" w14:textId="77777777" w:rsidR="005163C4" w:rsidRPr="00D736C2" w:rsidRDefault="005163C4" w:rsidP="00D736C2">
            <w:pPr>
              <w:spacing w:line="360" w:lineRule="auto"/>
              <w:rPr>
                <w:rFonts w:ascii="Palatino Linotype" w:hAnsi="Palatino Linotype"/>
                <w:bCs w:val="0"/>
                <w:sz w:val="24"/>
                <w:szCs w:val="24"/>
                <w:lang w:val="es-MX"/>
              </w:rPr>
            </w:pPr>
            <w:r w:rsidRPr="00D736C2">
              <w:rPr>
                <w:rFonts w:ascii="Palatino Linotype" w:hAnsi="Palatino Linotype" w:cstheme="majorBidi"/>
                <w:bCs w:val="0"/>
                <w:color w:val="auto"/>
                <w:sz w:val="24"/>
                <w:szCs w:val="24"/>
                <w:lang w:val="es-MX"/>
              </w:rPr>
              <w:lastRenderedPageBreak/>
              <w:t>c) Formalidades para emitir el acuerdo de clasificación.</w:t>
            </w:r>
          </w:p>
        </w:tc>
        <w:tc>
          <w:tcPr>
            <w:tcW w:w="6990"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A3981D5" w14:textId="77777777" w:rsidR="005163C4" w:rsidRPr="00D736C2" w:rsidRDefault="005163C4" w:rsidP="00D736C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El Comité de Transparencia, según lo dispuesto en los artículos cuenta con las facultades para aprobar, modificar o revocar la clasificación de la información que haya propuesto. </w:t>
            </w:r>
          </w:p>
          <w:p w14:paraId="2B36787C" w14:textId="77777777" w:rsidR="005163C4" w:rsidRPr="00D736C2" w:rsidRDefault="005163C4" w:rsidP="00D736C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Es necesario que </w:t>
            </w:r>
            <w:r w:rsidRPr="00D736C2">
              <w:rPr>
                <w:rFonts w:ascii="Palatino Linotype" w:eastAsia="Times New Roman" w:hAnsi="Palatino Linotype" w:cs="Arial"/>
                <w:b/>
                <w:color w:val="000000"/>
                <w:sz w:val="24"/>
                <w:szCs w:val="24"/>
                <w:u w:val="single"/>
                <w:lang w:val="es-MX"/>
              </w:rPr>
              <w:t>el acto reúna con los requisitos elementales</w:t>
            </w:r>
            <w:r w:rsidRPr="00D736C2">
              <w:rPr>
                <w:rFonts w:ascii="Palatino Linotype" w:eastAsia="Times New Roman" w:hAnsi="Palatino Linotype" w:cs="Arial"/>
                <w:color w:val="000000"/>
                <w:sz w:val="24"/>
                <w:szCs w:val="24"/>
                <w:lang w:val="es-MX"/>
              </w:rPr>
              <w:t>, entre ellos, que la autoridad que va a emitir el acto de autoridad sea la legalmente facultada para ello.</w:t>
            </w:r>
          </w:p>
          <w:p w14:paraId="63B8F80C" w14:textId="77777777" w:rsidR="005163C4" w:rsidRPr="00D736C2" w:rsidRDefault="005163C4" w:rsidP="00D736C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rPr>
            </w:pPr>
            <w:r w:rsidRPr="00D736C2">
              <w:rPr>
                <w:rFonts w:ascii="Palatino Linotype" w:eastAsia="Times New Roman" w:hAnsi="Palatino Linotype" w:cs="Arial"/>
                <w:color w:val="000000"/>
                <w:sz w:val="24"/>
                <w:szCs w:val="24"/>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163C4" w:rsidRPr="00D736C2" w14:paraId="008E5363" w14:textId="77777777" w:rsidTr="00516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0417A5C2" w14:textId="77777777" w:rsidR="005163C4" w:rsidRPr="00D736C2" w:rsidRDefault="005163C4" w:rsidP="00D736C2">
            <w:pPr>
              <w:spacing w:line="360" w:lineRule="auto"/>
              <w:rPr>
                <w:rFonts w:ascii="Palatino Linotype" w:hAnsi="Palatino Linotype"/>
                <w:b w:val="0"/>
                <w:sz w:val="24"/>
                <w:szCs w:val="24"/>
                <w:lang w:val="es-MX"/>
              </w:rPr>
            </w:pPr>
          </w:p>
          <w:p w14:paraId="1A3EADE3" w14:textId="77777777" w:rsidR="005163C4" w:rsidRPr="00D736C2" w:rsidRDefault="005163C4" w:rsidP="00D736C2">
            <w:pPr>
              <w:spacing w:line="360" w:lineRule="auto"/>
              <w:jc w:val="both"/>
              <w:rPr>
                <w:rFonts w:ascii="Palatino Linotype" w:hAnsi="Palatino Linotype"/>
                <w:bCs w:val="0"/>
                <w:sz w:val="24"/>
                <w:szCs w:val="24"/>
                <w:lang w:val="es-MX"/>
              </w:rPr>
            </w:pPr>
            <w:r w:rsidRPr="00D736C2">
              <w:rPr>
                <w:rFonts w:ascii="Palatino Linotype" w:eastAsia="Times New Roman" w:hAnsi="Palatino Linotype" w:cs="Arial"/>
                <w:bCs w:val="0"/>
                <w:color w:val="000000"/>
                <w:sz w:val="24"/>
                <w:szCs w:val="24"/>
                <w:lang w:val="es-MX"/>
              </w:rPr>
              <w:t xml:space="preserve">d) Requisitos de fondo del acuerdo de clasificación. </w:t>
            </w:r>
          </w:p>
        </w:tc>
        <w:tc>
          <w:tcPr>
            <w:tcW w:w="6990"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1A1AFF5"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736C2">
              <w:rPr>
                <w:rFonts w:ascii="Palatino Linotype" w:eastAsia="Times New Roman" w:hAnsi="Palatino Linotype" w:cs="Arial"/>
                <w:b/>
                <w:color w:val="000000"/>
                <w:sz w:val="24"/>
                <w:szCs w:val="24"/>
                <w:lang w:val="es-MX"/>
              </w:rPr>
              <w:t>Sujetos Obligados</w:t>
            </w:r>
            <w:r w:rsidRPr="00D736C2">
              <w:rPr>
                <w:rFonts w:ascii="Palatino Linotype" w:eastAsia="Times New Roman" w:hAnsi="Palatino Linotype" w:cs="Arial"/>
                <w:color w:val="000000"/>
                <w:sz w:val="24"/>
                <w:szCs w:val="24"/>
                <w:lang w:val="es-MX"/>
              </w:rPr>
              <w:t xml:space="preserve">, por lo que deberán fundar y motivar debidamente la clasificación. </w:t>
            </w:r>
          </w:p>
          <w:p w14:paraId="62E849AE"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De lo anterior, se desprende que para una correcta </w:t>
            </w:r>
            <w:r w:rsidRPr="00D736C2">
              <w:rPr>
                <w:rFonts w:ascii="Palatino Linotype" w:eastAsia="Times New Roman" w:hAnsi="Palatino Linotype" w:cs="Arial"/>
                <w:b/>
                <w:color w:val="000000"/>
                <w:sz w:val="24"/>
                <w:szCs w:val="24"/>
                <w:lang w:val="es-MX"/>
              </w:rPr>
              <w:t>clasificación total o parcial</w:t>
            </w:r>
            <w:r w:rsidRPr="00D736C2">
              <w:rPr>
                <w:rFonts w:ascii="Palatino Linotype" w:eastAsia="Times New Roman" w:hAnsi="Palatino Linotype" w:cs="Arial"/>
                <w:color w:val="000000"/>
                <w:sz w:val="24"/>
                <w:szCs w:val="24"/>
                <w:lang w:val="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45F85D6"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F9E0C40"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lastRenderedPageBreak/>
              <w:t>En ese mismo sentido, el numeral trigésimo tercero fracción V de los Lineamientos Generales, precisa que para motivar la clasificación se deben acreditar las circunstancias de tiempo, modo y lugar.</w:t>
            </w:r>
          </w:p>
          <w:p w14:paraId="4D48E537" w14:textId="77777777" w:rsidR="005163C4" w:rsidRPr="00D736C2" w:rsidRDefault="005163C4" w:rsidP="00D736C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Ahora bien, </w:t>
            </w:r>
            <w:r w:rsidRPr="00D736C2">
              <w:rPr>
                <w:rFonts w:ascii="Palatino Linotype" w:eastAsia="Times New Roman" w:hAnsi="Palatino Linotype" w:cs="Arial"/>
                <w:b/>
                <w:color w:val="000000"/>
                <w:sz w:val="24"/>
                <w:szCs w:val="24"/>
                <w:u w:val="single"/>
                <w:lang w:val="es-MX"/>
              </w:rPr>
              <w:t>para cada caso además de fundar y motivar</w:t>
            </w:r>
            <w:r w:rsidRPr="00D736C2">
              <w:rPr>
                <w:rFonts w:ascii="Palatino Linotype" w:eastAsia="Times New Roman" w:hAnsi="Palatino Linotype" w:cs="Arial"/>
                <w:color w:val="000000"/>
                <w:sz w:val="24"/>
                <w:szCs w:val="24"/>
                <w:lang w:val="es-MX"/>
              </w:rPr>
              <w:t xml:space="preserve">, se debe identificar con claridad que datos contenidos en las documentales que son susceptibles de suprimirse, por ejemplo; </w:t>
            </w:r>
            <w:r w:rsidRPr="00D736C2">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163C4" w:rsidRPr="00D736C2" w14:paraId="65FD0442" w14:textId="77777777" w:rsidTr="005163C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F21BFB9" w14:textId="77777777" w:rsidR="005163C4" w:rsidRPr="00D736C2" w:rsidRDefault="005163C4" w:rsidP="00D736C2">
            <w:pPr>
              <w:spacing w:line="360" w:lineRule="auto"/>
              <w:ind w:right="49"/>
              <w:jc w:val="both"/>
              <w:rPr>
                <w:rFonts w:ascii="Palatino Linotype" w:eastAsia="Times New Roman" w:hAnsi="Palatino Linotype" w:cs="Arial"/>
                <w:bCs w:val="0"/>
                <w:color w:val="auto"/>
                <w:sz w:val="24"/>
                <w:szCs w:val="24"/>
                <w:lang w:val="es-MX"/>
              </w:rPr>
            </w:pPr>
            <w:r w:rsidRPr="00D736C2">
              <w:rPr>
                <w:rFonts w:ascii="Palatino Linotype" w:eastAsia="MS Gothic" w:hAnsi="Palatino Linotype" w:cs="Times New Roman"/>
                <w:b w:val="0"/>
                <w:color w:val="auto"/>
                <w:sz w:val="24"/>
                <w:szCs w:val="24"/>
                <w:lang w:val="es-MX"/>
              </w:rPr>
              <w:lastRenderedPageBreak/>
              <w:t>e</w:t>
            </w:r>
            <w:r w:rsidRPr="00D736C2">
              <w:rPr>
                <w:rFonts w:ascii="Palatino Linotype" w:eastAsia="MS Gothic" w:hAnsi="Palatino Linotype" w:cs="Times New Roman"/>
                <w:bCs w:val="0"/>
                <w:color w:val="auto"/>
                <w:sz w:val="24"/>
                <w:szCs w:val="24"/>
                <w:lang w:val="es-MX"/>
              </w:rPr>
              <w:t xml:space="preserve">) Condiciones especiales de la clasificación de la información como confidencial. </w:t>
            </w:r>
          </w:p>
        </w:tc>
        <w:tc>
          <w:tcPr>
            <w:tcW w:w="6990"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CC51657" w14:textId="77777777" w:rsidR="005163C4" w:rsidRPr="00D736C2" w:rsidRDefault="005163C4" w:rsidP="00D736C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Los artículos 148 y 120 de la Ley Estatal y de la Ley General, respectivamente, establecen que aun tratándose de datos personales, se podrán proporcionar, incluso sin solicitar el consentimiento de su titular. </w:t>
            </w:r>
          </w:p>
          <w:p w14:paraId="2FF6EFD5" w14:textId="77777777" w:rsidR="005163C4" w:rsidRPr="00D736C2" w:rsidRDefault="005163C4" w:rsidP="00D736C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736C2">
              <w:rPr>
                <w:rFonts w:ascii="Palatino Linotype" w:eastAsia="Times New Roman" w:hAnsi="Palatino Linotype" w:cs="Arial"/>
                <w:color w:val="000000"/>
                <w:sz w:val="24"/>
                <w:szCs w:val="24"/>
                <w:lang w:val="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F5B8B55" w14:textId="77777777" w:rsidR="005163C4" w:rsidRPr="00D736C2" w:rsidRDefault="005163C4" w:rsidP="00D736C2">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rPr>
            </w:pPr>
            <w:r w:rsidRPr="00D736C2">
              <w:rPr>
                <w:rFonts w:ascii="Palatino Linotype" w:eastAsia="Times New Roman" w:hAnsi="Palatino Linotype" w:cs="Arial"/>
                <w:color w:val="000000"/>
                <w:sz w:val="24"/>
                <w:szCs w:val="24"/>
                <w:lang w:val="es-MX"/>
              </w:rPr>
              <w:t xml:space="preserve">Pero si la información que se pretende clasificar como confidencial no se encuentra en los supuestos de los artículos </w:t>
            </w:r>
            <w:r w:rsidRPr="00D736C2">
              <w:rPr>
                <w:rFonts w:ascii="Palatino Linotype" w:eastAsia="Times New Roman" w:hAnsi="Palatino Linotype" w:cs="Arial"/>
                <w:color w:val="000000"/>
                <w:sz w:val="24"/>
                <w:szCs w:val="24"/>
                <w:lang w:val="es-MX"/>
              </w:rPr>
              <w:lastRenderedPageBreak/>
              <w:t>señalados y es posible, se deberá consultar al titular de los datos si permite o no el acceso. De no ser posible, la realización de la consulta, procede, fundando y motivando, la clasificación.</w:t>
            </w:r>
          </w:p>
        </w:tc>
      </w:tr>
    </w:tbl>
    <w:p w14:paraId="369943A6" w14:textId="77777777" w:rsidR="005163C4" w:rsidRPr="00D736C2" w:rsidRDefault="005163C4" w:rsidP="00D736C2">
      <w:pPr>
        <w:tabs>
          <w:tab w:val="left" w:pos="0"/>
          <w:tab w:val="left" w:pos="426"/>
        </w:tabs>
        <w:spacing w:line="360" w:lineRule="auto"/>
        <w:ind w:right="49"/>
        <w:contextualSpacing/>
        <w:jc w:val="both"/>
        <w:rPr>
          <w:rFonts w:ascii="Palatino Linotype" w:eastAsia="MS Mincho" w:hAnsi="Palatino Linotype" w:cs="Arial"/>
          <w:i/>
        </w:rPr>
      </w:pPr>
    </w:p>
    <w:p w14:paraId="19EEDE0B" w14:textId="4FBC85F8" w:rsidR="001662A9" w:rsidRPr="00D736C2" w:rsidRDefault="00345491" w:rsidP="00D736C2">
      <w:pPr>
        <w:pStyle w:val="Prrafodelista"/>
        <w:numPr>
          <w:ilvl w:val="0"/>
          <w:numId w:val="1"/>
        </w:numPr>
        <w:spacing w:after="160" w:line="360" w:lineRule="auto"/>
        <w:ind w:left="0"/>
        <w:jc w:val="both"/>
        <w:rPr>
          <w:rFonts w:ascii="Palatino Linotype" w:hAnsi="Palatino Linotype" w:cs="Arial"/>
          <w:color w:val="000000" w:themeColor="text1"/>
        </w:rPr>
      </w:pPr>
      <w:r w:rsidRPr="00D736C2">
        <w:rPr>
          <w:rFonts w:ascii="Palatino Linotype" w:hAnsi="Palatino Linotype"/>
          <w:lang w:val="es-ES" w:eastAsia="es-MX"/>
        </w:rPr>
        <w:t xml:space="preserve">Por lo anteriormente expuesto y fundado, este </w:t>
      </w:r>
      <w:r w:rsidRPr="00D736C2">
        <w:rPr>
          <w:rFonts w:ascii="Palatino Linotype" w:hAnsi="Palatino Linotype"/>
          <w:b/>
          <w:bCs/>
          <w:lang w:val="es-ES" w:eastAsia="es-MX"/>
        </w:rPr>
        <w:t>ÓRGANO GARANTE</w:t>
      </w:r>
      <w:r w:rsidRPr="00D736C2">
        <w:rPr>
          <w:rFonts w:ascii="Palatino Linotype" w:hAnsi="Palatino Linotype"/>
          <w:lang w:val="es-ES" w:eastAsia="es-MX"/>
        </w:rPr>
        <w:t xml:space="preserve"> emite los siguientes:</w:t>
      </w:r>
    </w:p>
    <w:p w14:paraId="73370EB3" w14:textId="77777777" w:rsidR="002C38C9" w:rsidRPr="00D736C2" w:rsidRDefault="002C38C9" w:rsidP="00D736C2">
      <w:pPr>
        <w:pStyle w:val="Ttulo1"/>
        <w:spacing w:line="360" w:lineRule="auto"/>
        <w:ind w:left="2912"/>
        <w:rPr>
          <w:rFonts w:eastAsia="Calibri"/>
          <w:color w:val="auto"/>
          <w:szCs w:val="24"/>
          <w:lang w:val="es-ES" w:eastAsia="es-ES"/>
        </w:rPr>
      </w:pPr>
      <w:bookmarkStart w:id="111" w:name="_Toc475014715"/>
      <w:bookmarkStart w:id="112" w:name="_Toc475381194"/>
      <w:bookmarkStart w:id="113" w:name="_Toc490155969"/>
      <w:bookmarkStart w:id="114" w:name="_Toc490734332"/>
      <w:bookmarkStart w:id="115" w:name="_Toc491854740"/>
      <w:bookmarkStart w:id="116" w:name="_Toc494991893"/>
      <w:bookmarkStart w:id="117" w:name="_Toc513664628"/>
      <w:bookmarkStart w:id="118" w:name="_Toc25255410"/>
      <w:r w:rsidRPr="00D736C2">
        <w:rPr>
          <w:rFonts w:eastAsia="Calibri"/>
          <w:color w:val="auto"/>
          <w:szCs w:val="24"/>
          <w:lang w:val="es-ES" w:eastAsia="es-ES"/>
        </w:rPr>
        <w:t>R E S O L U T I V O S</w:t>
      </w:r>
      <w:bookmarkEnd w:id="111"/>
      <w:bookmarkEnd w:id="112"/>
      <w:bookmarkEnd w:id="113"/>
      <w:bookmarkEnd w:id="114"/>
      <w:bookmarkEnd w:id="115"/>
      <w:bookmarkEnd w:id="116"/>
      <w:bookmarkEnd w:id="117"/>
      <w:bookmarkEnd w:id="118"/>
    </w:p>
    <w:p w14:paraId="47F66B39" w14:textId="77777777" w:rsidR="004D6541" w:rsidRPr="00D736C2" w:rsidRDefault="004D6541" w:rsidP="00D736C2">
      <w:pPr>
        <w:spacing w:line="360" w:lineRule="auto"/>
        <w:rPr>
          <w:rFonts w:ascii="Palatino Linotype" w:hAnsi="Palatino Linotype"/>
          <w:lang w:val="es-ES"/>
        </w:rPr>
      </w:pPr>
    </w:p>
    <w:p w14:paraId="13D19EE8" w14:textId="11F09AF8" w:rsidR="00345491" w:rsidRPr="00D736C2" w:rsidRDefault="00345491" w:rsidP="00D736C2">
      <w:pPr>
        <w:spacing w:line="360" w:lineRule="auto"/>
        <w:jc w:val="both"/>
        <w:rPr>
          <w:rFonts w:ascii="Palatino Linotype" w:hAnsi="Palatino Linotype" w:cs="Arial"/>
          <w:bCs/>
          <w:lang w:eastAsia="es-MX"/>
        </w:rPr>
      </w:pPr>
      <w:r w:rsidRPr="00D736C2">
        <w:rPr>
          <w:rFonts w:ascii="Palatino Linotype" w:eastAsia="Times New Roman" w:hAnsi="Palatino Linotype" w:cs="Arial"/>
          <w:b/>
        </w:rPr>
        <w:t xml:space="preserve">PRIMERO. </w:t>
      </w:r>
      <w:r w:rsidRPr="00D736C2">
        <w:rPr>
          <w:rFonts w:ascii="Palatino Linotype" w:eastAsia="Times New Roman" w:hAnsi="Palatino Linotype" w:cs="Arial"/>
        </w:rPr>
        <w:t>Resultan fundadas las</w:t>
      </w:r>
      <w:r w:rsidRPr="00D736C2">
        <w:rPr>
          <w:rFonts w:ascii="Palatino Linotype" w:eastAsia="Times New Roman" w:hAnsi="Palatino Linotype" w:cs="Arial"/>
          <w:b/>
        </w:rPr>
        <w:t xml:space="preserve"> </w:t>
      </w:r>
      <w:r w:rsidRPr="00D736C2">
        <w:rPr>
          <w:rFonts w:ascii="Palatino Linotype" w:eastAsia="Times New Roman" w:hAnsi="Palatino Linotype" w:cs="Arial"/>
          <w:lang w:val="es-ES"/>
        </w:rPr>
        <w:t xml:space="preserve">razones o motivos de inconformidad hechos valer </w:t>
      </w:r>
      <w:r w:rsidRPr="00D736C2">
        <w:rPr>
          <w:rFonts w:ascii="Palatino Linotype" w:eastAsia="Calibri" w:hAnsi="Palatino Linotype" w:cs="Arial"/>
          <w:lang w:val="es-ES"/>
        </w:rPr>
        <w:t xml:space="preserve">en el recurso de revisión </w:t>
      </w:r>
      <w:r w:rsidR="0095074E" w:rsidRPr="00D736C2">
        <w:rPr>
          <w:rFonts w:ascii="Palatino Linotype" w:hAnsi="Palatino Linotype" w:cs="Arial"/>
          <w:b/>
          <w:bCs/>
        </w:rPr>
        <w:t>07527/INFOEM/IP/RR/2019</w:t>
      </w:r>
      <w:r w:rsidRPr="00D736C2">
        <w:rPr>
          <w:rFonts w:ascii="Palatino Linotype" w:hAnsi="Palatino Linotype" w:cs="Arial"/>
          <w:b/>
          <w:bCs/>
          <w:lang w:eastAsia="es-MX"/>
        </w:rPr>
        <w:t xml:space="preserve"> </w:t>
      </w:r>
      <w:r w:rsidRPr="00D736C2">
        <w:rPr>
          <w:rFonts w:ascii="Palatino Linotype" w:hAnsi="Palatino Linotype" w:cs="Arial"/>
          <w:bCs/>
          <w:lang w:eastAsia="es-MX"/>
        </w:rPr>
        <w:t xml:space="preserve">en términos de los </w:t>
      </w:r>
      <w:r w:rsidRPr="00D736C2">
        <w:rPr>
          <w:rFonts w:ascii="Palatino Linotype" w:hAnsi="Palatino Linotype" w:cs="Arial"/>
          <w:b/>
          <w:bCs/>
          <w:lang w:eastAsia="es-MX"/>
        </w:rPr>
        <w:t xml:space="preserve">Considerandos CUARTO y QUINTO </w:t>
      </w:r>
      <w:r w:rsidRPr="00D736C2">
        <w:rPr>
          <w:rFonts w:ascii="Palatino Linotype" w:hAnsi="Palatino Linotype" w:cs="Arial"/>
          <w:bCs/>
          <w:lang w:eastAsia="es-MX"/>
        </w:rPr>
        <w:t>de la presente resolución.</w:t>
      </w:r>
    </w:p>
    <w:p w14:paraId="6BC9D7FC" w14:textId="382BF796" w:rsidR="00345491" w:rsidRPr="00D736C2" w:rsidRDefault="00345491" w:rsidP="00D736C2">
      <w:pPr>
        <w:spacing w:before="240" w:after="240" w:line="360" w:lineRule="auto"/>
        <w:jc w:val="both"/>
        <w:rPr>
          <w:rFonts w:ascii="Palatino Linotype" w:eastAsia="Calibri" w:hAnsi="Palatino Linotype" w:cs="Arial"/>
          <w:lang w:val="es-ES"/>
        </w:rPr>
      </w:pPr>
      <w:r w:rsidRPr="00D736C2">
        <w:rPr>
          <w:rFonts w:ascii="Palatino Linotype" w:hAnsi="Palatino Linotype"/>
          <w:b/>
        </w:rPr>
        <w:t>SEGUNDO.</w:t>
      </w:r>
      <w:r w:rsidRPr="00D736C2">
        <w:rPr>
          <w:rStyle w:val="Ttulo2Car"/>
          <w:b w:val="0"/>
          <w:szCs w:val="24"/>
        </w:rPr>
        <w:t xml:space="preserve"> </w:t>
      </w:r>
      <w:r w:rsidRPr="00D736C2">
        <w:rPr>
          <w:rFonts w:ascii="Palatino Linotype" w:eastAsia="Calibri" w:hAnsi="Palatino Linotype" w:cs="Arial"/>
          <w:lang w:val="es-ES"/>
        </w:rPr>
        <w:t>Se</w:t>
      </w:r>
      <w:r w:rsidRPr="00D736C2">
        <w:rPr>
          <w:rFonts w:ascii="Palatino Linotype" w:eastAsia="Calibri" w:hAnsi="Palatino Linotype" w:cs="Arial"/>
          <w:b/>
          <w:lang w:val="es-ES"/>
        </w:rPr>
        <w:t xml:space="preserve"> REVOCA </w:t>
      </w:r>
      <w:r w:rsidRPr="00D736C2">
        <w:rPr>
          <w:rFonts w:ascii="Palatino Linotype" w:eastAsia="Calibri" w:hAnsi="Palatino Linotype" w:cs="Arial"/>
          <w:lang w:val="es-ES"/>
        </w:rPr>
        <w:t>la respuesta emitida por la</w:t>
      </w:r>
      <w:r w:rsidRPr="00D736C2">
        <w:rPr>
          <w:rFonts w:ascii="Palatino Linotype" w:eastAsia="Calibri" w:hAnsi="Palatino Linotype" w:cs="Arial"/>
          <w:b/>
          <w:lang w:val="es-ES"/>
        </w:rPr>
        <w:t xml:space="preserve"> </w:t>
      </w:r>
      <w:r w:rsidR="00B375D7" w:rsidRPr="00D736C2">
        <w:rPr>
          <w:rFonts w:ascii="Palatino Linotype" w:hAnsi="Palatino Linotype" w:cs="Arial"/>
          <w:b/>
        </w:rPr>
        <w:t>Secretaría de Finanzas</w:t>
      </w:r>
      <w:r w:rsidRPr="00D736C2">
        <w:rPr>
          <w:rFonts w:ascii="Palatino Linotype" w:hAnsi="Palatino Linotype"/>
          <w:b/>
          <w:bCs/>
        </w:rPr>
        <w:t xml:space="preserve"> </w:t>
      </w:r>
      <w:r w:rsidRPr="00D736C2">
        <w:rPr>
          <w:rFonts w:ascii="Palatino Linotype" w:hAnsi="Palatino Linotype"/>
          <w:bCs/>
        </w:rPr>
        <w:t>y se</w:t>
      </w:r>
      <w:r w:rsidRPr="00D736C2">
        <w:rPr>
          <w:rFonts w:ascii="Palatino Linotype" w:hAnsi="Palatino Linotype"/>
          <w:b/>
          <w:bCs/>
        </w:rPr>
        <w:t xml:space="preserve"> ORDENA</w:t>
      </w:r>
      <w:r w:rsidRPr="00D736C2">
        <w:rPr>
          <w:rFonts w:ascii="Palatino Linotype" w:eastAsia="Times New Roman" w:hAnsi="Palatino Linotype" w:cs="Arial"/>
          <w:lang w:val="es-ES"/>
        </w:rPr>
        <w:t xml:space="preserve"> </w:t>
      </w:r>
      <w:r w:rsidRPr="00D736C2">
        <w:rPr>
          <w:rFonts w:ascii="Palatino Linotype" w:eastAsia="Calibri" w:hAnsi="Palatino Linotype" w:cs="Arial"/>
          <w:lang w:val="es-ES"/>
        </w:rPr>
        <w:t xml:space="preserve">entregar vía Sistema de Acceso a la Información Mexiquense </w:t>
      </w:r>
      <w:r w:rsidRPr="00D736C2">
        <w:rPr>
          <w:rFonts w:ascii="Palatino Linotype" w:eastAsia="Calibri" w:hAnsi="Palatino Linotype" w:cs="Arial"/>
          <w:b/>
          <w:lang w:val="es-ES"/>
        </w:rPr>
        <w:t xml:space="preserve">(SAIMEX), </w:t>
      </w:r>
      <w:r w:rsidRPr="00D736C2">
        <w:rPr>
          <w:rFonts w:ascii="Palatino Linotype" w:eastAsia="Calibri" w:hAnsi="Palatino Linotype" w:cs="Arial"/>
          <w:lang w:val="es-ES"/>
        </w:rPr>
        <w:t xml:space="preserve">en </w:t>
      </w:r>
      <w:r w:rsidR="004966CB" w:rsidRPr="00D736C2">
        <w:rPr>
          <w:rFonts w:ascii="Palatino Linotype" w:eastAsia="Calibri" w:hAnsi="Palatino Linotype" w:cs="Arial"/>
          <w:lang w:val="es-ES"/>
        </w:rPr>
        <w:t xml:space="preserve">su caso en </w:t>
      </w:r>
      <w:r w:rsidRPr="00D736C2">
        <w:rPr>
          <w:rFonts w:ascii="Palatino Linotype" w:eastAsia="Calibri" w:hAnsi="Palatino Linotype" w:cs="Arial"/>
          <w:lang w:val="es-ES"/>
        </w:rPr>
        <w:t>versión pública, la siguiente información:</w:t>
      </w:r>
    </w:p>
    <w:p w14:paraId="0696424E" w14:textId="61FB18BA" w:rsidR="00EC4A8D" w:rsidRPr="00D736C2" w:rsidRDefault="00EC4A8D" w:rsidP="00D736C2">
      <w:pPr>
        <w:pStyle w:val="Prrafodelista"/>
        <w:numPr>
          <w:ilvl w:val="0"/>
          <w:numId w:val="5"/>
        </w:numPr>
        <w:spacing w:line="360" w:lineRule="auto"/>
        <w:ind w:left="284"/>
        <w:jc w:val="both"/>
        <w:rPr>
          <w:rFonts w:ascii="Palatino Linotype" w:eastAsia="Times New Roman" w:hAnsi="Palatino Linotype" w:cs="Arial"/>
          <w:b/>
          <w:color w:val="000000"/>
        </w:rPr>
      </w:pPr>
      <w:r w:rsidRPr="00D736C2">
        <w:rPr>
          <w:rFonts w:ascii="Palatino Linotype" w:hAnsi="Palatino Linotype"/>
          <w:b/>
          <w:bCs/>
          <w:color w:val="000000"/>
        </w:rPr>
        <w:t xml:space="preserve">De los Cuerpos de Seguridad Auxiliares del Estado de México (CUSAEM) y </w:t>
      </w:r>
      <w:r w:rsidRPr="00D736C2">
        <w:rPr>
          <w:rFonts w:ascii="Palatino Linotype" w:eastAsia="MS Gothic" w:hAnsi="Palatino Linotype" w:cstheme="majorBidi"/>
          <w:b/>
        </w:rPr>
        <w:t xml:space="preserve">del </w:t>
      </w:r>
      <w:r w:rsidRPr="00D736C2">
        <w:rPr>
          <w:rFonts w:ascii="Palatino Linotype" w:hAnsi="Palatino Linotype"/>
          <w:b/>
        </w:rPr>
        <w:t>Cuerpo de Guardias de Seguridad Industrial, Bancaria, Comercial y Urbana del Valle Cuautitlán Texcoco</w:t>
      </w:r>
      <w:r w:rsidR="001662A9" w:rsidRPr="00D736C2">
        <w:rPr>
          <w:rFonts w:ascii="Palatino Linotype" w:hAnsi="Palatino Linotype"/>
          <w:b/>
        </w:rPr>
        <w:t xml:space="preserve">: </w:t>
      </w:r>
    </w:p>
    <w:p w14:paraId="52501AD8" w14:textId="77777777" w:rsidR="001662A9" w:rsidRPr="00D736C2" w:rsidRDefault="001662A9" w:rsidP="00D736C2">
      <w:pPr>
        <w:pStyle w:val="Prrafodelista"/>
        <w:spacing w:line="360" w:lineRule="auto"/>
        <w:ind w:left="284"/>
        <w:jc w:val="both"/>
        <w:rPr>
          <w:rFonts w:ascii="Palatino Linotype" w:eastAsia="Times New Roman" w:hAnsi="Palatino Linotype" w:cs="Arial"/>
          <w:b/>
          <w:color w:val="000000"/>
        </w:rPr>
      </w:pPr>
    </w:p>
    <w:p w14:paraId="4D7A7125" w14:textId="300CD8C7" w:rsidR="00EC4A8D" w:rsidRPr="00D736C2" w:rsidRDefault="00EC4A8D" w:rsidP="00D736C2">
      <w:pPr>
        <w:pStyle w:val="Prrafodelista"/>
        <w:numPr>
          <w:ilvl w:val="0"/>
          <w:numId w:val="4"/>
        </w:numPr>
        <w:spacing w:line="360" w:lineRule="auto"/>
        <w:ind w:left="567" w:right="567" w:firstLine="0"/>
        <w:jc w:val="both"/>
        <w:rPr>
          <w:rFonts w:ascii="Palatino Linotype" w:eastAsia="Calibri" w:hAnsi="Palatino Linotype" w:cs="Arial"/>
          <w:b/>
          <w:bCs/>
          <w:lang w:val="es-ES"/>
        </w:rPr>
      </w:pPr>
      <w:r w:rsidRPr="00D736C2">
        <w:rPr>
          <w:rFonts w:ascii="Palatino Linotype" w:hAnsi="Palatino Linotype"/>
          <w:b/>
          <w:bCs/>
          <w:color w:val="000000"/>
        </w:rPr>
        <w:t xml:space="preserve">Documento actualizado al </w:t>
      </w:r>
      <w:r w:rsidRPr="00D736C2">
        <w:rPr>
          <w:rFonts w:ascii="Palatino Linotype" w:eastAsia="Calibri" w:hAnsi="Palatino Linotype" w:cs="Arial"/>
          <w:b/>
          <w:color w:val="000000" w:themeColor="text1"/>
          <w:lang w:val="es-ES"/>
        </w:rPr>
        <w:t>veintisiete (27) de agosto de dos mil diecinueve</w:t>
      </w:r>
      <w:r w:rsidRPr="00D736C2">
        <w:rPr>
          <w:rFonts w:ascii="Palatino Linotype" w:hAnsi="Palatino Linotype"/>
          <w:b/>
          <w:bCs/>
          <w:color w:val="000000"/>
        </w:rPr>
        <w:t xml:space="preserve"> donde conste el núme</w:t>
      </w:r>
      <w:r w:rsidR="001662A9" w:rsidRPr="00D736C2">
        <w:rPr>
          <w:rFonts w:ascii="Palatino Linotype" w:hAnsi="Palatino Linotype"/>
          <w:b/>
          <w:bCs/>
          <w:color w:val="000000"/>
        </w:rPr>
        <w:t>ro de elementos que lo integran; y</w:t>
      </w:r>
    </w:p>
    <w:p w14:paraId="53A4AD43" w14:textId="0B6B7DF9" w:rsidR="00EC4A8D" w:rsidRPr="00D736C2" w:rsidRDefault="00EC4A8D" w:rsidP="00D736C2">
      <w:pPr>
        <w:pStyle w:val="Prrafodelista"/>
        <w:numPr>
          <w:ilvl w:val="0"/>
          <w:numId w:val="4"/>
        </w:numPr>
        <w:spacing w:line="360" w:lineRule="auto"/>
        <w:ind w:left="567" w:right="567" w:firstLine="0"/>
        <w:jc w:val="both"/>
        <w:rPr>
          <w:rFonts w:ascii="Palatino Linotype" w:eastAsia="Calibri" w:hAnsi="Palatino Linotype" w:cs="Arial"/>
          <w:b/>
          <w:bCs/>
          <w:lang w:val="es-ES"/>
        </w:rPr>
      </w:pPr>
      <w:r w:rsidRPr="00D736C2">
        <w:rPr>
          <w:rFonts w:ascii="Palatino Linotype" w:hAnsi="Palatino Linotype"/>
          <w:b/>
          <w:bCs/>
          <w:color w:val="000000"/>
        </w:rPr>
        <w:t>El tabulador de sueldos.</w:t>
      </w:r>
    </w:p>
    <w:p w14:paraId="18599876" w14:textId="77777777" w:rsidR="00EC4A8D" w:rsidRPr="00D736C2" w:rsidRDefault="00EC4A8D" w:rsidP="00D736C2">
      <w:pPr>
        <w:pStyle w:val="Prrafodelista"/>
        <w:spacing w:line="360" w:lineRule="auto"/>
        <w:ind w:left="567" w:right="567"/>
        <w:jc w:val="both"/>
        <w:rPr>
          <w:rFonts w:ascii="Palatino Linotype" w:eastAsia="Calibri" w:hAnsi="Palatino Linotype" w:cs="Arial"/>
          <w:b/>
          <w:bCs/>
          <w:lang w:val="es-ES"/>
        </w:rPr>
      </w:pPr>
    </w:p>
    <w:p w14:paraId="517F4C2A" w14:textId="39019748" w:rsidR="00EC4A8D" w:rsidRPr="00D736C2" w:rsidRDefault="00EC4A8D" w:rsidP="00D736C2">
      <w:pPr>
        <w:pStyle w:val="Prrafodelista"/>
        <w:spacing w:line="360" w:lineRule="auto"/>
        <w:ind w:left="0"/>
        <w:jc w:val="both"/>
        <w:rPr>
          <w:rFonts w:ascii="Palatino Linotype" w:eastAsia="Calibri" w:hAnsi="Palatino Linotype" w:cs="Arial"/>
          <w:color w:val="000000" w:themeColor="text1"/>
        </w:rPr>
      </w:pPr>
      <w:r w:rsidRPr="00D736C2">
        <w:rPr>
          <w:rFonts w:ascii="Palatino Linotype" w:eastAsia="Calibri" w:hAnsi="Palatino Linotype" w:cs="Arial"/>
          <w:color w:val="000000" w:themeColor="text1"/>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w:t>
      </w:r>
    </w:p>
    <w:p w14:paraId="1B99CE83" w14:textId="77777777" w:rsidR="00EC4A8D" w:rsidRPr="00D736C2" w:rsidRDefault="00EC4A8D" w:rsidP="00D736C2">
      <w:pPr>
        <w:pStyle w:val="Prrafodelista"/>
        <w:spacing w:line="360" w:lineRule="auto"/>
        <w:jc w:val="both"/>
        <w:rPr>
          <w:rFonts w:ascii="Palatino Linotype" w:eastAsia="Calibri" w:hAnsi="Palatino Linotype" w:cs="Arial"/>
          <w:b/>
          <w:color w:val="000000" w:themeColor="text1"/>
        </w:rPr>
      </w:pPr>
    </w:p>
    <w:p w14:paraId="7694369A" w14:textId="64661500" w:rsidR="00EC4A8D" w:rsidRPr="00D736C2" w:rsidRDefault="00EC4A8D" w:rsidP="00D736C2">
      <w:pPr>
        <w:spacing w:line="360" w:lineRule="auto"/>
        <w:jc w:val="both"/>
        <w:rPr>
          <w:rFonts w:ascii="Palatino Linotype" w:eastAsia="Calibri" w:hAnsi="Palatino Linotype" w:cs="Arial"/>
          <w:bCs/>
        </w:rPr>
      </w:pPr>
      <w:r w:rsidRPr="00D736C2">
        <w:rPr>
          <w:rFonts w:ascii="Palatino Linotype" w:eastAsia="Calibri" w:hAnsi="Palatino Linotype" w:cs="Arial"/>
          <w:bCs/>
        </w:rPr>
        <w:t>Para el caso de que el </w:t>
      </w:r>
      <w:r w:rsidRPr="00D736C2">
        <w:rPr>
          <w:rFonts w:ascii="Palatino Linotype" w:eastAsia="Calibri" w:hAnsi="Palatino Linotype" w:cs="Arial"/>
          <w:b/>
          <w:bCs/>
        </w:rPr>
        <w:t>SUJETO OBLIGADO</w:t>
      </w:r>
      <w:r w:rsidRPr="00D736C2">
        <w:rPr>
          <w:rFonts w:ascii="Palatino Linotype" w:eastAsia="Calibri" w:hAnsi="Palatino Linotype" w:cs="Arial"/>
          <w:bCs/>
        </w:rPr>
        <w:t>, no localice la información señalada en los incisos anteriores deberá de emitir el Acuerdo de Inexistencia en términos de los artículos 49, fracciones II y XIII, 169 y 170 de la Ley de Transparencia y Acceso a la Información Pública del Estado de México y Municipios que al respecto emita su Comité de Transparencia.</w:t>
      </w:r>
    </w:p>
    <w:p w14:paraId="11810A90" w14:textId="77777777" w:rsidR="00345491" w:rsidRPr="00D736C2" w:rsidRDefault="00345491" w:rsidP="00D736C2">
      <w:pPr>
        <w:tabs>
          <w:tab w:val="left" w:pos="8080"/>
        </w:tabs>
        <w:spacing w:line="360" w:lineRule="auto"/>
        <w:ind w:right="49"/>
        <w:contextualSpacing/>
        <w:jc w:val="both"/>
        <w:rPr>
          <w:rFonts w:ascii="Palatino Linotype" w:eastAsia="Palatino Linotype" w:hAnsi="Palatino Linotype" w:cs="Palatino Linotype"/>
          <w:b/>
        </w:rPr>
      </w:pPr>
    </w:p>
    <w:p w14:paraId="1E7EEA04" w14:textId="77777777" w:rsidR="00345491" w:rsidRPr="00D736C2" w:rsidRDefault="00345491" w:rsidP="00D736C2">
      <w:pPr>
        <w:tabs>
          <w:tab w:val="left" w:pos="8080"/>
        </w:tabs>
        <w:spacing w:line="360" w:lineRule="auto"/>
        <w:ind w:right="49"/>
        <w:contextualSpacing/>
        <w:jc w:val="both"/>
        <w:rPr>
          <w:rFonts w:ascii="Palatino Linotype" w:eastAsia="Palatino Linotype" w:hAnsi="Palatino Linotype" w:cs="Palatino Linotype"/>
          <w:b/>
        </w:rPr>
      </w:pPr>
      <w:r w:rsidRPr="00D736C2">
        <w:rPr>
          <w:rFonts w:ascii="Palatino Linotype" w:eastAsia="Palatino Linotype" w:hAnsi="Palatino Linotype" w:cs="Palatino Linotype"/>
          <w:b/>
        </w:rPr>
        <w:t xml:space="preserve">TERCERO. Notifíquese </w:t>
      </w:r>
      <w:r w:rsidRPr="00D736C2">
        <w:rPr>
          <w:rFonts w:ascii="Palatino Linotype" w:eastAsia="Palatino Linotype" w:hAnsi="Palatino Linotype" w:cs="Palatino Linotype"/>
        </w:rPr>
        <w:t xml:space="preserve">al Titular de la Unidad de Transparencia del </w:t>
      </w:r>
      <w:r w:rsidRPr="00D736C2">
        <w:rPr>
          <w:rFonts w:ascii="Palatino Linotype" w:eastAsia="Palatino Linotype" w:hAnsi="Palatino Linotype" w:cs="Palatino Linotype"/>
          <w:b/>
        </w:rPr>
        <w:t>SUJETO OBLIGADO</w:t>
      </w:r>
      <w:r w:rsidRPr="00D736C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736C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5E45BAC" w14:textId="77777777" w:rsidR="00345491" w:rsidRPr="00D736C2" w:rsidRDefault="00345491" w:rsidP="00D736C2">
      <w:pPr>
        <w:shd w:val="clear" w:color="auto" w:fill="FFFFFF"/>
        <w:spacing w:line="360" w:lineRule="auto"/>
        <w:jc w:val="both"/>
        <w:rPr>
          <w:rFonts w:ascii="Palatino Linotype" w:eastAsia="Times New Roman" w:hAnsi="Palatino Linotype" w:cs="Arial"/>
          <w:b/>
        </w:rPr>
      </w:pPr>
    </w:p>
    <w:p w14:paraId="249D7C26" w14:textId="0AD2A601" w:rsidR="00345491" w:rsidRPr="00D736C2" w:rsidRDefault="00345491" w:rsidP="00D736C2">
      <w:pPr>
        <w:shd w:val="clear" w:color="auto" w:fill="FFFFFF"/>
        <w:spacing w:line="360" w:lineRule="auto"/>
        <w:jc w:val="both"/>
        <w:rPr>
          <w:rFonts w:ascii="Palatino Linotype" w:hAnsi="Palatino Linotype"/>
        </w:rPr>
      </w:pPr>
      <w:r w:rsidRPr="00D736C2">
        <w:rPr>
          <w:rFonts w:ascii="Palatino Linotype" w:eastAsia="Times New Roman" w:hAnsi="Palatino Linotype" w:cs="Arial"/>
          <w:b/>
        </w:rPr>
        <w:t xml:space="preserve">CUARTO. </w:t>
      </w:r>
      <w:r w:rsidRPr="00D736C2">
        <w:rPr>
          <w:rFonts w:ascii="Palatino Linotype" w:eastAsia="Times New Roman" w:hAnsi="Palatino Linotype" w:cs="Times New Roman"/>
          <w:b/>
          <w:bCs/>
          <w:color w:val="222222"/>
          <w:lang w:val="es-ES"/>
        </w:rPr>
        <w:t>Notifíquese a</w:t>
      </w:r>
      <w:r w:rsidRPr="00D736C2">
        <w:rPr>
          <w:rFonts w:ascii="Palatino Linotype" w:hAnsi="Palatino Linotype"/>
          <w:b/>
        </w:rPr>
        <w:t xml:space="preserve"> </w:t>
      </w:r>
      <w:r w:rsidR="00B16375" w:rsidRPr="00B16375">
        <w:rPr>
          <w:rFonts w:ascii="Palatino Linotype" w:eastAsia="Times New Roman" w:hAnsi="Palatino Linotype" w:cs="Times New Roman"/>
          <w:b/>
          <w:highlight w:val="black"/>
        </w:rPr>
        <w:t>----------------------------------------------------</w:t>
      </w:r>
      <w:r w:rsidRPr="00D736C2">
        <w:rPr>
          <w:rFonts w:ascii="Palatino Linotype" w:hAnsi="Palatino Linotype"/>
          <w:b/>
        </w:rPr>
        <w:t xml:space="preserve"> </w:t>
      </w:r>
      <w:r w:rsidRPr="00D736C2">
        <w:rPr>
          <w:rFonts w:ascii="Palatino Linotype" w:hAnsi="Palatino Linotype"/>
        </w:rPr>
        <w:t>la presente resolución</w:t>
      </w:r>
      <w:r w:rsidR="004966CB" w:rsidRPr="00D736C2">
        <w:rPr>
          <w:rFonts w:ascii="Palatino Linotype" w:hAnsi="Palatino Linotype"/>
        </w:rPr>
        <w:t>.</w:t>
      </w:r>
    </w:p>
    <w:p w14:paraId="48B08D27" w14:textId="77777777" w:rsidR="00345491" w:rsidRPr="00D736C2" w:rsidRDefault="00345491" w:rsidP="00D736C2">
      <w:pPr>
        <w:shd w:val="clear" w:color="auto" w:fill="FFFFFF"/>
        <w:spacing w:line="360" w:lineRule="auto"/>
        <w:jc w:val="both"/>
        <w:rPr>
          <w:rFonts w:ascii="Palatino Linotype" w:hAnsi="Palatino Linotype"/>
        </w:rPr>
      </w:pPr>
    </w:p>
    <w:p w14:paraId="3823F8B8" w14:textId="1ACD8E92" w:rsidR="00345491" w:rsidRPr="00D736C2" w:rsidRDefault="00345491" w:rsidP="00D736C2">
      <w:pPr>
        <w:shd w:val="clear" w:color="auto" w:fill="FFFFFF"/>
        <w:spacing w:line="360" w:lineRule="auto"/>
        <w:jc w:val="both"/>
        <w:rPr>
          <w:rFonts w:ascii="Palatino Linotype" w:eastAsia="MS Mincho" w:hAnsi="Palatino Linotype" w:cs="Times New Roman"/>
          <w:lang w:val="es-ES"/>
        </w:rPr>
      </w:pPr>
      <w:r w:rsidRPr="00D736C2">
        <w:rPr>
          <w:rFonts w:ascii="Palatino Linotype" w:eastAsia="MS Mincho" w:hAnsi="Palatino Linotype" w:cs="Times New Roman"/>
          <w:b/>
          <w:lang w:val="es-MX"/>
        </w:rPr>
        <w:t>QUINTO.</w:t>
      </w:r>
      <w:r w:rsidRPr="00D736C2">
        <w:rPr>
          <w:rFonts w:ascii="Palatino Linotype" w:eastAsia="MS Mincho" w:hAnsi="Palatino Linotype" w:cs="Times New Roman"/>
          <w:lang w:val="es-MX"/>
        </w:rPr>
        <w:t xml:space="preserve"> </w:t>
      </w:r>
      <w:r w:rsidRPr="00D736C2">
        <w:rPr>
          <w:rFonts w:ascii="Palatino Linotype" w:eastAsia="MS Mincho" w:hAnsi="Palatino Linotype" w:cs="Times New Roman"/>
          <w:lang w:val="es-ES"/>
        </w:rPr>
        <w:t xml:space="preserve">Se hace del conocimiento de </w:t>
      </w:r>
      <w:r w:rsidR="00B16375" w:rsidRPr="00B16375">
        <w:rPr>
          <w:rFonts w:ascii="Palatino Linotype" w:eastAsia="Times New Roman" w:hAnsi="Palatino Linotype" w:cs="Times New Roman"/>
          <w:b/>
          <w:highlight w:val="black"/>
        </w:rPr>
        <w:t>-</w:t>
      </w:r>
      <w:r w:rsidR="00B16375">
        <w:rPr>
          <w:rFonts w:ascii="Palatino Linotype" w:eastAsia="Times New Roman" w:hAnsi="Palatino Linotype" w:cs="Times New Roman"/>
          <w:b/>
          <w:highlight w:val="black"/>
        </w:rPr>
        <w:t>----------</w:t>
      </w:r>
      <w:bookmarkStart w:id="119" w:name="_GoBack"/>
      <w:bookmarkEnd w:id="119"/>
      <w:r w:rsidR="00B16375" w:rsidRPr="00B16375">
        <w:rPr>
          <w:rFonts w:ascii="Palatino Linotype" w:eastAsia="Times New Roman" w:hAnsi="Palatino Linotype" w:cs="Times New Roman"/>
          <w:b/>
          <w:highlight w:val="black"/>
        </w:rPr>
        <w:t>----------------------------------------</w:t>
      </w:r>
      <w:r w:rsidRPr="00D736C2">
        <w:rPr>
          <w:rFonts w:ascii="Palatino Linotype" w:hAnsi="Palatino Linotype"/>
          <w:b/>
        </w:rPr>
        <w:t xml:space="preserve"> </w:t>
      </w:r>
      <w:r w:rsidRPr="00D736C2">
        <w:rPr>
          <w:rFonts w:ascii="Palatino Linotype" w:eastAsia="MS Mincho" w:hAnsi="Palatino Linotype" w:cs="Times New Roman"/>
          <w:lang w:val="es-ES"/>
        </w:rPr>
        <w:t xml:space="preserve">que, de conformidad con lo establecido en el artículo 196 de la Ley de Transparencia y Acceso a </w:t>
      </w:r>
      <w:r w:rsidRPr="00D736C2">
        <w:rPr>
          <w:rFonts w:ascii="Palatino Linotype" w:eastAsia="MS Mincho" w:hAnsi="Palatino Linotype" w:cs="Times New Roman"/>
          <w:lang w:val="es-ES"/>
        </w:rPr>
        <w:lastRenderedPageBreak/>
        <w:t>la Información Pública del Estado de México y Municipios, en caso de que considere que la resolución le cause a</w:t>
      </w:r>
      <w:r w:rsidR="00EC4A8D" w:rsidRPr="00D736C2">
        <w:rPr>
          <w:rFonts w:ascii="Palatino Linotype" w:eastAsia="MS Mincho" w:hAnsi="Palatino Linotype" w:cs="Times New Roman"/>
          <w:lang w:val="es-ES"/>
        </w:rPr>
        <w:t xml:space="preserve">lgún perjuicio podrá impugnarla </w:t>
      </w:r>
      <w:r w:rsidRPr="00D736C2">
        <w:rPr>
          <w:rFonts w:ascii="Palatino Linotype" w:eastAsia="MS Mincho" w:hAnsi="Palatino Linotype" w:cs="Times New Roman"/>
          <w:bCs/>
          <w:lang w:val="es-ES"/>
        </w:rPr>
        <w:t>vía juicio de amparo</w:t>
      </w:r>
      <w:r w:rsidR="00EC4A8D" w:rsidRPr="00D736C2">
        <w:rPr>
          <w:rFonts w:ascii="Palatino Linotype" w:eastAsia="MS Mincho" w:hAnsi="Palatino Linotype" w:cs="Times New Roman"/>
          <w:lang w:val="es-ES"/>
        </w:rPr>
        <w:t xml:space="preserve"> </w:t>
      </w:r>
      <w:r w:rsidRPr="00D736C2">
        <w:rPr>
          <w:rFonts w:ascii="Palatino Linotype" w:eastAsia="MS Mincho" w:hAnsi="Palatino Linotype" w:cs="Times New Roman"/>
          <w:lang w:val="es-ES"/>
        </w:rPr>
        <w:t>en los términos de las leyes aplicables.</w:t>
      </w:r>
    </w:p>
    <w:p w14:paraId="1C3FD619" w14:textId="77777777" w:rsidR="002B67B2" w:rsidRPr="0045136C" w:rsidRDefault="002B67B2" w:rsidP="00D736C2">
      <w:pPr>
        <w:shd w:val="clear" w:color="auto" w:fill="FFFFFF"/>
        <w:tabs>
          <w:tab w:val="left" w:pos="567"/>
        </w:tabs>
        <w:spacing w:line="360" w:lineRule="auto"/>
        <w:jc w:val="both"/>
        <w:rPr>
          <w:rFonts w:ascii="Palatino Linotype" w:eastAsia="Times New Roman" w:hAnsi="Palatino Linotype" w:cs="Arial"/>
          <w:color w:val="222222"/>
          <w:sz w:val="12"/>
          <w:lang w:val="es-ES" w:eastAsia="es-MX"/>
        </w:rPr>
      </w:pPr>
    </w:p>
    <w:p w14:paraId="7BC13723" w14:textId="2D69B5A5" w:rsidR="00A957FE" w:rsidRPr="00D736C2" w:rsidRDefault="004E67BE" w:rsidP="00D736C2">
      <w:pPr>
        <w:tabs>
          <w:tab w:val="left" w:pos="0"/>
        </w:tabs>
        <w:spacing w:line="360" w:lineRule="auto"/>
        <w:ind w:firstLine="1"/>
        <w:jc w:val="both"/>
        <w:rPr>
          <w:rFonts w:ascii="Palatino Linotype" w:hAnsi="Palatino Linotype"/>
        </w:rPr>
      </w:pPr>
      <w:r>
        <w:rPr>
          <w:rFonts w:ascii="Palatino Linotype" w:hAnsi="Palatino Linotype"/>
        </w:rPr>
        <w:t>ASÍ LO RESUELVE, POR MAYORIA</w:t>
      </w:r>
      <w:r w:rsidR="00A957FE" w:rsidRPr="00D736C2">
        <w:rPr>
          <w:rFonts w:ascii="Palatino Linotype" w:hAnsi="Palatino Linotype"/>
        </w:rPr>
        <w:t xml:space="preserve"> DE VOTOS</w:t>
      </w:r>
      <w:r w:rsidR="00251EB4">
        <w:rPr>
          <w:rFonts w:ascii="Palatino Linotype" w:hAnsi="Palatino Linotype"/>
        </w:rPr>
        <w:t xml:space="preserve"> DE LOS PRESENTES</w:t>
      </w:r>
      <w:r w:rsidR="00A957FE" w:rsidRPr="00D736C2">
        <w:rPr>
          <w:rFonts w:ascii="Palatino Linotype" w:hAnsi="Palatino Linotype"/>
        </w:rPr>
        <w:t>, EL PLENO DEL INSTITUTO DE TRANSPARENCIA, ACCESO A LA INFORMACIÓN PÚBLICA Y PROTECCIÓN DE DATOS PERSONALES DEL ESTADO DE MÉXICO Y MUNICIPIOS, CONFORMADO POR LOS COMISIONADOS ZULEMA MARTÍNEZ SÁNCHEZ</w:t>
      </w:r>
      <w:r w:rsidR="0045136C">
        <w:rPr>
          <w:rFonts w:ascii="Palatino Linotype" w:hAnsi="Palatino Linotype"/>
        </w:rPr>
        <w:t xml:space="preserve"> CON VOTO EN CONTRA CON VOTO DISIDENTE</w:t>
      </w:r>
      <w:r w:rsidR="00A957FE" w:rsidRPr="00D736C2">
        <w:rPr>
          <w:rFonts w:ascii="Palatino Linotype" w:hAnsi="Palatino Linotype"/>
        </w:rPr>
        <w:t>, EVA ABAID YAPUR</w:t>
      </w:r>
      <w:r w:rsidR="00251EB4">
        <w:rPr>
          <w:rFonts w:ascii="Palatino Linotype" w:hAnsi="Palatino Linotype"/>
        </w:rPr>
        <w:t xml:space="preserve"> AUSENTE EN VOTACIÓN</w:t>
      </w:r>
      <w:r w:rsidR="00A957FE" w:rsidRPr="00D736C2">
        <w:rPr>
          <w:rFonts w:ascii="Palatino Linotype" w:hAnsi="Palatino Linotype"/>
        </w:rPr>
        <w:t>,</w:t>
      </w:r>
      <w:r w:rsidR="00D736C2">
        <w:rPr>
          <w:rFonts w:ascii="Palatino Linotype" w:hAnsi="Palatino Linotype"/>
        </w:rPr>
        <w:t xml:space="preserve"> JOSÉ GUADALUPE LUNA HERNÁNDEZ, JAVIER MARTÍNEZ CRUZ</w:t>
      </w:r>
      <w:r w:rsidR="0045136C">
        <w:rPr>
          <w:rFonts w:ascii="Palatino Linotype" w:hAnsi="Palatino Linotype"/>
        </w:rPr>
        <w:t xml:space="preserve"> EMITIENDO VOTO PARTICULAR</w:t>
      </w:r>
      <w:r w:rsidR="00D736C2">
        <w:rPr>
          <w:rFonts w:ascii="Palatino Linotype" w:hAnsi="Palatino Linotype"/>
        </w:rPr>
        <w:t xml:space="preserve"> Y LUIS GUSTAVO PARRA NORIEGA CON AUSENCIA JUSTIFICADA, EN LA CUADRAGÉSIMA CUARTA </w:t>
      </w:r>
      <w:r w:rsidR="00A957FE" w:rsidRPr="00D736C2">
        <w:rPr>
          <w:rFonts w:ascii="Palatino Linotype" w:hAnsi="Palatino Linotype"/>
        </w:rPr>
        <w:t>SESIÓN</w:t>
      </w:r>
      <w:r w:rsidR="00D736C2">
        <w:rPr>
          <w:rFonts w:ascii="Palatino Linotype" w:hAnsi="Palatino Linotype"/>
        </w:rPr>
        <w:t xml:space="preserve"> ORDINARIA CELEBRADA EL DÍA VEINTISIETE DE NOVIEMBRE DE DOS MIL DIECINUEVE</w:t>
      </w:r>
      <w:r w:rsidR="00A957FE" w:rsidRPr="00D736C2">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957FE" w:rsidRPr="00D736C2" w14:paraId="73E65994" w14:textId="77777777" w:rsidTr="002B3D68">
        <w:trPr>
          <w:jc w:val="center"/>
        </w:trPr>
        <w:tc>
          <w:tcPr>
            <w:tcW w:w="10368" w:type="dxa"/>
            <w:gridSpan w:val="2"/>
          </w:tcPr>
          <w:p w14:paraId="3E6D2BC2" w14:textId="77777777" w:rsidR="00A957FE" w:rsidRPr="00D736C2" w:rsidRDefault="00A957FE" w:rsidP="00D736C2">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957FE" w:rsidRPr="00D736C2" w14:paraId="5E0C44C4" w14:textId="77777777" w:rsidTr="002B3D68">
              <w:trPr>
                <w:jc w:val="center"/>
              </w:trPr>
              <w:tc>
                <w:tcPr>
                  <w:tcW w:w="10365" w:type="dxa"/>
                  <w:gridSpan w:val="2"/>
                  <w:shd w:val="clear" w:color="auto" w:fill="auto"/>
                </w:tcPr>
                <w:p w14:paraId="52EFFD8E" w14:textId="77777777" w:rsidR="00A957FE" w:rsidRDefault="00A957FE" w:rsidP="00D736C2">
                  <w:pPr>
                    <w:spacing w:line="360" w:lineRule="auto"/>
                    <w:rPr>
                      <w:rFonts w:ascii="Palatino Linotype" w:hAnsi="Palatino Linotype" w:cs="Arial"/>
                      <w:b/>
                    </w:rPr>
                  </w:pPr>
                </w:p>
                <w:p w14:paraId="5BDF15AA" w14:textId="77777777" w:rsidR="00A957FE" w:rsidRPr="0045136C" w:rsidRDefault="00A957FE" w:rsidP="00D736C2">
                  <w:pPr>
                    <w:spacing w:line="360" w:lineRule="auto"/>
                    <w:rPr>
                      <w:rFonts w:ascii="Palatino Linotype" w:hAnsi="Palatino Linotype" w:cs="Arial"/>
                      <w:b/>
                      <w:sz w:val="32"/>
                    </w:rPr>
                  </w:pPr>
                </w:p>
                <w:p w14:paraId="60B817CA"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Zulema Martínez Sánchez</w:t>
                  </w:r>
                </w:p>
                <w:p w14:paraId="117592CD"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rPr>
                    <w:t>Comisionada Presidenta</w:t>
                  </w:r>
                </w:p>
                <w:p w14:paraId="668D83F5"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 xml:space="preserve">(RÚBRICA) </w:t>
                  </w:r>
                </w:p>
              </w:tc>
            </w:tr>
            <w:tr w:rsidR="00A957FE" w:rsidRPr="00D736C2" w14:paraId="7423BDDF" w14:textId="77777777" w:rsidTr="002B3D68">
              <w:trPr>
                <w:jc w:val="center"/>
              </w:trPr>
              <w:tc>
                <w:tcPr>
                  <w:tcW w:w="5182" w:type="dxa"/>
                  <w:shd w:val="clear" w:color="auto" w:fill="auto"/>
                </w:tcPr>
                <w:p w14:paraId="1BA3B117" w14:textId="77777777" w:rsidR="00A957FE" w:rsidRPr="00D736C2" w:rsidRDefault="00A957FE" w:rsidP="00D736C2">
                  <w:pPr>
                    <w:spacing w:line="360" w:lineRule="auto"/>
                    <w:rPr>
                      <w:rFonts w:ascii="Palatino Linotype" w:hAnsi="Palatino Linotype" w:cs="Arial"/>
                      <w:b/>
                    </w:rPr>
                  </w:pPr>
                </w:p>
                <w:p w14:paraId="71CD7A79"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 xml:space="preserve">Eva </w:t>
                  </w:r>
                  <w:proofErr w:type="spellStart"/>
                  <w:r w:rsidRPr="00D736C2">
                    <w:rPr>
                      <w:rFonts w:ascii="Palatino Linotype" w:hAnsi="Palatino Linotype" w:cs="Arial"/>
                      <w:b/>
                    </w:rPr>
                    <w:t>Abaid</w:t>
                  </w:r>
                  <w:proofErr w:type="spellEnd"/>
                  <w:r w:rsidRPr="00D736C2">
                    <w:rPr>
                      <w:rFonts w:ascii="Palatino Linotype" w:hAnsi="Palatino Linotype" w:cs="Arial"/>
                      <w:b/>
                    </w:rPr>
                    <w:t xml:space="preserve"> </w:t>
                  </w:r>
                  <w:proofErr w:type="spellStart"/>
                  <w:r w:rsidRPr="00D736C2">
                    <w:rPr>
                      <w:rFonts w:ascii="Palatino Linotype" w:hAnsi="Palatino Linotype" w:cs="Arial"/>
                      <w:b/>
                    </w:rPr>
                    <w:t>Yapur</w:t>
                  </w:r>
                  <w:proofErr w:type="spellEnd"/>
                </w:p>
                <w:p w14:paraId="72E059DB"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rPr>
                    <w:t>Comisionada</w:t>
                  </w:r>
                </w:p>
                <w:p w14:paraId="23E427F6" w14:textId="7D74D4A3" w:rsidR="00A957FE" w:rsidRPr="00D736C2" w:rsidRDefault="00251EB4" w:rsidP="00D736C2">
                  <w:pPr>
                    <w:spacing w:line="360" w:lineRule="auto"/>
                    <w:jc w:val="center"/>
                    <w:rPr>
                      <w:rFonts w:ascii="Palatino Linotype" w:hAnsi="Palatino Linotype" w:cs="Arial"/>
                      <w:b/>
                    </w:rPr>
                  </w:pPr>
                  <w:r>
                    <w:rPr>
                      <w:rFonts w:ascii="Palatino Linotype" w:hAnsi="Palatino Linotype" w:cs="Arial"/>
                      <w:b/>
                    </w:rPr>
                    <w:t>(AUSENTE EN VOTACIÓN</w:t>
                  </w:r>
                  <w:r w:rsidR="00A957FE" w:rsidRPr="00D736C2">
                    <w:rPr>
                      <w:rFonts w:ascii="Palatino Linotype" w:hAnsi="Palatino Linotype" w:cs="Arial"/>
                      <w:b/>
                    </w:rPr>
                    <w:t>)</w:t>
                  </w:r>
                </w:p>
              </w:tc>
              <w:tc>
                <w:tcPr>
                  <w:tcW w:w="5183" w:type="dxa"/>
                  <w:shd w:val="clear" w:color="auto" w:fill="auto"/>
                </w:tcPr>
                <w:p w14:paraId="01AEC28D" w14:textId="77777777" w:rsidR="00A957FE" w:rsidRPr="00D736C2" w:rsidRDefault="00A957FE" w:rsidP="00D736C2">
                  <w:pPr>
                    <w:spacing w:line="360" w:lineRule="auto"/>
                    <w:rPr>
                      <w:rFonts w:ascii="Palatino Linotype" w:hAnsi="Palatino Linotype" w:cs="Arial"/>
                      <w:b/>
                    </w:rPr>
                  </w:pPr>
                </w:p>
                <w:p w14:paraId="286A4602"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José Guadalupe Luna Hernández</w:t>
                  </w:r>
                </w:p>
                <w:p w14:paraId="100C89B5"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rPr>
                    <w:t>Comisionado</w:t>
                  </w:r>
                </w:p>
                <w:p w14:paraId="4C0B9A1A"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(RÚBRICA)</w:t>
                  </w:r>
                </w:p>
              </w:tc>
            </w:tr>
            <w:tr w:rsidR="00A957FE" w:rsidRPr="00D736C2" w14:paraId="5D3DF405" w14:textId="77777777" w:rsidTr="002B3D68">
              <w:trPr>
                <w:jc w:val="center"/>
              </w:trPr>
              <w:tc>
                <w:tcPr>
                  <w:tcW w:w="5182" w:type="dxa"/>
                  <w:shd w:val="clear" w:color="auto" w:fill="auto"/>
                </w:tcPr>
                <w:p w14:paraId="1A37F978" w14:textId="77777777" w:rsidR="00A957FE" w:rsidRPr="00D736C2" w:rsidRDefault="00A957FE" w:rsidP="00D736C2">
                  <w:pPr>
                    <w:spacing w:line="360" w:lineRule="auto"/>
                    <w:jc w:val="center"/>
                    <w:rPr>
                      <w:rFonts w:ascii="Palatino Linotype" w:hAnsi="Palatino Linotype" w:cs="Arial"/>
                      <w:b/>
                    </w:rPr>
                  </w:pPr>
                </w:p>
                <w:p w14:paraId="706A21F8" w14:textId="77777777" w:rsidR="00A957FE" w:rsidRPr="00D736C2" w:rsidRDefault="00A957FE" w:rsidP="00D736C2">
                  <w:pPr>
                    <w:spacing w:line="360" w:lineRule="auto"/>
                    <w:rPr>
                      <w:rFonts w:ascii="Palatino Linotype" w:hAnsi="Palatino Linotype" w:cs="Arial"/>
                      <w:b/>
                    </w:rPr>
                  </w:pPr>
                </w:p>
                <w:p w14:paraId="32A61BD5" w14:textId="77777777" w:rsidR="00A957FE" w:rsidRPr="00D736C2" w:rsidRDefault="00A957FE" w:rsidP="00D736C2">
                  <w:pPr>
                    <w:spacing w:line="360" w:lineRule="auto"/>
                    <w:jc w:val="center"/>
                    <w:rPr>
                      <w:rFonts w:ascii="Palatino Linotype" w:hAnsi="Palatino Linotype" w:cs="Arial"/>
                      <w:b/>
                    </w:rPr>
                  </w:pPr>
                </w:p>
                <w:p w14:paraId="29869438"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Javier Martínez Cruz</w:t>
                  </w:r>
                </w:p>
                <w:p w14:paraId="2AF0FA04"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rPr>
                    <w:t>Comisionado</w:t>
                  </w:r>
                </w:p>
                <w:p w14:paraId="79B444D7"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b/>
                    </w:rPr>
                    <w:t>(RÚBRICA)</w:t>
                  </w:r>
                </w:p>
              </w:tc>
              <w:tc>
                <w:tcPr>
                  <w:tcW w:w="5183" w:type="dxa"/>
                  <w:shd w:val="clear" w:color="auto" w:fill="auto"/>
                </w:tcPr>
                <w:p w14:paraId="13C1E0B2" w14:textId="77777777" w:rsidR="00A957FE" w:rsidRPr="00D736C2" w:rsidRDefault="00A957FE" w:rsidP="00D736C2">
                  <w:pPr>
                    <w:spacing w:line="360" w:lineRule="auto"/>
                    <w:jc w:val="center"/>
                    <w:rPr>
                      <w:rFonts w:ascii="Palatino Linotype" w:hAnsi="Palatino Linotype" w:cs="Arial"/>
                      <w:b/>
                    </w:rPr>
                  </w:pPr>
                </w:p>
                <w:p w14:paraId="0FD5D86B" w14:textId="77777777" w:rsidR="00A957FE" w:rsidRPr="00D736C2" w:rsidRDefault="00A957FE" w:rsidP="00D736C2">
                  <w:pPr>
                    <w:spacing w:line="360" w:lineRule="auto"/>
                    <w:jc w:val="center"/>
                    <w:rPr>
                      <w:rFonts w:ascii="Palatino Linotype" w:hAnsi="Palatino Linotype" w:cs="Arial"/>
                      <w:b/>
                    </w:rPr>
                  </w:pPr>
                </w:p>
                <w:p w14:paraId="19DC4CDA" w14:textId="77777777" w:rsidR="00A957FE" w:rsidRPr="00D736C2" w:rsidRDefault="00A957FE" w:rsidP="00D736C2">
                  <w:pPr>
                    <w:spacing w:line="360" w:lineRule="auto"/>
                    <w:rPr>
                      <w:rFonts w:ascii="Palatino Linotype" w:hAnsi="Palatino Linotype" w:cs="Arial"/>
                      <w:b/>
                    </w:rPr>
                  </w:pPr>
                </w:p>
                <w:p w14:paraId="337D01B7"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Luis Gustavo Parra Noriega</w:t>
                  </w:r>
                </w:p>
                <w:p w14:paraId="5DB79E00"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rPr>
                    <w:t>Comisionado</w:t>
                  </w:r>
                </w:p>
                <w:p w14:paraId="68353BA4" w14:textId="3590A314" w:rsidR="00A957FE" w:rsidRPr="00D736C2" w:rsidRDefault="0045136C" w:rsidP="00D736C2">
                  <w:pPr>
                    <w:spacing w:line="360" w:lineRule="auto"/>
                    <w:jc w:val="center"/>
                    <w:rPr>
                      <w:rFonts w:ascii="Palatino Linotype" w:hAnsi="Palatino Linotype" w:cs="Arial"/>
                      <w:b/>
                    </w:rPr>
                  </w:pPr>
                  <w:r>
                    <w:rPr>
                      <w:rFonts w:ascii="Palatino Linotype" w:hAnsi="Palatino Linotype" w:cs="Arial"/>
                      <w:b/>
                    </w:rPr>
                    <w:t>(AUSENCIA JUSTIFICADA</w:t>
                  </w:r>
                  <w:r w:rsidR="00A957FE" w:rsidRPr="00D736C2">
                    <w:rPr>
                      <w:rFonts w:ascii="Palatino Linotype" w:hAnsi="Palatino Linotype" w:cs="Arial"/>
                      <w:b/>
                    </w:rPr>
                    <w:t>)</w:t>
                  </w:r>
                </w:p>
              </w:tc>
            </w:tr>
            <w:tr w:rsidR="00A957FE" w:rsidRPr="00D736C2" w14:paraId="4F1E5E2A" w14:textId="77777777" w:rsidTr="002B3D68">
              <w:trPr>
                <w:jc w:val="center"/>
              </w:trPr>
              <w:tc>
                <w:tcPr>
                  <w:tcW w:w="10365" w:type="dxa"/>
                  <w:gridSpan w:val="2"/>
                  <w:shd w:val="clear" w:color="auto" w:fill="auto"/>
                </w:tcPr>
                <w:p w14:paraId="2CC73DCF" w14:textId="77777777" w:rsidR="00A957FE" w:rsidRPr="00D736C2" w:rsidRDefault="00A957FE" w:rsidP="00D736C2">
                  <w:pPr>
                    <w:tabs>
                      <w:tab w:val="left" w:pos="3720"/>
                    </w:tabs>
                    <w:spacing w:line="360" w:lineRule="auto"/>
                    <w:rPr>
                      <w:rFonts w:ascii="Palatino Linotype" w:hAnsi="Palatino Linotype" w:cs="Arial"/>
                      <w:b/>
                    </w:rPr>
                  </w:pPr>
                  <w:r w:rsidRPr="00D736C2">
                    <w:rPr>
                      <w:rFonts w:ascii="Palatino Linotype" w:hAnsi="Palatino Linotype" w:cs="Arial"/>
                      <w:b/>
                    </w:rPr>
                    <w:tab/>
                  </w:r>
                </w:p>
                <w:p w14:paraId="729AE771" w14:textId="77777777" w:rsidR="00A957FE" w:rsidRPr="00D736C2" w:rsidRDefault="00A957FE" w:rsidP="00D736C2">
                  <w:pPr>
                    <w:spacing w:line="360" w:lineRule="auto"/>
                    <w:rPr>
                      <w:rFonts w:ascii="Palatino Linotype" w:hAnsi="Palatino Linotype" w:cs="Arial"/>
                      <w:b/>
                    </w:rPr>
                  </w:pPr>
                </w:p>
                <w:p w14:paraId="3BADD190" w14:textId="77777777" w:rsidR="00A957FE" w:rsidRPr="00D736C2" w:rsidRDefault="00A957FE" w:rsidP="00D736C2">
                  <w:pPr>
                    <w:spacing w:line="360" w:lineRule="auto"/>
                    <w:jc w:val="center"/>
                    <w:rPr>
                      <w:rFonts w:ascii="Palatino Linotype" w:hAnsi="Palatino Linotype" w:cs="Arial"/>
                      <w:b/>
                    </w:rPr>
                  </w:pPr>
                </w:p>
                <w:p w14:paraId="164D505D" w14:textId="77777777" w:rsidR="00A957FE" w:rsidRPr="00D736C2" w:rsidRDefault="00A957FE" w:rsidP="00D736C2">
                  <w:pPr>
                    <w:spacing w:line="360" w:lineRule="auto"/>
                    <w:jc w:val="center"/>
                    <w:rPr>
                      <w:rFonts w:ascii="Palatino Linotype" w:hAnsi="Palatino Linotype" w:cs="Arial"/>
                      <w:b/>
                    </w:rPr>
                  </w:pPr>
                  <w:r w:rsidRPr="00D736C2">
                    <w:rPr>
                      <w:rFonts w:ascii="Palatino Linotype" w:hAnsi="Palatino Linotype" w:cs="Arial"/>
                      <w:b/>
                    </w:rPr>
                    <w:t>Alexis Tapia Ramírez</w:t>
                  </w:r>
                </w:p>
                <w:p w14:paraId="2F10CB77"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rPr>
                    <w:t>Secretario Técnico del Pleno</w:t>
                  </w:r>
                </w:p>
                <w:p w14:paraId="325A593E" w14:textId="77777777" w:rsidR="00A957FE" w:rsidRPr="00D736C2" w:rsidRDefault="00A957FE" w:rsidP="00D736C2">
                  <w:pPr>
                    <w:spacing w:line="360" w:lineRule="auto"/>
                    <w:jc w:val="center"/>
                    <w:rPr>
                      <w:rFonts w:ascii="Palatino Linotype" w:hAnsi="Palatino Linotype" w:cs="Arial"/>
                    </w:rPr>
                  </w:pPr>
                  <w:r w:rsidRPr="00D736C2">
                    <w:rPr>
                      <w:rFonts w:ascii="Palatino Linotype" w:hAnsi="Palatino Linotype" w:cs="Arial"/>
                      <w:b/>
                    </w:rPr>
                    <w:t>(RÚBRICA)</w:t>
                  </w:r>
                  <w:r w:rsidRPr="00D736C2">
                    <w:rPr>
                      <w:rFonts w:ascii="Palatino Linotype" w:hAnsi="Palatino Linotype" w:cs="Arial"/>
                    </w:rPr>
                    <w:t xml:space="preserve"> </w:t>
                  </w:r>
                </w:p>
              </w:tc>
            </w:tr>
          </w:tbl>
          <w:p w14:paraId="5B0F4567" w14:textId="77777777" w:rsidR="00A957FE" w:rsidRPr="00D736C2" w:rsidRDefault="00A957FE" w:rsidP="00D736C2">
            <w:pPr>
              <w:spacing w:line="360" w:lineRule="auto"/>
              <w:jc w:val="both"/>
              <w:rPr>
                <w:rFonts w:ascii="Palatino Linotype" w:hAnsi="Palatino Linotype" w:cs="Arial"/>
                <w:lang w:val="es-ES"/>
              </w:rPr>
            </w:pPr>
          </w:p>
        </w:tc>
      </w:tr>
      <w:tr w:rsidR="00A957FE" w:rsidRPr="00D736C2" w14:paraId="6EEA9CEF" w14:textId="77777777" w:rsidTr="002B3D68">
        <w:trPr>
          <w:jc w:val="center"/>
        </w:trPr>
        <w:tc>
          <w:tcPr>
            <w:tcW w:w="5184" w:type="dxa"/>
            <w:hideMark/>
          </w:tcPr>
          <w:p w14:paraId="670788CF" w14:textId="77777777" w:rsidR="00A957FE" w:rsidRPr="00D736C2" w:rsidRDefault="00A957FE" w:rsidP="00D736C2">
            <w:pPr>
              <w:spacing w:line="360" w:lineRule="auto"/>
              <w:jc w:val="both"/>
              <w:rPr>
                <w:rFonts w:ascii="Palatino Linotype" w:hAnsi="Palatino Linotype" w:cs="Arial"/>
                <w:lang w:val="es-ES"/>
              </w:rPr>
            </w:pPr>
          </w:p>
        </w:tc>
        <w:tc>
          <w:tcPr>
            <w:tcW w:w="5184" w:type="dxa"/>
          </w:tcPr>
          <w:p w14:paraId="27186BC1" w14:textId="77777777" w:rsidR="00A957FE" w:rsidRPr="00D736C2" w:rsidRDefault="00A957FE" w:rsidP="00D736C2">
            <w:pPr>
              <w:spacing w:line="360" w:lineRule="auto"/>
              <w:jc w:val="center"/>
              <w:rPr>
                <w:rFonts w:ascii="Palatino Linotype" w:hAnsi="Palatino Linotype" w:cs="Arial"/>
                <w:b/>
              </w:rPr>
            </w:pPr>
          </w:p>
        </w:tc>
      </w:tr>
    </w:tbl>
    <w:p w14:paraId="0800F279" w14:textId="10B2FB7A" w:rsidR="002C38C9" w:rsidRPr="00D736C2" w:rsidRDefault="002C38C9" w:rsidP="00D736C2">
      <w:pPr>
        <w:tabs>
          <w:tab w:val="left" w:pos="567"/>
        </w:tabs>
        <w:spacing w:before="240" w:after="240" w:line="360" w:lineRule="auto"/>
        <w:jc w:val="both"/>
        <w:rPr>
          <w:rFonts w:ascii="Palatino Linotype" w:eastAsia="Times New Roman" w:hAnsi="Palatino Linotype" w:cs="Arial"/>
          <w:color w:val="000000" w:themeColor="text1"/>
        </w:rPr>
      </w:pPr>
    </w:p>
    <w:bookmarkEnd w:id="0"/>
    <w:bookmarkEnd w:id="1"/>
    <w:bookmarkEnd w:id="83"/>
    <w:bookmarkEnd w:id="84"/>
    <w:p w14:paraId="0CFE34E2" w14:textId="5C5AF752" w:rsidR="007914E4" w:rsidRPr="00D736C2" w:rsidRDefault="0033477F" w:rsidP="00D736C2">
      <w:pPr>
        <w:tabs>
          <w:tab w:val="left" w:pos="567"/>
        </w:tabs>
        <w:spacing w:before="240" w:after="240" w:line="360" w:lineRule="auto"/>
        <w:jc w:val="both"/>
        <w:rPr>
          <w:rFonts w:ascii="Palatino Linotype" w:hAnsi="Palatino Linotype" w:cs="Arial"/>
          <w:lang w:val="es-MX"/>
        </w:rPr>
      </w:pPr>
      <w:r w:rsidRPr="00D736C2">
        <w:rPr>
          <w:rFonts w:ascii="Palatino Linotype" w:eastAsia="Times New Roman" w:hAnsi="Palatino Linotype" w:cs="Arial"/>
          <w:lang w:val="es-MX"/>
        </w:rPr>
        <w:t>Esta hoja corresponde a la resoluc</w:t>
      </w:r>
      <w:r w:rsidR="0045136C">
        <w:rPr>
          <w:rFonts w:ascii="Palatino Linotype" w:eastAsia="Times New Roman" w:hAnsi="Palatino Linotype" w:cs="Arial"/>
          <w:lang w:val="es-MX"/>
        </w:rPr>
        <w:t>ión de fecha veintisiete (27) de noviembre</w:t>
      </w:r>
      <w:r w:rsidRPr="00D736C2">
        <w:rPr>
          <w:rFonts w:ascii="Palatino Linotype" w:eastAsia="Times New Roman" w:hAnsi="Palatino Linotype" w:cs="Arial"/>
          <w:lang w:val="es-MX"/>
        </w:rPr>
        <w:t xml:space="preserve"> de dos mil dieci</w:t>
      </w:r>
      <w:r w:rsidR="0045136C">
        <w:rPr>
          <w:rFonts w:ascii="Palatino Linotype" w:eastAsia="Times New Roman" w:hAnsi="Palatino Linotype" w:cs="Arial"/>
          <w:lang w:val="es-MX"/>
        </w:rPr>
        <w:t>nueve</w:t>
      </w:r>
      <w:r w:rsidRPr="00D736C2">
        <w:rPr>
          <w:rFonts w:ascii="Palatino Linotype" w:eastAsia="Times New Roman" w:hAnsi="Palatino Linotype" w:cs="Arial"/>
          <w:lang w:val="es-MX"/>
        </w:rPr>
        <w:t xml:space="preserve">, emitida en el recurso de revisión </w:t>
      </w:r>
      <w:r w:rsidR="0095074E" w:rsidRPr="00D736C2">
        <w:rPr>
          <w:rFonts w:ascii="Palatino Linotype" w:hAnsi="Palatino Linotype" w:cs="Arial"/>
          <w:b/>
          <w:bCs/>
          <w:lang w:val="es-MX" w:eastAsia="es-MX"/>
        </w:rPr>
        <w:t>07527/INFOEM/IP/RR/2019</w:t>
      </w:r>
      <w:r w:rsidR="00417E0F" w:rsidRPr="00D736C2">
        <w:rPr>
          <w:rFonts w:ascii="Palatino Linotype" w:hAnsi="Palatino Linotype" w:cs="Arial"/>
          <w:b/>
          <w:bCs/>
          <w:lang w:val="es-MX" w:eastAsia="es-MX"/>
        </w:rPr>
        <w:t>.</w:t>
      </w:r>
    </w:p>
    <w:sectPr w:rsidR="007914E4" w:rsidRPr="00D736C2" w:rsidSect="00D736C2">
      <w:headerReference w:type="default" r:id="rId19"/>
      <w:footerReference w:type="default" r:id="rId20"/>
      <w:headerReference w:type="first" r:id="rId21"/>
      <w:footerReference w:type="first" r:id="rId22"/>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1370B" w14:textId="77777777" w:rsidR="00B64EC4" w:rsidRDefault="00B64EC4" w:rsidP="00587366">
      <w:r>
        <w:separator/>
      </w:r>
    </w:p>
    <w:p w14:paraId="43C948B5" w14:textId="77777777" w:rsidR="00B64EC4" w:rsidRDefault="00B64EC4"/>
  </w:endnote>
  <w:endnote w:type="continuationSeparator" w:id="0">
    <w:p w14:paraId="745D4F81" w14:textId="77777777" w:rsidR="00B64EC4" w:rsidRDefault="00B64EC4" w:rsidP="00587366">
      <w:r>
        <w:continuationSeparator/>
      </w:r>
    </w:p>
    <w:p w14:paraId="3AC00658" w14:textId="77777777" w:rsidR="00B64EC4" w:rsidRDefault="00B64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D736C2" w:rsidRDefault="00D736C2" w:rsidP="00D736C2">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16375">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16375">
              <w:rPr>
                <w:rFonts w:ascii="Palatino Linotype" w:hAnsi="Palatino Linotype"/>
                <w:b/>
                <w:bCs/>
                <w:noProof/>
                <w:sz w:val="22"/>
                <w:szCs w:val="20"/>
              </w:rPr>
              <w:t>58</w:t>
            </w:r>
            <w:r w:rsidRPr="00883450">
              <w:rPr>
                <w:rFonts w:ascii="Palatino Linotype" w:hAnsi="Palatino Linotype"/>
                <w:b/>
                <w:bCs/>
                <w:sz w:val="22"/>
                <w:szCs w:val="20"/>
              </w:rPr>
              <w:fldChar w:fldCharType="end"/>
            </w:r>
          </w:p>
          <w:p w14:paraId="187818B4" w14:textId="42E0FFCB" w:rsidR="00D736C2" w:rsidRDefault="00B16375" w:rsidP="00985DA6">
            <w:pPr>
              <w:pStyle w:val="Piedepgina"/>
              <w:rPr>
                <w:rFonts w:ascii="Palatino Linotype" w:hAnsi="Palatino Linotype"/>
                <w:sz w:val="28"/>
              </w:rPr>
            </w:pPr>
          </w:p>
        </w:sdtContent>
      </w:sdt>
    </w:sdtContent>
  </w:sdt>
  <w:p w14:paraId="1AED78E8" w14:textId="77777777" w:rsidR="00D736C2" w:rsidRDefault="00D736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736C2" w:rsidRPr="00883450" w:rsidRDefault="00D736C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16375" w:rsidRPr="00B16375">
      <w:rPr>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16375" w:rsidRPr="00B16375">
      <w:rPr>
        <w:noProof/>
        <w:sz w:val="22"/>
        <w:szCs w:val="22"/>
        <w:lang w:val="es-ES"/>
      </w:rPr>
      <w:t>58</w:t>
    </w:r>
    <w:r w:rsidRPr="00883450">
      <w:rPr>
        <w:rFonts w:ascii="Palatino Linotype" w:hAnsi="Palatino Linotype"/>
        <w:sz w:val="22"/>
        <w:szCs w:val="22"/>
      </w:rPr>
      <w:fldChar w:fldCharType="end"/>
    </w:r>
  </w:p>
  <w:p w14:paraId="5F5C4865" w14:textId="77777777" w:rsidR="00D736C2" w:rsidRPr="00883450" w:rsidRDefault="00D736C2">
    <w:pPr>
      <w:pStyle w:val="Piedepgina"/>
      <w:rPr>
        <w:rFonts w:ascii="Palatino Linotype" w:hAnsi="Palatino Linotype"/>
        <w:sz w:val="22"/>
        <w:szCs w:val="22"/>
      </w:rPr>
    </w:pPr>
  </w:p>
  <w:p w14:paraId="2E09EA83" w14:textId="77777777" w:rsidR="00D736C2" w:rsidRDefault="00D736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29EF7" w14:textId="77777777" w:rsidR="00B64EC4" w:rsidRDefault="00B64EC4" w:rsidP="00587366">
      <w:r>
        <w:separator/>
      </w:r>
    </w:p>
    <w:p w14:paraId="1E79661D" w14:textId="77777777" w:rsidR="00B64EC4" w:rsidRDefault="00B64EC4"/>
  </w:footnote>
  <w:footnote w:type="continuationSeparator" w:id="0">
    <w:p w14:paraId="22A8141B" w14:textId="77777777" w:rsidR="00B64EC4" w:rsidRDefault="00B64EC4" w:rsidP="00587366">
      <w:r>
        <w:continuationSeparator/>
      </w:r>
    </w:p>
    <w:p w14:paraId="25180AEE" w14:textId="77777777" w:rsidR="00B64EC4" w:rsidRDefault="00B64EC4"/>
  </w:footnote>
  <w:footnote w:id="1">
    <w:p w14:paraId="20B9F097" w14:textId="77777777" w:rsidR="00D736C2" w:rsidRDefault="00D736C2" w:rsidP="005163C4">
      <w:pPr>
        <w:pStyle w:val="Textonotapie"/>
      </w:pPr>
      <w:r>
        <w:rPr>
          <w:rStyle w:val="Refdenotaalpie"/>
        </w:rPr>
        <w:footnoteRef/>
      </w:r>
      <w:r>
        <w:t xml:space="preserve"> Convención Americana sobre Derechos Humanos. Artículo 13.</w:t>
      </w:r>
    </w:p>
  </w:footnote>
  <w:footnote w:id="2">
    <w:p w14:paraId="184F86A8" w14:textId="77777777" w:rsidR="00D736C2" w:rsidRDefault="00D736C2" w:rsidP="005163C4">
      <w:pPr>
        <w:pStyle w:val="Textonotapie"/>
      </w:pPr>
      <w:r>
        <w:rPr>
          <w:rStyle w:val="Refdenotaalpie"/>
        </w:rPr>
        <w:footnoteRef/>
      </w:r>
      <w:r>
        <w:t xml:space="preserve"> Constitución Política de los Estados Unidos Mexicanos. Artículo sexto, sección A, Fracción I.</w:t>
      </w:r>
    </w:p>
  </w:footnote>
  <w:footnote w:id="3">
    <w:p w14:paraId="3DEDAA0B" w14:textId="77777777" w:rsidR="00D736C2" w:rsidRDefault="00D736C2" w:rsidP="005163C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A1435F" w14:textId="77777777" w:rsidR="00D736C2" w:rsidRDefault="00D736C2" w:rsidP="005163C4">
      <w:pPr>
        <w:pStyle w:val="Textonotapie"/>
      </w:pPr>
      <w:r>
        <w:rPr>
          <w:rStyle w:val="Refdenotaalpie"/>
        </w:rPr>
        <w:footnoteRef/>
      </w:r>
      <w:r>
        <w:t xml:space="preserve"> Ibídem. Párr. 87.</w:t>
      </w:r>
    </w:p>
  </w:footnote>
  <w:footnote w:id="5">
    <w:p w14:paraId="02A26DBB" w14:textId="77777777" w:rsidR="00D736C2" w:rsidRDefault="00D736C2" w:rsidP="005163C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2C5846B9" w14:textId="77777777" w:rsidR="00D736C2" w:rsidRDefault="00D736C2" w:rsidP="005163C4">
      <w:pPr>
        <w:pStyle w:val="Textonotapie"/>
        <w:jc w:val="both"/>
      </w:pPr>
      <w:r>
        <w:rPr>
          <w:rStyle w:val="Refdenotaalpie"/>
        </w:rPr>
        <w:footnoteRef/>
      </w:r>
      <w:r>
        <w:t xml:space="preserve"> GONZÁLEZ FERNÁNDEZ, José Antonio. “La Seguridad Pública en México” en PEÑALOZA, Pedro José y GARZA SALINAS, Mario A., </w:t>
      </w:r>
      <w:proofErr w:type="spellStart"/>
      <w:r>
        <w:t>coords</w:t>
      </w:r>
      <w:proofErr w:type="spellEnd"/>
      <w:r>
        <w:t xml:space="preserve">. </w:t>
      </w:r>
      <w:r w:rsidRPr="00D128AC">
        <w:t>L</w:t>
      </w:r>
      <w:r>
        <w:t xml:space="preserve">os Desafíos de la Seguridad Pública en México”. México, Ed. Procuraduría General de la República e Instituto de Investigaciones Jurídicas, UNAM. 2002. Pág. 126. </w:t>
      </w:r>
      <w:proofErr w:type="spellStart"/>
      <w:r>
        <w:t>Diponible</w:t>
      </w:r>
      <w:proofErr w:type="spellEnd"/>
      <w:r>
        <w:t xml:space="preserve"> en: </w:t>
      </w:r>
      <w:hyperlink r:id="rId2" w:history="1">
        <w:r w:rsidRPr="00B46364">
          <w:rPr>
            <w:rStyle w:val="Hipervnculo"/>
          </w:rPr>
          <w:t>http://biblio.juridicas.unam.mx/libros/1/419/12.pdf</w:t>
        </w:r>
      </w:hyperlink>
      <w:r>
        <w:t xml:space="preserve"> </w:t>
      </w:r>
    </w:p>
  </w:footnote>
  <w:footnote w:id="7">
    <w:p w14:paraId="519DEBFE" w14:textId="77777777" w:rsidR="00D736C2" w:rsidRDefault="00D736C2" w:rsidP="005163C4">
      <w:pPr>
        <w:pStyle w:val="Textonotapie"/>
      </w:pPr>
      <w:r>
        <w:rPr>
          <w:rStyle w:val="Refdenotaalpie"/>
        </w:rPr>
        <w:footnoteRef/>
      </w:r>
      <w:r>
        <w:t xml:space="preserve"> </w:t>
      </w:r>
      <w:r w:rsidRPr="00D128AC">
        <w:rPr>
          <w:i/>
        </w:rPr>
        <w:t>Ibídem</w:t>
      </w:r>
      <w:r>
        <w:t>. Pág. 128.</w:t>
      </w:r>
    </w:p>
  </w:footnote>
  <w:footnote w:id="8">
    <w:p w14:paraId="32735660" w14:textId="77777777" w:rsidR="00D736C2" w:rsidRPr="00EF6843" w:rsidRDefault="00D736C2" w:rsidP="005163C4">
      <w:pPr>
        <w:pStyle w:val="Textonotapie"/>
        <w:rPr>
          <w:lang w:val="es-ES"/>
        </w:rPr>
      </w:pPr>
      <w:r>
        <w:rPr>
          <w:rStyle w:val="Refdenotaalpie"/>
        </w:rPr>
        <w:footnoteRef/>
      </w:r>
      <w:r>
        <w:t xml:space="preserve"> </w:t>
      </w:r>
      <w:r w:rsidRPr="00F0080B">
        <w:rPr>
          <w:lang w:val="es-ES"/>
        </w:rPr>
        <w:t xml:space="preserve">Recurso de revisión </w:t>
      </w:r>
      <w:r w:rsidRPr="00F0080B">
        <w:rPr>
          <w:b/>
          <w:bCs/>
        </w:rPr>
        <w:t>01129/INFOEM/IP/RR/2015</w:t>
      </w:r>
      <w:r>
        <w:rPr>
          <w:b/>
          <w:bCs/>
        </w:rPr>
        <w:t xml:space="preserve"> y </w:t>
      </w:r>
      <w:r w:rsidRPr="00F0080B">
        <w:rPr>
          <w:b/>
          <w:bCs/>
        </w:rPr>
        <w:t>011</w:t>
      </w:r>
      <w:r>
        <w:rPr>
          <w:b/>
          <w:bCs/>
        </w:rPr>
        <w:t>30</w:t>
      </w:r>
      <w:r w:rsidRPr="00F0080B">
        <w:rPr>
          <w:b/>
          <w:bCs/>
        </w:rPr>
        <w:t>/INFOEM/IP/RR/2015</w:t>
      </w:r>
      <w:r>
        <w:rPr>
          <w:b/>
          <w:bCs/>
        </w:rPr>
        <w:t xml:space="preserve"> acumulados. </w:t>
      </w:r>
    </w:p>
  </w:footnote>
  <w:footnote w:id="9">
    <w:p w14:paraId="0DC57852" w14:textId="77777777" w:rsidR="00D736C2" w:rsidRPr="00EF6843" w:rsidRDefault="00D736C2" w:rsidP="005163C4">
      <w:pPr>
        <w:pStyle w:val="Textonotapie"/>
        <w:rPr>
          <w:lang w:val="es-ES"/>
        </w:rPr>
      </w:pPr>
      <w:r>
        <w:rPr>
          <w:rStyle w:val="Refdenotaalpie"/>
        </w:rPr>
        <w:footnoteRef/>
      </w:r>
      <w:r>
        <w:t xml:space="preserve"> </w:t>
      </w:r>
      <w:r>
        <w:rPr>
          <w:lang w:val="es-ES"/>
        </w:rPr>
        <w:t xml:space="preserve">Recurso de revisión </w:t>
      </w:r>
      <w:r w:rsidRPr="00F0080B">
        <w:rPr>
          <w:b/>
          <w:bCs/>
        </w:rPr>
        <w:t>01522/INFOEM/IP/RR/2016</w:t>
      </w:r>
      <w:r>
        <w:rPr>
          <w:b/>
          <w:bCs/>
        </w:rPr>
        <w:t xml:space="preserve">. </w:t>
      </w:r>
    </w:p>
  </w:footnote>
  <w:footnote w:id="10">
    <w:p w14:paraId="6BA5944A" w14:textId="77777777" w:rsidR="00D736C2" w:rsidRPr="00F0080B" w:rsidRDefault="00D736C2" w:rsidP="005163C4">
      <w:pPr>
        <w:pStyle w:val="Textonotapie"/>
        <w:jc w:val="both"/>
        <w:rPr>
          <w:lang w:val="es-ES"/>
        </w:rPr>
      </w:pPr>
      <w:r>
        <w:rPr>
          <w:rStyle w:val="Refdenotaalpie"/>
        </w:rPr>
        <w:footnoteRef/>
      </w:r>
      <w:r>
        <w:t xml:space="preserve"> Recursos de revisión </w:t>
      </w:r>
      <w:r w:rsidRPr="00563FE4">
        <w:rPr>
          <w:b/>
        </w:rPr>
        <w:t>03423</w:t>
      </w:r>
      <w:r w:rsidRPr="00563FE4">
        <w:rPr>
          <w:b/>
          <w:bCs/>
        </w:rPr>
        <w:t>/INFOEM/IP/RR/2018</w:t>
      </w:r>
      <w:r>
        <w:rPr>
          <w:b/>
          <w:bCs/>
        </w:rPr>
        <w:t xml:space="preserve">, </w:t>
      </w:r>
      <w:r w:rsidRPr="00563FE4">
        <w:rPr>
          <w:b/>
          <w:bCs/>
        </w:rPr>
        <w:t xml:space="preserve">03424/INFOEM/IP/RR/2018 y </w:t>
      </w:r>
      <w:r w:rsidRPr="00F0080B">
        <w:rPr>
          <w:b/>
          <w:bCs/>
        </w:rPr>
        <w:t>3425/INFOEM/IP/RR/2018</w:t>
      </w:r>
      <w:r>
        <w:rPr>
          <w:b/>
          <w:bCs/>
        </w:rPr>
        <w:t xml:space="preserve"> acumulados. </w:t>
      </w:r>
    </w:p>
  </w:footnote>
  <w:footnote w:id="11">
    <w:p w14:paraId="4A36C50E" w14:textId="77777777" w:rsidR="00D736C2" w:rsidRPr="00EF6843" w:rsidRDefault="00D736C2" w:rsidP="005163C4">
      <w:pPr>
        <w:pStyle w:val="Textonotapie"/>
        <w:rPr>
          <w:lang w:val="es-ES"/>
        </w:rPr>
      </w:pPr>
      <w:r w:rsidRPr="00F0080B">
        <w:rPr>
          <w:rStyle w:val="Refdenotaalpie"/>
        </w:rPr>
        <w:footnoteRef/>
      </w:r>
      <w:r w:rsidRPr="00F0080B">
        <w:t xml:space="preserve"> </w:t>
      </w:r>
      <w:r>
        <w:t xml:space="preserve">Recurso de revisión </w:t>
      </w:r>
      <w:r w:rsidRPr="00F0080B">
        <w:rPr>
          <w:b/>
          <w:bCs/>
        </w:rPr>
        <w:t>00005/INFOEM/IP/RR/2019</w:t>
      </w:r>
    </w:p>
  </w:footnote>
  <w:footnote w:id="12">
    <w:p w14:paraId="323292C3" w14:textId="77777777" w:rsidR="00D736C2" w:rsidRDefault="00D736C2" w:rsidP="005163C4">
      <w:pPr>
        <w:pStyle w:val="Textonotapie"/>
      </w:pPr>
      <w:r>
        <w:rPr>
          <w:rStyle w:val="Refdenotaalpie"/>
        </w:rPr>
        <w:footnoteRef/>
      </w:r>
      <w:r>
        <w:t xml:space="preserve"> Consultable en; </w:t>
      </w:r>
      <w:hyperlink r:id="rId3" w:history="1">
        <w:r>
          <w:rPr>
            <w:rStyle w:val="Hipervnculo"/>
          </w:rPr>
          <w:t>http://transparencia.banobras.gob.mx/wp-content/uploads/2016/06/1.-DAGA-023-2013-F.pdf</w:t>
        </w:r>
      </w:hyperlink>
    </w:p>
  </w:footnote>
  <w:footnote w:id="13">
    <w:p w14:paraId="59351329" w14:textId="77777777" w:rsidR="00D736C2" w:rsidRDefault="00D736C2" w:rsidP="005163C4">
      <w:pPr>
        <w:pStyle w:val="Textonotapie"/>
      </w:pPr>
      <w:r>
        <w:rPr>
          <w:rStyle w:val="Refdenotaalpie"/>
        </w:rPr>
        <w:footnoteRef/>
      </w:r>
      <w:r>
        <w:t xml:space="preserve"> Consultable en; </w:t>
      </w:r>
      <w:hyperlink r:id="rId4" w:history="1">
        <w:r>
          <w:rPr>
            <w:rStyle w:val="Hipervnculo"/>
          </w:rPr>
          <w:t>http://www.cptm.com.mx/sites/default/files/c_31-2016_cusaem.pdf</w:t>
        </w:r>
      </w:hyperlink>
    </w:p>
  </w:footnote>
  <w:footnote w:id="14">
    <w:p w14:paraId="642D014E" w14:textId="77777777" w:rsidR="00D736C2" w:rsidRDefault="00D736C2" w:rsidP="005163C4">
      <w:pPr>
        <w:pStyle w:val="Textonotapie"/>
      </w:pPr>
      <w:r>
        <w:rPr>
          <w:rStyle w:val="Refdenotaalpie"/>
        </w:rPr>
        <w:footnoteRef/>
      </w:r>
      <w:r>
        <w:t xml:space="preserve"> Consultable en; </w:t>
      </w:r>
      <w:hyperlink r:id="rId5" w:history="1">
        <w:r>
          <w:rPr>
            <w:rStyle w:val="Hipervnculo"/>
          </w:rPr>
          <w:t>https://www.telecomm.gob.mx/sipot/DAF_2019/28b_Resultados_adj_invita_licita_Procedimientos_adjudicacion_directa/Ciudad_de_Mexico/contrato_anexos/Contrato%20CUSAEM_2018.pdf</w:t>
        </w:r>
      </w:hyperlink>
    </w:p>
  </w:footnote>
  <w:footnote w:id="15">
    <w:p w14:paraId="79A563D4" w14:textId="50552748" w:rsidR="00D736C2" w:rsidRDefault="00D736C2">
      <w:pPr>
        <w:pStyle w:val="Textonotapie"/>
      </w:pPr>
      <w:r>
        <w:rPr>
          <w:rStyle w:val="Refdenotaalpie"/>
        </w:rPr>
        <w:footnoteRef/>
      </w:r>
      <w:r>
        <w:t xml:space="preserve"> Consultable en </w:t>
      </w:r>
      <w:hyperlink r:id="rId6" w:history="1">
        <w:r>
          <w:rPr>
            <w:rStyle w:val="Hipervnculo"/>
          </w:rPr>
          <w:t>https://www.ipomex.org.mx/recursos/ipo/files_ipo/2013/18/7/3a951adf04b87f2c3166d5a4dea90558.pdf</w:t>
        </w:r>
      </w:hyperlink>
    </w:p>
  </w:footnote>
  <w:footnote w:id="16">
    <w:p w14:paraId="2D97FF61" w14:textId="77777777" w:rsidR="00D736C2" w:rsidRDefault="00D736C2" w:rsidP="005163C4">
      <w:pPr>
        <w:pStyle w:val="Textonotapie"/>
      </w:pPr>
      <w:r>
        <w:rPr>
          <w:rStyle w:val="Refdenotaalpie"/>
        </w:rPr>
        <w:footnoteRef/>
      </w:r>
      <w:r>
        <w:t xml:space="preserve"> Artículo 33 del Presupuesto de Egresos del Estado de México, consultable en: </w:t>
      </w:r>
      <w:hyperlink r:id="rId7" w:history="1">
        <w:r>
          <w:rPr>
            <w:rStyle w:val="Hipervnculo"/>
          </w:rPr>
          <w:t>http://transparenciafiscal.edomex.gob.mx/sites/transparenciafiscal.edomex.gob.mx/files/files/pdf/marco-programatico-presupuestal/presupuesto-egresos-2019.pdf</w:t>
        </w:r>
      </w:hyperlink>
    </w:p>
  </w:footnote>
  <w:footnote w:id="17">
    <w:p w14:paraId="3B2CF13F" w14:textId="77777777" w:rsidR="00D736C2" w:rsidRDefault="00D736C2" w:rsidP="005163C4">
      <w:pPr>
        <w:pStyle w:val="Textonotapie"/>
        <w:jc w:val="both"/>
      </w:pPr>
      <w:r>
        <w:rPr>
          <w:rStyle w:val="Refdenotaalpie"/>
        </w:rPr>
        <w:footnoteRef/>
      </w:r>
      <w:r>
        <w:t xml:space="preserve"> “Artículo 14 del Presupuesto de Egresos del Estado de México, el cual establece que; “Artículo 14. Las erogaciones previstas para el Poder Ejecutivo para el gasto corriente y de inversión de las dependencias, en su clasificación administrativa, ascienden a la cantidad de $110</w:t>
      </w:r>
      <w:proofErr w:type="gramStart"/>
      <w:r>
        <w:t>,681,821,023</w:t>
      </w:r>
      <w:proofErr w:type="gramEnd"/>
      <w:r>
        <w:t xml:space="preserve"> se distribuyen de la siguiente manera […]” </w:t>
      </w:r>
    </w:p>
  </w:footnote>
  <w:footnote w:id="18">
    <w:p w14:paraId="3F2371A9" w14:textId="55DD322B" w:rsidR="00D736C2" w:rsidRDefault="00D736C2">
      <w:pPr>
        <w:pStyle w:val="Textonotapie"/>
      </w:pPr>
      <w:r>
        <w:rPr>
          <w:rStyle w:val="Refdenotaalpie"/>
        </w:rPr>
        <w:footnoteRef/>
      </w:r>
      <w:r>
        <w:t xml:space="preserve"> 163657. II.4o.A.29 A. Tribunales Colegiados de Circuito. Novena Época. Semanario Judicial de la Federación y su Gaceta. Tomo XXXII, Octubre de 2010, Pág. 2977</w:t>
      </w:r>
    </w:p>
  </w:footnote>
  <w:footnote w:id="19">
    <w:p w14:paraId="462FE2E4" w14:textId="77777777" w:rsidR="00D736C2" w:rsidRPr="001C26D1" w:rsidRDefault="00D736C2" w:rsidP="005163C4">
      <w:pPr>
        <w:pStyle w:val="Textonotapie"/>
        <w:jc w:val="both"/>
        <w:rPr>
          <w:rFonts w:cstheme="minorHAnsi"/>
        </w:rPr>
      </w:pPr>
      <w:r w:rsidRPr="00563FE4">
        <w:rPr>
          <w:rStyle w:val="Refdenotaalpie"/>
          <w:rFonts w:cstheme="minorHAnsi"/>
        </w:rPr>
        <w:footnoteRef/>
      </w:r>
      <w:r w:rsidRPr="00563FE4">
        <w:rPr>
          <w:rFonts w:cstheme="minorHAnsi"/>
        </w:rPr>
        <w:t xml:space="preserve"> Recordemos que en el artículo 8 del Reglamento de los Cuerpos de Seguridad Pública del Estado de México, se contemplaba que: </w:t>
      </w:r>
      <w:r>
        <w:rPr>
          <w:rFonts w:cstheme="minorHAnsi"/>
        </w:rPr>
        <w:t>“L</w:t>
      </w:r>
      <w:r w:rsidRPr="00563FE4">
        <w:rPr>
          <w:rFonts w:cstheme="minorHAnsi"/>
        </w:rPr>
        <w:t xml:space="preserve">a corporación de Guardias de Seguridad Industrial, Bancaria y Comercial y la de Vigilantes Auxiliares </w:t>
      </w:r>
      <w:r w:rsidRPr="00563FE4">
        <w:rPr>
          <w:rFonts w:cstheme="minorHAnsi"/>
          <w:b/>
          <w:bCs/>
        </w:rPr>
        <w:t>dependerán de la Dirección General de Seguridad Pública y Tránsito del Estado</w:t>
      </w:r>
      <w:r>
        <w:rPr>
          <w:rFonts w:eastAsia="MS Mincho" w:cstheme="minorHAnsi"/>
          <w:lang w:val="es-ES_tradnl" w:eastAsia="es-ES"/>
        </w:rPr>
        <w:t xml:space="preserve"> […]”</w:t>
      </w:r>
      <w:r w:rsidRPr="00563FE4">
        <w:rPr>
          <w:rFonts w:eastAsia="MS Mincho" w:cstheme="minorHAnsi"/>
          <w:lang w:val="es-ES_tradnl" w:eastAsia="es-ES"/>
        </w:rPr>
        <w:t xml:space="preserve"> Reglamento de los Cuerpos de Seguridad Pública del Estado de México;</w:t>
      </w:r>
      <w:r w:rsidRPr="00563FE4">
        <w:rPr>
          <w:rFonts w:cstheme="minorHAnsi"/>
        </w:rPr>
        <w:t xml:space="preserve"> Consultable en: </w:t>
      </w:r>
      <w:hyperlink r:id="rId8" w:history="1">
        <w:r w:rsidRPr="00563FE4">
          <w:rPr>
            <w:rStyle w:val="Hipervnculo"/>
            <w:rFonts w:cstheme="minorHAnsi"/>
          </w:rPr>
          <w:t>http://legislacion.edomex.gob.mx/sites/legislacion.edomex.gob.mx/files/files/pdf/rgl/vig/rglvig059.pdf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D736C2" w:rsidRDefault="00D736C2">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736C2" w:rsidRPr="00E84957" w14:paraId="07F2896E" w14:textId="77777777" w:rsidTr="003116A6">
      <w:trPr>
        <w:trHeight w:val="138"/>
        <w:jc w:val="right"/>
      </w:trPr>
      <w:tc>
        <w:tcPr>
          <w:tcW w:w="2552" w:type="dxa"/>
          <w:vAlign w:val="center"/>
        </w:tcPr>
        <w:p w14:paraId="4A5B1974" w14:textId="77777777" w:rsidR="00D736C2" w:rsidRPr="00E84957" w:rsidRDefault="00D736C2"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5BCB5C5" w:rsidR="00D736C2" w:rsidRPr="00E00655" w:rsidRDefault="00D736C2" w:rsidP="00B375D7">
          <w:pPr>
            <w:pStyle w:val="Encabezado"/>
            <w:jc w:val="right"/>
            <w:rPr>
              <w:rFonts w:ascii="Palatino Linotype" w:hAnsi="Palatino Linotype"/>
              <w:b/>
              <w:color w:val="000000" w:themeColor="text1"/>
              <w:sz w:val="18"/>
              <w:szCs w:val="18"/>
            </w:rPr>
          </w:pPr>
          <w:r w:rsidRPr="00E00655">
            <w:rPr>
              <w:rFonts w:ascii="Palatino Linotype" w:hAnsi="Palatino Linotype"/>
              <w:b/>
              <w:color w:val="000000" w:themeColor="text1"/>
              <w:sz w:val="18"/>
              <w:szCs w:val="18"/>
            </w:rPr>
            <w:t>0</w:t>
          </w:r>
          <w:r>
            <w:rPr>
              <w:rFonts w:ascii="Palatino Linotype" w:hAnsi="Palatino Linotype"/>
              <w:b/>
              <w:color w:val="000000" w:themeColor="text1"/>
              <w:sz w:val="18"/>
              <w:szCs w:val="18"/>
            </w:rPr>
            <w:t>7527</w:t>
          </w:r>
          <w:r w:rsidRPr="00E00655">
            <w:rPr>
              <w:rFonts w:ascii="Palatino Linotype" w:hAnsi="Palatino Linotype"/>
              <w:b/>
              <w:color w:val="000000" w:themeColor="text1"/>
              <w:sz w:val="18"/>
              <w:szCs w:val="18"/>
            </w:rPr>
            <w:t>/INFOEM/IP/RR/2019</w:t>
          </w:r>
        </w:p>
      </w:tc>
    </w:tr>
    <w:tr w:rsidR="00D736C2" w:rsidRPr="00E84957" w14:paraId="095EB01B" w14:textId="77777777" w:rsidTr="003116A6">
      <w:trPr>
        <w:trHeight w:val="321"/>
        <w:jc w:val="right"/>
      </w:trPr>
      <w:tc>
        <w:tcPr>
          <w:tcW w:w="2552" w:type="dxa"/>
          <w:vAlign w:val="center"/>
        </w:tcPr>
        <w:p w14:paraId="6E000A51" w14:textId="4DA3E277" w:rsidR="00D736C2" w:rsidRPr="00E84957" w:rsidRDefault="00D736C2"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59F2BB4" w:rsidR="00D736C2" w:rsidRPr="00E00655" w:rsidRDefault="00D736C2" w:rsidP="00B375D7">
          <w:pPr>
            <w:pStyle w:val="Encabezado"/>
            <w:spacing w:line="360" w:lineRule="auto"/>
            <w:jc w:val="right"/>
            <w:rPr>
              <w:rFonts w:ascii="Palatino Linotype" w:eastAsia="Times New Roman" w:hAnsi="Palatino Linotype" w:cs="Times New Roman"/>
              <w:b/>
              <w:sz w:val="18"/>
              <w:szCs w:val="18"/>
            </w:rPr>
          </w:pPr>
          <w:r>
            <w:rPr>
              <w:rFonts w:ascii="Palatino Linotype" w:hAnsi="Palatino Linotype"/>
              <w:b/>
              <w:sz w:val="18"/>
              <w:szCs w:val="18"/>
            </w:rPr>
            <w:t>Secretaría de Finanzas</w:t>
          </w:r>
        </w:p>
      </w:tc>
    </w:tr>
    <w:tr w:rsidR="00D736C2" w:rsidRPr="00E84957" w14:paraId="14F3CE0D" w14:textId="77777777" w:rsidTr="003116A6">
      <w:trPr>
        <w:trHeight w:val="321"/>
        <w:jc w:val="right"/>
      </w:trPr>
      <w:tc>
        <w:tcPr>
          <w:tcW w:w="2552" w:type="dxa"/>
          <w:vAlign w:val="center"/>
        </w:tcPr>
        <w:p w14:paraId="12248485" w14:textId="081B3348" w:rsidR="00D736C2" w:rsidRPr="00E84957" w:rsidRDefault="00D736C2"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D736C2" w:rsidRPr="00E00655" w:rsidRDefault="00D736C2" w:rsidP="00114C6B">
          <w:pPr>
            <w:pStyle w:val="Encabezado"/>
            <w:jc w:val="right"/>
            <w:rPr>
              <w:rFonts w:ascii="Palatino Linotype" w:hAnsi="Palatino Linotype"/>
              <w:b/>
              <w:sz w:val="18"/>
              <w:szCs w:val="18"/>
            </w:rPr>
          </w:pPr>
          <w:r w:rsidRPr="00E00655">
            <w:rPr>
              <w:rFonts w:ascii="Palatino Linotype" w:hAnsi="Palatino Linotype"/>
              <w:b/>
              <w:sz w:val="18"/>
              <w:szCs w:val="18"/>
            </w:rPr>
            <w:t>José Guadalupe Luna Hernández</w:t>
          </w:r>
        </w:p>
      </w:tc>
    </w:tr>
  </w:tbl>
  <w:p w14:paraId="1096C1B8" w14:textId="77777777" w:rsidR="00D736C2" w:rsidRDefault="00D736C2" w:rsidP="00587366">
    <w:pPr>
      <w:pStyle w:val="Encabezado"/>
    </w:pPr>
  </w:p>
  <w:p w14:paraId="01FCACBC" w14:textId="77777777" w:rsidR="00D736C2" w:rsidRDefault="00D736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736C2" w:rsidRDefault="00D736C2"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736C2" w:rsidRPr="00182113" w14:paraId="665387B4" w14:textId="77777777" w:rsidTr="000B5D79">
      <w:trPr>
        <w:trHeight w:val="138"/>
      </w:trPr>
      <w:tc>
        <w:tcPr>
          <w:tcW w:w="2532" w:type="dxa"/>
          <w:vAlign w:val="center"/>
        </w:tcPr>
        <w:p w14:paraId="01509DD6" w14:textId="77777777" w:rsidR="00D736C2" w:rsidRPr="00182113" w:rsidRDefault="00D736C2"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D736C2" w:rsidRPr="00182113" w:rsidRDefault="00D736C2" w:rsidP="000B5D79">
          <w:pPr>
            <w:pStyle w:val="Encabezado"/>
            <w:jc w:val="center"/>
            <w:rPr>
              <w:rFonts w:ascii="Palatino Linotype" w:hAnsi="Palatino Linotype"/>
              <w:b/>
              <w:sz w:val="22"/>
              <w:szCs w:val="22"/>
            </w:rPr>
          </w:pPr>
        </w:p>
      </w:tc>
      <w:tc>
        <w:tcPr>
          <w:tcW w:w="3261" w:type="dxa"/>
          <w:vAlign w:val="center"/>
        </w:tcPr>
        <w:p w14:paraId="4FAE21CD" w14:textId="6161F756" w:rsidR="00D736C2" w:rsidRPr="00F74590" w:rsidRDefault="00D736C2" w:rsidP="00B375D7">
          <w:pPr>
            <w:pStyle w:val="Encabezado"/>
            <w:rPr>
              <w:rFonts w:ascii="Palatino Linotype" w:hAnsi="Palatino Linotype"/>
              <w:b/>
              <w:sz w:val="18"/>
              <w:szCs w:val="18"/>
            </w:rPr>
          </w:pPr>
          <w:r w:rsidRPr="00F74590">
            <w:rPr>
              <w:rFonts w:ascii="Palatino Linotype" w:hAnsi="Palatino Linotype" w:cs="Arial"/>
              <w:b/>
              <w:bCs/>
              <w:sz w:val="18"/>
              <w:szCs w:val="18"/>
              <w:lang w:eastAsia="es-MX"/>
            </w:rPr>
            <w:t>0</w:t>
          </w:r>
          <w:r>
            <w:rPr>
              <w:rFonts w:ascii="Palatino Linotype" w:hAnsi="Palatino Linotype" w:cs="Arial"/>
              <w:b/>
              <w:bCs/>
              <w:sz w:val="18"/>
              <w:szCs w:val="18"/>
              <w:lang w:eastAsia="es-MX"/>
            </w:rPr>
            <w:t>7527</w:t>
          </w:r>
          <w:r w:rsidRPr="00F74590">
            <w:rPr>
              <w:rFonts w:ascii="Palatino Linotype" w:hAnsi="Palatino Linotype" w:cs="Arial"/>
              <w:b/>
              <w:bCs/>
              <w:sz w:val="18"/>
              <w:szCs w:val="18"/>
              <w:lang w:eastAsia="es-MX"/>
            </w:rPr>
            <w:t>/INFOEM/IP/RR/2019</w:t>
          </w:r>
        </w:p>
      </w:tc>
    </w:tr>
    <w:tr w:rsidR="00D736C2" w:rsidRPr="00B16375" w14:paraId="78C9F2F4" w14:textId="77777777" w:rsidTr="000B5D79">
      <w:trPr>
        <w:trHeight w:val="227"/>
      </w:trPr>
      <w:tc>
        <w:tcPr>
          <w:tcW w:w="2532" w:type="dxa"/>
          <w:vAlign w:val="center"/>
        </w:tcPr>
        <w:p w14:paraId="2D89FED3" w14:textId="77777777" w:rsidR="00D736C2" w:rsidRPr="00182113" w:rsidRDefault="00D736C2"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D736C2" w:rsidRPr="00182113" w:rsidRDefault="00D736C2" w:rsidP="000B5D79">
          <w:pPr>
            <w:pStyle w:val="Encabezado"/>
            <w:jc w:val="center"/>
            <w:rPr>
              <w:rFonts w:ascii="Palatino Linotype" w:hAnsi="Palatino Linotype"/>
              <w:b/>
              <w:sz w:val="22"/>
              <w:szCs w:val="22"/>
            </w:rPr>
          </w:pPr>
        </w:p>
      </w:tc>
      <w:tc>
        <w:tcPr>
          <w:tcW w:w="3261" w:type="dxa"/>
          <w:vAlign w:val="center"/>
        </w:tcPr>
        <w:p w14:paraId="36D086A3" w14:textId="7F05451E" w:rsidR="00D736C2" w:rsidRPr="00B16375" w:rsidRDefault="00B16375" w:rsidP="009B03E9">
          <w:pPr>
            <w:pStyle w:val="Encabezado"/>
            <w:rPr>
              <w:rFonts w:ascii="Palatino Linotype" w:hAnsi="Palatino Linotype"/>
              <w:b/>
              <w:sz w:val="18"/>
              <w:szCs w:val="18"/>
              <w:highlight w:val="black"/>
            </w:rPr>
          </w:pPr>
          <w:r w:rsidRPr="00B16375">
            <w:rPr>
              <w:rFonts w:ascii="Palatino Linotype" w:hAnsi="Palatino Linotype"/>
              <w:b/>
              <w:sz w:val="18"/>
              <w:szCs w:val="18"/>
              <w:highlight w:val="black"/>
            </w:rPr>
            <w:t>----------------------------------------------------------------------------------------------------</w:t>
          </w:r>
        </w:p>
      </w:tc>
    </w:tr>
    <w:tr w:rsidR="00D736C2" w:rsidRPr="00182113" w14:paraId="1A862673" w14:textId="77777777" w:rsidTr="000B5D79">
      <w:trPr>
        <w:trHeight w:val="232"/>
      </w:trPr>
      <w:tc>
        <w:tcPr>
          <w:tcW w:w="2532" w:type="dxa"/>
          <w:vAlign w:val="center"/>
        </w:tcPr>
        <w:p w14:paraId="767A6F60" w14:textId="77777777" w:rsidR="00D736C2" w:rsidRPr="00182113" w:rsidRDefault="00D736C2"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D736C2" w:rsidRPr="00182113" w:rsidRDefault="00D736C2" w:rsidP="000B5D79">
          <w:pPr>
            <w:pStyle w:val="Encabezado"/>
            <w:jc w:val="center"/>
            <w:rPr>
              <w:rFonts w:ascii="Palatino Linotype" w:hAnsi="Palatino Linotype"/>
              <w:b/>
              <w:sz w:val="22"/>
              <w:szCs w:val="22"/>
            </w:rPr>
          </w:pPr>
        </w:p>
      </w:tc>
      <w:tc>
        <w:tcPr>
          <w:tcW w:w="3261" w:type="dxa"/>
          <w:vAlign w:val="center"/>
        </w:tcPr>
        <w:p w14:paraId="3FC8EF03" w14:textId="027CE0E7" w:rsidR="00D736C2" w:rsidRPr="00EA6B03" w:rsidRDefault="00D736C2" w:rsidP="00B375D7">
          <w:pPr>
            <w:pStyle w:val="Encabezado"/>
            <w:rPr>
              <w:rFonts w:ascii="Palatino Linotype" w:hAnsi="Palatino Linotype"/>
              <w:b/>
              <w:sz w:val="18"/>
              <w:szCs w:val="18"/>
            </w:rPr>
          </w:pPr>
          <w:r w:rsidRPr="00EA6B03">
            <w:rPr>
              <w:rFonts w:ascii="Palatino Linotype" w:hAnsi="Palatino Linotype"/>
              <w:b/>
              <w:sz w:val="18"/>
              <w:szCs w:val="18"/>
            </w:rPr>
            <w:t xml:space="preserve">Secretaría de </w:t>
          </w:r>
          <w:r>
            <w:rPr>
              <w:rFonts w:ascii="Palatino Linotype" w:hAnsi="Palatino Linotype"/>
              <w:b/>
              <w:sz w:val="18"/>
              <w:szCs w:val="18"/>
            </w:rPr>
            <w:t>Finanzas</w:t>
          </w:r>
        </w:p>
      </w:tc>
    </w:tr>
    <w:tr w:rsidR="00D736C2" w:rsidRPr="00182113" w14:paraId="4416531B" w14:textId="77777777" w:rsidTr="000B5D79">
      <w:trPr>
        <w:trHeight w:val="320"/>
      </w:trPr>
      <w:tc>
        <w:tcPr>
          <w:tcW w:w="2532" w:type="dxa"/>
          <w:vAlign w:val="center"/>
        </w:tcPr>
        <w:p w14:paraId="277DD3E2" w14:textId="7989BCC5" w:rsidR="00D736C2" w:rsidRPr="00182113" w:rsidRDefault="00D736C2"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D736C2" w:rsidRPr="00182113" w:rsidRDefault="00D736C2" w:rsidP="000B5D79">
          <w:pPr>
            <w:pStyle w:val="Encabezado"/>
            <w:jc w:val="center"/>
            <w:rPr>
              <w:rFonts w:ascii="Palatino Linotype" w:hAnsi="Palatino Linotype"/>
              <w:b/>
              <w:sz w:val="22"/>
              <w:szCs w:val="22"/>
            </w:rPr>
          </w:pPr>
        </w:p>
      </w:tc>
      <w:tc>
        <w:tcPr>
          <w:tcW w:w="3261" w:type="dxa"/>
          <w:vAlign w:val="center"/>
        </w:tcPr>
        <w:p w14:paraId="3BD70CE4" w14:textId="61A13249" w:rsidR="00D736C2" w:rsidRPr="00F74590" w:rsidRDefault="00D736C2" w:rsidP="000B5D79">
          <w:pPr>
            <w:pStyle w:val="Encabezado"/>
            <w:rPr>
              <w:rFonts w:ascii="Palatino Linotype" w:hAnsi="Palatino Linotype"/>
              <w:b/>
              <w:sz w:val="18"/>
              <w:szCs w:val="18"/>
            </w:rPr>
          </w:pPr>
          <w:r w:rsidRPr="00F74590">
            <w:rPr>
              <w:rFonts w:ascii="Palatino Linotype" w:hAnsi="Palatino Linotype"/>
              <w:b/>
              <w:sz w:val="18"/>
              <w:szCs w:val="18"/>
            </w:rPr>
            <w:t>José Guadalupe Luna Hernández</w:t>
          </w:r>
        </w:p>
      </w:tc>
    </w:tr>
  </w:tbl>
  <w:p w14:paraId="156B5574" w14:textId="35A2B07E" w:rsidR="00D736C2" w:rsidRDefault="00D736C2">
    <w:pPr>
      <w:pStyle w:val="Encabezado"/>
    </w:pPr>
  </w:p>
  <w:p w14:paraId="2C496126" w14:textId="77777777" w:rsidR="00D736C2" w:rsidRDefault="00D736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E5F03CF"/>
    <w:multiLevelType w:val="hybridMultilevel"/>
    <w:tmpl w:val="8AC898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1954152"/>
    <w:multiLevelType w:val="hybridMultilevel"/>
    <w:tmpl w:val="616E4818"/>
    <w:lvl w:ilvl="0" w:tplc="374853F6">
      <w:start w:val="1"/>
      <w:numFmt w:val="decimal"/>
      <w:lvlText w:val="%1."/>
      <w:lvlJc w:val="left"/>
      <w:pPr>
        <w:ind w:left="720" w:hanging="360"/>
      </w:pPr>
      <w:rPr>
        <w:rFonts w:eastAsiaTheme="minorEastAsia"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0136A0"/>
    <w:multiLevelType w:val="hybridMultilevel"/>
    <w:tmpl w:val="4342BEC2"/>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EDA"/>
    <w:rsid w:val="0000198C"/>
    <w:rsid w:val="00002AB3"/>
    <w:rsid w:val="0000315A"/>
    <w:rsid w:val="000038A2"/>
    <w:rsid w:val="000038EC"/>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1B84"/>
    <w:rsid w:val="0002264E"/>
    <w:rsid w:val="00022868"/>
    <w:rsid w:val="00022E10"/>
    <w:rsid w:val="00022EEF"/>
    <w:rsid w:val="00023547"/>
    <w:rsid w:val="0002392C"/>
    <w:rsid w:val="000240A5"/>
    <w:rsid w:val="00024548"/>
    <w:rsid w:val="0002623B"/>
    <w:rsid w:val="00027919"/>
    <w:rsid w:val="0003063D"/>
    <w:rsid w:val="00031C89"/>
    <w:rsid w:val="00032493"/>
    <w:rsid w:val="000329CD"/>
    <w:rsid w:val="00032B32"/>
    <w:rsid w:val="00034578"/>
    <w:rsid w:val="000348AB"/>
    <w:rsid w:val="00034AEC"/>
    <w:rsid w:val="00034FC4"/>
    <w:rsid w:val="000352F8"/>
    <w:rsid w:val="00035959"/>
    <w:rsid w:val="00036AC3"/>
    <w:rsid w:val="000370C1"/>
    <w:rsid w:val="00037177"/>
    <w:rsid w:val="00041206"/>
    <w:rsid w:val="0004133B"/>
    <w:rsid w:val="00041A0C"/>
    <w:rsid w:val="00041C72"/>
    <w:rsid w:val="0004277D"/>
    <w:rsid w:val="00042FA7"/>
    <w:rsid w:val="0004403E"/>
    <w:rsid w:val="0004447D"/>
    <w:rsid w:val="00044663"/>
    <w:rsid w:val="00045BF1"/>
    <w:rsid w:val="00045EC8"/>
    <w:rsid w:val="00046211"/>
    <w:rsid w:val="00046307"/>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A4"/>
    <w:rsid w:val="00054A7C"/>
    <w:rsid w:val="00055B29"/>
    <w:rsid w:val="00055FF9"/>
    <w:rsid w:val="00056A79"/>
    <w:rsid w:val="00060658"/>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09EE"/>
    <w:rsid w:val="00091EC6"/>
    <w:rsid w:val="0009240D"/>
    <w:rsid w:val="000946B6"/>
    <w:rsid w:val="00094CAC"/>
    <w:rsid w:val="000957B1"/>
    <w:rsid w:val="000963B8"/>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18EA"/>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575"/>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57B"/>
    <w:rsid w:val="000F483B"/>
    <w:rsid w:val="000F6621"/>
    <w:rsid w:val="000F760A"/>
    <w:rsid w:val="000F773F"/>
    <w:rsid w:val="000F7950"/>
    <w:rsid w:val="00100767"/>
    <w:rsid w:val="00100A1D"/>
    <w:rsid w:val="001012FE"/>
    <w:rsid w:val="00102ADC"/>
    <w:rsid w:val="00103B78"/>
    <w:rsid w:val="0010528C"/>
    <w:rsid w:val="001054A7"/>
    <w:rsid w:val="001064DB"/>
    <w:rsid w:val="0010722C"/>
    <w:rsid w:val="00107FD3"/>
    <w:rsid w:val="00110238"/>
    <w:rsid w:val="00110A12"/>
    <w:rsid w:val="0011102B"/>
    <w:rsid w:val="00112711"/>
    <w:rsid w:val="00112B02"/>
    <w:rsid w:val="00112B9A"/>
    <w:rsid w:val="0011338C"/>
    <w:rsid w:val="00113E24"/>
    <w:rsid w:val="00114C6B"/>
    <w:rsid w:val="0011537F"/>
    <w:rsid w:val="001161CB"/>
    <w:rsid w:val="0011644C"/>
    <w:rsid w:val="0011671E"/>
    <w:rsid w:val="001171C5"/>
    <w:rsid w:val="001174EC"/>
    <w:rsid w:val="00117643"/>
    <w:rsid w:val="00117A22"/>
    <w:rsid w:val="00117C43"/>
    <w:rsid w:val="00117E42"/>
    <w:rsid w:val="0012006D"/>
    <w:rsid w:val="00121EBE"/>
    <w:rsid w:val="00122C7C"/>
    <w:rsid w:val="00122D83"/>
    <w:rsid w:val="00123DB0"/>
    <w:rsid w:val="00123DF6"/>
    <w:rsid w:val="001248A0"/>
    <w:rsid w:val="0012592B"/>
    <w:rsid w:val="0012670D"/>
    <w:rsid w:val="001267F8"/>
    <w:rsid w:val="0012712A"/>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B5B"/>
    <w:rsid w:val="00146E2E"/>
    <w:rsid w:val="00147163"/>
    <w:rsid w:val="00147864"/>
    <w:rsid w:val="00150907"/>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2A9"/>
    <w:rsid w:val="00166794"/>
    <w:rsid w:val="001669E6"/>
    <w:rsid w:val="00166E88"/>
    <w:rsid w:val="00167CCF"/>
    <w:rsid w:val="00170323"/>
    <w:rsid w:val="0017146D"/>
    <w:rsid w:val="001714C0"/>
    <w:rsid w:val="001716D8"/>
    <w:rsid w:val="00171A4E"/>
    <w:rsid w:val="001721C4"/>
    <w:rsid w:val="00172B01"/>
    <w:rsid w:val="001734DF"/>
    <w:rsid w:val="00173B92"/>
    <w:rsid w:val="00174F63"/>
    <w:rsid w:val="00175585"/>
    <w:rsid w:val="00175A62"/>
    <w:rsid w:val="00175C30"/>
    <w:rsid w:val="00176DE7"/>
    <w:rsid w:val="001775DF"/>
    <w:rsid w:val="00181DC0"/>
    <w:rsid w:val="00182D71"/>
    <w:rsid w:val="001850D6"/>
    <w:rsid w:val="00186391"/>
    <w:rsid w:val="00186971"/>
    <w:rsid w:val="00186C38"/>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13F3"/>
    <w:rsid w:val="001A230D"/>
    <w:rsid w:val="001A339A"/>
    <w:rsid w:val="001A3C17"/>
    <w:rsid w:val="001A4753"/>
    <w:rsid w:val="001A4764"/>
    <w:rsid w:val="001A513D"/>
    <w:rsid w:val="001A5277"/>
    <w:rsid w:val="001A5741"/>
    <w:rsid w:val="001A6360"/>
    <w:rsid w:val="001A6D25"/>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C5"/>
    <w:rsid w:val="001D64F6"/>
    <w:rsid w:val="001E0EE9"/>
    <w:rsid w:val="001E18B8"/>
    <w:rsid w:val="001E2813"/>
    <w:rsid w:val="001E69E2"/>
    <w:rsid w:val="001E7B9E"/>
    <w:rsid w:val="001E7EE1"/>
    <w:rsid w:val="001F0176"/>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07B5"/>
    <w:rsid w:val="00202556"/>
    <w:rsid w:val="002025F8"/>
    <w:rsid w:val="002029CB"/>
    <w:rsid w:val="002031F3"/>
    <w:rsid w:val="00204293"/>
    <w:rsid w:val="00204787"/>
    <w:rsid w:val="00204958"/>
    <w:rsid w:val="00205C02"/>
    <w:rsid w:val="00206DFD"/>
    <w:rsid w:val="0020757F"/>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1EAD"/>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6F74"/>
    <w:rsid w:val="00237428"/>
    <w:rsid w:val="0023784D"/>
    <w:rsid w:val="0023797E"/>
    <w:rsid w:val="00237F61"/>
    <w:rsid w:val="00241450"/>
    <w:rsid w:val="002419CB"/>
    <w:rsid w:val="00241B8A"/>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1EB4"/>
    <w:rsid w:val="00252174"/>
    <w:rsid w:val="00252BD0"/>
    <w:rsid w:val="00252C4D"/>
    <w:rsid w:val="00253612"/>
    <w:rsid w:val="002545BF"/>
    <w:rsid w:val="00260323"/>
    <w:rsid w:val="00261001"/>
    <w:rsid w:val="00261BB3"/>
    <w:rsid w:val="00261DA1"/>
    <w:rsid w:val="002632B3"/>
    <w:rsid w:val="00264510"/>
    <w:rsid w:val="00264924"/>
    <w:rsid w:val="002651CA"/>
    <w:rsid w:val="00265381"/>
    <w:rsid w:val="00265A4A"/>
    <w:rsid w:val="002665BD"/>
    <w:rsid w:val="00267441"/>
    <w:rsid w:val="00267487"/>
    <w:rsid w:val="00267710"/>
    <w:rsid w:val="00267B3D"/>
    <w:rsid w:val="00270AB9"/>
    <w:rsid w:val="00270D2A"/>
    <w:rsid w:val="00270F0A"/>
    <w:rsid w:val="00271318"/>
    <w:rsid w:val="00273F2C"/>
    <w:rsid w:val="0027430D"/>
    <w:rsid w:val="0027468C"/>
    <w:rsid w:val="0027482D"/>
    <w:rsid w:val="00274BE9"/>
    <w:rsid w:val="00274EBB"/>
    <w:rsid w:val="00275946"/>
    <w:rsid w:val="0027645C"/>
    <w:rsid w:val="00277D3D"/>
    <w:rsid w:val="00280260"/>
    <w:rsid w:val="002802AC"/>
    <w:rsid w:val="00281389"/>
    <w:rsid w:val="00281E32"/>
    <w:rsid w:val="002823A0"/>
    <w:rsid w:val="0028429B"/>
    <w:rsid w:val="00286BCA"/>
    <w:rsid w:val="0028727E"/>
    <w:rsid w:val="0029059C"/>
    <w:rsid w:val="00292CBE"/>
    <w:rsid w:val="00293DE8"/>
    <w:rsid w:val="00294756"/>
    <w:rsid w:val="00294D5C"/>
    <w:rsid w:val="00295595"/>
    <w:rsid w:val="00295CAC"/>
    <w:rsid w:val="002972F5"/>
    <w:rsid w:val="002A00A2"/>
    <w:rsid w:val="002A0415"/>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2F7"/>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370"/>
    <w:rsid w:val="002E2566"/>
    <w:rsid w:val="002E27BF"/>
    <w:rsid w:val="002E2E98"/>
    <w:rsid w:val="002E2F38"/>
    <w:rsid w:val="002E3317"/>
    <w:rsid w:val="002E3C8D"/>
    <w:rsid w:val="002E3CA4"/>
    <w:rsid w:val="002E4871"/>
    <w:rsid w:val="002E5B3F"/>
    <w:rsid w:val="002E6A53"/>
    <w:rsid w:val="002E6E73"/>
    <w:rsid w:val="002E74CE"/>
    <w:rsid w:val="002E7D78"/>
    <w:rsid w:val="002E7F46"/>
    <w:rsid w:val="002F0536"/>
    <w:rsid w:val="002F14DE"/>
    <w:rsid w:val="002F1983"/>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A84"/>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599"/>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5CD5"/>
    <w:rsid w:val="00337364"/>
    <w:rsid w:val="0034052A"/>
    <w:rsid w:val="003411ED"/>
    <w:rsid w:val="00341748"/>
    <w:rsid w:val="003429D1"/>
    <w:rsid w:val="00343990"/>
    <w:rsid w:val="00343B0D"/>
    <w:rsid w:val="003441A6"/>
    <w:rsid w:val="00344A14"/>
    <w:rsid w:val="00345491"/>
    <w:rsid w:val="003457AF"/>
    <w:rsid w:val="00345D0F"/>
    <w:rsid w:val="00347058"/>
    <w:rsid w:val="003472B3"/>
    <w:rsid w:val="003474AE"/>
    <w:rsid w:val="00350E15"/>
    <w:rsid w:val="00351635"/>
    <w:rsid w:val="00351895"/>
    <w:rsid w:val="003528EB"/>
    <w:rsid w:val="003529C6"/>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71AE"/>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33CF"/>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5CA"/>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D61"/>
    <w:rsid w:val="003F1143"/>
    <w:rsid w:val="003F11BF"/>
    <w:rsid w:val="003F15DB"/>
    <w:rsid w:val="003F2702"/>
    <w:rsid w:val="003F3245"/>
    <w:rsid w:val="003F380A"/>
    <w:rsid w:val="003F3908"/>
    <w:rsid w:val="003F4B66"/>
    <w:rsid w:val="003F6762"/>
    <w:rsid w:val="003F6F93"/>
    <w:rsid w:val="003F70CA"/>
    <w:rsid w:val="003F7E22"/>
    <w:rsid w:val="00400B3F"/>
    <w:rsid w:val="00401147"/>
    <w:rsid w:val="0040191E"/>
    <w:rsid w:val="00401963"/>
    <w:rsid w:val="004019ED"/>
    <w:rsid w:val="00401E22"/>
    <w:rsid w:val="0040278D"/>
    <w:rsid w:val="00402AAD"/>
    <w:rsid w:val="00402AB0"/>
    <w:rsid w:val="00402BF1"/>
    <w:rsid w:val="00402C25"/>
    <w:rsid w:val="00403031"/>
    <w:rsid w:val="00403AC6"/>
    <w:rsid w:val="0040489F"/>
    <w:rsid w:val="00405C7B"/>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2FB0"/>
    <w:rsid w:val="00444435"/>
    <w:rsid w:val="00444F82"/>
    <w:rsid w:val="00446A9D"/>
    <w:rsid w:val="00447A56"/>
    <w:rsid w:val="004502A6"/>
    <w:rsid w:val="004507DB"/>
    <w:rsid w:val="00450A5F"/>
    <w:rsid w:val="00450AA0"/>
    <w:rsid w:val="0045136C"/>
    <w:rsid w:val="00451514"/>
    <w:rsid w:val="00451CED"/>
    <w:rsid w:val="00451DA9"/>
    <w:rsid w:val="00451EB6"/>
    <w:rsid w:val="004526BA"/>
    <w:rsid w:val="00452DF9"/>
    <w:rsid w:val="00452FC0"/>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493"/>
    <w:rsid w:val="004908CE"/>
    <w:rsid w:val="00491A61"/>
    <w:rsid w:val="00491B6F"/>
    <w:rsid w:val="00491C96"/>
    <w:rsid w:val="00492E89"/>
    <w:rsid w:val="004936B3"/>
    <w:rsid w:val="00493CB9"/>
    <w:rsid w:val="00493FF9"/>
    <w:rsid w:val="004945E4"/>
    <w:rsid w:val="004945E8"/>
    <w:rsid w:val="00494DFB"/>
    <w:rsid w:val="00496359"/>
    <w:rsid w:val="00496650"/>
    <w:rsid w:val="004966CB"/>
    <w:rsid w:val="0049695F"/>
    <w:rsid w:val="00497031"/>
    <w:rsid w:val="00497D83"/>
    <w:rsid w:val="00497E8C"/>
    <w:rsid w:val="00497F63"/>
    <w:rsid w:val="004A00DC"/>
    <w:rsid w:val="004A14C2"/>
    <w:rsid w:val="004A2BF5"/>
    <w:rsid w:val="004A5B12"/>
    <w:rsid w:val="004A6A4D"/>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1CB"/>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D6541"/>
    <w:rsid w:val="004D7002"/>
    <w:rsid w:val="004E0333"/>
    <w:rsid w:val="004E0B2B"/>
    <w:rsid w:val="004E0CC3"/>
    <w:rsid w:val="004E1166"/>
    <w:rsid w:val="004E1461"/>
    <w:rsid w:val="004E17C2"/>
    <w:rsid w:val="004E1BAF"/>
    <w:rsid w:val="004E2185"/>
    <w:rsid w:val="004E21A7"/>
    <w:rsid w:val="004E3E76"/>
    <w:rsid w:val="004E3E79"/>
    <w:rsid w:val="004E49CF"/>
    <w:rsid w:val="004E51D7"/>
    <w:rsid w:val="004E5482"/>
    <w:rsid w:val="004E642A"/>
    <w:rsid w:val="004E67BE"/>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3AB"/>
    <w:rsid w:val="00504811"/>
    <w:rsid w:val="00504B5E"/>
    <w:rsid w:val="00505B93"/>
    <w:rsid w:val="00505CFF"/>
    <w:rsid w:val="00507E64"/>
    <w:rsid w:val="00507FAF"/>
    <w:rsid w:val="0051069C"/>
    <w:rsid w:val="005114D1"/>
    <w:rsid w:val="00511BD2"/>
    <w:rsid w:val="00511DF4"/>
    <w:rsid w:val="00512F22"/>
    <w:rsid w:val="00513165"/>
    <w:rsid w:val="00514311"/>
    <w:rsid w:val="00514404"/>
    <w:rsid w:val="005147B2"/>
    <w:rsid w:val="00515743"/>
    <w:rsid w:val="00515872"/>
    <w:rsid w:val="005163C4"/>
    <w:rsid w:val="005167B1"/>
    <w:rsid w:val="0052064D"/>
    <w:rsid w:val="0052081F"/>
    <w:rsid w:val="00520B44"/>
    <w:rsid w:val="00520CDF"/>
    <w:rsid w:val="0052151F"/>
    <w:rsid w:val="005215EE"/>
    <w:rsid w:val="00521EBC"/>
    <w:rsid w:val="005221FA"/>
    <w:rsid w:val="005222CC"/>
    <w:rsid w:val="00522396"/>
    <w:rsid w:val="00522BDB"/>
    <w:rsid w:val="00524CC5"/>
    <w:rsid w:val="005255F2"/>
    <w:rsid w:val="00525B47"/>
    <w:rsid w:val="00525F4B"/>
    <w:rsid w:val="00525F9D"/>
    <w:rsid w:val="00526172"/>
    <w:rsid w:val="00526369"/>
    <w:rsid w:val="005263C4"/>
    <w:rsid w:val="00526E75"/>
    <w:rsid w:val="005272A8"/>
    <w:rsid w:val="005273EF"/>
    <w:rsid w:val="00530412"/>
    <w:rsid w:val="00530E3B"/>
    <w:rsid w:val="00531016"/>
    <w:rsid w:val="005311FA"/>
    <w:rsid w:val="00532551"/>
    <w:rsid w:val="0053513D"/>
    <w:rsid w:val="00537B36"/>
    <w:rsid w:val="00540029"/>
    <w:rsid w:val="00540F3C"/>
    <w:rsid w:val="005419B4"/>
    <w:rsid w:val="00542B3A"/>
    <w:rsid w:val="00544EC9"/>
    <w:rsid w:val="00545E6A"/>
    <w:rsid w:val="00550EC1"/>
    <w:rsid w:val="00550F81"/>
    <w:rsid w:val="00551714"/>
    <w:rsid w:val="005520BF"/>
    <w:rsid w:val="005527B6"/>
    <w:rsid w:val="00552811"/>
    <w:rsid w:val="00554431"/>
    <w:rsid w:val="00555C32"/>
    <w:rsid w:val="00556814"/>
    <w:rsid w:val="00557D6A"/>
    <w:rsid w:val="00562474"/>
    <w:rsid w:val="00563BDC"/>
    <w:rsid w:val="00563FE5"/>
    <w:rsid w:val="00564721"/>
    <w:rsid w:val="00565134"/>
    <w:rsid w:val="00565448"/>
    <w:rsid w:val="0056598A"/>
    <w:rsid w:val="005660F0"/>
    <w:rsid w:val="0056692A"/>
    <w:rsid w:val="00566997"/>
    <w:rsid w:val="00566F85"/>
    <w:rsid w:val="00567154"/>
    <w:rsid w:val="00567FE1"/>
    <w:rsid w:val="00570139"/>
    <w:rsid w:val="00570A27"/>
    <w:rsid w:val="00570A2E"/>
    <w:rsid w:val="00572195"/>
    <w:rsid w:val="00572B55"/>
    <w:rsid w:val="00573665"/>
    <w:rsid w:val="0057438B"/>
    <w:rsid w:val="00574B70"/>
    <w:rsid w:val="00575709"/>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086"/>
    <w:rsid w:val="005A2A65"/>
    <w:rsid w:val="005A350D"/>
    <w:rsid w:val="005A3513"/>
    <w:rsid w:val="005A3BD7"/>
    <w:rsid w:val="005A51E1"/>
    <w:rsid w:val="005A60BC"/>
    <w:rsid w:val="005A6B67"/>
    <w:rsid w:val="005A6CC6"/>
    <w:rsid w:val="005A7720"/>
    <w:rsid w:val="005A77AB"/>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1243"/>
    <w:rsid w:val="005D2757"/>
    <w:rsid w:val="005D27DD"/>
    <w:rsid w:val="005D3493"/>
    <w:rsid w:val="005D3845"/>
    <w:rsid w:val="005D3D76"/>
    <w:rsid w:val="005D4FCF"/>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6D8"/>
    <w:rsid w:val="005F0812"/>
    <w:rsid w:val="005F0B21"/>
    <w:rsid w:val="005F1310"/>
    <w:rsid w:val="005F1DFC"/>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3F27"/>
    <w:rsid w:val="00604626"/>
    <w:rsid w:val="00604AC3"/>
    <w:rsid w:val="006056C0"/>
    <w:rsid w:val="00605D3E"/>
    <w:rsid w:val="0060655B"/>
    <w:rsid w:val="00606FE5"/>
    <w:rsid w:val="006071D8"/>
    <w:rsid w:val="0060753C"/>
    <w:rsid w:val="006107D9"/>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11"/>
    <w:rsid w:val="00641AB0"/>
    <w:rsid w:val="00641B7C"/>
    <w:rsid w:val="00642B18"/>
    <w:rsid w:val="00643B42"/>
    <w:rsid w:val="00643D5D"/>
    <w:rsid w:val="00644C6E"/>
    <w:rsid w:val="006460B5"/>
    <w:rsid w:val="00646A08"/>
    <w:rsid w:val="006508C1"/>
    <w:rsid w:val="00651B1B"/>
    <w:rsid w:val="0065212B"/>
    <w:rsid w:val="00652681"/>
    <w:rsid w:val="00654AB8"/>
    <w:rsid w:val="00654CFD"/>
    <w:rsid w:val="00656462"/>
    <w:rsid w:val="00656B81"/>
    <w:rsid w:val="00657974"/>
    <w:rsid w:val="0066068C"/>
    <w:rsid w:val="00660C69"/>
    <w:rsid w:val="00661C3C"/>
    <w:rsid w:val="006624DB"/>
    <w:rsid w:val="006628F8"/>
    <w:rsid w:val="00662A48"/>
    <w:rsid w:val="00662C69"/>
    <w:rsid w:val="006635D8"/>
    <w:rsid w:val="006638FD"/>
    <w:rsid w:val="00664A70"/>
    <w:rsid w:val="00664F7B"/>
    <w:rsid w:val="006657E8"/>
    <w:rsid w:val="00667011"/>
    <w:rsid w:val="00667CFC"/>
    <w:rsid w:val="006711DB"/>
    <w:rsid w:val="0067245D"/>
    <w:rsid w:val="006751CA"/>
    <w:rsid w:val="00675AC5"/>
    <w:rsid w:val="006770E9"/>
    <w:rsid w:val="00677556"/>
    <w:rsid w:val="006776F3"/>
    <w:rsid w:val="006803E4"/>
    <w:rsid w:val="0068178C"/>
    <w:rsid w:val="00682B40"/>
    <w:rsid w:val="0068408E"/>
    <w:rsid w:val="00684511"/>
    <w:rsid w:val="00684F0B"/>
    <w:rsid w:val="00685D21"/>
    <w:rsid w:val="00685D65"/>
    <w:rsid w:val="00686CD7"/>
    <w:rsid w:val="006870BD"/>
    <w:rsid w:val="00687DE8"/>
    <w:rsid w:val="00692B64"/>
    <w:rsid w:val="00693427"/>
    <w:rsid w:val="00693EF3"/>
    <w:rsid w:val="00694432"/>
    <w:rsid w:val="00694CAC"/>
    <w:rsid w:val="006950EE"/>
    <w:rsid w:val="0069518A"/>
    <w:rsid w:val="00696990"/>
    <w:rsid w:val="006969CA"/>
    <w:rsid w:val="00696EF8"/>
    <w:rsid w:val="006A1DEC"/>
    <w:rsid w:val="006A1EE9"/>
    <w:rsid w:val="006A1FD4"/>
    <w:rsid w:val="006A263E"/>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4FF6"/>
    <w:rsid w:val="006B52EC"/>
    <w:rsid w:val="006B5BB9"/>
    <w:rsid w:val="006B6873"/>
    <w:rsid w:val="006B6E7D"/>
    <w:rsid w:val="006B76FD"/>
    <w:rsid w:val="006C078E"/>
    <w:rsid w:val="006C2A0E"/>
    <w:rsid w:val="006C341B"/>
    <w:rsid w:val="006C34A4"/>
    <w:rsid w:val="006C3B64"/>
    <w:rsid w:val="006C49B4"/>
    <w:rsid w:val="006C5010"/>
    <w:rsid w:val="006C50C2"/>
    <w:rsid w:val="006C563A"/>
    <w:rsid w:val="006C6868"/>
    <w:rsid w:val="006C6AAB"/>
    <w:rsid w:val="006C741B"/>
    <w:rsid w:val="006C7573"/>
    <w:rsid w:val="006C7A33"/>
    <w:rsid w:val="006C7BFE"/>
    <w:rsid w:val="006D0309"/>
    <w:rsid w:val="006D0D9F"/>
    <w:rsid w:val="006D158E"/>
    <w:rsid w:val="006D223D"/>
    <w:rsid w:val="006D27EF"/>
    <w:rsid w:val="006D346A"/>
    <w:rsid w:val="006D453F"/>
    <w:rsid w:val="006D45A3"/>
    <w:rsid w:val="006D473F"/>
    <w:rsid w:val="006D4B87"/>
    <w:rsid w:val="006D52D1"/>
    <w:rsid w:val="006E1056"/>
    <w:rsid w:val="006E21D4"/>
    <w:rsid w:val="006E27CA"/>
    <w:rsid w:val="006E4010"/>
    <w:rsid w:val="006E47E7"/>
    <w:rsid w:val="006E54D3"/>
    <w:rsid w:val="006E694E"/>
    <w:rsid w:val="006E73E7"/>
    <w:rsid w:val="006F07F8"/>
    <w:rsid w:val="006F1CC5"/>
    <w:rsid w:val="006F24D3"/>
    <w:rsid w:val="006F27F3"/>
    <w:rsid w:val="006F2894"/>
    <w:rsid w:val="006F2AE2"/>
    <w:rsid w:val="006F2C12"/>
    <w:rsid w:val="006F2F92"/>
    <w:rsid w:val="006F5D79"/>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580A"/>
    <w:rsid w:val="00706175"/>
    <w:rsid w:val="00707096"/>
    <w:rsid w:val="007073D4"/>
    <w:rsid w:val="0070767F"/>
    <w:rsid w:val="007076FF"/>
    <w:rsid w:val="00707731"/>
    <w:rsid w:val="00707B6F"/>
    <w:rsid w:val="0071011B"/>
    <w:rsid w:val="007114F2"/>
    <w:rsid w:val="00711878"/>
    <w:rsid w:val="0071231D"/>
    <w:rsid w:val="007127CA"/>
    <w:rsid w:val="007127D3"/>
    <w:rsid w:val="007129CF"/>
    <w:rsid w:val="007135A2"/>
    <w:rsid w:val="0071459F"/>
    <w:rsid w:val="007150D6"/>
    <w:rsid w:val="00715525"/>
    <w:rsid w:val="00715EF5"/>
    <w:rsid w:val="00716D44"/>
    <w:rsid w:val="007179E1"/>
    <w:rsid w:val="00717B59"/>
    <w:rsid w:val="007207BB"/>
    <w:rsid w:val="00720926"/>
    <w:rsid w:val="00720E5A"/>
    <w:rsid w:val="00721767"/>
    <w:rsid w:val="00721F66"/>
    <w:rsid w:val="0072251C"/>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0D95"/>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23A"/>
    <w:rsid w:val="007B78EF"/>
    <w:rsid w:val="007C0013"/>
    <w:rsid w:val="007C23C4"/>
    <w:rsid w:val="007C37D2"/>
    <w:rsid w:val="007C393A"/>
    <w:rsid w:val="007C3B22"/>
    <w:rsid w:val="007C4D0A"/>
    <w:rsid w:val="007C6C5A"/>
    <w:rsid w:val="007D20EA"/>
    <w:rsid w:val="007D26B9"/>
    <w:rsid w:val="007D2A1A"/>
    <w:rsid w:val="007D2E5F"/>
    <w:rsid w:val="007D4253"/>
    <w:rsid w:val="007D4DF3"/>
    <w:rsid w:val="007D547F"/>
    <w:rsid w:val="007D572F"/>
    <w:rsid w:val="007D5DDE"/>
    <w:rsid w:val="007D6CA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E77D3"/>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BDA"/>
    <w:rsid w:val="00815CCC"/>
    <w:rsid w:val="008164E8"/>
    <w:rsid w:val="008167F5"/>
    <w:rsid w:val="00816819"/>
    <w:rsid w:val="00817087"/>
    <w:rsid w:val="008200A3"/>
    <w:rsid w:val="0082054B"/>
    <w:rsid w:val="00822C7A"/>
    <w:rsid w:val="008231BF"/>
    <w:rsid w:val="008231DD"/>
    <w:rsid w:val="008231F8"/>
    <w:rsid w:val="00824AF6"/>
    <w:rsid w:val="008251B8"/>
    <w:rsid w:val="008251C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1D85"/>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68F8"/>
    <w:rsid w:val="00877472"/>
    <w:rsid w:val="00880095"/>
    <w:rsid w:val="00880236"/>
    <w:rsid w:val="00880BA5"/>
    <w:rsid w:val="00881753"/>
    <w:rsid w:val="008826F4"/>
    <w:rsid w:val="00882DE1"/>
    <w:rsid w:val="00883450"/>
    <w:rsid w:val="008835C6"/>
    <w:rsid w:val="00883659"/>
    <w:rsid w:val="00884511"/>
    <w:rsid w:val="00884A4E"/>
    <w:rsid w:val="00886F55"/>
    <w:rsid w:val="00891411"/>
    <w:rsid w:val="00891563"/>
    <w:rsid w:val="00892281"/>
    <w:rsid w:val="00892282"/>
    <w:rsid w:val="008929DD"/>
    <w:rsid w:val="0089339D"/>
    <w:rsid w:val="0089358F"/>
    <w:rsid w:val="008940E9"/>
    <w:rsid w:val="00894303"/>
    <w:rsid w:val="0089468F"/>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B76E5"/>
    <w:rsid w:val="008C2B3C"/>
    <w:rsid w:val="008C41A7"/>
    <w:rsid w:val="008C46F3"/>
    <w:rsid w:val="008C48EB"/>
    <w:rsid w:val="008C52BE"/>
    <w:rsid w:val="008C57F7"/>
    <w:rsid w:val="008C61EB"/>
    <w:rsid w:val="008C67D3"/>
    <w:rsid w:val="008C6F4D"/>
    <w:rsid w:val="008D02A3"/>
    <w:rsid w:val="008D10FA"/>
    <w:rsid w:val="008D1384"/>
    <w:rsid w:val="008D15E8"/>
    <w:rsid w:val="008D1DA4"/>
    <w:rsid w:val="008D1DB9"/>
    <w:rsid w:val="008D29CA"/>
    <w:rsid w:val="008D3591"/>
    <w:rsid w:val="008D3CB5"/>
    <w:rsid w:val="008D6226"/>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094"/>
    <w:rsid w:val="008E355D"/>
    <w:rsid w:val="008E3756"/>
    <w:rsid w:val="008E4A9E"/>
    <w:rsid w:val="008E4D9D"/>
    <w:rsid w:val="008E6986"/>
    <w:rsid w:val="008E6C1A"/>
    <w:rsid w:val="008E6D05"/>
    <w:rsid w:val="008E7A93"/>
    <w:rsid w:val="008E7F19"/>
    <w:rsid w:val="008E7F5C"/>
    <w:rsid w:val="008F12E6"/>
    <w:rsid w:val="008F1B10"/>
    <w:rsid w:val="008F4404"/>
    <w:rsid w:val="008F4921"/>
    <w:rsid w:val="008F582F"/>
    <w:rsid w:val="008F5D01"/>
    <w:rsid w:val="008F5F7C"/>
    <w:rsid w:val="008F6458"/>
    <w:rsid w:val="008F647F"/>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E95"/>
    <w:rsid w:val="0092262C"/>
    <w:rsid w:val="00922A25"/>
    <w:rsid w:val="00924CEA"/>
    <w:rsid w:val="009256FF"/>
    <w:rsid w:val="00925ED1"/>
    <w:rsid w:val="00925F38"/>
    <w:rsid w:val="009316E9"/>
    <w:rsid w:val="009337EC"/>
    <w:rsid w:val="00933835"/>
    <w:rsid w:val="009340AD"/>
    <w:rsid w:val="00934F4D"/>
    <w:rsid w:val="00935B80"/>
    <w:rsid w:val="00935DA0"/>
    <w:rsid w:val="00936352"/>
    <w:rsid w:val="0093734D"/>
    <w:rsid w:val="00937767"/>
    <w:rsid w:val="009405A1"/>
    <w:rsid w:val="00940F1B"/>
    <w:rsid w:val="00941637"/>
    <w:rsid w:val="009416A5"/>
    <w:rsid w:val="00941882"/>
    <w:rsid w:val="00941B55"/>
    <w:rsid w:val="00941EEA"/>
    <w:rsid w:val="00942865"/>
    <w:rsid w:val="00943598"/>
    <w:rsid w:val="00943C67"/>
    <w:rsid w:val="00943E93"/>
    <w:rsid w:val="00944729"/>
    <w:rsid w:val="00944E99"/>
    <w:rsid w:val="00944F75"/>
    <w:rsid w:val="009466F2"/>
    <w:rsid w:val="00946F09"/>
    <w:rsid w:val="009475F0"/>
    <w:rsid w:val="009479FB"/>
    <w:rsid w:val="00947C76"/>
    <w:rsid w:val="009502A8"/>
    <w:rsid w:val="0095074E"/>
    <w:rsid w:val="00950D1D"/>
    <w:rsid w:val="00951412"/>
    <w:rsid w:val="0095142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B6C"/>
    <w:rsid w:val="00976FF9"/>
    <w:rsid w:val="00977FAE"/>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728"/>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08CB"/>
    <w:rsid w:val="009C113B"/>
    <w:rsid w:val="009C12A6"/>
    <w:rsid w:val="009C1E0F"/>
    <w:rsid w:val="009C3553"/>
    <w:rsid w:val="009C4F1A"/>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76A"/>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3C9"/>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0DB7"/>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60B"/>
    <w:rsid w:val="00A42BC6"/>
    <w:rsid w:val="00A4327F"/>
    <w:rsid w:val="00A43392"/>
    <w:rsid w:val="00A44191"/>
    <w:rsid w:val="00A442C4"/>
    <w:rsid w:val="00A443C1"/>
    <w:rsid w:val="00A45CFF"/>
    <w:rsid w:val="00A462D5"/>
    <w:rsid w:val="00A46F7A"/>
    <w:rsid w:val="00A474C0"/>
    <w:rsid w:val="00A477D0"/>
    <w:rsid w:val="00A47ED0"/>
    <w:rsid w:val="00A50234"/>
    <w:rsid w:val="00A50953"/>
    <w:rsid w:val="00A51747"/>
    <w:rsid w:val="00A518CE"/>
    <w:rsid w:val="00A537A8"/>
    <w:rsid w:val="00A53ACC"/>
    <w:rsid w:val="00A547F4"/>
    <w:rsid w:val="00A558E6"/>
    <w:rsid w:val="00A572BC"/>
    <w:rsid w:val="00A575AA"/>
    <w:rsid w:val="00A5798D"/>
    <w:rsid w:val="00A57F5F"/>
    <w:rsid w:val="00A57FC0"/>
    <w:rsid w:val="00A60016"/>
    <w:rsid w:val="00A607ED"/>
    <w:rsid w:val="00A60F1F"/>
    <w:rsid w:val="00A60FB9"/>
    <w:rsid w:val="00A6177C"/>
    <w:rsid w:val="00A61E11"/>
    <w:rsid w:val="00A62A60"/>
    <w:rsid w:val="00A63B88"/>
    <w:rsid w:val="00A64AA7"/>
    <w:rsid w:val="00A64EE3"/>
    <w:rsid w:val="00A6564B"/>
    <w:rsid w:val="00A660C3"/>
    <w:rsid w:val="00A67A06"/>
    <w:rsid w:val="00A67D28"/>
    <w:rsid w:val="00A70CF3"/>
    <w:rsid w:val="00A715B0"/>
    <w:rsid w:val="00A716C2"/>
    <w:rsid w:val="00A719DE"/>
    <w:rsid w:val="00A72690"/>
    <w:rsid w:val="00A72857"/>
    <w:rsid w:val="00A72A35"/>
    <w:rsid w:val="00A73AB4"/>
    <w:rsid w:val="00A73F54"/>
    <w:rsid w:val="00A7434F"/>
    <w:rsid w:val="00A743FB"/>
    <w:rsid w:val="00A74E9D"/>
    <w:rsid w:val="00A759CF"/>
    <w:rsid w:val="00A75EE4"/>
    <w:rsid w:val="00A763DF"/>
    <w:rsid w:val="00A76BEE"/>
    <w:rsid w:val="00A770CD"/>
    <w:rsid w:val="00A77B3E"/>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07D"/>
    <w:rsid w:val="00A91D16"/>
    <w:rsid w:val="00A92889"/>
    <w:rsid w:val="00A92D7D"/>
    <w:rsid w:val="00A941F5"/>
    <w:rsid w:val="00A94982"/>
    <w:rsid w:val="00A94D69"/>
    <w:rsid w:val="00A9576E"/>
    <w:rsid w:val="00A957FE"/>
    <w:rsid w:val="00A96583"/>
    <w:rsid w:val="00A96CAD"/>
    <w:rsid w:val="00A97974"/>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9FB"/>
    <w:rsid w:val="00AB40F5"/>
    <w:rsid w:val="00AB5092"/>
    <w:rsid w:val="00AB6358"/>
    <w:rsid w:val="00AB675F"/>
    <w:rsid w:val="00AB6BE3"/>
    <w:rsid w:val="00AB7E67"/>
    <w:rsid w:val="00AC07E5"/>
    <w:rsid w:val="00AC10C7"/>
    <w:rsid w:val="00AC13B7"/>
    <w:rsid w:val="00AC1518"/>
    <w:rsid w:val="00AC19BA"/>
    <w:rsid w:val="00AC1BD3"/>
    <w:rsid w:val="00AC36D2"/>
    <w:rsid w:val="00AC3F55"/>
    <w:rsid w:val="00AC3F60"/>
    <w:rsid w:val="00AC4137"/>
    <w:rsid w:val="00AC4933"/>
    <w:rsid w:val="00AC538B"/>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6BCA"/>
    <w:rsid w:val="00AD7076"/>
    <w:rsid w:val="00AD712F"/>
    <w:rsid w:val="00AE1504"/>
    <w:rsid w:val="00AE28FE"/>
    <w:rsid w:val="00AE49DB"/>
    <w:rsid w:val="00AE64EC"/>
    <w:rsid w:val="00AE6CDA"/>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1A8B"/>
    <w:rsid w:val="00B02514"/>
    <w:rsid w:val="00B030C5"/>
    <w:rsid w:val="00B03B3A"/>
    <w:rsid w:val="00B055B9"/>
    <w:rsid w:val="00B10987"/>
    <w:rsid w:val="00B10BAD"/>
    <w:rsid w:val="00B10DFF"/>
    <w:rsid w:val="00B119B6"/>
    <w:rsid w:val="00B11A97"/>
    <w:rsid w:val="00B124B4"/>
    <w:rsid w:val="00B1262F"/>
    <w:rsid w:val="00B129B4"/>
    <w:rsid w:val="00B13D85"/>
    <w:rsid w:val="00B1481E"/>
    <w:rsid w:val="00B14CBB"/>
    <w:rsid w:val="00B14D80"/>
    <w:rsid w:val="00B14E74"/>
    <w:rsid w:val="00B16108"/>
    <w:rsid w:val="00B16375"/>
    <w:rsid w:val="00B1764D"/>
    <w:rsid w:val="00B1786A"/>
    <w:rsid w:val="00B206D8"/>
    <w:rsid w:val="00B2133E"/>
    <w:rsid w:val="00B21FE9"/>
    <w:rsid w:val="00B235B5"/>
    <w:rsid w:val="00B23A7C"/>
    <w:rsid w:val="00B23CBF"/>
    <w:rsid w:val="00B24220"/>
    <w:rsid w:val="00B2441C"/>
    <w:rsid w:val="00B25407"/>
    <w:rsid w:val="00B25AF6"/>
    <w:rsid w:val="00B263B2"/>
    <w:rsid w:val="00B26A33"/>
    <w:rsid w:val="00B27058"/>
    <w:rsid w:val="00B2725E"/>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2D1"/>
    <w:rsid w:val="00B37405"/>
    <w:rsid w:val="00B375D7"/>
    <w:rsid w:val="00B379A0"/>
    <w:rsid w:val="00B37D77"/>
    <w:rsid w:val="00B401FC"/>
    <w:rsid w:val="00B4182C"/>
    <w:rsid w:val="00B41B33"/>
    <w:rsid w:val="00B42CA6"/>
    <w:rsid w:val="00B44755"/>
    <w:rsid w:val="00B44AE1"/>
    <w:rsid w:val="00B44CF3"/>
    <w:rsid w:val="00B45356"/>
    <w:rsid w:val="00B453A8"/>
    <w:rsid w:val="00B4563D"/>
    <w:rsid w:val="00B45BEB"/>
    <w:rsid w:val="00B477D1"/>
    <w:rsid w:val="00B5126B"/>
    <w:rsid w:val="00B51FEE"/>
    <w:rsid w:val="00B53D1A"/>
    <w:rsid w:val="00B549E4"/>
    <w:rsid w:val="00B54A5F"/>
    <w:rsid w:val="00B54D52"/>
    <w:rsid w:val="00B570AB"/>
    <w:rsid w:val="00B606B7"/>
    <w:rsid w:val="00B60DC9"/>
    <w:rsid w:val="00B60E95"/>
    <w:rsid w:val="00B62B87"/>
    <w:rsid w:val="00B63502"/>
    <w:rsid w:val="00B63636"/>
    <w:rsid w:val="00B644C2"/>
    <w:rsid w:val="00B6455C"/>
    <w:rsid w:val="00B6495A"/>
    <w:rsid w:val="00B64D8A"/>
    <w:rsid w:val="00B64EC4"/>
    <w:rsid w:val="00B64EF9"/>
    <w:rsid w:val="00B65204"/>
    <w:rsid w:val="00B66075"/>
    <w:rsid w:val="00B678B4"/>
    <w:rsid w:val="00B67F96"/>
    <w:rsid w:val="00B70791"/>
    <w:rsid w:val="00B71632"/>
    <w:rsid w:val="00B72A61"/>
    <w:rsid w:val="00B73838"/>
    <w:rsid w:val="00B7450B"/>
    <w:rsid w:val="00B74C84"/>
    <w:rsid w:val="00B74D9D"/>
    <w:rsid w:val="00B75548"/>
    <w:rsid w:val="00B77623"/>
    <w:rsid w:val="00B805B4"/>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6D9E"/>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2BB9"/>
    <w:rsid w:val="00BC3150"/>
    <w:rsid w:val="00BC45F2"/>
    <w:rsid w:val="00BC4E4B"/>
    <w:rsid w:val="00BC5BA0"/>
    <w:rsid w:val="00BC69B7"/>
    <w:rsid w:val="00BC755B"/>
    <w:rsid w:val="00BD1B67"/>
    <w:rsid w:val="00BD2FB4"/>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282"/>
    <w:rsid w:val="00BF0848"/>
    <w:rsid w:val="00BF2854"/>
    <w:rsid w:val="00BF2E2C"/>
    <w:rsid w:val="00BF2FAE"/>
    <w:rsid w:val="00BF310D"/>
    <w:rsid w:val="00BF32B5"/>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0A46"/>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4D2D"/>
    <w:rsid w:val="00C26954"/>
    <w:rsid w:val="00C271AA"/>
    <w:rsid w:val="00C279AD"/>
    <w:rsid w:val="00C27CBC"/>
    <w:rsid w:val="00C3089B"/>
    <w:rsid w:val="00C30F98"/>
    <w:rsid w:val="00C3112A"/>
    <w:rsid w:val="00C318B7"/>
    <w:rsid w:val="00C31B9E"/>
    <w:rsid w:val="00C31C9D"/>
    <w:rsid w:val="00C31CF1"/>
    <w:rsid w:val="00C34285"/>
    <w:rsid w:val="00C345E6"/>
    <w:rsid w:val="00C35103"/>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324"/>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02D"/>
    <w:rsid w:val="00CB3600"/>
    <w:rsid w:val="00CB44F3"/>
    <w:rsid w:val="00CB4A46"/>
    <w:rsid w:val="00CB4AB4"/>
    <w:rsid w:val="00CB4C1C"/>
    <w:rsid w:val="00CB4D77"/>
    <w:rsid w:val="00CB55D6"/>
    <w:rsid w:val="00CB55FC"/>
    <w:rsid w:val="00CB6AAB"/>
    <w:rsid w:val="00CB7A22"/>
    <w:rsid w:val="00CC0815"/>
    <w:rsid w:val="00CC0EA9"/>
    <w:rsid w:val="00CC360E"/>
    <w:rsid w:val="00CC3656"/>
    <w:rsid w:val="00CC41A7"/>
    <w:rsid w:val="00CC51E8"/>
    <w:rsid w:val="00CC5686"/>
    <w:rsid w:val="00CC5FB0"/>
    <w:rsid w:val="00CC6748"/>
    <w:rsid w:val="00CC75C5"/>
    <w:rsid w:val="00CD087F"/>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683F"/>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5AB"/>
    <w:rsid w:val="00D0365A"/>
    <w:rsid w:val="00D03FEC"/>
    <w:rsid w:val="00D054ED"/>
    <w:rsid w:val="00D062B8"/>
    <w:rsid w:val="00D0686D"/>
    <w:rsid w:val="00D06C36"/>
    <w:rsid w:val="00D07F0E"/>
    <w:rsid w:val="00D10089"/>
    <w:rsid w:val="00D11B56"/>
    <w:rsid w:val="00D12A22"/>
    <w:rsid w:val="00D13690"/>
    <w:rsid w:val="00D13CD2"/>
    <w:rsid w:val="00D143D7"/>
    <w:rsid w:val="00D14F0C"/>
    <w:rsid w:val="00D1644D"/>
    <w:rsid w:val="00D16490"/>
    <w:rsid w:val="00D16EEC"/>
    <w:rsid w:val="00D1727F"/>
    <w:rsid w:val="00D172C0"/>
    <w:rsid w:val="00D216FA"/>
    <w:rsid w:val="00D23509"/>
    <w:rsid w:val="00D24775"/>
    <w:rsid w:val="00D24E56"/>
    <w:rsid w:val="00D250C4"/>
    <w:rsid w:val="00D25359"/>
    <w:rsid w:val="00D2582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045F"/>
    <w:rsid w:val="00D41301"/>
    <w:rsid w:val="00D41E2D"/>
    <w:rsid w:val="00D43146"/>
    <w:rsid w:val="00D4338A"/>
    <w:rsid w:val="00D43578"/>
    <w:rsid w:val="00D43AAD"/>
    <w:rsid w:val="00D451D1"/>
    <w:rsid w:val="00D45B8C"/>
    <w:rsid w:val="00D46D9C"/>
    <w:rsid w:val="00D46FF6"/>
    <w:rsid w:val="00D4793C"/>
    <w:rsid w:val="00D50842"/>
    <w:rsid w:val="00D520C6"/>
    <w:rsid w:val="00D521BF"/>
    <w:rsid w:val="00D5273B"/>
    <w:rsid w:val="00D53A58"/>
    <w:rsid w:val="00D53DA0"/>
    <w:rsid w:val="00D547D2"/>
    <w:rsid w:val="00D54CA2"/>
    <w:rsid w:val="00D5594A"/>
    <w:rsid w:val="00D55B7A"/>
    <w:rsid w:val="00D56089"/>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67679"/>
    <w:rsid w:val="00D7234D"/>
    <w:rsid w:val="00D72A2D"/>
    <w:rsid w:val="00D72C42"/>
    <w:rsid w:val="00D732AE"/>
    <w:rsid w:val="00D736C2"/>
    <w:rsid w:val="00D74208"/>
    <w:rsid w:val="00D74CC9"/>
    <w:rsid w:val="00D751F4"/>
    <w:rsid w:val="00D755D6"/>
    <w:rsid w:val="00D7574D"/>
    <w:rsid w:val="00D75A42"/>
    <w:rsid w:val="00D76A91"/>
    <w:rsid w:val="00D777A7"/>
    <w:rsid w:val="00D779DF"/>
    <w:rsid w:val="00D808C3"/>
    <w:rsid w:val="00D809C7"/>
    <w:rsid w:val="00D8144C"/>
    <w:rsid w:val="00D8246A"/>
    <w:rsid w:val="00D830A4"/>
    <w:rsid w:val="00D83C17"/>
    <w:rsid w:val="00D8458E"/>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1C6"/>
    <w:rsid w:val="00DA52E1"/>
    <w:rsid w:val="00DA5697"/>
    <w:rsid w:val="00DA59C7"/>
    <w:rsid w:val="00DA70CC"/>
    <w:rsid w:val="00DA7126"/>
    <w:rsid w:val="00DA715B"/>
    <w:rsid w:val="00DA79C2"/>
    <w:rsid w:val="00DB20E3"/>
    <w:rsid w:val="00DB372E"/>
    <w:rsid w:val="00DB39BF"/>
    <w:rsid w:val="00DB4BEF"/>
    <w:rsid w:val="00DB6CC6"/>
    <w:rsid w:val="00DB710F"/>
    <w:rsid w:val="00DB75A1"/>
    <w:rsid w:val="00DB7EEC"/>
    <w:rsid w:val="00DC0C55"/>
    <w:rsid w:val="00DC0C9A"/>
    <w:rsid w:val="00DC1000"/>
    <w:rsid w:val="00DC10FA"/>
    <w:rsid w:val="00DC121D"/>
    <w:rsid w:val="00DC17D4"/>
    <w:rsid w:val="00DC2347"/>
    <w:rsid w:val="00DC3181"/>
    <w:rsid w:val="00DC34B2"/>
    <w:rsid w:val="00DC38AC"/>
    <w:rsid w:val="00DC4246"/>
    <w:rsid w:val="00DC4550"/>
    <w:rsid w:val="00DC4FE1"/>
    <w:rsid w:val="00DC62F6"/>
    <w:rsid w:val="00DC67D2"/>
    <w:rsid w:val="00DC6AEA"/>
    <w:rsid w:val="00DC6FF3"/>
    <w:rsid w:val="00DC77CE"/>
    <w:rsid w:val="00DD03D3"/>
    <w:rsid w:val="00DD11C6"/>
    <w:rsid w:val="00DD16BF"/>
    <w:rsid w:val="00DD25E2"/>
    <w:rsid w:val="00DD2628"/>
    <w:rsid w:val="00DD35D9"/>
    <w:rsid w:val="00DD45C1"/>
    <w:rsid w:val="00DD5EC6"/>
    <w:rsid w:val="00DD6B70"/>
    <w:rsid w:val="00DD6E22"/>
    <w:rsid w:val="00DE00D7"/>
    <w:rsid w:val="00DE015A"/>
    <w:rsid w:val="00DE156E"/>
    <w:rsid w:val="00DE236C"/>
    <w:rsid w:val="00DE28A7"/>
    <w:rsid w:val="00DE329E"/>
    <w:rsid w:val="00DE32B5"/>
    <w:rsid w:val="00DE380D"/>
    <w:rsid w:val="00DE3ABB"/>
    <w:rsid w:val="00DE3D8D"/>
    <w:rsid w:val="00DE4C9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55"/>
    <w:rsid w:val="00E0068A"/>
    <w:rsid w:val="00E007C2"/>
    <w:rsid w:val="00E00812"/>
    <w:rsid w:val="00E01739"/>
    <w:rsid w:val="00E01CE3"/>
    <w:rsid w:val="00E02777"/>
    <w:rsid w:val="00E028C6"/>
    <w:rsid w:val="00E03246"/>
    <w:rsid w:val="00E03C0E"/>
    <w:rsid w:val="00E04848"/>
    <w:rsid w:val="00E05D8B"/>
    <w:rsid w:val="00E0682B"/>
    <w:rsid w:val="00E06885"/>
    <w:rsid w:val="00E12D1C"/>
    <w:rsid w:val="00E1380C"/>
    <w:rsid w:val="00E15453"/>
    <w:rsid w:val="00E15875"/>
    <w:rsid w:val="00E15B5E"/>
    <w:rsid w:val="00E1688C"/>
    <w:rsid w:val="00E16A8F"/>
    <w:rsid w:val="00E16EE5"/>
    <w:rsid w:val="00E214CE"/>
    <w:rsid w:val="00E21E23"/>
    <w:rsid w:val="00E229C8"/>
    <w:rsid w:val="00E239DF"/>
    <w:rsid w:val="00E255F3"/>
    <w:rsid w:val="00E25E9A"/>
    <w:rsid w:val="00E269C7"/>
    <w:rsid w:val="00E26C12"/>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C52"/>
    <w:rsid w:val="00E412B2"/>
    <w:rsid w:val="00E41937"/>
    <w:rsid w:val="00E41B88"/>
    <w:rsid w:val="00E43ABE"/>
    <w:rsid w:val="00E44129"/>
    <w:rsid w:val="00E44326"/>
    <w:rsid w:val="00E445BD"/>
    <w:rsid w:val="00E44BEB"/>
    <w:rsid w:val="00E4515A"/>
    <w:rsid w:val="00E4515C"/>
    <w:rsid w:val="00E463C9"/>
    <w:rsid w:val="00E46D11"/>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77A37"/>
    <w:rsid w:val="00E80A23"/>
    <w:rsid w:val="00E80C0D"/>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1A2D"/>
    <w:rsid w:val="00E92247"/>
    <w:rsid w:val="00E92503"/>
    <w:rsid w:val="00E9259B"/>
    <w:rsid w:val="00E933E5"/>
    <w:rsid w:val="00E9344C"/>
    <w:rsid w:val="00E93AF1"/>
    <w:rsid w:val="00E93E0F"/>
    <w:rsid w:val="00E94AB9"/>
    <w:rsid w:val="00E96CC9"/>
    <w:rsid w:val="00E96ECF"/>
    <w:rsid w:val="00E9707E"/>
    <w:rsid w:val="00EA07CD"/>
    <w:rsid w:val="00EA0983"/>
    <w:rsid w:val="00EA1F70"/>
    <w:rsid w:val="00EA3DBA"/>
    <w:rsid w:val="00EA3E0B"/>
    <w:rsid w:val="00EA4144"/>
    <w:rsid w:val="00EA4BAF"/>
    <w:rsid w:val="00EA4F2E"/>
    <w:rsid w:val="00EA5392"/>
    <w:rsid w:val="00EA575A"/>
    <w:rsid w:val="00EA5995"/>
    <w:rsid w:val="00EA5A2F"/>
    <w:rsid w:val="00EA5A8E"/>
    <w:rsid w:val="00EA6454"/>
    <w:rsid w:val="00EA6B03"/>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A8D"/>
    <w:rsid w:val="00EC4C3A"/>
    <w:rsid w:val="00EC5429"/>
    <w:rsid w:val="00EC55D0"/>
    <w:rsid w:val="00EC5946"/>
    <w:rsid w:val="00EC5B7B"/>
    <w:rsid w:val="00EC6399"/>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0C49"/>
    <w:rsid w:val="00F00C4C"/>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1E7"/>
    <w:rsid w:val="00F108EF"/>
    <w:rsid w:val="00F1111B"/>
    <w:rsid w:val="00F1131A"/>
    <w:rsid w:val="00F11BDE"/>
    <w:rsid w:val="00F147C6"/>
    <w:rsid w:val="00F14987"/>
    <w:rsid w:val="00F16C21"/>
    <w:rsid w:val="00F173CA"/>
    <w:rsid w:val="00F17795"/>
    <w:rsid w:val="00F20251"/>
    <w:rsid w:val="00F2045B"/>
    <w:rsid w:val="00F212B4"/>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45"/>
    <w:rsid w:val="00F41E88"/>
    <w:rsid w:val="00F42D31"/>
    <w:rsid w:val="00F42FB3"/>
    <w:rsid w:val="00F437AF"/>
    <w:rsid w:val="00F4430D"/>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694A"/>
    <w:rsid w:val="00F67946"/>
    <w:rsid w:val="00F71078"/>
    <w:rsid w:val="00F71ECB"/>
    <w:rsid w:val="00F724B1"/>
    <w:rsid w:val="00F72ADA"/>
    <w:rsid w:val="00F72CF5"/>
    <w:rsid w:val="00F739E9"/>
    <w:rsid w:val="00F73A6F"/>
    <w:rsid w:val="00F74590"/>
    <w:rsid w:val="00F750A8"/>
    <w:rsid w:val="00F75720"/>
    <w:rsid w:val="00F760B3"/>
    <w:rsid w:val="00F763AC"/>
    <w:rsid w:val="00F763FC"/>
    <w:rsid w:val="00F76679"/>
    <w:rsid w:val="00F767B9"/>
    <w:rsid w:val="00F76F4F"/>
    <w:rsid w:val="00F77AAD"/>
    <w:rsid w:val="00F77F03"/>
    <w:rsid w:val="00F801DD"/>
    <w:rsid w:val="00F81D39"/>
    <w:rsid w:val="00F83DD3"/>
    <w:rsid w:val="00F85205"/>
    <w:rsid w:val="00F85237"/>
    <w:rsid w:val="00F855FA"/>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607"/>
    <w:rsid w:val="00FC0874"/>
    <w:rsid w:val="00FC1719"/>
    <w:rsid w:val="00FC1A94"/>
    <w:rsid w:val="00FC2005"/>
    <w:rsid w:val="00FC4A20"/>
    <w:rsid w:val="00FC5DF8"/>
    <w:rsid w:val="00FC6E56"/>
    <w:rsid w:val="00FC7E40"/>
    <w:rsid w:val="00FD0568"/>
    <w:rsid w:val="00FD09AE"/>
    <w:rsid w:val="00FD0F3D"/>
    <w:rsid w:val="00FD0FFF"/>
    <w:rsid w:val="00FD189B"/>
    <w:rsid w:val="00FD2612"/>
    <w:rsid w:val="00FD2EDF"/>
    <w:rsid w:val="00FD323A"/>
    <w:rsid w:val="00FD37D4"/>
    <w:rsid w:val="00FD42D6"/>
    <w:rsid w:val="00FD6929"/>
    <w:rsid w:val="00FE0A65"/>
    <w:rsid w:val="00FE0B58"/>
    <w:rsid w:val="00FE2025"/>
    <w:rsid w:val="00FE2651"/>
    <w:rsid w:val="00FE2E18"/>
    <w:rsid w:val="00FE3061"/>
    <w:rsid w:val="00FE3472"/>
    <w:rsid w:val="00FE4107"/>
    <w:rsid w:val="00FE43FB"/>
    <w:rsid w:val="00FE4473"/>
    <w:rsid w:val="00FE49E3"/>
    <w:rsid w:val="00FE6020"/>
    <w:rsid w:val="00FE64CC"/>
    <w:rsid w:val="00FE676C"/>
    <w:rsid w:val="00FE75BD"/>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5D4FC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qFormat/>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styleId="Listaconvietas2">
    <w:name w:val="List Bullet 2"/>
    <w:basedOn w:val="Normal"/>
    <w:uiPriority w:val="99"/>
    <w:unhideWhenUsed/>
    <w:rsid w:val="00BF2FAE"/>
    <w:pPr>
      <w:numPr>
        <w:numId w:val="2"/>
      </w:numPr>
      <w:contextualSpacing/>
    </w:pPr>
    <w:rPr>
      <w:rFonts w:ascii="Times New Roman" w:eastAsia="Times New Roman" w:hAnsi="Times New Roman" w:cs="Times New Roman"/>
      <w:sz w:val="20"/>
      <w:szCs w:val="20"/>
      <w:lang w:val="es-MX"/>
    </w:rPr>
  </w:style>
  <w:style w:type="character" w:customStyle="1" w:styleId="u">
    <w:name w:val="u"/>
    <w:basedOn w:val="Fuentedeprrafopredeter"/>
    <w:rsid w:val="00F72ADA"/>
  </w:style>
  <w:style w:type="paragraph" w:customStyle="1" w:styleId="j2">
    <w:name w:val="j2"/>
    <w:basedOn w:val="Normal"/>
    <w:rsid w:val="00F72ADA"/>
    <w:pPr>
      <w:spacing w:before="100" w:beforeAutospacing="1" w:after="100" w:afterAutospacing="1"/>
    </w:pPr>
    <w:rPr>
      <w:rFonts w:ascii="Times New Roman" w:eastAsia="Times New Roman" w:hAnsi="Times New Roman" w:cs="Times New Roman"/>
      <w:lang w:val="es-MX" w:eastAsia="es-MX"/>
    </w:rPr>
  </w:style>
  <w:style w:type="paragraph" w:customStyle="1" w:styleId="m">
    <w:name w:val="m"/>
    <w:basedOn w:val="Normal"/>
    <w:rsid w:val="00667CFC"/>
    <w:pPr>
      <w:spacing w:before="100" w:beforeAutospacing="1" w:after="100" w:afterAutospacing="1"/>
    </w:pPr>
    <w:rPr>
      <w:rFonts w:ascii="Times New Roman" w:eastAsia="Times New Roman" w:hAnsi="Times New Roman" w:cs="Times New Roman"/>
      <w:lang w:val="es-MX" w:eastAsia="es-MX"/>
    </w:rPr>
  </w:style>
  <w:style w:type="table" w:styleId="Tabladecuadrcula6concolores-nfasis3">
    <w:name w:val="Grid Table 6 Colorful Accent 3"/>
    <w:basedOn w:val="Tablanormal"/>
    <w:uiPriority w:val="51"/>
    <w:rsid w:val="005163C4"/>
    <w:rPr>
      <w:rFonts w:eastAsiaTheme="minorHAns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6082">
      <w:bodyDiv w:val="1"/>
      <w:marLeft w:val="0"/>
      <w:marRight w:val="0"/>
      <w:marTop w:val="0"/>
      <w:marBottom w:val="0"/>
      <w:divBdr>
        <w:top w:val="none" w:sz="0" w:space="0" w:color="auto"/>
        <w:left w:val="none" w:sz="0" w:space="0" w:color="auto"/>
        <w:bottom w:val="none" w:sz="0" w:space="0" w:color="auto"/>
        <w:right w:val="none" w:sz="0" w:space="0" w:color="auto"/>
      </w:divBdr>
    </w:div>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410081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8411765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8690812">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522906">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62397335">
      <w:bodyDiv w:val="1"/>
      <w:marLeft w:val="0"/>
      <w:marRight w:val="0"/>
      <w:marTop w:val="0"/>
      <w:marBottom w:val="0"/>
      <w:divBdr>
        <w:top w:val="none" w:sz="0" w:space="0" w:color="auto"/>
        <w:left w:val="none" w:sz="0" w:space="0" w:color="auto"/>
        <w:bottom w:val="none" w:sz="0" w:space="0" w:color="auto"/>
        <w:right w:val="none" w:sz="0" w:space="0" w:color="auto"/>
      </w:divBdr>
      <w:divsChild>
        <w:div w:id="1720667987">
          <w:marLeft w:val="0"/>
          <w:marRight w:val="0"/>
          <w:marTop w:val="0"/>
          <w:marBottom w:val="240"/>
          <w:divBdr>
            <w:top w:val="none" w:sz="0" w:space="0" w:color="auto"/>
            <w:left w:val="none" w:sz="0" w:space="0" w:color="auto"/>
            <w:bottom w:val="none" w:sz="0" w:space="0" w:color="auto"/>
            <w:right w:val="none" w:sz="0" w:space="0" w:color="auto"/>
          </w:divBdr>
        </w:div>
      </w:divsChild>
    </w:div>
    <w:div w:id="883566271">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90229193">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68082823">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024391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90420.pag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saimex.org.mx/saimex/solicitud/downloadAttach/801840.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790446.page"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rgl/vig/rglvig059.pdf" TargetMode="External"/><Relationship Id="rId3" Type="http://schemas.openxmlformats.org/officeDocument/2006/relationships/hyperlink" Target="http://transparencia.banobras.gob.mx/wp-content/uploads/2016/06/1.-DAGA-023-2013-F.pdf" TargetMode="External"/><Relationship Id="rId7" Type="http://schemas.openxmlformats.org/officeDocument/2006/relationships/hyperlink" Target="http://transparenciafiscal.edomex.gob.mx/sites/transparenciafiscal.edomex.gob.mx/files/files/pdf/marco-programatico-presupuestal/presupuesto-egresos-2019.pdf" TargetMode="External"/><Relationship Id="rId2" Type="http://schemas.openxmlformats.org/officeDocument/2006/relationships/hyperlink" Target="http://biblio.juridicas.unam.mx/libros/1/419/12.pdf"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s://www.ipomex.org.mx/recursos/ipo/files_ipo/2013/18/7/3a951adf04b87f2c3166d5a4dea90558.pdf" TargetMode="External"/><Relationship Id="rId5" Type="http://schemas.openxmlformats.org/officeDocument/2006/relationships/hyperlink" Target="https://www.telecomm.gob.mx/sipot/DAF_2019/28b_Resultados_adj_invita_licita_Procedimientos_adjudicacion_directa/Ciudad_de_Mexico/contrato_anexos/Contrato%20CUSAEM_2018.pdf" TargetMode="External"/><Relationship Id="rId4" Type="http://schemas.openxmlformats.org/officeDocument/2006/relationships/hyperlink" Target="http://www.cptm.com.mx/sites/default/files/c_31-2016_cusaem.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80073-98C8-4937-B174-611DC948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11097</Words>
  <Characters>61035</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2019-12-03T00:05:00Z</cp:lastPrinted>
  <dcterms:created xsi:type="dcterms:W3CDTF">2019-11-28T18:54:00Z</dcterms:created>
  <dcterms:modified xsi:type="dcterms:W3CDTF">2020-05-05T23:48:00Z</dcterms:modified>
</cp:coreProperties>
</file>