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w:t>
      </w:r>
      <w:r w:rsidR="00312873">
        <w:rPr>
          <w:rFonts w:ascii="Palatino Linotype" w:hAnsi="Palatino Linotype" w:cs="Arial"/>
          <w:sz w:val="24"/>
        </w:rPr>
        <w:t>s</w:t>
      </w:r>
      <w:r w:rsidRPr="00DC5129">
        <w:rPr>
          <w:rFonts w:ascii="Palatino Linotype" w:hAnsi="Palatino Linotype" w:cs="Arial"/>
          <w:sz w:val="24"/>
        </w:rPr>
        <w:t xml:space="preserve"> </w:t>
      </w:r>
      <w:r w:rsidR="00033238">
        <w:rPr>
          <w:rFonts w:ascii="Palatino Linotype" w:hAnsi="Palatino Linotype" w:cs="Arial"/>
          <w:b/>
          <w:bCs/>
          <w:sz w:val="24"/>
          <w:lang w:eastAsia="es-MX"/>
        </w:rPr>
        <w:t>11</w:t>
      </w:r>
      <w:r w:rsidR="00460CF0">
        <w:rPr>
          <w:rFonts w:ascii="Palatino Linotype" w:hAnsi="Palatino Linotype" w:cs="Arial"/>
          <w:b/>
          <w:bCs/>
          <w:sz w:val="24"/>
          <w:lang w:eastAsia="es-MX"/>
        </w:rPr>
        <w:t>14</w:t>
      </w:r>
      <w:r w:rsidR="00033238">
        <w:rPr>
          <w:rFonts w:ascii="Palatino Linotype" w:hAnsi="Palatino Linotype" w:cs="Arial"/>
          <w:b/>
          <w:bCs/>
          <w:sz w:val="24"/>
          <w:lang w:eastAsia="es-MX"/>
        </w:rPr>
        <w:t>5</w:t>
      </w:r>
      <w:r w:rsidR="00312873" w:rsidRPr="00312873">
        <w:rPr>
          <w:rFonts w:ascii="Palatino Linotype" w:hAnsi="Palatino Linotype" w:cs="Arial"/>
          <w:b/>
          <w:bCs/>
          <w:sz w:val="24"/>
          <w:lang w:eastAsia="es-MX"/>
        </w:rPr>
        <w:t>/INFOEM/IP/RR/2019 y Acumulado</w:t>
      </w:r>
      <w:r w:rsidR="00460CF0">
        <w:rPr>
          <w:rFonts w:ascii="Palatino Linotype" w:hAnsi="Palatino Linotype" w:cs="Arial"/>
          <w:b/>
          <w:bCs/>
          <w:sz w:val="24"/>
          <w:lang w:eastAsia="es-MX"/>
        </w:rPr>
        <w:t>s</w:t>
      </w:r>
      <w:r w:rsidR="00312873" w:rsidRPr="00312873">
        <w:rPr>
          <w:rFonts w:ascii="Palatino Linotype" w:hAnsi="Palatino Linotype" w:cs="Arial"/>
          <w:b/>
          <w:bCs/>
          <w:sz w:val="24"/>
          <w:lang w:eastAsia="es-MX"/>
        </w:rPr>
        <w:t xml:space="preserve"> </w:t>
      </w:r>
      <w:r w:rsidR="00460CF0">
        <w:rPr>
          <w:rFonts w:ascii="Palatino Linotype" w:hAnsi="Palatino Linotype" w:cs="Arial"/>
          <w:b/>
          <w:bCs/>
          <w:sz w:val="24"/>
          <w:lang w:eastAsia="es-MX"/>
        </w:rPr>
        <w:t>11146</w:t>
      </w:r>
      <w:r w:rsidR="00460CF0" w:rsidRPr="00312873">
        <w:rPr>
          <w:rFonts w:ascii="Palatino Linotype" w:hAnsi="Palatino Linotype" w:cs="Arial"/>
          <w:b/>
          <w:bCs/>
          <w:sz w:val="24"/>
          <w:lang w:eastAsia="es-MX"/>
        </w:rPr>
        <w:t>/INFOEM/IP/RR/2019</w:t>
      </w:r>
      <w:r w:rsidR="00460CF0">
        <w:rPr>
          <w:rFonts w:ascii="Palatino Linotype" w:hAnsi="Palatino Linotype" w:cs="Arial"/>
          <w:b/>
          <w:bCs/>
          <w:sz w:val="24"/>
          <w:lang w:eastAsia="es-MX"/>
        </w:rPr>
        <w:t>, 11148</w:t>
      </w:r>
      <w:r w:rsidR="00460CF0" w:rsidRPr="00312873">
        <w:rPr>
          <w:rFonts w:ascii="Palatino Linotype" w:hAnsi="Palatino Linotype" w:cs="Arial"/>
          <w:b/>
          <w:bCs/>
          <w:sz w:val="24"/>
          <w:lang w:eastAsia="es-MX"/>
        </w:rPr>
        <w:t>/INFOEM/IP/RR/2019</w:t>
      </w:r>
      <w:r w:rsidR="00460CF0">
        <w:rPr>
          <w:rFonts w:ascii="Palatino Linotype" w:hAnsi="Palatino Linotype" w:cs="Arial"/>
          <w:b/>
          <w:bCs/>
          <w:sz w:val="24"/>
          <w:lang w:eastAsia="es-MX"/>
        </w:rPr>
        <w:t>, 11151</w:t>
      </w:r>
      <w:r w:rsidR="00460CF0" w:rsidRPr="00312873">
        <w:rPr>
          <w:rFonts w:ascii="Palatino Linotype" w:hAnsi="Palatino Linotype" w:cs="Arial"/>
          <w:b/>
          <w:bCs/>
          <w:sz w:val="24"/>
          <w:lang w:eastAsia="es-MX"/>
        </w:rPr>
        <w:t>/INFOEM/IP/RR/2019</w:t>
      </w:r>
      <w:r w:rsidR="00460CF0">
        <w:rPr>
          <w:rFonts w:ascii="Palatino Linotype" w:hAnsi="Palatino Linotype" w:cs="Arial"/>
          <w:b/>
          <w:bCs/>
          <w:sz w:val="24"/>
          <w:lang w:eastAsia="es-MX"/>
        </w:rPr>
        <w:t xml:space="preserve"> y 11222</w:t>
      </w:r>
      <w:r w:rsidR="00460CF0" w:rsidRPr="00312873">
        <w:rPr>
          <w:rFonts w:ascii="Palatino Linotype" w:hAnsi="Palatino Linotype" w:cs="Arial"/>
          <w:b/>
          <w:bCs/>
          <w:sz w:val="24"/>
          <w:lang w:eastAsia="es-MX"/>
        </w:rPr>
        <w:t>/INFOEM/IP/RR/2019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312873">
        <w:rPr>
          <w:rFonts w:ascii="Palatino Linotype" w:hAnsi="Palatino Linotype" w:cs="Arial"/>
        </w:rPr>
        <w:t xml:space="preserve">el C. </w:t>
      </w:r>
      <w:r w:rsidR="00A6350A">
        <w:rPr>
          <w:rFonts w:ascii="Palatino Linotype" w:hAnsi="Palatino Linotype" w:cs="Arial"/>
        </w:rPr>
        <w:t>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460CF0">
        <w:rPr>
          <w:rFonts w:ascii="Palatino Linotype" w:hAnsi="Palatino Linotype" w:cs="Arial"/>
          <w:b/>
          <w:sz w:val="24"/>
          <w:szCs w:val="24"/>
        </w:rPr>
        <w:t>San Simón de Guerrero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460CF0">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w:t>
      </w:r>
      <w:r w:rsidR="00C94832">
        <w:rPr>
          <w:rFonts w:ascii="Palatino Linotype" w:hAnsi="Palatino Linotype" w:cs="Arial"/>
          <w:sz w:val="24"/>
          <w:szCs w:val="24"/>
        </w:rPr>
        <w:t>,</w:t>
      </w:r>
      <w:r w:rsidRPr="00226C6A">
        <w:rPr>
          <w:rFonts w:ascii="Palatino Linotype" w:hAnsi="Palatino Linotype" w:cs="Arial"/>
          <w:sz w:val="24"/>
          <w:szCs w:val="24"/>
        </w:rPr>
        <w:t xml:space="preserve">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w:t>
      </w:r>
      <w:r w:rsidRPr="00460CF0">
        <w:rPr>
          <w:rFonts w:ascii="Palatino Linotype" w:hAnsi="Palatino Linotype" w:cs="Arial"/>
          <w:sz w:val="24"/>
          <w:szCs w:val="24"/>
        </w:rPr>
        <w:t xml:space="preserve">expediente </w:t>
      </w:r>
      <w:hyperlink r:id="rId7" w:history="1">
        <w:r w:rsidR="00460CF0" w:rsidRPr="00460CF0">
          <w:rPr>
            <w:rFonts w:ascii="Palatino Linotype" w:hAnsi="Palatino Linotype" w:cs="Arial"/>
            <w:sz w:val="24"/>
            <w:szCs w:val="24"/>
          </w:rPr>
          <w:t>00409/SIMOGUER/IP/2019</w:t>
        </w:r>
      </w:hyperlink>
      <w:r w:rsidR="00460CF0" w:rsidRPr="00460CF0">
        <w:rPr>
          <w:rFonts w:ascii="Palatino Linotype" w:hAnsi="Palatino Linotype" w:cs="Arial"/>
          <w:sz w:val="24"/>
          <w:szCs w:val="24"/>
        </w:rPr>
        <w:t xml:space="preserve">, </w:t>
      </w:r>
      <w:hyperlink r:id="rId8" w:history="1">
        <w:r w:rsidR="00460CF0" w:rsidRPr="00460CF0">
          <w:rPr>
            <w:rFonts w:ascii="Palatino Linotype" w:hAnsi="Palatino Linotype" w:cs="Arial"/>
            <w:sz w:val="24"/>
            <w:szCs w:val="24"/>
          </w:rPr>
          <w:t>00410/SIMOGUER/IP/2019</w:t>
        </w:r>
      </w:hyperlink>
      <w:r w:rsidR="00460CF0" w:rsidRPr="00460CF0">
        <w:rPr>
          <w:rFonts w:ascii="Palatino Linotype" w:hAnsi="Palatino Linotype" w:cs="Arial"/>
          <w:sz w:val="24"/>
          <w:szCs w:val="24"/>
        </w:rPr>
        <w:t xml:space="preserve">, </w:t>
      </w:r>
      <w:hyperlink r:id="rId9" w:history="1">
        <w:r w:rsidR="00460CF0" w:rsidRPr="00460CF0">
          <w:rPr>
            <w:rFonts w:ascii="Palatino Linotype" w:hAnsi="Palatino Linotype" w:cs="Arial"/>
            <w:sz w:val="24"/>
            <w:szCs w:val="24"/>
          </w:rPr>
          <w:t>00411/SIMOGUER/IP/2019</w:t>
        </w:r>
      </w:hyperlink>
      <w:r w:rsidR="00460CF0" w:rsidRPr="00460CF0">
        <w:rPr>
          <w:rFonts w:ascii="Palatino Linotype" w:hAnsi="Palatino Linotype" w:cs="Arial"/>
          <w:sz w:val="24"/>
          <w:szCs w:val="24"/>
        </w:rPr>
        <w:t xml:space="preserve">, </w:t>
      </w:r>
      <w:hyperlink r:id="rId10" w:history="1">
        <w:r w:rsidR="00460CF0" w:rsidRPr="00460CF0">
          <w:rPr>
            <w:rFonts w:ascii="Palatino Linotype" w:hAnsi="Palatino Linotype" w:cs="Arial"/>
            <w:sz w:val="24"/>
            <w:szCs w:val="24"/>
          </w:rPr>
          <w:t>00412/SIMOGUER/IP/2019</w:t>
        </w:r>
      </w:hyperlink>
      <w:r w:rsidR="00460CF0" w:rsidRPr="00460CF0">
        <w:rPr>
          <w:rFonts w:ascii="Palatino Linotype" w:hAnsi="Palatino Linotype" w:cs="Arial"/>
          <w:sz w:val="24"/>
          <w:szCs w:val="24"/>
        </w:rPr>
        <w:t xml:space="preserve"> y </w:t>
      </w:r>
      <w:hyperlink r:id="rId11" w:history="1">
        <w:r w:rsidR="00460CF0" w:rsidRPr="00460CF0">
          <w:rPr>
            <w:rFonts w:ascii="Palatino Linotype" w:hAnsi="Palatino Linotype"/>
            <w:sz w:val="24"/>
            <w:szCs w:val="24"/>
          </w:rPr>
          <w:t>00528/SIMOGUER/IP/2019</w:t>
        </w:r>
      </w:hyperlink>
      <w:r w:rsidR="00C94832" w:rsidRPr="00460CF0">
        <w:rPr>
          <w:rFonts w:ascii="Palatino Linotype" w:hAnsi="Palatino Linotype" w:cs="Arial"/>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B0085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F32FB0" w:rsidRPr="00F32FB0">
        <w:rPr>
          <w:rFonts w:ascii="Palatino Linotype" w:hAnsi="Palatino Linotype"/>
          <w:i/>
          <w:color w:val="000000"/>
        </w:rPr>
        <w:t>Solicito el alta de ISSEMYM de los servidores públicos adscritos a la Secretaría de Ayuntamiento</w:t>
      </w:r>
      <w:r w:rsidR="00C94832" w:rsidRPr="00C94832">
        <w:rPr>
          <w:rFonts w:ascii="Palatino Linotype" w:hAnsi="Palatino Linotype"/>
          <w:i/>
          <w:color w:val="000000"/>
        </w:rPr>
        <w:t>.</w:t>
      </w:r>
      <w:r>
        <w:rPr>
          <w:rFonts w:ascii="Palatino Linotype" w:hAnsi="Palatino Linotype"/>
          <w:i/>
          <w:color w:val="000000"/>
        </w:rPr>
        <w:t>”</w:t>
      </w:r>
    </w:p>
    <w:p w:rsidR="00F32FB0" w:rsidRDefault="00F32FB0"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lastRenderedPageBreak/>
        <w:t>“</w:t>
      </w:r>
      <w:r w:rsidRPr="00F32FB0">
        <w:rPr>
          <w:rFonts w:ascii="Palatino Linotype" w:hAnsi="Palatino Linotype"/>
          <w:i/>
          <w:color w:val="000000"/>
        </w:rPr>
        <w:t>Solicito el alta de ISSEMYM de los servidores públicos adscritos a la Dirección de Obras Públicas</w:t>
      </w:r>
      <w:r>
        <w:rPr>
          <w:rFonts w:ascii="Palatino Linotype" w:hAnsi="Palatino Linotype"/>
          <w:i/>
          <w:color w:val="000000"/>
        </w:rPr>
        <w:t>.”</w:t>
      </w:r>
    </w:p>
    <w:p w:rsidR="00F32FB0" w:rsidRDefault="00F32FB0"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Pr="00F32FB0">
        <w:rPr>
          <w:rFonts w:ascii="Palatino Linotype" w:hAnsi="Palatino Linotype"/>
          <w:i/>
          <w:color w:val="000000"/>
        </w:rPr>
        <w:t>Solicito el alta de ISSEMYM de los servidores públicos adscritos a la Dirección de Seguridad y Tránsito</w:t>
      </w:r>
      <w:r>
        <w:rPr>
          <w:rFonts w:ascii="Palatino Linotype" w:hAnsi="Palatino Linotype"/>
          <w:i/>
          <w:color w:val="000000"/>
        </w:rPr>
        <w:t>.”</w:t>
      </w:r>
    </w:p>
    <w:p w:rsidR="00F32FB0" w:rsidRPr="00195CAD" w:rsidRDefault="00F32FB0"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Pr="00F32FB0">
        <w:rPr>
          <w:rFonts w:ascii="Palatino Linotype" w:hAnsi="Palatino Linotype"/>
          <w:i/>
          <w:color w:val="000000"/>
        </w:rPr>
        <w:t>Solicito el alta de ISSEMYM de los servidores públicos adscritos a la Dirección de Desarrollo Económico</w:t>
      </w:r>
      <w:r>
        <w:rPr>
          <w:rFonts w:ascii="Palatino Linotype" w:hAnsi="Palatino Linotype"/>
          <w:i/>
          <w:color w:val="000000"/>
        </w:rPr>
        <w:t>.”</w:t>
      </w: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F32FB0" w:rsidRPr="00F32FB0">
        <w:rPr>
          <w:rFonts w:ascii="Palatino Linotype" w:hAnsi="Palatino Linotype"/>
          <w:i/>
          <w:color w:val="000000"/>
        </w:rPr>
        <w:t>Solicito las bajas de ISSEMyM que se han realizado en lo que va del año</w:t>
      </w:r>
      <w:r>
        <w:rPr>
          <w:rFonts w:ascii="Palatino Linotype" w:hAnsi="Palatino Linotype"/>
          <w:i/>
          <w:color w:val="000000"/>
        </w:rPr>
        <w:t>”</w:t>
      </w:r>
    </w:p>
    <w:p w:rsidR="00195CAD" w:rsidRDefault="00195CA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E40319">
        <w:rPr>
          <w:rFonts w:ascii="Palatino Linotype" w:eastAsia="Times New Roman" w:hAnsi="Palatino Linotype" w:cs="Times New Roman"/>
          <w:sz w:val="24"/>
          <w:szCs w:val="24"/>
          <w:lang w:val="es-ES_tradnl" w:eastAsia="es-ES"/>
        </w:rPr>
        <w:t>l 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aperturado</w:t>
      </w:r>
      <w:r w:rsidR="00B0085D">
        <w:rPr>
          <w:rFonts w:ascii="Palatino Linotype" w:hAnsi="Palatino Linotype" w:cs="Arial"/>
          <w:sz w:val="24"/>
          <w:szCs w:val="24"/>
        </w:rPr>
        <w:t>s</w:t>
      </w:r>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F52D7D">
        <w:rPr>
          <w:rFonts w:ascii="Palatino Linotype" w:hAnsi="Palatino Linotype" w:cs="Arial"/>
          <w:sz w:val="24"/>
          <w:szCs w:val="24"/>
        </w:rPr>
        <w:t xml:space="preserve">dieciocho </w:t>
      </w:r>
      <w:r>
        <w:rPr>
          <w:rFonts w:ascii="Palatino Linotype" w:hAnsi="Palatino Linotype" w:cs="Arial"/>
          <w:sz w:val="24"/>
          <w:szCs w:val="24"/>
        </w:rPr>
        <w:t xml:space="preserve">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w:t>
      </w:r>
      <w:r w:rsidR="00195CAD">
        <w:rPr>
          <w:rFonts w:ascii="Palatino Linotype" w:hAnsi="Palatino Linotype" w:cs="Arial"/>
          <w:sz w:val="24"/>
          <w:szCs w:val="24"/>
        </w:rPr>
        <w:t>los</w:t>
      </w:r>
      <w:r w:rsidRPr="00CC2562">
        <w:rPr>
          <w:rFonts w:ascii="Palatino Linotype" w:hAnsi="Palatino Linotype" w:cs="Arial"/>
          <w:sz w:val="24"/>
          <w:szCs w:val="24"/>
        </w:rPr>
        <w:t xml:space="preserve"> recurso</w:t>
      </w:r>
      <w:r w:rsidR="00195CAD">
        <w:rPr>
          <w:rFonts w:ascii="Palatino Linotype" w:hAnsi="Palatino Linotype" w:cs="Arial"/>
          <w:sz w:val="24"/>
          <w:szCs w:val="24"/>
        </w:rPr>
        <w:t>s</w:t>
      </w:r>
      <w:r w:rsidRPr="00CC2562">
        <w:rPr>
          <w:rFonts w:ascii="Palatino Linotype" w:hAnsi="Palatino Linotype" w:cs="Arial"/>
          <w:sz w:val="24"/>
          <w:szCs w:val="24"/>
        </w:rPr>
        <w:t xml:space="preserve">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w:t>
      </w:r>
      <w:r w:rsidR="00195CAD">
        <w:rPr>
          <w:rFonts w:ascii="Palatino Linotype" w:hAnsi="Palatino Linotype" w:cs="Arial"/>
          <w:bCs/>
          <w:sz w:val="24"/>
          <w:szCs w:val="24"/>
        </w:rPr>
        <w:t>s</w:t>
      </w:r>
      <w:r>
        <w:rPr>
          <w:rFonts w:ascii="Palatino Linotype" w:hAnsi="Palatino Linotype" w:cs="Arial"/>
          <w:bCs/>
          <w:sz w:val="24"/>
          <w:szCs w:val="24"/>
        </w:rPr>
        <w:t xml:space="preserve"> omisi</w:t>
      </w:r>
      <w:r w:rsidR="00195CAD">
        <w:rPr>
          <w:rFonts w:ascii="Palatino Linotype" w:hAnsi="Palatino Linotype" w:cs="Arial"/>
          <w:bCs/>
          <w:sz w:val="24"/>
          <w:szCs w:val="24"/>
        </w:rPr>
        <w:t>o</w:t>
      </w:r>
      <w:r>
        <w:rPr>
          <w:rFonts w:ascii="Palatino Linotype" w:hAnsi="Palatino Linotype" w:cs="Arial"/>
          <w:bCs/>
          <w:sz w:val="24"/>
          <w:szCs w:val="24"/>
        </w:rPr>
        <w:t>n</w:t>
      </w:r>
      <w:r w:rsidR="00195CAD">
        <w:rPr>
          <w:rFonts w:ascii="Palatino Linotype" w:hAnsi="Palatino Linotype" w:cs="Arial"/>
          <w:bCs/>
          <w:sz w:val="24"/>
          <w:szCs w:val="24"/>
        </w:rPr>
        <w:t>es</w:t>
      </w:r>
      <w:r>
        <w:rPr>
          <w:rFonts w:ascii="Palatino Linotype" w:hAnsi="Palatino Linotype" w:cs="Arial"/>
          <w:bCs/>
          <w:sz w:val="24"/>
          <w:szCs w:val="24"/>
        </w:rPr>
        <w:t xml:space="preserve">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B1192B" w:rsidRPr="00B1192B">
        <w:rPr>
          <w:rFonts w:ascii="Palatino Linotype" w:hAnsi="Palatino Linotype"/>
          <w:i/>
          <w:color w:val="000000"/>
        </w:rPr>
        <w:t>No me entregan la información que solicite</w:t>
      </w:r>
      <w:r w:rsidR="00F52D7D" w:rsidRPr="00F52D7D">
        <w:rPr>
          <w:rFonts w:ascii="Palatino Linotype" w:hAnsi="Palatino Linotype"/>
          <w:i/>
          <w:color w:val="000000"/>
        </w:rPr>
        <w:t>.</w:t>
      </w:r>
      <w:r w:rsidR="00195CAD" w:rsidRPr="00195CAD">
        <w:rPr>
          <w:rFonts w:ascii="Palatino Linotype" w:hAnsi="Palatino Linotype"/>
          <w:i/>
          <w:color w:val="000000"/>
        </w:rPr>
        <w:t>” (</w:t>
      </w:r>
      <w:r w:rsidR="00195CAD" w:rsidRPr="00F52D7D">
        <w:rPr>
          <w:rFonts w:ascii="Palatino Linotype" w:hAnsi="Palatino Linotype"/>
          <w:i/>
          <w:color w:val="000000"/>
        </w:rPr>
        <w:t>sic)</w:t>
      </w:r>
    </w:p>
    <w:p w:rsidR="00B1192B" w:rsidRPr="00312475" w:rsidRDefault="00B1192B"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B1192B">
        <w:rPr>
          <w:rFonts w:ascii="Palatino Linotype" w:hAnsi="Palatino Linotype"/>
          <w:i/>
          <w:color w:val="000000"/>
        </w:rPr>
        <w:t>NO DIERON INFORMACIÓN</w:t>
      </w:r>
      <w:r>
        <w:rPr>
          <w:rFonts w:ascii="Palatino Linotype" w:hAnsi="Palatino Linotype"/>
          <w:i/>
          <w:color w:val="000000"/>
        </w:rPr>
        <w:t>” (sic)</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w:t>
      </w:r>
      <w:r w:rsidR="00AE00A7">
        <w:rPr>
          <w:rFonts w:ascii="Palatino Linotype" w:hAnsi="Palatino Linotype" w:cs="Arial"/>
          <w:sz w:val="24"/>
          <w:szCs w:val="24"/>
        </w:rPr>
        <w:t xml:space="preserve">en los recursos de revisión </w:t>
      </w:r>
      <w:r w:rsidRPr="00CC2562">
        <w:rPr>
          <w:rFonts w:ascii="Palatino Linotype" w:hAnsi="Palatino Linotype" w:cs="Arial"/>
          <w:sz w:val="24"/>
          <w:szCs w:val="24"/>
        </w:rPr>
        <w:t>los siguientes:</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B1192B" w:rsidRPr="00B1192B">
        <w:rPr>
          <w:rFonts w:ascii="Palatino Linotype" w:hAnsi="Palatino Linotype"/>
          <w:i/>
          <w:color w:val="000000"/>
        </w:rPr>
        <w:t>No me entregan la información, no atienden mi solicitud.</w:t>
      </w:r>
      <w:r w:rsidRPr="00312475">
        <w:rPr>
          <w:rFonts w:ascii="Palatino Linotype" w:hAnsi="Palatino Linotype"/>
          <w:i/>
          <w:color w:val="000000"/>
        </w:rPr>
        <w:t>” (sic)</w:t>
      </w:r>
    </w:p>
    <w:p w:rsidR="00B1192B" w:rsidRPr="00312475" w:rsidRDefault="00B1192B"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B1192B">
        <w:rPr>
          <w:rFonts w:ascii="Palatino Linotype" w:hAnsi="Palatino Linotype"/>
          <w:i/>
          <w:color w:val="000000"/>
        </w:rPr>
        <w:t>NO ATENDIERON COMO DICE LA LEY DE TRANSPARENCIA</w:t>
      </w:r>
      <w:r>
        <w:rPr>
          <w:rFonts w:ascii="Palatino Linotype" w:hAnsi="Palatino Linotype"/>
          <w:i/>
          <w:color w:val="000000"/>
        </w:rPr>
        <w:t>.” (sic)</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471F71">
        <w:rPr>
          <w:rFonts w:ascii="Palatino Linotype" w:hAnsi="Palatino Linotype" w:cs="Arial"/>
          <w:b/>
          <w:sz w:val="24"/>
          <w:szCs w:val="24"/>
        </w:rPr>
        <w:t>nueve</w:t>
      </w:r>
      <w:r w:rsidR="00477B04">
        <w:rPr>
          <w:rFonts w:ascii="Palatino Linotype" w:hAnsi="Palatino Linotype" w:cs="Arial"/>
          <w:b/>
          <w:sz w:val="24"/>
          <w:szCs w:val="24"/>
        </w:rPr>
        <w:t xml:space="preserve"> </w:t>
      </w:r>
      <w:r w:rsidRPr="00EE0204">
        <w:rPr>
          <w:rFonts w:ascii="Palatino Linotype" w:hAnsi="Palatino Linotype" w:cs="Arial"/>
          <w:b/>
          <w:sz w:val="24"/>
          <w:szCs w:val="24"/>
        </w:rPr>
        <w:t xml:space="preserve">de </w:t>
      </w:r>
      <w:r w:rsidR="00471F71">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471F71">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B0085D">
        <w:rPr>
          <w:rFonts w:ascii="Palatino Linotype" w:hAnsi="Palatino Linotype" w:cs="Arial"/>
          <w:b/>
          <w:sz w:val="24"/>
          <w:szCs w:val="24"/>
        </w:rPr>
        <w:t>veinti</w:t>
      </w:r>
      <w:r w:rsidR="00471F71">
        <w:rPr>
          <w:rFonts w:ascii="Palatino Linotype" w:hAnsi="Palatino Linotype" w:cs="Arial"/>
          <w:b/>
          <w:sz w:val="24"/>
          <w:szCs w:val="24"/>
        </w:rPr>
        <w:t>nueve</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471F71" w:rsidRDefault="00471F71"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471F71">
        <w:rPr>
          <w:rFonts w:ascii="Palatino Linotype" w:eastAsiaTheme="minorEastAsia" w:hAnsi="Palatino Linotype"/>
          <w:b/>
          <w:sz w:val="24"/>
          <w:szCs w:val="24"/>
          <w:lang w:val="es-ES_tradnl" w:eastAsia="es-ES"/>
        </w:rPr>
        <w:t>veintiuno</w:t>
      </w:r>
      <w:r w:rsidR="00477B04">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367077" w:rsidRDefault="00367077"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521219">
        <w:rPr>
          <w:rFonts w:ascii="Palatino Linotype" w:hAnsi="Palatino Linotype" w:cs="Arial"/>
          <w:sz w:val="24"/>
          <w:szCs w:val="24"/>
        </w:rPr>
        <w:lastRenderedPageBreak/>
        <w:t>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12"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3"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011FD7">
        <w:rPr>
          <w:rFonts w:ascii="Palatino Linotype" w:hAnsi="Palatino Linotype"/>
          <w:b/>
          <w:i/>
          <w:u w:val="single"/>
        </w:rPr>
        <w:lastRenderedPageBreak/>
        <w:t>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w:t>
      </w:r>
      <w:r w:rsidRPr="00011FD7">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w:t>
      </w:r>
      <w:r w:rsidRPr="00011FD7">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C22F7" w:rsidRDefault="008C22F7" w:rsidP="008C22F7">
      <w:pPr>
        <w:pStyle w:val="Prrafodelista"/>
        <w:numPr>
          <w:ilvl w:val="0"/>
          <w:numId w:val="15"/>
        </w:numPr>
        <w:spacing w:line="276" w:lineRule="auto"/>
        <w:ind w:right="567"/>
        <w:jc w:val="both"/>
        <w:rPr>
          <w:i/>
        </w:rPr>
      </w:pPr>
      <w:r>
        <w:rPr>
          <w:rFonts w:ascii="Palatino Linotype" w:hAnsi="Palatino Linotype"/>
          <w:i/>
          <w:color w:val="000000"/>
        </w:rPr>
        <w:t>“Solicito el alta de ISSEMYM de los servidores públicos adscritos a la Secretaría de Ayuntamiento</w:t>
      </w:r>
      <w:r>
        <w:rPr>
          <w:i/>
        </w:rPr>
        <w:t>.”</w:t>
      </w:r>
    </w:p>
    <w:p w:rsidR="008C22F7" w:rsidRDefault="008C22F7" w:rsidP="008C22F7">
      <w:pPr>
        <w:pStyle w:val="Prrafodelista"/>
        <w:numPr>
          <w:ilvl w:val="0"/>
          <w:numId w:val="15"/>
        </w:numPr>
        <w:spacing w:line="276" w:lineRule="auto"/>
        <w:ind w:right="567"/>
        <w:jc w:val="both"/>
        <w:rPr>
          <w:i/>
        </w:rPr>
      </w:pPr>
      <w:r>
        <w:rPr>
          <w:rFonts w:ascii="Palatino Linotype" w:hAnsi="Palatino Linotype"/>
          <w:i/>
          <w:color w:val="000000"/>
        </w:rPr>
        <w:t>“Solicito el alta de ISSEMYM de los servidores públicos adscritos a la Dirección de Obras Públicas</w:t>
      </w:r>
      <w:r>
        <w:rPr>
          <w:i/>
        </w:rPr>
        <w:t>.”</w:t>
      </w:r>
    </w:p>
    <w:p w:rsidR="008C22F7" w:rsidRDefault="008C22F7" w:rsidP="008C22F7">
      <w:pPr>
        <w:pStyle w:val="Prrafodelista"/>
        <w:numPr>
          <w:ilvl w:val="0"/>
          <w:numId w:val="15"/>
        </w:numPr>
        <w:spacing w:line="276" w:lineRule="auto"/>
        <w:ind w:right="567"/>
        <w:jc w:val="both"/>
        <w:rPr>
          <w:i/>
        </w:rPr>
      </w:pPr>
      <w:r>
        <w:rPr>
          <w:rFonts w:ascii="Palatino Linotype" w:hAnsi="Palatino Linotype"/>
          <w:i/>
          <w:color w:val="000000"/>
        </w:rPr>
        <w:t>“Solicito el alta de ISSEMYM de los servidores públicos adscritos a la Dirección de Seguridad y Tránsito</w:t>
      </w:r>
      <w:r>
        <w:rPr>
          <w:i/>
        </w:rPr>
        <w:t>.”</w:t>
      </w:r>
    </w:p>
    <w:p w:rsidR="008C22F7" w:rsidRDefault="008C22F7" w:rsidP="008C22F7">
      <w:pPr>
        <w:pStyle w:val="Prrafodelista"/>
        <w:numPr>
          <w:ilvl w:val="0"/>
          <w:numId w:val="15"/>
        </w:numPr>
        <w:spacing w:line="276" w:lineRule="auto"/>
        <w:ind w:right="567"/>
        <w:jc w:val="both"/>
        <w:rPr>
          <w:i/>
        </w:rPr>
      </w:pPr>
      <w:r>
        <w:rPr>
          <w:rFonts w:ascii="Palatino Linotype" w:hAnsi="Palatino Linotype"/>
          <w:i/>
          <w:color w:val="000000"/>
        </w:rPr>
        <w:t>“Solicito el alta de ISSEMYM de los servidores públicos adscritos a la Dirección de Desarrollo Económico</w:t>
      </w:r>
      <w:r>
        <w:rPr>
          <w:i/>
        </w:rPr>
        <w:t>.”</w:t>
      </w:r>
    </w:p>
    <w:p w:rsidR="008C22F7" w:rsidRDefault="008C22F7" w:rsidP="008C22F7">
      <w:pPr>
        <w:pStyle w:val="Prrafodelista"/>
        <w:numPr>
          <w:ilvl w:val="0"/>
          <w:numId w:val="15"/>
        </w:numPr>
        <w:spacing w:line="276" w:lineRule="auto"/>
        <w:ind w:right="567"/>
        <w:jc w:val="both"/>
        <w:rPr>
          <w:i/>
        </w:rPr>
      </w:pPr>
      <w:r>
        <w:rPr>
          <w:rFonts w:ascii="Palatino Linotype" w:hAnsi="Palatino Linotype"/>
          <w:i/>
          <w:color w:val="000000"/>
        </w:rPr>
        <w:t>“Solicito las bajas de ISSEMyM que se han realizado en lo que va del año</w:t>
      </w:r>
      <w:r>
        <w:rPr>
          <w:i/>
        </w:rPr>
        <w:t>”</w:t>
      </w:r>
    </w:p>
    <w:p w:rsidR="00AE7AF5" w:rsidRDefault="00AE7AF5"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400684">
        <w:rPr>
          <w:rFonts w:ascii="Palatino Linotype" w:hAnsi="Palatino Linotype" w:cs="Arial"/>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400684">
        <w:rPr>
          <w:rFonts w:ascii="Palatino Linotype" w:hAnsi="Palatino Linotype" w:cs="Arial"/>
          <w:sz w:val="24"/>
          <w:szCs w:val="24"/>
        </w:rPr>
        <w:t xml:space="preserve">recurrente, </w:t>
      </w:r>
      <w:r w:rsidRPr="00C57486">
        <w:rPr>
          <w:rFonts w:ascii="Palatino Linotype" w:hAnsi="Palatino Linotype" w:cs="Arial"/>
          <w:sz w:val="24"/>
          <w:szCs w:val="24"/>
        </w:rPr>
        <w:t xml:space="preserve">señalando como </w:t>
      </w:r>
      <w:r w:rsidRPr="00400684">
        <w:rPr>
          <w:rFonts w:ascii="Palatino Linotype" w:hAnsi="Palatino Linotype" w:cs="Arial"/>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367077" w:rsidRPr="008C22F7">
        <w:rPr>
          <w:rFonts w:ascii="Palatino Linotype" w:hAnsi="Palatino Linotype" w:cs="Arial"/>
          <w:sz w:val="24"/>
          <w:szCs w:val="24"/>
        </w:rPr>
        <w:t>“</w:t>
      </w:r>
      <w:r w:rsidR="008C22F7" w:rsidRPr="008C22F7">
        <w:rPr>
          <w:rFonts w:ascii="Palatino Linotype" w:hAnsi="Palatino Linotype" w:cs="Arial"/>
          <w:i/>
          <w:sz w:val="24"/>
          <w:szCs w:val="24"/>
        </w:rPr>
        <w:t>No me entregan la información que solicite</w:t>
      </w:r>
      <w:r w:rsidR="00367077" w:rsidRPr="008C22F7">
        <w:rPr>
          <w:rFonts w:ascii="Palatino Linotype" w:hAnsi="Palatino Linotype" w:cs="Arial"/>
          <w:sz w:val="24"/>
          <w:szCs w:val="24"/>
        </w:rPr>
        <w:t>.” (sic)</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w:t>
      </w:r>
      <w:r w:rsidRPr="00C57486">
        <w:rPr>
          <w:rFonts w:ascii="Palatino Linotype" w:hAnsi="Palatino Linotype" w:cs="Arial"/>
          <w:sz w:val="24"/>
          <w:szCs w:val="24"/>
        </w:rPr>
        <w:lastRenderedPageBreak/>
        <w:t>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8D7364" w:rsidRDefault="008D7364" w:rsidP="00367077">
      <w:pPr>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 xml:space="preserve">que administren, </w:t>
      </w:r>
      <w:r w:rsidR="00925FF9" w:rsidRPr="007F2210">
        <w:rPr>
          <w:rFonts w:ascii="Palatino Linotype" w:eastAsia="Calibri" w:hAnsi="Palatino Linotype" w:cs="Arial"/>
          <w:sz w:val="24"/>
          <w:szCs w:val="24"/>
          <w:lang w:val="es-ES" w:eastAsia="es-ES"/>
        </w:rPr>
        <w:t>generen o</w:t>
      </w:r>
      <w:r w:rsidR="00925FF9">
        <w:rPr>
          <w:rFonts w:ascii="Palatino Linotype" w:eastAsia="Calibri" w:hAnsi="Palatino Linotype" w:cs="Arial"/>
          <w:sz w:val="24"/>
          <w:szCs w:val="24"/>
          <w:lang w:val="es-ES" w:eastAsia="es-ES"/>
        </w:rPr>
        <w:t xml:space="preserve"> posean en ejercicio de sus atribuciones</w:t>
      </w:r>
      <w:r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w:t>
      </w:r>
      <w:r w:rsidRPr="00147B7D">
        <w:rPr>
          <w:rFonts w:ascii="Palatino Linotype" w:hAnsi="Palatino Linotype"/>
          <w:sz w:val="24"/>
          <w:szCs w:val="24"/>
          <w:lang w:eastAsia="es-MX"/>
        </w:rPr>
        <w:lastRenderedPageBreak/>
        <w:t xml:space="preserve">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147B7D">
        <w:rPr>
          <w:rFonts w:ascii="Palatino Linotype" w:hAnsi="Palatino Linotype" w:cs="Arial"/>
          <w:i/>
          <w:color w:val="000000" w:themeColor="text1"/>
          <w:u w:val="single"/>
        </w:rPr>
        <w:lastRenderedPageBreak/>
        <w:t>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hyperlink r:id="rId14" w:history="1">
        <w:r w:rsidR="008C22F7" w:rsidRPr="008C22F7">
          <w:rPr>
            <w:rFonts w:ascii="Palatino Linotype" w:hAnsi="Palatino Linotype" w:cs="Arial"/>
            <w:b/>
            <w:sz w:val="24"/>
            <w:szCs w:val="24"/>
          </w:rPr>
          <w:t>00409/SIMOGUER/IP/2019</w:t>
        </w:r>
      </w:hyperlink>
      <w:r w:rsidR="008C22F7" w:rsidRPr="008C22F7">
        <w:rPr>
          <w:rFonts w:ascii="Palatino Linotype" w:hAnsi="Palatino Linotype" w:cs="Arial"/>
          <w:b/>
          <w:sz w:val="24"/>
          <w:szCs w:val="24"/>
        </w:rPr>
        <w:t xml:space="preserve">, </w:t>
      </w:r>
      <w:hyperlink r:id="rId15" w:history="1">
        <w:r w:rsidR="008C22F7" w:rsidRPr="008C22F7">
          <w:rPr>
            <w:rFonts w:ascii="Palatino Linotype" w:hAnsi="Palatino Linotype" w:cs="Arial"/>
            <w:b/>
            <w:sz w:val="24"/>
            <w:szCs w:val="24"/>
          </w:rPr>
          <w:t>00410/SIMOGUER/IP/2019</w:t>
        </w:r>
      </w:hyperlink>
      <w:r w:rsidR="008C22F7" w:rsidRPr="008C22F7">
        <w:rPr>
          <w:rFonts w:ascii="Palatino Linotype" w:hAnsi="Palatino Linotype" w:cs="Arial"/>
          <w:b/>
          <w:sz w:val="24"/>
          <w:szCs w:val="24"/>
        </w:rPr>
        <w:t xml:space="preserve">, </w:t>
      </w:r>
      <w:hyperlink r:id="rId16" w:history="1">
        <w:r w:rsidR="008C22F7" w:rsidRPr="008C22F7">
          <w:rPr>
            <w:rFonts w:ascii="Palatino Linotype" w:hAnsi="Palatino Linotype" w:cs="Arial"/>
            <w:b/>
            <w:sz w:val="24"/>
            <w:szCs w:val="24"/>
          </w:rPr>
          <w:t>00411/SIMOGUER/IP/2019</w:t>
        </w:r>
      </w:hyperlink>
      <w:r w:rsidR="008C22F7" w:rsidRPr="008C22F7">
        <w:rPr>
          <w:rFonts w:ascii="Palatino Linotype" w:hAnsi="Palatino Linotype" w:cs="Arial"/>
          <w:b/>
          <w:sz w:val="24"/>
          <w:szCs w:val="24"/>
        </w:rPr>
        <w:t xml:space="preserve">, </w:t>
      </w:r>
      <w:hyperlink r:id="rId17" w:history="1">
        <w:r w:rsidR="008C22F7" w:rsidRPr="008C22F7">
          <w:rPr>
            <w:rFonts w:ascii="Palatino Linotype" w:hAnsi="Palatino Linotype" w:cs="Arial"/>
            <w:b/>
            <w:sz w:val="24"/>
            <w:szCs w:val="24"/>
          </w:rPr>
          <w:t>00412/SIMOGUER/IP/2019</w:t>
        </w:r>
      </w:hyperlink>
      <w:r w:rsidR="008C22F7" w:rsidRPr="008C22F7">
        <w:rPr>
          <w:rFonts w:ascii="Palatino Linotype" w:hAnsi="Palatino Linotype" w:cs="Arial"/>
          <w:b/>
          <w:sz w:val="24"/>
          <w:szCs w:val="24"/>
        </w:rPr>
        <w:t xml:space="preserve"> y </w:t>
      </w:r>
      <w:hyperlink r:id="rId18" w:history="1">
        <w:r w:rsidR="008C22F7" w:rsidRPr="008C22F7">
          <w:rPr>
            <w:rFonts w:ascii="Palatino Linotype" w:hAnsi="Palatino Linotype" w:cs="Arial"/>
            <w:b/>
            <w:sz w:val="24"/>
            <w:szCs w:val="24"/>
          </w:rPr>
          <w:t>00528/SIMOGUER/IP/2019</w:t>
        </w:r>
      </w:hyperlink>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8C22F7" w:rsidRDefault="008C22F7" w:rsidP="008C22F7">
      <w:pPr>
        <w:spacing w:after="0" w:line="360" w:lineRule="auto"/>
        <w:jc w:val="both"/>
        <w:rPr>
          <w:rFonts w:ascii="Palatino Linotype" w:hAnsi="Palatino Linotype" w:cs="Arial"/>
          <w:sz w:val="24"/>
          <w:szCs w:val="24"/>
        </w:rPr>
      </w:pPr>
    </w:p>
    <w:p w:rsidR="008C22F7" w:rsidRDefault="008C22F7" w:rsidP="008C22F7">
      <w:pPr>
        <w:pStyle w:val="Prrafodelista"/>
        <w:numPr>
          <w:ilvl w:val="0"/>
          <w:numId w:val="16"/>
        </w:numPr>
        <w:spacing w:line="276" w:lineRule="auto"/>
        <w:ind w:right="567"/>
        <w:jc w:val="both"/>
      </w:pPr>
      <w:r w:rsidRPr="008C22F7">
        <w:rPr>
          <w:rFonts w:ascii="Palatino Linotype" w:hAnsi="Palatino Linotype"/>
          <w:color w:val="000000"/>
        </w:rPr>
        <w:t>El alta de ISSEMYM de los servidores públicos adscritos a la Secretaría de Ayuntamiento</w:t>
      </w:r>
      <w:r w:rsidRPr="008C22F7">
        <w:t>.</w:t>
      </w:r>
    </w:p>
    <w:p w:rsidR="0094248B" w:rsidRPr="008C22F7" w:rsidRDefault="0094248B" w:rsidP="0094248B">
      <w:pPr>
        <w:pStyle w:val="Prrafodelista"/>
        <w:spacing w:line="276" w:lineRule="auto"/>
        <w:ind w:left="927" w:right="567"/>
        <w:jc w:val="both"/>
      </w:pPr>
    </w:p>
    <w:p w:rsidR="008C22F7" w:rsidRDefault="008C22F7" w:rsidP="008C22F7">
      <w:pPr>
        <w:pStyle w:val="Prrafodelista"/>
        <w:numPr>
          <w:ilvl w:val="0"/>
          <w:numId w:val="16"/>
        </w:numPr>
        <w:spacing w:line="276" w:lineRule="auto"/>
        <w:ind w:right="567"/>
        <w:jc w:val="both"/>
      </w:pPr>
      <w:r w:rsidRPr="008C22F7">
        <w:rPr>
          <w:rFonts w:ascii="Palatino Linotype" w:hAnsi="Palatino Linotype"/>
          <w:color w:val="000000"/>
        </w:rPr>
        <w:t>El alta de ISSEMYM de los servidores públicos adscritos a la Dirección de Obras Públicas</w:t>
      </w:r>
      <w:r w:rsidRPr="008C22F7">
        <w:t>.</w:t>
      </w:r>
    </w:p>
    <w:p w:rsidR="0094248B" w:rsidRPr="008C22F7" w:rsidRDefault="0094248B" w:rsidP="0094248B">
      <w:pPr>
        <w:pStyle w:val="Prrafodelista"/>
        <w:spacing w:line="276" w:lineRule="auto"/>
        <w:ind w:left="927" w:right="567"/>
        <w:jc w:val="both"/>
      </w:pPr>
    </w:p>
    <w:p w:rsidR="008C22F7" w:rsidRDefault="008C22F7" w:rsidP="008C22F7">
      <w:pPr>
        <w:pStyle w:val="Prrafodelista"/>
        <w:numPr>
          <w:ilvl w:val="0"/>
          <w:numId w:val="16"/>
        </w:numPr>
        <w:spacing w:line="276" w:lineRule="auto"/>
        <w:ind w:right="567"/>
        <w:jc w:val="both"/>
      </w:pPr>
      <w:r w:rsidRPr="008C22F7">
        <w:rPr>
          <w:rFonts w:ascii="Palatino Linotype" w:hAnsi="Palatino Linotype"/>
          <w:color w:val="000000"/>
        </w:rPr>
        <w:t>El alta de ISSEMYM de los servidores públicos adscritos a la Dirección de Seguridad y Tránsito</w:t>
      </w:r>
      <w:r w:rsidRPr="008C22F7">
        <w:t>.</w:t>
      </w:r>
    </w:p>
    <w:p w:rsidR="0094248B" w:rsidRPr="008C22F7" w:rsidRDefault="0094248B" w:rsidP="0094248B">
      <w:pPr>
        <w:pStyle w:val="Prrafodelista"/>
        <w:spacing w:line="276" w:lineRule="auto"/>
        <w:ind w:left="927" w:right="567"/>
        <w:jc w:val="both"/>
      </w:pPr>
    </w:p>
    <w:p w:rsidR="008C22F7" w:rsidRDefault="008C22F7" w:rsidP="008C22F7">
      <w:pPr>
        <w:pStyle w:val="Prrafodelista"/>
        <w:numPr>
          <w:ilvl w:val="0"/>
          <w:numId w:val="16"/>
        </w:numPr>
        <w:spacing w:line="276" w:lineRule="auto"/>
        <w:ind w:right="567"/>
        <w:jc w:val="both"/>
      </w:pPr>
      <w:r w:rsidRPr="008C22F7">
        <w:rPr>
          <w:rFonts w:ascii="Palatino Linotype" w:hAnsi="Palatino Linotype"/>
          <w:color w:val="000000"/>
        </w:rPr>
        <w:t>El alta de ISSEMYM de los servidores públicos adscritos a la Dirección de Desarrollo Económico</w:t>
      </w:r>
      <w:r w:rsidRPr="008C22F7">
        <w:t>.</w:t>
      </w:r>
    </w:p>
    <w:p w:rsidR="0094248B" w:rsidRPr="008C22F7" w:rsidRDefault="0094248B" w:rsidP="0094248B">
      <w:pPr>
        <w:pStyle w:val="Prrafodelista"/>
        <w:spacing w:line="276" w:lineRule="auto"/>
        <w:ind w:left="927" w:right="567"/>
        <w:jc w:val="both"/>
      </w:pPr>
    </w:p>
    <w:p w:rsidR="008C22F7" w:rsidRPr="008C22F7" w:rsidRDefault="008C22F7" w:rsidP="008C22F7">
      <w:pPr>
        <w:pStyle w:val="Prrafodelista"/>
        <w:numPr>
          <w:ilvl w:val="0"/>
          <w:numId w:val="16"/>
        </w:numPr>
        <w:spacing w:line="276" w:lineRule="auto"/>
        <w:ind w:right="567"/>
        <w:jc w:val="both"/>
      </w:pPr>
      <w:r w:rsidRPr="008C22F7">
        <w:rPr>
          <w:rFonts w:ascii="Palatino Linotype" w:hAnsi="Palatino Linotype"/>
          <w:color w:val="000000"/>
        </w:rPr>
        <w:t>Las bajas de ISSEMyM que se han realizado en lo que va del año</w:t>
      </w:r>
    </w:p>
    <w:p w:rsidR="008C22F7" w:rsidRDefault="008C22F7" w:rsidP="008C22F7">
      <w:pPr>
        <w:spacing w:after="0" w:line="360" w:lineRule="auto"/>
        <w:ind w:left="851" w:right="851"/>
        <w:jc w:val="both"/>
        <w:rPr>
          <w:rFonts w:ascii="Palatino Linotype" w:eastAsia="Times New Roman" w:hAnsi="Palatino Linotype" w:cs="Times New Roman"/>
          <w:i/>
          <w:szCs w:val="24"/>
          <w:lang w:val="es-ES_tradnl" w:eastAsia="es-ES"/>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lastRenderedPageBreak/>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w:t>
      </w:r>
      <w:r w:rsidRPr="007878E8">
        <w:rPr>
          <w:rFonts w:ascii="Palatino Linotype" w:hAnsi="Palatino Linotype" w:cs="Arial"/>
          <w:i/>
        </w:rPr>
        <w:lastRenderedPageBreak/>
        <w:t xml:space="preserve">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lastRenderedPageBreak/>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lastRenderedPageBreak/>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Amparo en revisión 333/88. Adilia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w:t>
      </w:r>
      <w:r w:rsidRPr="0046221B">
        <w:rPr>
          <w:rFonts w:ascii="Palatino Linotype" w:hAnsi="Palatino Linotype"/>
          <w:sz w:val="24"/>
          <w:szCs w:val="24"/>
        </w:rPr>
        <w:lastRenderedPageBreak/>
        <w:t>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w:t>
      </w:r>
      <w:r w:rsidRPr="00D33F2B">
        <w:rPr>
          <w:rFonts w:ascii="Palatino Linotype" w:hAnsi="Palatino Linotype"/>
          <w:i/>
          <w:sz w:val="20"/>
          <w:szCs w:val="20"/>
        </w:rPr>
        <w:lastRenderedPageBreak/>
        <w:t>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w:t>
      </w:r>
      <w:r w:rsidRPr="002069CD">
        <w:rPr>
          <w:rFonts w:ascii="Palatino Linotype" w:hAnsi="Palatino Linotype"/>
          <w:sz w:val="24"/>
          <w:szCs w:val="24"/>
        </w:rPr>
        <w:t>Municipios, se ORDENA atienda la</w:t>
      </w:r>
      <w:r w:rsidR="00D33F2B" w:rsidRPr="002069CD">
        <w:rPr>
          <w:rFonts w:ascii="Palatino Linotype" w:hAnsi="Palatino Linotype"/>
          <w:sz w:val="24"/>
          <w:szCs w:val="24"/>
        </w:rPr>
        <w:t>s</w:t>
      </w:r>
      <w:r w:rsidRPr="002069CD">
        <w:rPr>
          <w:rFonts w:ascii="Palatino Linotype" w:hAnsi="Palatino Linotype"/>
          <w:sz w:val="24"/>
          <w:szCs w:val="24"/>
        </w:rPr>
        <w:t xml:space="preserve"> solicitud</w:t>
      </w:r>
      <w:r w:rsidR="00D33F2B" w:rsidRPr="002069CD">
        <w:rPr>
          <w:rFonts w:ascii="Palatino Linotype" w:hAnsi="Palatino Linotype"/>
          <w:sz w:val="24"/>
          <w:szCs w:val="24"/>
        </w:rPr>
        <w:t>es</w:t>
      </w:r>
      <w:r w:rsidRPr="002069CD">
        <w:rPr>
          <w:rFonts w:ascii="Palatino Linotype" w:hAnsi="Palatino Linotype"/>
          <w:sz w:val="24"/>
          <w:szCs w:val="24"/>
        </w:rPr>
        <w:t xml:space="preserve"> de información </w:t>
      </w:r>
      <w:hyperlink r:id="rId19" w:history="1">
        <w:r w:rsidR="002069CD" w:rsidRPr="002069CD">
          <w:rPr>
            <w:rFonts w:ascii="Palatino Linotype" w:hAnsi="Palatino Linotype"/>
            <w:sz w:val="24"/>
            <w:szCs w:val="24"/>
          </w:rPr>
          <w:t>00409/SIMOGUER/IP/2019</w:t>
        </w:r>
      </w:hyperlink>
      <w:r w:rsidR="002069CD" w:rsidRPr="002069CD">
        <w:rPr>
          <w:rFonts w:ascii="Palatino Linotype" w:hAnsi="Palatino Linotype"/>
          <w:sz w:val="24"/>
          <w:szCs w:val="24"/>
        </w:rPr>
        <w:t xml:space="preserve">, </w:t>
      </w:r>
      <w:hyperlink r:id="rId20" w:history="1">
        <w:r w:rsidR="002069CD" w:rsidRPr="002069CD">
          <w:rPr>
            <w:rFonts w:ascii="Palatino Linotype" w:hAnsi="Palatino Linotype"/>
            <w:sz w:val="24"/>
            <w:szCs w:val="24"/>
          </w:rPr>
          <w:t>00410/SIMOGUER/IP/2019</w:t>
        </w:r>
      </w:hyperlink>
      <w:r w:rsidR="002069CD" w:rsidRPr="002069CD">
        <w:rPr>
          <w:rFonts w:ascii="Palatino Linotype" w:hAnsi="Palatino Linotype"/>
          <w:sz w:val="24"/>
          <w:szCs w:val="24"/>
        </w:rPr>
        <w:t xml:space="preserve">, </w:t>
      </w:r>
      <w:hyperlink r:id="rId21" w:history="1">
        <w:r w:rsidR="002069CD" w:rsidRPr="002069CD">
          <w:rPr>
            <w:rFonts w:ascii="Palatino Linotype" w:hAnsi="Palatino Linotype"/>
            <w:sz w:val="24"/>
            <w:szCs w:val="24"/>
          </w:rPr>
          <w:t>00411/SIMOGUER/IP/2019</w:t>
        </w:r>
      </w:hyperlink>
      <w:r w:rsidR="002069CD" w:rsidRPr="002069CD">
        <w:rPr>
          <w:rFonts w:ascii="Palatino Linotype" w:hAnsi="Palatino Linotype"/>
          <w:sz w:val="24"/>
          <w:szCs w:val="24"/>
        </w:rPr>
        <w:t xml:space="preserve">, </w:t>
      </w:r>
      <w:hyperlink r:id="rId22" w:history="1">
        <w:r w:rsidR="002069CD" w:rsidRPr="002069CD">
          <w:rPr>
            <w:rFonts w:ascii="Palatino Linotype" w:hAnsi="Palatino Linotype"/>
            <w:sz w:val="24"/>
            <w:szCs w:val="24"/>
          </w:rPr>
          <w:t>00412/SIMOGUER/IP/2019</w:t>
        </w:r>
      </w:hyperlink>
      <w:r w:rsidR="002069CD" w:rsidRPr="002069CD">
        <w:rPr>
          <w:rFonts w:ascii="Palatino Linotype" w:hAnsi="Palatino Linotype"/>
          <w:sz w:val="24"/>
          <w:szCs w:val="24"/>
        </w:rPr>
        <w:t xml:space="preserve"> y </w:t>
      </w:r>
      <w:hyperlink r:id="rId23" w:history="1">
        <w:r w:rsidR="002069CD" w:rsidRPr="002069CD">
          <w:rPr>
            <w:rFonts w:ascii="Palatino Linotype" w:hAnsi="Palatino Linotype"/>
            <w:sz w:val="24"/>
            <w:szCs w:val="24"/>
          </w:rPr>
          <w:t>00528/SIMOGUER/IP/2019</w:t>
        </w:r>
      </w:hyperlink>
      <w:r w:rsidRPr="002069CD">
        <w:rPr>
          <w:rFonts w:ascii="Palatino Linotype" w:hAnsi="Palatino Linotype"/>
          <w:sz w:val="24"/>
          <w:szCs w:val="24"/>
        </w:rPr>
        <w:t>, que ha</w:t>
      </w:r>
      <w:r w:rsidR="00D33F2B" w:rsidRPr="002069CD">
        <w:rPr>
          <w:rFonts w:ascii="Palatino Linotype" w:hAnsi="Palatino Linotype"/>
          <w:sz w:val="24"/>
          <w:szCs w:val="24"/>
        </w:rPr>
        <w:t>n</w:t>
      </w:r>
      <w:r w:rsidRPr="002069CD">
        <w:rPr>
          <w:rFonts w:ascii="Palatino Linotype" w:hAnsi="Palatino Linotype"/>
          <w:sz w:val="24"/>
          <w:szCs w:val="24"/>
        </w:rPr>
        <w:t xml:space="preserve"> </w:t>
      </w:r>
      <w:r w:rsidR="00551985" w:rsidRPr="002069CD">
        <w:rPr>
          <w:rFonts w:ascii="Palatino Linotype" w:hAnsi="Palatino Linotype"/>
          <w:sz w:val="24"/>
          <w:szCs w:val="24"/>
        </w:rPr>
        <w:t>sido materia</w:t>
      </w:r>
      <w:r w:rsidR="00551985">
        <w:rPr>
          <w:rFonts w:ascii="Palatino Linotype" w:hAnsi="Palatino Linotype"/>
          <w:sz w:val="24"/>
          <w:szCs w:val="24"/>
        </w:rPr>
        <w:t xml:space="preserve"> del presente fallo, p</w:t>
      </w:r>
      <w:r w:rsidRPr="0024637B">
        <w:rPr>
          <w:rFonts w:ascii="Palatino Linotype" w:hAnsi="Palatino Linotype"/>
          <w:sz w:val="24"/>
          <w:szCs w:val="24"/>
        </w:rPr>
        <w:t>or lo antes expuesto y fundado</w:t>
      </w:r>
      <w:r>
        <w:rPr>
          <w:rFonts w:ascii="Palatino Linotype" w:hAnsi="Palatino Linotype"/>
          <w:sz w:val="24"/>
          <w:szCs w:val="24"/>
        </w:rPr>
        <w:t xml:space="preserve">. </w:t>
      </w:r>
    </w:p>
    <w:p w:rsidR="00D33F2B"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hyperlink r:id="rId24" w:history="1">
        <w:r w:rsidR="002069CD" w:rsidRPr="002069CD">
          <w:rPr>
            <w:rFonts w:ascii="Palatino Linotype" w:hAnsi="Palatino Linotype"/>
            <w:b/>
            <w:sz w:val="24"/>
            <w:szCs w:val="24"/>
          </w:rPr>
          <w:t>00409/SIMOGUER/IP/2019</w:t>
        </w:r>
      </w:hyperlink>
      <w:r w:rsidR="002069CD" w:rsidRPr="002069CD">
        <w:rPr>
          <w:rFonts w:ascii="Palatino Linotype" w:hAnsi="Palatino Linotype"/>
          <w:b/>
          <w:sz w:val="24"/>
          <w:szCs w:val="24"/>
        </w:rPr>
        <w:t xml:space="preserve">, </w:t>
      </w:r>
      <w:hyperlink r:id="rId25" w:history="1">
        <w:r w:rsidR="002069CD" w:rsidRPr="002069CD">
          <w:rPr>
            <w:rFonts w:ascii="Palatino Linotype" w:hAnsi="Palatino Linotype"/>
            <w:b/>
            <w:sz w:val="24"/>
            <w:szCs w:val="24"/>
          </w:rPr>
          <w:t>00410/SIMOGUER/IP/2019</w:t>
        </w:r>
      </w:hyperlink>
      <w:r w:rsidR="002069CD" w:rsidRPr="002069CD">
        <w:rPr>
          <w:rFonts w:ascii="Palatino Linotype" w:hAnsi="Palatino Linotype"/>
          <w:b/>
          <w:sz w:val="24"/>
          <w:szCs w:val="24"/>
        </w:rPr>
        <w:t xml:space="preserve">, </w:t>
      </w:r>
      <w:hyperlink r:id="rId26" w:history="1">
        <w:r w:rsidR="002069CD" w:rsidRPr="002069CD">
          <w:rPr>
            <w:rFonts w:ascii="Palatino Linotype" w:hAnsi="Palatino Linotype"/>
            <w:b/>
            <w:sz w:val="24"/>
            <w:szCs w:val="24"/>
          </w:rPr>
          <w:t>00411/SIMOGUER/IP/2019</w:t>
        </w:r>
      </w:hyperlink>
      <w:r w:rsidR="002069CD" w:rsidRPr="002069CD">
        <w:rPr>
          <w:rFonts w:ascii="Palatino Linotype" w:hAnsi="Palatino Linotype"/>
          <w:b/>
          <w:sz w:val="24"/>
          <w:szCs w:val="24"/>
        </w:rPr>
        <w:t xml:space="preserve">, </w:t>
      </w:r>
      <w:hyperlink r:id="rId27" w:history="1">
        <w:r w:rsidR="002069CD" w:rsidRPr="002069CD">
          <w:rPr>
            <w:rFonts w:ascii="Palatino Linotype" w:hAnsi="Palatino Linotype"/>
            <w:b/>
            <w:sz w:val="24"/>
            <w:szCs w:val="24"/>
          </w:rPr>
          <w:t>00412/SIMOGUER/IP/2019</w:t>
        </w:r>
      </w:hyperlink>
      <w:r w:rsidR="002069CD" w:rsidRPr="002069CD">
        <w:rPr>
          <w:rFonts w:ascii="Palatino Linotype" w:hAnsi="Palatino Linotype"/>
          <w:b/>
          <w:sz w:val="24"/>
          <w:szCs w:val="24"/>
        </w:rPr>
        <w:t xml:space="preserve"> y </w:t>
      </w:r>
      <w:hyperlink r:id="rId28" w:history="1">
        <w:r w:rsidR="002069CD" w:rsidRPr="002069CD">
          <w:rPr>
            <w:rFonts w:ascii="Palatino Linotype" w:hAnsi="Palatino Linotype"/>
            <w:b/>
            <w:sz w:val="24"/>
            <w:szCs w:val="24"/>
          </w:rPr>
          <w:t>00528/SIMOGUER/IP/2019</w:t>
        </w:r>
      </w:hyperlink>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247FEB">
        <w:rPr>
          <w:rFonts w:ascii="Palatino Linotype" w:eastAsia="Times New Roman" w:hAnsi="Palatino Linotype" w:cs="Arial"/>
          <w:sz w:val="24"/>
          <w:szCs w:val="24"/>
        </w:rPr>
        <w:t xml:space="preserve"> de esta resolución,</w:t>
      </w:r>
      <w:r>
        <w:rPr>
          <w:rFonts w:ascii="Palatino Linotype" w:eastAsia="Times New Roman" w:hAnsi="Palatino Linotype" w:cs="Arial"/>
          <w:sz w:val="24"/>
          <w:szCs w:val="24"/>
        </w:rPr>
        <w:t xml:space="preserve"> </w:t>
      </w:r>
      <w:r w:rsidR="00247FEB">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84718">
        <w:rPr>
          <w:rFonts w:ascii="Palatino Linotype" w:eastAsia="MS Mincho" w:hAnsi="Palatino Linotype" w:cs="Times New Roman"/>
          <w:sz w:val="24"/>
        </w:rPr>
        <w:lastRenderedPageBreak/>
        <w:t xml:space="preserve">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0"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lastRenderedPageBreak/>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00A6350A">
        <w:rPr>
          <w:rFonts w:ascii="Palatino Linotype" w:hAnsi="Palatino Linotype" w:cs="Arial"/>
          <w:sz w:val="18"/>
          <w:szCs w:val="24"/>
        </w:rPr>
        <w:t>11145</w:t>
      </w:r>
      <w:bookmarkStart w:id="1" w:name="_GoBack"/>
      <w:bookmarkEnd w:id="1"/>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29"/>
      <w:footerReference w:type="default" r:id="rId30"/>
      <w:headerReference w:type="first" r:id="rId31"/>
      <w:footerReference w:type="first" r:id="rId3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16" w:rsidRDefault="00714116" w:rsidP="008D7364">
      <w:pPr>
        <w:spacing w:after="0" w:line="240" w:lineRule="auto"/>
      </w:pPr>
      <w:r>
        <w:separator/>
      </w:r>
    </w:p>
  </w:endnote>
  <w:endnote w:type="continuationSeparator" w:id="0">
    <w:p w:rsidR="00714116" w:rsidRDefault="00714116"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350A">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350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35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350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16" w:rsidRDefault="00714116" w:rsidP="008D7364">
      <w:pPr>
        <w:spacing w:after="0" w:line="240" w:lineRule="auto"/>
      </w:pPr>
      <w:r>
        <w:separator/>
      </w:r>
    </w:p>
  </w:footnote>
  <w:footnote w:type="continuationSeparator" w:id="0">
    <w:p w:rsidR="00714116" w:rsidRDefault="00714116"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349" w:type="dxa"/>
      <w:tblInd w:w="-851" w:type="dxa"/>
      <w:tblCellMar>
        <w:left w:w="70" w:type="dxa"/>
        <w:right w:w="70" w:type="dxa"/>
      </w:tblCellMar>
      <w:tblLook w:val="04A0" w:firstRow="1" w:lastRow="0" w:firstColumn="1" w:lastColumn="0" w:noHBand="0" w:noVBand="1"/>
    </w:tblPr>
    <w:tblGrid>
      <w:gridCol w:w="5954"/>
      <w:gridCol w:w="4395"/>
    </w:tblGrid>
    <w:tr w:rsidR="00AE7AF5" w:rsidTr="00460CF0">
      <w:trPr>
        <w:trHeight w:val="227"/>
      </w:trPr>
      <w:tc>
        <w:tcPr>
          <w:tcW w:w="5954" w:type="dxa"/>
          <w:hideMark/>
        </w:tcPr>
        <w:p w:rsidR="00AE7AF5" w:rsidRDefault="00AE7AF5" w:rsidP="00460CF0">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395" w:type="dxa"/>
          <w:hideMark/>
        </w:tcPr>
        <w:p w:rsidR="00AE7AF5" w:rsidRDefault="00460CF0" w:rsidP="00460CF0">
          <w:pPr>
            <w:spacing w:after="120" w:line="256" w:lineRule="auto"/>
            <w:ind w:left="-486" w:right="72" w:firstLine="486"/>
            <w:jc w:val="right"/>
            <w:rPr>
              <w:rFonts w:ascii="Palatino Linotype" w:hAnsi="Palatino Linotype" w:cs="Arial"/>
              <w:szCs w:val="20"/>
            </w:rPr>
          </w:pPr>
          <w:r>
            <w:rPr>
              <w:rFonts w:ascii="Palatino Linotype" w:hAnsi="Palatino Linotype" w:cs="Arial"/>
              <w:bCs/>
              <w:sz w:val="20"/>
              <w:szCs w:val="20"/>
              <w:lang w:eastAsia="es-MX"/>
            </w:rPr>
            <w:t>11145</w:t>
          </w:r>
          <w:r w:rsidRPr="00312873">
            <w:rPr>
              <w:rFonts w:ascii="Palatino Linotype" w:hAnsi="Palatino Linotype" w:cs="Arial"/>
              <w:bCs/>
              <w:sz w:val="20"/>
              <w:szCs w:val="20"/>
              <w:lang w:eastAsia="es-MX"/>
            </w:rPr>
            <w:t xml:space="preserve">/INFOEM/IP/RR/2019 </w:t>
          </w:r>
          <w:r>
            <w:rPr>
              <w:rFonts w:ascii="Palatino Linotype" w:hAnsi="Palatino Linotype" w:cs="Arial"/>
              <w:bCs/>
              <w:sz w:val="20"/>
              <w:szCs w:val="20"/>
              <w:lang w:eastAsia="es-MX"/>
            </w:rPr>
            <w:t xml:space="preserve">y </w:t>
          </w:r>
          <w:r w:rsidRPr="00312873">
            <w:rPr>
              <w:rFonts w:ascii="Palatino Linotype" w:hAnsi="Palatino Linotype" w:cs="Arial"/>
              <w:bCs/>
              <w:sz w:val="20"/>
              <w:szCs w:val="20"/>
              <w:lang w:eastAsia="es-MX"/>
            </w:rPr>
            <w:t>Acumulado</w:t>
          </w:r>
          <w:r>
            <w:rPr>
              <w:rFonts w:ascii="Palatino Linotype" w:hAnsi="Palatino Linotype" w:cs="Arial"/>
              <w:bCs/>
              <w:sz w:val="20"/>
              <w:szCs w:val="20"/>
              <w:lang w:eastAsia="es-MX"/>
            </w:rPr>
            <w:t>s</w:t>
          </w:r>
        </w:p>
      </w:tc>
    </w:tr>
    <w:tr w:rsidR="00AE7AF5" w:rsidTr="00460CF0">
      <w:trPr>
        <w:trHeight w:val="242"/>
      </w:trPr>
      <w:tc>
        <w:tcPr>
          <w:tcW w:w="5954" w:type="dxa"/>
          <w:hideMark/>
        </w:tcPr>
        <w:p w:rsidR="00AE7AF5" w:rsidRDefault="00AE7AF5" w:rsidP="00460CF0">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395" w:type="dxa"/>
          <w:hideMark/>
        </w:tcPr>
        <w:p w:rsidR="00AE7AF5" w:rsidRDefault="00AE7AF5" w:rsidP="00460CF0">
          <w:pPr>
            <w:spacing w:after="120" w:line="256" w:lineRule="auto"/>
            <w:ind w:left="-486" w:right="72" w:firstLine="486"/>
            <w:jc w:val="right"/>
            <w:rPr>
              <w:rFonts w:ascii="Palatino Linotype" w:hAnsi="Palatino Linotype" w:cs="Arial"/>
              <w:szCs w:val="20"/>
            </w:rPr>
          </w:pPr>
          <w:r w:rsidRPr="00CF668E">
            <w:rPr>
              <w:rFonts w:ascii="Palatino Linotype" w:hAnsi="Palatino Linotype" w:cs="Arial"/>
              <w:szCs w:val="20"/>
            </w:rPr>
            <w:t xml:space="preserve">Ayuntamiento de </w:t>
          </w:r>
          <w:r w:rsidR="00460CF0">
            <w:rPr>
              <w:rFonts w:ascii="Palatino Linotype" w:hAnsi="Palatino Linotype" w:cs="Arial"/>
              <w:szCs w:val="20"/>
            </w:rPr>
            <w:t>San Simón de Guerrero</w:t>
          </w:r>
        </w:p>
      </w:tc>
    </w:tr>
    <w:tr w:rsidR="00AE7AF5" w:rsidTr="00460CF0">
      <w:trPr>
        <w:trHeight w:val="342"/>
      </w:trPr>
      <w:tc>
        <w:tcPr>
          <w:tcW w:w="5954" w:type="dxa"/>
          <w:hideMark/>
        </w:tcPr>
        <w:p w:rsidR="00AE7AF5" w:rsidRDefault="00AE7AF5" w:rsidP="00460CF0">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395"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2" w:type="dxa"/>
      <w:tblLayout w:type="fixed"/>
      <w:tblCellMar>
        <w:left w:w="70" w:type="dxa"/>
        <w:right w:w="70" w:type="dxa"/>
      </w:tblCellMar>
      <w:tblLook w:val="04A0" w:firstRow="1" w:lastRow="0" w:firstColumn="1" w:lastColumn="0" w:noHBand="0" w:noVBand="1"/>
    </w:tblPr>
    <w:tblGrid>
      <w:gridCol w:w="5384"/>
      <w:gridCol w:w="4539"/>
    </w:tblGrid>
    <w:tr w:rsidR="00AE7AF5" w:rsidRPr="00312873" w:rsidTr="00586568">
      <w:trPr>
        <w:trHeight w:val="227"/>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9" w:type="dxa"/>
          <w:hideMark/>
        </w:tcPr>
        <w:p w:rsidR="00AE7AF5" w:rsidRPr="00312873" w:rsidRDefault="00586568" w:rsidP="00460CF0">
          <w:pPr>
            <w:spacing w:after="120" w:line="256" w:lineRule="auto"/>
            <w:rPr>
              <w:rFonts w:ascii="Palatino Linotype" w:hAnsi="Palatino Linotype" w:cs="Arial"/>
              <w:sz w:val="20"/>
              <w:szCs w:val="20"/>
            </w:rPr>
          </w:pPr>
          <w:r>
            <w:rPr>
              <w:rFonts w:ascii="Palatino Linotype" w:hAnsi="Palatino Linotype" w:cs="Arial"/>
              <w:bCs/>
              <w:sz w:val="20"/>
              <w:szCs w:val="20"/>
              <w:lang w:eastAsia="es-MX"/>
            </w:rPr>
            <w:t>11</w:t>
          </w:r>
          <w:r w:rsidR="00460CF0">
            <w:rPr>
              <w:rFonts w:ascii="Palatino Linotype" w:hAnsi="Palatino Linotype" w:cs="Arial"/>
              <w:bCs/>
              <w:sz w:val="20"/>
              <w:szCs w:val="20"/>
              <w:lang w:eastAsia="es-MX"/>
            </w:rPr>
            <w:t>14</w:t>
          </w:r>
          <w:r>
            <w:rPr>
              <w:rFonts w:ascii="Palatino Linotype" w:hAnsi="Palatino Linotype" w:cs="Arial"/>
              <w:bCs/>
              <w:sz w:val="20"/>
              <w:szCs w:val="20"/>
              <w:lang w:eastAsia="es-MX"/>
            </w:rPr>
            <w:t>5</w:t>
          </w:r>
          <w:r w:rsidR="00AE7AF5"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 xml:space="preserve"> y</w:t>
          </w:r>
          <w:r w:rsidR="00B0085D" w:rsidRPr="00312873">
            <w:rPr>
              <w:rFonts w:ascii="Palatino Linotype" w:hAnsi="Palatino Linotype" w:cs="Arial"/>
              <w:bCs/>
              <w:sz w:val="20"/>
              <w:szCs w:val="20"/>
              <w:lang w:eastAsia="es-MX"/>
            </w:rPr>
            <w:t xml:space="preserve"> Acumulado</w:t>
          </w:r>
          <w:r w:rsidR="00460CF0">
            <w:rPr>
              <w:rFonts w:ascii="Palatino Linotype" w:hAnsi="Palatino Linotype" w:cs="Arial"/>
              <w:bCs/>
              <w:sz w:val="20"/>
              <w:szCs w:val="20"/>
              <w:lang w:eastAsia="es-MX"/>
            </w:rPr>
            <w:t>s</w:t>
          </w:r>
          <w:r w:rsidR="00B0085D" w:rsidRPr="00312873">
            <w:rPr>
              <w:rFonts w:ascii="Palatino Linotype" w:hAnsi="Palatino Linotype" w:cs="Arial"/>
              <w:bCs/>
              <w:sz w:val="20"/>
              <w:szCs w:val="20"/>
              <w:lang w:eastAsia="es-MX"/>
            </w:rPr>
            <w:t xml:space="preserve"> </w:t>
          </w:r>
        </w:p>
      </w:tc>
    </w:tr>
    <w:tr w:rsidR="00AE7AF5" w:rsidTr="00033238">
      <w:trPr>
        <w:trHeight w:val="196"/>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539" w:type="dxa"/>
        </w:tcPr>
        <w:p w:rsidR="00AE7AF5" w:rsidRPr="00F06FED" w:rsidRDefault="00A6350A" w:rsidP="00586568">
          <w:pPr>
            <w:spacing w:after="120" w:line="256" w:lineRule="auto"/>
            <w:ind w:left="-486" w:right="72" w:firstLine="567"/>
            <w:rPr>
              <w:rFonts w:ascii="Palatino Linotype" w:hAnsi="Palatino Linotype" w:cs="Arial"/>
            </w:rPr>
          </w:pPr>
          <w:r>
            <w:rPr>
              <w:rFonts w:ascii="Palatino Linotype" w:hAnsi="Palatino Linotype" w:cs="Arial"/>
            </w:rPr>
            <w:t>xxxxxxxxxxxxxxxxxxxxxxxxxxxxx</w:t>
          </w:r>
        </w:p>
      </w:tc>
    </w:tr>
    <w:tr w:rsidR="00AE7AF5" w:rsidTr="00586568">
      <w:trPr>
        <w:trHeight w:val="2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9" w:type="dxa"/>
          <w:hideMark/>
        </w:tcPr>
        <w:p w:rsidR="00AE7AF5" w:rsidRDefault="00AE7AF5" w:rsidP="00460CF0">
          <w:pPr>
            <w:spacing w:after="120" w:line="256" w:lineRule="auto"/>
            <w:ind w:left="-495" w:right="72" w:firstLine="567"/>
            <w:rPr>
              <w:rFonts w:ascii="Palatino Linotype" w:hAnsi="Palatino Linotype" w:cs="Arial"/>
              <w:szCs w:val="20"/>
            </w:rPr>
          </w:pPr>
          <w:r w:rsidRPr="00CF668E">
            <w:rPr>
              <w:rFonts w:ascii="Palatino Linotype" w:hAnsi="Palatino Linotype" w:cs="Arial"/>
              <w:szCs w:val="20"/>
            </w:rPr>
            <w:t xml:space="preserve">Ayuntamiento de </w:t>
          </w:r>
          <w:r w:rsidR="00460CF0">
            <w:rPr>
              <w:rFonts w:ascii="Palatino Linotype" w:hAnsi="Palatino Linotype" w:cs="Arial"/>
              <w:szCs w:val="20"/>
            </w:rPr>
            <w:t>San Simón de Guerrero</w:t>
          </w:r>
        </w:p>
      </w:tc>
    </w:tr>
    <w:tr w:rsidR="00AE7AF5" w:rsidTr="00586568">
      <w:trPr>
        <w:trHeight w:val="3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9" w:type="dxa"/>
          <w:hideMark/>
        </w:tcPr>
        <w:p w:rsidR="00AE7AF5" w:rsidRDefault="00AE7AF5" w:rsidP="00586568">
          <w:pPr>
            <w:spacing w:after="120" w:line="256" w:lineRule="auto"/>
            <w:ind w:left="-486" w:right="72" w:firstLine="567"/>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DAF"/>
    <w:multiLevelType w:val="hybridMultilevel"/>
    <w:tmpl w:val="747C47CA"/>
    <w:lvl w:ilvl="0" w:tplc="080A000F">
      <w:start w:val="1"/>
      <w:numFmt w:val="decimal"/>
      <w:lvlText w:val="%1."/>
      <w:lvlJc w:val="left"/>
      <w:pPr>
        <w:ind w:left="927" w:hanging="360"/>
      </w:pPr>
      <w:rPr>
        <w:rFont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40664BFC"/>
    <w:multiLevelType w:val="hybridMultilevel"/>
    <w:tmpl w:val="747C47CA"/>
    <w:lvl w:ilvl="0" w:tplc="080A000F">
      <w:start w:val="1"/>
      <w:numFmt w:val="decimal"/>
      <w:lvlText w:val="%1."/>
      <w:lvlJc w:val="left"/>
      <w:pPr>
        <w:ind w:left="927" w:hanging="360"/>
      </w:pPr>
      <w:rPr>
        <w:rFont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0"/>
  </w:num>
  <w:num w:numId="5">
    <w:abstractNumId w:val="9"/>
  </w:num>
  <w:num w:numId="6">
    <w:abstractNumId w:val="8"/>
  </w:num>
  <w:num w:numId="7">
    <w:abstractNumId w:val="11"/>
  </w:num>
  <w:num w:numId="8">
    <w:abstractNumId w:val="2"/>
  </w:num>
  <w:num w:numId="9">
    <w:abstractNumId w:val="1"/>
  </w:num>
  <w:num w:numId="10">
    <w:abstractNumId w:val="5"/>
  </w:num>
  <w:num w:numId="11">
    <w:abstractNumId w:val="5"/>
  </w:num>
  <w:num w:numId="12">
    <w:abstractNumId w:val="6"/>
  </w:num>
  <w:num w:numId="13">
    <w:abstractNumId w:val="6"/>
  </w:num>
  <w:num w:numId="14">
    <w:abstractNumId w:val="6"/>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33238"/>
    <w:rsid w:val="00042AE1"/>
    <w:rsid w:val="00076D50"/>
    <w:rsid w:val="001545A3"/>
    <w:rsid w:val="0016166D"/>
    <w:rsid w:val="001727BD"/>
    <w:rsid w:val="00195CAD"/>
    <w:rsid w:val="001B6D5E"/>
    <w:rsid w:val="001D1B2A"/>
    <w:rsid w:val="001D1FCA"/>
    <w:rsid w:val="001E7E6B"/>
    <w:rsid w:val="001F4269"/>
    <w:rsid w:val="002069CD"/>
    <w:rsid w:val="00247FEB"/>
    <w:rsid w:val="002814A7"/>
    <w:rsid w:val="002A2D53"/>
    <w:rsid w:val="002F3D0F"/>
    <w:rsid w:val="00305E8D"/>
    <w:rsid w:val="00312873"/>
    <w:rsid w:val="0034019D"/>
    <w:rsid w:val="00367077"/>
    <w:rsid w:val="00385C6C"/>
    <w:rsid w:val="003F1EA7"/>
    <w:rsid w:val="00400684"/>
    <w:rsid w:val="00424D8E"/>
    <w:rsid w:val="004340FD"/>
    <w:rsid w:val="00460CF0"/>
    <w:rsid w:val="00471F71"/>
    <w:rsid w:val="00477B04"/>
    <w:rsid w:val="004B2B51"/>
    <w:rsid w:val="004D1075"/>
    <w:rsid w:val="00520628"/>
    <w:rsid w:val="00551985"/>
    <w:rsid w:val="00554AB4"/>
    <w:rsid w:val="00560B58"/>
    <w:rsid w:val="00567587"/>
    <w:rsid w:val="00586568"/>
    <w:rsid w:val="00595082"/>
    <w:rsid w:val="005E247A"/>
    <w:rsid w:val="00627AEC"/>
    <w:rsid w:val="006530EE"/>
    <w:rsid w:val="006E03FF"/>
    <w:rsid w:val="00714116"/>
    <w:rsid w:val="007376BA"/>
    <w:rsid w:val="00753F70"/>
    <w:rsid w:val="00771C4D"/>
    <w:rsid w:val="007F2210"/>
    <w:rsid w:val="00881F6C"/>
    <w:rsid w:val="00897B98"/>
    <w:rsid w:val="008C22F7"/>
    <w:rsid w:val="008D7364"/>
    <w:rsid w:val="00904597"/>
    <w:rsid w:val="00925FF9"/>
    <w:rsid w:val="0093061E"/>
    <w:rsid w:val="0094248B"/>
    <w:rsid w:val="009D430B"/>
    <w:rsid w:val="00A6350A"/>
    <w:rsid w:val="00A921A7"/>
    <w:rsid w:val="00AB6D6A"/>
    <w:rsid w:val="00AE00A7"/>
    <w:rsid w:val="00AE14C9"/>
    <w:rsid w:val="00AE7AF5"/>
    <w:rsid w:val="00AE7D14"/>
    <w:rsid w:val="00AF5180"/>
    <w:rsid w:val="00B0085D"/>
    <w:rsid w:val="00B0397E"/>
    <w:rsid w:val="00B1192B"/>
    <w:rsid w:val="00B34FBD"/>
    <w:rsid w:val="00B553B8"/>
    <w:rsid w:val="00B601BB"/>
    <w:rsid w:val="00B858A2"/>
    <w:rsid w:val="00B90971"/>
    <w:rsid w:val="00BA0CB3"/>
    <w:rsid w:val="00BD18B3"/>
    <w:rsid w:val="00C0025B"/>
    <w:rsid w:val="00C94832"/>
    <w:rsid w:val="00CA5C1C"/>
    <w:rsid w:val="00CE136E"/>
    <w:rsid w:val="00D07FB5"/>
    <w:rsid w:val="00D33F2B"/>
    <w:rsid w:val="00D62CC1"/>
    <w:rsid w:val="00D8524F"/>
    <w:rsid w:val="00DC4D48"/>
    <w:rsid w:val="00E029AA"/>
    <w:rsid w:val="00E40319"/>
    <w:rsid w:val="00E938D3"/>
    <w:rsid w:val="00EE0204"/>
    <w:rsid w:val="00F32FB0"/>
    <w:rsid w:val="00F52D7D"/>
    <w:rsid w:val="00F55D2E"/>
    <w:rsid w:val="00F6109E"/>
    <w:rsid w:val="00F73F9D"/>
    <w:rsid w:val="00F865F7"/>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 w:type="character" w:customStyle="1" w:styleId="medium">
    <w:name w:val="medium"/>
    <w:basedOn w:val="Fuentedeprrafopredeter"/>
    <w:rsid w:val="0046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31">
      <w:bodyDiv w:val="1"/>
      <w:marLeft w:val="0"/>
      <w:marRight w:val="0"/>
      <w:marTop w:val="0"/>
      <w:marBottom w:val="0"/>
      <w:divBdr>
        <w:top w:val="none" w:sz="0" w:space="0" w:color="auto"/>
        <w:left w:val="none" w:sz="0" w:space="0" w:color="auto"/>
        <w:bottom w:val="none" w:sz="0" w:space="0" w:color="auto"/>
        <w:right w:val="none" w:sz="0" w:space="0" w:color="auto"/>
      </w:divBdr>
    </w:div>
    <w:div w:id="537395489">
      <w:bodyDiv w:val="1"/>
      <w:marLeft w:val="0"/>
      <w:marRight w:val="0"/>
      <w:marTop w:val="0"/>
      <w:marBottom w:val="0"/>
      <w:divBdr>
        <w:top w:val="none" w:sz="0" w:space="0" w:color="auto"/>
        <w:left w:val="none" w:sz="0" w:space="0" w:color="auto"/>
        <w:bottom w:val="none" w:sz="0" w:space="0" w:color="auto"/>
        <w:right w:val="none" w:sz="0" w:space="0" w:color="auto"/>
      </w:divBdr>
    </w:div>
    <w:div w:id="694118405">
      <w:bodyDiv w:val="1"/>
      <w:marLeft w:val="0"/>
      <w:marRight w:val="0"/>
      <w:marTop w:val="0"/>
      <w:marBottom w:val="0"/>
      <w:divBdr>
        <w:top w:val="none" w:sz="0" w:space="0" w:color="auto"/>
        <w:left w:val="none" w:sz="0" w:space="0" w:color="auto"/>
        <w:bottom w:val="none" w:sz="0" w:space="0" w:color="auto"/>
        <w:right w:val="none" w:sz="0" w:space="0" w:color="auto"/>
      </w:divBdr>
    </w:div>
    <w:div w:id="695930072">
      <w:bodyDiv w:val="1"/>
      <w:marLeft w:val="0"/>
      <w:marRight w:val="0"/>
      <w:marTop w:val="0"/>
      <w:marBottom w:val="0"/>
      <w:divBdr>
        <w:top w:val="none" w:sz="0" w:space="0" w:color="auto"/>
        <w:left w:val="none" w:sz="0" w:space="0" w:color="auto"/>
        <w:bottom w:val="none" w:sz="0" w:space="0" w:color="auto"/>
        <w:right w:val="none" w:sz="0" w:space="0" w:color="auto"/>
      </w:divBdr>
    </w:div>
    <w:div w:id="915940571">
      <w:bodyDiv w:val="1"/>
      <w:marLeft w:val="0"/>
      <w:marRight w:val="0"/>
      <w:marTop w:val="0"/>
      <w:marBottom w:val="0"/>
      <w:divBdr>
        <w:top w:val="none" w:sz="0" w:space="0" w:color="auto"/>
        <w:left w:val="none" w:sz="0" w:space="0" w:color="auto"/>
        <w:bottom w:val="none" w:sz="0" w:space="0" w:color="auto"/>
        <w:right w:val="none" w:sz="0" w:space="0" w:color="auto"/>
      </w:divBdr>
    </w:div>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218082174">
      <w:bodyDiv w:val="1"/>
      <w:marLeft w:val="0"/>
      <w:marRight w:val="0"/>
      <w:marTop w:val="0"/>
      <w:marBottom w:val="0"/>
      <w:divBdr>
        <w:top w:val="none" w:sz="0" w:space="0" w:color="auto"/>
        <w:left w:val="none" w:sz="0" w:space="0" w:color="auto"/>
        <w:bottom w:val="none" w:sz="0" w:space="0" w:color="auto"/>
        <w:right w:val="none" w:sz="0" w:space="0" w:color="auto"/>
      </w:divBdr>
    </w:div>
    <w:div w:id="1363020990">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 w:id="1852572534">
      <w:bodyDiv w:val="1"/>
      <w:marLeft w:val="0"/>
      <w:marRight w:val="0"/>
      <w:marTop w:val="0"/>
      <w:marBottom w:val="0"/>
      <w:divBdr>
        <w:top w:val="none" w:sz="0" w:space="0" w:color="auto"/>
        <w:left w:val="none" w:sz="0" w:space="0" w:color="auto"/>
        <w:bottom w:val="none" w:sz="0" w:space="0" w:color="auto"/>
        <w:right w:val="none" w:sz="0" w:space="0" w:color="auto"/>
      </w:divBdr>
    </w:div>
    <w:div w:id="1859736344">
      <w:bodyDiv w:val="1"/>
      <w:marLeft w:val="0"/>
      <w:marRight w:val="0"/>
      <w:marTop w:val="0"/>
      <w:marBottom w:val="0"/>
      <w:divBdr>
        <w:top w:val="none" w:sz="0" w:space="0" w:color="auto"/>
        <w:left w:val="none" w:sz="0" w:space="0" w:color="auto"/>
        <w:bottom w:val="none" w:sz="0" w:space="0" w:color="auto"/>
        <w:right w:val="none" w:sz="0" w:space="0" w:color="auto"/>
      </w:divBdr>
    </w:div>
    <w:div w:id="2086561489">
      <w:bodyDiv w:val="1"/>
      <w:marLeft w:val="0"/>
      <w:marRight w:val="0"/>
      <w:marTop w:val="0"/>
      <w:marBottom w:val="0"/>
      <w:divBdr>
        <w:top w:val="none" w:sz="0" w:space="0" w:color="auto"/>
        <w:left w:val="none" w:sz="0" w:space="0" w:color="auto"/>
        <w:bottom w:val="none" w:sz="0" w:space="0" w:color="auto"/>
        <w:right w:val="none" w:sz="0" w:space="0" w:color="auto"/>
      </w:divBdr>
    </w:div>
    <w:div w:id="21108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Modal(2)" TargetMode="External"/><Relationship Id="rId18" Type="http://schemas.openxmlformats.org/officeDocument/2006/relationships/hyperlink" Target="javascript:abrirAcuse(298536);" TargetMode="External"/><Relationship Id="rId26" Type="http://schemas.openxmlformats.org/officeDocument/2006/relationships/hyperlink" Target="javascript:abrirAcuse(298242);" TargetMode="External"/><Relationship Id="rId3" Type="http://schemas.openxmlformats.org/officeDocument/2006/relationships/settings" Target="settings.xml"/><Relationship Id="rId21" Type="http://schemas.openxmlformats.org/officeDocument/2006/relationships/hyperlink" Target="javascript:abrirAcuse(298242);" TargetMode="External"/><Relationship Id="rId34" Type="http://schemas.openxmlformats.org/officeDocument/2006/relationships/theme" Target="theme/theme1.xml"/><Relationship Id="rId7" Type="http://schemas.openxmlformats.org/officeDocument/2006/relationships/hyperlink" Target="javascript:abrirAcuse(298242);" TargetMode="External"/><Relationship Id="rId12" Type="http://schemas.openxmlformats.org/officeDocument/2006/relationships/hyperlink" Target="javascript:AbrirModal(1)" TargetMode="External"/><Relationship Id="rId17" Type="http://schemas.openxmlformats.org/officeDocument/2006/relationships/hyperlink" Target="javascript:abrirAcuse(298242);" TargetMode="External"/><Relationship Id="rId25" Type="http://schemas.openxmlformats.org/officeDocument/2006/relationships/hyperlink" Target="javascript:abrirAcuse(29824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abrirAcuse(298242);" TargetMode="External"/><Relationship Id="rId20" Type="http://schemas.openxmlformats.org/officeDocument/2006/relationships/hyperlink" Target="javascript:abrirAcuse(29824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298536);" TargetMode="External"/><Relationship Id="rId24" Type="http://schemas.openxmlformats.org/officeDocument/2006/relationships/hyperlink" Target="javascript:abrirAcuse(29824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abrirAcuse(298242);" TargetMode="External"/><Relationship Id="rId23" Type="http://schemas.openxmlformats.org/officeDocument/2006/relationships/hyperlink" Target="javascript:abrirAcuse(298536);" TargetMode="External"/><Relationship Id="rId28" Type="http://schemas.openxmlformats.org/officeDocument/2006/relationships/hyperlink" Target="javascript:abrirAcuse(298536);" TargetMode="External"/><Relationship Id="rId10" Type="http://schemas.openxmlformats.org/officeDocument/2006/relationships/hyperlink" Target="javascript:abrirAcuse(298242);" TargetMode="External"/><Relationship Id="rId19" Type="http://schemas.openxmlformats.org/officeDocument/2006/relationships/hyperlink" Target="javascript:abrirAcuse(29824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avascript:abrirAcuse(298242);" TargetMode="External"/><Relationship Id="rId14" Type="http://schemas.openxmlformats.org/officeDocument/2006/relationships/hyperlink" Target="javascript:abrirAcuse(298242);" TargetMode="External"/><Relationship Id="rId22" Type="http://schemas.openxmlformats.org/officeDocument/2006/relationships/hyperlink" Target="javascript:abrirAcuse(298242);" TargetMode="External"/><Relationship Id="rId27" Type="http://schemas.openxmlformats.org/officeDocument/2006/relationships/hyperlink" Target="javascript:abrirAcuse(298242);" TargetMode="External"/><Relationship Id="rId30" Type="http://schemas.openxmlformats.org/officeDocument/2006/relationships/footer" Target="footer1.xml"/><Relationship Id="rId8" Type="http://schemas.openxmlformats.org/officeDocument/2006/relationships/hyperlink" Target="javascript:abrirAcuse(2982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24</Pages>
  <Words>6178</Words>
  <Characters>33983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48</cp:revision>
  <cp:lastPrinted>2020-01-30T19:56:00Z</cp:lastPrinted>
  <dcterms:created xsi:type="dcterms:W3CDTF">2020-01-17T01:12:00Z</dcterms:created>
  <dcterms:modified xsi:type="dcterms:W3CDTF">2020-04-23T06:58:00Z</dcterms:modified>
</cp:coreProperties>
</file>