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0A06C" w14:textId="7DE8ACAC"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43455B">
        <w:rPr>
          <w:rFonts w:ascii="Palatino Linotype" w:eastAsia="Times New Roman" w:hAnsi="Palatino Linotype" w:cs="Arial"/>
          <w:color w:val="000000"/>
          <w:sz w:val="24"/>
          <w:szCs w:val="24"/>
          <w:lang w:eastAsia="es-MX"/>
        </w:rPr>
        <w:t>veintiséis</w:t>
      </w:r>
      <w:r w:rsidR="00415FD8" w:rsidRPr="0043455B">
        <w:rPr>
          <w:rFonts w:ascii="Palatino Linotype" w:eastAsia="Times New Roman" w:hAnsi="Palatino Linotype" w:cs="Arial"/>
          <w:color w:val="000000"/>
          <w:sz w:val="24"/>
          <w:szCs w:val="24"/>
          <w:lang w:eastAsia="es-MX"/>
        </w:rPr>
        <w:t xml:space="preserve"> de febrero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0AD59922"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43455B" w:rsidRPr="0043455B">
        <w:rPr>
          <w:rFonts w:ascii="Palatino Linotype" w:hAnsi="Palatino Linotype" w:cs="Arial"/>
          <w:b/>
          <w:bCs/>
          <w:sz w:val="24"/>
          <w:lang w:eastAsia="es-MX"/>
        </w:rPr>
        <w:t>09600/INFOEM/IP/RR/2019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415FD8">
        <w:rPr>
          <w:rFonts w:ascii="Palatino Linotype" w:hAnsi="Palatino Linotype" w:cs="Arial"/>
          <w:b/>
          <w:sz w:val="24"/>
          <w:szCs w:val="24"/>
        </w:rPr>
        <w:t xml:space="preserve">                 </w:t>
      </w:r>
      <w:proofErr w:type="gramStart"/>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proofErr w:type="gramEnd"/>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43455B" w:rsidRPr="0043455B">
        <w:rPr>
          <w:rFonts w:ascii="Palatino Linotype" w:hAnsi="Palatino Linotype" w:cs="Arial"/>
          <w:b/>
          <w:sz w:val="24"/>
          <w:szCs w:val="24"/>
        </w:rPr>
        <w:t>Ayuntamiento de Capulhuac</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52A6A79E"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43455B">
        <w:rPr>
          <w:rFonts w:ascii="Palatino Linotype" w:hAnsi="Palatino Linotype" w:cs="Arial"/>
          <w:sz w:val="24"/>
        </w:rPr>
        <w:t>veinte</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43455B" w:rsidRPr="0043455B">
        <w:rPr>
          <w:rFonts w:ascii="Palatino Linotype" w:hAnsi="Palatino Linotype" w:cs="Arial"/>
          <w:b/>
          <w:sz w:val="24"/>
        </w:rPr>
        <w:t>00464/CAPULHUA/IP/2019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33101DF8"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43455B" w:rsidRPr="0043455B">
        <w:rPr>
          <w:rFonts w:ascii="Palatino Linotype" w:hAnsi="Palatino Linotype"/>
          <w:i/>
          <w:color w:val="000000"/>
        </w:rPr>
        <w:t>Solicito la bitácora de los vehículos asignados a la Dirección de Seguridad y Tránsito.</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0C5A7E1A"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w:t>
      </w:r>
      <w:r w:rsidRPr="00584718">
        <w:rPr>
          <w:rFonts w:ascii="Palatino Linotype" w:hAnsi="Palatino Linotype" w:cs="Arial"/>
          <w:sz w:val="24"/>
          <w:szCs w:val="24"/>
        </w:rPr>
        <w:lastRenderedPageBreak/>
        <w:t xml:space="preserve">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15FBDB" w14:textId="3D007330" w:rsidR="00415FD8" w:rsidRPr="0043455B" w:rsidRDefault="0043455B" w:rsidP="0043455B">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0464" behindDoc="0" locked="0" layoutInCell="1" allowOverlap="1" wp14:anchorId="27BB2F17" wp14:editId="75B2832A">
                <wp:simplePos x="0" y="0"/>
                <wp:positionH relativeFrom="column">
                  <wp:posOffset>68000</wp:posOffset>
                </wp:positionH>
                <wp:positionV relativeFrom="paragraph">
                  <wp:posOffset>591157</wp:posOffset>
                </wp:positionV>
                <wp:extent cx="5550010" cy="458029"/>
                <wp:effectExtent l="19050" t="19050" r="12700" b="18415"/>
                <wp:wrapNone/>
                <wp:docPr id="13" name="Rectángulo 13"/>
                <wp:cNvGraphicFramePr/>
                <a:graphic xmlns:a="http://schemas.openxmlformats.org/drawingml/2006/main">
                  <a:graphicData uri="http://schemas.microsoft.com/office/word/2010/wordprocessingShape">
                    <wps:wsp>
                      <wps:cNvSpPr/>
                      <wps:spPr>
                        <a:xfrm>
                          <a:off x="0" y="0"/>
                          <a:ext cx="5550010" cy="45802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1C9171" id="Rectángulo 13" o:spid="_x0000_s1026" style="position:absolute;margin-left:5.35pt;margin-top:46.55pt;width:437pt;height:36.0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" filled="f" strokecolor="red" strokeweight="2.25pt"/>
            </w:pict>
          </mc:Fallback>
        </mc:AlternateContent>
      </w:r>
      <w:r w:rsidRPr="0043455B">
        <w:rPr>
          <w:rFonts w:ascii="Palatino Linotype" w:hAnsi="Palatino Linotype" w:cs="Arial"/>
          <w:noProof/>
          <w:sz w:val="24"/>
          <w:szCs w:val="24"/>
        </w:rPr>
        <w:drawing>
          <wp:inline distT="0" distB="0" distL="0" distR="0" wp14:anchorId="74FBC39F" wp14:editId="1B4C8359">
            <wp:extent cx="5760720" cy="2133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33600"/>
                    </a:xfrm>
                    <a:prstGeom prst="rect">
                      <a:avLst/>
                    </a:prstGeom>
                  </pic:spPr>
                </pic:pic>
              </a:graphicData>
            </a:graphic>
          </wp:inline>
        </w:drawing>
      </w: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5BF231A2"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43455B">
        <w:rPr>
          <w:rFonts w:ascii="Palatino Linotype" w:hAnsi="Palatino Linotype" w:cs="Arial"/>
          <w:sz w:val="24"/>
          <w:szCs w:val="24"/>
        </w:rPr>
        <w:t>doce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43455B" w:rsidRPr="0043455B">
        <w:rPr>
          <w:rFonts w:ascii="Palatino Linotype" w:hAnsi="Palatino Linotype" w:cs="Arial"/>
          <w:b/>
          <w:sz w:val="24"/>
          <w:szCs w:val="24"/>
        </w:rPr>
        <w:t>09600/INFOEM/IP/RR/2019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627801AA"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43455B" w:rsidRPr="0043455B">
        <w:rPr>
          <w:rFonts w:ascii="Palatino Linotype" w:hAnsi="Palatino Linotype" w:cs="Arial"/>
          <w:i/>
        </w:rPr>
        <w:t>falta de respuesta a la solicitud</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766AC7F0"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43455B" w:rsidRPr="0043455B">
        <w:rPr>
          <w:rFonts w:ascii="Palatino Linotype" w:hAnsi="Palatino Linotype"/>
          <w:i/>
          <w:color w:val="000000"/>
        </w:rPr>
        <w:t>NO DIERON RESPUESTA A LA SOLICITUD DE ACCESO A LA INFORMACIÓN</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4DD506E1"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43455B">
        <w:rPr>
          <w:rFonts w:ascii="Palatino Linotype" w:hAnsi="Palatino Linotype" w:cs="Arial"/>
          <w:sz w:val="24"/>
          <w:szCs w:val="24"/>
        </w:rPr>
        <w:t>dieciocho de diciembre de dos mil diecinueve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0C4FB3C4"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68B014E2" w14:textId="77777777" w:rsidR="0043455B" w:rsidRDefault="0043455B" w:rsidP="00415FD8">
      <w:pPr>
        <w:spacing w:after="0" w:line="360" w:lineRule="auto"/>
        <w:jc w:val="both"/>
        <w:rPr>
          <w:rFonts w:ascii="Palatino Linotype" w:hAnsi="Palatino Linotype" w:cs="Arial"/>
          <w:sz w:val="24"/>
          <w:szCs w:val="24"/>
        </w:rPr>
      </w:pPr>
    </w:p>
    <w:p w14:paraId="659B4D34" w14:textId="75039F05" w:rsidR="00727C0F" w:rsidRDefault="0043455B" w:rsidP="00415FD8">
      <w:pPr>
        <w:spacing w:after="0" w:line="360" w:lineRule="auto"/>
        <w:jc w:val="both"/>
        <w:rPr>
          <w:rFonts w:ascii="Palatino Linotype" w:hAnsi="Palatino Linotype" w:cs="Arial"/>
          <w:sz w:val="24"/>
          <w:szCs w:val="24"/>
        </w:rPr>
      </w:pPr>
      <w:r w:rsidRPr="0043455B">
        <w:rPr>
          <w:rFonts w:ascii="Palatino Linotype" w:hAnsi="Palatino Linotype" w:cs="Arial"/>
          <w:noProof/>
          <w:sz w:val="24"/>
          <w:szCs w:val="24"/>
        </w:rPr>
        <w:drawing>
          <wp:inline distT="0" distB="0" distL="0" distR="0" wp14:anchorId="0128540C" wp14:editId="55E6A4DE">
            <wp:extent cx="5760720" cy="16421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42110"/>
                    </a:xfrm>
                    <a:prstGeom prst="rect">
                      <a:avLst/>
                    </a:prstGeom>
                  </pic:spPr>
                </pic:pic>
              </a:graphicData>
            </a:graphic>
          </wp:inline>
        </w:drawing>
      </w: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2836F5D1"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43455B">
        <w:rPr>
          <w:rFonts w:ascii="Palatino Linotype" w:hAnsi="Palatino Linotype" w:cs="Arial"/>
          <w:sz w:val="24"/>
          <w:szCs w:val="24"/>
        </w:rPr>
        <w:t>veintiocho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0B705B52"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De la interpretación al precepto legal inserto, se advierte que el plazo que les asiste a los Sujetos Obligados para notificar la respuesta a una solicitud de información </w:t>
      </w:r>
      <w:proofErr w:type="gramStart"/>
      <w:r w:rsidRPr="00584718">
        <w:rPr>
          <w:rFonts w:ascii="Palatino Linotype" w:hAnsi="Palatino Linotype" w:cs="Arial"/>
          <w:sz w:val="24"/>
          <w:szCs w:val="24"/>
        </w:rPr>
        <w:t>pública,</w:t>
      </w:r>
      <w:proofErr w:type="gramEnd"/>
      <w:r w:rsidRPr="00584718">
        <w:rPr>
          <w:rFonts w:ascii="Palatino Linotype" w:hAnsi="Palatino Linotype" w:cs="Arial"/>
          <w:sz w:val="24"/>
          <w:szCs w:val="24"/>
        </w:rPr>
        <w:t xml:space="preserve">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w:t>
      </w:r>
      <w:proofErr w:type="gramStart"/>
      <w:r w:rsidRPr="00161CEB">
        <w:rPr>
          <w:rFonts w:ascii="Palatino Linotype" w:eastAsia="Calibri" w:hAnsi="Palatino Linotype" w:cs="Times New Roman"/>
          <w:sz w:val="24"/>
          <w:szCs w:val="24"/>
          <w:lang w:val="es-ES" w:eastAsia="es-ES"/>
        </w:rPr>
        <w:t>obstante</w:t>
      </w:r>
      <w:proofErr w:type="gramEnd"/>
      <w:r w:rsidRPr="00161CEB">
        <w:rPr>
          <w:rFonts w:ascii="Palatino Linotype" w:eastAsia="Calibri" w:hAnsi="Palatino Linotype" w:cs="Times New Roman"/>
          <w:sz w:val="24"/>
          <w:szCs w:val="24"/>
          <w:lang w:val="es-ES" w:eastAsia="es-ES"/>
        </w:rPr>
        <w:t xml:space="preserve"> lo anterior, no proporcionar el nombre no 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61CEB">
        <w:rPr>
          <w:rFonts w:ascii="Palatino Linotype" w:eastAsia="Calibri" w:hAnsi="Palatino Linotype" w:cs="Arial"/>
          <w:i/>
          <w:lang w:val="es-ES" w:eastAsia="es-ES"/>
        </w:rPr>
        <w:lastRenderedPageBreak/>
        <w:t>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proofErr w:type="gramStart"/>
      <w:r w:rsidRPr="00161CEB">
        <w:rPr>
          <w:rFonts w:ascii="Palatino Linotype" w:eastAsia="Calibri" w:hAnsi="Palatino Linotype" w:cs="Times New Roman"/>
          <w:i/>
          <w:lang w:val="es-ES" w:eastAsia="es-ES"/>
        </w:rPr>
        <w:t>°.-</w:t>
      </w:r>
      <w:proofErr w:type="gramEnd"/>
      <w:r w:rsidRPr="00161CEB">
        <w:rPr>
          <w:rFonts w:ascii="Palatino Linotype" w:eastAsia="Calibri"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161CEB">
        <w:rPr>
          <w:rFonts w:ascii="Palatino Linotype" w:eastAsia="Calibri" w:hAnsi="Palatino Linotype" w:cs="Times New Roman"/>
          <w:i/>
          <w:lang w:val="es-ES"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Toda persona en el Estado de </w:t>
      </w:r>
      <w:proofErr w:type="gramStart"/>
      <w:r w:rsidRPr="00161CEB">
        <w:rPr>
          <w:rFonts w:ascii="Palatino Linotype" w:eastAsia="Calibri" w:hAnsi="Palatino Linotype" w:cs="Times New Roman"/>
          <w:i/>
          <w:lang w:val="es-ES" w:eastAsia="es-ES"/>
        </w:rPr>
        <w:t>México,</w:t>
      </w:r>
      <w:proofErr w:type="gramEnd"/>
      <w:r w:rsidRPr="00161CEB">
        <w:rPr>
          <w:rFonts w:ascii="Palatino Linotype" w:eastAsia="Calibri"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lastRenderedPageBreak/>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lastRenderedPageBreak/>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161CEB">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lastRenderedPageBreak/>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584718">
        <w:rPr>
          <w:rFonts w:ascii="Palatino Linotype" w:eastAsia="Times New Roman" w:hAnsi="Palatino Linotype" w:cs="Times New Roman"/>
          <w:i/>
          <w:lang w:eastAsia="es-ES"/>
        </w:rPr>
        <w:t>la misma</w:t>
      </w:r>
      <w:proofErr w:type="gramEnd"/>
      <w:r w:rsidRPr="00584718">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roofErr w:type="gramStart"/>
      <w:r w:rsidRPr="00584718">
        <w:rPr>
          <w:rFonts w:ascii="Palatino Linotype" w:eastAsia="Times New Roman" w:hAnsi="Palatino Linotype" w:cs="Times New Roman"/>
          <w:i/>
          <w:lang w:eastAsia="es-ES"/>
        </w:rPr>
        <w:t>En caso que</w:t>
      </w:r>
      <w:proofErr w:type="gramEnd"/>
      <w:r w:rsidRPr="00584718">
        <w:rPr>
          <w:rFonts w:ascii="Palatino Linotype" w:eastAsia="Times New Roman" w:hAnsi="Palatino Linotype" w:cs="Times New Roman"/>
          <w:i/>
          <w:lang w:eastAsia="es-ES"/>
        </w:rPr>
        <w:t xml:space="preserv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sidRPr="00584718">
        <w:rPr>
          <w:rFonts w:ascii="Palatino Linotype" w:eastAsia="Times New Roman" w:hAnsi="Palatino Linotype" w:cs="Times New Roman"/>
          <w:sz w:val="24"/>
          <w:szCs w:val="24"/>
          <w:lang w:eastAsia="es-ES"/>
        </w:rPr>
        <w:t>administren</w:t>
      </w:r>
      <w:proofErr w:type="gramEnd"/>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 xml:space="preserve">La obligación de acceso a la información pública se tendrá por cumplida cuando el solicitante tenga a su disposición la información requerida, o cuando realice la consulta de </w:t>
      </w:r>
      <w:proofErr w:type="gramStart"/>
      <w:r w:rsidRPr="00584718">
        <w:rPr>
          <w:rFonts w:ascii="Palatino Linotype" w:eastAsia="Times New Roman" w:hAnsi="Palatino Linotype" w:cs="Arial"/>
          <w:b/>
          <w:i/>
          <w:u w:val="single"/>
          <w:lang w:eastAsia="es-ES"/>
        </w:rPr>
        <w:t>la misma</w:t>
      </w:r>
      <w:proofErr w:type="gramEnd"/>
      <w:r w:rsidRPr="00584718">
        <w:rPr>
          <w:rFonts w:ascii="Palatino Linotype" w:eastAsia="Times New Roman" w:hAnsi="Palatino Linotype" w:cs="Arial"/>
          <w:b/>
          <w:i/>
          <w:u w:val="single"/>
          <w:lang w:eastAsia="es-ES"/>
        </w:rPr>
        <w:t xml:space="preserve">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 xml:space="preserve">Para el cumplimiento de los objetivos de esta Ley, los sujetos obligados deberán cumplir con las siguientes obligaciones, según corresponda, </w:t>
      </w:r>
      <w:proofErr w:type="gramStart"/>
      <w:r w:rsidRPr="00584718">
        <w:rPr>
          <w:rFonts w:ascii="Palatino Linotype" w:eastAsia="Times New Roman" w:hAnsi="Palatino Linotype" w:cs="Times New Roman"/>
          <w:i/>
          <w:lang w:eastAsia="es-ES"/>
        </w:rPr>
        <w:t>de acuerdo a</w:t>
      </w:r>
      <w:proofErr w:type="gramEnd"/>
      <w:r w:rsidRPr="00584718">
        <w:rPr>
          <w:rFonts w:ascii="Palatino Linotype" w:eastAsia="Times New Roman" w:hAnsi="Palatino Linotype" w:cs="Times New Roman"/>
          <w:i/>
          <w:lang w:eastAsia="es-ES"/>
        </w:rPr>
        <w:t xml:space="preserve">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5F352B19"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w:t>
      </w:r>
      <w:r w:rsidR="00720D9F" w:rsidRPr="00584718">
        <w:rPr>
          <w:rFonts w:ascii="Palatino Linotype" w:hAnsi="Palatino Linotype"/>
          <w:sz w:val="24"/>
          <w:szCs w:val="24"/>
        </w:rPr>
        <w:t xml:space="preserve">información </w:t>
      </w:r>
      <w:r w:rsidR="00720D9F" w:rsidRPr="0049322E">
        <w:rPr>
          <w:rFonts w:ascii="Palatino Linotype" w:hAnsi="Palatino Linotype"/>
          <w:b/>
          <w:sz w:val="24"/>
          <w:szCs w:val="24"/>
        </w:rPr>
        <w:t>00464</w:t>
      </w:r>
      <w:r w:rsidR="00720D9F" w:rsidRPr="00720D9F">
        <w:rPr>
          <w:rFonts w:ascii="Palatino Linotype" w:hAnsi="Palatino Linotype"/>
          <w:b/>
          <w:sz w:val="24"/>
          <w:szCs w:val="24"/>
        </w:rPr>
        <w:t>/CAPULHUA/IP/2019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12A3C4BB" w:rsidR="00604860" w:rsidRPr="0049322E" w:rsidRDefault="005A0F33" w:rsidP="0049322E">
      <w:pPr>
        <w:jc w:val="both"/>
        <w:rPr>
          <w:rFonts w:ascii="Palatino Linotype" w:hAnsi="Palatino Linotype" w:cs="Arial"/>
          <w:b/>
          <w:bCs/>
          <w:i/>
          <w:color w:val="000000"/>
          <w:sz w:val="24"/>
          <w:szCs w:val="24"/>
          <w:u w:val="single"/>
        </w:rPr>
      </w:pPr>
      <w:r w:rsidRPr="0049322E">
        <w:rPr>
          <w:rFonts w:ascii="Palatino Linotype" w:hAnsi="Palatino Linotype"/>
          <w:sz w:val="24"/>
          <w:szCs w:val="24"/>
          <w:u w:val="single"/>
        </w:rPr>
        <w:t>“</w:t>
      </w:r>
      <w:r w:rsidR="00720D9F" w:rsidRPr="00720D9F">
        <w:rPr>
          <w:rFonts w:ascii="Palatino Linotype" w:hAnsi="Palatino Linotype"/>
          <w:b/>
          <w:i/>
          <w:sz w:val="24"/>
          <w:szCs w:val="24"/>
          <w:u w:val="single"/>
        </w:rPr>
        <w:t>Solicito la bitácora de los vehículos asignados a la Dirección de Seguridad y Tránsito.</w:t>
      </w:r>
      <w:r w:rsidRPr="0049322E">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lastRenderedPageBreak/>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 xml:space="preserve">los artículos, 7 y 23, fracción IV, de la Ley de Transparencia y Acceso a la Información Pública del Estado </w:t>
      </w:r>
      <w:r w:rsidRPr="00584718">
        <w:rPr>
          <w:rFonts w:ascii="Palatino Linotype" w:hAnsi="Palatino Linotype" w:cs="Arial"/>
        </w:rPr>
        <w:lastRenderedPageBreak/>
        <w:t>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69B10A69" w:rsidR="00893282" w:rsidRDefault="00893282" w:rsidP="00893282">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7E95727" w14:textId="77777777" w:rsidR="00E72465" w:rsidRPr="00CE48BA" w:rsidRDefault="00E72465" w:rsidP="00893282">
      <w:pPr>
        <w:spacing w:after="0" w:line="360" w:lineRule="auto"/>
        <w:contextualSpacing/>
        <w:jc w:val="both"/>
        <w:rPr>
          <w:rFonts w:ascii="Palatino Linotype" w:eastAsia="MS Mincho" w:hAnsi="Palatino Linotype" w:cs="Arial"/>
          <w:i/>
          <w:sz w:val="24"/>
          <w:szCs w:val="24"/>
          <w:lang w:eastAsia="es-ES"/>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0E1F60F0"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00E72465">
        <w:rPr>
          <w:rFonts w:ascii="Palatino Linotype" w:hAnsi="Palatino Linotype" w:cs="Arial"/>
          <w:b/>
        </w:rPr>
        <w:t>S</w:t>
      </w:r>
      <w:r w:rsidRPr="00296F63">
        <w:rPr>
          <w:rFonts w:ascii="Palatino Linotype" w:hAnsi="Palatino Linotype" w:cs="Arial"/>
          <w:b/>
        </w:rPr>
        <w:t xml:space="preserve">ujeto </w:t>
      </w:r>
      <w:r w:rsidR="00E72465">
        <w:rPr>
          <w:rFonts w:ascii="Palatino Linotype" w:hAnsi="Palatino Linotype" w:cs="Arial"/>
          <w:b/>
        </w:rPr>
        <w:t>O</w:t>
      </w:r>
      <w:r w:rsidRPr="00296F63">
        <w:rPr>
          <w:rFonts w:ascii="Palatino Linotype" w:hAnsi="Palatino Linotype" w:cs="Arial"/>
          <w:b/>
        </w:rPr>
        <w:t>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w:t>
      </w:r>
      <w:r>
        <w:rPr>
          <w:rFonts w:ascii="Palatino Linotype" w:eastAsia="Calibri" w:hAnsi="Palatino Linotype"/>
        </w:rPr>
        <w:lastRenderedPageBreak/>
        <w:t xml:space="preserve">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w:t>
      </w:r>
      <w:proofErr w:type="gramStart"/>
      <w:r>
        <w:rPr>
          <w:rFonts w:ascii="Palatino Linotype" w:hAnsi="Palatino Linotype" w:cs="Arial"/>
        </w:rPr>
        <w:t>que</w:t>
      </w:r>
      <w:proofErr w:type="gramEnd"/>
      <w:r>
        <w:rPr>
          <w:rFonts w:ascii="Palatino Linotype" w:hAnsi="Palatino Linotype" w:cs="Arial"/>
        </w:rPr>
        <w:t xml:space="preserv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A1C0F" w14:textId="5DD34968" w:rsidR="00E72465" w:rsidRDefault="00E72465" w:rsidP="00893282">
      <w:pPr>
        <w:pStyle w:val="Prrafodelista"/>
        <w:autoSpaceDE w:val="0"/>
        <w:autoSpaceDN w:val="0"/>
        <w:adjustRightInd w:val="0"/>
        <w:spacing w:line="360" w:lineRule="auto"/>
        <w:ind w:left="0"/>
        <w:jc w:val="both"/>
        <w:rPr>
          <w:rFonts w:ascii="Palatino Linotype" w:hAnsi="Palatino Linotype" w:cs="Arial"/>
        </w:rPr>
      </w:pPr>
    </w:p>
    <w:p w14:paraId="6C178BCF" w14:textId="40A09605" w:rsidR="00E72465" w:rsidRPr="00E72465" w:rsidRDefault="00E72465" w:rsidP="00470272">
      <w:pPr>
        <w:spacing w:after="0" w:line="360" w:lineRule="auto"/>
        <w:jc w:val="both"/>
        <w:rPr>
          <w:rFonts w:ascii="Palatino Linotype" w:eastAsia="Calibri" w:hAnsi="Palatino Linotype" w:cs="Arial"/>
          <w:sz w:val="24"/>
          <w:szCs w:val="24"/>
        </w:rPr>
      </w:pPr>
      <w:r w:rsidRPr="00E72465">
        <w:rPr>
          <w:rFonts w:ascii="Palatino Linotype" w:eastAsia="Calibri" w:hAnsi="Palatino Linotype" w:cs="Arial"/>
          <w:sz w:val="24"/>
          <w:szCs w:val="24"/>
        </w:rPr>
        <w:t xml:space="preserve">Ahora bien, </w:t>
      </w:r>
      <w:r w:rsidR="00470272">
        <w:rPr>
          <w:rFonts w:ascii="Palatino Linotype" w:eastAsia="Times New Roman" w:hAnsi="Palatino Linotype" w:cs="Times New Roman"/>
          <w:sz w:val="24"/>
          <w:szCs w:val="24"/>
          <w:lang w:val="es-ES" w:eastAsia="es-ES"/>
        </w:rPr>
        <w:t>en relación a la información solicitada</w:t>
      </w:r>
      <w:r w:rsidRPr="00E72465">
        <w:rPr>
          <w:rFonts w:ascii="Palatino Linotype" w:eastAsia="Times New Roman" w:hAnsi="Palatino Linotype" w:cs="Times New Roman"/>
          <w:sz w:val="24"/>
          <w:szCs w:val="24"/>
          <w:lang w:eastAsia="es-ES"/>
        </w:rPr>
        <w:t>,</w:t>
      </w:r>
      <w:r w:rsidRPr="00E72465">
        <w:rPr>
          <w:rFonts w:ascii="Palatino Linotype" w:eastAsia="Times New Roman" w:hAnsi="Palatino Linotype" w:cs="Times New Roman"/>
          <w:sz w:val="24"/>
          <w:szCs w:val="24"/>
          <w:lang w:val="es-ES" w:eastAsia="es-ES"/>
        </w:rPr>
        <w:t xml:space="preserve"> es menester señalar </w:t>
      </w:r>
      <w:r w:rsidR="00470272">
        <w:rPr>
          <w:rFonts w:ascii="Palatino Linotype" w:eastAsia="Times New Roman" w:hAnsi="Palatino Linotype" w:cs="Times New Roman"/>
          <w:sz w:val="24"/>
          <w:szCs w:val="24"/>
          <w:lang w:val="es-ES" w:eastAsia="es-ES"/>
        </w:rPr>
        <w:t xml:space="preserve">que, si bien es cierto, </w:t>
      </w:r>
      <w:r w:rsidR="00470272" w:rsidRPr="00470272">
        <w:rPr>
          <w:rFonts w:ascii="Palatino Linotype" w:eastAsia="Times New Roman" w:hAnsi="Palatino Linotype" w:cs="Times New Roman"/>
          <w:sz w:val="24"/>
          <w:szCs w:val="24"/>
          <w:lang w:val="es-ES" w:eastAsia="es-ES"/>
        </w:rPr>
        <w:t xml:space="preserve">la información generada, poseída o administrada por los sujetos obligados en ejercicio de sus facultades, funciones y competencias tiene el carácter de pública, también lo es, que las obligaciones en materia de transparencia y rendición de cuentas </w:t>
      </w:r>
      <w:r w:rsidR="00470272" w:rsidRPr="00470272">
        <w:rPr>
          <w:rFonts w:ascii="Palatino Linotype" w:eastAsia="Times New Roman" w:hAnsi="Palatino Linotype" w:cs="Times New Roman"/>
          <w:sz w:val="24"/>
          <w:szCs w:val="24"/>
          <w:lang w:val="es-ES" w:eastAsia="es-ES"/>
        </w:rPr>
        <w:lastRenderedPageBreak/>
        <w:t xml:space="preserve">a cargo de las Instituciones de Seguridad Pública reciben un tratamiento distinto, </w:t>
      </w:r>
      <w:r w:rsidR="00470272">
        <w:rPr>
          <w:rFonts w:ascii="Palatino Linotype" w:eastAsia="Times New Roman" w:hAnsi="Palatino Linotype" w:cs="Times New Roman"/>
          <w:sz w:val="24"/>
          <w:szCs w:val="24"/>
          <w:lang w:val="es-ES" w:eastAsia="es-ES"/>
        </w:rPr>
        <w:t>intento a ello</w:t>
      </w:r>
      <w:r w:rsidR="00470272">
        <w:rPr>
          <w:rFonts w:ascii="Palatino Linotype" w:eastAsia="Calibri" w:hAnsi="Palatino Linotype" w:cs="Arial"/>
          <w:sz w:val="24"/>
          <w:szCs w:val="24"/>
        </w:rPr>
        <w:t>, se deben atender</w:t>
      </w:r>
      <w:r w:rsidRPr="00E72465">
        <w:rPr>
          <w:rFonts w:ascii="Palatino Linotype" w:eastAsia="Times New Roman" w:hAnsi="Palatino Linotype" w:cs="Times New Roman"/>
          <w:sz w:val="24"/>
          <w:szCs w:val="24"/>
          <w:lang w:val="es-ES" w:eastAsia="es-ES"/>
        </w:rPr>
        <w:t xml:space="preserve"> las causales de reserva previstas en los artículos 137, 140, fracciones I y IV, 141 de la Ley de Transparencia y Acceso a la Información Pública del Estado de México y Municipios, normatividad invocada cuyo contenido literal es el siguiente: </w:t>
      </w:r>
    </w:p>
    <w:p w14:paraId="5E5B811A" w14:textId="77777777" w:rsidR="00E72465" w:rsidRPr="00E72465" w:rsidRDefault="00E72465" w:rsidP="00E72465">
      <w:pPr>
        <w:autoSpaceDE w:val="0"/>
        <w:autoSpaceDN w:val="0"/>
        <w:adjustRightInd w:val="0"/>
        <w:spacing w:before="240" w:line="360" w:lineRule="auto"/>
        <w:ind w:left="851" w:right="851"/>
        <w:jc w:val="both"/>
        <w:rPr>
          <w:rFonts w:ascii="Palatino Linotype" w:eastAsia="Times New Roman" w:hAnsi="Palatino Linotype" w:cs="Times New Roman"/>
          <w:b/>
          <w:i/>
          <w:u w:val="single"/>
          <w:lang w:val="es-ES" w:eastAsia="es-ES"/>
        </w:rPr>
      </w:pPr>
      <w:r w:rsidRPr="00E72465">
        <w:rPr>
          <w:rFonts w:ascii="Palatino Linotype" w:eastAsia="Times New Roman" w:hAnsi="Palatino Linotype" w:cs="Times New Roman"/>
          <w:b/>
          <w:i/>
          <w:sz w:val="24"/>
          <w:szCs w:val="24"/>
          <w:u w:val="single"/>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774BADA" w14:textId="77777777" w:rsidR="00E72465" w:rsidRPr="00E72465" w:rsidRDefault="00E72465" w:rsidP="00E72465">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E72465">
        <w:rPr>
          <w:rFonts w:ascii="Palatino Linotype" w:eastAsia="Times New Roman" w:hAnsi="Palatino Linotype" w:cs="Times New Roman"/>
          <w:i/>
          <w:lang w:val="es-ES" w:eastAsia="es-ES"/>
        </w:rPr>
        <w:t>Artículo 140. El acceso a la información pública será restringido excepcionalmente, cuando por razones de interés público, ésta sea clasificada como reservada, conforme a los criterios siguientes:</w:t>
      </w:r>
    </w:p>
    <w:p w14:paraId="5431396D" w14:textId="77777777" w:rsidR="00E72465" w:rsidRPr="00E72465" w:rsidRDefault="00E72465" w:rsidP="00E72465">
      <w:pPr>
        <w:autoSpaceDE w:val="0"/>
        <w:autoSpaceDN w:val="0"/>
        <w:adjustRightInd w:val="0"/>
        <w:spacing w:before="240" w:line="360" w:lineRule="auto"/>
        <w:ind w:left="851" w:right="851"/>
        <w:jc w:val="both"/>
        <w:rPr>
          <w:rFonts w:ascii="Palatino Linotype" w:eastAsia="Times New Roman" w:hAnsi="Palatino Linotype" w:cs="Times New Roman"/>
          <w:b/>
          <w:i/>
          <w:u w:val="single"/>
          <w:lang w:val="es-ES" w:eastAsia="es-ES"/>
        </w:rPr>
      </w:pPr>
      <w:r w:rsidRPr="00E72465">
        <w:rPr>
          <w:rFonts w:ascii="Palatino Linotype" w:eastAsia="Times New Roman" w:hAnsi="Palatino Linotype" w:cs="Times New Roman"/>
          <w:b/>
          <w:i/>
          <w:u w:val="single"/>
          <w:lang w:val="es-ES" w:eastAsia="es-ES"/>
        </w:rPr>
        <w:t xml:space="preserve"> I. Comprometa la seguridad pública y cuente con un propósito genuino y un efecto demostrable;</w:t>
      </w:r>
    </w:p>
    <w:p w14:paraId="7F74EABA" w14:textId="77777777" w:rsidR="00E72465" w:rsidRPr="00E72465" w:rsidRDefault="00E72465" w:rsidP="00E72465">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E72465">
        <w:rPr>
          <w:rFonts w:ascii="Palatino Linotype" w:eastAsia="Times New Roman" w:hAnsi="Palatino Linotype" w:cs="Times New Roman"/>
          <w:i/>
          <w:lang w:val="es-ES" w:eastAsia="es-ES"/>
        </w:rPr>
        <w:t>(…)</w:t>
      </w:r>
    </w:p>
    <w:p w14:paraId="435DE37F" w14:textId="77777777" w:rsidR="00E72465" w:rsidRPr="00E72465" w:rsidRDefault="00E72465" w:rsidP="00E72465">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E72465">
        <w:rPr>
          <w:rFonts w:ascii="Palatino Linotype" w:eastAsia="Times New Roman" w:hAnsi="Palatino Linotype" w:cs="Times New Roman"/>
          <w:b/>
          <w:i/>
          <w:u w:val="single"/>
          <w:lang w:val="es-ES" w:eastAsia="es-ES"/>
        </w:rPr>
        <w:t>VI. Pueda causar daño u obstruya la prevención o persecución de los delitos</w:t>
      </w:r>
      <w:r w:rsidRPr="00E72465">
        <w:rPr>
          <w:rFonts w:ascii="Palatino Linotype" w:eastAsia="Times New Roman" w:hAnsi="Palatino Linotype" w:cs="Times New Roman"/>
          <w:i/>
          <w:lang w:val="es-ES" w:eastAsia="es-ES"/>
        </w:rPr>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E72465">
        <w:rPr>
          <w:rFonts w:ascii="Palatino Linotype" w:eastAsia="Times New Roman" w:hAnsi="Palatino Linotype" w:cs="Times New Roman"/>
          <w:i/>
          <w:lang w:val="es-ES" w:eastAsia="es-ES"/>
        </w:rPr>
        <w:lastRenderedPageBreak/>
        <w:t>o testigo, así como sus familias, en los términos de las disposiciones jurídicas aplicables;</w:t>
      </w:r>
    </w:p>
    <w:p w14:paraId="03ED57C8" w14:textId="77777777" w:rsidR="00E72465" w:rsidRPr="00E72465" w:rsidRDefault="00E72465" w:rsidP="00E72465">
      <w:pPr>
        <w:autoSpaceDE w:val="0"/>
        <w:autoSpaceDN w:val="0"/>
        <w:adjustRightInd w:val="0"/>
        <w:spacing w:before="240" w:line="360" w:lineRule="auto"/>
        <w:ind w:left="851" w:right="851"/>
        <w:jc w:val="both"/>
        <w:rPr>
          <w:rFonts w:ascii="Palatino Linotype" w:eastAsia="Times New Roman" w:hAnsi="Palatino Linotype" w:cs="Times New Roman"/>
          <w:i/>
          <w:lang w:val="es-ES" w:eastAsia="es-ES"/>
        </w:rPr>
      </w:pPr>
      <w:r w:rsidRPr="00E72465">
        <w:rPr>
          <w:rFonts w:ascii="Palatino Linotype" w:eastAsia="Times New Roman" w:hAnsi="Palatino Linotype" w:cs="Times New Roman"/>
          <w:i/>
          <w:lang w:val="es-ES" w:eastAsia="es-ES"/>
        </w:rPr>
        <w:t>(…)</w:t>
      </w:r>
    </w:p>
    <w:p w14:paraId="434D4290" w14:textId="77777777" w:rsidR="00E72465" w:rsidRPr="00E72465" w:rsidRDefault="00E72465" w:rsidP="00E72465">
      <w:pPr>
        <w:spacing w:before="240" w:line="360" w:lineRule="auto"/>
        <w:ind w:left="851" w:right="851"/>
        <w:jc w:val="both"/>
        <w:rPr>
          <w:rFonts w:ascii="Palatino Linotype" w:eastAsia="Times New Roman" w:hAnsi="Palatino Linotype" w:cs="Times New Roman"/>
          <w:b/>
          <w:i/>
          <w:lang w:val="es-ES" w:eastAsia="es-ES"/>
        </w:rPr>
      </w:pPr>
      <w:r w:rsidRPr="00E72465">
        <w:rPr>
          <w:rFonts w:ascii="Palatino Linotype" w:eastAsia="Times New Roman" w:hAnsi="Palatino Linotype" w:cs="Times New Roman"/>
          <w:b/>
          <w:bCs/>
          <w:i/>
          <w:lang w:val="es-ES" w:eastAsia="es-ES"/>
        </w:rPr>
        <w:t xml:space="preserve">Artículo 141. </w:t>
      </w:r>
      <w:r w:rsidRPr="00E72465">
        <w:rPr>
          <w:rFonts w:ascii="Palatino Linotype" w:eastAsia="Times New Roman" w:hAnsi="Palatino Linotype" w:cs="Times New Roman"/>
          <w:b/>
          <w:i/>
          <w:u w:val="single"/>
          <w:lang w:val="es-ES" w:eastAsia="es-ES"/>
        </w:rPr>
        <w:t>Las causales de reserva previstas en este Capítulo se deberán fundar y motivar, a través de la aplicación de la prueba de daño a la que se hace referencia en el presente Título.”</w:t>
      </w:r>
      <w:r w:rsidRPr="00E72465">
        <w:rPr>
          <w:rFonts w:ascii="Palatino Linotype" w:eastAsia="Times New Roman" w:hAnsi="Palatino Linotype" w:cs="Times New Roman"/>
          <w:i/>
          <w:lang w:val="es-ES" w:eastAsia="es-ES"/>
        </w:rPr>
        <w:t xml:space="preserve"> </w:t>
      </w:r>
      <w:r w:rsidRPr="00E72465">
        <w:rPr>
          <w:rFonts w:ascii="Palatino Linotype" w:eastAsia="Times New Roman" w:hAnsi="Palatino Linotype" w:cs="Times New Roman"/>
          <w:b/>
          <w:i/>
          <w:lang w:val="es-ES" w:eastAsia="es-ES"/>
        </w:rPr>
        <w:t>[Sic]</w:t>
      </w:r>
    </w:p>
    <w:p w14:paraId="2A638139" w14:textId="4661279F" w:rsidR="00E72465" w:rsidRDefault="00E72465" w:rsidP="00E72465">
      <w:pPr>
        <w:spacing w:after="0" w:line="360" w:lineRule="auto"/>
        <w:jc w:val="both"/>
        <w:rPr>
          <w:rFonts w:ascii="Palatino Linotype" w:eastAsia="Times New Roman" w:hAnsi="Palatino Linotype" w:cs="Times New Roman"/>
          <w:sz w:val="24"/>
          <w:szCs w:val="24"/>
          <w:lang w:val="es-ES" w:eastAsia="es-ES"/>
        </w:rPr>
      </w:pPr>
    </w:p>
    <w:p w14:paraId="7695F7AB"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724B564D"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4F3AB97D"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 xml:space="preserve">Dicha valoración, debe realizarse caso por caso, a través de lo que se conoce como la llamada </w:t>
      </w:r>
      <w:r w:rsidRPr="00E72465">
        <w:rPr>
          <w:rFonts w:ascii="Palatino Linotype" w:eastAsia="Calibri" w:hAnsi="Palatino Linotype" w:cs="Times New Roman"/>
          <w:i/>
          <w:sz w:val="24"/>
          <w:szCs w:val="24"/>
          <w:lang w:val="es-ES"/>
        </w:rPr>
        <w:t>“prueba de daño”</w:t>
      </w:r>
      <w:r w:rsidRPr="00E72465">
        <w:rPr>
          <w:rFonts w:ascii="Palatino Linotype" w:eastAsia="Calibri" w:hAnsi="Palatino Linotype" w:cs="Times New Roman"/>
          <w:sz w:val="24"/>
          <w:szCs w:val="24"/>
          <w:lang w:val="es-ES"/>
        </w:rPr>
        <w:t>, que consiste en exponer los argumentos y razones, basados en elementos objetivos o verificables, a partir de los cuales se derive que la divulgación de información, en particular, puede afectar, poner en riesgo o dañar el interés protegido</w:t>
      </w:r>
      <w:r w:rsidRPr="00E72465">
        <w:rPr>
          <w:rFonts w:ascii="Palatino Linotype" w:eastAsia="Calibri" w:hAnsi="Palatino Linotype" w:cs="Times New Roman"/>
          <w:sz w:val="24"/>
          <w:szCs w:val="24"/>
          <w:vertAlign w:val="superscript"/>
          <w:lang w:val="es-ES"/>
        </w:rPr>
        <w:footnoteReference w:id="1"/>
      </w:r>
      <w:r w:rsidRPr="00E72465">
        <w:rPr>
          <w:rFonts w:ascii="Palatino Linotype" w:eastAsia="Calibri" w:hAnsi="Palatino Linotype" w:cs="Times New Roman"/>
          <w:sz w:val="24"/>
          <w:szCs w:val="24"/>
          <w:lang w:val="es-ES"/>
        </w:rPr>
        <w:t>. Asimismo, ésta no debe basarse en meras especulaciones o suposiciones, sino en elementos objetivos que deban evaluar que existe un riego actual e inminente</w:t>
      </w:r>
      <w:r w:rsidRPr="00E72465">
        <w:rPr>
          <w:rFonts w:ascii="Palatino Linotype" w:eastAsia="Calibri" w:hAnsi="Palatino Linotype" w:cs="Times New Roman"/>
          <w:sz w:val="24"/>
          <w:szCs w:val="24"/>
          <w:vertAlign w:val="superscript"/>
          <w:lang w:val="es-ES"/>
        </w:rPr>
        <w:footnoteReference w:id="2"/>
      </w:r>
      <w:r w:rsidRPr="00E72465">
        <w:rPr>
          <w:rFonts w:ascii="Palatino Linotype" w:eastAsia="Calibri" w:hAnsi="Palatino Linotype" w:cs="Times New Roman"/>
          <w:sz w:val="24"/>
          <w:szCs w:val="24"/>
          <w:lang w:val="es-ES"/>
        </w:rPr>
        <w:t>.</w:t>
      </w:r>
    </w:p>
    <w:p w14:paraId="1AEAD172"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3D71BE82"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4FA64EA0"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3A234251" w14:textId="27FFB7F8"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 xml:space="preserve">Dicho lo anterior, es necesario definir a la prueba de daño como la responsabilidad de los sujetos obligados de demostrar de manera fundada y motivada, que la divulgación de la información lesiona el </w:t>
      </w:r>
      <w:r w:rsidR="00470272" w:rsidRPr="00E72465">
        <w:rPr>
          <w:rFonts w:ascii="Palatino Linotype" w:eastAsia="Calibri" w:hAnsi="Palatino Linotype" w:cs="Times New Roman"/>
          <w:sz w:val="24"/>
          <w:szCs w:val="24"/>
          <w:lang w:val="es-ES"/>
        </w:rPr>
        <w:t>interés</w:t>
      </w:r>
      <w:r w:rsidRPr="00E72465">
        <w:rPr>
          <w:rFonts w:ascii="Palatino Linotype" w:eastAsia="Calibri" w:hAnsi="Palatino Linotype" w:cs="Times New Roman"/>
          <w:sz w:val="24"/>
          <w:szCs w:val="24"/>
          <w:lang w:val="es-ES"/>
        </w:rPr>
        <w:t xml:space="preserve"> debidamente protegido por la Ley, y que el menoscabo o daño que puede producirse con la publicidad de la información es mayor, que el interés de conocerla, por lo que debe clasificarse como reservada.</w:t>
      </w:r>
      <w:r w:rsidRPr="00E72465">
        <w:rPr>
          <w:rFonts w:ascii="Palatino Linotype" w:eastAsia="Calibri" w:hAnsi="Palatino Linotype" w:cs="Times New Roman"/>
          <w:sz w:val="24"/>
          <w:szCs w:val="24"/>
          <w:vertAlign w:val="superscript"/>
          <w:lang w:val="es-ES"/>
        </w:rPr>
        <w:footnoteReference w:id="3"/>
      </w:r>
    </w:p>
    <w:p w14:paraId="75B3F05E"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13194947"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 xml:space="preserve">De este modo, para clasificar la información, se debe de atender a lo dispuesto por la normativa y aplicar, de manera estricta, las excepciones del derecho de acceso a la </w:t>
      </w:r>
      <w:r w:rsidRPr="00E72465">
        <w:rPr>
          <w:rFonts w:ascii="Palatino Linotype" w:eastAsia="Calibri" w:hAnsi="Palatino Linotype" w:cs="Times New Roman"/>
          <w:sz w:val="24"/>
          <w:szCs w:val="24"/>
          <w:lang w:val="es-ES"/>
        </w:rPr>
        <w:lastRenderedPageBreak/>
        <w:t>información y sólo podrán invocarlas cuando acrediten su procedencia, debiendo clasificar la información en el momento en que:</w:t>
      </w:r>
      <w:r w:rsidRPr="00E72465">
        <w:rPr>
          <w:rFonts w:ascii="Palatino Linotype" w:eastAsia="Calibri" w:hAnsi="Palatino Linotype" w:cs="Times New Roman"/>
          <w:sz w:val="24"/>
          <w:szCs w:val="24"/>
          <w:vertAlign w:val="superscript"/>
          <w:lang w:val="es-ES"/>
        </w:rPr>
        <w:footnoteReference w:id="4"/>
      </w:r>
    </w:p>
    <w:p w14:paraId="4C1CD779"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09831D05" w14:textId="77777777" w:rsidR="00E72465" w:rsidRPr="00E72465" w:rsidRDefault="00E72465" w:rsidP="00E72465">
      <w:pPr>
        <w:numPr>
          <w:ilvl w:val="0"/>
          <w:numId w:val="4"/>
        </w:num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Se reciba una solicitud de acceso a la información.</w:t>
      </w:r>
    </w:p>
    <w:p w14:paraId="05FCF70D" w14:textId="77777777" w:rsidR="00E72465" w:rsidRPr="00E72465" w:rsidRDefault="00E72465" w:rsidP="00E72465">
      <w:pPr>
        <w:numPr>
          <w:ilvl w:val="0"/>
          <w:numId w:val="4"/>
        </w:num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Se determine mediante resolución de autoridad competente.</w:t>
      </w:r>
    </w:p>
    <w:p w14:paraId="549E63F8" w14:textId="77777777" w:rsidR="00E72465" w:rsidRPr="00E72465" w:rsidRDefault="00E72465" w:rsidP="00E72465">
      <w:pPr>
        <w:numPr>
          <w:ilvl w:val="0"/>
          <w:numId w:val="4"/>
        </w:num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Se generen versiones públicas para dar cumplimiento a las obligaciones de transparencia previstas en la Ley.</w:t>
      </w:r>
    </w:p>
    <w:p w14:paraId="5B6E0E6A"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282BD2E0"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 xml:space="preserve">Situación que se robustece con el artículo 141 de la misma Ley, que señala que las causales de reserva </w:t>
      </w:r>
      <w:proofErr w:type="gramStart"/>
      <w:r w:rsidRPr="00E72465">
        <w:rPr>
          <w:rFonts w:ascii="Palatino Linotype" w:eastAsia="Calibri" w:hAnsi="Palatino Linotype" w:cs="Times New Roman"/>
          <w:sz w:val="24"/>
          <w:szCs w:val="24"/>
          <w:lang w:val="es-ES"/>
        </w:rPr>
        <w:t>previstas,</w:t>
      </w:r>
      <w:proofErr w:type="gramEnd"/>
      <w:r w:rsidRPr="00E72465">
        <w:rPr>
          <w:rFonts w:ascii="Palatino Linotype" w:eastAsia="Calibri" w:hAnsi="Palatino Linotype" w:cs="Times New Roman"/>
          <w:sz w:val="24"/>
          <w:szCs w:val="24"/>
          <w:lang w:val="es-ES"/>
        </w:rPr>
        <w:t xml:space="preserve"> se deberán fundar y motivar, a través de la aplicación de la prueba de daño.</w:t>
      </w:r>
    </w:p>
    <w:p w14:paraId="3445911A"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6BDC4EFC"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7DCF10C1"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0BC2BC05" w14:textId="77777777" w:rsidR="00E72465" w:rsidRPr="00E72465" w:rsidRDefault="00E72465" w:rsidP="00E72465">
      <w:pPr>
        <w:numPr>
          <w:ilvl w:val="0"/>
          <w:numId w:val="5"/>
        </w:numPr>
        <w:spacing w:after="0" w:line="360" w:lineRule="auto"/>
        <w:jc w:val="both"/>
        <w:rPr>
          <w:rFonts w:ascii="Palatino Linotype" w:eastAsia="Times New Roman" w:hAnsi="Palatino Linotype" w:cs="Times New Roman"/>
          <w:sz w:val="24"/>
          <w:szCs w:val="24"/>
          <w:lang w:val="es-ES" w:eastAsia="es-ES"/>
        </w:rPr>
      </w:pPr>
      <w:r w:rsidRPr="00E72465">
        <w:rPr>
          <w:rFonts w:ascii="Palatino Linotype" w:eastAsia="Times New Roman" w:hAnsi="Palatino Linotype" w:cs="Times New Roman"/>
          <w:sz w:val="24"/>
          <w:szCs w:val="24"/>
          <w:lang w:val="es-ES" w:eastAsia="es-ES"/>
        </w:rPr>
        <w:t>La divulgación de la información representa un riesgo real, demostrable e identificable del perjuicio significativo al interés público o a la seguridad pública;</w:t>
      </w:r>
    </w:p>
    <w:p w14:paraId="48B3C1B1" w14:textId="77777777" w:rsidR="00E72465" w:rsidRPr="00E72465" w:rsidRDefault="00E72465" w:rsidP="00E72465">
      <w:pPr>
        <w:numPr>
          <w:ilvl w:val="0"/>
          <w:numId w:val="5"/>
        </w:numPr>
        <w:spacing w:after="0" w:line="360" w:lineRule="auto"/>
        <w:jc w:val="both"/>
        <w:rPr>
          <w:rFonts w:ascii="Palatino Linotype" w:eastAsia="Times New Roman" w:hAnsi="Palatino Linotype" w:cs="Times New Roman"/>
          <w:sz w:val="24"/>
          <w:szCs w:val="24"/>
          <w:lang w:val="es-ES" w:eastAsia="es-ES"/>
        </w:rPr>
      </w:pPr>
      <w:r w:rsidRPr="00E72465">
        <w:rPr>
          <w:rFonts w:ascii="Palatino Linotype" w:eastAsia="Times New Roman" w:hAnsi="Palatino Linotype" w:cs="Times New Roman"/>
          <w:sz w:val="24"/>
          <w:szCs w:val="24"/>
          <w:lang w:val="es-ES" w:eastAsia="es-ES"/>
        </w:rPr>
        <w:t>El riesgo de perjuicio que supondría la divulgación supera el interés público general de que se difunda; y</w:t>
      </w:r>
    </w:p>
    <w:p w14:paraId="331A6DC8" w14:textId="77777777" w:rsidR="00E72465" w:rsidRPr="00E72465" w:rsidRDefault="00E72465" w:rsidP="00E72465">
      <w:pPr>
        <w:numPr>
          <w:ilvl w:val="0"/>
          <w:numId w:val="5"/>
        </w:numPr>
        <w:spacing w:after="0" w:line="360" w:lineRule="auto"/>
        <w:jc w:val="both"/>
        <w:rPr>
          <w:rFonts w:ascii="Palatino Linotype" w:eastAsia="Times New Roman" w:hAnsi="Palatino Linotype" w:cs="Times New Roman"/>
          <w:sz w:val="24"/>
          <w:szCs w:val="24"/>
          <w:lang w:val="es-ES" w:eastAsia="es-ES"/>
        </w:rPr>
      </w:pPr>
      <w:r w:rsidRPr="00E72465">
        <w:rPr>
          <w:rFonts w:ascii="Palatino Linotype" w:eastAsia="Times New Roman" w:hAnsi="Palatino Linotype" w:cs="Times New Roman"/>
          <w:sz w:val="24"/>
          <w:szCs w:val="24"/>
          <w:lang w:val="es-ES" w:eastAsia="es-ES"/>
        </w:rPr>
        <w:lastRenderedPageBreak/>
        <w:t xml:space="preserve">La limitación se adecua al principio de proporcionalidad y representa el medio menos restrictivo disponible para evitar el perjuicio. </w:t>
      </w:r>
    </w:p>
    <w:p w14:paraId="17F25A44"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477D968E" w14:textId="77777777" w:rsidR="00E72465" w:rsidRPr="00E72465" w:rsidRDefault="00E72465" w:rsidP="00E72465">
      <w:pPr>
        <w:spacing w:after="0" w:line="360" w:lineRule="auto"/>
        <w:jc w:val="both"/>
        <w:rPr>
          <w:rFonts w:ascii="Palatino Linotype" w:eastAsia="Calibri" w:hAnsi="Palatino Linotype" w:cs="Arial"/>
          <w:sz w:val="24"/>
          <w:szCs w:val="24"/>
          <w:lang w:val="es-ES" w:eastAsia="es-ES"/>
        </w:rPr>
      </w:pPr>
      <w:r w:rsidRPr="00E72465">
        <w:rPr>
          <w:rFonts w:ascii="Palatino Linotype" w:eastAsia="Calibri" w:hAnsi="Palatino Linotype" w:cs="Arial"/>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E72465">
        <w:rPr>
          <w:rFonts w:ascii="Palatino Linotype" w:eastAsia="Calibri" w:hAnsi="Palatino Linotype" w:cs="Arial"/>
          <w:sz w:val="24"/>
          <w:szCs w:val="24"/>
          <w:vertAlign w:val="superscript"/>
          <w:lang w:val="es-ES" w:eastAsia="es-ES"/>
        </w:rPr>
        <w:footnoteReference w:id="5"/>
      </w:r>
      <w:r w:rsidRPr="00E72465">
        <w:rPr>
          <w:rFonts w:ascii="Palatino Linotype" w:eastAsia="Calibri" w:hAnsi="Palatino Linotype" w:cs="Arial"/>
          <w:sz w:val="24"/>
          <w:szCs w:val="24"/>
          <w:lang w:val="es-ES" w:eastAsia="es-ES"/>
        </w:rPr>
        <w:t>:</w:t>
      </w:r>
    </w:p>
    <w:p w14:paraId="380593BD" w14:textId="77777777" w:rsidR="00E72465" w:rsidRPr="00E72465" w:rsidRDefault="00E72465" w:rsidP="00E72465">
      <w:pPr>
        <w:spacing w:after="0" w:line="360" w:lineRule="auto"/>
        <w:jc w:val="both"/>
        <w:rPr>
          <w:rFonts w:ascii="Palatino Linotype" w:eastAsia="Calibri" w:hAnsi="Palatino Linotype" w:cs="Arial"/>
          <w:sz w:val="24"/>
          <w:szCs w:val="24"/>
          <w:lang w:val="es-ES" w:eastAsia="es-ES"/>
        </w:rPr>
      </w:pPr>
    </w:p>
    <w:p w14:paraId="49017E72" w14:textId="77777777" w:rsidR="00E72465" w:rsidRPr="00E72465" w:rsidRDefault="00E72465" w:rsidP="00E72465">
      <w:pPr>
        <w:spacing w:after="240" w:line="240" w:lineRule="auto"/>
        <w:ind w:left="567" w:right="567"/>
        <w:jc w:val="both"/>
        <w:rPr>
          <w:rFonts w:ascii="Palatino Linotype" w:eastAsia="Calibri" w:hAnsi="Palatino Linotype" w:cs="Arial"/>
          <w:i/>
          <w:sz w:val="24"/>
          <w:szCs w:val="24"/>
          <w:lang w:val="es-ES" w:eastAsia="es-ES"/>
        </w:rPr>
      </w:pPr>
      <w:r w:rsidRPr="00E72465">
        <w:rPr>
          <w:rFonts w:ascii="Palatino Linotype" w:eastAsia="Calibri" w:hAnsi="Palatino Linotype" w:cs="Times New Roman"/>
          <w:i/>
          <w:sz w:val="24"/>
          <w:szCs w:val="24"/>
          <w:lang w:val="es-ES" w:eastAsia="es-ES"/>
        </w:rPr>
        <w:t>“</w:t>
      </w:r>
      <w:r w:rsidRPr="00E72465">
        <w:rPr>
          <w:rFonts w:ascii="Palatino Linotype" w:eastAsia="Calibri" w:hAnsi="Palatino Linotype" w:cs="Times New Roman"/>
          <w:b/>
          <w:i/>
          <w:sz w:val="24"/>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E72465">
        <w:rPr>
          <w:rFonts w:ascii="Palatino Linotype" w:eastAsia="Calibri" w:hAnsi="Palatino Linotype" w:cs="Times New Roman"/>
          <w:i/>
          <w:sz w:val="24"/>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72465">
        <w:rPr>
          <w:rFonts w:ascii="Palatino Linotype" w:eastAsia="Calibri" w:hAnsi="Palatino Linotype" w:cs="Times New Roman"/>
          <w:i/>
          <w:sz w:val="24"/>
          <w:szCs w:val="24"/>
          <w:lang w:val="es-ES" w:eastAsia="es-ES"/>
        </w:rPr>
        <w:t>officio</w:t>
      </w:r>
      <w:proofErr w:type="spellEnd"/>
      <w:r w:rsidRPr="00E72465">
        <w:rPr>
          <w:rFonts w:ascii="Palatino Linotype" w:eastAsia="Calibri" w:hAnsi="Palatino Linotype" w:cs="Times New Roman"/>
          <w:i/>
          <w:sz w:val="24"/>
          <w:szCs w:val="24"/>
          <w:lang w:val="es-ES" w:eastAsia="es-ES"/>
        </w:rPr>
        <w:t>, con el propósito de obtener una versión que sea pública para la parte interesada.” (sic)</w:t>
      </w:r>
    </w:p>
    <w:p w14:paraId="595CAB83" w14:textId="77777777" w:rsidR="00E72465" w:rsidRPr="00E72465" w:rsidRDefault="00E72465" w:rsidP="00E72465">
      <w:pPr>
        <w:spacing w:after="0" w:line="360" w:lineRule="auto"/>
        <w:jc w:val="both"/>
        <w:rPr>
          <w:rFonts w:ascii="Palatino Linotype" w:eastAsia="Calibri" w:hAnsi="Palatino Linotype" w:cs="Times New Roman"/>
          <w:sz w:val="24"/>
          <w:szCs w:val="24"/>
        </w:rPr>
      </w:pPr>
    </w:p>
    <w:p w14:paraId="532CA119"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lastRenderedPageBreak/>
        <w:t>Prueba de daño, que cobra relevancia puesto que sí ésta no arroja resultados contundentes sobre un posible peligro, deberá de publicarse la información</w:t>
      </w:r>
      <w:r w:rsidRPr="00E72465">
        <w:rPr>
          <w:rFonts w:ascii="Palatino Linotype" w:eastAsia="Calibri" w:hAnsi="Palatino Linotype" w:cs="Times New Roman"/>
          <w:sz w:val="24"/>
          <w:szCs w:val="24"/>
          <w:vertAlign w:val="superscript"/>
          <w:lang w:val="es-ES"/>
        </w:rPr>
        <w:footnoteReference w:id="6"/>
      </w:r>
      <w:r w:rsidRPr="00E72465">
        <w:rPr>
          <w:rFonts w:ascii="Palatino Linotype" w:eastAsia="Calibri" w:hAnsi="Palatino Linotype" w:cs="Times New Roman"/>
          <w:sz w:val="24"/>
          <w:szCs w:val="24"/>
          <w:lang w:val="es-ES"/>
        </w:rPr>
        <w:t>.</w:t>
      </w:r>
    </w:p>
    <w:p w14:paraId="722D141F"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4669D383"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64E411F1"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1C914416"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E72465">
        <w:rPr>
          <w:rFonts w:ascii="Palatino Linotype" w:eastAsia="Calibri" w:hAnsi="Palatino Linotype" w:cs="Times New Roman"/>
          <w:sz w:val="24"/>
          <w:szCs w:val="24"/>
          <w:vertAlign w:val="superscript"/>
          <w:lang w:val="es-ES"/>
        </w:rPr>
        <w:footnoteReference w:id="7"/>
      </w:r>
    </w:p>
    <w:p w14:paraId="0BEDCB4C"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3C9CEB24"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6AF59752" w14:textId="77777777" w:rsidR="00E72465" w:rsidRPr="00E72465" w:rsidRDefault="00E72465" w:rsidP="00E72465">
      <w:pPr>
        <w:spacing w:after="0" w:line="360" w:lineRule="auto"/>
        <w:jc w:val="both"/>
        <w:rPr>
          <w:rFonts w:ascii="Palatino Linotype" w:eastAsia="Calibri" w:hAnsi="Palatino Linotype" w:cs="Times New Roman"/>
          <w:sz w:val="24"/>
          <w:szCs w:val="24"/>
        </w:rPr>
      </w:pPr>
    </w:p>
    <w:p w14:paraId="6ABB1D6C"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lastRenderedPageBreak/>
        <w:t>Aunado a lo anterior, se tiene que, para realizar la clasificación de la información se debe</w:t>
      </w:r>
      <w:r w:rsidRPr="00E72465">
        <w:rPr>
          <w:rFonts w:ascii="Palatino Linotype" w:eastAsia="Calibri" w:hAnsi="Palatino Linotype" w:cs="Times New Roman"/>
          <w:sz w:val="24"/>
          <w:szCs w:val="24"/>
          <w:vertAlign w:val="superscript"/>
          <w:lang w:val="es-ES"/>
        </w:rPr>
        <w:footnoteReference w:id="8"/>
      </w:r>
      <w:r w:rsidRPr="00E72465">
        <w:rPr>
          <w:rFonts w:ascii="Palatino Linotype" w:eastAsia="Calibri" w:hAnsi="Palatino Linotype" w:cs="Times New Roman"/>
          <w:sz w:val="24"/>
          <w:szCs w:val="24"/>
          <w:lang w:val="es-ES"/>
        </w:rPr>
        <w:t>:</w:t>
      </w:r>
    </w:p>
    <w:p w14:paraId="2764A329"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5AD41716" w14:textId="77777777" w:rsidR="00E72465" w:rsidRPr="00E72465" w:rsidRDefault="00E72465" w:rsidP="00E72465">
      <w:pPr>
        <w:numPr>
          <w:ilvl w:val="0"/>
          <w:numId w:val="6"/>
        </w:numPr>
        <w:spacing w:before="240" w:after="240" w:line="360" w:lineRule="auto"/>
        <w:ind w:left="714" w:hanging="357"/>
        <w:jc w:val="both"/>
        <w:rPr>
          <w:rFonts w:ascii="Palatino Linotype" w:eastAsia="Calibri" w:hAnsi="Palatino Linotype" w:cs="Times New Roman"/>
          <w:sz w:val="24"/>
          <w:szCs w:val="24"/>
          <w:lang w:val="es-ES"/>
        </w:rPr>
      </w:pPr>
      <w:r w:rsidRPr="00E72465">
        <w:rPr>
          <w:rFonts w:ascii="Palatino Linotype" w:eastAsia="Calibri" w:hAnsi="Palatino Linotype" w:cs="Times New Roman"/>
          <w:b/>
          <w:sz w:val="24"/>
          <w:szCs w:val="24"/>
          <w:lang w:val="es-ES"/>
        </w:rPr>
        <w:t>Fundar:</w:t>
      </w:r>
      <w:r w:rsidRPr="00E72465">
        <w:rPr>
          <w:rFonts w:ascii="Palatino Linotype" w:eastAsia="Calibri" w:hAnsi="Palatino Linotype" w:cs="Times New Roman"/>
          <w:sz w:val="24"/>
          <w:szCs w:val="24"/>
          <w:lang w:val="es-ES"/>
        </w:rPr>
        <w:t xml:space="preserve"> señalando el artículo, fracción, inciso, párrafo o numeral de la Ley o tratado internacional suscrito por el Estado mexicano que expresamente le otorgue el carácter de reservada.</w:t>
      </w:r>
    </w:p>
    <w:p w14:paraId="158693DE" w14:textId="77777777" w:rsidR="00E72465" w:rsidRPr="00E72465" w:rsidRDefault="00E72465" w:rsidP="00E72465">
      <w:pPr>
        <w:numPr>
          <w:ilvl w:val="0"/>
          <w:numId w:val="6"/>
        </w:numPr>
        <w:spacing w:before="240" w:after="240" w:line="360" w:lineRule="auto"/>
        <w:ind w:left="714" w:hanging="357"/>
        <w:jc w:val="both"/>
        <w:rPr>
          <w:rFonts w:ascii="Palatino Linotype" w:eastAsia="Calibri" w:hAnsi="Palatino Linotype" w:cs="Times New Roman"/>
          <w:sz w:val="24"/>
          <w:szCs w:val="24"/>
          <w:lang w:val="es-ES"/>
        </w:rPr>
      </w:pPr>
      <w:r w:rsidRPr="00E72465">
        <w:rPr>
          <w:rFonts w:ascii="Palatino Linotype" w:eastAsia="Calibri" w:hAnsi="Palatino Linotype" w:cs="Times New Roman"/>
          <w:b/>
          <w:sz w:val="24"/>
          <w:szCs w:val="24"/>
          <w:lang w:val="es-ES"/>
        </w:rPr>
        <w:t>Motivar:</w:t>
      </w:r>
      <w:r w:rsidRPr="00E72465">
        <w:rPr>
          <w:rFonts w:ascii="Palatino Linotype" w:eastAsia="Calibri" w:hAnsi="Palatino Linotype" w:cs="Times New Roman"/>
          <w:sz w:val="24"/>
          <w:szCs w:val="24"/>
          <w:lang w:val="es-ES"/>
        </w:rPr>
        <w:t xml:space="preserve"> señalando las razones o circunstancias especiales que lo llevaron a concluir que el caso particular se ajusta al supuesto previsto por la norma legal invocada como fundamento.</w:t>
      </w:r>
    </w:p>
    <w:p w14:paraId="66E35C33" w14:textId="77777777" w:rsidR="00E72465" w:rsidRPr="00E72465" w:rsidRDefault="00E72465" w:rsidP="00E72465">
      <w:pPr>
        <w:spacing w:after="0" w:line="360" w:lineRule="auto"/>
        <w:ind w:left="780"/>
        <w:jc w:val="both"/>
        <w:rPr>
          <w:rFonts w:ascii="Palatino Linotype" w:eastAsia="Calibri" w:hAnsi="Palatino Linotype" w:cs="Times New Roman"/>
          <w:sz w:val="24"/>
          <w:szCs w:val="24"/>
          <w:lang w:val="es-ES"/>
        </w:rPr>
      </w:pPr>
    </w:p>
    <w:p w14:paraId="3B550557"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r w:rsidRPr="00E72465">
        <w:rPr>
          <w:rFonts w:ascii="Palatino Linotype" w:eastAsia="Calibri" w:hAnsi="Palatino Linotype" w:cs="Times New Roman"/>
          <w:sz w:val="24"/>
          <w:szCs w:val="24"/>
          <w:lang w:val="es-ES"/>
        </w:rPr>
        <w:t xml:space="preserve">Siendo que, en el caso específico de la reserva, la motivación de la </w:t>
      </w:r>
      <w:proofErr w:type="gramStart"/>
      <w:r w:rsidRPr="00E72465">
        <w:rPr>
          <w:rFonts w:ascii="Palatino Linotype" w:eastAsia="Calibri" w:hAnsi="Palatino Linotype" w:cs="Times New Roman"/>
          <w:sz w:val="24"/>
          <w:szCs w:val="24"/>
          <w:lang w:val="es-ES"/>
        </w:rPr>
        <w:t>clasificación,</w:t>
      </w:r>
      <w:proofErr w:type="gramEnd"/>
      <w:r w:rsidRPr="00E72465">
        <w:rPr>
          <w:rFonts w:ascii="Palatino Linotype" w:eastAsia="Calibri" w:hAnsi="Palatino Linotype" w:cs="Times New Roman"/>
          <w:sz w:val="24"/>
          <w:szCs w:val="24"/>
          <w:lang w:val="es-ES"/>
        </w:rPr>
        <w:t xml:space="preserve"> también deberá comprender las circunstancias que justifican el establecimiento de determinado plazo de reserva.</w:t>
      </w:r>
    </w:p>
    <w:p w14:paraId="47BABB43" w14:textId="77777777" w:rsidR="00E72465" w:rsidRPr="00E72465" w:rsidRDefault="00E72465" w:rsidP="00E72465">
      <w:pPr>
        <w:spacing w:after="0" w:line="360" w:lineRule="auto"/>
        <w:jc w:val="both"/>
        <w:rPr>
          <w:rFonts w:ascii="Palatino Linotype" w:eastAsia="Calibri" w:hAnsi="Palatino Linotype" w:cs="Times New Roman"/>
          <w:sz w:val="24"/>
          <w:szCs w:val="24"/>
          <w:lang w:val="es-ES"/>
        </w:rPr>
      </w:pPr>
    </w:p>
    <w:p w14:paraId="61AEDF51" w14:textId="77777777" w:rsidR="00E72465" w:rsidRPr="00E72465" w:rsidRDefault="00E72465" w:rsidP="00E72465">
      <w:pPr>
        <w:spacing w:after="0" w:line="360" w:lineRule="auto"/>
        <w:jc w:val="both"/>
        <w:rPr>
          <w:rFonts w:ascii="Palatino Linotype" w:eastAsia="Calibri" w:hAnsi="Palatino Linotype" w:cs="Times New Roman"/>
          <w:bCs/>
          <w:sz w:val="24"/>
          <w:szCs w:val="24"/>
          <w:lang w:val="es-ES"/>
        </w:rPr>
      </w:pPr>
      <w:r w:rsidRPr="00E72465">
        <w:rPr>
          <w:rFonts w:ascii="Palatino Linotype" w:eastAsia="Calibri" w:hAnsi="Palatino Linotype" w:cs="Times New Roman"/>
          <w:sz w:val="24"/>
          <w:szCs w:val="24"/>
          <w:lang w:val="es-ES"/>
        </w:rPr>
        <w:t xml:space="preserve">En otras palabras, para clasificar la información como reservada, los acuerdos deben estar debidamente fundados y motivados, situación que no aconteció en el presente asunto, ya que, no </w:t>
      </w:r>
      <w:r w:rsidRPr="00E72465">
        <w:rPr>
          <w:rFonts w:ascii="Palatino Linotype" w:eastAsia="Calibri" w:hAnsi="Palatino Linotype" w:cs="Times New Roman"/>
          <w:bCs/>
          <w:sz w:val="24"/>
          <w:szCs w:val="24"/>
          <w:lang w:val="es-E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w:t>
      </w:r>
      <w:r w:rsidRPr="00E72465">
        <w:rPr>
          <w:rFonts w:ascii="Palatino Linotype" w:eastAsia="Calibri" w:hAnsi="Palatino Linotype" w:cs="Times New Roman"/>
          <w:bCs/>
          <w:sz w:val="24"/>
          <w:szCs w:val="24"/>
          <w:lang w:val="es-ES"/>
        </w:rPr>
        <w:lastRenderedPageBreak/>
        <w:t>jurisprudencial número I.</w:t>
      </w:r>
      <w:proofErr w:type="gramStart"/>
      <w:r w:rsidRPr="00E72465">
        <w:rPr>
          <w:rFonts w:ascii="Palatino Linotype" w:eastAsia="Calibri" w:hAnsi="Palatino Linotype" w:cs="Times New Roman"/>
          <w:bCs/>
          <w:sz w:val="24"/>
          <w:szCs w:val="24"/>
          <w:lang w:val="es-ES"/>
        </w:rPr>
        <w:t>4º.A.</w:t>
      </w:r>
      <w:proofErr w:type="gramEnd"/>
      <w:r w:rsidRPr="00E72465">
        <w:rPr>
          <w:rFonts w:ascii="Palatino Linotype" w:eastAsia="Calibri" w:hAnsi="Palatino Linotype" w:cs="Times New Roman"/>
          <w:bCs/>
          <w:sz w:val="24"/>
          <w:szCs w:val="24"/>
          <w:lang w:val="es-ES"/>
        </w:rPr>
        <w:t xml:space="preserve"> J/43, publicada en el Semanario Judicial de la Federación y su Gaceta, bajo el número de registro 175,082; que a la letra dice:</w:t>
      </w:r>
    </w:p>
    <w:p w14:paraId="0CBA086F" w14:textId="77777777" w:rsidR="00E72465" w:rsidRPr="00E72465" w:rsidRDefault="00E72465" w:rsidP="00E72465">
      <w:pPr>
        <w:spacing w:after="0" w:line="360" w:lineRule="auto"/>
        <w:jc w:val="both"/>
        <w:rPr>
          <w:rFonts w:ascii="Palatino Linotype" w:eastAsia="Calibri" w:hAnsi="Palatino Linotype" w:cs="Times New Roman"/>
          <w:bCs/>
          <w:sz w:val="18"/>
          <w:szCs w:val="24"/>
          <w:lang w:val="es-ES"/>
        </w:rPr>
      </w:pPr>
    </w:p>
    <w:p w14:paraId="57E25447" w14:textId="77777777" w:rsidR="00E72465" w:rsidRPr="00E72465" w:rsidRDefault="00E72465" w:rsidP="00E72465">
      <w:pPr>
        <w:spacing w:after="0" w:line="240" w:lineRule="auto"/>
        <w:ind w:left="567" w:right="567"/>
        <w:jc w:val="both"/>
        <w:rPr>
          <w:rFonts w:ascii="Palatino Linotype" w:eastAsia="Calibri" w:hAnsi="Palatino Linotype" w:cs="Times New Roman"/>
          <w:i/>
          <w:sz w:val="24"/>
          <w:szCs w:val="24"/>
          <w:lang w:val="es-ES" w:eastAsia="es-ES"/>
        </w:rPr>
      </w:pPr>
      <w:r w:rsidRPr="00E72465">
        <w:rPr>
          <w:rFonts w:ascii="Palatino Linotype" w:eastAsia="Calibri" w:hAnsi="Palatino Linotype" w:cs="Times New Roman"/>
          <w:i/>
          <w:sz w:val="24"/>
          <w:szCs w:val="24"/>
          <w:lang w:val="es-ES" w:eastAsia="es-ES"/>
        </w:rPr>
        <w:t>“</w:t>
      </w:r>
      <w:r w:rsidRPr="00E72465">
        <w:rPr>
          <w:rFonts w:ascii="Palatino Linotype" w:eastAsia="Calibri" w:hAnsi="Palatino Linotype" w:cs="Times New Roman"/>
          <w:b/>
          <w:i/>
          <w:sz w:val="24"/>
          <w:szCs w:val="24"/>
          <w:lang w:val="es-ES" w:eastAsia="es-ES"/>
        </w:rPr>
        <w:t>FUNDAMENTACIÓN Y MOTIVACIÓN. EL ASPECTO FORMAL DE LA GARANTÍA Y SU FINALIDAD SE TRADUCEN EN EXPLICAR, JUSTIFICAR, POSIBILITAR LA DEFENSA Y COMUNICAR LA DECISIÓN. </w:t>
      </w:r>
      <w:r w:rsidRPr="00E72465">
        <w:rPr>
          <w:rFonts w:ascii="Palatino Linotype" w:eastAsia="Calibri" w:hAnsi="Palatino Linotype" w:cs="Times New Roman"/>
          <w:i/>
          <w:sz w:val="24"/>
          <w:szCs w:val="24"/>
          <w:lang w:val="es-ES" w:eastAsia="es-ES"/>
        </w:rPr>
        <w:t>El contenido formal de la garantía de legalidad prevista en el artículo 16 constitucional relativa a la fundamentación y motivación tiene como propósito primordial y ratio que el justiciable </w:t>
      </w:r>
      <w:r w:rsidRPr="00E72465">
        <w:rPr>
          <w:rFonts w:ascii="Palatino Linotype" w:eastAsia="Calibri" w:hAnsi="Palatino Linotype" w:cs="Times New Roman"/>
          <w:b/>
          <w:i/>
          <w:sz w:val="24"/>
          <w:szCs w:val="24"/>
          <w:u w:val="single"/>
          <w:lang w:val="es-ES" w:eastAsia="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72465">
        <w:rPr>
          <w:rFonts w:ascii="Palatino Linotype" w:eastAsia="Calibri" w:hAnsi="Palatino Linotype" w:cs="Times New Roman"/>
          <w:i/>
          <w:sz w:val="24"/>
          <w:szCs w:val="24"/>
          <w:u w:val="single"/>
          <w:lang w:val="es-ES" w:eastAsia="es-ES"/>
        </w:rPr>
        <w:t>.</w:t>
      </w:r>
      <w:r w:rsidRPr="00E72465">
        <w:rPr>
          <w:rFonts w:ascii="Palatino Linotype" w:eastAsia="Calibri" w:hAnsi="Palatino Linotype" w:cs="Times New Roman"/>
          <w:i/>
          <w:sz w:val="24"/>
          <w:szCs w:val="24"/>
          <w:lang w:val="es-ES" w:eastAsia="es-E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E72465">
        <w:rPr>
          <w:rFonts w:ascii="Palatino Linotype" w:eastAsia="Calibri" w:hAnsi="Palatino Linotype" w:cs="Times New Roman"/>
          <w:b/>
          <w:i/>
          <w:sz w:val="24"/>
          <w:szCs w:val="24"/>
          <w:u w:val="single"/>
          <w:lang w:val="es-ES" w:eastAsia="es-E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E72465">
        <w:rPr>
          <w:rFonts w:ascii="Palatino Linotype" w:eastAsia="Calibri" w:hAnsi="Palatino Linotype" w:cs="Times New Roman"/>
          <w:i/>
          <w:sz w:val="24"/>
          <w:szCs w:val="24"/>
          <w:lang w:val="es-ES" w:eastAsia="es-ES"/>
        </w:rPr>
        <w:t> del que se deduzca la relación de pertenencia lógica de los hechos al derecho invocado, que es la subsunción.”</w:t>
      </w:r>
    </w:p>
    <w:p w14:paraId="20C80C59" w14:textId="77777777" w:rsidR="00E72465" w:rsidRPr="00E72465" w:rsidRDefault="00E72465" w:rsidP="00E72465">
      <w:pPr>
        <w:spacing w:after="0" w:line="240" w:lineRule="auto"/>
        <w:ind w:left="567" w:right="567"/>
        <w:jc w:val="right"/>
        <w:rPr>
          <w:rFonts w:ascii="Palatino Linotype" w:eastAsia="Calibri" w:hAnsi="Palatino Linotype" w:cs="Times New Roman"/>
          <w:i/>
          <w:sz w:val="18"/>
          <w:szCs w:val="24"/>
          <w:lang w:val="es-ES" w:eastAsia="es-ES"/>
        </w:rPr>
      </w:pPr>
      <w:r w:rsidRPr="00E72465">
        <w:rPr>
          <w:rFonts w:ascii="Palatino Linotype" w:eastAsia="Calibri" w:hAnsi="Palatino Linotype" w:cs="Times New Roman"/>
          <w:i/>
          <w:sz w:val="18"/>
          <w:szCs w:val="24"/>
          <w:lang w:val="es-ES" w:eastAsia="es-ES"/>
        </w:rPr>
        <w:t>(Énfasis añadido)</w:t>
      </w:r>
    </w:p>
    <w:p w14:paraId="1839D648" w14:textId="77777777" w:rsidR="00E72465" w:rsidRPr="00E72465" w:rsidRDefault="00E72465" w:rsidP="00E72465">
      <w:pPr>
        <w:spacing w:after="0" w:line="360" w:lineRule="auto"/>
        <w:jc w:val="both"/>
        <w:rPr>
          <w:rFonts w:ascii="Palatino Linotype" w:eastAsia="Times New Roman" w:hAnsi="Palatino Linotype" w:cs="Times New Roman"/>
          <w:b/>
          <w:i/>
          <w:sz w:val="24"/>
          <w:szCs w:val="24"/>
          <w:lang w:val="es-ES" w:eastAsia="es-ES"/>
        </w:rPr>
      </w:pPr>
    </w:p>
    <w:p w14:paraId="0DB41298" w14:textId="77777777" w:rsidR="00E72465" w:rsidRDefault="00E72465" w:rsidP="00893282">
      <w:pPr>
        <w:pStyle w:val="Prrafodelista"/>
        <w:autoSpaceDE w:val="0"/>
        <w:autoSpaceDN w:val="0"/>
        <w:adjustRightInd w:val="0"/>
        <w:spacing w:line="360" w:lineRule="auto"/>
        <w:ind w:left="0"/>
        <w:jc w:val="both"/>
        <w:rPr>
          <w:rFonts w:ascii="Palatino Linotype" w:hAnsi="Palatino Linotype" w:cs="Arial"/>
        </w:rPr>
      </w:pPr>
    </w:p>
    <w:p w14:paraId="200F5A83" w14:textId="5CBB7B60" w:rsidR="00470272" w:rsidRDefault="00470272" w:rsidP="0047027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todo lo anteriormente expuesto, se colige que, El Sujeto Obligado en cualquiera de los casos, imperativamente,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w:t>
      </w:r>
      <w:r>
        <w:rPr>
          <w:rFonts w:ascii="Palatino Linotype" w:hAnsi="Palatino Linotype" w:cs="Arial"/>
        </w:rPr>
        <w:lastRenderedPageBreak/>
        <w:t>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 xml:space="preserve">La información confidencial no estará sujeta a temporalidad alguna y sólo podrán tener acceso a ella los titulares de </w:t>
      </w:r>
      <w:proofErr w:type="gramStart"/>
      <w:r w:rsidRPr="00893282">
        <w:rPr>
          <w:rFonts w:ascii="Palatino Linotype" w:hAnsi="Palatino Linotype" w:cs="Arial"/>
          <w:i/>
          <w:szCs w:val="24"/>
        </w:rPr>
        <w:t>la misma</w:t>
      </w:r>
      <w:proofErr w:type="gramEnd"/>
      <w:r w:rsidRPr="00893282">
        <w:rPr>
          <w:rFonts w:ascii="Palatino Linotype" w:hAnsi="Palatino Linotype" w:cs="Arial"/>
          <w:i/>
          <w:szCs w:val="24"/>
        </w:rPr>
        <w:t>,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025491DD" w14:textId="016C6AFC" w:rsidR="004211C1"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750F2A8"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4211C1" w:rsidRPr="004211C1">
        <w:rPr>
          <w:rFonts w:ascii="Palatino Linotype" w:hAnsi="Palatino Linotype" w:cs="Arial"/>
          <w:b/>
          <w:sz w:val="24"/>
        </w:rPr>
        <w:t>00464/CAPULHUA/IP/2019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3779EED8" w14:textId="77777777" w:rsidR="004211C1" w:rsidRDefault="004211C1" w:rsidP="00415FD8">
      <w:pPr>
        <w:autoSpaceDE w:val="0"/>
        <w:autoSpaceDN w:val="0"/>
        <w:adjustRightInd w:val="0"/>
        <w:spacing w:after="0" w:line="360" w:lineRule="auto"/>
        <w:jc w:val="both"/>
        <w:rPr>
          <w:rFonts w:ascii="Palatino Linotype" w:hAnsi="Palatino Linotype" w:cs="Arial"/>
          <w:sz w:val="24"/>
          <w:szCs w:val="24"/>
        </w:rPr>
      </w:pPr>
    </w:p>
    <w:p w14:paraId="5A75A200" w14:textId="5BCC96B4"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52BE671C" w14:textId="77777777" w:rsidR="004211C1" w:rsidRDefault="004211C1"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5990AB45" w14:textId="77777777" w:rsidR="004211C1" w:rsidRDefault="004211C1" w:rsidP="00893282">
      <w:pPr>
        <w:spacing w:after="0" w:line="360" w:lineRule="auto"/>
        <w:ind w:right="-234" w:firstLine="567"/>
        <w:jc w:val="center"/>
        <w:rPr>
          <w:rFonts w:ascii="Palatino Linotype" w:hAnsi="Palatino Linotype"/>
          <w:b/>
          <w:sz w:val="28"/>
          <w:szCs w:val="24"/>
          <w:lang w:val="pt-BR"/>
        </w:rPr>
      </w:pPr>
    </w:p>
    <w:p w14:paraId="62F64008" w14:textId="6D867057"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lastRenderedPageBreak/>
        <w:t>S E     R E S U E L V E</w:t>
      </w: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46F0AC61"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4211C1" w:rsidRPr="004211C1">
        <w:rPr>
          <w:rFonts w:ascii="Palatino Linotype" w:hAnsi="Palatino Linotype" w:cs="Arial"/>
          <w:b/>
          <w:sz w:val="24"/>
          <w:szCs w:val="24"/>
        </w:rPr>
        <w:t>00464/CAPULHUA/IP/2019</w:t>
      </w:r>
      <w:r w:rsidR="00CF5C44">
        <w:rPr>
          <w:rFonts w:ascii="Palatino Linotype" w:eastAsia="Times New Roman" w:hAnsi="Palatino Linotype" w:cs="Arial"/>
          <w:sz w:val="24"/>
          <w:szCs w:val="24"/>
        </w:rPr>
        <w:t>,</w:t>
      </w:r>
      <w:r w:rsidR="006727F4">
        <w:rPr>
          <w:rFonts w:ascii="Palatino Linotype" w:eastAsia="Times New Roman" w:hAnsi="Palatino Linotype" w:cs="Arial"/>
          <w:sz w:val="24"/>
          <w:szCs w:val="24"/>
        </w:rPr>
        <w:t xml:space="preserve"> y</w:t>
      </w:r>
      <w:r w:rsidR="00CF5C44">
        <w:rPr>
          <w:rFonts w:ascii="Palatino Linotype" w:eastAsia="Times New Roman" w:hAnsi="Palatino Linotype" w:cs="Arial"/>
          <w:sz w:val="24"/>
          <w:szCs w:val="24"/>
        </w:rPr>
        <w:t xml:space="preserve"> </w:t>
      </w:r>
      <w:r w:rsidR="00AA17EB">
        <w:rPr>
          <w:rFonts w:ascii="Palatino Linotype" w:eastAsia="Times New Roman" w:hAnsi="Palatino Linotype" w:cs="Arial"/>
          <w:sz w:val="24"/>
          <w:szCs w:val="24"/>
        </w:rPr>
        <w:t>haga entrega</w:t>
      </w:r>
      <w:r w:rsidR="008D28FC">
        <w:rPr>
          <w:rFonts w:ascii="Palatino Linotype" w:eastAsia="Times New Roman" w:hAnsi="Palatino Linotype" w:cs="Arial"/>
          <w:sz w:val="24"/>
          <w:szCs w:val="24"/>
        </w:rPr>
        <w:t xml:space="preserve"> en su caso</w:t>
      </w:r>
      <w:r w:rsidR="00AA17EB">
        <w:rPr>
          <w:rFonts w:ascii="Palatino Linotype" w:eastAsia="Times New Roman" w:hAnsi="Palatino Linotype" w:cs="Arial"/>
          <w:sz w:val="24"/>
          <w:szCs w:val="24"/>
        </w:rPr>
        <w:t xml:space="preserve"> de la información solicitada, en términos del Considerando </w:t>
      </w:r>
      <w:r w:rsidR="00AA17EB" w:rsidRPr="00AA17EB">
        <w:rPr>
          <w:rFonts w:ascii="Palatino Linotype" w:eastAsia="Times New Roman" w:hAnsi="Palatino Linotype" w:cs="Arial"/>
          <w:b/>
          <w:sz w:val="24"/>
          <w:szCs w:val="24"/>
        </w:rPr>
        <w:t>QUINTO</w:t>
      </w:r>
      <w:r w:rsidR="00CF5C44">
        <w:rPr>
          <w:rFonts w:ascii="Palatino Linotype" w:eastAsia="Times New Roman" w:hAnsi="Palatino Linotype" w:cs="Arial"/>
          <w:sz w:val="24"/>
          <w:szCs w:val="24"/>
        </w:rPr>
        <w:t xml:space="preserve">, </w:t>
      </w:r>
      <w:r w:rsidR="00AA17EB" w:rsidRPr="00584718">
        <w:rPr>
          <w:rFonts w:ascii="Palatino Linotype" w:eastAsia="Times New Roman" w:hAnsi="Palatino Linotype" w:cs="Arial"/>
          <w:sz w:val="24"/>
          <w:szCs w:val="24"/>
        </w:rPr>
        <w:t>a través del</w:t>
      </w:r>
      <w:r w:rsidR="00AA17EB">
        <w:rPr>
          <w:rFonts w:ascii="Palatino Linotype" w:hAnsi="Palatino Linotype" w:cs="Arial"/>
          <w:sz w:val="24"/>
          <w:szCs w:val="24"/>
        </w:rPr>
        <w:t xml:space="preserve"> 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718ED908" w14:textId="77777777" w:rsidR="00D41B0F" w:rsidRPr="0058435B" w:rsidRDefault="00D41B0F" w:rsidP="00D41B0F">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 xml:space="preserve">la presente resolución al Titular de la Unidad de Transparencia del Sujeto Obligado, para que conforme al artículo 186 último párrafo y 189 segundo párrafo de la Ley de Transparencia y Acceso a la Información Pública del Estado de México y </w:t>
      </w:r>
      <w:proofErr w:type="gramStart"/>
      <w:r w:rsidRPr="0058435B">
        <w:rPr>
          <w:rFonts w:ascii="Palatino Linotype" w:eastAsia="Times New Roman" w:hAnsi="Palatino Linotype" w:cs="Times New Roman"/>
          <w:sz w:val="24"/>
          <w:szCs w:val="24"/>
          <w:lang w:eastAsia="es-ES"/>
        </w:rPr>
        <w:t>Municipios,</w:t>
      </w:r>
      <w:proofErr w:type="gramEnd"/>
      <w:r w:rsidRPr="0058435B">
        <w:rPr>
          <w:rFonts w:ascii="Palatino Linotype" w:eastAsia="Times New Roman" w:hAnsi="Palatino Linotype" w:cs="Times New Roman"/>
          <w:sz w:val="24"/>
          <w:szCs w:val="24"/>
          <w:lang w:eastAsia="es-ES"/>
        </w:rPr>
        <w:t xml:space="preserve">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 xml:space="preserve">la presente resolución y hágase de su conocimiento que en caso de considerar que le causa algún perjuicio, podrá promover el Juicio de Amparo en los términos de las leyes aplicables, </w:t>
      </w:r>
      <w:proofErr w:type="gramStart"/>
      <w:r w:rsidRPr="00584718">
        <w:rPr>
          <w:rFonts w:ascii="Palatino Linotype" w:hAnsi="Palatino Linotype" w:cs="Arial"/>
          <w:sz w:val="24"/>
          <w:szCs w:val="24"/>
        </w:rPr>
        <w:t>de acuerdo a</w:t>
      </w:r>
      <w:proofErr w:type="gramEnd"/>
      <w:r w:rsidRPr="00584718">
        <w:rPr>
          <w:rFonts w:ascii="Palatino Linotype" w:hAnsi="Palatino Linotype" w:cs="Arial"/>
          <w:sz w:val="24"/>
          <w:szCs w:val="24"/>
        </w:rPr>
        <w:t xml:space="preserve">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69FFD752"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lastRenderedPageBreak/>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6F454CF" w14:textId="366651E1" w:rsidR="00A87BAA" w:rsidRDefault="00A87BAA" w:rsidP="004D3D74">
      <w:pPr>
        <w:autoSpaceDE w:val="0"/>
        <w:autoSpaceDN w:val="0"/>
        <w:adjustRightInd w:val="0"/>
        <w:spacing w:after="0" w:line="360" w:lineRule="auto"/>
        <w:jc w:val="both"/>
        <w:rPr>
          <w:rFonts w:ascii="Palatino Linotype" w:eastAsia="MS Mincho" w:hAnsi="Palatino Linotype" w:cs="Times New Roman"/>
          <w:sz w:val="24"/>
        </w:rPr>
      </w:pPr>
    </w:p>
    <w:p w14:paraId="3BAD2FFD" w14:textId="412A4232" w:rsidR="00A87BAA" w:rsidRPr="00A87BAA" w:rsidRDefault="00A87BAA" w:rsidP="00A87BAA">
      <w:pPr>
        <w:spacing w:after="0" w:line="360" w:lineRule="auto"/>
        <w:jc w:val="both"/>
        <w:rPr>
          <w:rFonts w:ascii="Palatino Linotype" w:eastAsia="Calibri" w:hAnsi="Palatino Linotype" w:cs="Times New Roman"/>
          <w:b/>
          <w:sz w:val="24"/>
          <w:szCs w:val="24"/>
          <w:lang w:eastAsia="es-ES_tradnl"/>
        </w:rPr>
      </w:pPr>
      <w:bookmarkStart w:id="0"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0"/>
    <w:p w14:paraId="6EA73E83" w14:textId="77777777" w:rsidR="002D1BF2" w:rsidRDefault="002D1BF2"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1CA9C198"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8D28FC">
        <w:rPr>
          <w:rFonts w:ascii="Palatino Linotype" w:hAnsi="Palatino Linotype" w:cs="Arial"/>
          <w:sz w:val="24"/>
          <w:szCs w:val="24"/>
        </w:rPr>
        <w:t xml:space="preserve"> (VOTO PARTICULAR)</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6F69FE" w:rsidRPr="00540ECC">
        <w:rPr>
          <w:rFonts w:ascii="Palatino Linotype" w:hAnsi="Palatino Linotype" w:cs="Arial"/>
          <w:sz w:val="24"/>
          <w:szCs w:val="24"/>
        </w:rPr>
        <w:t>S</w:t>
      </w:r>
      <w:r w:rsidR="00540ECC">
        <w:rPr>
          <w:rFonts w:ascii="Palatino Linotype" w:hAnsi="Palatino Linotype" w:cs="Arial"/>
          <w:sz w:val="24"/>
          <w:szCs w:val="24"/>
        </w:rPr>
        <w:t>ÉPTIMA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540ECC">
        <w:rPr>
          <w:rFonts w:ascii="Palatino Linotype" w:hAnsi="Palatino Linotype" w:cs="Arial"/>
          <w:sz w:val="24"/>
          <w:szCs w:val="24"/>
        </w:rPr>
        <w:t>VEINTISÉIS</w:t>
      </w:r>
      <w:r w:rsidR="004D3D74" w:rsidRPr="00540ECC">
        <w:rPr>
          <w:rFonts w:ascii="Palatino Linotype" w:hAnsi="Palatino Linotype" w:cs="Arial"/>
          <w:sz w:val="24"/>
          <w:szCs w:val="24"/>
        </w:rPr>
        <w:t xml:space="preserve"> DE FEBRERO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p>
    <w:p w14:paraId="75A6F32E" w14:textId="77777777" w:rsidR="00F01E46" w:rsidRPr="00AA17EB" w:rsidRDefault="00F01E46"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22356B9A"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540ECC">
        <w:rPr>
          <w:rFonts w:ascii="Palatino Linotype" w:hAnsi="Palatino Linotype" w:cs="Arial"/>
          <w:sz w:val="16"/>
          <w:szCs w:val="16"/>
        </w:rPr>
        <w:t>veintiséis</w:t>
      </w:r>
      <w:r w:rsidR="004D3D74" w:rsidRPr="00540ECC">
        <w:rPr>
          <w:rFonts w:ascii="Palatino Linotype" w:hAnsi="Palatino Linotype" w:cs="Arial"/>
          <w:sz w:val="16"/>
          <w:szCs w:val="16"/>
        </w:rPr>
        <w:t xml:space="preserve"> de febrero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540ECC" w:rsidRPr="00540ECC">
        <w:rPr>
          <w:rFonts w:ascii="Palatino Linotype" w:hAnsi="Palatino Linotype" w:cs="Arial"/>
          <w:b/>
          <w:bCs/>
          <w:sz w:val="16"/>
          <w:szCs w:val="16"/>
          <w:lang w:eastAsia="es-MX"/>
        </w:rPr>
        <w:t>09600/INFOEM/IP/RR/2019</w:t>
      </w:r>
      <w:r w:rsidRPr="000510FC">
        <w:rPr>
          <w:rFonts w:ascii="Palatino Linotype" w:hAnsi="Palatino Linotype" w:cs="Arial"/>
          <w:bCs/>
          <w:sz w:val="16"/>
          <w:szCs w:val="16"/>
          <w:lang w:eastAsia="es-MX"/>
        </w:rPr>
        <w:t>.</w:t>
      </w:r>
    </w:p>
    <w:p w14:paraId="345214E0" w14:textId="01C5581B"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40ECC">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A039B" w14:textId="77777777" w:rsidR="00FC2E69" w:rsidRDefault="00FC2E69" w:rsidP="006168E4">
      <w:pPr>
        <w:spacing w:after="0" w:line="240" w:lineRule="auto"/>
      </w:pPr>
      <w:r>
        <w:separator/>
      </w:r>
    </w:p>
  </w:endnote>
  <w:endnote w:type="continuationSeparator" w:id="0">
    <w:p w14:paraId="56519CBB" w14:textId="77777777" w:rsidR="00FC2E69" w:rsidRDefault="00FC2E6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5C4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5C4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2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3282">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3EA8D" w14:textId="77777777" w:rsidR="00FC2E69" w:rsidRDefault="00FC2E69" w:rsidP="006168E4">
      <w:pPr>
        <w:spacing w:after="0" w:line="240" w:lineRule="auto"/>
      </w:pPr>
      <w:r>
        <w:separator/>
      </w:r>
    </w:p>
  </w:footnote>
  <w:footnote w:type="continuationSeparator" w:id="0">
    <w:p w14:paraId="556CFC37" w14:textId="77777777" w:rsidR="00FC2E69" w:rsidRDefault="00FC2E69" w:rsidP="006168E4">
      <w:pPr>
        <w:spacing w:after="0" w:line="240" w:lineRule="auto"/>
      </w:pPr>
      <w:r>
        <w:continuationSeparator/>
      </w:r>
    </w:p>
  </w:footnote>
  <w:footnote w:id="1">
    <w:p w14:paraId="358E8308" w14:textId="77777777" w:rsidR="00E72465" w:rsidRDefault="00E72465" w:rsidP="00E72465">
      <w:pPr>
        <w:pStyle w:val="Textonotapie"/>
        <w:jc w:val="both"/>
        <w:rPr>
          <w:rFonts w:ascii="Calibri" w:hAnsi="Calibri"/>
        </w:rPr>
      </w:pPr>
      <w:r>
        <w:rPr>
          <w:rStyle w:val="Refdenotaalpie"/>
        </w:rPr>
        <w:footnoteRef/>
      </w:r>
      <w:r>
        <w:t xml:space="preserve"> </w:t>
      </w:r>
      <w:r>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3745956F" w14:textId="77777777" w:rsidR="00E72465" w:rsidRDefault="00E72465" w:rsidP="00E72465">
      <w:pPr>
        <w:pStyle w:val="Textonotapie"/>
        <w:jc w:val="both"/>
      </w:pPr>
      <w:r>
        <w:rPr>
          <w:rStyle w:val="Refdenotaalpie"/>
        </w:rPr>
        <w:footnoteRef/>
      </w:r>
      <w:r>
        <w:t xml:space="preserve"> </w:t>
      </w:r>
      <w:r>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0382A0C4" w14:textId="77777777" w:rsidR="00E72465" w:rsidRDefault="00E72465" w:rsidP="00E72465">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3ro, fracción XXXIII, de la Ley de Transparencia y Acceso a la Información Pública del Estado de México y Municipios.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14:paraId="455E1FB9" w14:textId="77777777" w:rsidR="00E72465" w:rsidRDefault="00E72465" w:rsidP="00E72465">
      <w:pPr>
        <w:pStyle w:val="Textonotapie"/>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132 de la Ley de Transparencia y Acceso a la Información Pública del Estado de México y Municipios.</w:t>
      </w:r>
    </w:p>
  </w:footnote>
  <w:footnote w:id="5">
    <w:p w14:paraId="46F3CF9A" w14:textId="77777777" w:rsidR="00E72465" w:rsidRDefault="00E72465" w:rsidP="00E72465">
      <w:pPr>
        <w:pStyle w:val="Textonotapie"/>
        <w:jc w:val="both"/>
        <w:rPr>
          <w:rFonts w:ascii="Calibri" w:hAnsi="Calibri"/>
        </w:rPr>
      </w:pPr>
      <w:r>
        <w:rPr>
          <w:rStyle w:val="Refdenotaalpie"/>
        </w:rPr>
        <w:footnoteRef/>
      </w:r>
      <w:r>
        <w:t xml:space="preserve"> </w:t>
      </w:r>
      <w:r>
        <w:rPr>
          <w:rFonts w:ascii="Palatino Linotype" w:hAnsi="Palatino Linotype"/>
          <w:sz w:val="16"/>
          <w:szCs w:val="16"/>
        </w:rPr>
        <w:t xml:space="preserve">Registro, </w:t>
      </w:r>
      <w:r>
        <w:rPr>
          <w:rFonts w:ascii="Palatino Linotype" w:hAnsi="Palatino Linotype"/>
          <w:sz w:val="16"/>
          <w:szCs w:val="16"/>
          <w:lang w:val="es-ES"/>
        </w:rPr>
        <w:t>2, 006,299. I.1o.A.E.3 K (10a.). Tribunales Colegiados de Circuito. Décima Época. Gaceta del Semanario Judicial de la Federación. Libro 5, Abril de 2014, Pág. 1523.</w:t>
      </w:r>
    </w:p>
  </w:footnote>
  <w:footnote w:id="6">
    <w:p w14:paraId="12702728" w14:textId="77777777" w:rsidR="00E72465" w:rsidRDefault="00E72465" w:rsidP="00E72465">
      <w:pPr>
        <w:pStyle w:val="Textonotapie"/>
        <w:jc w:val="both"/>
      </w:pPr>
      <w:r>
        <w:rPr>
          <w:rStyle w:val="Refdenotaalpie"/>
        </w:rPr>
        <w:footnoteRef/>
      </w:r>
      <w:r>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7">
    <w:p w14:paraId="739AE5B2" w14:textId="77777777" w:rsidR="00E72465" w:rsidRDefault="00E72465" w:rsidP="00E72465">
      <w:pPr>
        <w:pStyle w:val="Textonotapie"/>
        <w:jc w:val="both"/>
      </w:pPr>
      <w:r>
        <w:rPr>
          <w:rStyle w:val="Refdenotaalpie"/>
        </w:rPr>
        <w:footnoteRef/>
      </w:r>
      <w:r>
        <w:t xml:space="preserve"> </w:t>
      </w:r>
      <w:r>
        <w:rPr>
          <w:rFonts w:ascii="Palatino Linotype" w:hAnsi="Palatino Linotype"/>
          <w:sz w:val="16"/>
          <w:szCs w:val="16"/>
        </w:rPr>
        <w:t>Artículo 134 de la Ley de Transparencia y Acceso a la Información Pública del Estado de México y Municipios.</w:t>
      </w:r>
    </w:p>
  </w:footnote>
  <w:footnote w:id="8">
    <w:p w14:paraId="186AD866" w14:textId="77777777" w:rsidR="00E72465" w:rsidRDefault="00E72465" w:rsidP="00E72465">
      <w:pPr>
        <w:pStyle w:val="Textonotapie"/>
        <w:jc w:val="both"/>
      </w:pPr>
      <w:r>
        <w:rPr>
          <w:rStyle w:val="Refdenotaalpie"/>
        </w:rPr>
        <w:footnoteRef/>
      </w:r>
      <w:r>
        <w:t xml:space="preserve"> </w:t>
      </w:r>
      <w:r>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D0D1E72" w14:textId="2775C673" w:rsidR="000510FC" w:rsidRPr="00B4142F" w:rsidRDefault="0043455B" w:rsidP="005C14E1">
          <w:pPr>
            <w:spacing w:after="0" w:line="276" w:lineRule="auto"/>
            <w:ind w:left="639" w:right="214"/>
            <w:jc w:val="right"/>
            <w:rPr>
              <w:rFonts w:ascii="Palatino Linotype" w:hAnsi="Palatino Linotype" w:cs="Arial"/>
              <w:szCs w:val="20"/>
            </w:rPr>
          </w:pPr>
          <w:r w:rsidRPr="0043455B">
            <w:rPr>
              <w:rFonts w:ascii="Palatino Linotype" w:hAnsi="Palatino Linotype" w:cs="Arial"/>
              <w:bCs/>
              <w:sz w:val="24"/>
              <w:lang w:eastAsia="es-MX"/>
            </w:rPr>
            <w:t>09600/INFOEM/IP/RR/2019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39CBAD8" w:rsidR="000510FC" w:rsidRPr="00B7426B" w:rsidRDefault="0043455B" w:rsidP="00B7426B">
          <w:pPr>
            <w:spacing w:after="0" w:line="276" w:lineRule="auto"/>
            <w:ind w:left="639" w:right="214"/>
            <w:jc w:val="right"/>
            <w:rPr>
              <w:rFonts w:ascii="Palatino Linotype" w:hAnsi="Palatino Linotype" w:cs="Arial"/>
              <w:szCs w:val="20"/>
            </w:rPr>
          </w:pPr>
          <w:r w:rsidRPr="0043455B">
            <w:rPr>
              <w:rFonts w:ascii="Palatino Linotype" w:hAnsi="Palatino Linotype" w:cs="Arial"/>
              <w:szCs w:val="20"/>
            </w:rPr>
            <w:t>Ayuntamiento de Capulhuac</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127E9BA" w14:textId="1744F800" w:rsidR="000510FC" w:rsidRPr="00B4142F" w:rsidRDefault="0043455B" w:rsidP="005C14E1">
          <w:pPr>
            <w:spacing w:after="0" w:line="276" w:lineRule="auto"/>
            <w:ind w:left="639" w:right="214"/>
            <w:jc w:val="right"/>
            <w:rPr>
              <w:rFonts w:ascii="Palatino Linotype" w:hAnsi="Palatino Linotype" w:cs="Arial"/>
              <w:szCs w:val="20"/>
            </w:rPr>
          </w:pPr>
          <w:r w:rsidRPr="0043455B">
            <w:rPr>
              <w:rFonts w:ascii="Palatino Linotype" w:hAnsi="Palatino Linotype" w:cs="Arial"/>
              <w:bCs/>
              <w:sz w:val="24"/>
              <w:lang w:eastAsia="es-MX"/>
            </w:rPr>
            <w:t>09600/INFOEM/IP/RR/2019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68A5614" w:rsidR="000510FC" w:rsidRPr="00F06FED" w:rsidRDefault="000510FC" w:rsidP="00B7426B">
          <w:pPr>
            <w:spacing w:after="0" w:line="276" w:lineRule="auto"/>
            <w:ind w:left="639" w:right="214"/>
            <w:jc w:val="right"/>
            <w:rPr>
              <w:rFonts w:ascii="Palatino Linotype" w:hAnsi="Palatino Linotype" w:cs="Arial"/>
            </w:rPr>
          </w:pP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5F91DD5" w:rsidR="000510FC" w:rsidRDefault="0043455B" w:rsidP="00B7426B">
          <w:pPr>
            <w:spacing w:after="0" w:line="276" w:lineRule="auto"/>
            <w:ind w:left="639" w:right="214"/>
            <w:jc w:val="right"/>
            <w:rPr>
              <w:rFonts w:ascii="Palatino Linotype" w:hAnsi="Palatino Linotype" w:cs="Arial"/>
              <w:szCs w:val="20"/>
            </w:rPr>
          </w:pPr>
          <w:r w:rsidRPr="0043455B">
            <w:rPr>
              <w:rFonts w:ascii="Palatino Linotype" w:hAnsi="Palatino Linotype" w:cs="Arial"/>
              <w:szCs w:val="20"/>
            </w:rPr>
            <w:t>Ayuntamiento de Capulhuac</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B5351"/>
    <w:rsid w:val="002C06B2"/>
    <w:rsid w:val="002C09FC"/>
    <w:rsid w:val="002C1256"/>
    <w:rsid w:val="002C415A"/>
    <w:rsid w:val="002C4D79"/>
    <w:rsid w:val="002C7515"/>
    <w:rsid w:val="002D1675"/>
    <w:rsid w:val="002D1BF2"/>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1C1"/>
    <w:rsid w:val="004216D8"/>
    <w:rsid w:val="0042285E"/>
    <w:rsid w:val="00423213"/>
    <w:rsid w:val="00424BB4"/>
    <w:rsid w:val="00427F2E"/>
    <w:rsid w:val="00430603"/>
    <w:rsid w:val="0043455B"/>
    <w:rsid w:val="00434F17"/>
    <w:rsid w:val="004374AC"/>
    <w:rsid w:val="00441585"/>
    <w:rsid w:val="004447EE"/>
    <w:rsid w:val="00445D06"/>
    <w:rsid w:val="00446EF7"/>
    <w:rsid w:val="00450A99"/>
    <w:rsid w:val="00454FB3"/>
    <w:rsid w:val="0046044E"/>
    <w:rsid w:val="00461DBA"/>
    <w:rsid w:val="00470022"/>
    <w:rsid w:val="0047027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40ECC"/>
    <w:rsid w:val="005575BB"/>
    <w:rsid w:val="00557A82"/>
    <w:rsid w:val="00562653"/>
    <w:rsid w:val="00562DA8"/>
    <w:rsid w:val="005645BE"/>
    <w:rsid w:val="00567D72"/>
    <w:rsid w:val="00570592"/>
    <w:rsid w:val="005733EB"/>
    <w:rsid w:val="0057689F"/>
    <w:rsid w:val="00582600"/>
    <w:rsid w:val="00584718"/>
    <w:rsid w:val="00585ECB"/>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B6"/>
    <w:rsid w:val="00651AA0"/>
    <w:rsid w:val="006615F9"/>
    <w:rsid w:val="006639E2"/>
    <w:rsid w:val="00666AD1"/>
    <w:rsid w:val="00670673"/>
    <w:rsid w:val="006727F4"/>
    <w:rsid w:val="00673857"/>
    <w:rsid w:val="00676967"/>
    <w:rsid w:val="0069410C"/>
    <w:rsid w:val="00697DD0"/>
    <w:rsid w:val="006A6142"/>
    <w:rsid w:val="006A6BD9"/>
    <w:rsid w:val="006A6C9D"/>
    <w:rsid w:val="006B3076"/>
    <w:rsid w:val="006B7F22"/>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20D9F"/>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0289"/>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28FC"/>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7BAA"/>
    <w:rsid w:val="00A9078E"/>
    <w:rsid w:val="00A91C40"/>
    <w:rsid w:val="00A952D2"/>
    <w:rsid w:val="00A95C3D"/>
    <w:rsid w:val="00AA17EB"/>
    <w:rsid w:val="00AA4738"/>
    <w:rsid w:val="00AA4973"/>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1B0F"/>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465"/>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44CA"/>
    <w:rsid w:val="00FA1884"/>
    <w:rsid w:val="00FA3867"/>
    <w:rsid w:val="00FA4C4E"/>
    <w:rsid w:val="00FA5EBB"/>
    <w:rsid w:val="00FB0C03"/>
    <w:rsid w:val="00FB49F5"/>
    <w:rsid w:val="00FB57F5"/>
    <w:rsid w:val="00FB6EFA"/>
    <w:rsid w:val="00FB7F9C"/>
    <w:rsid w:val="00FC2E69"/>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59093108">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293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58299-5E09-430C-9885-8DAE82069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9235</Words>
  <Characters>50795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2017-07-07T18:23:00Z</cp:lastPrinted>
  <dcterms:created xsi:type="dcterms:W3CDTF">2020-04-15T20:46:00Z</dcterms:created>
  <dcterms:modified xsi:type="dcterms:W3CDTF">2020-04-15T20:46:00Z</dcterms:modified>
</cp:coreProperties>
</file>