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B33B68">
        <w:rPr>
          <w:rFonts w:ascii="Palatino Linotype" w:hAnsi="Palatino Linotype"/>
        </w:rPr>
        <w:t>catorce de agosto</w:t>
      </w:r>
      <w:r w:rsidR="009B4CA8">
        <w:rPr>
          <w:rFonts w:ascii="Palatino Linotype" w:hAnsi="Palatino Linotype"/>
        </w:rPr>
        <w:t xml:space="preserve"> de dos mil diecinueve</w:t>
      </w:r>
      <w:r w:rsidRPr="00E923E3">
        <w:rPr>
          <w:rFonts w:ascii="Palatino Linotype" w:hAnsi="Palatino Linotype"/>
        </w:rPr>
        <w:t>.</w:t>
      </w:r>
    </w:p>
    <w:p w:rsidR="00D80BE8" w:rsidRPr="00E923E3" w:rsidRDefault="00D80BE8" w:rsidP="001266BB">
      <w:pPr>
        <w:pStyle w:val="Sinespaciado"/>
        <w:spacing w:line="360" w:lineRule="auto"/>
        <w:jc w:val="both"/>
        <w:rPr>
          <w:rFonts w:ascii="Palatino Linotype" w:hAnsi="Palatino Linotype"/>
        </w:rPr>
      </w:pP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B33B68" w:rsidRPr="00B33B68">
        <w:rPr>
          <w:rFonts w:ascii="Palatino Linotype" w:hAnsi="Palatino Linotype"/>
          <w:b/>
        </w:rPr>
        <w:t>04875/INFOEM/IP/RR/2019</w:t>
      </w:r>
      <w:r w:rsidRPr="00E923E3">
        <w:rPr>
          <w:rFonts w:ascii="Palatino Linotype" w:hAnsi="Palatino Linotype"/>
        </w:rPr>
        <w:t>, interpuesto por</w:t>
      </w:r>
      <w:r w:rsidR="00AD2FA3">
        <w:rPr>
          <w:rFonts w:ascii="Palatino Linotype" w:hAnsi="Palatino Linotype"/>
        </w:rPr>
        <w:t xml:space="preserve"> el</w:t>
      </w:r>
      <w:r w:rsidR="00845AEA" w:rsidRPr="00E923E3">
        <w:rPr>
          <w:rFonts w:ascii="Palatino Linotype" w:hAnsi="Palatino Linotype"/>
        </w:rPr>
        <w:t xml:space="preserve"> </w:t>
      </w:r>
      <w:r w:rsidR="00845AEA" w:rsidRPr="00E923E3">
        <w:rPr>
          <w:rFonts w:ascii="Palatino Linotype" w:hAnsi="Palatino Linotype"/>
          <w:b/>
        </w:rPr>
        <w:t xml:space="preserve">C. </w:t>
      </w:r>
      <w:r w:rsidR="009C3B75">
        <w:rPr>
          <w:rFonts w:ascii="Palatino Linotype" w:hAnsi="Palatino Linotype"/>
          <w:b/>
        </w:rPr>
        <w:t>xxxxxxxxxxxxxxxxxxxxxxxxx</w:t>
      </w:r>
      <w:r w:rsidR="00B33B68">
        <w:rPr>
          <w:rFonts w:ascii="Palatino Linotype" w:hAnsi="Palatino Linotype"/>
          <w:b/>
        </w:rPr>
        <w:t xml:space="preserve"> </w:t>
      </w:r>
      <w:r w:rsidR="009C3B75">
        <w:rPr>
          <w:rFonts w:ascii="Palatino Linotype" w:hAnsi="Palatino Linotype"/>
          <w:b/>
        </w:rPr>
        <w:t>xxxxxxxxxxxxx</w:t>
      </w:r>
      <w:r w:rsidR="005C0595" w:rsidRPr="00E923E3">
        <w:rPr>
          <w:rFonts w:ascii="Palatino Linotype" w:hAnsi="Palatino Linotype"/>
          <w:b/>
        </w:rPr>
        <w:t xml:space="preserve"> </w:t>
      </w:r>
      <w:r w:rsidRPr="00E923E3">
        <w:rPr>
          <w:rFonts w:ascii="Palatino Linotype" w:hAnsi="Palatino Linotype"/>
        </w:rPr>
        <w:t xml:space="preserve">en lo sucesivo </w:t>
      </w:r>
      <w:r w:rsidR="00AD2FA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B33B68" w:rsidRPr="00B33B68">
        <w:rPr>
          <w:rFonts w:ascii="Palatino Linotype" w:hAnsi="Palatino Linotype"/>
          <w:b/>
        </w:rPr>
        <w:t>Ayuntamiento de Naucalpan de Juárez</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rsidR="00093F4C" w:rsidRPr="00E923E3" w:rsidRDefault="00093F4C" w:rsidP="001266BB">
      <w:pPr>
        <w:pStyle w:val="Sinespaciado"/>
        <w:spacing w:line="360" w:lineRule="auto"/>
        <w:jc w:val="both"/>
        <w:rPr>
          <w:rFonts w:ascii="Palatino Linotype" w:hAnsi="Palatino Linotype"/>
        </w:rPr>
      </w:pPr>
    </w:p>
    <w:p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rsidR="00D80BE8" w:rsidRPr="00E923E3" w:rsidRDefault="00D80BE8" w:rsidP="001266BB">
      <w:pPr>
        <w:pStyle w:val="Sinespaciado"/>
        <w:spacing w:line="360" w:lineRule="auto"/>
        <w:jc w:val="both"/>
        <w:rPr>
          <w:rFonts w:ascii="Palatino Linotype" w:hAnsi="Palatino Linotype"/>
          <w:b/>
        </w:rPr>
      </w:pPr>
    </w:p>
    <w:p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rsidR="00B33B68" w:rsidRDefault="00B33B68" w:rsidP="00B33B68">
      <w:pPr>
        <w:pStyle w:val="Sinespaciado"/>
        <w:spacing w:line="360" w:lineRule="auto"/>
        <w:jc w:val="both"/>
        <w:rPr>
          <w:rFonts w:ascii="Palatino Linotype" w:eastAsia="Calibri" w:hAnsi="Palatino Linotype" w:cs="Arial"/>
        </w:rPr>
      </w:pPr>
      <w:r w:rsidRPr="00B33B68">
        <w:rPr>
          <w:rFonts w:ascii="Palatino Linotype" w:hAnsi="Palatino Linotype" w:cs="Arial"/>
        </w:rPr>
        <w:t>Con</w:t>
      </w:r>
      <w:r w:rsidRPr="00B33B68">
        <w:rPr>
          <w:rFonts w:ascii="Palatino Linotype" w:eastAsia="Calibri" w:hAnsi="Palatino Linotype" w:cs="Arial"/>
        </w:rPr>
        <w:t xml:space="preserve"> fecha </w:t>
      </w:r>
      <w:r>
        <w:rPr>
          <w:rFonts w:ascii="Palatino Linotype" w:eastAsia="Calibri" w:hAnsi="Palatino Linotype" w:cs="Arial"/>
        </w:rPr>
        <w:t>veinticuatro</w:t>
      </w:r>
      <w:r w:rsidRPr="00B33B68">
        <w:rPr>
          <w:rFonts w:ascii="Palatino Linotype" w:eastAsia="Calibri" w:hAnsi="Palatino Linotype" w:cs="Arial"/>
        </w:rPr>
        <w:t xml:space="preserve"> de abril de dos mil diecinueve, </w:t>
      </w:r>
      <w:r w:rsidRPr="00B33B68">
        <w:rPr>
          <w:rFonts w:ascii="Palatino Linotype" w:eastAsia="Calibri" w:hAnsi="Palatino Linotype" w:cs="Arial"/>
          <w:b/>
        </w:rPr>
        <w:t xml:space="preserve">El Recurrente, </w:t>
      </w:r>
      <w:r w:rsidRPr="00B33B68">
        <w:rPr>
          <w:rFonts w:ascii="Palatino Linotype" w:eastAsia="Calibri" w:hAnsi="Palatino Linotype" w:cs="Arial"/>
        </w:rPr>
        <w:t xml:space="preserve">presentó su solicitud de acceso a la información a través de la Plataforma Nacional de Transparencia ante </w:t>
      </w:r>
      <w:r w:rsidRPr="00B33B68">
        <w:rPr>
          <w:rFonts w:ascii="Palatino Linotype" w:eastAsia="Calibri" w:hAnsi="Palatino Linotype" w:cs="Arial"/>
          <w:b/>
        </w:rPr>
        <w:t xml:space="preserve">El Sujeto Obligado, </w:t>
      </w:r>
      <w:r w:rsidRPr="00B33B68">
        <w:rPr>
          <w:rFonts w:ascii="Palatino Linotype" w:eastAsia="Calibri" w:hAnsi="Palatino Linotype" w:cs="Arial"/>
        </w:rPr>
        <w:t xml:space="preserve">solicitud de acceso a la información pública registrada bajo el número de expediente </w:t>
      </w:r>
      <w:r w:rsidRPr="00B33B68">
        <w:rPr>
          <w:rFonts w:ascii="Palatino Linotype" w:eastAsia="Calibri" w:hAnsi="Palatino Linotype" w:cs="Arial"/>
          <w:b/>
        </w:rPr>
        <w:t xml:space="preserve">00255/NAUCALPA/IP/2019, </w:t>
      </w:r>
      <w:r w:rsidRPr="00B33B68">
        <w:rPr>
          <w:rFonts w:ascii="Palatino Linotype" w:eastAsia="Calibri" w:hAnsi="Palatino Linotype" w:cs="Arial"/>
        </w:rPr>
        <w:t>mediante la cual solicitó información en el tenor siguiente:</w:t>
      </w:r>
    </w:p>
    <w:p w:rsidR="00B33B68" w:rsidRDefault="00B33B68" w:rsidP="00B33B68">
      <w:pPr>
        <w:pStyle w:val="Sinespaciado"/>
        <w:spacing w:line="360" w:lineRule="auto"/>
        <w:jc w:val="both"/>
        <w:rPr>
          <w:rFonts w:ascii="Palatino Linotype" w:eastAsia="Calibri" w:hAnsi="Palatino Linotype" w:cs="Arial"/>
        </w:rPr>
      </w:pPr>
    </w:p>
    <w:p w:rsidR="00B33B68" w:rsidRPr="00B33B68" w:rsidRDefault="00B33B68" w:rsidP="00A84F50">
      <w:pPr>
        <w:pStyle w:val="Sinespaciado"/>
        <w:spacing w:line="360" w:lineRule="auto"/>
        <w:jc w:val="both"/>
        <w:rPr>
          <w:rFonts w:ascii="Palatino Linotype" w:eastAsia="Calibri" w:hAnsi="Palatino Linotype" w:cs="Arial"/>
        </w:rPr>
      </w:pPr>
      <w:r w:rsidRPr="00B33B68">
        <w:rPr>
          <w:rFonts w:ascii="Palatino Linotype" w:eastAsia="Calibri" w:hAnsi="Palatino Linotype" w:cs="Arial"/>
          <w:noProof/>
          <w:lang w:eastAsia="es-MX"/>
        </w:rPr>
        <w:drawing>
          <wp:inline distT="0" distB="0" distL="0" distR="0" wp14:anchorId="160AF001" wp14:editId="1BA93DA3">
            <wp:extent cx="5760720" cy="895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95985"/>
                    </a:xfrm>
                    <a:prstGeom prst="rect">
                      <a:avLst/>
                    </a:prstGeom>
                  </pic:spPr>
                </pic:pic>
              </a:graphicData>
            </a:graphic>
          </wp:inline>
        </w:drawing>
      </w:r>
    </w:p>
    <w:p w:rsidR="00B33B68" w:rsidRDefault="00B33B68" w:rsidP="00B33B68">
      <w:pPr>
        <w:spacing w:before="240" w:after="240" w:line="360" w:lineRule="auto"/>
        <w:jc w:val="both"/>
        <w:rPr>
          <w:rFonts w:ascii="Palatino Linotype" w:eastAsia="Calibri" w:hAnsi="Palatino Linotype" w:cs="Arial"/>
          <w:sz w:val="24"/>
        </w:rPr>
      </w:pPr>
      <w:r w:rsidRPr="00B33B68">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Pr="00B33B68">
        <w:rPr>
          <w:rFonts w:ascii="Palatino Linotype" w:eastAsia="Calibri" w:hAnsi="Palatino Linotype" w:cs="Arial"/>
          <w:b/>
          <w:sz w:val="24"/>
        </w:rPr>
        <w:t xml:space="preserve">El Recurrente </w:t>
      </w:r>
      <w:r w:rsidRPr="00B33B68">
        <w:rPr>
          <w:rFonts w:ascii="Palatino Linotype" w:eastAsia="Calibri" w:hAnsi="Palatino Linotype" w:cs="Arial"/>
          <w:sz w:val="24"/>
        </w:rPr>
        <w:t xml:space="preserve">eligió como modalidad de entrega de la información solicitada al sistema de solicitudes de acceso a la información de la PNT, como se observa a continuación: </w:t>
      </w:r>
    </w:p>
    <w:p w:rsidR="006A3AFB" w:rsidRPr="00A84F50" w:rsidRDefault="009C3B75" w:rsidP="00A84F50">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extent cx="5762625" cy="590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7333"/>
                    <a:stretch/>
                  </pic:blipFill>
                  <pic:spPr bwMode="auto">
                    <a:xfrm>
                      <a:off x="0" y="0"/>
                      <a:ext cx="5762625" cy="590550"/>
                    </a:xfrm>
                    <a:prstGeom prst="rect">
                      <a:avLst/>
                    </a:prstGeom>
                    <a:noFill/>
                    <a:ln>
                      <a:noFill/>
                    </a:ln>
                    <a:extLst>
                      <a:ext uri="{53640926-AAD7-44D8-BBD7-CCE9431645EC}">
                        <a14:shadowObscured xmlns:a14="http://schemas.microsoft.com/office/drawing/2010/main"/>
                      </a:ext>
                    </a:extLst>
                  </pic:spPr>
                </pic:pic>
              </a:graphicData>
            </a:graphic>
          </wp:inline>
        </w:drawing>
      </w:r>
    </w:p>
    <w:p w:rsidR="009B4CA8" w:rsidRPr="00E923E3" w:rsidRDefault="009B4CA8" w:rsidP="009E3A4B">
      <w:pPr>
        <w:pStyle w:val="Sinespaciado"/>
        <w:spacing w:line="360" w:lineRule="auto"/>
        <w:jc w:val="both"/>
        <w:rPr>
          <w:rFonts w:ascii="Palatino Linotype" w:hAnsi="Palatino Linotype"/>
          <w:lang w:val="es-ES_tradnl"/>
        </w:rPr>
      </w:pPr>
    </w:p>
    <w:p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 xml:space="preserve">se observa que </w:t>
      </w:r>
      <w:r w:rsidRPr="00B33B68">
        <w:rPr>
          <w:rFonts w:ascii="Palatino Linotype" w:hAnsi="Palatino Linotype" w:cs="Arial"/>
          <w:b/>
          <w:bCs/>
        </w:rPr>
        <w:t>el Sujeto Obligado</w:t>
      </w:r>
      <w:r w:rsidRPr="00E923E3">
        <w:rPr>
          <w:rFonts w:ascii="Palatino Linotype" w:hAnsi="Palatino Linotype" w:cs="Arial"/>
        </w:rPr>
        <w:t xml:space="preserve"> fue omiso en su en dar respuesta a la solicitud de información.</w:t>
      </w:r>
    </w:p>
    <w:p w:rsidR="00800F02" w:rsidRPr="00E923E3" w:rsidRDefault="00800F02" w:rsidP="009E3A4B">
      <w:pPr>
        <w:pStyle w:val="Sinespaciado"/>
        <w:spacing w:line="360" w:lineRule="auto"/>
        <w:jc w:val="both"/>
        <w:rPr>
          <w:rFonts w:ascii="Palatino Linotype" w:hAnsi="Palatino Linotype" w:cs="Arial"/>
          <w:b/>
        </w:rPr>
      </w:pPr>
    </w:p>
    <w:p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B33B68">
        <w:rPr>
          <w:rFonts w:ascii="Palatino Linotype" w:hAnsi="Palatino Linotype" w:cs="Arial"/>
        </w:rPr>
        <w:t>veintiocho de mayo</w:t>
      </w:r>
      <w:r w:rsidR="009B4CA8">
        <w:rPr>
          <w:rFonts w:ascii="Palatino Linotype" w:hAnsi="Palatino Linotype" w:cs="Arial"/>
        </w:rPr>
        <w:t xml:space="preserve"> de dos mil diecinueve</w:t>
      </w:r>
      <w:r w:rsidR="008A5787" w:rsidRPr="00E923E3">
        <w:rPr>
          <w:rFonts w:ascii="Palatino Linotype" w:hAnsi="Palatino Linotype" w:cs="Arial"/>
        </w:rPr>
        <w:t xml:space="preserve">, </w:t>
      </w:r>
      <w:r w:rsidR="009B4CA8">
        <w:rPr>
          <w:rFonts w:ascii="Palatino Linotype" w:hAnsi="Palatino Linotype" w:cs="Arial"/>
        </w:rPr>
        <w:t>el</w:t>
      </w:r>
      <w:r w:rsidR="00775A1A" w:rsidRPr="00E923E3">
        <w:rPr>
          <w:rFonts w:ascii="Palatino Linotype" w:hAnsi="Palatino Linotype" w:cs="Arial"/>
        </w:rPr>
        <w:t xml:space="preserve"> </w:t>
      </w:r>
      <w:r w:rsidR="008A5787" w:rsidRPr="009B4CA8">
        <w:rPr>
          <w:rFonts w:ascii="Palatino Linotype" w:hAnsi="Palatino Linotype" w:cs="Arial"/>
          <w:b/>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B33B68" w:rsidRPr="00B33B68">
        <w:rPr>
          <w:rFonts w:ascii="Palatino Linotype" w:hAnsi="Palatino Linotype" w:cs="Arial"/>
          <w:b/>
        </w:rPr>
        <w:t>04875/INFOEM/IP/RR/2019</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rsidR="00514740" w:rsidRPr="00E923E3" w:rsidRDefault="00514740" w:rsidP="009E3A4B">
      <w:pPr>
        <w:pStyle w:val="Sinespaciado"/>
        <w:spacing w:line="360" w:lineRule="auto"/>
        <w:jc w:val="both"/>
        <w:rPr>
          <w:rFonts w:ascii="Palatino Linotype" w:hAnsi="Palatino Linotype" w:cs="Arial"/>
        </w:rPr>
      </w:pPr>
    </w:p>
    <w:p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B33B68" w:rsidRPr="00B33B68">
        <w:rPr>
          <w:rFonts w:ascii="Palatino Linotype" w:hAnsi="Palatino Linotype"/>
          <w:i/>
          <w:sz w:val="22"/>
          <w:szCs w:val="22"/>
        </w:rPr>
        <w:t>Se ingreso la solicitud a través de la plataforma nacional de Transparencia , en fecha 24 de Abril de 2019, sin que al momento no de tenga la respuesta a lo solicitado, ya sea de manera afirmativa o negativa, por lo cual, se recurre a este medio.</w:t>
      </w:r>
      <w:r w:rsidR="006A3AFB" w:rsidRPr="00E923E3">
        <w:rPr>
          <w:rFonts w:ascii="Palatino Linotype" w:hAnsi="Palatino Linotype"/>
          <w:i/>
          <w:sz w:val="22"/>
          <w:szCs w:val="22"/>
        </w:rPr>
        <w:t xml:space="preserve">” (Sic) </w:t>
      </w:r>
    </w:p>
    <w:p w:rsidR="001C63D8" w:rsidRPr="00E923E3" w:rsidRDefault="001C63D8" w:rsidP="009E3A4B">
      <w:pPr>
        <w:pStyle w:val="Sinespaciado"/>
        <w:spacing w:line="360" w:lineRule="auto"/>
        <w:jc w:val="both"/>
        <w:rPr>
          <w:rFonts w:ascii="Palatino Linotype" w:hAnsi="Palatino Linotype" w:cs="Arial"/>
        </w:rPr>
      </w:pPr>
    </w:p>
    <w:p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rsidR="001C63D8" w:rsidRDefault="001C63D8" w:rsidP="003068B5">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lastRenderedPageBreak/>
        <w:t>“</w:t>
      </w:r>
      <w:r w:rsidR="00B33B68" w:rsidRPr="00B33B68">
        <w:rPr>
          <w:rFonts w:ascii="Palatino Linotype" w:hAnsi="Palatino Linotype"/>
          <w:i/>
          <w:sz w:val="22"/>
          <w:szCs w:val="22"/>
        </w:rPr>
        <w:t>Se ingreso la solicitud a través de la plataforma nacional de Transparencia , en fecha 24 de Abril de 2019, sin que al momento no de tenga la respuesta a lo solicitado, ya sea de manera afirmativa o negativa, por lo cual, se recurre a este medio.</w:t>
      </w:r>
      <w:r w:rsidR="006A3AFB" w:rsidRPr="00E923E3">
        <w:rPr>
          <w:rFonts w:ascii="Palatino Linotype" w:hAnsi="Palatino Linotype"/>
          <w:i/>
          <w:sz w:val="22"/>
          <w:szCs w:val="22"/>
        </w:rPr>
        <w:t xml:space="preserve">” (Sic) </w:t>
      </w:r>
    </w:p>
    <w:p w:rsidR="00685CEB" w:rsidRPr="00E923E3" w:rsidRDefault="00685CEB" w:rsidP="003068B5">
      <w:pPr>
        <w:pStyle w:val="Sinespaciado"/>
        <w:ind w:left="567" w:right="567"/>
        <w:jc w:val="both"/>
        <w:rPr>
          <w:rFonts w:ascii="Palatino Linotype" w:hAnsi="Palatino Linotype"/>
          <w:i/>
          <w:sz w:val="22"/>
          <w:szCs w:val="22"/>
          <w:lang w:eastAsia="es-MX"/>
        </w:rPr>
      </w:pPr>
    </w:p>
    <w:p w:rsidR="00F704C4" w:rsidRPr="00E923E3" w:rsidRDefault="00F704C4" w:rsidP="009E3A4B">
      <w:pPr>
        <w:pStyle w:val="Sinespaciado"/>
        <w:spacing w:line="360" w:lineRule="auto"/>
        <w:jc w:val="both"/>
        <w:rPr>
          <w:rFonts w:ascii="Palatino Linotype" w:hAnsi="Palatino Linotype"/>
          <w:b/>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rsidR="001032D4"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581E98">
        <w:rPr>
          <w:rFonts w:ascii="Palatino Linotype" w:hAnsi="Palatino Linotype"/>
        </w:rPr>
        <w:t>tres de junio</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E923E3" w:rsidRDefault="006B2FB8" w:rsidP="009E3A4B">
      <w:pPr>
        <w:pStyle w:val="Sinespaciado"/>
        <w:spacing w:line="360" w:lineRule="auto"/>
        <w:jc w:val="both"/>
        <w:rPr>
          <w:rFonts w:ascii="Palatino Linotype" w:hAnsi="Palatino Linotype"/>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9B4CA8">
        <w:rPr>
          <w:rFonts w:ascii="Palatino Linotype" w:hAnsi="Palatino Linotype" w:cs="Arial"/>
        </w:rPr>
        <w:t xml:space="preserve"> en el sumario se observa que el</w:t>
      </w:r>
      <w:r w:rsidRPr="00E72574">
        <w:rPr>
          <w:rFonts w:ascii="Palatino Linotype" w:hAnsi="Palatino Linotype" w:cs="Arial"/>
        </w:rPr>
        <w:t xml:space="preserve"> </w:t>
      </w:r>
      <w:r w:rsidRPr="009B4CA8">
        <w:rPr>
          <w:rFonts w:ascii="Palatino Linotype" w:hAnsi="Palatino Linotype" w:cs="Arial"/>
          <w:b/>
        </w:rPr>
        <w:t>Recurrente</w:t>
      </w:r>
      <w:r w:rsidRPr="00E72574">
        <w:rPr>
          <w:rFonts w:ascii="Palatino Linotype" w:hAnsi="Palatino Linotype" w:cs="Arial"/>
        </w:rPr>
        <w:t xml:space="preserve"> no presentó pruebas, realizó manifestaciones ni vertió alegatos que a su derecho conviniera. Por su parte el </w:t>
      </w:r>
      <w:r w:rsidRPr="009B4CA8">
        <w:rPr>
          <w:rFonts w:ascii="Palatino Linotype" w:hAnsi="Palatino Linotype" w:cs="Arial"/>
          <w:b/>
        </w:rPr>
        <w:t>Sujeto Obligado</w:t>
      </w:r>
      <w:r w:rsidRPr="00E72574">
        <w:rPr>
          <w:rFonts w:ascii="Palatino Linotype" w:hAnsi="Palatino Linotype" w:cs="Arial"/>
        </w:rPr>
        <w:t xml:space="preserve"> omitió rendir su Informe Justificado, como se observa en la siguiente captura de pantalla:</w:t>
      </w:r>
    </w:p>
    <w:p w:rsidR="00E72574" w:rsidRDefault="00581E98" w:rsidP="00581E98">
      <w:pPr>
        <w:pStyle w:val="Sinespaciado"/>
        <w:jc w:val="center"/>
        <w:rPr>
          <w:rFonts w:ascii="Palatino Linotype" w:hAnsi="Palatino Linotype" w:cs="Arial"/>
        </w:rPr>
      </w:pPr>
      <w:r w:rsidRPr="00581E98">
        <w:rPr>
          <w:rFonts w:ascii="Palatino Linotype" w:hAnsi="Palatino Linotype" w:cs="Arial"/>
          <w:noProof/>
          <w:lang w:eastAsia="es-MX"/>
        </w:rPr>
        <w:lastRenderedPageBreak/>
        <w:drawing>
          <wp:inline distT="0" distB="0" distL="0" distR="0" wp14:anchorId="0B7366EF" wp14:editId="2F65AA2B">
            <wp:extent cx="5068547" cy="1416311"/>
            <wp:effectExtent l="190500" t="190500" r="189865" b="1841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4859" cy="1437635"/>
                    </a:xfrm>
                    <a:prstGeom prst="rect">
                      <a:avLst/>
                    </a:prstGeom>
                    <a:noFill/>
                    <a:ln>
                      <a:noFill/>
                    </a:ln>
                    <a:effectLst>
                      <a:outerShdw blurRad="190500" algn="ctr" rotWithShape="0">
                        <a:prstClr val="black">
                          <a:alpha val="70000"/>
                        </a:prstClr>
                      </a:outerShdw>
                    </a:effectLst>
                  </pic:spPr>
                </pic:pic>
              </a:graphicData>
            </a:graphic>
          </wp:inline>
        </w:drawing>
      </w:r>
    </w:p>
    <w:p w:rsidR="00E72574" w:rsidRPr="00E923E3" w:rsidRDefault="00E72574" w:rsidP="009E3A4B">
      <w:pPr>
        <w:pStyle w:val="Sinespaciado"/>
        <w:spacing w:line="360" w:lineRule="auto"/>
        <w:jc w:val="both"/>
        <w:rPr>
          <w:rFonts w:ascii="Palatino Linotype" w:hAnsi="Palatino Linotype"/>
        </w:rPr>
      </w:pPr>
    </w:p>
    <w:p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rsidR="007C0F23"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581E98">
        <w:rPr>
          <w:rFonts w:ascii="Palatino Linotype" w:hAnsi="Palatino Linotype"/>
        </w:rPr>
        <w:t>diecisiete de junio</w:t>
      </w:r>
      <w:r w:rsidR="00446697">
        <w:rPr>
          <w:rFonts w:ascii="Palatino Linotype" w:hAnsi="Palatino Linotype"/>
        </w:rPr>
        <w:t xml:space="preserve"> de dos mil diecinueve</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47387" w:rsidRPr="00E923E3" w:rsidRDefault="00147387" w:rsidP="009E3A4B">
      <w:pPr>
        <w:pStyle w:val="Sinespaciado"/>
        <w:spacing w:line="360" w:lineRule="auto"/>
        <w:jc w:val="both"/>
        <w:rPr>
          <w:rFonts w:ascii="Palatino Linotype" w:hAnsi="Palatino Linotype"/>
        </w:rPr>
      </w:pPr>
    </w:p>
    <w:p w:rsidR="00147387" w:rsidRDefault="00147387" w:rsidP="00583BE6">
      <w:pPr>
        <w:pStyle w:val="Sinespaciado"/>
        <w:spacing w:line="360" w:lineRule="auto"/>
        <w:rPr>
          <w:rFonts w:ascii="Palatino Linotype" w:hAnsi="Palatino Linotype"/>
          <w:b/>
          <w:color w:val="FF0000"/>
          <w:sz w:val="26"/>
          <w:szCs w:val="26"/>
        </w:rPr>
      </w:pPr>
    </w:p>
    <w:p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t>C O N S I D E R A N D O</w:t>
      </w:r>
    </w:p>
    <w:p w:rsidR="000E3A84" w:rsidRPr="00E923E3" w:rsidRDefault="000E3A84"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w:t>
      </w:r>
      <w:r w:rsidR="00315383">
        <w:rPr>
          <w:rFonts w:ascii="Palatino Linotype" w:hAnsi="Palatino Linotype"/>
        </w:rPr>
        <w:t xml:space="preserve"> segundo</w:t>
      </w:r>
      <w:r w:rsidR="00F00E9D" w:rsidRPr="00E923E3">
        <w:rPr>
          <w:rFonts w:ascii="Palatino Linotype" w:hAnsi="Palatino Linotype"/>
        </w:rPr>
        <w:t xml:space="preserve">, </w:t>
      </w:r>
      <w:r w:rsidR="00F00E9D" w:rsidRPr="00E923E3">
        <w:rPr>
          <w:rFonts w:ascii="Palatino Linotype" w:hAnsi="Palatino Linotype"/>
        </w:rPr>
        <w:lastRenderedPageBreak/>
        <w:t xml:space="preserve">vigésimo </w:t>
      </w:r>
      <w:r w:rsidR="00315383">
        <w:rPr>
          <w:rFonts w:ascii="Palatino Linotype" w:hAnsi="Palatino Linotype"/>
        </w:rPr>
        <w:t>tercero</w:t>
      </w:r>
      <w:r w:rsidR="00F00E9D" w:rsidRPr="00E923E3">
        <w:rPr>
          <w:rFonts w:ascii="Palatino Linotype" w:hAnsi="Palatino Linotype"/>
        </w:rPr>
        <w:t xml:space="preserve"> y vigésimo </w:t>
      </w:r>
      <w:r w:rsidR="00315383">
        <w:rPr>
          <w:rFonts w:ascii="Palatino Linotype" w:hAnsi="Palatino Linotype"/>
        </w:rPr>
        <w:t>cuarto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rsidR="00421F6E" w:rsidRPr="00E923E3" w:rsidRDefault="00421F6E"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rsidR="001032D4" w:rsidRPr="00E923E3"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E923E3" w:rsidRDefault="00A55AEC" w:rsidP="009E3A4B">
      <w:pPr>
        <w:pStyle w:val="Sinespaciado"/>
        <w:spacing w:line="360" w:lineRule="auto"/>
        <w:jc w:val="both"/>
        <w:rPr>
          <w:rFonts w:ascii="Palatino Linotype" w:hAnsi="Palatino Linotype"/>
        </w:rPr>
      </w:pPr>
    </w:p>
    <w:p w:rsidR="00F97E8E" w:rsidRPr="00E923E3" w:rsidRDefault="00F97E8E"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TERCERO. De las causas de improcedencia.</w:t>
      </w: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E923E3" w:rsidRDefault="00FF3879" w:rsidP="009E3A4B">
      <w:pPr>
        <w:pStyle w:val="Sinespaciado"/>
        <w:spacing w:line="360" w:lineRule="auto"/>
        <w:jc w:val="both"/>
        <w:rPr>
          <w:rFonts w:ascii="Palatino Linotype" w:hAnsi="Palatino Linotype"/>
        </w:rPr>
      </w:pPr>
    </w:p>
    <w:p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rsidR="00F704C4" w:rsidRPr="00E923E3" w:rsidRDefault="00F704C4" w:rsidP="009E3A4B">
      <w:pPr>
        <w:pStyle w:val="Sinespaciado"/>
        <w:spacing w:line="360" w:lineRule="auto"/>
        <w:jc w:val="both"/>
        <w:rPr>
          <w:rFonts w:ascii="Palatino Linotype" w:hAnsi="Palatino Linotype"/>
        </w:rPr>
      </w:pP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923E3" w:rsidRDefault="002F382F" w:rsidP="009E3A4B">
      <w:pPr>
        <w:pStyle w:val="Sinespaciado"/>
        <w:spacing w:line="360" w:lineRule="auto"/>
        <w:jc w:val="both"/>
        <w:rPr>
          <w:rFonts w:ascii="Palatino Linotype" w:hAnsi="Palatino Linotype"/>
        </w:rPr>
      </w:pPr>
    </w:p>
    <w:p w:rsidR="00FF3879" w:rsidRPr="00E923E3" w:rsidRDefault="0052294F"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CUARTO</w:t>
      </w:r>
      <w:r w:rsidR="00FF3879" w:rsidRPr="00E923E3">
        <w:rPr>
          <w:rFonts w:ascii="Palatino Linotype" w:hAnsi="Palatino Linotype"/>
          <w:b/>
          <w:sz w:val="26"/>
          <w:szCs w:val="26"/>
        </w:rPr>
        <w:t>. Estudio y resolución del asunto.</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3B46C8">
        <w:rPr>
          <w:rFonts w:ascii="Palatino Linotype" w:hAnsi="Palatino Linotype"/>
        </w:rPr>
        <w:t>ídica en el momento en el que el</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ecurrente interponiendo dicho medio de impugnación, el cual tiene como motivo de inconformidad la omisión de la autoridad en dar respuesta a su solicitud,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rsidR="00A0709D" w:rsidRPr="00E923E3" w:rsidRDefault="00A0709D"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w:t>
      </w:r>
      <w:r w:rsidRPr="003B46C8">
        <w:rPr>
          <w:rFonts w:ascii="Palatino Linotype" w:hAnsi="Palatino Linotype"/>
          <w:b/>
        </w:rPr>
        <w:t xml:space="preserve">Sujeto </w:t>
      </w:r>
      <w:r w:rsidR="000403ED" w:rsidRPr="003B46C8">
        <w:rPr>
          <w:rFonts w:ascii="Palatino Linotype" w:hAnsi="Palatino Linotype"/>
          <w:b/>
        </w:rPr>
        <w:t>O</w:t>
      </w:r>
      <w:r w:rsidR="006728D9" w:rsidRPr="003B46C8">
        <w:rPr>
          <w:rFonts w:ascii="Palatino Linotype" w:hAnsi="Palatino Linotype"/>
          <w:b/>
        </w:rPr>
        <w:t>bligado</w:t>
      </w:r>
      <w:r w:rsidR="006728D9" w:rsidRPr="00E923E3">
        <w:rPr>
          <w:rFonts w:ascii="Palatino Linotype" w:hAnsi="Palatino Linotype"/>
        </w:rPr>
        <w:t xml:space="preserve"> para dar respuesta a</w:t>
      </w:r>
      <w:r w:rsidR="003B46C8">
        <w:rPr>
          <w:rFonts w:ascii="Palatino Linotype" w:hAnsi="Palatino Linotype"/>
        </w:rPr>
        <w:t>l</w:t>
      </w:r>
      <w:r w:rsidR="006728D9" w:rsidRPr="00E923E3">
        <w:rPr>
          <w:rFonts w:ascii="Palatino Linotype" w:hAnsi="Palatino Linotype"/>
        </w:rPr>
        <w:t xml:space="preserve"> </w:t>
      </w:r>
      <w:r w:rsidR="000403ED" w:rsidRPr="003B46C8">
        <w:rPr>
          <w:rFonts w:ascii="Palatino Linotype" w:hAnsi="Palatino Linotype"/>
          <w:b/>
        </w:rPr>
        <w:t>R</w:t>
      </w:r>
      <w:r w:rsidRPr="003B46C8">
        <w:rPr>
          <w:rFonts w:ascii="Palatino Linotype" w:hAnsi="Palatino Linotype"/>
          <w:b/>
        </w:rPr>
        <w:t>ecurrente</w:t>
      </w:r>
      <w:r w:rsidRPr="00E923E3">
        <w:rPr>
          <w:rFonts w:ascii="Palatino Linotype" w:hAnsi="Palatino Linotype"/>
        </w:rPr>
        <w:t xml:space="preserv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 xml:space="preserve">existe, una resolución de rechazo ante la solicitud del ciudadano; ya que efectivamente, dicha figura se </w:t>
      </w:r>
      <w:r w:rsidRPr="00E923E3">
        <w:rPr>
          <w:rFonts w:ascii="Palatino Linotype" w:hAnsi="Palatino Linotype"/>
        </w:rPr>
        <w:lastRenderedPageBreak/>
        <w:t>encuentra íntimamente vinculada con el Derecho al Acceso de Información, consagrado en nuestra Carta Magna, es por ello que constituye un instrumento que garantiza la posibilidad de defensa de</w:t>
      </w:r>
      <w:r w:rsidR="00955722">
        <w:rPr>
          <w:rFonts w:ascii="Palatino Linotype" w:hAnsi="Palatino Linotype"/>
        </w:rPr>
        <w:t>l</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955722">
        <w:rPr>
          <w:rFonts w:ascii="Palatino Linotype" w:hAnsi="Palatino Linotype"/>
        </w:rPr>
        <w:t xml:space="preserve"> en el que, el</w:t>
      </w:r>
      <w:r w:rsidRPr="00E923E3">
        <w:rPr>
          <w:rFonts w:ascii="Palatino Linotype" w:hAnsi="Palatino Linotype"/>
        </w:rPr>
        <w:t xml:space="preserve"> particular, tiene siempre una vía de defensa.</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82DA0" w:rsidRPr="00E923E3" w:rsidRDefault="00B82DA0" w:rsidP="009E3A4B">
      <w:pPr>
        <w:pStyle w:val="Sinespaciado"/>
        <w:spacing w:line="360" w:lineRule="auto"/>
        <w:jc w:val="both"/>
        <w:rPr>
          <w:rFonts w:ascii="Palatino Linotype" w:hAnsi="Palatino Linotype"/>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
          <w:i/>
          <w:sz w:val="22"/>
          <w:szCs w:val="22"/>
        </w:rPr>
      </w:pPr>
      <w:r w:rsidRPr="00E923E3">
        <w:rPr>
          <w:rFonts w:ascii="Palatino Linotype" w:hAnsi="Palatino Linotype"/>
          <w:b/>
          <w:i/>
          <w:sz w:val="22"/>
          <w:szCs w:val="22"/>
        </w:rPr>
        <w:t xml:space="preserve">Artículo 24.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En caso que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rsidR="00A0709D" w:rsidRPr="00E923E3" w:rsidRDefault="00A0709D" w:rsidP="00A0709D">
      <w:pPr>
        <w:pStyle w:val="Sinespaciado"/>
        <w:spacing w:line="360" w:lineRule="auto"/>
        <w:rPr>
          <w:rFonts w:ascii="Palatino Linotype" w:hAnsi="Palatino Linotype"/>
        </w:rPr>
      </w:pPr>
    </w:p>
    <w:p w:rsidR="00576276" w:rsidRPr="00E923E3" w:rsidRDefault="00576276" w:rsidP="00685CEB">
      <w:pPr>
        <w:pStyle w:val="Sinespaciado"/>
        <w:ind w:left="851" w:right="851"/>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E923E3" w:rsidRDefault="00576276" w:rsidP="00A0709D">
      <w:pPr>
        <w:pStyle w:val="Sinespaciado"/>
        <w:spacing w:line="360" w:lineRule="auto"/>
        <w:rPr>
          <w:rFonts w:ascii="Palatino Linotype" w:hAnsi="Palatino Linotype"/>
        </w:rPr>
      </w:pPr>
    </w:p>
    <w:p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 xml:space="preserve">De lo anterior, conforme a las acciones del </w:t>
      </w:r>
      <w:r w:rsidRPr="00923696">
        <w:rPr>
          <w:rFonts w:ascii="Palatino Linotype" w:hAnsi="Palatino Linotype"/>
          <w:b/>
        </w:rPr>
        <w:t>Sujeto Obligado</w:t>
      </w:r>
      <w:r w:rsidRPr="00E923E3">
        <w:rPr>
          <w:rFonts w:ascii="Palatino Linotype" w:hAnsi="Palatino Linotype"/>
        </w:rPr>
        <w:t>, se establece que éste vulnera el derecho de acceso a la información pública de</w:t>
      </w:r>
      <w:r w:rsidR="00147387">
        <w:rPr>
          <w:rFonts w:ascii="Palatino Linotype" w:hAnsi="Palatino Linotype"/>
        </w:rPr>
        <w:t>l</w:t>
      </w:r>
      <w:r w:rsidR="004B730C" w:rsidRPr="00E923E3">
        <w:rPr>
          <w:rFonts w:ascii="Palatino Linotype" w:hAnsi="Palatino Linotype"/>
        </w:rPr>
        <w:t xml:space="preserve"> </w:t>
      </w:r>
      <w:r w:rsidR="004B730C" w:rsidRPr="00923696">
        <w:rPr>
          <w:rFonts w:ascii="Palatino Linotype" w:hAnsi="Palatino Linotype"/>
          <w:b/>
        </w:rPr>
        <w:t>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E923E3" w:rsidRDefault="0063037D" w:rsidP="00BC0474">
      <w:pPr>
        <w:pStyle w:val="Sinespaciado"/>
        <w:spacing w:line="360" w:lineRule="auto"/>
        <w:jc w:val="both"/>
        <w:rPr>
          <w:rFonts w:ascii="Palatino Linotype" w:hAnsi="Palatino Linotype"/>
        </w:rPr>
      </w:pPr>
    </w:p>
    <w:p w:rsidR="00576276" w:rsidRPr="00E923E3" w:rsidRDefault="0063037D"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Cs/>
          <w:i/>
          <w:sz w:val="22"/>
          <w:szCs w:val="22"/>
        </w:rPr>
      </w:pPr>
      <w:r w:rsidRPr="00E923E3">
        <w:rPr>
          <w:rFonts w:ascii="Palatino Linotype" w:hAnsi="Palatino Linotype"/>
          <w:bCs/>
          <w:i/>
          <w:sz w:val="22"/>
          <w:szCs w:val="22"/>
        </w:rPr>
        <w:t>XI. Dar acceso a la información pública que le sea requerida, en los términos de la Ley General, esta Ley y demás disposiciones jurídicas aplicables;</w:t>
      </w:r>
    </w:p>
    <w:p w:rsidR="00B82DA0" w:rsidRPr="00E923E3" w:rsidRDefault="00B82DA0" w:rsidP="00BC0474">
      <w:pPr>
        <w:pStyle w:val="Sinespaciado"/>
        <w:spacing w:line="360" w:lineRule="auto"/>
        <w:jc w:val="both"/>
        <w:rPr>
          <w:rFonts w:ascii="Palatino Linotype" w:hAnsi="Palatino Linotype" w:cs="Arial"/>
        </w:rPr>
      </w:pPr>
    </w:p>
    <w:p w:rsidR="006F5FAC" w:rsidRPr="004877D6" w:rsidRDefault="00087DCC" w:rsidP="00BC0474">
      <w:pPr>
        <w:pStyle w:val="Sinespaciado"/>
        <w:spacing w:line="360" w:lineRule="auto"/>
        <w:jc w:val="both"/>
        <w:rPr>
          <w:rFonts w:ascii="Palatino Linotype" w:hAnsi="Palatino Linotype" w:cs="Arial"/>
        </w:rPr>
      </w:pPr>
      <w:r w:rsidRPr="004877D6">
        <w:rPr>
          <w:rFonts w:ascii="Palatino Linotype" w:hAnsi="Palatino Linotype" w:cs="Arial"/>
        </w:rPr>
        <w:t>Ahora bien</w:t>
      </w:r>
      <w:r w:rsidR="0063037D" w:rsidRPr="004877D6">
        <w:rPr>
          <w:rFonts w:ascii="Palatino Linotype" w:hAnsi="Palatino Linotype" w:cs="Arial"/>
        </w:rPr>
        <w:t xml:space="preserve">, </w:t>
      </w:r>
      <w:r w:rsidR="00894205" w:rsidRPr="004877D6">
        <w:rPr>
          <w:rFonts w:ascii="Palatino Linotype" w:hAnsi="Palatino Linotype" w:cs="Arial"/>
        </w:rPr>
        <w:t>con la finalidad de llevar a buen término el presente recur</w:t>
      </w:r>
      <w:r w:rsidR="00FA4607" w:rsidRPr="004877D6">
        <w:rPr>
          <w:rFonts w:ascii="Palatino Linotype" w:hAnsi="Palatino Linotype" w:cs="Arial"/>
        </w:rPr>
        <w:t xml:space="preserve">so, </w:t>
      </w:r>
      <w:r w:rsidR="006042AA" w:rsidRPr="004877D6">
        <w:rPr>
          <w:rFonts w:ascii="Palatino Linotype" w:hAnsi="Palatino Linotype" w:cs="Arial"/>
        </w:rPr>
        <w:t>es necesario recordar la petición de</w:t>
      </w:r>
      <w:r w:rsidR="004877D6" w:rsidRPr="004877D6">
        <w:rPr>
          <w:rFonts w:ascii="Palatino Linotype" w:hAnsi="Palatino Linotype" w:cs="Arial"/>
        </w:rPr>
        <w:t>l</w:t>
      </w:r>
      <w:r w:rsidR="006042AA" w:rsidRPr="004877D6">
        <w:rPr>
          <w:rFonts w:ascii="Palatino Linotype" w:hAnsi="Palatino Linotype" w:cs="Arial"/>
        </w:rPr>
        <w:t xml:space="preserve"> Recurrente, que consiste en que se le </w:t>
      </w:r>
      <w:r w:rsidR="006F5FAC" w:rsidRPr="004877D6">
        <w:rPr>
          <w:rFonts w:ascii="Palatino Linotype" w:hAnsi="Palatino Linotype" w:cs="Arial"/>
        </w:rPr>
        <w:t>haga entrega de lo siguiente:</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4B54BB" w:rsidP="00C22CEE">
      <w:pPr>
        <w:pStyle w:val="Sinespaciado"/>
        <w:numPr>
          <w:ilvl w:val="0"/>
          <w:numId w:val="4"/>
        </w:numPr>
        <w:spacing w:line="360" w:lineRule="auto"/>
        <w:jc w:val="both"/>
        <w:rPr>
          <w:rFonts w:ascii="Palatino Linotype" w:hAnsi="Palatino Linotype"/>
        </w:rPr>
      </w:pPr>
      <w:r>
        <w:rPr>
          <w:rFonts w:ascii="Palatino Linotype" w:hAnsi="Palatino Linotype"/>
        </w:rPr>
        <w:t>E</w:t>
      </w:r>
      <w:r w:rsidRPr="004B54BB">
        <w:rPr>
          <w:rFonts w:ascii="Palatino Linotype" w:hAnsi="Palatino Linotype"/>
        </w:rPr>
        <w:t xml:space="preserve">l uso de suelo de la colonia </w:t>
      </w:r>
      <w:bookmarkStart w:id="0" w:name="_GoBack"/>
      <w:r w:rsidRPr="004B54BB">
        <w:rPr>
          <w:rFonts w:ascii="Palatino Linotype" w:hAnsi="Palatino Linotype"/>
        </w:rPr>
        <w:t xml:space="preserve">Country Club </w:t>
      </w:r>
      <w:bookmarkEnd w:id="0"/>
      <w:r w:rsidRPr="004B54BB">
        <w:rPr>
          <w:rFonts w:ascii="Palatino Linotype" w:hAnsi="Palatino Linotype"/>
        </w:rPr>
        <w:t>(o Fraccionamiento Country Club), la cual tiene como código postal 53930, ubicada en el municipio de Naucalpan de Juárez, estado de México.</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lastRenderedPageBreak/>
        <w:t>Ante dicha solicitud, el Sujeto Obligado omiti</w:t>
      </w:r>
      <w:r w:rsidR="004877D6" w:rsidRPr="004877D6">
        <w:rPr>
          <w:rFonts w:ascii="Palatino Linotype" w:hAnsi="Palatino Linotype" w:cs="Arial"/>
        </w:rPr>
        <w:t>ó dar respuesta; por lo cual, el</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dando como razones o motivos de inconformidad</w:t>
      </w:r>
      <w:r w:rsidR="004B54BB">
        <w:rPr>
          <w:rFonts w:ascii="Palatino Linotype" w:hAnsi="Palatino Linotype" w:cs="Arial"/>
        </w:rPr>
        <w:t>, medularmente</w:t>
      </w:r>
      <w:r w:rsidR="00D83713">
        <w:rPr>
          <w:rFonts w:ascii="Palatino Linotype" w:hAnsi="Palatino Linotype" w:cs="Arial"/>
        </w:rPr>
        <w:t>,</w:t>
      </w:r>
      <w:r w:rsidR="008712FA" w:rsidRPr="004877D6">
        <w:rPr>
          <w:rFonts w:ascii="Palatino Linotype" w:hAnsi="Palatino Linotype" w:cs="Arial"/>
        </w:rPr>
        <w:t xml:space="preserve"> </w:t>
      </w:r>
      <w:r w:rsidR="004877D6" w:rsidRPr="004877D6">
        <w:rPr>
          <w:rFonts w:ascii="Palatino Linotype" w:hAnsi="Palatino Linotype" w:cs="Arial"/>
        </w:rPr>
        <w:t>que el Sujeto Obligado</w:t>
      </w:r>
      <w:r w:rsidR="00D83713">
        <w:rPr>
          <w:rFonts w:ascii="Palatino Linotype" w:hAnsi="Palatino Linotype" w:cs="Arial"/>
        </w:rPr>
        <w:t xml:space="preserve"> no otorgó</w:t>
      </w:r>
      <w:r w:rsidR="00D83713" w:rsidRPr="00D83713">
        <w:rPr>
          <w:rFonts w:ascii="Palatino Linotype" w:hAnsi="Palatino Linotype" w:cs="Arial"/>
        </w:rPr>
        <w:t xml:space="preserve"> respuesta a lo solicitado, ya sea de manera afirmativa o negativa</w:t>
      </w:r>
      <w:r w:rsidR="004877D6" w:rsidRPr="004877D6">
        <w:rPr>
          <w:rFonts w:ascii="Palatino Linotype" w:hAnsi="Palatino Linotype" w:cs="Arial"/>
        </w:rPr>
        <w:t xml:space="preserve">. </w:t>
      </w:r>
    </w:p>
    <w:p w:rsidR="008712FA" w:rsidRPr="004877D6" w:rsidRDefault="008712FA" w:rsidP="00BC0474">
      <w:pPr>
        <w:pStyle w:val="Sinespaciado"/>
        <w:spacing w:line="360" w:lineRule="auto"/>
        <w:jc w:val="both"/>
        <w:rPr>
          <w:rFonts w:ascii="Palatino Linotype" w:hAnsi="Palatino Linotype" w:cs="Arial"/>
        </w:rPr>
      </w:pPr>
    </w:p>
    <w:p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al Recurrente de la información solicitada.</w:t>
      </w:r>
    </w:p>
    <w:p w:rsidR="00120688" w:rsidRDefault="00120688" w:rsidP="00BC0474">
      <w:pPr>
        <w:pStyle w:val="Sinespaciado"/>
        <w:spacing w:line="360" w:lineRule="auto"/>
        <w:jc w:val="both"/>
        <w:rPr>
          <w:rFonts w:ascii="Palatino Linotype" w:hAnsi="Palatino Linotype" w:cs="Arial"/>
        </w:rPr>
      </w:pPr>
    </w:p>
    <w:p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E1A95" w:rsidRPr="004E6B5B" w:rsidRDefault="003E1A95" w:rsidP="003E1A95">
      <w:pPr>
        <w:pStyle w:val="Sinespaciado"/>
        <w:spacing w:line="360" w:lineRule="auto"/>
        <w:jc w:val="both"/>
        <w:rPr>
          <w:rFonts w:ascii="Palatino Linotype" w:hAnsi="Palatino Linotype"/>
          <w:color w:val="000000"/>
        </w:rPr>
      </w:pPr>
    </w:p>
    <w:p w:rsidR="003E1A95" w:rsidRPr="004E6B5B" w:rsidRDefault="003E1A95" w:rsidP="008F1E3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3E1A95" w:rsidRPr="004E6B5B" w:rsidRDefault="003E1A95" w:rsidP="008F1E3B">
      <w:pPr>
        <w:pStyle w:val="Sinespaciado"/>
        <w:ind w:left="851" w:right="851"/>
        <w:jc w:val="both"/>
        <w:rPr>
          <w:rFonts w:ascii="Palatino Linotype" w:hAnsi="Palatino Linotype"/>
          <w:i/>
          <w:sz w:val="22"/>
          <w:szCs w:val="22"/>
        </w:rPr>
      </w:pPr>
    </w:p>
    <w:p w:rsidR="003E1A95" w:rsidRDefault="003E1A95" w:rsidP="008F1E3B">
      <w:pPr>
        <w:pStyle w:val="Sinespaciado"/>
        <w:numPr>
          <w:ilvl w:val="0"/>
          <w:numId w:val="9"/>
        </w:numPr>
        <w:ind w:left="851" w:right="851"/>
        <w:jc w:val="both"/>
        <w:rPr>
          <w:rFonts w:ascii="Palatino Linotype" w:hAnsi="Palatino Linotype"/>
          <w:i/>
          <w:sz w:val="22"/>
          <w:szCs w:val="22"/>
        </w:rPr>
      </w:pPr>
      <w:r w:rsidRPr="003E1A95">
        <w:rPr>
          <w:rFonts w:ascii="Palatino Linotype" w:hAnsi="Palatino Linotype"/>
          <w:b/>
          <w:i/>
          <w:sz w:val="22"/>
          <w:szCs w:val="22"/>
          <w:u w:val="single"/>
        </w:rPr>
        <w:lastRenderedPageBreak/>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1A95" w:rsidRPr="004E6B5B" w:rsidRDefault="003E1A95" w:rsidP="003E1A95">
      <w:pPr>
        <w:pStyle w:val="Sinespaciado"/>
        <w:spacing w:line="360" w:lineRule="auto"/>
        <w:jc w:val="both"/>
        <w:rPr>
          <w:rFonts w:ascii="Palatino Linotype" w:hAnsi="Palatino Linotype"/>
        </w:rPr>
      </w:pPr>
    </w:p>
    <w:p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3E1A95" w:rsidRPr="004E6B5B" w:rsidRDefault="003E1A95" w:rsidP="003E1A95">
      <w:pPr>
        <w:pStyle w:val="Sinespaciado"/>
        <w:ind w:left="567" w:right="567"/>
        <w:jc w:val="both"/>
        <w:rPr>
          <w:rFonts w:ascii="Palatino Linotype" w:hAnsi="Palatino Linotype"/>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w:t>
      </w:r>
      <w:r w:rsidRPr="006376FA">
        <w:rPr>
          <w:rFonts w:ascii="Palatino Linotype" w:hAnsi="Palatino Linotype"/>
          <w:bCs/>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E1A95" w:rsidRPr="006376FA" w:rsidRDefault="003E1A95" w:rsidP="008F1E3B">
      <w:pPr>
        <w:pStyle w:val="Sinespaciado"/>
        <w:ind w:left="851" w:right="851"/>
        <w:jc w:val="both"/>
        <w:rPr>
          <w:rFonts w:ascii="Palatino Linotype" w:hAnsi="Palatino Linotype"/>
          <w:i/>
          <w:sz w:val="22"/>
          <w:szCs w:val="22"/>
        </w:rPr>
      </w:pPr>
    </w:p>
    <w:p w:rsidR="003E1A95" w:rsidRPr="004E6B5B" w:rsidRDefault="003E1A95" w:rsidP="008F1E3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3E1A95" w:rsidRPr="004E6B5B" w:rsidRDefault="003E1A95" w:rsidP="003E1A95">
      <w:pPr>
        <w:pStyle w:val="Sinespaciado"/>
        <w:spacing w:line="360" w:lineRule="auto"/>
        <w:jc w:val="both"/>
        <w:rPr>
          <w:rFonts w:ascii="Palatino Linotype" w:hAnsi="Palatino Linotype"/>
        </w:rPr>
      </w:pPr>
    </w:p>
    <w:p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F06E8A" w:rsidRDefault="00F06E8A" w:rsidP="003E1A95">
      <w:pPr>
        <w:pStyle w:val="Sinespaciado"/>
        <w:spacing w:line="360" w:lineRule="auto"/>
        <w:jc w:val="both"/>
        <w:rPr>
          <w:rFonts w:ascii="Palatino Linotype" w:hAnsi="Palatino Linotype" w:cs="Arial"/>
        </w:rPr>
      </w:pPr>
    </w:p>
    <w:p w:rsidR="00F06E8A" w:rsidRPr="00E923E3" w:rsidRDefault="00F06E8A" w:rsidP="00F06E8A">
      <w:pPr>
        <w:pStyle w:val="Sinespaciado"/>
        <w:spacing w:line="360" w:lineRule="auto"/>
        <w:jc w:val="both"/>
        <w:rPr>
          <w:rFonts w:ascii="Palatino Linotype" w:hAnsi="Palatino Linotype"/>
        </w:rPr>
      </w:pPr>
      <w:r w:rsidRPr="0057322B">
        <w:rPr>
          <w:rFonts w:ascii="Palatino Linotype" w:hAnsi="Palatino Linotype"/>
        </w:rPr>
        <w:t>En ese orden de</w:t>
      </w:r>
      <w:r w:rsidRPr="00E923E3">
        <w:rPr>
          <w:rFonts w:ascii="Palatino Linotype" w:hAnsi="Palatino Linotype"/>
        </w:rPr>
        <w:t xml:space="preserve"> ideas, la Ley de Transparencia y Acceso a la Información Pública del Estado de México y Municipios, prevé en su artículo 23, lo siguiente:</w:t>
      </w:r>
    </w:p>
    <w:p w:rsidR="00F06E8A" w:rsidRPr="00E923E3" w:rsidRDefault="00F06E8A" w:rsidP="00F06E8A">
      <w:pPr>
        <w:pStyle w:val="Sinespaciado"/>
        <w:tabs>
          <w:tab w:val="left" w:pos="2550"/>
        </w:tabs>
        <w:spacing w:line="360" w:lineRule="auto"/>
        <w:jc w:val="both"/>
        <w:rPr>
          <w:rFonts w:ascii="Palatino Linotype" w:hAnsi="Palatino Linotype"/>
        </w:rPr>
      </w:pPr>
      <w:r>
        <w:rPr>
          <w:rFonts w:ascii="Palatino Linotype" w:hAnsi="Palatino Linotype"/>
        </w:rPr>
        <w:tab/>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23.</w:t>
      </w:r>
      <w:r w:rsidRPr="00E923E3">
        <w:rPr>
          <w:rFonts w:ascii="Palatino Linotype" w:hAnsi="Palatino Linotype"/>
          <w:i/>
          <w:sz w:val="22"/>
          <w:szCs w:val="22"/>
        </w:rPr>
        <w:t xml:space="preserve"> Son sujetos obligados a transparentar y permitir el acceso a su información y proteger los datos personales que obren en su poder:</w:t>
      </w:r>
    </w:p>
    <w:p w:rsidR="00F06E8A" w:rsidRPr="00E923E3" w:rsidRDefault="00F06E8A" w:rsidP="008F1E3B">
      <w:pPr>
        <w:pStyle w:val="Sinespaciado"/>
        <w:ind w:left="851" w:right="851"/>
        <w:jc w:val="both"/>
        <w:rPr>
          <w:rFonts w:ascii="Palatino Linotype" w:hAnsi="Palatino Linotype"/>
          <w:i/>
          <w:sz w:val="22"/>
          <w:szCs w:val="22"/>
        </w:rPr>
      </w:pP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lastRenderedPageBreak/>
        <w:t>I. El Poder Ejecutivo del Estado de México, las dependencias, organismos auxiliares, órganos, entidades, fideicomisos y fondos públicos, así como la Procuraduría General de Justicia;</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 El Poder Legislativo del Estado, los organismos, órganos y entidades de la Legislatura y sus dependencias;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III. El Poder Judicial, sus organismos, órganos y entidades, así como el Consejo de la Judicatura del Estado;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IV. </w:t>
      </w:r>
      <w:r w:rsidRPr="00E923E3">
        <w:rPr>
          <w:rFonts w:ascii="Palatino Linotype" w:hAnsi="Palatino Linotype"/>
          <w:b/>
          <w:i/>
          <w:sz w:val="22"/>
          <w:szCs w:val="22"/>
          <w:u w:val="single"/>
        </w:rPr>
        <w:t>Los ayuntamientos y las dependencias, organismos, órganos y entidades de la administración municipal</w:t>
      </w:r>
      <w:r w:rsidRPr="00E923E3">
        <w:rPr>
          <w:rFonts w:ascii="Palatino Linotype" w:hAnsi="Palatino Linotype"/>
          <w:i/>
          <w:sz w:val="22"/>
          <w:szCs w:val="22"/>
        </w:rPr>
        <w:t>;</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 Los órganos autónomos;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 Los tribunales administrativos y autoridades jurisdiccionales en materia laboral;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 Los partidos políticos y agrupaciones políticas, en los términos de las disposiciones aplicables;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VIII. Los fideicomisos y fondos públicos que cuenten con financiamiento público, parcial o total, o con participación de entidades de gobierno;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IX. Los sindicatos que reciban y/o ejerzan recursos públicos en el ámbito estatal y municipal;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 Cualquier persona física o jurídico colectiva que reciba y ejerza recursos públicos en el ámbito estatal o municipal; y</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XI. Cualquier otra autoridad, entidad, órgano u organismo de los poderes estatal o municipal, que reciba recursos públicos.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06E8A" w:rsidRPr="00E923E3" w:rsidRDefault="00F06E8A" w:rsidP="008F1E3B">
      <w:pPr>
        <w:pStyle w:val="Sinespaciado"/>
        <w:ind w:left="851" w:right="851"/>
        <w:jc w:val="both"/>
        <w:rPr>
          <w:rFonts w:ascii="Palatino Linotype" w:hAnsi="Palatino Linotype"/>
          <w:i/>
        </w:rPr>
      </w:pPr>
      <w:r w:rsidRPr="00E923E3">
        <w:rPr>
          <w:rFonts w:ascii="Palatino Linotype" w:hAnsi="Palatino Linotype"/>
          <w:i/>
          <w:sz w:val="22"/>
          <w:szCs w:val="22"/>
        </w:rPr>
        <w:t>Los servidores públicos deberán transparentar sus acciones así como garantizar y respetar el derecho de acceso a la información pública.</w:t>
      </w:r>
    </w:p>
    <w:p w:rsidR="00F06E8A" w:rsidRPr="00E923E3" w:rsidRDefault="00F06E8A" w:rsidP="00F06E8A">
      <w:pPr>
        <w:pStyle w:val="Sinespaciado"/>
        <w:spacing w:line="360" w:lineRule="auto"/>
        <w:jc w:val="both"/>
        <w:rPr>
          <w:rFonts w:ascii="Palatino Linotype" w:hAnsi="Palatino Linotype"/>
        </w:rPr>
      </w:pPr>
    </w:p>
    <w:p w:rsidR="00F06E8A" w:rsidRPr="00E923E3" w:rsidRDefault="00F06E8A" w:rsidP="00F06E8A">
      <w:pPr>
        <w:pStyle w:val="Sinespaciado"/>
        <w:spacing w:line="360" w:lineRule="auto"/>
        <w:jc w:val="both"/>
        <w:rPr>
          <w:rFonts w:ascii="Palatino Linotype" w:hAnsi="Palatino Linotype"/>
        </w:rPr>
      </w:pPr>
      <w:r w:rsidRPr="00E923E3">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F06E8A" w:rsidRPr="00E923E3" w:rsidRDefault="00F06E8A" w:rsidP="00F06E8A">
      <w:pPr>
        <w:pStyle w:val="Sinespaciado"/>
        <w:spacing w:line="360" w:lineRule="auto"/>
        <w:jc w:val="both"/>
        <w:rPr>
          <w:rFonts w:ascii="Palatino Linotype" w:hAnsi="Palatino Linotype"/>
        </w:rPr>
      </w:pPr>
    </w:p>
    <w:p w:rsidR="00216565" w:rsidRDefault="00216565" w:rsidP="00216565">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ese sentido, </w:t>
      </w:r>
      <w:r w:rsidRPr="007770B4">
        <w:rPr>
          <w:rFonts w:ascii="Palatino Linotype" w:hAnsi="Palatino Linotype" w:cs="Arial"/>
        </w:rPr>
        <w:t>es necesario señalar</w:t>
      </w:r>
      <w:r>
        <w:rPr>
          <w:rFonts w:ascii="Palatino Linotype" w:hAnsi="Palatino Linotype" w:cs="Arial"/>
        </w:rPr>
        <w:t xml:space="preserve"> el contenido de los artículos 5.3 fracciones XXIV, XXXVI, XXXVII y L y 5.10</w:t>
      </w:r>
      <w:r w:rsidRPr="007770B4">
        <w:rPr>
          <w:rFonts w:ascii="Palatino Linotype" w:hAnsi="Palatino Linotype" w:cs="Arial"/>
        </w:rPr>
        <w:t xml:space="preserve"> del Código Administrativo del Estado de México,</w:t>
      </w:r>
      <w:r>
        <w:rPr>
          <w:rFonts w:ascii="Palatino Linotype" w:hAnsi="Palatino Linotype" w:cs="Arial"/>
        </w:rPr>
        <w:t xml:space="preserve"> el cual establece lo siguiente:</w:t>
      </w:r>
    </w:p>
    <w:p w:rsidR="00216565" w:rsidRDefault="00216565" w:rsidP="00216565">
      <w:pPr>
        <w:pStyle w:val="Sinespaciado"/>
        <w:spacing w:line="360" w:lineRule="auto"/>
        <w:jc w:val="both"/>
        <w:rPr>
          <w:rFonts w:ascii="Palatino Linotype" w:hAnsi="Palatino Linotype" w:cs="Arial"/>
        </w:rPr>
      </w:pP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Artículo 5.3</w:t>
      </w:r>
      <w:r w:rsidRPr="00885EE9">
        <w:rPr>
          <w:rFonts w:ascii="Palatino Linotype" w:hAnsi="Palatino Linotype" w:cs="Arial"/>
          <w:i/>
          <w:sz w:val="22"/>
          <w:szCs w:val="22"/>
        </w:rPr>
        <w:t>. Para los efectos de este Libro, se entenderá como:</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XXIV. Dictamen de Congruencia</w:t>
      </w:r>
      <w:r w:rsidRPr="00885EE9">
        <w:rPr>
          <w:rFonts w:ascii="Palatino Linotype" w:hAnsi="Palatino Linotype" w:cs="Arial"/>
          <w:i/>
          <w:sz w:val="22"/>
          <w:szCs w:val="22"/>
        </w:rPr>
        <w:t xml:space="preserve">: Al acto administrativo en el que se determina la congruencia de </w:t>
      </w:r>
      <w:r w:rsidRPr="00885EE9">
        <w:rPr>
          <w:rFonts w:ascii="Palatino Linotype" w:hAnsi="Palatino Linotype" w:cs="Arial"/>
          <w:b/>
          <w:i/>
          <w:sz w:val="22"/>
          <w:szCs w:val="22"/>
        </w:rPr>
        <w:t>un plan municipal de desarrollo urbano</w:t>
      </w:r>
      <w:r w:rsidRPr="00885EE9">
        <w:rPr>
          <w:rFonts w:ascii="Palatino Linotype" w:hAnsi="Palatino Linotype" w:cs="Arial"/>
          <w:i/>
          <w:sz w:val="22"/>
          <w:szCs w:val="22"/>
        </w:rPr>
        <w:t xml:space="preserve"> o de los parciales que deriven de éste, con las políticas, estrategias y objetivos previstos en el Plan Estatal de Desarrollo Urbano y, en su caso, en el plan regional de desarrollo urbano aplicable y en los parciales de competencia estatal.</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Pr>
          <w:rFonts w:ascii="Palatino Linotype" w:hAnsi="Palatino Linotype" w:cs="Arial"/>
          <w:b/>
          <w:i/>
          <w:sz w:val="22"/>
          <w:szCs w:val="22"/>
        </w:rPr>
        <w:t>XXXVI</w:t>
      </w:r>
      <w:r w:rsidRPr="00885EE9">
        <w:rPr>
          <w:rFonts w:ascii="Palatino Linotype" w:hAnsi="Palatino Linotype" w:cs="Arial"/>
          <w:b/>
          <w:i/>
          <w:sz w:val="22"/>
          <w:szCs w:val="22"/>
        </w:rPr>
        <w:t>. Planes de desarrollo urbano</w:t>
      </w:r>
      <w:r w:rsidRPr="00885EE9">
        <w:rPr>
          <w:rFonts w:ascii="Palatino Linotype" w:hAnsi="Palatino Linotype" w:cs="Arial"/>
          <w:i/>
          <w:sz w:val="22"/>
          <w:szCs w:val="22"/>
        </w:rPr>
        <w:t>: Al conjunto de disposiciones técnicas y jurídicas que regulan el ordenamiento territorial de los asentamientos humanos y el desarrollo urbano de los centros de población.</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XXXVII. Plano de lotificación</w:t>
      </w:r>
      <w:r w:rsidRPr="00885EE9">
        <w:rPr>
          <w:rFonts w:ascii="Palatino Linotype" w:hAnsi="Palatino Linotype" w:cs="Arial"/>
          <w:i/>
          <w:sz w:val="22"/>
          <w:szCs w:val="22"/>
        </w:rPr>
        <w:t>: A la representación gráfica de un conjunto urbano, subdivisión, condominio horizontal o mixto, relotificación o fusión.</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L. Zonificación</w:t>
      </w:r>
      <w:r w:rsidRPr="00885EE9">
        <w:rPr>
          <w:rFonts w:ascii="Palatino Linotype" w:hAnsi="Palatino Linotype" w:cs="Arial"/>
          <w:i/>
          <w:sz w:val="22"/>
          <w:szCs w:val="22"/>
        </w:rPr>
        <w:t>:</w:t>
      </w:r>
      <w:r w:rsidRPr="006B3C29">
        <w:rPr>
          <w:rFonts w:ascii="Palatino Linotype" w:hAnsi="Palatino Linotype" w:cs="Arial"/>
          <w:b/>
          <w:bCs/>
          <w:i/>
          <w:sz w:val="22"/>
          <w:szCs w:val="22"/>
        </w:rPr>
        <w:t xml:space="preserve"> A la determinación de las áreas que integran y delimitan un territorio</w:t>
      </w:r>
      <w:r w:rsidRPr="00885EE9">
        <w:rPr>
          <w:rFonts w:ascii="Palatino Linotype" w:hAnsi="Palatino Linotype" w:cs="Arial"/>
          <w:i/>
          <w:sz w:val="22"/>
          <w:szCs w:val="22"/>
        </w:rPr>
        <w:t xml:space="preserve">; sus aprovechamientos predominantes y las reservas, </w:t>
      </w:r>
      <w:r w:rsidRPr="006B3C29">
        <w:rPr>
          <w:rFonts w:ascii="Palatino Linotype" w:hAnsi="Palatino Linotype" w:cs="Arial"/>
          <w:b/>
          <w:bCs/>
          <w:i/>
          <w:sz w:val="22"/>
          <w:szCs w:val="22"/>
        </w:rPr>
        <w:t>usos de suelo</w:t>
      </w:r>
      <w:r w:rsidRPr="00885EE9">
        <w:rPr>
          <w:rFonts w:ascii="Palatino Linotype" w:hAnsi="Palatino Linotype" w:cs="Arial"/>
          <w:i/>
          <w:sz w:val="22"/>
          <w:szCs w:val="22"/>
        </w:rPr>
        <w:t xml:space="preserve"> y destinos, así como la delimitación de las áreas de crecimiento, conservación, consolidación y mejoramiento.</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b/>
          <w:i/>
          <w:sz w:val="22"/>
          <w:szCs w:val="22"/>
        </w:rPr>
        <w:t>Artículo 5.10.</w:t>
      </w:r>
      <w:r w:rsidRPr="00885EE9">
        <w:rPr>
          <w:rFonts w:ascii="Palatino Linotype" w:hAnsi="Palatino Linotype" w:cs="Arial"/>
          <w:i/>
          <w:sz w:val="22"/>
          <w:szCs w:val="22"/>
        </w:rPr>
        <w:t xml:space="preserve"> Los municipios tendrán las atribuciones siguientes: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Formular, aprobar, ejecutar, evaluar, modificar y actualizar los planes municipales de desarrollo urbano y los parciales que de ellos deriven.</w:t>
      </w:r>
      <w:r w:rsidRPr="00885EE9">
        <w:rPr>
          <w:rFonts w:ascii="Palatino Linotype" w:hAnsi="Palatino Linotype" w:cs="Arial"/>
          <w:i/>
          <w:sz w:val="22"/>
          <w:szCs w:val="22"/>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 xml:space="preserve">Participar en la elaboración o modificación del respectivo plan regional de desarrollo urbano o de los parciales que de éste deriven, cuando incluya parte o la totalidad de su territorio;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A6119C">
        <w:rPr>
          <w:rFonts w:ascii="Palatino Linotype" w:hAnsi="Palatino Linotype" w:cs="Arial"/>
          <w:b/>
          <w:i/>
          <w:sz w:val="22"/>
          <w:szCs w:val="22"/>
        </w:rPr>
        <w:t>III.</w:t>
      </w:r>
      <w:r w:rsidRPr="00885EE9">
        <w:rPr>
          <w:rFonts w:ascii="Palatino Linotype" w:hAnsi="Palatino Linotype" w:cs="Arial"/>
          <w:i/>
          <w:sz w:val="22"/>
          <w:szCs w:val="22"/>
        </w:rPr>
        <w:t xml:space="preserve"> Aprobar los proyectos ejecutivos, las memorias de cálculo y las especificaciones técnicas de las obras de infraestructura hidráulica, sanitaria y de urbanización, que establezcan los acuerdos de autorización de conjuntos urbanos, subdivisiones y </w:t>
      </w:r>
      <w:r w:rsidRPr="00885EE9">
        <w:rPr>
          <w:rFonts w:ascii="Palatino Linotype" w:hAnsi="Palatino Linotype" w:cs="Arial"/>
          <w:i/>
          <w:sz w:val="22"/>
          <w:szCs w:val="22"/>
        </w:rPr>
        <w:lastRenderedPageBreak/>
        <w:t xml:space="preserve">condominios, con excepción de los proyectos que sean de competencia de las autoridades estatales o federales.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IV</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Supervisar la ejecución de las obras de urbanización e infraestructura hidráulica y sanitaria que establezcan los acuerdos de autorización de conjuntos urbanos, subdivisiones y condominios, que sean de su ámbito de competencia, verificando que éstos cumplan las condiciones para la adecuada prestación de servicios públicos.</w:t>
      </w:r>
      <w:r w:rsidRPr="00885EE9">
        <w:rPr>
          <w:rFonts w:ascii="Palatino Linotype" w:hAnsi="Palatino Linotype" w:cs="Arial"/>
          <w:i/>
          <w:sz w:val="22"/>
          <w:szCs w:val="22"/>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w:t>
      </w:r>
      <w:r w:rsidRPr="00885EE9">
        <w:rPr>
          <w:rFonts w:ascii="Palatino Linotype" w:hAnsi="Palatino Linotype" w:cs="Arial"/>
          <w:i/>
          <w:sz w:val="22"/>
          <w:szCs w:val="22"/>
        </w:rPr>
        <w:t xml:space="preserve"> </w:t>
      </w:r>
      <w:r w:rsidRPr="00BE2CD2">
        <w:rPr>
          <w:rFonts w:ascii="Palatino Linotype" w:hAnsi="Palatino Linotype" w:cs="Arial"/>
          <w:i/>
          <w:sz w:val="22"/>
          <w:szCs w:val="22"/>
        </w:rPr>
        <w:t>Recibir, conservar y operar las áreas de donación establecidas a favor del municipio, así como, las obras de urbanización, infraestructura y equipamiento urbano de los conjuntos urbanos, subdivisiones y condominios conforme a este Libro y su reglamentación</w:t>
      </w:r>
      <w:r w:rsidRPr="00885EE9">
        <w:rPr>
          <w:rFonts w:ascii="Palatino Linotype" w:hAnsi="Palatino Linotype" w:cs="Arial"/>
          <w:i/>
          <w:sz w:val="22"/>
          <w:szCs w:val="22"/>
          <w:u w:val="single"/>
        </w:rPr>
        <w:t>;</w:t>
      </w:r>
      <w:r w:rsidRPr="00885EE9">
        <w:rPr>
          <w:rFonts w:ascii="Palatino Linotype" w:hAnsi="Palatino Linotype" w:cs="Arial"/>
          <w:i/>
          <w:sz w:val="22"/>
          <w:szCs w:val="22"/>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VI.</w:t>
      </w:r>
      <w:r w:rsidRPr="00885EE9">
        <w:rPr>
          <w:rFonts w:ascii="Palatino Linotype" w:hAnsi="Palatino Linotype" w:cs="Arial"/>
          <w:i/>
          <w:sz w:val="22"/>
          <w:szCs w:val="22"/>
        </w:rPr>
        <w:t xml:space="preserve"> </w:t>
      </w:r>
      <w:r w:rsidRPr="00BE2CD2">
        <w:rPr>
          <w:rFonts w:ascii="Palatino Linotype" w:hAnsi="Palatino Linotype" w:cs="Arial"/>
          <w:b/>
          <w:bCs/>
          <w:i/>
          <w:sz w:val="22"/>
          <w:szCs w:val="22"/>
          <w:u w:val="single"/>
        </w:rPr>
        <w:t>Expedir cédulas informativas de zonificación, licencias de uso de suelo y licencias de construcción;</w:t>
      </w:r>
      <w:r w:rsidRPr="00885EE9">
        <w:rPr>
          <w:rFonts w:ascii="Palatino Linotype" w:hAnsi="Palatino Linotype" w:cs="Arial"/>
          <w:i/>
          <w:sz w:val="22"/>
          <w:szCs w:val="22"/>
          <w:u w:val="single"/>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VII.</w:t>
      </w:r>
      <w:r w:rsidRPr="00885EE9">
        <w:rPr>
          <w:rFonts w:ascii="Palatino Linotype" w:hAnsi="Palatino Linotype" w:cs="Arial"/>
          <w:i/>
          <w:sz w:val="22"/>
          <w:szCs w:val="22"/>
        </w:rPr>
        <w:t xml:space="preserve"> </w:t>
      </w:r>
      <w:bookmarkStart w:id="1" w:name="_Hlk15641319"/>
      <w:r w:rsidRPr="00BE2CD2">
        <w:rPr>
          <w:rFonts w:ascii="Palatino Linotype" w:hAnsi="Palatino Linotype" w:cs="Arial"/>
          <w:b/>
          <w:bCs/>
          <w:i/>
          <w:sz w:val="22"/>
          <w:szCs w:val="22"/>
          <w:u w:val="single"/>
        </w:rPr>
        <w:t>Autorizar cambios de uso del suelo, del coeficiente de ocupación, del coeficiente de utilización, densidad y altura de edificaciones</w:t>
      </w:r>
      <w:r w:rsidRPr="00885EE9">
        <w:rPr>
          <w:rFonts w:ascii="Palatino Linotype" w:hAnsi="Palatino Linotype" w:cs="Arial"/>
          <w:i/>
          <w:sz w:val="22"/>
          <w:szCs w:val="22"/>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u w:val="single"/>
        </w:rPr>
      </w:pPr>
      <w:r w:rsidRPr="00F9735D">
        <w:rPr>
          <w:rFonts w:ascii="Palatino Linotype" w:hAnsi="Palatino Linotype" w:cs="Arial"/>
          <w:b/>
          <w:i/>
          <w:sz w:val="22"/>
          <w:szCs w:val="22"/>
        </w:rPr>
        <w:t>VIII.</w:t>
      </w:r>
      <w:r w:rsidRPr="00885EE9">
        <w:rPr>
          <w:rFonts w:ascii="Palatino Linotype" w:hAnsi="Palatino Linotype" w:cs="Arial"/>
          <w:i/>
          <w:sz w:val="22"/>
          <w:szCs w:val="22"/>
        </w:rPr>
        <w:t xml:space="preserve"> </w:t>
      </w:r>
      <w:r w:rsidRPr="00BE2CD2">
        <w:rPr>
          <w:rFonts w:ascii="Palatino Linotype" w:hAnsi="Palatino Linotype" w:cs="Arial"/>
          <w:b/>
          <w:bCs/>
          <w:i/>
          <w:sz w:val="22"/>
          <w:szCs w:val="22"/>
          <w:u w:val="single"/>
        </w:rPr>
        <w:t>Autorizar, controlar y vigilar la utilización y aprovechamiento del suelo con fines urbanos, en sus circunscripciones territoriales</w:t>
      </w:r>
      <w:bookmarkEnd w:id="1"/>
      <w:r w:rsidRPr="00885EE9">
        <w:rPr>
          <w:rFonts w:ascii="Palatino Linotype" w:hAnsi="Palatino Linotype" w:cs="Arial"/>
          <w:i/>
          <w:sz w:val="22"/>
          <w:szCs w:val="22"/>
          <w:u w:val="single"/>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IX.</w:t>
      </w:r>
      <w:r w:rsidRPr="00885EE9">
        <w:rPr>
          <w:rFonts w:ascii="Palatino Linotype" w:hAnsi="Palatino Linotype" w:cs="Arial"/>
          <w:i/>
          <w:sz w:val="22"/>
          <w:szCs w:val="22"/>
        </w:rPr>
        <w:t xml:space="preserve"> Difundir los planes de desarrollo urbano, así como los trámites para obtener las autorizaciones y licencias de su competencia;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w:t>
      </w:r>
      <w:r w:rsidRPr="00885EE9">
        <w:rPr>
          <w:rFonts w:ascii="Palatino Linotype" w:hAnsi="Palatino Linotype" w:cs="Arial"/>
          <w:i/>
          <w:sz w:val="22"/>
          <w:szCs w:val="22"/>
        </w:rPr>
        <w:t xml:space="preserve"> Participar en los órganos de coordinación estatal, regional y metropolitana, en materia de ordenamiento territorial de los asentamientos humanos, desarrollo urbano de los centros de población y vivienda;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w:t>
      </w:r>
      <w:r w:rsidRPr="00885EE9">
        <w:rPr>
          <w:rFonts w:ascii="Palatino Linotype" w:hAnsi="Palatino Linotype" w:cs="Arial"/>
          <w:i/>
          <w:sz w:val="22"/>
          <w:szCs w:val="22"/>
        </w:rPr>
        <w:t xml:space="preserve"> Participar en la creación y administración de reservas territoriales para el desarrollo urbano y la vivienda, así como generar los instrumentos que permitan la disponibilidad de tierra para personas en situación de pobreza o vulnerabilidad.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XII.</w:t>
      </w:r>
      <w:r w:rsidRPr="00885EE9">
        <w:rPr>
          <w:rFonts w:ascii="Palatino Linotype" w:hAnsi="Palatino Linotype" w:cs="Arial"/>
          <w:i/>
          <w:sz w:val="22"/>
          <w:szCs w:val="22"/>
        </w:rPr>
        <w:t xml:space="preserve"> Ejercer indistintamente con el Estado, el derecho de preferencia para adquirir en igualdad de condiciones, predios comprendidos en las áreas urbanizables señaladas en los planes o programas de desarrollo urbano aplicables, cuando éstos vayan a ser objeto de enajenación a título oneroso. En el caso de que el Estado y el Municipio pretendan ejercer el derecho de preferencia, prevalecerá el del Estado;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XIII.</w:t>
      </w:r>
      <w:r w:rsidRPr="00885EE9">
        <w:rPr>
          <w:rFonts w:ascii="Palatino Linotype" w:hAnsi="Palatino Linotype" w:cs="Arial"/>
          <w:i/>
          <w:sz w:val="22"/>
          <w:szCs w:val="22"/>
        </w:rPr>
        <w:t xml:space="preserve"> Crear órganos técnicos de participación social, consulta, coordinación, evaluación y seguimiento municipales o vecinales con carácter honorífico, en materia de desarrollo urbano así como institutos municipales de planeación.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XIV.</w:t>
      </w:r>
      <w:r w:rsidRPr="00885EE9">
        <w:rPr>
          <w:rFonts w:ascii="Palatino Linotype" w:hAnsi="Palatino Linotype" w:cs="Arial"/>
          <w:i/>
          <w:sz w:val="22"/>
          <w:szCs w:val="22"/>
        </w:rPr>
        <w:t xml:space="preserve"> Celebrar convenios, acuerdos y contratos en las materias de este Libro.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lastRenderedPageBreak/>
        <w:t>XV.</w:t>
      </w:r>
      <w:r w:rsidRPr="00885EE9">
        <w:rPr>
          <w:rFonts w:ascii="Palatino Linotype" w:hAnsi="Palatino Linotype" w:cs="Arial"/>
          <w:i/>
          <w:sz w:val="22"/>
          <w:szCs w:val="22"/>
        </w:rPr>
        <w:t xml:space="preserve"> Emitir dictámenes, factibilidades y opiniones técnicas del ámbito de su competencia;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w:t>
      </w:r>
      <w:r w:rsidRPr="00885EE9">
        <w:rPr>
          <w:rFonts w:ascii="Palatino Linotype" w:hAnsi="Palatino Linotype" w:cs="Arial"/>
          <w:i/>
          <w:sz w:val="22"/>
          <w:szCs w:val="22"/>
        </w:rPr>
        <w:t xml:space="preserve"> Establecer medidas y ejecutar acciones para evitar asentamientos humanos irregulares;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XVII.</w:t>
      </w:r>
      <w:r w:rsidRPr="00885EE9">
        <w:rPr>
          <w:rFonts w:ascii="Palatino Linotype" w:hAnsi="Palatino Linotype" w:cs="Arial"/>
          <w:i/>
          <w:sz w:val="22"/>
          <w:szCs w:val="22"/>
        </w:rPr>
        <w:t xml:space="preserve"> Intervenir en la regularización de la tenencia de la tierra;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XVIII.</w:t>
      </w:r>
      <w:r w:rsidRPr="00885EE9">
        <w:rPr>
          <w:rFonts w:ascii="Palatino Linotype" w:hAnsi="Palatino Linotype" w:cs="Arial"/>
          <w:i/>
          <w:sz w:val="22"/>
          <w:szCs w:val="22"/>
        </w:rPr>
        <w:t xml:space="preserve"> Expedir los reglamentos y disposiciones administrativas de su competencia, de conformidad con lo dispuesto por este Libro y su reglamentación;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XIX.</w:t>
      </w:r>
      <w:r w:rsidRPr="00885EE9">
        <w:rPr>
          <w:rFonts w:ascii="Palatino Linotype" w:hAnsi="Palatino Linotype" w:cs="Arial"/>
          <w:i/>
          <w:sz w:val="22"/>
          <w:szCs w:val="22"/>
        </w:rPr>
        <w:t xml:space="preserve"> Vigilar, conforme a su competencia, el cumplimiento de este Libro y sus disposiciones reglamentarias, de los planes de desarrollo urbano, de las disposiciones administrativas y reglamentarias que emita en la materia y de las autorizaciones y licencias que otorgue;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XX.</w:t>
      </w:r>
      <w:r w:rsidRPr="00885EE9">
        <w:rPr>
          <w:rFonts w:ascii="Palatino Linotype" w:hAnsi="Palatino Linotype" w:cs="Arial"/>
          <w:i/>
          <w:sz w:val="22"/>
          <w:szCs w:val="22"/>
        </w:rPr>
        <w:t xml:space="preserve"> Determinar infracciones de los particulares a las disposiciones de este Libro y de su reglamentación e imponer las medidas de seguridad y sanciones que establece el presente Libro, así como dar vista a las autoridades competentes para la aplicación de las sanciones penales conducentes.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F9735D">
        <w:rPr>
          <w:rFonts w:ascii="Palatino Linotype" w:hAnsi="Palatino Linotype" w:cs="Arial"/>
          <w:b/>
          <w:i/>
          <w:sz w:val="22"/>
          <w:szCs w:val="22"/>
        </w:rPr>
        <w:t>XXI.</w:t>
      </w:r>
      <w:r w:rsidRPr="00885EE9">
        <w:rPr>
          <w:rFonts w:ascii="Palatino Linotype" w:hAnsi="Palatino Linotype" w:cs="Arial"/>
          <w:i/>
          <w:sz w:val="22"/>
          <w:szCs w:val="22"/>
        </w:rPr>
        <w:t xml:space="preserve"> </w:t>
      </w:r>
      <w:r w:rsidRPr="00885EE9">
        <w:rPr>
          <w:rFonts w:ascii="Palatino Linotype" w:hAnsi="Palatino Linotype" w:cs="Arial"/>
          <w:i/>
          <w:sz w:val="22"/>
          <w:szCs w:val="22"/>
          <w:u w:val="single"/>
        </w:rPr>
        <w:t>Solicitar a la Secretaría los dictámenes de congruencia de los planes de desarrollo urbano de su competencia, así como su correspondiente inscripción en el Instituto de la Función Registral del Estado de México.</w:t>
      </w:r>
      <w:r w:rsidRPr="00885EE9">
        <w:rPr>
          <w:rFonts w:ascii="Palatino Linotype" w:hAnsi="Palatino Linotype" w:cs="Arial"/>
          <w:i/>
          <w:sz w:val="22"/>
          <w:szCs w:val="22"/>
        </w:rPr>
        <w:t xml:space="preserve">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885EE9">
        <w:rPr>
          <w:rFonts w:ascii="Palatino Linotype" w:hAnsi="Palatino Linotype" w:cs="Arial"/>
          <w:i/>
          <w:sz w:val="22"/>
          <w:szCs w:val="22"/>
        </w:rPr>
        <w:t xml:space="preserve">XXII. Informar anualmente a la ciudadanía sobre la aplicación y ejecución de los planes o programas de desarrollo urbano.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XXIII.</w:t>
      </w:r>
      <w:r w:rsidRPr="00885EE9">
        <w:rPr>
          <w:rFonts w:ascii="Palatino Linotype" w:hAnsi="Palatino Linotype" w:cs="Arial"/>
          <w:i/>
          <w:sz w:val="22"/>
          <w:szCs w:val="22"/>
        </w:rPr>
        <w:t xml:space="preserve"> Promover y ejecutar acciones para prevenir y mitigar el riesgo de los asentamientos humanos y aumentar la resiliencia de los mismos ante fenómenos naturales y antropogénicos.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XXIV.</w:t>
      </w:r>
      <w:r w:rsidRPr="00885EE9">
        <w:rPr>
          <w:rFonts w:ascii="Palatino Linotype" w:hAnsi="Palatino Linotype" w:cs="Arial"/>
          <w:i/>
          <w:sz w:val="22"/>
          <w:szCs w:val="22"/>
        </w:rPr>
        <w:t xml:space="preserve"> Atender y cumplir los lineamientos y normas relativas a polígonos de protección y salvaguarda en zonas de riesgo, así como de zonas restringidas o identificadas como áreas no urbanizables.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XXV.</w:t>
      </w:r>
      <w:r w:rsidRPr="00885EE9">
        <w:rPr>
          <w:rFonts w:ascii="Palatino Linotype" w:hAnsi="Palatino Linotype" w:cs="Arial"/>
          <w:i/>
          <w:sz w:val="22"/>
          <w:szCs w:val="22"/>
        </w:rPr>
        <w:t xml:space="preserve"> Promover con la participación del Estado, polígonos de actuación; polígonos sujetos a densificación y polígonos para el desarrollo o aprovechamiento prioritario o estratégico de inmuebles, que permitan llevar a cabo acciones específicas para el crecimiento, consolidación, mejoramiento y conservación de los centros de población. </w:t>
      </w:r>
    </w:p>
    <w:p w:rsidR="00216565" w:rsidRPr="00885EE9" w:rsidRDefault="00216565" w:rsidP="00216565">
      <w:pPr>
        <w:pStyle w:val="Sinespaciado"/>
        <w:spacing w:before="120" w:after="120"/>
        <w:ind w:left="851" w:right="851"/>
        <w:jc w:val="both"/>
        <w:rPr>
          <w:rFonts w:ascii="Palatino Linotype" w:hAnsi="Palatino Linotype" w:cs="Arial"/>
          <w:i/>
          <w:sz w:val="22"/>
          <w:szCs w:val="22"/>
        </w:rPr>
      </w:pPr>
      <w:r w:rsidRPr="006F532F">
        <w:rPr>
          <w:rFonts w:ascii="Palatino Linotype" w:hAnsi="Palatino Linotype" w:cs="Arial"/>
          <w:b/>
          <w:i/>
          <w:sz w:val="22"/>
          <w:szCs w:val="22"/>
        </w:rPr>
        <w:t>XXVI.</w:t>
      </w:r>
      <w:r w:rsidRPr="00885EE9">
        <w:rPr>
          <w:rFonts w:ascii="Palatino Linotype" w:hAnsi="Palatino Linotype" w:cs="Arial"/>
          <w:i/>
          <w:sz w:val="22"/>
          <w:szCs w:val="22"/>
        </w:rPr>
        <w:t xml:space="preserve"> Las demás que le confieran este Libro, y otras disposiciones jurídicas.</w:t>
      </w:r>
    </w:p>
    <w:p w:rsidR="00216565" w:rsidRDefault="00216565" w:rsidP="00216565">
      <w:pPr>
        <w:pStyle w:val="Sinespaciado"/>
        <w:spacing w:before="240" w:after="240" w:line="360" w:lineRule="auto"/>
        <w:jc w:val="both"/>
        <w:rPr>
          <w:rFonts w:ascii="Palatino Linotype" w:hAnsi="Palatino Linotype"/>
        </w:rPr>
      </w:pPr>
    </w:p>
    <w:p w:rsidR="00216565" w:rsidRDefault="00216565" w:rsidP="00216565">
      <w:pPr>
        <w:pStyle w:val="Sinespaciado"/>
        <w:spacing w:before="240" w:after="240" w:line="360" w:lineRule="auto"/>
        <w:jc w:val="both"/>
        <w:rPr>
          <w:rFonts w:ascii="Palatino Linotype" w:hAnsi="Palatino Linotype"/>
        </w:rPr>
      </w:pPr>
      <w:r>
        <w:rPr>
          <w:rFonts w:ascii="Palatino Linotype" w:hAnsi="Palatino Linotype"/>
        </w:rPr>
        <w:lastRenderedPageBreak/>
        <w:t xml:space="preserve">En conjunto a lo anterior, </w:t>
      </w:r>
      <w:r w:rsidRPr="00E86406">
        <w:rPr>
          <w:rFonts w:ascii="Palatino Linotype" w:hAnsi="Palatino Linotype"/>
        </w:rPr>
        <w:t>a manera de robustecer</w:t>
      </w:r>
      <w:r>
        <w:rPr>
          <w:rFonts w:ascii="Palatino Linotype" w:hAnsi="Palatino Linotype"/>
        </w:rPr>
        <w:t xml:space="preserve"> sirven de </w:t>
      </w:r>
      <w:r w:rsidRPr="00E86406">
        <w:rPr>
          <w:rFonts w:ascii="Palatino Linotype" w:hAnsi="Palatino Linotype"/>
        </w:rPr>
        <w:t>los artículos</w:t>
      </w:r>
      <w:r>
        <w:rPr>
          <w:rFonts w:ascii="Palatino Linotype" w:hAnsi="Palatino Linotype"/>
        </w:rPr>
        <w:t xml:space="preserve"> 24, 26, 29, 31 y 32 </w:t>
      </w:r>
      <w:r w:rsidRPr="009B4477">
        <w:rPr>
          <w:rFonts w:ascii="Palatino Linotype" w:hAnsi="Palatino Linotype"/>
        </w:rPr>
        <w:t>del Reglamento del Libro Quinto del Código Administrativo del Estado de México</w:t>
      </w:r>
      <w:r w:rsidRPr="00E86406">
        <w:rPr>
          <w:rFonts w:ascii="Palatino Linotype" w:hAnsi="Palatino Linotype"/>
        </w:rPr>
        <w:t>, los cuales se plasman a continuación:</w:t>
      </w:r>
    </w:p>
    <w:p w:rsidR="00216565" w:rsidRPr="00636B8A" w:rsidRDefault="00216565" w:rsidP="00216565">
      <w:pPr>
        <w:pStyle w:val="Sinespaciado"/>
        <w:spacing w:before="120" w:after="120"/>
        <w:ind w:left="851" w:right="851"/>
        <w:jc w:val="both"/>
        <w:rPr>
          <w:rFonts w:ascii="Palatino Linotype" w:hAnsi="Palatino Linotype"/>
          <w:b/>
          <w:i/>
          <w:sz w:val="22"/>
          <w:szCs w:val="22"/>
        </w:rPr>
      </w:pPr>
      <w:r w:rsidRPr="00636B8A">
        <w:rPr>
          <w:rFonts w:ascii="Palatino Linotype" w:hAnsi="Palatino Linotype"/>
          <w:b/>
          <w:i/>
          <w:sz w:val="22"/>
          <w:szCs w:val="22"/>
        </w:rPr>
        <w:t xml:space="preserve">DE LOS TIPOS DE PLANES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Artículo 24.</w:t>
      </w:r>
      <w:r w:rsidRPr="0051268F">
        <w:rPr>
          <w:rFonts w:ascii="Palatino Linotype" w:hAnsi="Palatino Linotype"/>
          <w:i/>
          <w:sz w:val="22"/>
          <w:szCs w:val="22"/>
        </w:rPr>
        <w:t xml:space="preserve"> Los planes de desarrollo urbano de competencia municipal serán los siguientes: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w:t>
      </w:r>
      <w:r w:rsidRPr="0051268F">
        <w:rPr>
          <w:rFonts w:ascii="Palatino Linotype" w:hAnsi="Palatino Linotype"/>
          <w:i/>
          <w:sz w:val="22"/>
          <w:szCs w:val="22"/>
        </w:rPr>
        <w:t xml:space="preserve"> Plan Municipal de Desarrollo Urbano.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II</w:t>
      </w:r>
      <w:r w:rsidRPr="0051268F">
        <w:rPr>
          <w:rFonts w:ascii="Palatino Linotype" w:hAnsi="Palatino Linotype"/>
          <w:i/>
          <w:sz w:val="22"/>
          <w:szCs w:val="22"/>
        </w:rPr>
        <w:t xml:space="preserve">. Planes parciales de desarrollo urbano: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Intraurbanos.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B) De incorporación territorial.</w:t>
      </w:r>
    </w:p>
    <w:p w:rsidR="00216565" w:rsidRDefault="00216565" w:rsidP="00216565">
      <w:pPr>
        <w:pStyle w:val="Sinespaciado"/>
        <w:spacing w:before="120" w:after="120"/>
        <w:ind w:left="851" w:right="851" w:firstLine="709"/>
        <w:jc w:val="both"/>
        <w:rPr>
          <w:rFonts w:ascii="Palatino Linotype" w:hAnsi="Palatino Linotype"/>
          <w:b/>
          <w:i/>
          <w:sz w:val="22"/>
          <w:szCs w:val="22"/>
        </w:rPr>
      </w:pPr>
    </w:p>
    <w:p w:rsidR="00216565" w:rsidRPr="006F532F" w:rsidRDefault="00216565" w:rsidP="00216565">
      <w:pPr>
        <w:pStyle w:val="Sinespaciado"/>
        <w:spacing w:before="120" w:after="120"/>
        <w:ind w:left="851" w:right="851" w:firstLine="709"/>
        <w:jc w:val="both"/>
        <w:rPr>
          <w:rFonts w:ascii="Palatino Linotype" w:hAnsi="Palatino Linotype"/>
          <w:b/>
          <w:i/>
          <w:sz w:val="22"/>
          <w:szCs w:val="22"/>
        </w:rPr>
      </w:pPr>
      <w:r w:rsidRPr="006F532F">
        <w:rPr>
          <w:rFonts w:ascii="Palatino Linotype" w:hAnsi="Palatino Linotype"/>
          <w:b/>
          <w:i/>
          <w:sz w:val="22"/>
          <w:szCs w:val="22"/>
        </w:rPr>
        <w:t xml:space="preserve">DEL CONTENIDO DE LOS PLANES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Artículo 26</w:t>
      </w:r>
      <w:r w:rsidRPr="0051268F">
        <w:rPr>
          <w:rFonts w:ascii="Palatino Linotype" w:hAnsi="Palatino Linotype"/>
          <w:i/>
          <w:sz w:val="22"/>
          <w:szCs w:val="22"/>
        </w:rPr>
        <w:t xml:space="preserve">. Los planes municipales de desarrollo urbano y los parciales de competencia municipal, deberán contener, como mínimo, lo siguiente: </w:t>
      </w:r>
    </w:p>
    <w:p w:rsidR="00216565" w:rsidRPr="0051268F" w:rsidRDefault="00216565" w:rsidP="00216565">
      <w:pPr>
        <w:pStyle w:val="Sinespaciado"/>
        <w:spacing w:before="120" w:after="120"/>
        <w:ind w:right="851" w:firstLine="709"/>
        <w:jc w:val="both"/>
        <w:rPr>
          <w:rFonts w:ascii="Palatino Linotype" w:hAnsi="Palatino Linotype"/>
          <w:i/>
          <w:sz w:val="22"/>
          <w:szCs w:val="22"/>
        </w:rPr>
      </w:pPr>
      <w:r w:rsidRPr="006F532F">
        <w:rPr>
          <w:rFonts w:ascii="Palatino Linotype" w:hAnsi="Palatino Linotype"/>
          <w:b/>
          <w:i/>
          <w:sz w:val="22"/>
          <w:szCs w:val="22"/>
        </w:rPr>
        <w:t>I.</w:t>
      </w:r>
      <w:r w:rsidRPr="0051268F">
        <w:rPr>
          <w:rFonts w:ascii="Palatino Linotype" w:hAnsi="Palatino Linotype"/>
          <w:i/>
          <w:sz w:val="22"/>
          <w:szCs w:val="22"/>
        </w:rPr>
        <w:t xml:space="preserve"> Introducción. </w:t>
      </w:r>
    </w:p>
    <w:p w:rsidR="00216565" w:rsidRPr="0051268F" w:rsidRDefault="00216565" w:rsidP="00216565">
      <w:pPr>
        <w:pStyle w:val="Sinespaciado"/>
        <w:spacing w:before="120" w:after="120"/>
        <w:ind w:right="851" w:firstLine="709"/>
        <w:jc w:val="both"/>
        <w:rPr>
          <w:rFonts w:ascii="Palatino Linotype" w:hAnsi="Palatino Linotype"/>
          <w:i/>
          <w:sz w:val="22"/>
          <w:szCs w:val="22"/>
        </w:rPr>
      </w:pPr>
      <w:r w:rsidRPr="006F532F">
        <w:rPr>
          <w:rFonts w:ascii="Palatino Linotype" w:hAnsi="Palatino Linotype"/>
          <w:b/>
          <w:i/>
          <w:sz w:val="22"/>
          <w:szCs w:val="22"/>
        </w:rPr>
        <w:t>II.</w:t>
      </w:r>
      <w:r w:rsidRPr="0051268F">
        <w:rPr>
          <w:rFonts w:ascii="Palatino Linotype" w:hAnsi="Palatino Linotype"/>
          <w:i/>
          <w:sz w:val="22"/>
          <w:szCs w:val="22"/>
        </w:rPr>
        <w:t xml:space="preserve"> Propósitos y alcances del plan: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Finalidad del plan.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Evaluación del plan vigente en su caso.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C) Los límites territoriales del municipio conforme a lo establecido en la división político</w:t>
      </w:r>
      <w:r w:rsidR="006B3C29">
        <w:rPr>
          <w:rFonts w:ascii="Palatino Linotype" w:hAnsi="Palatino Linotype"/>
          <w:i/>
          <w:sz w:val="22"/>
          <w:szCs w:val="22"/>
        </w:rPr>
        <w:t xml:space="preserve"> </w:t>
      </w:r>
      <w:r w:rsidRPr="0051268F">
        <w:rPr>
          <w:rFonts w:ascii="Palatino Linotype" w:hAnsi="Palatino Linotype"/>
          <w:i/>
          <w:sz w:val="22"/>
          <w:szCs w:val="22"/>
        </w:rPr>
        <w:t xml:space="preserve">administrativa del Estado de México, como lo determina la Ley Orgánica Municipal del Estado de México.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III</w:t>
      </w:r>
      <w:r w:rsidRPr="0051268F">
        <w:rPr>
          <w:rFonts w:ascii="Palatino Linotype" w:hAnsi="Palatino Linotype"/>
          <w:i/>
          <w:sz w:val="22"/>
          <w:szCs w:val="22"/>
        </w:rPr>
        <w:t xml:space="preserve">. Marco jurídico.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IV.</w:t>
      </w:r>
      <w:r w:rsidRPr="0051268F">
        <w:rPr>
          <w:rFonts w:ascii="Palatino Linotype" w:hAnsi="Palatino Linotype"/>
          <w:i/>
          <w:sz w:val="22"/>
          <w:szCs w:val="22"/>
        </w:rPr>
        <w:t xml:space="preserve"> Congruencia con otros niveles de planeación: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Nacionales.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Estatales.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w:t>
      </w:r>
      <w:r w:rsidRPr="0051268F">
        <w:rPr>
          <w:rFonts w:ascii="Palatino Linotype" w:hAnsi="Palatino Linotype"/>
          <w:i/>
          <w:sz w:val="22"/>
          <w:szCs w:val="22"/>
        </w:rPr>
        <w:t xml:space="preserve"> Diagnóstico: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Aspectos físicos.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lastRenderedPageBreak/>
        <w:t xml:space="preserve">B) Aspectos sociales.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Aspectos económicos.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D) Aspectos territoriales.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E) Aspectos urbanos e imagen urbana.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F) Aspectos sectoriales.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w:t>
      </w:r>
      <w:r w:rsidRPr="0051268F">
        <w:rPr>
          <w:rFonts w:ascii="Palatino Linotype" w:hAnsi="Palatino Linotype"/>
          <w:i/>
          <w:sz w:val="22"/>
          <w:szCs w:val="22"/>
        </w:rPr>
        <w:t xml:space="preserve"> Síntesis del diagnóstico (Análisis territorial FODA).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VII</w:t>
      </w:r>
      <w:r w:rsidRPr="0051268F">
        <w:rPr>
          <w:rFonts w:ascii="Palatino Linotype" w:hAnsi="Palatino Linotype"/>
          <w:i/>
          <w:sz w:val="22"/>
          <w:szCs w:val="22"/>
        </w:rPr>
        <w:t xml:space="preserve">. Pronóstico: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Escenario tendencial.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Escenario programático.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VIII.</w:t>
      </w:r>
      <w:r w:rsidRPr="0051268F">
        <w:rPr>
          <w:rFonts w:ascii="Palatino Linotype" w:hAnsi="Palatino Linotype"/>
          <w:i/>
          <w:sz w:val="22"/>
          <w:szCs w:val="22"/>
        </w:rPr>
        <w:t xml:space="preserve"> Objetivos: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IX.</w:t>
      </w:r>
      <w:r w:rsidRPr="0051268F">
        <w:rPr>
          <w:rFonts w:ascii="Palatino Linotype" w:hAnsi="Palatino Linotype"/>
          <w:i/>
          <w:sz w:val="22"/>
          <w:szCs w:val="22"/>
        </w:rPr>
        <w:t xml:space="preserve"> Políticas: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X.</w:t>
      </w:r>
      <w:r w:rsidRPr="0051268F">
        <w:rPr>
          <w:rFonts w:ascii="Palatino Linotype" w:hAnsi="Palatino Linotype"/>
          <w:i/>
          <w:sz w:val="22"/>
          <w:szCs w:val="22"/>
        </w:rPr>
        <w:t xml:space="preserve"> Estrategias: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1. Sistema de ordenamiento territorial.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ejes de desarrollo.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B) De ordenamiento urbano: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1. Sistema de ciudades.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competitividad de ciudades.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3. Sistema de sustentabilidad de las ciudades.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4. Sistema de imagen urbana.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lastRenderedPageBreak/>
        <w:t xml:space="preserve">1. Sistema de planeación para el fortalecimiento territorial y urbano.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2. Sistema de planeación del suelo y la vivienda.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3. Sistema de planeación para la modernización y ampliación de la infraestructura.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4. Sistema de planeación para la modernización y ampliación del equipamiento.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5. Sistema de planeación para la prevención de riesgos y desastres.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6. Sistema de planeación para la prevención del entorno ambiental.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XI. Programas y proyectos estratégicos: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ordenamiento territorial.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ordenamiento urbano e imagen urbana.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ordenamiento sectorial.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F532F">
        <w:rPr>
          <w:rFonts w:ascii="Palatino Linotype" w:hAnsi="Palatino Linotype"/>
          <w:b/>
          <w:i/>
          <w:sz w:val="22"/>
          <w:szCs w:val="22"/>
        </w:rPr>
        <w:t>XII.</w:t>
      </w:r>
      <w:r w:rsidRPr="0051268F">
        <w:rPr>
          <w:rFonts w:ascii="Palatino Linotype" w:hAnsi="Palatino Linotype"/>
          <w:i/>
          <w:sz w:val="22"/>
          <w:szCs w:val="22"/>
        </w:rPr>
        <w:t xml:space="preserve"> Instrumentos: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De inducción y fomento.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De regulación.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De organización y coordinación.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D) Financieros.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E) De operación, seguimiento y evaluación.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F) Demás necesarios. </w:t>
      </w:r>
    </w:p>
    <w:p w:rsidR="00216565" w:rsidRPr="00636B8A" w:rsidRDefault="00216565" w:rsidP="00216565">
      <w:pPr>
        <w:pStyle w:val="Sinespaciado"/>
        <w:spacing w:before="120" w:after="120"/>
        <w:ind w:left="851" w:right="851"/>
        <w:jc w:val="both"/>
        <w:rPr>
          <w:rFonts w:ascii="Palatino Linotype" w:hAnsi="Palatino Linotype"/>
          <w:i/>
          <w:sz w:val="22"/>
          <w:szCs w:val="22"/>
          <w:u w:val="single"/>
        </w:rPr>
      </w:pPr>
      <w:r w:rsidRPr="00636B8A">
        <w:rPr>
          <w:rFonts w:ascii="Palatino Linotype" w:hAnsi="Palatino Linotype"/>
          <w:b/>
          <w:i/>
          <w:sz w:val="22"/>
          <w:szCs w:val="22"/>
          <w:u w:val="single"/>
        </w:rPr>
        <w:t>XIII.</w:t>
      </w:r>
      <w:r w:rsidRPr="00636B8A">
        <w:rPr>
          <w:rFonts w:ascii="Palatino Linotype" w:hAnsi="Palatino Linotype"/>
          <w:i/>
          <w:sz w:val="22"/>
          <w:szCs w:val="22"/>
          <w:u w:val="single"/>
        </w:rPr>
        <w:t xml:space="preserve"> Anexo gráfico y cartográfico (se desarrollará en plataforma de información geográfica SIG, preferentemente Arc View). </w:t>
      </w:r>
    </w:p>
    <w:p w:rsidR="00216565" w:rsidRDefault="00216565" w:rsidP="00216565">
      <w:pPr>
        <w:pStyle w:val="Sinespaciado"/>
        <w:spacing w:before="120" w:after="120"/>
        <w:ind w:left="851" w:right="851"/>
        <w:jc w:val="both"/>
        <w:rPr>
          <w:rFonts w:ascii="Palatino Linotype" w:hAnsi="Palatino Linotype"/>
          <w:i/>
          <w:sz w:val="22"/>
          <w:szCs w:val="22"/>
        </w:rPr>
      </w:pPr>
      <w:r>
        <w:rPr>
          <w:rFonts w:ascii="Palatino Linotype" w:hAnsi="Palatino Linotype"/>
          <w:i/>
          <w:sz w:val="22"/>
          <w:szCs w:val="22"/>
        </w:rPr>
        <w:t>XIV. Epílogo.</w:t>
      </w:r>
    </w:p>
    <w:p w:rsidR="00216565" w:rsidRPr="00636B8A" w:rsidRDefault="00216565" w:rsidP="00216565">
      <w:pPr>
        <w:pStyle w:val="Sinespaciado"/>
        <w:spacing w:before="120" w:after="120"/>
        <w:ind w:left="851" w:right="851"/>
        <w:jc w:val="both"/>
        <w:rPr>
          <w:rFonts w:ascii="Palatino Linotype" w:hAnsi="Palatino Linotype"/>
          <w:i/>
          <w:sz w:val="22"/>
          <w:szCs w:val="22"/>
        </w:rPr>
      </w:pP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A40557">
        <w:rPr>
          <w:rFonts w:ascii="Palatino Linotype" w:hAnsi="Palatino Linotype"/>
          <w:b/>
          <w:i/>
          <w:sz w:val="22"/>
          <w:szCs w:val="22"/>
        </w:rPr>
        <w:t>Artículo 29.</w:t>
      </w:r>
      <w:r w:rsidRPr="0051268F">
        <w:rPr>
          <w:rFonts w:ascii="Palatino Linotype" w:hAnsi="Palatino Linotype"/>
          <w:i/>
          <w:sz w:val="22"/>
          <w:szCs w:val="22"/>
        </w:rPr>
        <w:t xml:space="preserve"> El procedimiento de aprobación y modificación de los planes municipales de desarrollo urbano y de los planes parciales que deriven de ellos, se sujetará a lo siguiente: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I.</w:t>
      </w:r>
      <w:r w:rsidRPr="0051268F">
        <w:rPr>
          <w:rFonts w:ascii="Palatino Linotype" w:hAnsi="Palatino Linotype"/>
          <w:i/>
          <w:sz w:val="22"/>
          <w:szCs w:val="22"/>
        </w:rPr>
        <w:t xml:space="preserve"> La unidad administrativa municipal encargada del desarrollo urbano, formulará el proyecto del plan o su modificación, con la participación que corresponda de las instituciones gubernamentales estatales encargadas de las materias a que se refiere </w:t>
      </w:r>
      <w:r w:rsidRPr="0051268F">
        <w:rPr>
          <w:rFonts w:ascii="Palatino Linotype" w:hAnsi="Palatino Linotype"/>
          <w:i/>
          <w:sz w:val="22"/>
          <w:szCs w:val="22"/>
        </w:rPr>
        <w:lastRenderedPageBreak/>
        <w:t xml:space="preserve">el artículo 5.19 fracción II del Código, quienes emitirán sus observaciones sobre el contenido del mismo en los temas del área de su competencia. Para la procedencia de modificación a los planes municipales, será necesario contar con la evaluación que al efecto la sustente.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636B8A">
        <w:rPr>
          <w:rFonts w:ascii="Palatino Linotype" w:hAnsi="Palatino Linotype"/>
          <w:b/>
          <w:i/>
          <w:sz w:val="22"/>
          <w:szCs w:val="22"/>
        </w:rPr>
        <w:t>II.</w:t>
      </w:r>
      <w:r w:rsidRPr="0051268F">
        <w:rPr>
          <w:rFonts w:ascii="Palatino Linotype" w:hAnsi="Palatino Linotype"/>
          <w:i/>
          <w:sz w:val="22"/>
          <w:szCs w:val="22"/>
        </w:rPr>
        <w:t xml:space="preserve"> Previo a la consulta pública, la autoridad municipal someterá a la Secretaría el proyecto de plan o su modificación, para que de considerarlo necesario sea presentado ante la Comisión, constituida en foro técnico de análisis y consulta, a efecto de recabar, en su caso, las observaciones de sus integrantes, que a su vez las hará llegar a la autoridad municipal, para su valoración e integración al proyecto.</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 </w:t>
      </w:r>
      <w:r w:rsidRPr="005E707E">
        <w:rPr>
          <w:rFonts w:ascii="Palatino Linotype" w:hAnsi="Palatino Linotype"/>
          <w:b/>
          <w:i/>
          <w:sz w:val="22"/>
          <w:szCs w:val="22"/>
        </w:rPr>
        <w:t>III.</w:t>
      </w:r>
      <w:r w:rsidRPr="0051268F">
        <w:rPr>
          <w:rFonts w:ascii="Palatino Linotype" w:hAnsi="Palatino Linotype"/>
          <w:i/>
          <w:sz w:val="22"/>
          <w:szCs w:val="22"/>
        </w:rPr>
        <w:t xml:space="preserve"> De no emitirse ninguna observación en los plazos que determine la Comisión, se entenderán como aceptados los términos del proyecto, procediendo la autoridad municipal que formuló el proyecto, a dar aviso público del inicio del proceso de consulta.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IV.</w:t>
      </w:r>
      <w:r w:rsidRPr="0051268F">
        <w:rPr>
          <w:rFonts w:ascii="Palatino Linotype" w:hAnsi="Palatino Linotype"/>
          <w:i/>
          <w:sz w:val="22"/>
          <w:szCs w:val="22"/>
        </w:rPr>
        <w:t xml:space="preserve"> </w:t>
      </w:r>
      <w:r w:rsidRPr="005E707E">
        <w:rPr>
          <w:rFonts w:ascii="Palatino Linotype" w:hAnsi="Palatino Linotype"/>
          <w:i/>
          <w:sz w:val="22"/>
          <w:szCs w:val="22"/>
          <w:u w:val="single"/>
        </w:rPr>
        <w:t>El proyecto del plan o su modificación respectiva estará disponible al público, durante un mes contado a partir del día siguiente al que se dé aviso público del inicio del proceso de consulta, en las oficinas de la unidad administrativa municipal que lo formuló o en el lugar que se designe al efecto, durante dicho plazo la autoridad municipal organizará al menos dos audiencias públicas en las que expondrá el proyecto del plan para recabar la opinión de los ciudadanos</w:t>
      </w:r>
      <w:r w:rsidRPr="0051268F">
        <w:rPr>
          <w:rFonts w:ascii="Palatino Linotype" w:hAnsi="Palatino Linotype"/>
          <w:i/>
          <w:sz w:val="22"/>
          <w:szCs w:val="22"/>
        </w:rPr>
        <w:t xml:space="preserve">.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V.</w:t>
      </w:r>
      <w:r w:rsidRPr="0051268F">
        <w:rPr>
          <w:rFonts w:ascii="Palatino Linotype" w:hAnsi="Palatino Linotype"/>
          <w:i/>
          <w:sz w:val="22"/>
          <w:szCs w:val="22"/>
        </w:rPr>
        <w:t xml:space="preserve"> Durante el plazo señalado, la unidad administrativa municipal encargada del desarrollo urbano recibirá las propuestas que de manera escrita o electrónica se hayan planteado, incorporará al proyecto las que resulten viables y elaborará el documento definitivo del plan, o de su modificación.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VI.</w:t>
      </w:r>
      <w:r w:rsidRPr="0051268F">
        <w:rPr>
          <w:rFonts w:ascii="Palatino Linotype" w:hAnsi="Palatino Linotype"/>
          <w:i/>
          <w:sz w:val="22"/>
          <w:szCs w:val="22"/>
        </w:rPr>
        <w:t xml:space="preserve"> </w:t>
      </w:r>
      <w:r w:rsidRPr="005E707E">
        <w:rPr>
          <w:rFonts w:ascii="Palatino Linotype" w:hAnsi="Palatino Linotype"/>
          <w:i/>
          <w:sz w:val="22"/>
          <w:szCs w:val="22"/>
          <w:u w:val="single"/>
        </w:rPr>
        <w:t>Integrado el proyecto definitivo del plan o su modificación, el presidente municipal correspondiente, dentro de los diez días siguientes, solicitará a la Secretaría el dictamen de congruencia del proyecto, anexando la documentación que acredite la consulta pública</w:t>
      </w:r>
      <w:r w:rsidRPr="0051268F">
        <w:rPr>
          <w:rFonts w:ascii="Palatino Linotype" w:hAnsi="Palatino Linotype"/>
          <w:i/>
          <w:sz w:val="22"/>
          <w:szCs w:val="22"/>
        </w:rPr>
        <w:t xml:space="preserve">.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CC31C6">
        <w:rPr>
          <w:rFonts w:ascii="Palatino Linotype" w:hAnsi="Palatino Linotype"/>
          <w:b/>
          <w:i/>
          <w:sz w:val="22"/>
          <w:szCs w:val="22"/>
        </w:rPr>
        <w:t>VII.</w:t>
      </w:r>
      <w:r w:rsidRPr="0051268F">
        <w:rPr>
          <w:rFonts w:ascii="Palatino Linotype" w:hAnsi="Palatino Linotype"/>
          <w:i/>
          <w:sz w:val="22"/>
          <w:szCs w:val="22"/>
        </w:rPr>
        <w:t xml:space="preserve"> Cumplidas las anteriores formalidades y emitido el dictamen de congruencia por la Secretaría, el ayuntamiento respectivo dentro de los diez días siguientes, aprobará el plan en sesión de Cabildo.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CC31C6">
        <w:rPr>
          <w:rFonts w:ascii="Palatino Linotype" w:hAnsi="Palatino Linotype"/>
          <w:b/>
          <w:i/>
          <w:sz w:val="22"/>
          <w:szCs w:val="22"/>
        </w:rPr>
        <w:t>VIII.</w:t>
      </w:r>
      <w:r w:rsidRPr="0051268F">
        <w:rPr>
          <w:rFonts w:ascii="Palatino Linotype" w:hAnsi="Palatino Linotype"/>
          <w:i/>
          <w:sz w:val="22"/>
          <w:szCs w:val="22"/>
        </w:rPr>
        <w:t xml:space="preserve"> </w:t>
      </w:r>
      <w:r w:rsidRPr="00636B8A">
        <w:rPr>
          <w:rFonts w:ascii="Palatino Linotype" w:hAnsi="Palatino Linotype"/>
          <w:i/>
          <w:sz w:val="22"/>
          <w:szCs w:val="22"/>
          <w:u w:val="single"/>
        </w:rPr>
        <w:t>Una vez aprobado el plan o su modificación, la autoridad municipal dentro de los diez días siguientes, lo remitirá en dos tantos, así como el acta de cabildo de su aprobación y todos sus antecedentes y anexos gráficos</w:t>
      </w:r>
      <w:r w:rsidRPr="0051268F">
        <w:rPr>
          <w:rFonts w:ascii="Palatino Linotype" w:hAnsi="Palatino Linotype"/>
          <w:i/>
          <w:sz w:val="22"/>
          <w:szCs w:val="22"/>
        </w:rPr>
        <w:t xml:space="preserve">, a la Secretaría para el trámite de su publicación en el periódico oficial “Gaceta del Gobierno” y su posterior </w:t>
      </w:r>
      <w:r w:rsidRPr="0051268F">
        <w:rPr>
          <w:rFonts w:ascii="Palatino Linotype" w:hAnsi="Palatino Linotype"/>
          <w:i/>
          <w:sz w:val="22"/>
          <w:szCs w:val="22"/>
        </w:rPr>
        <w:lastRenderedPageBreak/>
        <w:t xml:space="preserve">inscripción en el Instituto de la Función Registral del Estado de México, así como la correspondiente remisión al Sistema Estatal.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A40557">
        <w:rPr>
          <w:rFonts w:ascii="Palatino Linotype" w:hAnsi="Palatino Linotype"/>
          <w:b/>
          <w:i/>
          <w:sz w:val="22"/>
          <w:szCs w:val="22"/>
        </w:rPr>
        <w:t>Artículo 31.</w:t>
      </w:r>
      <w:r w:rsidRPr="0051268F">
        <w:rPr>
          <w:rFonts w:ascii="Palatino Linotype" w:hAnsi="Palatino Linotype"/>
          <w:i/>
          <w:sz w:val="22"/>
          <w:szCs w:val="22"/>
        </w:rPr>
        <w:t xml:space="preserve"> El dictamen de congruencia previsto por el artículo 5.31 del Código, será emitido por la Secretaría y tendrá por objeto determinar los elementos de congruencia existentes entre los planes estatal de desarrollo urbano, regionales de desarrollo urbano y sus respectivos parciales, en su caso, con el proyecto del plan de desarrollo urbano de competencia municipal o su modificación correspondiente que se trate y tendrá el siguiente contenido: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w:t>
      </w:r>
      <w:r w:rsidRPr="0051268F">
        <w:rPr>
          <w:rFonts w:ascii="Palatino Linotype" w:hAnsi="Palatino Linotype"/>
          <w:i/>
          <w:sz w:val="22"/>
          <w:szCs w:val="22"/>
        </w:rPr>
        <w:t xml:space="preserve"> La referencia al plan de competencia municipal que se trate y el o los relativos de competencia estatal.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w:t>
      </w:r>
      <w:r w:rsidRPr="0051268F">
        <w:rPr>
          <w:rFonts w:ascii="Palatino Linotype" w:hAnsi="Palatino Linotype"/>
          <w:i/>
          <w:sz w:val="22"/>
          <w:szCs w:val="22"/>
        </w:rPr>
        <w:t xml:space="preserve"> El señalamiento que en el proyecto del plan, se han incluido: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A) Las políticas públicas de ordenamiento urbano y de población establecidas para el correspondiente municipio.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B) Las estrategias relativas a la aptitud, vocación y aprovechamiento del suelo, así como las establecidas en materia de vialidad, de protección al ambiente, de infraestructura y equipamiento urbano y de riesgos. </w:t>
      </w:r>
    </w:p>
    <w:p w:rsidR="00216565" w:rsidRPr="0051268F" w:rsidRDefault="00216565" w:rsidP="00216565">
      <w:pPr>
        <w:pStyle w:val="Sinespaciado"/>
        <w:spacing w:before="120" w:after="120"/>
        <w:ind w:left="851" w:right="851" w:firstLine="709"/>
        <w:jc w:val="both"/>
        <w:rPr>
          <w:rFonts w:ascii="Palatino Linotype" w:hAnsi="Palatino Linotype"/>
          <w:i/>
          <w:sz w:val="22"/>
          <w:szCs w:val="22"/>
        </w:rPr>
      </w:pPr>
      <w:r w:rsidRPr="0051268F">
        <w:rPr>
          <w:rFonts w:ascii="Palatino Linotype" w:hAnsi="Palatino Linotype"/>
          <w:i/>
          <w:sz w:val="22"/>
          <w:szCs w:val="22"/>
        </w:rPr>
        <w:t xml:space="preserve">C) Los proyectos estratégicos y programas sectoriales, en su caso.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III.</w:t>
      </w:r>
      <w:r w:rsidRPr="0051268F">
        <w:rPr>
          <w:rFonts w:ascii="Palatino Linotype" w:hAnsi="Palatino Linotype"/>
          <w:i/>
          <w:sz w:val="22"/>
          <w:szCs w:val="22"/>
        </w:rPr>
        <w:t xml:space="preserve"> La determinación que el proyecto guarda congruencia con las políticas y estrategias estatales de ordenamiento territorial y de desarrollo urbano.</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 </w:t>
      </w:r>
      <w:r w:rsidRPr="005E707E">
        <w:rPr>
          <w:rFonts w:ascii="Palatino Linotype" w:hAnsi="Palatino Linotype"/>
          <w:b/>
          <w:i/>
          <w:sz w:val="22"/>
          <w:szCs w:val="22"/>
        </w:rPr>
        <w:t>IV.</w:t>
      </w:r>
      <w:r w:rsidRPr="0051268F">
        <w:rPr>
          <w:rFonts w:ascii="Palatino Linotype" w:hAnsi="Palatino Linotype"/>
          <w:i/>
          <w:sz w:val="22"/>
          <w:szCs w:val="22"/>
        </w:rPr>
        <w:t xml:space="preserve"> El señalamiento que para la validez jurídica del plan o su modificación, el dictamen de congruencia deberá integrarse textualmente a su contenido. </w:t>
      </w:r>
    </w:p>
    <w:p w:rsidR="00216565" w:rsidRPr="0051268F" w:rsidRDefault="00216565" w:rsidP="00216565">
      <w:pPr>
        <w:pStyle w:val="Sinespaciado"/>
        <w:spacing w:before="120" w:after="120"/>
        <w:ind w:left="851" w:right="851"/>
        <w:jc w:val="both"/>
        <w:rPr>
          <w:rFonts w:ascii="Palatino Linotype" w:hAnsi="Palatino Linotype"/>
          <w:i/>
          <w:sz w:val="22"/>
          <w:szCs w:val="22"/>
        </w:rPr>
      </w:pP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DEL PROCEDIMIENTO PARA LA EMISIÓN DEL DICTAMEN DE CONGRUENCIA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E707E">
        <w:rPr>
          <w:rFonts w:ascii="Palatino Linotype" w:hAnsi="Palatino Linotype"/>
          <w:b/>
          <w:i/>
          <w:sz w:val="22"/>
          <w:szCs w:val="22"/>
        </w:rPr>
        <w:t>Artículo 32.</w:t>
      </w:r>
      <w:r w:rsidRPr="0051268F">
        <w:rPr>
          <w:rFonts w:ascii="Palatino Linotype" w:hAnsi="Palatino Linotype"/>
          <w:i/>
          <w:sz w:val="22"/>
          <w:szCs w:val="22"/>
        </w:rPr>
        <w:t xml:space="preserve"> </w:t>
      </w:r>
      <w:r w:rsidRPr="00636B8A">
        <w:rPr>
          <w:rFonts w:ascii="Palatino Linotype" w:hAnsi="Palatino Linotype"/>
          <w:i/>
          <w:sz w:val="22"/>
          <w:szCs w:val="22"/>
          <w:u w:val="single"/>
        </w:rPr>
        <w:t xml:space="preserve">El municipio respectivo, por conducto del presidente municipal, solicitará por escrito al titular de la Secretaría, la emisión del dictamen de congruencia a que se refiere el artículo anterior, acompañando el proyecto del plan o su modificación que se trate, </w:t>
      </w:r>
      <w:r w:rsidRPr="005E707E">
        <w:rPr>
          <w:rFonts w:ascii="Palatino Linotype" w:hAnsi="Palatino Linotype"/>
          <w:b/>
          <w:i/>
          <w:sz w:val="22"/>
          <w:szCs w:val="22"/>
          <w:u w:val="single"/>
        </w:rPr>
        <w:t>impreso y en medio magnético con todos sus antecedentes y anexos gráficos.</w:t>
      </w:r>
      <w:r w:rsidRPr="005E707E">
        <w:rPr>
          <w:rFonts w:ascii="Palatino Linotype" w:hAnsi="Palatino Linotype"/>
          <w:b/>
          <w:i/>
          <w:sz w:val="22"/>
          <w:szCs w:val="22"/>
        </w:rPr>
        <w:t xml:space="preserve">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t xml:space="preserve">La Secretaría analizará el plan o su modificación y en caso procedente elaborará el respectivo dictamen de congruencia, mismo que será firmado por su titular quien ordenará su entrega formal al municipio solicitante, en un plazo no mayor a sesenta días hábiles. </w:t>
      </w:r>
    </w:p>
    <w:p w:rsidR="00216565" w:rsidRPr="0051268F" w:rsidRDefault="00216565" w:rsidP="00216565">
      <w:pPr>
        <w:pStyle w:val="Sinespaciado"/>
        <w:spacing w:before="120" w:after="120"/>
        <w:ind w:left="851" w:right="851"/>
        <w:jc w:val="both"/>
        <w:rPr>
          <w:rFonts w:ascii="Palatino Linotype" w:hAnsi="Palatino Linotype"/>
          <w:i/>
          <w:sz w:val="22"/>
          <w:szCs w:val="22"/>
        </w:rPr>
      </w:pPr>
      <w:r w:rsidRPr="0051268F">
        <w:rPr>
          <w:rFonts w:ascii="Palatino Linotype" w:hAnsi="Palatino Linotype"/>
          <w:i/>
          <w:sz w:val="22"/>
          <w:szCs w:val="22"/>
        </w:rPr>
        <w:lastRenderedPageBreak/>
        <w:t xml:space="preserve">En caso de no existir congruencia, se le comunicará lo conducente para que se realicen los ajustes correspondientes al proyecto del plan o su modificación. </w:t>
      </w:r>
    </w:p>
    <w:p w:rsidR="00216565" w:rsidRPr="0051268F" w:rsidRDefault="00216565" w:rsidP="00216565">
      <w:pPr>
        <w:pStyle w:val="Sinespaciado"/>
        <w:spacing w:before="240" w:after="240"/>
        <w:ind w:right="851"/>
        <w:jc w:val="both"/>
        <w:rPr>
          <w:rFonts w:ascii="Palatino Linotype" w:hAnsi="Palatino Linotype"/>
          <w:sz w:val="22"/>
          <w:szCs w:val="22"/>
        </w:rPr>
      </w:pPr>
    </w:p>
    <w:p w:rsidR="00216565" w:rsidRDefault="00216565" w:rsidP="00216565">
      <w:pPr>
        <w:pStyle w:val="Sinespaciado"/>
        <w:spacing w:line="360" w:lineRule="auto"/>
        <w:jc w:val="both"/>
        <w:rPr>
          <w:rFonts w:ascii="Palatino Linotype" w:hAnsi="Palatino Linotype"/>
        </w:rPr>
      </w:pPr>
      <w:r>
        <w:rPr>
          <w:rFonts w:ascii="Palatino Linotype" w:hAnsi="Palatino Linotype"/>
        </w:rPr>
        <w:t xml:space="preserve">En ese orden de ideas, como se puede apreciar de los preceptos antes transcritos, podemos advertir que dentro de las atribuciones de los Municipios se encuentra </w:t>
      </w:r>
      <w:r w:rsidR="00BE7415" w:rsidRPr="00BE7415">
        <w:rPr>
          <w:rFonts w:ascii="Palatino Linotype" w:hAnsi="Palatino Linotype"/>
        </w:rPr>
        <w:t>el expedir cédulas informativas de zonificación, licencias de uso de suelo y licencias de construcción, así como autorizar cambios de uso del suelo, y su aprovechamiento con fines urbanos, en sus circunscripciones territoriales</w:t>
      </w:r>
      <w:r w:rsidR="00BE7415">
        <w:rPr>
          <w:rFonts w:ascii="Palatino Linotype" w:hAnsi="Palatino Linotype"/>
        </w:rPr>
        <w:t>,</w:t>
      </w:r>
      <w:r w:rsidR="00400CAD">
        <w:rPr>
          <w:rFonts w:ascii="Palatino Linotype" w:hAnsi="Palatino Linotype"/>
        </w:rPr>
        <w:t xml:space="preserve"> siendo una de estas el fraccionamiento referido por el particular,</w:t>
      </w:r>
      <w:r w:rsidR="00BE7415">
        <w:rPr>
          <w:rFonts w:ascii="Palatino Linotype" w:hAnsi="Palatino Linotype"/>
        </w:rPr>
        <w:t xml:space="preserve"> aunado a ello se establece como su atribución </w:t>
      </w:r>
      <w:r>
        <w:rPr>
          <w:rFonts w:ascii="Palatino Linotype" w:hAnsi="Palatino Linotype"/>
        </w:rPr>
        <w:t xml:space="preserve">el formular, aprobar, ejecutar, evaluar, modificar y actualizar los planes municipales de desarrollo urbano, entendiéndose por estos </w:t>
      </w:r>
      <w:r w:rsidRPr="00B773FC">
        <w:rPr>
          <w:rFonts w:ascii="Palatino Linotype" w:hAnsi="Palatino Linotype"/>
        </w:rPr>
        <w:t xml:space="preserve">como los instrumentos que contienen las disposiciones jurídicas para planear y regular el ordenamiento de los asentamientos humanos en el territorio municipal, teniendo como como objeto, establecer las políticas, estrategias y objetivos para el desarrollo urbano del territorio municipal, mediante la determinación de la </w:t>
      </w:r>
      <w:r w:rsidRPr="008425B5">
        <w:rPr>
          <w:rFonts w:ascii="Palatino Linotype" w:hAnsi="Palatino Linotype"/>
          <w:b/>
          <w:bCs/>
        </w:rPr>
        <w:t>zonificación</w:t>
      </w:r>
      <w:r w:rsidRPr="00B773FC">
        <w:rPr>
          <w:rFonts w:ascii="Palatino Linotype" w:hAnsi="Palatino Linotype"/>
        </w:rPr>
        <w:t>,</w:t>
      </w:r>
      <w:r w:rsidR="008425B5">
        <w:rPr>
          <w:rFonts w:ascii="Palatino Linotype" w:hAnsi="Palatino Linotype"/>
        </w:rPr>
        <w:t xml:space="preserve"> </w:t>
      </w:r>
      <w:r w:rsidR="008425B5" w:rsidRPr="00BE7415">
        <w:rPr>
          <w:rFonts w:ascii="Palatino Linotype" w:hAnsi="Palatino Linotype"/>
          <w:b/>
          <w:bCs/>
        </w:rPr>
        <w:t>que contiene</w:t>
      </w:r>
      <w:r w:rsidRPr="00BE7415">
        <w:rPr>
          <w:rFonts w:ascii="Palatino Linotype" w:hAnsi="Palatino Linotype"/>
          <w:b/>
          <w:bCs/>
        </w:rPr>
        <w:t xml:space="preserve"> los </w:t>
      </w:r>
      <w:r w:rsidR="008425B5" w:rsidRPr="00BE7415">
        <w:rPr>
          <w:rFonts w:ascii="Palatino Linotype" w:hAnsi="Palatino Linotype"/>
          <w:b/>
          <w:bCs/>
        </w:rPr>
        <w:t xml:space="preserve">usos de suelo, sus destinos </w:t>
      </w:r>
      <w:r w:rsidRPr="00BE7415">
        <w:rPr>
          <w:rFonts w:ascii="Palatino Linotype" w:hAnsi="Palatino Linotype"/>
          <w:b/>
          <w:bCs/>
        </w:rPr>
        <w:t>y las normas de uso y aprovechamiento del suelo</w:t>
      </w:r>
      <w:r w:rsidRPr="00B773FC">
        <w:rPr>
          <w:rFonts w:ascii="Palatino Linotype" w:hAnsi="Palatino Linotype"/>
        </w:rPr>
        <w:t>, así como las acciones de conservación, mejoramiento y crecimiento en los centros de población.</w:t>
      </w:r>
    </w:p>
    <w:p w:rsidR="008425B5" w:rsidRDefault="008425B5" w:rsidP="00216565">
      <w:pPr>
        <w:pStyle w:val="Sinespaciado"/>
        <w:spacing w:line="360" w:lineRule="auto"/>
        <w:jc w:val="both"/>
        <w:rPr>
          <w:rFonts w:ascii="Palatino Linotype" w:hAnsi="Palatino Linotype"/>
        </w:rPr>
      </w:pPr>
    </w:p>
    <w:p w:rsidR="00216565" w:rsidRDefault="00216565" w:rsidP="00216565">
      <w:pPr>
        <w:pStyle w:val="Sinespaciado"/>
        <w:spacing w:line="360" w:lineRule="auto"/>
        <w:jc w:val="both"/>
        <w:rPr>
          <w:rFonts w:ascii="Palatino Linotype" w:hAnsi="Palatino Linotype"/>
        </w:rPr>
      </w:pPr>
      <w:r>
        <w:rPr>
          <w:rFonts w:ascii="Palatino Linotype" w:hAnsi="Palatino Linotype"/>
        </w:rPr>
        <w:t xml:space="preserve">En tal tesitura los planes de desarrollo urbano de competencia municipal </w:t>
      </w:r>
      <w:r w:rsidRPr="00CE57FC">
        <w:rPr>
          <w:rFonts w:ascii="Palatino Linotype" w:hAnsi="Palatino Linotype"/>
        </w:rPr>
        <w:t>deben ser congruentes con las políticas, estrategias y objetivos previstos en el Plan Estatal de Desarrollo Urbano y, en su caso, con los del Plan Regional de Desarrollo Urbano que corresponda, es importante mencionar que la información contenida en el Plan Municipal de Desarrollo</w:t>
      </w:r>
      <w:r w:rsidRPr="000E532E">
        <w:rPr>
          <w:rFonts w:ascii="Palatino Linotype" w:hAnsi="Palatino Linotype"/>
        </w:rPr>
        <w:t xml:space="preserve">, es transformada en normas técnicas, para la emisión de las </w:t>
      </w:r>
      <w:r w:rsidRPr="000E532E">
        <w:rPr>
          <w:rFonts w:ascii="Palatino Linotype" w:hAnsi="Palatino Linotype"/>
        </w:rPr>
        <w:lastRenderedPageBreak/>
        <w:t>licencias y autorizaciones de edificación, a través de la licencia municipal de construcción, del mismo modo se identifican los proyectos, obras y acciones regionales en materia de desarrollo urbano, vialidad, transporte, infraestructura hidráulica, sanitaria y eléctrica, equipamiento regional, desarrollo económico y de protección y conservación del medio ambiente entre otras, señalando en muchos casos los plazos y los recursos necesarios para su ejecución.</w:t>
      </w:r>
    </w:p>
    <w:p w:rsidR="00BE7415" w:rsidRDefault="00BE7415" w:rsidP="00216565">
      <w:pPr>
        <w:pStyle w:val="Sinespaciado"/>
        <w:spacing w:line="360" w:lineRule="auto"/>
        <w:jc w:val="both"/>
        <w:rPr>
          <w:rFonts w:ascii="Palatino Linotype" w:hAnsi="Palatino Linotype"/>
        </w:rPr>
      </w:pPr>
    </w:p>
    <w:p w:rsidR="00BE7415" w:rsidRDefault="00BE7415" w:rsidP="00216565">
      <w:pPr>
        <w:pStyle w:val="Sinespaciado"/>
        <w:spacing w:line="360" w:lineRule="auto"/>
        <w:jc w:val="both"/>
        <w:rPr>
          <w:rFonts w:ascii="Palatino Linotype" w:hAnsi="Palatino Linotype"/>
        </w:rPr>
      </w:pPr>
      <w:r w:rsidRPr="00BE7415">
        <w:rPr>
          <w:rFonts w:ascii="Palatino Linotype" w:hAnsi="Palatino Linotype"/>
        </w:rPr>
        <w:t>Ahora bien, se debe precisar que dentro del contenido mínimo que deben contener los Planes Municipales de Desarrollo Urbano se encuentran los anexos gráficos y cartográficos</w:t>
      </w:r>
      <w:r>
        <w:rPr>
          <w:rFonts w:ascii="Palatino Linotype" w:hAnsi="Palatino Linotype"/>
        </w:rPr>
        <w:t xml:space="preserve">, los cuales están conformados entre otras cosas por los planos, </w:t>
      </w:r>
      <w:r w:rsidR="00AE4F1D">
        <w:rPr>
          <w:rFonts w:ascii="Palatino Linotype" w:hAnsi="Palatino Linotype"/>
        </w:rPr>
        <w:t>u</w:t>
      </w:r>
      <w:r>
        <w:rPr>
          <w:rFonts w:ascii="Palatino Linotype" w:hAnsi="Palatino Linotype"/>
        </w:rPr>
        <w:t xml:space="preserve">sos y destinos </w:t>
      </w:r>
      <w:r w:rsidR="00AE4F1D">
        <w:rPr>
          <w:rFonts w:ascii="Palatino Linotype" w:hAnsi="Palatino Linotype"/>
        </w:rPr>
        <w:t>a</w:t>
      </w:r>
      <w:r>
        <w:rPr>
          <w:rFonts w:ascii="Palatino Linotype" w:hAnsi="Palatino Linotype"/>
        </w:rPr>
        <w:t>ctual</w:t>
      </w:r>
      <w:r w:rsidR="00AE4F1D">
        <w:rPr>
          <w:rFonts w:ascii="Palatino Linotype" w:hAnsi="Palatino Linotype"/>
        </w:rPr>
        <w:t>es</w:t>
      </w:r>
      <w:r>
        <w:rPr>
          <w:rFonts w:ascii="Palatino Linotype" w:hAnsi="Palatino Linotype"/>
        </w:rPr>
        <w:t xml:space="preserve"> de Suelo</w:t>
      </w:r>
      <w:r w:rsidR="00AE4F1D">
        <w:rPr>
          <w:rFonts w:ascii="Palatino Linotype" w:hAnsi="Palatino Linotype"/>
        </w:rPr>
        <w:t xml:space="preserve"> y</w:t>
      </w:r>
      <w:r>
        <w:rPr>
          <w:rFonts w:ascii="Palatino Linotype" w:hAnsi="Palatino Linotype"/>
        </w:rPr>
        <w:t xml:space="preserve"> </w:t>
      </w:r>
      <w:r w:rsidR="00AE4F1D">
        <w:rPr>
          <w:rFonts w:ascii="Palatino Linotype" w:hAnsi="Palatino Linotype"/>
        </w:rPr>
        <w:t>z</w:t>
      </w:r>
      <w:r>
        <w:rPr>
          <w:rFonts w:ascii="Palatino Linotype" w:hAnsi="Palatino Linotype"/>
        </w:rPr>
        <w:t>onificación</w:t>
      </w:r>
      <w:r w:rsidR="00AE4F1D">
        <w:rPr>
          <w:rFonts w:ascii="Palatino Linotype" w:hAnsi="Palatino Linotype"/>
        </w:rPr>
        <w:t>,</w:t>
      </w:r>
      <w:r w:rsidR="00AE4F1D" w:rsidRPr="00AE4F1D">
        <w:t xml:space="preserve"> </w:t>
      </w:r>
      <w:r w:rsidR="00AE4F1D" w:rsidRPr="00AE4F1D">
        <w:rPr>
          <w:rFonts w:ascii="Palatino Linotype" w:hAnsi="Palatino Linotype"/>
        </w:rPr>
        <w:t>de los cuales se advierte que contienen la información solicitada por el hoy Recurrente, ya que de ellos se desprende el uso y aprovechamiento de suelo del domicilio indicado en la solicitud de información.</w:t>
      </w:r>
    </w:p>
    <w:p w:rsidR="005B24BA" w:rsidRDefault="005B24BA" w:rsidP="00216565">
      <w:pPr>
        <w:pStyle w:val="Sinespaciado"/>
        <w:spacing w:line="360" w:lineRule="auto"/>
        <w:jc w:val="both"/>
        <w:rPr>
          <w:rFonts w:ascii="Palatino Linotype" w:hAnsi="Palatino Linotype"/>
        </w:rPr>
      </w:pPr>
    </w:p>
    <w:p w:rsidR="005B24BA" w:rsidRPr="005B24BA" w:rsidRDefault="005B24BA" w:rsidP="005B24BA">
      <w:pPr>
        <w:pStyle w:val="Sinespaciado"/>
        <w:spacing w:line="360" w:lineRule="auto"/>
        <w:jc w:val="both"/>
        <w:rPr>
          <w:rFonts w:ascii="Palatino Linotype" w:hAnsi="Palatino Linotype"/>
        </w:rPr>
      </w:pPr>
      <w:r w:rsidRPr="005B24BA">
        <w:rPr>
          <w:rFonts w:ascii="Palatino Linotype" w:hAnsi="Palatino Linotype"/>
        </w:rPr>
        <w:t>Aunado a lo anterior, en los preceptos citados con anterioridad se establece que el Municipio debe solicitar a la Secretaría de Desarrollo Urbano y Metropolitano los dictámenes de congruencia de los planes de desarrollo urbano de su competencia, entendiéndose por dichos dictámenes como el acto administrativo en el que se determina la congruencia de un plan municipal de desarrollo urbano o de los parciales que deriven de éste, con las políticas, estrategias y objetivos previstos en el Plan Estatal de Desarrollo Urbano.</w:t>
      </w:r>
    </w:p>
    <w:p w:rsidR="005B24BA" w:rsidRPr="005B24BA" w:rsidRDefault="005B24BA" w:rsidP="005B24BA">
      <w:pPr>
        <w:pStyle w:val="Sinespaciado"/>
        <w:spacing w:line="360" w:lineRule="auto"/>
        <w:jc w:val="both"/>
        <w:rPr>
          <w:rFonts w:ascii="Palatino Linotype" w:hAnsi="Palatino Linotype"/>
        </w:rPr>
      </w:pPr>
    </w:p>
    <w:p w:rsidR="005B24BA" w:rsidRDefault="005B24BA" w:rsidP="005B24BA">
      <w:pPr>
        <w:pStyle w:val="Sinespaciado"/>
        <w:spacing w:line="360" w:lineRule="auto"/>
        <w:jc w:val="both"/>
        <w:rPr>
          <w:rFonts w:ascii="Palatino Linotype" w:hAnsi="Palatino Linotype"/>
        </w:rPr>
      </w:pPr>
      <w:r w:rsidRPr="005B24BA">
        <w:rPr>
          <w:rFonts w:ascii="Palatino Linotype" w:hAnsi="Palatino Linotype"/>
        </w:rPr>
        <w:lastRenderedPageBreak/>
        <w:t xml:space="preserve">Por lo cual, una vez integrado el proyecto definitivo del plan o su modificación, el </w:t>
      </w:r>
      <w:r w:rsidRPr="005B24BA">
        <w:rPr>
          <w:rFonts w:ascii="Palatino Linotype" w:hAnsi="Palatino Linotype"/>
          <w:u w:val="single"/>
        </w:rPr>
        <w:t>presidente municipal, dentro de los diez días siguientes, solicitará el dictamen de congruencia del proyecto</w:t>
      </w:r>
      <w:r w:rsidRPr="005B24BA">
        <w:rPr>
          <w:rFonts w:ascii="Palatino Linotype" w:hAnsi="Palatino Linotype"/>
        </w:rPr>
        <w:t xml:space="preserve">, anexando la documentación que acredite la consulta pública, por lo que al haberse cumplido las formalidades establecidas y contar con el dictamen de congruencia por la Secretaría de Desarrollo Urbano y Metropolitano, el ayuntamiento respectivo dentro de los diez días siguientes, aprobará el plan en sesión de Cabildo, acto seguido una vez aprobado el plan o su modificación, </w:t>
      </w:r>
      <w:r w:rsidRPr="005B24BA">
        <w:rPr>
          <w:rFonts w:ascii="Palatino Linotype" w:hAnsi="Palatino Linotype"/>
          <w:u w:val="single"/>
        </w:rPr>
        <w:t>la autoridad municipal dentro de los diez días siguientes, lo remitirá en dos tantos, así como el acta de cabildo de su aprobación y todos sus antecedentes y anexos gráficos</w:t>
      </w:r>
      <w:r w:rsidRPr="005B24BA">
        <w:rPr>
          <w:rFonts w:ascii="Palatino Linotype" w:hAnsi="Palatino Linotype"/>
        </w:rPr>
        <w:t xml:space="preserve">, conteniendo en estos </w:t>
      </w:r>
      <w:r>
        <w:rPr>
          <w:rFonts w:ascii="Palatino Linotype" w:hAnsi="Palatino Linotype"/>
        </w:rPr>
        <w:t>la información</w:t>
      </w:r>
      <w:r w:rsidRPr="005B24BA">
        <w:rPr>
          <w:rFonts w:ascii="Palatino Linotype" w:hAnsi="Palatino Linotype"/>
        </w:rPr>
        <w:t xml:space="preserve"> requerida por el hoy Recurrente, a la Secretaría de Desarrollo Urbano y Metropolitano para el trámite de su publicación en el periódico oficial “Gaceta del Gobierno” y su posterior inscripción en el Instituto de la Función Registral del Estado de México.</w:t>
      </w:r>
    </w:p>
    <w:p w:rsidR="00400CAD" w:rsidRDefault="00400CAD" w:rsidP="005B24BA">
      <w:pPr>
        <w:pStyle w:val="Sinespaciado"/>
        <w:spacing w:line="360" w:lineRule="auto"/>
        <w:jc w:val="both"/>
        <w:rPr>
          <w:rFonts w:ascii="Palatino Linotype" w:hAnsi="Palatino Linotype"/>
        </w:rPr>
      </w:pPr>
    </w:p>
    <w:p w:rsidR="00400CAD" w:rsidRDefault="00400CAD" w:rsidP="00400CAD">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Pr>
          <w:rFonts w:ascii="Palatino Linotype" w:eastAsia="Times New Roman" w:hAnsi="Palatino Linotype" w:cs="Times New Roman"/>
          <w:sz w:val="24"/>
          <w:szCs w:val="24"/>
          <w:lang w:val="es-ES_tradnl" w:eastAsia="es-ES"/>
        </w:rPr>
        <w:t>permite traer a colación lo dispuesto por la fracción XXXII del artículo 92 de la Ley de Transparencia y Acceso a la Información Pública del Estado de México y Municipios en el cual se aprecia lo siguiente:</w:t>
      </w:r>
    </w:p>
    <w:p w:rsidR="00400CAD" w:rsidRDefault="00400CAD" w:rsidP="00400CAD">
      <w:pPr>
        <w:tabs>
          <w:tab w:val="left" w:pos="851"/>
        </w:tabs>
        <w:spacing w:before="120" w:after="120"/>
        <w:ind w:left="709" w:right="709"/>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92</w:t>
      </w:r>
      <w:r>
        <w:rPr>
          <w:rFonts w:ascii="Palatino Linotype" w:hAnsi="Palatino Linotype" w:cs="Arial"/>
          <w:i/>
        </w:rPr>
        <w:t xml:space="preserve">. </w:t>
      </w:r>
      <w:r>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Pr>
          <w:rFonts w:ascii="Palatino Linotype" w:hAnsi="Palatino Linotype" w:cs="Arial"/>
          <w:i/>
        </w:rPr>
        <w:t xml:space="preserve">, de acuerdo con sus facultades, atribuciones, funciones u objeto social, según corresponda, la información, </w:t>
      </w:r>
      <w:r>
        <w:rPr>
          <w:rFonts w:ascii="Palatino Linotype" w:hAnsi="Palatino Linotype" w:cs="Arial"/>
          <w:b/>
          <w:i/>
          <w:u w:val="single"/>
        </w:rPr>
        <w:t>por lo menos, de los temas, documentos y políticas que a continuación se señalan</w:t>
      </w:r>
      <w:r>
        <w:rPr>
          <w:rFonts w:ascii="Palatino Linotype" w:hAnsi="Palatino Linotype" w:cs="Arial"/>
          <w:i/>
        </w:rPr>
        <w:t>:</w:t>
      </w:r>
    </w:p>
    <w:p w:rsidR="00400CAD" w:rsidRDefault="00400CAD" w:rsidP="00400CAD">
      <w:pPr>
        <w:tabs>
          <w:tab w:val="left" w:pos="851"/>
        </w:tabs>
        <w:spacing w:before="120" w:after="120"/>
        <w:ind w:left="851" w:right="709"/>
        <w:jc w:val="both"/>
      </w:pPr>
    </w:p>
    <w:p w:rsidR="00400CAD" w:rsidRDefault="00400CAD" w:rsidP="00400CAD">
      <w:pPr>
        <w:tabs>
          <w:tab w:val="left" w:pos="851"/>
        </w:tabs>
        <w:spacing w:before="120" w:after="120"/>
        <w:ind w:left="851" w:right="709"/>
        <w:jc w:val="both"/>
        <w:rPr>
          <w:rFonts w:ascii="Palatino Linotype" w:hAnsi="Palatino Linotype" w:cs="Arial"/>
          <w:i/>
        </w:rPr>
      </w:pPr>
      <w:r>
        <w:rPr>
          <w:rFonts w:ascii="Palatino Linotype" w:hAnsi="Palatino Linotype"/>
          <w:b/>
          <w:i/>
        </w:rPr>
        <w:t>XXXII.</w:t>
      </w:r>
      <w:r>
        <w:rPr>
          <w:rFonts w:ascii="Palatino Linotype" w:hAnsi="Palatino Linotype"/>
          <w:i/>
        </w:rPr>
        <w:t xml:space="preserve"> Las concesiones, </w:t>
      </w:r>
      <w:r w:rsidRPr="00400CAD">
        <w:rPr>
          <w:rFonts w:ascii="Palatino Linotype" w:hAnsi="Palatino Linotype"/>
          <w:bCs/>
          <w:i/>
        </w:rPr>
        <w:t xml:space="preserve">contratos, convenios, permisos, </w:t>
      </w:r>
      <w:r w:rsidRPr="00400CAD">
        <w:rPr>
          <w:rFonts w:ascii="Palatino Linotype" w:hAnsi="Palatino Linotype"/>
          <w:b/>
          <w:i/>
        </w:rPr>
        <w:t>licencias o autorizaciones otorgados</w:t>
      </w:r>
      <w:r w:rsidRPr="00400CAD">
        <w:rPr>
          <w:rFonts w:ascii="Palatino Linotype" w:hAnsi="Palatino Linotype"/>
          <w:bCs/>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i/>
        </w:rPr>
        <w:t>;</w:t>
      </w:r>
    </w:p>
    <w:p w:rsidR="00400CAD" w:rsidRDefault="00400CAD" w:rsidP="00400CAD">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400CAD" w:rsidRPr="00400CAD" w:rsidRDefault="00400CAD" w:rsidP="00400CAD">
      <w:pPr>
        <w:spacing w:after="0" w:line="360" w:lineRule="auto"/>
        <w:jc w:val="both"/>
        <w:rPr>
          <w:rFonts w:ascii="Palatino Linotype" w:hAnsi="Palatino Linotype" w:cs="Arial"/>
          <w:sz w:val="24"/>
          <w:szCs w:val="24"/>
        </w:rPr>
      </w:pPr>
      <w:r>
        <w:rPr>
          <w:rFonts w:ascii="Palatino Linotype" w:hAnsi="Palatino Linotype"/>
          <w:sz w:val="24"/>
          <w:szCs w:val="24"/>
        </w:rPr>
        <w:t xml:space="preserve">Del numeral citado, se observa que </w:t>
      </w:r>
      <w:r>
        <w:rPr>
          <w:rFonts w:ascii="Palatino Linotype" w:hAnsi="Palatino Linotype" w:cs="Arial"/>
          <w:sz w:val="24"/>
          <w:szCs w:val="24"/>
          <w:lang w:eastAsia="es-MX"/>
        </w:rPr>
        <w:t xml:space="preserve">la información solicitada forma parte de las Obligaciones de Transparencia Comunes de los Sujetos Obligados, las cuales deben </w:t>
      </w:r>
      <w:r>
        <w:rPr>
          <w:rFonts w:ascii="Palatino Linotype" w:hAnsi="Palatino Linotype" w:cs="Arial"/>
          <w:sz w:val="24"/>
          <w:szCs w:val="24"/>
        </w:rPr>
        <w:t>poner a disposición de manera permanente y actualizada en los respectivos medios electrónicos, como lo es el portal de Información Pública de Oficio Mexiquense (IPOMEX) y por tanto el Sujeto Obligado es</w:t>
      </w:r>
      <w:r>
        <w:t xml:space="preserve"> </w:t>
      </w:r>
      <w:r>
        <w:rPr>
          <w:rFonts w:ascii="Palatino Linotype" w:hAnsi="Palatino Linotype" w:cs="Arial"/>
          <w:sz w:val="24"/>
          <w:szCs w:val="24"/>
        </w:rPr>
        <w:t>competente para conocer de la información requerida.</w:t>
      </w:r>
    </w:p>
    <w:p w:rsidR="00373FD1" w:rsidRDefault="00373FD1" w:rsidP="005B24BA">
      <w:pPr>
        <w:pStyle w:val="Sinespaciado"/>
        <w:spacing w:line="360" w:lineRule="auto"/>
        <w:jc w:val="both"/>
        <w:rPr>
          <w:rFonts w:ascii="Palatino Linotype" w:hAnsi="Palatino Linotype"/>
        </w:rPr>
      </w:pPr>
    </w:p>
    <w:p w:rsidR="00373FD1" w:rsidRDefault="00373FD1" w:rsidP="00373FD1">
      <w:pPr>
        <w:autoSpaceDE w:val="0"/>
        <w:autoSpaceDN w:val="0"/>
        <w:adjustRightInd w:val="0"/>
        <w:spacing w:after="120" w:line="360" w:lineRule="auto"/>
        <w:jc w:val="both"/>
        <w:rPr>
          <w:rFonts w:ascii="Palatino Linotype" w:hAnsi="Palatino Linotype" w:cs="Arial"/>
          <w:sz w:val="24"/>
          <w:szCs w:val="24"/>
        </w:rPr>
      </w:pPr>
      <w:r>
        <w:rPr>
          <w:rFonts w:ascii="Palatino Linotype" w:hAnsi="Palatino Linotype" w:cs="Arial"/>
          <w:sz w:val="24"/>
          <w:szCs w:val="24"/>
        </w:rPr>
        <w:t xml:space="preserve">De lo anteriormente expuesto se colige que la información solicitada por el </w:t>
      </w:r>
      <w:r w:rsidRPr="002C7748">
        <w:rPr>
          <w:rFonts w:ascii="Palatino Linotype" w:hAnsi="Palatino Linotype" w:cs="Arial"/>
          <w:b/>
          <w:sz w:val="24"/>
          <w:szCs w:val="24"/>
        </w:rPr>
        <w:t>Recurrente</w:t>
      </w:r>
      <w:r>
        <w:rPr>
          <w:rFonts w:ascii="Palatino Linotype" w:hAnsi="Palatino Linotype" w:cs="Arial"/>
          <w:sz w:val="24"/>
          <w:szCs w:val="24"/>
        </w:rPr>
        <w:t xml:space="preserve"> debe obrar tanto en las licencias de uso de suelo expedidas por el municipio, como en los anexos gráficos y cartográficos incluidos en el Plan de Desarrollo Urbano que el </w:t>
      </w:r>
      <w:r w:rsidRPr="008705C8">
        <w:rPr>
          <w:rFonts w:ascii="Palatino Linotype" w:hAnsi="Palatino Linotype" w:cs="Arial"/>
          <w:b/>
          <w:sz w:val="24"/>
          <w:szCs w:val="24"/>
        </w:rPr>
        <w:t>Sujeto Obligado</w:t>
      </w:r>
      <w:r>
        <w:rPr>
          <w:rFonts w:ascii="Palatino Linotype" w:hAnsi="Palatino Linotype" w:cs="Arial"/>
          <w:sz w:val="24"/>
          <w:szCs w:val="24"/>
        </w:rPr>
        <w:t xml:space="preserve"> genera administra o posee como se ha demostrado en líneas anteriores, y por ende éstos deben obrar en sus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rsidR="00373FD1" w:rsidRDefault="00373FD1" w:rsidP="00373FD1">
      <w:pPr>
        <w:spacing w:after="120" w:line="360" w:lineRule="auto"/>
        <w:ind w:left="851" w:right="850"/>
        <w:jc w:val="both"/>
        <w:rPr>
          <w:rFonts w:ascii="Palatino Linotype" w:hAnsi="Palatino Linotype" w:cs="Arial"/>
          <w:i/>
          <w:color w:val="000000" w:themeColor="text1"/>
          <w:sz w:val="24"/>
          <w:szCs w:val="24"/>
        </w:rPr>
      </w:pPr>
    </w:p>
    <w:p w:rsidR="00373FD1" w:rsidRDefault="00373FD1" w:rsidP="00373FD1">
      <w:pPr>
        <w:spacing w:after="120" w:line="240" w:lineRule="auto"/>
        <w:ind w:left="851" w:right="851"/>
        <w:jc w:val="both"/>
        <w:rPr>
          <w:rFonts w:ascii="Palatino Linotype" w:hAnsi="Palatino Linotype" w:cs="Arial"/>
          <w:i/>
          <w:color w:val="000000" w:themeColor="text1"/>
          <w:sz w:val="24"/>
          <w:szCs w:val="24"/>
        </w:rPr>
      </w:pPr>
      <w:r>
        <w:rPr>
          <w:rFonts w:ascii="Palatino Linotype" w:hAnsi="Palatino Linotype" w:cs="Arial"/>
          <w:i/>
          <w:color w:val="000000" w:themeColor="text1"/>
          <w:sz w:val="24"/>
          <w:szCs w:val="24"/>
        </w:rPr>
        <w:t>“</w:t>
      </w:r>
      <w:r>
        <w:rPr>
          <w:rFonts w:ascii="Palatino Linotype" w:hAnsi="Palatino Linotype" w:cs="Arial"/>
          <w:b/>
          <w:i/>
          <w:color w:val="000000" w:themeColor="text1"/>
          <w:sz w:val="24"/>
          <w:szCs w:val="24"/>
          <w:u w:val="single"/>
        </w:rPr>
        <w:t>Artículo 18.</w:t>
      </w:r>
      <w:r>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considerando desde su origen la eventual publicidad y reutilización de la información que generen.</w:t>
      </w:r>
    </w:p>
    <w:p w:rsidR="00373FD1" w:rsidRDefault="00373FD1" w:rsidP="00373FD1">
      <w:pPr>
        <w:tabs>
          <w:tab w:val="left" w:pos="709"/>
        </w:tabs>
        <w:spacing w:after="120" w:line="360" w:lineRule="auto"/>
        <w:jc w:val="both"/>
        <w:rPr>
          <w:rFonts w:ascii="Palatino Linotype" w:hAnsi="Palatino Linotype" w:cs="Arial"/>
          <w:sz w:val="24"/>
          <w:szCs w:val="24"/>
        </w:rPr>
      </w:pPr>
    </w:p>
    <w:p w:rsidR="00373FD1" w:rsidRDefault="00373FD1" w:rsidP="00373FD1">
      <w:pPr>
        <w:tabs>
          <w:tab w:val="left" w:pos="709"/>
        </w:tabs>
        <w:spacing w:after="120" w:line="360" w:lineRule="auto"/>
        <w:jc w:val="both"/>
        <w:rPr>
          <w:rFonts w:ascii="Palatino Linotype" w:hAnsi="Palatino Linotype"/>
          <w:sz w:val="24"/>
          <w:szCs w:val="24"/>
          <w:lang w:val="es-ES_tradnl"/>
        </w:rPr>
      </w:pPr>
      <w:r>
        <w:rPr>
          <w:rFonts w:ascii="Palatino Linotype" w:hAnsi="Palatino Linotype" w:cs="Arial"/>
          <w:sz w:val="24"/>
          <w:szCs w:val="24"/>
        </w:rPr>
        <w:t xml:space="preserve">Luego entonces, resulta inconcuso que del numeral en cita, se arriba a la determinación de que en el presente punto se actualiza el </w:t>
      </w:r>
      <w:r>
        <w:rPr>
          <w:rFonts w:ascii="Palatino Linotype" w:hAnsi="Palatino Linotype"/>
          <w:sz w:val="24"/>
          <w:szCs w:val="24"/>
          <w:lang w:val="es-ES_tradnl"/>
        </w:rPr>
        <w:t>principio de presunción de existencia y principio de documentar, conforme a lo establecido en los numerales 18 y 19 de la 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373FD1" w:rsidRDefault="00373FD1" w:rsidP="00373FD1">
      <w:pPr>
        <w:tabs>
          <w:tab w:val="left" w:pos="709"/>
        </w:tabs>
        <w:spacing w:after="120" w:line="360" w:lineRule="auto"/>
        <w:jc w:val="both"/>
        <w:rPr>
          <w:rFonts w:ascii="Palatino Linotype" w:hAnsi="Palatino Linotype"/>
          <w:sz w:val="24"/>
          <w:szCs w:val="24"/>
          <w:lang w:val="es-ES_tradnl"/>
        </w:rPr>
      </w:pPr>
    </w:p>
    <w:p w:rsidR="00373FD1" w:rsidRDefault="00373FD1" w:rsidP="00373FD1">
      <w:pPr>
        <w:spacing w:after="12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rsidR="00373FD1" w:rsidRDefault="00373FD1" w:rsidP="00373FD1">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373FD1" w:rsidRDefault="00373FD1" w:rsidP="00373FD1">
      <w:pPr>
        <w:spacing w:before="240" w:after="0" w:line="240" w:lineRule="auto"/>
        <w:ind w:left="851" w:right="851"/>
        <w:jc w:val="both"/>
        <w:rPr>
          <w:rFonts w:ascii="Palatino Linotype" w:hAnsi="Palatino Linotype" w:cs="Arial"/>
          <w:i/>
          <w:color w:val="000000" w:themeColor="text1"/>
        </w:rPr>
      </w:pPr>
      <w:r w:rsidRPr="00B5581A">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rsidR="00373FD1" w:rsidRPr="00403AB4" w:rsidRDefault="00373FD1" w:rsidP="00373FD1">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rsidR="00373FD1" w:rsidRDefault="00373FD1" w:rsidP="005B24BA">
      <w:pPr>
        <w:pStyle w:val="Sinespaciado"/>
        <w:spacing w:line="360" w:lineRule="auto"/>
        <w:jc w:val="both"/>
        <w:rPr>
          <w:rFonts w:ascii="Palatino Linotype" w:hAnsi="Palatino Linotype"/>
        </w:rPr>
      </w:pPr>
    </w:p>
    <w:p w:rsidR="00E4549C" w:rsidRDefault="00E4549C" w:rsidP="00C22CEE">
      <w:pPr>
        <w:pStyle w:val="Sinespaciado"/>
        <w:spacing w:line="360" w:lineRule="auto"/>
        <w:jc w:val="both"/>
        <w:rPr>
          <w:rFonts w:ascii="Palatino Linotype" w:hAnsi="Palatino Linotype" w:cs="Arial"/>
        </w:rPr>
      </w:pPr>
    </w:p>
    <w:p w:rsidR="00454D4C" w:rsidRDefault="00E4549C" w:rsidP="00ED28DA">
      <w:pPr>
        <w:spacing w:after="0" w:line="360" w:lineRule="auto"/>
        <w:jc w:val="both"/>
        <w:rPr>
          <w:rFonts w:ascii="Palatino Linotype" w:hAnsi="Palatino Linotype" w:cs="Arial"/>
          <w:sz w:val="24"/>
          <w:szCs w:val="24"/>
        </w:rPr>
      </w:pPr>
      <w:r w:rsidRPr="00ED28DA">
        <w:rPr>
          <w:rFonts w:ascii="Palatino Linotype" w:eastAsia="Calibri" w:hAnsi="Palatino Linotype" w:cs="Arial"/>
          <w:bCs/>
          <w:sz w:val="24"/>
          <w:szCs w:val="24"/>
        </w:rPr>
        <w:lastRenderedPageBreak/>
        <w:t>Por lo antes expuesto, y toda vez que ha sido demostrada la fuente obligacional de poseer, administrar y generar dicha información</w:t>
      </w:r>
      <w:r w:rsidR="007B17C0" w:rsidRPr="00ED28DA">
        <w:rPr>
          <w:rFonts w:ascii="Palatino Linotype" w:hAnsi="Palatino Linotype" w:cs="Arial"/>
          <w:sz w:val="24"/>
          <w:szCs w:val="24"/>
        </w:rPr>
        <w:t>, este Órgano Garante estima que las razones o motivos de inconformidad del Recurrente son fundados, por lo que es procedente ordenar al Sujeto Obligado</w:t>
      </w:r>
      <w:r w:rsidR="00ED28DA" w:rsidRPr="00ED28DA">
        <w:rPr>
          <w:rFonts w:ascii="Palatino Linotype" w:hAnsi="Palatino Linotype" w:cs="Arial"/>
          <w:sz w:val="24"/>
          <w:szCs w:val="24"/>
        </w:rPr>
        <w:t xml:space="preserve">, conforme a las razones antes expuestas en la presente resolución, del documento o documentos en donde conste </w:t>
      </w:r>
      <w:r w:rsidR="00400CAD">
        <w:rPr>
          <w:rFonts w:ascii="Palatino Linotype" w:hAnsi="Palatino Linotype" w:cs="Arial"/>
          <w:sz w:val="24"/>
          <w:szCs w:val="24"/>
        </w:rPr>
        <w:t>el uso de suelo de la colonia Country Club (o fraccionamiento Country Club) referida en la solicitud de información</w:t>
      </w:r>
      <w:r w:rsidR="00ED28DA" w:rsidRPr="00ED28DA">
        <w:rPr>
          <w:rFonts w:ascii="Palatino Linotype" w:hAnsi="Palatino Linotype" w:cs="Arial"/>
          <w:sz w:val="24"/>
          <w:szCs w:val="24"/>
        </w:rPr>
        <w:t>, en versión pública de ser procedente.</w:t>
      </w:r>
    </w:p>
    <w:p w:rsidR="00EF5BFE" w:rsidRDefault="00EF5BFE" w:rsidP="00ED28DA">
      <w:pPr>
        <w:spacing w:after="0" w:line="360" w:lineRule="auto"/>
        <w:jc w:val="both"/>
        <w:rPr>
          <w:rFonts w:ascii="Palatino Linotype" w:hAnsi="Palatino Linotype" w:cs="Arial"/>
          <w:sz w:val="24"/>
          <w:szCs w:val="24"/>
        </w:rPr>
      </w:pPr>
    </w:p>
    <w:p w:rsidR="00EF5BFE" w:rsidRPr="00224931" w:rsidRDefault="00EF5BFE" w:rsidP="00EF5BFE">
      <w:pPr>
        <w:spacing w:line="360" w:lineRule="auto"/>
        <w:jc w:val="both"/>
        <w:rPr>
          <w:rFonts w:ascii="Palatino Linotype" w:eastAsia="Calibri" w:hAnsi="Palatino Linotype" w:cs="Tahoma"/>
          <w:bCs/>
          <w:sz w:val="24"/>
        </w:rPr>
      </w:pPr>
      <w:r w:rsidRPr="00224931">
        <w:rPr>
          <w:rFonts w:ascii="Palatino Linotype" w:eastAsia="Calibri" w:hAnsi="Palatino Linotype" w:cs="Tahoma"/>
          <w:bCs/>
          <w:sz w:val="24"/>
        </w:rPr>
        <w:t xml:space="preserve">No pasa desapercibido para esta ponencia resolutora que el Recurrente eligió como modalidad de entrega, copias </w:t>
      </w:r>
      <w:r>
        <w:rPr>
          <w:rFonts w:ascii="Palatino Linotype" w:eastAsia="Calibri" w:hAnsi="Palatino Linotype" w:cs="Tahoma"/>
          <w:bCs/>
          <w:sz w:val="24"/>
        </w:rPr>
        <w:t>certificadas</w:t>
      </w:r>
      <w:r w:rsidRPr="00224931">
        <w:rPr>
          <w:rFonts w:ascii="Palatino Linotype" w:eastAsia="Calibri" w:hAnsi="Palatino Linotype" w:cs="Tahoma"/>
          <w:bCs/>
          <w:sz w:val="24"/>
        </w:rPr>
        <w:t xml:space="preserve"> (con costo)</w:t>
      </w:r>
      <w:r w:rsidR="00972868">
        <w:rPr>
          <w:rFonts w:ascii="Palatino Linotype" w:eastAsia="Calibri" w:hAnsi="Palatino Linotype" w:cs="Tahoma"/>
          <w:bCs/>
          <w:sz w:val="24"/>
        </w:rPr>
        <w:t xml:space="preserve"> y vía correo electrónico</w:t>
      </w:r>
      <w:r w:rsidRPr="00224931">
        <w:rPr>
          <w:rFonts w:ascii="Palatino Linotype" w:eastAsia="Calibri" w:hAnsi="Palatino Linotype" w:cs="Tahoma"/>
          <w:bCs/>
          <w:sz w:val="24"/>
        </w:rPr>
        <w:t xml:space="preserve">, por lo que bajo la tesitura legal de referencia, se deberá respetar de ésta manera la modalidad de entrega, aunado a la negativa del Ayuntamiento de </w:t>
      </w:r>
      <w:r w:rsidR="00972868">
        <w:rPr>
          <w:rFonts w:ascii="Palatino Linotype" w:eastAsia="Calibri" w:hAnsi="Palatino Linotype" w:cs="Tahoma"/>
          <w:bCs/>
          <w:sz w:val="24"/>
        </w:rPr>
        <w:t>Naucalpan de Juárez</w:t>
      </w:r>
      <w:r w:rsidRPr="00224931">
        <w:rPr>
          <w:rFonts w:ascii="Palatino Linotype" w:eastAsia="Calibri" w:hAnsi="Palatino Linotype" w:cs="Tahoma"/>
          <w:bCs/>
          <w:sz w:val="24"/>
        </w:rPr>
        <w:t xml:space="preserve"> se deberá hacer entrega de las copias certificadas sin costo, esto como una medida de reparación integral de la persona afectada, por la omisión de no haber atendido la solicitud en términos de la ley. </w:t>
      </w:r>
    </w:p>
    <w:p w:rsidR="00EF5BFE" w:rsidRPr="00224931" w:rsidRDefault="00EF5BFE" w:rsidP="00EF5BFE">
      <w:pPr>
        <w:spacing w:after="0" w:line="240" w:lineRule="auto"/>
        <w:rPr>
          <w:rFonts w:ascii="Calibri" w:eastAsia="Calibri" w:hAnsi="Calibri" w:cs="Times New Roman"/>
        </w:rPr>
      </w:pPr>
    </w:p>
    <w:p w:rsidR="00EF5BFE" w:rsidRPr="00224931" w:rsidRDefault="00EF5BFE" w:rsidP="00EF5BFE">
      <w:pPr>
        <w:tabs>
          <w:tab w:val="left" w:pos="709"/>
        </w:tabs>
        <w:spacing w:line="360" w:lineRule="auto"/>
        <w:jc w:val="both"/>
        <w:rPr>
          <w:rFonts w:ascii="Palatino Linotype" w:eastAsia="Calibri" w:hAnsi="Palatino Linotype" w:cs="Arial"/>
          <w:sz w:val="24"/>
          <w:szCs w:val="24"/>
        </w:rPr>
      </w:pPr>
      <w:r w:rsidRPr="00224931">
        <w:rPr>
          <w:rFonts w:ascii="Palatino Linotype" w:eastAsia="Calibri" w:hAnsi="Palatino Linotype" w:cs="Arial"/>
          <w:sz w:val="24"/>
          <w:szCs w:val="24"/>
        </w:rPr>
        <w:t>Asimismo, resulta aplicable al presente asunto, el criterio de interpretación identificado por el número 96/17, de la Segunda Época, emitido por el Instituto Nacional de Transparencia, Acceso a la Información y Protección de Datos Personales, cuyo rubro y texto esgrime:</w:t>
      </w:r>
    </w:p>
    <w:p w:rsidR="00EF5BFE" w:rsidRPr="00224931" w:rsidRDefault="00EF5BFE" w:rsidP="00EF5BFE">
      <w:pPr>
        <w:spacing w:before="240" w:line="360" w:lineRule="auto"/>
        <w:ind w:left="851"/>
        <w:jc w:val="both"/>
        <w:rPr>
          <w:rFonts w:ascii="Palatino Linotype" w:eastAsia="Arial Unicode MS" w:hAnsi="Palatino Linotype" w:cs="Arial"/>
          <w:sz w:val="24"/>
          <w:szCs w:val="24"/>
        </w:rPr>
      </w:pPr>
      <w:r w:rsidRPr="00224931">
        <w:rPr>
          <w:rFonts w:ascii="Palatino Linotype" w:eastAsia="Arial Unicode MS" w:hAnsi="Palatino Linotype" w:cs="Arial"/>
          <w:b/>
          <w:bCs/>
          <w:sz w:val="24"/>
          <w:szCs w:val="24"/>
        </w:rPr>
        <w:t xml:space="preserve">Copias certificadas, como modalidad de entrega en la Ley Federal de Transparencia y Acceso a la Información Pública corrobora que el documento es una copia fiel del que obra en los archivos del sujeto obligado. </w:t>
      </w:r>
      <w:r w:rsidRPr="00224931">
        <w:rPr>
          <w:rFonts w:ascii="Palatino Linotype" w:eastAsia="Arial Unicode MS" w:hAnsi="Palatino Linotype" w:cs="Arial"/>
          <w:bCs/>
          <w:sz w:val="24"/>
          <w:szCs w:val="24"/>
        </w:rPr>
        <w:lastRenderedPageBreak/>
        <w:t>Los artículos 125, fracción V y 136 de la Ley Federal de Transparencia y Acceso a la Información Pública, prevén que el acceso a la información se dará en la modalidad de entrega elegida por los solicitantes, como lo es, en copia certificada</w:t>
      </w:r>
      <w:r w:rsidRPr="00224931">
        <w:rPr>
          <w:rFonts w:ascii="Palatino Linotype" w:eastAsia="Arial Unicode MS" w:hAnsi="Palatino Linotype" w:cs="Arial"/>
          <w:sz w:val="24"/>
          <w:szCs w:val="24"/>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EF5BFE" w:rsidRPr="00224931" w:rsidRDefault="00EF5BFE" w:rsidP="00EF5BFE">
      <w:pPr>
        <w:spacing w:after="0" w:line="240" w:lineRule="auto"/>
        <w:rPr>
          <w:rFonts w:ascii="Calibri" w:eastAsia="Calibri" w:hAnsi="Calibri" w:cs="Times New Roman"/>
        </w:rPr>
      </w:pPr>
    </w:p>
    <w:p w:rsidR="00EF5BFE" w:rsidRPr="00224931" w:rsidRDefault="00EF5BFE" w:rsidP="00EF5BFE">
      <w:pPr>
        <w:spacing w:before="240" w:line="360" w:lineRule="auto"/>
        <w:ind w:right="51"/>
        <w:jc w:val="both"/>
        <w:rPr>
          <w:rFonts w:ascii="Palatino Linotype" w:eastAsia="Calibri" w:hAnsi="Palatino Linotype" w:cs="Arial"/>
          <w:sz w:val="24"/>
          <w:szCs w:val="24"/>
        </w:rPr>
      </w:pPr>
      <w:r w:rsidRPr="00224931">
        <w:rPr>
          <w:rFonts w:ascii="Palatino Linotype" w:eastAsia="Calibri" w:hAnsi="Palatino Linotype" w:cs="Arial"/>
          <w:sz w:val="24"/>
          <w:szCs w:val="24"/>
        </w:rPr>
        <w:t>Por todo lo anterior, el Sujeto Obligado deberá informar al particular el nombre y cargo del personal, el lugar, día y hora en la que se le entregará la documentación solicitada.</w:t>
      </w:r>
    </w:p>
    <w:p w:rsidR="00EF5BFE" w:rsidRDefault="00EF5BFE" w:rsidP="00ED28DA">
      <w:pPr>
        <w:spacing w:after="0" w:line="360" w:lineRule="auto"/>
        <w:jc w:val="both"/>
        <w:rPr>
          <w:rFonts w:ascii="Palatino Linotype" w:hAnsi="Palatino Linotype" w:cs="Arial"/>
          <w:sz w:val="24"/>
          <w:szCs w:val="24"/>
        </w:rPr>
      </w:pPr>
    </w:p>
    <w:p w:rsidR="00ED28DA" w:rsidRDefault="00ED28DA" w:rsidP="00ED28DA">
      <w:pPr>
        <w:spacing w:after="0" w:line="360" w:lineRule="auto"/>
        <w:jc w:val="both"/>
        <w:rPr>
          <w:rFonts w:ascii="Palatino Linotype" w:hAnsi="Palatino Linotype" w:cs="Arial"/>
          <w:sz w:val="24"/>
          <w:szCs w:val="24"/>
        </w:rPr>
      </w:pPr>
    </w:p>
    <w:p w:rsidR="001E0386" w:rsidRDefault="001E0386" w:rsidP="00BC0474">
      <w:pPr>
        <w:pStyle w:val="Sinespaciado"/>
        <w:spacing w:line="360" w:lineRule="auto"/>
        <w:jc w:val="both"/>
        <w:rPr>
          <w:rFonts w:ascii="Palatino Linotype" w:hAnsi="Palatino Linotype" w:cs="Arial"/>
        </w:rPr>
      </w:pPr>
    </w:p>
    <w:p w:rsidR="008742BD" w:rsidRPr="00972868" w:rsidRDefault="008742BD" w:rsidP="00BC0474">
      <w:pPr>
        <w:pStyle w:val="Sinespaciado"/>
        <w:spacing w:line="360" w:lineRule="auto"/>
        <w:jc w:val="both"/>
        <w:rPr>
          <w:rFonts w:ascii="Palatino Linotype" w:hAnsi="Palatino Linotype"/>
        </w:rPr>
      </w:pPr>
      <w:r w:rsidRPr="00972868">
        <w:rPr>
          <w:rFonts w:ascii="Palatino Linotype" w:hAnsi="Palatino Linotype"/>
          <w:lang w:val="es-ES_tradnl"/>
        </w:rPr>
        <w:lastRenderedPageBreak/>
        <w:t>Finalmente</w:t>
      </w:r>
      <w:r w:rsidRPr="00972868">
        <w:rPr>
          <w:rFonts w:ascii="Palatino Linotype" w:hAnsi="Palatino Linotype"/>
        </w:rPr>
        <w:t>, no pasa inadvertido para esta Ponencia Resolutora la omisión del Sujeto Obligado de dar trámite a la solicitud de información de</w:t>
      </w:r>
      <w:r w:rsidR="00994527" w:rsidRPr="00972868">
        <w:rPr>
          <w:rFonts w:ascii="Palatino Linotype" w:hAnsi="Palatino Linotype"/>
        </w:rPr>
        <w:t>l</w:t>
      </w:r>
      <w:r w:rsidRPr="00972868">
        <w:rPr>
          <w:rFonts w:ascii="Palatino Linotype" w:hAnsi="Palatino Linotype"/>
        </w:rPr>
        <w:t xml:space="preserve"> </w:t>
      </w:r>
      <w:r w:rsidRPr="00972868">
        <w:rPr>
          <w:rFonts w:ascii="Palatino Linotype" w:hAnsi="Palatino Linotype"/>
          <w:b/>
        </w:rPr>
        <w:t>Recurrente</w:t>
      </w:r>
      <w:r w:rsidRPr="00972868">
        <w:rPr>
          <w:rFonts w:ascii="Palatino Linotype" w:hAnsi="Palatino Linotype"/>
        </w:rPr>
        <w:t xml:space="preserve"> y, a su vez, de proporcionar la respuesta a su solicitud de acceso a la información pública, lo que, en estricto sentido, podría ser considerado como infracciones a la </w:t>
      </w:r>
      <w:r w:rsidRPr="00972868">
        <w:rPr>
          <w:rFonts w:ascii="Palatino Linotype" w:hAnsi="Palatino Linotype"/>
          <w:lang w:eastAsia="es-ES_tradnl"/>
        </w:rPr>
        <w:t xml:space="preserve">Ley de Transparencia y Acceso a la </w:t>
      </w:r>
      <w:r w:rsidRPr="00972868">
        <w:rPr>
          <w:rFonts w:ascii="Palatino Linotype" w:hAnsi="Palatino Linotype"/>
        </w:rPr>
        <w:t>Información</w:t>
      </w:r>
      <w:r w:rsidRPr="00972868">
        <w:rPr>
          <w:rFonts w:ascii="Palatino Linotype" w:hAnsi="Palatino Linotype"/>
          <w:lang w:eastAsia="es-ES_tradnl"/>
        </w:rPr>
        <w:t xml:space="preserve"> Pública del Estado de México y Municipios; sin embargo, si bien, </w:t>
      </w:r>
      <w:r w:rsidRPr="00972868">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972868">
        <w:rPr>
          <w:rFonts w:ascii="Palatino Linotype" w:hAnsi="Palatino Linotype"/>
          <w:b/>
        </w:rPr>
        <w:t xml:space="preserve">se ordena dar vista al </w:t>
      </w:r>
      <w:r w:rsidRPr="00972868">
        <w:rPr>
          <w:rFonts w:ascii="Palatino Linotype" w:hAnsi="Palatino Linotype"/>
          <w:b/>
          <w:lang w:eastAsia="es-ES_tradnl"/>
        </w:rPr>
        <w:t>Titular de la Contraloría Interna y Órgano de Control y Vigilancia de este Instituto</w:t>
      </w:r>
      <w:r w:rsidRPr="00972868">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972868">
        <w:rPr>
          <w:rFonts w:ascii="Palatino Linotype" w:hAnsi="Palatino Linotype"/>
        </w:rPr>
        <w:t>.</w:t>
      </w:r>
    </w:p>
    <w:p w:rsidR="00685CEB" w:rsidRDefault="00685CEB" w:rsidP="00BC0474">
      <w:pPr>
        <w:pStyle w:val="Sinespaciado"/>
        <w:spacing w:line="360" w:lineRule="auto"/>
        <w:jc w:val="both"/>
        <w:rPr>
          <w:rFonts w:ascii="Palatino Linotype" w:hAnsi="Palatino Linotype" w:cs="Arial"/>
        </w:rPr>
      </w:pPr>
    </w:p>
    <w:p w:rsidR="00110745" w:rsidRDefault="00110745" w:rsidP="00BC0474">
      <w:pPr>
        <w:pStyle w:val="Sinespaciado"/>
        <w:spacing w:line="360" w:lineRule="auto"/>
        <w:jc w:val="both"/>
        <w:rPr>
          <w:rFonts w:ascii="Palatino Linotype" w:hAnsi="Palatino Linotype" w:cs="Arial"/>
        </w:rPr>
      </w:pPr>
    </w:p>
    <w:p w:rsidR="00395DA8" w:rsidRPr="00233169" w:rsidRDefault="00395DA8" w:rsidP="00395DA8">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95DA8" w:rsidRPr="00F1266D" w:rsidRDefault="00395DA8" w:rsidP="00395DA8">
      <w:pPr>
        <w:spacing w:after="0" w:line="360" w:lineRule="auto"/>
        <w:jc w:val="both"/>
        <w:rPr>
          <w:rFonts w:ascii="Palatino Linotype" w:hAnsi="Palatino Linotype" w:cs="Arial"/>
          <w:sz w:val="24"/>
          <w:szCs w:val="24"/>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lastRenderedPageBreak/>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395DA8" w:rsidRPr="003A0A02" w:rsidRDefault="00395DA8" w:rsidP="005C6042">
      <w:pPr>
        <w:spacing w:after="0" w:line="240" w:lineRule="auto"/>
        <w:ind w:left="851" w:right="851"/>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F1266D">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395DA8" w:rsidRPr="00F1266D" w:rsidRDefault="00395DA8" w:rsidP="00395DA8">
      <w:pPr>
        <w:spacing w:after="0" w:line="360" w:lineRule="auto"/>
        <w:jc w:val="both"/>
        <w:rPr>
          <w:rFonts w:ascii="Palatino Linotype" w:hAnsi="Palatino Linotype" w:cs="Arial"/>
          <w:sz w:val="24"/>
          <w:szCs w:val="24"/>
        </w:rPr>
      </w:pPr>
    </w:p>
    <w:p w:rsidR="00395DA8"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95DA8" w:rsidRPr="003A0A02" w:rsidRDefault="00395DA8" w:rsidP="005C6042">
      <w:pPr>
        <w:spacing w:after="0" w:line="240" w:lineRule="auto"/>
        <w:ind w:left="851" w:right="851"/>
        <w:jc w:val="both"/>
        <w:rPr>
          <w:rFonts w:ascii="Palatino Linotype" w:hAnsi="Palatino Linotype" w:cs="Arial"/>
          <w:i/>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95DA8" w:rsidRDefault="00395DA8" w:rsidP="005C6042">
      <w:pPr>
        <w:spacing w:after="0" w:line="240" w:lineRule="auto"/>
        <w:ind w:left="851" w:right="851"/>
        <w:jc w:val="both"/>
        <w:rPr>
          <w:rFonts w:ascii="Palatino Linotype" w:hAnsi="Palatino Linotype" w:cs="Arial"/>
          <w:i/>
        </w:rPr>
      </w:pPr>
    </w:p>
    <w:p w:rsidR="00395DA8"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95DA8" w:rsidRPr="003A0A02" w:rsidRDefault="00395DA8" w:rsidP="005C6042">
      <w:pPr>
        <w:spacing w:after="0" w:line="240" w:lineRule="auto"/>
        <w:ind w:left="851" w:right="851"/>
        <w:jc w:val="both"/>
        <w:rPr>
          <w:rFonts w:ascii="Palatino Linotype" w:hAnsi="Palatino Linotype" w:cs="Arial"/>
          <w:i/>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F1266D">
        <w:rPr>
          <w:rFonts w:ascii="Palatino Linotype" w:hAnsi="Palatino Linotype" w:cs="Arial"/>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95DA8" w:rsidRPr="00F1266D" w:rsidRDefault="00395DA8" w:rsidP="00395DA8">
      <w:pPr>
        <w:spacing w:after="0" w:line="360" w:lineRule="auto"/>
        <w:jc w:val="both"/>
        <w:rPr>
          <w:rFonts w:ascii="Palatino Linotype" w:hAnsi="Palatino Linotype" w:cs="Arial"/>
          <w:sz w:val="24"/>
          <w:szCs w:val="24"/>
        </w:rPr>
      </w:pPr>
    </w:p>
    <w:p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110745" w:rsidRDefault="00110745" w:rsidP="00BC0474">
      <w:pPr>
        <w:pStyle w:val="Sinespaciado"/>
        <w:spacing w:line="360" w:lineRule="auto"/>
        <w:jc w:val="both"/>
        <w:rPr>
          <w:rFonts w:ascii="Palatino Linotype" w:hAnsi="Palatino Linotype" w:cs="Arial"/>
        </w:rPr>
      </w:pPr>
    </w:p>
    <w:p w:rsidR="00E96C1A" w:rsidRPr="00E923E3"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uye el</w:t>
      </w:r>
      <w:r w:rsidR="00DD08B0" w:rsidRPr="00E923E3">
        <w:rPr>
          <w:rFonts w:ascii="Palatino Linotype" w:hAnsi="Palatino Linotype"/>
          <w:noProof/>
          <w:lang w:eastAsia="es-MX"/>
        </w:rPr>
        <w:t xml:space="preserve"> </w:t>
      </w:r>
      <w:r w:rsidRPr="00994527">
        <w:rPr>
          <w:rFonts w:ascii="Palatino Linotype" w:hAnsi="Palatino Linotype"/>
          <w:b/>
          <w:noProof/>
          <w:lang w:eastAsia="es-MX"/>
        </w:rPr>
        <w:t>Recurrente</w:t>
      </w:r>
      <w:r w:rsidRPr="00E923E3">
        <w:rPr>
          <w:rFonts w:ascii="Palatino Linotype" w:hAnsi="Palatino Linotype"/>
          <w:noProof/>
          <w:lang w:eastAsia="es-MX"/>
        </w:rPr>
        <w:t>;</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B76A01" w:rsidRPr="00E923E3" w:rsidRDefault="00B76A01" w:rsidP="00F1574A">
      <w:pPr>
        <w:pStyle w:val="Sinespaciado"/>
        <w:spacing w:line="360" w:lineRule="auto"/>
        <w:jc w:val="both"/>
        <w:rPr>
          <w:rFonts w:ascii="Palatino Linotype" w:hAnsi="Palatino Linotype"/>
          <w:b/>
          <w:bCs/>
          <w:spacing w:val="60"/>
          <w:lang w:val="es-ES_tradnl"/>
        </w:rPr>
      </w:pPr>
    </w:p>
    <w:p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lastRenderedPageBreak/>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3C0FD0">
        <w:rPr>
          <w:rFonts w:ascii="Palatino Linotype" w:hAnsi="Palatino Linotype"/>
        </w:rPr>
        <w:t>el</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032100" w:rsidRPr="00E923E3">
        <w:rPr>
          <w:rFonts w:ascii="Palatino Linotype" w:hAnsi="Palatino Linotype"/>
          <w:b/>
          <w:bCs/>
          <w:lang w:eastAsia="es-MX"/>
        </w:rPr>
        <w:t>CUARTO</w:t>
      </w:r>
      <w:r w:rsidR="00D4082C" w:rsidRPr="00E923E3">
        <w:rPr>
          <w:rFonts w:ascii="Palatino Linotype" w:hAnsi="Palatino Linotype"/>
          <w:bCs/>
          <w:lang w:eastAsia="es-MX"/>
        </w:rPr>
        <w:t xml:space="preserve"> de la presente resolución</w:t>
      </w:r>
    </w:p>
    <w:p w:rsidR="00D4082C" w:rsidRPr="00E923E3" w:rsidRDefault="00D4082C" w:rsidP="00F1574A">
      <w:pPr>
        <w:pStyle w:val="Sinespaciado"/>
        <w:spacing w:line="360" w:lineRule="auto"/>
        <w:jc w:val="both"/>
        <w:rPr>
          <w:rFonts w:ascii="Palatino Linotype" w:hAnsi="Palatino Linotype"/>
          <w:b/>
        </w:rPr>
      </w:pPr>
    </w:p>
    <w:p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22235E" w:rsidRPr="0022235E">
        <w:rPr>
          <w:rFonts w:ascii="Palatino Linotype" w:hAnsi="Palatino Linotype"/>
          <w:b/>
          <w:bCs/>
        </w:rPr>
        <w:t>00255/NAUCALPA/IP/2019</w:t>
      </w:r>
      <w:r w:rsidR="0022235E">
        <w:rPr>
          <w:rFonts w:ascii="Palatino Linotype" w:hAnsi="Palatino Linotype"/>
          <w:b/>
          <w:bCs/>
        </w:rPr>
        <w:t xml:space="preserve"> </w:t>
      </w:r>
      <w:r w:rsidR="003D288D" w:rsidRPr="00E923E3">
        <w:rPr>
          <w:rFonts w:ascii="Palatino Linotype" w:hAnsi="Palatino Linotype"/>
          <w:lang w:val="es-ES_tradnl"/>
        </w:rPr>
        <w:t xml:space="preserve">y haga entrega </w:t>
      </w:r>
      <w:r w:rsidR="004015FF">
        <w:rPr>
          <w:rFonts w:ascii="Palatino Linotype" w:hAnsi="Palatino Linotype"/>
          <w:lang w:val="es-ES_tradnl"/>
        </w:rPr>
        <w:t>al</w:t>
      </w:r>
      <w:r w:rsidR="003D288D" w:rsidRPr="00E923E3">
        <w:rPr>
          <w:rFonts w:ascii="Palatino Linotype" w:hAnsi="Palatino Linotype"/>
          <w:lang w:val="es-ES_tradnl"/>
        </w:rPr>
        <w:t xml:space="preserve"> </w:t>
      </w:r>
      <w:r w:rsidR="003D288D" w:rsidRPr="00994527">
        <w:rPr>
          <w:rFonts w:ascii="Palatino Linotype" w:hAnsi="Palatino Linotype"/>
          <w:b/>
          <w:lang w:val="es-ES_tradnl"/>
        </w:rPr>
        <w:t>Recurrente</w:t>
      </w:r>
      <w:r w:rsidR="003D288D" w:rsidRPr="00E923E3">
        <w:rPr>
          <w:rFonts w:ascii="Palatino Linotype" w:hAnsi="Palatino Linotype"/>
          <w:lang w:val="es-ES_tradnl"/>
        </w:rPr>
        <w:t xml:space="preserve">, </w:t>
      </w:r>
      <w:r w:rsidR="0022235E" w:rsidRPr="0022235E">
        <w:rPr>
          <w:rFonts w:ascii="Palatino Linotype" w:hAnsi="Palatino Linotype"/>
          <w:lang w:val="es-ES_tradnl"/>
        </w:rPr>
        <w:t xml:space="preserve">en copias </w:t>
      </w:r>
      <w:r w:rsidR="0022235E" w:rsidRPr="00EA78A5">
        <w:rPr>
          <w:rFonts w:ascii="Palatino Linotype" w:hAnsi="Palatino Linotype"/>
          <w:lang w:val="es-ES_tradnl"/>
        </w:rPr>
        <w:t xml:space="preserve">certificadas (sin costo) y mediante </w:t>
      </w:r>
      <w:r w:rsidR="0022235E" w:rsidRPr="00EA78A5">
        <w:rPr>
          <w:rFonts w:ascii="Palatino Linotype" w:hAnsi="Palatino Linotype"/>
          <w:b/>
          <w:bCs/>
          <w:lang w:val="es-ES_tradnl"/>
        </w:rPr>
        <w:t>Correo Electrónico</w:t>
      </w:r>
      <w:r w:rsidR="00C824DB">
        <w:rPr>
          <w:rFonts w:ascii="Palatino Linotype" w:hAnsi="Palatino Linotype"/>
          <w:lang w:val="es-ES_tradnl"/>
        </w:rPr>
        <w:t xml:space="preserve">,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Considerando CUARTO</w:t>
      </w:r>
      <w:r w:rsidR="003D288D" w:rsidRPr="00E923E3">
        <w:rPr>
          <w:rFonts w:ascii="Palatino Linotype" w:hAnsi="Palatino Linotype"/>
          <w:lang w:val="es-ES_tradnl"/>
        </w:rPr>
        <w:t xml:space="preserve">, la versión pública </w:t>
      </w:r>
      <w:r w:rsidR="00373A6D">
        <w:rPr>
          <w:rFonts w:ascii="Palatino Linotype" w:hAnsi="Palatino Linotype"/>
          <w:lang w:val="es-ES_tradnl"/>
        </w:rPr>
        <w:t>de ser procedente</w:t>
      </w:r>
      <w:r w:rsidR="00C22CEE">
        <w:rPr>
          <w:rFonts w:ascii="Palatino Linotype" w:hAnsi="Palatino Linotype"/>
          <w:lang w:val="es-ES_tradnl"/>
        </w:rPr>
        <w:t>,</w:t>
      </w:r>
      <w:r w:rsidR="00373A6D">
        <w:rPr>
          <w:rFonts w:ascii="Palatino Linotype" w:hAnsi="Palatino Linotype"/>
          <w:lang w:val="es-ES_tradnl"/>
        </w:rPr>
        <w:t xml:space="preserve"> </w:t>
      </w:r>
      <w:r w:rsidR="0059097C">
        <w:rPr>
          <w:rFonts w:ascii="Palatino Linotype" w:hAnsi="Palatino Linotype"/>
          <w:lang w:val="es-ES_tradnl"/>
        </w:rPr>
        <w:t>del</w:t>
      </w:r>
      <w:r w:rsidR="004015FF">
        <w:rPr>
          <w:rFonts w:ascii="Palatino Linotype" w:hAnsi="Palatino Linotype"/>
          <w:lang w:val="es-ES_tradnl"/>
        </w:rPr>
        <w:t xml:space="preserve"> o los documentos en los que conste</w:t>
      </w:r>
      <w:r w:rsidR="003D288D" w:rsidRPr="00E923E3">
        <w:rPr>
          <w:rFonts w:ascii="Palatino Linotype" w:hAnsi="Palatino Linotype"/>
          <w:lang w:val="es-ES_tradnl"/>
        </w:rPr>
        <w:t xml:space="preserve"> lo</w:t>
      </w:r>
      <w:r w:rsidR="00373A6D">
        <w:rPr>
          <w:rFonts w:ascii="Palatino Linotype" w:hAnsi="Palatino Linotype"/>
          <w:lang w:val="es-ES_tradnl"/>
        </w:rPr>
        <w:t xml:space="preserve"> </w:t>
      </w:r>
      <w:r w:rsidR="004A13B1">
        <w:rPr>
          <w:rFonts w:ascii="Palatino Linotype" w:hAnsi="Palatino Linotype"/>
          <w:lang w:val="es-ES_tradnl"/>
        </w:rPr>
        <w:t>s</w:t>
      </w:r>
      <w:r w:rsidR="00373A6D">
        <w:rPr>
          <w:rFonts w:ascii="Palatino Linotype" w:hAnsi="Palatino Linotype"/>
          <w:lang w:val="es-ES_tradnl"/>
        </w:rPr>
        <w:t>iguiente:</w:t>
      </w:r>
      <w:r w:rsidR="004A13B1">
        <w:rPr>
          <w:rFonts w:ascii="Palatino Linotype" w:hAnsi="Palatino Linotype"/>
          <w:lang w:val="es-ES_tradnl"/>
        </w:rPr>
        <w:t xml:space="preserve"> </w:t>
      </w:r>
    </w:p>
    <w:p w:rsidR="003D288D" w:rsidRPr="00E923E3" w:rsidRDefault="003D288D" w:rsidP="00502301">
      <w:pPr>
        <w:pStyle w:val="Sinespaciado"/>
        <w:spacing w:line="360" w:lineRule="auto"/>
        <w:jc w:val="both"/>
        <w:rPr>
          <w:rFonts w:ascii="Palatino Linotype" w:hAnsi="Palatino Linotype"/>
          <w:lang w:val="es-ES_tradnl"/>
        </w:rPr>
      </w:pPr>
    </w:p>
    <w:p w:rsidR="00203FF2" w:rsidRPr="0059097C" w:rsidRDefault="0022235E" w:rsidP="00C22CEE">
      <w:pPr>
        <w:pStyle w:val="Sinespaciado"/>
        <w:numPr>
          <w:ilvl w:val="0"/>
          <w:numId w:val="11"/>
        </w:numPr>
        <w:jc w:val="both"/>
        <w:rPr>
          <w:rFonts w:ascii="Palatino Linotype" w:hAnsi="Palatino Linotype" w:cs="Arial"/>
          <w:i/>
        </w:rPr>
      </w:pPr>
      <w:r>
        <w:rPr>
          <w:rFonts w:ascii="Palatino Linotype" w:hAnsi="Palatino Linotype" w:cs="Arial"/>
          <w:i/>
        </w:rPr>
        <w:t>E</w:t>
      </w:r>
      <w:r w:rsidRPr="0022235E">
        <w:rPr>
          <w:rFonts w:ascii="Palatino Linotype" w:hAnsi="Palatino Linotype" w:cs="Arial"/>
          <w:i/>
        </w:rPr>
        <w:t>l uso de suelo de la colonia Country Club (o fraccionamiento Country Club) referida en la solicitud de información</w:t>
      </w:r>
      <w:r w:rsidR="001D21A0">
        <w:rPr>
          <w:rFonts w:ascii="Palatino Linotype" w:hAnsi="Palatino Linotype" w:cs="Arial"/>
          <w:i/>
        </w:rPr>
        <w:t xml:space="preserve"> número </w:t>
      </w:r>
      <w:r w:rsidRPr="0022235E">
        <w:rPr>
          <w:rFonts w:ascii="Palatino Linotype" w:hAnsi="Palatino Linotype" w:cs="Arial"/>
          <w:i/>
        </w:rPr>
        <w:t>00255/NAUCALPA/IP/2019</w:t>
      </w:r>
      <w:r w:rsidR="0059097C">
        <w:rPr>
          <w:rFonts w:ascii="Palatino Linotype" w:hAnsi="Palatino Linotype" w:cs="Arial"/>
          <w:i/>
        </w:rPr>
        <w:t>.</w:t>
      </w:r>
    </w:p>
    <w:p w:rsidR="0068553C" w:rsidRDefault="0068553C" w:rsidP="00994527">
      <w:pPr>
        <w:pStyle w:val="Sinespaciado"/>
        <w:spacing w:before="240" w:after="240"/>
        <w:ind w:left="720"/>
        <w:jc w:val="both"/>
        <w:rPr>
          <w:rFonts w:ascii="Palatino Linotype" w:hAnsi="Palatino Linotype" w:cs="Arial"/>
        </w:rPr>
      </w:pPr>
    </w:p>
    <w:p w:rsidR="00177CFE" w:rsidRDefault="003D288D" w:rsidP="00177CFE">
      <w:pPr>
        <w:pStyle w:val="Sinespaciado"/>
        <w:spacing w:line="360" w:lineRule="auto"/>
        <w:jc w:val="both"/>
        <w:rPr>
          <w:rFonts w:ascii="Palatino Linotype" w:hAnsi="Palatino Linotype" w:cs="Arial"/>
        </w:rPr>
      </w:pPr>
      <w:r w:rsidRPr="00E923E3">
        <w:rPr>
          <w:rFonts w:ascii="Palatino Linotype" w:hAnsi="Palatino Linotype" w:cs="Aria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994527">
        <w:rPr>
          <w:rFonts w:ascii="Palatino Linotype" w:hAnsi="Palatino Linotype" w:cs="Arial"/>
          <w:b/>
        </w:rPr>
        <w:t>Recurrente</w:t>
      </w:r>
      <w:r w:rsidRPr="00E923E3">
        <w:rPr>
          <w:rFonts w:ascii="Palatino Linotype" w:hAnsi="Palatino Linotype" w:cs="Arial"/>
        </w:rPr>
        <w:t>.</w:t>
      </w:r>
    </w:p>
    <w:p w:rsidR="001D21A0" w:rsidRDefault="001D21A0" w:rsidP="00177CFE">
      <w:pPr>
        <w:pStyle w:val="Sinespaciado"/>
        <w:spacing w:line="360" w:lineRule="auto"/>
        <w:jc w:val="both"/>
        <w:rPr>
          <w:rFonts w:ascii="Palatino Linotype" w:hAnsi="Palatino Linotype" w:cs="Arial"/>
        </w:rPr>
      </w:pPr>
    </w:p>
    <w:p w:rsidR="001D21A0" w:rsidRDefault="001D21A0" w:rsidP="00177CFE">
      <w:pPr>
        <w:pStyle w:val="Sinespaciado"/>
        <w:spacing w:line="360" w:lineRule="auto"/>
        <w:jc w:val="both"/>
        <w:rPr>
          <w:rFonts w:ascii="Palatino Linotype" w:hAnsi="Palatino Linotype" w:cs="Arial"/>
        </w:rPr>
      </w:pPr>
      <w:r w:rsidRPr="001D21A0">
        <w:rPr>
          <w:rFonts w:ascii="Palatino Linotype" w:hAnsi="Palatino Linotype" w:cs="Arial"/>
        </w:rPr>
        <w:t xml:space="preserve">Asimismo, el </w:t>
      </w:r>
      <w:r>
        <w:rPr>
          <w:rFonts w:ascii="Palatino Linotype" w:hAnsi="Palatino Linotype" w:cs="Arial"/>
        </w:rPr>
        <w:t>S</w:t>
      </w:r>
      <w:r w:rsidRPr="001D21A0">
        <w:rPr>
          <w:rFonts w:ascii="Palatino Linotype" w:hAnsi="Palatino Linotype" w:cs="Arial"/>
        </w:rPr>
        <w:t xml:space="preserve">ujeto </w:t>
      </w:r>
      <w:r>
        <w:rPr>
          <w:rFonts w:ascii="Palatino Linotype" w:hAnsi="Palatino Linotype" w:cs="Arial"/>
        </w:rPr>
        <w:t>O</w:t>
      </w:r>
      <w:r w:rsidRPr="001D21A0">
        <w:rPr>
          <w:rFonts w:ascii="Palatino Linotype" w:hAnsi="Palatino Linotype" w:cs="Arial"/>
        </w:rPr>
        <w:t>bligado deberá informar al recurrente el procedimiento que deberá de seguir para la entrega de la información en donde se le señale el lugar, fecha y hora para poder obtener el documento en la modalidad de copia certificada.</w:t>
      </w:r>
    </w:p>
    <w:p w:rsidR="00177CFE" w:rsidRDefault="00177CFE" w:rsidP="00177CFE">
      <w:pPr>
        <w:pStyle w:val="Sinespaciado"/>
        <w:spacing w:line="360" w:lineRule="auto"/>
        <w:jc w:val="both"/>
        <w:rPr>
          <w:rFonts w:ascii="Palatino Linotype" w:hAnsi="Palatino Linotype" w:cs="Arial"/>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lastRenderedPageBreak/>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E923E3" w:rsidRDefault="00B76A01" w:rsidP="00F1574A">
      <w:pPr>
        <w:pStyle w:val="Sinespaciado"/>
        <w:spacing w:line="360" w:lineRule="auto"/>
        <w:jc w:val="both"/>
        <w:rPr>
          <w:rFonts w:ascii="Palatino Linotype" w:hAnsi="Palatino Linotype"/>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4015FF">
        <w:rPr>
          <w:rFonts w:ascii="Palatino Linotype" w:hAnsi="Palatino Linotype"/>
        </w:rPr>
        <w:t>l</w:t>
      </w:r>
      <w:r w:rsidR="00B76A01" w:rsidRPr="00E923E3">
        <w:rPr>
          <w:rFonts w:ascii="Palatino Linotype" w:hAnsi="Palatino Linotype"/>
        </w:rPr>
        <w:t xml:space="preserve"> Recurrente la presente resolución</w:t>
      </w:r>
      <w:r w:rsidR="001D21A0" w:rsidRPr="001D21A0">
        <w:t xml:space="preserve"> </w:t>
      </w:r>
      <w:r w:rsidR="001D21A0" w:rsidRPr="001D21A0">
        <w:rPr>
          <w:rFonts w:ascii="Palatino Linotype" w:hAnsi="Palatino Linotype"/>
        </w:rPr>
        <w:t xml:space="preserve">través del SAIMEX y </w:t>
      </w:r>
      <w:r w:rsidR="001D21A0" w:rsidRPr="00EA78A5">
        <w:rPr>
          <w:rFonts w:ascii="Palatino Linotype" w:hAnsi="Palatino Linotype"/>
        </w:rPr>
        <w:t>Correo Electrónico</w:t>
      </w:r>
      <w:r w:rsidR="001D21A0">
        <w:rPr>
          <w:rFonts w:ascii="Palatino Linotype" w:hAnsi="Palatino Linotype"/>
        </w:rPr>
        <w:t>,</w:t>
      </w:r>
      <w:r w:rsidR="00B76A01" w:rsidRPr="00E923E3">
        <w:rPr>
          <w:rFonts w:ascii="Palatino Linotype" w:hAnsi="Palatino Linotype"/>
          <w:b/>
        </w:rPr>
        <w:t xml:space="preserve"> </w:t>
      </w:r>
      <w:r w:rsidR="00B76A01" w:rsidRPr="00E923E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E923E3" w:rsidRDefault="00DB570E" w:rsidP="00F1574A">
      <w:pPr>
        <w:pStyle w:val="Sinespaciado"/>
        <w:spacing w:line="360" w:lineRule="auto"/>
        <w:jc w:val="both"/>
        <w:rPr>
          <w:rFonts w:ascii="Palatino Linotype" w:hAnsi="Palatino Linotype"/>
        </w:rPr>
      </w:pPr>
    </w:p>
    <w:p w:rsidR="00DB570E" w:rsidRPr="00E923E3" w:rsidRDefault="00DB570E" w:rsidP="00F1574A">
      <w:pPr>
        <w:pStyle w:val="Sinespaciado"/>
        <w:spacing w:line="360" w:lineRule="auto"/>
        <w:jc w:val="both"/>
        <w:rPr>
          <w:rFonts w:ascii="Palatino Linotype" w:hAnsi="Palatino Linotype"/>
        </w:rPr>
      </w:pPr>
      <w:r w:rsidRPr="00E923E3">
        <w:rPr>
          <w:rFonts w:ascii="Palatino Linotype" w:hAnsi="Palatino Linotype"/>
          <w:b/>
        </w:rPr>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Pr="00E923E3">
        <w:rPr>
          <w:rFonts w:ascii="Palatino Linotype" w:hAnsi="Palatino Linotype"/>
          <w:b/>
        </w:rPr>
        <w:t>CUARTO</w:t>
      </w:r>
      <w:r w:rsidR="004A13B1">
        <w:rPr>
          <w:rFonts w:ascii="Palatino Linotype" w:hAnsi="Palatino Linotype"/>
        </w:rPr>
        <w:t xml:space="preserve"> </w:t>
      </w:r>
      <w:r w:rsidRPr="00E923E3">
        <w:rPr>
          <w:rFonts w:ascii="Palatino Linotype" w:hAnsi="Palatino Linotype"/>
        </w:rPr>
        <w:t>de la presente resolución.</w:t>
      </w:r>
    </w:p>
    <w:p w:rsidR="00EE0077" w:rsidRPr="00E923E3" w:rsidRDefault="00EE0077" w:rsidP="00F1574A">
      <w:pPr>
        <w:pStyle w:val="Sinespaciado"/>
        <w:spacing w:line="360" w:lineRule="auto"/>
        <w:jc w:val="both"/>
        <w:rPr>
          <w:rFonts w:ascii="Palatino Linotype" w:hAnsi="Palatino Linotype"/>
        </w:rPr>
      </w:pPr>
    </w:p>
    <w:p w:rsidR="00994527" w:rsidRPr="00994527" w:rsidRDefault="00994527" w:rsidP="00994527">
      <w:pPr>
        <w:widowControl w:val="0"/>
        <w:spacing w:after="0" w:line="360" w:lineRule="auto"/>
        <w:ind w:left="20"/>
        <w:jc w:val="both"/>
        <w:rPr>
          <w:rFonts w:ascii="Palatino Linotype" w:eastAsia="Times New Roman" w:hAnsi="Palatino Linotype" w:cs="Arial"/>
          <w:sz w:val="24"/>
          <w:szCs w:val="24"/>
        </w:rPr>
      </w:pPr>
      <w:r w:rsidRPr="00994527">
        <w:rPr>
          <w:rFonts w:ascii="Palatino Linotype" w:eastAsia="Times New Roman" w:hAnsi="Palatino Linotype" w:cs="Arial"/>
          <w:sz w:val="24"/>
          <w:szCs w:val="24"/>
        </w:rPr>
        <w:t>ASÍ LO RESUELVE, POR UNANIMIDAD DE VOTOS EL PLENO DEL</w:t>
      </w:r>
      <w:r w:rsidRPr="009945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4527">
        <w:rPr>
          <w:rFonts w:ascii="Palatino Linotype" w:eastAsia="Times New Roman" w:hAnsi="Palatino Linotype" w:cs="Arial"/>
          <w:sz w:val="24"/>
          <w:szCs w:val="24"/>
        </w:rPr>
        <w:t xml:space="preserve">, CONFORMADO POR LOS COMISIONADOS ZULEMA MARTÍNEZ SÁNCHEZ, </w:t>
      </w:r>
      <w:r w:rsidRPr="00994527">
        <w:rPr>
          <w:rFonts w:ascii="Palatino Linotype" w:eastAsia="Times New Roman" w:hAnsi="Palatino Linotype" w:cs="Arial"/>
          <w:sz w:val="24"/>
          <w:szCs w:val="24"/>
        </w:rPr>
        <w:lastRenderedPageBreak/>
        <w:t xml:space="preserve">EVA ABAID YAPUR, JOSÉ GUADALUPE LUNA HERNÁNDEZ, JAVIER MARTÍNEZ CRUZ Y LUIS GUSTAVO PARRA NORIEGA, EN LA </w:t>
      </w:r>
      <w:r w:rsidR="00CA1EC0">
        <w:rPr>
          <w:rFonts w:ascii="Palatino Linotype" w:eastAsia="Times New Roman" w:hAnsi="Palatino Linotype" w:cs="Arial"/>
          <w:sz w:val="24"/>
          <w:szCs w:val="24"/>
        </w:rPr>
        <w:t>VIGÉSIMA NOVENA</w:t>
      </w:r>
      <w:r w:rsidRPr="00994527">
        <w:rPr>
          <w:rFonts w:ascii="Palatino Linotype" w:eastAsia="Times New Roman" w:hAnsi="Palatino Linotype" w:cs="Arial"/>
          <w:sz w:val="24"/>
          <w:szCs w:val="24"/>
        </w:rPr>
        <w:t xml:space="preserve"> SESIÓN ORDINARIA CELEBRADA EL </w:t>
      </w:r>
      <w:r w:rsidR="00CA1EC0">
        <w:rPr>
          <w:rFonts w:ascii="Palatino Linotype" w:eastAsia="Times New Roman" w:hAnsi="Palatino Linotype" w:cs="Arial"/>
          <w:sz w:val="24"/>
          <w:szCs w:val="24"/>
        </w:rPr>
        <w:t>CATORCE DE AGOSTO</w:t>
      </w:r>
      <w:r w:rsidRPr="00994527">
        <w:rPr>
          <w:rFonts w:ascii="Palatino Linotype" w:eastAsia="Times New Roman" w:hAnsi="Palatino Linotype" w:cs="Arial"/>
          <w:sz w:val="24"/>
          <w:szCs w:val="24"/>
        </w:rPr>
        <w:t xml:space="preserve"> DE DOS MIL DIECINUEVE, ANTE EL SECRETARIO TÉCNICO DEL PLENO, ALEXIS TAPIA RAMÍREZ.-------------------------------------------------------------------------</w:t>
      </w:r>
      <w:r w:rsidR="00CA1EC0">
        <w:rPr>
          <w:rFonts w:ascii="Palatino Linotype" w:eastAsia="Times New Roman" w:hAnsi="Palatino Linotype" w:cs="Arial"/>
          <w:sz w:val="24"/>
          <w:szCs w:val="24"/>
        </w:rPr>
        <w:t>----------------------------------------------------------------------------------------------------------------------------------------------------------------------------------------------------------------------------------------------------------------------------------------------------------------------------------------------------------------------------------------------------------------------------------------------------------------------------------------------------------------------------------------------------------------------------------------------------------------------------------------------------------------------------------------------------------------------------------------------------------------------------------------------------------------------------------------------------------------------------------------------------------------------------------------------------------------------------------------------------------------------------------------------------------------------------------------------------------------------------------------------------------------------------------------------------------------------------------------------------------------------------------------------------------------------------------------------------------------------------------------------------------------------------------------------------------------------------------------------------------------------------------------------------------------------------------------------------------------------------------------------------------------------------------------------------------------------------------------------------------------------------------------------------------------------------------------------------------------------------------------------------------------------------------------------------------------------------------------------------------------------------------------------------------------------------------------------------------------------------</w:t>
      </w:r>
      <w:r w:rsidRPr="00994527">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94527" w:rsidRPr="00994527" w:rsidTr="00D079A6">
        <w:trPr>
          <w:trHeight w:val="2308"/>
        </w:trPr>
        <w:tc>
          <w:tcPr>
            <w:tcW w:w="9062" w:type="dxa"/>
            <w:gridSpan w:val="2"/>
          </w:tcPr>
          <w:p w:rsidR="00994527" w:rsidRDefault="00994527" w:rsidP="003307AA">
            <w:pPr>
              <w:rPr>
                <w:rFonts w:ascii="Palatino Linotype" w:hAnsi="Palatino Linotype"/>
                <w:b/>
                <w:sz w:val="24"/>
                <w:szCs w:val="24"/>
              </w:rPr>
            </w:pPr>
          </w:p>
          <w:p w:rsidR="003307AA" w:rsidRPr="00994527" w:rsidRDefault="003307AA" w:rsidP="003307AA">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Zulema Martínez Sánchez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 Presidenta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3307AA">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Eva Abaid Yapur</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3307AA">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José Guadalupe Luna Hernández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3307AA">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Javier Martínez Cruz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3307AA">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Luis Gustavo Parra Noriega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431"/>
        </w:trPr>
        <w:tc>
          <w:tcPr>
            <w:tcW w:w="9062" w:type="dxa"/>
            <w:gridSpan w:val="2"/>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1814EC">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Alexis Tapia Ramírez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Secretario Técnico del Pleno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bl>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p>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r w:rsidRPr="00994527">
        <w:rPr>
          <w:rFonts w:ascii="Palatino Linotype" w:eastAsia="Times New Roman" w:hAnsi="Palatino Linotype"/>
          <w:sz w:val="18"/>
          <w:szCs w:val="18"/>
        </w:rPr>
        <w:t xml:space="preserve">Esta hoja corresponde a la resolución de fecha </w:t>
      </w:r>
      <w:r w:rsidR="003307AA">
        <w:rPr>
          <w:rFonts w:ascii="Palatino Linotype" w:eastAsia="Times New Roman" w:hAnsi="Palatino Linotype"/>
          <w:sz w:val="18"/>
          <w:szCs w:val="18"/>
        </w:rPr>
        <w:t>catorce de agosto</w:t>
      </w:r>
      <w:r w:rsidRPr="00994527">
        <w:rPr>
          <w:rFonts w:ascii="Palatino Linotype" w:eastAsia="Times New Roman" w:hAnsi="Palatino Linotype"/>
          <w:sz w:val="18"/>
          <w:szCs w:val="18"/>
        </w:rPr>
        <w:t xml:space="preserve"> de dos mil diecinueve, emitida en el Recurso de Revisión </w:t>
      </w:r>
      <w:r w:rsidR="003307AA" w:rsidRPr="003307AA">
        <w:rPr>
          <w:rFonts w:ascii="Palatino Linotype" w:eastAsia="Times New Roman" w:hAnsi="Palatino Linotype"/>
          <w:b/>
          <w:sz w:val="18"/>
          <w:szCs w:val="18"/>
        </w:rPr>
        <w:t>04875/INFOEM/IP/RR/2019</w:t>
      </w:r>
      <w:r w:rsidRPr="00994527">
        <w:rPr>
          <w:rFonts w:ascii="Palatino Linotype" w:eastAsia="Times New Roman" w:hAnsi="Palatino Linotype"/>
          <w:sz w:val="18"/>
          <w:szCs w:val="18"/>
        </w:rPr>
        <w:t>.</w:t>
      </w:r>
    </w:p>
    <w:p w:rsidR="007533A3" w:rsidRPr="001814EC" w:rsidRDefault="00994527" w:rsidP="001814EC">
      <w:pPr>
        <w:widowControl w:val="0"/>
        <w:spacing w:after="0" w:line="240" w:lineRule="auto"/>
        <w:jc w:val="both"/>
        <w:rPr>
          <w:rFonts w:ascii="Palatino Linotype" w:eastAsia="Times New Roman" w:hAnsi="Palatino Linotype"/>
          <w:sz w:val="16"/>
          <w:szCs w:val="18"/>
        </w:rPr>
      </w:pPr>
      <w:r w:rsidRPr="00994527">
        <w:rPr>
          <w:rFonts w:ascii="Palatino Linotype" w:eastAsia="Times New Roman" w:hAnsi="Palatino Linotype"/>
          <w:sz w:val="16"/>
          <w:szCs w:val="18"/>
        </w:rPr>
        <w:t>ZMS/OSAM/EJDG</w:t>
      </w:r>
    </w:p>
    <w:sectPr w:rsidR="007533A3" w:rsidRPr="001814EC"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775" w:rsidRDefault="00515775" w:rsidP="001032D4">
      <w:pPr>
        <w:spacing w:after="0" w:line="240" w:lineRule="auto"/>
      </w:pPr>
      <w:r>
        <w:separator/>
      </w:r>
    </w:p>
  </w:endnote>
  <w:endnote w:type="continuationSeparator" w:id="0">
    <w:p w:rsidR="00515775" w:rsidRDefault="00515775"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3B75">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3B75">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3B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3B75">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775" w:rsidRDefault="00515775" w:rsidP="001032D4">
      <w:pPr>
        <w:spacing w:after="0" w:line="240" w:lineRule="auto"/>
      </w:pPr>
      <w:r>
        <w:separator/>
      </w:r>
    </w:p>
  </w:footnote>
  <w:footnote w:type="continuationSeparator" w:id="0">
    <w:p w:rsidR="00515775" w:rsidRDefault="00515775" w:rsidP="001032D4">
      <w:pPr>
        <w:spacing w:after="0" w:line="240" w:lineRule="auto"/>
      </w:pPr>
      <w:r>
        <w:continuationSeparator/>
      </w:r>
    </w:p>
  </w:footnote>
  <w:footnote w:id="1">
    <w:p w:rsidR="009C7DC9" w:rsidRPr="00946E1F" w:rsidRDefault="009C7DC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C7DC9" w:rsidRPr="00946E1F" w:rsidRDefault="009C7DC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Default="009C7DC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9C7DC9" w:rsidTr="005A54FF">
      <w:trPr>
        <w:trHeight w:val="227"/>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9C7DC9" w:rsidRDefault="00B33B68" w:rsidP="005A54FF">
          <w:pPr>
            <w:spacing w:after="120" w:line="256" w:lineRule="auto"/>
            <w:ind w:left="-486" w:right="214"/>
            <w:jc w:val="right"/>
            <w:rPr>
              <w:rFonts w:ascii="Palatino Linotype" w:hAnsi="Palatino Linotype" w:cs="Arial"/>
              <w:szCs w:val="20"/>
            </w:rPr>
          </w:pPr>
          <w:r w:rsidRPr="00B33B68">
            <w:rPr>
              <w:rFonts w:ascii="Palatino Linotype" w:hAnsi="Palatino Linotype" w:cs="Arial"/>
              <w:szCs w:val="20"/>
            </w:rPr>
            <w:t>04875/INFOEM/IP/RR/2019</w:t>
          </w:r>
        </w:p>
      </w:tc>
    </w:tr>
    <w:tr w:rsidR="009C7DC9" w:rsidTr="005A54FF">
      <w:trPr>
        <w:trHeight w:val="242"/>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9C7DC9" w:rsidRDefault="00EF5BFE" w:rsidP="00032100">
          <w:pPr>
            <w:spacing w:after="120" w:line="256" w:lineRule="auto"/>
            <w:ind w:left="-486" w:right="214" w:firstLine="567"/>
            <w:jc w:val="right"/>
            <w:rPr>
              <w:rFonts w:ascii="Palatino Linotype" w:hAnsi="Palatino Linotype" w:cs="Arial"/>
              <w:szCs w:val="20"/>
            </w:rPr>
          </w:pPr>
          <w:r w:rsidRPr="00EF5BFE">
            <w:rPr>
              <w:rFonts w:ascii="Palatino Linotype" w:hAnsi="Palatino Linotype" w:cs="Arial"/>
              <w:szCs w:val="20"/>
            </w:rPr>
            <w:t>Ayuntamiento de Naucalpan de Juárez</w:t>
          </w:r>
        </w:p>
      </w:tc>
    </w:tr>
    <w:tr w:rsidR="009C7DC9" w:rsidTr="005A54FF">
      <w:trPr>
        <w:trHeight w:val="342"/>
      </w:trPr>
      <w:tc>
        <w:tcPr>
          <w:tcW w:w="6663"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rsidP="005A54FF">
    <w:pPr>
      <w:pStyle w:val="Encabezado"/>
    </w:pPr>
  </w:p>
  <w:p w:rsidR="009C7DC9" w:rsidRDefault="009C7DC9" w:rsidP="005A5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C7DC9" w:rsidRPr="00633CD9" w:rsidTr="00452BE0">
      <w:trPr>
        <w:trHeight w:val="227"/>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C7DC9" w:rsidRPr="00B4142F" w:rsidRDefault="00B33B68" w:rsidP="00AD2FA3">
          <w:pPr>
            <w:spacing w:after="120" w:line="256" w:lineRule="auto"/>
            <w:ind w:left="-486" w:right="214"/>
            <w:jc w:val="right"/>
            <w:rPr>
              <w:rFonts w:ascii="Palatino Linotype" w:hAnsi="Palatino Linotype" w:cs="Arial"/>
              <w:szCs w:val="20"/>
            </w:rPr>
          </w:pPr>
          <w:r w:rsidRPr="00B33B68">
            <w:rPr>
              <w:rFonts w:ascii="Palatino Linotype" w:hAnsi="Palatino Linotype" w:cs="Arial"/>
              <w:szCs w:val="20"/>
            </w:rPr>
            <w:t>04875/INFOEM/IP/RR/2019</w:t>
          </w:r>
        </w:p>
      </w:tc>
    </w:tr>
    <w:tr w:rsidR="009C7DC9" w:rsidRPr="00633CD9" w:rsidTr="00452BE0">
      <w:trPr>
        <w:trHeight w:val="196"/>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C7DC9" w:rsidRPr="00840752" w:rsidRDefault="009C3B75" w:rsidP="009C3B7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 xxxxxxxxxxxxx</w:t>
          </w:r>
        </w:p>
      </w:tc>
    </w:tr>
    <w:tr w:rsidR="009C7DC9" w:rsidRPr="00633CD9" w:rsidTr="00452BE0">
      <w:trPr>
        <w:trHeight w:val="242"/>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C7DC9" w:rsidRDefault="00EF5BFE" w:rsidP="00D80BE8">
          <w:pPr>
            <w:spacing w:after="120" w:line="256" w:lineRule="auto"/>
            <w:ind w:left="-495" w:right="214" w:firstLine="567"/>
            <w:jc w:val="right"/>
            <w:rPr>
              <w:rFonts w:ascii="Palatino Linotype" w:hAnsi="Palatino Linotype" w:cs="Arial"/>
              <w:szCs w:val="20"/>
            </w:rPr>
          </w:pPr>
          <w:r w:rsidRPr="00EF5BFE">
            <w:rPr>
              <w:rFonts w:ascii="Palatino Linotype" w:hAnsi="Palatino Linotype" w:cs="Arial"/>
              <w:szCs w:val="20"/>
            </w:rPr>
            <w:t>Ayuntamiento de Naucalpan de Juárez</w:t>
          </w:r>
        </w:p>
      </w:tc>
    </w:tr>
    <w:tr w:rsidR="009C7DC9" w:rsidTr="00452BE0">
      <w:trPr>
        <w:trHeight w:val="342"/>
      </w:trPr>
      <w:tc>
        <w:tcPr>
          <w:tcW w:w="6521"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611014"/>
    <w:multiLevelType w:val="hybridMultilevel"/>
    <w:tmpl w:val="1D465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10"/>
  </w:num>
  <w:num w:numId="6">
    <w:abstractNumId w:val="4"/>
  </w:num>
  <w:num w:numId="7">
    <w:abstractNumId w:val="9"/>
  </w:num>
  <w:num w:numId="8">
    <w:abstractNumId w:val="8"/>
  </w:num>
  <w:num w:numId="9">
    <w:abstractNumId w:val="2"/>
  </w:num>
  <w:num w:numId="10">
    <w:abstractNumId w:val="6"/>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4499"/>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7DCC"/>
    <w:rsid w:val="000908E8"/>
    <w:rsid w:val="000912C3"/>
    <w:rsid w:val="0009312F"/>
    <w:rsid w:val="00093919"/>
    <w:rsid w:val="00093F4C"/>
    <w:rsid w:val="00094D15"/>
    <w:rsid w:val="000A1237"/>
    <w:rsid w:val="000A207D"/>
    <w:rsid w:val="000A5B86"/>
    <w:rsid w:val="000B3104"/>
    <w:rsid w:val="000B518A"/>
    <w:rsid w:val="000B58A3"/>
    <w:rsid w:val="000B5E93"/>
    <w:rsid w:val="000B7DD9"/>
    <w:rsid w:val="000C0538"/>
    <w:rsid w:val="000C225A"/>
    <w:rsid w:val="000C53C1"/>
    <w:rsid w:val="000C5AC5"/>
    <w:rsid w:val="000C7FB4"/>
    <w:rsid w:val="000D044E"/>
    <w:rsid w:val="000D1230"/>
    <w:rsid w:val="000D1700"/>
    <w:rsid w:val="000D2220"/>
    <w:rsid w:val="000D271B"/>
    <w:rsid w:val="000D373B"/>
    <w:rsid w:val="000D4BBF"/>
    <w:rsid w:val="000D64AB"/>
    <w:rsid w:val="000E0763"/>
    <w:rsid w:val="000E0837"/>
    <w:rsid w:val="000E3A84"/>
    <w:rsid w:val="000E3EE0"/>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10745"/>
    <w:rsid w:val="00110ADD"/>
    <w:rsid w:val="00111D30"/>
    <w:rsid w:val="0011355F"/>
    <w:rsid w:val="00113B6C"/>
    <w:rsid w:val="00114C21"/>
    <w:rsid w:val="00120688"/>
    <w:rsid w:val="00120D25"/>
    <w:rsid w:val="00121DFE"/>
    <w:rsid w:val="001226DA"/>
    <w:rsid w:val="001229B9"/>
    <w:rsid w:val="00123880"/>
    <w:rsid w:val="00123A68"/>
    <w:rsid w:val="00124A15"/>
    <w:rsid w:val="001266BB"/>
    <w:rsid w:val="001273C5"/>
    <w:rsid w:val="00130E0F"/>
    <w:rsid w:val="00132ED0"/>
    <w:rsid w:val="00134E8C"/>
    <w:rsid w:val="00136DE7"/>
    <w:rsid w:val="001416AC"/>
    <w:rsid w:val="001434B0"/>
    <w:rsid w:val="00145CD8"/>
    <w:rsid w:val="00147387"/>
    <w:rsid w:val="00150BA2"/>
    <w:rsid w:val="00152BFC"/>
    <w:rsid w:val="00156404"/>
    <w:rsid w:val="00161D97"/>
    <w:rsid w:val="00163351"/>
    <w:rsid w:val="00165E9E"/>
    <w:rsid w:val="001668B3"/>
    <w:rsid w:val="00167B37"/>
    <w:rsid w:val="00167C5F"/>
    <w:rsid w:val="00171621"/>
    <w:rsid w:val="00171982"/>
    <w:rsid w:val="00171DE6"/>
    <w:rsid w:val="00172834"/>
    <w:rsid w:val="00173448"/>
    <w:rsid w:val="00177232"/>
    <w:rsid w:val="00177525"/>
    <w:rsid w:val="00177CFE"/>
    <w:rsid w:val="00180293"/>
    <w:rsid w:val="00181027"/>
    <w:rsid w:val="001814EC"/>
    <w:rsid w:val="001852D0"/>
    <w:rsid w:val="001906EA"/>
    <w:rsid w:val="00191536"/>
    <w:rsid w:val="00196B79"/>
    <w:rsid w:val="001A0ADE"/>
    <w:rsid w:val="001A1A7D"/>
    <w:rsid w:val="001A1FAA"/>
    <w:rsid w:val="001A304C"/>
    <w:rsid w:val="001A3B4C"/>
    <w:rsid w:val="001A3E5C"/>
    <w:rsid w:val="001A4BF9"/>
    <w:rsid w:val="001A4E06"/>
    <w:rsid w:val="001A53A2"/>
    <w:rsid w:val="001A79E7"/>
    <w:rsid w:val="001B1C26"/>
    <w:rsid w:val="001B2AF8"/>
    <w:rsid w:val="001B4E71"/>
    <w:rsid w:val="001B6B26"/>
    <w:rsid w:val="001B780A"/>
    <w:rsid w:val="001C2750"/>
    <w:rsid w:val="001C31E7"/>
    <w:rsid w:val="001C4ACC"/>
    <w:rsid w:val="001C4E64"/>
    <w:rsid w:val="001C5DDC"/>
    <w:rsid w:val="001C63D8"/>
    <w:rsid w:val="001D02D1"/>
    <w:rsid w:val="001D21A0"/>
    <w:rsid w:val="001D23EA"/>
    <w:rsid w:val="001D375C"/>
    <w:rsid w:val="001E0386"/>
    <w:rsid w:val="001E2EB6"/>
    <w:rsid w:val="001E7595"/>
    <w:rsid w:val="001E7EBF"/>
    <w:rsid w:val="001F1796"/>
    <w:rsid w:val="001F1DDC"/>
    <w:rsid w:val="001F230F"/>
    <w:rsid w:val="001F2F0C"/>
    <w:rsid w:val="001F3E7B"/>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565"/>
    <w:rsid w:val="002167E1"/>
    <w:rsid w:val="002172CF"/>
    <w:rsid w:val="002204F1"/>
    <w:rsid w:val="0022235E"/>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67178"/>
    <w:rsid w:val="00270161"/>
    <w:rsid w:val="00271F8B"/>
    <w:rsid w:val="00276AC9"/>
    <w:rsid w:val="002819DE"/>
    <w:rsid w:val="00284FE1"/>
    <w:rsid w:val="00285B0A"/>
    <w:rsid w:val="00286A8B"/>
    <w:rsid w:val="00287B9A"/>
    <w:rsid w:val="00295743"/>
    <w:rsid w:val="00297564"/>
    <w:rsid w:val="002A6B47"/>
    <w:rsid w:val="002A6FDC"/>
    <w:rsid w:val="002B0B24"/>
    <w:rsid w:val="002B2F09"/>
    <w:rsid w:val="002B3BE7"/>
    <w:rsid w:val="002B4ADB"/>
    <w:rsid w:val="002B6AFE"/>
    <w:rsid w:val="002C2D7A"/>
    <w:rsid w:val="002C4298"/>
    <w:rsid w:val="002C7DF8"/>
    <w:rsid w:val="002D06A4"/>
    <w:rsid w:val="002D0865"/>
    <w:rsid w:val="002D086D"/>
    <w:rsid w:val="002D1656"/>
    <w:rsid w:val="002D1BB7"/>
    <w:rsid w:val="002D5206"/>
    <w:rsid w:val="002D6B7D"/>
    <w:rsid w:val="002E28E5"/>
    <w:rsid w:val="002E35AF"/>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5383"/>
    <w:rsid w:val="00315F9F"/>
    <w:rsid w:val="0031682D"/>
    <w:rsid w:val="00317187"/>
    <w:rsid w:val="00317244"/>
    <w:rsid w:val="003203EE"/>
    <w:rsid w:val="00320E95"/>
    <w:rsid w:val="00321C48"/>
    <w:rsid w:val="00321DE4"/>
    <w:rsid w:val="00321E4E"/>
    <w:rsid w:val="00323455"/>
    <w:rsid w:val="003307AA"/>
    <w:rsid w:val="00331FBC"/>
    <w:rsid w:val="00334D21"/>
    <w:rsid w:val="00337293"/>
    <w:rsid w:val="003404D2"/>
    <w:rsid w:val="003433CF"/>
    <w:rsid w:val="003446A3"/>
    <w:rsid w:val="00344716"/>
    <w:rsid w:val="003467E7"/>
    <w:rsid w:val="00347E2E"/>
    <w:rsid w:val="003505FF"/>
    <w:rsid w:val="0035104C"/>
    <w:rsid w:val="0035234D"/>
    <w:rsid w:val="0035263E"/>
    <w:rsid w:val="00357276"/>
    <w:rsid w:val="00357303"/>
    <w:rsid w:val="0036177C"/>
    <w:rsid w:val="00363ACF"/>
    <w:rsid w:val="00364DA6"/>
    <w:rsid w:val="00371BDF"/>
    <w:rsid w:val="0037276E"/>
    <w:rsid w:val="00373A6D"/>
    <w:rsid w:val="00373FD1"/>
    <w:rsid w:val="00374093"/>
    <w:rsid w:val="00374812"/>
    <w:rsid w:val="003765D6"/>
    <w:rsid w:val="0037796A"/>
    <w:rsid w:val="003809AF"/>
    <w:rsid w:val="00383650"/>
    <w:rsid w:val="00384D1E"/>
    <w:rsid w:val="00385664"/>
    <w:rsid w:val="003857F2"/>
    <w:rsid w:val="0038625C"/>
    <w:rsid w:val="00386EF0"/>
    <w:rsid w:val="003872BE"/>
    <w:rsid w:val="003876C9"/>
    <w:rsid w:val="0039322C"/>
    <w:rsid w:val="00395DA8"/>
    <w:rsid w:val="00396BB4"/>
    <w:rsid w:val="003A0A02"/>
    <w:rsid w:val="003A1D93"/>
    <w:rsid w:val="003A323F"/>
    <w:rsid w:val="003A356D"/>
    <w:rsid w:val="003A5879"/>
    <w:rsid w:val="003A5A10"/>
    <w:rsid w:val="003A5F05"/>
    <w:rsid w:val="003A75D7"/>
    <w:rsid w:val="003B205C"/>
    <w:rsid w:val="003B23E1"/>
    <w:rsid w:val="003B46C8"/>
    <w:rsid w:val="003B4CC6"/>
    <w:rsid w:val="003B602E"/>
    <w:rsid w:val="003B64EF"/>
    <w:rsid w:val="003C0852"/>
    <w:rsid w:val="003C0FD0"/>
    <w:rsid w:val="003C232F"/>
    <w:rsid w:val="003C30CE"/>
    <w:rsid w:val="003C5555"/>
    <w:rsid w:val="003C7981"/>
    <w:rsid w:val="003D0F2A"/>
    <w:rsid w:val="003D288D"/>
    <w:rsid w:val="003D49D9"/>
    <w:rsid w:val="003D5D6E"/>
    <w:rsid w:val="003E0924"/>
    <w:rsid w:val="003E171F"/>
    <w:rsid w:val="003E1A95"/>
    <w:rsid w:val="003E6B88"/>
    <w:rsid w:val="003E7071"/>
    <w:rsid w:val="003F0566"/>
    <w:rsid w:val="003F0FAD"/>
    <w:rsid w:val="003F1BEE"/>
    <w:rsid w:val="003F1C1E"/>
    <w:rsid w:val="003F2775"/>
    <w:rsid w:val="003F3AC5"/>
    <w:rsid w:val="003F50B6"/>
    <w:rsid w:val="003F7BBC"/>
    <w:rsid w:val="00400CAD"/>
    <w:rsid w:val="004015FF"/>
    <w:rsid w:val="0040240F"/>
    <w:rsid w:val="0040391F"/>
    <w:rsid w:val="00412975"/>
    <w:rsid w:val="004131E8"/>
    <w:rsid w:val="00413712"/>
    <w:rsid w:val="00416F83"/>
    <w:rsid w:val="00421F6E"/>
    <w:rsid w:val="00424587"/>
    <w:rsid w:val="004263FF"/>
    <w:rsid w:val="004267DA"/>
    <w:rsid w:val="004319FA"/>
    <w:rsid w:val="00432B26"/>
    <w:rsid w:val="00435BC6"/>
    <w:rsid w:val="00441BBA"/>
    <w:rsid w:val="00446697"/>
    <w:rsid w:val="00452BE0"/>
    <w:rsid w:val="0045429B"/>
    <w:rsid w:val="0045435F"/>
    <w:rsid w:val="00454524"/>
    <w:rsid w:val="00454C1F"/>
    <w:rsid w:val="00454D4C"/>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7D6"/>
    <w:rsid w:val="0048789C"/>
    <w:rsid w:val="00491FBF"/>
    <w:rsid w:val="0049418B"/>
    <w:rsid w:val="004942DC"/>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54BB"/>
    <w:rsid w:val="004B6295"/>
    <w:rsid w:val="004B730C"/>
    <w:rsid w:val="004B764B"/>
    <w:rsid w:val="004C1060"/>
    <w:rsid w:val="004C1E49"/>
    <w:rsid w:val="004C3292"/>
    <w:rsid w:val="004C3F15"/>
    <w:rsid w:val="004C41FB"/>
    <w:rsid w:val="004C5522"/>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5775"/>
    <w:rsid w:val="0051636B"/>
    <w:rsid w:val="0052032F"/>
    <w:rsid w:val="005208CA"/>
    <w:rsid w:val="0052294F"/>
    <w:rsid w:val="00522D3C"/>
    <w:rsid w:val="00526858"/>
    <w:rsid w:val="0053199B"/>
    <w:rsid w:val="00532884"/>
    <w:rsid w:val="00535D04"/>
    <w:rsid w:val="005365F2"/>
    <w:rsid w:val="00536632"/>
    <w:rsid w:val="005408D2"/>
    <w:rsid w:val="0054096E"/>
    <w:rsid w:val="00541210"/>
    <w:rsid w:val="005430E4"/>
    <w:rsid w:val="005453EA"/>
    <w:rsid w:val="005523B4"/>
    <w:rsid w:val="00556936"/>
    <w:rsid w:val="00557292"/>
    <w:rsid w:val="005579D5"/>
    <w:rsid w:val="00562AF5"/>
    <w:rsid w:val="00563C40"/>
    <w:rsid w:val="00563EE4"/>
    <w:rsid w:val="00565B86"/>
    <w:rsid w:val="00565EC8"/>
    <w:rsid w:val="0057322B"/>
    <w:rsid w:val="00576276"/>
    <w:rsid w:val="00576A1A"/>
    <w:rsid w:val="00580D25"/>
    <w:rsid w:val="00580D68"/>
    <w:rsid w:val="00581E98"/>
    <w:rsid w:val="00583BE6"/>
    <w:rsid w:val="0058513F"/>
    <w:rsid w:val="00586008"/>
    <w:rsid w:val="005867E4"/>
    <w:rsid w:val="005903D6"/>
    <w:rsid w:val="00590763"/>
    <w:rsid w:val="0059097C"/>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24BA"/>
    <w:rsid w:val="005B7B72"/>
    <w:rsid w:val="005C040A"/>
    <w:rsid w:val="005C0595"/>
    <w:rsid w:val="005C0CAD"/>
    <w:rsid w:val="005C15A9"/>
    <w:rsid w:val="005C1787"/>
    <w:rsid w:val="005C2F5F"/>
    <w:rsid w:val="005C3BA2"/>
    <w:rsid w:val="005C55A3"/>
    <w:rsid w:val="005C6042"/>
    <w:rsid w:val="005C779A"/>
    <w:rsid w:val="005D27C6"/>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EF"/>
    <w:rsid w:val="00667563"/>
    <w:rsid w:val="0067089A"/>
    <w:rsid w:val="00670E89"/>
    <w:rsid w:val="006717C2"/>
    <w:rsid w:val="00671BE8"/>
    <w:rsid w:val="006728D9"/>
    <w:rsid w:val="00674AF8"/>
    <w:rsid w:val="00674DFB"/>
    <w:rsid w:val="00685002"/>
    <w:rsid w:val="0068553C"/>
    <w:rsid w:val="00685CAD"/>
    <w:rsid w:val="00685CEB"/>
    <w:rsid w:val="006935FD"/>
    <w:rsid w:val="0069565C"/>
    <w:rsid w:val="00695F72"/>
    <w:rsid w:val="00696995"/>
    <w:rsid w:val="006A2057"/>
    <w:rsid w:val="006A2216"/>
    <w:rsid w:val="006A319E"/>
    <w:rsid w:val="006A3AFB"/>
    <w:rsid w:val="006A4150"/>
    <w:rsid w:val="006A4B2F"/>
    <w:rsid w:val="006A6322"/>
    <w:rsid w:val="006B1ECF"/>
    <w:rsid w:val="006B226D"/>
    <w:rsid w:val="006B2FB8"/>
    <w:rsid w:val="006B3C29"/>
    <w:rsid w:val="006B41BE"/>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E66"/>
    <w:rsid w:val="00703EA6"/>
    <w:rsid w:val="0070590F"/>
    <w:rsid w:val="007064B6"/>
    <w:rsid w:val="00711B3B"/>
    <w:rsid w:val="00713840"/>
    <w:rsid w:val="007148BD"/>
    <w:rsid w:val="00720B5D"/>
    <w:rsid w:val="00722F72"/>
    <w:rsid w:val="00723900"/>
    <w:rsid w:val="00727630"/>
    <w:rsid w:val="00731E6E"/>
    <w:rsid w:val="00732D00"/>
    <w:rsid w:val="007339CD"/>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7340"/>
    <w:rsid w:val="007617BE"/>
    <w:rsid w:val="00761A1E"/>
    <w:rsid w:val="007627F1"/>
    <w:rsid w:val="0076293A"/>
    <w:rsid w:val="00762ABB"/>
    <w:rsid w:val="007642BD"/>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B028A"/>
    <w:rsid w:val="007B02F5"/>
    <w:rsid w:val="007B0970"/>
    <w:rsid w:val="007B17C0"/>
    <w:rsid w:val="007B4A4F"/>
    <w:rsid w:val="007B73EF"/>
    <w:rsid w:val="007C0F23"/>
    <w:rsid w:val="007C20C0"/>
    <w:rsid w:val="007C24F5"/>
    <w:rsid w:val="007C2747"/>
    <w:rsid w:val="007C3D91"/>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5B58"/>
    <w:rsid w:val="007F5D11"/>
    <w:rsid w:val="007F7280"/>
    <w:rsid w:val="00800F02"/>
    <w:rsid w:val="00801ED4"/>
    <w:rsid w:val="00804B7E"/>
    <w:rsid w:val="00807285"/>
    <w:rsid w:val="008108BF"/>
    <w:rsid w:val="00810988"/>
    <w:rsid w:val="00810BE4"/>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25B5"/>
    <w:rsid w:val="00842D6E"/>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85051"/>
    <w:rsid w:val="0088755C"/>
    <w:rsid w:val="00887C54"/>
    <w:rsid w:val="008907E1"/>
    <w:rsid w:val="00890F00"/>
    <w:rsid w:val="00893229"/>
    <w:rsid w:val="00894205"/>
    <w:rsid w:val="008A1604"/>
    <w:rsid w:val="008A1DCC"/>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1E3B"/>
    <w:rsid w:val="008F27BE"/>
    <w:rsid w:val="008F356E"/>
    <w:rsid w:val="008F46F1"/>
    <w:rsid w:val="008F524E"/>
    <w:rsid w:val="008F76B7"/>
    <w:rsid w:val="008F7AA9"/>
    <w:rsid w:val="00900782"/>
    <w:rsid w:val="00901C66"/>
    <w:rsid w:val="00906FC0"/>
    <w:rsid w:val="00907284"/>
    <w:rsid w:val="00907C98"/>
    <w:rsid w:val="00910508"/>
    <w:rsid w:val="00910845"/>
    <w:rsid w:val="00911C68"/>
    <w:rsid w:val="00912026"/>
    <w:rsid w:val="00915ECE"/>
    <w:rsid w:val="00917233"/>
    <w:rsid w:val="0092144D"/>
    <w:rsid w:val="00921639"/>
    <w:rsid w:val="0092284E"/>
    <w:rsid w:val="00923696"/>
    <w:rsid w:val="0093174B"/>
    <w:rsid w:val="0093593C"/>
    <w:rsid w:val="00935E3B"/>
    <w:rsid w:val="00936108"/>
    <w:rsid w:val="00936412"/>
    <w:rsid w:val="00942CDA"/>
    <w:rsid w:val="00944098"/>
    <w:rsid w:val="00950C1A"/>
    <w:rsid w:val="00952C1C"/>
    <w:rsid w:val="00952CFE"/>
    <w:rsid w:val="00952EA2"/>
    <w:rsid w:val="0095437F"/>
    <w:rsid w:val="009543B9"/>
    <w:rsid w:val="00955722"/>
    <w:rsid w:val="0095609D"/>
    <w:rsid w:val="0095660C"/>
    <w:rsid w:val="00957EB0"/>
    <w:rsid w:val="00960A97"/>
    <w:rsid w:val="00962447"/>
    <w:rsid w:val="00965648"/>
    <w:rsid w:val="00965EDD"/>
    <w:rsid w:val="00965F90"/>
    <w:rsid w:val="0097115D"/>
    <w:rsid w:val="00972868"/>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E4"/>
    <w:rsid w:val="00993683"/>
    <w:rsid w:val="00994527"/>
    <w:rsid w:val="009963AA"/>
    <w:rsid w:val="0099696B"/>
    <w:rsid w:val="009A2A3C"/>
    <w:rsid w:val="009A4F7D"/>
    <w:rsid w:val="009B1193"/>
    <w:rsid w:val="009B15E4"/>
    <w:rsid w:val="009B1F67"/>
    <w:rsid w:val="009B3BEE"/>
    <w:rsid w:val="009B3D0C"/>
    <w:rsid w:val="009B4772"/>
    <w:rsid w:val="009B4C63"/>
    <w:rsid w:val="009B4CA8"/>
    <w:rsid w:val="009B7425"/>
    <w:rsid w:val="009C26B7"/>
    <w:rsid w:val="009C3B5B"/>
    <w:rsid w:val="009C3B75"/>
    <w:rsid w:val="009C4C37"/>
    <w:rsid w:val="009C773B"/>
    <w:rsid w:val="009C7DC9"/>
    <w:rsid w:val="009D0717"/>
    <w:rsid w:val="009D0812"/>
    <w:rsid w:val="009D215A"/>
    <w:rsid w:val="009D2D85"/>
    <w:rsid w:val="009D3DDE"/>
    <w:rsid w:val="009D4A90"/>
    <w:rsid w:val="009D4AA4"/>
    <w:rsid w:val="009D5B79"/>
    <w:rsid w:val="009D766B"/>
    <w:rsid w:val="009D7B64"/>
    <w:rsid w:val="009E0985"/>
    <w:rsid w:val="009E1C06"/>
    <w:rsid w:val="009E3A4B"/>
    <w:rsid w:val="009E48B2"/>
    <w:rsid w:val="009E4DED"/>
    <w:rsid w:val="009E79D4"/>
    <w:rsid w:val="009F0091"/>
    <w:rsid w:val="009F0869"/>
    <w:rsid w:val="009F2484"/>
    <w:rsid w:val="00A0100C"/>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271ED"/>
    <w:rsid w:val="00A30548"/>
    <w:rsid w:val="00A30D6C"/>
    <w:rsid w:val="00A3180B"/>
    <w:rsid w:val="00A32D31"/>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62015"/>
    <w:rsid w:val="00A644F7"/>
    <w:rsid w:val="00A64CCE"/>
    <w:rsid w:val="00A6643E"/>
    <w:rsid w:val="00A66711"/>
    <w:rsid w:val="00A7008B"/>
    <w:rsid w:val="00A7119A"/>
    <w:rsid w:val="00A71B69"/>
    <w:rsid w:val="00A724E9"/>
    <w:rsid w:val="00A73998"/>
    <w:rsid w:val="00A77CF8"/>
    <w:rsid w:val="00A80F3E"/>
    <w:rsid w:val="00A81CA3"/>
    <w:rsid w:val="00A841BF"/>
    <w:rsid w:val="00A84C9D"/>
    <w:rsid w:val="00A84DA1"/>
    <w:rsid w:val="00A84F50"/>
    <w:rsid w:val="00A858CC"/>
    <w:rsid w:val="00A85C8D"/>
    <w:rsid w:val="00A8696F"/>
    <w:rsid w:val="00A92CFB"/>
    <w:rsid w:val="00A943CC"/>
    <w:rsid w:val="00A96023"/>
    <w:rsid w:val="00A977B5"/>
    <w:rsid w:val="00AA0690"/>
    <w:rsid w:val="00AA08CA"/>
    <w:rsid w:val="00AA0EB7"/>
    <w:rsid w:val="00AA0EDF"/>
    <w:rsid w:val="00AA3D9E"/>
    <w:rsid w:val="00AA3F81"/>
    <w:rsid w:val="00AA6844"/>
    <w:rsid w:val="00AA6AC4"/>
    <w:rsid w:val="00AB1324"/>
    <w:rsid w:val="00AB1C94"/>
    <w:rsid w:val="00AB6699"/>
    <w:rsid w:val="00AC4FA2"/>
    <w:rsid w:val="00AD1220"/>
    <w:rsid w:val="00AD163C"/>
    <w:rsid w:val="00AD1B80"/>
    <w:rsid w:val="00AD2FA3"/>
    <w:rsid w:val="00AD3DE2"/>
    <w:rsid w:val="00AD594F"/>
    <w:rsid w:val="00AD7A0B"/>
    <w:rsid w:val="00AE11F5"/>
    <w:rsid w:val="00AE2A0E"/>
    <w:rsid w:val="00AE3156"/>
    <w:rsid w:val="00AE4AAC"/>
    <w:rsid w:val="00AE4F1D"/>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50B1"/>
    <w:rsid w:val="00B16CEE"/>
    <w:rsid w:val="00B227E7"/>
    <w:rsid w:val="00B23BE7"/>
    <w:rsid w:val="00B2554D"/>
    <w:rsid w:val="00B25E6E"/>
    <w:rsid w:val="00B27BFF"/>
    <w:rsid w:val="00B3049B"/>
    <w:rsid w:val="00B33353"/>
    <w:rsid w:val="00B33B68"/>
    <w:rsid w:val="00B34B5D"/>
    <w:rsid w:val="00B36C33"/>
    <w:rsid w:val="00B40818"/>
    <w:rsid w:val="00B50E07"/>
    <w:rsid w:val="00B50FC1"/>
    <w:rsid w:val="00B52DFF"/>
    <w:rsid w:val="00B542F9"/>
    <w:rsid w:val="00B55222"/>
    <w:rsid w:val="00B70C05"/>
    <w:rsid w:val="00B70C0F"/>
    <w:rsid w:val="00B70D7A"/>
    <w:rsid w:val="00B7463C"/>
    <w:rsid w:val="00B74763"/>
    <w:rsid w:val="00B7525F"/>
    <w:rsid w:val="00B75413"/>
    <w:rsid w:val="00B76A01"/>
    <w:rsid w:val="00B77116"/>
    <w:rsid w:val="00B80D9C"/>
    <w:rsid w:val="00B81BEF"/>
    <w:rsid w:val="00B82A61"/>
    <w:rsid w:val="00B82DA0"/>
    <w:rsid w:val="00B85B4D"/>
    <w:rsid w:val="00B91A6F"/>
    <w:rsid w:val="00B95987"/>
    <w:rsid w:val="00B9632D"/>
    <w:rsid w:val="00B96F3D"/>
    <w:rsid w:val="00BA0E62"/>
    <w:rsid w:val="00BA1326"/>
    <w:rsid w:val="00BA420F"/>
    <w:rsid w:val="00BA4429"/>
    <w:rsid w:val="00BA67F4"/>
    <w:rsid w:val="00BA7CB7"/>
    <w:rsid w:val="00BB5BD7"/>
    <w:rsid w:val="00BB7833"/>
    <w:rsid w:val="00BB7EE5"/>
    <w:rsid w:val="00BC0474"/>
    <w:rsid w:val="00BC0A13"/>
    <w:rsid w:val="00BC0DCA"/>
    <w:rsid w:val="00BC1669"/>
    <w:rsid w:val="00BC4717"/>
    <w:rsid w:val="00BC5819"/>
    <w:rsid w:val="00BC61CD"/>
    <w:rsid w:val="00BD0998"/>
    <w:rsid w:val="00BD16EB"/>
    <w:rsid w:val="00BD2F95"/>
    <w:rsid w:val="00BD4F76"/>
    <w:rsid w:val="00BD55A9"/>
    <w:rsid w:val="00BD5710"/>
    <w:rsid w:val="00BD6A89"/>
    <w:rsid w:val="00BE0A7C"/>
    <w:rsid w:val="00BE23AD"/>
    <w:rsid w:val="00BE2C64"/>
    <w:rsid w:val="00BE2CD2"/>
    <w:rsid w:val="00BE3112"/>
    <w:rsid w:val="00BE3550"/>
    <w:rsid w:val="00BE5543"/>
    <w:rsid w:val="00BE5EF0"/>
    <w:rsid w:val="00BE7415"/>
    <w:rsid w:val="00BF2BB7"/>
    <w:rsid w:val="00BF3360"/>
    <w:rsid w:val="00BF3DC2"/>
    <w:rsid w:val="00BF729D"/>
    <w:rsid w:val="00C0080F"/>
    <w:rsid w:val="00C13378"/>
    <w:rsid w:val="00C14EFC"/>
    <w:rsid w:val="00C165D1"/>
    <w:rsid w:val="00C17AD5"/>
    <w:rsid w:val="00C2062E"/>
    <w:rsid w:val="00C20D17"/>
    <w:rsid w:val="00C22CEE"/>
    <w:rsid w:val="00C23ABA"/>
    <w:rsid w:val="00C25E3A"/>
    <w:rsid w:val="00C30160"/>
    <w:rsid w:val="00C302CB"/>
    <w:rsid w:val="00C35010"/>
    <w:rsid w:val="00C3514F"/>
    <w:rsid w:val="00C356B0"/>
    <w:rsid w:val="00C35978"/>
    <w:rsid w:val="00C359CF"/>
    <w:rsid w:val="00C36FFC"/>
    <w:rsid w:val="00C3717A"/>
    <w:rsid w:val="00C4080F"/>
    <w:rsid w:val="00C42654"/>
    <w:rsid w:val="00C43CC0"/>
    <w:rsid w:val="00C43CF3"/>
    <w:rsid w:val="00C4480D"/>
    <w:rsid w:val="00C44DD7"/>
    <w:rsid w:val="00C45FAF"/>
    <w:rsid w:val="00C46496"/>
    <w:rsid w:val="00C47D20"/>
    <w:rsid w:val="00C537D6"/>
    <w:rsid w:val="00C5461E"/>
    <w:rsid w:val="00C552A1"/>
    <w:rsid w:val="00C616FE"/>
    <w:rsid w:val="00C62834"/>
    <w:rsid w:val="00C64E2E"/>
    <w:rsid w:val="00C65C8C"/>
    <w:rsid w:val="00C67AE8"/>
    <w:rsid w:val="00C704D2"/>
    <w:rsid w:val="00C7239A"/>
    <w:rsid w:val="00C74584"/>
    <w:rsid w:val="00C824DB"/>
    <w:rsid w:val="00C829F6"/>
    <w:rsid w:val="00C84E35"/>
    <w:rsid w:val="00C86956"/>
    <w:rsid w:val="00C952DC"/>
    <w:rsid w:val="00CA1EC0"/>
    <w:rsid w:val="00CA1FA4"/>
    <w:rsid w:val="00CA2772"/>
    <w:rsid w:val="00CA2D15"/>
    <w:rsid w:val="00CA3DCF"/>
    <w:rsid w:val="00CA54D0"/>
    <w:rsid w:val="00CA762A"/>
    <w:rsid w:val="00CA7A98"/>
    <w:rsid w:val="00CB03E0"/>
    <w:rsid w:val="00CB28CB"/>
    <w:rsid w:val="00CB3452"/>
    <w:rsid w:val="00CB3576"/>
    <w:rsid w:val="00CB5ECF"/>
    <w:rsid w:val="00CC0393"/>
    <w:rsid w:val="00CC0EC7"/>
    <w:rsid w:val="00CC15C7"/>
    <w:rsid w:val="00CC2BDB"/>
    <w:rsid w:val="00CC3253"/>
    <w:rsid w:val="00CC5CF0"/>
    <w:rsid w:val="00CC6A18"/>
    <w:rsid w:val="00CC6D07"/>
    <w:rsid w:val="00CD37A6"/>
    <w:rsid w:val="00CD7FE9"/>
    <w:rsid w:val="00CE3E0E"/>
    <w:rsid w:val="00CF0626"/>
    <w:rsid w:val="00CF3873"/>
    <w:rsid w:val="00CF3C8B"/>
    <w:rsid w:val="00CF40BB"/>
    <w:rsid w:val="00CF43D9"/>
    <w:rsid w:val="00CF78B5"/>
    <w:rsid w:val="00D00599"/>
    <w:rsid w:val="00D04B33"/>
    <w:rsid w:val="00D06AF2"/>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3713"/>
    <w:rsid w:val="00D87313"/>
    <w:rsid w:val="00D91950"/>
    <w:rsid w:val="00D91E66"/>
    <w:rsid w:val="00D92C15"/>
    <w:rsid w:val="00D94015"/>
    <w:rsid w:val="00D94C51"/>
    <w:rsid w:val="00D94EEF"/>
    <w:rsid w:val="00D957AC"/>
    <w:rsid w:val="00DA1D06"/>
    <w:rsid w:val="00DA1EA0"/>
    <w:rsid w:val="00DA20DC"/>
    <w:rsid w:val="00DA2C46"/>
    <w:rsid w:val="00DA3207"/>
    <w:rsid w:val="00DA5EF1"/>
    <w:rsid w:val="00DA7A72"/>
    <w:rsid w:val="00DA7B72"/>
    <w:rsid w:val="00DB07B1"/>
    <w:rsid w:val="00DB1F49"/>
    <w:rsid w:val="00DB34A2"/>
    <w:rsid w:val="00DB415C"/>
    <w:rsid w:val="00DB570E"/>
    <w:rsid w:val="00DB6789"/>
    <w:rsid w:val="00DB6CDF"/>
    <w:rsid w:val="00DC3882"/>
    <w:rsid w:val="00DD01DB"/>
    <w:rsid w:val="00DD0855"/>
    <w:rsid w:val="00DD08B0"/>
    <w:rsid w:val="00DD2B99"/>
    <w:rsid w:val="00DD4CFA"/>
    <w:rsid w:val="00DD5D50"/>
    <w:rsid w:val="00DE032A"/>
    <w:rsid w:val="00DE1F80"/>
    <w:rsid w:val="00DE2B53"/>
    <w:rsid w:val="00DE4A33"/>
    <w:rsid w:val="00DE5546"/>
    <w:rsid w:val="00DE643A"/>
    <w:rsid w:val="00DF0428"/>
    <w:rsid w:val="00DF1273"/>
    <w:rsid w:val="00DF452C"/>
    <w:rsid w:val="00DF61A6"/>
    <w:rsid w:val="00DF6ED6"/>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427B6"/>
    <w:rsid w:val="00E435CE"/>
    <w:rsid w:val="00E444F1"/>
    <w:rsid w:val="00E4549C"/>
    <w:rsid w:val="00E45CFB"/>
    <w:rsid w:val="00E46370"/>
    <w:rsid w:val="00E4713D"/>
    <w:rsid w:val="00E47642"/>
    <w:rsid w:val="00E500E1"/>
    <w:rsid w:val="00E501B3"/>
    <w:rsid w:val="00E52269"/>
    <w:rsid w:val="00E54395"/>
    <w:rsid w:val="00E55396"/>
    <w:rsid w:val="00E5642D"/>
    <w:rsid w:val="00E60623"/>
    <w:rsid w:val="00E61A72"/>
    <w:rsid w:val="00E6354D"/>
    <w:rsid w:val="00E63C81"/>
    <w:rsid w:val="00E64140"/>
    <w:rsid w:val="00E64143"/>
    <w:rsid w:val="00E65AB9"/>
    <w:rsid w:val="00E7160B"/>
    <w:rsid w:val="00E72574"/>
    <w:rsid w:val="00E725B6"/>
    <w:rsid w:val="00E72603"/>
    <w:rsid w:val="00E72F7B"/>
    <w:rsid w:val="00E733EF"/>
    <w:rsid w:val="00E85493"/>
    <w:rsid w:val="00E9014F"/>
    <w:rsid w:val="00E91C2C"/>
    <w:rsid w:val="00E91D4E"/>
    <w:rsid w:val="00E923E3"/>
    <w:rsid w:val="00E9258F"/>
    <w:rsid w:val="00E96C1A"/>
    <w:rsid w:val="00EA4A8C"/>
    <w:rsid w:val="00EA5993"/>
    <w:rsid w:val="00EA78A5"/>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28DA"/>
    <w:rsid w:val="00ED3A3C"/>
    <w:rsid w:val="00ED44AE"/>
    <w:rsid w:val="00ED4A59"/>
    <w:rsid w:val="00EE0077"/>
    <w:rsid w:val="00EE3094"/>
    <w:rsid w:val="00EE376E"/>
    <w:rsid w:val="00EE41E4"/>
    <w:rsid w:val="00EE56EB"/>
    <w:rsid w:val="00EE7B12"/>
    <w:rsid w:val="00EF0126"/>
    <w:rsid w:val="00EF2F5B"/>
    <w:rsid w:val="00EF3992"/>
    <w:rsid w:val="00EF5BFE"/>
    <w:rsid w:val="00F00E9D"/>
    <w:rsid w:val="00F02612"/>
    <w:rsid w:val="00F06264"/>
    <w:rsid w:val="00F0640A"/>
    <w:rsid w:val="00F06C5A"/>
    <w:rsid w:val="00F06E8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748"/>
    <w:rsid w:val="00F46475"/>
    <w:rsid w:val="00F46C56"/>
    <w:rsid w:val="00F52317"/>
    <w:rsid w:val="00F52942"/>
    <w:rsid w:val="00F53D10"/>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204F"/>
    <w:rsid w:val="00F82305"/>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9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CB1E-7D86-479B-9CE9-BEDAE3CF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8995</Words>
  <Characters>49477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2019-08-19T19:51:00Z</cp:lastPrinted>
  <dcterms:created xsi:type="dcterms:W3CDTF">2019-08-30T17:17:00Z</dcterms:created>
  <dcterms:modified xsi:type="dcterms:W3CDTF">2019-08-30T17:17:00Z</dcterms:modified>
</cp:coreProperties>
</file>